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6B" w:rsidRDefault="00F821EB" w:rsidP="00AB2259">
      <w:pPr>
        <w:jc w:val="center"/>
        <w:rPr>
          <w:b/>
        </w:rPr>
      </w:pPr>
      <w:bookmarkStart w:id="0" w:name="_GoBack"/>
      <w:bookmarkEnd w:id="0"/>
      <w:r>
        <w:rPr>
          <w:b/>
        </w:rPr>
        <w:t xml:space="preserve"> </w:t>
      </w:r>
      <w:r w:rsidR="00D1486B">
        <w:rPr>
          <w:b/>
        </w:rPr>
        <w:t>Before the</w:t>
      </w:r>
    </w:p>
    <w:p w:rsidR="00D1486B" w:rsidRDefault="00D1486B" w:rsidP="00AB2259">
      <w:pPr>
        <w:jc w:val="center"/>
        <w:rPr>
          <w:b/>
        </w:rPr>
      </w:pPr>
      <w:r>
        <w:rPr>
          <w:b/>
        </w:rPr>
        <w:t>Federal Communications Commission</w:t>
      </w:r>
    </w:p>
    <w:p w:rsidR="00D1486B" w:rsidRDefault="00D1486B" w:rsidP="00AB2259">
      <w:pPr>
        <w:jc w:val="center"/>
      </w:pPr>
      <w:r>
        <w:rPr>
          <w:b/>
        </w:rPr>
        <w:t>Washington, D.C. 20554</w:t>
      </w:r>
    </w:p>
    <w:p w:rsidR="00D1486B" w:rsidRDefault="00D1486B" w:rsidP="00FB2F06"/>
    <w:tbl>
      <w:tblPr>
        <w:tblW w:w="9685" w:type="dxa"/>
        <w:tblLayout w:type="fixed"/>
        <w:tblLook w:val="0000" w:firstRow="0" w:lastRow="0" w:firstColumn="0" w:lastColumn="0" w:noHBand="0" w:noVBand="0"/>
      </w:tblPr>
      <w:tblGrid>
        <w:gridCol w:w="4716"/>
        <w:gridCol w:w="723"/>
        <w:gridCol w:w="4246"/>
      </w:tblGrid>
      <w:tr w:rsidR="00D1486B">
        <w:trPr>
          <w:trHeight w:val="1353"/>
        </w:trPr>
        <w:tc>
          <w:tcPr>
            <w:tcW w:w="4716" w:type="dxa"/>
          </w:tcPr>
          <w:p w:rsidR="00DD7962" w:rsidRDefault="00DD7962" w:rsidP="00FB2F06">
            <w:pPr>
              <w:ind w:right="-18"/>
            </w:pPr>
          </w:p>
          <w:p w:rsidR="00D1486B" w:rsidRDefault="00174715" w:rsidP="00FB2F06">
            <w:pPr>
              <w:ind w:right="-18"/>
            </w:pPr>
            <w:r>
              <w:t>In the Matter of</w:t>
            </w:r>
          </w:p>
          <w:p w:rsidR="00D1486B" w:rsidRDefault="00D1486B" w:rsidP="00FB2F06">
            <w:pPr>
              <w:ind w:right="-18"/>
            </w:pPr>
          </w:p>
          <w:p w:rsidR="00692037" w:rsidRDefault="0020390A" w:rsidP="00FB2F06">
            <w:pPr>
              <w:ind w:right="-18"/>
            </w:pPr>
            <w:r>
              <w:t>Assignment of Call Sign KCTI-FM</w:t>
            </w:r>
          </w:p>
          <w:p w:rsidR="007F310E" w:rsidRDefault="007F310E" w:rsidP="00FB2F06">
            <w:pPr>
              <w:ind w:right="-18"/>
            </w:pPr>
            <w:r>
              <w:t>Sun Radio Foundation, Licensee of</w:t>
            </w:r>
          </w:p>
          <w:p w:rsidR="00D1486B" w:rsidRDefault="007F310E" w:rsidP="00FB2F06">
            <w:pPr>
              <w:ind w:right="-18"/>
            </w:pPr>
            <w:r>
              <w:t>KCTI-FM, Gonzales, Texas</w:t>
            </w:r>
          </w:p>
          <w:p w:rsidR="006B6EE4" w:rsidRDefault="006B6EE4" w:rsidP="00FB2F06">
            <w:pPr>
              <w:ind w:right="-18"/>
            </w:pPr>
          </w:p>
          <w:p w:rsidR="007F310E" w:rsidRDefault="007F310E" w:rsidP="00FB2F06">
            <w:pPr>
              <w:ind w:right="-18"/>
            </w:pPr>
          </w:p>
        </w:tc>
        <w:tc>
          <w:tcPr>
            <w:tcW w:w="723" w:type="dxa"/>
          </w:tcPr>
          <w:p w:rsidR="00D1486B" w:rsidRDefault="00D1486B" w:rsidP="00FB2F06">
            <w:pPr>
              <w:rPr>
                <w:b/>
              </w:rPr>
            </w:pPr>
            <w:r>
              <w:rPr>
                <w:b/>
              </w:rPr>
              <w:t>)</w:t>
            </w:r>
          </w:p>
          <w:p w:rsidR="00D1486B" w:rsidRDefault="00D1486B" w:rsidP="00FB2F06">
            <w:pPr>
              <w:rPr>
                <w:b/>
              </w:rPr>
            </w:pPr>
            <w:r>
              <w:rPr>
                <w:b/>
              </w:rPr>
              <w:t>)</w:t>
            </w:r>
          </w:p>
          <w:p w:rsidR="00D1486B" w:rsidRDefault="00D1486B" w:rsidP="00FB2F06">
            <w:pPr>
              <w:rPr>
                <w:b/>
              </w:rPr>
            </w:pPr>
            <w:r>
              <w:rPr>
                <w:b/>
              </w:rPr>
              <w:t>)</w:t>
            </w:r>
          </w:p>
          <w:p w:rsidR="00D1486B" w:rsidRDefault="00D1486B" w:rsidP="00FB2F06">
            <w:pPr>
              <w:rPr>
                <w:b/>
              </w:rPr>
            </w:pPr>
            <w:r>
              <w:rPr>
                <w:b/>
              </w:rPr>
              <w:t>)</w:t>
            </w:r>
          </w:p>
          <w:p w:rsidR="00D1486B" w:rsidRDefault="00D1486B" w:rsidP="00FB2F06">
            <w:pPr>
              <w:rPr>
                <w:b/>
              </w:rPr>
            </w:pPr>
            <w:r>
              <w:rPr>
                <w:b/>
              </w:rPr>
              <w:t>)</w:t>
            </w:r>
          </w:p>
          <w:p w:rsidR="006B6EE4" w:rsidRDefault="006B6EE4" w:rsidP="00FB2F06">
            <w:pPr>
              <w:rPr>
                <w:b/>
              </w:rPr>
            </w:pPr>
            <w:r>
              <w:rPr>
                <w:b/>
              </w:rPr>
              <w:t>)</w:t>
            </w:r>
          </w:p>
          <w:p w:rsidR="00692037" w:rsidRDefault="00692037" w:rsidP="00FB2F06">
            <w:pPr>
              <w:rPr>
                <w:b/>
              </w:rPr>
            </w:pPr>
          </w:p>
          <w:p w:rsidR="00692037" w:rsidRDefault="00692037" w:rsidP="00FB2F06">
            <w:pPr>
              <w:rPr>
                <w:b/>
              </w:rPr>
            </w:pPr>
          </w:p>
        </w:tc>
        <w:tc>
          <w:tcPr>
            <w:tcW w:w="4246" w:type="dxa"/>
          </w:tcPr>
          <w:p w:rsidR="00692037" w:rsidRDefault="00692037" w:rsidP="00FB2F06"/>
          <w:p w:rsidR="00692037" w:rsidRDefault="00692037" w:rsidP="00FB2F06"/>
          <w:p w:rsidR="00692037" w:rsidRDefault="00692037" w:rsidP="00FB2F06"/>
          <w:p w:rsidR="00692037" w:rsidRDefault="00692037" w:rsidP="00FB2F06"/>
          <w:p w:rsidR="00DD7962" w:rsidRDefault="00DD7962" w:rsidP="001A2A8A">
            <w:r>
              <w:t xml:space="preserve">Facility No. </w:t>
            </w:r>
            <w:r w:rsidR="007F310E">
              <w:t>91220</w:t>
            </w:r>
          </w:p>
          <w:p w:rsidR="00D1486B" w:rsidRDefault="00D1486B" w:rsidP="007F310E">
            <w:pPr>
              <w:ind w:right="-18"/>
            </w:pPr>
          </w:p>
        </w:tc>
      </w:tr>
    </w:tbl>
    <w:p w:rsidR="00D1486B" w:rsidRDefault="00D1486B" w:rsidP="00AB2259">
      <w:pPr>
        <w:spacing w:before="240"/>
        <w:jc w:val="center"/>
        <w:rPr>
          <w:b/>
        </w:rPr>
      </w:pPr>
      <w:r>
        <w:rPr>
          <w:b/>
          <w:spacing w:val="-2"/>
        </w:rPr>
        <w:t>MEMORANDUM OPINION AND ORDER</w:t>
      </w:r>
    </w:p>
    <w:p w:rsidR="00D1486B" w:rsidRDefault="00D1486B" w:rsidP="00FB2F06"/>
    <w:p w:rsidR="00DE2E7C" w:rsidRDefault="00DE2E7C" w:rsidP="00FB2F06"/>
    <w:p w:rsidR="00D1486B" w:rsidRDefault="00D1486B" w:rsidP="00FB2F06">
      <w:pPr>
        <w:tabs>
          <w:tab w:val="left" w:pos="5760"/>
        </w:tabs>
        <w:rPr>
          <w:b/>
        </w:rPr>
      </w:pPr>
      <w:r>
        <w:rPr>
          <w:b/>
        </w:rPr>
        <w:t xml:space="preserve">Adopted:  </w:t>
      </w:r>
      <w:r w:rsidR="008D4EAC">
        <w:rPr>
          <w:b/>
        </w:rPr>
        <w:t>October 25, 2017</w:t>
      </w:r>
      <w:r>
        <w:rPr>
          <w:b/>
        </w:rPr>
        <w:tab/>
        <w:t xml:space="preserve">Released:  </w:t>
      </w:r>
      <w:r w:rsidR="008D4EAC">
        <w:rPr>
          <w:b/>
        </w:rPr>
        <w:t>October 25, 2017</w:t>
      </w:r>
    </w:p>
    <w:p w:rsidR="00DE2E7C" w:rsidRDefault="00DE2E7C" w:rsidP="00FB2F06">
      <w:pPr>
        <w:tabs>
          <w:tab w:val="left" w:pos="5760"/>
        </w:tabs>
        <w:rPr>
          <w:b/>
        </w:rPr>
      </w:pPr>
    </w:p>
    <w:p w:rsidR="00D1486B" w:rsidRDefault="00D1486B" w:rsidP="00FB2F06">
      <w:pPr>
        <w:tabs>
          <w:tab w:val="left" w:pos="5760"/>
        </w:tabs>
        <w:rPr>
          <w:spacing w:val="-2"/>
        </w:rPr>
      </w:pPr>
      <w:r>
        <w:t>By the Chief, Video Division, Media Bureau</w:t>
      </w:r>
      <w:r>
        <w:rPr>
          <w:spacing w:val="-2"/>
        </w:rPr>
        <w:t>:</w:t>
      </w:r>
    </w:p>
    <w:p w:rsidR="00DE2E7C" w:rsidRDefault="00DE2E7C" w:rsidP="00FB2F06">
      <w:pPr>
        <w:tabs>
          <w:tab w:val="left" w:pos="5760"/>
        </w:tabs>
        <w:rPr>
          <w:spacing w:val="-2"/>
        </w:rPr>
      </w:pPr>
    </w:p>
    <w:p w:rsidR="00D1486B" w:rsidRPr="0097534D" w:rsidRDefault="00D1486B" w:rsidP="0097534D">
      <w:pPr>
        <w:tabs>
          <w:tab w:val="left" w:pos="5760"/>
        </w:tabs>
        <w:spacing w:after="120"/>
        <w:rPr>
          <w:b/>
          <w:spacing w:val="-2"/>
        </w:rPr>
      </w:pPr>
      <w:r>
        <w:rPr>
          <w:b/>
          <w:spacing w:val="-2"/>
        </w:rPr>
        <w:t>I.     INTRODUCTION</w:t>
      </w:r>
    </w:p>
    <w:p w:rsidR="007F310E" w:rsidRPr="006544C9" w:rsidRDefault="002364E3" w:rsidP="0097534D">
      <w:pPr>
        <w:pStyle w:val="ParaNum"/>
        <w:numPr>
          <w:ilvl w:val="0"/>
          <w:numId w:val="23"/>
        </w:numPr>
        <w:spacing w:after="120"/>
        <w:ind w:left="0" w:firstLine="720"/>
        <w:jc w:val="left"/>
        <w:rPr>
          <w:szCs w:val="22"/>
        </w:rPr>
      </w:pPr>
      <w:r>
        <w:rPr>
          <w:color w:val="000000"/>
          <w:szCs w:val="22"/>
        </w:rPr>
        <w:t>We have</w:t>
      </w:r>
      <w:r w:rsidR="007F310E" w:rsidRPr="006544C9">
        <w:rPr>
          <w:color w:val="000000"/>
          <w:szCs w:val="22"/>
        </w:rPr>
        <w:t xml:space="preserve"> before </w:t>
      </w:r>
      <w:r>
        <w:rPr>
          <w:color w:val="000000"/>
          <w:szCs w:val="22"/>
        </w:rPr>
        <w:t>us</w:t>
      </w:r>
      <w:r w:rsidR="00140EA8">
        <w:rPr>
          <w:color w:val="000000"/>
          <w:szCs w:val="22"/>
        </w:rPr>
        <w:t xml:space="preserve"> a p</w:t>
      </w:r>
      <w:r w:rsidR="00D93317">
        <w:rPr>
          <w:color w:val="000000"/>
          <w:szCs w:val="22"/>
        </w:rPr>
        <w:t>etition for r</w:t>
      </w:r>
      <w:r w:rsidR="007F310E" w:rsidRPr="006544C9">
        <w:rPr>
          <w:color w:val="000000"/>
          <w:szCs w:val="22"/>
        </w:rPr>
        <w:t>econsideration</w:t>
      </w:r>
      <w:r w:rsidR="007F310E">
        <w:rPr>
          <w:color w:val="000000"/>
          <w:szCs w:val="22"/>
        </w:rPr>
        <w:t xml:space="preserve"> (Petition)</w:t>
      </w:r>
      <w:r w:rsidR="007F310E" w:rsidRPr="006544C9">
        <w:rPr>
          <w:color w:val="000000"/>
          <w:szCs w:val="22"/>
        </w:rPr>
        <w:t>,</w:t>
      </w:r>
      <w:r w:rsidR="00032E8E">
        <w:rPr>
          <w:rStyle w:val="FootnoteReference"/>
          <w:color w:val="000000"/>
          <w:szCs w:val="22"/>
        </w:rPr>
        <w:footnoteReference w:id="2"/>
      </w:r>
      <w:r w:rsidR="007F310E" w:rsidRPr="006544C9">
        <w:rPr>
          <w:color w:val="000000"/>
          <w:szCs w:val="22"/>
        </w:rPr>
        <w:t xml:space="preserve"> filed by Texas Public Radio (</w:t>
      </w:r>
      <w:r w:rsidR="007F310E">
        <w:rPr>
          <w:color w:val="000000"/>
          <w:szCs w:val="22"/>
        </w:rPr>
        <w:t>TPR)</w:t>
      </w:r>
      <w:r w:rsidR="007F310E" w:rsidRPr="006544C9">
        <w:rPr>
          <w:color w:val="000000"/>
          <w:szCs w:val="22"/>
        </w:rPr>
        <w:t>,</w:t>
      </w:r>
      <w:r w:rsidR="006A784D">
        <w:rPr>
          <w:color w:val="000000"/>
          <w:szCs w:val="22"/>
        </w:rPr>
        <w:t xml:space="preserve"> licensee of radio station</w:t>
      </w:r>
      <w:r w:rsidR="007F310E" w:rsidRPr="006544C9">
        <w:rPr>
          <w:color w:val="000000"/>
          <w:szCs w:val="22"/>
        </w:rPr>
        <w:t xml:space="preserve"> </w:t>
      </w:r>
      <w:r w:rsidR="007F310E">
        <w:rPr>
          <w:color w:val="000000"/>
          <w:szCs w:val="22"/>
        </w:rPr>
        <w:t>KCTI(AM)</w:t>
      </w:r>
      <w:r w:rsidR="00327D70">
        <w:rPr>
          <w:color w:val="000000"/>
          <w:szCs w:val="22"/>
        </w:rPr>
        <w:t xml:space="preserve"> (KCTI</w:t>
      </w:r>
      <w:r w:rsidR="00451AF8">
        <w:rPr>
          <w:color w:val="000000"/>
          <w:szCs w:val="22"/>
        </w:rPr>
        <w:t>)</w:t>
      </w:r>
      <w:r w:rsidR="007F310E">
        <w:rPr>
          <w:color w:val="000000"/>
          <w:szCs w:val="22"/>
        </w:rPr>
        <w:t>, Gonzales</w:t>
      </w:r>
      <w:r w:rsidR="007F310E" w:rsidRPr="006544C9">
        <w:rPr>
          <w:color w:val="000000"/>
          <w:szCs w:val="22"/>
        </w:rPr>
        <w:t xml:space="preserve">, </w:t>
      </w:r>
      <w:r w:rsidR="007F310E">
        <w:rPr>
          <w:color w:val="000000"/>
          <w:szCs w:val="22"/>
        </w:rPr>
        <w:t>Texas</w:t>
      </w:r>
      <w:r w:rsidR="006531C0">
        <w:rPr>
          <w:color w:val="000000"/>
          <w:szCs w:val="22"/>
        </w:rPr>
        <w:t>.  The Petitioner</w:t>
      </w:r>
      <w:r w:rsidR="007F310E" w:rsidRPr="006544C9">
        <w:rPr>
          <w:color w:val="000000"/>
          <w:szCs w:val="22"/>
        </w:rPr>
        <w:t xml:space="preserve"> </w:t>
      </w:r>
      <w:r w:rsidR="00A206E0">
        <w:rPr>
          <w:color w:val="000000"/>
          <w:szCs w:val="22"/>
        </w:rPr>
        <w:t>seek</w:t>
      </w:r>
      <w:r w:rsidR="006531C0">
        <w:rPr>
          <w:color w:val="000000"/>
          <w:szCs w:val="22"/>
        </w:rPr>
        <w:t>s</w:t>
      </w:r>
      <w:r w:rsidR="004E1AE0">
        <w:rPr>
          <w:color w:val="000000"/>
          <w:szCs w:val="22"/>
        </w:rPr>
        <w:t xml:space="preserve"> reconsideration of </w:t>
      </w:r>
      <w:r w:rsidR="00E20EF2">
        <w:rPr>
          <w:color w:val="000000"/>
          <w:szCs w:val="22"/>
        </w:rPr>
        <w:t xml:space="preserve">the </w:t>
      </w:r>
      <w:r w:rsidR="00AF4501">
        <w:rPr>
          <w:color w:val="000000"/>
          <w:szCs w:val="22"/>
        </w:rPr>
        <w:t>Division’s</w:t>
      </w:r>
      <w:r w:rsidR="004E1AE0">
        <w:rPr>
          <w:color w:val="000000"/>
          <w:szCs w:val="22"/>
        </w:rPr>
        <w:t xml:space="preserve"> </w:t>
      </w:r>
      <w:r w:rsidR="00B40D30">
        <w:rPr>
          <w:color w:val="000000"/>
          <w:szCs w:val="22"/>
        </w:rPr>
        <w:t>d</w:t>
      </w:r>
      <w:r w:rsidR="00A01D02">
        <w:rPr>
          <w:color w:val="000000"/>
          <w:szCs w:val="22"/>
        </w:rPr>
        <w:t>ecision to dismiss</w:t>
      </w:r>
      <w:r w:rsidR="006912C5">
        <w:rPr>
          <w:color w:val="000000"/>
          <w:szCs w:val="22"/>
        </w:rPr>
        <w:t xml:space="preserve">, as a late-filed petition </w:t>
      </w:r>
      <w:r w:rsidR="00715BB0">
        <w:rPr>
          <w:color w:val="000000"/>
          <w:szCs w:val="22"/>
        </w:rPr>
        <w:t xml:space="preserve">for </w:t>
      </w:r>
      <w:r w:rsidR="006912C5">
        <w:rPr>
          <w:color w:val="000000"/>
          <w:szCs w:val="22"/>
        </w:rPr>
        <w:t>reconsideration,</w:t>
      </w:r>
      <w:r w:rsidR="003F0815">
        <w:rPr>
          <w:color w:val="000000"/>
          <w:szCs w:val="22"/>
        </w:rPr>
        <w:t xml:space="preserve"> </w:t>
      </w:r>
      <w:r w:rsidR="0026237F">
        <w:rPr>
          <w:color w:val="000000"/>
          <w:szCs w:val="22"/>
        </w:rPr>
        <w:t>TPR’s</w:t>
      </w:r>
      <w:r w:rsidR="00032E8E">
        <w:rPr>
          <w:color w:val="000000"/>
          <w:szCs w:val="22"/>
        </w:rPr>
        <w:t xml:space="preserve"> request </w:t>
      </w:r>
      <w:r w:rsidR="00DD7E38">
        <w:rPr>
          <w:color w:val="000000"/>
          <w:szCs w:val="22"/>
        </w:rPr>
        <w:t>to res</w:t>
      </w:r>
      <w:r w:rsidR="00CA1D0A">
        <w:rPr>
          <w:color w:val="000000"/>
          <w:szCs w:val="22"/>
        </w:rPr>
        <w:t xml:space="preserve">cind </w:t>
      </w:r>
      <w:r w:rsidR="000713BA">
        <w:rPr>
          <w:color w:val="000000"/>
          <w:szCs w:val="22"/>
        </w:rPr>
        <w:t>call sign</w:t>
      </w:r>
      <w:r w:rsidR="00AF4501">
        <w:rPr>
          <w:color w:val="000000"/>
          <w:szCs w:val="22"/>
        </w:rPr>
        <w:t xml:space="preserve"> </w:t>
      </w:r>
      <w:r w:rsidR="00CA1D0A">
        <w:rPr>
          <w:color w:val="000000"/>
          <w:szCs w:val="22"/>
        </w:rPr>
        <w:t>KCTI-FM from</w:t>
      </w:r>
      <w:r w:rsidR="00935726">
        <w:rPr>
          <w:color w:val="000000"/>
          <w:szCs w:val="22"/>
        </w:rPr>
        <w:t xml:space="preserve"> the </w:t>
      </w:r>
      <w:r w:rsidR="00DD7E38">
        <w:rPr>
          <w:color w:val="000000"/>
          <w:szCs w:val="22"/>
        </w:rPr>
        <w:t>ab</w:t>
      </w:r>
      <w:r w:rsidR="00327D70">
        <w:rPr>
          <w:color w:val="000000"/>
          <w:szCs w:val="22"/>
        </w:rPr>
        <w:t>ove-captioned radio station (</w:t>
      </w:r>
      <w:r w:rsidR="00DD7E38">
        <w:rPr>
          <w:color w:val="000000"/>
          <w:szCs w:val="22"/>
        </w:rPr>
        <w:t>Station)</w:t>
      </w:r>
      <w:r w:rsidR="00935726">
        <w:rPr>
          <w:color w:val="000000"/>
          <w:szCs w:val="22"/>
        </w:rPr>
        <w:t>, licensed to Sun Radio Foundation</w:t>
      </w:r>
      <w:r w:rsidR="00E20EF2">
        <w:rPr>
          <w:color w:val="000000"/>
          <w:szCs w:val="22"/>
        </w:rPr>
        <w:t xml:space="preserve"> (Sun Radio)</w:t>
      </w:r>
      <w:r w:rsidR="0080572B">
        <w:rPr>
          <w:color w:val="000000"/>
          <w:szCs w:val="22"/>
        </w:rPr>
        <w:t xml:space="preserve">, and </w:t>
      </w:r>
      <w:r w:rsidR="00D23CB7">
        <w:rPr>
          <w:color w:val="000000"/>
          <w:szCs w:val="22"/>
        </w:rPr>
        <w:t>TPR’s</w:t>
      </w:r>
      <w:r w:rsidR="0080572B">
        <w:rPr>
          <w:color w:val="000000"/>
          <w:szCs w:val="22"/>
        </w:rPr>
        <w:t xml:space="preserve"> subsequent</w:t>
      </w:r>
      <w:r w:rsidR="003F4BEC">
        <w:rPr>
          <w:color w:val="000000"/>
          <w:szCs w:val="22"/>
        </w:rPr>
        <w:t xml:space="preserve"> arguments contained in the record</w:t>
      </w:r>
      <w:r w:rsidR="0080572B">
        <w:rPr>
          <w:color w:val="000000"/>
          <w:szCs w:val="22"/>
        </w:rPr>
        <w:t xml:space="preserve"> (collectively, Rescission Request)</w:t>
      </w:r>
      <w:r w:rsidR="00DD7E38">
        <w:rPr>
          <w:color w:val="000000"/>
          <w:szCs w:val="22"/>
        </w:rPr>
        <w:t>.</w:t>
      </w:r>
      <w:r w:rsidR="00A76D6C">
        <w:rPr>
          <w:color w:val="000000"/>
          <w:szCs w:val="22"/>
        </w:rPr>
        <w:t xml:space="preserve"> </w:t>
      </w:r>
      <w:r w:rsidR="00821EA5">
        <w:rPr>
          <w:color w:val="000000"/>
          <w:szCs w:val="22"/>
        </w:rPr>
        <w:t xml:space="preserve"> </w:t>
      </w:r>
      <w:r w:rsidR="00A76D6C">
        <w:rPr>
          <w:color w:val="000000"/>
          <w:szCs w:val="22"/>
        </w:rPr>
        <w:t xml:space="preserve">Sun Radio filed an Opposition to the </w:t>
      </w:r>
      <w:r w:rsidR="008E5873">
        <w:rPr>
          <w:color w:val="000000"/>
          <w:szCs w:val="22"/>
        </w:rPr>
        <w:t>Petition</w:t>
      </w:r>
      <w:r w:rsidR="00DB46D1">
        <w:rPr>
          <w:color w:val="000000"/>
          <w:szCs w:val="22"/>
        </w:rPr>
        <w:t xml:space="preserve"> (Op</w:t>
      </w:r>
      <w:r w:rsidR="00876C28">
        <w:rPr>
          <w:color w:val="000000"/>
          <w:szCs w:val="22"/>
        </w:rPr>
        <w:t>p</w:t>
      </w:r>
      <w:r w:rsidR="00DB46D1">
        <w:rPr>
          <w:color w:val="000000"/>
          <w:szCs w:val="22"/>
        </w:rPr>
        <w:t>osition</w:t>
      </w:r>
      <w:r w:rsidR="00240985">
        <w:rPr>
          <w:color w:val="000000"/>
          <w:szCs w:val="22"/>
        </w:rPr>
        <w:t>)</w:t>
      </w:r>
      <w:r w:rsidR="00A76D6C">
        <w:rPr>
          <w:color w:val="000000"/>
          <w:szCs w:val="22"/>
        </w:rPr>
        <w:t xml:space="preserve"> on May 24, 2017.</w:t>
      </w:r>
      <w:r w:rsidR="00E650DC">
        <w:rPr>
          <w:rStyle w:val="FootnoteReference"/>
          <w:color w:val="000000"/>
          <w:szCs w:val="22"/>
        </w:rPr>
        <w:footnoteReference w:id="3"/>
      </w:r>
      <w:r w:rsidR="00525499">
        <w:rPr>
          <w:color w:val="000000"/>
          <w:szCs w:val="22"/>
        </w:rPr>
        <w:t xml:space="preserve">  </w:t>
      </w:r>
      <w:r w:rsidR="00A206E0">
        <w:rPr>
          <w:color w:val="000000"/>
          <w:szCs w:val="22"/>
        </w:rPr>
        <w:t>For the following reasons</w:t>
      </w:r>
      <w:r w:rsidR="007F310E">
        <w:rPr>
          <w:color w:val="000000"/>
          <w:szCs w:val="22"/>
        </w:rPr>
        <w:t xml:space="preserve">, </w:t>
      </w:r>
      <w:r w:rsidR="00D14157">
        <w:rPr>
          <w:color w:val="000000"/>
          <w:szCs w:val="22"/>
        </w:rPr>
        <w:t>we</w:t>
      </w:r>
      <w:r w:rsidR="007F310E">
        <w:rPr>
          <w:color w:val="000000"/>
          <w:szCs w:val="22"/>
        </w:rPr>
        <w:t xml:space="preserve"> d</w:t>
      </w:r>
      <w:r w:rsidR="00B17912">
        <w:rPr>
          <w:color w:val="000000"/>
          <w:szCs w:val="22"/>
        </w:rPr>
        <w:t>ismiss</w:t>
      </w:r>
      <w:r w:rsidR="003F0815">
        <w:rPr>
          <w:color w:val="000000"/>
          <w:szCs w:val="22"/>
        </w:rPr>
        <w:t xml:space="preserve"> </w:t>
      </w:r>
      <w:r w:rsidR="00DD7E38">
        <w:rPr>
          <w:color w:val="000000"/>
          <w:szCs w:val="22"/>
        </w:rPr>
        <w:t>TPR’s Petition</w:t>
      </w:r>
      <w:r w:rsidR="002056E6">
        <w:rPr>
          <w:color w:val="000000"/>
          <w:szCs w:val="22"/>
        </w:rPr>
        <w:t xml:space="preserve"> </w:t>
      </w:r>
      <w:r w:rsidR="006531C0">
        <w:rPr>
          <w:color w:val="000000"/>
          <w:szCs w:val="22"/>
        </w:rPr>
        <w:t xml:space="preserve">on procedural grounds, </w:t>
      </w:r>
      <w:r w:rsidR="002056E6">
        <w:rPr>
          <w:color w:val="000000"/>
          <w:szCs w:val="22"/>
        </w:rPr>
        <w:t>and</w:t>
      </w:r>
      <w:r w:rsidR="00D14157">
        <w:rPr>
          <w:color w:val="000000"/>
          <w:szCs w:val="22"/>
        </w:rPr>
        <w:t>,</w:t>
      </w:r>
      <w:r w:rsidR="006A5725">
        <w:rPr>
          <w:color w:val="000000"/>
          <w:szCs w:val="22"/>
        </w:rPr>
        <w:t xml:space="preserve"> </w:t>
      </w:r>
      <w:r w:rsidR="006531C0">
        <w:rPr>
          <w:color w:val="000000"/>
          <w:szCs w:val="22"/>
        </w:rPr>
        <w:t xml:space="preserve">in any event, </w:t>
      </w:r>
      <w:r w:rsidR="006A5725">
        <w:rPr>
          <w:color w:val="000000"/>
          <w:szCs w:val="22"/>
        </w:rPr>
        <w:t>den</w:t>
      </w:r>
      <w:r w:rsidR="00D14157">
        <w:rPr>
          <w:color w:val="000000"/>
          <w:szCs w:val="22"/>
        </w:rPr>
        <w:t>y</w:t>
      </w:r>
      <w:r w:rsidR="002056E6">
        <w:rPr>
          <w:color w:val="000000"/>
          <w:szCs w:val="22"/>
        </w:rPr>
        <w:t xml:space="preserve"> the substantive arguments </w:t>
      </w:r>
      <w:r w:rsidR="00D23CB7">
        <w:rPr>
          <w:color w:val="000000"/>
          <w:szCs w:val="22"/>
        </w:rPr>
        <w:t xml:space="preserve">contained </w:t>
      </w:r>
      <w:r w:rsidR="002056E6">
        <w:rPr>
          <w:color w:val="000000"/>
          <w:szCs w:val="22"/>
        </w:rPr>
        <w:t>therein</w:t>
      </w:r>
      <w:r w:rsidR="00DD7E38">
        <w:rPr>
          <w:color w:val="000000"/>
          <w:szCs w:val="22"/>
        </w:rPr>
        <w:t>.</w:t>
      </w:r>
    </w:p>
    <w:p w:rsidR="00D04C86" w:rsidRPr="00152A95" w:rsidRDefault="00D04C86" w:rsidP="0097534D">
      <w:pPr>
        <w:pStyle w:val="ParaNum"/>
        <w:numPr>
          <w:ilvl w:val="0"/>
          <w:numId w:val="0"/>
        </w:numPr>
        <w:spacing w:after="120"/>
        <w:jc w:val="left"/>
        <w:rPr>
          <w:b/>
          <w:szCs w:val="22"/>
        </w:rPr>
      </w:pPr>
      <w:r>
        <w:rPr>
          <w:b/>
          <w:szCs w:val="22"/>
        </w:rPr>
        <w:t>II.     BACKGROUND</w:t>
      </w:r>
    </w:p>
    <w:p w:rsidR="00696A58" w:rsidRPr="00696A58" w:rsidRDefault="009D56AE" w:rsidP="0097534D">
      <w:pPr>
        <w:pStyle w:val="ParaNum"/>
        <w:numPr>
          <w:ilvl w:val="0"/>
          <w:numId w:val="23"/>
        </w:numPr>
        <w:spacing w:after="120"/>
        <w:ind w:left="0" w:firstLine="720"/>
        <w:jc w:val="left"/>
        <w:rPr>
          <w:b/>
          <w:szCs w:val="22"/>
        </w:rPr>
      </w:pPr>
      <w:r>
        <w:rPr>
          <w:szCs w:val="22"/>
        </w:rPr>
        <w:t>On May 10, 2017,</w:t>
      </w:r>
      <w:r w:rsidR="009B5E12">
        <w:rPr>
          <w:szCs w:val="22"/>
        </w:rPr>
        <w:t xml:space="preserve"> TPR filed the above-referenced Petition </w:t>
      </w:r>
      <w:r w:rsidR="004D29A1">
        <w:rPr>
          <w:szCs w:val="22"/>
        </w:rPr>
        <w:t>raising</w:t>
      </w:r>
      <w:r w:rsidR="00FD784F">
        <w:rPr>
          <w:szCs w:val="22"/>
        </w:rPr>
        <w:t xml:space="preserve"> </w:t>
      </w:r>
      <w:r w:rsidR="0097534D">
        <w:rPr>
          <w:szCs w:val="22"/>
        </w:rPr>
        <w:t xml:space="preserve">identical </w:t>
      </w:r>
      <w:r w:rsidR="005C5650">
        <w:rPr>
          <w:szCs w:val="22"/>
        </w:rPr>
        <w:t xml:space="preserve">arguments contained </w:t>
      </w:r>
      <w:r w:rsidR="0080572B">
        <w:rPr>
          <w:szCs w:val="22"/>
        </w:rPr>
        <w:t>in i</w:t>
      </w:r>
      <w:r w:rsidR="0026237F">
        <w:rPr>
          <w:szCs w:val="22"/>
        </w:rPr>
        <w:t>ts Resciss</w:t>
      </w:r>
      <w:r w:rsidR="004D29A1">
        <w:rPr>
          <w:szCs w:val="22"/>
        </w:rPr>
        <w:t>ion Request</w:t>
      </w:r>
      <w:r w:rsidR="008D0D2C">
        <w:rPr>
          <w:szCs w:val="22"/>
        </w:rPr>
        <w:t>.</w:t>
      </w:r>
      <w:r w:rsidR="00AF4501">
        <w:rPr>
          <w:rStyle w:val="FootnoteReference"/>
          <w:szCs w:val="22"/>
        </w:rPr>
        <w:footnoteReference w:id="4"/>
      </w:r>
      <w:r w:rsidR="008D0D2C">
        <w:rPr>
          <w:szCs w:val="22"/>
        </w:rPr>
        <w:t xml:space="preserve"> </w:t>
      </w:r>
      <w:r w:rsidR="00A206E0">
        <w:rPr>
          <w:szCs w:val="22"/>
        </w:rPr>
        <w:t xml:space="preserve"> </w:t>
      </w:r>
      <w:r w:rsidR="002B57DB">
        <w:rPr>
          <w:szCs w:val="22"/>
        </w:rPr>
        <w:t>First,</w:t>
      </w:r>
      <w:r w:rsidR="008E5873">
        <w:rPr>
          <w:szCs w:val="22"/>
        </w:rPr>
        <w:t xml:space="preserve"> TPR </w:t>
      </w:r>
      <w:r w:rsidR="00A64233">
        <w:rPr>
          <w:szCs w:val="22"/>
        </w:rPr>
        <w:t>argues</w:t>
      </w:r>
      <w:r w:rsidR="008E5873">
        <w:rPr>
          <w:szCs w:val="22"/>
        </w:rPr>
        <w:t xml:space="preserve"> that </w:t>
      </w:r>
      <w:r w:rsidR="005C5650">
        <w:rPr>
          <w:szCs w:val="22"/>
        </w:rPr>
        <w:t xml:space="preserve">the </w:t>
      </w:r>
      <w:r w:rsidR="002364E3">
        <w:rPr>
          <w:szCs w:val="22"/>
        </w:rPr>
        <w:t xml:space="preserve">Video </w:t>
      </w:r>
      <w:r w:rsidR="005C5650">
        <w:rPr>
          <w:szCs w:val="22"/>
        </w:rPr>
        <w:t>Division</w:t>
      </w:r>
      <w:r w:rsidR="002364E3">
        <w:rPr>
          <w:szCs w:val="22"/>
        </w:rPr>
        <w:t xml:space="preserve"> (Division)</w:t>
      </w:r>
      <w:r w:rsidR="008E5873" w:rsidRPr="008E5873">
        <w:rPr>
          <w:szCs w:val="22"/>
        </w:rPr>
        <w:t xml:space="preserve"> should not have </w:t>
      </w:r>
      <w:r w:rsidR="00B46BC2">
        <w:rPr>
          <w:szCs w:val="22"/>
        </w:rPr>
        <w:t xml:space="preserve">granted </w:t>
      </w:r>
      <w:r w:rsidR="006C2F5E">
        <w:rPr>
          <w:szCs w:val="22"/>
        </w:rPr>
        <w:t>call si</w:t>
      </w:r>
      <w:r w:rsidR="00B46BC2">
        <w:rPr>
          <w:szCs w:val="22"/>
        </w:rPr>
        <w:t>gn KCTI-FM to the Station</w:t>
      </w:r>
      <w:r w:rsidR="008E5873" w:rsidRPr="008E5873">
        <w:rPr>
          <w:szCs w:val="22"/>
        </w:rPr>
        <w:t xml:space="preserve"> </w:t>
      </w:r>
      <w:r w:rsidR="007E6CAE">
        <w:rPr>
          <w:szCs w:val="22"/>
        </w:rPr>
        <w:t>because neither TPR nor Gonzales</w:t>
      </w:r>
      <w:r w:rsidR="008E5873" w:rsidRPr="008E5873">
        <w:rPr>
          <w:szCs w:val="22"/>
        </w:rPr>
        <w:t xml:space="preserve"> Communications, LLP</w:t>
      </w:r>
      <w:r w:rsidR="00590AFC">
        <w:rPr>
          <w:szCs w:val="22"/>
        </w:rPr>
        <w:t xml:space="preserve"> (Gonzales)</w:t>
      </w:r>
      <w:r w:rsidR="008E5873" w:rsidRPr="008E5873">
        <w:rPr>
          <w:szCs w:val="22"/>
        </w:rPr>
        <w:t>, the former licensee of KCTI, provided “authorized consent” to use call sign KCTI-FM to Sun Radio or Maranatha Church of Laredo Incorporated (Maranatha), the previous licensee of the Station.</w:t>
      </w:r>
      <w:r w:rsidR="008E5873">
        <w:rPr>
          <w:rStyle w:val="FootnoteReference"/>
          <w:szCs w:val="22"/>
        </w:rPr>
        <w:footnoteReference w:id="5"/>
      </w:r>
      <w:r w:rsidR="008E5873">
        <w:rPr>
          <w:szCs w:val="22"/>
        </w:rPr>
        <w:t xml:space="preserve">  </w:t>
      </w:r>
      <w:r w:rsidR="00366E08">
        <w:rPr>
          <w:szCs w:val="22"/>
        </w:rPr>
        <w:t xml:space="preserve">TPR </w:t>
      </w:r>
      <w:r w:rsidR="00A64233">
        <w:rPr>
          <w:szCs w:val="22"/>
        </w:rPr>
        <w:t>alleges</w:t>
      </w:r>
      <w:r w:rsidR="00366E08">
        <w:rPr>
          <w:szCs w:val="22"/>
        </w:rPr>
        <w:t xml:space="preserve"> that</w:t>
      </w:r>
      <w:r w:rsidR="00C14E92">
        <w:rPr>
          <w:szCs w:val="22"/>
        </w:rPr>
        <w:t xml:space="preserve"> Steven Oakes, the General Man</w:t>
      </w:r>
      <w:r w:rsidR="00A86F77">
        <w:rPr>
          <w:szCs w:val="22"/>
        </w:rPr>
        <w:t>ager of KCTI when it was controlled by</w:t>
      </w:r>
      <w:r w:rsidR="00C14E92">
        <w:rPr>
          <w:szCs w:val="22"/>
        </w:rPr>
        <w:t xml:space="preserve"> Gonzales, did not have the autho</w:t>
      </w:r>
      <w:r w:rsidR="00B12316">
        <w:rPr>
          <w:szCs w:val="22"/>
        </w:rPr>
        <w:t>rity to grant</w:t>
      </w:r>
      <w:r w:rsidR="00D23CB7">
        <w:rPr>
          <w:szCs w:val="22"/>
        </w:rPr>
        <w:t xml:space="preserve"> Maranatha consent t</w:t>
      </w:r>
      <w:r w:rsidR="00C14E92">
        <w:rPr>
          <w:szCs w:val="22"/>
        </w:rPr>
        <w:t>o use call sign KCTI-FM.</w:t>
      </w:r>
      <w:r w:rsidR="00C14E92">
        <w:rPr>
          <w:rStyle w:val="FootnoteReference"/>
          <w:szCs w:val="22"/>
        </w:rPr>
        <w:footnoteReference w:id="6"/>
      </w:r>
      <w:r w:rsidR="00C14E92">
        <w:rPr>
          <w:szCs w:val="22"/>
        </w:rPr>
        <w:t xml:space="preserve">  </w:t>
      </w:r>
      <w:r w:rsidR="008E5873">
        <w:rPr>
          <w:szCs w:val="22"/>
        </w:rPr>
        <w:t xml:space="preserve">Second, TPR argues that </w:t>
      </w:r>
      <w:r w:rsidR="008E245B">
        <w:rPr>
          <w:szCs w:val="22"/>
        </w:rPr>
        <w:t>call sign assignment</w:t>
      </w:r>
      <w:r w:rsidR="003F4BEC">
        <w:rPr>
          <w:szCs w:val="22"/>
        </w:rPr>
        <w:t>s</w:t>
      </w:r>
      <w:r w:rsidR="008E245B">
        <w:rPr>
          <w:szCs w:val="22"/>
        </w:rPr>
        <w:t xml:space="preserve"> and changes are not subject to petitions for reconsideration because they are not “Commission actions</w:t>
      </w:r>
      <w:r w:rsidR="00D93055">
        <w:rPr>
          <w:szCs w:val="22"/>
        </w:rPr>
        <w:t>.</w:t>
      </w:r>
      <w:r w:rsidR="008E245B">
        <w:rPr>
          <w:szCs w:val="22"/>
        </w:rPr>
        <w:t>”</w:t>
      </w:r>
      <w:r w:rsidR="00A7757F">
        <w:rPr>
          <w:szCs w:val="22"/>
        </w:rPr>
        <w:t xml:space="preserve"> </w:t>
      </w:r>
      <w:r w:rsidR="008E245B">
        <w:rPr>
          <w:szCs w:val="22"/>
        </w:rPr>
        <w:t xml:space="preserve"> </w:t>
      </w:r>
      <w:r w:rsidR="008911BF">
        <w:rPr>
          <w:szCs w:val="22"/>
        </w:rPr>
        <w:t xml:space="preserve">According to </w:t>
      </w:r>
      <w:r w:rsidR="003F4BEC">
        <w:rPr>
          <w:szCs w:val="22"/>
        </w:rPr>
        <w:t>TPR</w:t>
      </w:r>
      <w:r w:rsidR="00366E08">
        <w:rPr>
          <w:szCs w:val="22"/>
        </w:rPr>
        <w:t>,</w:t>
      </w:r>
      <w:r w:rsidR="008E245B">
        <w:rPr>
          <w:szCs w:val="22"/>
        </w:rPr>
        <w:t xml:space="preserve"> the Commission’s call sign clearing house is a “ministerial processing system that does not involve any ‘action’ by the Commission.”</w:t>
      </w:r>
      <w:r w:rsidR="003F4BEC">
        <w:rPr>
          <w:rStyle w:val="FootnoteReference"/>
          <w:szCs w:val="22"/>
        </w:rPr>
        <w:footnoteReference w:id="7"/>
      </w:r>
      <w:r w:rsidR="008E245B">
        <w:rPr>
          <w:szCs w:val="22"/>
        </w:rPr>
        <w:t xml:space="preserve"> </w:t>
      </w:r>
      <w:r w:rsidR="00AB0B6A">
        <w:rPr>
          <w:szCs w:val="22"/>
        </w:rPr>
        <w:t xml:space="preserve"> </w:t>
      </w:r>
      <w:r w:rsidR="008E245B">
        <w:rPr>
          <w:szCs w:val="22"/>
        </w:rPr>
        <w:t xml:space="preserve">TPR </w:t>
      </w:r>
      <w:r w:rsidR="0031786E">
        <w:rPr>
          <w:szCs w:val="22"/>
        </w:rPr>
        <w:t xml:space="preserve">further </w:t>
      </w:r>
      <w:r w:rsidR="003F4BEC">
        <w:rPr>
          <w:szCs w:val="22"/>
        </w:rPr>
        <w:t>claims</w:t>
      </w:r>
      <w:r w:rsidR="008E245B">
        <w:rPr>
          <w:szCs w:val="22"/>
        </w:rPr>
        <w:t xml:space="preserve"> that</w:t>
      </w:r>
      <w:r w:rsidR="00AB0B6A" w:rsidRPr="008E5873">
        <w:rPr>
          <w:szCs w:val="22"/>
        </w:rPr>
        <w:t xml:space="preserve"> the </w:t>
      </w:r>
      <w:r w:rsidR="00AB0B6A" w:rsidRPr="008E5873">
        <w:rPr>
          <w:szCs w:val="22"/>
        </w:rPr>
        <w:lastRenderedPageBreak/>
        <w:t>Commission’s Report and Order implementing the digitization of the Commission’s call sign clearinghouse</w:t>
      </w:r>
      <w:r w:rsidR="008E245B">
        <w:rPr>
          <w:szCs w:val="22"/>
        </w:rPr>
        <w:t xml:space="preserve"> </w:t>
      </w:r>
      <w:r w:rsidR="000C63B2">
        <w:rPr>
          <w:szCs w:val="22"/>
        </w:rPr>
        <w:t>does not provide for</w:t>
      </w:r>
      <w:r w:rsidR="003F4BEC">
        <w:rPr>
          <w:szCs w:val="22"/>
        </w:rPr>
        <w:t xml:space="preserve"> the</w:t>
      </w:r>
      <w:r w:rsidR="000C63B2">
        <w:rPr>
          <w:szCs w:val="22"/>
        </w:rPr>
        <w:t xml:space="preserve"> use of petitions for reconsideration when challenging an unauthorized call sign assignment or change, and, instead, </w:t>
      </w:r>
      <w:r w:rsidR="008E245B">
        <w:rPr>
          <w:szCs w:val="22"/>
        </w:rPr>
        <w:t>“</w:t>
      </w:r>
      <w:r w:rsidR="00AB0B6A" w:rsidRPr="008E5873">
        <w:rPr>
          <w:szCs w:val="22"/>
        </w:rPr>
        <w:t>explicitly directs licensees to ‘notify’ the Commission</w:t>
      </w:r>
      <w:r w:rsidR="008E245B">
        <w:rPr>
          <w:szCs w:val="22"/>
        </w:rPr>
        <w:t>” when primary call sign holders become</w:t>
      </w:r>
      <w:r w:rsidR="00AB0B6A" w:rsidRPr="008E5873">
        <w:rPr>
          <w:szCs w:val="22"/>
        </w:rPr>
        <w:t xml:space="preserve"> </w:t>
      </w:r>
      <w:r w:rsidR="008E245B">
        <w:rPr>
          <w:szCs w:val="22"/>
        </w:rPr>
        <w:t>aware of</w:t>
      </w:r>
      <w:r w:rsidR="000C63B2">
        <w:rPr>
          <w:szCs w:val="22"/>
        </w:rPr>
        <w:t xml:space="preserve"> unauthorized </w:t>
      </w:r>
      <w:r w:rsidR="008E245B">
        <w:rPr>
          <w:szCs w:val="22"/>
        </w:rPr>
        <w:t>assignment</w:t>
      </w:r>
      <w:r w:rsidR="000C63B2">
        <w:rPr>
          <w:szCs w:val="22"/>
        </w:rPr>
        <w:t>s</w:t>
      </w:r>
      <w:r w:rsidR="008E245B">
        <w:rPr>
          <w:szCs w:val="22"/>
        </w:rPr>
        <w:t xml:space="preserve"> or change</w:t>
      </w:r>
      <w:r w:rsidR="000C63B2">
        <w:rPr>
          <w:szCs w:val="22"/>
        </w:rPr>
        <w:t>s</w:t>
      </w:r>
      <w:r w:rsidR="008E245B">
        <w:rPr>
          <w:szCs w:val="22"/>
        </w:rPr>
        <w:t>.</w:t>
      </w:r>
      <w:r w:rsidR="00AB0B6A">
        <w:rPr>
          <w:rStyle w:val="FootnoteReference"/>
          <w:szCs w:val="22"/>
        </w:rPr>
        <w:footnoteReference w:id="8"/>
      </w:r>
      <w:r w:rsidR="00AB0B6A">
        <w:rPr>
          <w:szCs w:val="22"/>
        </w:rPr>
        <w:t xml:space="preserve"> </w:t>
      </w:r>
      <w:r w:rsidR="007206E0">
        <w:rPr>
          <w:szCs w:val="22"/>
        </w:rPr>
        <w:t xml:space="preserve"> Moreover</w:t>
      </w:r>
      <w:r w:rsidR="00FD784F">
        <w:rPr>
          <w:szCs w:val="22"/>
        </w:rPr>
        <w:t>,</w:t>
      </w:r>
      <w:r w:rsidR="007206E0">
        <w:rPr>
          <w:szCs w:val="22"/>
        </w:rPr>
        <w:t xml:space="preserve"> TPR asserts that</w:t>
      </w:r>
      <w:r w:rsidR="00AB0B6A" w:rsidRPr="008E5873">
        <w:rPr>
          <w:szCs w:val="22"/>
        </w:rPr>
        <w:t xml:space="preserve"> Section 73.3550(g) of the Commission’s rules (Rules) makes clear that call sign assignments and changes are not Commission actions</w:t>
      </w:r>
      <w:r w:rsidR="00122262">
        <w:rPr>
          <w:szCs w:val="22"/>
        </w:rPr>
        <w:t>, and that its Rescission Request was nothing more than a request to correct a “ministerial error</w:t>
      </w:r>
      <w:r w:rsidR="00AB0B6A" w:rsidRPr="008E5873">
        <w:rPr>
          <w:szCs w:val="22"/>
        </w:rPr>
        <w:t>.</w:t>
      </w:r>
      <w:r w:rsidR="00122262">
        <w:rPr>
          <w:szCs w:val="22"/>
        </w:rPr>
        <w:t>”</w:t>
      </w:r>
      <w:r w:rsidR="00AB0B6A">
        <w:rPr>
          <w:rStyle w:val="FootnoteReference"/>
          <w:szCs w:val="22"/>
        </w:rPr>
        <w:footnoteReference w:id="9"/>
      </w:r>
      <w:r w:rsidR="00A11695">
        <w:rPr>
          <w:szCs w:val="22"/>
        </w:rPr>
        <w:t xml:space="preserve"> </w:t>
      </w:r>
      <w:r w:rsidR="00122262">
        <w:rPr>
          <w:szCs w:val="22"/>
        </w:rPr>
        <w:t xml:space="preserve"> </w:t>
      </w:r>
    </w:p>
    <w:p w:rsidR="00810608" w:rsidRPr="00810C45" w:rsidRDefault="00240985" w:rsidP="00E4616A">
      <w:pPr>
        <w:pStyle w:val="ParaNum"/>
        <w:numPr>
          <w:ilvl w:val="0"/>
          <w:numId w:val="23"/>
        </w:numPr>
        <w:spacing w:after="120"/>
        <w:ind w:left="0" w:firstLine="720"/>
        <w:jc w:val="left"/>
        <w:rPr>
          <w:b/>
          <w:szCs w:val="22"/>
        </w:rPr>
      </w:pPr>
      <w:r>
        <w:rPr>
          <w:szCs w:val="22"/>
        </w:rPr>
        <w:t>In its Opposition</w:t>
      </w:r>
      <w:r w:rsidR="00DB46D1">
        <w:rPr>
          <w:szCs w:val="22"/>
        </w:rPr>
        <w:t xml:space="preserve">, </w:t>
      </w:r>
      <w:r w:rsidR="004B3DF1" w:rsidRPr="008E5873">
        <w:rPr>
          <w:szCs w:val="22"/>
        </w:rPr>
        <w:t>Sun</w:t>
      </w:r>
      <w:r w:rsidR="00A64233">
        <w:rPr>
          <w:szCs w:val="22"/>
        </w:rPr>
        <w:t xml:space="preserve"> Radio refutes TPR’s allegation</w:t>
      </w:r>
      <w:r w:rsidR="0063493E">
        <w:rPr>
          <w:szCs w:val="22"/>
        </w:rPr>
        <w:t xml:space="preserve"> that Maranatha </w:t>
      </w:r>
      <w:r w:rsidR="00A64233">
        <w:rPr>
          <w:szCs w:val="22"/>
        </w:rPr>
        <w:t>did not have</w:t>
      </w:r>
      <w:r w:rsidR="00D23CB7">
        <w:rPr>
          <w:szCs w:val="22"/>
        </w:rPr>
        <w:t xml:space="preserve"> </w:t>
      </w:r>
      <w:r w:rsidR="0063493E">
        <w:rPr>
          <w:szCs w:val="22"/>
        </w:rPr>
        <w:t xml:space="preserve">consent to use </w:t>
      </w:r>
      <w:r w:rsidR="00623497">
        <w:rPr>
          <w:szCs w:val="22"/>
        </w:rPr>
        <w:t>call sign KCTI-FM</w:t>
      </w:r>
      <w:r w:rsidR="0063493E">
        <w:rPr>
          <w:szCs w:val="22"/>
        </w:rPr>
        <w:t>.</w:t>
      </w:r>
      <w:r w:rsidR="00333578">
        <w:rPr>
          <w:rStyle w:val="FootnoteReference"/>
          <w:szCs w:val="22"/>
        </w:rPr>
        <w:footnoteReference w:id="10"/>
      </w:r>
      <w:r w:rsidR="00A64233">
        <w:rPr>
          <w:szCs w:val="22"/>
        </w:rPr>
        <w:t xml:space="preserve">  </w:t>
      </w:r>
      <w:r w:rsidR="00C1543D">
        <w:rPr>
          <w:szCs w:val="22"/>
        </w:rPr>
        <w:t xml:space="preserve">According to </w:t>
      </w:r>
      <w:r w:rsidR="00A64233">
        <w:rPr>
          <w:szCs w:val="22"/>
        </w:rPr>
        <w:t>Sun Radio</w:t>
      </w:r>
      <w:r w:rsidR="00C1543D">
        <w:rPr>
          <w:szCs w:val="22"/>
        </w:rPr>
        <w:t xml:space="preserve">, </w:t>
      </w:r>
      <w:r w:rsidR="000D336F">
        <w:rPr>
          <w:szCs w:val="22"/>
        </w:rPr>
        <w:t>Maranatha, at the request of Sun Radio, contacted</w:t>
      </w:r>
      <w:r w:rsidR="00122262">
        <w:rPr>
          <w:szCs w:val="22"/>
        </w:rPr>
        <w:t xml:space="preserve"> </w:t>
      </w:r>
      <w:r w:rsidR="00DB46D1">
        <w:rPr>
          <w:szCs w:val="22"/>
        </w:rPr>
        <w:t>Steven Oakes</w:t>
      </w:r>
      <w:r w:rsidR="00A64233">
        <w:rPr>
          <w:szCs w:val="22"/>
        </w:rPr>
        <w:t xml:space="preserve"> </w:t>
      </w:r>
      <w:r w:rsidR="000D336F">
        <w:rPr>
          <w:szCs w:val="22"/>
        </w:rPr>
        <w:t xml:space="preserve">to obtain consent to use </w:t>
      </w:r>
      <w:r w:rsidR="00231627">
        <w:rPr>
          <w:szCs w:val="22"/>
        </w:rPr>
        <w:t>call sign KCTI-FM</w:t>
      </w:r>
      <w:r w:rsidR="000D336F">
        <w:rPr>
          <w:szCs w:val="22"/>
        </w:rPr>
        <w:t>, which Steven Oakes granted</w:t>
      </w:r>
      <w:r w:rsidR="00231627">
        <w:rPr>
          <w:szCs w:val="22"/>
        </w:rPr>
        <w:t>.</w:t>
      </w:r>
      <w:r w:rsidR="00333578">
        <w:rPr>
          <w:rStyle w:val="FootnoteReference"/>
          <w:szCs w:val="22"/>
        </w:rPr>
        <w:footnoteReference w:id="11"/>
      </w:r>
      <w:r w:rsidR="00122262">
        <w:rPr>
          <w:szCs w:val="22"/>
        </w:rPr>
        <w:t xml:space="preserve">  Second, Sun Radio refutes TPR’s a</w:t>
      </w:r>
      <w:r w:rsidR="00A64233">
        <w:rPr>
          <w:szCs w:val="22"/>
        </w:rPr>
        <w:t>rgument</w:t>
      </w:r>
      <w:r w:rsidR="00122262">
        <w:rPr>
          <w:szCs w:val="22"/>
        </w:rPr>
        <w:t xml:space="preserve"> that call sign assignments and changes are not “Commission actions.”</w:t>
      </w:r>
      <w:r w:rsidR="00231627">
        <w:rPr>
          <w:szCs w:val="22"/>
        </w:rPr>
        <w:t xml:space="preserve">  Sun Radio argues</w:t>
      </w:r>
      <w:r w:rsidR="00122262">
        <w:rPr>
          <w:szCs w:val="22"/>
        </w:rPr>
        <w:t xml:space="preserve"> that</w:t>
      </w:r>
      <w:r w:rsidR="00231627">
        <w:rPr>
          <w:szCs w:val="22"/>
        </w:rPr>
        <w:t xml:space="preserve"> </w:t>
      </w:r>
      <w:r w:rsidR="003F4BEC">
        <w:rPr>
          <w:szCs w:val="22"/>
        </w:rPr>
        <w:t xml:space="preserve">TPR </w:t>
      </w:r>
      <w:r w:rsidR="00231627">
        <w:rPr>
          <w:szCs w:val="22"/>
        </w:rPr>
        <w:t xml:space="preserve">failed to provide a basis for its claim, and TPR “ignores the fact that actual Commission personnel, </w:t>
      </w:r>
      <w:r w:rsidR="00231627">
        <w:rPr>
          <w:i/>
          <w:szCs w:val="22"/>
        </w:rPr>
        <w:t>i.e.</w:t>
      </w:r>
      <w:r w:rsidR="00231627">
        <w:rPr>
          <w:szCs w:val="22"/>
        </w:rPr>
        <w:t>, human beings, are, in fact, assigned the duty of overseeing and granting call sign requests.”</w:t>
      </w:r>
      <w:r w:rsidR="004D1130">
        <w:rPr>
          <w:rStyle w:val="FootnoteReference"/>
          <w:szCs w:val="22"/>
        </w:rPr>
        <w:footnoteReference w:id="12"/>
      </w:r>
      <w:r w:rsidR="00FB705A">
        <w:rPr>
          <w:szCs w:val="22"/>
        </w:rPr>
        <w:t xml:space="preserve">  Moreover, Sun Radio notes</w:t>
      </w:r>
      <w:r w:rsidR="004D1130">
        <w:rPr>
          <w:szCs w:val="22"/>
        </w:rPr>
        <w:t xml:space="preserve"> that the public notice granting the call sign change </w:t>
      </w:r>
      <w:r w:rsidR="00FB705A">
        <w:rPr>
          <w:szCs w:val="22"/>
        </w:rPr>
        <w:t xml:space="preserve">was </w:t>
      </w:r>
      <w:r w:rsidR="004D1130">
        <w:rPr>
          <w:szCs w:val="22"/>
        </w:rPr>
        <w:t xml:space="preserve">titled “Media Bureau </w:t>
      </w:r>
      <w:r w:rsidR="004D1130" w:rsidRPr="004D1130">
        <w:rPr>
          <w:i/>
          <w:szCs w:val="22"/>
        </w:rPr>
        <w:t>Call Sign Actions</w:t>
      </w:r>
      <w:r w:rsidR="004D1130" w:rsidRPr="004D1130">
        <w:rPr>
          <w:szCs w:val="22"/>
        </w:rPr>
        <w:t>.”</w:t>
      </w:r>
      <w:r w:rsidR="004D1130">
        <w:rPr>
          <w:rStyle w:val="FootnoteReference"/>
          <w:szCs w:val="22"/>
        </w:rPr>
        <w:footnoteReference w:id="13"/>
      </w:r>
      <w:r w:rsidR="004D1130">
        <w:rPr>
          <w:szCs w:val="22"/>
        </w:rPr>
        <w:t xml:space="preserve">  Las</w:t>
      </w:r>
      <w:r w:rsidR="00A64233">
        <w:rPr>
          <w:szCs w:val="22"/>
        </w:rPr>
        <w:t>t, Sun Radio refutes TPR’s argument</w:t>
      </w:r>
      <w:r w:rsidR="004D1130">
        <w:rPr>
          <w:szCs w:val="22"/>
        </w:rPr>
        <w:t xml:space="preserve"> that the call sign assignment was a “ministerial error” that could be “‘corrected’ at this date</w:t>
      </w:r>
      <w:r w:rsidR="004D1130" w:rsidRPr="00FA1F6F">
        <w:rPr>
          <w:szCs w:val="22"/>
        </w:rPr>
        <w:t xml:space="preserve">.” </w:t>
      </w:r>
      <w:r w:rsidR="00685C22">
        <w:rPr>
          <w:szCs w:val="22"/>
        </w:rPr>
        <w:t>According to Sun Radio, the Commission would not be correcting a “ministerial error” because the “Commission granted exactly, and accurately, that which was requested by Maranatha Church of Laredo and consented to by Gonzales Communications.”</w:t>
      </w:r>
      <w:r w:rsidR="00685C22">
        <w:rPr>
          <w:rStyle w:val="FootnoteReference"/>
          <w:szCs w:val="22"/>
        </w:rPr>
        <w:footnoteReference w:id="14"/>
      </w:r>
    </w:p>
    <w:p w:rsidR="00810C45" w:rsidRPr="00E4616A" w:rsidRDefault="00810C45" w:rsidP="00810C45">
      <w:pPr>
        <w:pStyle w:val="ParaNum"/>
        <w:numPr>
          <w:ilvl w:val="0"/>
          <w:numId w:val="0"/>
        </w:numPr>
        <w:spacing w:after="120"/>
        <w:ind w:left="720"/>
        <w:jc w:val="left"/>
        <w:rPr>
          <w:b/>
          <w:szCs w:val="22"/>
        </w:rPr>
      </w:pPr>
    </w:p>
    <w:p w:rsidR="00D60F8B" w:rsidRPr="00152A95" w:rsidRDefault="00D60F8B" w:rsidP="0097534D">
      <w:pPr>
        <w:pStyle w:val="ParaNum"/>
        <w:numPr>
          <w:ilvl w:val="0"/>
          <w:numId w:val="0"/>
        </w:numPr>
        <w:spacing w:after="120"/>
        <w:jc w:val="left"/>
        <w:rPr>
          <w:b/>
          <w:szCs w:val="22"/>
        </w:rPr>
      </w:pPr>
      <w:r>
        <w:rPr>
          <w:b/>
          <w:szCs w:val="22"/>
        </w:rPr>
        <w:t>III.     DISCUSSION</w:t>
      </w:r>
    </w:p>
    <w:p w:rsidR="00F21C6A" w:rsidRPr="00504FA5" w:rsidRDefault="006531C0" w:rsidP="0097534D">
      <w:pPr>
        <w:pStyle w:val="ParaNum"/>
        <w:numPr>
          <w:ilvl w:val="0"/>
          <w:numId w:val="23"/>
        </w:numPr>
        <w:tabs>
          <w:tab w:val="clear" w:pos="1440"/>
          <w:tab w:val="left" w:pos="720"/>
        </w:tabs>
        <w:spacing w:after="120"/>
        <w:ind w:left="0" w:firstLine="720"/>
        <w:jc w:val="left"/>
        <w:rPr>
          <w:b/>
          <w:szCs w:val="22"/>
        </w:rPr>
      </w:pPr>
      <w:r>
        <w:rPr>
          <w:szCs w:val="22"/>
        </w:rPr>
        <w:t>We dismiss TPR’s Petition on procedural grounds, and</w:t>
      </w:r>
      <w:r w:rsidR="00D14157">
        <w:rPr>
          <w:szCs w:val="22"/>
        </w:rPr>
        <w:t>, in any event, deny the</w:t>
      </w:r>
      <w:r>
        <w:rPr>
          <w:szCs w:val="22"/>
        </w:rPr>
        <w:t xml:space="preserve"> substantive arguments</w:t>
      </w:r>
      <w:r w:rsidR="00D14157">
        <w:rPr>
          <w:szCs w:val="22"/>
        </w:rPr>
        <w:t xml:space="preserve"> contained therein</w:t>
      </w:r>
      <w:r>
        <w:rPr>
          <w:szCs w:val="22"/>
        </w:rPr>
        <w:t xml:space="preserve">.  </w:t>
      </w:r>
      <w:r w:rsidR="003B787B">
        <w:rPr>
          <w:szCs w:val="22"/>
        </w:rPr>
        <w:t xml:space="preserve">Pursuant to </w:t>
      </w:r>
      <w:r w:rsidR="003B787B" w:rsidRPr="004C0403">
        <w:rPr>
          <w:szCs w:val="22"/>
        </w:rPr>
        <w:t>Section 405(a) of the Communications Act (Act), as amended, and Section 1.106 of th</w:t>
      </w:r>
      <w:r w:rsidR="003B787B">
        <w:rPr>
          <w:szCs w:val="22"/>
        </w:rPr>
        <w:t>e Commission’s rules (Rules), an interested party may file a petition for reconsideration within 30 days after the Commission issues public notice of a Commission action</w:t>
      </w:r>
      <w:r w:rsidR="003B787B" w:rsidRPr="004C0403">
        <w:rPr>
          <w:szCs w:val="22"/>
        </w:rPr>
        <w:t>.</w:t>
      </w:r>
      <w:r w:rsidR="003B787B">
        <w:rPr>
          <w:rStyle w:val="FootnoteReference"/>
          <w:szCs w:val="22"/>
        </w:rPr>
        <w:footnoteReference w:id="15"/>
      </w:r>
      <w:r w:rsidR="003B787B">
        <w:rPr>
          <w:szCs w:val="22"/>
        </w:rPr>
        <w:t xml:space="preserve">  </w:t>
      </w:r>
      <w:r w:rsidR="00C97D83">
        <w:rPr>
          <w:szCs w:val="22"/>
        </w:rPr>
        <w:t>As it relates here</w:t>
      </w:r>
      <w:r w:rsidR="003B787B">
        <w:rPr>
          <w:szCs w:val="22"/>
        </w:rPr>
        <w:t xml:space="preserve">, </w:t>
      </w:r>
      <w:r w:rsidR="00A1586B">
        <w:rPr>
          <w:szCs w:val="22"/>
        </w:rPr>
        <w:t>Section 1.106</w:t>
      </w:r>
      <w:r w:rsidR="00F21C6A">
        <w:rPr>
          <w:szCs w:val="22"/>
        </w:rPr>
        <w:t>(k)(3)</w:t>
      </w:r>
      <w:r w:rsidR="00A1586B">
        <w:rPr>
          <w:szCs w:val="22"/>
        </w:rPr>
        <w:t xml:space="preserve"> </w:t>
      </w:r>
      <w:r w:rsidR="00F21C6A">
        <w:rPr>
          <w:szCs w:val="22"/>
        </w:rPr>
        <w:t xml:space="preserve">of the Commission’s </w:t>
      </w:r>
      <w:r w:rsidR="0031786E">
        <w:rPr>
          <w:szCs w:val="22"/>
        </w:rPr>
        <w:t>Rules</w:t>
      </w:r>
      <w:r w:rsidR="00592D55">
        <w:rPr>
          <w:szCs w:val="22"/>
        </w:rPr>
        <w:t xml:space="preserve"> authorizes </w:t>
      </w:r>
      <w:r w:rsidR="002364E3">
        <w:rPr>
          <w:szCs w:val="22"/>
        </w:rPr>
        <w:t xml:space="preserve"> us </w:t>
      </w:r>
      <w:r w:rsidR="00592D55">
        <w:rPr>
          <w:szCs w:val="22"/>
        </w:rPr>
        <w:t>to dismiss</w:t>
      </w:r>
      <w:r w:rsidR="00942FF4">
        <w:rPr>
          <w:szCs w:val="22"/>
        </w:rPr>
        <w:t xml:space="preserve">, at </w:t>
      </w:r>
      <w:r w:rsidR="002364E3">
        <w:rPr>
          <w:szCs w:val="22"/>
        </w:rPr>
        <w:t>our</w:t>
      </w:r>
      <w:r w:rsidR="00942FF4">
        <w:rPr>
          <w:szCs w:val="22"/>
        </w:rPr>
        <w:t xml:space="preserve"> discretion, </w:t>
      </w:r>
      <w:r w:rsidR="00A1586B">
        <w:rPr>
          <w:szCs w:val="22"/>
        </w:rPr>
        <w:t>a petition for reconsideration as</w:t>
      </w:r>
      <w:r w:rsidR="00C97D83">
        <w:rPr>
          <w:szCs w:val="22"/>
        </w:rPr>
        <w:t xml:space="preserve"> “</w:t>
      </w:r>
      <w:r w:rsidR="00A1586B">
        <w:rPr>
          <w:szCs w:val="22"/>
        </w:rPr>
        <w:t>repetitious</w:t>
      </w:r>
      <w:r w:rsidR="00C97D83">
        <w:rPr>
          <w:szCs w:val="22"/>
        </w:rPr>
        <w:t>”</w:t>
      </w:r>
      <w:r w:rsidR="00A1586B">
        <w:rPr>
          <w:szCs w:val="22"/>
        </w:rPr>
        <w:t xml:space="preserve"> if a previous petition for reconsideration of the same order has already been denied.</w:t>
      </w:r>
      <w:r w:rsidR="001942FD">
        <w:rPr>
          <w:rStyle w:val="FootnoteReference"/>
          <w:szCs w:val="22"/>
        </w:rPr>
        <w:footnoteReference w:id="16"/>
      </w:r>
      <w:r w:rsidR="00F75CE1">
        <w:rPr>
          <w:szCs w:val="22"/>
        </w:rPr>
        <w:t xml:space="preserve">  </w:t>
      </w:r>
      <w:r w:rsidR="0088173C">
        <w:rPr>
          <w:szCs w:val="22"/>
        </w:rPr>
        <w:t xml:space="preserve">After reviewing all of the pleadings TPR </w:t>
      </w:r>
      <w:r w:rsidR="00240985">
        <w:rPr>
          <w:szCs w:val="22"/>
        </w:rPr>
        <w:t xml:space="preserve">has </w:t>
      </w:r>
      <w:r w:rsidR="0088173C">
        <w:rPr>
          <w:szCs w:val="22"/>
        </w:rPr>
        <w:t>submitted</w:t>
      </w:r>
      <w:r w:rsidR="00DB400A">
        <w:rPr>
          <w:szCs w:val="22"/>
        </w:rPr>
        <w:t>,</w:t>
      </w:r>
      <w:r w:rsidR="00C97D83">
        <w:rPr>
          <w:szCs w:val="22"/>
        </w:rPr>
        <w:t xml:space="preserve"> </w:t>
      </w:r>
      <w:r w:rsidR="0088173C">
        <w:rPr>
          <w:szCs w:val="22"/>
        </w:rPr>
        <w:t xml:space="preserve">we find that </w:t>
      </w:r>
      <w:r w:rsidR="00D473CB">
        <w:rPr>
          <w:szCs w:val="22"/>
        </w:rPr>
        <w:t>TPR’s Petition raises</w:t>
      </w:r>
      <w:r w:rsidR="000713BA">
        <w:rPr>
          <w:szCs w:val="22"/>
        </w:rPr>
        <w:t xml:space="preserve"> the same</w:t>
      </w:r>
      <w:r w:rsidR="00592D55">
        <w:rPr>
          <w:szCs w:val="22"/>
        </w:rPr>
        <w:t xml:space="preserve"> arguments </w:t>
      </w:r>
      <w:r w:rsidR="0031786E">
        <w:rPr>
          <w:szCs w:val="22"/>
        </w:rPr>
        <w:t>contained in its Rescission</w:t>
      </w:r>
      <w:r w:rsidR="00C13A52">
        <w:rPr>
          <w:szCs w:val="22"/>
        </w:rPr>
        <w:t xml:space="preserve"> Request</w:t>
      </w:r>
      <w:r w:rsidR="000713BA">
        <w:rPr>
          <w:szCs w:val="22"/>
        </w:rPr>
        <w:t xml:space="preserve">. </w:t>
      </w:r>
      <w:r w:rsidR="00237900">
        <w:rPr>
          <w:szCs w:val="22"/>
        </w:rPr>
        <w:t xml:space="preserve"> </w:t>
      </w:r>
      <w:r w:rsidR="0088173C">
        <w:rPr>
          <w:szCs w:val="22"/>
        </w:rPr>
        <w:t>Although our dismissal of TPR’s Rescission Request was primarily based on procedure</w:t>
      </w:r>
      <w:r w:rsidR="00C13A52">
        <w:rPr>
          <w:szCs w:val="22"/>
        </w:rPr>
        <w:t>,</w:t>
      </w:r>
      <w:r w:rsidR="00406D02">
        <w:rPr>
          <w:szCs w:val="22"/>
        </w:rPr>
        <w:t xml:space="preserve"> </w:t>
      </w:r>
      <w:r w:rsidR="0088173C">
        <w:rPr>
          <w:szCs w:val="22"/>
        </w:rPr>
        <w:t xml:space="preserve">our review </w:t>
      </w:r>
      <w:r w:rsidR="00A22858">
        <w:rPr>
          <w:szCs w:val="22"/>
        </w:rPr>
        <w:t xml:space="preserve">took into consideration </w:t>
      </w:r>
      <w:r w:rsidR="005D37CB">
        <w:rPr>
          <w:szCs w:val="22"/>
        </w:rPr>
        <w:t>all</w:t>
      </w:r>
      <w:r w:rsidR="00A22858">
        <w:rPr>
          <w:szCs w:val="22"/>
        </w:rPr>
        <w:t xml:space="preserve"> of the</w:t>
      </w:r>
      <w:r w:rsidR="008F1498">
        <w:rPr>
          <w:szCs w:val="22"/>
        </w:rPr>
        <w:t xml:space="preserve"> </w:t>
      </w:r>
      <w:r w:rsidR="00237900">
        <w:rPr>
          <w:szCs w:val="22"/>
        </w:rPr>
        <w:t>arguments TPR raised</w:t>
      </w:r>
      <w:r w:rsidR="00942FF4">
        <w:rPr>
          <w:szCs w:val="22"/>
        </w:rPr>
        <w:t xml:space="preserve"> therein.</w:t>
      </w:r>
      <w:r w:rsidR="00942FF4">
        <w:rPr>
          <w:rStyle w:val="FootnoteReference"/>
          <w:szCs w:val="22"/>
        </w:rPr>
        <w:footnoteReference w:id="17"/>
      </w:r>
      <w:r w:rsidR="00942FF4">
        <w:rPr>
          <w:szCs w:val="22"/>
        </w:rPr>
        <w:t xml:space="preserve">  </w:t>
      </w:r>
      <w:r w:rsidR="00D14157">
        <w:rPr>
          <w:szCs w:val="22"/>
        </w:rPr>
        <w:t>De</w:t>
      </w:r>
      <w:r w:rsidR="002A6323">
        <w:rPr>
          <w:szCs w:val="22"/>
        </w:rPr>
        <w:t>spite our procedural dismissal,</w:t>
      </w:r>
      <w:r w:rsidR="003A59DC">
        <w:rPr>
          <w:szCs w:val="22"/>
        </w:rPr>
        <w:t xml:space="preserve"> we will</w:t>
      </w:r>
      <w:r w:rsidR="00F21C6A">
        <w:rPr>
          <w:szCs w:val="22"/>
        </w:rPr>
        <w:t xml:space="preserve"> address </w:t>
      </w:r>
      <w:r w:rsidR="006C55FE">
        <w:rPr>
          <w:szCs w:val="22"/>
        </w:rPr>
        <w:t xml:space="preserve">the arguments raised </w:t>
      </w:r>
      <w:r w:rsidR="006C55FE">
        <w:rPr>
          <w:szCs w:val="22"/>
        </w:rPr>
        <w:lastRenderedPageBreak/>
        <w:t xml:space="preserve">in </w:t>
      </w:r>
      <w:r w:rsidR="00F21C6A">
        <w:rPr>
          <w:szCs w:val="22"/>
        </w:rPr>
        <w:t>TPR’s Petition</w:t>
      </w:r>
      <w:r w:rsidR="00240985">
        <w:rPr>
          <w:szCs w:val="22"/>
        </w:rPr>
        <w:t xml:space="preserve"> to reach</w:t>
      </w:r>
      <w:r w:rsidR="006C55FE">
        <w:rPr>
          <w:szCs w:val="22"/>
        </w:rPr>
        <w:t xml:space="preserve"> administrative finality</w:t>
      </w:r>
      <w:r w:rsidR="00F21C6A">
        <w:rPr>
          <w:szCs w:val="22"/>
        </w:rPr>
        <w:t xml:space="preserve">. </w:t>
      </w:r>
      <w:r w:rsidR="00DE0DF9">
        <w:rPr>
          <w:szCs w:val="22"/>
        </w:rPr>
        <w:t xml:space="preserve"> </w:t>
      </w:r>
    </w:p>
    <w:p w:rsidR="00790DDD" w:rsidRPr="00F21C6A" w:rsidRDefault="009B55FC" w:rsidP="0097534D">
      <w:pPr>
        <w:pStyle w:val="Heading2"/>
        <w:spacing w:after="120"/>
      </w:pPr>
      <w:r>
        <w:t>Consent</w:t>
      </w:r>
      <w:r w:rsidR="00722AE4">
        <w:t xml:space="preserve"> to use Call Sign KCTI-FM</w:t>
      </w:r>
    </w:p>
    <w:p w:rsidR="00EB5207" w:rsidRDefault="006531C0" w:rsidP="008F1498">
      <w:pPr>
        <w:pStyle w:val="ParaNum"/>
        <w:numPr>
          <w:ilvl w:val="0"/>
          <w:numId w:val="23"/>
        </w:numPr>
        <w:tabs>
          <w:tab w:val="left" w:pos="1620"/>
        </w:tabs>
        <w:spacing w:after="120"/>
        <w:ind w:left="0" w:firstLine="720"/>
        <w:jc w:val="left"/>
      </w:pPr>
      <w:r>
        <w:t xml:space="preserve">We reject TPR’s assertion that we improperly assigned call sign KCTI-FM to the Station.  </w:t>
      </w:r>
      <w:r w:rsidR="00F9432A">
        <w:t xml:space="preserve">Section </w:t>
      </w:r>
      <w:r w:rsidR="00722AE4">
        <w:t xml:space="preserve">73.3550(m) of the Rules requires </w:t>
      </w:r>
      <w:r w:rsidR="00176455">
        <w:t>applicants</w:t>
      </w:r>
      <w:r w:rsidR="00722AE4">
        <w:t xml:space="preserve"> using the Commission’s on-line call sign reservation and authorization system to certify that “consent to use </w:t>
      </w:r>
      <w:r w:rsidR="00240985">
        <w:t xml:space="preserve">of </w:t>
      </w:r>
      <w:r w:rsidR="00722AE4">
        <w:t>[a] secondary call sign has been obtained from the holder of the primary call sign.”</w:t>
      </w:r>
      <w:r w:rsidR="00722AE4">
        <w:rPr>
          <w:rStyle w:val="FootnoteReference"/>
        </w:rPr>
        <w:footnoteReference w:id="18"/>
      </w:r>
      <w:r w:rsidR="009B55FC">
        <w:t xml:space="preserve">  Here, we</w:t>
      </w:r>
      <w:r w:rsidR="006C2F5E">
        <w:t xml:space="preserve"> would not have assigned call sign KCTI-F</w:t>
      </w:r>
      <w:r w:rsidR="00C14E92">
        <w:t xml:space="preserve">M to the Station </w:t>
      </w:r>
      <w:r w:rsidR="00A22858">
        <w:t>had</w:t>
      </w:r>
      <w:r w:rsidR="00862F95">
        <w:t xml:space="preserve"> we</w:t>
      </w:r>
      <w:r w:rsidR="00237246">
        <w:t xml:space="preserve"> found that Maranatha failed to receive</w:t>
      </w:r>
      <w:r w:rsidR="00F17559">
        <w:t xml:space="preserve"> </w:t>
      </w:r>
      <w:r w:rsidR="007E6CAE">
        <w:t>consent</w:t>
      </w:r>
      <w:r w:rsidR="009B55FC">
        <w:t xml:space="preserve"> from Gonzales</w:t>
      </w:r>
      <w:r w:rsidR="00C14E92">
        <w:t xml:space="preserve">.  </w:t>
      </w:r>
      <w:r w:rsidR="0088173C">
        <w:t>O</w:t>
      </w:r>
      <w:r w:rsidR="000A7CC1">
        <w:t>ur review of the record reveals that Gonzales, by and through Steven Oakes, provided such consent to</w:t>
      </w:r>
      <w:r w:rsidR="009B55FC">
        <w:t xml:space="preserve"> Maranatha</w:t>
      </w:r>
      <w:r w:rsidR="008C55EE">
        <w:t xml:space="preserve"> via an email dated February 29, 2016</w:t>
      </w:r>
      <w:r w:rsidR="000A7CC1">
        <w:t>.</w:t>
      </w:r>
      <w:r w:rsidR="00DB2886">
        <w:rPr>
          <w:rStyle w:val="FootnoteReference"/>
        </w:rPr>
        <w:footnoteReference w:id="19"/>
      </w:r>
      <w:r w:rsidR="007E6CAE">
        <w:t xml:space="preserve">  </w:t>
      </w:r>
    </w:p>
    <w:p w:rsidR="00281AE4" w:rsidRDefault="00EB5207" w:rsidP="008F1498">
      <w:pPr>
        <w:pStyle w:val="ParaNum"/>
        <w:numPr>
          <w:ilvl w:val="0"/>
          <w:numId w:val="23"/>
        </w:numPr>
        <w:tabs>
          <w:tab w:val="left" w:pos="1620"/>
        </w:tabs>
        <w:spacing w:after="120"/>
        <w:ind w:left="0" w:firstLine="720"/>
        <w:jc w:val="left"/>
      </w:pPr>
      <w:r>
        <w:t xml:space="preserve">Furthermore, Section 73.3550(g) </w:t>
      </w:r>
      <w:r w:rsidR="00A86F77">
        <w:t xml:space="preserve">of the Rules </w:t>
      </w:r>
      <w:r>
        <w:t>states that the Commission will not entertain objections to a</w:t>
      </w:r>
      <w:r w:rsidR="00281AE4">
        <w:t xml:space="preserve"> call sign assignment, and a party</w:t>
      </w:r>
      <w:r>
        <w:t xml:space="preserve"> objecting to</w:t>
      </w:r>
      <w:r w:rsidR="0088173C">
        <w:t xml:space="preserve"> </w:t>
      </w:r>
      <w:r w:rsidR="004518E1">
        <w:t>an</w:t>
      </w:r>
      <w:r>
        <w:t xml:space="preserve"> assignment may</w:t>
      </w:r>
      <w:r w:rsidR="00281AE4">
        <w:t xml:space="preserve"> assert its rights </w:t>
      </w:r>
      <w:r>
        <w:t>“under private law in some other forum.”</w:t>
      </w:r>
      <w:r>
        <w:rPr>
          <w:rStyle w:val="FootnoteReference"/>
        </w:rPr>
        <w:footnoteReference w:id="20"/>
      </w:r>
      <w:r>
        <w:t xml:space="preserve">  </w:t>
      </w:r>
      <w:r w:rsidR="00237246">
        <w:t>Because</w:t>
      </w:r>
      <w:r w:rsidR="004518E1">
        <w:t xml:space="preserve"> </w:t>
      </w:r>
      <w:r w:rsidR="00385289">
        <w:t xml:space="preserve">we </w:t>
      </w:r>
      <w:r w:rsidR="004518E1">
        <w:t>had alrea</w:t>
      </w:r>
      <w:r w:rsidR="00E0190F">
        <w:t xml:space="preserve">dy assigned </w:t>
      </w:r>
      <w:r w:rsidR="000A7CC1">
        <w:t xml:space="preserve">call sign </w:t>
      </w:r>
      <w:r w:rsidR="00E0190F">
        <w:t xml:space="preserve">KCTI-FM to </w:t>
      </w:r>
      <w:r w:rsidR="00C14E92">
        <w:t xml:space="preserve">the </w:t>
      </w:r>
      <w:r w:rsidR="00E0190F">
        <w:t>Station</w:t>
      </w:r>
      <w:r w:rsidR="00A86F77">
        <w:t>,</w:t>
      </w:r>
      <w:r>
        <w:t xml:space="preserve"> </w:t>
      </w:r>
      <w:r w:rsidR="008C55EE">
        <w:t>we</w:t>
      </w:r>
      <w:r w:rsidR="00237246">
        <w:t xml:space="preserve"> would be acting contrary to</w:t>
      </w:r>
      <w:r>
        <w:t xml:space="preserve"> Section 73.3550(g) of Rules by entertaining TPR’</w:t>
      </w:r>
      <w:r w:rsidR="00E0190F">
        <w:t>s Petition</w:t>
      </w:r>
      <w:r w:rsidR="00281AE4">
        <w:t>.</w:t>
      </w:r>
      <w:r w:rsidR="00E0190F">
        <w:t xml:space="preserve"> </w:t>
      </w:r>
      <w:r w:rsidR="004518E1">
        <w:t xml:space="preserve"> </w:t>
      </w:r>
      <w:r w:rsidR="008C55EE">
        <w:t xml:space="preserve">Moreover, </w:t>
      </w:r>
      <w:r w:rsidR="00385289">
        <w:t xml:space="preserve">we cannot </w:t>
      </w:r>
      <w:r w:rsidR="00304ED0">
        <w:t>resolve th</w:t>
      </w:r>
      <w:r w:rsidR="00E0190F">
        <w:t>e underlying issue</w:t>
      </w:r>
      <w:r w:rsidR="00304ED0">
        <w:t xml:space="preserve"> of </w:t>
      </w:r>
      <w:r w:rsidR="00197B7A">
        <w:t>whether Steven Oakes had the authority to grant Maranatha consent to use call sign KCTI-FM</w:t>
      </w:r>
      <w:r w:rsidR="00862F95">
        <w:t>.  S</w:t>
      </w:r>
      <w:r w:rsidR="00600BD9">
        <w:t>uch an analysis</w:t>
      </w:r>
      <w:r w:rsidR="00862F95">
        <w:t xml:space="preserve"> would require the Commission to resolve</w:t>
      </w:r>
      <w:r w:rsidR="008C55EE">
        <w:t xml:space="preserve"> a factual disp</w:t>
      </w:r>
      <w:r w:rsidR="00862F95">
        <w:t>ute</w:t>
      </w:r>
      <w:r w:rsidR="009725B3">
        <w:t xml:space="preserve"> akin to that raised</w:t>
      </w:r>
      <w:r w:rsidR="00A86F77">
        <w:t xml:space="preserve"> </w:t>
      </w:r>
      <w:r w:rsidR="00862F95">
        <w:t xml:space="preserve">in agency and </w:t>
      </w:r>
      <w:r w:rsidR="008C55EE">
        <w:t>c</w:t>
      </w:r>
      <w:r w:rsidR="00862F95">
        <w:t>ontract law – both of which are</w:t>
      </w:r>
      <w:r w:rsidR="00385289">
        <w:t xml:space="preserve"> outside of the Commission’s jurisdiction.</w:t>
      </w:r>
      <w:r w:rsidR="00304ED0">
        <w:rPr>
          <w:rStyle w:val="FootnoteReference"/>
        </w:rPr>
        <w:footnoteReference w:id="21"/>
      </w:r>
      <w:r w:rsidR="00197B7A">
        <w:t xml:space="preserve">  </w:t>
      </w:r>
      <w:r w:rsidR="00DC68D3">
        <w:t>Accordingly</w:t>
      </w:r>
      <w:r w:rsidR="004518E1">
        <w:t>, TPR shou</w:t>
      </w:r>
      <w:r w:rsidR="00385289">
        <w:t xml:space="preserve">ld have sought relief </w:t>
      </w:r>
      <w:r w:rsidR="00D81660">
        <w:t xml:space="preserve">for its grievance </w:t>
      </w:r>
      <w:r w:rsidR="00385289">
        <w:t>in a court of competent</w:t>
      </w:r>
      <w:r w:rsidR="004518E1">
        <w:t xml:space="preserve"> jurisdi</w:t>
      </w:r>
      <w:r w:rsidR="005C1E69">
        <w:t>ction over the matter and not</w:t>
      </w:r>
      <w:r w:rsidR="004518E1">
        <w:t xml:space="preserve"> the Commission.</w:t>
      </w:r>
      <w:r w:rsidR="00DA0609">
        <w:rPr>
          <w:rStyle w:val="FootnoteReference"/>
        </w:rPr>
        <w:footnoteReference w:id="22"/>
      </w:r>
      <w:r w:rsidR="00281AE4">
        <w:t xml:space="preserve">  </w:t>
      </w:r>
    </w:p>
    <w:p w:rsidR="00504FA5" w:rsidRPr="00F21C6A" w:rsidRDefault="00722AE4" w:rsidP="0097534D">
      <w:pPr>
        <w:pStyle w:val="Heading2"/>
        <w:spacing w:after="120"/>
      </w:pPr>
      <w:r>
        <w:t>Commission Action</w:t>
      </w:r>
      <w:r w:rsidR="00536F12">
        <w:t>s Subject to Petitions for Reconsideration</w:t>
      </w:r>
    </w:p>
    <w:p w:rsidR="00504FA5" w:rsidRPr="00504FA5" w:rsidRDefault="006531C0" w:rsidP="00205216">
      <w:pPr>
        <w:pStyle w:val="ParaNum"/>
        <w:numPr>
          <w:ilvl w:val="0"/>
          <w:numId w:val="23"/>
        </w:numPr>
        <w:tabs>
          <w:tab w:val="left" w:pos="1620"/>
        </w:tabs>
        <w:spacing w:after="120"/>
        <w:ind w:left="0" w:firstLine="720"/>
        <w:jc w:val="left"/>
      </w:pPr>
      <w:r>
        <w:rPr>
          <w:szCs w:val="22"/>
        </w:rPr>
        <w:t>W</w:t>
      </w:r>
      <w:r>
        <w:t xml:space="preserve">e reject TPR’s argument that call sign assignments are not “Commission actions” subject to petitions for reconsideration.  </w:t>
      </w:r>
      <w:r w:rsidR="00722AE4">
        <w:t xml:space="preserve">Section 303 of the </w:t>
      </w:r>
      <w:r w:rsidR="00E0190F">
        <w:t xml:space="preserve">Act </w:t>
      </w:r>
      <w:r w:rsidR="00722AE4">
        <w:t>provides the Commission with the authority to regulate broadcast call signs.</w:t>
      </w:r>
      <w:r w:rsidR="00722AE4">
        <w:rPr>
          <w:rStyle w:val="FootnoteReference"/>
        </w:rPr>
        <w:footnoteReference w:id="23"/>
      </w:r>
      <w:r w:rsidR="00722AE4">
        <w:t xml:space="preserve">  Pursuant to </w:t>
      </w:r>
      <w:r w:rsidR="00722AE4">
        <w:rPr>
          <w:szCs w:val="22"/>
        </w:rPr>
        <w:t>Section 73.3550(a) of the Rules, all requests for new or modified call sign assignments for radio and television broadcast stations must be made via the FCC’s on-line call sign reservation and authorization system.</w:t>
      </w:r>
      <w:r w:rsidR="00722AE4">
        <w:rPr>
          <w:rStyle w:val="FootnoteReference"/>
          <w:szCs w:val="22"/>
        </w:rPr>
        <w:footnoteReference w:id="24"/>
      </w:r>
      <w:r w:rsidR="00205216">
        <w:rPr>
          <w:szCs w:val="22"/>
        </w:rPr>
        <w:t xml:space="preserve">  </w:t>
      </w:r>
      <w:r w:rsidR="00600BD9">
        <w:rPr>
          <w:szCs w:val="22"/>
        </w:rPr>
        <w:t xml:space="preserve">Although </w:t>
      </w:r>
      <w:r w:rsidR="00722AE4" w:rsidRPr="00205216">
        <w:rPr>
          <w:szCs w:val="22"/>
        </w:rPr>
        <w:t>the Commission’s call sign clearinghouse is an automated and digitized application system, t</w:t>
      </w:r>
      <w:r w:rsidR="005B43BE" w:rsidRPr="00205216">
        <w:rPr>
          <w:szCs w:val="22"/>
        </w:rPr>
        <w:t xml:space="preserve">he </w:t>
      </w:r>
      <w:r w:rsidR="00722AE4" w:rsidRPr="00205216">
        <w:rPr>
          <w:szCs w:val="22"/>
        </w:rPr>
        <w:t xml:space="preserve">act of applying for a call sign assignment or modification, regardless of the medium the Commission uses to receive such applications, is a request for the Commission’s approval </w:t>
      </w:r>
      <w:r w:rsidR="005B43BE" w:rsidRPr="00205216">
        <w:rPr>
          <w:szCs w:val="22"/>
        </w:rPr>
        <w:t xml:space="preserve">of </w:t>
      </w:r>
      <w:r w:rsidR="00973479" w:rsidRPr="00205216">
        <w:rPr>
          <w:szCs w:val="22"/>
        </w:rPr>
        <w:t>that application</w:t>
      </w:r>
      <w:r w:rsidR="005B43BE" w:rsidRPr="00205216">
        <w:rPr>
          <w:szCs w:val="22"/>
        </w:rPr>
        <w:t xml:space="preserve"> - an</w:t>
      </w:r>
      <w:r w:rsidR="00722AE4" w:rsidRPr="00205216">
        <w:rPr>
          <w:szCs w:val="22"/>
        </w:rPr>
        <w:t xml:space="preserve"> “act</w:t>
      </w:r>
      <w:r w:rsidR="00205216">
        <w:rPr>
          <w:szCs w:val="22"/>
        </w:rPr>
        <w:t>ion” of the Commiss</w:t>
      </w:r>
      <w:r w:rsidR="00DA0609">
        <w:rPr>
          <w:szCs w:val="22"/>
        </w:rPr>
        <w:t>ion.  Furthermore,</w:t>
      </w:r>
      <w:r w:rsidR="00D14157">
        <w:rPr>
          <w:szCs w:val="22"/>
        </w:rPr>
        <w:t xml:space="preserve"> we</w:t>
      </w:r>
      <w:r w:rsidR="00600BD9">
        <w:rPr>
          <w:szCs w:val="22"/>
        </w:rPr>
        <w:t xml:space="preserve"> ha</w:t>
      </w:r>
      <w:r w:rsidR="00D14157">
        <w:rPr>
          <w:szCs w:val="22"/>
        </w:rPr>
        <w:t>ve</w:t>
      </w:r>
      <w:r w:rsidR="00600BD9">
        <w:rPr>
          <w:szCs w:val="22"/>
        </w:rPr>
        <w:t xml:space="preserve"> always considered</w:t>
      </w:r>
      <w:r w:rsidR="00E0190F">
        <w:rPr>
          <w:szCs w:val="22"/>
        </w:rPr>
        <w:t xml:space="preserve"> </w:t>
      </w:r>
      <w:r w:rsidR="00205216">
        <w:rPr>
          <w:szCs w:val="22"/>
        </w:rPr>
        <w:t>call sign assignments and changes as “Com</w:t>
      </w:r>
      <w:r w:rsidR="00E0190F">
        <w:rPr>
          <w:szCs w:val="22"/>
        </w:rPr>
        <w:t>mission actions</w:t>
      </w:r>
      <w:r w:rsidR="00DA0609">
        <w:rPr>
          <w:szCs w:val="22"/>
        </w:rPr>
        <w:t>.</w:t>
      </w:r>
      <w:r w:rsidR="00E0190F">
        <w:rPr>
          <w:szCs w:val="22"/>
        </w:rPr>
        <w:t>”</w:t>
      </w:r>
      <w:r w:rsidR="00D37240">
        <w:rPr>
          <w:rStyle w:val="FootnoteReference"/>
          <w:szCs w:val="22"/>
        </w:rPr>
        <w:footnoteReference w:id="25"/>
      </w:r>
      <w:r w:rsidR="00205216">
        <w:rPr>
          <w:szCs w:val="22"/>
        </w:rPr>
        <w:t xml:space="preserve">  </w:t>
      </w:r>
      <w:r w:rsidR="009B0194">
        <w:rPr>
          <w:szCs w:val="22"/>
        </w:rPr>
        <w:t xml:space="preserve">Once  </w:t>
      </w:r>
      <w:r w:rsidR="00D14157">
        <w:rPr>
          <w:szCs w:val="22"/>
        </w:rPr>
        <w:t xml:space="preserve">we </w:t>
      </w:r>
      <w:r w:rsidR="009B0194">
        <w:rPr>
          <w:szCs w:val="22"/>
        </w:rPr>
        <w:t>grant a call sign assignment or change,</w:t>
      </w:r>
      <w:r w:rsidR="00D14157">
        <w:rPr>
          <w:szCs w:val="22"/>
        </w:rPr>
        <w:t xml:space="preserve"> we</w:t>
      </w:r>
      <w:r w:rsidR="004B202D">
        <w:rPr>
          <w:szCs w:val="22"/>
        </w:rPr>
        <w:t xml:space="preserve"> release a public notice that</w:t>
      </w:r>
      <w:r w:rsidR="00E0190F">
        <w:rPr>
          <w:szCs w:val="22"/>
        </w:rPr>
        <w:t xml:space="preserve"> clearly indicates that the call sign assignment or change is a</w:t>
      </w:r>
      <w:r w:rsidR="00DA0609">
        <w:rPr>
          <w:szCs w:val="22"/>
        </w:rPr>
        <w:t xml:space="preserve"> “</w:t>
      </w:r>
      <w:r w:rsidR="00E0190F">
        <w:rPr>
          <w:szCs w:val="22"/>
        </w:rPr>
        <w:t xml:space="preserve">Commission </w:t>
      </w:r>
      <w:r w:rsidR="00DA0609">
        <w:rPr>
          <w:szCs w:val="22"/>
        </w:rPr>
        <w:t>action</w:t>
      </w:r>
      <w:r w:rsidR="00E0190F">
        <w:rPr>
          <w:szCs w:val="22"/>
        </w:rPr>
        <w:t>.</w:t>
      </w:r>
      <w:r w:rsidR="00DA0609">
        <w:rPr>
          <w:szCs w:val="22"/>
        </w:rPr>
        <w:t>”</w:t>
      </w:r>
      <w:r w:rsidR="00722AE4">
        <w:rPr>
          <w:rStyle w:val="FootnoteReference"/>
          <w:szCs w:val="22"/>
        </w:rPr>
        <w:footnoteReference w:id="26"/>
      </w:r>
      <w:r w:rsidR="00722AE4" w:rsidRPr="00205216">
        <w:rPr>
          <w:szCs w:val="22"/>
        </w:rPr>
        <w:t xml:space="preserve">  For example, </w:t>
      </w:r>
      <w:r w:rsidR="00D14157">
        <w:rPr>
          <w:szCs w:val="22"/>
        </w:rPr>
        <w:t>we</w:t>
      </w:r>
      <w:r w:rsidR="00722AE4" w:rsidRPr="00205216">
        <w:rPr>
          <w:szCs w:val="22"/>
        </w:rPr>
        <w:t xml:space="preserve"> announced </w:t>
      </w:r>
      <w:r w:rsidR="00D14157">
        <w:rPr>
          <w:szCs w:val="22"/>
        </w:rPr>
        <w:t>our</w:t>
      </w:r>
      <w:r w:rsidR="00722AE4" w:rsidRPr="00205216">
        <w:rPr>
          <w:szCs w:val="22"/>
        </w:rPr>
        <w:t xml:space="preserve"> grant of the above-referenced call sign change in a public notice titled “Media Bureau Call Sign </w:t>
      </w:r>
      <w:r w:rsidR="00722AE4" w:rsidRPr="00205216">
        <w:rPr>
          <w:i/>
          <w:szCs w:val="22"/>
        </w:rPr>
        <w:t>Actions</w:t>
      </w:r>
      <w:r w:rsidR="00722AE4" w:rsidRPr="00205216">
        <w:rPr>
          <w:szCs w:val="22"/>
        </w:rPr>
        <w:t>.”</w:t>
      </w:r>
      <w:r w:rsidR="00722AE4">
        <w:rPr>
          <w:rStyle w:val="FootnoteReference"/>
          <w:szCs w:val="22"/>
        </w:rPr>
        <w:footnoteReference w:id="27"/>
      </w:r>
      <w:r w:rsidR="00722AE4" w:rsidRPr="00205216">
        <w:rPr>
          <w:szCs w:val="22"/>
        </w:rPr>
        <w:t xml:space="preserve">  </w:t>
      </w:r>
    </w:p>
    <w:p w:rsidR="00DB1ABC" w:rsidRPr="00DB1ABC" w:rsidRDefault="00EE16F7" w:rsidP="00556503">
      <w:pPr>
        <w:pStyle w:val="ParaNum"/>
        <w:numPr>
          <w:ilvl w:val="0"/>
          <w:numId w:val="23"/>
        </w:numPr>
        <w:spacing w:after="120"/>
        <w:ind w:left="0" w:firstLine="720"/>
        <w:jc w:val="left"/>
      </w:pPr>
      <w:r>
        <w:rPr>
          <w:szCs w:val="22"/>
        </w:rPr>
        <w:t xml:space="preserve">Furthermore, </w:t>
      </w:r>
      <w:r w:rsidR="004B202D">
        <w:rPr>
          <w:szCs w:val="22"/>
        </w:rPr>
        <w:t>Section 1.113(a) of the Rules states, “[w]ithin 30 days after public notice has been given of any action taken pursuant to delegated authority, the person, panel, or board taking the action may modify or set it aside on its own motion.”</w:t>
      </w:r>
      <w:r w:rsidR="003908C5">
        <w:rPr>
          <w:rStyle w:val="FootnoteReference"/>
          <w:szCs w:val="22"/>
        </w:rPr>
        <w:footnoteReference w:id="28"/>
      </w:r>
      <w:r w:rsidR="004B202D">
        <w:rPr>
          <w:szCs w:val="22"/>
        </w:rPr>
        <w:t xml:space="preserve">  </w:t>
      </w:r>
      <w:r w:rsidR="009725B3">
        <w:rPr>
          <w:szCs w:val="22"/>
        </w:rPr>
        <w:t>B</w:t>
      </w:r>
      <w:r w:rsidR="00AA3560">
        <w:rPr>
          <w:szCs w:val="22"/>
        </w:rPr>
        <w:t>eyond 30 days,</w:t>
      </w:r>
      <w:r w:rsidR="00FF6687">
        <w:rPr>
          <w:szCs w:val="22"/>
        </w:rPr>
        <w:t xml:space="preserve"> </w:t>
      </w:r>
      <w:r w:rsidR="00D14157">
        <w:rPr>
          <w:szCs w:val="22"/>
        </w:rPr>
        <w:t>we</w:t>
      </w:r>
      <w:r w:rsidR="00FF6687">
        <w:rPr>
          <w:szCs w:val="22"/>
        </w:rPr>
        <w:t xml:space="preserve"> may only revisit a final action</w:t>
      </w:r>
      <w:r w:rsidR="004F6183">
        <w:rPr>
          <w:szCs w:val="22"/>
        </w:rPr>
        <w:t xml:space="preserve"> under limited circumstances.</w:t>
      </w:r>
      <w:r w:rsidR="004B202D">
        <w:rPr>
          <w:rStyle w:val="FootnoteReference"/>
          <w:szCs w:val="22"/>
        </w:rPr>
        <w:footnoteReference w:id="29"/>
      </w:r>
      <w:r w:rsidR="006F618D">
        <w:rPr>
          <w:szCs w:val="22"/>
        </w:rPr>
        <w:t xml:space="preserve"> </w:t>
      </w:r>
      <w:r w:rsidR="00937F56">
        <w:rPr>
          <w:szCs w:val="22"/>
        </w:rPr>
        <w:t xml:space="preserve"> I</w:t>
      </w:r>
      <w:r w:rsidR="00205216">
        <w:rPr>
          <w:szCs w:val="22"/>
        </w:rPr>
        <w:t xml:space="preserve">n </w:t>
      </w:r>
      <w:r w:rsidR="00205216">
        <w:rPr>
          <w:i/>
          <w:szCs w:val="22"/>
        </w:rPr>
        <w:t xml:space="preserve">County of San </w:t>
      </w:r>
      <w:r w:rsidR="00205216" w:rsidRPr="00205216">
        <w:rPr>
          <w:i/>
          <w:szCs w:val="22"/>
        </w:rPr>
        <w:t>Mateo</w:t>
      </w:r>
      <w:r w:rsidR="00205216">
        <w:rPr>
          <w:szCs w:val="22"/>
        </w:rPr>
        <w:t xml:space="preserve">, </w:t>
      </w:r>
      <w:r w:rsidR="000573B6">
        <w:rPr>
          <w:szCs w:val="22"/>
        </w:rPr>
        <w:t xml:space="preserve">the Commission stated that </w:t>
      </w:r>
      <w:r w:rsidR="004B202D">
        <w:rPr>
          <w:szCs w:val="22"/>
        </w:rPr>
        <w:t>its</w:t>
      </w:r>
      <w:r w:rsidR="00352029" w:rsidRPr="00504FA5">
        <w:rPr>
          <w:szCs w:val="22"/>
        </w:rPr>
        <w:t xml:space="preserve"> authority to revisit a final action is limited to “the correction of clerical or administrative errors that underlie or occur in the pro</w:t>
      </w:r>
      <w:r>
        <w:rPr>
          <w:szCs w:val="22"/>
        </w:rPr>
        <w:t>cess of taking an action</w:t>
      </w:r>
      <w:r w:rsidR="00352029" w:rsidRPr="00504FA5">
        <w:rPr>
          <w:szCs w:val="22"/>
        </w:rPr>
        <w:t>”</w:t>
      </w:r>
      <w:r w:rsidR="004F6183">
        <w:rPr>
          <w:szCs w:val="22"/>
        </w:rPr>
        <w:t xml:space="preserve"> – otherwise known as “ministerial errors.”</w:t>
      </w:r>
      <w:r w:rsidR="00352029">
        <w:rPr>
          <w:rStyle w:val="FootnoteReference"/>
          <w:szCs w:val="22"/>
        </w:rPr>
        <w:footnoteReference w:id="30"/>
      </w:r>
      <w:r w:rsidR="00352029" w:rsidRPr="00504FA5">
        <w:rPr>
          <w:szCs w:val="22"/>
        </w:rPr>
        <w:t xml:space="preserve">  Here,</w:t>
      </w:r>
      <w:r w:rsidR="00412CBF">
        <w:rPr>
          <w:szCs w:val="22"/>
        </w:rPr>
        <w:t xml:space="preserve"> </w:t>
      </w:r>
      <w:r w:rsidR="00D14157">
        <w:rPr>
          <w:szCs w:val="22"/>
        </w:rPr>
        <w:t>we</w:t>
      </w:r>
      <w:r w:rsidR="00111460">
        <w:rPr>
          <w:szCs w:val="22"/>
        </w:rPr>
        <w:t xml:space="preserve"> did not make a </w:t>
      </w:r>
      <w:r w:rsidR="00412CBF">
        <w:rPr>
          <w:szCs w:val="22"/>
        </w:rPr>
        <w:t xml:space="preserve">“ministerial error” </w:t>
      </w:r>
      <w:r w:rsidR="00111460">
        <w:rPr>
          <w:szCs w:val="22"/>
        </w:rPr>
        <w:t>when assigning s</w:t>
      </w:r>
      <w:r w:rsidR="00412CBF">
        <w:rPr>
          <w:szCs w:val="22"/>
        </w:rPr>
        <w:t xml:space="preserve">econdary </w:t>
      </w:r>
      <w:r w:rsidR="00111460">
        <w:rPr>
          <w:szCs w:val="22"/>
        </w:rPr>
        <w:t>call sign KCTI-FM to the Station</w:t>
      </w:r>
      <w:r w:rsidR="00412CBF">
        <w:rPr>
          <w:szCs w:val="22"/>
        </w:rPr>
        <w:t xml:space="preserve">. </w:t>
      </w:r>
      <w:r w:rsidR="00600BD9">
        <w:rPr>
          <w:szCs w:val="22"/>
        </w:rPr>
        <w:t xml:space="preserve"> </w:t>
      </w:r>
      <w:r w:rsidR="00BD373F">
        <w:rPr>
          <w:szCs w:val="22"/>
        </w:rPr>
        <w:t xml:space="preserve">As shown by the record, </w:t>
      </w:r>
      <w:r w:rsidR="00111460">
        <w:rPr>
          <w:szCs w:val="22"/>
        </w:rPr>
        <w:t>Maranatha, at Sun Radio’s request,</w:t>
      </w:r>
      <w:r w:rsidR="00352029" w:rsidRPr="00556503">
        <w:rPr>
          <w:szCs w:val="22"/>
        </w:rPr>
        <w:t xml:space="preserve"> filed an application to change the</w:t>
      </w:r>
      <w:r w:rsidR="00600BD9">
        <w:rPr>
          <w:szCs w:val="22"/>
        </w:rPr>
        <w:t xml:space="preserve"> Station’s call sign from KITG</w:t>
      </w:r>
      <w:r w:rsidR="00352029" w:rsidRPr="00556503">
        <w:rPr>
          <w:szCs w:val="22"/>
        </w:rPr>
        <w:t xml:space="preserve">(FM) to KCTI-FM, which </w:t>
      </w:r>
      <w:r w:rsidR="00D14157">
        <w:rPr>
          <w:szCs w:val="22"/>
        </w:rPr>
        <w:t>we</w:t>
      </w:r>
      <w:r w:rsidR="00352029" w:rsidRPr="00556503">
        <w:rPr>
          <w:szCs w:val="22"/>
        </w:rPr>
        <w:t xml:space="preserve"> granted.</w:t>
      </w:r>
      <w:r w:rsidR="00352029">
        <w:rPr>
          <w:rStyle w:val="FootnoteReference"/>
          <w:szCs w:val="22"/>
        </w:rPr>
        <w:footnoteReference w:id="31"/>
      </w:r>
      <w:r w:rsidR="00E0190F">
        <w:rPr>
          <w:szCs w:val="22"/>
        </w:rPr>
        <w:t xml:space="preserve">  Therefore, by entertaining TPR’s Petition</w:t>
      </w:r>
      <w:r w:rsidR="00352029" w:rsidRPr="00556503">
        <w:rPr>
          <w:szCs w:val="22"/>
        </w:rPr>
        <w:t xml:space="preserve">, the Division would not have been correcting a “ministerial error” – e.g. changing “KCIT-FM” to “KCTI-FM.”  </w:t>
      </w:r>
      <w:r w:rsidR="00600BD9">
        <w:rPr>
          <w:szCs w:val="22"/>
        </w:rPr>
        <w:t xml:space="preserve">Instead, </w:t>
      </w:r>
      <w:r w:rsidR="00D14157">
        <w:rPr>
          <w:szCs w:val="22"/>
        </w:rPr>
        <w:t>we</w:t>
      </w:r>
      <w:r w:rsidR="00600BD9">
        <w:rPr>
          <w:szCs w:val="22"/>
        </w:rPr>
        <w:t xml:space="preserve"> would be</w:t>
      </w:r>
      <w:r w:rsidR="00352029" w:rsidRPr="00556503">
        <w:rPr>
          <w:szCs w:val="22"/>
        </w:rPr>
        <w:t xml:space="preserve"> rescinding a properly granted call sign change – </w:t>
      </w:r>
      <w:r w:rsidR="00BD373F">
        <w:rPr>
          <w:szCs w:val="22"/>
        </w:rPr>
        <w:t>a final Commission action that</w:t>
      </w:r>
      <w:r w:rsidR="00352029" w:rsidRPr="00556503">
        <w:rPr>
          <w:szCs w:val="22"/>
        </w:rPr>
        <w:t xml:space="preserve"> is subject to a peti</w:t>
      </w:r>
      <w:r w:rsidR="009725B3">
        <w:rPr>
          <w:szCs w:val="22"/>
        </w:rPr>
        <w:t>tion for reconsideration and its procedural</w:t>
      </w:r>
      <w:r w:rsidR="00352029" w:rsidRPr="00556503">
        <w:rPr>
          <w:szCs w:val="22"/>
        </w:rPr>
        <w:t xml:space="preserve"> filing requirements.</w:t>
      </w:r>
    </w:p>
    <w:p w:rsidR="00D341BB" w:rsidRPr="00152A95" w:rsidRDefault="00D341BB" w:rsidP="0097534D">
      <w:pPr>
        <w:pStyle w:val="ParaNum"/>
        <w:numPr>
          <w:ilvl w:val="0"/>
          <w:numId w:val="0"/>
        </w:numPr>
        <w:tabs>
          <w:tab w:val="clear" w:pos="1440"/>
          <w:tab w:val="left" w:pos="720"/>
        </w:tabs>
        <w:spacing w:after="120"/>
        <w:jc w:val="left"/>
        <w:rPr>
          <w:b/>
          <w:szCs w:val="22"/>
        </w:rPr>
      </w:pPr>
      <w:r>
        <w:rPr>
          <w:b/>
          <w:szCs w:val="22"/>
        </w:rPr>
        <w:t>III.     ORDERING CLAUSE</w:t>
      </w:r>
    </w:p>
    <w:p w:rsidR="00605836" w:rsidRDefault="00D341BB" w:rsidP="009725B3">
      <w:pPr>
        <w:pStyle w:val="ParaNum"/>
        <w:numPr>
          <w:ilvl w:val="0"/>
          <w:numId w:val="23"/>
        </w:numPr>
        <w:tabs>
          <w:tab w:val="left" w:pos="720"/>
          <w:tab w:val="left" w:pos="2880"/>
          <w:tab w:val="left" w:pos="3600"/>
          <w:tab w:val="left" w:pos="4320"/>
          <w:tab w:val="left" w:pos="5040"/>
          <w:tab w:val="right" w:pos="9360"/>
        </w:tabs>
        <w:spacing w:after="120"/>
        <w:ind w:left="0" w:firstLine="720"/>
        <w:jc w:val="left"/>
      </w:pPr>
      <w:r>
        <w:rPr>
          <w:szCs w:val="22"/>
        </w:rPr>
        <w:t xml:space="preserve">Accordingly, </w:t>
      </w:r>
      <w:r>
        <w:rPr>
          <w:b/>
          <w:szCs w:val="22"/>
        </w:rPr>
        <w:t>IT IS ORDERED</w:t>
      </w:r>
      <w:r w:rsidR="003908C5">
        <w:rPr>
          <w:szCs w:val="22"/>
        </w:rPr>
        <w:t>, pursuant to Section 4(i) of the Communications Act of 1934, as amended,</w:t>
      </w:r>
      <w:r w:rsidR="00BD373F">
        <w:rPr>
          <w:rStyle w:val="FootnoteReference"/>
          <w:szCs w:val="22"/>
        </w:rPr>
        <w:footnoteReference w:id="32"/>
      </w:r>
      <w:r w:rsidR="003908C5">
        <w:rPr>
          <w:szCs w:val="22"/>
        </w:rPr>
        <w:t xml:space="preserve"> and by the authority delegated by Sections 0.61 and 0.283 of the Commission’s rules,</w:t>
      </w:r>
      <w:r w:rsidR="00BD373F">
        <w:rPr>
          <w:rStyle w:val="FootnoteReference"/>
          <w:szCs w:val="22"/>
        </w:rPr>
        <w:footnoteReference w:id="33"/>
      </w:r>
      <w:r w:rsidR="003908C5">
        <w:rPr>
          <w:szCs w:val="22"/>
        </w:rPr>
        <w:t xml:space="preserve"> that</w:t>
      </w:r>
      <w:r>
        <w:rPr>
          <w:szCs w:val="22"/>
        </w:rPr>
        <w:t xml:space="preserve"> the </w:t>
      </w:r>
      <w:r w:rsidR="00605836">
        <w:rPr>
          <w:szCs w:val="22"/>
        </w:rPr>
        <w:t xml:space="preserve">Petition for Reconsideration, filed by Texas Public Radio, is </w:t>
      </w:r>
      <w:r w:rsidR="00605836">
        <w:rPr>
          <w:b/>
          <w:szCs w:val="22"/>
        </w:rPr>
        <w:t>D</w:t>
      </w:r>
      <w:r w:rsidR="00B17912">
        <w:rPr>
          <w:b/>
          <w:szCs w:val="22"/>
        </w:rPr>
        <w:t>ISMISSED</w:t>
      </w:r>
      <w:r w:rsidR="006A5725">
        <w:rPr>
          <w:b/>
          <w:szCs w:val="22"/>
        </w:rPr>
        <w:t xml:space="preserve"> IN PART AND DENIED IN ALL OTHER RESPECTS</w:t>
      </w:r>
      <w:r w:rsidR="00605836">
        <w:rPr>
          <w:szCs w:val="22"/>
        </w:rPr>
        <w:t>.</w:t>
      </w:r>
    </w:p>
    <w:p w:rsidR="00605836" w:rsidRDefault="00605836" w:rsidP="00FB2F06">
      <w:pPr>
        <w:pStyle w:val="ParaNum"/>
        <w:numPr>
          <w:ilvl w:val="0"/>
          <w:numId w:val="0"/>
        </w:numPr>
        <w:tabs>
          <w:tab w:val="left" w:pos="720"/>
          <w:tab w:val="left" w:pos="2880"/>
          <w:tab w:val="left" w:pos="3600"/>
          <w:tab w:val="left" w:pos="4320"/>
          <w:tab w:val="left" w:pos="5040"/>
          <w:tab w:val="right" w:pos="9360"/>
        </w:tabs>
        <w:spacing w:after="240"/>
        <w:jc w:val="left"/>
      </w:pPr>
    </w:p>
    <w:p w:rsidR="00D341BB" w:rsidRDefault="00D341BB" w:rsidP="00605836">
      <w:pPr>
        <w:pStyle w:val="ParaNum"/>
        <w:numPr>
          <w:ilvl w:val="0"/>
          <w:numId w:val="0"/>
        </w:numPr>
        <w:tabs>
          <w:tab w:val="left" w:pos="720"/>
          <w:tab w:val="left" w:pos="2880"/>
          <w:tab w:val="left" w:pos="3600"/>
          <w:tab w:val="left" w:pos="4320"/>
          <w:tab w:val="left" w:pos="5040"/>
          <w:tab w:val="right" w:pos="9360"/>
        </w:tabs>
        <w:spacing w:after="240"/>
        <w:ind w:left="4770"/>
        <w:jc w:val="left"/>
      </w:pPr>
      <w:r>
        <w:t>FEDERAL COMMUNICATIONS COMMISSION</w:t>
      </w:r>
    </w:p>
    <w:p w:rsidR="00D341BB" w:rsidRDefault="00D341BB" w:rsidP="00605836">
      <w:pPr>
        <w:pStyle w:val="ParaNum"/>
        <w:numPr>
          <w:ilvl w:val="0"/>
          <w:numId w:val="0"/>
        </w:numPr>
        <w:tabs>
          <w:tab w:val="left" w:pos="720"/>
          <w:tab w:val="left" w:pos="2880"/>
          <w:tab w:val="left" w:pos="3600"/>
          <w:tab w:val="left" w:pos="4320"/>
          <w:tab w:val="left" w:pos="5040"/>
          <w:tab w:val="right" w:pos="9360"/>
        </w:tabs>
        <w:spacing w:after="240"/>
        <w:ind w:left="4770"/>
        <w:jc w:val="left"/>
      </w:pPr>
    </w:p>
    <w:p w:rsidR="002A6323" w:rsidRDefault="002A6323" w:rsidP="00605836">
      <w:pPr>
        <w:pStyle w:val="ParaNum"/>
        <w:numPr>
          <w:ilvl w:val="0"/>
          <w:numId w:val="0"/>
        </w:numPr>
        <w:tabs>
          <w:tab w:val="left" w:pos="720"/>
          <w:tab w:val="left" w:pos="2880"/>
          <w:tab w:val="left" w:pos="3600"/>
          <w:tab w:val="left" w:pos="4320"/>
          <w:tab w:val="left" w:pos="5040"/>
          <w:tab w:val="right" w:pos="9360"/>
        </w:tabs>
        <w:spacing w:after="240"/>
        <w:ind w:left="4770"/>
        <w:jc w:val="left"/>
      </w:pPr>
    </w:p>
    <w:p w:rsidR="00D341BB" w:rsidRDefault="00D341BB" w:rsidP="00605836">
      <w:pPr>
        <w:pStyle w:val="ParaNum"/>
        <w:numPr>
          <w:ilvl w:val="0"/>
          <w:numId w:val="0"/>
        </w:numPr>
        <w:tabs>
          <w:tab w:val="left" w:pos="720"/>
          <w:tab w:val="left" w:pos="2880"/>
          <w:tab w:val="left" w:pos="3600"/>
          <w:tab w:val="left" w:pos="4320"/>
          <w:tab w:val="left" w:pos="5040"/>
          <w:tab w:val="right" w:pos="9360"/>
        </w:tabs>
        <w:spacing w:after="0"/>
        <w:ind w:left="4770"/>
        <w:jc w:val="left"/>
      </w:pPr>
      <w:r>
        <w:t>Barbara A. Kreisman</w:t>
      </w:r>
    </w:p>
    <w:p w:rsidR="00D341BB" w:rsidRDefault="00D341BB" w:rsidP="002A5B05">
      <w:pPr>
        <w:pStyle w:val="ParaNum"/>
        <w:numPr>
          <w:ilvl w:val="0"/>
          <w:numId w:val="0"/>
        </w:numPr>
        <w:tabs>
          <w:tab w:val="left" w:pos="720"/>
          <w:tab w:val="left" w:pos="2880"/>
          <w:tab w:val="left" w:pos="3600"/>
          <w:tab w:val="left" w:pos="4320"/>
          <w:tab w:val="left" w:pos="5040"/>
          <w:tab w:val="right" w:pos="9360"/>
        </w:tabs>
        <w:spacing w:after="0"/>
        <w:ind w:left="4770"/>
        <w:jc w:val="left"/>
      </w:pPr>
      <w:r>
        <w:t>Chief</w:t>
      </w:r>
      <w:r w:rsidR="002A5B05">
        <w:t xml:space="preserve">, </w:t>
      </w:r>
      <w:r>
        <w:t>Video Division</w:t>
      </w:r>
    </w:p>
    <w:p w:rsidR="00D341BB" w:rsidRPr="00D341BB" w:rsidRDefault="00D341BB" w:rsidP="00605836">
      <w:pPr>
        <w:pStyle w:val="ParaNum"/>
        <w:numPr>
          <w:ilvl w:val="0"/>
          <w:numId w:val="0"/>
        </w:numPr>
        <w:tabs>
          <w:tab w:val="left" w:pos="720"/>
          <w:tab w:val="left" w:pos="2880"/>
          <w:tab w:val="left" w:pos="3600"/>
          <w:tab w:val="left" w:pos="4320"/>
          <w:tab w:val="left" w:pos="5040"/>
          <w:tab w:val="right" w:pos="9360"/>
        </w:tabs>
        <w:spacing w:after="0"/>
        <w:ind w:left="4770"/>
        <w:jc w:val="left"/>
      </w:pPr>
      <w:r>
        <w:t>Media Bureau</w:t>
      </w:r>
    </w:p>
    <w:sectPr w:rsidR="00D341BB" w:rsidRPr="00D341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2D" w:rsidRDefault="00416C2D">
      <w:r>
        <w:separator/>
      </w:r>
    </w:p>
  </w:endnote>
  <w:endnote w:type="continuationSeparator" w:id="0">
    <w:p w:rsidR="00416C2D" w:rsidRDefault="0041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BC" w:rsidRDefault="008F1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6B" w:rsidRDefault="00D1486B">
    <w:pPr>
      <w:pStyle w:val="Footer"/>
      <w:jc w:val="center"/>
    </w:pPr>
    <w:r>
      <w:rPr>
        <w:rStyle w:val="PageNumber"/>
      </w:rPr>
      <w:fldChar w:fldCharType="begin"/>
    </w:r>
    <w:r>
      <w:rPr>
        <w:rStyle w:val="PageNumber"/>
      </w:rPr>
      <w:instrText xml:space="preserve"> PAGE </w:instrText>
    </w:r>
    <w:r>
      <w:rPr>
        <w:rStyle w:val="PageNumber"/>
      </w:rPr>
      <w:fldChar w:fldCharType="separate"/>
    </w:r>
    <w:r w:rsidR="00A949C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BC" w:rsidRDefault="008F1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2D" w:rsidRDefault="00416C2D">
      <w:pPr>
        <w:rPr>
          <w:sz w:val="20"/>
        </w:rPr>
      </w:pPr>
      <w:r>
        <w:rPr>
          <w:sz w:val="20"/>
        </w:rPr>
        <w:separator/>
      </w:r>
    </w:p>
  </w:footnote>
  <w:footnote w:type="continuationSeparator" w:id="0">
    <w:p w:rsidR="00416C2D" w:rsidRDefault="00416C2D">
      <w:pPr>
        <w:rPr>
          <w:sz w:val="20"/>
        </w:rPr>
      </w:pPr>
      <w:r>
        <w:rPr>
          <w:sz w:val="20"/>
        </w:rPr>
        <w:separator/>
      </w:r>
    </w:p>
    <w:p w:rsidR="00416C2D" w:rsidRDefault="00416C2D">
      <w:pPr>
        <w:rPr>
          <w:sz w:val="20"/>
        </w:rPr>
      </w:pPr>
      <w:r>
        <w:rPr>
          <w:sz w:val="20"/>
        </w:rPr>
        <w:t>(...continued from previous page)</w:t>
      </w:r>
    </w:p>
  </w:footnote>
  <w:footnote w:type="continuationNotice" w:id="1">
    <w:p w:rsidR="00416C2D" w:rsidRDefault="00416C2D">
      <w:pPr>
        <w:jc w:val="right"/>
        <w:rPr>
          <w:sz w:val="20"/>
        </w:rPr>
      </w:pPr>
      <w:r>
        <w:rPr>
          <w:sz w:val="20"/>
        </w:rPr>
        <w:t>(continued....)</w:t>
      </w:r>
    </w:p>
  </w:footnote>
  <w:footnote w:id="2">
    <w:p w:rsidR="00032E8E" w:rsidRPr="00417226" w:rsidRDefault="00032E8E" w:rsidP="00174715">
      <w:pPr>
        <w:pStyle w:val="FootnoteText"/>
      </w:pPr>
      <w:r w:rsidRPr="00417226">
        <w:rPr>
          <w:rStyle w:val="FootnoteReference"/>
        </w:rPr>
        <w:footnoteRef/>
      </w:r>
      <w:r w:rsidRPr="00417226">
        <w:t xml:space="preserve"> </w:t>
      </w:r>
      <w:r w:rsidRPr="00417226">
        <w:rPr>
          <w:i/>
        </w:rPr>
        <w:t>Texas Public Radio</w:t>
      </w:r>
      <w:r w:rsidRPr="00417226">
        <w:t>, Petition for Reconsideration (Petition) (</w:t>
      </w:r>
      <w:r w:rsidR="00E650DC" w:rsidRPr="00417226">
        <w:t xml:space="preserve">dated </w:t>
      </w:r>
      <w:r w:rsidRPr="00417226">
        <w:t xml:space="preserve">May 10, 2017). </w:t>
      </w:r>
    </w:p>
  </w:footnote>
  <w:footnote w:id="3">
    <w:p w:rsidR="00E650DC" w:rsidRPr="00417226" w:rsidRDefault="00E650DC" w:rsidP="00174715">
      <w:pPr>
        <w:pStyle w:val="FootnoteText"/>
        <w:tabs>
          <w:tab w:val="clear" w:pos="180"/>
          <w:tab w:val="left" w:pos="0"/>
          <w:tab w:val="left" w:pos="90"/>
        </w:tabs>
      </w:pPr>
      <w:r w:rsidRPr="00417226">
        <w:rPr>
          <w:rStyle w:val="FootnoteReference"/>
        </w:rPr>
        <w:footnoteRef/>
      </w:r>
      <w:r w:rsidR="00D93055" w:rsidRPr="00417226">
        <w:t xml:space="preserve"> </w:t>
      </w:r>
      <w:r w:rsidRPr="00417226">
        <w:rPr>
          <w:i/>
        </w:rPr>
        <w:t>Sun Radio Foundation</w:t>
      </w:r>
      <w:r w:rsidRPr="00417226">
        <w:t>, Opposition to Petition for Reconsideration (accepted for filing on May 24, 2017) (Opposition).</w:t>
      </w:r>
    </w:p>
  </w:footnote>
  <w:footnote w:id="4">
    <w:p w:rsidR="00AF4501" w:rsidRPr="00417226" w:rsidRDefault="00AF4501" w:rsidP="00174715">
      <w:pPr>
        <w:pStyle w:val="FootnoteText"/>
      </w:pPr>
      <w:r w:rsidRPr="00417226">
        <w:rPr>
          <w:rStyle w:val="FootnoteReference"/>
        </w:rPr>
        <w:footnoteRef/>
      </w:r>
      <w:r w:rsidRPr="00417226">
        <w:t xml:space="preserve"> </w:t>
      </w:r>
      <w:r w:rsidRPr="00417226">
        <w:rPr>
          <w:i/>
        </w:rPr>
        <w:t>See supra</w:t>
      </w:r>
      <w:r w:rsidR="003F4BEC">
        <w:t xml:space="preserve"> notes 1 and 2.</w:t>
      </w:r>
    </w:p>
  </w:footnote>
  <w:footnote w:id="5">
    <w:p w:rsidR="008E5873" w:rsidRPr="00417226" w:rsidRDefault="008E5873" w:rsidP="00174715">
      <w:pPr>
        <w:pStyle w:val="FootnoteText"/>
      </w:pPr>
      <w:r w:rsidRPr="00417226">
        <w:rPr>
          <w:rStyle w:val="FootnoteReference"/>
        </w:rPr>
        <w:footnoteRef/>
      </w:r>
      <w:r w:rsidRPr="00417226">
        <w:t xml:space="preserve"> Petition at 1-2.</w:t>
      </w:r>
    </w:p>
  </w:footnote>
  <w:footnote w:id="6">
    <w:p w:rsidR="00790A32" w:rsidRDefault="00C14E92" w:rsidP="00174715">
      <w:pPr>
        <w:pStyle w:val="FootnoteText"/>
      </w:pPr>
      <w:r>
        <w:rPr>
          <w:rStyle w:val="FootnoteReference"/>
        </w:rPr>
        <w:footnoteRef/>
      </w:r>
      <w:r w:rsidR="00790A32">
        <w:t xml:space="preserve"> Petition at 2;</w:t>
      </w:r>
      <w:r>
        <w:t xml:space="preserve"> </w:t>
      </w:r>
      <w:r w:rsidR="00790A32">
        <w:rPr>
          <w:i/>
        </w:rPr>
        <w:t>Sun Radio Foundation</w:t>
      </w:r>
      <w:r w:rsidR="00790A32">
        <w:t>, Letter Responding to TPR (Response to Request), pg. 2, Attachment 1 (dated Jan. 19, 2017).</w:t>
      </w:r>
    </w:p>
  </w:footnote>
  <w:footnote w:id="7">
    <w:p w:rsidR="003F4BEC" w:rsidRDefault="003F4BEC" w:rsidP="00174715">
      <w:pPr>
        <w:pStyle w:val="FootnoteText"/>
      </w:pPr>
      <w:r>
        <w:rPr>
          <w:rStyle w:val="FootnoteReference"/>
        </w:rPr>
        <w:footnoteRef/>
      </w:r>
      <w:r>
        <w:t xml:space="preserve"> Petition at 2.</w:t>
      </w:r>
    </w:p>
  </w:footnote>
  <w:footnote w:id="8">
    <w:p w:rsidR="00AB0B6A" w:rsidRPr="00417226" w:rsidRDefault="00AB0B6A" w:rsidP="00174715">
      <w:pPr>
        <w:pStyle w:val="FootnoteText"/>
      </w:pPr>
      <w:r w:rsidRPr="00417226">
        <w:rPr>
          <w:rStyle w:val="FootnoteReference"/>
        </w:rPr>
        <w:footnoteRef/>
      </w:r>
      <w:r w:rsidRPr="00417226">
        <w:t xml:space="preserve"> </w:t>
      </w:r>
      <w:r w:rsidR="00685C22">
        <w:t>Petition</w:t>
      </w:r>
      <w:r w:rsidRPr="00417226">
        <w:t xml:space="preserve"> at 2-3.</w:t>
      </w:r>
    </w:p>
  </w:footnote>
  <w:footnote w:id="9">
    <w:p w:rsidR="00AB0B6A" w:rsidRPr="00417226" w:rsidRDefault="00AB0B6A" w:rsidP="00174715">
      <w:pPr>
        <w:pStyle w:val="FootnoteText"/>
      </w:pPr>
      <w:r w:rsidRPr="00417226">
        <w:rPr>
          <w:rStyle w:val="FootnoteReference"/>
        </w:rPr>
        <w:footnoteRef/>
      </w:r>
      <w:r w:rsidR="00685C22">
        <w:t xml:space="preserve"> Petition</w:t>
      </w:r>
      <w:r w:rsidRPr="00417226">
        <w:rPr>
          <w:i/>
        </w:rPr>
        <w:t xml:space="preserve"> </w:t>
      </w:r>
      <w:r w:rsidRPr="00417226">
        <w:t>at 3 (citing</w:t>
      </w:r>
      <w:r w:rsidRPr="00417226">
        <w:rPr>
          <w:i/>
        </w:rPr>
        <w:t xml:space="preserve"> </w:t>
      </w:r>
      <w:r w:rsidRPr="00417226">
        <w:t>47 CFR § 73.3550(g) (“Objections to the assignment of requested call signs will not be entertained at the FCC”)</w:t>
      </w:r>
      <w:r w:rsidR="00BD373F">
        <w:t>)</w:t>
      </w:r>
      <w:r w:rsidRPr="00417226">
        <w:t>.</w:t>
      </w:r>
    </w:p>
  </w:footnote>
  <w:footnote w:id="10">
    <w:p w:rsidR="00333578" w:rsidRDefault="00333578" w:rsidP="00174715">
      <w:pPr>
        <w:pStyle w:val="FootnoteText"/>
      </w:pPr>
      <w:r>
        <w:rPr>
          <w:rStyle w:val="FootnoteReference"/>
        </w:rPr>
        <w:footnoteRef/>
      </w:r>
      <w:r w:rsidR="00685C22">
        <w:t xml:space="preserve"> Opposition</w:t>
      </w:r>
      <w:r>
        <w:t xml:space="preserve"> at 2.</w:t>
      </w:r>
    </w:p>
  </w:footnote>
  <w:footnote w:id="11">
    <w:p w:rsidR="00333578" w:rsidRPr="00333578" w:rsidRDefault="00333578" w:rsidP="00174715">
      <w:pPr>
        <w:pStyle w:val="FootnoteText"/>
      </w:pPr>
      <w:r>
        <w:rPr>
          <w:rStyle w:val="FootnoteReference"/>
        </w:rPr>
        <w:footnoteRef/>
      </w:r>
      <w:r w:rsidR="00685C22">
        <w:t xml:space="preserve"> Opposition </w:t>
      </w:r>
      <w:r w:rsidR="004D1130">
        <w:t>at</w:t>
      </w:r>
      <w:r w:rsidR="006531C0">
        <w:t xml:space="preserve"> </w:t>
      </w:r>
      <w:r w:rsidR="002364E3">
        <w:t>n.</w:t>
      </w:r>
      <w:r w:rsidR="005C1E69">
        <w:t xml:space="preserve"> </w:t>
      </w:r>
      <w:r>
        <w:t xml:space="preserve">2 (citing </w:t>
      </w:r>
      <w:r w:rsidR="00160874">
        <w:t>Response to Request</w:t>
      </w:r>
      <w:r w:rsidR="004D1130">
        <w:t>, pg. 2, At</w:t>
      </w:r>
      <w:r w:rsidR="007C5D0B">
        <w:t>tachment 1)</w:t>
      </w:r>
      <w:r w:rsidR="004D1130">
        <w:t>.</w:t>
      </w:r>
    </w:p>
  </w:footnote>
  <w:footnote w:id="12">
    <w:p w:rsidR="004D1130" w:rsidRDefault="004D1130" w:rsidP="00174715">
      <w:pPr>
        <w:pStyle w:val="FootnoteText"/>
      </w:pPr>
      <w:r>
        <w:rPr>
          <w:rStyle w:val="FootnoteReference"/>
        </w:rPr>
        <w:footnoteRef/>
      </w:r>
      <w:r w:rsidR="00685C22">
        <w:t xml:space="preserve"> Opposition </w:t>
      </w:r>
      <w:r>
        <w:t>at 3.</w:t>
      </w:r>
    </w:p>
  </w:footnote>
  <w:footnote w:id="13">
    <w:p w:rsidR="004D1130" w:rsidRPr="00685C22" w:rsidRDefault="004D1130" w:rsidP="00174715">
      <w:pPr>
        <w:pStyle w:val="FootnoteText"/>
      </w:pPr>
      <w:r>
        <w:rPr>
          <w:rStyle w:val="FootnoteReference"/>
        </w:rPr>
        <w:footnoteRef/>
      </w:r>
      <w:r>
        <w:t xml:space="preserve"> </w:t>
      </w:r>
      <w:r w:rsidR="00685C22">
        <w:rPr>
          <w:i/>
        </w:rPr>
        <w:t>Id</w:t>
      </w:r>
      <w:r w:rsidR="00685C22">
        <w:t>.</w:t>
      </w:r>
    </w:p>
  </w:footnote>
  <w:footnote w:id="14">
    <w:p w:rsidR="00685C22" w:rsidRDefault="00685C22" w:rsidP="00174715">
      <w:pPr>
        <w:pStyle w:val="FootnoteText"/>
      </w:pPr>
      <w:r>
        <w:rPr>
          <w:rStyle w:val="FootnoteReference"/>
        </w:rPr>
        <w:footnoteRef/>
      </w:r>
      <w:r>
        <w:t xml:space="preserve"> Opposition at 4-5.</w:t>
      </w:r>
    </w:p>
  </w:footnote>
  <w:footnote w:id="15">
    <w:p w:rsidR="003B787B" w:rsidRPr="00417226" w:rsidRDefault="003B787B" w:rsidP="00174715">
      <w:pPr>
        <w:pStyle w:val="FootnoteText"/>
      </w:pPr>
      <w:r w:rsidRPr="00417226">
        <w:rPr>
          <w:rStyle w:val="FootnoteReference"/>
        </w:rPr>
        <w:footnoteRef/>
      </w:r>
      <w:r w:rsidRPr="00417226">
        <w:t xml:space="preserve"> 47 U.S.C. §405(a); 47 CFR § 1.106(f)(1).</w:t>
      </w:r>
    </w:p>
  </w:footnote>
  <w:footnote w:id="16">
    <w:p w:rsidR="001942FD" w:rsidRPr="00417226" w:rsidRDefault="001942FD" w:rsidP="00174715">
      <w:pPr>
        <w:pStyle w:val="FootnoteText"/>
      </w:pPr>
      <w:r w:rsidRPr="00417226">
        <w:rPr>
          <w:rStyle w:val="FootnoteReference"/>
        </w:rPr>
        <w:footnoteRef/>
      </w:r>
      <w:r w:rsidRPr="00417226">
        <w:t xml:space="preserve"> 47 CFR § 1.106(k)(3).</w:t>
      </w:r>
    </w:p>
  </w:footnote>
  <w:footnote w:id="17">
    <w:p w:rsidR="00942FF4" w:rsidRPr="00417226" w:rsidRDefault="00942FF4" w:rsidP="00174715">
      <w:pPr>
        <w:pStyle w:val="FootnoteText"/>
      </w:pPr>
      <w:r w:rsidRPr="00417226">
        <w:rPr>
          <w:rStyle w:val="FootnoteReference"/>
        </w:rPr>
        <w:footnoteRef/>
      </w:r>
      <w:r w:rsidRPr="00417226">
        <w:t xml:space="preserve"> </w:t>
      </w:r>
      <w:r w:rsidR="00D14157">
        <w:t>Division</w:t>
      </w:r>
      <w:r w:rsidR="00D14157" w:rsidRPr="00417226">
        <w:t xml:space="preserve"> </w:t>
      </w:r>
      <w:r w:rsidRPr="00417226">
        <w:t xml:space="preserve">staff determined that TPR’s Rescission Request was best treated as a late-filed petition for reconsideration because the </w:t>
      </w:r>
      <w:r w:rsidR="00D14157">
        <w:t>Division</w:t>
      </w:r>
      <w:r w:rsidR="00D14157" w:rsidRPr="00417226">
        <w:t xml:space="preserve"> </w:t>
      </w:r>
      <w:r w:rsidRPr="00417226">
        <w:t xml:space="preserve">provided public notice of </w:t>
      </w:r>
      <w:r w:rsidR="00240985">
        <w:t xml:space="preserve">the </w:t>
      </w:r>
      <w:r w:rsidRPr="00417226">
        <w:t>call sign change</w:t>
      </w:r>
      <w:r w:rsidR="002364E3">
        <w:t>,</w:t>
      </w:r>
      <w:r w:rsidRPr="00417226">
        <w:t xml:space="preserve"> and TPR filed its Rescission Request approximately 227 days late without</w:t>
      </w:r>
      <w:r w:rsidR="00240985">
        <w:t xml:space="preserve"> a</w:t>
      </w:r>
      <w:r w:rsidRPr="00417226">
        <w:t xml:space="preserve"> showing </w:t>
      </w:r>
      <w:r w:rsidR="00240985">
        <w:t xml:space="preserve">that </w:t>
      </w:r>
      <w:r w:rsidRPr="00417226">
        <w:t>extraordinary circumstances justi</w:t>
      </w:r>
      <w:r w:rsidR="00240985">
        <w:t>fied</w:t>
      </w:r>
      <w:r w:rsidRPr="00417226">
        <w:t xml:space="preserve"> </w:t>
      </w:r>
      <w:r w:rsidR="00240985">
        <w:t>the late filing</w:t>
      </w:r>
      <w:r w:rsidRPr="00417226">
        <w:t>.</w:t>
      </w:r>
      <w:r w:rsidR="00240985" w:rsidRPr="00240985">
        <w:rPr>
          <w:i/>
        </w:rPr>
        <w:t xml:space="preserve"> </w:t>
      </w:r>
      <w:r w:rsidR="00240985">
        <w:rPr>
          <w:i/>
        </w:rPr>
        <w:t xml:space="preserve"> See Gardner v. FCC</w:t>
      </w:r>
      <w:r w:rsidR="00240985">
        <w:t>, 530 F.2d 1086, 1091 (D.C. Cir 1976) (the Commission may only act on late-filed petitions for reconsideration when “extraordinary circumstances indicate that justice would thus be served”)</w:t>
      </w:r>
      <w:r w:rsidR="00240985" w:rsidRPr="00417226">
        <w:t>.</w:t>
      </w:r>
    </w:p>
  </w:footnote>
  <w:footnote w:id="18">
    <w:p w:rsidR="00722AE4" w:rsidRPr="00417226" w:rsidRDefault="00722AE4" w:rsidP="00174715">
      <w:pPr>
        <w:pStyle w:val="FootnoteText"/>
      </w:pPr>
      <w:r w:rsidRPr="00417226">
        <w:rPr>
          <w:rStyle w:val="FootnoteReference"/>
        </w:rPr>
        <w:footnoteRef/>
      </w:r>
      <w:r w:rsidRPr="00417226">
        <w:t xml:space="preserve"> 47 CFR </w:t>
      </w:r>
      <w:r w:rsidR="00174715">
        <w:t xml:space="preserve">§ </w:t>
      </w:r>
      <w:r w:rsidRPr="00417226">
        <w:t>73.3550(m).</w:t>
      </w:r>
    </w:p>
  </w:footnote>
  <w:footnote w:id="19">
    <w:p w:rsidR="00DB2886" w:rsidRPr="00417226" w:rsidRDefault="00DB2886" w:rsidP="00174715">
      <w:pPr>
        <w:pStyle w:val="FootnoteText"/>
      </w:pPr>
      <w:r w:rsidRPr="00417226">
        <w:rPr>
          <w:rStyle w:val="FootnoteReference"/>
        </w:rPr>
        <w:footnoteRef/>
      </w:r>
      <w:r w:rsidRPr="00417226">
        <w:t xml:space="preserve"> </w:t>
      </w:r>
      <w:r w:rsidR="008C55EE">
        <w:t>Response to Request, pg. 2, Attachment 1</w:t>
      </w:r>
      <w:r w:rsidR="005C1E69">
        <w:t>.</w:t>
      </w:r>
    </w:p>
  </w:footnote>
  <w:footnote w:id="20">
    <w:p w:rsidR="00EB5207" w:rsidRPr="00417226" w:rsidRDefault="00EB5207" w:rsidP="00174715">
      <w:pPr>
        <w:pStyle w:val="FootnoteText"/>
      </w:pPr>
      <w:r w:rsidRPr="00417226">
        <w:rPr>
          <w:rStyle w:val="FootnoteReference"/>
        </w:rPr>
        <w:footnoteRef/>
      </w:r>
      <w:r w:rsidRPr="00417226">
        <w:t xml:space="preserve"> 47 CFR </w:t>
      </w:r>
      <w:r w:rsidR="00174715">
        <w:t xml:space="preserve">§ </w:t>
      </w:r>
      <w:r w:rsidRPr="00417226">
        <w:t>73.3550(g).</w:t>
      </w:r>
    </w:p>
  </w:footnote>
  <w:footnote w:id="21">
    <w:p w:rsidR="00304ED0" w:rsidRPr="00304ED0" w:rsidRDefault="00304ED0" w:rsidP="00174715">
      <w:pPr>
        <w:pStyle w:val="FootnoteText"/>
      </w:pPr>
      <w:r>
        <w:rPr>
          <w:rStyle w:val="FootnoteReference"/>
        </w:rPr>
        <w:footnoteRef/>
      </w:r>
      <w:r>
        <w:t xml:space="preserve"> </w:t>
      </w:r>
      <w:r>
        <w:rPr>
          <w:i/>
        </w:rPr>
        <w:t>See e.g.</w:t>
      </w:r>
      <w:r w:rsidR="00DA0609">
        <w:rPr>
          <w:i/>
        </w:rPr>
        <w:t>,</w:t>
      </w:r>
      <w:r>
        <w:rPr>
          <w:i/>
        </w:rPr>
        <w:t xml:space="preserve"> KMYA-DT, KMYA-LP</w:t>
      </w:r>
      <w:r>
        <w:t>, Memorandum Opinion and Order, 32 FCC Rc</w:t>
      </w:r>
      <w:r w:rsidR="008C55EE">
        <w:t>d 5015 (Vid. Div.</w:t>
      </w:r>
      <w:r>
        <w:t xml:space="preserve"> 2017) (analyzing whether </w:t>
      </w:r>
      <w:r w:rsidR="00DA0609">
        <w:t>Licensee had the authority to assign Commission licenses to a third party after entering an asset purchase agreement with another party).</w:t>
      </w:r>
    </w:p>
  </w:footnote>
  <w:footnote w:id="22">
    <w:p w:rsidR="00DA0609" w:rsidRPr="00DA0609" w:rsidRDefault="00DA0609" w:rsidP="00174715">
      <w:pPr>
        <w:pStyle w:val="FootnoteText"/>
      </w:pPr>
      <w:r>
        <w:rPr>
          <w:rStyle w:val="FootnoteReference"/>
        </w:rPr>
        <w:footnoteRef/>
      </w:r>
      <w:r>
        <w:t xml:space="preserve"> </w:t>
      </w:r>
      <w:r>
        <w:rPr>
          <w:i/>
        </w:rPr>
        <w:t>See e.g., Id.</w:t>
      </w:r>
      <w:r>
        <w:t xml:space="preserve"> (finding that the Commission was not the proper jurisdiction to resolve contractual disputes).</w:t>
      </w:r>
    </w:p>
  </w:footnote>
  <w:footnote w:id="23">
    <w:p w:rsidR="00722AE4" w:rsidRPr="00417226" w:rsidRDefault="00722AE4" w:rsidP="00174715">
      <w:pPr>
        <w:pStyle w:val="FootnoteText"/>
      </w:pPr>
      <w:r w:rsidRPr="00417226">
        <w:rPr>
          <w:rStyle w:val="FootnoteReference"/>
        </w:rPr>
        <w:footnoteRef/>
      </w:r>
      <w:r w:rsidRPr="00417226">
        <w:t xml:space="preserve"> 47 U.S.C. § 303.</w:t>
      </w:r>
    </w:p>
  </w:footnote>
  <w:footnote w:id="24">
    <w:p w:rsidR="00722AE4" w:rsidRPr="00417226" w:rsidRDefault="00722AE4" w:rsidP="00174715">
      <w:pPr>
        <w:pStyle w:val="FootnoteText"/>
      </w:pPr>
      <w:r w:rsidRPr="00417226">
        <w:rPr>
          <w:rStyle w:val="FootnoteReference"/>
        </w:rPr>
        <w:footnoteRef/>
      </w:r>
      <w:r w:rsidRPr="00417226">
        <w:t xml:space="preserve"> 47 CFR</w:t>
      </w:r>
      <w:r w:rsidR="00174715">
        <w:t xml:space="preserve"> §</w:t>
      </w:r>
      <w:r w:rsidRPr="00417226">
        <w:t xml:space="preserve"> 73.3550(a).</w:t>
      </w:r>
    </w:p>
  </w:footnote>
  <w:footnote w:id="25">
    <w:p w:rsidR="00D37240" w:rsidRPr="00417226" w:rsidRDefault="00D37240" w:rsidP="00174715">
      <w:pPr>
        <w:pStyle w:val="FootnoteText"/>
      </w:pPr>
      <w:r w:rsidRPr="00417226">
        <w:rPr>
          <w:rStyle w:val="FootnoteReference"/>
        </w:rPr>
        <w:footnoteRef/>
      </w:r>
      <w:r w:rsidRPr="00417226">
        <w:t xml:space="preserve"> </w:t>
      </w:r>
      <w:r w:rsidR="005C573E" w:rsidRPr="00417226">
        <w:t xml:space="preserve">Under the Administrative Procedures Act, the Commission is required to provide public notice of all call sign actions. </w:t>
      </w:r>
      <w:r w:rsidR="00A021AD" w:rsidRPr="00417226">
        <w:t>5 U.S.C. § 552(a)(2)(A) (</w:t>
      </w:r>
      <w:r w:rsidR="009B0194" w:rsidRPr="00417226">
        <w:t>“</w:t>
      </w:r>
      <w:r w:rsidR="00A021AD" w:rsidRPr="00417226">
        <w:t>E</w:t>
      </w:r>
      <w:r w:rsidR="009B0194" w:rsidRPr="00417226">
        <w:t>ach agency, in accordance with published rules, shall make available for public inspection in an electronic format . . . orders, made in t</w:t>
      </w:r>
      <w:r w:rsidR="00A86F77">
        <w:t>he adjudication of cases”);</w:t>
      </w:r>
      <w:r w:rsidR="009B0194" w:rsidRPr="00417226">
        <w:t xml:space="preserve"> </w:t>
      </w:r>
      <w:r w:rsidR="0022264E" w:rsidRPr="00417226">
        <w:rPr>
          <w:i/>
        </w:rPr>
        <w:t xml:space="preserve">See </w:t>
      </w:r>
      <w:r w:rsidRPr="00417226">
        <w:t>5 U.S.C. § 551</w:t>
      </w:r>
      <w:r w:rsidR="0022264E" w:rsidRPr="00417226">
        <w:t xml:space="preserve">(7) </w:t>
      </w:r>
      <w:r w:rsidR="00240985">
        <w:t>(</w:t>
      </w:r>
      <w:r w:rsidR="0022264E" w:rsidRPr="00417226">
        <w:t>defining</w:t>
      </w:r>
      <w:r w:rsidRPr="00417226">
        <w:t xml:space="preserve"> </w:t>
      </w:r>
      <w:r w:rsidR="0022264E" w:rsidRPr="00417226">
        <w:t>“adjudication” as “the agency process for the formation of an order</w:t>
      </w:r>
      <w:r w:rsidR="00240985">
        <w:t>”)</w:t>
      </w:r>
      <w:r w:rsidR="0022264E" w:rsidRPr="00417226">
        <w:t xml:space="preserve">; 5 U.S.C. § 551(6) </w:t>
      </w:r>
      <w:r w:rsidR="00240985">
        <w:t>(</w:t>
      </w:r>
      <w:r w:rsidR="0022264E" w:rsidRPr="00417226">
        <w:t>defining “order” as “the whole or part of a final disposition . . . of an agency in a matter other than rule making but including licensing”</w:t>
      </w:r>
      <w:r w:rsidR="00240985">
        <w:t>);</w:t>
      </w:r>
      <w:r w:rsidR="0022264E" w:rsidRPr="00417226">
        <w:t xml:space="preserve"> </w:t>
      </w:r>
      <w:r w:rsidR="00A021AD" w:rsidRPr="00417226">
        <w:t xml:space="preserve">Call sign assignments and changes fit into the APA’s definition of “licensing.” </w:t>
      </w:r>
      <w:r w:rsidR="0022264E" w:rsidRPr="00417226">
        <w:t xml:space="preserve">5 U.S.C. § 551(9) </w:t>
      </w:r>
      <w:r w:rsidR="00240985">
        <w:t>(</w:t>
      </w:r>
      <w:r w:rsidR="0022264E" w:rsidRPr="00417226">
        <w:t>defining “licensing” as “the whole or part of an agency permit, certificate, approval, registration, charter, membership, statutory exemption or other form of permission”</w:t>
      </w:r>
      <w:r w:rsidR="00240985">
        <w:t>).</w:t>
      </w:r>
      <w:r w:rsidR="00A021AD" w:rsidRPr="00417226">
        <w:t xml:space="preserve"> </w:t>
      </w:r>
    </w:p>
  </w:footnote>
  <w:footnote w:id="26">
    <w:p w:rsidR="00722AE4" w:rsidRPr="00417226" w:rsidRDefault="00722AE4" w:rsidP="00174715">
      <w:pPr>
        <w:pStyle w:val="FootnoteText"/>
      </w:pPr>
      <w:r w:rsidRPr="00417226">
        <w:rPr>
          <w:rStyle w:val="FootnoteReference"/>
        </w:rPr>
        <w:footnoteRef/>
      </w:r>
      <w:r w:rsidRPr="00417226">
        <w:t xml:space="preserve"> </w:t>
      </w:r>
      <w:r w:rsidR="00205216" w:rsidRPr="00417226">
        <w:rPr>
          <w:i/>
        </w:rPr>
        <w:t>Id</w:t>
      </w:r>
      <w:r w:rsidR="00205216" w:rsidRPr="00417226">
        <w:t>.</w:t>
      </w:r>
      <w:r w:rsidR="00973479" w:rsidRPr="00417226">
        <w:t xml:space="preserve">; </w:t>
      </w:r>
      <w:r w:rsidRPr="00417226">
        <w:rPr>
          <w:i/>
        </w:rPr>
        <w:t>See e.g. Media Call Sign Actions</w:t>
      </w:r>
      <w:r w:rsidRPr="00417226">
        <w:t xml:space="preserve">, Public Notice, Report No. 529 (MB 2011); </w:t>
      </w:r>
      <w:r w:rsidRPr="00417226">
        <w:rPr>
          <w:i/>
        </w:rPr>
        <w:t>See</w:t>
      </w:r>
      <w:r w:rsidR="00205216" w:rsidRPr="00417226">
        <w:rPr>
          <w:i/>
        </w:rPr>
        <w:t xml:space="preserve"> also</w:t>
      </w:r>
      <w:r w:rsidRPr="00417226">
        <w:rPr>
          <w:i/>
        </w:rPr>
        <w:t xml:space="preserve"> e.g. Media Call Sign Actions</w:t>
      </w:r>
      <w:r w:rsidRPr="00417226">
        <w:t>, Public Notice, Report No. 394 (MB 2000).</w:t>
      </w:r>
    </w:p>
  </w:footnote>
  <w:footnote w:id="27">
    <w:p w:rsidR="00722AE4" w:rsidRPr="00417226" w:rsidRDefault="00722AE4" w:rsidP="00174715">
      <w:pPr>
        <w:pStyle w:val="FootnoteText"/>
      </w:pPr>
      <w:r w:rsidRPr="00417226">
        <w:rPr>
          <w:rStyle w:val="FootnoteReference"/>
        </w:rPr>
        <w:footnoteRef/>
      </w:r>
      <w:r w:rsidRPr="00417226">
        <w:t xml:space="preserve"> </w:t>
      </w:r>
      <w:r w:rsidRPr="00417226">
        <w:rPr>
          <w:i/>
        </w:rPr>
        <w:t>Media Call Sign Actions</w:t>
      </w:r>
      <w:r w:rsidRPr="00417226">
        <w:t>, Public Notice, Report No. 589 (MB 2016) (emphasis added).</w:t>
      </w:r>
    </w:p>
  </w:footnote>
  <w:footnote w:id="28">
    <w:p w:rsidR="003908C5" w:rsidRDefault="003908C5" w:rsidP="00174715">
      <w:pPr>
        <w:pStyle w:val="FootnoteText"/>
      </w:pPr>
      <w:r>
        <w:rPr>
          <w:rStyle w:val="FootnoteReference"/>
        </w:rPr>
        <w:footnoteRef/>
      </w:r>
      <w:r>
        <w:t xml:space="preserve"> 47 CFR § 1.113(a).</w:t>
      </w:r>
    </w:p>
  </w:footnote>
  <w:footnote w:id="29">
    <w:p w:rsidR="004B202D" w:rsidRDefault="004B202D" w:rsidP="00174715">
      <w:pPr>
        <w:pStyle w:val="FootnoteText"/>
      </w:pPr>
      <w:r>
        <w:rPr>
          <w:rStyle w:val="FootnoteReference"/>
        </w:rPr>
        <w:footnoteRef/>
      </w:r>
      <w:r>
        <w:t xml:space="preserve"> </w:t>
      </w:r>
      <w:r w:rsidR="00240985" w:rsidRPr="00417226">
        <w:rPr>
          <w:i/>
        </w:rPr>
        <w:t>County of San Mateo, California</w:t>
      </w:r>
      <w:r w:rsidR="00240985" w:rsidRPr="00417226">
        <w:t xml:space="preserve">, Memorandum Opinion and Order, 16 </w:t>
      </w:r>
      <w:r w:rsidR="00240985">
        <w:t>FCC Rcd 16501, 16503-504 (2001).</w:t>
      </w:r>
    </w:p>
  </w:footnote>
  <w:footnote w:id="30">
    <w:p w:rsidR="00352029" w:rsidRPr="00417226" w:rsidRDefault="00352029" w:rsidP="00174715">
      <w:pPr>
        <w:spacing w:after="120"/>
        <w:jc w:val="both"/>
        <w:rPr>
          <w:sz w:val="20"/>
        </w:rPr>
      </w:pPr>
      <w:r w:rsidRPr="00417226">
        <w:rPr>
          <w:rStyle w:val="FootnoteReference"/>
          <w:sz w:val="20"/>
        </w:rPr>
        <w:footnoteRef/>
      </w:r>
      <w:r w:rsidRPr="00417226">
        <w:rPr>
          <w:sz w:val="20"/>
        </w:rPr>
        <w:t xml:space="preserve"> </w:t>
      </w:r>
      <w:r w:rsidR="00FF6687">
        <w:rPr>
          <w:i/>
          <w:sz w:val="20"/>
        </w:rPr>
        <w:t>Id</w:t>
      </w:r>
      <w:r w:rsidR="00FF6687">
        <w:rPr>
          <w:sz w:val="20"/>
        </w:rPr>
        <w:t>. (“</w:t>
      </w:r>
      <w:r w:rsidRPr="00417226">
        <w:rPr>
          <w:sz w:val="20"/>
        </w:rPr>
        <w:t>‘Administrative agencies have the authority to correct inadvertent, ministerial errors.’ This authority to revisit final actions is limited. It extends only to the correction of clerical or administrative errors that underlie or occur in the process of taking an action, such as a mathematical miscalculation, or a license that omits or misstates a frequency, or a document that omits an intended party or provision”).</w:t>
      </w:r>
    </w:p>
  </w:footnote>
  <w:footnote w:id="31">
    <w:p w:rsidR="00352029" w:rsidRPr="00417226" w:rsidRDefault="00352029" w:rsidP="00174715">
      <w:pPr>
        <w:pStyle w:val="FootnoteText"/>
      </w:pPr>
      <w:r w:rsidRPr="00417226">
        <w:rPr>
          <w:rStyle w:val="FootnoteReference"/>
        </w:rPr>
        <w:footnoteRef/>
      </w:r>
      <w:r w:rsidRPr="00417226">
        <w:t xml:space="preserve"> </w:t>
      </w:r>
      <w:r w:rsidRPr="00417226">
        <w:rPr>
          <w:i/>
        </w:rPr>
        <w:t>See Supra</w:t>
      </w:r>
      <w:r w:rsidRPr="00417226">
        <w:t xml:space="preserve"> </w:t>
      </w:r>
      <w:r w:rsidR="00A86F77">
        <w:t>n.</w:t>
      </w:r>
      <w:r w:rsidR="005C1E69">
        <w:t xml:space="preserve"> </w:t>
      </w:r>
      <w:r w:rsidR="00FA1F6F">
        <w:t>26</w:t>
      </w:r>
      <w:r w:rsidRPr="00417226">
        <w:t>.</w:t>
      </w:r>
    </w:p>
  </w:footnote>
  <w:footnote w:id="32">
    <w:p w:rsidR="00BD373F" w:rsidRDefault="00BD373F" w:rsidP="00174715">
      <w:pPr>
        <w:pStyle w:val="FootnoteText"/>
      </w:pPr>
      <w:r>
        <w:rPr>
          <w:rStyle w:val="FootnoteReference"/>
        </w:rPr>
        <w:footnoteRef/>
      </w:r>
      <w:r>
        <w:t xml:space="preserve"> 47 U.S.C. § 154(i).</w:t>
      </w:r>
    </w:p>
  </w:footnote>
  <w:footnote w:id="33">
    <w:p w:rsidR="00BD373F" w:rsidRDefault="00BD373F" w:rsidP="00174715">
      <w:pPr>
        <w:pStyle w:val="FootnoteText"/>
      </w:pPr>
      <w:r>
        <w:rPr>
          <w:rStyle w:val="FootnoteReference"/>
        </w:rPr>
        <w:footnoteRef/>
      </w:r>
      <w:r>
        <w:t xml:space="preserve"> 47 CFR §§ 0.61,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BC" w:rsidRDefault="008F1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6B" w:rsidRDefault="00D1486B">
    <w:pPr>
      <w:pStyle w:val="Header"/>
      <w:tabs>
        <w:tab w:val="clear" w:pos="4320"/>
        <w:tab w:val="clear" w:pos="8640"/>
        <w:tab w:val="center" w:pos="4680"/>
        <w:tab w:val="right" w:pos="9360"/>
      </w:tabs>
      <w:rPr>
        <w:b/>
      </w:rPr>
    </w:pPr>
    <w:r>
      <w:rPr>
        <w:b/>
      </w:rPr>
      <w:tab/>
      <w:t>Federal Com</w:t>
    </w:r>
    <w:r w:rsidR="00CE7DC2">
      <w:rPr>
        <w:b/>
      </w:rPr>
      <w:t>mu</w:t>
    </w:r>
    <w:r w:rsidR="008D4EAC">
      <w:rPr>
        <w:b/>
      </w:rPr>
      <w:t>nications Commission</w:t>
    </w:r>
    <w:r w:rsidR="008D4EAC">
      <w:rPr>
        <w:b/>
      </w:rPr>
      <w:tab/>
      <w:t>DA 17-1045</w:t>
    </w:r>
    <w:r>
      <w:rPr>
        <w:b/>
      </w:rPr>
      <w:t xml:space="preserve"> </w:t>
    </w:r>
  </w:p>
  <w:p w:rsidR="00D1486B" w:rsidRDefault="00D47BBD">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43C136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D1486B" w:rsidRDefault="00D14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6B" w:rsidRDefault="00D1486B">
    <w:pPr>
      <w:pStyle w:val="Header"/>
      <w:tabs>
        <w:tab w:val="clear" w:pos="4320"/>
        <w:tab w:val="clear" w:pos="8640"/>
        <w:tab w:val="center" w:pos="4680"/>
        <w:tab w:val="right" w:pos="9360"/>
      </w:tabs>
      <w:rPr>
        <w:b/>
      </w:rPr>
    </w:pPr>
    <w:r>
      <w:rPr>
        <w:b/>
      </w:rPr>
      <w:tab/>
      <w:t>Federal Com</w:t>
    </w:r>
    <w:r w:rsidR="00E67085">
      <w:rPr>
        <w:b/>
      </w:rPr>
      <w:t>munications Commission</w:t>
    </w:r>
    <w:r w:rsidR="00E67085">
      <w:rPr>
        <w:b/>
      </w:rPr>
      <w:tab/>
      <w:t>DA 17-</w:t>
    </w:r>
    <w:r w:rsidR="002A5B05">
      <w:rPr>
        <w:b/>
      </w:rPr>
      <w:t>1045</w:t>
    </w:r>
    <w:r>
      <w:rPr>
        <w:b/>
      </w:rPr>
      <w:t xml:space="preserve"> </w:t>
    </w:r>
  </w:p>
  <w:p w:rsidR="00D1486B" w:rsidRDefault="00D47BBD">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3776653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46"/>
    <w:multiLevelType w:val="hybridMultilevel"/>
    <w:tmpl w:val="41CEF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20754B"/>
    <w:multiLevelType w:val="hybridMultilevel"/>
    <w:tmpl w:val="9ECC999C"/>
    <w:lvl w:ilvl="0" w:tplc="91087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F3D712E"/>
    <w:multiLevelType w:val="hybridMultilevel"/>
    <w:tmpl w:val="CBEA6764"/>
    <w:lvl w:ilvl="0" w:tplc="6360C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6DD7DB8"/>
    <w:multiLevelType w:val="hybridMultilevel"/>
    <w:tmpl w:val="4BC2CD56"/>
    <w:lvl w:ilvl="0" w:tplc="14DE0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D6B09"/>
    <w:multiLevelType w:val="hybridMultilevel"/>
    <w:tmpl w:val="3FBC5D3A"/>
    <w:lvl w:ilvl="0" w:tplc="41769E02">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0B50EE4"/>
    <w:multiLevelType w:val="hybridMultilevel"/>
    <w:tmpl w:val="D6609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6E7A49"/>
    <w:multiLevelType w:val="hybridMultilevel"/>
    <w:tmpl w:val="D98A01E8"/>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4F9679F8"/>
    <w:multiLevelType w:val="hybridMultilevel"/>
    <w:tmpl w:val="DCF66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572F17"/>
    <w:multiLevelType w:val="hybridMultilevel"/>
    <w:tmpl w:val="BCBABDF0"/>
    <w:lvl w:ilvl="0" w:tplc="3F88A026">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7">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57801C1"/>
    <w:multiLevelType w:val="hybridMultilevel"/>
    <w:tmpl w:val="F524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6B32B8A"/>
    <w:multiLevelType w:val="hybridMultilevel"/>
    <w:tmpl w:val="40B01192"/>
    <w:lvl w:ilvl="0" w:tplc="D8B67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8"/>
  </w:num>
  <w:num w:numId="2">
    <w:abstractNumId w:val="31"/>
  </w:num>
  <w:num w:numId="3">
    <w:abstractNumId w:val="5"/>
  </w:num>
  <w:num w:numId="4">
    <w:abstractNumId w:val="24"/>
  </w:num>
  <w:num w:numId="5">
    <w:abstractNumId w:val="6"/>
  </w:num>
  <w:num w:numId="6">
    <w:abstractNumId w:val="27"/>
  </w:num>
  <w:num w:numId="7">
    <w:abstractNumId w:val="19"/>
  </w:num>
  <w:num w:numId="8">
    <w:abstractNumId w:val="7"/>
  </w:num>
  <w:num w:numId="9">
    <w:abstractNumId w:val="26"/>
  </w:num>
  <w:num w:numId="10">
    <w:abstractNumId w:val="15"/>
  </w:num>
  <w:num w:numId="11">
    <w:abstractNumId w:val="12"/>
  </w:num>
  <w:num w:numId="12">
    <w:abstractNumId w:val="8"/>
  </w:num>
  <w:num w:numId="13">
    <w:abstractNumId w:val="16"/>
  </w:num>
  <w:num w:numId="14">
    <w:abstractNumId w:val="25"/>
  </w:num>
  <w:num w:numId="15">
    <w:abstractNumId w:val="3"/>
  </w:num>
  <w:num w:numId="16">
    <w:abstractNumId w:val="4"/>
  </w:num>
  <w:num w:numId="17">
    <w:abstractNumId w:val="10"/>
  </w:num>
  <w:num w:numId="18">
    <w:abstractNumId w:val="1"/>
  </w:num>
  <w:num w:numId="19">
    <w:abstractNumId w:val="11"/>
  </w:num>
  <w:num w:numId="20">
    <w:abstractNumId w:val="20"/>
  </w:num>
  <w:num w:numId="21">
    <w:abstractNumId w:val="23"/>
  </w:num>
  <w:num w:numId="22">
    <w:abstractNumId w:val="17"/>
  </w:num>
  <w:num w:numId="23">
    <w:abstractNumId w:val="22"/>
  </w:num>
  <w:num w:numId="24">
    <w:abstractNumId w:val="29"/>
  </w:num>
  <w:num w:numId="25">
    <w:abstractNumId w:val="29"/>
  </w:num>
  <w:num w:numId="26">
    <w:abstractNumId w:val="21"/>
  </w:num>
  <w:num w:numId="27">
    <w:abstractNumId w:val="2"/>
  </w:num>
  <w:num w:numId="28">
    <w:abstractNumId w:val="9"/>
  </w:num>
  <w:num w:numId="29">
    <w:abstractNumId w:val="13"/>
  </w:num>
  <w:num w:numId="30">
    <w:abstractNumId w:val="30"/>
  </w:num>
  <w:num w:numId="31">
    <w:abstractNumId w:val="18"/>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12"/>
    <w:rsid w:val="00000AF1"/>
    <w:rsid w:val="00000D20"/>
    <w:rsid w:val="000044EA"/>
    <w:rsid w:val="00007FBC"/>
    <w:rsid w:val="0001425F"/>
    <w:rsid w:val="000153B1"/>
    <w:rsid w:val="000174C9"/>
    <w:rsid w:val="0002017B"/>
    <w:rsid w:val="00020355"/>
    <w:rsid w:val="00027A05"/>
    <w:rsid w:val="0003082A"/>
    <w:rsid w:val="000315F0"/>
    <w:rsid w:val="00032E8E"/>
    <w:rsid w:val="00047BB2"/>
    <w:rsid w:val="00047EF0"/>
    <w:rsid w:val="00054245"/>
    <w:rsid w:val="00056710"/>
    <w:rsid w:val="000573B6"/>
    <w:rsid w:val="00064671"/>
    <w:rsid w:val="0006494E"/>
    <w:rsid w:val="000663EB"/>
    <w:rsid w:val="00066ABA"/>
    <w:rsid w:val="000713BA"/>
    <w:rsid w:val="00072F0F"/>
    <w:rsid w:val="00081AE3"/>
    <w:rsid w:val="00083A3C"/>
    <w:rsid w:val="00092C9A"/>
    <w:rsid w:val="00093644"/>
    <w:rsid w:val="00094768"/>
    <w:rsid w:val="000947DD"/>
    <w:rsid w:val="00097FCA"/>
    <w:rsid w:val="000A1F26"/>
    <w:rsid w:val="000A39B6"/>
    <w:rsid w:val="000A53B7"/>
    <w:rsid w:val="000A7CC1"/>
    <w:rsid w:val="000A7CE2"/>
    <w:rsid w:val="000B2EDF"/>
    <w:rsid w:val="000B50B6"/>
    <w:rsid w:val="000B5B64"/>
    <w:rsid w:val="000C00EE"/>
    <w:rsid w:val="000C2DCA"/>
    <w:rsid w:val="000C4741"/>
    <w:rsid w:val="000C4BE0"/>
    <w:rsid w:val="000C4FCA"/>
    <w:rsid w:val="000C63B2"/>
    <w:rsid w:val="000D336F"/>
    <w:rsid w:val="000D564D"/>
    <w:rsid w:val="000E1ECE"/>
    <w:rsid w:val="000E257D"/>
    <w:rsid w:val="000E2847"/>
    <w:rsid w:val="000E538A"/>
    <w:rsid w:val="000F28B9"/>
    <w:rsid w:val="000F3750"/>
    <w:rsid w:val="000F390E"/>
    <w:rsid w:val="000F5D5F"/>
    <w:rsid w:val="001049F4"/>
    <w:rsid w:val="0010675A"/>
    <w:rsid w:val="001071B3"/>
    <w:rsid w:val="0011007A"/>
    <w:rsid w:val="00111200"/>
    <w:rsid w:val="00111460"/>
    <w:rsid w:val="001133A3"/>
    <w:rsid w:val="00113BE5"/>
    <w:rsid w:val="00122262"/>
    <w:rsid w:val="001222D0"/>
    <w:rsid w:val="00124762"/>
    <w:rsid w:val="001250CC"/>
    <w:rsid w:val="00127253"/>
    <w:rsid w:val="001325C2"/>
    <w:rsid w:val="00133AFC"/>
    <w:rsid w:val="00133C56"/>
    <w:rsid w:val="001372E3"/>
    <w:rsid w:val="00140EA8"/>
    <w:rsid w:val="00142C47"/>
    <w:rsid w:val="00143614"/>
    <w:rsid w:val="0014566D"/>
    <w:rsid w:val="00145F0F"/>
    <w:rsid w:val="00147881"/>
    <w:rsid w:val="00150012"/>
    <w:rsid w:val="0015232E"/>
    <w:rsid w:val="00152595"/>
    <w:rsid w:val="00152A95"/>
    <w:rsid w:val="00155B51"/>
    <w:rsid w:val="001604E1"/>
    <w:rsid w:val="00160874"/>
    <w:rsid w:val="00161ECD"/>
    <w:rsid w:val="00163D24"/>
    <w:rsid w:val="00165101"/>
    <w:rsid w:val="001673BD"/>
    <w:rsid w:val="001712FE"/>
    <w:rsid w:val="00172BEC"/>
    <w:rsid w:val="00174715"/>
    <w:rsid w:val="0017620D"/>
    <w:rsid w:val="00176455"/>
    <w:rsid w:val="00177C3B"/>
    <w:rsid w:val="00180AAD"/>
    <w:rsid w:val="00180E91"/>
    <w:rsid w:val="001822D3"/>
    <w:rsid w:val="001942FD"/>
    <w:rsid w:val="00196BF0"/>
    <w:rsid w:val="0019700F"/>
    <w:rsid w:val="00197B7A"/>
    <w:rsid w:val="001A1E08"/>
    <w:rsid w:val="001A2A8A"/>
    <w:rsid w:val="001A2CD1"/>
    <w:rsid w:val="001B1A9C"/>
    <w:rsid w:val="001B1B79"/>
    <w:rsid w:val="001B6584"/>
    <w:rsid w:val="001B7852"/>
    <w:rsid w:val="001C6CC9"/>
    <w:rsid w:val="001D3CD9"/>
    <w:rsid w:val="001D5A6A"/>
    <w:rsid w:val="001E02C7"/>
    <w:rsid w:val="001E1421"/>
    <w:rsid w:val="001E17CB"/>
    <w:rsid w:val="001E6D53"/>
    <w:rsid w:val="001E7A09"/>
    <w:rsid w:val="001F1ABF"/>
    <w:rsid w:val="001F35C8"/>
    <w:rsid w:val="001F52F7"/>
    <w:rsid w:val="001F6120"/>
    <w:rsid w:val="001F74A2"/>
    <w:rsid w:val="00201DCE"/>
    <w:rsid w:val="0020390A"/>
    <w:rsid w:val="00205216"/>
    <w:rsid w:val="002056E6"/>
    <w:rsid w:val="00220DAA"/>
    <w:rsid w:val="0022264E"/>
    <w:rsid w:val="00231627"/>
    <w:rsid w:val="0023169E"/>
    <w:rsid w:val="00234EC6"/>
    <w:rsid w:val="002364E3"/>
    <w:rsid w:val="00237146"/>
    <w:rsid w:val="00237231"/>
    <w:rsid w:val="00237246"/>
    <w:rsid w:val="00237900"/>
    <w:rsid w:val="00240650"/>
    <w:rsid w:val="00240985"/>
    <w:rsid w:val="002449CF"/>
    <w:rsid w:val="00244F96"/>
    <w:rsid w:val="00246C5B"/>
    <w:rsid w:val="0024747D"/>
    <w:rsid w:val="00250116"/>
    <w:rsid w:val="00257E4C"/>
    <w:rsid w:val="00260B39"/>
    <w:rsid w:val="00260BEA"/>
    <w:rsid w:val="002620A9"/>
    <w:rsid w:val="00262215"/>
    <w:rsid w:val="0026237F"/>
    <w:rsid w:val="00265B3A"/>
    <w:rsid w:val="0026736D"/>
    <w:rsid w:val="00267B3F"/>
    <w:rsid w:val="00267BEA"/>
    <w:rsid w:val="00270D8B"/>
    <w:rsid w:val="00270DBA"/>
    <w:rsid w:val="00272D3F"/>
    <w:rsid w:val="00272FEA"/>
    <w:rsid w:val="0027662F"/>
    <w:rsid w:val="002775BF"/>
    <w:rsid w:val="00281AE4"/>
    <w:rsid w:val="00282312"/>
    <w:rsid w:val="00285FA5"/>
    <w:rsid w:val="00286B21"/>
    <w:rsid w:val="00286B9C"/>
    <w:rsid w:val="00287B9F"/>
    <w:rsid w:val="00290A56"/>
    <w:rsid w:val="00290CE6"/>
    <w:rsid w:val="00292B00"/>
    <w:rsid w:val="00294DD4"/>
    <w:rsid w:val="00295C4A"/>
    <w:rsid w:val="002960CD"/>
    <w:rsid w:val="00297A77"/>
    <w:rsid w:val="002A0C36"/>
    <w:rsid w:val="002A1D81"/>
    <w:rsid w:val="002A3B56"/>
    <w:rsid w:val="002A472A"/>
    <w:rsid w:val="002A4D73"/>
    <w:rsid w:val="002A5A1F"/>
    <w:rsid w:val="002A5B05"/>
    <w:rsid w:val="002A6323"/>
    <w:rsid w:val="002A63B8"/>
    <w:rsid w:val="002B00BD"/>
    <w:rsid w:val="002B1798"/>
    <w:rsid w:val="002B2B1F"/>
    <w:rsid w:val="002B39FB"/>
    <w:rsid w:val="002B3A54"/>
    <w:rsid w:val="002B57DB"/>
    <w:rsid w:val="002B64B2"/>
    <w:rsid w:val="002B7422"/>
    <w:rsid w:val="002C0E70"/>
    <w:rsid w:val="002C2DF1"/>
    <w:rsid w:val="002C33A6"/>
    <w:rsid w:val="002C7495"/>
    <w:rsid w:val="002D39C5"/>
    <w:rsid w:val="002D5CC6"/>
    <w:rsid w:val="002E1DCA"/>
    <w:rsid w:val="002E261C"/>
    <w:rsid w:val="002E32B7"/>
    <w:rsid w:val="002E497B"/>
    <w:rsid w:val="002E6EBD"/>
    <w:rsid w:val="002F232F"/>
    <w:rsid w:val="002F3290"/>
    <w:rsid w:val="002F44A9"/>
    <w:rsid w:val="002F68BE"/>
    <w:rsid w:val="00300022"/>
    <w:rsid w:val="00301C17"/>
    <w:rsid w:val="00302063"/>
    <w:rsid w:val="00304ED0"/>
    <w:rsid w:val="0030649B"/>
    <w:rsid w:val="00306904"/>
    <w:rsid w:val="00310A44"/>
    <w:rsid w:val="00312AA7"/>
    <w:rsid w:val="003145AE"/>
    <w:rsid w:val="00316B27"/>
    <w:rsid w:val="0031786E"/>
    <w:rsid w:val="00327D70"/>
    <w:rsid w:val="00332E64"/>
    <w:rsid w:val="00333578"/>
    <w:rsid w:val="00335C97"/>
    <w:rsid w:val="00337CF4"/>
    <w:rsid w:val="00337E82"/>
    <w:rsid w:val="003442AD"/>
    <w:rsid w:val="00351245"/>
    <w:rsid w:val="00352029"/>
    <w:rsid w:val="003549F8"/>
    <w:rsid w:val="00360AB9"/>
    <w:rsid w:val="00364D65"/>
    <w:rsid w:val="00364F66"/>
    <w:rsid w:val="00365688"/>
    <w:rsid w:val="00366E08"/>
    <w:rsid w:val="00367E6F"/>
    <w:rsid w:val="00370D5B"/>
    <w:rsid w:val="00371C19"/>
    <w:rsid w:val="00373EE1"/>
    <w:rsid w:val="00374664"/>
    <w:rsid w:val="003759E0"/>
    <w:rsid w:val="003828B2"/>
    <w:rsid w:val="00385289"/>
    <w:rsid w:val="00386234"/>
    <w:rsid w:val="003871B5"/>
    <w:rsid w:val="003908C5"/>
    <w:rsid w:val="00391191"/>
    <w:rsid w:val="003915E8"/>
    <w:rsid w:val="00391E02"/>
    <w:rsid w:val="00393B52"/>
    <w:rsid w:val="0039698C"/>
    <w:rsid w:val="0039715F"/>
    <w:rsid w:val="00397383"/>
    <w:rsid w:val="00397A98"/>
    <w:rsid w:val="003A3558"/>
    <w:rsid w:val="003A59DC"/>
    <w:rsid w:val="003A5ECE"/>
    <w:rsid w:val="003B35D5"/>
    <w:rsid w:val="003B3E6A"/>
    <w:rsid w:val="003B5E17"/>
    <w:rsid w:val="003B787B"/>
    <w:rsid w:val="003C3B7C"/>
    <w:rsid w:val="003C42D5"/>
    <w:rsid w:val="003C4DED"/>
    <w:rsid w:val="003C7DBD"/>
    <w:rsid w:val="003D0783"/>
    <w:rsid w:val="003D6EF9"/>
    <w:rsid w:val="003E3C99"/>
    <w:rsid w:val="003E5167"/>
    <w:rsid w:val="003E5E77"/>
    <w:rsid w:val="003F0815"/>
    <w:rsid w:val="003F3AB3"/>
    <w:rsid w:val="003F4BEC"/>
    <w:rsid w:val="004018C1"/>
    <w:rsid w:val="00406D02"/>
    <w:rsid w:val="00410D8D"/>
    <w:rsid w:val="00412CBF"/>
    <w:rsid w:val="0041431B"/>
    <w:rsid w:val="00415607"/>
    <w:rsid w:val="0041593C"/>
    <w:rsid w:val="00415D49"/>
    <w:rsid w:val="00416C2D"/>
    <w:rsid w:val="00417226"/>
    <w:rsid w:val="00421012"/>
    <w:rsid w:val="0042158E"/>
    <w:rsid w:val="004247FD"/>
    <w:rsid w:val="004268F1"/>
    <w:rsid w:val="00426947"/>
    <w:rsid w:val="00430704"/>
    <w:rsid w:val="00434B92"/>
    <w:rsid w:val="00434D06"/>
    <w:rsid w:val="00436812"/>
    <w:rsid w:val="00443C31"/>
    <w:rsid w:val="00450DE7"/>
    <w:rsid w:val="004518E1"/>
    <w:rsid w:val="00451AF8"/>
    <w:rsid w:val="00452D12"/>
    <w:rsid w:val="0045534B"/>
    <w:rsid w:val="00456338"/>
    <w:rsid w:val="00457650"/>
    <w:rsid w:val="00462CF6"/>
    <w:rsid w:val="00465FEB"/>
    <w:rsid w:val="00473A34"/>
    <w:rsid w:val="00475827"/>
    <w:rsid w:val="00476245"/>
    <w:rsid w:val="0047770A"/>
    <w:rsid w:val="00481239"/>
    <w:rsid w:val="0049048B"/>
    <w:rsid w:val="00490D2E"/>
    <w:rsid w:val="00491678"/>
    <w:rsid w:val="004942C1"/>
    <w:rsid w:val="00495056"/>
    <w:rsid w:val="004A4318"/>
    <w:rsid w:val="004A75F7"/>
    <w:rsid w:val="004B1F3E"/>
    <w:rsid w:val="004B202D"/>
    <w:rsid w:val="004B2A5C"/>
    <w:rsid w:val="004B34B5"/>
    <w:rsid w:val="004B3DF1"/>
    <w:rsid w:val="004B6E4A"/>
    <w:rsid w:val="004C0403"/>
    <w:rsid w:val="004C133D"/>
    <w:rsid w:val="004C26A2"/>
    <w:rsid w:val="004C2DAB"/>
    <w:rsid w:val="004C303D"/>
    <w:rsid w:val="004C4523"/>
    <w:rsid w:val="004C5E60"/>
    <w:rsid w:val="004C6D73"/>
    <w:rsid w:val="004D0CCD"/>
    <w:rsid w:val="004D1130"/>
    <w:rsid w:val="004D152E"/>
    <w:rsid w:val="004D17E9"/>
    <w:rsid w:val="004D29A1"/>
    <w:rsid w:val="004D4284"/>
    <w:rsid w:val="004D604B"/>
    <w:rsid w:val="004E1AE0"/>
    <w:rsid w:val="004F0552"/>
    <w:rsid w:val="004F110A"/>
    <w:rsid w:val="004F19C1"/>
    <w:rsid w:val="004F25FE"/>
    <w:rsid w:val="004F36E0"/>
    <w:rsid w:val="004F6183"/>
    <w:rsid w:val="005001BA"/>
    <w:rsid w:val="00502441"/>
    <w:rsid w:val="0050323A"/>
    <w:rsid w:val="00504FA5"/>
    <w:rsid w:val="0050566B"/>
    <w:rsid w:val="005078C0"/>
    <w:rsid w:val="0051018C"/>
    <w:rsid w:val="00513CD3"/>
    <w:rsid w:val="00520DD1"/>
    <w:rsid w:val="00524B47"/>
    <w:rsid w:val="00525499"/>
    <w:rsid w:val="00525E36"/>
    <w:rsid w:val="00532D05"/>
    <w:rsid w:val="0053349C"/>
    <w:rsid w:val="005356B5"/>
    <w:rsid w:val="00535FDB"/>
    <w:rsid w:val="00536F12"/>
    <w:rsid w:val="005429D4"/>
    <w:rsid w:val="00542B1F"/>
    <w:rsid w:val="00551339"/>
    <w:rsid w:val="0055353F"/>
    <w:rsid w:val="00554F29"/>
    <w:rsid w:val="00556503"/>
    <w:rsid w:val="00570236"/>
    <w:rsid w:val="00571237"/>
    <w:rsid w:val="005744A8"/>
    <w:rsid w:val="0057663C"/>
    <w:rsid w:val="00577949"/>
    <w:rsid w:val="005845AE"/>
    <w:rsid w:val="00586580"/>
    <w:rsid w:val="00587C97"/>
    <w:rsid w:val="00590AFC"/>
    <w:rsid w:val="00590D39"/>
    <w:rsid w:val="00591628"/>
    <w:rsid w:val="00591840"/>
    <w:rsid w:val="00591856"/>
    <w:rsid w:val="00591C35"/>
    <w:rsid w:val="00592D55"/>
    <w:rsid w:val="00595AF8"/>
    <w:rsid w:val="00596B54"/>
    <w:rsid w:val="005A566D"/>
    <w:rsid w:val="005A714A"/>
    <w:rsid w:val="005B35C7"/>
    <w:rsid w:val="005B3AA5"/>
    <w:rsid w:val="005B422E"/>
    <w:rsid w:val="005B43BE"/>
    <w:rsid w:val="005C1E69"/>
    <w:rsid w:val="005C3676"/>
    <w:rsid w:val="005C5650"/>
    <w:rsid w:val="005C573E"/>
    <w:rsid w:val="005D37CB"/>
    <w:rsid w:val="005D4AFE"/>
    <w:rsid w:val="005D58AA"/>
    <w:rsid w:val="005D5C0E"/>
    <w:rsid w:val="005D7736"/>
    <w:rsid w:val="005E695B"/>
    <w:rsid w:val="005E788B"/>
    <w:rsid w:val="005F01C1"/>
    <w:rsid w:val="005F03E7"/>
    <w:rsid w:val="005F1A82"/>
    <w:rsid w:val="005F25FE"/>
    <w:rsid w:val="005F39F4"/>
    <w:rsid w:val="005F3F6D"/>
    <w:rsid w:val="005F4E15"/>
    <w:rsid w:val="00600BD9"/>
    <w:rsid w:val="00605836"/>
    <w:rsid w:val="0060592A"/>
    <w:rsid w:val="006073EC"/>
    <w:rsid w:val="0061328D"/>
    <w:rsid w:val="00617C6D"/>
    <w:rsid w:val="00623497"/>
    <w:rsid w:val="00623561"/>
    <w:rsid w:val="00625B4B"/>
    <w:rsid w:val="006313EF"/>
    <w:rsid w:val="00633572"/>
    <w:rsid w:val="0063493E"/>
    <w:rsid w:val="00637878"/>
    <w:rsid w:val="006460FB"/>
    <w:rsid w:val="00647B82"/>
    <w:rsid w:val="00651336"/>
    <w:rsid w:val="006525D5"/>
    <w:rsid w:val="006531C0"/>
    <w:rsid w:val="0065388C"/>
    <w:rsid w:val="00654081"/>
    <w:rsid w:val="00671A56"/>
    <w:rsid w:val="00674E28"/>
    <w:rsid w:val="006757FD"/>
    <w:rsid w:val="006776B4"/>
    <w:rsid w:val="00677C8F"/>
    <w:rsid w:val="006814BD"/>
    <w:rsid w:val="00685C22"/>
    <w:rsid w:val="006862E1"/>
    <w:rsid w:val="006867C6"/>
    <w:rsid w:val="0069054C"/>
    <w:rsid w:val="006912C5"/>
    <w:rsid w:val="00692037"/>
    <w:rsid w:val="00693E85"/>
    <w:rsid w:val="00696A58"/>
    <w:rsid w:val="006A1448"/>
    <w:rsid w:val="006A1641"/>
    <w:rsid w:val="006A1E37"/>
    <w:rsid w:val="006A2D96"/>
    <w:rsid w:val="006A5725"/>
    <w:rsid w:val="006A6A0F"/>
    <w:rsid w:val="006A6D31"/>
    <w:rsid w:val="006A784D"/>
    <w:rsid w:val="006A7899"/>
    <w:rsid w:val="006B26C9"/>
    <w:rsid w:val="006B6C97"/>
    <w:rsid w:val="006B6EE4"/>
    <w:rsid w:val="006B6F5A"/>
    <w:rsid w:val="006C2A75"/>
    <w:rsid w:val="006C2F5E"/>
    <w:rsid w:val="006C5452"/>
    <w:rsid w:val="006C55FE"/>
    <w:rsid w:val="006D3F6C"/>
    <w:rsid w:val="006D5539"/>
    <w:rsid w:val="006E5CDB"/>
    <w:rsid w:val="006E7C9D"/>
    <w:rsid w:val="006F0604"/>
    <w:rsid w:val="006F127D"/>
    <w:rsid w:val="006F4C89"/>
    <w:rsid w:val="006F618D"/>
    <w:rsid w:val="006F6CC4"/>
    <w:rsid w:val="006F797B"/>
    <w:rsid w:val="006F7CF1"/>
    <w:rsid w:val="00702731"/>
    <w:rsid w:val="00703113"/>
    <w:rsid w:val="00712270"/>
    <w:rsid w:val="00715BB0"/>
    <w:rsid w:val="00717A40"/>
    <w:rsid w:val="007206E0"/>
    <w:rsid w:val="007207A5"/>
    <w:rsid w:val="007225CC"/>
    <w:rsid w:val="00722AE4"/>
    <w:rsid w:val="00724582"/>
    <w:rsid w:val="00724F09"/>
    <w:rsid w:val="0072785D"/>
    <w:rsid w:val="00731661"/>
    <w:rsid w:val="00736366"/>
    <w:rsid w:val="00736430"/>
    <w:rsid w:val="00737DFF"/>
    <w:rsid w:val="00741312"/>
    <w:rsid w:val="0074212C"/>
    <w:rsid w:val="00743495"/>
    <w:rsid w:val="00746005"/>
    <w:rsid w:val="007465B0"/>
    <w:rsid w:val="007467C4"/>
    <w:rsid w:val="00746F5D"/>
    <w:rsid w:val="00751217"/>
    <w:rsid w:val="00751AA9"/>
    <w:rsid w:val="00753951"/>
    <w:rsid w:val="007614B5"/>
    <w:rsid w:val="00762111"/>
    <w:rsid w:val="00762940"/>
    <w:rsid w:val="00762B2C"/>
    <w:rsid w:val="00762CC0"/>
    <w:rsid w:val="00774AE5"/>
    <w:rsid w:val="0077723D"/>
    <w:rsid w:val="00783728"/>
    <w:rsid w:val="007904B1"/>
    <w:rsid w:val="00790A32"/>
    <w:rsid w:val="00790DDD"/>
    <w:rsid w:val="007915FB"/>
    <w:rsid w:val="00792939"/>
    <w:rsid w:val="00795ED4"/>
    <w:rsid w:val="007A5FC9"/>
    <w:rsid w:val="007A6176"/>
    <w:rsid w:val="007B0148"/>
    <w:rsid w:val="007C284E"/>
    <w:rsid w:val="007C4863"/>
    <w:rsid w:val="007C5BC5"/>
    <w:rsid w:val="007C5D0B"/>
    <w:rsid w:val="007D266B"/>
    <w:rsid w:val="007D484D"/>
    <w:rsid w:val="007D5120"/>
    <w:rsid w:val="007D56D4"/>
    <w:rsid w:val="007D5BA5"/>
    <w:rsid w:val="007E0300"/>
    <w:rsid w:val="007E0DA6"/>
    <w:rsid w:val="007E0F10"/>
    <w:rsid w:val="007E34E9"/>
    <w:rsid w:val="007E6CAA"/>
    <w:rsid w:val="007E6CAE"/>
    <w:rsid w:val="007E7CB1"/>
    <w:rsid w:val="007F310E"/>
    <w:rsid w:val="007F62DE"/>
    <w:rsid w:val="007F64B4"/>
    <w:rsid w:val="007F70EA"/>
    <w:rsid w:val="007F775F"/>
    <w:rsid w:val="00800B47"/>
    <w:rsid w:val="00801184"/>
    <w:rsid w:val="00803175"/>
    <w:rsid w:val="00803C15"/>
    <w:rsid w:val="00804FAE"/>
    <w:rsid w:val="0080572B"/>
    <w:rsid w:val="0080755C"/>
    <w:rsid w:val="00810608"/>
    <w:rsid w:val="00810C45"/>
    <w:rsid w:val="008115DD"/>
    <w:rsid w:val="00812CA6"/>
    <w:rsid w:val="00813823"/>
    <w:rsid w:val="00814225"/>
    <w:rsid w:val="00821EA5"/>
    <w:rsid w:val="00824CD4"/>
    <w:rsid w:val="00826555"/>
    <w:rsid w:val="0082663F"/>
    <w:rsid w:val="00830B11"/>
    <w:rsid w:val="00834CFC"/>
    <w:rsid w:val="00837501"/>
    <w:rsid w:val="00837D2F"/>
    <w:rsid w:val="00840E06"/>
    <w:rsid w:val="00840F59"/>
    <w:rsid w:val="00845F6A"/>
    <w:rsid w:val="008507FE"/>
    <w:rsid w:val="00852102"/>
    <w:rsid w:val="00852BBC"/>
    <w:rsid w:val="00853606"/>
    <w:rsid w:val="0085440B"/>
    <w:rsid w:val="0085593D"/>
    <w:rsid w:val="00856500"/>
    <w:rsid w:val="00857883"/>
    <w:rsid w:val="00857A0E"/>
    <w:rsid w:val="00860296"/>
    <w:rsid w:val="00862805"/>
    <w:rsid w:val="00862F95"/>
    <w:rsid w:val="00872118"/>
    <w:rsid w:val="00873A03"/>
    <w:rsid w:val="00876C28"/>
    <w:rsid w:val="0087712F"/>
    <w:rsid w:val="0088030F"/>
    <w:rsid w:val="00880D0E"/>
    <w:rsid w:val="0088173C"/>
    <w:rsid w:val="0088330B"/>
    <w:rsid w:val="008864AF"/>
    <w:rsid w:val="00886EF9"/>
    <w:rsid w:val="00887824"/>
    <w:rsid w:val="008911BF"/>
    <w:rsid w:val="00891B69"/>
    <w:rsid w:val="008945BF"/>
    <w:rsid w:val="008B110A"/>
    <w:rsid w:val="008B28F2"/>
    <w:rsid w:val="008B404B"/>
    <w:rsid w:val="008B5DED"/>
    <w:rsid w:val="008B62CE"/>
    <w:rsid w:val="008C1804"/>
    <w:rsid w:val="008C55EE"/>
    <w:rsid w:val="008D0D2C"/>
    <w:rsid w:val="008D4EAC"/>
    <w:rsid w:val="008D57FD"/>
    <w:rsid w:val="008D641A"/>
    <w:rsid w:val="008E0429"/>
    <w:rsid w:val="008E163F"/>
    <w:rsid w:val="008E1B84"/>
    <w:rsid w:val="008E245B"/>
    <w:rsid w:val="008E28DB"/>
    <w:rsid w:val="008E3E5C"/>
    <w:rsid w:val="008E3FF8"/>
    <w:rsid w:val="008E52CA"/>
    <w:rsid w:val="008E5873"/>
    <w:rsid w:val="008E75CD"/>
    <w:rsid w:val="008F1498"/>
    <w:rsid w:val="008F16BC"/>
    <w:rsid w:val="008F1EE3"/>
    <w:rsid w:val="008F2E10"/>
    <w:rsid w:val="00900F75"/>
    <w:rsid w:val="009046D5"/>
    <w:rsid w:val="00904C20"/>
    <w:rsid w:val="009134C0"/>
    <w:rsid w:val="00914ABE"/>
    <w:rsid w:val="00917EB7"/>
    <w:rsid w:val="0092190F"/>
    <w:rsid w:val="009233C6"/>
    <w:rsid w:val="00923905"/>
    <w:rsid w:val="0093049D"/>
    <w:rsid w:val="00932BE2"/>
    <w:rsid w:val="009336CF"/>
    <w:rsid w:val="00935726"/>
    <w:rsid w:val="00937F56"/>
    <w:rsid w:val="00942FF4"/>
    <w:rsid w:val="009434B4"/>
    <w:rsid w:val="00946E81"/>
    <w:rsid w:val="00947C73"/>
    <w:rsid w:val="00950BD7"/>
    <w:rsid w:val="00951262"/>
    <w:rsid w:val="009512AE"/>
    <w:rsid w:val="0095196B"/>
    <w:rsid w:val="00957CB1"/>
    <w:rsid w:val="00960D1F"/>
    <w:rsid w:val="0096336E"/>
    <w:rsid w:val="00963F1F"/>
    <w:rsid w:val="009654E4"/>
    <w:rsid w:val="00966C93"/>
    <w:rsid w:val="009725B3"/>
    <w:rsid w:val="00973479"/>
    <w:rsid w:val="0097534D"/>
    <w:rsid w:val="009765A0"/>
    <w:rsid w:val="009815AC"/>
    <w:rsid w:val="009819AD"/>
    <w:rsid w:val="00981AB4"/>
    <w:rsid w:val="009837FD"/>
    <w:rsid w:val="00983913"/>
    <w:rsid w:val="00983971"/>
    <w:rsid w:val="00984C43"/>
    <w:rsid w:val="00990E96"/>
    <w:rsid w:val="0099295C"/>
    <w:rsid w:val="00993669"/>
    <w:rsid w:val="0099454A"/>
    <w:rsid w:val="0099488C"/>
    <w:rsid w:val="0099498C"/>
    <w:rsid w:val="00995069"/>
    <w:rsid w:val="00997F26"/>
    <w:rsid w:val="009A359A"/>
    <w:rsid w:val="009A4A05"/>
    <w:rsid w:val="009A74FB"/>
    <w:rsid w:val="009B0194"/>
    <w:rsid w:val="009B39B8"/>
    <w:rsid w:val="009B3F76"/>
    <w:rsid w:val="009B46C6"/>
    <w:rsid w:val="009B4D8E"/>
    <w:rsid w:val="009B55FC"/>
    <w:rsid w:val="009B5E12"/>
    <w:rsid w:val="009B67BC"/>
    <w:rsid w:val="009C1986"/>
    <w:rsid w:val="009C2806"/>
    <w:rsid w:val="009C2F3A"/>
    <w:rsid w:val="009C3E0F"/>
    <w:rsid w:val="009C6B56"/>
    <w:rsid w:val="009D185D"/>
    <w:rsid w:val="009D3F2C"/>
    <w:rsid w:val="009D481C"/>
    <w:rsid w:val="009D56AE"/>
    <w:rsid w:val="009D617A"/>
    <w:rsid w:val="009E138B"/>
    <w:rsid w:val="009E3936"/>
    <w:rsid w:val="009E66E7"/>
    <w:rsid w:val="009E6C19"/>
    <w:rsid w:val="009E78CB"/>
    <w:rsid w:val="009F025F"/>
    <w:rsid w:val="009F0B1F"/>
    <w:rsid w:val="00A00524"/>
    <w:rsid w:val="00A01A9B"/>
    <w:rsid w:val="00A01D02"/>
    <w:rsid w:val="00A021AD"/>
    <w:rsid w:val="00A0224B"/>
    <w:rsid w:val="00A02802"/>
    <w:rsid w:val="00A03A01"/>
    <w:rsid w:val="00A049DD"/>
    <w:rsid w:val="00A10A7B"/>
    <w:rsid w:val="00A10AD7"/>
    <w:rsid w:val="00A11695"/>
    <w:rsid w:val="00A156CD"/>
    <w:rsid w:val="00A1586B"/>
    <w:rsid w:val="00A206E0"/>
    <w:rsid w:val="00A22858"/>
    <w:rsid w:val="00A27AAE"/>
    <w:rsid w:val="00A31316"/>
    <w:rsid w:val="00A35034"/>
    <w:rsid w:val="00A37927"/>
    <w:rsid w:val="00A4140E"/>
    <w:rsid w:val="00A43948"/>
    <w:rsid w:val="00A46FE0"/>
    <w:rsid w:val="00A56485"/>
    <w:rsid w:val="00A64233"/>
    <w:rsid w:val="00A643D7"/>
    <w:rsid w:val="00A64D6B"/>
    <w:rsid w:val="00A74594"/>
    <w:rsid w:val="00A74B67"/>
    <w:rsid w:val="00A76D6C"/>
    <w:rsid w:val="00A7757F"/>
    <w:rsid w:val="00A80764"/>
    <w:rsid w:val="00A84743"/>
    <w:rsid w:val="00A84ECF"/>
    <w:rsid w:val="00A85AD9"/>
    <w:rsid w:val="00A86F77"/>
    <w:rsid w:val="00A87465"/>
    <w:rsid w:val="00A93DE5"/>
    <w:rsid w:val="00A949C8"/>
    <w:rsid w:val="00A96984"/>
    <w:rsid w:val="00AA227B"/>
    <w:rsid w:val="00AA3560"/>
    <w:rsid w:val="00AB06D6"/>
    <w:rsid w:val="00AB097B"/>
    <w:rsid w:val="00AB0B6A"/>
    <w:rsid w:val="00AB2259"/>
    <w:rsid w:val="00AB30C9"/>
    <w:rsid w:val="00AB44CF"/>
    <w:rsid w:val="00AB6125"/>
    <w:rsid w:val="00AC49EC"/>
    <w:rsid w:val="00AC607C"/>
    <w:rsid w:val="00AC7248"/>
    <w:rsid w:val="00AD431A"/>
    <w:rsid w:val="00AD4565"/>
    <w:rsid w:val="00AD7FFC"/>
    <w:rsid w:val="00AE140A"/>
    <w:rsid w:val="00AE29A7"/>
    <w:rsid w:val="00AE3B93"/>
    <w:rsid w:val="00AE3E09"/>
    <w:rsid w:val="00AF05FF"/>
    <w:rsid w:val="00AF3E60"/>
    <w:rsid w:val="00AF4501"/>
    <w:rsid w:val="00AF6995"/>
    <w:rsid w:val="00B00A4F"/>
    <w:rsid w:val="00B0184B"/>
    <w:rsid w:val="00B0292B"/>
    <w:rsid w:val="00B032E2"/>
    <w:rsid w:val="00B04E02"/>
    <w:rsid w:val="00B05842"/>
    <w:rsid w:val="00B062D4"/>
    <w:rsid w:val="00B11AF2"/>
    <w:rsid w:val="00B12316"/>
    <w:rsid w:val="00B123C2"/>
    <w:rsid w:val="00B16E57"/>
    <w:rsid w:val="00B17912"/>
    <w:rsid w:val="00B17EB4"/>
    <w:rsid w:val="00B26963"/>
    <w:rsid w:val="00B3318F"/>
    <w:rsid w:val="00B33802"/>
    <w:rsid w:val="00B36AD8"/>
    <w:rsid w:val="00B37407"/>
    <w:rsid w:val="00B40D30"/>
    <w:rsid w:val="00B410CD"/>
    <w:rsid w:val="00B42216"/>
    <w:rsid w:val="00B43874"/>
    <w:rsid w:val="00B46BC2"/>
    <w:rsid w:val="00B47865"/>
    <w:rsid w:val="00B540ED"/>
    <w:rsid w:val="00B54DA1"/>
    <w:rsid w:val="00B54F73"/>
    <w:rsid w:val="00B56786"/>
    <w:rsid w:val="00B57EA6"/>
    <w:rsid w:val="00B6349B"/>
    <w:rsid w:val="00B73841"/>
    <w:rsid w:val="00B7436E"/>
    <w:rsid w:val="00B77595"/>
    <w:rsid w:val="00B77FE8"/>
    <w:rsid w:val="00B81D5A"/>
    <w:rsid w:val="00B86A1A"/>
    <w:rsid w:val="00B90448"/>
    <w:rsid w:val="00B91A97"/>
    <w:rsid w:val="00B9412E"/>
    <w:rsid w:val="00BA28A8"/>
    <w:rsid w:val="00BA32E6"/>
    <w:rsid w:val="00BA410A"/>
    <w:rsid w:val="00BA6B21"/>
    <w:rsid w:val="00BA6B92"/>
    <w:rsid w:val="00BA6CB6"/>
    <w:rsid w:val="00BB5DD2"/>
    <w:rsid w:val="00BC066A"/>
    <w:rsid w:val="00BC135E"/>
    <w:rsid w:val="00BC176B"/>
    <w:rsid w:val="00BC2502"/>
    <w:rsid w:val="00BC5207"/>
    <w:rsid w:val="00BC718E"/>
    <w:rsid w:val="00BD1539"/>
    <w:rsid w:val="00BD373F"/>
    <w:rsid w:val="00BE035B"/>
    <w:rsid w:val="00BE0FBB"/>
    <w:rsid w:val="00BE5178"/>
    <w:rsid w:val="00BE5880"/>
    <w:rsid w:val="00BE7211"/>
    <w:rsid w:val="00BF6C48"/>
    <w:rsid w:val="00BF7F1C"/>
    <w:rsid w:val="00C023D2"/>
    <w:rsid w:val="00C02F1A"/>
    <w:rsid w:val="00C034E2"/>
    <w:rsid w:val="00C13A52"/>
    <w:rsid w:val="00C14956"/>
    <w:rsid w:val="00C14E92"/>
    <w:rsid w:val="00C1543D"/>
    <w:rsid w:val="00C154F4"/>
    <w:rsid w:val="00C16361"/>
    <w:rsid w:val="00C219B1"/>
    <w:rsid w:val="00C2499B"/>
    <w:rsid w:val="00C26D8E"/>
    <w:rsid w:val="00C27AC1"/>
    <w:rsid w:val="00C308B9"/>
    <w:rsid w:val="00C31C94"/>
    <w:rsid w:val="00C333BE"/>
    <w:rsid w:val="00C35BB6"/>
    <w:rsid w:val="00C36CAA"/>
    <w:rsid w:val="00C37656"/>
    <w:rsid w:val="00C426D3"/>
    <w:rsid w:val="00C43D19"/>
    <w:rsid w:val="00C502BA"/>
    <w:rsid w:val="00C51284"/>
    <w:rsid w:val="00C55CFD"/>
    <w:rsid w:val="00C55E84"/>
    <w:rsid w:val="00C61B32"/>
    <w:rsid w:val="00C63748"/>
    <w:rsid w:val="00C71672"/>
    <w:rsid w:val="00C75088"/>
    <w:rsid w:val="00C77F69"/>
    <w:rsid w:val="00C81BFF"/>
    <w:rsid w:val="00C82184"/>
    <w:rsid w:val="00C83E3C"/>
    <w:rsid w:val="00C84708"/>
    <w:rsid w:val="00C86514"/>
    <w:rsid w:val="00C91E57"/>
    <w:rsid w:val="00C962B3"/>
    <w:rsid w:val="00C96A96"/>
    <w:rsid w:val="00C97D83"/>
    <w:rsid w:val="00CA1D0A"/>
    <w:rsid w:val="00CA1EA6"/>
    <w:rsid w:val="00CA3861"/>
    <w:rsid w:val="00CA67C2"/>
    <w:rsid w:val="00CA7F7D"/>
    <w:rsid w:val="00CB0908"/>
    <w:rsid w:val="00CB0CE9"/>
    <w:rsid w:val="00CB0D47"/>
    <w:rsid w:val="00CB1B00"/>
    <w:rsid w:val="00CC4454"/>
    <w:rsid w:val="00CC4FB3"/>
    <w:rsid w:val="00CC565C"/>
    <w:rsid w:val="00CE0468"/>
    <w:rsid w:val="00CE1642"/>
    <w:rsid w:val="00CE3E5F"/>
    <w:rsid w:val="00CE4345"/>
    <w:rsid w:val="00CE612D"/>
    <w:rsid w:val="00CE7DC2"/>
    <w:rsid w:val="00CF3607"/>
    <w:rsid w:val="00CF4160"/>
    <w:rsid w:val="00CF4B3E"/>
    <w:rsid w:val="00D04428"/>
    <w:rsid w:val="00D04C86"/>
    <w:rsid w:val="00D0501C"/>
    <w:rsid w:val="00D0665B"/>
    <w:rsid w:val="00D0690B"/>
    <w:rsid w:val="00D07EA9"/>
    <w:rsid w:val="00D10DEE"/>
    <w:rsid w:val="00D14157"/>
    <w:rsid w:val="00D1486B"/>
    <w:rsid w:val="00D17527"/>
    <w:rsid w:val="00D2079E"/>
    <w:rsid w:val="00D20B00"/>
    <w:rsid w:val="00D2176F"/>
    <w:rsid w:val="00D23CB7"/>
    <w:rsid w:val="00D2421A"/>
    <w:rsid w:val="00D270C5"/>
    <w:rsid w:val="00D27A00"/>
    <w:rsid w:val="00D32316"/>
    <w:rsid w:val="00D33188"/>
    <w:rsid w:val="00D341BB"/>
    <w:rsid w:val="00D36D0D"/>
    <w:rsid w:val="00D37240"/>
    <w:rsid w:val="00D42541"/>
    <w:rsid w:val="00D473CB"/>
    <w:rsid w:val="00D47BBD"/>
    <w:rsid w:val="00D513CD"/>
    <w:rsid w:val="00D5146F"/>
    <w:rsid w:val="00D519ED"/>
    <w:rsid w:val="00D51EF6"/>
    <w:rsid w:val="00D55EF6"/>
    <w:rsid w:val="00D5661E"/>
    <w:rsid w:val="00D60AE3"/>
    <w:rsid w:val="00D60F8B"/>
    <w:rsid w:val="00D63EC9"/>
    <w:rsid w:val="00D67C3B"/>
    <w:rsid w:val="00D73DBB"/>
    <w:rsid w:val="00D74AD5"/>
    <w:rsid w:val="00D74BB5"/>
    <w:rsid w:val="00D74EF2"/>
    <w:rsid w:val="00D75647"/>
    <w:rsid w:val="00D777C3"/>
    <w:rsid w:val="00D81660"/>
    <w:rsid w:val="00D84AF6"/>
    <w:rsid w:val="00D87CC7"/>
    <w:rsid w:val="00D93055"/>
    <w:rsid w:val="00D93317"/>
    <w:rsid w:val="00DA0609"/>
    <w:rsid w:val="00DA339E"/>
    <w:rsid w:val="00DA5CF6"/>
    <w:rsid w:val="00DA7C26"/>
    <w:rsid w:val="00DB070E"/>
    <w:rsid w:val="00DB0DBE"/>
    <w:rsid w:val="00DB1ABC"/>
    <w:rsid w:val="00DB2364"/>
    <w:rsid w:val="00DB2886"/>
    <w:rsid w:val="00DB400A"/>
    <w:rsid w:val="00DB46D1"/>
    <w:rsid w:val="00DB6E85"/>
    <w:rsid w:val="00DC1A77"/>
    <w:rsid w:val="00DC23B2"/>
    <w:rsid w:val="00DC30D5"/>
    <w:rsid w:val="00DC3DB3"/>
    <w:rsid w:val="00DC68D3"/>
    <w:rsid w:val="00DD184A"/>
    <w:rsid w:val="00DD4BC9"/>
    <w:rsid w:val="00DD7962"/>
    <w:rsid w:val="00DD7E38"/>
    <w:rsid w:val="00DD7EDB"/>
    <w:rsid w:val="00DE0DF9"/>
    <w:rsid w:val="00DE2E7C"/>
    <w:rsid w:val="00DF1896"/>
    <w:rsid w:val="00DF4508"/>
    <w:rsid w:val="00E0023C"/>
    <w:rsid w:val="00E0190F"/>
    <w:rsid w:val="00E04E93"/>
    <w:rsid w:val="00E07260"/>
    <w:rsid w:val="00E12099"/>
    <w:rsid w:val="00E177D1"/>
    <w:rsid w:val="00E20EF2"/>
    <w:rsid w:val="00E3092E"/>
    <w:rsid w:val="00E3172A"/>
    <w:rsid w:val="00E3531C"/>
    <w:rsid w:val="00E35FAD"/>
    <w:rsid w:val="00E45018"/>
    <w:rsid w:val="00E45E30"/>
    <w:rsid w:val="00E4616A"/>
    <w:rsid w:val="00E50AE1"/>
    <w:rsid w:val="00E55F5C"/>
    <w:rsid w:val="00E56B72"/>
    <w:rsid w:val="00E57B41"/>
    <w:rsid w:val="00E61EB1"/>
    <w:rsid w:val="00E63064"/>
    <w:rsid w:val="00E64013"/>
    <w:rsid w:val="00E650DC"/>
    <w:rsid w:val="00E67085"/>
    <w:rsid w:val="00E7110F"/>
    <w:rsid w:val="00E71EB4"/>
    <w:rsid w:val="00E748BD"/>
    <w:rsid w:val="00E77264"/>
    <w:rsid w:val="00E77F07"/>
    <w:rsid w:val="00E80DCE"/>
    <w:rsid w:val="00E83113"/>
    <w:rsid w:val="00E841E2"/>
    <w:rsid w:val="00E90773"/>
    <w:rsid w:val="00E91BA7"/>
    <w:rsid w:val="00E95312"/>
    <w:rsid w:val="00E96166"/>
    <w:rsid w:val="00EA2061"/>
    <w:rsid w:val="00EA3C67"/>
    <w:rsid w:val="00EB0A24"/>
    <w:rsid w:val="00EB1AF2"/>
    <w:rsid w:val="00EB1F0B"/>
    <w:rsid w:val="00EB3FEA"/>
    <w:rsid w:val="00EB40E1"/>
    <w:rsid w:val="00EB5207"/>
    <w:rsid w:val="00EB58EA"/>
    <w:rsid w:val="00EB753D"/>
    <w:rsid w:val="00EC0525"/>
    <w:rsid w:val="00EC2848"/>
    <w:rsid w:val="00EC492E"/>
    <w:rsid w:val="00EC55A5"/>
    <w:rsid w:val="00EC6A02"/>
    <w:rsid w:val="00EC746B"/>
    <w:rsid w:val="00ED001D"/>
    <w:rsid w:val="00ED0081"/>
    <w:rsid w:val="00ED3373"/>
    <w:rsid w:val="00ED4862"/>
    <w:rsid w:val="00ED5197"/>
    <w:rsid w:val="00ED5D5D"/>
    <w:rsid w:val="00EE02EF"/>
    <w:rsid w:val="00EE16F7"/>
    <w:rsid w:val="00EE765F"/>
    <w:rsid w:val="00EF2825"/>
    <w:rsid w:val="00EF449E"/>
    <w:rsid w:val="00F00EE8"/>
    <w:rsid w:val="00F00F38"/>
    <w:rsid w:val="00F01DA8"/>
    <w:rsid w:val="00F0649C"/>
    <w:rsid w:val="00F0727C"/>
    <w:rsid w:val="00F1008A"/>
    <w:rsid w:val="00F10D66"/>
    <w:rsid w:val="00F17559"/>
    <w:rsid w:val="00F21C6A"/>
    <w:rsid w:val="00F24535"/>
    <w:rsid w:val="00F25B54"/>
    <w:rsid w:val="00F26C35"/>
    <w:rsid w:val="00F31951"/>
    <w:rsid w:val="00F3213B"/>
    <w:rsid w:val="00F341B8"/>
    <w:rsid w:val="00F42EFA"/>
    <w:rsid w:val="00F47F43"/>
    <w:rsid w:val="00F52D1B"/>
    <w:rsid w:val="00F536FA"/>
    <w:rsid w:val="00F6159E"/>
    <w:rsid w:val="00F65BE5"/>
    <w:rsid w:val="00F67211"/>
    <w:rsid w:val="00F70661"/>
    <w:rsid w:val="00F724CD"/>
    <w:rsid w:val="00F7396D"/>
    <w:rsid w:val="00F757F0"/>
    <w:rsid w:val="00F75CE1"/>
    <w:rsid w:val="00F76EBC"/>
    <w:rsid w:val="00F80E00"/>
    <w:rsid w:val="00F821EB"/>
    <w:rsid w:val="00F8308B"/>
    <w:rsid w:val="00F857D6"/>
    <w:rsid w:val="00F86546"/>
    <w:rsid w:val="00F87919"/>
    <w:rsid w:val="00F90F42"/>
    <w:rsid w:val="00F9432A"/>
    <w:rsid w:val="00F9513D"/>
    <w:rsid w:val="00FA1991"/>
    <w:rsid w:val="00FA1F3E"/>
    <w:rsid w:val="00FA1F6F"/>
    <w:rsid w:val="00FA7E2C"/>
    <w:rsid w:val="00FB1519"/>
    <w:rsid w:val="00FB2F06"/>
    <w:rsid w:val="00FB380F"/>
    <w:rsid w:val="00FB5AD4"/>
    <w:rsid w:val="00FB64B8"/>
    <w:rsid w:val="00FB68D0"/>
    <w:rsid w:val="00FB705A"/>
    <w:rsid w:val="00FC37E7"/>
    <w:rsid w:val="00FD0A62"/>
    <w:rsid w:val="00FD0E60"/>
    <w:rsid w:val="00FD3336"/>
    <w:rsid w:val="00FD784F"/>
    <w:rsid w:val="00FD7A36"/>
    <w:rsid w:val="00FD7CAA"/>
    <w:rsid w:val="00FE3DC9"/>
    <w:rsid w:val="00FE6463"/>
    <w:rsid w:val="00FE75FF"/>
    <w:rsid w:val="00FE76A0"/>
    <w:rsid w:val="00FF0051"/>
    <w:rsid w:val="00FF6687"/>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basedOn w:val="Normal"/>
    <w:link w:val="FootnoteTextChar"/>
    <w:uiPriority w:val="99"/>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Style 17,FR,Footnote Reference/"/>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NormalWeb">
    <w:name w:val="Normal (Web)"/>
    <w:basedOn w:val="Normal"/>
    <w:unhideWhenUsed/>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uiPriority w:val="99"/>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uiPriority w:val="99"/>
    <w:rPr>
      <w:lang w:val="en-US"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sid w:val="00813823"/>
    <w:rPr>
      <w:sz w:val="16"/>
      <w:szCs w:val="16"/>
    </w:rPr>
  </w:style>
  <w:style w:type="paragraph" w:styleId="CommentText">
    <w:name w:val="annotation text"/>
    <w:basedOn w:val="Normal"/>
    <w:link w:val="CommentTextChar"/>
    <w:rsid w:val="00813823"/>
    <w:rPr>
      <w:sz w:val="20"/>
    </w:rPr>
  </w:style>
  <w:style w:type="character" w:customStyle="1" w:styleId="CommentTextChar">
    <w:name w:val="Comment Text Char"/>
    <w:basedOn w:val="DefaultParagraphFont"/>
    <w:link w:val="CommentText"/>
    <w:rsid w:val="00813823"/>
  </w:style>
  <w:style w:type="paragraph" w:styleId="CommentSubject">
    <w:name w:val="annotation subject"/>
    <w:basedOn w:val="CommentText"/>
    <w:next w:val="CommentText"/>
    <w:link w:val="CommentSubjectChar"/>
    <w:rsid w:val="00813823"/>
    <w:rPr>
      <w:b/>
      <w:bCs/>
    </w:rPr>
  </w:style>
  <w:style w:type="character" w:customStyle="1" w:styleId="CommentSubjectChar">
    <w:name w:val="Comment Subject Char"/>
    <w:link w:val="CommentSubject"/>
    <w:rsid w:val="00813823"/>
    <w:rPr>
      <w:b/>
      <w:bCs/>
    </w:rPr>
  </w:style>
  <w:style w:type="paragraph" w:styleId="Revision">
    <w:name w:val="Revision"/>
    <w:hidden/>
    <w:uiPriority w:val="99"/>
    <w:semiHidden/>
    <w:rsid w:val="001F6120"/>
    <w:rPr>
      <w:sz w:val="22"/>
    </w:rPr>
  </w:style>
  <w:style w:type="character" w:customStyle="1" w:styleId="apple-converted-space">
    <w:name w:val="apple-converted-space"/>
    <w:rsid w:val="00452D12"/>
  </w:style>
  <w:style w:type="paragraph" w:styleId="ListParagraph">
    <w:name w:val="List Paragraph"/>
    <w:basedOn w:val="Normal"/>
    <w:uiPriority w:val="34"/>
    <w:qFormat/>
    <w:rsid w:val="00D341BB"/>
    <w:pPr>
      <w:ind w:left="720"/>
    </w:pPr>
  </w:style>
  <w:style w:type="character" w:customStyle="1" w:styleId="Heading2Char">
    <w:name w:val="Heading 2 Char"/>
    <w:link w:val="Heading2"/>
    <w:rsid w:val="00790DDD"/>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basedOn w:val="Normal"/>
    <w:link w:val="FootnoteTextChar"/>
    <w:uiPriority w:val="99"/>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Style 17,FR,Footnote Reference/"/>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NormalWeb">
    <w:name w:val="Normal (Web)"/>
    <w:basedOn w:val="Normal"/>
    <w:unhideWhenUsed/>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uiPriority w:val="99"/>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uiPriority w:val="99"/>
    <w:rPr>
      <w:lang w:val="en-US"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sid w:val="00813823"/>
    <w:rPr>
      <w:sz w:val="16"/>
      <w:szCs w:val="16"/>
    </w:rPr>
  </w:style>
  <w:style w:type="paragraph" w:styleId="CommentText">
    <w:name w:val="annotation text"/>
    <w:basedOn w:val="Normal"/>
    <w:link w:val="CommentTextChar"/>
    <w:rsid w:val="00813823"/>
    <w:rPr>
      <w:sz w:val="20"/>
    </w:rPr>
  </w:style>
  <w:style w:type="character" w:customStyle="1" w:styleId="CommentTextChar">
    <w:name w:val="Comment Text Char"/>
    <w:basedOn w:val="DefaultParagraphFont"/>
    <w:link w:val="CommentText"/>
    <w:rsid w:val="00813823"/>
  </w:style>
  <w:style w:type="paragraph" w:styleId="CommentSubject">
    <w:name w:val="annotation subject"/>
    <w:basedOn w:val="CommentText"/>
    <w:next w:val="CommentText"/>
    <w:link w:val="CommentSubjectChar"/>
    <w:rsid w:val="00813823"/>
    <w:rPr>
      <w:b/>
      <w:bCs/>
    </w:rPr>
  </w:style>
  <w:style w:type="character" w:customStyle="1" w:styleId="CommentSubjectChar">
    <w:name w:val="Comment Subject Char"/>
    <w:link w:val="CommentSubject"/>
    <w:rsid w:val="00813823"/>
    <w:rPr>
      <w:b/>
      <w:bCs/>
    </w:rPr>
  </w:style>
  <w:style w:type="paragraph" w:styleId="Revision">
    <w:name w:val="Revision"/>
    <w:hidden/>
    <w:uiPriority w:val="99"/>
    <w:semiHidden/>
    <w:rsid w:val="001F6120"/>
    <w:rPr>
      <w:sz w:val="22"/>
    </w:rPr>
  </w:style>
  <w:style w:type="character" w:customStyle="1" w:styleId="apple-converted-space">
    <w:name w:val="apple-converted-space"/>
    <w:rsid w:val="00452D12"/>
  </w:style>
  <w:style w:type="paragraph" w:styleId="ListParagraph">
    <w:name w:val="List Paragraph"/>
    <w:basedOn w:val="Normal"/>
    <w:uiPriority w:val="34"/>
    <w:qFormat/>
    <w:rsid w:val="00D341BB"/>
    <w:pPr>
      <w:ind w:left="720"/>
    </w:pPr>
  </w:style>
  <w:style w:type="character" w:customStyle="1" w:styleId="Heading2Char">
    <w:name w:val="Heading 2 Char"/>
    <w:link w:val="Heading2"/>
    <w:rsid w:val="00790DDD"/>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7075">
      <w:bodyDiv w:val="1"/>
      <w:marLeft w:val="0"/>
      <w:marRight w:val="0"/>
      <w:marTop w:val="0"/>
      <w:marBottom w:val="0"/>
      <w:divBdr>
        <w:top w:val="none" w:sz="0" w:space="0" w:color="auto"/>
        <w:left w:val="none" w:sz="0" w:space="0" w:color="auto"/>
        <w:bottom w:val="none" w:sz="0" w:space="0" w:color="auto"/>
        <w:right w:val="none" w:sz="0" w:space="0" w:color="auto"/>
      </w:divBdr>
    </w:div>
    <w:div w:id="356396630">
      <w:bodyDiv w:val="1"/>
      <w:marLeft w:val="30"/>
      <w:marRight w:val="30"/>
      <w:marTop w:val="30"/>
      <w:marBottom w:val="30"/>
      <w:divBdr>
        <w:top w:val="none" w:sz="0" w:space="0" w:color="auto"/>
        <w:left w:val="none" w:sz="0" w:space="0" w:color="auto"/>
        <w:bottom w:val="none" w:sz="0" w:space="0" w:color="auto"/>
        <w:right w:val="none" w:sz="0" w:space="0" w:color="auto"/>
      </w:divBdr>
      <w:divsChild>
        <w:div w:id="402337656">
          <w:marLeft w:val="0"/>
          <w:marRight w:val="0"/>
          <w:marTop w:val="0"/>
          <w:marBottom w:val="0"/>
          <w:divBdr>
            <w:top w:val="none" w:sz="0" w:space="0" w:color="auto"/>
            <w:left w:val="none" w:sz="0" w:space="0" w:color="auto"/>
            <w:bottom w:val="none" w:sz="0" w:space="0" w:color="auto"/>
            <w:right w:val="none" w:sz="0" w:space="0" w:color="auto"/>
          </w:divBdr>
          <w:divsChild>
            <w:div w:id="350305128">
              <w:marLeft w:val="45"/>
              <w:marRight w:val="45"/>
              <w:marTop w:val="45"/>
              <w:marBottom w:val="45"/>
              <w:divBdr>
                <w:top w:val="none" w:sz="0" w:space="0" w:color="auto"/>
                <w:left w:val="none" w:sz="0" w:space="0" w:color="auto"/>
                <w:bottom w:val="none" w:sz="0" w:space="0" w:color="auto"/>
                <w:right w:val="none" w:sz="0" w:space="0" w:color="auto"/>
              </w:divBdr>
              <w:divsChild>
                <w:div w:id="569660229">
                  <w:marLeft w:val="0"/>
                  <w:marRight w:val="0"/>
                  <w:marTop w:val="0"/>
                  <w:marBottom w:val="0"/>
                  <w:divBdr>
                    <w:top w:val="none" w:sz="0" w:space="0" w:color="auto"/>
                    <w:left w:val="none" w:sz="0" w:space="0" w:color="auto"/>
                    <w:bottom w:val="none" w:sz="0" w:space="0" w:color="auto"/>
                    <w:right w:val="none" w:sz="0" w:space="0" w:color="auto"/>
                  </w:divBdr>
                  <w:divsChild>
                    <w:div w:id="1327171455">
                      <w:marLeft w:val="0"/>
                      <w:marRight w:val="0"/>
                      <w:marTop w:val="0"/>
                      <w:marBottom w:val="0"/>
                      <w:divBdr>
                        <w:top w:val="none" w:sz="0" w:space="0" w:color="auto"/>
                        <w:left w:val="none" w:sz="0" w:space="0" w:color="auto"/>
                        <w:bottom w:val="none" w:sz="0" w:space="0" w:color="auto"/>
                        <w:right w:val="none" w:sz="0" w:space="0" w:color="auto"/>
                      </w:divBdr>
                    </w:div>
                    <w:div w:id="1499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5721">
      <w:bodyDiv w:val="1"/>
      <w:marLeft w:val="0"/>
      <w:marRight w:val="0"/>
      <w:marTop w:val="0"/>
      <w:marBottom w:val="0"/>
      <w:divBdr>
        <w:top w:val="none" w:sz="0" w:space="0" w:color="auto"/>
        <w:left w:val="none" w:sz="0" w:space="0" w:color="auto"/>
        <w:bottom w:val="none" w:sz="0" w:space="0" w:color="auto"/>
        <w:right w:val="none" w:sz="0" w:space="0" w:color="auto"/>
      </w:divBdr>
    </w:div>
    <w:div w:id="1113212423">
      <w:bodyDiv w:val="1"/>
      <w:marLeft w:val="0"/>
      <w:marRight w:val="0"/>
      <w:marTop w:val="0"/>
      <w:marBottom w:val="0"/>
      <w:divBdr>
        <w:top w:val="none" w:sz="0" w:space="0" w:color="auto"/>
        <w:left w:val="none" w:sz="0" w:space="0" w:color="auto"/>
        <w:bottom w:val="none" w:sz="0" w:space="0" w:color="auto"/>
        <w:right w:val="none" w:sz="0" w:space="0" w:color="auto"/>
      </w:divBdr>
    </w:div>
    <w:div w:id="1461414072">
      <w:bodyDiv w:val="1"/>
      <w:marLeft w:val="0"/>
      <w:marRight w:val="0"/>
      <w:marTop w:val="0"/>
      <w:marBottom w:val="0"/>
      <w:divBdr>
        <w:top w:val="none" w:sz="0" w:space="0" w:color="auto"/>
        <w:left w:val="none" w:sz="0" w:space="0" w:color="auto"/>
        <w:bottom w:val="none" w:sz="0" w:space="0" w:color="auto"/>
        <w:right w:val="none" w:sz="0" w:space="0" w:color="auto"/>
      </w:divBdr>
    </w:div>
    <w:div w:id="1859732796">
      <w:bodyDiv w:val="1"/>
      <w:marLeft w:val="30"/>
      <w:marRight w:val="30"/>
      <w:marTop w:val="30"/>
      <w:marBottom w:val="30"/>
      <w:divBdr>
        <w:top w:val="none" w:sz="0" w:space="0" w:color="auto"/>
        <w:left w:val="none" w:sz="0" w:space="0" w:color="auto"/>
        <w:bottom w:val="none" w:sz="0" w:space="0" w:color="auto"/>
        <w:right w:val="none" w:sz="0" w:space="0" w:color="auto"/>
      </w:divBdr>
      <w:divsChild>
        <w:div w:id="1109356521">
          <w:marLeft w:val="0"/>
          <w:marRight w:val="0"/>
          <w:marTop w:val="0"/>
          <w:marBottom w:val="0"/>
          <w:divBdr>
            <w:top w:val="none" w:sz="0" w:space="0" w:color="auto"/>
            <w:left w:val="none" w:sz="0" w:space="0" w:color="auto"/>
            <w:bottom w:val="none" w:sz="0" w:space="0" w:color="auto"/>
            <w:right w:val="none" w:sz="0" w:space="0" w:color="auto"/>
          </w:divBdr>
          <w:divsChild>
            <w:div w:id="302394616">
              <w:marLeft w:val="45"/>
              <w:marRight w:val="45"/>
              <w:marTop w:val="45"/>
              <w:marBottom w:val="45"/>
              <w:divBdr>
                <w:top w:val="none" w:sz="0" w:space="0" w:color="auto"/>
                <w:left w:val="none" w:sz="0" w:space="0" w:color="auto"/>
                <w:bottom w:val="none" w:sz="0" w:space="0" w:color="auto"/>
                <w:right w:val="none" w:sz="0" w:space="0" w:color="auto"/>
              </w:divBdr>
              <w:divsChild>
                <w:div w:id="266277219">
                  <w:marLeft w:val="0"/>
                  <w:marRight w:val="0"/>
                  <w:marTop w:val="0"/>
                  <w:marBottom w:val="0"/>
                  <w:divBdr>
                    <w:top w:val="none" w:sz="0" w:space="0" w:color="auto"/>
                    <w:left w:val="none" w:sz="0" w:space="0" w:color="auto"/>
                    <w:bottom w:val="none" w:sz="0" w:space="0" w:color="auto"/>
                    <w:right w:val="none" w:sz="0" w:space="0" w:color="auto"/>
                  </w:divBdr>
                  <w:divsChild>
                    <w:div w:id="66848008">
                      <w:marLeft w:val="0"/>
                      <w:marRight w:val="0"/>
                      <w:marTop w:val="0"/>
                      <w:marBottom w:val="0"/>
                      <w:divBdr>
                        <w:top w:val="none" w:sz="0" w:space="0" w:color="auto"/>
                        <w:left w:val="none" w:sz="0" w:space="0" w:color="auto"/>
                        <w:bottom w:val="none" w:sz="0" w:space="0" w:color="auto"/>
                        <w:right w:val="none" w:sz="0" w:space="0" w:color="auto"/>
                      </w:divBdr>
                    </w:div>
                    <w:div w:id="1506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1438</Words>
  <Characters>7902</Characters>
  <Application>Microsoft Office Word</Application>
  <DocSecurity>0</DocSecurity>
  <Lines>139</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2014-05-27T13:58:00Z</cp:lastPrinted>
  <dcterms:created xsi:type="dcterms:W3CDTF">2017-10-24T20:49:00Z</dcterms:created>
  <dcterms:modified xsi:type="dcterms:W3CDTF">2017-10-24T20:49:00Z</dcterms:modified>
  <cp:category> </cp:category>
  <cp:contentStatus> </cp:contentStatus>
</cp:coreProperties>
</file>