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048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49CFC0B" w14:textId="77777777" w:rsidR="00921803" w:rsidRDefault="00921803" w:rsidP="00921803">
      <w:pPr>
        <w:pStyle w:val="StyleBoldCentered"/>
      </w:pPr>
      <w:r>
        <w:t>F</w:t>
      </w:r>
      <w:r>
        <w:rPr>
          <w:caps w:val="0"/>
        </w:rPr>
        <w:t>ederal Communications Commission</w:t>
      </w:r>
    </w:p>
    <w:p w14:paraId="457E3100" w14:textId="77777777" w:rsidR="004C2EE3" w:rsidRDefault="00810B6F" w:rsidP="00096D8C">
      <w:pPr>
        <w:pStyle w:val="StyleBoldCentered"/>
      </w:pPr>
      <w:r>
        <w:rPr>
          <w:caps w:val="0"/>
        </w:rPr>
        <w:t>Washington, D.C. 20554</w:t>
      </w:r>
    </w:p>
    <w:p w14:paraId="152AA259" w14:textId="77777777" w:rsidR="004C2EE3" w:rsidRDefault="004C2EE3" w:rsidP="0070224F"/>
    <w:p w14:paraId="1FA2DF8A"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6252C7A" w14:textId="77777777">
        <w:tc>
          <w:tcPr>
            <w:tcW w:w="4698" w:type="dxa"/>
          </w:tcPr>
          <w:p w14:paraId="4666753E" w14:textId="4419993D" w:rsidR="004C2EE3" w:rsidRDefault="004C2EE3">
            <w:pPr>
              <w:tabs>
                <w:tab w:val="center" w:pos="4680"/>
              </w:tabs>
              <w:suppressAutoHyphens/>
              <w:rPr>
                <w:spacing w:val="-2"/>
              </w:rPr>
            </w:pPr>
            <w:r>
              <w:rPr>
                <w:spacing w:val="-2"/>
              </w:rPr>
              <w:t>In the Matter of</w:t>
            </w:r>
          </w:p>
          <w:p w14:paraId="63ACA9A2" w14:textId="77777777" w:rsidR="004C2EE3" w:rsidRDefault="004C2EE3">
            <w:pPr>
              <w:tabs>
                <w:tab w:val="center" w:pos="4680"/>
              </w:tabs>
              <w:suppressAutoHyphens/>
              <w:rPr>
                <w:spacing w:val="-2"/>
              </w:rPr>
            </w:pPr>
          </w:p>
          <w:p w14:paraId="71F48B15" w14:textId="77777777" w:rsidR="006144E6" w:rsidRDefault="006144E6" w:rsidP="006144E6">
            <w:pPr>
              <w:widowControl/>
              <w:tabs>
                <w:tab w:val="center" w:pos="4680"/>
              </w:tabs>
              <w:suppressAutoHyphens/>
              <w:rPr>
                <w:spacing w:val="-2"/>
              </w:rPr>
            </w:pPr>
            <w:r>
              <w:rPr>
                <w:spacing w:val="-2"/>
              </w:rPr>
              <w:t>Universal Service High-Cost Filing Deadlines</w:t>
            </w:r>
          </w:p>
          <w:p w14:paraId="4D889FA9" w14:textId="77777777" w:rsidR="006144E6" w:rsidRDefault="006144E6" w:rsidP="006144E6">
            <w:pPr>
              <w:widowControl/>
              <w:tabs>
                <w:tab w:val="center" w:pos="4680"/>
              </w:tabs>
              <w:suppressAutoHyphens/>
              <w:rPr>
                <w:spacing w:val="-2"/>
              </w:rPr>
            </w:pPr>
          </w:p>
          <w:p w14:paraId="0D61FA21" w14:textId="77777777" w:rsidR="006144E6" w:rsidRDefault="006144E6" w:rsidP="006144E6">
            <w:pPr>
              <w:widowControl/>
              <w:tabs>
                <w:tab w:val="center" w:pos="4680"/>
              </w:tabs>
              <w:suppressAutoHyphens/>
              <w:rPr>
                <w:spacing w:val="-2"/>
              </w:rPr>
            </w:pPr>
            <w:r>
              <w:rPr>
                <w:spacing w:val="-2"/>
              </w:rPr>
              <w:t xml:space="preserve">Federal-State Joint Board on Universal Service </w:t>
            </w:r>
          </w:p>
          <w:p w14:paraId="02C56E67" w14:textId="77777777" w:rsidR="006144E6" w:rsidRDefault="006144E6" w:rsidP="006144E6">
            <w:pPr>
              <w:widowControl/>
              <w:tabs>
                <w:tab w:val="center" w:pos="4680"/>
              </w:tabs>
              <w:suppressAutoHyphens/>
              <w:rPr>
                <w:spacing w:val="-2"/>
              </w:rPr>
            </w:pPr>
          </w:p>
          <w:p w14:paraId="6B29118C" w14:textId="77777777" w:rsidR="006144E6" w:rsidRDefault="006144E6" w:rsidP="006144E6">
            <w:pPr>
              <w:widowControl/>
              <w:tabs>
                <w:tab w:val="center" w:pos="4680"/>
              </w:tabs>
              <w:suppressAutoHyphens/>
              <w:rPr>
                <w:spacing w:val="-2"/>
              </w:rPr>
            </w:pPr>
            <w:r>
              <w:rPr>
                <w:spacing w:val="-2"/>
              </w:rPr>
              <w:t>Petition for Reconsideration by</w:t>
            </w:r>
          </w:p>
          <w:p w14:paraId="2193278B" w14:textId="77777777" w:rsidR="006144E6" w:rsidRDefault="006144E6" w:rsidP="006144E6">
            <w:pPr>
              <w:widowControl/>
              <w:tabs>
                <w:tab w:val="center" w:pos="4680"/>
              </w:tabs>
              <w:suppressAutoHyphens/>
              <w:rPr>
                <w:spacing w:val="-2"/>
              </w:rPr>
            </w:pPr>
          </w:p>
          <w:p w14:paraId="52252A2E" w14:textId="77777777" w:rsidR="004C2EE3" w:rsidRDefault="00EE0DF4" w:rsidP="006144E6">
            <w:pPr>
              <w:tabs>
                <w:tab w:val="center" w:pos="4680"/>
              </w:tabs>
              <w:suppressAutoHyphens/>
            </w:pPr>
            <w:r>
              <w:t>ASTAC Wireless LLC – CL d/b/a ASTAC</w:t>
            </w:r>
          </w:p>
          <w:p w14:paraId="24A0B3AC" w14:textId="77777777" w:rsidR="00EE0DF4" w:rsidRDefault="00EE0DF4" w:rsidP="006144E6">
            <w:pPr>
              <w:tabs>
                <w:tab w:val="center" w:pos="4680"/>
              </w:tabs>
              <w:suppressAutoHyphens/>
            </w:pPr>
            <w:r>
              <w:t xml:space="preserve">Petition for Waiver of Section 54.307 and </w:t>
            </w:r>
          </w:p>
          <w:p w14:paraId="2560B778" w14:textId="095A2518" w:rsidR="00EE0DF4" w:rsidRPr="007115F7" w:rsidRDefault="00EE0DF4" w:rsidP="006144E6">
            <w:pPr>
              <w:tabs>
                <w:tab w:val="center" w:pos="4680"/>
              </w:tabs>
              <w:suppressAutoHyphens/>
              <w:rPr>
                <w:spacing w:val="-2"/>
              </w:rPr>
            </w:pPr>
            <w:r>
              <w:t>54.903 of the Commission’s Rules</w:t>
            </w:r>
          </w:p>
        </w:tc>
        <w:tc>
          <w:tcPr>
            <w:tcW w:w="630" w:type="dxa"/>
          </w:tcPr>
          <w:p w14:paraId="0A6B445F" w14:textId="77777777" w:rsidR="004C2EE3" w:rsidRDefault="004C2EE3">
            <w:pPr>
              <w:tabs>
                <w:tab w:val="center" w:pos="4680"/>
              </w:tabs>
              <w:suppressAutoHyphens/>
              <w:rPr>
                <w:b/>
                <w:spacing w:val="-2"/>
              </w:rPr>
            </w:pPr>
            <w:r>
              <w:rPr>
                <w:b/>
                <w:spacing w:val="-2"/>
              </w:rPr>
              <w:t>)</w:t>
            </w:r>
          </w:p>
          <w:p w14:paraId="502AB8D1" w14:textId="77777777" w:rsidR="004C2EE3" w:rsidRDefault="004C2EE3">
            <w:pPr>
              <w:tabs>
                <w:tab w:val="center" w:pos="4680"/>
              </w:tabs>
              <w:suppressAutoHyphens/>
              <w:rPr>
                <w:b/>
                <w:spacing w:val="-2"/>
              </w:rPr>
            </w:pPr>
            <w:r>
              <w:rPr>
                <w:b/>
                <w:spacing w:val="-2"/>
              </w:rPr>
              <w:t>)</w:t>
            </w:r>
          </w:p>
          <w:p w14:paraId="12010EA2" w14:textId="77777777" w:rsidR="004C2EE3" w:rsidRDefault="004C2EE3">
            <w:pPr>
              <w:tabs>
                <w:tab w:val="center" w:pos="4680"/>
              </w:tabs>
              <w:suppressAutoHyphens/>
              <w:rPr>
                <w:b/>
                <w:spacing w:val="-2"/>
              </w:rPr>
            </w:pPr>
            <w:r>
              <w:rPr>
                <w:b/>
                <w:spacing w:val="-2"/>
              </w:rPr>
              <w:t>)</w:t>
            </w:r>
          </w:p>
          <w:p w14:paraId="4D9B151F" w14:textId="77777777" w:rsidR="004C2EE3" w:rsidRDefault="004C2EE3">
            <w:pPr>
              <w:tabs>
                <w:tab w:val="center" w:pos="4680"/>
              </w:tabs>
              <w:suppressAutoHyphens/>
              <w:rPr>
                <w:b/>
                <w:spacing w:val="-2"/>
              </w:rPr>
            </w:pPr>
            <w:r>
              <w:rPr>
                <w:b/>
                <w:spacing w:val="-2"/>
              </w:rPr>
              <w:t>)</w:t>
            </w:r>
          </w:p>
          <w:p w14:paraId="51862FE9" w14:textId="77777777" w:rsidR="004C2EE3" w:rsidRDefault="004C2EE3">
            <w:pPr>
              <w:tabs>
                <w:tab w:val="center" w:pos="4680"/>
              </w:tabs>
              <w:suppressAutoHyphens/>
              <w:rPr>
                <w:b/>
                <w:spacing w:val="-2"/>
              </w:rPr>
            </w:pPr>
            <w:r>
              <w:rPr>
                <w:b/>
                <w:spacing w:val="-2"/>
              </w:rPr>
              <w:t>)</w:t>
            </w:r>
          </w:p>
          <w:p w14:paraId="23E8DBD5" w14:textId="77777777" w:rsidR="004C2EE3" w:rsidRDefault="004C2EE3">
            <w:pPr>
              <w:tabs>
                <w:tab w:val="center" w:pos="4680"/>
              </w:tabs>
              <w:suppressAutoHyphens/>
              <w:rPr>
                <w:b/>
                <w:spacing w:val="-2"/>
              </w:rPr>
            </w:pPr>
            <w:r>
              <w:rPr>
                <w:b/>
                <w:spacing w:val="-2"/>
              </w:rPr>
              <w:t>)</w:t>
            </w:r>
          </w:p>
          <w:p w14:paraId="37463A38" w14:textId="77777777" w:rsidR="004C2EE3" w:rsidRDefault="004C2EE3">
            <w:pPr>
              <w:tabs>
                <w:tab w:val="center" w:pos="4680"/>
              </w:tabs>
              <w:suppressAutoHyphens/>
              <w:rPr>
                <w:b/>
                <w:spacing w:val="-2"/>
              </w:rPr>
            </w:pPr>
            <w:r>
              <w:rPr>
                <w:b/>
                <w:spacing w:val="-2"/>
              </w:rPr>
              <w:t>)</w:t>
            </w:r>
          </w:p>
          <w:p w14:paraId="1C3446E5" w14:textId="77777777" w:rsidR="004C2EE3" w:rsidRDefault="004C2EE3">
            <w:pPr>
              <w:tabs>
                <w:tab w:val="center" w:pos="4680"/>
              </w:tabs>
              <w:suppressAutoHyphens/>
              <w:rPr>
                <w:b/>
                <w:spacing w:val="-2"/>
              </w:rPr>
            </w:pPr>
            <w:r>
              <w:rPr>
                <w:b/>
                <w:spacing w:val="-2"/>
              </w:rPr>
              <w:t>)</w:t>
            </w:r>
          </w:p>
          <w:p w14:paraId="1C907CC9" w14:textId="77777777" w:rsidR="004C2EE3" w:rsidRDefault="004C2EE3">
            <w:pPr>
              <w:tabs>
                <w:tab w:val="center" w:pos="4680"/>
              </w:tabs>
              <w:suppressAutoHyphens/>
              <w:rPr>
                <w:b/>
                <w:spacing w:val="-2"/>
              </w:rPr>
            </w:pPr>
            <w:r>
              <w:rPr>
                <w:b/>
                <w:spacing w:val="-2"/>
              </w:rPr>
              <w:t>)</w:t>
            </w:r>
          </w:p>
          <w:p w14:paraId="6E0FEA55" w14:textId="77777777" w:rsidR="006144E6" w:rsidRDefault="006144E6">
            <w:pPr>
              <w:tabs>
                <w:tab w:val="center" w:pos="4680"/>
              </w:tabs>
              <w:suppressAutoHyphens/>
              <w:rPr>
                <w:b/>
                <w:spacing w:val="-2"/>
              </w:rPr>
            </w:pPr>
            <w:r>
              <w:rPr>
                <w:b/>
                <w:spacing w:val="-2"/>
              </w:rPr>
              <w:t>)</w:t>
            </w:r>
          </w:p>
          <w:p w14:paraId="739DAB5F" w14:textId="77777777" w:rsidR="006144E6" w:rsidRDefault="006144E6">
            <w:pPr>
              <w:tabs>
                <w:tab w:val="center" w:pos="4680"/>
              </w:tabs>
              <w:suppressAutoHyphens/>
              <w:rPr>
                <w:spacing w:val="-2"/>
              </w:rPr>
            </w:pPr>
            <w:r>
              <w:rPr>
                <w:b/>
                <w:spacing w:val="-2"/>
              </w:rPr>
              <w:t>)</w:t>
            </w:r>
          </w:p>
        </w:tc>
        <w:tc>
          <w:tcPr>
            <w:tcW w:w="4248" w:type="dxa"/>
          </w:tcPr>
          <w:p w14:paraId="02C45C51" w14:textId="77777777" w:rsidR="004C2EE3" w:rsidRDefault="004C2EE3">
            <w:pPr>
              <w:tabs>
                <w:tab w:val="center" w:pos="4680"/>
              </w:tabs>
              <w:suppressAutoHyphens/>
              <w:rPr>
                <w:spacing w:val="-2"/>
              </w:rPr>
            </w:pPr>
          </w:p>
          <w:p w14:paraId="42164C31" w14:textId="77777777" w:rsidR="004C2EE3" w:rsidRDefault="004C2EE3">
            <w:pPr>
              <w:pStyle w:val="TOAHeading"/>
              <w:tabs>
                <w:tab w:val="clear" w:pos="9360"/>
                <w:tab w:val="center" w:pos="4680"/>
              </w:tabs>
              <w:rPr>
                <w:spacing w:val="-2"/>
              </w:rPr>
            </w:pPr>
          </w:p>
          <w:p w14:paraId="6C75D98E" w14:textId="77777777" w:rsidR="006144E6" w:rsidRDefault="006144E6" w:rsidP="006144E6">
            <w:pPr>
              <w:widowControl/>
              <w:tabs>
                <w:tab w:val="center" w:pos="4680"/>
              </w:tabs>
              <w:suppressAutoHyphens/>
              <w:rPr>
                <w:spacing w:val="-2"/>
              </w:rPr>
            </w:pPr>
            <w:r>
              <w:rPr>
                <w:spacing w:val="-2"/>
              </w:rPr>
              <w:t>WC Docket No. 08-17</w:t>
            </w:r>
          </w:p>
          <w:p w14:paraId="002800B2" w14:textId="77777777" w:rsidR="006144E6" w:rsidRDefault="006144E6" w:rsidP="006144E6">
            <w:pPr>
              <w:widowControl/>
              <w:tabs>
                <w:tab w:val="center" w:pos="4680"/>
              </w:tabs>
              <w:suppressAutoHyphens/>
              <w:rPr>
                <w:spacing w:val="-2"/>
              </w:rPr>
            </w:pPr>
          </w:p>
          <w:p w14:paraId="19AF538E" w14:textId="77777777" w:rsidR="004C2EE3" w:rsidRDefault="006144E6" w:rsidP="006144E6">
            <w:pPr>
              <w:tabs>
                <w:tab w:val="center" w:pos="4680"/>
              </w:tabs>
              <w:suppressAutoHyphens/>
              <w:rPr>
                <w:spacing w:val="-2"/>
              </w:rPr>
            </w:pPr>
            <w:r>
              <w:rPr>
                <w:spacing w:val="-2"/>
              </w:rPr>
              <w:t>CC Docket No. 96-45</w:t>
            </w:r>
          </w:p>
        </w:tc>
      </w:tr>
    </w:tbl>
    <w:p w14:paraId="0B282DE1" w14:textId="77777777" w:rsidR="004C2EE3" w:rsidRDefault="004C2EE3" w:rsidP="0070224F"/>
    <w:p w14:paraId="1F74C976" w14:textId="77777777" w:rsidR="006144E6" w:rsidRDefault="006144E6" w:rsidP="006144E6">
      <w:pPr>
        <w:pStyle w:val="StyleBoldCentered"/>
        <w:widowControl/>
      </w:pPr>
      <w:r>
        <w:t xml:space="preserve">ORDER ON RECONSIDERATION </w:t>
      </w:r>
    </w:p>
    <w:p w14:paraId="5E617A99" w14:textId="77777777" w:rsidR="004C2EE3" w:rsidRDefault="004C2EE3">
      <w:pPr>
        <w:tabs>
          <w:tab w:val="left" w:pos="-720"/>
        </w:tabs>
        <w:suppressAutoHyphens/>
        <w:spacing w:line="227" w:lineRule="auto"/>
        <w:rPr>
          <w:spacing w:val="-2"/>
        </w:rPr>
      </w:pPr>
    </w:p>
    <w:p w14:paraId="5CA92B67" w14:textId="7A4A8F91" w:rsidR="004C2EE3" w:rsidRDefault="004C2EE3" w:rsidP="00133F79">
      <w:pPr>
        <w:tabs>
          <w:tab w:val="left" w:pos="720"/>
          <w:tab w:val="right" w:pos="9360"/>
        </w:tabs>
        <w:suppressAutoHyphens/>
        <w:spacing w:line="227" w:lineRule="auto"/>
        <w:rPr>
          <w:spacing w:val="-2"/>
        </w:rPr>
      </w:pPr>
      <w:r>
        <w:rPr>
          <w:b/>
          <w:spacing w:val="-2"/>
        </w:rPr>
        <w:t xml:space="preserve">Adopted:  </w:t>
      </w:r>
      <w:r w:rsidR="00844B49">
        <w:rPr>
          <w:b/>
          <w:spacing w:val="-2"/>
        </w:rPr>
        <w:t>August</w:t>
      </w:r>
      <w:r w:rsidR="002441C5">
        <w:rPr>
          <w:b/>
          <w:spacing w:val="-2"/>
        </w:rPr>
        <w:t xml:space="preserve"> 10</w:t>
      </w:r>
      <w:r w:rsidR="006144E6">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4B49">
        <w:rPr>
          <w:b/>
          <w:spacing w:val="-2"/>
        </w:rPr>
        <w:t>August</w:t>
      </w:r>
      <w:r w:rsidR="002441C5">
        <w:rPr>
          <w:b/>
          <w:spacing w:val="-2"/>
        </w:rPr>
        <w:t xml:space="preserve"> 10</w:t>
      </w:r>
      <w:r w:rsidR="006144E6">
        <w:rPr>
          <w:b/>
          <w:spacing w:val="-2"/>
        </w:rPr>
        <w:t>, 2016</w:t>
      </w:r>
    </w:p>
    <w:p w14:paraId="60F2F6DE" w14:textId="77777777" w:rsidR="00822CE0" w:rsidRDefault="00822CE0"/>
    <w:p w14:paraId="63F5846E" w14:textId="77777777" w:rsidR="004C2EE3" w:rsidRDefault="004C2EE3">
      <w:pPr>
        <w:rPr>
          <w:spacing w:val="-2"/>
        </w:rPr>
      </w:pPr>
      <w:r>
        <w:t xml:space="preserve">By </w:t>
      </w:r>
      <w:r w:rsidR="004E4A22">
        <w:t>the</w:t>
      </w:r>
      <w:r w:rsidR="002A2D2E">
        <w:t xml:space="preserve"> </w:t>
      </w:r>
      <w:r w:rsidR="006144E6">
        <w:rPr>
          <w:spacing w:val="-2"/>
        </w:rPr>
        <w:t>Chief, Wireline Competition Bureau</w:t>
      </w:r>
      <w:r>
        <w:rPr>
          <w:spacing w:val="-2"/>
        </w:rPr>
        <w:t>:</w:t>
      </w:r>
    </w:p>
    <w:p w14:paraId="5CE64B5F" w14:textId="77777777" w:rsidR="00412FC5" w:rsidRDefault="00412FC5" w:rsidP="00412FC5"/>
    <w:p w14:paraId="67DA8788" w14:textId="720CA264" w:rsidR="002C00E8" w:rsidRPr="006144E6" w:rsidRDefault="006144E6" w:rsidP="006144E6">
      <w:pPr>
        <w:pStyle w:val="ParaNum"/>
        <w:rPr>
          <w:rStyle w:val="StyleNumberedparagraphs11ptChar"/>
        </w:rPr>
      </w:pPr>
      <w:r>
        <w:t xml:space="preserve">In this </w:t>
      </w:r>
      <w:r w:rsidR="00FF64BF">
        <w:t>O</w:t>
      </w:r>
      <w:r>
        <w:t>rder,</w:t>
      </w:r>
      <w:r>
        <w:rPr>
          <w:rStyle w:val="StyleNumberedparagraphs11ptChar"/>
          <w:szCs w:val="22"/>
        </w:rPr>
        <w:t xml:space="preserve"> </w:t>
      </w:r>
      <w:r w:rsidRPr="00676AD4">
        <w:rPr>
          <w:rStyle w:val="StyleNumberedparagraphs11ptChar"/>
          <w:szCs w:val="22"/>
        </w:rPr>
        <w:t xml:space="preserve">we </w:t>
      </w:r>
      <w:r>
        <w:rPr>
          <w:rStyle w:val="StyleNumberedparagraphs11ptChar"/>
          <w:szCs w:val="22"/>
        </w:rPr>
        <w:t>deny</w:t>
      </w:r>
      <w:r w:rsidR="00570D88">
        <w:rPr>
          <w:rStyle w:val="StyleNumberedparagraphs11ptChar"/>
          <w:szCs w:val="22"/>
        </w:rPr>
        <w:t xml:space="preserve"> ASTAC Wireless LLC – CL’s (ASTAC) Petition for Reconsideration filed in the above captioned proceedings.</w:t>
      </w:r>
      <w:r w:rsidR="00570D88">
        <w:rPr>
          <w:rStyle w:val="FootnoteReference"/>
          <w:szCs w:val="22"/>
        </w:rPr>
        <w:footnoteReference w:id="2"/>
      </w:r>
      <w:r w:rsidR="00570D88">
        <w:rPr>
          <w:rStyle w:val="StyleNumberedparagraphs11ptChar"/>
          <w:szCs w:val="22"/>
        </w:rPr>
        <w:t xml:space="preserve">  ASTAC seeks reconsideration of the Wireline Competition Bureau’s (Bureau) </w:t>
      </w:r>
      <w:r w:rsidR="00FF64BF">
        <w:rPr>
          <w:rStyle w:val="StyleNumberedparagraphs11ptChar"/>
          <w:szCs w:val="22"/>
        </w:rPr>
        <w:t>o</w:t>
      </w:r>
      <w:r w:rsidR="00570D88">
        <w:rPr>
          <w:rStyle w:val="StyleNumberedparagraphs11ptChar"/>
          <w:szCs w:val="22"/>
        </w:rPr>
        <w:t>rder denying ASTAC’s waiver request of filing</w:t>
      </w:r>
      <w:r w:rsidR="003F3AAB">
        <w:rPr>
          <w:rStyle w:val="StyleNumberedparagraphs11ptChar"/>
          <w:szCs w:val="22"/>
        </w:rPr>
        <w:t xml:space="preserve"> deadlines set forth in section</w:t>
      </w:r>
      <w:r w:rsidR="00570D88">
        <w:rPr>
          <w:rStyle w:val="StyleNumberedparagraphs11ptChar"/>
          <w:szCs w:val="22"/>
        </w:rPr>
        <w:t xml:space="preserve"> 54.307</w:t>
      </w:r>
      <w:r w:rsidR="00A747CD">
        <w:rPr>
          <w:rStyle w:val="StyleNumberedparagraphs11ptChar"/>
          <w:szCs w:val="22"/>
        </w:rPr>
        <w:t>(c) of</w:t>
      </w:r>
      <w:r w:rsidR="00DF3918">
        <w:rPr>
          <w:rStyle w:val="StyleNumberedparagraphs11ptChar"/>
          <w:szCs w:val="22"/>
        </w:rPr>
        <w:t xml:space="preserve"> </w:t>
      </w:r>
      <w:r w:rsidR="00570D88">
        <w:rPr>
          <w:rStyle w:val="StyleNumberedparagraphs11ptChar"/>
          <w:szCs w:val="22"/>
        </w:rPr>
        <w:t>the Federal Communications Commission’s (Commission) rules.</w:t>
      </w:r>
      <w:r w:rsidR="00570D88">
        <w:rPr>
          <w:rStyle w:val="FootnoteReference"/>
          <w:szCs w:val="22"/>
        </w:rPr>
        <w:footnoteReference w:id="3"/>
      </w:r>
      <w:r w:rsidR="00570D88">
        <w:rPr>
          <w:rStyle w:val="StyleNumberedparagraphs11ptChar"/>
          <w:szCs w:val="22"/>
        </w:rPr>
        <w:t xml:space="preserve">  </w:t>
      </w:r>
      <w:r w:rsidR="00570D88">
        <w:t>We conclude that ASTAC fails to present any argument warranting reconsideration of the Bureau’s decision to deny its petition for waiver of high-cost filing deadlines.</w:t>
      </w:r>
      <w:r w:rsidR="00570D88">
        <w:rPr>
          <w:rStyle w:val="StyleNumberedparagraphs11ptChar"/>
          <w:szCs w:val="22"/>
        </w:rPr>
        <w:t xml:space="preserve">  Accordingly, we deny the Petition for Reconsideration.      </w:t>
      </w:r>
      <w:r>
        <w:rPr>
          <w:rStyle w:val="StyleNumberedparagraphs11ptChar"/>
          <w:szCs w:val="22"/>
        </w:rPr>
        <w:t xml:space="preserve"> </w:t>
      </w:r>
    </w:p>
    <w:p w14:paraId="0359B4D0" w14:textId="184798FE" w:rsidR="00EE0DF4" w:rsidRDefault="00B93C8B" w:rsidP="00EE0DF4">
      <w:pPr>
        <w:pStyle w:val="ParaNum"/>
      </w:pPr>
      <w:r>
        <w:rPr>
          <w:i/>
        </w:rPr>
        <w:t xml:space="preserve">Background.  </w:t>
      </w:r>
      <w:r w:rsidR="00531A29">
        <w:t>On October 13, 2015, ASTAC requested a waiver of the second quarter 2015 and third quarter 2015 line count filing deadlines established by section 54.307(c) of the Commission’s rules.</w:t>
      </w:r>
      <w:r w:rsidR="00531A29">
        <w:rPr>
          <w:rStyle w:val="FootnoteReference"/>
        </w:rPr>
        <w:footnoteReference w:id="4"/>
      </w:r>
      <w:r w:rsidR="00531A29">
        <w:t xml:space="preserve">  ASTAC states that it completed its filing for the second quarter prior to the deadline, but it did not certify the filing due to a new clerical employee being involved at the time.  ASTAC learned of the error on October 10, 2015</w:t>
      </w:r>
      <w:r w:rsidR="00B5495A">
        <w:t>,</w:t>
      </w:r>
      <w:r w:rsidR="00531A29">
        <w:t xml:space="preserve"> after discovering it did not receive certain support.  It then submitted the </w:t>
      </w:r>
      <w:r w:rsidR="00C2112F">
        <w:t xml:space="preserve">line count </w:t>
      </w:r>
      <w:r w:rsidR="00531A29">
        <w:t>filing on that day.</w:t>
      </w:r>
      <w:r w:rsidR="00531A29">
        <w:rPr>
          <w:rStyle w:val="FootnoteReference"/>
        </w:rPr>
        <w:footnoteReference w:id="5"/>
      </w:r>
      <w:r w:rsidR="00531A29">
        <w:t xml:space="preserve">  For third quarter 2015, ASTAC filed its line counts on October 7, 2015, five business days late.  ASTAC asserts that the missed deadline was due to miscommunication between an employee that previously was responsible for filing and the employee that is now responsible.</w:t>
      </w:r>
      <w:r w:rsidR="00531A29">
        <w:rPr>
          <w:rStyle w:val="FootnoteReference"/>
        </w:rPr>
        <w:footnoteReference w:id="6"/>
      </w:r>
      <w:r w:rsidR="00531A29">
        <w:t xml:space="preserve">  </w:t>
      </w:r>
    </w:p>
    <w:p w14:paraId="4C82267B" w14:textId="4E38C33D" w:rsidR="00E13D6F" w:rsidRDefault="00DD7408" w:rsidP="00A747CD">
      <w:pPr>
        <w:pStyle w:val="ParaNum"/>
        <w:widowControl/>
      </w:pPr>
      <w:r>
        <w:lastRenderedPageBreak/>
        <w:t>On April 20, 2016, the Bureau denied ASTAC’</w:t>
      </w:r>
      <w:r w:rsidR="00802D75">
        <w:t xml:space="preserve">s Waiver Request.  The Bureau concluded that ASTAC </w:t>
      </w:r>
      <w:r w:rsidR="00802D75" w:rsidRPr="00802D75">
        <w:t>failed to establish good cause for waiver under governing precedent</w:t>
      </w:r>
      <w:r w:rsidR="00802D75">
        <w:t>.</w:t>
      </w:r>
      <w:r w:rsidR="00802D75">
        <w:rPr>
          <w:rStyle w:val="FootnoteReference"/>
        </w:rPr>
        <w:footnoteReference w:id="7"/>
      </w:r>
      <w:r w:rsidR="00802D75">
        <w:t xml:space="preserve">  Specifically, the Bureau denied waiver of the </w:t>
      </w:r>
      <w:r w:rsidR="007C2550">
        <w:t xml:space="preserve">second quarter 2015 deadline because </w:t>
      </w:r>
      <w:r w:rsidR="007C2550" w:rsidRPr="007C2550">
        <w:t>ASTAC filed more than fourteen business</w:t>
      </w:r>
      <w:r w:rsidR="00D61C0C">
        <w:t xml:space="preserve"> days</w:t>
      </w:r>
      <w:r w:rsidR="007C2550" w:rsidRPr="007C2550">
        <w:t xml:space="preserve"> after the filing deadline</w:t>
      </w:r>
      <w:r w:rsidR="007C2550">
        <w:t xml:space="preserve">; and the Bureau denied waiver of the third quarter 2015 deadline because it was ASTAC’s second consecutive </w:t>
      </w:r>
      <w:r w:rsidR="002F7E65">
        <w:t>missed deadline</w:t>
      </w:r>
      <w:r w:rsidR="007C2550">
        <w:t>.</w:t>
      </w:r>
      <w:r w:rsidR="007C2550">
        <w:rPr>
          <w:rStyle w:val="FootnoteReference"/>
        </w:rPr>
        <w:footnoteReference w:id="8"/>
      </w:r>
      <w:r w:rsidR="007C2550">
        <w:t xml:space="preserve">  </w:t>
      </w:r>
      <w:r w:rsidR="00802D75">
        <w:t xml:space="preserve">  </w:t>
      </w:r>
      <w:r>
        <w:t xml:space="preserve">  </w:t>
      </w:r>
    </w:p>
    <w:p w14:paraId="3455D27B" w14:textId="5B0B669A" w:rsidR="008F29A0" w:rsidRDefault="008F29A0" w:rsidP="00EE0DF4">
      <w:pPr>
        <w:pStyle w:val="ParaNum"/>
      </w:pPr>
      <w:r>
        <w:t>On May 20, 2016</w:t>
      </w:r>
      <w:r w:rsidR="00FF64BF">
        <w:t>,</w:t>
      </w:r>
      <w:r>
        <w:t xml:space="preserve"> ASTAC filed its Petition for Reconsideration asking the Bureau to reconsider denial of the Waiver Request.  ASTAC </w:t>
      </w:r>
      <w:r w:rsidR="00E45090">
        <w:t>essentially repeats many of the arguments previously made in the Waiver Request, suggesting that the Bureau did not fully understand the sequence of events or the position of ASTAC.</w:t>
      </w:r>
      <w:r w:rsidR="00E45090">
        <w:rPr>
          <w:rStyle w:val="FootnoteReference"/>
        </w:rPr>
        <w:footnoteReference w:id="9"/>
      </w:r>
      <w:r w:rsidR="009E6075">
        <w:t xml:space="preserve"> </w:t>
      </w:r>
      <w:r w:rsidR="00E45090">
        <w:t xml:space="preserve"> </w:t>
      </w:r>
      <w:r w:rsidR="003D350D">
        <w:t xml:space="preserve">It asks the Bureau to grant the Waiver Request in its entirety, or as an alternative, at least grant a waiver with respect to the </w:t>
      </w:r>
      <w:r w:rsidR="00CB5BBB">
        <w:t xml:space="preserve">third quarter 2015 filing (the </w:t>
      </w:r>
      <w:r w:rsidR="003D350D">
        <w:t>second late filing</w:t>
      </w:r>
      <w:r w:rsidR="00CB5BBB">
        <w:t>)</w:t>
      </w:r>
      <w:r w:rsidR="00377FD0">
        <w:t>.</w:t>
      </w:r>
      <w:r w:rsidR="00C47152">
        <w:rPr>
          <w:rStyle w:val="FootnoteReference"/>
        </w:rPr>
        <w:footnoteReference w:id="10"/>
      </w:r>
      <w:r w:rsidR="0013303E">
        <w:t xml:space="preserve">  </w:t>
      </w:r>
      <w:r w:rsidR="00A4723D">
        <w:t xml:space="preserve"> </w:t>
      </w:r>
      <w:r w:rsidR="0013303E">
        <w:t xml:space="preserve"> </w:t>
      </w:r>
      <w:r w:rsidR="009F5914">
        <w:t xml:space="preserve">  </w:t>
      </w:r>
      <w:r w:rsidR="006336A3">
        <w:t xml:space="preserve">  </w:t>
      </w:r>
    </w:p>
    <w:p w14:paraId="36638226" w14:textId="1463F2B0" w:rsidR="00B5495A" w:rsidRDefault="00A4723D" w:rsidP="00B5495A">
      <w:pPr>
        <w:pStyle w:val="ParaNum"/>
      </w:pPr>
      <w:r w:rsidRPr="00A4723D">
        <w:rPr>
          <w:i/>
        </w:rPr>
        <w:t>Discussion</w:t>
      </w:r>
      <w:r w:rsidR="00FF64BF">
        <w:t>.</w:t>
      </w:r>
      <w:r>
        <w:t xml:space="preserve"> </w:t>
      </w:r>
      <w:r w:rsidR="0045230D">
        <w:t xml:space="preserve"> </w:t>
      </w:r>
      <w:r w:rsidR="00B5495A" w:rsidRPr="00B5495A">
        <w:rPr>
          <w:rFonts w:eastAsia="TimesNewRoman"/>
          <w:szCs w:val="22"/>
        </w:rPr>
        <w:t xml:space="preserve">We conclude </w:t>
      </w:r>
      <w:r w:rsidR="00B5495A" w:rsidRPr="00B5495A">
        <w:rPr>
          <w:rFonts w:eastAsia="TimesNewRoman"/>
        </w:rPr>
        <w:t xml:space="preserve">ASTAC </w:t>
      </w:r>
      <w:r w:rsidR="00B5495A" w:rsidRPr="00B5495A">
        <w:rPr>
          <w:rFonts w:eastAsia="TimesNewRoman"/>
          <w:szCs w:val="22"/>
        </w:rPr>
        <w:t>has failed to present any arguments warranting reconsideration</w:t>
      </w:r>
      <w:r w:rsidR="00B5495A" w:rsidRPr="00B5495A">
        <w:rPr>
          <w:rFonts w:eastAsia="TimesNewRoman"/>
        </w:rPr>
        <w:t xml:space="preserve"> </w:t>
      </w:r>
      <w:r w:rsidR="00B5495A" w:rsidRPr="00B5495A">
        <w:rPr>
          <w:rFonts w:eastAsia="TimesNewRoman"/>
          <w:szCs w:val="22"/>
        </w:rPr>
        <w:t xml:space="preserve">of the Bureau’s denial of </w:t>
      </w:r>
      <w:r w:rsidR="004E2CEC">
        <w:rPr>
          <w:rFonts w:eastAsia="TimesNewRoman"/>
          <w:szCs w:val="22"/>
        </w:rPr>
        <w:t>the Waiver Request</w:t>
      </w:r>
      <w:r w:rsidR="00B5495A" w:rsidRPr="00B5495A">
        <w:rPr>
          <w:rFonts w:eastAsia="TimesNewRoman"/>
          <w:szCs w:val="22"/>
        </w:rPr>
        <w:t>.</w:t>
      </w:r>
      <w:r w:rsidR="00B5495A">
        <w:rPr>
          <w:rStyle w:val="FootnoteReference"/>
        </w:rPr>
        <w:footnoteReference w:id="11"/>
      </w:r>
      <w:r w:rsidR="00B5495A" w:rsidRPr="00B5495A">
        <w:rPr>
          <w:rFonts w:eastAsia="TimesNewRoman"/>
        </w:rPr>
        <w:t xml:space="preserve">  </w:t>
      </w:r>
      <w:r w:rsidR="00B5495A" w:rsidRPr="00B5495A">
        <w:rPr>
          <w:rFonts w:eastAsia="TimesNewRoman"/>
          <w:szCs w:val="22"/>
        </w:rPr>
        <w:t>Accordingly, we reaffirm our finding that</w:t>
      </w:r>
      <w:r w:rsidR="00B5495A" w:rsidRPr="00B5495A">
        <w:rPr>
          <w:rFonts w:eastAsia="TimesNewRoman"/>
        </w:rPr>
        <w:t xml:space="preserve"> ASTAC </w:t>
      </w:r>
      <w:r w:rsidR="00B5495A" w:rsidRPr="00B5495A">
        <w:rPr>
          <w:rFonts w:eastAsia="TimesNewRoman"/>
          <w:szCs w:val="22"/>
        </w:rPr>
        <w:t xml:space="preserve">has not demonstrated that good cause justifies waiver of the </w:t>
      </w:r>
      <w:r w:rsidR="00B5495A">
        <w:rPr>
          <w:rFonts w:eastAsia="TimesNewRoman"/>
          <w:szCs w:val="22"/>
        </w:rPr>
        <w:t xml:space="preserve">second and third quarter 2015 </w:t>
      </w:r>
      <w:r w:rsidR="00B5495A" w:rsidRPr="00B5495A">
        <w:rPr>
          <w:rFonts w:eastAsia="TimesNewRoman"/>
          <w:szCs w:val="22"/>
        </w:rPr>
        <w:t>line count filing deadlines.</w:t>
      </w:r>
      <w:r w:rsidR="00B5495A">
        <w:rPr>
          <w:rStyle w:val="FootnoteReference"/>
          <w:rFonts w:eastAsia="TimesNewRoman"/>
          <w:szCs w:val="22"/>
        </w:rPr>
        <w:footnoteReference w:id="12"/>
      </w:r>
    </w:p>
    <w:p w14:paraId="7243B77C" w14:textId="7146BDDA" w:rsidR="003C0188" w:rsidRDefault="00F84E26" w:rsidP="00FF23B0">
      <w:pPr>
        <w:pStyle w:val="ParaNum"/>
      </w:pPr>
      <w:r>
        <w:t xml:space="preserve">In the </w:t>
      </w:r>
      <w:r w:rsidRPr="002C764D">
        <w:rPr>
          <w:i/>
        </w:rPr>
        <w:t>Waiver Order</w:t>
      </w:r>
      <w:r>
        <w:t>, the Bureau was not persuaded by ASTAC’s argument that waiver should be granted because the late filings were due to employee error.</w:t>
      </w:r>
      <w:r w:rsidR="002C764D">
        <w:t xml:space="preserve">  </w:t>
      </w:r>
      <w:r w:rsidR="006529B9">
        <w:t xml:space="preserve">ASTAC </w:t>
      </w:r>
      <w:r w:rsidR="002E2217">
        <w:t xml:space="preserve">attempts to </w:t>
      </w:r>
      <w:r w:rsidR="00B93C8B">
        <w:t xml:space="preserve">present </w:t>
      </w:r>
      <w:r w:rsidR="00A05ACB">
        <w:t>this</w:t>
      </w:r>
      <w:r w:rsidR="002E2217">
        <w:t xml:space="preserve"> </w:t>
      </w:r>
      <w:r w:rsidR="00DF3918">
        <w:t>point</w:t>
      </w:r>
      <w:r w:rsidR="002E2217">
        <w:t xml:space="preserve"> </w:t>
      </w:r>
      <w:r w:rsidR="00FE4975">
        <w:t xml:space="preserve">again </w:t>
      </w:r>
      <w:r w:rsidR="00693D81">
        <w:t xml:space="preserve">in its Petition for Reconsideration </w:t>
      </w:r>
      <w:r w:rsidR="00A05ACB">
        <w:t>by arguing that</w:t>
      </w:r>
      <w:r w:rsidR="004A3ED7">
        <w:t xml:space="preserve"> </w:t>
      </w:r>
      <w:r w:rsidR="00FF23B0">
        <w:t xml:space="preserve">the “complexity of </w:t>
      </w:r>
      <w:r w:rsidR="00DF6702">
        <w:t xml:space="preserve">[the Universal Service Administrative Company’s (USAC)] </w:t>
      </w:r>
      <w:r w:rsidR="00FF23B0">
        <w:t>electronic filing system creates a trap for the unwary into which ASTAC Wireless’s trainee fell.”</w:t>
      </w:r>
      <w:r w:rsidR="004A3ED7">
        <w:rPr>
          <w:rStyle w:val="FootnoteReference"/>
        </w:rPr>
        <w:footnoteReference w:id="13"/>
      </w:r>
      <w:r w:rsidR="002C764D">
        <w:t xml:space="preserve">  </w:t>
      </w:r>
      <w:r w:rsidR="0090184B">
        <w:t xml:space="preserve">In conjunction with this argument, </w:t>
      </w:r>
      <w:r w:rsidR="003C0188">
        <w:t xml:space="preserve">ASTAC also </w:t>
      </w:r>
      <w:r w:rsidR="00693D81">
        <w:t xml:space="preserve">raises the new argument </w:t>
      </w:r>
      <w:r w:rsidR="003C0188">
        <w:t>that USAC could have checked its system and flagged the error in time for ASTAC to make a timely correction.</w:t>
      </w:r>
      <w:r w:rsidR="003C0188">
        <w:rPr>
          <w:rStyle w:val="FootnoteReference"/>
        </w:rPr>
        <w:footnoteReference w:id="14"/>
      </w:r>
      <w:r w:rsidR="003C0188">
        <w:t xml:space="preserve">  ASTAC further </w:t>
      </w:r>
      <w:r w:rsidR="00FF23B0">
        <w:t>claims</w:t>
      </w:r>
      <w:r w:rsidR="003C0188">
        <w:t xml:space="preserve"> that USAC flags errors with respect to other aspects of its programs</w:t>
      </w:r>
      <w:r w:rsidR="009078EA">
        <w:t xml:space="preserve">.  </w:t>
      </w:r>
    </w:p>
    <w:p w14:paraId="10794B9D" w14:textId="700CE2E3" w:rsidR="00987B4C" w:rsidRDefault="004A3ED7" w:rsidP="0090184B">
      <w:pPr>
        <w:pStyle w:val="ParaNum"/>
        <w:widowControl/>
      </w:pPr>
      <w:r>
        <w:t>We reject</w:t>
      </w:r>
      <w:r w:rsidR="00B7651E">
        <w:t xml:space="preserve"> </w:t>
      </w:r>
      <w:r w:rsidR="003C0188">
        <w:t>these</w:t>
      </w:r>
      <w:r>
        <w:t xml:space="preserve"> argument</w:t>
      </w:r>
      <w:r w:rsidR="003C0188">
        <w:t>s</w:t>
      </w:r>
      <w:r w:rsidR="00FF23B0">
        <w:t xml:space="preserve">, which </w:t>
      </w:r>
      <w:r w:rsidR="008A73D6">
        <w:t xml:space="preserve">either do not </w:t>
      </w:r>
      <w:r w:rsidR="00FF23B0">
        <w:t>provide</w:t>
      </w:r>
      <w:r w:rsidR="006529B9">
        <w:t xml:space="preserve"> </w:t>
      </w:r>
      <w:r w:rsidR="00105D9C">
        <w:t>good cause to grant</w:t>
      </w:r>
      <w:r w:rsidR="00987B4C">
        <w:t xml:space="preserve"> a waiver</w:t>
      </w:r>
      <w:r w:rsidR="000B7C50">
        <w:t xml:space="preserve"> or cannot be the basis to grant the Petition for Reconsideration</w:t>
      </w:r>
      <w:r w:rsidR="009940DD">
        <w:t xml:space="preserve">.  </w:t>
      </w:r>
      <w:r w:rsidR="0090184B">
        <w:t>As ATSAC states</w:t>
      </w:r>
      <w:r w:rsidR="00C35B1F">
        <w:t xml:space="preserve">, </w:t>
      </w:r>
      <w:r w:rsidR="0090184B">
        <w:t>it</w:t>
      </w:r>
      <w:r w:rsidR="00C35B1F">
        <w:t xml:space="preserve"> had successfully </w:t>
      </w:r>
      <w:r w:rsidR="008F7FC2">
        <w:t>“</w:t>
      </w:r>
      <w:r w:rsidR="00C35B1F">
        <w:t>navigated</w:t>
      </w:r>
      <w:r w:rsidR="008F7FC2">
        <w:t>”</w:t>
      </w:r>
      <w:r w:rsidR="00C35B1F">
        <w:t xml:space="preserve"> the </w:t>
      </w:r>
      <w:r w:rsidR="00FF23B0">
        <w:t xml:space="preserve">“complex” </w:t>
      </w:r>
      <w:r w:rsidR="00C35B1F">
        <w:t>system previously, and it should have closely monitored its trainee.</w:t>
      </w:r>
      <w:r w:rsidR="00C35B1F">
        <w:rPr>
          <w:rStyle w:val="FootnoteReference"/>
        </w:rPr>
        <w:footnoteReference w:id="15"/>
      </w:r>
      <w:r w:rsidR="0090184B">
        <w:t xml:space="preserve">  </w:t>
      </w:r>
      <w:r w:rsidR="004F07EE">
        <w:t xml:space="preserve">Therefore, </w:t>
      </w:r>
      <w:r w:rsidR="00F84E26">
        <w:t xml:space="preserve">the alleged complexity of </w:t>
      </w:r>
      <w:r w:rsidR="004F07EE">
        <w:t xml:space="preserve">USAC’s </w:t>
      </w:r>
      <w:r w:rsidR="00E24D9B">
        <w:t xml:space="preserve">filing system does not provide good cause for a waiver.  </w:t>
      </w:r>
      <w:r w:rsidR="0090184B">
        <w:t xml:space="preserve">Moreover, </w:t>
      </w:r>
      <w:r w:rsidR="00F97EBA">
        <w:t xml:space="preserve">ASTAC’s </w:t>
      </w:r>
      <w:r w:rsidR="00FC3615">
        <w:t>argument</w:t>
      </w:r>
      <w:r w:rsidR="00F97EBA">
        <w:t xml:space="preserve"> that USAC could have </w:t>
      </w:r>
      <w:r w:rsidR="00D750D4">
        <w:t>flagged the e</w:t>
      </w:r>
      <w:r w:rsidR="00FC3615">
        <w:t xml:space="preserve">rror </w:t>
      </w:r>
      <w:r w:rsidR="00962148">
        <w:t xml:space="preserve">cannot be the basis to grant the Petition for Reconsideration.  </w:t>
      </w:r>
      <w:r w:rsidR="00F84E26">
        <w:t xml:space="preserve">This argument is procedurally barred, as ASTAC has failed to show why it </w:t>
      </w:r>
      <w:r w:rsidR="00F84E26">
        <w:lastRenderedPageBreak/>
        <w:t xml:space="preserve">was unable to make this argument in its original </w:t>
      </w:r>
      <w:r w:rsidR="004A0A62">
        <w:t>Waiver Request.</w:t>
      </w:r>
      <w:r w:rsidR="00BA39F5">
        <w:rPr>
          <w:rStyle w:val="FootnoteReference"/>
        </w:rPr>
        <w:footnoteReference w:id="16"/>
      </w:r>
      <w:r w:rsidR="00BA39F5">
        <w:t xml:space="preserve">  </w:t>
      </w:r>
      <w:r w:rsidR="00F84E26">
        <w:t>As a separate and independent grounds for decision, however, we are not persuaded b</w:t>
      </w:r>
      <w:r w:rsidR="002C764D">
        <w:t xml:space="preserve">y this argument on the merits.  </w:t>
      </w:r>
      <w:r w:rsidR="00387D03">
        <w:t xml:space="preserve">As ASTAC itself acknowledges, </w:t>
      </w:r>
      <w:r w:rsidR="00987B4C">
        <w:t xml:space="preserve">USAC is not responsible for ensuring carriers </w:t>
      </w:r>
      <w:r w:rsidR="00647606">
        <w:t xml:space="preserve">timely </w:t>
      </w:r>
      <w:r w:rsidR="0090184B">
        <w:t xml:space="preserve">file, and </w:t>
      </w:r>
      <w:r w:rsidR="00A05ACB">
        <w:t xml:space="preserve">it </w:t>
      </w:r>
      <w:r w:rsidR="0090184B">
        <w:t xml:space="preserve">had no obligation to flag </w:t>
      </w:r>
      <w:r w:rsidR="008454EC">
        <w:t>the situation</w:t>
      </w:r>
      <w:r w:rsidR="0090184B">
        <w:t>.</w:t>
      </w:r>
      <w:r w:rsidR="00387D03">
        <w:rPr>
          <w:rStyle w:val="FootnoteReference"/>
        </w:rPr>
        <w:footnoteReference w:id="17"/>
      </w:r>
      <w:r w:rsidR="0090184B">
        <w:t xml:space="preserve">  </w:t>
      </w:r>
      <w:r w:rsidR="00F84E26">
        <w:t>I</w:t>
      </w:r>
      <w:r w:rsidR="00FF64BF">
        <w:t xml:space="preserve">t is the </w:t>
      </w:r>
      <w:r w:rsidR="00693D81">
        <w:t>e</w:t>
      </w:r>
      <w:r w:rsidR="003953EE">
        <w:t xml:space="preserve">ligible </w:t>
      </w:r>
      <w:r w:rsidR="00693D81">
        <w:t>t</w:t>
      </w:r>
      <w:r w:rsidR="003953EE">
        <w:t xml:space="preserve">elecommunications </w:t>
      </w:r>
      <w:r w:rsidR="00693D81">
        <w:t>c</w:t>
      </w:r>
      <w:r w:rsidR="003953EE">
        <w:t>arrier</w:t>
      </w:r>
      <w:r w:rsidR="00FF64BF">
        <w:t xml:space="preserve">’s responsibility to comply with </w:t>
      </w:r>
      <w:r w:rsidR="004E2CEC">
        <w:t xml:space="preserve">the </w:t>
      </w:r>
      <w:r w:rsidR="00FF64BF">
        <w:t>Commission</w:t>
      </w:r>
      <w:r w:rsidR="004E2CEC">
        <w:t>’s</w:t>
      </w:r>
      <w:r w:rsidR="00FF64BF">
        <w:t xml:space="preserve"> rules</w:t>
      </w:r>
      <w:r w:rsidR="00387D03">
        <w:t>.  As the Commission has held in other instances, employee error or confusion is not grounds for a waiver.</w:t>
      </w:r>
      <w:r w:rsidR="00387D03">
        <w:rPr>
          <w:rStyle w:val="FootnoteReference"/>
        </w:rPr>
        <w:footnoteReference w:id="18"/>
      </w:r>
      <w:r w:rsidR="00F97EBA">
        <w:t xml:space="preserve">  </w:t>
      </w:r>
      <w:r w:rsidR="003C5D0A">
        <w:t xml:space="preserve">   </w:t>
      </w:r>
    </w:p>
    <w:p w14:paraId="3AB9C0FE" w14:textId="50EF110B" w:rsidR="001818CE" w:rsidRDefault="009D2696" w:rsidP="00F976F2">
      <w:pPr>
        <w:pStyle w:val="ParaNum"/>
        <w:widowControl/>
      </w:pPr>
      <w:r>
        <w:t>We are not persuaded by ASTAC’s argument that the Bureau “</w:t>
      </w:r>
      <w:r w:rsidR="004A2A6A">
        <w:t>incorrectly</w:t>
      </w:r>
      <w:r>
        <w:t xml:space="preserve"> conflated two separate late line count filings” which should be viewed separately,</w:t>
      </w:r>
      <w:r>
        <w:rPr>
          <w:rStyle w:val="FootnoteReference"/>
        </w:rPr>
        <w:footnoteReference w:id="19"/>
      </w:r>
      <w:r>
        <w:t xml:space="preserve"> and that under governing precedent, the Bureau should have granted a waiver for the second late filing because it was corrected within a week of the deadline.  </w:t>
      </w:r>
      <w:r w:rsidR="006529B9">
        <w:t xml:space="preserve">With regard to the third quarter 2015 missed </w:t>
      </w:r>
      <w:r w:rsidR="001818CE">
        <w:t>deadline</w:t>
      </w:r>
      <w:r w:rsidR="002F5E74">
        <w:t xml:space="preserve">, </w:t>
      </w:r>
      <w:r w:rsidR="006529B9">
        <w:t xml:space="preserve">we </w:t>
      </w:r>
      <w:r w:rsidR="00105D9C">
        <w:t>recognize</w:t>
      </w:r>
      <w:r w:rsidR="006529B9">
        <w:t xml:space="preserve"> that ASTAC was not aware it missed the second quarter 2015 filing until after it </w:t>
      </w:r>
      <w:r w:rsidR="00987B4C">
        <w:t xml:space="preserve">became </w:t>
      </w:r>
      <w:r w:rsidR="006529B9">
        <w:t>aware</w:t>
      </w:r>
      <w:r w:rsidR="001818CE">
        <w:t xml:space="preserve"> it missed the</w:t>
      </w:r>
      <w:r w:rsidR="006529B9">
        <w:t xml:space="preserve"> third quarter 2015</w:t>
      </w:r>
      <w:r w:rsidR="001818CE">
        <w:t xml:space="preserve"> filing.</w:t>
      </w:r>
      <w:r w:rsidR="002F5E74">
        <w:rPr>
          <w:rStyle w:val="FootnoteReference"/>
        </w:rPr>
        <w:footnoteReference w:id="20"/>
      </w:r>
      <w:r w:rsidR="002F5E74">
        <w:t xml:space="preserve">  </w:t>
      </w:r>
      <w:r w:rsidR="00F84E26">
        <w:t xml:space="preserve">That does not change the fact, however, that failure to file on time for the third quarter of 2015 was a second late filing.  </w:t>
      </w:r>
      <w:r w:rsidR="009E6075">
        <w:t>M</w:t>
      </w:r>
      <w:r w:rsidR="006529B9">
        <w:t xml:space="preserve">issing two consecutive filings, filings spaced months apart, reveals a </w:t>
      </w:r>
      <w:r w:rsidR="00D61C0C" w:rsidRPr="00D61C0C">
        <w:rPr>
          <w:sz w:val="24"/>
          <w:szCs w:val="24"/>
        </w:rPr>
        <w:t xml:space="preserve">continuing lack of internal controls </w:t>
      </w:r>
      <w:r w:rsidR="006529B9" w:rsidRPr="00D61C0C">
        <w:t xml:space="preserve">lack </w:t>
      </w:r>
      <w:r w:rsidR="006529B9" w:rsidRPr="007427D1">
        <w:t>of internal controls</w:t>
      </w:r>
      <w:r w:rsidR="009E6075">
        <w:t>, whether or not ASTAC was aware of that shortcoming at the time of the second failure</w:t>
      </w:r>
      <w:r w:rsidR="006529B9">
        <w:t>.</w:t>
      </w:r>
      <w:r w:rsidR="00C51EC9">
        <w:rPr>
          <w:rStyle w:val="FootnoteReference"/>
        </w:rPr>
        <w:footnoteReference w:id="21"/>
      </w:r>
      <w:r w:rsidR="006529B9">
        <w:t xml:space="preserve">  </w:t>
      </w:r>
      <w:r w:rsidR="001818CE">
        <w:t xml:space="preserve">ASTAC is correct that </w:t>
      </w:r>
      <w:r w:rsidR="006529B9">
        <w:t>we have granted waivers where carriers file</w:t>
      </w:r>
      <w:r w:rsidR="001818CE">
        <w:t>d</w:t>
      </w:r>
      <w:r w:rsidR="006529B9">
        <w:t xml:space="preserve"> within fourteen days of the deadline,</w:t>
      </w:r>
      <w:r w:rsidR="00B82CC6">
        <w:rPr>
          <w:rStyle w:val="FootnoteReference"/>
        </w:rPr>
        <w:footnoteReference w:id="22"/>
      </w:r>
      <w:r w:rsidR="006529B9">
        <w:t xml:space="preserve"> </w:t>
      </w:r>
      <w:r w:rsidR="001818CE">
        <w:t xml:space="preserve">but </w:t>
      </w:r>
      <w:r>
        <w:t xml:space="preserve">as we recognized in the </w:t>
      </w:r>
      <w:r w:rsidRPr="006318FD">
        <w:rPr>
          <w:i/>
        </w:rPr>
        <w:t>Waiver Order</w:t>
      </w:r>
      <w:r>
        <w:t xml:space="preserve">, that precedent is not applicable here.  </w:t>
      </w:r>
      <w:r w:rsidR="00F84E26">
        <w:t>The Bureau explicitly</w:t>
      </w:r>
      <w:r w:rsidR="007876BF">
        <w:t xml:space="preserve"> distinguish</w:t>
      </w:r>
      <w:r>
        <w:t>ed</w:t>
      </w:r>
      <w:r w:rsidR="007876BF">
        <w:t xml:space="preserve"> </w:t>
      </w:r>
      <w:r w:rsidR="001818CE">
        <w:t>ASTAC’s circ</w:t>
      </w:r>
      <w:r w:rsidR="000F5B24">
        <w:t xml:space="preserve">umstances — </w:t>
      </w:r>
      <w:r w:rsidR="007427D1">
        <w:t>it missed two consecutive deadlines</w:t>
      </w:r>
      <w:r w:rsidR="00CA735F">
        <w:t xml:space="preserve"> — deadlines spaced months apart.</w:t>
      </w:r>
      <w:r w:rsidR="002F5E74">
        <w:t xml:space="preserve">  </w:t>
      </w:r>
      <w:r w:rsidR="00A7407F">
        <w:t xml:space="preserve">While ASTAC has not missed </w:t>
      </w:r>
      <w:r w:rsidR="00FF64BF">
        <w:t xml:space="preserve">the filing </w:t>
      </w:r>
      <w:r w:rsidR="00A7407F">
        <w:t>deadline</w:t>
      </w:r>
      <w:r w:rsidR="00FF64BF">
        <w:t>s</w:t>
      </w:r>
      <w:r w:rsidR="00A7407F">
        <w:t xml:space="preserve"> since and </w:t>
      </w:r>
      <w:r w:rsidR="00683859">
        <w:t xml:space="preserve">has </w:t>
      </w:r>
      <w:r w:rsidR="00FF64BF">
        <w:t xml:space="preserve">since allegedly </w:t>
      </w:r>
      <w:r w:rsidR="00A7407F">
        <w:t>strengthened its internal procedures,</w:t>
      </w:r>
      <w:r w:rsidR="00683859">
        <w:rPr>
          <w:rStyle w:val="FootnoteReference"/>
        </w:rPr>
        <w:footnoteReference w:id="23"/>
      </w:r>
      <w:r w:rsidR="00A7407F">
        <w:t xml:space="preserve"> that does not warrant reconsideration under the circumstance</w:t>
      </w:r>
      <w:r w:rsidR="00683859">
        <w:t>s</w:t>
      </w:r>
      <w:r w:rsidR="00A7407F">
        <w:t>.</w:t>
      </w:r>
      <w:r w:rsidR="002F5E74">
        <w:t xml:space="preserve">  </w:t>
      </w:r>
    </w:p>
    <w:p w14:paraId="7FD172C6" w14:textId="14411175" w:rsidR="00693D81" w:rsidRDefault="00382218" w:rsidP="00F976F2">
      <w:pPr>
        <w:pStyle w:val="ParaNum"/>
        <w:widowControl/>
      </w:pPr>
      <w:r>
        <w:t>Furthermore,</w:t>
      </w:r>
      <w:r w:rsidR="00AC0149">
        <w:t xml:space="preserve"> </w:t>
      </w:r>
      <w:r w:rsidR="00E45090">
        <w:t xml:space="preserve">we are not persuaded by </w:t>
      </w:r>
      <w:r w:rsidR="00AC0149">
        <w:t>ASTAC</w:t>
      </w:r>
      <w:r w:rsidR="00E45090">
        <w:t>’s</w:t>
      </w:r>
      <w:r w:rsidR="00664779">
        <w:t xml:space="preserve"> </w:t>
      </w:r>
      <w:r w:rsidR="00AC0149">
        <w:t>argu</w:t>
      </w:r>
      <w:r w:rsidR="00E45090">
        <w:t>ment</w:t>
      </w:r>
      <w:r w:rsidR="00AC0149">
        <w:t xml:space="preserve"> </w:t>
      </w:r>
      <w:r w:rsidR="00105D9C">
        <w:t>there is good cause to grant the Waiver Request base</w:t>
      </w:r>
      <w:r w:rsidR="00962845">
        <w:t>d</w:t>
      </w:r>
      <w:r w:rsidR="00105D9C">
        <w:t xml:space="preserve"> on the size of</w:t>
      </w:r>
      <w:r w:rsidR="001A1ACE">
        <w:t xml:space="preserve"> the company and the significance</w:t>
      </w:r>
      <w:r w:rsidR="008F7FC2">
        <w:t xml:space="preserve"> of high-</w:t>
      </w:r>
      <w:r w:rsidR="00105D9C">
        <w:t>cost support.</w:t>
      </w:r>
      <w:r w:rsidR="00796A5C">
        <w:rPr>
          <w:rStyle w:val="FootnoteReference"/>
        </w:rPr>
        <w:footnoteReference w:id="24"/>
      </w:r>
      <w:r w:rsidR="00105D9C">
        <w:t xml:space="preserve">  </w:t>
      </w:r>
      <w:r w:rsidR="00BE208C">
        <w:t xml:space="preserve">Essentially, ASTAC’s argument </w:t>
      </w:r>
      <w:r w:rsidR="00924F3A">
        <w:t xml:space="preserve">attempts to </w:t>
      </w:r>
      <w:r w:rsidR="00E45090">
        <w:t>relitigate</w:t>
      </w:r>
      <w:r w:rsidR="00DD7408">
        <w:t xml:space="preserve"> </w:t>
      </w:r>
      <w:r w:rsidR="00924F3A">
        <w:t>its</w:t>
      </w:r>
      <w:r w:rsidR="00BE208C">
        <w:t xml:space="preserve"> undue hardship claim</w:t>
      </w:r>
      <w:r w:rsidR="00E45090">
        <w:t xml:space="preserve"> made in the original Waiver Request</w:t>
      </w:r>
      <w:r w:rsidR="00BE208C">
        <w:t>.</w:t>
      </w:r>
      <w:r w:rsidR="00924F3A">
        <w:rPr>
          <w:rStyle w:val="FootnoteReference"/>
        </w:rPr>
        <w:footnoteReference w:id="25"/>
      </w:r>
      <w:r w:rsidR="00E33AB2">
        <w:t xml:space="preserve">  However, ASTAC </w:t>
      </w:r>
      <w:r w:rsidR="00E00734">
        <w:t xml:space="preserve">provides only generalized harms </w:t>
      </w:r>
      <w:r w:rsidR="008F7FC2">
        <w:t xml:space="preserve">and </w:t>
      </w:r>
      <w:r w:rsidR="00E33AB2">
        <w:t>does not detail any specific harms</w:t>
      </w:r>
      <w:r w:rsidR="00E00734">
        <w:t xml:space="preserve"> to consumers</w:t>
      </w:r>
      <w:r w:rsidR="00E33AB2">
        <w:t xml:space="preserve"> </w:t>
      </w:r>
      <w:r w:rsidR="009D2696">
        <w:t>in its Petition for Reconsideration</w:t>
      </w:r>
      <w:r w:rsidR="00E33AB2">
        <w:t xml:space="preserve">.  </w:t>
      </w:r>
      <w:r w:rsidR="00693D81">
        <w:t>A</w:t>
      </w:r>
      <w:r w:rsidR="00F04815">
        <w:t xml:space="preserve">s we stated in the </w:t>
      </w:r>
      <w:r w:rsidR="00F04815">
        <w:rPr>
          <w:i/>
        </w:rPr>
        <w:t>Waiver Order</w:t>
      </w:r>
      <w:r w:rsidR="00F04815">
        <w:t xml:space="preserve">, </w:t>
      </w:r>
      <w:r w:rsidR="00341CE9">
        <w:t>“if we were to hold that the public interest prong of the waiver standard is met whenever a carrier is faced with a reduction in support, that would effectively negate the public interest requirement because this criterion would be met in each instance where a carrier failed to meet a filing deadline.”</w:t>
      </w:r>
      <w:r w:rsidR="00341CE9">
        <w:rPr>
          <w:rStyle w:val="FootnoteReference"/>
        </w:rPr>
        <w:footnoteReference w:id="26"/>
      </w:r>
      <w:r w:rsidR="00341CE9">
        <w:t xml:space="preserve">  </w:t>
      </w:r>
      <w:r w:rsidR="009E6075">
        <w:t xml:space="preserve">While we acknowledge the additional information provided regarding the amount of support in relationship to the company’s subscriber revenues, that information fails to establish that this loss of support </w:t>
      </w:r>
      <w:r w:rsidR="007E4FEB">
        <w:t xml:space="preserve">has </w:t>
      </w:r>
      <w:r w:rsidR="009E6075">
        <w:t>result</w:t>
      </w:r>
      <w:r w:rsidR="007E4FEB">
        <w:t>ed</w:t>
      </w:r>
      <w:r w:rsidR="009E6075">
        <w:t xml:space="preserve"> in diminished service to consumers.</w:t>
      </w:r>
    </w:p>
    <w:p w14:paraId="178222D1" w14:textId="23A07FFA" w:rsidR="00BE208C" w:rsidRDefault="00B5495A" w:rsidP="00C539D5">
      <w:pPr>
        <w:pStyle w:val="ParaNum"/>
      </w:pPr>
      <w:r>
        <w:t>W</w:t>
      </w:r>
      <w:r w:rsidR="0056710F">
        <w:t xml:space="preserve">hile </w:t>
      </w:r>
      <w:r w:rsidR="00962845">
        <w:t xml:space="preserve">it is a small </w:t>
      </w:r>
      <w:r w:rsidR="008F7FC2">
        <w:t>business</w:t>
      </w:r>
      <w:r w:rsidR="006C42F1">
        <w:t xml:space="preserve">, </w:t>
      </w:r>
      <w:r w:rsidR="00FF64BF">
        <w:t xml:space="preserve">ASTAC’s </w:t>
      </w:r>
      <w:r w:rsidR="006C42F1">
        <w:t xml:space="preserve">size </w:t>
      </w:r>
      <w:r w:rsidR="001061D9">
        <w:t xml:space="preserve">alone </w:t>
      </w:r>
      <w:r w:rsidR="006C42F1">
        <w:t>does not provide good cause</w:t>
      </w:r>
      <w:r w:rsidR="00B8449F">
        <w:t xml:space="preserve"> for a waiver</w:t>
      </w:r>
      <w:r w:rsidR="006C42F1">
        <w:t>.</w:t>
      </w:r>
      <w:r w:rsidR="009713A6">
        <w:t xml:space="preserve">  Other carriers subject to this reporting requi</w:t>
      </w:r>
      <w:r w:rsidR="00E00734">
        <w:t xml:space="preserve">rement are also small </w:t>
      </w:r>
      <w:r w:rsidR="00B7651E">
        <w:t>businesses,</w:t>
      </w:r>
      <w:r w:rsidR="00D07AD1">
        <w:t xml:space="preserve"> and ASTAC has not </w:t>
      </w:r>
      <w:r w:rsidR="00E45090">
        <w:t>demonstrated that</w:t>
      </w:r>
      <w:r w:rsidR="00E00734">
        <w:t xml:space="preserve"> its si</w:t>
      </w:r>
      <w:r w:rsidR="00D07AD1">
        <w:t xml:space="preserve">tuation as a small </w:t>
      </w:r>
      <w:r w:rsidR="008F7FC2">
        <w:t>business</w:t>
      </w:r>
      <w:r w:rsidR="00D07AD1">
        <w:t xml:space="preserve"> is</w:t>
      </w:r>
      <w:r w:rsidR="00E00734">
        <w:t xml:space="preserve"> unique</w:t>
      </w:r>
      <w:r w:rsidR="00D07AD1">
        <w:t xml:space="preserve"> or distinct</w:t>
      </w:r>
      <w:r w:rsidR="00E00734">
        <w:t>.</w:t>
      </w:r>
      <w:r w:rsidR="009713A6">
        <w:t xml:space="preserve">  </w:t>
      </w:r>
      <w:r w:rsidR="00F05B1C">
        <w:t xml:space="preserve">Nor does </w:t>
      </w:r>
      <w:r w:rsidR="00794421">
        <w:t xml:space="preserve">the Regulatory Flexibility Act </w:t>
      </w:r>
      <w:r w:rsidR="00F05B1C">
        <w:t xml:space="preserve">require us to grant </w:t>
      </w:r>
      <w:r w:rsidR="00B8449F">
        <w:t>ASTAC</w:t>
      </w:r>
      <w:r w:rsidR="00F05B1C">
        <w:t xml:space="preserve"> the requested relief</w:t>
      </w:r>
      <w:r w:rsidR="00E00734">
        <w:t>.</w:t>
      </w:r>
      <w:r w:rsidR="00C73B5A">
        <w:rPr>
          <w:rStyle w:val="FootnoteReference"/>
        </w:rPr>
        <w:footnoteReference w:id="27"/>
      </w:r>
      <w:r w:rsidR="008F7FC2">
        <w:t xml:space="preserve">  </w:t>
      </w:r>
      <w:r w:rsidR="001061D9">
        <w:t>Indeed, absent these filings, USAC would be unable to calculate the appropriate support amount which ASTAC claims is so essential.</w:t>
      </w:r>
      <w:r w:rsidR="00E17364">
        <w:rPr>
          <w:rStyle w:val="FootnoteReference"/>
        </w:rPr>
        <w:footnoteReference w:id="28"/>
      </w:r>
      <w:r w:rsidR="001061D9">
        <w:t xml:space="preserve">  </w:t>
      </w:r>
      <w:r w:rsidR="008F7FC2">
        <w:t>Therefore, w</w:t>
      </w:r>
      <w:r w:rsidR="00620603">
        <w:t xml:space="preserve">e </w:t>
      </w:r>
      <w:r w:rsidR="00FF23B0">
        <w:t xml:space="preserve">do not </w:t>
      </w:r>
      <w:r w:rsidR="001421C5">
        <w:t>agree with</w:t>
      </w:r>
      <w:r w:rsidR="00FF23B0">
        <w:t xml:space="preserve"> </w:t>
      </w:r>
      <w:r w:rsidR="0045230D">
        <w:t xml:space="preserve">ASTAC’s claim </w:t>
      </w:r>
      <w:r w:rsidR="001421C5">
        <w:t>that a</w:t>
      </w:r>
      <w:r w:rsidR="00FF23B0">
        <w:t>n</w:t>
      </w:r>
      <w:r w:rsidR="00DC4E78">
        <w:t xml:space="preserve"> </w:t>
      </w:r>
      <w:r w:rsidR="00FF23B0">
        <w:t>obligation</w:t>
      </w:r>
      <w:r w:rsidR="0056710F">
        <w:t xml:space="preserve"> to timely file </w:t>
      </w:r>
      <w:r w:rsidR="008F7FC2">
        <w:t>line counts imposes</w:t>
      </w:r>
      <w:r w:rsidR="0056710F">
        <w:t xml:space="preserve"> </w:t>
      </w:r>
      <w:r w:rsidR="008F7FC2">
        <w:t>a</w:t>
      </w:r>
      <w:r w:rsidR="0056710F">
        <w:t>n unnecessary burden</w:t>
      </w:r>
      <w:r w:rsidR="00620603">
        <w:t xml:space="preserve"> on the public</w:t>
      </w:r>
      <w:r w:rsidR="0056710F">
        <w:t>, creates entry barrie</w:t>
      </w:r>
      <w:r w:rsidR="00620603">
        <w:t>r</w:t>
      </w:r>
      <w:r w:rsidR="0056710F">
        <w:t>s, or</w:t>
      </w:r>
      <w:r w:rsidR="00840FF5">
        <w:t xml:space="preserve"> </w:t>
      </w:r>
      <w:r w:rsidR="00620603">
        <w:t>is an</w:t>
      </w:r>
      <w:r w:rsidR="0056710F">
        <w:t xml:space="preserve"> unnecessary</w:t>
      </w:r>
      <w:r w:rsidR="00620603">
        <w:t xml:space="preserve"> regulation</w:t>
      </w:r>
      <w:r w:rsidR="0056710F">
        <w:t>.</w:t>
      </w:r>
      <w:r w:rsidR="006C42F1">
        <w:rPr>
          <w:rStyle w:val="FootnoteReference"/>
        </w:rPr>
        <w:footnoteReference w:id="29"/>
      </w:r>
      <w:r w:rsidR="0056710F">
        <w:t xml:space="preserve">  </w:t>
      </w:r>
      <w:r w:rsidR="00C539D5">
        <w:t xml:space="preserve">Furthermore, as we stated in the </w:t>
      </w:r>
      <w:r w:rsidR="00C539D5">
        <w:rPr>
          <w:i/>
        </w:rPr>
        <w:t>Waiver Order</w:t>
      </w:r>
      <w:r w:rsidR="00C539D5">
        <w:t>, “t</w:t>
      </w:r>
      <w:r w:rsidR="00C539D5" w:rsidRPr="00C539D5">
        <w:t>he public interest benefits of ensuring that USAC and the Commission have timely access to required data and certifications and can monitor the use of high-cost support outweigh the impact of these support reductions</w:t>
      </w:r>
      <w:r w:rsidR="00C539D5">
        <w:t xml:space="preserve"> on . . . ASTAC</w:t>
      </w:r>
      <w:r w:rsidR="004A0A62">
        <w:t>.</w:t>
      </w:r>
      <w:r w:rsidR="00C539D5">
        <w:t>”</w:t>
      </w:r>
      <w:r w:rsidR="00C539D5">
        <w:rPr>
          <w:rStyle w:val="FootnoteReference"/>
        </w:rPr>
        <w:footnoteReference w:id="30"/>
      </w:r>
      <w:r w:rsidR="00C539D5" w:rsidRPr="00C539D5">
        <w:t xml:space="preserve"> </w:t>
      </w:r>
    </w:p>
    <w:p w14:paraId="224629AC" w14:textId="1AC947F1" w:rsidR="005A4096" w:rsidRDefault="006144E6" w:rsidP="00D750D4">
      <w:pPr>
        <w:pStyle w:val="ParaNum"/>
      </w:pPr>
      <w:r w:rsidRPr="00676AD4">
        <w:rPr>
          <w:rStyle w:val="StyleNumberedparagraphs11ptChar"/>
          <w:szCs w:val="22"/>
        </w:rPr>
        <w:t>ACCORDINGLY, IT IS ORDERED, pursuant to the authority contained in sections 1</w:t>
      </w:r>
      <w:r w:rsidR="001A56B3">
        <w:rPr>
          <w:rStyle w:val="StyleNumberedparagraphs11ptChar"/>
          <w:szCs w:val="22"/>
        </w:rPr>
        <w:t xml:space="preserve">, </w:t>
      </w:r>
      <w:r w:rsidRPr="00676AD4">
        <w:rPr>
          <w:rStyle w:val="StyleNumberedparagraphs11ptChar"/>
          <w:szCs w:val="22"/>
        </w:rPr>
        <w:t>4</w:t>
      </w:r>
      <w:r w:rsidR="001A56B3">
        <w:rPr>
          <w:rStyle w:val="StyleNumberedparagraphs11ptChar"/>
          <w:szCs w:val="22"/>
        </w:rPr>
        <w:t>(i), 5(c), 201, 254 and 405</w:t>
      </w:r>
      <w:r w:rsidRPr="00676AD4">
        <w:rPr>
          <w:rStyle w:val="StyleNumberedparagraphs11ptChar"/>
          <w:szCs w:val="22"/>
        </w:rPr>
        <w:t xml:space="preserve"> of the Communications Act of 1934, as amended, 47 U.S.C. §§ 151-154</w:t>
      </w:r>
      <w:r w:rsidR="001A56B3">
        <w:rPr>
          <w:rStyle w:val="StyleNumberedparagraphs11ptChar"/>
          <w:szCs w:val="22"/>
        </w:rPr>
        <w:t>(i), 155(c), 201, 254, and 405</w:t>
      </w:r>
      <w:r w:rsidRPr="00676AD4">
        <w:rPr>
          <w:rStyle w:val="StyleNumberedparagraphs11ptChar"/>
          <w:szCs w:val="22"/>
        </w:rPr>
        <w:t xml:space="preserve"> and </w:t>
      </w:r>
      <w:r w:rsidRPr="00676AD4">
        <w:t xml:space="preserve">sections 0.91, 0.291, 1.3, </w:t>
      </w:r>
      <w:r>
        <w:t xml:space="preserve">and </w:t>
      </w:r>
      <w:r w:rsidRPr="00676AD4">
        <w:t>1.106</w:t>
      </w:r>
      <w:r>
        <w:t xml:space="preserve"> </w:t>
      </w:r>
      <w:r w:rsidRPr="00676AD4">
        <w:t xml:space="preserve">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w:t>
      </w:r>
      <w:r>
        <w:t>, 0.291, 1.3, 1.106</w:t>
      </w:r>
      <w:r w:rsidRPr="00676AD4">
        <w:t xml:space="preserve">, </w:t>
      </w:r>
      <w:r w:rsidRPr="00676AD4">
        <w:rPr>
          <w:rStyle w:val="StyleNumberedparagraphs11ptChar"/>
          <w:szCs w:val="22"/>
        </w:rPr>
        <w:t xml:space="preserve">that the Petition for Reconsideration </w:t>
      </w:r>
      <w:r w:rsidR="00CF08E8">
        <w:rPr>
          <w:rStyle w:val="StyleNumberedparagraphs11ptChar"/>
          <w:szCs w:val="22"/>
        </w:rPr>
        <w:t>is DENIED</w:t>
      </w:r>
      <w:r w:rsidR="001A56B3">
        <w:rPr>
          <w:rStyle w:val="StyleNumberedparagraphs11ptChar"/>
          <w:szCs w:val="22"/>
        </w:rPr>
        <w:t>.</w:t>
      </w:r>
      <w:r w:rsidR="00CF08E8">
        <w:rPr>
          <w:rStyle w:val="StyleNumberedparagraphs11ptChar"/>
          <w:szCs w:val="22"/>
        </w:rPr>
        <w:t xml:space="preserve"> </w:t>
      </w:r>
    </w:p>
    <w:p w14:paraId="78B978CF" w14:textId="77777777" w:rsidR="005A4096" w:rsidRDefault="005A4096" w:rsidP="005A4096">
      <w:pPr>
        <w:pStyle w:val="ParaNum"/>
      </w:pPr>
      <w:r>
        <w:t xml:space="preserve">IT IS FURTHER ORDERED that, pursuant to section 1.102(b)(1) of the Commission’s rules, 47 CFR § 1.102(b)(1), this Order SHALL BE EFFECTIVE upon release. </w:t>
      </w:r>
    </w:p>
    <w:p w14:paraId="4B9B14AC" w14:textId="77777777" w:rsidR="006144E6" w:rsidRPr="00676AD4" w:rsidRDefault="006144E6" w:rsidP="006144E6">
      <w:pPr>
        <w:keepNext/>
        <w:widowControl/>
        <w:tabs>
          <w:tab w:val="left" w:pos="-720"/>
        </w:tabs>
        <w:suppressAutoHyphens/>
        <w:outlineLvl w:val="0"/>
        <w:rPr>
          <w:szCs w:val="22"/>
        </w:rPr>
      </w:pPr>
    </w:p>
    <w:p w14:paraId="1774DCC2" w14:textId="77777777" w:rsidR="006144E6" w:rsidRPr="00676AD4" w:rsidRDefault="006144E6" w:rsidP="006144E6">
      <w:pPr>
        <w:keepNext/>
        <w:widowControl/>
        <w:tabs>
          <w:tab w:val="left" w:pos="-720"/>
        </w:tabs>
        <w:suppressAutoHyphens/>
        <w:ind w:left="4320"/>
        <w:outlineLvl w:val="0"/>
        <w:rPr>
          <w:szCs w:val="22"/>
        </w:rPr>
      </w:pPr>
      <w:r w:rsidRPr="00676AD4">
        <w:rPr>
          <w:szCs w:val="22"/>
        </w:rPr>
        <w:t>FEDERAL COMMUNICATIONS COMMISSION</w:t>
      </w:r>
    </w:p>
    <w:p w14:paraId="7945C2E2" w14:textId="77777777" w:rsidR="006144E6" w:rsidRPr="00676AD4" w:rsidRDefault="006144E6" w:rsidP="006144E6">
      <w:pPr>
        <w:keepNext/>
        <w:widowControl/>
        <w:tabs>
          <w:tab w:val="left" w:pos="-720"/>
        </w:tabs>
        <w:suppressAutoHyphens/>
        <w:ind w:left="4320"/>
        <w:rPr>
          <w:szCs w:val="22"/>
        </w:rPr>
      </w:pPr>
    </w:p>
    <w:p w14:paraId="04525217" w14:textId="77777777" w:rsidR="006144E6" w:rsidRPr="00676AD4" w:rsidRDefault="006144E6" w:rsidP="006144E6">
      <w:pPr>
        <w:keepNext/>
        <w:keepLines/>
        <w:widowControl/>
        <w:ind w:left="4320"/>
        <w:outlineLvl w:val="0"/>
        <w:rPr>
          <w:szCs w:val="22"/>
        </w:rPr>
      </w:pPr>
    </w:p>
    <w:p w14:paraId="6523E4BD" w14:textId="77777777" w:rsidR="006144E6" w:rsidRPr="00676AD4" w:rsidRDefault="006144E6" w:rsidP="006144E6">
      <w:pPr>
        <w:keepNext/>
        <w:keepLines/>
        <w:widowControl/>
        <w:ind w:left="3600" w:firstLine="720"/>
        <w:outlineLvl w:val="0"/>
        <w:rPr>
          <w:szCs w:val="22"/>
        </w:rPr>
      </w:pPr>
    </w:p>
    <w:p w14:paraId="2D0B2331" w14:textId="77777777" w:rsidR="006144E6" w:rsidRPr="00676AD4" w:rsidRDefault="006144E6" w:rsidP="006144E6">
      <w:pPr>
        <w:keepNext/>
        <w:keepLines/>
        <w:widowControl/>
        <w:ind w:left="3600" w:firstLine="720"/>
        <w:outlineLvl w:val="0"/>
        <w:rPr>
          <w:szCs w:val="22"/>
        </w:rPr>
      </w:pPr>
    </w:p>
    <w:p w14:paraId="1F51E44C" w14:textId="77777777" w:rsidR="006144E6" w:rsidRPr="00676AD4" w:rsidRDefault="006144E6" w:rsidP="006144E6">
      <w:pPr>
        <w:keepNext/>
        <w:keepLines/>
        <w:widowControl/>
        <w:ind w:left="3600" w:firstLine="720"/>
        <w:outlineLvl w:val="0"/>
        <w:rPr>
          <w:szCs w:val="22"/>
        </w:rPr>
      </w:pPr>
      <w:r>
        <w:rPr>
          <w:szCs w:val="22"/>
        </w:rPr>
        <w:t>Matthew S. DelNero</w:t>
      </w:r>
    </w:p>
    <w:p w14:paraId="23AFF4C1" w14:textId="77777777" w:rsidR="006144E6" w:rsidRPr="00676AD4" w:rsidRDefault="006144E6" w:rsidP="006144E6">
      <w:pPr>
        <w:keepNext/>
        <w:keepLines/>
        <w:widowControl/>
        <w:ind w:left="3600" w:firstLine="720"/>
        <w:outlineLvl w:val="0"/>
        <w:rPr>
          <w:szCs w:val="22"/>
        </w:rPr>
      </w:pPr>
      <w:r w:rsidRPr="00676AD4">
        <w:rPr>
          <w:szCs w:val="22"/>
        </w:rPr>
        <w:t>Chief</w:t>
      </w:r>
    </w:p>
    <w:p w14:paraId="304D4BFB" w14:textId="4194611B" w:rsidR="006144E6" w:rsidRPr="00676AD4" w:rsidRDefault="006144E6" w:rsidP="006144E6">
      <w:pPr>
        <w:keepNext/>
        <w:keepLines/>
        <w:widowControl/>
        <w:ind w:left="4320"/>
        <w:outlineLvl w:val="0"/>
        <w:rPr>
          <w:szCs w:val="22"/>
        </w:rPr>
      </w:pPr>
      <w:r w:rsidRPr="00676AD4">
        <w:rPr>
          <w:szCs w:val="22"/>
        </w:rPr>
        <w:t>Wireline Competition Bureau</w:t>
      </w:r>
    </w:p>
    <w:p w14:paraId="2068BB0C" w14:textId="77777777" w:rsidR="006144E6" w:rsidRPr="00DA2741" w:rsidRDefault="006144E6" w:rsidP="006144E6">
      <w:pPr>
        <w:pStyle w:val="ParaNum"/>
        <w:numPr>
          <w:ilvl w:val="0"/>
          <w:numId w:val="0"/>
        </w:numPr>
        <w:ind w:left="720"/>
        <w:rPr>
          <w:rStyle w:val="StyleNumberedparagraphs11ptChar"/>
        </w:rPr>
      </w:pPr>
    </w:p>
    <w:p w14:paraId="6CDC6D2F" w14:textId="77777777" w:rsidR="006144E6" w:rsidRPr="006144E6" w:rsidRDefault="006144E6" w:rsidP="006144E6">
      <w:pPr>
        <w:pStyle w:val="Heading3"/>
        <w:numPr>
          <w:ilvl w:val="0"/>
          <w:numId w:val="0"/>
        </w:numPr>
        <w:ind w:left="2160"/>
      </w:pPr>
    </w:p>
    <w:sectPr w:rsidR="006144E6" w:rsidRPr="006144E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D0878" w14:textId="77777777" w:rsidR="005E03BB" w:rsidRDefault="005E03BB">
      <w:pPr>
        <w:spacing w:line="20" w:lineRule="exact"/>
      </w:pPr>
    </w:p>
  </w:endnote>
  <w:endnote w:type="continuationSeparator" w:id="0">
    <w:p w14:paraId="448538EE" w14:textId="77777777" w:rsidR="005E03BB" w:rsidRDefault="005E03BB">
      <w:r>
        <w:t xml:space="preserve"> </w:t>
      </w:r>
    </w:p>
  </w:endnote>
  <w:endnote w:type="continuationNotice" w:id="1">
    <w:p w14:paraId="1F5AFAF9" w14:textId="77777777" w:rsidR="005E03BB" w:rsidRDefault="005E03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30D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BA1503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967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E62F1">
      <w:rPr>
        <w:noProof/>
      </w:rPr>
      <w:t>2</w:t>
    </w:r>
    <w:r>
      <w:fldChar w:fldCharType="end"/>
    </w:r>
  </w:p>
  <w:p w14:paraId="425FCEB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BF0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3B6F" w14:textId="77777777" w:rsidR="005E03BB" w:rsidRDefault="005E03BB">
      <w:r>
        <w:separator/>
      </w:r>
    </w:p>
  </w:footnote>
  <w:footnote w:type="continuationSeparator" w:id="0">
    <w:p w14:paraId="33C2304B" w14:textId="77777777" w:rsidR="005E03BB" w:rsidRDefault="005E03BB" w:rsidP="00C721AC">
      <w:pPr>
        <w:spacing w:before="120"/>
        <w:rPr>
          <w:sz w:val="20"/>
        </w:rPr>
      </w:pPr>
      <w:r>
        <w:rPr>
          <w:sz w:val="20"/>
        </w:rPr>
        <w:t xml:space="preserve">(Continued from previous page)  </w:t>
      </w:r>
      <w:r>
        <w:rPr>
          <w:sz w:val="20"/>
        </w:rPr>
        <w:separator/>
      </w:r>
    </w:p>
  </w:footnote>
  <w:footnote w:type="continuationNotice" w:id="1">
    <w:p w14:paraId="5339D5AB" w14:textId="77777777" w:rsidR="005E03BB" w:rsidRDefault="005E03BB" w:rsidP="00C721AC">
      <w:pPr>
        <w:jc w:val="right"/>
        <w:rPr>
          <w:sz w:val="20"/>
        </w:rPr>
      </w:pPr>
      <w:r>
        <w:rPr>
          <w:sz w:val="20"/>
        </w:rPr>
        <w:t>(continued….)</w:t>
      </w:r>
    </w:p>
  </w:footnote>
  <w:footnote w:id="2">
    <w:p w14:paraId="353662C0" w14:textId="5F91AFBF" w:rsidR="00570D88" w:rsidRDefault="00570D88">
      <w:pPr>
        <w:pStyle w:val="FootnoteText"/>
      </w:pPr>
      <w:r>
        <w:rPr>
          <w:rStyle w:val="FootnoteReference"/>
        </w:rPr>
        <w:footnoteRef/>
      </w:r>
      <w:r>
        <w:t xml:space="preserve"> Petition for Reconsideration of </w:t>
      </w:r>
      <w:r w:rsidRPr="00570D88">
        <w:t>ASTAC Wireless LLC – CL</w:t>
      </w:r>
      <w:r>
        <w:t>, WC Docket Nos. 08-71 and CC Docket No. 96-45 (filed May 20, 2016) (Petition for Reconsideration)</w:t>
      </w:r>
      <w:r w:rsidR="00693D81">
        <w:t xml:space="preserve">; </w:t>
      </w:r>
      <w:r w:rsidR="00693D81">
        <w:rPr>
          <w:i/>
        </w:rPr>
        <w:t xml:space="preserve">see also </w:t>
      </w:r>
      <w:r w:rsidR="00693D81">
        <w:t>47 CFR 1.106</w:t>
      </w:r>
      <w:r>
        <w:t xml:space="preserve">.  </w:t>
      </w:r>
    </w:p>
  </w:footnote>
  <w:footnote w:id="3">
    <w:p w14:paraId="10716C56" w14:textId="2EDBC01A" w:rsidR="00570D88" w:rsidRPr="003F3AAB" w:rsidRDefault="00570D88" w:rsidP="00570D88">
      <w:pPr>
        <w:widowControl/>
        <w:autoSpaceDE w:val="0"/>
        <w:autoSpaceDN w:val="0"/>
        <w:adjustRightInd w:val="0"/>
        <w:spacing w:after="120"/>
        <w:rPr>
          <w:snapToGrid/>
          <w:kern w:val="0"/>
          <w:sz w:val="20"/>
        </w:rPr>
      </w:pPr>
      <w:r w:rsidRPr="008F678C">
        <w:rPr>
          <w:rStyle w:val="FootnoteReference"/>
        </w:rPr>
        <w:footnoteRef/>
      </w:r>
      <w:r w:rsidRPr="008F678C">
        <w:rPr>
          <w:sz w:val="20"/>
        </w:rPr>
        <w:t xml:space="preserve"> </w:t>
      </w:r>
      <w:r w:rsidR="003F3AAB">
        <w:rPr>
          <w:i/>
          <w:sz w:val="20"/>
        </w:rPr>
        <w:t>Petitions for Waiver of Universal Service High-Cost Filing Deadline, et al.</w:t>
      </w:r>
      <w:r w:rsidR="003F3AAB">
        <w:rPr>
          <w:sz w:val="20"/>
        </w:rPr>
        <w:t>, WC Docket No. 08-71, CC Docket No. 96-45, 31 FCC Rcd 3758 (WCB 2016) (</w:t>
      </w:r>
      <w:r w:rsidR="003F3AAB">
        <w:rPr>
          <w:i/>
          <w:sz w:val="20"/>
        </w:rPr>
        <w:t>Waiver Order</w:t>
      </w:r>
      <w:r w:rsidR="003F3AAB">
        <w:rPr>
          <w:sz w:val="20"/>
        </w:rPr>
        <w:t xml:space="preserve">).  </w:t>
      </w:r>
    </w:p>
  </w:footnote>
  <w:footnote w:id="4">
    <w:p w14:paraId="1F2DC08F" w14:textId="317512F1" w:rsidR="00531A29" w:rsidRDefault="00531A29" w:rsidP="00531A29">
      <w:pPr>
        <w:pStyle w:val="FootnoteText"/>
      </w:pPr>
      <w:r>
        <w:rPr>
          <w:rStyle w:val="FootnoteReference"/>
        </w:rPr>
        <w:footnoteRef/>
      </w:r>
      <w:r>
        <w:t xml:space="preserve"> </w:t>
      </w:r>
      <w:r w:rsidR="001F3700">
        <w:t>Petition of ASTAC Wir</w:t>
      </w:r>
      <w:r w:rsidR="00CD48BF">
        <w:t>e</w:t>
      </w:r>
      <w:r w:rsidR="001F3700">
        <w:t>less</w:t>
      </w:r>
      <w:r w:rsidR="00CD48BF">
        <w:t xml:space="preserve"> LLC – CL d/b/a ASTAC for Waiver of Section 54.307 and 54.903 of the Commission’s Rules, CC Docket No. 96-45 and WC Docket No. 08-71 (filed Oct. 13, 2015) (Waiver Request); </w:t>
      </w:r>
      <w:r>
        <w:t>47 CFR § 54.307(c).</w:t>
      </w:r>
    </w:p>
  </w:footnote>
  <w:footnote w:id="5">
    <w:p w14:paraId="3940FB0D" w14:textId="0713740A" w:rsidR="00531A29" w:rsidRDefault="00531A29" w:rsidP="00531A29">
      <w:pPr>
        <w:pStyle w:val="FootnoteText"/>
      </w:pPr>
      <w:r>
        <w:rPr>
          <w:rStyle w:val="FootnoteReference"/>
        </w:rPr>
        <w:footnoteRef/>
      </w:r>
      <w:r>
        <w:t xml:space="preserve"> </w:t>
      </w:r>
      <w:r w:rsidR="00CD48BF">
        <w:t>Waiver Request</w:t>
      </w:r>
      <w:r w:rsidR="008454EC">
        <w:t xml:space="preserve"> at 2.</w:t>
      </w:r>
    </w:p>
  </w:footnote>
  <w:footnote w:id="6">
    <w:p w14:paraId="0CEBF80B" w14:textId="01ACFF3C" w:rsidR="00531A29" w:rsidRPr="00DB17AD" w:rsidRDefault="00531A29" w:rsidP="00531A29">
      <w:pPr>
        <w:pStyle w:val="FootnoteText"/>
      </w:pPr>
      <w:r>
        <w:rPr>
          <w:rStyle w:val="FootnoteReference"/>
        </w:rPr>
        <w:footnoteRef/>
      </w:r>
      <w:r>
        <w:t xml:space="preserve"> </w:t>
      </w:r>
      <w:r w:rsidR="008454EC">
        <w:rPr>
          <w:i/>
        </w:rPr>
        <w:t>Id</w:t>
      </w:r>
      <w:r>
        <w:t>.</w:t>
      </w:r>
    </w:p>
  </w:footnote>
  <w:footnote w:id="7">
    <w:p w14:paraId="02E71F81" w14:textId="235C3BD6" w:rsidR="00802D75" w:rsidRPr="00802D75" w:rsidRDefault="00802D75">
      <w:pPr>
        <w:pStyle w:val="FootnoteText"/>
      </w:pPr>
      <w:r>
        <w:rPr>
          <w:rStyle w:val="FootnoteReference"/>
        </w:rPr>
        <w:footnoteRef/>
      </w:r>
      <w:r>
        <w:t xml:space="preserve"> </w:t>
      </w:r>
      <w:r>
        <w:rPr>
          <w:i/>
        </w:rPr>
        <w:t>Waiver Order</w:t>
      </w:r>
      <w:r w:rsidR="00851C62">
        <w:t>, 31 FCC Rcd at 3160-61</w:t>
      </w:r>
      <w:r>
        <w:t xml:space="preserve">, para. 8.  </w:t>
      </w:r>
    </w:p>
  </w:footnote>
  <w:footnote w:id="8">
    <w:p w14:paraId="40851825" w14:textId="1019ACC6" w:rsidR="007C2550" w:rsidRPr="007C2550" w:rsidRDefault="007C2550">
      <w:pPr>
        <w:pStyle w:val="FootnoteText"/>
      </w:pPr>
      <w:r>
        <w:rPr>
          <w:rStyle w:val="FootnoteReference"/>
        </w:rPr>
        <w:footnoteRef/>
      </w:r>
      <w:r>
        <w:t xml:space="preserve"> </w:t>
      </w:r>
      <w:r>
        <w:rPr>
          <w:i/>
        </w:rPr>
        <w:t xml:space="preserve">Id. </w:t>
      </w:r>
      <w:r>
        <w:t xml:space="preserve">at 31 FCC Rcd at 3761-62, paras. 9-12.  </w:t>
      </w:r>
    </w:p>
  </w:footnote>
  <w:footnote w:id="9">
    <w:p w14:paraId="4A63E41C" w14:textId="5B02EF85" w:rsidR="00E45090" w:rsidRDefault="00E45090">
      <w:pPr>
        <w:pStyle w:val="FootnoteText"/>
      </w:pPr>
      <w:r>
        <w:rPr>
          <w:rStyle w:val="FootnoteReference"/>
        </w:rPr>
        <w:footnoteRef/>
      </w:r>
      <w:r>
        <w:t xml:space="preserve"> Petition for Reconsideration at </w:t>
      </w:r>
      <w:r w:rsidR="007B3BDD">
        <w:t>4</w:t>
      </w:r>
      <w:r>
        <w:t>.</w:t>
      </w:r>
    </w:p>
  </w:footnote>
  <w:footnote w:id="10">
    <w:p w14:paraId="6476AF6D" w14:textId="15B0D440" w:rsidR="00C47152" w:rsidRPr="00C47152" w:rsidRDefault="00C47152">
      <w:pPr>
        <w:pStyle w:val="FootnoteText"/>
      </w:pPr>
      <w:r>
        <w:rPr>
          <w:rStyle w:val="FootnoteReference"/>
        </w:rPr>
        <w:footnoteRef/>
      </w:r>
      <w:r>
        <w:t xml:space="preserve"> </w:t>
      </w:r>
      <w:r>
        <w:rPr>
          <w:i/>
        </w:rPr>
        <w:t xml:space="preserve">Id. </w:t>
      </w:r>
      <w:r w:rsidR="00DF6702">
        <w:t>at 13</w:t>
      </w:r>
      <w:r>
        <w:t>.</w:t>
      </w:r>
    </w:p>
  </w:footnote>
  <w:footnote w:id="11">
    <w:p w14:paraId="00E2C66C" w14:textId="77777777" w:rsidR="00B5495A" w:rsidRPr="000430EB" w:rsidRDefault="00B5495A" w:rsidP="00B5495A">
      <w:pPr>
        <w:pStyle w:val="FootnoteText"/>
      </w:pPr>
      <w:r>
        <w:rPr>
          <w:rStyle w:val="FootnoteReference"/>
        </w:rPr>
        <w:footnoteRef/>
      </w:r>
      <w:r>
        <w:t xml:space="preserve"> Generally, t</w:t>
      </w:r>
      <w:r w:rsidRPr="007F4A5D">
        <w:t xml:space="preserve">he Commission’s rules may be waived for good cause shown.  47 CFR § 1.3.  The Commission may exercise its discretion to waive a rule where the particular facts make strict compliance inconsistent with the public interest.  </w:t>
      </w:r>
      <w:r w:rsidRPr="00E91797">
        <w:rPr>
          <w:i/>
        </w:rPr>
        <w:t>Northeast Cellular Telephone Co. v. FCC</w:t>
      </w:r>
      <w:r w:rsidRPr="00E91797">
        <w:t>, 897 F.2d 1164, 1166 (D.C. Cir. 1990) (</w:t>
      </w:r>
      <w:r w:rsidRPr="00E91797">
        <w:rPr>
          <w:i/>
        </w:rPr>
        <w:t>Northeast Cellular</w:t>
      </w:r>
      <w:r w:rsidRPr="00E91797">
        <w:t>).</w:t>
      </w:r>
      <w:r w:rsidRPr="007F4A5D">
        <w:t xml:space="preserve">  In addition, the Commission may take into account considerations of hardship, equity, or more effective implementation of overall policy on an individual basis. </w:t>
      </w:r>
      <w:r w:rsidRPr="007F4A5D">
        <w:rPr>
          <w:i/>
        </w:rPr>
        <w:t xml:space="preserve"> WAIT Radio v. FCC</w:t>
      </w:r>
      <w:r w:rsidRPr="007F4A5D">
        <w:t xml:space="preserve">, 418 F.2d 1153, 1159 (D.C. Cir. 1969); </w:t>
      </w:r>
      <w:r w:rsidRPr="007F4A5D">
        <w:rPr>
          <w:i/>
        </w:rPr>
        <w:t>Northeast Cellular</w:t>
      </w:r>
      <w:r w:rsidRPr="007F4A5D">
        <w:t xml:space="preserve">, 897 F.2d at 1166.  </w:t>
      </w:r>
      <w:r>
        <w:t xml:space="preserve">Waiver of the Commission’s rules is appropriate if both (i) special circumstances warrant a deviation from the general rule, and (ii) such deviation will serve the public interest.  </w:t>
      </w:r>
      <w:r>
        <w:rPr>
          <w:i/>
        </w:rPr>
        <w:t>NetworkIP, LLC v. FCC</w:t>
      </w:r>
      <w:r>
        <w:t xml:space="preserve">, 548 F.3d 116, 125-128 (D.C. Cir. 2008); </w:t>
      </w:r>
      <w:r>
        <w:rPr>
          <w:i/>
        </w:rPr>
        <w:t>Northeast Cellular</w:t>
      </w:r>
      <w:r>
        <w:t>, 897 F.2d at 1166.</w:t>
      </w:r>
    </w:p>
  </w:footnote>
  <w:footnote w:id="12">
    <w:p w14:paraId="1134F7F2" w14:textId="1ACFCFA7" w:rsidR="00B5495A" w:rsidRDefault="00B5495A">
      <w:pPr>
        <w:pStyle w:val="FootnoteText"/>
      </w:pPr>
      <w:r>
        <w:rPr>
          <w:rStyle w:val="FootnoteReference"/>
        </w:rPr>
        <w:footnoteRef/>
      </w:r>
      <w:r>
        <w:t xml:space="preserve"> </w:t>
      </w:r>
      <w:r w:rsidRPr="00EE5437">
        <w:rPr>
          <w:rFonts w:eastAsia="TimesNewRoman"/>
        </w:rPr>
        <w:t>47 CFR § 1.106 (permitting the Bureau to act on petitions requesting reconsideration of final actions taken pursuant to delegated authority)</w:t>
      </w:r>
      <w:r>
        <w:rPr>
          <w:rFonts w:eastAsia="TimesNewRoman"/>
        </w:rPr>
        <w:t>.</w:t>
      </w:r>
    </w:p>
  </w:footnote>
  <w:footnote w:id="13">
    <w:p w14:paraId="67CC31CF" w14:textId="77777777" w:rsidR="004A3ED7" w:rsidRDefault="004A3ED7" w:rsidP="004A3ED7">
      <w:pPr>
        <w:pStyle w:val="FootnoteText"/>
      </w:pPr>
      <w:r>
        <w:rPr>
          <w:rStyle w:val="FootnoteReference"/>
        </w:rPr>
        <w:footnoteRef/>
      </w:r>
      <w:r>
        <w:t xml:space="preserve"> Petition for Reconsideration at 9.</w:t>
      </w:r>
    </w:p>
  </w:footnote>
  <w:footnote w:id="14">
    <w:p w14:paraId="3E581573" w14:textId="77777777" w:rsidR="003C0188" w:rsidRPr="00C35B1F" w:rsidRDefault="003C0188" w:rsidP="003C0188">
      <w:pPr>
        <w:pStyle w:val="FootnoteText"/>
      </w:pPr>
      <w:r>
        <w:rPr>
          <w:rStyle w:val="FootnoteReference"/>
        </w:rPr>
        <w:footnoteRef/>
      </w:r>
      <w:r>
        <w:t xml:space="preserve"> </w:t>
      </w:r>
      <w:r>
        <w:rPr>
          <w:i/>
        </w:rPr>
        <w:t>Id</w:t>
      </w:r>
      <w:r>
        <w:t xml:space="preserve">.  </w:t>
      </w:r>
    </w:p>
  </w:footnote>
  <w:footnote w:id="15">
    <w:p w14:paraId="64A35FAF" w14:textId="61F285E6" w:rsidR="00C35B1F" w:rsidRPr="004F07EE" w:rsidRDefault="00C35B1F">
      <w:pPr>
        <w:pStyle w:val="FootnoteText"/>
      </w:pPr>
      <w:r>
        <w:rPr>
          <w:rStyle w:val="FootnoteReference"/>
        </w:rPr>
        <w:footnoteRef/>
      </w:r>
      <w:r>
        <w:t xml:space="preserve"> </w:t>
      </w:r>
      <w:r w:rsidR="004F07EE">
        <w:rPr>
          <w:i/>
        </w:rPr>
        <w:t>Id</w:t>
      </w:r>
      <w:r w:rsidR="004F07EE">
        <w:t>.</w:t>
      </w:r>
    </w:p>
  </w:footnote>
  <w:footnote w:id="16">
    <w:p w14:paraId="4E07903A" w14:textId="70AF9EC9" w:rsidR="00BA39F5" w:rsidRPr="004A0A62" w:rsidRDefault="00BA39F5" w:rsidP="00BA39F5">
      <w:pPr>
        <w:pStyle w:val="FootnoteText"/>
      </w:pPr>
      <w:r>
        <w:rPr>
          <w:rStyle w:val="FootnoteReference"/>
        </w:rPr>
        <w:footnoteRef/>
      </w:r>
      <w:r>
        <w:t xml:space="preserve"> 47</w:t>
      </w:r>
      <w:r w:rsidR="004F07EE">
        <w:t xml:space="preserve"> C.F.R. § 1.106(c), (</w:t>
      </w:r>
      <w:r>
        <w:t xml:space="preserve">b)(2)(ii).  </w:t>
      </w:r>
      <w:r w:rsidR="00F84E26">
        <w:t>Notwithstanding ASTAC’s suggestion</w:t>
      </w:r>
      <w:r>
        <w:t xml:space="preserve">, we do not find it in the public interest to consider the new argument. </w:t>
      </w:r>
      <w:r>
        <w:rPr>
          <w:i/>
        </w:rPr>
        <w:t>See</w:t>
      </w:r>
      <w:r w:rsidRPr="004A0A62">
        <w:rPr>
          <w:i/>
        </w:rPr>
        <w:t xml:space="preserve"> id.</w:t>
      </w:r>
      <w:r>
        <w:t xml:space="preserve"> 1.106(c)(2).  </w:t>
      </w:r>
    </w:p>
  </w:footnote>
  <w:footnote w:id="17">
    <w:p w14:paraId="3AC126FE" w14:textId="442392CD" w:rsidR="00387D03" w:rsidRDefault="00387D03">
      <w:pPr>
        <w:pStyle w:val="FootnoteText"/>
      </w:pPr>
      <w:r>
        <w:rPr>
          <w:rStyle w:val="FootnoteReference"/>
        </w:rPr>
        <w:footnoteRef/>
      </w:r>
      <w:r>
        <w:t xml:space="preserve"> Petition for Reconsideration at 9.</w:t>
      </w:r>
    </w:p>
  </w:footnote>
  <w:footnote w:id="18">
    <w:p w14:paraId="7A8C4222" w14:textId="6F939FD2" w:rsidR="00387D03" w:rsidRDefault="00387D03">
      <w:pPr>
        <w:pStyle w:val="FootnoteText"/>
      </w:pPr>
      <w:r>
        <w:rPr>
          <w:rStyle w:val="FootnoteReference"/>
        </w:rPr>
        <w:footnoteRef/>
      </w:r>
      <w:r>
        <w:t xml:space="preserve"> </w:t>
      </w:r>
      <w:r w:rsidRPr="00B347BD">
        <w:rPr>
          <w:i/>
        </w:rPr>
        <w:t>See, e.g., Universal Service Contribution Methodology Petition for Waiver of Universal Service Fund Rules by Outfitter Satellite, Inc</w:t>
      </w:r>
      <w:r w:rsidRPr="00B347BD">
        <w:t>., WC Docket No. 06-122, Order, 28 FCC Rcd 13358, 13361-62, para. 12 (</w:t>
      </w:r>
      <w:r w:rsidR="00DD7408">
        <w:t xml:space="preserve">WCB </w:t>
      </w:r>
      <w:r w:rsidRPr="00B347BD">
        <w:t>2013) (emphasizing that “mistakes or negligence by employees or third party contractors are not grounds for waiver of Commission rules”)</w:t>
      </w:r>
      <w:r w:rsidR="00DD7408">
        <w:t>.</w:t>
      </w:r>
    </w:p>
  </w:footnote>
  <w:footnote w:id="19">
    <w:p w14:paraId="551AF5FF" w14:textId="16CE8AE0" w:rsidR="009D2696" w:rsidRDefault="009D2696" w:rsidP="009D2696">
      <w:pPr>
        <w:pStyle w:val="FootnoteText"/>
      </w:pPr>
      <w:r>
        <w:rPr>
          <w:rStyle w:val="FootnoteReference"/>
        </w:rPr>
        <w:footnoteRef/>
      </w:r>
      <w:r>
        <w:t xml:space="preserve"> Pe</w:t>
      </w:r>
      <w:r w:rsidR="007E4FEB">
        <w:t>t</w:t>
      </w:r>
      <w:r>
        <w:t xml:space="preserve">ition for Reconsideration at </w:t>
      </w:r>
      <w:r w:rsidR="007E4FEB">
        <w:t>3.</w:t>
      </w:r>
    </w:p>
  </w:footnote>
  <w:footnote w:id="20">
    <w:p w14:paraId="25F78AA3" w14:textId="44BF2CE7" w:rsidR="002F5E74" w:rsidRPr="004A0970" w:rsidRDefault="002F5E74" w:rsidP="002F5E74">
      <w:pPr>
        <w:pStyle w:val="FootnoteText"/>
      </w:pPr>
      <w:r>
        <w:rPr>
          <w:rStyle w:val="FootnoteReference"/>
        </w:rPr>
        <w:footnoteRef/>
      </w:r>
      <w:r>
        <w:t xml:space="preserve"> </w:t>
      </w:r>
      <w:r w:rsidR="00B74C5A">
        <w:rPr>
          <w:i/>
        </w:rPr>
        <w:t>Id.</w:t>
      </w:r>
      <w:r>
        <w:rPr>
          <w:i/>
        </w:rPr>
        <w:t xml:space="preserve"> </w:t>
      </w:r>
      <w:r>
        <w:t xml:space="preserve">at 8 (“[T]he Bureau’s disapproval, it seems, is couched in an assumption that missing two deadline means a failure to remedy a problem the second time it happens.”).   </w:t>
      </w:r>
    </w:p>
  </w:footnote>
  <w:footnote w:id="21">
    <w:p w14:paraId="76FA95FA" w14:textId="7ADD81AA" w:rsidR="00C51EC9" w:rsidRDefault="00C51EC9">
      <w:pPr>
        <w:pStyle w:val="FootnoteText"/>
      </w:pPr>
      <w:r>
        <w:rPr>
          <w:rStyle w:val="FootnoteReference"/>
        </w:rPr>
        <w:footnoteRef/>
      </w:r>
      <w:r>
        <w:t xml:space="preserve"> </w:t>
      </w:r>
      <w:r w:rsidR="00FC532D">
        <w:rPr>
          <w:i/>
        </w:rPr>
        <w:t>Waiver Order</w:t>
      </w:r>
      <w:r w:rsidR="00851C62">
        <w:t>, 31 FCC Rcd at 376</w:t>
      </w:r>
      <w:r w:rsidR="00FC532D">
        <w:t>2, para. 11.</w:t>
      </w:r>
      <w:r w:rsidR="00844B49">
        <w:t xml:space="preserve">  </w:t>
      </w:r>
      <w:r w:rsidR="007427D1">
        <w:t xml:space="preserve">The fact that ASTAC missed two consecutive filings while it was </w:t>
      </w:r>
      <w:r w:rsidR="008454EC">
        <w:t>in the process of</w:t>
      </w:r>
      <w:r w:rsidR="007427D1">
        <w:t xml:space="preserve"> </w:t>
      </w:r>
      <w:r w:rsidR="008454EC">
        <w:t>improving</w:t>
      </w:r>
      <w:r w:rsidR="007427D1">
        <w:t xml:space="preserve"> its inter</w:t>
      </w:r>
      <w:r w:rsidR="00105D9C">
        <w:t>nal procedures is not good cause to grant the Waiver Request</w:t>
      </w:r>
      <w:r w:rsidR="007427D1">
        <w:t xml:space="preserve">.  </w:t>
      </w:r>
      <w:r w:rsidR="007427D1">
        <w:rPr>
          <w:i/>
        </w:rPr>
        <w:t xml:space="preserve">See </w:t>
      </w:r>
      <w:r w:rsidR="00FC532D">
        <w:t>Petition for Reconsideration</w:t>
      </w:r>
      <w:r w:rsidR="007427D1">
        <w:t xml:space="preserve"> at 10.</w:t>
      </w:r>
      <w:r w:rsidR="00EF40CC">
        <w:t xml:space="preserve">  </w:t>
      </w:r>
      <w:r w:rsidR="007427D1">
        <w:t xml:space="preserve">   </w:t>
      </w:r>
    </w:p>
  </w:footnote>
  <w:footnote w:id="22">
    <w:p w14:paraId="497513D1" w14:textId="1561CD08" w:rsidR="00B82CC6" w:rsidRPr="00B82CC6" w:rsidRDefault="00B82CC6">
      <w:pPr>
        <w:pStyle w:val="FootnoteText"/>
      </w:pPr>
      <w:r>
        <w:rPr>
          <w:rStyle w:val="FootnoteReference"/>
        </w:rPr>
        <w:footnoteRef/>
      </w:r>
      <w:r>
        <w:t xml:space="preserve"> </w:t>
      </w:r>
      <w:r>
        <w:rPr>
          <w:i/>
        </w:rPr>
        <w:t xml:space="preserve">See </w:t>
      </w:r>
      <w:r w:rsidR="00FC532D">
        <w:rPr>
          <w:i/>
        </w:rPr>
        <w:t>id</w:t>
      </w:r>
      <w:r w:rsidR="00FC532D">
        <w:t>.</w:t>
      </w:r>
      <w:r w:rsidR="007376C9">
        <w:t xml:space="preserve"> at 7, n.</w:t>
      </w:r>
      <w:r>
        <w:t xml:space="preserve">9.  </w:t>
      </w:r>
    </w:p>
  </w:footnote>
  <w:footnote w:id="23">
    <w:p w14:paraId="0289CF13" w14:textId="2A1558C7" w:rsidR="00683859" w:rsidRDefault="00683859" w:rsidP="00683859">
      <w:pPr>
        <w:pStyle w:val="FootnoteText"/>
      </w:pPr>
      <w:r>
        <w:rPr>
          <w:rStyle w:val="FootnoteReference"/>
        </w:rPr>
        <w:footnoteRef/>
      </w:r>
      <w:r>
        <w:t xml:space="preserve"> </w:t>
      </w:r>
      <w:r w:rsidR="008454EC" w:rsidRPr="008454EC">
        <w:rPr>
          <w:i/>
        </w:rPr>
        <w:t>Id</w:t>
      </w:r>
      <w:r w:rsidR="008454EC">
        <w:t xml:space="preserve">. </w:t>
      </w:r>
      <w:r w:rsidRPr="008454EC">
        <w:t>at</w:t>
      </w:r>
      <w:r>
        <w:t xml:space="preserve"> 10.  </w:t>
      </w:r>
    </w:p>
  </w:footnote>
  <w:footnote w:id="24">
    <w:p w14:paraId="37B740CB" w14:textId="0EF2F9F2" w:rsidR="00796A5C" w:rsidRPr="00796A5C" w:rsidRDefault="00796A5C">
      <w:pPr>
        <w:pStyle w:val="FootnoteText"/>
      </w:pPr>
      <w:r>
        <w:rPr>
          <w:rStyle w:val="FootnoteReference"/>
        </w:rPr>
        <w:footnoteRef/>
      </w:r>
      <w:r>
        <w:t xml:space="preserve"> </w:t>
      </w:r>
      <w:r w:rsidR="008454EC">
        <w:rPr>
          <w:i/>
        </w:rPr>
        <w:t>Id</w:t>
      </w:r>
      <w:r w:rsidR="008454EC">
        <w:t>.</w:t>
      </w:r>
      <w:r>
        <w:rPr>
          <w:i/>
        </w:rPr>
        <w:t xml:space="preserve"> </w:t>
      </w:r>
      <w:r>
        <w:t>at 10-12.</w:t>
      </w:r>
    </w:p>
  </w:footnote>
  <w:footnote w:id="25">
    <w:p w14:paraId="0A871276" w14:textId="712A4B9F" w:rsidR="00924F3A" w:rsidRDefault="00924F3A">
      <w:pPr>
        <w:pStyle w:val="FootnoteText"/>
      </w:pPr>
      <w:r>
        <w:rPr>
          <w:rStyle w:val="FootnoteReference"/>
        </w:rPr>
        <w:footnoteRef/>
      </w:r>
      <w:r>
        <w:t xml:space="preserve"> </w:t>
      </w:r>
      <w:r>
        <w:rPr>
          <w:i/>
        </w:rPr>
        <w:t xml:space="preserve">See </w:t>
      </w:r>
      <w:r>
        <w:t>Waiver Request at 3-4.</w:t>
      </w:r>
    </w:p>
  </w:footnote>
  <w:footnote w:id="26">
    <w:p w14:paraId="0E37655F" w14:textId="527C0B0B" w:rsidR="00341CE9" w:rsidRPr="00341CE9" w:rsidRDefault="00341CE9" w:rsidP="00341CE9">
      <w:pPr>
        <w:pStyle w:val="FootnoteText"/>
      </w:pPr>
      <w:r>
        <w:rPr>
          <w:rStyle w:val="FootnoteReference"/>
        </w:rPr>
        <w:footnoteRef/>
      </w:r>
      <w:r>
        <w:t xml:space="preserve"> </w:t>
      </w:r>
      <w:r>
        <w:rPr>
          <w:i/>
        </w:rPr>
        <w:t>Waiver Order</w:t>
      </w:r>
      <w:r>
        <w:t xml:space="preserve">, 31 FCC Rcd at </w:t>
      </w:r>
      <w:r w:rsidR="00F04815">
        <w:t>3762, para. 12</w:t>
      </w:r>
      <w:r w:rsidR="007E4FEB">
        <w:t xml:space="preserve">.  </w:t>
      </w:r>
      <w:r w:rsidR="007E4FEB" w:rsidRPr="002C764D">
        <w:rPr>
          <w:i/>
        </w:rPr>
        <w:t>See also</w:t>
      </w:r>
      <w:r>
        <w:t xml:space="preserve"> </w:t>
      </w:r>
      <w:r>
        <w:rPr>
          <w:i/>
        </w:rPr>
        <w:t>Petitions for Waiver of Universal High-Cost Filing Deadlines</w:t>
      </w:r>
      <w:r>
        <w:t xml:space="preserve">, WC Docket No. 08-71, Memorandum Opinion and Order, </w:t>
      </w:r>
      <w:r w:rsidR="00F04815">
        <w:t>FCC 16-71, para. 10 (rel. Jun. 8, 2016)</w:t>
      </w:r>
      <w:r w:rsidR="00DD7408">
        <w:t>;</w:t>
      </w:r>
      <w:r w:rsidR="00F04815">
        <w:t xml:space="preserve"> </w:t>
      </w:r>
      <w:r w:rsidRPr="00223ED8">
        <w:rPr>
          <w:i/>
        </w:rPr>
        <w:t>Coral Wireless d/b/a Mobi PCS Request for Review of the Decision of the Universal Service Administrator et al.</w:t>
      </w:r>
      <w:r>
        <w:t>, Order, 29 FCC Rcd 9540, 9542, para. 8 (WCB 2014)</w:t>
      </w:r>
      <w:r w:rsidR="00AF5986">
        <w:t>.</w:t>
      </w:r>
      <w:r>
        <w:t xml:space="preserve"> </w:t>
      </w:r>
    </w:p>
  </w:footnote>
  <w:footnote w:id="27">
    <w:p w14:paraId="7BA88D2C" w14:textId="05433E91" w:rsidR="00C73B5A" w:rsidRPr="00C73B5A" w:rsidRDefault="00C73B5A">
      <w:pPr>
        <w:pStyle w:val="FootnoteText"/>
      </w:pPr>
      <w:r>
        <w:rPr>
          <w:rStyle w:val="FootnoteReference"/>
        </w:rPr>
        <w:footnoteRef/>
      </w:r>
      <w:r>
        <w:t xml:space="preserve"> </w:t>
      </w:r>
      <w:r w:rsidR="00341CE9">
        <w:t xml:space="preserve">Petition for Reconsideration </w:t>
      </w:r>
      <w:r>
        <w:t>at 11.</w:t>
      </w:r>
    </w:p>
  </w:footnote>
  <w:footnote w:id="28">
    <w:p w14:paraId="11015F3D" w14:textId="3305C2FC" w:rsidR="00E17364" w:rsidRDefault="00E17364">
      <w:pPr>
        <w:pStyle w:val="FootnoteText"/>
      </w:pPr>
      <w:r>
        <w:rPr>
          <w:rStyle w:val="FootnoteReference"/>
        </w:rPr>
        <w:footnoteRef/>
      </w:r>
      <w:r>
        <w:t xml:space="preserve"> 47 C.F.R. </w:t>
      </w:r>
      <w:r w:rsidR="00775D4C">
        <w:t xml:space="preserve">§ 54.307(e)(3)(v).  </w:t>
      </w:r>
    </w:p>
  </w:footnote>
  <w:footnote w:id="29">
    <w:p w14:paraId="0DF6C5D4" w14:textId="7E30225A" w:rsidR="006C42F1" w:rsidRPr="006C42F1" w:rsidRDefault="006C42F1">
      <w:pPr>
        <w:pStyle w:val="FootnoteText"/>
      </w:pPr>
      <w:r>
        <w:rPr>
          <w:rStyle w:val="FootnoteReference"/>
        </w:rPr>
        <w:footnoteRef/>
      </w:r>
      <w:r>
        <w:t xml:space="preserve"> </w:t>
      </w:r>
      <w:r w:rsidR="00A17163">
        <w:t>Petition for Reconsideration</w:t>
      </w:r>
      <w:r>
        <w:rPr>
          <w:i/>
        </w:rPr>
        <w:t xml:space="preserve"> </w:t>
      </w:r>
      <w:r>
        <w:t>at 11.</w:t>
      </w:r>
    </w:p>
  </w:footnote>
  <w:footnote w:id="30">
    <w:p w14:paraId="394567F4" w14:textId="02561A14" w:rsidR="00C539D5" w:rsidRDefault="00C539D5">
      <w:pPr>
        <w:pStyle w:val="FootnoteText"/>
      </w:pPr>
      <w:r>
        <w:rPr>
          <w:rStyle w:val="FootnoteReference"/>
        </w:rPr>
        <w:footnoteRef/>
      </w:r>
      <w:r>
        <w:t xml:space="preserve"> </w:t>
      </w:r>
      <w:r>
        <w:rPr>
          <w:i/>
        </w:rPr>
        <w:t>Waiver Order</w:t>
      </w:r>
      <w:r w:rsidR="00851C62">
        <w:t>, 31 FCC Rcd at 376</w:t>
      </w:r>
      <w:r>
        <w:t>2,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B729" w14:textId="77777777" w:rsidR="00CD78BE" w:rsidRDefault="00CD7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126F" w14:textId="1B3E9F6C" w:rsidR="00D25FB5" w:rsidRDefault="00D25FB5" w:rsidP="00810B6F">
    <w:pPr>
      <w:pStyle w:val="Header"/>
      <w:rPr>
        <w:b w:val="0"/>
      </w:rPr>
    </w:pPr>
    <w:r>
      <w:tab/>
      <w:t>Federal Communications Commission</w:t>
    </w:r>
    <w:r>
      <w:tab/>
    </w:r>
    <w:r w:rsidR="00394C3D">
      <w:t>DA 16-903</w:t>
    </w:r>
  </w:p>
  <w:p w14:paraId="043BF0E3" w14:textId="4CF89459" w:rsidR="00D25FB5" w:rsidRDefault="004E37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5FD1FC2" wp14:editId="23714F3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F7DD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A94EFA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702A" w14:textId="714B1057" w:rsidR="00D25FB5" w:rsidRDefault="004E3787" w:rsidP="00810B6F">
    <w:pPr>
      <w:pStyle w:val="Header"/>
      <w:rPr>
        <w:spacing w:val="-2"/>
      </w:rPr>
    </w:pPr>
    <w:r>
      <w:rPr>
        <w:noProof/>
      </w:rPr>
      <mc:AlternateContent>
        <mc:Choice Requires="wps">
          <w:drawing>
            <wp:anchor distT="0" distB="0" distL="114300" distR="114300" simplePos="0" relativeHeight="251658240" behindDoc="1" locked="0" layoutInCell="0" allowOverlap="1" wp14:anchorId="2AB80C7A" wp14:editId="771900D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7AB7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94C3D">
      <w:rPr>
        <w:spacing w:val="-2"/>
      </w:rPr>
      <w:t>DA 16-903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5D6936"/>
    <w:multiLevelType w:val="hybridMultilevel"/>
    <w:tmpl w:val="BA921604"/>
    <w:lvl w:ilvl="0" w:tplc="BDCA94C6">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C30595"/>
    <w:multiLevelType w:val="hybridMultilevel"/>
    <w:tmpl w:val="4BCEB228"/>
    <w:lvl w:ilvl="0" w:tplc="BC0EE7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CE94AAB0"/>
    <w:lvl w:ilvl="0">
      <w:start w:val="1"/>
      <w:numFmt w:val="decimal"/>
      <w:pStyle w:val="ParaNum"/>
      <w:lvlText w:val="%1."/>
      <w:lvlJc w:val="left"/>
      <w:pPr>
        <w:tabs>
          <w:tab w:val="num" w:pos="1080"/>
        </w:tabs>
        <w:ind w:left="0" w:firstLine="720"/>
      </w:pPr>
      <w:rPr>
        <w:b w:val="0"/>
      </w:rPr>
    </w:lvl>
  </w:abstractNum>
  <w:abstractNum w:abstractNumId="8">
    <w:nsid w:val="66F2239A"/>
    <w:multiLevelType w:val="hybridMultilevel"/>
    <w:tmpl w:val="15A8574E"/>
    <w:lvl w:ilvl="0" w:tplc="17D6CD7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7"/>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E6"/>
    <w:rsid w:val="00017537"/>
    <w:rsid w:val="00026238"/>
    <w:rsid w:val="00026CC9"/>
    <w:rsid w:val="00036039"/>
    <w:rsid w:val="00037DF1"/>
    <w:rsid w:val="00037F90"/>
    <w:rsid w:val="000430EB"/>
    <w:rsid w:val="00053C94"/>
    <w:rsid w:val="00070AD0"/>
    <w:rsid w:val="00076D44"/>
    <w:rsid w:val="000875BF"/>
    <w:rsid w:val="00096D8C"/>
    <w:rsid w:val="00097FFB"/>
    <w:rsid w:val="000B47B3"/>
    <w:rsid w:val="000B7C50"/>
    <w:rsid w:val="000C0B65"/>
    <w:rsid w:val="000D7922"/>
    <w:rsid w:val="000E05FE"/>
    <w:rsid w:val="000E3D42"/>
    <w:rsid w:val="000F5B24"/>
    <w:rsid w:val="00105D9C"/>
    <w:rsid w:val="001061D9"/>
    <w:rsid w:val="00122BD5"/>
    <w:rsid w:val="0013303E"/>
    <w:rsid w:val="00133F79"/>
    <w:rsid w:val="00135490"/>
    <w:rsid w:val="001421C5"/>
    <w:rsid w:val="0016408C"/>
    <w:rsid w:val="001818CE"/>
    <w:rsid w:val="00194A66"/>
    <w:rsid w:val="001A0C86"/>
    <w:rsid w:val="001A1ACE"/>
    <w:rsid w:val="001A56B3"/>
    <w:rsid w:val="001D6BCF"/>
    <w:rsid w:val="001E01CA"/>
    <w:rsid w:val="001F3700"/>
    <w:rsid w:val="00224C4C"/>
    <w:rsid w:val="002441C5"/>
    <w:rsid w:val="00275CF5"/>
    <w:rsid w:val="0028301F"/>
    <w:rsid w:val="00285017"/>
    <w:rsid w:val="002A2D2E"/>
    <w:rsid w:val="002B6CA3"/>
    <w:rsid w:val="002C00E8"/>
    <w:rsid w:val="002C4AC2"/>
    <w:rsid w:val="002C764D"/>
    <w:rsid w:val="002E2217"/>
    <w:rsid w:val="002F40B7"/>
    <w:rsid w:val="002F5E74"/>
    <w:rsid w:val="002F7684"/>
    <w:rsid w:val="002F7E65"/>
    <w:rsid w:val="003068A9"/>
    <w:rsid w:val="00317F29"/>
    <w:rsid w:val="00341CE9"/>
    <w:rsid w:val="00343749"/>
    <w:rsid w:val="003660ED"/>
    <w:rsid w:val="00374FB6"/>
    <w:rsid w:val="00377FD0"/>
    <w:rsid w:val="00382218"/>
    <w:rsid w:val="003822BC"/>
    <w:rsid w:val="00387D03"/>
    <w:rsid w:val="00394C3D"/>
    <w:rsid w:val="003953EE"/>
    <w:rsid w:val="0039557E"/>
    <w:rsid w:val="003B0550"/>
    <w:rsid w:val="003B694F"/>
    <w:rsid w:val="003C0188"/>
    <w:rsid w:val="003C5D0A"/>
    <w:rsid w:val="003D350D"/>
    <w:rsid w:val="003E5425"/>
    <w:rsid w:val="003F171C"/>
    <w:rsid w:val="003F3AAB"/>
    <w:rsid w:val="00412FC5"/>
    <w:rsid w:val="00422276"/>
    <w:rsid w:val="004242F1"/>
    <w:rsid w:val="00445A00"/>
    <w:rsid w:val="00451B0F"/>
    <w:rsid w:val="0045230D"/>
    <w:rsid w:val="004734DC"/>
    <w:rsid w:val="00490F5B"/>
    <w:rsid w:val="004A0970"/>
    <w:rsid w:val="004A0A62"/>
    <w:rsid w:val="004A2A6A"/>
    <w:rsid w:val="004A3ED7"/>
    <w:rsid w:val="004C2D36"/>
    <w:rsid w:val="004C2EE3"/>
    <w:rsid w:val="004D7E1D"/>
    <w:rsid w:val="004E2CEC"/>
    <w:rsid w:val="004E3787"/>
    <w:rsid w:val="004E4A22"/>
    <w:rsid w:val="004F07EE"/>
    <w:rsid w:val="00511968"/>
    <w:rsid w:val="00523793"/>
    <w:rsid w:val="00531A29"/>
    <w:rsid w:val="0055614C"/>
    <w:rsid w:val="00556253"/>
    <w:rsid w:val="0056280F"/>
    <w:rsid w:val="0056710F"/>
    <w:rsid w:val="00570D88"/>
    <w:rsid w:val="005A4096"/>
    <w:rsid w:val="005D7FC5"/>
    <w:rsid w:val="005E03BB"/>
    <w:rsid w:val="005E14C2"/>
    <w:rsid w:val="005F1040"/>
    <w:rsid w:val="006043AF"/>
    <w:rsid w:val="00607BA5"/>
    <w:rsid w:val="0061180A"/>
    <w:rsid w:val="006144E6"/>
    <w:rsid w:val="00620603"/>
    <w:rsid w:val="00626EB6"/>
    <w:rsid w:val="006318FD"/>
    <w:rsid w:val="006336A3"/>
    <w:rsid w:val="00641E15"/>
    <w:rsid w:val="00647606"/>
    <w:rsid w:val="006529B9"/>
    <w:rsid w:val="00655B00"/>
    <w:rsid w:val="00655D03"/>
    <w:rsid w:val="00664779"/>
    <w:rsid w:val="00683388"/>
    <w:rsid w:val="00683859"/>
    <w:rsid w:val="00683F84"/>
    <w:rsid w:val="00693D81"/>
    <w:rsid w:val="00697ACD"/>
    <w:rsid w:val="006A6A81"/>
    <w:rsid w:val="006B71A0"/>
    <w:rsid w:val="006C42F1"/>
    <w:rsid w:val="006F7393"/>
    <w:rsid w:val="0070224F"/>
    <w:rsid w:val="007115F7"/>
    <w:rsid w:val="007376C9"/>
    <w:rsid w:val="007427D1"/>
    <w:rsid w:val="00775D4C"/>
    <w:rsid w:val="00785689"/>
    <w:rsid w:val="007876BF"/>
    <w:rsid w:val="00790B53"/>
    <w:rsid w:val="00794421"/>
    <w:rsid w:val="00794868"/>
    <w:rsid w:val="00796A5C"/>
    <w:rsid w:val="0079754B"/>
    <w:rsid w:val="007A1E6D"/>
    <w:rsid w:val="007B0EB2"/>
    <w:rsid w:val="007B3BDD"/>
    <w:rsid w:val="007B6225"/>
    <w:rsid w:val="007C2550"/>
    <w:rsid w:val="007E23EE"/>
    <w:rsid w:val="007E446C"/>
    <w:rsid w:val="007E4FEB"/>
    <w:rsid w:val="007E62F1"/>
    <w:rsid w:val="007F4B15"/>
    <w:rsid w:val="00801998"/>
    <w:rsid w:val="008023D0"/>
    <w:rsid w:val="00802D75"/>
    <w:rsid w:val="00810B6F"/>
    <w:rsid w:val="00820FCC"/>
    <w:rsid w:val="00822CE0"/>
    <w:rsid w:val="00832AF9"/>
    <w:rsid w:val="00840FF5"/>
    <w:rsid w:val="00841AB1"/>
    <w:rsid w:val="00844B49"/>
    <w:rsid w:val="008454EC"/>
    <w:rsid w:val="00851C62"/>
    <w:rsid w:val="008866DF"/>
    <w:rsid w:val="008A73D6"/>
    <w:rsid w:val="008C68F1"/>
    <w:rsid w:val="008E1BB6"/>
    <w:rsid w:val="008F29A0"/>
    <w:rsid w:val="008F7FC2"/>
    <w:rsid w:val="0090184B"/>
    <w:rsid w:val="009078EA"/>
    <w:rsid w:val="00915C1A"/>
    <w:rsid w:val="00921803"/>
    <w:rsid w:val="00924F3A"/>
    <w:rsid w:val="00926503"/>
    <w:rsid w:val="009341DC"/>
    <w:rsid w:val="00946986"/>
    <w:rsid w:val="00952D0B"/>
    <w:rsid w:val="00962148"/>
    <w:rsid w:val="00962845"/>
    <w:rsid w:val="009713A6"/>
    <w:rsid w:val="009726D8"/>
    <w:rsid w:val="00987B4C"/>
    <w:rsid w:val="009940DD"/>
    <w:rsid w:val="009B4FAA"/>
    <w:rsid w:val="009C665B"/>
    <w:rsid w:val="009D2696"/>
    <w:rsid w:val="009E6075"/>
    <w:rsid w:val="009F5914"/>
    <w:rsid w:val="009F76DB"/>
    <w:rsid w:val="00A040F6"/>
    <w:rsid w:val="00A05ACB"/>
    <w:rsid w:val="00A17163"/>
    <w:rsid w:val="00A32C3B"/>
    <w:rsid w:val="00A45F4F"/>
    <w:rsid w:val="00A4723D"/>
    <w:rsid w:val="00A51B4A"/>
    <w:rsid w:val="00A600A9"/>
    <w:rsid w:val="00A6783E"/>
    <w:rsid w:val="00A7407F"/>
    <w:rsid w:val="00A747CD"/>
    <w:rsid w:val="00A772A7"/>
    <w:rsid w:val="00AA55B7"/>
    <w:rsid w:val="00AA5B9E"/>
    <w:rsid w:val="00AB2407"/>
    <w:rsid w:val="00AB53DF"/>
    <w:rsid w:val="00AC0149"/>
    <w:rsid w:val="00AE0EB9"/>
    <w:rsid w:val="00AF5986"/>
    <w:rsid w:val="00B07E5C"/>
    <w:rsid w:val="00B510D8"/>
    <w:rsid w:val="00B5495A"/>
    <w:rsid w:val="00B55CBB"/>
    <w:rsid w:val="00B65369"/>
    <w:rsid w:val="00B67C7E"/>
    <w:rsid w:val="00B74C5A"/>
    <w:rsid w:val="00B7651E"/>
    <w:rsid w:val="00B811F7"/>
    <w:rsid w:val="00B82CC6"/>
    <w:rsid w:val="00B8449F"/>
    <w:rsid w:val="00B93C8B"/>
    <w:rsid w:val="00BA39F5"/>
    <w:rsid w:val="00BA5DC6"/>
    <w:rsid w:val="00BA6196"/>
    <w:rsid w:val="00BA75B9"/>
    <w:rsid w:val="00BC6D8C"/>
    <w:rsid w:val="00BD4B3C"/>
    <w:rsid w:val="00BE208C"/>
    <w:rsid w:val="00C1386C"/>
    <w:rsid w:val="00C2112F"/>
    <w:rsid w:val="00C34006"/>
    <w:rsid w:val="00C35B1F"/>
    <w:rsid w:val="00C426B1"/>
    <w:rsid w:val="00C47152"/>
    <w:rsid w:val="00C502F7"/>
    <w:rsid w:val="00C51EC9"/>
    <w:rsid w:val="00C539D5"/>
    <w:rsid w:val="00C66160"/>
    <w:rsid w:val="00C66369"/>
    <w:rsid w:val="00C721AC"/>
    <w:rsid w:val="00C73B5A"/>
    <w:rsid w:val="00C90D6A"/>
    <w:rsid w:val="00CA247E"/>
    <w:rsid w:val="00CA735F"/>
    <w:rsid w:val="00CB1CC4"/>
    <w:rsid w:val="00CB5BBB"/>
    <w:rsid w:val="00CB7D0B"/>
    <w:rsid w:val="00CC72B6"/>
    <w:rsid w:val="00CD48BF"/>
    <w:rsid w:val="00CD78BE"/>
    <w:rsid w:val="00CF08E8"/>
    <w:rsid w:val="00CF58D1"/>
    <w:rsid w:val="00D0218D"/>
    <w:rsid w:val="00D02B87"/>
    <w:rsid w:val="00D07AD1"/>
    <w:rsid w:val="00D25FB5"/>
    <w:rsid w:val="00D44223"/>
    <w:rsid w:val="00D61C0C"/>
    <w:rsid w:val="00D67112"/>
    <w:rsid w:val="00D750D4"/>
    <w:rsid w:val="00D839FB"/>
    <w:rsid w:val="00DA2529"/>
    <w:rsid w:val="00DB130A"/>
    <w:rsid w:val="00DB2EBB"/>
    <w:rsid w:val="00DB7243"/>
    <w:rsid w:val="00DC10A1"/>
    <w:rsid w:val="00DC1E29"/>
    <w:rsid w:val="00DC4E78"/>
    <w:rsid w:val="00DC655F"/>
    <w:rsid w:val="00DD0B59"/>
    <w:rsid w:val="00DD7408"/>
    <w:rsid w:val="00DD7EBD"/>
    <w:rsid w:val="00DF0632"/>
    <w:rsid w:val="00DF3918"/>
    <w:rsid w:val="00DF62B6"/>
    <w:rsid w:val="00DF6702"/>
    <w:rsid w:val="00E00734"/>
    <w:rsid w:val="00E02C42"/>
    <w:rsid w:val="00E07225"/>
    <w:rsid w:val="00E13D6F"/>
    <w:rsid w:val="00E17364"/>
    <w:rsid w:val="00E24D9B"/>
    <w:rsid w:val="00E33AB2"/>
    <w:rsid w:val="00E45090"/>
    <w:rsid w:val="00E5409F"/>
    <w:rsid w:val="00EB069E"/>
    <w:rsid w:val="00EC1081"/>
    <w:rsid w:val="00EE0DF4"/>
    <w:rsid w:val="00EE6488"/>
    <w:rsid w:val="00EF40CC"/>
    <w:rsid w:val="00EF510C"/>
    <w:rsid w:val="00F021FA"/>
    <w:rsid w:val="00F04815"/>
    <w:rsid w:val="00F05B1C"/>
    <w:rsid w:val="00F06BB1"/>
    <w:rsid w:val="00F23618"/>
    <w:rsid w:val="00F479B5"/>
    <w:rsid w:val="00F62E97"/>
    <w:rsid w:val="00F64209"/>
    <w:rsid w:val="00F84E26"/>
    <w:rsid w:val="00F9083A"/>
    <w:rsid w:val="00F90DD9"/>
    <w:rsid w:val="00F93BF5"/>
    <w:rsid w:val="00F95B47"/>
    <w:rsid w:val="00F976F2"/>
    <w:rsid w:val="00F97EBA"/>
    <w:rsid w:val="00FC3615"/>
    <w:rsid w:val="00FC532D"/>
    <w:rsid w:val="00FE4975"/>
    <w:rsid w:val="00FE5B3A"/>
    <w:rsid w:val="00FF0E21"/>
    <w:rsid w:val="00FF1F8C"/>
    <w:rsid w:val="00FF23B0"/>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8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uiPriority w:val="99"/>
    <w:rsid w:val="006144E6"/>
    <w:rPr>
      <w:rFonts w:ascii="Times New Roman Bold" w:hAnsi="Times New Roman Bold"/>
      <w:b/>
      <w:caps/>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6144E6"/>
  </w:style>
  <w:style w:type="character" w:customStyle="1" w:styleId="StyleNumberedparagraphs11ptChar">
    <w:name w:val="Style Numbered paragraphs + 11 pt Char"/>
    <w:rsid w:val="006144E6"/>
    <w:rPr>
      <w:noProof w:val="0"/>
      <w:sz w:val="22"/>
      <w:lang w:val="en-US" w:eastAsia="en-US" w:bidi="ar-SA"/>
    </w:rPr>
  </w:style>
  <w:style w:type="character" w:styleId="CommentReference">
    <w:name w:val="annotation reference"/>
    <w:basedOn w:val="DefaultParagraphFont"/>
    <w:rsid w:val="004E3787"/>
    <w:rPr>
      <w:sz w:val="16"/>
      <w:szCs w:val="16"/>
    </w:rPr>
  </w:style>
  <w:style w:type="paragraph" w:styleId="CommentText">
    <w:name w:val="annotation text"/>
    <w:basedOn w:val="Normal"/>
    <w:link w:val="CommentTextChar"/>
    <w:rsid w:val="004E3787"/>
    <w:rPr>
      <w:sz w:val="20"/>
    </w:rPr>
  </w:style>
  <w:style w:type="character" w:customStyle="1" w:styleId="CommentTextChar">
    <w:name w:val="Comment Text Char"/>
    <w:basedOn w:val="DefaultParagraphFont"/>
    <w:link w:val="CommentText"/>
    <w:rsid w:val="004E3787"/>
    <w:rPr>
      <w:snapToGrid w:val="0"/>
      <w:kern w:val="28"/>
    </w:rPr>
  </w:style>
  <w:style w:type="paragraph" w:styleId="CommentSubject">
    <w:name w:val="annotation subject"/>
    <w:basedOn w:val="CommentText"/>
    <w:next w:val="CommentText"/>
    <w:link w:val="CommentSubjectChar"/>
    <w:rsid w:val="004E3787"/>
    <w:rPr>
      <w:b/>
      <w:bCs/>
    </w:rPr>
  </w:style>
  <w:style w:type="character" w:customStyle="1" w:styleId="CommentSubjectChar">
    <w:name w:val="Comment Subject Char"/>
    <w:basedOn w:val="CommentTextChar"/>
    <w:link w:val="CommentSubject"/>
    <w:rsid w:val="004E3787"/>
    <w:rPr>
      <w:b/>
      <w:bCs/>
      <w:snapToGrid w:val="0"/>
      <w:kern w:val="28"/>
    </w:rPr>
  </w:style>
  <w:style w:type="paragraph" w:styleId="BalloonText">
    <w:name w:val="Balloon Text"/>
    <w:basedOn w:val="Normal"/>
    <w:link w:val="BalloonTextChar"/>
    <w:rsid w:val="004E3787"/>
    <w:rPr>
      <w:rFonts w:ascii="Segoe UI" w:hAnsi="Segoe UI" w:cs="Segoe UI"/>
      <w:sz w:val="18"/>
      <w:szCs w:val="18"/>
    </w:rPr>
  </w:style>
  <w:style w:type="character" w:customStyle="1" w:styleId="BalloonTextChar">
    <w:name w:val="Balloon Text Char"/>
    <w:basedOn w:val="DefaultParagraphFont"/>
    <w:link w:val="BalloonText"/>
    <w:rsid w:val="004E3787"/>
    <w:rPr>
      <w:rFonts w:ascii="Segoe UI" w:hAnsi="Segoe UI" w:cs="Segoe UI"/>
      <w:snapToGrid w:val="0"/>
      <w:kern w:val="28"/>
      <w:sz w:val="18"/>
      <w:szCs w:val="18"/>
    </w:rPr>
  </w:style>
  <w:style w:type="character" w:styleId="FollowedHyperlink">
    <w:name w:val="FollowedHyperlink"/>
    <w:basedOn w:val="DefaultParagraphFont"/>
    <w:rsid w:val="004E3787"/>
    <w:rPr>
      <w:color w:val="954F72" w:themeColor="followedHyperlink"/>
      <w:u w:val="single"/>
    </w:rPr>
  </w:style>
  <w:style w:type="character" w:customStyle="1" w:styleId="ParaNumChar">
    <w:name w:val="ParaNum Char"/>
    <w:link w:val="ParaNum"/>
    <w:rsid w:val="00F976F2"/>
    <w:rPr>
      <w:snapToGrid w:val="0"/>
      <w:kern w:val="28"/>
      <w:sz w:val="22"/>
    </w:rPr>
  </w:style>
  <w:style w:type="paragraph" w:customStyle="1" w:styleId="Default">
    <w:name w:val="Default"/>
    <w:rsid w:val="005A4096"/>
    <w:pPr>
      <w:autoSpaceDE w:val="0"/>
      <w:autoSpaceDN w:val="0"/>
      <w:adjustRightInd w:val="0"/>
    </w:pPr>
    <w:rPr>
      <w:color w:val="000000"/>
      <w:sz w:val="24"/>
      <w:szCs w:val="24"/>
    </w:rPr>
  </w:style>
  <w:style w:type="paragraph" w:styleId="Revision">
    <w:name w:val="Revision"/>
    <w:hidden/>
    <w:uiPriority w:val="99"/>
    <w:semiHidden/>
    <w:rsid w:val="009E607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uiPriority w:val="99"/>
    <w:rsid w:val="006144E6"/>
    <w:rPr>
      <w:rFonts w:ascii="Times New Roman Bold" w:hAnsi="Times New Roman Bold"/>
      <w:b/>
      <w:caps/>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6144E6"/>
  </w:style>
  <w:style w:type="character" w:customStyle="1" w:styleId="StyleNumberedparagraphs11ptChar">
    <w:name w:val="Style Numbered paragraphs + 11 pt Char"/>
    <w:rsid w:val="006144E6"/>
    <w:rPr>
      <w:noProof w:val="0"/>
      <w:sz w:val="22"/>
      <w:lang w:val="en-US" w:eastAsia="en-US" w:bidi="ar-SA"/>
    </w:rPr>
  </w:style>
  <w:style w:type="character" w:styleId="CommentReference">
    <w:name w:val="annotation reference"/>
    <w:basedOn w:val="DefaultParagraphFont"/>
    <w:rsid w:val="004E3787"/>
    <w:rPr>
      <w:sz w:val="16"/>
      <w:szCs w:val="16"/>
    </w:rPr>
  </w:style>
  <w:style w:type="paragraph" w:styleId="CommentText">
    <w:name w:val="annotation text"/>
    <w:basedOn w:val="Normal"/>
    <w:link w:val="CommentTextChar"/>
    <w:rsid w:val="004E3787"/>
    <w:rPr>
      <w:sz w:val="20"/>
    </w:rPr>
  </w:style>
  <w:style w:type="character" w:customStyle="1" w:styleId="CommentTextChar">
    <w:name w:val="Comment Text Char"/>
    <w:basedOn w:val="DefaultParagraphFont"/>
    <w:link w:val="CommentText"/>
    <w:rsid w:val="004E3787"/>
    <w:rPr>
      <w:snapToGrid w:val="0"/>
      <w:kern w:val="28"/>
    </w:rPr>
  </w:style>
  <w:style w:type="paragraph" w:styleId="CommentSubject">
    <w:name w:val="annotation subject"/>
    <w:basedOn w:val="CommentText"/>
    <w:next w:val="CommentText"/>
    <w:link w:val="CommentSubjectChar"/>
    <w:rsid w:val="004E3787"/>
    <w:rPr>
      <w:b/>
      <w:bCs/>
    </w:rPr>
  </w:style>
  <w:style w:type="character" w:customStyle="1" w:styleId="CommentSubjectChar">
    <w:name w:val="Comment Subject Char"/>
    <w:basedOn w:val="CommentTextChar"/>
    <w:link w:val="CommentSubject"/>
    <w:rsid w:val="004E3787"/>
    <w:rPr>
      <w:b/>
      <w:bCs/>
      <w:snapToGrid w:val="0"/>
      <w:kern w:val="28"/>
    </w:rPr>
  </w:style>
  <w:style w:type="paragraph" w:styleId="BalloonText">
    <w:name w:val="Balloon Text"/>
    <w:basedOn w:val="Normal"/>
    <w:link w:val="BalloonTextChar"/>
    <w:rsid w:val="004E3787"/>
    <w:rPr>
      <w:rFonts w:ascii="Segoe UI" w:hAnsi="Segoe UI" w:cs="Segoe UI"/>
      <w:sz w:val="18"/>
      <w:szCs w:val="18"/>
    </w:rPr>
  </w:style>
  <w:style w:type="character" w:customStyle="1" w:styleId="BalloonTextChar">
    <w:name w:val="Balloon Text Char"/>
    <w:basedOn w:val="DefaultParagraphFont"/>
    <w:link w:val="BalloonText"/>
    <w:rsid w:val="004E3787"/>
    <w:rPr>
      <w:rFonts w:ascii="Segoe UI" w:hAnsi="Segoe UI" w:cs="Segoe UI"/>
      <w:snapToGrid w:val="0"/>
      <w:kern w:val="28"/>
      <w:sz w:val="18"/>
      <w:szCs w:val="18"/>
    </w:rPr>
  </w:style>
  <w:style w:type="character" w:styleId="FollowedHyperlink">
    <w:name w:val="FollowedHyperlink"/>
    <w:basedOn w:val="DefaultParagraphFont"/>
    <w:rsid w:val="004E3787"/>
    <w:rPr>
      <w:color w:val="954F72" w:themeColor="followedHyperlink"/>
      <w:u w:val="single"/>
    </w:rPr>
  </w:style>
  <w:style w:type="character" w:customStyle="1" w:styleId="ParaNumChar">
    <w:name w:val="ParaNum Char"/>
    <w:link w:val="ParaNum"/>
    <w:rsid w:val="00F976F2"/>
    <w:rPr>
      <w:snapToGrid w:val="0"/>
      <w:kern w:val="28"/>
      <w:sz w:val="22"/>
    </w:rPr>
  </w:style>
  <w:style w:type="paragraph" w:customStyle="1" w:styleId="Default">
    <w:name w:val="Default"/>
    <w:rsid w:val="005A4096"/>
    <w:pPr>
      <w:autoSpaceDE w:val="0"/>
      <w:autoSpaceDN w:val="0"/>
      <w:adjustRightInd w:val="0"/>
    </w:pPr>
    <w:rPr>
      <w:color w:val="000000"/>
      <w:sz w:val="24"/>
      <w:szCs w:val="24"/>
    </w:rPr>
  </w:style>
  <w:style w:type="paragraph" w:styleId="Revision">
    <w:name w:val="Revision"/>
    <w:hidden/>
    <w:uiPriority w:val="99"/>
    <w:semiHidden/>
    <w:rsid w:val="009E607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276">
      <w:bodyDiv w:val="1"/>
      <w:marLeft w:val="0"/>
      <w:marRight w:val="0"/>
      <w:marTop w:val="0"/>
      <w:marBottom w:val="0"/>
      <w:divBdr>
        <w:top w:val="none" w:sz="0" w:space="0" w:color="auto"/>
        <w:left w:val="none" w:sz="0" w:space="0" w:color="auto"/>
        <w:bottom w:val="none" w:sz="0" w:space="0" w:color="auto"/>
        <w:right w:val="none" w:sz="0" w:space="0" w:color="auto"/>
      </w:divBdr>
    </w:div>
    <w:div w:id="20570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1416</Words>
  <Characters>7502</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2016-08-03T14:28:00Z</cp:lastPrinted>
  <dcterms:created xsi:type="dcterms:W3CDTF">2016-08-10T17:49:00Z</dcterms:created>
  <dcterms:modified xsi:type="dcterms:W3CDTF">2016-08-10T17:49:00Z</dcterms:modified>
  <cp:category> </cp:category>
  <cp:contentStatus> </cp:contentStatus>
</cp:coreProperties>
</file>