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1F" w:rsidRDefault="005D771F">
      <w:pPr>
        <w:jc w:val="center"/>
        <w:rPr>
          <w:rFonts w:ascii="Times New Roman Bold" w:hAnsi="Times New Roman Bold"/>
          <w:b/>
          <w:kern w:val="0"/>
          <w:szCs w:val="22"/>
        </w:rPr>
      </w:pPr>
      <w:bookmarkStart w:id="0" w:name="_GoBack"/>
      <w:bookmarkEnd w:id="0"/>
    </w:p>
    <w:p w:rsidR="004C2EE3" w:rsidRDefault="004C2EE3">
      <w:pPr>
        <w:jc w:val="center"/>
        <w:rPr>
          <w:b/>
        </w:rPr>
      </w:pPr>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B87571" w:rsidRDefault="003C2D34" w:rsidP="007115F7">
            <w:pPr>
              <w:tabs>
                <w:tab w:val="center" w:pos="4680"/>
              </w:tabs>
              <w:suppressAutoHyphens/>
              <w:rPr>
                <w:spacing w:val="-2"/>
              </w:rPr>
            </w:pPr>
            <w:r>
              <w:rPr>
                <w:spacing w:val="-2"/>
              </w:rPr>
              <w:t>Designated Market Areas</w:t>
            </w:r>
            <w:r w:rsidR="00B87571">
              <w:rPr>
                <w:spacing w:val="-2"/>
              </w:rPr>
              <w:t>:</w:t>
            </w:r>
          </w:p>
          <w:p w:rsidR="004C2EE3" w:rsidRDefault="00B87571" w:rsidP="007115F7">
            <w:pPr>
              <w:tabs>
                <w:tab w:val="center" w:pos="4680"/>
              </w:tabs>
              <w:suppressAutoHyphens/>
              <w:rPr>
                <w:spacing w:val="-2"/>
              </w:rPr>
            </w:pPr>
            <w:r>
              <w:rPr>
                <w:spacing w:val="-2"/>
              </w:rPr>
              <w:t>Report to Congress</w:t>
            </w:r>
            <w:r w:rsidR="003C2D34">
              <w:rPr>
                <w:spacing w:val="-2"/>
              </w:rPr>
              <w:t xml:space="preserve"> </w:t>
            </w:r>
          </w:p>
          <w:p w:rsidR="003C2D34" w:rsidRDefault="003C2D34" w:rsidP="007115F7">
            <w:pPr>
              <w:tabs>
                <w:tab w:val="center" w:pos="4680"/>
              </w:tabs>
              <w:suppressAutoHyphens/>
              <w:rPr>
                <w:spacing w:val="-2"/>
              </w:rPr>
            </w:pPr>
            <w:r>
              <w:rPr>
                <w:spacing w:val="-2"/>
              </w:rPr>
              <w:t>Pursuant to Section 109 of the</w:t>
            </w:r>
          </w:p>
          <w:p w:rsidR="003C2D34" w:rsidRPr="007115F7" w:rsidRDefault="003C2D34" w:rsidP="007115F7">
            <w:pPr>
              <w:tabs>
                <w:tab w:val="center" w:pos="4680"/>
              </w:tabs>
              <w:suppressAutoHyphens/>
              <w:rPr>
                <w:spacing w:val="-2"/>
              </w:rPr>
            </w:pPr>
            <w:r>
              <w:rPr>
                <w:spacing w:val="-2"/>
              </w:rPr>
              <w:t>STELA Reauthorization Act of 2014</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C2D34">
            <w:pPr>
              <w:tabs>
                <w:tab w:val="center" w:pos="4680"/>
              </w:tabs>
              <w:suppressAutoHyphens/>
              <w:rPr>
                <w:spacing w:val="-2"/>
              </w:rPr>
            </w:pPr>
            <w:r>
              <w:rPr>
                <w:spacing w:val="-2"/>
              </w:rPr>
              <w:t>MB Docket No. 15-43</w:t>
            </w:r>
          </w:p>
        </w:tc>
      </w:tr>
    </w:tbl>
    <w:p w:rsidR="004C2EE3" w:rsidRDefault="004C2EE3" w:rsidP="0070224F"/>
    <w:p w:rsidR="00841AB1" w:rsidRDefault="003C2D34" w:rsidP="00F021FA">
      <w:pPr>
        <w:pStyle w:val="StyleBoldCentered"/>
      </w:pPr>
      <w:r>
        <w:t>Report</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74B44">
        <w:rPr>
          <w:b/>
          <w:spacing w:val="-2"/>
        </w:rPr>
        <w:t>June 3,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4B44">
        <w:rPr>
          <w:b/>
          <w:spacing w:val="-2"/>
        </w:rPr>
        <w:t>June 3, 2016</w:t>
      </w:r>
    </w:p>
    <w:p w:rsidR="00822CE0" w:rsidRDefault="00822CE0"/>
    <w:p w:rsidR="004C2EE3" w:rsidRDefault="004C2EE3">
      <w:pPr>
        <w:rPr>
          <w:spacing w:val="-2"/>
        </w:rPr>
      </w:pPr>
      <w:r>
        <w:t xml:space="preserve">By </w:t>
      </w:r>
      <w:r w:rsidR="004E4A22">
        <w:t>the</w:t>
      </w:r>
      <w:r w:rsidR="002A2D2E">
        <w:t xml:space="preserve"> </w:t>
      </w:r>
      <w:r w:rsidR="003C2D34">
        <w:t>Chief, Media Bureau</w:t>
      </w:r>
      <w:r w:rsidR="00A9686D">
        <w:t>:</w:t>
      </w:r>
    </w:p>
    <w:p w:rsidR="00822CE0" w:rsidRDefault="00822CE0">
      <w:pPr>
        <w:rPr>
          <w:spacing w:val="-2"/>
        </w:rPr>
      </w:pPr>
    </w:p>
    <w:p w:rsidR="00EC3351" w:rsidRDefault="00EC3351" w:rsidP="00EC3351">
      <w:pPr>
        <w:pStyle w:val="TOCTitle"/>
      </w:pPr>
      <w:bookmarkStart w:id="1" w:name="TOChere"/>
      <w:r>
        <w:t>Table of Contents</w:t>
      </w:r>
    </w:p>
    <w:p w:rsidR="00EC3351" w:rsidRDefault="00EC3351" w:rsidP="00EC3351">
      <w:pPr>
        <w:pStyle w:val="Paratitle"/>
      </w:pPr>
      <w:r>
        <w:t>Heading</w:t>
      </w:r>
      <w:r>
        <w:tab/>
        <w:t>Paragraph #</w:t>
      </w:r>
      <w:bookmarkStart w:id="2" w:name="start_here"/>
      <w:bookmarkEnd w:id="2"/>
    </w:p>
    <w:p w:rsidR="00EC3351" w:rsidRPr="00570BB3" w:rsidRDefault="00EC3351" w:rsidP="00EC3351">
      <w:pPr>
        <w:pStyle w:val="TOC1"/>
        <w:rPr>
          <w:rFonts w:ascii="Calibri" w:hAnsi="Calibri"/>
          <w:caps w:val="0"/>
          <w:snapToGrid/>
          <w:kern w:val="0"/>
          <w:szCs w:val="22"/>
        </w:rPr>
      </w:pPr>
      <w:r>
        <w:t>I.</w:t>
      </w:r>
      <w:r w:rsidRPr="00570BB3">
        <w:rPr>
          <w:rFonts w:ascii="Calibri" w:hAnsi="Calibri"/>
          <w:caps w:val="0"/>
          <w:snapToGrid/>
          <w:kern w:val="0"/>
          <w:szCs w:val="22"/>
        </w:rPr>
        <w:tab/>
      </w:r>
      <w:r>
        <w:t>Introduction</w:t>
      </w:r>
      <w:r>
        <w:tab/>
        <w:t>1</w:t>
      </w:r>
    </w:p>
    <w:p w:rsidR="00EC3351" w:rsidRPr="00570BB3" w:rsidRDefault="00EC3351" w:rsidP="00EC3351">
      <w:pPr>
        <w:pStyle w:val="TOC1"/>
        <w:rPr>
          <w:rFonts w:ascii="Calibri" w:hAnsi="Calibri"/>
          <w:caps w:val="0"/>
          <w:snapToGrid/>
          <w:kern w:val="0"/>
          <w:szCs w:val="22"/>
        </w:rPr>
      </w:pPr>
      <w:r>
        <w:t>II.</w:t>
      </w:r>
      <w:r w:rsidRPr="00570BB3">
        <w:rPr>
          <w:rFonts w:ascii="Calibri" w:hAnsi="Calibri"/>
          <w:caps w:val="0"/>
          <w:snapToGrid/>
          <w:kern w:val="0"/>
          <w:szCs w:val="22"/>
        </w:rPr>
        <w:tab/>
      </w:r>
      <w:r>
        <w:t>Background</w:t>
      </w:r>
      <w:r>
        <w:tab/>
        <w:t>6</w:t>
      </w:r>
    </w:p>
    <w:p w:rsidR="00EC3351" w:rsidRPr="00570BB3" w:rsidRDefault="00EC3351" w:rsidP="00EC3351">
      <w:pPr>
        <w:pStyle w:val="TOC1"/>
        <w:rPr>
          <w:rFonts w:ascii="Calibri" w:hAnsi="Calibri"/>
          <w:caps w:val="0"/>
          <w:snapToGrid/>
          <w:kern w:val="0"/>
          <w:szCs w:val="22"/>
        </w:rPr>
      </w:pPr>
      <w:r>
        <w:t>III.</w:t>
      </w:r>
      <w:r w:rsidRPr="00570BB3">
        <w:rPr>
          <w:rFonts w:ascii="Calibri" w:hAnsi="Calibri"/>
          <w:caps w:val="0"/>
          <w:snapToGrid/>
          <w:kern w:val="0"/>
          <w:szCs w:val="22"/>
        </w:rPr>
        <w:tab/>
      </w:r>
      <w:r>
        <w:t>Section 109(</w:t>
      </w:r>
      <w:r w:rsidRPr="005D2412">
        <w:rPr>
          <w:caps w:val="0"/>
        </w:rPr>
        <w:t>a</w:t>
      </w:r>
      <w:r>
        <w:t>)(1)(A):  Analysis of Findings</w:t>
      </w:r>
      <w:r>
        <w:tab/>
        <w:t>26</w:t>
      </w:r>
    </w:p>
    <w:p w:rsidR="00EC3351" w:rsidRPr="00570BB3" w:rsidRDefault="00EC3351" w:rsidP="00EC3351">
      <w:pPr>
        <w:pStyle w:val="TOC2"/>
        <w:tabs>
          <w:tab w:val="left" w:pos="360"/>
        </w:tabs>
        <w:rPr>
          <w:rFonts w:ascii="Calibri" w:hAnsi="Calibri"/>
          <w:snapToGrid/>
          <w:kern w:val="0"/>
          <w:szCs w:val="22"/>
        </w:rPr>
      </w:pPr>
      <w:r>
        <w:t>A.</w:t>
      </w:r>
      <w:r w:rsidRPr="00570BB3">
        <w:rPr>
          <w:rFonts w:ascii="Calibri" w:hAnsi="Calibri"/>
          <w:snapToGrid/>
          <w:kern w:val="0"/>
          <w:szCs w:val="22"/>
        </w:rPr>
        <w:tab/>
      </w:r>
      <w:r>
        <w:t>Analysis of Access to Out-of-Market Signals Over the Air</w:t>
      </w:r>
      <w:r>
        <w:tab/>
        <w:t>38</w:t>
      </w:r>
    </w:p>
    <w:p w:rsidR="00EC3351" w:rsidRPr="00570BB3" w:rsidRDefault="00EC3351" w:rsidP="00EC3351">
      <w:pPr>
        <w:pStyle w:val="TOC2"/>
        <w:tabs>
          <w:tab w:val="left" w:pos="360"/>
        </w:tabs>
        <w:rPr>
          <w:rFonts w:ascii="Calibri" w:hAnsi="Calibri"/>
          <w:snapToGrid/>
          <w:kern w:val="0"/>
          <w:szCs w:val="22"/>
        </w:rPr>
      </w:pPr>
      <w:r>
        <w:t>B.</w:t>
      </w:r>
      <w:r w:rsidRPr="00570BB3">
        <w:rPr>
          <w:rFonts w:ascii="Calibri" w:hAnsi="Calibri"/>
          <w:snapToGrid/>
          <w:kern w:val="0"/>
          <w:szCs w:val="22"/>
        </w:rPr>
        <w:tab/>
      </w:r>
      <w:r>
        <w:t>Carriage of Certain Out-of-Market Signals by DBS Providers</w:t>
      </w:r>
      <w:r>
        <w:tab/>
        <w:t>53</w:t>
      </w:r>
    </w:p>
    <w:p w:rsidR="00EC3351" w:rsidRPr="00570BB3" w:rsidRDefault="00EC3351" w:rsidP="00EC3351">
      <w:pPr>
        <w:pStyle w:val="TOC2"/>
        <w:tabs>
          <w:tab w:val="left" w:pos="360"/>
        </w:tabs>
        <w:rPr>
          <w:rFonts w:ascii="Calibri" w:hAnsi="Calibri"/>
          <w:snapToGrid/>
          <w:kern w:val="0"/>
          <w:szCs w:val="22"/>
        </w:rPr>
      </w:pPr>
      <w:r>
        <w:t>C.</w:t>
      </w:r>
      <w:r w:rsidRPr="00570BB3">
        <w:rPr>
          <w:rFonts w:ascii="Calibri" w:hAnsi="Calibri"/>
          <w:snapToGrid/>
          <w:kern w:val="0"/>
          <w:szCs w:val="22"/>
        </w:rPr>
        <w:tab/>
      </w:r>
      <w:r>
        <w:t>Analysis of Access to Out-of-Market Stations Based on Viewership</w:t>
      </w:r>
      <w:r>
        <w:tab/>
        <w:t>58</w:t>
      </w:r>
    </w:p>
    <w:p w:rsidR="00EC3351" w:rsidRPr="00570BB3" w:rsidRDefault="00EC3351" w:rsidP="00EC3351">
      <w:pPr>
        <w:pStyle w:val="TOC2"/>
        <w:tabs>
          <w:tab w:val="left" w:pos="360"/>
        </w:tabs>
        <w:rPr>
          <w:rFonts w:ascii="Calibri" w:hAnsi="Calibri"/>
          <w:snapToGrid/>
          <w:kern w:val="0"/>
          <w:szCs w:val="22"/>
        </w:rPr>
      </w:pPr>
      <w:r>
        <w:t>D.</w:t>
      </w:r>
      <w:r w:rsidRPr="00570BB3">
        <w:rPr>
          <w:rFonts w:ascii="Calibri" w:hAnsi="Calibri"/>
          <w:snapToGrid/>
          <w:kern w:val="0"/>
          <w:szCs w:val="22"/>
        </w:rPr>
        <w:tab/>
      </w:r>
      <w:r>
        <w:t>Case Studies</w:t>
      </w:r>
      <w:r>
        <w:tab/>
        <w:t>62</w:t>
      </w:r>
    </w:p>
    <w:p w:rsidR="00EC3351" w:rsidRPr="00570BB3" w:rsidRDefault="00EC3351" w:rsidP="00EC3351">
      <w:pPr>
        <w:pStyle w:val="TOC1"/>
        <w:rPr>
          <w:rFonts w:ascii="Calibri" w:hAnsi="Calibri"/>
          <w:caps w:val="0"/>
          <w:snapToGrid/>
          <w:kern w:val="0"/>
          <w:szCs w:val="22"/>
        </w:rPr>
      </w:pPr>
      <w:r>
        <w:t>IV.</w:t>
      </w:r>
      <w:r w:rsidRPr="00570BB3">
        <w:rPr>
          <w:rFonts w:ascii="Calibri" w:hAnsi="Calibri"/>
          <w:caps w:val="0"/>
          <w:snapToGrid/>
          <w:kern w:val="0"/>
          <w:szCs w:val="22"/>
        </w:rPr>
        <w:tab/>
      </w:r>
      <w:r>
        <w:t>Section 109(</w:t>
      </w:r>
      <w:r w:rsidRPr="005D2412">
        <w:rPr>
          <w:caps w:val="0"/>
        </w:rPr>
        <w:t>a</w:t>
      </w:r>
      <w:r>
        <w:t>)(1)(</w:t>
      </w:r>
      <w:r w:rsidRPr="005D2412">
        <w:rPr>
          <w:caps w:val="0"/>
        </w:rPr>
        <w:t>B</w:t>
      </w:r>
      <w:r>
        <w:t>), (</w:t>
      </w:r>
      <w:r w:rsidRPr="005D2412">
        <w:rPr>
          <w:caps w:val="0"/>
        </w:rPr>
        <w:t>a</w:t>
      </w:r>
      <w:r>
        <w:t>)(2), and (</w:t>
      </w:r>
      <w:r w:rsidRPr="005D2412">
        <w:rPr>
          <w:caps w:val="0"/>
        </w:rPr>
        <w:t>b</w:t>
      </w:r>
      <w:r>
        <w:t>):  DMA Alternatives and Recommendations for Fostering Increased Localism</w:t>
      </w:r>
      <w:r>
        <w:tab/>
        <w:t>85</w:t>
      </w:r>
    </w:p>
    <w:p w:rsidR="00EC3351" w:rsidRPr="00570BB3" w:rsidRDefault="00EC3351" w:rsidP="00EC3351">
      <w:pPr>
        <w:pStyle w:val="TOC2"/>
        <w:tabs>
          <w:tab w:val="left" w:pos="360"/>
        </w:tabs>
        <w:rPr>
          <w:rFonts w:ascii="Calibri" w:hAnsi="Calibri"/>
          <w:snapToGrid/>
          <w:kern w:val="0"/>
          <w:szCs w:val="22"/>
        </w:rPr>
      </w:pPr>
      <w:r>
        <w:t>A.</w:t>
      </w:r>
      <w:r w:rsidRPr="00570BB3">
        <w:rPr>
          <w:rFonts w:ascii="Calibri" w:hAnsi="Calibri"/>
          <w:snapToGrid/>
          <w:kern w:val="0"/>
          <w:szCs w:val="22"/>
        </w:rPr>
        <w:tab/>
      </w:r>
      <w:r>
        <w:t>Alternatives to the Use of Designated Market Areas</w:t>
      </w:r>
      <w:r>
        <w:tab/>
        <w:t>86</w:t>
      </w:r>
    </w:p>
    <w:p w:rsidR="00EC3351" w:rsidRPr="00570BB3" w:rsidRDefault="00EC3351" w:rsidP="00EC3351">
      <w:pPr>
        <w:pStyle w:val="TOC2"/>
        <w:tabs>
          <w:tab w:val="left" w:pos="360"/>
        </w:tabs>
        <w:rPr>
          <w:rFonts w:ascii="Calibri" w:hAnsi="Calibri"/>
          <w:snapToGrid/>
          <w:kern w:val="0"/>
          <w:szCs w:val="22"/>
        </w:rPr>
      </w:pPr>
      <w:r>
        <w:t>B.</w:t>
      </w:r>
      <w:r w:rsidRPr="00570BB3">
        <w:rPr>
          <w:rFonts w:ascii="Calibri" w:hAnsi="Calibri"/>
          <w:snapToGrid/>
          <w:kern w:val="0"/>
          <w:szCs w:val="22"/>
        </w:rPr>
        <w:tab/>
      </w:r>
      <w:r>
        <w:t>Recommendations for Fostering Increased Localism</w:t>
      </w:r>
      <w:r>
        <w:tab/>
        <w:t>97</w:t>
      </w:r>
    </w:p>
    <w:p w:rsidR="00EC3351" w:rsidRPr="00570BB3" w:rsidRDefault="00EC3351" w:rsidP="00EC3351">
      <w:pPr>
        <w:pStyle w:val="TOC1"/>
        <w:rPr>
          <w:rFonts w:ascii="Calibri" w:hAnsi="Calibri"/>
          <w:caps w:val="0"/>
          <w:snapToGrid/>
          <w:kern w:val="0"/>
          <w:szCs w:val="22"/>
        </w:rPr>
      </w:pPr>
      <w:r>
        <w:t>V.</w:t>
      </w:r>
      <w:r w:rsidRPr="00570BB3">
        <w:rPr>
          <w:rFonts w:ascii="Calibri" w:hAnsi="Calibri"/>
          <w:caps w:val="0"/>
          <w:snapToGrid/>
          <w:kern w:val="0"/>
          <w:szCs w:val="22"/>
        </w:rPr>
        <w:tab/>
      </w:r>
      <w:r>
        <w:t>Conclusion</w:t>
      </w:r>
      <w:r>
        <w:tab/>
        <w:t>122</w:t>
      </w:r>
    </w:p>
    <w:bookmarkEnd w:id="1"/>
    <w:p w:rsidR="00C17703" w:rsidRDefault="00C17703" w:rsidP="00412FC5">
      <w:r>
        <w:t xml:space="preserve">APPENDIX </w:t>
      </w:r>
      <w:r w:rsidR="00CA32B9">
        <w:t>A</w:t>
      </w:r>
      <w:r w:rsidR="00270A3B">
        <w:t xml:space="preserve"> – </w:t>
      </w:r>
      <w:r w:rsidR="00F40F86">
        <w:t xml:space="preserve">Over the </w:t>
      </w:r>
      <w:r w:rsidR="001B60F9">
        <w:t>A</w:t>
      </w:r>
      <w:r w:rsidR="00F40F86">
        <w:t>ir</w:t>
      </w:r>
      <w:r w:rsidR="002A4BDE">
        <w:t xml:space="preserve"> Reception of Out-of-Market Stations</w:t>
      </w:r>
    </w:p>
    <w:p w:rsidR="00CA32B9" w:rsidRDefault="00CA32B9" w:rsidP="00412FC5">
      <w:r>
        <w:t>APPENDIX B</w:t>
      </w:r>
      <w:r w:rsidR="00B36B3B">
        <w:t xml:space="preserve"> – </w:t>
      </w:r>
      <w:r w:rsidR="00EC3351" w:rsidRPr="00EC3351">
        <w:t>DBS Carriage of Certain Out-of-Market Signals</w:t>
      </w:r>
    </w:p>
    <w:p w:rsidR="00CA32B9" w:rsidRDefault="00CA32B9" w:rsidP="00412FC5">
      <w:r>
        <w:t>APPENDIX C</w:t>
      </w:r>
      <w:r w:rsidR="00B36B3B">
        <w:t xml:space="preserve"> – </w:t>
      </w:r>
      <w:r w:rsidR="00CD559D" w:rsidRPr="00CD559D">
        <w:t>Viewership of Out-of-Market Signals Based on Nielsen Market Data</w:t>
      </w:r>
    </w:p>
    <w:p w:rsidR="00412FC5" w:rsidRDefault="00CA32B9" w:rsidP="00412FC5">
      <w:r>
        <w:t>APPENDIX D</w:t>
      </w:r>
      <w:r w:rsidR="00B36B3B">
        <w:t xml:space="preserve"> – </w:t>
      </w:r>
      <w:r w:rsidR="002A4BDE">
        <w:t>Case Studies</w:t>
      </w:r>
      <w:r w:rsidR="00B36B3B">
        <w:t xml:space="preserve"> </w:t>
      </w:r>
    </w:p>
    <w:p w:rsidR="00AF2471" w:rsidRDefault="00AF2471" w:rsidP="00412FC5"/>
    <w:p w:rsidR="002C00E8" w:rsidRDefault="003C2D34" w:rsidP="002C00E8">
      <w:pPr>
        <w:pStyle w:val="Heading1"/>
      </w:pPr>
      <w:bookmarkStart w:id="3" w:name="_Toc448130174"/>
      <w:bookmarkStart w:id="4" w:name="_Toc448153839"/>
      <w:bookmarkStart w:id="5" w:name="_Toc448230168"/>
      <w:bookmarkStart w:id="6" w:name="_Toc448311214"/>
      <w:bookmarkStart w:id="7" w:name="_Toc452456827"/>
      <w:r>
        <w:t>Introduction</w:t>
      </w:r>
      <w:bookmarkEnd w:id="3"/>
      <w:bookmarkEnd w:id="4"/>
      <w:bookmarkEnd w:id="5"/>
      <w:bookmarkEnd w:id="6"/>
      <w:bookmarkEnd w:id="7"/>
    </w:p>
    <w:p w:rsidR="003C2D34" w:rsidRDefault="003C2D34" w:rsidP="00896E38">
      <w:pPr>
        <w:pStyle w:val="ParaNum"/>
      </w:pPr>
      <w:r>
        <w:t xml:space="preserve">The STELA Reauthorization Act of 2014 (STELAR) </w:t>
      </w:r>
      <w:r w:rsidR="00C332B7" w:rsidRPr="00C332B7">
        <w:t>amend</w:t>
      </w:r>
      <w:r w:rsidR="00C332B7">
        <w:t>s</w:t>
      </w:r>
      <w:r w:rsidR="00C332B7" w:rsidRPr="00C332B7">
        <w:t xml:space="preserve"> the Communications Act of 1934</w:t>
      </w:r>
      <w:r w:rsidR="00C332B7">
        <w:t>,</w:t>
      </w:r>
      <w:r w:rsidR="00C332B7" w:rsidRPr="00C332B7">
        <w:t xml:space="preserve"> </w:t>
      </w:r>
      <w:r w:rsidR="00C332B7">
        <w:t>as amended</w:t>
      </w:r>
      <w:r w:rsidR="008C3F00">
        <w:t>,</w:t>
      </w:r>
      <w:r w:rsidR="00C332B7">
        <w:t xml:space="preserve"> (Communications Act) </w:t>
      </w:r>
      <w:r w:rsidR="009A696C">
        <w:t xml:space="preserve">and Title 17 of the United States Code </w:t>
      </w:r>
      <w:r w:rsidR="00C332B7">
        <w:t>to</w:t>
      </w:r>
      <w:r w:rsidR="00C332B7" w:rsidRPr="00C332B7">
        <w:t xml:space="preserve"> extend expiring provisions relating to the retransmission of signals of television broadcast stations</w:t>
      </w:r>
      <w:r w:rsidR="009A696C">
        <w:t>.</w:t>
      </w:r>
      <w:r w:rsidR="00C364C8">
        <w:rPr>
          <w:rStyle w:val="FootnoteReference"/>
        </w:rPr>
        <w:footnoteReference w:id="2"/>
      </w:r>
      <w:r w:rsidR="009A696C">
        <w:t xml:space="preserve">  </w:t>
      </w:r>
      <w:r w:rsidR="00555039">
        <w:t xml:space="preserve">The </w:t>
      </w:r>
      <w:r w:rsidR="009A696C">
        <w:t xml:space="preserve">STELAR also </w:t>
      </w:r>
      <w:r w:rsidR="00896E38">
        <w:lastRenderedPageBreak/>
        <w:t xml:space="preserve">amends several </w:t>
      </w:r>
      <w:r w:rsidR="00C85862">
        <w:t xml:space="preserve">Federal Communications </w:t>
      </w:r>
      <w:r w:rsidR="00896E38">
        <w:t xml:space="preserve">Commission </w:t>
      </w:r>
      <w:r w:rsidR="00C85862">
        <w:t xml:space="preserve">(Commission) </w:t>
      </w:r>
      <w:r w:rsidR="00896E38" w:rsidRPr="00896E38">
        <w:t>regulation</w:t>
      </w:r>
      <w:r w:rsidR="00896E38">
        <w:t>s</w:t>
      </w:r>
      <w:r w:rsidR="00896E38" w:rsidRPr="00896E38">
        <w:t xml:space="preserve"> relating to the </w:t>
      </w:r>
      <w:r w:rsidR="00896E38">
        <w:t>carriage of</w:t>
      </w:r>
      <w:r w:rsidR="00896E38" w:rsidRPr="00896E38">
        <w:t xml:space="preserve"> </w:t>
      </w:r>
      <w:r w:rsidR="00896E38">
        <w:t>television broadcast</w:t>
      </w:r>
      <w:r w:rsidR="00896E38" w:rsidRPr="00896E38">
        <w:t xml:space="preserve"> </w:t>
      </w:r>
      <w:r w:rsidR="00896E38">
        <w:t xml:space="preserve">signals </w:t>
      </w:r>
      <w:r w:rsidR="00896E38" w:rsidRPr="00896E38">
        <w:t xml:space="preserve">by cable systems and </w:t>
      </w:r>
      <w:r w:rsidR="00896E38">
        <w:t>satellite video providers</w:t>
      </w:r>
      <w:r w:rsidR="00EC53D9">
        <w:t>.</w:t>
      </w:r>
      <w:r w:rsidR="00C364C8">
        <w:rPr>
          <w:rStyle w:val="FootnoteReference"/>
        </w:rPr>
        <w:footnoteReference w:id="3"/>
      </w:r>
    </w:p>
    <w:p w:rsidR="00C85862" w:rsidRDefault="00D97760" w:rsidP="00896E38">
      <w:pPr>
        <w:pStyle w:val="ParaNum"/>
      </w:pPr>
      <w:r>
        <w:t xml:space="preserve">In addition, </w:t>
      </w:r>
      <w:r w:rsidR="00C85862">
        <w:t xml:space="preserve">Section 109 of </w:t>
      </w:r>
      <w:r w:rsidR="00555039">
        <w:t xml:space="preserve">the </w:t>
      </w:r>
      <w:r w:rsidR="00C85862">
        <w:t xml:space="preserve">STELAR requires the Commission to submit a report </w:t>
      </w:r>
      <w:r w:rsidR="00555039">
        <w:t>on designated market areas (DMAs)</w:t>
      </w:r>
      <w:r w:rsidR="00F91D35">
        <w:rPr>
          <w:rStyle w:val="FootnoteReference"/>
        </w:rPr>
        <w:footnoteReference w:id="4"/>
      </w:r>
      <w:r w:rsidR="00555039">
        <w:t xml:space="preserve"> and considerations for fostering increased localism </w:t>
      </w:r>
      <w:r w:rsidR="00C85862">
        <w:t xml:space="preserve">to the appropriate congressional committees </w:t>
      </w:r>
      <w:r w:rsidR="00555039">
        <w:t>not later than 18 months after the date o</w:t>
      </w:r>
      <w:r w:rsidR="00337689">
        <w:t>f enactment (i.e., June 4</w:t>
      </w:r>
      <w:r w:rsidR="00555039">
        <w:t>, 2016).</w:t>
      </w:r>
      <w:r w:rsidR="00555039">
        <w:rPr>
          <w:rStyle w:val="FootnoteReference"/>
        </w:rPr>
        <w:footnoteReference w:id="5"/>
      </w:r>
      <w:r w:rsidR="00555039">
        <w:t xml:space="preserve">  Specifically, Section 109</w:t>
      </w:r>
      <w:r w:rsidR="00F91D35">
        <w:t>(a)(1)</w:t>
      </w:r>
      <w:r w:rsidR="00555039">
        <w:t xml:space="preserve"> states that the report should contain</w:t>
      </w:r>
      <w:r w:rsidR="006C4E97">
        <w:t xml:space="preserve"> </w:t>
      </w:r>
      <w:r w:rsidR="00C85862">
        <w:t xml:space="preserve">an analysis of the following: </w:t>
      </w:r>
    </w:p>
    <w:p w:rsidR="00C85862" w:rsidRDefault="00C85862" w:rsidP="002E0AAB">
      <w:pPr>
        <w:pStyle w:val="ParaNum"/>
        <w:numPr>
          <w:ilvl w:val="0"/>
          <w:numId w:val="0"/>
        </w:numPr>
        <w:ind w:left="720"/>
      </w:pPr>
      <w:r>
        <w:t>(A) the extent to which consumers in each local market have access to broadcast programming from television broadcast stations located outside their local market, including through carriage by cable operators and satellite carriers of signals that are significantly viewed (within the meaning of section 340 of the Communications Act of 1934 (47 U.S.C. 340)); and</w:t>
      </w:r>
    </w:p>
    <w:p w:rsidR="00C85862" w:rsidRDefault="00C85862" w:rsidP="002E0AAB">
      <w:pPr>
        <w:pStyle w:val="ParaNum"/>
        <w:numPr>
          <w:ilvl w:val="0"/>
          <w:numId w:val="0"/>
        </w:numPr>
        <w:ind w:left="720"/>
      </w:pPr>
      <w:r>
        <w:t>(B) whether there are technologically and economically feasible alternatives to the use of designated market areas to define markets that would provide consumers with more programming options and the potential impact such alternatives could have on localism and on broadcast television locally, regionally, and nationally;</w:t>
      </w:r>
      <w:r w:rsidR="00C364C8">
        <w:rPr>
          <w:rStyle w:val="FootnoteReference"/>
        </w:rPr>
        <w:footnoteReference w:id="6"/>
      </w:r>
    </w:p>
    <w:p w:rsidR="00C364C8" w:rsidRDefault="00C85862" w:rsidP="00896E38">
      <w:pPr>
        <w:pStyle w:val="ParaNum"/>
      </w:pPr>
      <w:r>
        <w:t>Section 109</w:t>
      </w:r>
      <w:r w:rsidR="00555039">
        <w:t>(a)(2)</w:t>
      </w:r>
      <w:r>
        <w:t xml:space="preserve"> requires </w:t>
      </w:r>
      <w:r w:rsidR="00555039">
        <w:t xml:space="preserve">further </w:t>
      </w:r>
      <w:r w:rsidR="00474E25">
        <w:t xml:space="preserve">that </w:t>
      </w:r>
      <w:r>
        <w:t xml:space="preserve">the </w:t>
      </w:r>
      <w:r w:rsidR="00555039">
        <w:t>report contain “</w:t>
      </w:r>
      <w:r>
        <w:t>recommendations on how to foster increased localism in counties served by out-of-</w:t>
      </w:r>
      <w:r w:rsidR="00555039">
        <w:t>S</w:t>
      </w:r>
      <w:r>
        <w:t>tate designated market areas.</w:t>
      </w:r>
      <w:r w:rsidR="00555039">
        <w:t>”</w:t>
      </w:r>
      <w:r w:rsidR="00555039">
        <w:rPr>
          <w:rStyle w:val="FootnoteReference"/>
        </w:rPr>
        <w:footnoteReference w:id="7"/>
      </w:r>
      <w:r>
        <w:t xml:space="preserve">  In making </w:t>
      </w:r>
      <w:r w:rsidR="00533B55">
        <w:t xml:space="preserve">such </w:t>
      </w:r>
      <w:r>
        <w:t xml:space="preserve">recommendations, </w:t>
      </w:r>
      <w:r w:rsidR="00533B55">
        <w:t xml:space="preserve">Section 109(b) of the STELAR instructs that </w:t>
      </w:r>
      <w:r>
        <w:t xml:space="preserve">the Commission consider the following factors:  </w:t>
      </w:r>
    </w:p>
    <w:p w:rsidR="00C364C8" w:rsidRDefault="00C364C8" w:rsidP="002E0AAB">
      <w:pPr>
        <w:pStyle w:val="ParaNum"/>
        <w:numPr>
          <w:ilvl w:val="0"/>
          <w:numId w:val="0"/>
        </w:numPr>
        <w:ind w:left="720"/>
      </w:pPr>
      <w:r>
        <w:t xml:space="preserve">(1) the impact that designated market areas that cross State lines have on access to local programming; </w:t>
      </w:r>
    </w:p>
    <w:p w:rsidR="00C364C8" w:rsidRDefault="00C364C8" w:rsidP="002E0AAB">
      <w:pPr>
        <w:pStyle w:val="ParaNum"/>
        <w:numPr>
          <w:ilvl w:val="0"/>
          <w:numId w:val="0"/>
        </w:numPr>
        <w:ind w:left="720"/>
      </w:pPr>
      <w:r>
        <w:t>(2) the impact that designated market areas have on local programming in rural areas; and</w:t>
      </w:r>
      <w:r w:rsidRPr="00C364C8">
        <w:t xml:space="preserve"> </w:t>
      </w:r>
    </w:p>
    <w:p w:rsidR="00C85862" w:rsidRDefault="00C364C8" w:rsidP="002E0AAB">
      <w:pPr>
        <w:pStyle w:val="ParaNum"/>
        <w:widowControl/>
        <w:numPr>
          <w:ilvl w:val="0"/>
          <w:numId w:val="0"/>
        </w:numPr>
        <w:ind w:left="720"/>
      </w:pPr>
      <w:r>
        <w:t>(3) the state of local programming in States served exclusively by out-of-State designated market areas.</w:t>
      </w:r>
      <w:r>
        <w:rPr>
          <w:rStyle w:val="FootnoteReference"/>
        </w:rPr>
        <w:footnoteReference w:id="8"/>
      </w:r>
    </w:p>
    <w:p w:rsidR="000F2CDB" w:rsidRDefault="005D771F" w:rsidP="009B31BA">
      <w:pPr>
        <w:pStyle w:val="ParaNum"/>
        <w:widowControl/>
      </w:pPr>
      <w:r>
        <w:lastRenderedPageBreak/>
        <w:t>T</w:t>
      </w:r>
      <w:r w:rsidR="00C364C8">
        <w:t>he Commission</w:t>
      </w:r>
      <w:r w:rsidR="00AF38A0">
        <w:t>’</w:t>
      </w:r>
      <w:r w:rsidR="00C364C8">
        <w:t>s Media Bureau (Bureau) issued a public notice (</w:t>
      </w:r>
      <w:r w:rsidR="00D830F7" w:rsidRPr="002A250B">
        <w:rPr>
          <w:i/>
        </w:rPr>
        <w:t xml:space="preserve">STELAR Report </w:t>
      </w:r>
      <w:r w:rsidR="00D830F7">
        <w:rPr>
          <w:i/>
        </w:rPr>
        <w:t>PN</w:t>
      </w:r>
      <w:r w:rsidR="00C364C8">
        <w:t>) seeking data, information, and comment for use in preparation of the required report.</w:t>
      </w:r>
      <w:r w:rsidR="00D41CDA">
        <w:rPr>
          <w:rStyle w:val="FootnoteReference"/>
        </w:rPr>
        <w:footnoteReference w:id="9"/>
      </w:r>
      <w:r w:rsidR="00247DDF">
        <w:t xml:space="preserve">  </w:t>
      </w:r>
      <w:r w:rsidR="00533B55">
        <w:t xml:space="preserve">Specifically, the Commission sought </w:t>
      </w:r>
      <w:r w:rsidR="006777D1" w:rsidRPr="006777D1">
        <w:t xml:space="preserve">comment on the appropriate methodologies and data sources, as well as the submission of data and information, to analyze the extent </w:t>
      </w:r>
      <w:r w:rsidR="006777D1">
        <w:t xml:space="preserve">to which </w:t>
      </w:r>
      <w:r w:rsidR="006777D1" w:rsidRPr="006777D1">
        <w:t xml:space="preserve">consumers have access to </w:t>
      </w:r>
      <w:r w:rsidR="006777D1">
        <w:t xml:space="preserve">programming from </w:t>
      </w:r>
      <w:r w:rsidR="006777D1" w:rsidRPr="006777D1">
        <w:t>broadcast stations located outside their local markets.</w:t>
      </w:r>
      <w:r w:rsidR="006777D1">
        <w:rPr>
          <w:rStyle w:val="FootnoteReference"/>
        </w:rPr>
        <w:footnoteReference w:id="10"/>
      </w:r>
      <w:r w:rsidR="006777D1" w:rsidRPr="006777D1">
        <w:t xml:space="preserve">  </w:t>
      </w:r>
      <w:r w:rsidR="006777D1">
        <w:t xml:space="preserve">The </w:t>
      </w:r>
      <w:r w:rsidR="00A16250" w:rsidRPr="002A250B">
        <w:rPr>
          <w:i/>
        </w:rPr>
        <w:t xml:space="preserve">STELAR Report </w:t>
      </w:r>
      <w:r w:rsidR="00A16250">
        <w:rPr>
          <w:i/>
        </w:rPr>
        <w:t>PN</w:t>
      </w:r>
      <w:r w:rsidR="006777D1">
        <w:t xml:space="preserve"> sought comment on </w:t>
      </w:r>
      <w:r w:rsidR="006777D1" w:rsidRPr="006777D1">
        <w:t>technologically and economically feasible alternatives to DMAs that would provide more programming options and the potential impact of such alternatives on localism and on broadcast television locally, regionally, and nationally.</w:t>
      </w:r>
      <w:r w:rsidR="006777D1">
        <w:rPr>
          <w:rStyle w:val="FootnoteReference"/>
        </w:rPr>
        <w:footnoteReference w:id="11"/>
      </w:r>
      <w:r w:rsidR="006777D1" w:rsidRPr="006777D1">
        <w:t xml:space="preserve">  </w:t>
      </w:r>
      <w:r w:rsidR="006777D1">
        <w:t xml:space="preserve">Further, the </w:t>
      </w:r>
      <w:r w:rsidR="00A16250" w:rsidRPr="002A250B">
        <w:rPr>
          <w:i/>
        </w:rPr>
        <w:t xml:space="preserve">STELAR Report </w:t>
      </w:r>
      <w:r w:rsidR="00A16250">
        <w:rPr>
          <w:i/>
        </w:rPr>
        <w:t>PN</w:t>
      </w:r>
      <w:r w:rsidR="006777D1">
        <w:t xml:space="preserve"> sought </w:t>
      </w:r>
      <w:r w:rsidR="006777D1" w:rsidRPr="006777D1">
        <w:t xml:space="preserve">recommendations </w:t>
      </w:r>
      <w:r w:rsidR="003C6CC3">
        <w:t>on how to</w:t>
      </w:r>
      <w:r w:rsidR="006777D1" w:rsidRPr="006777D1">
        <w:t xml:space="preserve"> foster localism in counties served by out-of-State DMAs and the impact of such recommendations as required under Section 109(b).</w:t>
      </w:r>
      <w:r w:rsidR="006777D1">
        <w:rPr>
          <w:rStyle w:val="FootnoteReference"/>
        </w:rPr>
        <w:footnoteReference w:id="12"/>
      </w:r>
      <w:r w:rsidR="006777D1">
        <w:t xml:space="preserve"> </w:t>
      </w:r>
      <w:r w:rsidR="00FB4748">
        <w:t xml:space="preserve"> </w:t>
      </w:r>
      <w:r w:rsidR="00247DDF">
        <w:t xml:space="preserve">In response to the </w:t>
      </w:r>
      <w:r w:rsidR="00A16250" w:rsidRPr="002A250B">
        <w:rPr>
          <w:i/>
        </w:rPr>
        <w:t xml:space="preserve">STELAR Report </w:t>
      </w:r>
      <w:r w:rsidR="00A16250">
        <w:rPr>
          <w:i/>
        </w:rPr>
        <w:t>PN</w:t>
      </w:r>
      <w:r w:rsidR="00247DDF">
        <w:t>, the Bureau received comments from broadcasters, cable and satellite video providers,</w:t>
      </w:r>
      <w:r w:rsidR="00D41CDA">
        <w:t xml:space="preserve"> and a county political party,</w:t>
      </w:r>
      <w:r w:rsidR="00247DDF">
        <w:t xml:space="preserve"> as well as from individual consumers</w:t>
      </w:r>
      <w:r w:rsidR="00A32D13">
        <w:t>.</w:t>
      </w:r>
      <w:r w:rsidR="002A16D5">
        <w:t xml:space="preserve">  Commenters generally support retaining the current DMA-based market determination system but disagree on the method for ensuring access to in-state programming for all counties.</w:t>
      </w:r>
      <w:r w:rsidR="002A16D5">
        <w:rPr>
          <w:rStyle w:val="FootnoteReference"/>
        </w:rPr>
        <w:footnoteReference w:id="13"/>
      </w:r>
    </w:p>
    <w:p w:rsidR="00C364C8" w:rsidRDefault="000F2CDB" w:rsidP="00127914">
      <w:pPr>
        <w:pStyle w:val="ParaNum"/>
      </w:pPr>
      <w:r>
        <w:t xml:space="preserve">In this Report, the Media Bureau analyzes the issues raised in Section 109 of </w:t>
      </w:r>
      <w:r w:rsidR="00EE5130">
        <w:t xml:space="preserve">the </w:t>
      </w:r>
      <w:r>
        <w:t xml:space="preserve">STELAR concerning </w:t>
      </w:r>
      <w:r w:rsidR="006777D1">
        <w:t xml:space="preserve">access to out-of-market stations </w:t>
      </w:r>
      <w:r>
        <w:t xml:space="preserve">and methods to foster increased localism </w:t>
      </w:r>
      <w:r w:rsidR="00B942DA">
        <w:t>in counties served by out-of-state designated market areas</w:t>
      </w:r>
      <w:r>
        <w:t>.</w:t>
      </w:r>
      <w:r w:rsidR="00C364C8">
        <w:t xml:space="preserve">  </w:t>
      </w:r>
      <w:r w:rsidR="003E56A7">
        <w:t xml:space="preserve">Specifically, the Report:  </w:t>
      </w:r>
      <w:r w:rsidR="00EE6F1B">
        <w:t>(</w:t>
      </w:r>
      <w:r w:rsidR="003E56A7">
        <w:t xml:space="preserve">1) examines the extent to which consumers in local markets have access to broadcast programming from television stations located outside of their local market; </w:t>
      </w:r>
      <w:r w:rsidR="00EE6F1B">
        <w:t>(</w:t>
      </w:r>
      <w:r w:rsidR="003E56A7">
        <w:t xml:space="preserve">2) </w:t>
      </w:r>
      <w:r w:rsidR="00A65A7A">
        <w:t>assess</w:t>
      </w:r>
      <w:r w:rsidR="0014643A">
        <w:t>es</w:t>
      </w:r>
      <w:r w:rsidR="00A65A7A">
        <w:t xml:space="preserve"> </w:t>
      </w:r>
      <w:r w:rsidR="003E56A7">
        <w:t xml:space="preserve">whether </w:t>
      </w:r>
      <w:r w:rsidR="00D97760">
        <w:t>there are any technologically or</w:t>
      </w:r>
      <w:r w:rsidR="003E56A7">
        <w:t xml:space="preserve"> economically feasible alternatives to the use of DMAs to define markets that would provide consumers w</w:t>
      </w:r>
      <w:r w:rsidR="00D97760">
        <w:t>ith greater programming options</w:t>
      </w:r>
      <w:r w:rsidR="00A65A7A" w:rsidRPr="00A65A7A">
        <w:t xml:space="preserve"> </w:t>
      </w:r>
      <w:r w:rsidR="00A65A7A">
        <w:t xml:space="preserve">and </w:t>
      </w:r>
      <w:r w:rsidR="00A65A7A" w:rsidRPr="000E21C9">
        <w:t>the potential impact of alternatives on localism and on broadcast televis</w:t>
      </w:r>
      <w:r w:rsidR="00A65A7A" w:rsidRPr="00F72845">
        <w:t>ion</w:t>
      </w:r>
      <w:r w:rsidR="00A65A7A" w:rsidRPr="000E21C9">
        <w:t xml:space="preserve"> locally, regionally, and nationally</w:t>
      </w:r>
      <w:r w:rsidR="00D97760">
        <w:t>;</w:t>
      </w:r>
      <w:r w:rsidR="003E56A7">
        <w:t xml:space="preserve"> and </w:t>
      </w:r>
      <w:r w:rsidR="00EE6F1B">
        <w:t>(</w:t>
      </w:r>
      <w:r w:rsidR="003E56A7">
        <w:t xml:space="preserve">3) </w:t>
      </w:r>
      <w:r w:rsidR="00A65A7A">
        <w:t xml:space="preserve">includes </w:t>
      </w:r>
      <w:r w:rsidR="003E56A7">
        <w:t>a discussion of recommendations that might foster increased localism</w:t>
      </w:r>
      <w:r w:rsidR="005D771F">
        <w:t xml:space="preserve"> in counties served by out-of-state DMAs</w:t>
      </w:r>
      <w:r w:rsidR="003E56A7">
        <w:t xml:space="preserve">.  In order to provide an appropriate foundation for the discussion of DMAs and access to local broadcast stations, we first </w:t>
      </w:r>
      <w:r w:rsidR="00127914" w:rsidRPr="00127914">
        <w:t xml:space="preserve">describe below the </w:t>
      </w:r>
      <w:r w:rsidR="00127914">
        <w:t xml:space="preserve">most current </w:t>
      </w:r>
      <w:r w:rsidR="00127914" w:rsidRPr="00127914">
        <w:t xml:space="preserve">statutory and regulatory provisions governing </w:t>
      </w:r>
      <w:r w:rsidR="0045459B">
        <w:t>broadcast television and</w:t>
      </w:r>
      <w:r w:rsidR="00127914" w:rsidRPr="00127914">
        <w:t xml:space="preserve"> carriage of broadcast </w:t>
      </w:r>
      <w:r w:rsidR="00D97760">
        <w:t xml:space="preserve">television </w:t>
      </w:r>
      <w:r w:rsidR="00127914" w:rsidRPr="00127914">
        <w:t>stations</w:t>
      </w:r>
      <w:r w:rsidR="003E56A7">
        <w:t xml:space="preserve">.  </w:t>
      </w:r>
      <w:r w:rsidR="00127914">
        <w:t xml:space="preserve">    </w:t>
      </w:r>
    </w:p>
    <w:p w:rsidR="003C2D34" w:rsidRDefault="003C2D34" w:rsidP="003C2D34">
      <w:pPr>
        <w:pStyle w:val="Heading1"/>
      </w:pPr>
      <w:bookmarkStart w:id="8" w:name="_Toc448130175"/>
      <w:bookmarkStart w:id="9" w:name="_Toc448153840"/>
      <w:bookmarkStart w:id="10" w:name="_Toc448230169"/>
      <w:bookmarkStart w:id="11" w:name="_Toc448311215"/>
      <w:bookmarkStart w:id="12" w:name="_Toc452456828"/>
      <w:r>
        <w:t>Background</w:t>
      </w:r>
      <w:bookmarkEnd w:id="8"/>
      <w:bookmarkEnd w:id="9"/>
      <w:bookmarkEnd w:id="10"/>
      <w:bookmarkEnd w:id="11"/>
      <w:bookmarkEnd w:id="12"/>
    </w:p>
    <w:p w:rsidR="0095795B" w:rsidRDefault="00EC754B" w:rsidP="00FF4578">
      <w:pPr>
        <w:pStyle w:val="ParaNum"/>
      </w:pPr>
      <w:r>
        <w:t xml:space="preserve">Under the Communications Act and the Commission’s rules, the Commission uses </w:t>
      </w:r>
      <w:r w:rsidR="00BB230E">
        <w:t>DMAs,</w:t>
      </w:r>
      <w:r w:rsidRPr="006714E8">
        <w:t xml:space="preserve"> as determined b</w:t>
      </w:r>
      <w:r>
        <w:t>y the Nielsen Company (Nielsen), to define local markets</w:t>
      </w:r>
      <w:r w:rsidR="00CF6277" w:rsidRPr="00CF6277">
        <w:t xml:space="preserve"> </w:t>
      </w:r>
      <w:r w:rsidR="00CF6277">
        <w:t>with respect to the carriage of broadcast signals by cable and satellite operators</w:t>
      </w:r>
      <w:r>
        <w:t>.</w:t>
      </w:r>
      <w:r w:rsidRPr="006714E8">
        <w:rPr>
          <w:rStyle w:val="FootnoteReference"/>
          <w:szCs w:val="22"/>
        </w:rPr>
        <w:footnoteReference w:id="14"/>
      </w:r>
      <w:r>
        <w:t xml:space="preserve">  Nielsen divides the United States into 210 DMAs.  </w:t>
      </w:r>
      <w:r w:rsidRPr="006714E8">
        <w:t>DMAs describe each television market in terms of a group of counties and are defined by Nielsen based on measured viewing patterns</w:t>
      </w:r>
      <w:r>
        <w:t>.</w:t>
      </w:r>
      <w:r>
        <w:rPr>
          <w:rStyle w:val="FootnoteReference"/>
        </w:rPr>
        <w:footnoteReference w:id="15"/>
      </w:r>
      <w:r>
        <w:t xml:space="preserve">  The counties included in a DMA generally are clustered geographically around the major metropolitan area or areas in that DMA, where the majority of the market’s television stations usually are located.  DMAs are </w:t>
      </w:r>
      <w:r w:rsidR="00B942DA">
        <w:t xml:space="preserve">in part </w:t>
      </w:r>
      <w:r w:rsidR="00CF6277">
        <w:t xml:space="preserve">primarily </w:t>
      </w:r>
      <w:r>
        <w:t>designed to facilitate commercial purposes</w:t>
      </w:r>
      <w:r w:rsidR="00FF4578">
        <w:t xml:space="preserve"> — such as </w:t>
      </w:r>
      <w:r w:rsidR="00FF4578" w:rsidRPr="00FF4578">
        <w:t xml:space="preserve">program acquisition, </w:t>
      </w:r>
      <w:r w:rsidR="00B942DA">
        <w:t xml:space="preserve">the sale of </w:t>
      </w:r>
      <w:r w:rsidR="00FF4578" w:rsidRPr="00FF4578">
        <w:t>advertising, and network compensation</w:t>
      </w:r>
      <w:r w:rsidR="00FF4578">
        <w:t xml:space="preserve"> —</w:t>
      </w:r>
      <w:r>
        <w:t xml:space="preserve"> and thus primarily represent market areas where broadcasters acquire programming and sell advertising.</w:t>
      </w:r>
      <w:r>
        <w:rPr>
          <w:rStyle w:val="FootnoteReference"/>
        </w:rPr>
        <w:footnoteReference w:id="16"/>
      </w:r>
      <w:r>
        <w:t xml:space="preserve">  Because DMAs are based on viewing patterns as measured by Nielsen irrespective of state boundaries, a large number of DMAs cross state lines and include counties from multiple states.</w:t>
      </w:r>
      <w:r>
        <w:rPr>
          <w:rStyle w:val="FootnoteReference"/>
        </w:rPr>
        <w:footnoteReference w:id="17"/>
      </w:r>
      <w:r w:rsidR="00AA7B71">
        <w:t xml:space="preserve">  </w:t>
      </w:r>
      <w:r w:rsidR="003676F5">
        <w:t xml:space="preserve">  </w:t>
      </w:r>
    </w:p>
    <w:p w:rsidR="003C2D34" w:rsidRDefault="008E3F28" w:rsidP="003C2D34">
      <w:pPr>
        <w:pStyle w:val="ParaNum"/>
      </w:pPr>
      <w:r>
        <w:rPr>
          <w:szCs w:val="22"/>
        </w:rPr>
        <w:t>Multichannel video programming distributors (</w:t>
      </w:r>
      <w:r w:rsidR="00EC754B">
        <w:rPr>
          <w:szCs w:val="22"/>
        </w:rPr>
        <w:t>MVPDs</w:t>
      </w:r>
      <w:r>
        <w:rPr>
          <w:szCs w:val="22"/>
        </w:rPr>
        <w:t>)</w:t>
      </w:r>
      <w:r w:rsidR="00EC754B">
        <w:rPr>
          <w:szCs w:val="22"/>
        </w:rPr>
        <w:t xml:space="preserve"> generally carry the television stations assigned by Nielsen to their local markets</w:t>
      </w:r>
      <w:r w:rsidR="003676F5">
        <w:t>.</w:t>
      </w:r>
      <w:r w:rsidR="003676F5">
        <w:rPr>
          <w:rStyle w:val="FootnoteReference"/>
        </w:rPr>
        <w:footnoteReference w:id="18"/>
      </w:r>
      <w:r w:rsidR="00E852DF">
        <w:t xml:space="preserve">  As a result, </w:t>
      </w:r>
      <w:r w:rsidR="009018AC">
        <w:t>some</w:t>
      </w:r>
      <w:r w:rsidR="00E852DF">
        <w:t xml:space="preserve"> residents of certain counties </w:t>
      </w:r>
      <w:r w:rsidR="009F5FC1">
        <w:t xml:space="preserve">located within </w:t>
      </w:r>
      <w:r w:rsidR="00BB230E">
        <w:t xml:space="preserve">multiple-state </w:t>
      </w:r>
      <w:r w:rsidR="00E852DF">
        <w:t>DMA</w:t>
      </w:r>
      <w:r w:rsidR="009F5FC1">
        <w:t xml:space="preserve">s </w:t>
      </w:r>
      <w:r w:rsidR="00220D8D">
        <w:t xml:space="preserve">may not always </w:t>
      </w:r>
      <w:r w:rsidR="00E852DF">
        <w:t xml:space="preserve">receive </w:t>
      </w:r>
      <w:r w:rsidR="00220D8D">
        <w:t xml:space="preserve">the </w:t>
      </w:r>
      <w:r w:rsidR="003249B1">
        <w:t xml:space="preserve">programming </w:t>
      </w:r>
      <w:r w:rsidR="00BB230E">
        <w:t xml:space="preserve">of </w:t>
      </w:r>
      <w:r w:rsidR="00E852DF">
        <w:t xml:space="preserve">broadcast television stations </w:t>
      </w:r>
      <w:r w:rsidR="003249B1">
        <w:t xml:space="preserve">located in the state </w:t>
      </w:r>
      <w:r w:rsidR="001E6A53">
        <w:t>in which they live</w:t>
      </w:r>
      <w:r w:rsidR="003249B1">
        <w:t xml:space="preserve">, either </w:t>
      </w:r>
      <w:r w:rsidR="00E852DF">
        <w:t xml:space="preserve">by means of </w:t>
      </w:r>
      <w:r w:rsidR="00F40F86">
        <w:t>over the air</w:t>
      </w:r>
      <w:r w:rsidR="00E852DF">
        <w:t xml:space="preserve"> reception or MVPD service.  </w:t>
      </w:r>
      <w:r w:rsidR="00220D8D">
        <w:t>To the extent that such county</w:t>
      </w:r>
      <w:r w:rsidR="00105D1D">
        <w:t xml:space="preserve"> </w:t>
      </w:r>
      <w:r w:rsidR="00BB230E">
        <w:t xml:space="preserve">residents </w:t>
      </w:r>
      <w:r w:rsidR="00105D1D">
        <w:t xml:space="preserve">cannot receive broadcast station signals that originate </w:t>
      </w:r>
      <w:r w:rsidR="00220D8D">
        <w:t xml:space="preserve">within </w:t>
      </w:r>
      <w:r w:rsidR="00BB230E">
        <w:t xml:space="preserve">their </w:t>
      </w:r>
      <w:r w:rsidR="00272D40">
        <w:t>state</w:t>
      </w:r>
      <w:r w:rsidR="00220D8D">
        <w:t xml:space="preserve">, some have referred to such counties </w:t>
      </w:r>
      <w:r w:rsidR="00105D1D">
        <w:t xml:space="preserve">informally as </w:t>
      </w:r>
      <w:r w:rsidR="00F65C14">
        <w:t>“</w:t>
      </w:r>
      <w:r w:rsidR="00AF38A0">
        <w:t>orphan</w:t>
      </w:r>
      <w:r w:rsidR="00105D1D">
        <w:t xml:space="preserve"> counties</w:t>
      </w:r>
      <w:r w:rsidR="00220D8D">
        <w:t>.</w:t>
      </w:r>
      <w:r w:rsidR="00F65C14">
        <w:t>”</w:t>
      </w:r>
    </w:p>
    <w:p w:rsidR="00B74C1C" w:rsidRDefault="005F55DE" w:rsidP="0007066C">
      <w:pPr>
        <w:pStyle w:val="ParaNum"/>
        <w:widowControl/>
      </w:pPr>
      <w:r>
        <w:t>In part because of the concern that consumers</w:t>
      </w:r>
      <w:r w:rsidR="00B74C1C">
        <w:t xml:space="preserve"> residing in </w:t>
      </w:r>
      <w:r>
        <w:t xml:space="preserve">such </w:t>
      </w:r>
      <w:r w:rsidR="00B74C1C">
        <w:t xml:space="preserve">counties </w:t>
      </w:r>
      <w:r w:rsidR="00CB4EC2">
        <w:t>may</w:t>
      </w:r>
      <w:r w:rsidR="00B74C1C">
        <w:t xml:space="preserve"> not have access to in-state broadcast television programming</w:t>
      </w:r>
      <w:r>
        <w:t xml:space="preserve">, </w:t>
      </w:r>
      <w:r w:rsidR="00B74C1C">
        <w:t xml:space="preserve">Congress directed the Commission </w:t>
      </w:r>
      <w:r w:rsidR="00771745">
        <w:t xml:space="preserve">in 2010, as part of the Satellite Television Extension and Localism Act (STELA), </w:t>
      </w:r>
      <w:r w:rsidR="00B74C1C">
        <w:t xml:space="preserve">to </w:t>
      </w:r>
      <w:r>
        <w:t xml:space="preserve">analyze </w:t>
      </w:r>
      <w:r w:rsidR="00B74C1C">
        <w:t>how many consumers have access to in-state local broadcast television stations.</w:t>
      </w:r>
      <w:r w:rsidR="00B74C1C">
        <w:rPr>
          <w:rStyle w:val="FootnoteReference"/>
        </w:rPr>
        <w:footnoteReference w:id="19"/>
      </w:r>
      <w:r w:rsidR="00B74C1C">
        <w:t xml:space="preserve">  </w:t>
      </w:r>
      <w:r>
        <w:t xml:space="preserve">At that time, </w:t>
      </w:r>
      <w:r w:rsidR="00B74C1C">
        <w:t>Congress also directed the Commission to determine if alternatives to the use of DMAs to define local markets existed that would provide more consumers with in-state broadcast programming.</w:t>
      </w:r>
      <w:r w:rsidR="00B74C1C">
        <w:rPr>
          <w:rStyle w:val="FootnoteReference"/>
        </w:rPr>
        <w:footnoteReference w:id="20"/>
      </w:r>
      <w:r w:rsidR="007C0FC6">
        <w:t xml:space="preserve">  </w:t>
      </w:r>
      <w:r>
        <w:t xml:space="preserve">In response to Congress’s direction in STELA, </w:t>
      </w:r>
      <w:r w:rsidR="007C0FC6">
        <w:t>on August 26, 2011</w:t>
      </w:r>
      <w:r>
        <w:t xml:space="preserve">, the </w:t>
      </w:r>
      <w:r w:rsidR="00E8499E">
        <w:t>Bureau</w:t>
      </w:r>
      <w:r>
        <w:t xml:space="preserve"> issued the </w:t>
      </w:r>
      <w:r w:rsidRPr="00771745">
        <w:rPr>
          <w:i/>
        </w:rPr>
        <w:t>In-State Programming Report</w:t>
      </w:r>
      <w:r>
        <w:t>,</w:t>
      </w:r>
      <w:r w:rsidR="007C0FC6">
        <w:t xml:space="preserve"> which found that the overwhelming majority of consumers have access to in-state programming and that significant disadvantages existed for alternatives to the DMA market determination system.</w:t>
      </w:r>
      <w:r w:rsidR="007C0FC6">
        <w:rPr>
          <w:rStyle w:val="FootnoteReference"/>
        </w:rPr>
        <w:footnoteReference w:id="21"/>
      </w:r>
      <w:r>
        <w:t xml:space="preserve"> </w:t>
      </w:r>
    </w:p>
    <w:p w:rsidR="005F55DE" w:rsidRDefault="00CD60E2" w:rsidP="00B74C1C">
      <w:pPr>
        <w:pStyle w:val="ParaNum"/>
      </w:pPr>
      <w:r>
        <w:t xml:space="preserve">Now, </w:t>
      </w:r>
      <w:r w:rsidR="00771745">
        <w:t xml:space="preserve">through Section 109 of </w:t>
      </w:r>
      <w:r>
        <w:t>the STELAR, Congress has directed the Commission to analyze the issue of access to broadcast television stations further</w:t>
      </w:r>
      <w:r w:rsidR="00EC7153">
        <w:t>, specifically through the lens of whether consumers have access to out-of-market stations, regardless of whether those stations are located in the same state or a different state as the viewer.</w:t>
      </w:r>
      <w:r w:rsidR="0063313B">
        <w:rPr>
          <w:rStyle w:val="FootnoteReference"/>
        </w:rPr>
        <w:footnoteReference w:id="22"/>
      </w:r>
      <w:r>
        <w:t xml:space="preserve">  </w:t>
      </w:r>
      <w:r w:rsidR="0002787D">
        <w:t xml:space="preserve">In addition, </w:t>
      </w:r>
      <w:r w:rsidR="008E0C10">
        <w:t>Section 109</w:t>
      </w:r>
      <w:r w:rsidR="00BB230E">
        <w:t xml:space="preserve"> </w:t>
      </w:r>
      <w:r w:rsidR="0002787D">
        <w:t xml:space="preserve">directs the Commission to </w:t>
      </w:r>
      <w:r>
        <w:t xml:space="preserve">examine </w:t>
      </w:r>
      <w:r w:rsidR="00027667">
        <w:t xml:space="preserve">further </w:t>
      </w:r>
      <w:r>
        <w:t>whether there are any technologically an</w:t>
      </w:r>
      <w:r w:rsidR="00027667">
        <w:t>d</w:t>
      </w:r>
      <w:r>
        <w:t xml:space="preserve"> economically feasible alternatives to the </w:t>
      </w:r>
      <w:r w:rsidR="00027667">
        <w:t xml:space="preserve">Nielsen </w:t>
      </w:r>
      <w:r>
        <w:t xml:space="preserve">DMA market system, </w:t>
      </w:r>
      <w:r w:rsidR="0002787D">
        <w:t xml:space="preserve">and to also </w:t>
      </w:r>
      <w:r>
        <w:t>discuss any recommendations that might foster increased localism</w:t>
      </w:r>
      <w:r w:rsidR="00B12EB1">
        <w:t xml:space="preserve"> in counties </w:t>
      </w:r>
      <w:r w:rsidR="00C57F67">
        <w:t>that are included in</w:t>
      </w:r>
      <w:r w:rsidR="00B12EB1">
        <w:t xml:space="preserve"> out-of-s</w:t>
      </w:r>
      <w:r w:rsidR="00027667">
        <w:t>tate DMAs</w:t>
      </w:r>
      <w:r>
        <w:t>.</w:t>
      </w:r>
    </w:p>
    <w:p w:rsidR="00FD1CB6" w:rsidRDefault="001711CA" w:rsidP="00E92894">
      <w:pPr>
        <w:pStyle w:val="ParaNum"/>
      </w:pPr>
      <w:r>
        <w:t xml:space="preserve">Our assessment of the issues regarding the ability of </w:t>
      </w:r>
      <w:r w:rsidR="00CB4EC2">
        <w:t xml:space="preserve">consumers to receive out-of-market </w:t>
      </w:r>
      <w:r>
        <w:t>broadcast stations begins with an updated presentation of the regulations and statutes that govern broadcast television and the carriage of broadcast television stations by MVPDs.  Th</w:t>
      </w:r>
      <w:r w:rsidRPr="00E92894">
        <w:t>e</w:t>
      </w:r>
      <w:r w:rsidR="00CB4EC2">
        <w:t>se</w:t>
      </w:r>
      <w:r w:rsidRPr="00E92894">
        <w:t xml:space="preserve"> statutory </w:t>
      </w:r>
      <w:r>
        <w:t>and</w:t>
      </w:r>
      <w:r w:rsidRPr="00E92894">
        <w:t xml:space="preserve"> regulatory provisions </w:t>
      </w:r>
      <w:r>
        <w:t>help to establish</w:t>
      </w:r>
      <w:r w:rsidRPr="00E92894">
        <w:t xml:space="preserve"> why certain stations </w:t>
      </w:r>
      <w:r>
        <w:t xml:space="preserve">are </w:t>
      </w:r>
      <w:r w:rsidRPr="00E92894">
        <w:t xml:space="preserve">available </w:t>
      </w:r>
      <w:r w:rsidR="008D0BB1">
        <w:t>only</w:t>
      </w:r>
      <w:r w:rsidR="008D0BB1" w:rsidRPr="00E92894">
        <w:t xml:space="preserve"> </w:t>
      </w:r>
      <w:r w:rsidRPr="00E92894">
        <w:t xml:space="preserve">in certain locations. </w:t>
      </w:r>
      <w:r>
        <w:t xml:space="preserve"> Also, some c</w:t>
      </w:r>
      <w:r w:rsidRPr="00E92894">
        <w:t>omment</w:t>
      </w:r>
      <w:r>
        <w:t>er</w:t>
      </w:r>
      <w:r w:rsidRPr="00E92894">
        <w:t xml:space="preserve">s in this </w:t>
      </w:r>
      <w:r>
        <w:t xml:space="preserve">proceeding </w:t>
      </w:r>
      <w:r w:rsidRPr="00E92894">
        <w:t>propose potential modification</w:t>
      </w:r>
      <w:r w:rsidR="00695AAF">
        <w:t>s</w:t>
      </w:r>
      <w:r w:rsidRPr="00E92894">
        <w:t xml:space="preserve"> to various aspects of these provisions. </w:t>
      </w:r>
      <w:r>
        <w:t xml:space="preserve"> W</w:t>
      </w:r>
      <w:r w:rsidRPr="00E92894">
        <w:t xml:space="preserve">e </w:t>
      </w:r>
      <w:r>
        <w:t xml:space="preserve">thus </w:t>
      </w:r>
      <w:r w:rsidRPr="00E92894">
        <w:t>set forth these provisions to facilitate a co</w:t>
      </w:r>
      <w:r w:rsidR="00695AAF">
        <w:t>mprehensive examination of the</w:t>
      </w:r>
      <w:r w:rsidRPr="00E92894">
        <w:t xml:space="preserve"> matters</w:t>
      </w:r>
      <w:r w:rsidR="00695AAF">
        <w:t xml:space="preserve"> at hand</w:t>
      </w:r>
      <w:r w:rsidRPr="00E92894">
        <w:t xml:space="preserve">. </w:t>
      </w:r>
      <w:r>
        <w:t xml:space="preserve"> </w:t>
      </w:r>
      <w:r w:rsidRPr="00E92894">
        <w:t xml:space="preserve">Specifically, we briefly describe below the copyright, retransmission consent, and mandatory carriage statutory provisions, as well as Commission rules regarding cable carriage of broadcast television station signals and how </w:t>
      </w:r>
      <w:r w:rsidR="008D0BB1">
        <w:t>cable carriage</w:t>
      </w:r>
      <w:r w:rsidRPr="00E92894">
        <w:t xml:space="preserve"> differs in several respects from </w:t>
      </w:r>
      <w:r w:rsidR="006276F7">
        <w:t>Direct Broadcast Satellite (</w:t>
      </w:r>
      <w:r w:rsidRPr="00E92894">
        <w:t>DBS</w:t>
      </w:r>
      <w:r w:rsidR="006276F7">
        <w:t>)</w:t>
      </w:r>
      <w:r w:rsidRPr="00E92894">
        <w:t xml:space="preserve"> carriage</w:t>
      </w:r>
      <w:r>
        <w:t xml:space="preserve">.  We note the changes to the Commission’s rules that have been implemented pursuant to the STELAR, including the recent </w:t>
      </w:r>
      <w:r w:rsidR="008D0BB1">
        <w:t xml:space="preserve">extension </w:t>
      </w:r>
      <w:r>
        <w:t xml:space="preserve">of </w:t>
      </w:r>
      <w:r w:rsidR="008D0BB1">
        <w:t xml:space="preserve">the Commission’s </w:t>
      </w:r>
      <w:r>
        <w:t xml:space="preserve">market modification </w:t>
      </w:r>
      <w:r w:rsidR="009018AC">
        <w:t xml:space="preserve">rules </w:t>
      </w:r>
      <w:r w:rsidR="00C57F67">
        <w:t>to allow the Commission to modify markets for purposes of satellite carriage</w:t>
      </w:r>
      <w:r>
        <w:t xml:space="preserve">.  We also describe the Commission’s </w:t>
      </w:r>
      <w:r w:rsidR="005E2CB7">
        <w:t xml:space="preserve">pending proceeding regarding </w:t>
      </w:r>
      <w:r>
        <w:t>the rules governing program exclusivity.</w:t>
      </w:r>
    </w:p>
    <w:p w:rsidR="00E916D3" w:rsidRDefault="001711CA" w:rsidP="00E916D3">
      <w:pPr>
        <w:pStyle w:val="ParaNum"/>
      </w:pPr>
      <w:r>
        <w:rPr>
          <w:i/>
        </w:rPr>
        <w:t xml:space="preserve">Localism in </w:t>
      </w:r>
      <w:r w:rsidRPr="002C087A">
        <w:rPr>
          <w:i/>
        </w:rPr>
        <w:t>Broadca</w:t>
      </w:r>
      <w:r>
        <w:rPr>
          <w:i/>
        </w:rPr>
        <w:t>st Television</w:t>
      </w:r>
      <w:r w:rsidRPr="002C087A">
        <w:rPr>
          <w:i/>
        </w:rPr>
        <w:t>.</w:t>
      </w:r>
      <w:r>
        <w:t xml:space="preserve">  Localism has </w:t>
      </w:r>
      <w:r w:rsidR="008D0BB1">
        <w:t xml:space="preserve">been </w:t>
      </w:r>
      <w:r>
        <w:t>a cornerstone of the Commission’s broadcast regulation for decades.</w:t>
      </w:r>
      <w:r>
        <w:rPr>
          <w:rStyle w:val="FootnoteReference"/>
        </w:rPr>
        <w:footnoteReference w:id="23"/>
      </w:r>
      <w:r>
        <w:t xml:space="preserve">  </w:t>
      </w:r>
      <w:r w:rsidRPr="00EC739E">
        <w:t xml:space="preserve">The concept derives from Title III of the Communications Act, </w:t>
      </w:r>
      <w:r>
        <w:t>which</w:t>
      </w:r>
      <w:r w:rsidRPr="00EC739E">
        <w:t xml:space="preserve"> generally instructs the Commission to regulate broadcasting as the public interest, con</w:t>
      </w:r>
      <w:r>
        <w:t xml:space="preserve">venience, and necessity dictate. </w:t>
      </w:r>
      <w:r w:rsidRPr="00EC739E">
        <w:t xml:space="preserve"> </w:t>
      </w:r>
      <w:r>
        <w:t>S</w:t>
      </w:r>
      <w:r w:rsidRPr="00EC739E">
        <w:t xml:space="preserve">ection 307(b) </w:t>
      </w:r>
      <w:r>
        <w:t xml:space="preserve">of the Communications Act </w:t>
      </w:r>
      <w:r w:rsidRPr="00EC739E">
        <w:t>explicitly requires the Commission to “make such distribution of licenses, frequencies, hours of operation, and of power among the several States and communities as to provide a fair, efficient, and equitable distribution of radio service to each of the same.”</w:t>
      </w:r>
      <w:r>
        <w:rPr>
          <w:rStyle w:val="FootnoteReference"/>
        </w:rPr>
        <w:footnoteReference w:id="24"/>
      </w:r>
      <w:r>
        <w:t xml:space="preserve">  </w:t>
      </w:r>
      <w:r w:rsidRPr="00C368D8">
        <w:t>In carrying out the mandate of Section 307(b), the Commission has long recognized that “every community of appreciable size has a presumptive need for its own transmission service.”</w:t>
      </w:r>
      <w:r>
        <w:rPr>
          <w:rStyle w:val="FootnoteReference"/>
        </w:rPr>
        <w:footnoteReference w:id="25"/>
      </w:r>
      <w:r>
        <w:t xml:space="preserve">  </w:t>
      </w:r>
      <w:r w:rsidRPr="00C368D8">
        <w:t>The Supreme Court has stated that “[f]airness to communities [in distributing radio service] is furthered by a recognition of local needs for a community radio mouthpiece.”</w:t>
      </w:r>
      <w:r>
        <w:rPr>
          <w:rStyle w:val="FootnoteReference"/>
        </w:rPr>
        <w:footnoteReference w:id="26"/>
      </w:r>
      <w:r>
        <w:t xml:space="preserve">  Broadcasters thus function as temporary trustees of the public’s airwaves and must use the medium to serve the public interest.</w:t>
      </w:r>
      <w:r>
        <w:rPr>
          <w:rStyle w:val="FootnoteReference"/>
        </w:rPr>
        <w:footnoteReference w:id="27"/>
      </w:r>
      <w:r>
        <w:t xml:space="preserve">  The Commission has consistently interpreted this responsibility to mean that licensees must air programming that is responsive to the </w:t>
      </w:r>
      <w:r w:rsidR="00DE095F">
        <w:t xml:space="preserve">needs and </w:t>
      </w:r>
      <w:r>
        <w:t>interests of their communities of license.</w:t>
      </w:r>
      <w:r>
        <w:rPr>
          <w:rStyle w:val="FootnoteReference"/>
        </w:rPr>
        <w:footnoteReference w:id="28"/>
      </w:r>
      <w:r w:rsidR="002C087A">
        <w:t xml:space="preserve">  </w:t>
      </w:r>
    </w:p>
    <w:p w:rsidR="002C087A" w:rsidRDefault="00211E93" w:rsidP="00FD7DE4">
      <w:pPr>
        <w:pStyle w:val="ParaNum"/>
      </w:pPr>
      <w:r w:rsidRPr="00E916D3">
        <w:t xml:space="preserve">Once awarded a license, a broadcast </w:t>
      </w:r>
      <w:r>
        <w:t xml:space="preserve">television </w:t>
      </w:r>
      <w:r w:rsidRPr="00E916D3">
        <w:t>station must place a specified signal contour over its community of license to ensure that local re</w:t>
      </w:r>
      <w:r>
        <w:t>sidents receive service.</w:t>
      </w:r>
      <w:r>
        <w:rPr>
          <w:rStyle w:val="FootnoteReference"/>
        </w:rPr>
        <w:footnoteReference w:id="29"/>
      </w:r>
      <w:r w:rsidRPr="00E916D3">
        <w:t xml:space="preserve"> </w:t>
      </w:r>
      <w:r>
        <w:t xml:space="preserve"> </w:t>
      </w:r>
      <w:r w:rsidRPr="00E916D3">
        <w:t xml:space="preserve">A </w:t>
      </w:r>
      <w:r w:rsidR="00DE095F">
        <w:t xml:space="preserve">full power television </w:t>
      </w:r>
      <w:r w:rsidRPr="00E916D3">
        <w:t>station must maintain its main studio in or near its community of license to facilitate interaction between the station and the members of the local com</w:t>
      </w:r>
      <w:r>
        <w:t>munity served by the station.</w:t>
      </w:r>
      <w:r>
        <w:rPr>
          <w:rStyle w:val="FootnoteReference"/>
        </w:rPr>
        <w:footnoteReference w:id="30"/>
      </w:r>
      <w:r>
        <w:t xml:space="preserve"> </w:t>
      </w:r>
      <w:r w:rsidRPr="00E916D3">
        <w:t xml:space="preserve"> For similar reasons, a station “must equip the main studio with production and transmission facilities that meet the applicable standards, maintain continuous program transmission capability, and maintain a meaningful m</w:t>
      </w:r>
      <w:r>
        <w:t>anagement and staff presence.”</w:t>
      </w:r>
      <w:r>
        <w:rPr>
          <w:rStyle w:val="FootnoteReference"/>
        </w:rPr>
        <w:footnoteReference w:id="31"/>
      </w:r>
      <w:r w:rsidRPr="00E916D3">
        <w:t xml:space="preserve"> </w:t>
      </w:r>
      <w:r>
        <w:t xml:space="preserve"> </w:t>
      </w:r>
      <w:r w:rsidRPr="00062571">
        <w:rPr>
          <w:szCs w:val="22"/>
        </w:rPr>
        <w:t>A s</w:t>
      </w:r>
      <w:r w:rsidRPr="00485172">
        <w:rPr>
          <w:szCs w:val="22"/>
        </w:rPr>
        <w:t xml:space="preserve">tation must also post </w:t>
      </w:r>
      <w:r w:rsidRPr="00485172">
        <w:rPr>
          <w:color w:val="000000"/>
          <w:szCs w:val="22"/>
        </w:rPr>
        <w:t>to a central, FCC-hosted online database certain public file documents</w:t>
      </w:r>
      <w:r w:rsidRPr="00202941">
        <w:t>,</w:t>
      </w:r>
      <w:r>
        <w:rPr>
          <w:rStyle w:val="FootnoteReference"/>
        </w:rPr>
        <w:footnoteReference w:id="32"/>
      </w:r>
      <w:r w:rsidRPr="00202941">
        <w:t xml:space="preserve"> </w:t>
      </w:r>
      <w:r>
        <w:t xml:space="preserve">including </w:t>
      </w:r>
      <w:r w:rsidRPr="00202941">
        <w:t>“a list of programs that have provided the station’s most significant treatment of community issues during the preceding three month period.”</w:t>
      </w:r>
      <w:r w:rsidRPr="00202941">
        <w:rPr>
          <w:rStyle w:val="FootnoteReference"/>
        </w:rPr>
        <w:footnoteReference w:id="33"/>
      </w:r>
      <w:r>
        <w:t xml:space="preserve"> </w:t>
      </w:r>
      <w:r w:rsidRPr="00E916D3">
        <w:t xml:space="preserve"> </w:t>
      </w:r>
      <w:r>
        <w:t xml:space="preserve">Lastly, as a general matter, </w:t>
      </w:r>
      <w:r w:rsidRPr="00E916D3">
        <w:t>a broadcast station seek</w:t>
      </w:r>
      <w:r>
        <w:t>ing</w:t>
      </w:r>
      <w:r w:rsidRPr="00E916D3">
        <w:t xml:space="preserve"> </w:t>
      </w:r>
      <w:r w:rsidR="00540622">
        <w:t xml:space="preserve">Commission authority </w:t>
      </w:r>
      <w:r w:rsidRPr="00E916D3">
        <w:t>to renew</w:t>
      </w:r>
      <w:r w:rsidR="00B960E8">
        <w:t xml:space="preserve">, </w:t>
      </w:r>
      <w:r w:rsidR="00C57F67">
        <w:t>assign</w:t>
      </w:r>
      <w:r w:rsidR="00B960E8">
        <w:t>,</w:t>
      </w:r>
      <w:r w:rsidR="00C57F67">
        <w:t xml:space="preserve"> or</w:t>
      </w:r>
      <w:r w:rsidRPr="00E916D3">
        <w:t xml:space="preserve"> transfer its license must give public no</w:t>
      </w:r>
      <w:r>
        <w:t xml:space="preserve">tice to its community to </w:t>
      </w:r>
      <w:r w:rsidRPr="00E916D3">
        <w:t>ensure that members of the community have an opportunity to file a petition to den</w:t>
      </w:r>
      <w:r>
        <w:t>y if the members object to the station’</w:t>
      </w:r>
      <w:r w:rsidRPr="00E916D3">
        <w:t xml:space="preserve">s application for renewal or </w:t>
      </w:r>
      <w:r w:rsidR="00C57F67">
        <w:t xml:space="preserve">assignment or </w:t>
      </w:r>
      <w:r w:rsidRPr="00E916D3">
        <w:t>transfer.</w:t>
      </w:r>
      <w:r>
        <w:rPr>
          <w:rStyle w:val="FootnoteReference"/>
        </w:rPr>
        <w:footnoteReference w:id="34"/>
      </w:r>
      <w:r>
        <w:t xml:space="preserve">  Taken together,</w:t>
      </w:r>
      <w:r w:rsidRPr="00FD7DE4">
        <w:t xml:space="preserve"> these rules, policies, and pr</w:t>
      </w:r>
      <w:r>
        <w:t xml:space="preserve">ocedures reflect the Commission’s </w:t>
      </w:r>
      <w:r w:rsidRPr="00FD7DE4">
        <w:t>goal of establishing and maintaining a system of local broadcasting that is responsive to the unique interests and needs of individual communities.</w:t>
      </w:r>
      <w:r>
        <w:rPr>
          <w:rStyle w:val="FootnoteReference"/>
        </w:rPr>
        <w:footnoteReference w:id="35"/>
      </w:r>
    </w:p>
    <w:p w:rsidR="00E92894" w:rsidRDefault="00211E93" w:rsidP="00E92894">
      <w:pPr>
        <w:pStyle w:val="ParaNum"/>
      </w:pPr>
      <w:r w:rsidRPr="00E92894">
        <w:rPr>
          <w:i/>
        </w:rPr>
        <w:t>Cable Carriage of Local Broadcast Stations.</w:t>
      </w:r>
      <w:r w:rsidRPr="00E92894">
        <w:t xml:space="preserve"> </w:t>
      </w:r>
      <w:r>
        <w:t xml:space="preserve"> </w:t>
      </w:r>
      <w:r w:rsidR="005E2CB7">
        <w:t xml:space="preserve">Prior to 1992, </w:t>
      </w:r>
      <w:r>
        <w:t xml:space="preserve">Congress did not require </w:t>
      </w:r>
      <w:r w:rsidRPr="00E92894">
        <w:t xml:space="preserve">cable operators to seek the permission of a broadcaster before carrying its signal </w:t>
      </w:r>
      <w:r>
        <w:t>or to</w:t>
      </w:r>
      <w:r w:rsidRPr="00E92894">
        <w:t xml:space="preserve"> </w:t>
      </w:r>
      <w:r>
        <w:t>compensate</w:t>
      </w:r>
      <w:r w:rsidRPr="00E92894">
        <w:t xml:space="preserve"> the broadcaste</w:t>
      </w:r>
      <w:r>
        <w:t>r for the value of its signal.</w:t>
      </w:r>
      <w:r>
        <w:rPr>
          <w:rStyle w:val="FootnoteReference"/>
        </w:rPr>
        <w:footnoteReference w:id="36"/>
      </w:r>
      <w:r w:rsidRPr="00E92894">
        <w:t xml:space="preserve"> </w:t>
      </w:r>
      <w:r>
        <w:t xml:space="preserve"> </w:t>
      </w:r>
      <w:r w:rsidRPr="00E92894">
        <w:t>Congress established</w:t>
      </w:r>
      <w:r w:rsidRPr="007D1D3B">
        <w:t xml:space="preserve"> </w:t>
      </w:r>
      <w:r>
        <w:t xml:space="preserve">in </w:t>
      </w:r>
      <w:r w:rsidRPr="00E92894">
        <w:t>the 1992 Cable Act a regime for carriage of broadcast televis</w:t>
      </w:r>
      <w:r>
        <w:t>ion stations on cable systems.</w:t>
      </w:r>
      <w:r>
        <w:rPr>
          <w:rStyle w:val="FootnoteReference"/>
        </w:rPr>
        <w:footnoteReference w:id="37"/>
      </w:r>
      <w:r w:rsidRPr="00E92894">
        <w:t xml:space="preserve"> </w:t>
      </w:r>
      <w:r>
        <w:t xml:space="preserve"> The 1992 Cable Act </w:t>
      </w:r>
      <w:r w:rsidRPr="00E92894">
        <w:t xml:space="preserve">permitted </w:t>
      </w:r>
      <w:r>
        <w:t>broadcasters</w:t>
      </w:r>
      <w:r w:rsidRPr="00E92894">
        <w:t xml:space="preserve"> to seek compensation from cable opera</w:t>
      </w:r>
      <w:r>
        <w:t>tors and other MVPDs for carriage of their signals through a</w:t>
      </w:r>
      <w:r w:rsidR="002674BB">
        <w:t xml:space="preserve"> system</w:t>
      </w:r>
      <w:r>
        <w:t xml:space="preserve"> commonly</w:t>
      </w:r>
      <w:r w:rsidRPr="00E92894">
        <w:t xml:space="preserve"> referred</w:t>
      </w:r>
      <w:r>
        <w:t xml:space="preserve"> to as retransmission consent</w:t>
      </w:r>
      <w:r w:rsidR="00097269">
        <w:t>,</w:t>
      </w:r>
      <w:r>
        <w:t xml:space="preserve"> as a way of giving </w:t>
      </w:r>
      <w:r w:rsidRPr="00E92894">
        <w:t>broadcasters control</w:t>
      </w:r>
      <w:r>
        <w:t xml:space="preserve"> over the use of their</w:t>
      </w:r>
      <w:r w:rsidR="00C57F67">
        <w:t xml:space="preserve"> station</w:t>
      </w:r>
      <w:r>
        <w:t xml:space="preserve"> signals.</w:t>
      </w:r>
      <w:r>
        <w:rPr>
          <w:rStyle w:val="FootnoteReference"/>
        </w:rPr>
        <w:footnoteReference w:id="38"/>
      </w:r>
      <w:r>
        <w:t xml:space="preserve"> </w:t>
      </w:r>
      <w:r w:rsidRPr="00E92894">
        <w:t xml:space="preserve"> The 1992 Cable Act also established mandatory carriage rights for local broadcast television stations</w:t>
      </w:r>
      <w:r w:rsidR="002674BB">
        <w:t xml:space="preserve"> </w:t>
      </w:r>
      <w:r>
        <w:t>commonly</w:t>
      </w:r>
      <w:r w:rsidRPr="00E92894">
        <w:t xml:space="preserve"> referred to as must-carry requirements. </w:t>
      </w:r>
      <w:r>
        <w:t xml:space="preserve"> </w:t>
      </w:r>
      <w:r w:rsidRPr="00E92894">
        <w:t>Congress recognized the importance of local television broadcast stations as providers of local news a</w:t>
      </w:r>
      <w:r>
        <w:t>nd public affairs programming i</w:t>
      </w:r>
      <w:r w:rsidRPr="00E92894">
        <w:t>n adopting the mandatory carriage provisions</w:t>
      </w:r>
      <w:r>
        <w:t>.</w:t>
      </w:r>
      <w:r>
        <w:rPr>
          <w:rStyle w:val="FootnoteReference"/>
        </w:rPr>
        <w:footnoteReference w:id="39"/>
      </w:r>
      <w:r>
        <w:t xml:space="preserve"> </w:t>
      </w:r>
      <w:r w:rsidRPr="00E92894">
        <w:t xml:space="preserve"> Congress observed that broadcast television stations rely on advertising dollars to provide free </w:t>
      </w:r>
      <w:r w:rsidR="00F40F86">
        <w:t>over the air</w:t>
      </w:r>
      <w:r w:rsidRPr="00E92894">
        <w:t xml:space="preserve"> local service and that competition from cable television in attracting advertisers posed a threat to the economic viability of television broadcast stations. </w:t>
      </w:r>
      <w:r>
        <w:t xml:space="preserve"> </w:t>
      </w:r>
      <w:r w:rsidR="00C57F67">
        <w:t>By m</w:t>
      </w:r>
      <w:r w:rsidR="00C57F67" w:rsidRPr="00E92894">
        <w:t>andat</w:t>
      </w:r>
      <w:r w:rsidR="00C57F67">
        <w:t>ing</w:t>
      </w:r>
      <w:r w:rsidR="00C57F67" w:rsidRPr="00E92894">
        <w:t xml:space="preserve"> </w:t>
      </w:r>
      <w:r w:rsidRPr="00E92894">
        <w:t>cable carriage</w:t>
      </w:r>
      <w:r>
        <w:t xml:space="preserve"> of broadcast stations</w:t>
      </w:r>
      <w:r w:rsidR="00C57F67">
        <w:t>,</w:t>
      </w:r>
      <w:r w:rsidRPr="00E92894">
        <w:t xml:space="preserve"> </w:t>
      </w:r>
      <w:r w:rsidR="00C57F67">
        <w:t>Congress sought to</w:t>
      </w:r>
      <w:r w:rsidRPr="00E92894">
        <w:t xml:space="preserve"> ensure the continued economic viability of free local broadcast television</w:t>
      </w:r>
      <w:r>
        <w:t>.</w:t>
      </w:r>
      <w:r>
        <w:rPr>
          <w:rStyle w:val="FootnoteReference"/>
        </w:rPr>
        <w:footnoteReference w:id="40"/>
      </w:r>
    </w:p>
    <w:p w:rsidR="00076946" w:rsidRDefault="00211E93" w:rsidP="009B31BA">
      <w:pPr>
        <w:pStyle w:val="ParaNum"/>
        <w:widowControl/>
      </w:pPr>
      <w:r w:rsidRPr="00DF5292">
        <w:t>The process whereby cable operators carry local broadcast station</w:t>
      </w:r>
      <w:r>
        <w:t xml:space="preserve">s in local television markets is governed by the </w:t>
      </w:r>
      <w:r w:rsidRPr="00DF5292">
        <w:t>Communicat</w:t>
      </w:r>
      <w:r>
        <w:t>ions Act and the Commission’s rules.</w:t>
      </w:r>
      <w:r>
        <w:rPr>
          <w:rStyle w:val="FootnoteReference"/>
        </w:rPr>
        <w:footnoteReference w:id="41"/>
      </w:r>
      <w:r w:rsidRPr="00DF5292">
        <w:t xml:space="preserve"> </w:t>
      </w:r>
      <w:r>
        <w:t xml:space="preserve"> C</w:t>
      </w:r>
      <w:r w:rsidRPr="00DF5292">
        <w:t>ommercial television stations may elect cable carriage under either must-carry or retran</w:t>
      </w:r>
      <w:r>
        <w:t>smission consent requirements w</w:t>
      </w:r>
      <w:r w:rsidRPr="00DF5292">
        <w:t>ithin their local televi</w:t>
      </w:r>
      <w:r>
        <w:t>sion markets, based on Nielsen DMAs.</w:t>
      </w:r>
      <w:r>
        <w:rPr>
          <w:rStyle w:val="FootnoteReference"/>
        </w:rPr>
        <w:footnoteReference w:id="42"/>
      </w:r>
      <w:r w:rsidRPr="00DF5292">
        <w:t xml:space="preserve"> </w:t>
      </w:r>
      <w:r>
        <w:t xml:space="preserve"> U</w:t>
      </w:r>
      <w:r w:rsidRPr="00DF5292">
        <w:t xml:space="preserve">nder the must-carry regime, a local commercial broadcast television station </w:t>
      </w:r>
      <w:r>
        <w:t xml:space="preserve">generally can require a cable system to carry its signal </w:t>
      </w:r>
      <w:r w:rsidRPr="00DF5292">
        <w:t>if it serves the same market as the cable system, delivers a good quality signal to the cable system</w:t>
      </w:r>
      <w:r>
        <w:t>’</w:t>
      </w:r>
      <w:r w:rsidRPr="00DF5292">
        <w:t>s headend, and indemnifies the cable system a</w:t>
      </w:r>
      <w:r>
        <w:t>gainst copyright infringement, among other statutory requirements.</w:t>
      </w:r>
      <w:r>
        <w:rPr>
          <w:rStyle w:val="FootnoteReference"/>
        </w:rPr>
        <w:footnoteReference w:id="43"/>
      </w:r>
      <w:r w:rsidRPr="00DF5292">
        <w:t xml:space="preserve"> </w:t>
      </w:r>
      <w:r>
        <w:t xml:space="preserve"> Under the </w:t>
      </w:r>
      <w:r w:rsidRPr="00DF5292">
        <w:t>retransmission consent</w:t>
      </w:r>
      <w:r>
        <w:t xml:space="preserve"> regime</w:t>
      </w:r>
      <w:r w:rsidRPr="00DF5292">
        <w:t xml:space="preserve">, the cable operator and broadcaster negotiate the terms of a retransmission consent agreement, which may include monetary or other compensation for carriage of the broadcast signal. </w:t>
      </w:r>
      <w:r>
        <w:t xml:space="preserve"> </w:t>
      </w:r>
      <w:r w:rsidR="00097269">
        <w:t>Both sides are required to negotiate in good faith.</w:t>
      </w:r>
      <w:r w:rsidR="00097269">
        <w:rPr>
          <w:rStyle w:val="FootnoteReference"/>
        </w:rPr>
        <w:footnoteReference w:id="44"/>
      </w:r>
      <w:r w:rsidR="00E8499E">
        <w:t xml:space="preserve">  </w:t>
      </w:r>
      <w:r>
        <w:t>C</w:t>
      </w:r>
      <w:r w:rsidRPr="00DF5292">
        <w:t xml:space="preserve">able operators </w:t>
      </w:r>
      <w:r>
        <w:t xml:space="preserve">also </w:t>
      </w:r>
      <w:r w:rsidRPr="00DF5292">
        <w:t>may negotiate for retransmission consent with any other broadcast television station they seek to carry regardless of the station</w:t>
      </w:r>
      <w:r>
        <w:t>’</w:t>
      </w:r>
      <w:r w:rsidRPr="00DF5292">
        <w:t>s television market</w:t>
      </w:r>
      <w:r>
        <w:t>.</w:t>
      </w:r>
      <w:r>
        <w:rPr>
          <w:rStyle w:val="FootnoteReference"/>
        </w:rPr>
        <w:footnoteReference w:id="45"/>
      </w:r>
      <w:r w:rsidR="004E419E">
        <w:t xml:space="preserve">  In this manner, cable operators may carry the signals of television stations that originate in a market other than the market in which the cable system operates.  Such stations are typically referred to in this Report as either “distant signals” or “out-of-market stations.”</w:t>
      </w:r>
    </w:p>
    <w:p w:rsidR="00DF5292" w:rsidRDefault="00B030D3" w:rsidP="002648D8">
      <w:pPr>
        <w:pStyle w:val="ParaNum"/>
      </w:pPr>
      <w:r w:rsidRPr="002648D8">
        <w:t xml:space="preserve">Qualified local noncommercial educational (NCE) broadcast television stations have </w:t>
      </w:r>
      <w:r>
        <w:t>must-carry</w:t>
      </w:r>
      <w:r w:rsidRPr="002648D8">
        <w:t xml:space="preserve"> right</w:t>
      </w:r>
      <w:r>
        <w:t>s</w:t>
      </w:r>
      <w:r w:rsidRPr="002648D8">
        <w:t xml:space="preserve"> under the 1992 Act, but do not have statutory </w:t>
      </w:r>
      <w:r>
        <w:t>retransmission consent rights.</w:t>
      </w:r>
      <w:r>
        <w:rPr>
          <w:rStyle w:val="FootnoteReference"/>
        </w:rPr>
        <w:footnoteReference w:id="46"/>
      </w:r>
      <w:r w:rsidRPr="002648D8">
        <w:t xml:space="preserve"> </w:t>
      </w:r>
      <w:r>
        <w:t xml:space="preserve"> </w:t>
      </w:r>
      <w:r w:rsidRPr="002648D8">
        <w:t xml:space="preserve">Among other </w:t>
      </w:r>
      <w:r>
        <w:t>requirements</w:t>
      </w:r>
      <w:r w:rsidRPr="002648D8">
        <w:t>, the NCE broadcast television station must serve th</w:t>
      </w:r>
      <w:r>
        <w:t>e same market as the</w:t>
      </w:r>
      <w:r w:rsidRPr="002648D8">
        <w:t xml:space="preserve"> cable system on which it seeks carriage, deliver a good quality signal, and no</w:t>
      </w:r>
      <w:r>
        <w:t>t air duplicative programming to be deemed a “qualified” NCE station.</w:t>
      </w:r>
      <w:r>
        <w:rPr>
          <w:rStyle w:val="FootnoteReference"/>
        </w:rPr>
        <w:footnoteReference w:id="47"/>
      </w:r>
      <w:r>
        <w:t xml:space="preserve"> </w:t>
      </w:r>
      <w:r w:rsidRPr="002648D8">
        <w:t xml:space="preserve"> </w:t>
      </w:r>
      <w:r>
        <w:t xml:space="preserve">Under specifically enumerated criteria, qualified low </w:t>
      </w:r>
      <w:r w:rsidRPr="002648D8">
        <w:t xml:space="preserve">power broadcast television </w:t>
      </w:r>
      <w:r>
        <w:t xml:space="preserve">(LPTV) </w:t>
      </w:r>
      <w:r w:rsidRPr="002648D8">
        <w:t>stations</w:t>
      </w:r>
      <w:r w:rsidR="00EE2D4F">
        <w:t>, including Class A stations,</w:t>
      </w:r>
      <w:r w:rsidRPr="002648D8">
        <w:t xml:space="preserve"> </w:t>
      </w:r>
      <w:r>
        <w:t xml:space="preserve">also </w:t>
      </w:r>
      <w:r w:rsidRPr="002648D8">
        <w:t>may be eligible for mandatory carriage on cable systems.</w:t>
      </w:r>
      <w:r>
        <w:rPr>
          <w:rStyle w:val="FootnoteReference"/>
        </w:rPr>
        <w:footnoteReference w:id="48"/>
      </w:r>
      <w:r w:rsidR="004E419E">
        <w:t xml:space="preserve">  </w:t>
      </w:r>
    </w:p>
    <w:p w:rsidR="00AB41A5" w:rsidRDefault="00F01C90" w:rsidP="00AB41A5">
      <w:pPr>
        <w:pStyle w:val="ParaNum"/>
      </w:pPr>
      <w:r w:rsidRPr="00EC3865">
        <w:t>Commission rules</w:t>
      </w:r>
      <w:r>
        <w:t>, p</w:t>
      </w:r>
      <w:r w:rsidRPr="00EC3865">
        <w:t xml:space="preserve">ursuant to </w:t>
      </w:r>
      <w:r>
        <w:t>Section 614(h)(1)(C) of the 1992 Cable</w:t>
      </w:r>
      <w:r w:rsidRPr="00EC3865">
        <w:t xml:space="preserve"> Act, also permit a modification of the local television market to include additional communities or to exclude certain commu</w:t>
      </w:r>
      <w:r>
        <w:t xml:space="preserve">nities </w:t>
      </w:r>
      <w:r w:rsidRPr="00EC3865">
        <w:t>on request from a broadcast station or a cable system</w:t>
      </w:r>
      <w:r>
        <w:t>.</w:t>
      </w:r>
      <w:r>
        <w:rPr>
          <w:rStyle w:val="FootnoteReference"/>
        </w:rPr>
        <w:footnoteReference w:id="49"/>
      </w:r>
      <w:r>
        <w:t xml:space="preserve"> </w:t>
      </w:r>
      <w:r w:rsidRPr="00EC3865">
        <w:t xml:space="preserve"> This process</w:t>
      </w:r>
      <w:r>
        <w:t xml:space="preserve"> is</w:t>
      </w:r>
      <w:r w:rsidRPr="00EC3865">
        <w:t xml:space="preserve"> known as market modification </w:t>
      </w:r>
      <w:r>
        <w:t>and can be used to avoid rigid adherence to Nielsen’s DMA assignments by adding or removing</w:t>
      </w:r>
      <w:r w:rsidRPr="00EC3865">
        <w:t xml:space="preserve"> communities </w:t>
      </w:r>
      <w:r>
        <w:t>from</w:t>
      </w:r>
      <w:r w:rsidRPr="00EC3865">
        <w:t xml:space="preserve"> a </w:t>
      </w:r>
      <w:r>
        <w:t xml:space="preserve">DMA-based </w:t>
      </w:r>
      <w:r w:rsidRPr="00EC3865">
        <w:t xml:space="preserve">local television market </w:t>
      </w:r>
      <w:r>
        <w:t xml:space="preserve">for the purposes of </w:t>
      </w:r>
      <w:r w:rsidRPr="00EC3865">
        <w:t>broa</w:t>
      </w:r>
      <w:r>
        <w:t>dcast station carriage rights.</w:t>
      </w:r>
      <w:r>
        <w:rPr>
          <w:rStyle w:val="FootnoteReference"/>
        </w:rPr>
        <w:footnoteReference w:id="50"/>
      </w:r>
      <w:r>
        <w:t xml:space="preserve"> </w:t>
      </w:r>
      <w:r w:rsidRPr="00EC3865">
        <w:t xml:space="preserve"> </w:t>
      </w:r>
      <w:r>
        <w:t xml:space="preserve">In determining whether to grant a request to modify a local market, </w:t>
      </w:r>
      <w:r w:rsidR="00972CAE">
        <w:t xml:space="preserve">pursuant to the current statute as amended by the STELAR, </w:t>
      </w:r>
      <w:r>
        <w:t xml:space="preserve">the Commission must give particular attention to localism </w:t>
      </w:r>
      <w:r w:rsidR="00097269">
        <w:t xml:space="preserve">through </w:t>
      </w:r>
      <w:r>
        <w:t>its consideration of several statutory factors, including (1) whether the station, or other stations located in the same area</w:t>
      </w:r>
      <w:r w:rsidR="00097269">
        <w:t xml:space="preserve">, </w:t>
      </w:r>
      <w:r>
        <w:t xml:space="preserve">(a) have been historically carried on the cable system or systems within such community; and (b) have been historically carried on the satellite carrier or carriers serving such community; (2) whether the television station provides coverage or other local service to such community; (3) whether modifying the local market of the television station would promote consumers’ access to television broadcast station signals that originate in their </w:t>
      </w:r>
      <w:r w:rsidR="00616724">
        <w:t xml:space="preserve">state </w:t>
      </w:r>
      <w:r>
        <w:t>of residence; (4)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(5) 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rPr>
        <w:footnoteReference w:id="51"/>
      </w:r>
      <w:r>
        <w:t xml:space="preserve">  In the STELAR, </w:t>
      </w:r>
      <w:r w:rsidRPr="008211F6">
        <w:t xml:space="preserve">Congress </w:t>
      </w:r>
      <w:r>
        <w:t xml:space="preserve">added </w:t>
      </w:r>
      <w:r w:rsidR="00972CAE">
        <w:t>the additional</w:t>
      </w:r>
      <w:r w:rsidR="00972CAE" w:rsidRPr="008211F6">
        <w:t xml:space="preserve"> </w:t>
      </w:r>
      <w:r w:rsidRPr="008211F6">
        <w:t>factor</w:t>
      </w:r>
      <w:r>
        <w:t xml:space="preserve"> (numbered as factor 3</w:t>
      </w:r>
      <w:r w:rsidR="006361B0">
        <w:t xml:space="preserve"> above</w:t>
      </w:r>
      <w:r>
        <w:t>), which requires</w:t>
      </w:r>
      <w:r w:rsidRPr="008211F6">
        <w:t xml:space="preserve"> consideration of access to television stations that are located in the same state as the community considered for modification.</w:t>
      </w:r>
      <w:r>
        <w:rPr>
          <w:rStyle w:val="FootnoteReference"/>
        </w:rPr>
        <w:footnoteReference w:id="52"/>
      </w:r>
      <w:r w:rsidR="00211E93" w:rsidRPr="008211F6">
        <w:t xml:space="preserve"> </w:t>
      </w:r>
      <w:r w:rsidR="00211E93">
        <w:t xml:space="preserve"> On September 2, 2015, as part of its implementation of Section 102 of </w:t>
      </w:r>
      <w:r w:rsidR="000F3766">
        <w:t xml:space="preserve">the </w:t>
      </w:r>
      <w:r w:rsidR="00211E93">
        <w:t xml:space="preserve">STELAR, the Commission stated that the new factor </w:t>
      </w:r>
      <w:r w:rsidR="00211E93" w:rsidRPr="00AB41A5">
        <w:t>favors any market modificatio</w:t>
      </w:r>
      <w:r w:rsidR="00211E93">
        <w:t xml:space="preserve">n that would promote consumers’ </w:t>
      </w:r>
      <w:r w:rsidR="00211E93" w:rsidRPr="00AB41A5">
        <w:t>access to an in-state station.</w:t>
      </w:r>
      <w:r w:rsidR="00211E93">
        <w:rPr>
          <w:rStyle w:val="FootnoteReference"/>
        </w:rPr>
        <w:footnoteReference w:id="53"/>
      </w:r>
      <w:r w:rsidR="00211E93" w:rsidRPr="00AB41A5">
        <w:t xml:space="preserve"> </w:t>
      </w:r>
      <w:r w:rsidR="00211E93">
        <w:t xml:space="preserve"> </w:t>
      </w:r>
      <w:r w:rsidR="00207A52">
        <w:t>In addition, Section 102 extended</w:t>
      </w:r>
      <w:r w:rsidR="00553DE9">
        <w:t xml:space="preserve"> the market modification provisions to </w:t>
      </w:r>
      <w:r w:rsidR="003E7E5D">
        <w:t>apply to satellite MVPDs</w:t>
      </w:r>
      <w:r w:rsidR="00553DE9">
        <w:t>, as discussed further below.</w:t>
      </w:r>
      <w:r>
        <w:rPr>
          <w:rStyle w:val="FootnoteReference"/>
        </w:rPr>
        <w:footnoteReference w:id="54"/>
      </w:r>
      <w:r w:rsidR="00553DE9">
        <w:t xml:space="preserve">  </w:t>
      </w:r>
    </w:p>
    <w:p w:rsidR="00EC3865" w:rsidRDefault="00EE6F1B" w:rsidP="006C4244">
      <w:pPr>
        <w:pStyle w:val="ParaNum"/>
      </w:pPr>
      <w:r>
        <w:t>C</w:t>
      </w:r>
      <w:r w:rsidRPr="00EC3865">
        <w:t xml:space="preserve">ertain stations are considered “significantly viewed” </w:t>
      </w:r>
      <w:r>
        <w:t xml:space="preserve">under the Commission’s rules </w:t>
      </w:r>
      <w:r w:rsidRPr="00EC3865">
        <w:t xml:space="preserve">based on </w:t>
      </w:r>
      <w:r w:rsidR="00F40F86">
        <w:t>over the air</w:t>
      </w:r>
      <w:r w:rsidRPr="00EC3865">
        <w:t xml:space="preserve"> viewing.</w:t>
      </w:r>
      <w:r>
        <w:t xml:space="preserve">  F</w:t>
      </w:r>
      <w:r w:rsidRPr="00EC3865">
        <w:t>or broad</w:t>
      </w:r>
      <w:r>
        <w:t>cast signal carriage purposes,</w:t>
      </w:r>
      <w:r w:rsidRPr="00EC3865">
        <w:t xml:space="preserve"> </w:t>
      </w:r>
      <w:r>
        <w:t>t</w:t>
      </w:r>
      <w:r w:rsidRPr="00EC3865">
        <w:t>hese stations are treated as local stations</w:t>
      </w:r>
      <w:r>
        <w:t>.</w:t>
      </w:r>
      <w:r>
        <w:rPr>
          <w:rStyle w:val="FootnoteReference"/>
        </w:rPr>
        <w:footnoteReference w:id="55"/>
      </w:r>
      <w:r w:rsidRPr="00EC3865">
        <w:t xml:space="preserve"> </w:t>
      </w:r>
      <w:r>
        <w:t xml:space="preserve"> </w:t>
      </w:r>
      <w:r w:rsidR="00553DE9">
        <w:t>In addition to stations historically considered significantly viewed in a community, t</w:t>
      </w:r>
      <w:r w:rsidRPr="00EC3865">
        <w:t>he Commission grants significantly viewed status to commercial stations based on petitions from broadcasters, cable operators, or DBS operators that show that a station satisfies viewing criteria on a commun</w:t>
      </w:r>
      <w:r>
        <w:t>ity-wide or county-wide basis.</w:t>
      </w:r>
      <w:r>
        <w:rPr>
          <w:rStyle w:val="FootnoteReference"/>
        </w:rPr>
        <w:footnoteReference w:id="56"/>
      </w:r>
      <w:r>
        <w:t xml:space="preserve"> </w:t>
      </w:r>
      <w:r w:rsidRPr="00EC3865">
        <w:t xml:space="preserve"> These petitions must follow statistical requirements in Commission rules that were later codified in the U.S. Copyright Act with </w:t>
      </w:r>
      <w:r>
        <w:t>respect to satellite carriers.</w:t>
      </w:r>
      <w:r>
        <w:rPr>
          <w:rStyle w:val="FootnoteReference"/>
        </w:rPr>
        <w:footnoteReference w:id="57"/>
      </w:r>
      <w:r>
        <w:t xml:space="preserve"> </w:t>
      </w:r>
      <w:r w:rsidRPr="00EC3865">
        <w:t xml:space="preserve"> </w:t>
      </w:r>
      <w:r>
        <w:t>C</w:t>
      </w:r>
      <w:r w:rsidRPr="00EC3865">
        <w:t>arriage of out-of-market</w:t>
      </w:r>
      <w:r>
        <w:t xml:space="preserve"> significantly viewed signals also requires retransmission consent.</w:t>
      </w:r>
      <w:r>
        <w:rPr>
          <w:rStyle w:val="FootnoteReference"/>
        </w:rPr>
        <w:footnoteReference w:id="58"/>
      </w:r>
    </w:p>
    <w:p w:rsidR="00E26436" w:rsidRDefault="00EE6F1B" w:rsidP="009B31BA">
      <w:pPr>
        <w:pStyle w:val="ParaNum"/>
        <w:widowControl/>
      </w:pPr>
      <w:r>
        <w:t xml:space="preserve">Copyright law also forms a significant portion of the regulatory framework governing </w:t>
      </w:r>
      <w:r w:rsidRPr="00EC3865">
        <w:t>broad</w:t>
      </w:r>
      <w:r>
        <w:t xml:space="preserve">cast signal carriage.  </w:t>
      </w:r>
      <w:r w:rsidRPr="00E26436">
        <w:t xml:space="preserve">The Copyright Act grants cable systems a statutory or </w:t>
      </w:r>
      <w:r w:rsidR="000C7440">
        <w:t>“</w:t>
      </w:r>
      <w:r w:rsidRPr="00E26436">
        <w:t>compulsory</w:t>
      </w:r>
      <w:r w:rsidR="000C7440">
        <w:t>”</w:t>
      </w:r>
      <w:r w:rsidRPr="00E26436">
        <w:t xml:space="preserve"> license for the retransmission of all local broadcast signals and distant signals that the Commission ha</w:t>
      </w:r>
      <w:r>
        <w:t>s permitted them to carry.</w:t>
      </w:r>
      <w:r>
        <w:rPr>
          <w:rStyle w:val="FootnoteReference"/>
        </w:rPr>
        <w:footnoteReference w:id="59"/>
      </w:r>
      <w:r>
        <w:t xml:space="preserve"> </w:t>
      </w:r>
      <w:r w:rsidRPr="00E26436">
        <w:t xml:space="preserve"> </w:t>
      </w:r>
      <w:r>
        <w:t>U</w:t>
      </w:r>
      <w:r w:rsidRPr="00E26436">
        <w:t>nlicensed retransmission of the copyrighted material in a broadcast signal const</w:t>
      </w:r>
      <w:r>
        <w:t>itutes copyright infringement p</w:t>
      </w:r>
      <w:r w:rsidRPr="00E26436">
        <w:t>ursuant to am</w:t>
      </w:r>
      <w:r>
        <w:t>endments of the Copyright Act.</w:t>
      </w:r>
      <w:r>
        <w:rPr>
          <w:rStyle w:val="FootnoteReference"/>
        </w:rPr>
        <w:footnoteReference w:id="60"/>
      </w:r>
      <w:r>
        <w:t xml:space="preserve"> </w:t>
      </w:r>
      <w:r w:rsidRPr="00E26436">
        <w:t xml:space="preserve"> The compulsory licensing regime established by the 1976 amendments to the Copyright Act </w:t>
      </w:r>
      <w:r>
        <w:t xml:space="preserve">also </w:t>
      </w:r>
      <w:r w:rsidRPr="00E26436">
        <w:t>took into consideration the Commission</w:t>
      </w:r>
      <w:r>
        <w:t>’</w:t>
      </w:r>
      <w:r w:rsidRPr="00E26436">
        <w:t>s rules that:</w:t>
      </w:r>
      <w:r w:rsidR="00553DE9">
        <w:t xml:space="preserve"> </w:t>
      </w:r>
      <w:r w:rsidRPr="00E26436">
        <w:t xml:space="preserve"> (1) defined the term “local broadcast station;” (2) limited the number of distant signals that a cable operator could imp</w:t>
      </w:r>
      <w:r>
        <w:t>ort (the distant signal rule);</w:t>
      </w:r>
      <w:r>
        <w:rPr>
          <w:rStyle w:val="FootnoteReference"/>
        </w:rPr>
        <w:footnoteReference w:id="61"/>
      </w:r>
      <w:r w:rsidR="00553DE9">
        <w:t xml:space="preserve"> </w:t>
      </w:r>
      <w:r w:rsidRPr="00E26436">
        <w:t>(3) permitted a local broadcaster to require a cable operator to delete duplicative programming for which the station had obtained exclusive rights (the network non-duplication and syndicated exclusivity rules); and (4) required the carriage of certain signals.</w:t>
      </w:r>
      <w:r>
        <w:rPr>
          <w:rStyle w:val="FootnoteReference"/>
        </w:rPr>
        <w:footnoteReference w:id="62"/>
      </w:r>
    </w:p>
    <w:p w:rsidR="00076946" w:rsidRDefault="00EE6F1B" w:rsidP="009B31BA">
      <w:pPr>
        <w:pStyle w:val="ParaNum"/>
        <w:widowControl/>
      </w:pPr>
      <w:r>
        <w:rPr>
          <w:i/>
        </w:rPr>
        <w:t>Satellite Carriage of Local Broadcast Stations</w:t>
      </w:r>
      <w:r>
        <w:t>.  Congress enacted t</w:t>
      </w:r>
      <w:r w:rsidRPr="00076946">
        <w:t>he first satellite compulsory co</w:t>
      </w:r>
      <w:r>
        <w:t>pyright law in 1988 as</w:t>
      </w:r>
      <w:r w:rsidRPr="00076946">
        <w:t xml:space="preserve"> </w:t>
      </w:r>
      <w:r>
        <w:t>t</w:t>
      </w:r>
      <w:r w:rsidRPr="00076946">
        <w:t>he Satellite Home Viewer Act (SHVA)</w:t>
      </w:r>
      <w:r>
        <w:t>,</w:t>
      </w:r>
      <w:r>
        <w:rPr>
          <w:rStyle w:val="FootnoteReference"/>
        </w:rPr>
        <w:footnoteReference w:id="63"/>
      </w:r>
      <w:r>
        <w:t xml:space="preserve"> which</w:t>
      </w:r>
      <w:r w:rsidRPr="00076946">
        <w:t xml:space="preserve"> granted direct-to-home (DTH) satellite providers</w:t>
      </w:r>
      <w:r>
        <w:t xml:space="preserve"> a compulsory copyright license</w:t>
      </w:r>
      <w:r w:rsidRPr="00076946">
        <w:t xml:space="preserve"> to retransmit television </w:t>
      </w:r>
      <w:r>
        <w:t>signals of distant network stations</w:t>
      </w:r>
      <w:r>
        <w:rPr>
          <w:rStyle w:val="FootnoteReference"/>
        </w:rPr>
        <w:footnoteReference w:id="64"/>
      </w:r>
      <w:r w:rsidRPr="00076946">
        <w:t xml:space="preserve"> to “unserved households” and superstations (non-netwo</w:t>
      </w:r>
      <w:r>
        <w:t>rk stations) to any household.</w:t>
      </w:r>
      <w:r>
        <w:rPr>
          <w:rStyle w:val="FootnoteReference"/>
        </w:rPr>
        <w:footnoteReference w:id="65"/>
      </w:r>
      <w:r w:rsidRPr="00076946">
        <w:t xml:space="preserve"> </w:t>
      </w:r>
      <w:r>
        <w:t xml:space="preserve"> </w:t>
      </w:r>
      <w:r w:rsidRPr="00076946">
        <w:t>This license generally applies to the signals of superstations and network stations that satellite carriers retransmit to the public for private home viewing.</w:t>
      </w:r>
      <w:r>
        <w:rPr>
          <w:rStyle w:val="FootnoteReference"/>
        </w:rPr>
        <w:footnoteReference w:id="66"/>
      </w:r>
    </w:p>
    <w:p w:rsidR="00076946" w:rsidRDefault="00EE6F1B" w:rsidP="00076946">
      <w:pPr>
        <w:pStyle w:val="ParaNum"/>
      </w:pPr>
      <w:r>
        <w:t>S</w:t>
      </w:r>
      <w:r w:rsidRPr="00076946">
        <w:t xml:space="preserve">atellite carriers have a statutory copyright license </w:t>
      </w:r>
      <w:r>
        <w:t>u</w:t>
      </w:r>
      <w:r w:rsidRPr="00076946">
        <w:t xml:space="preserve">nder the 1999 Satellite Home </w:t>
      </w:r>
      <w:r>
        <w:t xml:space="preserve">Viewer Improvement Act (SHVIA) </w:t>
      </w:r>
      <w:r w:rsidRPr="00076946">
        <w:t>for carriage of stations to any subscriber within a station</w:t>
      </w:r>
      <w:r>
        <w:t>’</w:t>
      </w:r>
      <w:r w:rsidRPr="00076946">
        <w:t>s local market, without distinction between network and non-network signals or s</w:t>
      </w:r>
      <w:r>
        <w:t>erved or unserved households.</w:t>
      </w:r>
      <w:r>
        <w:rPr>
          <w:rStyle w:val="FootnoteReference"/>
        </w:rPr>
        <w:footnoteReference w:id="67"/>
      </w:r>
      <w:r>
        <w:t xml:space="preserve"> </w:t>
      </w:r>
      <w:r w:rsidRPr="00076946">
        <w:t xml:space="preserve"> Prior to such carriage, DBS operators must obtain consent from broadca</w:t>
      </w:r>
      <w:r w:rsidR="00C42045">
        <w:t>st licensees to retransmit the</w:t>
      </w:r>
      <w:r w:rsidRPr="00076946">
        <w:t xml:space="preserve"> stations</w:t>
      </w:r>
      <w:r>
        <w:t>’</w:t>
      </w:r>
      <w:r w:rsidRPr="00076946">
        <w:t xml:space="preserve"> sig</w:t>
      </w:r>
      <w:r>
        <w:t>nals to subscriber households.</w:t>
      </w:r>
      <w:r>
        <w:rPr>
          <w:rStyle w:val="FootnoteReference"/>
        </w:rPr>
        <w:footnoteReference w:id="68"/>
      </w:r>
      <w:r>
        <w:t xml:space="preserve"> </w:t>
      </w:r>
      <w:r w:rsidRPr="00076946">
        <w:t xml:space="preserve"> </w:t>
      </w:r>
      <w:r w:rsidR="00C42045">
        <w:t xml:space="preserve">In contrast to cable operators, </w:t>
      </w:r>
      <w:r w:rsidRPr="00076946">
        <w:t>DBS operators are not required to carry local broadcast television stations.</w:t>
      </w:r>
      <w:r>
        <w:t xml:space="preserve"> </w:t>
      </w:r>
      <w:r w:rsidRPr="00076946">
        <w:t xml:space="preserve"> However, if a DBS operator chooses to carry a local station in a particular DMA</w:t>
      </w:r>
      <w:r w:rsidR="007269C3">
        <w:t xml:space="preserve"> in reliance </w:t>
      </w:r>
      <w:r w:rsidR="0062285B">
        <w:t xml:space="preserve">on </w:t>
      </w:r>
      <w:r w:rsidR="007269C3">
        <w:t>the statutory copyright license</w:t>
      </w:r>
      <w:r w:rsidRPr="00076946">
        <w:t xml:space="preserve">, it generally must carry any qualified local station in the same DMA that makes a timely election for retransmission </w:t>
      </w:r>
      <w:r>
        <w:t>consent or mandatory carriage.</w:t>
      </w:r>
      <w:r>
        <w:rPr>
          <w:rStyle w:val="FootnoteReference"/>
        </w:rPr>
        <w:footnoteReference w:id="69"/>
      </w:r>
      <w:r>
        <w:t xml:space="preserve"> </w:t>
      </w:r>
      <w:r w:rsidRPr="00076946">
        <w:t xml:space="preserve"> </w:t>
      </w:r>
      <w:r>
        <w:t>Just as with cable carriage of broadcast signals, i</w:t>
      </w:r>
      <w:r w:rsidRPr="00076946">
        <w:t>f a broadcaster elects retransmission consent, the satellite carrier and broadcaster negotiate the terms of a retransmission consent agreement</w:t>
      </w:r>
      <w:r w:rsidR="0062285B">
        <w:t>, with each side required to negotiate in good faith</w:t>
      </w:r>
      <w:r w:rsidRPr="00076946">
        <w:t xml:space="preserve">. </w:t>
      </w:r>
      <w:r>
        <w:t xml:space="preserve"> </w:t>
      </w:r>
      <w:r w:rsidRPr="00076946">
        <w:t xml:space="preserve">In contrast to cable “must carry” requirements, satellite carriers are not required to carry television stations if they do not rely on the statutory license but instead privately negotiate for </w:t>
      </w:r>
      <w:r w:rsidR="0062285B">
        <w:t>a</w:t>
      </w:r>
      <w:r w:rsidR="0062285B" w:rsidRPr="00076946">
        <w:t xml:space="preserve"> </w:t>
      </w:r>
      <w:r w:rsidRPr="00076946">
        <w:t>copyright licen</w:t>
      </w:r>
      <w:r>
        <w:t>se.</w:t>
      </w:r>
      <w:r>
        <w:rPr>
          <w:rStyle w:val="FootnoteReference"/>
        </w:rPr>
        <w:footnoteReference w:id="70"/>
      </w:r>
      <w:r>
        <w:t xml:space="preserve"> </w:t>
      </w:r>
      <w:r w:rsidRPr="00076946">
        <w:t xml:space="preserve"> Satellite carriers are not required to carry a station if its programming is duplicative of the programming of another station carried by</w:t>
      </w:r>
      <w:r>
        <w:t xml:space="preserve"> the DBS operator in the same </w:t>
      </w:r>
      <w:r w:rsidRPr="00076946">
        <w:t>DMA unless the duplicating stations are licensed to communities in different stat</w:t>
      </w:r>
      <w:r>
        <w:t>es.</w:t>
      </w:r>
      <w:r>
        <w:rPr>
          <w:rStyle w:val="FootnoteReference"/>
        </w:rPr>
        <w:footnoteReference w:id="71"/>
      </w:r>
      <w:r w:rsidRPr="00076946">
        <w:t xml:space="preserve"> </w:t>
      </w:r>
      <w:r>
        <w:t xml:space="preserve"> </w:t>
      </w:r>
      <w:r w:rsidRPr="00076946">
        <w:t xml:space="preserve">Satellite carriers </w:t>
      </w:r>
      <w:r>
        <w:t xml:space="preserve">also </w:t>
      </w:r>
      <w:r w:rsidRPr="00076946">
        <w:t>are not required to carry a station if the station fails to provide a good quality signal to the DBS operator</w:t>
      </w:r>
      <w:r>
        <w:t>’</w:t>
      </w:r>
      <w:r w:rsidRPr="00076946">
        <w:t>s local receive facility.</w:t>
      </w:r>
      <w:r>
        <w:rPr>
          <w:rStyle w:val="FootnoteReference"/>
        </w:rPr>
        <w:footnoteReference w:id="72"/>
      </w:r>
    </w:p>
    <w:p w:rsidR="002137A6" w:rsidRDefault="007269C3" w:rsidP="002137A6">
      <w:pPr>
        <w:pStyle w:val="ParaNum"/>
      </w:pPr>
      <w:r>
        <w:t xml:space="preserve">Unlike cable operators, </w:t>
      </w:r>
      <w:r w:rsidRPr="002137A6">
        <w:t>the “distant” (</w:t>
      </w:r>
      <w:r w:rsidRPr="002978D6">
        <w:rPr>
          <w:i/>
        </w:rPr>
        <w:t>i.e.,</w:t>
      </w:r>
      <w:r w:rsidRPr="002137A6">
        <w:t xml:space="preserve"> out-of-market) signals that </w:t>
      </w:r>
      <w:r>
        <w:t>DBS operators</w:t>
      </w:r>
      <w:r w:rsidRPr="00A6788C">
        <w:t xml:space="preserve"> </w:t>
      </w:r>
      <w:r w:rsidRPr="002137A6">
        <w:t xml:space="preserve">can provide to </w:t>
      </w:r>
      <w:r>
        <w:t xml:space="preserve">their subscribers are limited. </w:t>
      </w:r>
      <w:r w:rsidRPr="002137A6">
        <w:t xml:space="preserve"> </w:t>
      </w:r>
      <w:r>
        <w:t>Under t</w:t>
      </w:r>
      <w:r w:rsidRPr="006714E8">
        <w:t>he Communications Act and copyright laws</w:t>
      </w:r>
      <w:r>
        <w:t>,</w:t>
      </w:r>
      <w:r w:rsidRPr="006714E8">
        <w:t xml:space="preserve"> </w:t>
      </w:r>
      <w:r w:rsidRPr="002137A6">
        <w:t xml:space="preserve">a satellite carrier </w:t>
      </w:r>
      <w:r w:rsidR="0062285B">
        <w:t>may</w:t>
      </w:r>
      <w:r w:rsidR="0062285B" w:rsidRPr="002137A6">
        <w:t xml:space="preserve"> </w:t>
      </w:r>
      <w:r w:rsidRPr="002137A6">
        <w:t>provide distant broadcast television station signals to its subscribers only if local stations are unavailable to them as part of a local-into-local sate</w:t>
      </w:r>
      <w:r>
        <w:t>llite package or over the air.</w:t>
      </w:r>
      <w:r>
        <w:rPr>
          <w:rStyle w:val="FootnoteReference"/>
        </w:rPr>
        <w:footnoteReference w:id="73"/>
      </w:r>
      <w:r w:rsidRPr="002137A6">
        <w:t xml:space="preserve"> </w:t>
      </w:r>
      <w:r>
        <w:t xml:space="preserve"> </w:t>
      </w:r>
      <w:r w:rsidR="00A923D0">
        <w:t>For example</w:t>
      </w:r>
      <w:r w:rsidR="00AF6C13">
        <w:t>, in “short markets” —</w:t>
      </w:r>
      <w:r w:rsidR="007545FD">
        <w:t xml:space="preserve"> </w:t>
      </w:r>
      <w:r w:rsidR="00AF6C13">
        <w:t>television markets where one of the four major television networks is not offered on the primary stream of a local broadcast station — satellite carriers are permitted to deliver a distant station affiliated with that missing network to subscribers in that market.</w:t>
      </w:r>
      <w:bookmarkStart w:id="13" w:name="_Ref452470513"/>
      <w:r w:rsidR="00AF6C13">
        <w:rPr>
          <w:rStyle w:val="FootnoteReference"/>
        </w:rPr>
        <w:footnoteReference w:id="74"/>
      </w:r>
      <w:bookmarkEnd w:id="13"/>
      <w:r w:rsidR="00AF6C13">
        <w:t xml:space="preserve">  </w:t>
      </w:r>
      <w:r w:rsidRPr="002137A6">
        <w:t xml:space="preserve">The </w:t>
      </w:r>
      <w:r w:rsidR="0062285B">
        <w:t xml:space="preserve">mandatory </w:t>
      </w:r>
      <w:r w:rsidRPr="002137A6">
        <w:t>carriage of broadcast signals from both distant and local broadcast stations is subject to royalty fees at a rate set forth by statute and collected</w:t>
      </w:r>
      <w:r>
        <w:t xml:space="preserve"> by the U.S. Copyright Office.</w:t>
      </w:r>
      <w:r w:rsidR="00EE6F1B">
        <w:rPr>
          <w:rStyle w:val="FootnoteReference"/>
        </w:rPr>
        <w:footnoteReference w:id="75"/>
      </w:r>
      <w:r w:rsidR="00EE6F1B">
        <w:t xml:space="preserve"> </w:t>
      </w:r>
      <w:r w:rsidR="00EE6F1B" w:rsidRPr="002137A6">
        <w:t xml:space="preserve"> </w:t>
      </w:r>
      <w:r w:rsidR="002137A6" w:rsidRPr="002137A6">
        <w:t xml:space="preserve"> </w:t>
      </w:r>
      <w:r w:rsidR="002137A6">
        <w:t xml:space="preserve"> </w:t>
      </w:r>
    </w:p>
    <w:p w:rsidR="003F091F" w:rsidRDefault="00A6788C" w:rsidP="003F091F">
      <w:pPr>
        <w:pStyle w:val="ParaNum"/>
      </w:pPr>
      <w:r w:rsidRPr="003F091F">
        <w:t>The Satellite Home Viewer Extension and Reauth</w:t>
      </w:r>
      <w:r>
        <w:t>orization Act of 2004 (SHVERA)</w:t>
      </w:r>
      <w:r>
        <w:rPr>
          <w:rStyle w:val="FootnoteReference"/>
        </w:rPr>
        <w:footnoteReference w:id="76"/>
      </w:r>
      <w:r w:rsidRPr="003F091F">
        <w:t xml:space="preserve"> expanded the statutory copyright license to allow satellite carriers to carry</w:t>
      </w:r>
      <w:r>
        <w:t xml:space="preserve"> significantly viewed stations,</w:t>
      </w:r>
      <w:r>
        <w:rPr>
          <w:rStyle w:val="FootnoteReference"/>
        </w:rPr>
        <w:footnoteReference w:id="77"/>
      </w:r>
      <w:r w:rsidRPr="003F091F">
        <w:t xml:space="preserve"> which are treated as local stations with respect to a particular satellit</w:t>
      </w:r>
      <w:r>
        <w:t>e community</w:t>
      </w:r>
      <w:r>
        <w:rPr>
          <w:rStyle w:val="FootnoteReference"/>
        </w:rPr>
        <w:footnoteReference w:id="78"/>
      </w:r>
      <w:r w:rsidRPr="003F091F">
        <w:t xml:space="preserve"> in another market, thus allowing them to be carried by the satellite carrier in that </w:t>
      </w:r>
      <w:r>
        <w:t>community.</w:t>
      </w:r>
      <w:r>
        <w:rPr>
          <w:rStyle w:val="FootnoteReference"/>
        </w:rPr>
        <w:footnoteReference w:id="79"/>
      </w:r>
      <w:r>
        <w:t xml:space="preserve">  Satellite</w:t>
      </w:r>
      <w:r w:rsidRPr="003F091F">
        <w:t xml:space="preserve"> carriers are not required to carry out-of-market significantly viewed stations. </w:t>
      </w:r>
      <w:r>
        <w:t xml:space="preserve"> </w:t>
      </w:r>
      <w:r w:rsidRPr="003F091F">
        <w:t>If they do carry such significantly viewed stations, retra</w:t>
      </w:r>
      <w:r>
        <w:t>nsmission consent is required.</w:t>
      </w:r>
      <w:r>
        <w:rPr>
          <w:rStyle w:val="FootnoteReference"/>
        </w:rPr>
        <w:footnoteReference w:id="80"/>
      </w:r>
      <w:r>
        <w:t xml:space="preserve"> </w:t>
      </w:r>
      <w:r w:rsidRPr="003F091F">
        <w:t xml:space="preserve"> STELA reauthorize</w:t>
      </w:r>
      <w:r>
        <w:t>d</w:t>
      </w:r>
      <w:r w:rsidRPr="003F091F">
        <w:t xml:space="preserve"> the statutory copyright license for satellite carriage of significantly viewed stations and move</w:t>
      </w:r>
      <w:r>
        <w:t>d</w:t>
      </w:r>
      <w:r w:rsidRPr="003F091F">
        <w:t xml:space="preserve"> that license from the distant signal statutory copyright license provisions in Section 119(a)(3) </w:t>
      </w:r>
      <w:r>
        <w:t xml:space="preserve">of the Copyright Act </w:t>
      </w:r>
      <w:r w:rsidRPr="003F091F">
        <w:t>to the local signal statutory copyright license provisions i</w:t>
      </w:r>
      <w:r>
        <w:t>n Section 122(a)(2) of the Copyright Act.</w:t>
      </w:r>
      <w:r>
        <w:rPr>
          <w:rStyle w:val="FootnoteReference"/>
        </w:rPr>
        <w:footnoteReference w:id="81"/>
      </w:r>
      <w:r>
        <w:t xml:space="preserve"> </w:t>
      </w:r>
      <w:r w:rsidRPr="003F091F">
        <w:t xml:space="preserve"> </w:t>
      </w:r>
      <w:r>
        <w:t>Thus</w:t>
      </w:r>
      <w:r w:rsidRPr="003F091F">
        <w:t xml:space="preserve">, </w:t>
      </w:r>
      <w:r w:rsidR="00755281">
        <w:t>the Copyright Act</w:t>
      </w:r>
      <w:r>
        <w:t xml:space="preserve"> </w:t>
      </w:r>
      <w:r w:rsidRPr="003F091F">
        <w:t>defines significantly viewed signals as another type of local signal, rather than as an exception to distant signals</w:t>
      </w:r>
      <w:r>
        <w:t>.</w:t>
      </w:r>
      <w:r>
        <w:rPr>
          <w:rStyle w:val="FootnoteReference"/>
        </w:rPr>
        <w:footnoteReference w:id="82"/>
      </w:r>
      <w:r>
        <w:t xml:space="preserve"> </w:t>
      </w:r>
      <w:r w:rsidRPr="003F091F">
        <w:t xml:space="preserve"> </w:t>
      </w:r>
      <w:r w:rsidRPr="00905FD7">
        <w:t xml:space="preserve">Section 122(a)(2) explicitly limits significantly viewed </w:t>
      </w:r>
      <w:r w:rsidRPr="00485172">
        <w:t xml:space="preserve">status to those signals that have been determined by the Commission to be significantly viewed pursuant </w:t>
      </w:r>
      <w:r w:rsidRPr="00905FD7">
        <w:t xml:space="preserve">to the rules </w:t>
      </w:r>
      <w:r w:rsidRPr="00485172">
        <w:t xml:space="preserve">in effect </w:t>
      </w:r>
      <w:r w:rsidRPr="00905FD7">
        <w:t>as of April 15, 1976.</w:t>
      </w:r>
      <w:r>
        <w:rPr>
          <w:rStyle w:val="FootnoteReference"/>
        </w:rPr>
        <w:footnoteReference w:id="83"/>
      </w:r>
      <w:r>
        <w:t xml:space="preserve"> </w:t>
      </w:r>
      <w:r w:rsidRPr="003F091F">
        <w:t xml:space="preserve"> Satellite carriers are required to provide </w:t>
      </w:r>
      <w:r>
        <w:t xml:space="preserve">written </w:t>
      </w:r>
      <w:r w:rsidRPr="003F091F">
        <w:t xml:space="preserve">notice to local stations before they </w:t>
      </w:r>
      <w:r>
        <w:t>begin</w:t>
      </w:r>
      <w:r w:rsidRPr="003F091F">
        <w:t xml:space="preserve"> carriage of significantly viewed stations.</w:t>
      </w:r>
      <w:r>
        <w:rPr>
          <w:rStyle w:val="FootnoteReference"/>
        </w:rPr>
        <w:footnoteReference w:id="84"/>
      </w:r>
      <w:r w:rsidR="003F091F">
        <w:t xml:space="preserve"> </w:t>
      </w:r>
      <w:r w:rsidR="003F091F" w:rsidRPr="003F091F">
        <w:t xml:space="preserve"> </w:t>
      </w:r>
    </w:p>
    <w:p w:rsidR="00CA0376" w:rsidRDefault="006C01DB" w:rsidP="0007066C">
      <w:pPr>
        <w:pStyle w:val="ParaNum"/>
        <w:widowControl/>
      </w:pPr>
      <w:bookmarkStart w:id="14" w:name="_Ref452470368"/>
      <w:r>
        <w:t xml:space="preserve">Section 102 of the STELAR </w:t>
      </w:r>
      <w:r w:rsidRPr="006714E8">
        <w:t xml:space="preserve">amended </w:t>
      </w:r>
      <w:r w:rsidRPr="006714E8">
        <w:rPr>
          <w:szCs w:val="22"/>
        </w:rPr>
        <w:t xml:space="preserve">the Communications Act and the Copyright Act to give the Commission authority to modify a commercial television broadcast station’s local television market </w:t>
      </w:r>
      <w:r w:rsidRPr="006714E8">
        <w:t xml:space="preserve">for purposes of satellite </w:t>
      </w:r>
      <w:r w:rsidRPr="009018AC">
        <w:rPr>
          <w:szCs w:val="22"/>
        </w:rPr>
        <w:t>carriage rights.</w:t>
      </w:r>
      <w:r w:rsidRPr="009018AC">
        <w:rPr>
          <w:rStyle w:val="FootnoteReference"/>
          <w:sz w:val="22"/>
          <w:szCs w:val="22"/>
        </w:rPr>
        <w:footnoteReference w:id="85"/>
      </w:r>
      <w:r w:rsidRPr="009018AC">
        <w:rPr>
          <w:szCs w:val="22"/>
        </w:rPr>
        <w:t xml:space="preserve"> ‎ The Commission previously had such</w:t>
      </w:r>
      <w:r w:rsidRPr="009018AC" w:rsidDel="00B15C91">
        <w:rPr>
          <w:szCs w:val="22"/>
        </w:rPr>
        <w:t xml:space="preserve"> </w:t>
      </w:r>
      <w:r w:rsidRPr="009018AC">
        <w:rPr>
          <w:szCs w:val="22"/>
        </w:rPr>
        <w:t>authority to modify markets only in the cable carriage context.</w:t>
      </w:r>
      <w:r w:rsidRPr="009018AC">
        <w:rPr>
          <w:rStyle w:val="FootnoteReference"/>
          <w:sz w:val="22"/>
          <w:szCs w:val="22"/>
        </w:rPr>
        <w:footnoteReference w:id="86"/>
      </w:r>
      <w:r w:rsidRPr="009018AC">
        <w:rPr>
          <w:szCs w:val="22"/>
        </w:rPr>
        <w:t xml:space="preserve">  On September 2, 2015, the Commission implemented Section 102 of the STELAR by revising the current cable market modification rule, Section 76.59, to apply also to satellite carriage, while adding provisions to the rules to address the unique nature of satellite television service.</w:t>
      </w:r>
      <w:r w:rsidRPr="009018AC">
        <w:rPr>
          <w:rStyle w:val="FootnoteReference"/>
          <w:sz w:val="22"/>
          <w:szCs w:val="22"/>
        </w:rPr>
        <w:footnoteReference w:id="87"/>
      </w:r>
      <w:r w:rsidRPr="009018AC">
        <w:rPr>
          <w:szCs w:val="22"/>
        </w:rPr>
        <w:t xml:space="preserve">   As discussed above, the market modification rules permit the modification of a local television market to include additional communities or to exclude certain communities pursuant to appropriate request</w:t>
      </w:r>
      <w:r>
        <w:t>.</w:t>
      </w:r>
      <w:r>
        <w:rPr>
          <w:rStyle w:val="FootnoteReference"/>
        </w:rPr>
        <w:footnoteReference w:id="88"/>
      </w:r>
      <w:r>
        <w:t xml:space="preserve"> </w:t>
      </w:r>
      <w:r w:rsidRPr="00EC3865">
        <w:t xml:space="preserve"> </w:t>
      </w:r>
      <w:r>
        <w:t xml:space="preserve">Such </w:t>
      </w:r>
      <w:r w:rsidRPr="00EC3865">
        <w:t>market modification</w:t>
      </w:r>
      <w:r>
        <w:t>s enable avoidance of rigid adherence to Nielsen’s DMA assignments by adding or removing</w:t>
      </w:r>
      <w:r w:rsidRPr="00EC3865">
        <w:t xml:space="preserve"> communities </w:t>
      </w:r>
      <w:r>
        <w:t>from</w:t>
      </w:r>
      <w:r w:rsidRPr="00EC3865">
        <w:t xml:space="preserve"> a </w:t>
      </w:r>
      <w:r>
        <w:t xml:space="preserve">DMA-based </w:t>
      </w:r>
      <w:r w:rsidRPr="00EC3865">
        <w:t xml:space="preserve">local television market </w:t>
      </w:r>
      <w:r>
        <w:t xml:space="preserve">for the purposes of </w:t>
      </w:r>
      <w:r w:rsidRPr="00EC3865">
        <w:t>broa</w:t>
      </w:r>
      <w:r>
        <w:t>dcast station carriage rights.</w:t>
      </w:r>
      <w:r>
        <w:rPr>
          <w:rStyle w:val="FootnoteReference"/>
        </w:rPr>
        <w:footnoteReference w:id="89"/>
      </w:r>
      <w:r>
        <w:t xml:space="preserve">  In addition, the Commission </w:t>
      </w:r>
      <w:r w:rsidRPr="00CA0376">
        <w:t>amend</w:t>
      </w:r>
      <w:r>
        <w:t>ed</w:t>
      </w:r>
      <w:r w:rsidRPr="00CA0376">
        <w:t xml:space="preserve"> the </w:t>
      </w:r>
      <w:r>
        <w:t xml:space="preserve">existing </w:t>
      </w:r>
      <w:r w:rsidRPr="00CA0376">
        <w:t>rule</w:t>
      </w:r>
      <w:r>
        <w:t>s</w:t>
      </w:r>
      <w:r w:rsidRPr="00CA0376">
        <w:t xml:space="preserve"> to reflect </w:t>
      </w:r>
      <w:r>
        <w:t xml:space="preserve">the </w:t>
      </w:r>
      <w:r w:rsidRPr="00CA0376">
        <w:t xml:space="preserve">STELAR provisions that apply uniquely to satellite carriers, such as an exception if the resulting </w:t>
      </w:r>
      <w:r>
        <w:t xml:space="preserve">modified </w:t>
      </w:r>
      <w:r w:rsidRPr="00CA0376">
        <w:t>carriage is “not technically and economically feasible</w:t>
      </w:r>
      <w:r>
        <w:t>.”</w:t>
      </w:r>
      <w:r>
        <w:rPr>
          <w:rStyle w:val="FootnoteReference"/>
        </w:rPr>
        <w:footnoteReference w:id="90"/>
      </w:r>
      <w:r>
        <w:t xml:space="preserve">  The Commission also concluded that the purpose of the STELAR in promoting</w:t>
      </w:r>
      <w:r w:rsidRPr="00AB41A5">
        <w:t xml:space="preserve"> consumer</w:t>
      </w:r>
      <w:r>
        <w:t xml:space="preserve"> access to in-state programming would be better facilitated</w:t>
      </w:r>
      <w:r w:rsidRPr="00AB41A5">
        <w:t xml:space="preserve"> by also permitting a county governmental entity (such as a county board, council, commission</w:t>
      </w:r>
      <w:r w:rsidR="003C760E">
        <w:t>,</w:t>
      </w:r>
      <w:r w:rsidRPr="00AB41A5">
        <w:t xml:space="preserve"> or other equivalent subdivision) to file a satellite market modification petition</w:t>
      </w:r>
      <w:r>
        <w:t>.</w:t>
      </w:r>
      <w:r>
        <w:rPr>
          <w:rStyle w:val="FootnoteReference"/>
        </w:rPr>
        <w:footnoteReference w:id="91"/>
      </w:r>
      <w:r>
        <w:t xml:space="preserve">  The new rules became effective on February 25, 2016.</w:t>
      </w:r>
      <w:r w:rsidR="002A6E33">
        <w:rPr>
          <w:rStyle w:val="FootnoteReference"/>
        </w:rPr>
        <w:footnoteReference w:id="92"/>
      </w:r>
      <w:bookmarkEnd w:id="14"/>
    </w:p>
    <w:p w:rsidR="003A2C34" w:rsidRDefault="00A6788C" w:rsidP="00454B4E">
      <w:pPr>
        <w:pStyle w:val="ParaNum"/>
      </w:pPr>
      <w:bookmarkStart w:id="15" w:name="_Ref452470638"/>
      <w:r w:rsidRPr="00510B12">
        <w:rPr>
          <w:i/>
        </w:rPr>
        <w:t>Program Exclusivity</w:t>
      </w:r>
      <w:r>
        <w:t xml:space="preserve">.  </w:t>
      </w:r>
      <w:r w:rsidRPr="005B652F">
        <w:t xml:space="preserve">A broadcaster </w:t>
      </w:r>
      <w:r>
        <w:t>may</w:t>
      </w:r>
      <w:r w:rsidRPr="005B652F">
        <w:t xml:space="preserve"> carry network and syndicated programming on its local television station</w:t>
      </w:r>
      <w:r>
        <w:t xml:space="preserve"> or stations</w:t>
      </w:r>
      <w:r w:rsidRPr="005B652F">
        <w:t xml:space="preserve"> only with the permission of the networks or syndicators that own or hold the rights to that programming. </w:t>
      </w:r>
      <w:r>
        <w:t xml:space="preserve"> </w:t>
      </w:r>
      <w:r w:rsidRPr="005B652F">
        <w:t>Broadcast sta</w:t>
      </w:r>
      <w:r>
        <w:t>tions often negotiate to be the</w:t>
      </w:r>
      <w:r w:rsidRPr="005B652F">
        <w:t xml:space="preserve"> exclusive distributor of specific programming in a local market. </w:t>
      </w:r>
      <w:r>
        <w:t xml:space="preserve"> T</w:t>
      </w:r>
      <w:r w:rsidRPr="005B652F">
        <w:t>he Commis</w:t>
      </w:r>
      <w:r>
        <w:t xml:space="preserve">sion’s program exclusivity </w:t>
      </w:r>
      <w:r w:rsidRPr="005B652F">
        <w:t>rules, along with provisions in network and syndication programming contracts, protect the rights of stations to be the exclusive distributor</w:t>
      </w:r>
      <w:r>
        <w:t xml:space="preserve"> </w:t>
      </w:r>
      <w:r w:rsidR="001A231A">
        <w:t>of programming in a local market</w:t>
      </w:r>
      <w:r>
        <w:t>.</w:t>
      </w:r>
      <w:r w:rsidR="001A231A">
        <w:rPr>
          <w:rStyle w:val="FootnoteReference"/>
        </w:rPr>
        <w:footnoteReference w:id="93"/>
      </w:r>
      <w:r>
        <w:t xml:space="preserve">  </w:t>
      </w:r>
      <w:r w:rsidRPr="00AF38A0">
        <w:t>The network non-duplication rules protect a local commercial or noncommerci</w:t>
      </w:r>
      <w:r>
        <w:t>al broadcast television station’</w:t>
      </w:r>
      <w:r w:rsidRPr="00AF38A0">
        <w:t>s right to be the exclusive distributor of network programming within a specified zone and require programming subject to the rules to be blacked out when carried on anothe</w:t>
      </w:r>
      <w:r>
        <w:t>r station’</w:t>
      </w:r>
      <w:r w:rsidRPr="00AF38A0">
        <w:t>s signal imported by an MVPD into the local station</w:t>
      </w:r>
      <w:r>
        <w:t>’</w:t>
      </w:r>
      <w:r w:rsidRPr="00AF38A0">
        <w:t>s zone of protection</w:t>
      </w:r>
      <w:r>
        <w:t>.</w:t>
      </w:r>
      <w:r>
        <w:rPr>
          <w:rStyle w:val="FootnoteReference"/>
        </w:rPr>
        <w:footnoteReference w:id="94"/>
      </w:r>
      <w:r>
        <w:t xml:space="preserve">  </w:t>
      </w:r>
      <w:r w:rsidRPr="00AF38A0">
        <w:t>Similarly, the syndicated exclusivity rules protect the exclusive distribution rights of a commercial broadcast television station or a distributor of syndicated programming within a 35-mile geographic zone surrounding a television station</w:t>
      </w:r>
      <w:r>
        <w:t>’</w:t>
      </w:r>
      <w:r w:rsidRPr="00AF38A0">
        <w:t>s city of license.</w:t>
      </w:r>
      <w:r>
        <w:rPr>
          <w:rStyle w:val="FootnoteReference"/>
        </w:rPr>
        <w:footnoteReference w:id="95"/>
      </w:r>
      <w:r>
        <w:t xml:space="preserve">  </w:t>
      </w:r>
      <w:r w:rsidRPr="00454B4E">
        <w:t xml:space="preserve">On March 31, 2014, the Commission released a Further Notice of </w:t>
      </w:r>
      <w:r>
        <w:t xml:space="preserve">Proposed Rulemaking, </w:t>
      </w:r>
      <w:r w:rsidRPr="00454B4E">
        <w:t xml:space="preserve">seeking comment on whether to </w:t>
      </w:r>
      <w:r w:rsidR="00FE518F" w:rsidRPr="00454B4E">
        <w:t xml:space="preserve">modify or </w:t>
      </w:r>
      <w:r w:rsidRPr="00454B4E">
        <w:t>eliminate the network non-duplication and syndicated exclusivity rules</w:t>
      </w:r>
      <w:r>
        <w:t>.</w:t>
      </w:r>
      <w:r>
        <w:rPr>
          <w:rStyle w:val="FootnoteReference"/>
        </w:rPr>
        <w:footnoteReference w:id="96"/>
      </w:r>
      <w:bookmarkEnd w:id="15"/>
      <w:r w:rsidR="00454B4E">
        <w:t xml:space="preserve">  </w:t>
      </w:r>
    </w:p>
    <w:p w:rsidR="00DE025B" w:rsidRDefault="00A6788C" w:rsidP="0007066C">
      <w:pPr>
        <w:pStyle w:val="ParaNum"/>
        <w:widowControl/>
      </w:pPr>
      <w:r>
        <w:t>On September 30, 2014, the Commission adopted a Report and Order that repealed the sports blackout rules</w:t>
      </w:r>
      <w:r w:rsidR="005E2CB7">
        <w:t xml:space="preserve">, which </w:t>
      </w:r>
      <w:r w:rsidR="005E2CB7" w:rsidRPr="00441741">
        <w:t>prohibited cable and satellite operators from airing any sports event that had been blacked out on a local broadcast station</w:t>
      </w:r>
      <w:r>
        <w:t>.</w:t>
      </w:r>
      <w:r>
        <w:rPr>
          <w:rStyle w:val="FootnoteReference"/>
        </w:rPr>
        <w:footnoteReference w:id="97"/>
      </w:r>
      <w:r>
        <w:t xml:space="preserve">  Finding that the sports industry had evolved dramatically over the last forty years, the Commission concluded that the sports blackout rules were no longer necessary to ensure that sports programming remains widely available to television viewers.</w:t>
      </w:r>
      <w:r>
        <w:rPr>
          <w:rStyle w:val="FootnoteReference"/>
        </w:rPr>
        <w:footnoteReference w:id="98"/>
      </w:r>
      <w:r>
        <w:t xml:space="preserve">  The Commission also concluded </w:t>
      </w:r>
      <w:r w:rsidRPr="00425675">
        <w:t xml:space="preserve">that the elimination of the sports blackout rules </w:t>
      </w:r>
      <w:r>
        <w:t>would not</w:t>
      </w:r>
      <w:r w:rsidRPr="00425675">
        <w:t xml:space="preserve"> adversely impact localism in broadcasting.</w:t>
      </w:r>
      <w:r>
        <w:rPr>
          <w:rStyle w:val="FootnoteReference"/>
        </w:rPr>
        <w:footnoteReference w:id="99"/>
      </w:r>
      <w:r>
        <w:t xml:space="preserve">  The Commission noted that, in the absence of sports blackouts, </w:t>
      </w:r>
      <w:r w:rsidRPr="00425675">
        <w:t xml:space="preserve">local stations in markets </w:t>
      </w:r>
      <w:r w:rsidR="003C760E">
        <w:t xml:space="preserve">otherwise </w:t>
      </w:r>
      <w:r w:rsidRPr="00425675">
        <w:t>prone to blackouts may carry more games and earn more advertising revenues</w:t>
      </w:r>
      <w:r w:rsidR="003C760E">
        <w:t>,</w:t>
      </w:r>
      <w:r>
        <w:t xml:space="preserve"> which would benefit localism</w:t>
      </w:r>
      <w:r w:rsidRPr="00425675">
        <w:t>.</w:t>
      </w:r>
      <w:r>
        <w:rPr>
          <w:rStyle w:val="FootnoteReference"/>
        </w:rPr>
        <w:footnoteReference w:id="100"/>
      </w:r>
    </w:p>
    <w:p w:rsidR="003C2D34" w:rsidRDefault="00125C18" w:rsidP="003C2D34">
      <w:pPr>
        <w:pStyle w:val="Heading1"/>
      </w:pPr>
      <w:bookmarkStart w:id="16" w:name="_Toc448311216"/>
      <w:bookmarkStart w:id="17" w:name="_Toc452456829"/>
      <w:bookmarkStart w:id="18" w:name="_Toc448130176"/>
      <w:bookmarkStart w:id="19" w:name="_Toc448153841"/>
      <w:bookmarkStart w:id="20" w:name="_Toc448230170"/>
      <w:r>
        <w:t>Section 109(</w:t>
      </w:r>
      <w:r w:rsidRPr="009018AC">
        <w:rPr>
          <w:caps w:val="0"/>
        </w:rPr>
        <w:t>a</w:t>
      </w:r>
      <w:r>
        <w:t xml:space="preserve">)(1)(A):  </w:t>
      </w:r>
      <w:r w:rsidR="0066489B">
        <w:t xml:space="preserve">Analysis of </w:t>
      </w:r>
      <w:r w:rsidR="003C2D34">
        <w:t>Findings</w:t>
      </w:r>
      <w:bookmarkEnd w:id="16"/>
      <w:bookmarkEnd w:id="17"/>
      <w:r w:rsidR="00306735" w:rsidRPr="00306735">
        <w:t xml:space="preserve"> </w:t>
      </w:r>
      <w:bookmarkEnd w:id="18"/>
      <w:bookmarkEnd w:id="19"/>
      <w:bookmarkEnd w:id="20"/>
    </w:p>
    <w:p w:rsidR="00903891" w:rsidRDefault="00903891" w:rsidP="00A923D0">
      <w:pPr>
        <w:pStyle w:val="ParaNum"/>
      </w:pPr>
      <w:r>
        <w:t xml:space="preserve"> </w:t>
      </w:r>
      <w:r w:rsidR="00C03A11" w:rsidRPr="0066489B">
        <w:t>Section 109(a)(1)(A)</w:t>
      </w:r>
      <w:r w:rsidR="00C03A11">
        <w:t xml:space="preserve"> of the STELAR requires the Commission to analyze </w:t>
      </w:r>
      <w:r w:rsidR="00A72A04">
        <w:t>“</w:t>
      </w:r>
      <w:r w:rsidR="00C03A11">
        <w:t xml:space="preserve">the extent to which consumers in each local market have access to broadcast programming from television broadcast stations located outside their local markets, including through carriage by cable operators and satellite carriers of signals that are significantly viewed (within the meaning of </w:t>
      </w:r>
      <w:r w:rsidR="00C03A11" w:rsidRPr="00A72A04">
        <w:t>Section 340 of the Communications Act of 1934 (47 U.S.C. 340)).</w:t>
      </w:r>
      <w:r w:rsidR="00A72A04">
        <w:t>”</w:t>
      </w:r>
      <w:r w:rsidR="00C03A11" w:rsidRPr="00A72A04">
        <w:rPr>
          <w:rStyle w:val="FootnoteReference"/>
        </w:rPr>
        <w:footnoteReference w:id="101"/>
      </w:r>
      <w:r w:rsidR="00C03A11" w:rsidRPr="00A72A04">
        <w:t xml:space="preserve">  We interpret Sectio</w:t>
      </w:r>
      <w:r w:rsidR="00C03A11">
        <w:t xml:space="preserve">n 109(a)(1)(A) to require the Commission to identify in each DMA the out-of-market broadcast stations available </w:t>
      </w:r>
      <w:r w:rsidR="00F40F86">
        <w:t>over the air</w:t>
      </w:r>
      <w:r w:rsidR="00C03A11">
        <w:t xml:space="preserve"> or carried by DBS, cable, and telephone MVPDs, and the number of consumers that have access to such out-of-market broadcast station</w:t>
      </w:r>
      <w:r w:rsidR="000A13F4">
        <w:t>s</w:t>
      </w:r>
      <w:r w:rsidR="00C03A11">
        <w:t xml:space="preserve"> through any of these distribution means.</w:t>
      </w:r>
      <w:r w:rsidR="00C03A11">
        <w:rPr>
          <w:rStyle w:val="FootnoteReference"/>
        </w:rPr>
        <w:footnoteReference w:id="102"/>
      </w:r>
      <w:r w:rsidR="00C03A11">
        <w:t xml:space="preserve">  By “out-of-market” stations, we mean broadcast stations that are </w:t>
      </w:r>
      <w:r w:rsidR="00A923D0" w:rsidRPr="00A923D0">
        <w:t xml:space="preserve">licensed to a community located in a market other than that in which </w:t>
      </w:r>
      <w:r w:rsidR="00C03A11">
        <w:t xml:space="preserve">the consumer resides.  </w:t>
      </w:r>
      <w:r w:rsidR="000A13F4">
        <w:t>As noted, o</w:t>
      </w:r>
      <w:r w:rsidR="00C03A11">
        <w:t xml:space="preserve">ut-of-market stations </w:t>
      </w:r>
      <w:r w:rsidR="000A13F4">
        <w:t xml:space="preserve">are </w:t>
      </w:r>
      <w:r w:rsidR="00C03A11">
        <w:t xml:space="preserve">also referred to as “distant” or “imported” signals, as they are distant to the consumer’s own </w:t>
      </w:r>
      <w:r w:rsidR="003A4AA9">
        <w:t xml:space="preserve">local </w:t>
      </w:r>
      <w:r w:rsidR="00C03A11">
        <w:t>market and thus would need to be imported into the market if they were to be carried by an MVPD.</w:t>
      </w:r>
      <w:r w:rsidR="00A72A04">
        <w:t xml:space="preserve">  </w:t>
      </w:r>
    </w:p>
    <w:p w:rsidR="00903891" w:rsidRDefault="00C03A11" w:rsidP="00AA7ECC">
      <w:pPr>
        <w:pStyle w:val="ParaNum"/>
      </w:pPr>
      <w:r>
        <w:t>As noted above, the Commission previously reported to Congress in 2011 regarding the extent to which consumers in a state receive broadcast signals from stations licensed to the same state in which they reside or to a different state.</w:t>
      </w:r>
      <w:r>
        <w:rPr>
          <w:rStyle w:val="FootnoteReference"/>
        </w:rPr>
        <w:footnoteReference w:id="103"/>
      </w:r>
      <w:r>
        <w:t xml:space="preserve">  While the data gathered in the </w:t>
      </w:r>
      <w:r>
        <w:rPr>
          <w:i/>
        </w:rPr>
        <w:t xml:space="preserve">In-State Programming </w:t>
      </w:r>
      <w:r w:rsidRPr="00AB4CA0">
        <w:rPr>
          <w:i/>
        </w:rPr>
        <w:t>Report</w:t>
      </w:r>
      <w:r>
        <w:t xml:space="preserve"> provided information about consumer access to in-state and out-of-state broadcast stations, </w:t>
      </w:r>
      <w:r w:rsidR="00A446A1">
        <w:t>the</w:t>
      </w:r>
      <w:r>
        <w:t xml:space="preserve"> focus in this Report</w:t>
      </w:r>
      <w:r w:rsidR="00C54BD7">
        <w:t xml:space="preserve">, based on the </w:t>
      </w:r>
      <w:r w:rsidR="00200EC2">
        <w:t>new and different directive</w:t>
      </w:r>
      <w:r w:rsidR="00C54BD7">
        <w:t xml:space="preserve"> in </w:t>
      </w:r>
      <w:r w:rsidR="00200EC2">
        <w:t>Section 109(a)</w:t>
      </w:r>
      <w:r w:rsidR="0042615C">
        <w:t>(1)(A)</w:t>
      </w:r>
      <w:r w:rsidR="00200EC2">
        <w:t xml:space="preserve"> of the </w:t>
      </w:r>
      <w:r w:rsidR="00C54BD7">
        <w:t>STELAR,</w:t>
      </w:r>
      <w:r>
        <w:t xml:space="preserve"> is on consumers’ access to out-of-market stations, </w:t>
      </w:r>
      <w:r w:rsidR="004C67F3">
        <w:t xml:space="preserve">and so we include data on such stations that are </w:t>
      </w:r>
      <w:r>
        <w:t xml:space="preserve">located </w:t>
      </w:r>
      <w:r w:rsidR="004C67F3">
        <w:t xml:space="preserve">either </w:t>
      </w:r>
      <w:r>
        <w:t>in the same or a different state as the consumer.</w:t>
      </w:r>
    </w:p>
    <w:p w:rsidR="004D5EAD" w:rsidRDefault="00C03A11" w:rsidP="00FC6A77">
      <w:pPr>
        <w:pStyle w:val="ParaNum"/>
      </w:pPr>
      <w:r>
        <w:t>We note that</w:t>
      </w:r>
      <w:r w:rsidR="000A13F4">
        <w:t>,</w:t>
      </w:r>
      <w:r>
        <w:t xml:space="preserve"> consistent with the limitations outlined in the </w:t>
      </w:r>
      <w:r>
        <w:rPr>
          <w:i/>
        </w:rPr>
        <w:t>STELAR Report PN</w:t>
      </w:r>
      <w:r>
        <w:t>,</w:t>
      </w:r>
      <w:r w:rsidR="00A658C0">
        <w:rPr>
          <w:rStyle w:val="FootnoteReference"/>
        </w:rPr>
        <w:footnoteReference w:id="104"/>
      </w:r>
      <w:r>
        <w:t xml:space="preserve"> in conducting our analysis we were unable to locate a single data source that would allow us to evaluate the extent to which consumers receive out-of-market broadcast programming from television broadcast stations, DBS, cable, and telephone MVPDs.</w:t>
      </w:r>
      <w:r>
        <w:rPr>
          <w:rStyle w:val="FootnoteReference"/>
        </w:rPr>
        <w:footnoteReference w:id="105"/>
      </w:r>
      <w:r>
        <w:t xml:space="preserve">  Accordingly, i</w:t>
      </w:r>
      <w:r w:rsidRPr="00752756">
        <w:t xml:space="preserve">n order to </w:t>
      </w:r>
      <w:r>
        <w:t>examine</w:t>
      </w:r>
      <w:r w:rsidRPr="00752756">
        <w:t xml:space="preserve"> this issue we have analyzed </w:t>
      </w:r>
      <w:r>
        <w:t>data and information from multiple sources, as</w:t>
      </w:r>
      <w:r w:rsidRPr="00D25ED5">
        <w:t xml:space="preserve"> </w:t>
      </w:r>
      <w:r>
        <w:t xml:space="preserve">outlined in further detail </w:t>
      </w:r>
      <w:r w:rsidRPr="00F0395D">
        <w:t>below</w:t>
      </w:r>
      <w:r>
        <w:t xml:space="preserve">.  Our analysis consists of </w:t>
      </w:r>
      <w:r w:rsidRPr="00752756">
        <w:t xml:space="preserve">four primary </w:t>
      </w:r>
      <w:r>
        <w:t>components</w:t>
      </w:r>
      <w:r w:rsidRPr="00752756">
        <w:t>.</w:t>
      </w:r>
      <w:r>
        <w:rPr>
          <w:rStyle w:val="FootnoteReference"/>
        </w:rPr>
        <w:footnoteReference w:id="106"/>
      </w:r>
      <w:r w:rsidRPr="00752756">
        <w:t xml:space="preserve">  First, consistent with the </w:t>
      </w:r>
      <w:r w:rsidRPr="00752756">
        <w:rPr>
          <w:i/>
        </w:rPr>
        <w:t>STELAR Report PN</w:t>
      </w:r>
      <w:r w:rsidRPr="00752756">
        <w:t xml:space="preserve">, we have examined the extent to which consumers have access to out-of-market signals </w:t>
      </w:r>
      <w:r w:rsidR="00CD08B7">
        <w:t>received</w:t>
      </w:r>
      <w:r w:rsidRPr="00752756">
        <w:t xml:space="preserve"> </w:t>
      </w:r>
      <w:r w:rsidR="00F40F86">
        <w:t>over the air</w:t>
      </w:r>
      <w:r>
        <w:t xml:space="preserve"> by constructing a database with details of the predicted signal reach of </w:t>
      </w:r>
      <w:r w:rsidR="00E50313">
        <w:t xml:space="preserve">broadcast </w:t>
      </w:r>
      <w:r>
        <w:t>television stations</w:t>
      </w:r>
      <w:r w:rsidRPr="00752756">
        <w:t>.</w:t>
      </w:r>
      <w:r w:rsidR="00A658C0">
        <w:rPr>
          <w:rStyle w:val="FootnoteReference"/>
        </w:rPr>
        <w:footnoteReference w:id="107"/>
      </w:r>
      <w:r w:rsidRPr="00752756">
        <w:t xml:space="preserve">  </w:t>
      </w:r>
      <w:r w:rsidR="00322654" w:rsidRPr="00752756">
        <w:t xml:space="preserve">Second, we have reviewed the </w:t>
      </w:r>
      <w:r w:rsidR="00A21009">
        <w:t>out-of-market</w:t>
      </w:r>
      <w:r w:rsidR="00A21009" w:rsidRPr="00752756">
        <w:t xml:space="preserve"> </w:t>
      </w:r>
      <w:r w:rsidR="00322654" w:rsidRPr="00752756">
        <w:t xml:space="preserve">signals carried by DBS providers to analyze </w:t>
      </w:r>
      <w:r w:rsidR="00A21009">
        <w:t xml:space="preserve">the degree to which </w:t>
      </w:r>
      <w:r w:rsidR="00322654" w:rsidRPr="00752756">
        <w:t>satellite subscribers have access to out-of-market signals.</w:t>
      </w:r>
      <w:r w:rsidR="001C23A8">
        <w:rPr>
          <w:rStyle w:val="FootnoteReference"/>
        </w:rPr>
        <w:footnoteReference w:id="108"/>
      </w:r>
      <w:r w:rsidRPr="00752756">
        <w:t xml:space="preserve">  Third, we have look</w:t>
      </w:r>
      <w:r>
        <w:t>ed</w:t>
      </w:r>
      <w:r w:rsidRPr="00752756">
        <w:t xml:space="preserve"> at</w:t>
      </w:r>
      <w:r>
        <w:t xml:space="preserve"> Nielsen data in order to examine whether Nielsen has recorded viewership of out-of-market signals in a market other </w:t>
      </w:r>
      <w:r w:rsidR="00E50313">
        <w:t>than the station’s home market.</w:t>
      </w:r>
      <w:r>
        <w:t xml:space="preserve">  Fourth, we have conducted a number of case studies to examine the extent to which consumers in selected counties within DMAs that encompass multiple states have access to distant signals via cable, telephone MVPDs, DBS, or </w:t>
      </w:r>
      <w:r w:rsidR="00F40F86">
        <w:t>over the air</w:t>
      </w:r>
      <w:r>
        <w:t>, includi</w:t>
      </w:r>
      <w:r w:rsidR="00200EC2">
        <w:t>ng full power, Class A</w:t>
      </w:r>
      <w:r>
        <w:t>, low power, and TV translator stations.</w:t>
      </w:r>
    </w:p>
    <w:p w:rsidR="00C03A11" w:rsidRDefault="00C03A11" w:rsidP="00FC6A77">
      <w:pPr>
        <w:pStyle w:val="ParaNum"/>
      </w:pPr>
      <w:r>
        <w:t>Noting that aggregating information at the DMA level might not provide sufficient analysis, we proposed to look at consumers’ access to out-of-market signals at the county level as well as the DMA level.</w:t>
      </w:r>
      <w:r>
        <w:rPr>
          <w:rStyle w:val="FootnoteReference"/>
        </w:rPr>
        <w:footnoteReference w:id="109"/>
      </w:r>
      <w:r>
        <w:t xml:space="preserve">  We received no comments suggesting </w:t>
      </w:r>
      <w:r w:rsidR="00F4644F">
        <w:t xml:space="preserve">that </w:t>
      </w:r>
      <w:r>
        <w:t>our analysis should be done using a different geographic area.  Therefore</w:t>
      </w:r>
      <w:r w:rsidR="00825D45">
        <w:t>,</w:t>
      </w:r>
      <w:r>
        <w:t xml:space="preserve"> the following analysis looks at both DMAs and counties within DMAs</w:t>
      </w:r>
      <w:r w:rsidR="00CD08B7">
        <w:t>, as appropriate, in order</w:t>
      </w:r>
      <w:r>
        <w:t xml:space="preserve"> to assess the extent </w:t>
      </w:r>
      <w:r w:rsidR="00CD08B7">
        <w:t>to which</w:t>
      </w:r>
      <w:r>
        <w:t xml:space="preserve"> consumers have access to distant signals consistent with Section 109.</w:t>
      </w:r>
    </w:p>
    <w:p w:rsidR="00C03A11" w:rsidRDefault="00C03A11" w:rsidP="00FC6A77">
      <w:pPr>
        <w:pStyle w:val="ParaNum"/>
      </w:pPr>
      <w:r>
        <w:t>With respect to the first component</w:t>
      </w:r>
      <w:r w:rsidR="00F4644F">
        <w:t xml:space="preserve">, </w:t>
      </w:r>
      <w:r>
        <w:t xml:space="preserve">the availability of broadcast stations </w:t>
      </w:r>
      <w:r w:rsidR="00F40F86">
        <w:t>over the air</w:t>
      </w:r>
      <w:r>
        <w:t xml:space="preserve">, we adopt </w:t>
      </w:r>
      <w:r w:rsidR="005E2750">
        <w:t>a</w:t>
      </w:r>
      <w:r>
        <w:t xml:space="preserve"> methodology similar to that used by the Bureau to calculate reception of </w:t>
      </w:r>
      <w:r w:rsidR="00825D45">
        <w:t>in</w:t>
      </w:r>
      <w:r>
        <w:t>-</w:t>
      </w:r>
      <w:r w:rsidR="00825D45">
        <w:t>state</w:t>
      </w:r>
      <w:r>
        <w:t xml:space="preserve"> signals by households for the </w:t>
      </w:r>
      <w:r w:rsidR="00B413A1" w:rsidRPr="00771745">
        <w:rPr>
          <w:i/>
        </w:rPr>
        <w:t>In-State Programming Report</w:t>
      </w:r>
      <w:r>
        <w:t>.</w:t>
      </w:r>
      <w:r>
        <w:rPr>
          <w:rStyle w:val="FootnoteReference"/>
        </w:rPr>
        <w:footnoteReference w:id="110"/>
      </w:r>
      <w:r>
        <w:t xml:space="preserve">  To perform this analysis, the Bureau used the Commission’s Office of Engineering and Technology Bulletin No. 69 (OET Bulletin No. 69) methodology to predict the service area of each broadcast station.</w:t>
      </w:r>
      <w:r>
        <w:rPr>
          <w:rStyle w:val="FootnoteReference"/>
        </w:rPr>
        <w:footnoteReference w:id="111"/>
      </w:r>
      <w:r>
        <w:t xml:space="preserve">  </w:t>
      </w:r>
      <w:r w:rsidR="000E480D">
        <w:t>The National Association of Broadcasters (</w:t>
      </w:r>
      <w:r>
        <w:t>NAB</w:t>
      </w:r>
      <w:r w:rsidR="000E480D">
        <w:t>)</w:t>
      </w:r>
      <w:r>
        <w:t xml:space="preserve"> suggests that</w:t>
      </w:r>
      <w:r w:rsidR="00E90E1A">
        <w:t>,</w:t>
      </w:r>
      <w:r>
        <w:t xml:space="preserve"> in order to provide a complete picture of consumers’ acces</w:t>
      </w:r>
      <w:r w:rsidR="00C54BD7">
        <w:t xml:space="preserve">s to broadcast programming, </w:t>
      </w:r>
      <w:r>
        <w:t>multicast as well as primary streams should be included in the analysis.</w:t>
      </w:r>
      <w:r>
        <w:rPr>
          <w:rStyle w:val="FootnoteReference"/>
        </w:rPr>
        <w:footnoteReference w:id="112"/>
      </w:r>
      <w:r>
        <w:t xml:space="preserve">  </w:t>
      </w:r>
      <w:r w:rsidR="00825D45">
        <w:t xml:space="preserve">While such information is not readily or consistently available for all broadcast stations, we have attempted to include information about multicast channels where available, for example in the Case Studies.  </w:t>
      </w:r>
      <w:r>
        <w:t>For our analysis</w:t>
      </w:r>
      <w:r w:rsidR="00825D45">
        <w:t xml:space="preserve"> of </w:t>
      </w:r>
      <w:r w:rsidR="00F40F86">
        <w:t>over the air</w:t>
      </w:r>
      <w:r w:rsidR="00825D45">
        <w:t xml:space="preserve"> reception we</w:t>
      </w:r>
      <w:r>
        <w:t xml:space="preserve"> include full power commercial and noncommercial educational television stations</w:t>
      </w:r>
      <w:r w:rsidR="00824CDC">
        <w:t xml:space="preserve">.  </w:t>
      </w:r>
      <w:r w:rsidR="00AC7D06">
        <w:t>W</w:t>
      </w:r>
      <w:r w:rsidR="00824CDC">
        <w:t xml:space="preserve">e also </w:t>
      </w:r>
      <w:r w:rsidR="00AC7D06">
        <w:t>include separately an analysis of</w:t>
      </w:r>
      <w:r w:rsidR="00791CF8" w:rsidRPr="00286514">
        <w:t xml:space="preserve"> </w:t>
      </w:r>
      <w:r w:rsidR="00F40F86">
        <w:t>over the air</w:t>
      </w:r>
      <w:r w:rsidR="00824CDC">
        <w:t xml:space="preserve"> </w:t>
      </w:r>
      <w:r w:rsidR="00193C37" w:rsidRPr="00286514">
        <w:t>reception of</w:t>
      </w:r>
      <w:r w:rsidR="00825D45" w:rsidRPr="00286514">
        <w:t xml:space="preserve"> </w:t>
      </w:r>
      <w:r w:rsidR="00193C37" w:rsidRPr="00286514">
        <w:t xml:space="preserve">low power, </w:t>
      </w:r>
      <w:r w:rsidR="00825D45" w:rsidRPr="00286514">
        <w:t>Class A</w:t>
      </w:r>
      <w:r w:rsidR="00193C37" w:rsidRPr="00286514">
        <w:t xml:space="preserve">, and television </w:t>
      </w:r>
      <w:r w:rsidR="00825D45" w:rsidRPr="00286514">
        <w:t>translator stations</w:t>
      </w:r>
      <w:r>
        <w:t>.</w:t>
      </w:r>
      <w:r w:rsidR="00825D45">
        <w:t xml:space="preserve"> </w:t>
      </w:r>
    </w:p>
    <w:p w:rsidR="00C03A11" w:rsidRDefault="009C694B" w:rsidP="001E5BD6">
      <w:pPr>
        <w:pStyle w:val="ParaNum"/>
        <w:widowControl/>
      </w:pPr>
      <w:r>
        <w:t>For the second component, DBS carriage of broadcast stations, we have used</w:t>
      </w:r>
      <w:r w:rsidR="00F72193">
        <w:t xml:space="preserve"> carriage information provided by DIRECTV and DISH</w:t>
      </w:r>
      <w:r w:rsidR="00C03A11">
        <w:t>.</w:t>
      </w:r>
      <w:r w:rsidR="00C03A11">
        <w:rPr>
          <w:rStyle w:val="FootnoteReference"/>
        </w:rPr>
        <w:footnoteReference w:id="113"/>
      </w:r>
      <w:r w:rsidR="00C03A11">
        <w:t xml:space="preserve">  </w:t>
      </w:r>
      <w:r w:rsidR="00F72193">
        <w:t>For data on significantly viewed stations, DIRECTV and DISH provided the Bureau with lists of the broadcast stations that they currently carry pursuant to the</w:t>
      </w:r>
      <w:r w:rsidR="00906022">
        <w:t xml:space="preserve"> station’s</w:t>
      </w:r>
      <w:r w:rsidR="004C152A">
        <w:t xml:space="preserve"> significantly viewed status</w:t>
      </w:r>
      <w:r w:rsidR="00F72193">
        <w:t xml:space="preserve"> and</w:t>
      </w:r>
      <w:r w:rsidR="007516AD">
        <w:t xml:space="preserve"> </w:t>
      </w:r>
      <w:r w:rsidR="00112356">
        <w:t xml:space="preserve">indicated </w:t>
      </w:r>
      <w:r w:rsidR="00F72193">
        <w:t>the markets in which these stations are carried.</w:t>
      </w:r>
      <w:r w:rsidR="00F72193">
        <w:rPr>
          <w:rStyle w:val="FootnoteReference"/>
        </w:rPr>
        <w:footnoteReference w:id="114"/>
      </w:r>
      <w:r w:rsidR="00F72193">
        <w:t xml:space="preserve">  DISH </w:t>
      </w:r>
      <w:r w:rsidR="0099305D">
        <w:t xml:space="preserve">and DIRECTV </w:t>
      </w:r>
      <w:r w:rsidR="00F72193">
        <w:t>also provided the Bureau with lists of the stations that they</w:t>
      </w:r>
      <w:r w:rsidR="007516AD">
        <w:t xml:space="preserve"> carry in short markets </w:t>
      </w:r>
      <w:r w:rsidR="0099305D">
        <w:t>t</w:t>
      </w:r>
      <w:r w:rsidR="007516AD">
        <w:t>o</w:t>
      </w:r>
      <w:r w:rsidR="008878FE">
        <w:t xml:space="preserve"> </w:t>
      </w:r>
      <w:r w:rsidR="0099305D">
        <w:t xml:space="preserve">fill </w:t>
      </w:r>
      <w:r w:rsidR="008878FE">
        <w:t xml:space="preserve">in </w:t>
      </w:r>
      <w:r w:rsidR="0099305D">
        <w:t xml:space="preserve">a network missing in </w:t>
      </w:r>
      <w:r w:rsidR="00906022">
        <w:t>a particular</w:t>
      </w:r>
      <w:r w:rsidR="0099305D">
        <w:t xml:space="preserve"> market</w:t>
      </w:r>
      <w:r w:rsidR="008878FE">
        <w:t>.</w:t>
      </w:r>
      <w:r w:rsidR="0099305D">
        <w:t xml:space="preserve">  </w:t>
      </w:r>
      <w:r w:rsidR="004C152A">
        <w:t xml:space="preserve">Lastly, DISH and DIRECTV have identified stations that they carry in certain states pursuant to </w:t>
      </w:r>
      <w:r w:rsidR="004C152A" w:rsidRPr="00F85B40">
        <w:t>specific statut</w:t>
      </w:r>
      <w:r w:rsidR="004C152A">
        <w:t>ory copyright exceptions.</w:t>
      </w:r>
    </w:p>
    <w:p w:rsidR="00C03A11" w:rsidRDefault="005E2750" w:rsidP="00FC6A77">
      <w:pPr>
        <w:pStyle w:val="ParaNum"/>
      </w:pPr>
      <w:r>
        <w:t>Third, we attempted to analyze access to out-of-market stations</w:t>
      </w:r>
      <w:r w:rsidR="00791CF8">
        <w:t xml:space="preserve"> within a market</w:t>
      </w:r>
      <w:r>
        <w:t xml:space="preserve"> by looking at </w:t>
      </w:r>
      <w:r w:rsidR="00C03A11">
        <w:t>actual viewership of distant signals</w:t>
      </w:r>
      <w:r>
        <w:t>.  Specifically</w:t>
      </w:r>
      <w:r w:rsidR="00C03A11">
        <w:t>, we examine</w:t>
      </w:r>
      <w:r>
        <w:t>d</w:t>
      </w:r>
      <w:r w:rsidR="00C03A11">
        <w:t xml:space="preserve"> Nielsen data for instances where </w:t>
      </w:r>
      <w:r w:rsidR="00F4644F">
        <w:t xml:space="preserve">a </w:t>
      </w:r>
      <w:r w:rsidR="00C03A11">
        <w:t>station garnered rat</w:t>
      </w:r>
      <w:r w:rsidR="004010E6">
        <w:t xml:space="preserve">ings in a market other than the </w:t>
      </w:r>
      <w:r w:rsidR="00C03A11">
        <w:t>market</w:t>
      </w:r>
      <w:r w:rsidR="004010E6">
        <w:t xml:space="preserve"> to which it is assigned</w:t>
      </w:r>
      <w:r w:rsidR="00C03A11">
        <w:t xml:space="preserve">.  As discussed in the </w:t>
      </w:r>
      <w:r w:rsidR="00C03A11">
        <w:rPr>
          <w:i/>
        </w:rPr>
        <w:t>STELAR Report PN</w:t>
      </w:r>
      <w:r w:rsidR="00C03A11" w:rsidRPr="005E2750">
        <w:t xml:space="preserve">, </w:t>
      </w:r>
      <w:r w:rsidR="00C03A11">
        <w:t xml:space="preserve">we used </w:t>
      </w:r>
      <w:r>
        <w:t xml:space="preserve">efforts similar to those used for the </w:t>
      </w:r>
      <w:r w:rsidR="00B413A1" w:rsidRPr="00771745">
        <w:rPr>
          <w:i/>
        </w:rPr>
        <w:t>In-State Programming Report</w:t>
      </w:r>
      <w:r>
        <w:t xml:space="preserve">, and sought to analyze </w:t>
      </w:r>
      <w:r w:rsidR="00C03A11">
        <w:t>Nielsen data to identify for each DMA the</w:t>
      </w:r>
      <w:r w:rsidR="00576290">
        <w:t xml:space="preserve"> number of</w:t>
      </w:r>
      <w:r w:rsidR="00C03A11">
        <w:t xml:space="preserve"> out-of-market broadcast stations</w:t>
      </w:r>
      <w:r>
        <w:t>, if any,</w:t>
      </w:r>
      <w:r w:rsidR="00C03A11">
        <w:t xml:space="preserve"> </w:t>
      </w:r>
      <w:r w:rsidR="00C54BD7">
        <w:t>that</w:t>
      </w:r>
      <w:r w:rsidR="00576290">
        <w:t xml:space="preserve"> </w:t>
      </w:r>
      <w:r w:rsidR="00C03A11">
        <w:t xml:space="preserve">earned a </w:t>
      </w:r>
      <w:r w:rsidR="00791CF8">
        <w:t xml:space="preserve">sufficient </w:t>
      </w:r>
      <w:r w:rsidR="00C03A11">
        <w:t xml:space="preserve">rating from all </w:t>
      </w:r>
      <w:r w:rsidR="00791CF8">
        <w:t xml:space="preserve">viewing </w:t>
      </w:r>
      <w:r w:rsidR="00C03A11">
        <w:t>sources</w:t>
      </w:r>
      <w:r w:rsidR="00791CF8">
        <w:t xml:space="preserve"> to warrant inclusion in Nielsen’s measurement during the relevant reporting period</w:t>
      </w:r>
      <w:r w:rsidR="00C03A11">
        <w:t>.</w:t>
      </w:r>
      <w:r w:rsidR="00C03A11">
        <w:rPr>
          <w:rStyle w:val="FootnoteReference"/>
        </w:rPr>
        <w:footnoteReference w:id="115"/>
      </w:r>
      <w:r w:rsidR="00C03A11">
        <w:t xml:space="preserve">  </w:t>
      </w:r>
    </w:p>
    <w:p w:rsidR="00C03A11" w:rsidRDefault="00C03A11" w:rsidP="00FC6A77">
      <w:pPr>
        <w:pStyle w:val="ParaNum"/>
      </w:pPr>
      <w:r>
        <w:t xml:space="preserve">Fourth, in light of the limitations on aggregated information regarding the carriage of signals by cable and </w:t>
      </w:r>
      <w:r w:rsidR="001B243D">
        <w:t>telephone</w:t>
      </w:r>
      <w:r>
        <w:t xml:space="preserve"> MVPDs, we conducted a number of targeted case studies</w:t>
      </w:r>
      <w:r w:rsidR="00B76BBF">
        <w:t xml:space="preserve"> to analyze the availability of programming by any method, but particularly by cable or telephone MVPD</w:t>
      </w:r>
      <w:r>
        <w:t xml:space="preserve">.  These case studies allowed us to examine a number of specific counties and markets in a more in-depth manner, and to identify and discuss the extent to which consumers </w:t>
      </w:r>
      <w:r w:rsidR="00791CF8">
        <w:t xml:space="preserve">in those areas </w:t>
      </w:r>
      <w:r>
        <w:t>have access to distant signals via the various distribution methods.  The case studies also sought to gather information about the programming carried by stations received in a particular county, as well as whether the station was located in the same or a different state as the county.</w:t>
      </w:r>
    </w:p>
    <w:p w:rsidR="00C03A11" w:rsidRDefault="00C03A11" w:rsidP="00FC6A77">
      <w:pPr>
        <w:pStyle w:val="ParaNum"/>
      </w:pPr>
      <w:r>
        <w:t xml:space="preserve">In determining our course of </w:t>
      </w:r>
      <w:r w:rsidR="00B76BBF">
        <w:t xml:space="preserve">analysis and honing our focus to </w:t>
      </w:r>
      <w:r>
        <w:t xml:space="preserve">these four primary means of examining access to out-of-market signals, we considered and discarded several other possible avenues because of various limitations.  For example, the </w:t>
      </w:r>
      <w:r>
        <w:rPr>
          <w:i/>
        </w:rPr>
        <w:t>STELAR Report PN</w:t>
      </w:r>
      <w:r>
        <w:t xml:space="preserve"> discussed that</w:t>
      </w:r>
      <w:r w:rsidR="00364DC6">
        <w:t>,</w:t>
      </w:r>
      <w:r>
        <w:t xml:space="preserve"> while the Commission collects cable system data in its Annual Report on Cable Television Systems (FCC Form 325) and in its Annual Report on Cable Prices, </w:t>
      </w:r>
      <w:r w:rsidR="00576290">
        <w:t>these are</w:t>
      </w:r>
      <w:r>
        <w:t xml:space="preserve"> not comprehensive or particularly suitable for our purposes here.</w:t>
      </w:r>
      <w:r>
        <w:rPr>
          <w:rStyle w:val="FootnoteReference"/>
        </w:rPr>
        <w:footnoteReference w:id="116"/>
      </w:r>
      <w:r>
        <w:t xml:space="preserve">  </w:t>
      </w:r>
      <w:r w:rsidR="005E2750">
        <w:t>A</w:t>
      </w:r>
      <w:r>
        <w:t xml:space="preserve">s </w:t>
      </w:r>
      <w:r w:rsidR="00791CF8">
        <w:t xml:space="preserve">we </w:t>
      </w:r>
      <w:r>
        <w:t xml:space="preserve">noted in the </w:t>
      </w:r>
      <w:r>
        <w:rPr>
          <w:i/>
        </w:rPr>
        <w:t>STELAR Report PN</w:t>
      </w:r>
      <w:r>
        <w:t xml:space="preserve">, </w:t>
      </w:r>
      <w:r w:rsidR="00576290">
        <w:t xml:space="preserve">these </w:t>
      </w:r>
      <w:r>
        <w:t>data yield limited information about a small group of systems and may omit many relevant systems or geographic areas.</w:t>
      </w:r>
      <w:r>
        <w:rPr>
          <w:rStyle w:val="FootnoteReference"/>
        </w:rPr>
        <w:footnoteReference w:id="117"/>
      </w:r>
    </w:p>
    <w:p w:rsidR="00C03A11" w:rsidRDefault="00C03A11" w:rsidP="00FC6A77">
      <w:pPr>
        <w:pStyle w:val="ParaNum"/>
      </w:pPr>
      <w:r>
        <w:t xml:space="preserve">In addition, the </w:t>
      </w:r>
      <w:r>
        <w:rPr>
          <w:i/>
        </w:rPr>
        <w:t>STELAR Report PN</w:t>
      </w:r>
      <w:r>
        <w:t xml:space="preserve"> sought comment on whether there were other comprehensive data sets available that would allow the Commission to perform the required analysis.  NAB and WTA both note that local cable systems must file semi-annually with the Copyright Office a listing of all television stations they carried, both in and outside the cable system’s footprint.</w:t>
      </w:r>
      <w:r>
        <w:rPr>
          <w:rStyle w:val="FootnoteReference"/>
        </w:rPr>
        <w:footnoteReference w:id="118"/>
      </w:r>
      <w:r>
        <w:t xml:space="preserve">  Further, they state that telephone companies providing MVPD service </w:t>
      </w:r>
      <w:r w:rsidR="0077394B">
        <w:t xml:space="preserve">that avail themselves </w:t>
      </w:r>
      <w:r>
        <w:t>of the cable compulsory license must also file these lists.</w:t>
      </w:r>
      <w:r>
        <w:rPr>
          <w:rStyle w:val="FootnoteReference"/>
        </w:rPr>
        <w:footnoteReference w:id="119"/>
      </w:r>
      <w:r>
        <w:t xml:space="preserve">  However, both NAB and WTA also note that </w:t>
      </w:r>
      <w:r w:rsidR="00576290">
        <w:t xml:space="preserve">these </w:t>
      </w:r>
      <w:r>
        <w:t xml:space="preserve">data </w:t>
      </w:r>
      <w:r w:rsidR="00576290">
        <w:t xml:space="preserve">are </w:t>
      </w:r>
      <w:r>
        <w:t>not reported on a DMA or state-wide basis</w:t>
      </w:r>
      <w:r w:rsidR="0077394B">
        <w:t>,</w:t>
      </w:r>
      <w:r>
        <w:t xml:space="preserve"> which would make comparisons with </w:t>
      </w:r>
      <w:r w:rsidR="00F40F86">
        <w:t>over the air</w:t>
      </w:r>
      <w:r>
        <w:t xml:space="preserve"> </w:t>
      </w:r>
      <w:r w:rsidR="00C54BD7">
        <w:t xml:space="preserve">reception </w:t>
      </w:r>
      <w:r>
        <w:t xml:space="preserve">and DBS </w:t>
      </w:r>
      <w:r w:rsidR="00C54BD7">
        <w:t>carriage</w:t>
      </w:r>
      <w:r>
        <w:t xml:space="preserve"> more difficult.</w:t>
      </w:r>
      <w:r>
        <w:rPr>
          <w:rStyle w:val="FootnoteReference"/>
        </w:rPr>
        <w:footnoteReference w:id="120"/>
      </w:r>
    </w:p>
    <w:p w:rsidR="00F92793" w:rsidRDefault="00F92793" w:rsidP="00FC6A77">
      <w:pPr>
        <w:pStyle w:val="ParaNum"/>
      </w:pPr>
      <w:r>
        <w:t xml:space="preserve">We also examined whether data from the Warren Cable Television Factbook could be used for a systematic examination of the out-of-market signals available to consumers via cable systems or telephone MPVDs.  While some information regarding the carriage of distant signals can be gleaned from this source, after exploration and efforts to manipulate the available data we determined that various limitations made this information unsuitable for our purposes.  In addition to a lack of data at the county level, sufficient data were not present for all DMAs.  Further, for those DMAs represented, it was impossible to determine precisely what population or percentage of the DMA a particular cable system serves in those cases where there was a positive indication that a cable system in a DMA carried an out-of-market signal.  In addition, </w:t>
      </w:r>
      <w:r w:rsidR="00364DC6">
        <w:t xml:space="preserve">lack of </w:t>
      </w:r>
      <w:r>
        <w:t>continuity of call signs, market names, and station properties across data sets compounded the challenges of using</w:t>
      </w:r>
      <w:r w:rsidR="00C54BD7">
        <w:t xml:space="preserve"> this source, which </w:t>
      </w:r>
      <w:r>
        <w:t>was not designed for the type of analysis we sought to perform.</w:t>
      </w:r>
    </w:p>
    <w:p w:rsidR="00C03A11" w:rsidRDefault="00C03A11" w:rsidP="00FC6A77">
      <w:pPr>
        <w:pStyle w:val="ParaNum"/>
      </w:pPr>
      <w:r>
        <w:t xml:space="preserve">NAB incorporated by reference the study by BIA/Kelsey it submitted in response to the </w:t>
      </w:r>
      <w:r w:rsidRPr="0002630A">
        <w:rPr>
          <w:i/>
        </w:rPr>
        <w:t>2011 Public Notice</w:t>
      </w:r>
      <w:r>
        <w:t xml:space="preserve"> that used the Copyright Office data to develop an estimate of out-of-state carriage by cable companies.</w:t>
      </w:r>
      <w:r>
        <w:rPr>
          <w:rStyle w:val="FootnoteReference"/>
        </w:rPr>
        <w:footnoteReference w:id="121"/>
      </w:r>
      <w:r>
        <w:t xml:space="preserve">  This study noted that the data </w:t>
      </w:r>
      <w:r w:rsidR="00576290">
        <w:t xml:space="preserve">were </w:t>
      </w:r>
      <w:r>
        <w:t>reported by cable system and provided one principal city and corresponding county and state.</w:t>
      </w:r>
      <w:r>
        <w:rPr>
          <w:rStyle w:val="FootnoteReference"/>
        </w:rPr>
        <w:footnoteReference w:id="122"/>
      </w:r>
      <w:r>
        <w:t xml:space="preserve">  Using this information, BIA/Kelsey mapped </w:t>
      </w:r>
      <w:r w:rsidR="00576290">
        <w:t xml:space="preserve">these </w:t>
      </w:r>
      <w:r>
        <w:t>data into DMAs, but noted that the reporting unit may cross multiple counties, DMAs, and states.</w:t>
      </w:r>
      <w:r>
        <w:rPr>
          <w:rStyle w:val="FootnoteReference"/>
        </w:rPr>
        <w:footnoteReference w:id="123"/>
      </w:r>
      <w:r>
        <w:t xml:space="preserve">  Given our interpretation of Section 109(a)(1)(A) that the analysis should be performed on a DMA and county level rather than a system-wide basis, </w:t>
      </w:r>
      <w:r w:rsidR="0077394B">
        <w:t xml:space="preserve">however, </w:t>
      </w:r>
      <w:r>
        <w:t>the data from the Copyright Office</w:t>
      </w:r>
      <w:r w:rsidR="0077394B">
        <w:t>,</w:t>
      </w:r>
      <w:r>
        <w:t xml:space="preserve"> although potentially extensive</w:t>
      </w:r>
      <w:r w:rsidR="0077394B">
        <w:t>,</w:t>
      </w:r>
      <w:r>
        <w:t xml:space="preserve"> </w:t>
      </w:r>
      <w:r w:rsidR="00576290">
        <w:t xml:space="preserve">are </w:t>
      </w:r>
      <w:r>
        <w:t xml:space="preserve">not ideal for our purposes.  The Copyright Office data </w:t>
      </w:r>
      <w:r w:rsidR="00576290">
        <w:t xml:space="preserve">are </w:t>
      </w:r>
      <w:r>
        <w:t>provided on a cable system basis</w:t>
      </w:r>
      <w:r w:rsidR="00364DC6">
        <w:t>,</w:t>
      </w:r>
      <w:r>
        <w:t xml:space="preserve"> and</w:t>
      </w:r>
      <w:r w:rsidR="00364DC6">
        <w:t>,</w:t>
      </w:r>
      <w:r>
        <w:t xml:space="preserve"> although some information is provided on the location of the system, the data are not granular enough to map directly into either a DMA or county</w:t>
      </w:r>
      <w:r w:rsidR="00364DC6">
        <w:t>.  T</w:t>
      </w:r>
      <w:r>
        <w:t>herefore</w:t>
      </w:r>
      <w:r w:rsidR="00364DC6">
        <w:t>,</w:t>
      </w:r>
      <w:r>
        <w:t xml:space="preserve"> numerous assumptions would need to be made to create a data set t</w:t>
      </w:r>
      <w:r w:rsidR="00C54BD7">
        <w:t xml:space="preserve">hat could be combined with </w:t>
      </w:r>
      <w:r w:rsidR="00F40F86">
        <w:t>over the air</w:t>
      </w:r>
      <w:r>
        <w:t xml:space="preserve"> broadcast television and DBS data.  We are concerned that utilizing data that require a significant number of assumptions </w:t>
      </w:r>
      <w:r w:rsidR="00364DC6">
        <w:t xml:space="preserve">might </w:t>
      </w:r>
      <w:r>
        <w:t>not provide Congress with an analysis with a sufficient level of precision.</w:t>
      </w:r>
      <w:r w:rsidR="0077394B">
        <w:t xml:space="preserve">  </w:t>
      </w:r>
    </w:p>
    <w:p w:rsidR="00BF0129" w:rsidRDefault="00BF0129" w:rsidP="00587434">
      <w:pPr>
        <w:pStyle w:val="Heading2"/>
      </w:pPr>
      <w:bookmarkStart w:id="21" w:name="_Toc448130177"/>
      <w:bookmarkStart w:id="22" w:name="_Toc448153842"/>
      <w:bookmarkStart w:id="23" w:name="_Toc448230171"/>
      <w:bookmarkStart w:id="24" w:name="_Toc448311217"/>
      <w:bookmarkStart w:id="25" w:name="_Toc452456830"/>
      <w:r>
        <w:t xml:space="preserve">Analysis of Access to Out-of-Market Signals </w:t>
      </w:r>
      <w:r w:rsidR="00F40F86">
        <w:t>Over the Air</w:t>
      </w:r>
      <w:bookmarkEnd w:id="21"/>
      <w:bookmarkEnd w:id="22"/>
      <w:bookmarkEnd w:id="23"/>
      <w:bookmarkEnd w:id="24"/>
      <w:bookmarkEnd w:id="25"/>
    </w:p>
    <w:p w:rsidR="00474E01" w:rsidRDefault="00C03A11" w:rsidP="00FC6A77">
      <w:pPr>
        <w:pStyle w:val="ParaNum"/>
      </w:pPr>
      <w:r>
        <w:t xml:space="preserve">In order to analyze the extent to which consumers have access to out-of-market television stations </w:t>
      </w:r>
      <w:r w:rsidR="00B76BBF">
        <w:t xml:space="preserve">received </w:t>
      </w:r>
      <w:r w:rsidR="00F40F86">
        <w:t>over the air</w:t>
      </w:r>
      <w:r>
        <w:t xml:space="preserve">, we first </w:t>
      </w:r>
      <w:r w:rsidR="00B76BBF">
        <w:t xml:space="preserve">constructed </w:t>
      </w:r>
      <w:r>
        <w:t xml:space="preserve">a database compiling data on the predicted coverage of full power television stations.  </w:t>
      </w:r>
      <w:r w:rsidRPr="00287711">
        <w:t>To ca</w:t>
      </w:r>
      <w:r>
        <w:t xml:space="preserve">lculate the values contained in </w:t>
      </w:r>
      <w:r w:rsidR="00E11D46">
        <w:t xml:space="preserve">the </w:t>
      </w:r>
      <w:r w:rsidR="002A4BDE">
        <w:t xml:space="preserve">Lists provided in </w:t>
      </w:r>
      <w:r>
        <w:t>Appendi</w:t>
      </w:r>
      <w:r w:rsidR="002A4BDE">
        <w:t>x</w:t>
      </w:r>
      <w:r w:rsidR="00193C37">
        <w:t xml:space="preserve"> </w:t>
      </w:r>
      <w:r w:rsidR="00193C37" w:rsidRPr="001E5BD6">
        <w:t>A</w:t>
      </w:r>
      <w:r>
        <w:t>, Bureau staff estimated broadcast television station coverage and interference using the Office of Engineering and Technology’s (OET) Bulletin No. 69</w:t>
      </w:r>
      <w:r w:rsidRPr="00287711">
        <w:rPr>
          <w:vertAlign w:val="superscript"/>
        </w:rPr>
        <w:footnoteReference w:id="124"/>
      </w:r>
      <w:r>
        <w:t xml:space="preserve"> as implemented by </w:t>
      </w:r>
      <w:r w:rsidRPr="00CC18E7">
        <w:rPr>
          <w:i/>
        </w:rPr>
        <w:t>TVStudy</w:t>
      </w:r>
      <w:r>
        <w:rPr>
          <w:rStyle w:val="FootnoteReference"/>
        </w:rPr>
        <w:footnoteReference w:id="125"/>
      </w:r>
      <w:r>
        <w:t xml:space="preserve"> on a 2 km x 2 km grid cell basis.</w:t>
      </w:r>
      <w:r w:rsidR="00193C37">
        <w:rPr>
          <w:rStyle w:val="FootnoteReference"/>
          <w:szCs w:val="22"/>
        </w:rPr>
        <w:footnoteReference w:id="126"/>
      </w:r>
      <w:r>
        <w:t xml:space="preserve">  A single point within each cell was analyzed for station coverage, and the population of that cell was determined by summing the population for each census block</w:t>
      </w:r>
      <w:r w:rsidRPr="00287711">
        <w:rPr>
          <w:vertAlign w:val="superscript"/>
        </w:rPr>
        <w:footnoteReference w:id="127"/>
      </w:r>
      <w:r>
        <w:t xml:space="preserve"> whose internal point</w:t>
      </w:r>
      <w:r w:rsidRPr="00287711">
        <w:rPr>
          <w:vertAlign w:val="superscript"/>
        </w:rPr>
        <w:footnoteReference w:id="128"/>
      </w:r>
      <w:r>
        <w:t xml:space="preserve"> is within that cell.  Population data come from the 2010 Census.</w:t>
      </w:r>
      <w:r>
        <w:rPr>
          <w:rStyle w:val="FootnoteReference"/>
        </w:rPr>
        <w:footnoteReference w:id="129"/>
      </w:r>
      <w:r>
        <w:t xml:space="preserve">  County borders were generated using GIS files from the Census Bureau.</w:t>
      </w:r>
      <w:r>
        <w:rPr>
          <w:rStyle w:val="FootnoteReference"/>
        </w:rPr>
        <w:footnoteReference w:id="130"/>
      </w:r>
      <w:r>
        <w:t xml:space="preserve">  Details about each broadcast television station were derived from CDBS.</w:t>
      </w:r>
      <w:r>
        <w:rPr>
          <w:rStyle w:val="FootnoteReference"/>
        </w:rPr>
        <w:footnoteReference w:id="131"/>
      </w:r>
      <w:r w:rsidR="006A29CB">
        <w:t xml:space="preserve">  </w:t>
      </w:r>
    </w:p>
    <w:p w:rsidR="00C03A11" w:rsidRPr="00193C37" w:rsidRDefault="00C03A11" w:rsidP="001E5BD6">
      <w:pPr>
        <w:pStyle w:val="ParaNum"/>
        <w:keepNext/>
        <w:keepLines/>
      </w:pPr>
      <w:r>
        <w:t>The data in Appendi</w:t>
      </w:r>
      <w:r w:rsidR="002A4BDE">
        <w:t>x</w:t>
      </w:r>
      <w:r>
        <w:t xml:space="preserve"> </w:t>
      </w:r>
      <w:r w:rsidR="0063364A" w:rsidRPr="001E5BD6">
        <w:t>A</w:t>
      </w:r>
      <w:r w:rsidR="002A4BDE" w:rsidRPr="001E5BD6">
        <w:t>’</w:t>
      </w:r>
      <w:r w:rsidR="002A4BDE">
        <w:t>s Lists</w:t>
      </w:r>
      <w:r>
        <w:t xml:space="preserve"> </w:t>
      </w:r>
      <w:r w:rsidRPr="00193C37">
        <w:t xml:space="preserve">include the variables listed in </w:t>
      </w:r>
      <w:r w:rsidRPr="00193C37">
        <w:fldChar w:fldCharType="begin"/>
      </w:r>
      <w:r w:rsidRPr="00193C37">
        <w:instrText xml:space="preserve"> REF _Ref447801977 \h  \* MERGEFORMAT </w:instrText>
      </w:r>
      <w:r w:rsidRPr="00193C37">
        <w:fldChar w:fldCharType="separate"/>
      </w:r>
      <w:r w:rsidR="008E3F28" w:rsidRPr="008E3F28">
        <w:rPr>
          <w:szCs w:val="22"/>
        </w:rPr>
        <w:t xml:space="preserve">Table </w:t>
      </w:r>
      <w:r w:rsidR="008E3F28" w:rsidRPr="008E3F28">
        <w:rPr>
          <w:noProof/>
          <w:szCs w:val="22"/>
        </w:rPr>
        <w:t>1</w:t>
      </w:r>
      <w:r w:rsidRPr="00193C37">
        <w:fldChar w:fldCharType="end"/>
      </w:r>
      <w:r w:rsidRPr="00193C37">
        <w:t xml:space="preserve"> below.  </w:t>
      </w:r>
    </w:p>
    <w:p w:rsidR="00C03A11" w:rsidRPr="00193C37" w:rsidRDefault="00C03A11" w:rsidP="00480AC1">
      <w:pPr>
        <w:pStyle w:val="Caption"/>
        <w:keepNext/>
        <w:keepLines/>
        <w:contextualSpacing/>
        <w:jc w:val="center"/>
        <w:rPr>
          <w:b/>
          <w:i w:val="0"/>
          <w:color w:val="auto"/>
          <w:sz w:val="22"/>
          <w:szCs w:val="22"/>
        </w:rPr>
      </w:pPr>
      <w:bookmarkStart w:id="26" w:name="_Ref447801977"/>
      <w:r w:rsidRPr="00193C37">
        <w:rPr>
          <w:b/>
          <w:i w:val="0"/>
          <w:color w:val="auto"/>
          <w:sz w:val="22"/>
          <w:szCs w:val="22"/>
        </w:rPr>
        <w:t xml:space="preserve">Table </w:t>
      </w:r>
      <w:r w:rsidRPr="00193C37">
        <w:rPr>
          <w:b/>
          <w:i w:val="0"/>
          <w:color w:val="auto"/>
          <w:sz w:val="22"/>
          <w:szCs w:val="22"/>
        </w:rPr>
        <w:fldChar w:fldCharType="begin"/>
      </w:r>
      <w:r w:rsidRPr="00193C37">
        <w:rPr>
          <w:b/>
          <w:i w:val="0"/>
          <w:color w:val="auto"/>
          <w:sz w:val="22"/>
          <w:szCs w:val="22"/>
        </w:rPr>
        <w:instrText xml:space="preserve"> SEQ Table \* ARABIC </w:instrText>
      </w:r>
      <w:r w:rsidRPr="00193C37">
        <w:rPr>
          <w:b/>
          <w:i w:val="0"/>
          <w:color w:val="auto"/>
          <w:sz w:val="22"/>
          <w:szCs w:val="22"/>
        </w:rPr>
        <w:fldChar w:fldCharType="separate"/>
      </w:r>
      <w:r w:rsidR="008E3F28">
        <w:rPr>
          <w:b/>
          <w:i w:val="0"/>
          <w:noProof/>
          <w:color w:val="auto"/>
          <w:sz w:val="22"/>
          <w:szCs w:val="22"/>
        </w:rPr>
        <w:t>1</w:t>
      </w:r>
      <w:r w:rsidRPr="00193C37">
        <w:rPr>
          <w:b/>
          <w:i w:val="0"/>
          <w:color w:val="auto"/>
          <w:sz w:val="22"/>
          <w:szCs w:val="22"/>
        </w:rPr>
        <w:fldChar w:fldCharType="end"/>
      </w:r>
      <w:bookmarkEnd w:id="26"/>
    </w:p>
    <w:p w:rsidR="00C03A11" w:rsidRPr="00193C37" w:rsidRDefault="00C03A11" w:rsidP="00480AC1">
      <w:pPr>
        <w:pStyle w:val="Caption"/>
        <w:keepNext/>
        <w:keepLines/>
        <w:contextualSpacing/>
        <w:jc w:val="center"/>
        <w:rPr>
          <w:b/>
          <w:i w:val="0"/>
          <w:color w:val="auto"/>
          <w:sz w:val="22"/>
          <w:szCs w:val="22"/>
        </w:rPr>
      </w:pPr>
      <w:r w:rsidRPr="00193C37">
        <w:rPr>
          <w:b/>
          <w:i w:val="0"/>
          <w:color w:val="auto"/>
          <w:sz w:val="22"/>
          <w:szCs w:val="22"/>
        </w:rPr>
        <w:t>Over the Air</w:t>
      </w:r>
      <w:r w:rsidR="00F40F86">
        <w:rPr>
          <w:b/>
          <w:i w:val="0"/>
          <w:color w:val="auto"/>
          <w:sz w:val="22"/>
          <w:szCs w:val="22"/>
        </w:rPr>
        <w:t xml:space="preserve"> </w:t>
      </w:r>
      <w:r w:rsidRPr="00193C37">
        <w:rPr>
          <w:b/>
          <w:i w:val="0"/>
          <w:color w:val="auto"/>
          <w:sz w:val="22"/>
          <w:szCs w:val="22"/>
        </w:rPr>
        <w:t>Full Power Television</w:t>
      </w:r>
    </w:p>
    <w:p w:rsidR="00C03A11" w:rsidRPr="00193C37" w:rsidRDefault="00C03A11" w:rsidP="00480AC1">
      <w:pPr>
        <w:pStyle w:val="Caption"/>
        <w:keepNext/>
        <w:keepLines/>
        <w:contextualSpacing/>
        <w:jc w:val="center"/>
        <w:rPr>
          <w:color w:val="auto"/>
        </w:rPr>
      </w:pPr>
      <w:r w:rsidRPr="00193C37">
        <w:rPr>
          <w:b/>
          <w:i w:val="0"/>
          <w:color w:val="auto"/>
          <w:sz w:val="22"/>
          <w:szCs w:val="22"/>
        </w:rPr>
        <w:t>Database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C03A11" w:rsidTr="00570BB3">
        <w:trPr>
          <w:jc w:val="center"/>
        </w:trPr>
        <w:tc>
          <w:tcPr>
            <w:tcW w:w="6745" w:type="dxa"/>
            <w:shd w:val="clear" w:color="auto" w:fill="auto"/>
          </w:tcPr>
          <w:p w:rsidR="00C03A11" w:rsidRPr="00570BB3" w:rsidRDefault="00C03A11" w:rsidP="001C70B4">
            <w:pPr>
              <w:pStyle w:val="ParaNum"/>
              <w:numPr>
                <w:ilvl w:val="0"/>
                <w:numId w:val="0"/>
              </w:numPr>
              <w:spacing w:after="0"/>
              <w:jc w:val="center"/>
              <w:rPr>
                <w:b/>
              </w:rPr>
            </w:pPr>
            <w:r w:rsidRPr="00570BB3">
              <w:rPr>
                <w:b/>
              </w:rPr>
              <w:t>Variables</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DMA of County</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Station’s Assigned DMA</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Station’s Facility ID</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Station’s Call sign</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Station’s Service Type</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Station’s Network Affiliation</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 xml:space="preserve">Station’s Community of License </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Station’s State of License</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County Name</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State</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Population Served by Station in County</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Total Population of County</w:t>
            </w:r>
          </w:p>
        </w:tc>
      </w:tr>
      <w:tr w:rsidR="00C03A11" w:rsidTr="00570BB3">
        <w:trPr>
          <w:jc w:val="center"/>
        </w:trPr>
        <w:tc>
          <w:tcPr>
            <w:tcW w:w="6745" w:type="dxa"/>
            <w:shd w:val="clear" w:color="auto" w:fill="auto"/>
          </w:tcPr>
          <w:p w:rsidR="00C03A11" w:rsidRDefault="00C03A11" w:rsidP="001C70B4">
            <w:pPr>
              <w:pStyle w:val="ParaNum"/>
              <w:numPr>
                <w:ilvl w:val="0"/>
                <w:numId w:val="0"/>
              </w:numPr>
              <w:spacing w:after="0"/>
            </w:pPr>
            <w:r>
              <w:t>Percentage of County Population Served by Station</w:t>
            </w:r>
          </w:p>
        </w:tc>
      </w:tr>
    </w:tbl>
    <w:p w:rsidR="00C03A11" w:rsidRDefault="00C03A11" w:rsidP="00C03A11">
      <w:pPr>
        <w:pStyle w:val="ParaNum"/>
        <w:numPr>
          <w:ilvl w:val="0"/>
          <w:numId w:val="0"/>
        </w:numPr>
        <w:ind w:left="720"/>
      </w:pPr>
    </w:p>
    <w:p w:rsidR="00C03A11" w:rsidRDefault="009E6BF1" w:rsidP="00C03A11">
      <w:pPr>
        <w:pStyle w:val="ParaNum"/>
      </w:pPr>
      <w:r>
        <w:rPr>
          <w:i/>
        </w:rPr>
        <w:t>Full P</w:t>
      </w:r>
      <w:r w:rsidR="00480AC1" w:rsidRPr="00480AC1">
        <w:rPr>
          <w:i/>
        </w:rPr>
        <w:t xml:space="preserve">ower Television Stations.  </w:t>
      </w:r>
      <w:r w:rsidR="00C03A11">
        <w:t>Based on the p</w:t>
      </w:r>
      <w:r w:rsidR="007E4517">
        <w:t xml:space="preserve">redicted coverage for the </w:t>
      </w:r>
      <w:r w:rsidR="00BC062E">
        <w:t>1,782</w:t>
      </w:r>
      <w:r w:rsidR="00C03A11">
        <w:t xml:space="preserve"> </w:t>
      </w:r>
      <w:r w:rsidR="006A29CB">
        <w:t>full p</w:t>
      </w:r>
      <w:r w:rsidR="00044A79">
        <w:t>ower commercial and non</w:t>
      </w:r>
      <w:r w:rsidR="00C03A11">
        <w:t>commercial broadcast television stations</w:t>
      </w:r>
      <w:r w:rsidR="007E4517">
        <w:t xml:space="preserve"> as of March 31, 2016</w:t>
      </w:r>
      <w:r w:rsidR="00C03A11">
        <w:t xml:space="preserve">, we are able to analyze the DMAs and counties predicted to receive a viewable signal from any given station, as well as the number and percentage of persons within </w:t>
      </w:r>
      <w:r w:rsidR="0034037F">
        <w:t xml:space="preserve">either </w:t>
      </w:r>
      <w:r w:rsidR="00C03A11">
        <w:t>a DMA or a particular county predicted to receive such a signal.  Further, knowing the DMA and state to which each station and county is assigned permits us to consider whether the station is in-market or out-of-market</w:t>
      </w:r>
      <w:r w:rsidR="004A0C4D">
        <w:t xml:space="preserve">, or in-state or out-of-state, </w:t>
      </w:r>
      <w:r w:rsidR="00C03A11">
        <w:t>with respect to viewers in each county.  As a result, by considering the number of out-of-market stations predicted to be received across all counties and all DMAs, we are able to analyze the extent to which consumers on average have access to out-of-market</w:t>
      </w:r>
      <w:r w:rsidR="004A0C4D">
        <w:t xml:space="preserve"> signals.  </w:t>
      </w:r>
      <w:r w:rsidR="000D4554">
        <w:t xml:space="preserve">For each county and DMA in the United States, </w:t>
      </w:r>
      <w:r w:rsidR="00101AB8" w:rsidRPr="001E5BD6">
        <w:t>List 5</w:t>
      </w:r>
      <w:r w:rsidR="002A4BDE">
        <w:t xml:space="preserve"> in </w:t>
      </w:r>
      <w:r w:rsidR="000D4554">
        <w:t xml:space="preserve">Appendix </w:t>
      </w:r>
      <w:r w:rsidR="002A4BDE" w:rsidRPr="001E5BD6">
        <w:t>A</w:t>
      </w:r>
      <w:r w:rsidR="000D4554">
        <w:t xml:space="preserve"> provides a complete listing of every out-of-market full power broadcast television station, commer</w:t>
      </w:r>
      <w:r w:rsidR="00044A79">
        <w:t>cial or non</w:t>
      </w:r>
      <w:r w:rsidR="000D4554">
        <w:t xml:space="preserve">commercial, that can be received </w:t>
      </w:r>
      <w:r w:rsidR="00F40F86">
        <w:t>over the air</w:t>
      </w:r>
      <w:r w:rsidR="000D4554">
        <w:t>.</w:t>
      </w:r>
      <w:r w:rsidR="00906508">
        <w:rPr>
          <w:rStyle w:val="FootnoteReference"/>
        </w:rPr>
        <w:footnoteReference w:id="132"/>
      </w:r>
      <w:r w:rsidR="000D4554">
        <w:t xml:space="preserve">  </w:t>
      </w:r>
      <w:r w:rsidR="004A0C4D">
        <w:t xml:space="preserve">Analysis of this station database yields information about the level of access to out-of-market stations, as discussed further </w:t>
      </w:r>
      <w:r w:rsidR="00C03A11">
        <w:t>below.</w:t>
      </w:r>
    </w:p>
    <w:p w:rsidR="003A5C9B" w:rsidRDefault="003A5C9B" w:rsidP="003A5C9B">
      <w:pPr>
        <w:pStyle w:val="ParaNum"/>
      </w:pPr>
      <w:r>
        <w:t>Based on our analysis, the Bureau finds that the number of out-of-</w:t>
      </w:r>
      <w:r w:rsidR="00D03CEF">
        <w:t>market</w:t>
      </w:r>
      <w:r>
        <w:t xml:space="preserve"> </w:t>
      </w:r>
      <w:r w:rsidR="00565061">
        <w:t xml:space="preserve">full power </w:t>
      </w:r>
      <w:r>
        <w:t xml:space="preserve">signals </w:t>
      </w:r>
      <w:r w:rsidR="00D03CEF">
        <w:t xml:space="preserve">available </w:t>
      </w:r>
      <w:r>
        <w:t>per DMA ranges from zero to 54</w:t>
      </w:r>
      <w:r w:rsidR="000D4554">
        <w:t xml:space="preserve"> signals</w:t>
      </w:r>
      <w:r w:rsidR="00D03CEF">
        <w:t xml:space="preserve">.  Analysis shows </w:t>
      </w:r>
      <w:r>
        <w:t xml:space="preserve">a mean of approximately 20.6 </w:t>
      </w:r>
      <w:r w:rsidR="00D03CEF">
        <w:t xml:space="preserve">out-of-market </w:t>
      </w:r>
      <w:r w:rsidR="00565061">
        <w:t xml:space="preserve">full power television </w:t>
      </w:r>
      <w:r w:rsidR="00D03CEF">
        <w:t xml:space="preserve">signals available in a DMA, with </w:t>
      </w:r>
      <w:r>
        <w:t>a standard deviation of approximately 12.4.</w:t>
      </w:r>
      <w:bookmarkStart w:id="27" w:name="_Ref452470589"/>
      <w:r w:rsidR="00D03CEF">
        <w:rPr>
          <w:rStyle w:val="FootnoteReference"/>
        </w:rPr>
        <w:footnoteReference w:id="133"/>
      </w:r>
      <w:bookmarkEnd w:id="27"/>
      <w:r>
        <w:t xml:space="preserve">  Appendix </w:t>
      </w:r>
      <w:r w:rsidR="000D4554" w:rsidRPr="001E5BD6">
        <w:t>A</w:t>
      </w:r>
      <w:r w:rsidR="001E5BD6">
        <w:t xml:space="preserve"> –</w:t>
      </w:r>
      <w:r w:rsidR="002A4BDE" w:rsidRPr="001E5BD6">
        <w:t xml:space="preserve"> List 1</w:t>
      </w:r>
      <w:r w:rsidR="00D03CEF">
        <w:t xml:space="preserve"> </w:t>
      </w:r>
      <w:r w:rsidR="00B42CA5">
        <w:t xml:space="preserve">attached hereto, </w:t>
      </w:r>
      <w:r w:rsidR="00D03CEF">
        <w:t xml:space="preserve">provides </w:t>
      </w:r>
      <w:r>
        <w:t>the signa</w:t>
      </w:r>
      <w:r w:rsidR="00D03CEF">
        <w:t>l</w:t>
      </w:r>
      <w:r w:rsidR="00565061">
        <w:t xml:space="preserve"> count</w:t>
      </w:r>
      <w:r w:rsidR="00D03CEF">
        <w:t xml:space="preserve">s, the DMA population, and out-of-market </w:t>
      </w:r>
      <w:r>
        <w:t>signals adjusted for coverage of DMA population</w:t>
      </w:r>
      <w:r w:rsidR="00D03CEF">
        <w:t xml:space="preserve"> for each DMA</w:t>
      </w:r>
      <w:r>
        <w:t>.</w:t>
      </w:r>
      <w:r w:rsidR="000D4554">
        <w:t xml:space="preserve"> </w:t>
      </w:r>
      <w:r>
        <w:t xml:space="preserve"> </w:t>
      </w:r>
      <w:r w:rsidRPr="00E70568">
        <w:fldChar w:fldCharType="begin"/>
      </w:r>
      <w:r w:rsidRPr="00E70568">
        <w:instrText xml:space="preserve"> REF _Ref447807678 \h  \* MERGEFORMAT </w:instrText>
      </w:r>
      <w:r w:rsidRPr="00E70568">
        <w:fldChar w:fldCharType="separate"/>
      </w:r>
      <w:r w:rsidR="008E3F28" w:rsidRPr="008E3F28">
        <w:rPr>
          <w:szCs w:val="22"/>
        </w:rPr>
        <w:t xml:space="preserve">Table </w:t>
      </w:r>
      <w:r w:rsidR="008E3F28" w:rsidRPr="008E3F28">
        <w:rPr>
          <w:noProof/>
          <w:szCs w:val="22"/>
        </w:rPr>
        <w:t>2</w:t>
      </w:r>
      <w:r w:rsidRPr="00E70568">
        <w:fldChar w:fldCharType="end"/>
      </w:r>
      <w:r>
        <w:t xml:space="preserve"> below presents the DMAs with no out-of-market </w:t>
      </w:r>
      <w:r w:rsidR="00565061">
        <w:t xml:space="preserve">full power television </w:t>
      </w:r>
      <w:r>
        <w:t xml:space="preserve">signals.  </w:t>
      </w:r>
      <w:r w:rsidR="00D03CEF">
        <w:t>In all, we determined that t</w:t>
      </w:r>
      <w:r>
        <w:t xml:space="preserve">here are 12 DMAs that have no out-of-market </w:t>
      </w:r>
      <w:r w:rsidR="00565061">
        <w:t xml:space="preserve">full power </w:t>
      </w:r>
      <w:r>
        <w:t>signals, including all three Alaska DMAs and the single Hawaii DMA</w:t>
      </w:r>
      <w:r w:rsidR="00D03CEF">
        <w:t>, which is consistent with their geography and lack of adjacent markets</w:t>
      </w:r>
      <w:r>
        <w:t xml:space="preserve">.    </w:t>
      </w:r>
    </w:p>
    <w:p w:rsidR="003A5C9B" w:rsidRDefault="003A5C9B" w:rsidP="003A5C9B">
      <w:pPr>
        <w:pStyle w:val="ParaNum"/>
        <w:numPr>
          <w:ilvl w:val="0"/>
          <w:numId w:val="0"/>
        </w:numPr>
        <w:ind w:left="720"/>
      </w:pPr>
    </w:p>
    <w:p w:rsidR="003A5C9B" w:rsidRPr="000D4554" w:rsidRDefault="003A5C9B" w:rsidP="003A5C9B">
      <w:pPr>
        <w:pStyle w:val="Caption"/>
        <w:contextualSpacing/>
        <w:jc w:val="center"/>
        <w:rPr>
          <w:b/>
          <w:i w:val="0"/>
          <w:color w:val="auto"/>
          <w:sz w:val="22"/>
          <w:szCs w:val="22"/>
        </w:rPr>
      </w:pPr>
      <w:bookmarkStart w:id="28" w:name="_Ref447807678"/>
      <w:r w:rsidRPr="000D4554">
        <w:rPr>
          <w:b/>
          <w:i w:val="0"/>
          <w:color w:val="auto"/>
          <w:sz w:val="22"/>
          <w:szCs w:val="22"/>
        </w:rPr>
        <w:t xml:space="preserve">Table </w:t>
      </w:r>
      <w:r w:rsidRPr="000D4554">
        <w:rPr>
          <w:b/>
          <w:i w:val="0"/>
          <w:color w:val="auto"/>
          <w:sz w:val="22"/>
          <w:szCs w:val="22"/>
        </w:rPr>
        <w:fldChar w:fldCharType="begin"/>
      </w:r>
      <w:r w:rsidRPr="000D4554">
        <w:rPr>
          <w:b/>
          <w:i w:val="0"/>
          <w:color w:val="auto"/>
          <w:sz w:val="22"/>
          <w:szCs w:val="22"/>
        </w:rPr>
        <w:instrText xml:space="preserve"> SEQ Table \* ARABIC </w:instrText>
      </w:r>
      <w:r w:rsidRPr="000D4554">
        <w:rPr>
          <w:b/>
          <w:i w:val="0"/>
          <w:color w:val="auto"/>
          <w:sz w:val="22"/>
          <w:szCs w:val="22"/>
        </w:rPr>
        <w:fldChar w:fldCharType="separate"/>
      </w:r>
      <w:r w:rsidR="008E3F28">
        <w:rPr>
          <w:b/>
          <w:i w:val="0"/>
          <w:noProof/>
          <w:color w:val="auto"/>
          <w:sz w:val="22"/>
          <w:szCs w:val="22"/>
        </w:rPr>
        <w:t>2</w:t>
      </w:r>
      <w:r w:rsidRPr="000D4554">
        <w:rPr>
          <w:b/>
          <w:i w:val="0"/>
          <w:color w:val="auto"/>
          <w:sz w:val="22"/>
          <w:szCs w:val="22"/>
        </w:rPr>
        <w:fldChar w:fldCharType="end"/>
      </w:r>
      <w:bookmarkEnd w:id="28"/>
    </w:p>
    <w:p w:rsidR="003A5C9B" w:rsidRPr="000D4554" w:rsidRDefault="003A5C9B" w:rsidP="003A5C9B">
      <w:pPr>
        <w:pStyle w:val="Caption"/>
        <w:contextualSpacing/>
        <w:jc w:val="center"/>
        <w:rPr>
          <w:b/>
          <w:i w:val="0"/>
          <w:color w:val="auto"/>
          <w:sz w:val="22"/>
          <w:szCs w:val="22"/>
        </w:rPr>
      </w:pPr>
      <w:r w:rsidRPr="000D4554">
        <w:rPr>
          <w:b/>
          <w:i w:val="0"/>
          <w:color w:val="auto"/>
          <w:sz w:val="22"/>
          <w:szCs w:val="22"/>
        </w:rPr>
        <w:t xml:space="preserve">DMAs with No </w:t>
      </w:r>
      <w:r w:rsidR="00F40F86">
        <w:rPr>
          <w:b/>
          <w:i w:val="0"/>
          <w:color w:val="auto"/>
          <w:sz w:val="22"/>
          <w:szCs w:val="22"/>
        </w:rPr>
        <w:t xml:space="preserve">Full Power </w:t>
      </w:r>
      <w:r w:rsidRPr="000D4554">
        <w:rPr>
          <w:b/>
          <w:i w:val="0"/>
          <w:color w:val="auto"/>
          <w:sz w:val="22"/>
          <w:szCs w:val="22"/>
        </w:rPr>
        <w:t>Out-of-Market Signals</w:t>
      </w:r>
      <w:r w:rsidR="00F40F86" w:rsidRPr="00F40F86">
        <w:rPr>
          <w:b/>
          <w:i w:val="0"/>
          <w:color w:val="auto"/>
          <w:sz w:val="22"/>
          <w:szCs w:val="22"/>
        </w:rPr>
        <w:t xml:space="preserve"> </w:t>
      </w:r>
      <w:r w:rsidR="00F40F86">
        <w:rPr>
          <w:b/>
          <w:i w:val="0"/>
          <w:color w:val="auto"/>
          <w:sz w:val="22"/>
          <w:szCs w:val="22"/>
        </w:rPr>
        <w:t>Over the Air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710"/>
      </w:tblGrid>
      <w:tr w:rsidR="003A5C9B" w:rsidRPr="000D4554" w:rsidTr="00570BB3">
        <w:trPr>
          <w:jc w:val="center"/>
        </w:trPr>
        <w:tc>
          <w:tcPr>
            <w:tcW w:w="4585" w:type="dxa"/>
            <w:shd w:val="clear" w:color="auto" w:fill="auto"/>
          </w:tcPr>
          <w:p w:rsidR="003A5C9B" w:rsidRPr="00570BB3" w:rsidRDefault="003A5C9B" w:rsidP="001C70B4">
            <w:pPr>
              <w:pStyle w:val="ParaNum"/>
              <w:numPr>
                <w:ilvl w:val="0"/>
                <w:numId w:val="0"/>
              </w:numPr>
              <w:spacing w:after="0"/>
              <w:jc w:val="center"/>
              <w:rPr>
                <w:b/>
              </w:rPr>
            </w:pPr>
            <w:r w:rsidRPr="00570BB3">
              <w:rPr>
                <w:b/>
              </w:rPr>
              <w:t>DMA</w:t>
            </w:r>
          </w:p>
        </w:tc>
        <w:tc>
          <w:tcPr>
            <w:tcW w:w="1710" w:type="dxa"/>
            <w:shd w:val="clear" w:color="auto" w:fill="auto"/>
          </w:tcPr>
          <w:p w:rsidR="003A5C9B" w:rsidRPr="00570BB3" w:rsidRDefault="003A5C9B" w:rsidP="001C70B4">
            <w:pPr>
              <w:pStyle w:val="ParaNum"/>
              <w:numPr>
                <w:ilvl w:val="0"/>
                <w:numId w:val="0"/>
              </w:numPr>
              <w:spacing w:after="0"/>
              <w:jc w:val="center"/>
              <w:rPr>
                <w:b/>
              </w:rPr>
            </w:pPr>
            <w:r w:rsidRPr="00570BB3">
              <w:rPr>
                <w:b/>
              </w:rPr>
              <w:t>Population</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Anchorage, AK</w:t>
            </w:r>
          </w:p>
        </w:tc>
        <w:tc>
          <w:tcPr>
            <w:tcW w:w="1710" w:type="dxa"/>
            <w:shd w:val="clear" w:color="auto" w:fill="auto"/>
          </w:tcPr>
          <w:p w:rsidR="003A5C9B" w:rsidRDefault="003A5C9B" w:rsidP="001C70B4">
            <w:pPr>
              <w:pStyle w:val="ParaNum"/>
              <w:numPr>
                <w:ilvl w:val="0"/>
                <w:numId w:val="0"/>
              </w:numPr>
              <w:spacing w:after="0"/>
              <w:jc w:val="right"/>
            </w:pPr>
            <w:r>
              <w:t>445,857</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Fairbanks, AK</w:t>
            </w:r>
          </w:p>
        </w:tc>
        <w:tc>
          <w:tcPr>
            <w:tcW w:w="1710" w:type="dxa"/>
            <w:shd w:val="clear" w:color="auto" w:fill="auto"/>
          </w:tcPr>
          <w:p w:rsidR="003A5C9B" w:rsidRDefault="003A5C9B" w:rsidP="001C70B4">
            <w:pPr>
              <w:pStyle w:val="ParaNum"/>
              <w:numPr>
                <w:ilvl w:val="0"/>
                <w:numId w:val="0"/>
              </w:numPr>
              <w:spacing w:after="0"/>
              <w:jc w:val="right"/>
            </w:pPr>
            <w:r>
              <w:t>104,995</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Juneau, AK</w:t>
            </w:r>
          </w:p>
        </w:tc>
        <w:tc>
          <w:tcPr>
            <w:tcW w:w="1710" w:type="dxa"/>
            <w:shd w:val="clear" w:color="auto" w:fill="auto"/>
          </w:tcPr>
          <w:p w:rsidR="003A5C9B" w:rsidRDefault="003A5C9B" w:rsidP="001C70B4">
            <w:pPr>
              <w:pStyle w:val="ParaNum"/>
              <w:numPr>
                <w:ilvl w:val="0"/>
                <w:numId w:val="0"/>
              </w:numPr>
              <w:spacing w:after="0"/>
              <w:jc w:val="right"/>
            </w:pPr>
            <w:r>
              <w:t>59,192</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Honolulu, HI</w:t>
            </w:r>
          </w:p>
        </w:tc>
        <w:tc>
          <w:tcPr>
            <w:tcW w:w="1710" w:type="dxa"/>
            <w:shd w:val="clear" w:color="auto" w:fill="auto"/>
          </w:tcPr>
          <w:p w:rsidR="003A5C9B" w:rsidRDefault="003A5C9B" w:rsidP="001C70B4">
            <w:pPr>
              <w:pStyle w:val="ParaNum"/>
              <w:numPr>
                <w:ilvl w:val="0"/>
                <w:numId w:val="0"/>
              </w:numPr>
              <w:spacing w:after="0"/>
              <w:jc w:val="right"/>
            </w:pPr>
            <w:r>
              <w:t>1,293,210</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Presque Isle, ME</w:t>
            </w:r>
          </w:p>
        </w:tc>
        <w:tc>
          <w:tcPr>
            <w:tcW w:w="1710" w:type="dxa"/>
            <w:shd w:val="clear" w:color="auto" w:fill="auto"/>
          </w:tcPr>
          <w:p w:rsidR="003A5C9B" w:rsidRDefault="003A5C9B" w:rsidP="001C70B4">
            <w:pPr>
              <w:pStyle w:val="ParaNum"/>
              <w:numPr>
                <w:ilvl w:val="0"/>
                <w:numId w:val="0"/>
              </w:numPr>
              <w:spacing w:after="0"/>
              <w:jc w:val="right"/>
            </w:pPr>
            <w:r>
              <w:t>71,870</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Bend, OR</w:t>
            </w:r>
          </w:p>
        </w:tc>
        <w:tc>
          <w:tcPr>
            <w:tcW w:w="1710" w:type="dxa"/>
            <w:shd w:val="clear" w:color="auto" w:fill="auto"/>
          </w:tcPr>
          <w:p w:rsidR="003A5C9B" w:rsidRDefault="003A5C9B" w:rsidP="001C70B4">
            <w:pPr>
              <w:pStyle w:val="ParaNum"/>
              <w:numPr>
                <w:ilvl w:val="0"/>
                <w:numId w:val="0"/>
              </w:numPr>
              <w:spacing w:after="0"/>
              <w:jc w:val="right"/>
            </w:pPr>
            <w:r>
              <w:t>157,733</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Casper-Riverton, WY</w:t>
            </w:r>
          </w:p>
        </w:tc>
        <w:tc>
          <w:tcPr>
            <w:tcW w:w="1710" w:type="dxa"/>
            <w:shd w:val="clear" w:color="auto" w:fill="auto"/>
          </w:tcPr>
          <w:p w:rsidR="003A5C9B" w:rsidRDefault="003A5C9B" w:rsidP="001C70B4">
            <w:pPr>
              <w:pStyle w:val="ParaNum"/>
              <w:numPr>
                <w:ilvl w:val="0"/>
                <w:numId w:val="0"/>
              </w:numPr>
              <w:spacing w:after="0"/>
              <w:jc w:val="right"/>
            </w:pPr>
            <w:r>
              <w:t>142,751</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El Paso (Las Cruces), TX</w:t>
            </w:r>
          </w:p>
        </w:tc>
        <w:tc>
          <w:tcPr>
            <w:tcW w:w="1710" w:type="dxa"/>
            <w:shd w:val="clear" w:color="auto" w:fill="auto"/>
          </w:tcPr>
          <w:p w:rsidR="003A5C9B" w:rsidRDefault="003A5C9B" w:rsidP="001C70B4">
            <w:pPr>
              <w:pStyle w:val="ParaNum"/>
              <w:numPr>
                <w:ilvl w:val="0"/>
                <w:numId w:val="0"/>
              </w:numPr>
              <w:spacing w:after="0"/>
              <w:jc w:val="right"/>
            </w:pPr>
            <w:r>
              <w:t>1,013,356</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Harlingen-Weslaco-Brownsville-McAllen, TX</w:t>
            </w:r>
          </w:p>
        </w:tc>
        <w:tc>
          <w:tcPr>
            <w:tcW w:w="1710" w:type="dxa"/>
            <w:shd w:val="clear" w:color="auto" w:fill="auto"/>
          </w:tcPr>
          <w:p w:rsidR="003A5C9B" w:rsidRDefault="003A5C9B" w:rsidP="001C70B4">
            <w:pPr>
              <w:pStyle w:val="ParaNum"/>
              <w:numPr>
                <w:ilvl w:val="0"/>
                <w:numId w:val="0"/>
              </w:numPr>
              <w:spacing w:after="0"/>
              <w:jc w:val="right"/>
            </w:pPr>
            <w:r>
              <w:t>1,264,091</w:t>
            </w:r>
          </w:p>
        </w:tc>
      </w:tr>
      <w:tr w:rsidR="003A5C9B" w:rsidTr="00570BB3">
        <w:trPr>
          <w:jc w:val="center"/>
        </w:trPr>
        <w:tc>
          <w:tcPr>
            <w:tcW w:w="4585" w:type="dxa"/>
            <w:shd w:val="clear" w:color="auto" w:fill="auto"/>
          </w:tcPr>
          <w:p w:rsidR="003A5C9B" w:rsidRDefault="003A5C9B" w:rsidP="001C70B4">
            <w:pPr>
              <w:pStyle w:val="ParaNum"/>
              <w:numPr>
                <w:ilvl w:val="0"/>
                <w:numId w:val="0"/>
              </w:numPr>
              <w:spacing w:after="0"/>
            </w:pPr>
            <w:r>
              <w:t>Las Vegas, NV</w:t>
            </w:r>
          </w:p>
        </w:tc>
        <w:tc>
          <w:tcPr>
            <w:tcW w:w="1710" w:type="dxa"/>
            <w:shd w:val="clear" w:color="auto" w:fill="auto"/>
          </w:tcPr>
          <w:p w:rsidR="003A5C9B" w:rsidRDefault="003A5C9B" w:rsidP="001C70B4">
            <w:pPr>
              <w:pStyle w:val="ParaNum"/>
              <w:numPr>
                <w:ilvl w:val="0"/>
                <w:numId w:val="0"/>
              </w:numPr>
              <w:spacing w:after="0"/>
              <w:jc w:val="right"/>
            </w:pPr>
            <w:r>
              <w:t>1,995,215</w:t>
            </w:r>
          </w:p>
        </w:tc>
      </w:tr>
      <w:tr w:rsidR="003A5C9B" w:rsidRPr="00870AE8" w:rsidTr="00570BB3">
        <w:trPr>
          <w:jc w:val="center"/>
        </w:trPr>
        <w:tc>
          <w:tcPr>
            <w:tcW w:w="4585" w:type="dxa"/>
            <w:shd w:val="clear" w:color="auto" w:fill="auto"/>
          </w:tcPr>
          <w:p w:rsidR="003A5C9B" w:rsidRPr="00570BB3" w:rsidRDefault="003A5C9B" w:rsidP="001C70B4">
            <w:pPr>
              <w:pStyle w:val="ParaNum"/>
              <w:numPr>
                <w:ilvl w:val="0"/>
                <w:numId w:val="0"/>
              </w:numPr>
              <w:spacing w:after="0"/>
              <w:rPr>
                <w:lang w:val="fr-FR"/>
              </w:rPr>
            </w:pPr>
            <w:r w:rsidRPr="00570BB3">
              <w:rPr>
                <w:lang w:val="fr-FR"/>
              </w:rPr>
              <w:t>Santa Barbara-Santa Maria-San Luis Obispo, CA</w:t>
            </w:r>
          </w:p>
        </w:tc>
        <w:tc>
          <w:tcPr>
            <w:tcW w:w="1710" w:type="dxa"/>
            <w:shd w:val="clear" w:color="auto" w:fill="auto"/>
          </w:tcPr>
          <w:p w:rsidR="003A5C9B" w:rsidRPr="00570BB3" w:rsidRDefault="003A5C9B" w:rsidP="001C70B4">
            <w:pPr>
              <w:pStyle w:val="ParaNum"/>
              <w:numPr>
                <w:ilvl w:val="0"/>
                <w:numId w:val="0"/>
              </w:numPr>
              <w:spacing w:after="0"/>
              <w:jc w:val="right"/>
              <w:rPr>
                <w:lang w:val="fr-FR"/>
              </w:rPr>
            </w:pPr>
            <w:r w:rsidRPr="00570BB3">
              <w:rPr>
                <w:lang w:val="fr-FR"/>
              </w:rPr>
              <w:t>693,532</w:t>
            </w:r>
          </w:p>
        </w:tc>
      </w:tr>
      <w:tr w:rsidR="003A5C9B" w:rsidRPr="00870AE8" w:rsidTr="00570BB3">
        <w:trPr>
          <w:jc w:val="center"/>
        </w:trPr>
        <w:tc>
          <w:tcPr>
            <w:tcW w:w="4585" w:type="dxa"/>
            <w:shd w:val="clear" w:color="auto" w:fill="auto"/>
          </w:tcPr>
          <w:p w:rsidR="003A5C9B" w:rsidRPr="00570BB3" w:rsidRDefault="003A5C9B" w:rsidP="001C70B4">
            <w:pPr>
              <w:pStyle w:val="ParaNum"/>
              <w:numPr>
                <w:ilvl w:val="0"/>
                <w:numId w:val="0"/>
              </w:numPr>
              <w:spacing w:after="0"/>
              <w:rPr>
                <w:lang w:val="fr-FR"/>
              </w:rPr>
            </w:pPr>
            <w:r>
              <w:t>Tucson (Sierra Vista), AZ</w:t>
            </w:r>
          </w:p>
        </w:tc>
        <w:tc>
          <w:tcPr>
            <w:tcW w:w="1710" w:type="dxa"/>
            <w:shd w:val="clear" w:color="auto" w:fill="auto"/>
          </w:tcPr>
          <w:p w:rsidR="003A5C9B" w:rsidRPr="00570BB3" w:rsidRDefault="003A5C9B" w:rsidP="001C70B4">
            <w:pPr>
              <w:pStyle w:val="ParaNum"/>
              <w:numPr>
                <w:ilvl w:val="0"/>
                <w:numId w:val="0"/>
              </w:numPr>
              <w:spacing w:after="0"/>
              <w:jc w:val="right"/>
              <w:rPr>
                <w:lang w:val="fr-FR"/>
              </w:rPr>
            </w:pPr>
            <w:r w:rsidRPr="00570BB3">
              <w:rPr>
                <w:lang w:val="fr-FR"/>
              </w:rPr>
              <w:t>1,159,029</w:t>
            </w:r>
          </w:p>
        </w:tc>
      </w:tr>
    </w:tbl>
    <w:p w:rsidR="003A5C9B" w:rsidRPr="00870AE8" w:rsidRDefault="003A5C9B" w:rsidP="003A5C9B">
      <w:pPr>
        <w:pStyle w:val="ParaNum"/>
        <w:numPr>
          <w:ilvl w:val="0"/>
          <w:numId w:val="0"/>
        </w:numPr>
        <w:ind w:left="720"/>
        <w:rPr>
          <w:lang w:val="fr-FR"/>
        </w:rPr>
      </w:pPr>
    </w:p>
    <w:p w:rsidR="00E51EF8" w:rsidRDefault="00310250" w:rsidP="001C70B4">
      <w:pPr>
        <w:pStyle w:val="ParaNum"/>
        <w:widowControl/>
      </w:pPr>
      <w:r>
        <w:t xml:space="preserve">Our </w:t>
      </w:r>
      <w:r w:rsidR="005721E2">
        <w:t xml:space="preserve">analysis </w:t>
      </w:r>
      <w:r>
        <w:t xml:space="preserve">of out-of-market signals by DMA </w:t>
      </w:r>
      <w:r w:rsidR="00A840EB">
        <w:t>finds that the top-</w:t>
      </w:r>
      <w:r w:rsidR="005721E2">
        <w:t>five DMAs in terms of access to out-of-market signals are all located on the east coast of the United States</w:t>
      </w:r>
      <w:r w:rsidR="00A840EB">
        <w:t>, which again is consistent with the close proximity of numerous markets and stations.  These top-</w:t>
      </w:r>
      <w:r w:rsidR="005721E2">
        <w:t xml:space="preserve">five DMAs have access to between 47 and 54 out-of-market full power television signals received </w:t>
      </w:r>
      <w:r w:rsidR="00F40F86">
        <w:t>over the air</w:t>
      </w:r>
      <w:r w:rsidR="005721E2">
        <w:t>.</w:t>
      </w:r>
      <w:r w:rsidR="005721E2">
        <w:rPr>
          <w:rStyle w:val="FootnoteReference"/>
        </w:rPr>
        <w:footnoteReference w:id="134"/>
      </w:r>
      <w:r w:rsidR="005721E2">
        <w:t xml:space="preserve">  Further, these five DMAs, in terms of population are large and reflect </w:t>
      </w:r>
      <w:r w:rsidR="005721E2" w:rsidRPr="00A4459B">
        <w:t xml:space="preserve">approximately </w:t>
      </w:r>
      <w:r w:rsidRPr="00A4459B">
        <w:t>10.64%</w:t>
      </w:r>
      <w:r w:rsidR="005721E2">
        <w:t xml:space="preserve"> percent of the U.S. population.</w:t>
      </w:r>
      <w:r w:rsidR="005721E2">
        <w:rPr>
          <w:rStyle w:val="FootnoteReference"/>
        </w:rPr>
        <w:footnoteReference w:id="135"/>
      </w:r>
      <w:r w:rsidR="005721E2">
        <w:t xml:space="preserve"> </w:t>
      </w:r>
      <w:r w:rsidR="00A840EB">
        <w:t xml:space="preserve"> </w:t>
      </w:r>
      <w:r w:rsidR="005721E2">
        <w:t xml:space="preserve">To take into account that the five DMAs with the most out-of-market signals are also </w:t>
      </w:r>
      <w:r w:rsidR="00A840EB">
        <w:t xml:space="preserve">DMAs with </w:t>
      </w:r>
      <w:r w:rsidR="005721E2">
        <w:t>high population, we weight the number of out-of-market signals by population.</w:t>
      </w:r>
      <w:r w:rsidR="003906A2">
        <w:rPr>
          <w:rStyle w:val="FootnoteReference"/>
        </w:rPr>
        <w:footnoteReference w:id="136"/>
      </w:r>
      <w:r w:rsidR="005721E2">
        <w:t xml:space="preserve">  Weighing the out-of-market signals by population results in a weighted average of approximately 27.8 out-of-market signals across all 210 DMAs.</w:t>
      </w:r>
      <w:r w:rsidR="005721E2">
        <w:rPr>
          <w:rStyle w:val="FootnoteReference"/>
        </w:rPr>
        <w:footnoteReference w:id="137"/>
      </w:r>
    </w:p>
    <w:p w:rsidR="003A5C9B" w:rsidRDefault="005721E2" w:rsidP="009B31BA">
      <w:pPr>
        <w:pStyle w:val="ParaNum"/>
        <w:widowControl/>
      </w:pPr>
      <w:r>
        <w:t>Another way to account for the number of out-of-market signals being skewed to these five populous DMAs is to create a “viewability” index based on the average percent of the population wi</w:t>
      </w:r>
      <w:r w:rsidR="00AD13CB">
        <w:t>thin a DMA that can receive out-</w:t>
      </w:r>
      <w:r>
        <w:t>of</w:t>
      </w:r>
      <w:r w:rsidR="00AD13CB">
        <w:t>-</w:t>
      </w:r>
      <w:r>
        <w:t>market signals.</w:t>
      </w:r>
      <w:r w:rsidR="009F4CD6">
        <w:rPr>
          <w:rStyle w:val="FootnoteReference"/>
        </w:rPr>
        <w:footnoteReference w:id="138"/>
      </w:r>
      <w:r w:rsidR="00A840EB">
        <w:t xml:space="preserve"> </w:t>
      </w:r>
      <w:r>
        <w:t xml:space="preserve"> To create this viewablity index we use </w:t>
      </w:r>
      <w:r w:rsidR="00AD13CB">
        <w:t xml:space="preserve">predicted coverage </w:t>
      </w:r>
      <w:r>
        <w:t>of out</w:t>
      </w:r>
      <w:r w:rsidR="00A840EB">
        <w:t>-</w:t>
      </w:r>
      <w:r>
        <w:t>of-market stations and calculate for each station the percent of the population</w:t>
      </w:r>
      <w:r w:rsidR="005B5A84">
        <w:t xml:space="preserve"> of each county within each DMA</w:t>
      </w:r>
      <w:r>
        <w:t xml:space="preserve"> the </w:t>
      </w:r>
      <w:r w:rsidR="00AD13CB">
        <w:t>signal</w:t>
      </w:r>
      <w:r>
        <w:t xml:space="preserve"> covers.  </w:t>
      </w:r>
      <w:r w:rsidR="005B5A84">
        <w:t xml:space="preserve">Within each DMA, we take the mean county population coverage of out-of-market signals, and multiply this by the </w:t>
      </w:r>
      <w:r w:rsidR="00D20865">
        <w:t xml:space="preserve">number </w:t>
      </w:r>
      <w:r w:rsidR="005B5A84">
        <w:t>of out-of-market signals by DMA</w:t>
      </w:r>
      <w:r>
        <w:t>.</w:t>
      </w:r>
      <w:r w:rsidR="005B5A84">
        <w:rPr>
          <w:rStyle w:val="FootnoteReference"/>
        </w:rPr>
        <w:footnoteReference w:id="139"/>
      </w:r>
      <w:r w:rsidR="005B5A84">
        <w:t xml:space="preserve"> </w:t>
      </w:r>
      <w:r>
        <w:t xml:space="preserve">  Our analysis finds that</w:t>
      </w:r>
      <w:r w:rsidR="004F1880">
        <w:t>,</w:t>
      </w:r>
      <w:r>
        <w:t xml:space="preserve"> when accounting for the relative population of the markets, the viewability index yields a mean of approximately 12.7 </w:t>
      </w:r>
      <w:r w:rsidR="002C6638">
        <w:t>“</w:t>
      </w:r>
      <w:r w:rsidR="00E62A5F">
        <w:t>viewable out-of</w:t>
      </w:r>
      <w:r w:rsidR="002C6638">
        <w:t>-</w:t>
      </w:r>
      <w:r w:rsidR="00E62A5F">
        <w:t>market signals”</w:t>
      </w:r>
      <w:r>
        <w:t xml:space="preserve"> </w:t>
      </w:r>
      <w:r w:rsidR="00E62A5F">
        <w:t>by DMA</w:t>
      </w:r>
      <w:r>
        <w:t xml:space="preserve"> with a standard deviation of 8.1.</w:t>
      </w:r>
      <w:r w:rsidR="00E51EF8">
        <w:t xml:space="preserve">  </w:t>
      </w:r>
    </w:p>
    <w:p w:rsidR="00D40B4D" w:rsidRDefault="003A5C9B" w:rsidP="003A5C9B">
      <w:pPr>
        <w:pStyle w:val="ParaNum"/>
      </w:pPr>
      <w:r>
        <w:t>Appendi</w:t>
      </w:r>
      <w:r w:rsidRPr="001E5BD6">
        <w:t xml:space="preserve">x </w:t>
      </w:r>
      <w:r w:rsidR="002A4BDE" w:rsidRPr="001E5BD6">
        <w:t>A</w:t>
      </w:r>
      <w:r w:rsidR="001E5BD6" w:rsidRPr="001E5BD6">
        <w:t xml:space="preserve"> – </w:t>
      </w:r>
      <w:r w:rsidR="002A4BDE" w:rsidRPr="001E5BD6">
        <w:t xml:space="preserve">List </w:t>
      </w:r>
      <w:r w:rsidR="00101AB8" w:rsidRPr="001E5BD6">
        <w:t>2</w:t>
      </w:r>
      <w:r>
        <w:t xml:space="preserve"> presents an analysis of the number of out-of-market </w:t>
      </w:r>
      <w:r w:rsidR="00741B4B">
        <w:t xml:space="preserve">full power television </w:t>
      </w:r>
      <w:r>
        <w:t xml:space="preserve">signals </w:t>
      </w:r>
      <w:r w:rsidR="00741B4B">
        <w:t xml:space="preserve">available </w:t>
      </w:r>
      <w:r>
        <w:t xml:space="preserve">by county.  This Appendix provides information on the county name, state, county DMA, total population of the county, </w:t>
      </w:r>
      <w:r w:rsidR="0034037F">
        <w:t xml:space="preserve">number </w:t>
      </w:r>
      <w:r>
        <w:t xml:space="preserve">of </w:t>
      </w:r>
      <w:r w:rsidR="00741B4B">
        <w:t>out-of-market signals, and out-of-market</w:t>
      </w:r>
      <w:r>
        <w:t xml:space="preserve"> signals adjusted for coverage of county population.  This analysis finds that</w:t>
      </w:r>
      <w:r w:rsidR="0034037F">
        <w:t>,</w:t>
      </w:r>
      <w:r>
        <w:t xml:space="preserve"> when considered on a county level, the range of out-of-</w:t>
      </w:r>
      <w:r w:rsidR="00741B4B">
        <w:t>market full power</w:t>
      </w:r>
      <w:r>
        <w:t xml:space="preserve"> signals </w:t>
      </w:r>
      <w:r w:rsidR="00FB2C24">
        <w:t xml:space="preserve">available in a county </w:t>
      </w:r>
      <w:r>
        <w:t>is between zero and 37</w:t>
      </w:r>
      <w:r w:rsidR="00D40B4D">
        <w:t xml:space="preserve"> signals</w:t>
      </w:r>
      <w:r w:rsidR="00FB2C24">
        <w:t xml:space="preserve">.  </w:t>
      </w:r>
      <w:r>
        <w:t>Riverside County</w:t>
      </w:r>
      <w:r w:rsidR="00FB2C24">
        <w:t>, California, located</w:t>
      </w:r>
      <w:r>
        <w:t xml:space="preserve"> in the Palm Springs</w:t>
      </w:r>
      <w:r w:rsidR="00FB2C24">
        <w:t>, California</w:t>
      </w:r>
      <w:r>
        <w:t xml:space="preserve"> DMA</w:t>
      </w:r>
      <w:r w:rsidR="00FB2C24">
        <w:t>, is</w:t>
      </w:r>
      <w:r>
        <w:t xml:space="preserve"> at the top</w:t>
      </w:r>
      <w:r w:rsidR="00FB2C24">
        <w:t xml:space="preserve"> of the scale with 37 out-of-market full power signals available to the county, largely as a result of Riverside’s proximity to</w:t>
      </w:r>
      <w:r w:rsidR="001E5BD6">
        <w:t xml:space="preserve"> the</w:t>
      </w:r>
      <w:r w:rsidR="00FB2C24">
        <w:t xml:space="preserve"> Los Angeles and </w:t>
      </w:r>
      <w:r w:rsidR="00CA3E14">
        <w:t>San Diego</w:t>
      </w:r>
      <w:r w:rsidR="001E5BD6">
        <w:t xml:space="preserve"> DMAs</w:t>
      </w:r>
      <w:r>
        <w:t xml:space="preserve">.  </w:t>
      </w:r>
    </w:p>
    <w:p w:rsidR="003A5C9B" w:rsidRDefault="003A5C9B" w:rsidP="003A5C9B">
      <w:pPr>
        <w:pStyle w:val="ParaNum"/>
      </w:pPr>
      <w:r>
        <w:t xml:space="preserve">Out of </w:t>
      </w:r>
      <w:r w:rsidR="00CA3E14">
        <w:t xml:space="preserve">the </w:t>
      </w:r>
      <w:r>
        <w:t>3,064 counties</w:t>
      </w:r>
      <w:r w:rsidR="00CA3E14">
        <w:t xml:space="preserve"> analyzed nationwide</w:t>
      </w:r>
      <w:r>
        <w:t>, 583 counties receive no out-of-</w:t>
      </w:r>
      <w:r w:rsidR="00CA3E14">
        <w:t>market full power</w:t>
      </w:r>
      <w:r>
        <w:t xml:space="preserve"> signals.  </w:t>
      </w:r>
      <w:r w:rsidR="00D40B4D" w:rsidRPr="001E5BD6">
        <w:t xml:space="preserve">Appendix </w:t>
      </w:r>
      <w:r w:rsidR="002A4BDE" w:rsidRPr="001E5BD6">
        <w:t>A</w:t>
      </w:r>
      <w:r w:rsidR="001E5BD6">
        <w:t xml:space="preserve"> – </w:t>
      </w:r>
      <w:r w:rsidR="002A4BDE" w:rsidRPr="001E5BD6">
        <w:t xml:space="preserve">List </w:t>
      </w:r>
      <w:r w:rsidR="00101AB8" w:rsidRPr="001E5BD6">
        <w:t>3</w:t>
      </w:r>
      <w:r w:rsidR="002A4BDE">
        <w:t xml:space="preserve"> </w:t>
      </w:r>
      <w:r w:rsidR="00D40B4D">
        <w:t xml:space="preserve">provides details about such counties.  </w:t>
      </w:r>
      <w:r>
        <w:t xml:space="preserve">The mean </w:t>
      </w:r>
      <w:r w:rsidR="00CA3E14">
        <w:t xml:space="preserve">number of </w:t>
      </w:r>
      <w:r>
        <w:t xml:space="preserve">out-of-market </w:t>
      </w:r>
      <w:r w:rsidR="00CA3E14">
        <w:t xml:space="preserve">full power </w:t>
      </w:r>
      <w:r>
        <w:t xml:space="preserve">signals </w:t>
      </w:r>
      <w:r w:rsidR="00CA3E14">
        <w:t xml:space="preserve">available </w:t>
      </w:r>
      <w:r>
        <w:t xml:space="preserve">on a county basis is approximately 4.7 </w:t>
      </w:r>
      <w:r w:rsidR="00CA3E14">
        <w:t xml:space="preserve">signals </w:t>
      </w:r>
      <w:r>
        <w:t>with a standard deviation of 4.6.  Weighted by county population, the mean is approximately 5.9 out-of-market signals</w:t>
      </w:r>
      <w:r w:rsidR="00CA3E14">
        <w:t xml:space="preserve"> available in a </w:t>
      </w:r>
      <w:r w:rsidR="005627F0">
        <w:t>county</w:t>
      </w:r>
      <w:r>
        <w:t xml:space="preserve">.  However, </w:t>
      </w:r>
      <w:r w:rsidR="00CA3E14">
        <w:t xml:space="preserve">just </w:t>
      </w:r>
      <w:r>
        <w:t xml:space="preserve">as </w:t>
      </w:r>
      <w:r w:rsidR="00CA3E14">
        <w:t>was</w:t>
      </w:r>
      <w:r>
        <w:t xml:space="preserve"> the case for DMAs, there are several large counties that skew this average upward, and therefore we calculate a viewability mean</w:t>
      </w:r>
      <w:r w:rsidR="00CA3E14">
        <w:t xml:space="preserve"> on a count</w:t>
      </w:r>
      <w:r w:rsidR="005627F0">
        <w:t>y</w:t>
      </w:r>
      <w:r w:rsidR="00CA3E14">
        <w:t xml:space="preserve"> basis as well.</w:t>
      </w:r>
      <w:r>
        <w:rPr>
          <w:rStyle w:val="FootnoteReference"/>
        </w:rPr>
        <w:footnoteReference w:id="140"/>
      </w:r>
      <w:r>
        <w:t xml:space="preserve">  Our analysis finds the county mean </w:t>
      </w:r>
      <w:r w:rsidR="00E62A5F">
        <w:t xml:space="preserve">viewable </w:t>
      </w:r>
      <w:r>
        <w:t>out-of-market signals is approximately 2.8 with a standard deviation of 3.7.</w:t>
      </w:r>
      <w:r w:rsidR="004247BC">
        <w:rPr>
          <w:rStyle w:val="FootnoteReference"/>
        </w:rPr>
        <w:footnoteReference w:id="141"/>
      </w:r>
    </w:p>
    <w:p w:rsidR="00480AC1" w:rsidRDefault="005721E2" w:rsidP="00480AC1">
      <w:pPr>
        <w:pStyle w:val="ParaNum"/>
      </w:pPr>
      <w:r>
        <w:t>We note that underpinning both the DMA and county viewability numbers is the fact that not every in-market or out-of-market full power television signal analyzed reaches 100 percent of either a county or DMA.  Thus, the mean percentage of the population of a county that an in-market station signal reaches is approximately 64.5 percent with a standard deviation of 0.39.</w:t>
      </w:r>
      <w:r>
        <w:rPr>
          <w:rStyle w:val="FootnoteReference"/>
        </w:rPr>
        <w:footnoteReference w:id="142"/>
      </w:r>
      <w:r>
        <w:t xml:space="preserve">  For out-of-market signals, the </w:t>
      </w:r>
      <w:r w:rsidR="00FF2DA2">
        <w:t xml:space="preserve">mean </w:t>
      </w:r>
      <w:r>
        <w:t xml:space="preserve">percentage of a county a signal reaches is approximately 44 percent.  Further, when aggregating to the DMA level, the mean percentage of a county that an in-market station signal reaches is approximately 48 percent with a </w:t>
      </w:r>
      <w:r w:rsidR="00A30D16">
        <w:t>standard deviation of 0.41, and</w:t>
      </w:r>
      <w:r>
        <w:t xml:space="preserve"> for out-of-market signals the mean is approximately 46.6 percent with a standard deviation of 0.41.  Finally, when aggregating to a county level, the mean percentage of a county an in-market station signal reaches is approximately 63.5 percent with a standard deviation of 0.39, and for out-of-market signals the mean percentage of a county a signal reaches is approximately 61.4 percent with a standard deviation of 0.4.</w:t>
      </w:r>
    </w:p>
    <w:p w:rsidR="00480AC1" w:rsidRDefault="00480AC1" w:rsidP="001C70B4">
      <w:pPr>
        <w:pStyle w:val="ParaNum"/>
        <w:widowControl/>
      </w:pPr>
      <w:r w:rsidRPr="00480AC1">
        <w:rPr>
          <w:i/>
        </w:rPr>
        <w:t>Low Power, Class A, TV Translators.</w:t>
      </w:r>
      <w:r>
        <w:t xml:space="preserve">  In addition to the reception of out-of-market full power stations, we also examined reception of out-of-market low power, Class A, and TV translator stations (referred to collectively in this section as “low power stations” or “low power signals”).  Appendix </w:t>
      </w:r>
      <w:r w:rsidR="00101AB8" w:rsidRPr="001E5BD6">
        <w:t>A</w:t>
      </w:r>
      <w:r w:rsidR="001E5BD6" w:rsidRPr="001E5BD6">
        <w:t xml:space="preserve"> – </w:t>
      </w:r>
      <w:r w:rsidR="00101AB8" w:rsidRPr="001E5BD6">
        <w:t>List 6</w:t>
      </w:r>
      <w:r w:rsidRPr="001E5BD6">
        <w:t xml:space="preserve"> provides</w:t>
      </w:r>
      <w:r>
        <w:t xml:space="preserve"> a complete listing of every out-of-market low power, Class A, and TV transl</w:t>
      </w:r>
      <w:r w:rsidR="00044A79">
        <w:t>ator station, commercial or non</w:t>
      </w:r>
      <w:r>
        <w:t xml:space="preserve">commercial, that can be received </w:t>
      </w:r>
      <w:r w:rsidR="00F40F86">
        <w:t>over the air</w:t>
      </w:r>
      <w:r>
        <w:t xml:space="preserve"> in each county and DMA in the United States.</w:t>
      </w:r>
      <w:r>
        <w:rPr>
          <w:rStyle w:val="FootnoteReference"/>
        </w:rPr>
        <w:footnoteReference w:id="143"/>
      </w:r>
    </w:p>
    <w:p w:rsidR="00412188" w:rsidRPr="009A7498" w:rsidRDefault="00412188" w:rsidP="001E5BD6">
      <w:pPr>
        <w:pStyle w:val="ParaNum"/>
        <w:widowControl/>
        <w:rPr>
          <w:lang w:val="fr-FR"/>
        </w:rPr>
      </w:pPr>
      <w:r>
        <w:t xml:space="preserve">Based on our analysis, the Bureau finds that the number of </w:t>
      </w:r>
      <w:r w:rsidR="00DA78F9">
        <w:t>out-of-market low power station</w:t>
      </w:r>
      <w:r>
        <w:t xml:space="preserve"> signals available per DMA ranges from zero to 12 signals.  Analysis shows a mean of approximately 0.57 out-of-market low power signals available in a DMA, with a standard deviation of approximately 1.62.</w:t>
      </w:r>
      <w:r>
        <w:rPr>
          <w:rStyle w:val="FootnoteReference"/>
        </w:rPr>
        <w:footnoteReference w:id="144"/>
      </w:r>
      <w:r>
        <w:t xml:space="preserve">  However, our analysis shows that in the vast majority of markets – 164 DMAs – there are no out-of-market low power signals available.  </w:t>
      </w:r>
      <w:r w:rsidRPr="001E5BD6">
        <w:t>List 4 in Appendix A attached hereto, identifies those DMAs with no out-of-market low power signals.</w:t>
      </w:r>
      <w:r w:rsidRPr="001E5BD6">
        <w:rPr>
          <w:rStyle w:val="FootnoteReference"/>
        </w:rPr>
        <w:footnoteReference w:id="145"/>
      </w:r>
      <w:r w:rsidRPr="001E5BD6">
        <w:t xml:space="preserve">  This is likely a result of the fact that low power stations have much smaller signal contours than full power stations, and thus do not cover as much area.  For those markets for which our analysis does find out-of-market low power signals available, List 4 in Appendix A provide</w:t>
      </w:r>
      <w:r>
        <w:t xml:space="preserve">s the signal counts, the DMA population, and out-of-market signals adjusted for coverage of DMA population.  </w:t>
      </w:r>
    </w:p>
    <w:p w:rsidR="00412188" w:rsidRDefault="00412188" w:rsidP="00412188">
      <w:pPr>
        <w:pStyle w:val="ParaNum"/>
      </w:pPr>
      <w:r>
        <w:t xml:space="preserve">Our analysis by DMA finds that the following six markets have access to the most out-of-market low power signals:  Denver, CO, with access to 12 signals; Missoula, MT, with access to ten signals; Seattle-Tacoma, WA, with access to nine signals; Salt Lake City, UT, with access to eight signals; Bakersfield, CA, with access to seven signals; and Phoenix, AZ, with access to six signals.  No other DMA has access to more than four out-of-market low power signals.  </w:t>
      </w:r>
    </w:p>
    <w:p w:rsidR="00412188" w:rsidRDefault="00412188" w:rsidP="00412188">
      <w:pPr>
        <w:pStyle w:val="ParaNum"/>
      </w:pPr>
      <w:r>
        <w:t xml:space="preserve">As with full power stations above, we have considered a </w:t>
      </w:r>
      <w:r w:rsidR="007C67D3">
        <w:t>population-</w:t>
      </w:r>
      <w:r>
        <w:t>weighted mean, which results in a weighted average of approximately 0.94 out-of-market signals available per market across all 210 DMAs.  Further, our analysis finds that, when accounting for the relative population of the markets, the viewability index yields a mean of approximately 0.199 “viewable out-of-market signals” by DMA, with a standard deviation of 0.528.</w:t>
      </w:r>
      <w:r>
        <w:rPr>
          <w:rStyle w:val="FootnoteReference"/>
        </w:rPr>
        <w:footnoteReference w:id="146"/>
      </w:r>
      <w:r>
        <w:t xml:space="preserve">  </w:t>
      </w:r>
    </w:p>
    <w:p w:rsidR="00412188" w:rsidRDefault="00412188" w:rsidP="00412188">
      <w:pPr>
        <w:pStyle w:val="ParaNum"/>
      </w:pPr>
      <w:r>
        <w:t xml:space="preserve">In addition to looking at reception of out-of-market low power stations on a DMA basis, we also examined reception on a county basis.  Out of the 3,064 counties analyzed nationwide, the vast majority of counties – 2,530 counties – receive no out-of-market low power signals.  A complete listing of these counties without access to any out-of-market low power signals </w:t>
      </w:r>
      <w:r w:rsidR="007C67D3">
        <w:t>is found</w:t>
      </w:r>
      <w:r>
        <w:t xml:space="preserve"> in </w:t>
      </w:r>
      <w:r w:rsidR="001E5BD6">
        <w:t xml:space="preserve">Appendix A – </w:t>
      </w:r>
      <w:r w:rsidRPr="001E5BD6">
        <w:t>List 8</w:t>
      </w:r>
      <w:r>
        <w:t>.</w:t>
      </w:r>
      <w:r>
        <w:rPr>
          <w:rStyle w:val="FootnoteReference"/>
        </w:rPr>
        <w:footnoteReference w:id="147"/>
      </w:r>
      <w:r>
        <w:t xml:space="preserve">  With respect to the remaining counties, where low power signals are present, </w:t>
      </w:r>
      <w:r w:rsidR="001E5BD6">
        <w:t xml:space="preserve">Appendix A – </w:t>
      </w:r>
      <w:r w:rsidRPr="001E5BD6">
        <w:t>List 7</w:t>
      </w:r>
      <w:r w:rsidR="001E5BD6">
        <w:t xml:space="preserve"> </w:t>
      </w:r>
      <w:r>
        <w:t>presents an analysis of the number of out-of-market low power television signals available per county.</w:t>
      </w:r>
      <w:r>
        <w:rPr>
          <w:rStyle w:val="FootnoteReference"/>
        </w:rPr>
        <w:footnoteReference w:id="148"/>
      </w:r>
      <w:r>
        <w:t xml:space="preserve">  List 7 provides information on the county name, state, county DMA, total population of the county, </w:t>
      </w:r>
      <w:r w:rsidR="00D20865">
        <w:t xml:space="preserve">number </w:t>
      </w:r>
      <w:r>
        <w:t xml:space="preserve">of out-of-market signals, and out-of-market signals adjusted for coverage of county population.  This analysis finds that when considered on a county level, the range of out-of-market low power signals available in a county is between zero and </w:t>
      </w:r>
      <w:r w:rsidR="001E5BD6">
        <w:t>seven</w:t>
      </w:r>
      <w:r>
        <w:t xml:space="preserve"> signals.  Kern County, CA in the Bakersfield, CA DMA and Sanders County, MT in the Missoula, MT DMA are at the top of the scale with 7 out-of-market low power signals available to each county.  Douglas County, WA in the S</w:t>
      </w:r>
      <w:r w:rsidR="001E5BD6">
        <w:t>eattle-Tacoma, WA DMA receives four</w:t>
      </w:r>
      <w:r>
        <w:t xml:space="preserve"> out-of-market low power signals, and no other county receives more than </w:t>
      </w:r>
      <w:r w:rsidR="001E5BD6">
        <w:t>three</w:t>
      </w:r>
      <w:r>
        <w:t>.</w:t>
      </w:r>
    </w:p>
    <w:p w:rsidR="00D54172" w:rsidRDefault="00412188" w:rsidP="00480AC1">
      <w:pPr>
        <w:pStyle w:val="ParaNum"/>
      </w:pPr>
      <w:r>
        <w:t>The mean number of out-of-market low power signals available on a county basis is approximately 0.059 signals with a standard deviation of 0.337.  Weighted by county population, the mean is approximately 0.075 out-of-market low power signals available in a county.  The viewability mean calculated on a county basis reflects a vanishingly small mean of approximately 0.017 out-of-market low power signals, with a standard deviation of 0.16.</w:t>
      </w:r>
    </w:p>
    <w:p w:rsidR="003A5C9B" w:rsidRDefault="009C694B" w:rsidP="00587434">
      <w:pPr>
        <w:pStyle w:val="Heading2"/>
      </w:pPr>
      <w:bookmarkStart w:id="29" w:name="_Toc448130180"/>
      <w:bookmarkStart w:id="30" w:name="_Toc448153845"/>
      <w:bookmarkStart w:id="31" w:name="_Toc448230172"/>
      <w:bookmarkStart w:id="32" w:name="_Toc448311218"/>
      <w:bookmarkStart w:id="33" w:name="_Toc452456831"/>
      <w:r>
        <w:t xml:space="preserve">Carriage of </w:t>
      </w:r>
      <w:r w:rsidR="009F4CD6">
        <w:t xml:space="preserve">Certain </w:t>
      </w:r>
      <w:r w:rsidR="0022391E">
        <w:t xml:space="preserve">Out-of-Market </w:t>
      </w:r>
      <w:r>
        <w:t>Signals by DBS Providers</w:t>
      </w:r>
      <w:bookmarkEnd w:id="29"/>
      <w:bookmarkEnd w:id="30"/>
      <w:bookmarkEnd w:id="31"/>
      <w:bookmarkEnd w:id="32"/>
      <w:bookmarkEnd w:id="33"/>
    </w:p>
    <w:p w:rsidR="004F6F5B" w:rsidRDefault="003A5C9B" w:rsidP="00B960E8">
      <w:pPr>
        <w:pStyle w:val="ParaNum"/>
      </w:pPr>
      <w:bookmarkStart w:id="34" w:name="_Ref452470483"/>
      <w:r>
        <w:t xml:space="preserve">In </w:t>
      </w:r>
      <w:r w:rsidR="006276F7">
        <w:t xml:space="preserve">addition to the stations available to consumers directly from </w:t>
      </w:r>
      <w:r w:rsidR="009B39E2">
        <w:t xml:space="preserve">the reception of </w:t>
      </w:r>
      <w:r w:rsidR="006276F7">
        <w:t xml:space="preserve">broadcast television stations </w:t>
      </w:r>
      <w:r w:rsidR="00F40F86">
        <w:t>over the air</w:t>
      </w:r>
      <w:r w:rsidR="006276F7">
        <w:t xml:space="preserve">, we also looked at </w:t>
      </w:r>
      <w:r w:rsidR="00B24E85">
        <w:t xml:space="preserve">the </w:t>
      </w:r>
      <w:r w:rsidR="006276F7">
        <w:t xml:space="preserve">out-of-market stations available to consumers from DBS providers.  </w:t>
      </w:r>
      <w:r w:rsidR="002B3B00">
        <w:t xml:space="preserve">Information on the carriage of out-of-market signals by DBS providers was obtained from the DBS providers directly.  </w:t>
      </w:r>
      <w:r w:rsidR="0063080B">
        <w:t>DIRECTV</w:t>
      </w:r>
      <w:r w:rsidR="0039594B">
        <w:t xml:space="preserve"> submitted data </w:t>
      </w:r>
      <w:r w:rsidR="0063080B">
        <w:t xml:space="preserve">to Bureau staff regarding the broadcast stations that it currently carries pursuant to the station’s significantly viewed status and indicated the markets in which these stations are carried.  DISH </w:t>
      </w:r>
      <w:r w:rsidR="001E0C3E">
        <w:t xml:space="preserve">confirmed to Bureau staff that it </w:t>
      </w:r>
      <w:r w:rsidR="0063080B">
        <w:t xml:space="preserve">does not currently carry any stations pursuant to the significantly viewed rules.  DIRECTV </w:t>
      </w:r>
      <w:r w:rsidR="002B3B00">
        <w:t xml:space="preserve">and DISH </w:t>
      </w:r>
      <w:r w:rsidR="0063080B">
        <w:t xml:space="preserve">also provided the Bureau with lists of the stations that are carried in short markets to fill in a network missing in </w:t>
      </w:r>
      <w:r w:rsidR="002B3B00">
        <w:t>those</w:t>
      </w:r>
      <w:r w:rsidR="0063080B">
        <w:t xml:space="preserve"> particular market</w:t>
      </w:r>
      <w:r w:rsidR="002B3B00">
        <w:t>s</w:t>
      </w:r>
      <w:r w:rsidR="0063080B">
        <w:t>.</w:t>
      </w:r>
      <w:r w:rsidR="001F1D17">
        <w:rPr>
          <w:rStyle w:val="FootnoteReference"/>
        </w:rPr>
        <w:footnoteReference w:id="149"/>
      </w:r>
      <w:r w:rsidR="0063080B">
        <w:t xml:space="preserve">  </w:t>
      </w:r>
      <w:r w:rsidR="00C74A1D">
        <w:t xml:space="preserve">Furthermore, </w:t>
      </w:r>
      <w:r w:rsidR="0063080B">
        <w:t xml:space="preserve">DIRECTV </w:t>
      </w:r>
      <w:r w:rsidR="002B3B00">
        <w:t xml:space="preserve">and DISH </w:t>
      </w:r>
      <w:r w:rsidR="0063080B">
        <w:t xml:space="preserve">identified stations that they carry in certain states pursuant to </w:t>
      </w:r>
      <w:r w:rsidR="002B3B00">
        <w:t>the s</w:t>
      </w:r>
      <w:r w:rsidR="0063080B" w:rsidRPr="00F85B40">
        <w:t>pecific statut</w:t>
      </w:r>
      <w:r w:rsidR="0063080B">
        <w:t>ory copyright exceptions</w:t>
      </w:r>
      <w:r w:rsidR="002B3B00">
        <w:t xml:space="preserve"> in 17 U.S.C. Section 122</w:t>
      </w:r>
      <w:r w:rsidR="0063080B">
        <w:t>.</w:t>
      </w:r>
      <w:r w:rsidR="0039594B">
        <w:t xml:space="preserve">  </w:t>
      </w:r>
      <w:r w:rsidR="002B3B00">
        <w:t xml:space="preserve">Appendix </w:t>
      </w:r>
      <w:r w:rsidR="002B3B00" w:rsidRPr="001E5BD6">
        <w:t>B</w:t>
      </w:r>
      <w:r w:rsidR="002B3B00">
        <w:t xml:space="preserve"> hereto compiles the information and provides specific information describing the out-of-market broadcast stations available to consumers via DBS.</w:t>
      </w:r>
      <w:bookmarkEnd w:id="34"/>
      <w:r w:rsidR="00DD4378">
        <w:t xml:space="preserve">  </w:t>
      </w:r>
    </w:p>
    <w:p w:rsidR="004F6F5B" w:rsidRDefault="00937204" w:rsidP="00481BCD">
      <w:pPr>
        <w:pStyle w:val="ParaNum"/>
      </w:pPr>
      <w:r>
        <w:t xml:space="preserve">We </w:t>
      </w:r>
      <w:r w:rsidR="00755AF0">
        <w:t xml:space="preserve">have examined whether the </w:t>
      </w:r>
      <w:r w:rsidR="00FF2198">
        <w:t xml:space="preserve">DBS providers carry any </w:t>
      </w:r>
      <w:r w:rsidR="007836F6">
        <w:t xml:space="preserve">out-of-market </w:t>
      </w:r>
      <w:r w:rsidR="00755AF0">
        <w:t>signals</w:t>
      </w:r>
      <w:r w:rsidR="004C152A">
        <w:t xml:space="preserve"> </w:t>
      </w:r>
      <w:r w:rsidR="00FF2198">
        <w:t xml:space="preserve">based on </w:t>
      </w:r>
      <w:r w:rsidR="004C152A">
        <w:t>the</w:t>
      </w:r>
      <w:r w:rsidR="00FF2198">
        <w:t xml:space="preserve"> stations’</w:t>
      </w:r>
      <w:r w:rsidR="00755AF0">
        <w:t xml:space="preserve"> significantly viewed </w:t>
      </w:r>
      <w:r w:rsidR="004C152A">
        <w:t xml:space="preserve">status </w:t>
      </w:r>
      <w:r w:rsidR="00755AF0">
        <w:t xml:space="preserve">in any of the counties that comprise the DMA into which they are being imported.  </w:t>
      </w:r>
      <w:r w:rsidR="00FF2198">
        <w:t xml:space="preserve">DIRECTV provided the Bureau with lists of the broadcast stations that they currently carry pursuant to their significantly viewed status and indicated the markets in which these stations are carried.  </w:t>
      </w:r>
      <w:r w:rsidR="00847852">
        <w:t xml:space="preserve">The information can be found in Appendix B’s List 1 attached hereto.  </w:t>
      </w:r>
      <w:r w:rsidR="00FF2198">
        <w:t xml:space="preserve">DISH </w:t>
      </w:r>
      <w:r w:rsidR="009519D8">
        <w:t>confirmed to the Bureau</w:t>
      </w:r>
      <w:r w:rsidR="00FF2198">
        <w:t xml:space="preserve"> that it does not currently carry any </w:t>
      </w:r>
      <w:r w:rsidR="001358F8">
        <w:t xml:space="preserve">broadcast stations pursuant to their </w:t>
      </w:r>
      <w:r w:rsidR="00FF2198">
        <w:t xml:space="preserve">significantly viewed </w:t>
      </w:r>
      <w:r w:rsidR="001358F8">
        <w:t>statu</w:t>
      </w:r>
      <w:r w:rsidR="00FF2198">
        <w:t>s.</w:t>
      </w:r>
      <w:r w:rsidR="00755AF0">
        <w:t xml:space="preserve">  </w:t>
      </w:r>
      <w:r w:rsidR="00B87577">
        <w:t>Our analysis indicates that</w:t>
      </w:r>
      <w:r w:rsidR="00D44FB5">
        <w:t>,</w:t>
      </w:r>
      <w:r w:rsidR="00B87577">
        <w:t xml:space="preserve"> of the </w:t>
      </w:r>
      <w:r w:rsidR="006B70A5">
        <w:t>twenty</w:t>
      </w:r>
      <w:r w:rsidR="00B87577">
        <w:t xml:space="preserve"> stations DIRECTV </w:t>
      </w:r>
      <w:r w:rsidR="00874F60">
        <w:t>lists as being carried</w:t>
      </w:r>
      <w:r w:rsidR="00B87577">
        <w:t xml:space="preserve"> pursuant to the</w:t>
      </w:r>
      <w:r w:rsidR="001358F8">
        <w:t>ir</w:t>
      </w:r>
      <w:r w:rsidR="00B87577">
        <w:t xml:space="preserve"> significantly viewed </w:t>
      </w:r>
      <w:r w:rsidR="001358F8">
        <w:t>status</w:t>
      </w:r>
      <w:r w:rsidR="00B87577">
        <w:t xml:space="preserve">, </w:t>
      </w:r>
      <w:r w:rsidR="006B70A5">
        <w:t>nine</w:t>
      </w:r>
      <w:r w:rsidR="00B87577">
        <w:t xml:space="preserve"> </w:t>
      </w:r>
      <w:r w:rsidR="00874F60">
        <w:t xml:space="preserve">such </w:t>
      </w:r>
      <w:r w:rsidR="00B87577">
        <w:t xml:space="preserve">stations </w:t>
      </w:r>
      <w:r w:rsidR="00874F60">
        <w:t xml:space="preserve">are being imported into </w:t>
      </w:r>
      <w:r w:rsidR="006B70A5">
        <w:t>six</w:t>
      </w:r>
      <w:r w:rsidR="00874F60">
        <w:t xml:space="preserve"> </w:t>
      </w:r>
      <w:r w:rsidR="00B42D89">
        <w:t xml:space="preserve">orphan </w:t>
      </w:r>
      <w:r w:rsidR="00874F60">
        <w:t xml:space="preserve">counties </w:t>
      </w:r>
      <w:r w:rsidR="008F235B">
        <w:t xml:space="preserve">that are located in </w:t>
      </w:r>
      <w:r w:rsidR="00874F60">
        <w:t>out-of-state DMAs</w:t>
      </w:r>
      <w:r w:rsidR="00B87577">
        <w:t>.</w:t>
      </w:r>
      <w:r w:rsidR="006B70A5">
        <w:rPr>
          <w:rStyle w:val="FootnoteReference"/>
        </w:rPr>
        <w:footnoteReference w:id="150"/>
      </w:r>
      <w:r w:rsidR="00D431B1">
        <w:t xml:space="preserve">  In each instance the significantly viewed station is also licensed to a community in the same state as the county into which its signals is being imported.</w:t>
      </w:r>
      <w:r w:rsidR="00D431B1">
        <w:rPr>
          <w:rStyle w:val="FootnoteReference"/>
        </w:rPr>
        <w:footnoteReference w:id="151"/>
      </w:r>
      <w:r w:rsidR="00755AF0">
        <w:t xml:space="preserve">   </w:t>
      </w:r>
    </w:p>
    <w:p w:rsidR="00192C4B" w:rsidRDefault="00F33425" w:rsidP="007813AA">
      <w:pPr>
        <w:pStyle w:val="ParaNum"/>
      </w:pPr>
      <w:r>
        <w:t>We also examined the information provided by DISH and DIRECTV</w:t>
      </w:r>
      <w:r w:rsidR="00847852">
        <w:t>,</w:t>
      </w:r>
      <w:r>
        <w:t xml:space="preserve"> </w:t>
      </w:r>
      <w:r w:rsidR="00847852">
        <w:t>attached hereto in Appendix B</w:t>
      </w:r>
      <w:r w:rsidR="001E5BD6">
        <w:t xml:space="preserve"> – </w:t>
      </w:r>
      <w:r w:rsidR="00847852">
        <w:t xml:space="preserve">List </w:t>
      </w:r>
      <w:r w:rsidR="00FA4D2C">
        <w:t>2, which</w:t>
      </w:r>
      <w:r>
        <w:t xml:space="preserve"> identified the out-of-market stations that they carry pursuant to allowances based on filling in a missing network in short markets and pursuant to state-</w:t>
      </w:r>
      <w:r w:rsidRPr="00F85B40">
        <w:t>specific statut</w:t>
      </w:r>
      <w:r>
        <w:t xml:space="preserve">ory copyright exceptions.  In the short market data </w:t>
      </w:r>
      <w:r w:rsidR="00876954">
        <w:t>provided by</w:t>
      </w:r>
      <w:r>
        <w:t xml:space="preserve"> DISH,</w:t>
      </w:r>
      <w:r w:rsidR="00B42D89">
        <w:t xml:space="preserve"> </w:t>
      </w:r>
      <w:r w:rsidR="0008498A">
        <w:t xml:space="preserve">none of the out-of-market stations are being imported into a short market where the counties from the same state </w:t>
      </w:r>
      <w:r w:rsidR="00E92277">
        <w:t xml:space="preserve">as the out-of-market stations </w:t>
      </w:r>
      <w:r w:rsidR="0008498A">
        <w:t>are orphan counties.</w:t>
      </w:r>
      <w:r w:rsidR="00B42D89">
        <w:rPr>
          <w:rStyle w:val="FootnoteReference"/>
        </w:rPr>
        <w:footnoteReference w:id="152"/>
      </w:r>
      <w:r>
        <w:t xml:space="preserve">  </w:t>
      </w:r>
      <w:r w:rsidR="00C74A1D">
        <w:t>Analysis of the short market data from DIRECTV</w:t>
      </w:r>
      <w:r w:rsidR="00581F65">
        <w:t xml:space="preserve"> yielded three out-of-market stations that are being imported into two short markets that contain possible orphan counties.</w:t>
      </w:r>
      <w:r w:rsidR="00C74A1D">
        <w:t xml:space="preserve"> </w:t>
      </w:r>
      <w:r w:rsidR="00581F65">
        <w:t xml:space="preserve"> </w:t>
      </w:r>
      <w:r w:rsidR="001E0C3E">
        <w:t>In particular, t</w:t>
      </w:r>
      <w:r w:rsidR="00581F65">
        <w:t>wo stations licensed to Ohio communities are being imported by DIRECTV into the Parkersburg, West Virginia DMA, which has one Ohio county and two West Virginia counties.  DIRECTV also imports a station licensed to a Kansas community into the short market of St. Joseph, Missouri, which has only one Kansas county</w:t>
      </w:r>
      <w:r w:rsidR="006F26BC">
        <w:t xml:space="preserve"> and three Missouri counties</w:t>
      </w:r>
      <w:r w:rsidR="00581F65">
        <w:t>.</w:t>
      </w:r>
    </w:p>
    <w:p w:rsidR="00F33425" w:rsidRDefault="00847852" w:rsidP="007813AA">
      <w:pPr>
        <w:pStyle w:val="ParaNum"/>
      </w:pPr>
      <w:r>
        <w:t>Appendix B</w:t>
      </w:r>
      <w:r w:rsidR="001E5BD6">
        <w:t xml:space="preserve"> – </w:t>
      </w:r>
      <w:r>
        <w:t>List 3 contains information on</w:t>
      </w:r>
      <w:r w:rsidR="00B42D89">
        <w:t xml:space="preserve"> the stations that DISH carries pursuant to the </w:t>
      </w:r>
      <w:r w:rsidR="00B42D89" w:rsidRPr="00F85B40">
        <w:t>specific</w:t>
      </w:r>
      <w:r w:rsidR="00B42D89">
        <w:t xml:space="preserve"> statutory allowance</w:t>
      </w:r>
      <w:r w:rsidR="005B58A1">
        <w:t>s</w:t>
      </w:r>
      <w:r w:rsidR="00B42D89">
        <w:t xml:space="preserve"> in 17 U.S.C. Section 122</w:t>
      </w:r>
      <w:r w:rsidR="00C1383E">
        <w:t>(a)(4)</w:t>
      </w:r>
      <w:r>
        <w:t>.</w:t>
      </w:r>
      <w:r w:rsidR="00B42D89">
        <w:t xml:space="preserve"> </w:t>
      </w:r>
      <w:r w:rsidR="001E5BD6">
        <w:t xml:space="preserve"> </w:t>
      </w:r>
      <w:r w:rsidR="00B42D89">
        <w:t>DISH states that it carries an ABC affiliate</w:t>
      </w:r>
      <w:r w:rsidR="007813AA">
        <w:t xml:space="preserve"> licensed</w:t>
      </w:r>
      <w:r w:rsidR="009E180C">
        <w:t xml:space="preserve"> to Manchester, New Hampshire</w:t>
      </w:r>
      <w:r w:rsidR="00B42D89">
        <w:t xml:space="preserve"> </w:t>
      </w:r>
      <w:r w:rsidR="009E180C">
        <w:t>through</w:t>
      </w:r>
      <w:r w:rsidR="007813AA">
        <w:t>out</w:t>
      </w:r>
      <w:r w:rsidR="009E180C">
        <w:t xml:space="preserve"> the state of New Hampshire, which includes </w:t>
      </w:r>
      <w:r w:rsidR="007813AA">
        <w:t>the counties of Gratton and Sullivan — assigned to</w:t>
      </w:r>
      <w:r w:rsidR="00F33425">
        <w:t xml:space="preserve"> </w:t>
      </w:r>
      <w:r w:rsidR="007813AA">
        <w:t>the Burlington, Vermont-Plattsburgh, New York DMA — and the counties of Coos and Carroll — assigned to the Portland-Auburn, Maine DMA.  DISH also states that it carries affiliates of the Big Four networks licensed to Burlington, Vermont in the Vermont counties of Bennington and Windham, which are assigned to the Albany, New York DMA and the Boston, Massachusetts DMA</w:t>
      </w:r>
      <w:r w:rsidR="001E5BD6">
        <w:t>,</w:t>
      </w:r>
      <w:r w:rsidR="007813AA">
        <w:t xml:space="preserve"> respectively.    </w:t>
      </w:r>
      <w:r w:rsidR="00F33425">
        <w:t xml:space="preserve"> </w:t>
      </w:r>
    </w:p>
    <w:p w:rsidR="00B01AFC" w:rsidRPr="00752756" w:rsidRDefault="00847852" w:rsidP="003B4BDE">
      <w:pPr>
        <w:pStyle w:val="ParaNum"/>
      </w:pPr>
      <w:r>
        <w:t>Appendix B’s List 3 also contains information on</w:t>
      </w:r>
      <w:r w:rsidR="00B01AFC">
        <w:t xml:space="preserve"> the stations </w:t>
      </w:r>
      <w:r w:rsidR="005B58A1">
        <w:t>carried by DIRECTV</w:t>
      </w:r>
      <w:r w:rsidR="00B01AFC">
        <w:t xml:space="preserve"> pursuant to the </w:t>
      </w:r>
      <w:r w:rsidR="00B01AFC" w:rsidRPr="00F85B40">
        <w:t>specific</w:t>
      </w:r>
      <w:r w:rsidR="00B01AFC">
        <w:t xml:space="preserve"> statutory allowance</w:t>
      </w:r>
      <w:r w:rsidR="005B58A1">
        <w:t>s</w:t>
      </w:r>
      <w:r w:rsidR="00B01AFC">
        <w:t xml:space="preserve"> in 17 U.S.C. Section 122</w:t>
      </w:r>
      <w:r w:rsidR="00C1383E">
        <w:t>(a)(4)</w:t>
      </w:r>
      <w:r>
        <w:t>.</w:t>
      </w:r>
      <w:r w:rsidR="00B01AFC">
        <w:t xml:space="preserve"> </w:t>
      </w:r>
      <w:r>
        <w:t xml:space="preserve"> </w:t>
      </w:r>
      <w:r w:rsidR="00B01AFC">
        <w:t>DIRECTV carries the ABC affiliate licensed to Manchester, New Hampshire throughout the state of New Hampshire, including the counties of Gratton, Sullivan, Coos, and Carroll</w:t>
      </w:r>
      <w:r w:rsidR="005928FC">
        <w:t>, each of which is</w:t>
      </w:r>
      <w:r w:rsidR="00B01AFC">
        <w:t xml:space="preserve"> assigned to out-of-state DMAs.</w:t>
      </w:r>
      <w:r w:rsidR="005B58A1">
        <w:t xml:space="preserve">  </w:t>
      </w:r>
      <w:r w:rsidR="001E0C3E">
        <w:t xml:space="preserve">In addition, </w:t>
      </w:r>
      <w:r w:rsidR="005B58A1">
        <w:t>DIRECTV carries the affiliates of the Big Four networks licensed to Burlington, Vermont</w:t>
      </w:r>
      <w:r w:rsidR="001E0C3E">
        <w:t>,</w:t>
      </w:r>
      <w:r w:rsidR="005B58A1">
        <w:t xml:space="preserve"> and the PBS affiliate in the Vermont counties of Bennington and Windham.  </w:t>
      </w:r>
      <w:r w:rsidR="00C1383E">
        <w:t xml:space="preserve">DIRECTV states that it carries three Big Four network affiliates and one noncommercial station licensed to Jackson, Mississippi in the Mississippi counties of Amite and Wilkinson, which are both assigned to the Baton Rouge, Louisiana DMA.  </w:t>
      </w:r>
      <w:r w:rsidR="003B4BDE">
        <w:t xml:space="preserve">Finally, Appendix B’s List 4 details </w:t>
      </w:r>
      <w:r w:rsidR="005B58A1">
        <w:t xml:space="preserve">information </w:t>
      </w:r>
      <w:r w:rsidR="003B4BDE">
        <w:t xml:space="preserve">DIRECTV provided </w:t>
      </w:r>
      <w:r w:rsidR="005B58A1">
        <w:t xml:space="preserve">on the PBS channels it carries pursuant to </w:t>
      </w:r>
      <w:r w:rsidR="00C1383E">
        <w:t xml:space="preserve">17 U.S.C. </w:t>
      </w:r>
      <w:r w:rsidR="00C1383E" w:rsidRPr="005928FC">
        <w:t>Section 122(a)(4)(E).</w:t>
      </w:r>
      <w:r w:rsidR="003B4BDE" w:rsidRPr="005928FC">
        <w:t xml:space="preserve">  Utilizing this copyright exemption, DIRECTV </w:t>
      </w:r>
      <w:r w:rsidR="00B46157" w:rsidRPr="005928FC">
        <w:t>provides</w:t>
      </w:r>
      <w:r w:rsidR="003B4BDE" w:rsidRPr="005928FC">
        <w:t xml:space="preserve"> PBS channels </w:t>
      </w:r>
      <w:r w:rsidR="00B46157" w:rsidRPr="005928FC">
        <w:t xml:space="preserve">to subscribers that otherwise do not have access to an in-state, in-market PBS in a </w:t>
      </w:r>
      <w:r w:rsidR="00B46157" w:rsidRPr="001E5BD6">
        <w:t>total of 28</w:t>
      </w:r>
      <w:r w:rsidR="003B4BDE" w:rsidRPr="001E5BD6">
        <w:t xml:space="preserve"> states, effectively ensuring that consumers residing in these states have access to at least one </w:t>
      </w:r>
      <w:r w:rsidR="005928FC" w:rsidRPr="001E5BD6">
        <w:t xml:space="preserve">in-state </w:t>
      </w:r>
      <w:r w:rsidR="003B4BDE" w:rsidRPr="001E5BD6">
        <w:t>PBS</w:t>
      </w:r>
      <w:r w:rsidR="003B4BDE">
        <w:t xml:space="preserve"> station.</w:t>
      </w:r>
    </w:p>
    <w:p w:rsidR="00F609E1" w:rsidRDefault="004F6F5B" w:rsidP="00587434">
      <w:pPr>
        <w:pStyle w:val="Heading2"/>
      </w:pPr>
      <w:bookmarkStart w:id="35" w:name="_Toc448130181"/>
      <w:bookmarkStart w:id="36" w:name="_Toc448153846"/>
      <w:bookmarkStart w:id="37" w:name="_Toc448230173"/>
      <w:bookmarkStart w:id="38" w:name="_Toc448311219"/>
      <w:bookmarkStart w:id="39" w:name="_Toc452456832"/>
      <w:r>
        <w:t xml:space="preserve">Analysis </w:t>
      </w:r>
      <w:bookmarkEnd w:id="35"/>
      <w:bookmarkEnd w:id="36"/>
      <w:r w:rsidR="00F609E1">
        <w:t>of Access to Out-of-Market Stations Based on Viewership</w:t>
      </w:r>
      <w:bookmarkEnd w:id="37"/>
      <w:bookmarkEnd w:id="38"/>
      <w:bookmarkEnd w:id="39"/>
      <w:r w:rsidR="00F609E1">
        <w:t xml:space="preserve"> </w:t>
      </w:r>
    </w:p>
    <w:p w:rsidR="00F609E1" w:rsidRDefault="00F609E1" w:rsidP="00FD04EC">
      <w:pPr>
        <w:pStyle w:val="ParaNum"/>
      </w:pPr>
      <w:r>
        <w:t xml:space="preserve">In order to provide a more complete analysis </w:t>
      </w:r>
      <w:r w:rsidR="00D44FB5">
        <w:t xml:space="preserve">for </w:t>
      </w:r>
      <w:r>
        <w:t xml:space="preserve">Section 109(a)(1)(A), we reviewed Nielsen data to examine out-of-state stations that households are viewing in a market, </w:t>
      </w:r>
      <w:r w:rsidR="00D44FB5">
        <w:t xml:space="preserve">whether </w:t>
      </w:r>
      <w:r>
        <w:t>via broadcast, cable, or satellite, and that meet Nielsen’s minimum reporting requirements (</w:t>
      </w:r>
      <w:r w:rsidRPr="00DA30FF">
        <w:rPr>
          <w:i/>
        </w:rPr>
        <w:t>i.e.</w:t>
      </w:r>
      <w:r>
        <w:t>, out-of-market stations that attract a minimum viewing audience).  Specifically, we used Nielsen market data that identif</w:t>
      </w:r>
      <w:r w:rsidR="00D44FB5">
        <w:t>y</w:t>
      </w:r>
      <w:r>
        <w:t xml:space="preserve"> broadcast television stations</w:t>
      </w:r>
      <w:r w:rsidR="00A128D3">
        <w:t>,</w:t>
      </w:r>
      <w:r>
        <w:t xml:space="preserve"> </w:t>
      </w:r>
      <w:r w:rsidR="00A4459B">
        <w:t xml:space="preserve">multicast channels (which Nielsen calls </w:t>
      </w:r>
      <w:r>
        <w:t>subchannels</w:t>
      </w:r>
      <w:r w:rsidR="00A4459B">
        <w:t>)</w:t>
      </w:r>
      <w:r>
        <w:t>, and cable networks viewed in each DMA.</w:t>
      </w:r>
      <w:r w:rsidR="000D365B">
        <w:rPr>
          <w:rStyle w:val="FootnoteReference"/>
        </w:rPr>
        <w:footnoteReference w:id="153"/>
      </w:r>
      <w:r>
        <w:t xml:space="preserve">  The stations included in the Nielsen data, however, are only those stations that earned a specific cumulative rating, referred to as a “cume.”</w:t>
      </w:r>
      <w:r w:rsidR="000D365B">
        <w:rPr>
          <w:rStyle w:val="FootnoteReference"/>
        </w:rPr>
        <w:footnoteReference w:id="154"/>
      </w:r>
      <w:r>
        <w:t xml:space="preserve">  For local broadcast stations, meaning stations </w:t>
      </w:r>
      <w:r w:rsidR="00D01F36">
        <w:t>whose community of license is located in the DMA for which viewership is being reported</w:t>
      </w:r>
      <w:r>
        <w:t>, the station must have a cume rating of at least 2.5 percent of unique households for a minimum of one quarter hour during Sunday through S</w:t>
      </w:r>
      <w:r w:rsidR="00140469">
        <w:t>aturday, 7:00 AM through 1:00 AM</w:t>
      </w:r>
      <w:r w:rsidR="00D44FB5">
        <w:t>,</w:t>
      </w:r>
      <w:r>
        <w:t xml:space="preserve"> to be included in this Nielsen data.</w:t>
      </w:r>
      <w:r w:rsidR="000D365B">
        <w:rPr>
          <w:rStyle w:val="FootnoteReference"/>
        </w:rPr>
        <w:footnoteReference w:id="155"/>
      </w:r>
      <w:r>
        <w:t xml:space="preserve">  For stations being reported </w:t>
      </w:r>
      <w:r w:rsidR="00D01F36">
        <w:t>in a DMA other than the one in which their community of license is located</w:t>
      </w:r>
      <w:r>
        <w:t>, the station’s cume rating must reach at least 9.5 percent of unique households in the reporting market.  A similar cume rating is required for cable networks, regional cable networks, and local cable networks.</w:t>
      </w:r>
      <w:r w:rsidR="00FD04EC">
        <w:t xml:space="preserve">  We note that there may be other out-of-market signals available in a particular market</w:t>
      </w:r>
      <w:r w:rsidR="00DA78F9">
        <w:t xml:space="preserve">; </w:t>
      </w:r>
      <w:r w:rsidR="00FD04EC">
        <w:t>Nielsen’s audience data will contain only those stations meeting Nielsen’s established threshold</w:t>
      </w:r>
      <w:r w:rsidR="00E15E58">
        <w:t>s</w:t>
      </w:r>
      <w:r w:rsidR="00FD04EC">
        <w:t xml:space="preserve">, and thus, may underrepresent the distant signals being viewed in a market.  </w:t>
      </w:r>
    </w:p>
    <w:p w:rsidR="00FD04EC" w:rsidRDefault="00FD04EC" w:rsidP="00F609E1">
      <w:pPr>
        <w:pStyle w:val="ParaNum"/>
      </w:pPr>
      <w:r>
        <w:t xml:space="preserve">Attached at Appendix </w:t>
      </w:r>
      <w:r w:rsidR="002A4BDE" w:rsidRPr="001E5BD6">
        <w:t>C</w:t>
      </w:r>
      <w:r>
        <w:t xml:space="preserve"> is a table summarizing the stations identified as having been viewed outside of their assigned market during the relevant reporting period.  The Appendix indicates the station’s call sign, community and state of license, </w:t>
      </w:r>
      <w:r w:rsidR="006E662F">
        <w:t>home DMA</w:t>
      </w:r>
      <w:r>
        <w:t xml:space="preserve">, and the </w:t>
      </w:r>
      <w:r w:rsidR="006E662F">
        <w:t xml:space="preserve">DMA </w:t>
      </w:r>
      <w:r>
        <w:t xml:space="preserve">in which it was reported.  Given that Nielsen aggregates viewership information for purposes of the market data we examined, we are unable to determine precisely by what means such </w:t>
      </w:r>
      <w:r w:rsidR="006E662F">
        <w:t xml:space="preserve">out-of-market </w:t>
      </w:r>
      <w:r>
        <w:t xml:space="preserve">signals are being viewed or distributed in the particular market.  However, we note that access to the </w:t>
      </w:r>
      <w:r w:rsidR="006E662F">
        <w:t>out-of-market</w:t>
      </w:r>
      <w:r>
        <w:t xml:space="preserve"> signal must be </w:t>
      </w:r>
      <w:r w:rsidR="00E15E58">
        <w:t xml:space="preserve">sufficiently </w:t>
      </w:r>
      <w:r>
        <w:t>robust to merit measurable viewership of the out-of-market station.</w:t>
      </w:r>
    </w:p>
    <w:p w:rsidR="004F6F5B" w:rsidRDefault="00F609E1" w:rsidP="00F609E1">
      <w:pPr>
        <w:pStyle w:val="ParaNum"/>
      </w:pPr>
      <w:r>
        <w:t xml:space="preserve">Based on our analysis of Nielsen’s viewership data, we have identified a number of instances </w:t>
      </w:r>
      <w:r w:rsidR="00E15E58">
        <w:t xml:space="preserve">in which </w:t>
      </w:r>
      <w:r>
        <w:t xml:space="preserve">viewership of a station was recorded in a market other than the market to which the station is assigned, or stated differently, instances in which Nielsen reported viewership of a </w:t>
      </w:r>
      <w:r w:rsidR="006E662F">
        <w:t>out-of-market</w:t>
      </w:r>
      <w:r>
        <w:t xml:space="preserve"> signal.  Specifically, based on viewership data collected by Nielsen between October 29 and November 25, 2015, </w:t>
      </w:r>
      <w:r w:rsidR="00FD04EC">
        <w:t>38</w:t>
      </w:r>
      <w:r w:rsidR="00422A2C">
        <w:t xml:space="preserve"> </w:t>
      </w:r>
      <w:r>
        <w:t>of the 210 markets in the country contained at least one instance of a signal recorded in a market other than its market of origin.</w:t>
      </w:r>
      <w:r w:rsidR="00422A2C">
        <w:rPr>
          <w:rStyle w:val="FootnoteReference"/>
        </w:rPr>
        <w:footnoteReference w:id="156"/>
      </w:r>
      <w:r>
        <w:t xml:space="preserve">  In the majority of </w:t>
      </w:r>
      <w:r w:rsidR="00422A2C">
        <w:t xml:space="preserve">these </w:t>
      </w:r>
      <w:r>
        <w:t xml:space="preserve">cases, </w:t>
      </w:r>
      <w:r w:rsidR="00FD04EC">
        <w:t>25</w:t>
      </w:r>
      <w:r w:rsidR="00422A2C">
        <w:t xml:space="preserve"> </w:t>
      </w:r>
      <w:r>
        <w:t>markets, the data reflected viewership of one or two distant signals.</w:t>
      </w:r>
      <w:r w:rsidR="00422A2C">
        <w:rPr>
          <w:rStyle w:val="FootnoteReference"/>
        </w:rPr>
        <w:footnoteReference w:id="157"/>
      </w:r>
      <w:r>
        <w:t xml:space="preserve">  However, in six markets, typically smaller DMAs w</w:t>
      </w:r>
      <w:r w:rsidR="00DA30FF">
        <w:t>ith fewer local, in-market</w:t>
      </w:r>
      <w:r>
        <w:t xml:space="preserve"> signals, the data reflected viewership of five or six out-of-market signals.</w:t>
      </w:r>
      <w:r w:rsidR="00422A2C">
        <w:rPr>
          <w:rStyle w:val="FootnoteReference"/>
        </w:rPr>
        <w:footnoteReference w:id="158"/>
      </w:r>
      <w:r>
        <w:t xml:space="preserve">  In all, </w:t>
      </w:r>
      <w:r w:rsidR="00FD04EC">
        <w:t>the data show 89 instances of a distant signal being viewed in a market, although some of these involve the same station being viewed in multiple markets.  For example, WTTG-TV (Fox) licensed to Washington, DC appeared in the market viewing data for the Harrisonburg, VA DMA and the Baltimore, MD, DMA, in addition to its assigned DMA of Washington, DC.  In all, 79 s</w:t>
      </w:r>
      <w:r>
        <w:t>tations appeared in the Nielsen data as having been viewed outside their assigned market.</w:t>
      </w:r>
      <w:r w:rsidR="00422A2C">
        <w:rPr>
          <w:rStyle w:val="FootnoteReference"/>
        </w:rPr>
        <w:footnoteReference w:id="159"/>
      </w:r>
      <w:r>
        <w:t xml:space="preserve">    </w:t>
      </w:r>
    </w:p>
    <w:p w:rsidR="007C03A9" w:rsidRPr="00285F0D" w:rsidRDefault="00147C76" w:rsidP="00F609E1">
      <w:pPr>
        <w:pStyle w:val="ParaNum"/>
      </w:pPr>
      <w:r>
        <w:t xml:space="preserve">We have also examined whether </w:t>
      </w:r>
      <w:r w:rsidR="001304C7">
        <w:t>any of these stations</w:t>
      </w:r>
      <w:r>
        <w:t xml:space="preserve"> are considered to be significantly viewed in any of the counties that comprise the distant DMA in which Nielsen has recorded viewing</w:t>
      </w:r>
      <w:r w:rsidR="001304C7">
        <w:t xml:space="preserve"> of the station</w:t>
      </w:r>
      <w:r>
        <w:t>.  By cross-referencing the Commission’s significantly viewed list,</w:t>
      </w:r>
      <w:r>
        <w:rPr>
          <w:rStyle w:val="FootnoteReference"/>
        </w:rPr>
        <w:footnoteReference w:id="160"/>
      </w:r>
      <w:r>
        <w:t xml:space="preserve"> which records the counties in which a station is considered to be significantly viewed for purposes of the Commission’s rules, with the counties that </w:t>
      </w:r>
      <w:r w:rsidR="002A5E86">
        <w:t>comprise the distant market in</w:t>
      </w:r>
      <w:r>
        <w:t xml:space="preserve"> which the station</w:t>
      </w:r>
      <w:r w:rsidR="002A5E86">
        <w:t xml:space="preserve"> has recorded viewing</w:t>
      </w:r>
      <w:r>
        <w:t xml:space="preserve">, we are able to determine whether the station is considered significantly viewed in any of the counties of that DMA.  In cases </w:t>
      </w:r>
      <w:r w:rsidR="002A5E86">
        <w:t>where such stations do appear</w:t>
      </w:r>
      <w:r>
        <w:t xml:space="preserve"> on the significantly viewed list for </w:t>
      </w:r>
      <w:r w:rsidR="002A5E86">
        <w:t xml:space="preserve">such </w:t>
      </w:r>
      <w:r>
        <w:t xml:space="preserve">counties, we have included this information on </w:t>
      </w:r>
      <w:r w:rsidRPr="001E5BD6">
        <w:t xml:space="preserve">Appendix </w:t>
      </w:r>
      <w:r w:rsidR="002A4BDE" w:rsidRPr="001E5BD6">
        <w:t>C</w:t>
      </w:r>
      <w:r w:rsidRPr="001E5BD6">
        <w:t xml:space="preserve"> and</w:t>
      </w:r>
      <w:r>
        <w:t xml:space="preserve"> indicated the specific counties.  </w:t>
      </w:r>
      <w:r w:rsidR="005B0F64">
        <w:t>H</w:t>
      </w:r>
      <w:r>
        <w:t>owever, the fac</w:t>
      </w:r>
      <w:r w:rsidR="002A5E86">
        <w:t>t that a station</w:t>
      </w:r>
      <w:r>
        <w:t xml:space="preserve"> is considered to be significantly viewed in one or more counties of a market may not be </w:t>
      </w:r>
      <w:r w:rsidR="00D315C4">
        <w:t xml:space="preserve">indicative that the station </w:t>
      </w:r>
      <w:r w:rsidR="005B0F64">
        <w:t xml:space="preserve">is being carried pursuant to its status as a significantly viewed station.  </w:t>
      </w:r>
      <w:r w:rsidR="00843188">
        <w:t xml:space="preserve">  </w:t>
      </w:r>
    </w:p>
    <w:p w:rsidR="00EC739E" w:rsidRDefault="004D5EAD" w:rsidP="00587434">
      <w:pPr>
        <w:pStyle w:val="Heading2"/>
      </w:pPr>
      <w:bookmarkStart w:id="40" w:name="_Toc448130182"/>
      <w:bookmarkStart w:id="41" w:name="_Toc448153847"/>
      <w:bookmarkStart w:id="42" w:name="_Toc448230174"/>
      <w:bookmarkStart w:id="43" w:name="_Toc448311220"/>
      <w:bookmarkStart w:id="44" w:name="_Toc452456833"/>
      <w:r>
        <w:t>Case Studies</w:t>
      </w:r>
      <w:bookmarkEnd w:id="40"/>
      <w:bookmarkEnd w:id="41"/>
      <w:bookmarkEnd w:id="42"/>
      <w:bookmarkEnd w:id="43"/>
      <w:bookmarkEnd w:id="44"/>
    </w:p>
    <w:p w:rsidR="00AF44B1" w:rsidRDefault="00AF44B1" w:rsidP="00AF44B1">
      <w:pPr>
        <w:pStyle w:val="ParaNum"/>
      </w:pPr>
      <w:r>
        <w:t xml:space="preserve">In the </w:t>
      </w:r>
      <w:r w:rsidR="00A16250" w:rsidRPr="002A250B">
        <w:rPr>
          <w:i/>
        </w:rPr>
        <w:t xml:space="preserve">STELAR Report </w:t>
      </w:r>
      <w:r w:rsidR="00A16250">
        <w:rPr>
          <w:i/>
        </w:rPr>
        <w:t>PN</w:t>
      </w:r>
      <w:r>
        <w:t xml:space="preserve">, we sought comment </w:t>
      </w:r>
      <w:r w:rsidR="00AB4CA0">
        <w:t>on the appropriate methodologies and submission of essential data for the analysis</w:t>
      </w:r>
      <w:r w:rsidR="002A250B">
        <w:t xml:space="preserve"> with respect to cable and telephone MVPDs</w:t>
      </w:r>
      <w:r w:rsidR="00AB4CA0">
        <w:t xml:space="preserve">.  </w:t>
      </w:r>
      <w:r w:rsidR="009923BC">
        <w:t xml:space="preserve">The </w:t>
      </w:r>
      <w:r w:rsidR="001E5BD6">
        <w:t>Bureau</w:t>
      </w:r>
      <w:r w:rsidR="00AB4CA0">
        <w:t xml:space="preserve"> sought information </w:t>
      </w:r>
      <w:r>
        <w:t>on the best approach</w:t>
      </w:r>
      <w:r w:rsidR="00A658C0">
        <w:t>, and noted limitations with some available data, such as the Form 325 submissions.</w:t>
      </w:r>
      <w:r>
        <w:t xml:space="preserve">  </w:t>
      </w:r>
      <w:r w:rsidR="009923BC">
        <w:t xml:space="preserve">Recognizing a potential absence of comprehensive data for the purposes of the report, the </w:t>
      </w:r>
      <w:r w:rsidR="001E5BD6">
        <w:t xml:space="preserve">Bureau </w:t>
      </w:r>
      <w:r w:rsidR="009923BC">
        <w:t>proposed including case studies for specific counties where commenters have indicated a lack of local programming.</w:t>
      </w:r>
      <w:r w:rsidR="00A658C0">
        <w:rPr>
          <w:rStyle w:val="FootnoteReference"/>
        </w:rPr>
        <w:footnoteReference w:id="161"/>
      </w:r>
      <w:r w:rsidR="009923BC">
        <w:t xml:space="preserve">  </w:t>
      </w:r>
      <w:r>
        <w:t xml:space="preserve">The Western Telecommunications Alliance – Advocates for Rural Broadband (WTA) states that many cable systems, including most if not all of WTA’s members, are exempt from the Form 325 requirement because they serve fewer than 20,000 subscribers, and so the </w:t>
      </w:r>
      <w:r w:rsidR="00324D12">
        <w:t xml:space="preserve">Bureau </w:t>
      </w:r>
      <w:r>
        <w:t xml:space="preserve">would not be able to collect data on such cable systems through </w:t>
      </w:r>
      <w:r w:rsidR="00A1791B">
        <w:t xml:space="preserve">their </w:t>
      </w:r>
      <w:r>
        <w:t>annual reports.</w:t>
      </w:r>
      <w:r>
        <w:rPr>
          <w:rStyle w:val="FootnoteReference"/>
        </w:rPr>
        <w:footnoteReference w:id="162"/>
      </w:r>
      <w:r>
        <w:t xml:space="preserve">  WTA points out that such cable services are the ones most negatively impacted by the current DMA assignment system.</w:t>
      </w:r>
      <w:r>
        <w:rPr>
          <w:rStyle w:val="FootnoteReference"/>
        </w:rPr>
        <w:footnoteReference w:id="163"/>
      </w:r>
      <w:r>
        <w:t xml:space="preserve">  WTA </w:t>
      </w:r>
      <w:r w:rsidR="00D20865">
        <w:t xml:space="preserve">supports </w:t>
      </w:r>
      <w:r>
        <w:t>the case study approach.</w:t>
      </w:r>
      <w:r w:rsidR="009C3A6C">
        <w:rPr>
          <w:rStyle w:val="FootnoteReference"/>
        </w:rPr>
        <w:footnoteReference w:id="164"/>
      </w:r>
    </w:p>
    <w:p w:rsidR="0066489B" w:rsidRDefault="009C3A6C" w:rsidP="009B31BA">
      <w:pPr>
        <w:pStyle w:val="ParaNum"/>
        <w:widowControl/>
      </w:pPr>
      <w:r>
        <w:t>Several c</w:t>
      </w:r>
      <w:r w:rsidR="004C1FDD">
        <w:t xml:space="preserve">ommenters in the record of this proceeding identified specific counties where households are </w:t>
      </w:r>
      <w:r w:rsidR="0042478C">
        <w:t xml:space="preserve">either </w:t>
      </w:r>
      <w:r w:rsidR="004C1FDD">
        <w:t>unable to receive any in-state programming or unable to receive sufficient in-state programming.</w:t>
      </w:r>
      <w:r w:rsidR="00DC47CC">
        <w:rPr>
          <w:rStyle w:val="FootnoteReference"/>
        </w:rPr>
        <w:footnoteReference w:id="165"/>
      </w:r>
      <w:r w:rsidR="004C1FDD">
        <w:t xml:space="preserve">  </w:t>
      </w:r>
      <w:r w:rsidR="00B215CA" w:rsidRPr="00B215CA">
        <w:t>We have included in our examination many of the counties specifically identified by commenters to this proceeding.</w:t>
      </w:r>
      <w:r w:rsidR="00B215CA">
        <w:t xml:space="preserve">  </w:t>
      </w:r>
      <w:r w:rsidR="00886EC7">
        <w:t xml:space="preserve">To ensure a sufficiently large and geographically diverse sample for analysis, </w:t>
      </w:r>
      <w:r w:rsidR="00212EE0">
        <w:t>we</w:t>
      </w:r>
      <w:r w:rsidR="00B215CA">
        <w:t xml:space="preserve"> also independently identified </w:t>
      </w:r>
      <w:r w:rsidR="00212EE0">
        <w:t xml:space="preserve">and included </w:t>
      </w:r>
      <w:r w:rsidR="00B215CA">
        <w:t xml:space="preserve">other counties assigned to DMAs composed predominantly of counties from another state.  </w:t>
      </w:r>
      <w:r>
        <w:t>Using a case study approach, t</w:t>
      </w:r>
      <w:r w:rsidR="004C1FDD">
        <w:t xml:space="preserve">he Bureau conducted </w:t>
      </w:r>
      <w:r>
        <w:t>detailed</w:t>
      </w:r>
      <w:r w:rsidR="004C1FDD">
        <w:t xml:space="preserve"> analysis of the extent to which households in these specific </w:t>
      </w:r>
      <w:r>
        <w:t>counties</w:t>
      </w:r>
      <w:r w:rsidR="004C1FDD">
        <w:t xml:space="preserve"> have access to</w:t>
      </w:r>
      <w:r w:rsidR="00A658C0">
        <w:t xml:space="preserve"> out-of-market television stations</w:t>
      </w:r>
      <w:r w:rsidR="004C1FDD">
        <w:t xml:space="preserve"> via </w:t>
      </w:r>
      <w:r w:rsidR="00F40F86">
        <w:t>over the air</w:t>
      </w:r>
      <w:r w:rsidR="004C1FDD">
        <w:t xml:space="preserve"> reception, cable systems, and DBS operators</w:t>
      </w:r>
      <w:r w:rsidR="003335DA">
        <w:t>, as detailed further below</w:t>
      </w:r>
      <w:r w:rsidR="004C1FDD">
        <w:t>.</w:t>
      </w:r>
      <w:r w:rsidR="00436F08">
        <w:rPr>
          <w:rStyle w:val="FootnoteReference"/>
        </w:rPr>
        <w:footnoteReference w:id="166"/>
      </w:r>
      <w:r w:rsidR="00B215CA">
        <w:t xml:space="preserve">  </w:t>
      </w:r>
      <w:r w:rsidR="00B215CA" w:rsidRPr="00F972A9">
        <w:t xml:space="preserve">In all, our case studies examined </w:t>
      </w:r>
      <w:r w:rsidR="006A1A8A">
        <w:t>14</w:t>
      </w:r>
      <w:r w:rsidR="00B215CA" w:rsidRPr="00F972A9">
        <w:t xml:space="preserve"> counties located in </w:t>
      </w:r>
      <w:r w:rsidR="006A1A8A">
        <w:t>11</w:t>
      </w:r>
      <w:r w:rsidR="00B215CA" w:rsidRPr="00F972A9">
        <w:t xml:space="preserve"> DMAs.</w:t>
      </w:r>
      <w:r w:rsidR="00B215CA">
        <w:t xml:space="preserve">  </w:t>
      </w:r>
      <w:r w:rsidR="00B215CA" w:rsidRPr="00306735">
        <w:t xml:space="preserve">The full case studies are attached hereto at Appendix </w:t>
      </w:r>
      <w:r w:rsidR="002A4BDE" w:rsidRPr="00324D12">
        <w:t>D</w:t>
      </w:r>
      <w:r w:rsidR="009B09CC">
        <w:t>.</w:t>
      </w:r>
    </w:p>
    <w:p w:rsidR="002010D1" w:rsidRDefault="009A60BA" w:rsidP="00865421">
      <w:pPr>
        <w:pStyle w:val="ParaNum"/>
      </w:pPr>
      <w:r>
        <w:rPr>
          <w:szCs w:val="22"/>
        </w:rPr>
        <w:t xml:space="preserve">Employing the database </w:t>
      </w:r>
      <w:r w:rsidR="003335DA">
        <w:rPr>
          <w:szCs w:val="22"/>
        </w:rPr>
        <w:t xml:space="preserve">that we </w:t>
      </w:r>
      <w:r>
        <w:rPr>
          <w:szCs w:val="22"/>
        </w:rPr>
        <w:t xml:space="preserve">constructed to analyze the level of access to out-of-market signals </w:t>
      </w:r>
      <w:r w:rsidR="003335DA">
        <w:rPr>
          <w:szCs w:val="22"/>
        </w:rPr>
        <w:t xml:space="preserve">received </w:t>
      </w:r>
      <w:r w:rsidR="00F40F86">
        <w:rPr>
          <w:szCs w:val="22"/>
        </w:rPr>
        <w:t>over the air</w:t>
      </w:r>
      <w:r>
        <w:rPr>
          <w:szCs w:val="22"/>
        </w:rPr>
        <w:t>, discussed above, w</w:t>
      </w:r>
      <w:r w:rsidR="00D821ED">
        <w:rPr>
          <w:szCs w:val="22"/>
        </w:rPr>
        <w:t>e used the Longley-Rice methodology</w:t>
      </w:r>
      <w:r w:rsidR="00436F08">
        <w:rPr>
          <w:szCs w:val="22"/>
        </w:rPr>
        <w:t xml:space="preserve"> to determine the</w:t>
      </w:r>
      <w:r>
        <w:rPr>
          <w:szCs w:val="22"/>
        </w:rPr>
        <w:t xml:space="preserve"> out-of-market</w:t>
      </w:r>
      <w:r w:rsidR="00436F08">
        <w:rPr>
          <w:szCs w:val="22"/>
        </w:rPr>
        <w:t xml:space="preserve"> broadcast stations avai</w:t>
      </w:r>
      <w:r>
        <w:rPr>
          <w:szCs w:val="22"/>
        </w:rPr>
        <w:t xml:space="preserve">lable </w:t>
      </w:r>
      <w:r w:rsidR="00436F08">
        <w:rPr>
          <w:szCs w:val="22"/>
        </w:rPr>
        <w:t xml:space="preserve">to consumers </w:t>
      </w:r>
      <w:r w:rsidR="00F40F86">
        <w:rPr>
          <w:szCs w:val="22"/>
        </w:rPr>
        <w:t>over the air</w:t>
      </w:r>
      <w:r>
        <w:rPr>
          <w:szCs w:val="22"/>
        </w:rPr>
        <w:t xml:space="preserve"> </w:t>
      </w:r>
      <w:r w:rsidR="00436F08">
        <w:rPr>
          <w:szCs w:val="22"/>
        </w:rPr>
        <w:t>in each county</w:t>
      </w:r>
      <w:r w:rsidR="00B7298B">
        <w:rPr>
          <w:szCs w:val="22"/>
        </w:rPr>
        <w:t xml:space="preserve"> studied</w:t>
      </w:r>
      <w:r w:rsidR="00D821ED">
        <w:rPr>
          <w:szCs w:val="22"/>
        </w:rPr>
        <w:t>.</w:t>
      </w:r>
      <w:r w:rsidR="0034511A">
        <w:rPr>
          <w:szCs w:val="22"/>
        </w:rPr>
        <w:t xml:space="preserve"> </w:t>
      </w:r>
      <w:r w:rsidR="00D821ED">
        <w:rPr>
          <w:szCs w:val="22"/>
        </w:rPr>
        <w:t xml:space="preserve"> </w:t>
      </w:r>
      <w:r w:rsidR="00B7298B">
        <w:rPr>
          <w:szCs w:val="22"/>
        </w:rPr>
        <w:t>Thus, e</w:t>
      </w:r>
      <w:r w:rsidR="002010D1">
        <w:rPr>
          <w:szCs w:val="22"/>
        </w:rPr>
        <w:t xml:space="preserve">ach case study reports the number of </w:t>
      </w:r>
      <w:r>
        <w:rPr>
          <w:szCs w:val="22"/>
        </w:rPr>
        <w:t>out-of-market</w:t>
      </w:r>
      <w:r w:rsidR="00436F08">
        <w:rPr>
          <w:szCs w:val="22"/>
        </w:rPr>
        <w:t xml:space="preserve"> </w:t>
      </w:r>
      <w:r w:rsidR="002010D1">
        <w:rPr>
          <w:szCs w:val="22"/>
        </w:rPr>
        <w:t>stations of all types</w:t>
      </w:r>
      <w:r>
        <w:rPr>
          <w:szCs w:val="22"/>
        </w:rPr>
        <w:t xml:space="preserve">, including, full power, low </w:t>
      </w:r>
      <w:r w:rsidR="002010D1">
        <w:rPr>
          <w:szCs w:val="22"/>
        </w:rPr>
        <w:t>power, Class A</w:t>
      </w:r>
      <w:r>
        <w:rPr>
          <w:szCs w:val="22"/>
        </w:rPr>
        <w:t xml:space="preserve"> low power</w:t>
      </w:r>
      <w:r w:rsidR="002010D1">
        <w:rPr>
          <w:szCs w:val="22"/>
        </w:rPr>
        <w:t xml:space="preserve">, and </w:t>
      </w:r>
      <w:r>
        <w:rPr>
          <w:szCs w:val="22"/>
        </w:rPr>
        <w:t xml:space="preserve">TV </w:t>
      </w:r>
      <w:r w:rsidR="002010D1">
        <w:rPr>
          <w:szCs w:val="22"/>
        </w:rPr>
        <w:t>translators</w:t>
      </w:r>
      <w:r w:rsidR="00044A79">
        <w:rPr>
          <w:szCs w:val="22"/>
        </w:rPr>
        <w:t>, both commercial and non</w:t>
      </w:r>
      <w:r>
        <w:rPr>
          <w:szCs w:val="22"/>
        </w:rPr>
        <w:t>commercial</w:t>
      </w:r>
      <w:r w:rsidR="0042478C">
        <w:rPr>
          <w:szCs w:val="22"/>
        </w:rPr>
        <w:t>,</w:t>
      </w:r>
      <w:r>
        <w:rPr>
          <w:szCs w:val="22"/>
        </w:rPr>
        <w:t xml:space="preserve"> </w:t>
      </w:r>
      <w:r w:rsidR="002010D1">
        <w:rPr>
          <w:szCs w:val="22"/>
        </w:rPr>
        <w:t xml:space="preserve">available to </w:t>
      </w:r>
      <w:r>
        <w:rPr>
          <w:szCs w:val="22"/>
        </w:rPr>
        <w:t xml:space="preserve">the populations of the </w:t>
      </w:r>
      <w:r w:rsidR="003335DA">
        <w:rPr>
          <w:szCs w:val="22"/>
        </w:rPr>
        <w:t xml:space="preserve">respective </w:t>
      </w:r>
      <w:r>
        <w:rPr>
          <w:szCs w:val="22"/>
        </w:rPr>
        <w:t>counties examined</w:t>
      </w:r>
      <w:r w:rsidR="002010D1">
        <w:rPr>
          <w:szCs w:val="22"/>
        </w:rPr>
        <w:t>.</w:t>
      </w:r>
      <w:r w:rsidR="002010D1">
        <w:rPr>
          <w:rStyle w:val="FootnoteReference"/>
          <w:szCs w:val="22"/>
        </w:rPr>
        <w:footnoteReference w:id="167"/>
      </w:r>
      <w:r w:rsidR="00436F08">
        <w:rPr>
          <w:szCs w:val="22"/>
        </w:rPr>
        <w:t xml:space="preserve">  E</w:t>
      </w:r>
      <w:r w:rsidR="002010D1">
        <w:rPr>
          <w:szCs w:val="22"/>
        </w:rPr>
        <w:t xml:space="preserve">ach case study </w:t>
      </w:r>
      <w:r>
        <w:rPr>
          <w:szCs w:val="22"/>
        </w:rPr>
        <w:t xml:space="preserve">also indicates whether the out-of-market </w:t>
      </w:r>
      <w:r w:rsidR="002010D1">
        <w:rPr>
          <w:szCs w:val="22"/>
        </w:rPr>
        <w:t xml:space="preserve">broadcast stations </w:t>
      </w:r>
      <w:r>
        <w:rPr>
          <w:szCs w:val="22"/>
        </w:rPr>
        <w:t xml:space="preserve">available are contained on the Commission’s list of </w:t>
      </w:r>
      <w:r w:rsidR="002010D1">
        <w:rPr>
          <w:szCs w:val="22"/>
        </w:rPr>
        <w:t xml:space="preserve">significantly viewed </w:t>
      </w:r>
      <w:r>
        <w:rPr>
          <w:szCs w:val="22"/>
        </w:rPr>
        <w:t>stations for the particular</w:t>
      </w:r>
      <w:r w:rsidR="002010D1">
        <w:rPr>
          <w:szCs w:val="22"/>
        </w:rPr>
        <w:t xml:space="preserve"> county.</w:t>
      </w:r>
      <w:r w:rsidR="002010D1">
        <w:rPr>
          <w:rStyle w:val="FootnoteReference"/>
          <w:szCs w:val="22"/>
        </w:rPr>
        <w:footnoteReference w:id="168"/>
      </w:r>
      <w:r w:rsidR="00436F08">
        <w:rPr>
          <w:szCs w:val="22"/>
        </w:rPr>
        <w:t xml:space="preserve">  All of the stations listed in the case studies are identified by their station call sign</w:t>
      </w:r>
      <w:r w:rsidR="003335DA">
        <w:rPr>
          <w:szCs w:val="22"/>
        </w:rPr>
        <w:t>, community and state of license, DMA to which they are assigned,</w:t>
      </w:r>
      <w:r w:rsidR="00436F08">
        <w:rPr>
          <w:szCs w:val="22"/>
        </w:rPr>
        <w:t xml:space="preserve"> and network affiliation, if any.</w:t>
      </w:r>
    </w:p>
    <w:p w:rsidR="009B3638" w:rsidRDefault="002010D1" w:rsidP="00436F08">
      <w:pPr>
        <w:pStyle w:val="ParaNum"/>
      </w:pPr>
      <w:r>
        <w:t xml:space="preserve">To describe consumers’ access to </w:t>
      </w:r>
      <w:r w:rsidR="00B7298B">
        <w:t>out-of-market</w:t>
      </w:r>
      <w:r>
        <w:t xml:space="preserve"> broadcast stations from cable systems, we identified the cable systems </w:t>
      </w:r>
      <w:r w:rsidR="009A60BA">
        <w:t xml:space="preserve">operating </w:t>
      </w:r>
      <w:r>
        <w:t xml:space="preserve">in the counties </w:t>
      </w:r>
      <w:r w:rsidR="009A60BA">
        <w:t>(or communities within those counties)</w:t>
      </w:r>
      <w:r>
        <w:t xml:space="preserve"> in each study using the Commission</w:t>
      </w:r>
      <w:r w:rsidR="007B42D8">
        <w:t>’</w:t>
      </w:r>
      <w:r>
        <w:t>s Cable Operations and Licensing System</w:t>
      </w:r>
      <w:r w:rsidR="00A15097">
        <w:t xml:space="preserve"> (COALS)</w:t>
      </w:r>
      <w:r>
        <w:t>.</w:t>
      </w:r>
      <w:r>
        <w:rPr>
          <w:rStyle w:val="FootnoteReference"/>
          <w:szCs w:val="22"/>
        </w:rPr>
        <w:footnoteReference w:id="169"/>
      </w:r>
      <w:r>
        <w:t xml:space="preserve">  Where available, we used cable operators’ </w:t>
      </w:r>
      <w:r w:rsidRPr="00376EBB">
        <w:t>201</w:t>
      </w:r>
      <w:r w:rsidR="00E90A84">
        <w:t>5</w:t>
      </w:r>
      <w:r>
        <w:t xml:space="preserve"> FCC Form 325 submission</w:t>
      </w:r>
      <w:r w:rsidR="009A60BA">
        <w:t>s to determine the carriage of out-of-market</w:t>
      </w:r>
      <w:r>
        <w:t xml:space="preserve"> broadcast stations.  </w:t>
      </w:r>
      <w:r w:rsidR="00DF3060">
        <w:t xml:space="preserve">Where </w:t>
      </w:r>
      <w:r>
        <w:t xml:space="preserve">cable systems in the areas included in the case studies </w:t>
      </w:r>
      <w:r w:rsidR="00DF3060">
        <w:t xml:space="preserve">are not included in the </w:t>
      </w:r>
      <w:r w:rsidR="00DF3060" w:rsidRPr="00376EBB">
        <w:t>201</w:t>
      </w:r>
      <w:r w:rsidR="00E90A84">
        <w:t>5</w:t>
      </w:r>
      <w:r w:rsidR="00DF3060">
        <w:t xml:space="preserve"> FCC Form 325 sample because of their small size</w:t>
      </w:r>
      <w:r>
        <w:t>, we used Warren Television &amp; Cable Factbook data and individual cable system websites to gather additional information.</w:t>
      </w:r>
      <w:r>
        <w:rPr>
          <w:rStyle w:val="FootnoteReference"/>
          <w:szCs w:val="22"/>
        </w:rPr>
        <w:footnoteReference w:id="170"/>
      </w:r>
      <w:r>
        <w:t xml:space="preserve">  In addition, in some counties multiple cable systems offer varying broadcast station lineups.</w:t>
      </w:r>
      <w:r>
        <w:rPr>
          <w:rStyle w:val="FootnoteReference"/>
          <w:szCs w:val="22"/>
        </w:rPr>
        <w:footnoteReference w:id="171"/>
      </w:r>
      <w:r>
        <w:t xml:space="preserve">  Rather than report on each cable system where this is the case, to get an understanding of whether </w:t>
      </w:r>
      <w:r w:rsidR="009A60BA">
        <w:t>out-of-market</w:t>
      </w:r>
      <w:r>
        <w:t xml:space="preserve"> broadcast stations are being carried, we reviewed the available information and present an overview of the </w:t>
      </w:r>
      <w:r w:rsidR="009A60BA">
        <w:t>out-of-market</w:t>
      </w:r>
      <w:r>
        <w:t xml:space="preserve"> stations </w:t>
      </w:r>
      <w:r w:rsidR="00B7298B">
        <w:t xml:space="preserve">that </w:t>
      </w:r>
      <w:r>
        <w:t xml:space="preserve">cable systems carry.  </w:t>
      </w:r>
    </w:p>
    <w:p w:rsidR="00F55C60" w:rsidRDefault="00781FE9" w:rsidP="009B31BA">
      <w:pPr>
        <w:pStyle w:val="ParaNum"/>
        <w:widowControl/>
      </w:pPr>
      <w:r>
        <w:t>With respect to DBS carriage of</w:t>
      </w:r>
      <w:r w:rsidR="00F55C60">
        <w:t xml:space="preserve"> </w:t>
      </w:r>
      <w:r w:rsidR="00A15097">
        <w:t>out-of-market</w:t>
      </w:r>
      <w:r w:rsidR="00F55C60">
        <w:t xml:space="preserve"> broadcast stations</w:t>
      </w:r>
      <w:r>
        <w:t xml:space="preserve"> in</w:t>
      </w:r>
      <w:r w:rsidR="00F55C60">
        <w:t xml:space="preserve"> each county, we </w:t>
      </w:r>
      <w:r w:rsidR="009A60BA">
        <w:t>utilized the data c</w:t>
      </w:r>
      <w:r w:rsidR="003335DA">
        <w:t xml:space="preserve">ollected </w:t>
      </w:r>
      <w:r w:rsidR="009A60BA">
        <w:t xml:space="preserve">regarding </w:t>
      </w:r>
      <w:r w:rsidR="00A15097">
        <w:t xml:space="preserve">the </w:t>
      </w:r>
      <w:r w:rsidR="00933F04">
        <w:t xml:space="preserve">out-of-market </w:t>
      </w:r>
      <w:r w:rsidR="00A15097">
        <w:t>signals carried by either DIRECTV or DISH</w:t>
      </w:r>
      <w:r w:rsidR="003335DA">
        <w:t>, as discussed above</w:t>
      </w:r>
      <w:r w:rsidR="00A15097">
        <w:t>.</w:t>
      </w:r>
      <w:r w:rsidR="00933F04">
        <w:rPr>
          <w:rStyle w:val="FootnoteReference"/>
        </w:rPr>
        <w:footnoteReference w:id="172"/>
      </w:r>
      <w:r w:rsidR="00A15097">
        <w:t xml:space="preserve">  </w:t>
      </w:r>
      <w:r w:rsidR="003335DA">
        <w:t xml:space="preserve">Drawing on this information, </w:t>
      </w:r>
      <w:r w:rsidR="004526AA">
        <w:t xml:space="preserve">each </w:t>
      </w:r>
      <w:r w:rsidR="00A15097">
        <w:t>case study identifies the out-of-market broadcast stations</w:t>
      </w:r>
      <w:r w:rsidR="00403F3E">
        <w:t>, if any,</w:t>
      </w:r>
      <w:r w:rsidR="00A15097">
        <w:t xml:space="preserve"> provided as part of each DBS operator’s</w:t>
      </w:r>
      <w:r w:rsidR="00403F3E">
        <w:t xml:space="preserve"> carriage of</w:t>
      </w:r>
      <w:r w:rsidR="00A15097">
        <w:t xml:space="preserve"> </w:t>
      </w:r>
      <w:r w:rsidR="00A450AA">
        <w:t>significantly viewed, short market</w:t>
      </w:r>
      <w:r w:rsidR="004B65B3">
        <w:t xml:space="preserve"> fill-in</w:t>
      </w:r>
      <w:r w:rsidR="00A450AA">
        <w:t xml:space="preserve">, and </w:t>
      </w:r>
      <w:r w:rsidR="00403F3E">
        <w:t>statutory copyright exempted stations</w:t>
      </w:r>
      <w:r w:rsidR="00A15097">
        <w:t>.</w:t>
      </w:r>
      <w:r w:rsidR="00A15097">
        <w:rPr>
          <w:rStyle w:val="FootnoteReference"/>
          <w:szCs w:val="22"/>
        </w:rPr>
        <w:footnoteReference w:id="173"/>
      </w:r>
      <w:r w:rsidR="00A15097">
        <w:t xml:space="preserve">  In such cases, we have assumed that such out-of-market signals carried by the DBS providers are generally available throughout the market, including in the particular county being examined.  </w:t>
      </w:r>
    </w:p>
    <w:p w:rsidR="009F55D4" w:rsidRDefault="00F722A1" w:rsidP="001D6467">
      <w:pPr>
        <w:pStyle w:val="ParaNum"/>
      </w:pPr>
      <w:r>
        <w:t xml:space="preserve">In discussing our findings from the case studies, we provide the number of out-of-market stations that each county receives </w:t>
      </w:r>
      <w:r w:rsidR="004526AA">
        <w:t>and</w:t>
      </w:r>
      <w:r>
        <w:t xml:space="preserve"> also identify the </w:t>
      </w:r>
      <w:r w:rsidR="007836F6">
        <w:t xml:space="preserve">stations that appear on the Commission’s </w:t>
      </w:r>
      <w:r>
        <w:t xml:space="preserve">significantly viewed </w:t>
      </w:r>
      <w:r w:rsidR="007836F6">
        <w:t>list for the particular county</w:t>
      </w:r>
      <w:r w:rsidR="00882DDF">
        <w:t>, and thus could be carried by MVPDs pursuant to that status in those particular counties</w:t>
      </w:r>
      <w:r w:rsidR="007836F6">
        <w:t xml:space="preserve">.  </w:t>
      </w:r>
      <w:r w:rsidR="00882DDF">
        <w:t xml:space="preserve">Further, we examined whether any of the stations appearing on the significantly viewed list in the case studies are carried pursuant to the significantly viewed rules, but based on the information provided by DIRECTV and DISH, there are no stations being carried by DBS MVPDs pursuant to the significantly viewed rules in the counties selected for the case studies.  Also, none of the counties in the case studies are located in </w:t>
      </w:r>
      <w:r w:rsidR="0042478C">
        <w:t xml:space="preserve">a </w:t>
      </w:r>
      <w:r w:rsidR="00882DDF">
        <w:t xml:space="preserve">short market where one of the four major television networks is not offered on the primary stream of a local broadcast station.  In the case of cable or telephone MVPDs, we are unable to determine </w:t>
      </w:r>
      <w:r w:rsidR="000E40FF">
        <w:t xml:space="preserve">whether </w:t>
      </w:r>
      <w:r w:rsidR="00882DDF">
        <w:t xml:space="preserve">the station is being carried </w:t>
      </w:r>
      <w:r w:rsidR="00B16BE0">
        <w:t>pursuant to the significantly viewed rules</w:t>
      </w:r>
      <w:r w:rsidR="000E40FF">
        <w:t xml:space="preserve"> based on the current data available to us</w:t>
      </w:r>
      <w:r w:rsidR="00663D9D">
        <w:t xml:space="preserve">.  </w:t>
      </w:r>
      <w:r w:rsidR="00282829">
        <w:t>In addition, w</w:t>
      </w:r>
      <w:r>
        <w:t xml:space="preserve">e highlight the stations licensed to communities in the same state as the county examined, including stations located in the same market, to evaluate the availability of local programming </w:t>
      </w:r>
      <w:r w:rsidR="008415EA">
        <w:t>as we interpret</w:t>
      </w:r>
      <w:r>
        <w:t xml:space="preserve"> </w:t>
      </w:r>
      <w:r w:rsidR="004526AA">
        <w:t xml:space="preserve">local </w:t>
      </w:r>
      <w:r>
        <w:t xml:space="preserve">programming </w:t>
      </w:r>
      <w:r w:rsidR="008415EA">
        <w:t xml:space="preserve">to </w:t>
      </w:r>
      <w:r w:rsidR="0042478C">
        <w:t>include</w:t>
      </w:r>
      <w:r>
        <w:t xml:space="preserve"> in-state programming</w:t>
      </w:r>
      <w:r w:rsidR="008415EA">
        <w:t xml:space="preserve"> consistent with Congress’s intent</w:t>
      </w:r>
      <w:r>
        <w:t>.</w:t>
      </w:r>
      <w:r w:rsidR="008415EA">
        <w:rPr>
          <w:rStyle w:val="FootnoteReference"/>
        </w:rPr>
        <w:footnoteReference w:id="174"/>
      </w:r>
      <w:r>
        <w:t xml:space="preserve">  </w:t>
      </w:r>
    </w:p>
    <w:p w:rsidR="000B75E8" w:rsidRDefault="00282829" w:rsidP="001D6467">
      <w:pPr>
        <w:pStyle w:val="ParaNum"/>
      </w:pPr>
      <w:r>
        <w:t>W</w:t>
      </w:r>
      <w:r w:rsidR="003335DA">
        <w:t xml:space="preserve">e have also examined and reported on any in-market stations that are licensed to the same state as the county at issue.  </w:t>
      </w:r>
      <w:r w:rsidR="006A3B37">
        <w:t>For cable systems, we</w:t>
      </w:r>
      <w:r w:rsidR="006A3B37" w:rsidRPr="006A3B37">
        <w:t xml:space="preserve"> </w:t>
      </w:r>
      <w:r w:rsidR="006A3B37">
        <w:t xml:space="preserve">utilized the </w:t>
      </w:r>
      <w:r w:rsidR="007B41B7">
        <w:t xml:space="preserve">same methodology to describe </w:t>
      </w:r>
      <w:r w:rsidR="006A3B37">
        <w:t xml:space="preserve">consumers’ access to </w:t>
      </w:r>
      <w:r w:rsidR="007B41B7">
        <w:t xml:space="preserve">in-market stations as we did for access to </w:t>
      </w:r>
      <w:r w:rsidR="006A3B37">
        <w:t>out-of-market broadcast stations</w:t>
      </w:r>
      <w:r w:rsidR="007B41B7">
        <w:t>.  For DBS operators, we searched the channel lineups on the websites of DIRECTV and DISH for the local channels they carry in the case study counties.</w:t>
      </w:r>
      <w:r w:rsidR="006A3B37">
        <w:t xml:space="preserve"> </w:t>
      </w:r>
      <w:r w:rsidR="007B41B7">
        <w:t xml:space="preserve"> </w:t>
      </w:r>
      <w:r w:rsidR="003335DA">
        <w:t>Even though such stations are in-market – and thus not relevant to the question of what out-of-market stations are available to the county – to the extent that they are licensed to the same state as the county</w:t>
      </w:r>
      <w:r w:rsidR="009F55D4">
        <w:t xml:space="preserve"> being examined</w:t>
      </w:r>
      <w:r w:rsidR="003335DA">
        <w:t>, the</w:t>
      </w:r>
      <w:r w:rsidR="009F55D4">
        <w:t>se in-market and in-state stations</w:t>
      </w:r>
      <w:r w:rsidR="003335DA">
        <w:t xml:space="preserve"> potentially provide relevant local programming to the county, despite the fact that the county is located in a state </w:t>
      </w:r>
      <w:r w:rsidR="009F55D4">
        <w:t xml:space="preserve">different from </w:t>
      </w:r>
      <w:r w:rsidR="003335DA">
        <w:t>the core of the DMA.</w:t>
      </w:r>
      <w:r w:rsidR="00E84944">
        <w:rPr>
          <w:rStyle w:val="FootnoteReference"/>
        </w:rPr>
        <w:footnoteReference w:id="175"/>
      </w:r>
      <w:r>
        <w:t xml:space="preserve"> </w:t>
      </w:r>
      <w:r w:rsidR="003335DA">
        <w:t xml:space="preserve"> </w:t>
      </w:r>
      <w:r w:rsidR="00F722A1">
        <w:t xml:space="preserve">Where relevant, we note the stations that are affiliated with the </w:t>
      </w:r>
      <w:r w:rsidR="00A15097">
        <w:t>Big Four</w:t>
      </w:r>
      <w:r w:rsidR="00F722A1">
        <w:t xml:space="preserve"> networks and/or PBS</w:t>
      </w:r>
      <w:r w:rsidR="00A15097">
        <w:t>,</w:t>
      </w:r>
      <w:r w:rsidR="00F722A1">
        <w:t xml:space="preserve"> as well as the population served by these stations relative to the county population.  Finally, we identify </w:t>
      </w:r>
      <w:r w:rsidR="00A15097">
        <w:t xml:space="preserve">some of </w:t>
      </w:r>
      <w:r w:rsidR="00F722A1">
        <w:t xml:space="preserve">the stations that </w:t>
      </w:r>
      <w:r w:rsidR="00A15097">
        <w:t xml:space="preserve">appear to carry </w:t>
      </w:r>
      <w:r w:rsidR="00F722A1">
        <w:t>local programming relevant to the counties and the states in which they are located.</w:t>
      </w:r>
      <w:r w:rsidR="00F722A1">
        <w:rPr>
          <w:rStyle w:val="FootnoteReference"/>
        </w:rPr>
        <w:footnoteReference w:id="176"/>
      </w:r>
      <w:r w:rsidR="00865421">
        <w:t xml:space="preserve"> </w:t>
      </w:r>
      <w:r w:rsidR="00436F08">
        <w:t xml:space="preserve"> </w:t>
      </w:r>
    </w:p>
    <w:p w:rsidR="001D6467" w:rsidRDefault="00F722A1" w:rsidP="001D6467">
      <w:pPr>
        <w:pStyle w:val="ParaNum"/>
      </w:pPr>
      <w:r w:rsidRPr="00BA58EA">
        <w:rPr>
          <w:i/>
        </w:rPr>
        <w:t>La Plata County and Montezuma County, Colorado</w:t>
      </w:r>
      <w:r>
        <w:t>.  The counties of La Plata and Montezuma are located in Colorado but assigned to the Albuquerque-Santa Fe, New Mexico DMA</w:t>
      </w:r>
      <w:r w:rsidR="00446465">
        <w:t>,</w:t>
      </w:r>
      <w:r>
        <w:t xml:space="preserve"> which consists primarily of twenty-eight counties in New Mexico but also</w:t>
      </w:r>
      <w:r w:rsidR="00446465">
        <w:t xml:space="preserve"> a portion of an Arizona county, </w:t>
      </w:r>
      <w:r>
        <w:t xml:space="preserve">in addition to the two Colorado counties.  While La Plata County does not receive any out-of-market stations directly </w:t>
      </w:r>
      <w:r w:rsidR="00F40F86">
        <w:t>over the air</w:t>
      </w:r>
      <w:r>
        <w:t xml:space="preserve"> or any out-of-market </w:t>
      </w:r>
      <w:r w:rsidR="00446465">
        <w:t xml:space="preserve">stations considered to be </w:t>
      </w:r>
      <w:r>
        <w:t xml:space="preserve">significantly viewed, the cable MVPD serving the county does carry an out-of-market NBC affiliate from the Denver, Colorado DMA.  DBS MVPDs in La Plata County do not carry out-of-market stations.  </w:t>
      </w:r>
      <w:r w:rsidR="00446465">
        <w:t xml:space="preserve">Notably, there </w:t>
      </w:r>
      <w:r>
        <w:t xml:space="preserve">are television stations assigned to the Albuquerque-Santa Fe DMA </w:t>
      </w:r>
      <w:r w:rsidR="00446465">
        <w:t xml:space="preserve">that are licensed to communities in </w:t>
      </w:r>
      <w:r>
        <w:t>Colorado</w:t>
      </w:r>
      <w:r w:rsidR="00446465">
        <w:t>.  These Colorado stations are in-state as to</w:t>
      </w:r>
      <w:r w:rsidR="00446465" w:rsidRPr="00446465">
        <w:t xml:space="preserve"> </w:t>
      </w:r>
      <w:r w:rsidR="00446465">
        <w:t xml:space="preserve">La Plata and Montezuma counties, and some appear to </w:t>
      </w:r>
      <w:r>
        <w:t>provide Colorado programming.</w:t>
      </w:r>
      <w:r>
        <w:rPr>
          <w:rStyle w:val="FootnoteReference"/>
        </w:rPr>
        <w:footnoteReference w:id="177"/>
      </w:r>
      <w:r>
        <w:t xml:space="preserve">  We note that many such in-market, in-state stations are translators and although most are retransmitting signals from the Albuquerque-Santa Fe DMA, seven translators bring in stations licensed to Colorado communities to La Plata County.</w:t>
      </w:r>
      <w:r>
        <w:rPr>
          <w:rStyle w:val="FootnoteReference"/>
        </w:rPr>
        <w:footnoteReference w:id="178"/>
      </w:r>
      <w:r>
        <w:t xml:space="preserve">  </w:t>
      </w:r>
      <w:r w:rsidR="00446465">
        <w:t>In addition, a</w:t>
      </w:r>
      <w:r>
        <w:t xml:space="preserve"> PBS affiliate, KRMU, </w:t>
      </w:r>
      <w:r w:rsidR="00446465">
        <w:t xml:space="preserve">licensed to </w:t>
      </w:r>
      <w:r w:rsidR="00CC38B6">
        <w:t>Durango, Colorado</w:t>
      </w:r>
      <w:r w:rsidR="00446465">
        <w:t xml:space="preserve">, </w:t>
      </w:r>
      <w:r>
        <w:t>which is carried by cable</w:t>
      </w:r>
      <w:r w:rsidR="00446465">
        <w:t>,</w:t>
      </w:r>
      <w:r>
        <w:t xml:space="preserve"> provides Colorado news and local programming to La Plata County.</w:t>
      </w:r>
      <w:r w:rsidR="00DC3962">
        <w:t xml:space="preserve">     </w:t>
      </w:r>
      <w:r w:rsidR="001D6467">
        <w:t xml:space="preserve">  </w:t>
      </w:r>
    </w:p>
    <w:p w:rsidR="009B3C62" w:rsidRDefault="00F722A1" w:rsidP="00436F08">
      <w:pPr>
        <w:pStyle w:val="ParaNum"/>
      </w:pPr>
      <w:r>
        <w:t xml:space="preserve">Montezuma County receives five out-of-market stations </w:t>
      </w:r>
      <w:r w:rsidR="00F40F86">
        <w:t>over the air</w:t>
      </w:r>
      <w:r>
        <w:t xml:space="preserve">, all of which are translators </w:t>
      </w:r>
      <w:r w:rsidR="001D539C">
        <w:t>rebroadcasting</w:t>
      </w:r>
      <w:r>
        <w:t xml:space="preserve"> stations from the Denver, Colorado DMA.  None of these stations are </w:t>
      </w:r>
      <w:r w:rsidR="00FF425E">
        <w:t xml:space="preserve">listed as </w:t>
      </w:r>
      <w:r>
        <w:t>significantly viewed</w:t>
      </w:r>
      <w:r w:rsidR="00C6411E">
        <w:t>,</w:t>
      </w:r>
      <w:r>
        <w:t xml:space="preserve"> </w:t>
      </w:r>
      <w:r w:rsidR="001D539C">
        <w:t>and</w:t>
      </w:r>
      <w:r>
        <w:t xml:space="preserve"> each serve</w:t>
      </w:r>
      <w:r w:rsidR="001D539C">
        <w:t>s</w:t>
      </w:r>
      <w:r>
        <w:t xml:space="preserve"> a very small percentage of the county’s population</w:t>
      </w:r>
      <w:r w:rsidR="001D539C">
        <w:t>.  N</w:t>
      </w:r>
      <w:r>
        <w:t xml:space="preserve">one </w:t>
      </w:r>
      <w:r w:rsidR="00FF425E">
        <w:t xml:space="preserve">of these stations </w:t>
      </w:r>
      <w:r>
        <w:t xml:space="preserve">are carried by cable or DBS MVPDs in Montezuma County.  </w:t>
      </w:r>
      <w:r w:rsidR="001D539C">
        <w:t>In addition, t</w:t>
      </w:r>
      <w:r>
        <w:t xml:space="preserve">he county receives </w:t>
      </w:r>
      <w:r w:rsidR="006A1A8A">
        <w:t>23</w:t>
      </w:r>
      <w:r>
        <w:t xml:space="preserve"> in-market stations</w:t>
      </w:r>
      <w:r w:rsidR="00136A1A">
        <w:t>,</w:t>
      </w:r>
      <w:r>
        <w:t xml:space="preserve"> which are translators that retransmit stations licensed to Colorado communities.  Of these translators, five stations serve substantial portions of Montezuma County, and two are affiliated with </w:t>
      </w:r>
      <w:r w:rsidR="006A1A8A">
        <w:t xml:space="preserve">Big </w:t>
      </w:r>
      <w:r w:rsidR="00136A1A">
        <w:t>F</w:t>
      </w:r>
      <w:r>
        <w:t>our networks.</w:t>
      </w:r>
      <w:r>
        <w:rPr>
          <w:rStyle w:val="FootnoteReference"/>
        </w:rPr>
        <w:footnoteReference w:id="179"/>
      </w:r>
      <w:r>
        <w:t xml:space="preserve">  DBS operators in Montezuma do not carry stations licensed to Colorado communities.  However, the cable MVPD serving the count</w:t>
      </w:r>
      <w:r w:rsidR="00363B33">
        <w:t>y carries a PBS affiliate, KRMU of</w:t>
      </w:r>
      <w:r>
        <w:t xml:space="preserve"> </w:t>
      </w:r>
      <w:r w:rsidR="00CC38B6">
        <w:t>Durango, Colorado</w:t>
      </w:r>
      <w:r w:rsidR="00136A1A">
        <w:t xml:space="preserve">, </w:t>
      </w:r>
      <w:r>
        <w:t>which provides Colorado news and local programming to Montezuma County.</w:t>
      </w:r>
      <w:r w:rsidR="00DC3962">
        <w:t xml:space="preserve">  </w:t>
      </w:r>
    </w:p>
    <w:p w:rsidR="00D821ED" w:rsidRDefault="00F722A1" w:rsidP="002010D1">
      <w:pPr>
        <w:pStyle w:val="ParaNum"/>
      </w:pPr>
      <w:r w:rsidRPr="00EF6591">
        <w:rPr>
          <w:i/>
        </w:rPr>
        <w:t>Albany County and Campbell County, Wyoming</w:t>
      </w:r>
      <w:r>
        <w:t xml:space="preserve">.  The counties of Albany and Campbell are located in Wyoming but are assigned to the Denver, Colorado DMA, which consists of forty-eight Colorado counties, fourteen Nebraska counties, and six Wyoming counties.  Albany County receives eight out-of-market stations </w:t>
      </w:r>
      <w:r w:rsidR="00F40F86">
        <w:t>over the air</w:t>
      </w:r>
      <w:r>
        <w:t xml:space="preserve">, one of which is </w:t>
      </w:r>
      <w:r w:rsidR="003635C0">
        <w:t xml:space="preserve">listed as </w:t>
      </w:r>
      <w:r>
        <w:t>a significantly viewed station.</w:t>
      </w:r>
      <w:r>
        <w:rPr>
          <w:rStyle w:val="FootnoteReference"/>
        </w:rPr>
        <w:footnoteReference w:id="180"/>
      </w:r>
      <w:r>
        <w:t xml:space="preserve">  Of these, five stations are licensed to communities in Wyoming, and two are </w:t>
      </w:r>
      <w:r w:rsidR="006A1A8A">
        <w:t xml:space="preserve">affiliated with Big </w:t>
      </w:r>
      <w:r w:rsidR="003635C0">
        <w:t xml:space="preserve">Four networks and </w:t>
      </w:r>
      <w:r>
        <w:t>serv</w:t>
      </w:r>
      <w:r w:rsidR="003635C0">
        <w:t xml:space="preserve">e </w:t>
      </w:r>
      <w:r>
        <w:t>a large percentage of the county.</w:t>
      </w:r>
      <w:r>
        <w:rPr>
          <w:rStyle w:val="FootnoteReference"/>
        </w:rPr>
        <w:footnoteReference w:id="181"/>
      </w:r>
      <w:r>
        <w:t xml:space="preserve">  </w:t>
      </w:r>
      <w:r w:rsidR="006A3B37">
        <w:rPr>
          <w:szCs w:val="22"/>
        </w:rPr>
        <w:t xml:space="preserve">DBS operators do not carry out-of-market stations. </w:t>
      </w:r>
      <w:r w:rsidR="006A3B37" w:rsidDel="006A3B37">
        <w:t xml:space="preserve"> </w:t>
      </w:r>
      <w:r w:rsidR="006A3B37">
        <w:t>T</w:t>
      </w:r>
      <w:r>
        <w:t xml:space="preserve">he cable MVPD serving Albany County </w:t>
      </w:r>
      <w:r w:rsidR="006A3B37">
        <w:t xml:space="preserve">carries </w:t>
      </w:r>
      <w:r>
        <w:t>the si</w:t>
      </w:r>
      <w:r w:rsidR="00363B33">
        <w:t>gnificantly viewed station KGWN of</w:t>
      </w:r>
      <w:r>
        <w:t xml:space="preserve"> </w:t>
      </w:r>
      <w:r w:rsidR="00CC38B6">
        <w:t>Cheyenne, Wyoming</w:t>
      </w:r>
      <w:r w:rsidR="00663D9D">
        <w:t xml:space="preserve"> </w:t>
      </w:r>
      <w:r>
        <w:t>and three additional out-of-market stations licensed to Wyoming communities.</w:t>
      </w:r>
      <w:r>
        <w:rPr>
          <w:rStyle w:val="FootnoteReference"/>
        </w:rPr>
        <w:footnoteReference w:id="182"/>
      </w:r>
      <w:r>
        <w:t xml:space="preserve">  Also, Albany County receives two in-market, in-state stations </w:t>
      </w:r>
      <w:r w:rsidR="00F40F86">
        <w:t>over the air</w:t>
      </w:r>
      <w:r>
        <w:t>, although neither is carried by MVPDs in the county.  One of these stations, a PBS affiliate, as well as the significantly viewed station KGWN and two out-of-market stations carried by cable</w:t>
      </w:r>
      <w:r w:rsidR="00FF425E">
        <w:t>,</w:t>
      </w:r>
      <w:r>
        <w:t xml:space="preserve"> </w:t>
      </w:r>
      <w:r w:rsidR="003635C0">
        <w:t xml:space="preserve">appear to </w:t>
      </w:r>
      <w:r>
        <w:t>provide local news and information relevant to Wyoming communities.</w:t>
      </w:r>
    </w:p>
    <w:p w:rsidR="00E336C6" w:rsidRDefault="00F722A1" w:rsidP="002010D1">
      <w:pPr>
        <w:pStyle w:val="ParaNum"/>
      </w:pPr>
      <w:r>
        <w:t>Campbell County</w:t>
      </w:r>
      <w:r w:rsidRPr="00AD571F">
        <w:t xml:space="preserve"> </w:t>
      </w:r>
      <w:r>
        <w:t xml:space="preserve">receives </w:t>
      </w:r>
      <w:r w:rsidR="006A1A8A">
        <w:t>two</w:t>
      </w:r>
      <w:r>
        <w:t xml:space="preserve"> out-of-market stations </w:t>
      </w:r>
      <w:r w:rsidR="00F40F86">
        <w:t>over the air</w:t>
      </w:r>
      <w:r>
        <w:t xml:space="preserve">, </w:t>
      </w:r>
      <w:r w:rsidR="006A1A8A">
        <w:t>both</w:t>
      </w:r>
      <w:r>
        <w:t xml:space="preserve"> of which are licensed to Wyoming communities.  </w:t>
      </w:r>
      <w:r w:rsidR="006A1A8A">
        <w:t>Each serve</w:t>
      </w:r>
      <w:r w:rsidR="00FF425E">
        <w:t>s</w:t>
      </w:r>
      <w:r w:rsidR="006A1A8A">
        <w:t xml:space="preserve"> a very small percentage of the county’s population, and none </w:t>
      </w:r>
      <w:r w:rsidR="00FF425E">
        <w:t xml:space="preserve">of the stations are </w:t>
      </w:r>
      <w:r w:rsidR="006A1A8A">
        <w:t xml:space="preserve">deemed significantly viewed.  </w:t>
      </w:r>
      <w:r w:rsidR="006C6DD4">
        <w:t>As in</w:t>
      </w:r>
      <w:r w:rsidR="006A1A8A">
        <w:t xml:space="preserve"> Albany County, DBS operators </w:t>
      </w:r>
      <w:r w:rsidR="006A3B37">
        <w:rPr>
          <w:szCs w:val="22"/>
        </w:rPr>
        <w:t>do not carry out-of-market stations</w:t>
      </w:r>
      <w:r w:rsidR="006A1A8A">
        <w:t xml:space="preserve">.  The cable MVPD carries the same three additional out-of-market stations licensed to Wyoming communities as in Albany County.  Campbell County does not receive any in-market, in-state stations either </w:t>
      </w:r>
      <w:r w:rsidR="00F40F86">
        <w:t>over the air</w:t>
      </w:r>
      <w:r w:rsidR="006A1A8A">
        <w:t xml:space="preserve"> or via MVPD carriage.  KGWN, as well as two of the out-of-market stations carried by cable, and one of the out-of-market stations received </w:t>
      </w:r>
      <w:r w:rsidR="00F40F86">
        <w:t>over the air</w:t>
      </w:r>
      <w:r w:rsidR="006A1A8A">
        <w:t xml:space="preserve"> each provide local and Wyoming state programming to Campbell County.</w:t>
      </w:r>
      <w:r w:rsidR="00E336C6">
        <w:t xml:space="preserve">  </w:t>
      </w:r>
    </w:p>
    <w:p w:rsidR="00036CE4" w:rsidRDefault="00F722A1" w:rsidP="002010D1">
      <w:pPr>
        <w:pStyle w:val="ParaNum"/>
      </w:pPr>
      <w:r w:rsidRPr="009734E7">
        <w:rPr>
          <w:i/>
        </w:rPr>
        <w:t>Stephens County, Georgia</w:t>
      </w:r>
      <w:r>
        <w:t xml:space="preserve">.  </w:t>
      </w:r>
      <w:r w:rsidR="00BC01F0">
        <w:t>Assigned to t</w:t>
      </w:r>
      <w:r w:rsidR="00BC01F0" w:rsidRPr="00B84B29">
        <w:rPr>
          <w:szCs w:val="22"/>
        </w:rPr>
        <w:t xml:space="preserve">he </w:t>
      </w:r>
      <w:r w:rsidR="00BC01F0">
        <w:rPr>
          <w:szCs w:val="22"/>
        </w:rPr>
        <w:t xml:space="preserve">Greenville-Spartanburg-Anderson, South Carolina-Ashville, North Carolina DMA, Stephens County is one of four Georgia counties that form the DMA along with fourteen North Carolina counties and ten South Carolina counties.  Stephens County receives two out-of-market signals </w:t>
      </w:r>
      <w:r w:rsidR="00F40F86">
        <w:rPr>
          <w:szCs w:val="22"/>
        </w:rPr>
        <w:t>over the air</w:t>
      </w:r>
      <w:r w:rsidR="00BC01F0">
        <w:rPr>
          <w:szCs w:val="22"/>
        </w:rPr>
        <w:t>, one of which is from a station in the Atlanta, Georgia DMA.  DBS operators do not carry out-of-market stations, but the cable MVPD serving Stephens County carries four out-of-market stations including three Big Four network affiliates and a PBS affiliate from the Atlanta, Georgia DMA.  Stephens County does not receive any significantly viewed stations.  The county receives two in-market stations that are licensed to Georgia communities, but no MVPD carries any in-market, in-state stations.  The four out-of-market stations carried by the cable M</w:t>
      </w:r>
      <w:r w:rsidR="00BC01F0">
        <w:t>VPD provide news and local programming from Atlanta, Georgia to Stephens County.</w:t>
      </w:r>
    </w:p>
    <w:p w:rsidR="0077493C" w:rsidRDefault="00D97A24" w:rsidP="0007066C">
      <w:pPr>
        <w:pStyle w:val="ParaNum"/>
        <w:widowControl/>
      </w:pPr>
      <w:r>
        <w:t xml:space="preserve"> </w:t>
      </w:r>
      <w:bookmarkStart w:id="45" w:name="_Ref452470428"/>
      <w:r w:rsidR="00F722A1">
        <w:rPr>
          <w:i/>
        </w:rPr>
        <w:t>Hunterdon County, New Jersey</w:t>
      </w:r>
      <w:r w:rsidR="00F722A1">
        <w:t xml:space="preserve">.  </w:t>
      </w:r>
      <w:r w:rsidR="00EE4EC7">
        <w:t xml:space="preserve">Hunterdon County is located in New Jersey but is assigned to the New York, New York DMA, which consists of fifteen New York counties, fourteen New Jersey counties, and one Pennsylvania county.  Hunterdon County receives twenty-five out-of-market stations </w:t>
      </w:r>
      <w:r w:rsidR="00F40F86">
        <w:t>over the air</w:t>
      </w:r>
      <w:r w:rsidR="00EE4EC7">
        <w:t xml:space="preserve">, six of which are licensed to communities in New Jersey.  There are five significantly viewed stations in the county, but none </w:t>
      </w:r>
      <w:r w:rsidR="00FF425E">
        <w:t xml:space="preserve">of the stations </w:t>
      </w:r>
      <w:r w:rsidR="00EE4EC7">
        <w:t xml:space="preserve">are licensed to New Jersey communities.  DBS operators do not carry any out-of-market stations in Hunterdon County, and the cable MVPD serving the county carries nine out-of-market stations from the Philadelphia, Pennsylvania DMA, but does not carry out-of-market stations from New Jersey.  In addition, nine in-market stations are licensed to New Jersey communities and can be received </w:t>
      </w:r>
      <w:r w:rsidR="00F40F86">
        <w:t>over the air</w:t>
      </w:r>
      <w:r w:rsidR="00EE4EC7">
        <w:t>.  Among these stations are multiple PBS affiliates and a FOX affiliate that serve an extensive portion of the county.</w:t>
      </w:r>
      <w:r w:rsidR="00EE4EC7">
        <w:rPr>
          <w:rStyle w:val="FootnoteReference"/>
        </w:rPr>
        <w:footnoteReference w:id="183"/>
      </w:r>
      <w:r w:rsidR="00EE4EC7">
        <w:t xml:space="preserve">  DBS operators also carry nine in-market, in-state stations, including the FOX and PBS affiliates.  As among the in-market, in-state stations, the cable service carries only the FOX affiliate and a Univision station.  The FOX and PBS affiliates provide news and local programming that include New Jersey as an area of focus.</w:t>
      </w:r>
      <w:bookmarkEnd w:id="45"/>
    </w:p>
    <w:p w:rsidR="004B0EC2" w:rsidRDefault="00F722A1" w:rsidP="002010D1">
      <w:pPr>
        <w:pStyle w:val="ParaNum"/>
      </w:pPr>
      <w:r>
        <w:rPr>
          <w:i/>
        </w:rPr>
        <w:t>Garrett County, Maryland</w:t>
      </w:r>
      <w:r w:rsidRPr="005D2D9B">
        <w:t>.</w:t>
      </w:r>
      <w:r>
        <w:t xml:space="preserve">  </w:t>
      </w:r>
      <w:r w:rsidR="00EE4EC7">
        <w:t xml:space="preserve">Garrett County is located in Maryland and is assigned to the Pittsburgh, Pennsylvania DMA, which also includes thirteen Pennsylvania counties and two West Virginia counties.  Garrett County receives twelve out-of-market stations </w:t>
      </w:r>
      <w:r w:rsidR="00F40F86">
        <w:t>over the air</w:t>
      </w:r>
      <w:r w:rsidR="00EE4EC7">
        <w:t>, three of which are licensed to communities in Maryland.  DBS operators do not carry out-of-market stations in Garrett County, but the cable MVPD serving the county carries three out-of-market stations — one licensed to a community in West Virginia and two in Pennsylvania.  There are two significantly viewed stations in the county</w:t>
      </w:r>
      <w:r w:rsidR="006C6DD4">
        <w:t>,</w:t>
      </w:r>
      <w:r w:rsidR="00EE4EC7">
        <w:t xml:space="preserve"> but neither is licensed to a Maryland community.  Only one in-market, in-state station can be received </w:t>
      </w:r>
      <w:r w:rsidR="00F40F86">
        <w:t>over the air</w:t>
      </w:r>
      <w:r w:rsidR="00EE4EC7">
        <w:t>.  While not carried by DBS, this PBS affiliate is carried by both cable MVPDs serving Garrett County.  This station and the two</w:t>
      </w:r>
      <w:r w:rsidR="00EE4EC7" w:rsidRPr="002E11E3">
        <w:t xml:space="preserve"> </w:t>
      </w:r>
      <w:r w:rsidR="00EE4EC7">
        <w:t xml:space="preserve">out-of-market stations available </w:t>
      </w:r>
      <w:r w:rsidR="00F40F86">
        <w:t>over the air</w:t>
      </w:r>
      <w:r w:rsidR="00EE4EC7">
        <w:t xml:space="preserve"> provide local news and public affairs programming about Maryland in Garrett County.</w:t>
      </w:r>
    </w:p>
    <w:p w:rsidR="00FE0C93" w:rsidRDefault="00F722A1" w:rsidP="00E336C6">
      <w:pPr>
        <w:pStyle w:val="ParaNum"/>
      </w:pPr>
      <w:r w:rsidRPr="00415C75">
        <w:rPr>
          <w:i/>
        </w:rPr>
        <w:t>Bristol County, Massachusetts</w:t>
      </w:r>
      <w:r>
        <w:t xml:space="preserve">.  </w:t>
      </w:r>
      <w:r w:rsidR="008B419D">
        <w:t xml:space="preserve">Bristol County is the only Massachusetts county along with five Rhode Island counties that form the Providence, Rhode Island DMA.  Bristol County receives </w:t>
      </w:r>
      <w:r w:rsidR="00F40F86">
        <w:t>over the air</w:t>
      </w:r>
      <w:r w:rsidR="008B419D">
        <w:t xml:space="preserve"> eighteen out-of-market stations, seventeen of which are licensed to Massachusetts communities, including all Big Four network affiliates and two PBS stations from the Boston, Massachusetts DMA.  DBS operators do not carry out-of-market stations, but the cable and telephone MVPD</w:t>
      </w:r>
      <w:r w:rsidR="006C6DD4">
        <w:t>s</w:t>
      </w:r>
      <w:r w:rsidR="008B419D">
        <w:t xml:space="preserve"> serving the county together carry eleven out-of-market stations, including the aforementioned Big Four network affiliates and two PBS stations.  Five significantly viewed stations, all originating from the Boston DMA, are listed for Bristol County and all are carried by the cable and telephone MVPDs.</w:t>
      </w:r>
      <w:r w:rsidR="00663D9D">
        <w:rPr>
          <w:rStyle w:val="FootnoteReference"/>
        </w:rPr>
        <w:footnoteReference w:id="184"/>
      </w:r>
      <w:r w:rsidR="008B419D">
        <w:t xml:space="preserve">  There are two in-market stations licensed to Massachusetts communities.  They are available </w:t>
      </w:r>
      <w:r w:rsidR="00F40F86">
        <w:t>over the air</w:t>
      </w:r>
      <w:r w:rsidR="008B419D">
        <w:t xml:space="preserve"> and are carried by all MVPDs serving the county.  The out-of-market Big Four network affiliates, PBS stations, significantly viewed stations, and in-market ABC affiliate each provide Bristol County with Massachusetts programming from the Boston and New Bedford areas.</w:t>
      </w:r>
    </w:p>
    <w:p w:rsidR="00FE0C93" w:rsidRDefault="00FE0C93" w:rsidP="00E336C6">
      <w:pPr>
        <w:pStyle w:val="ParaNum"/>
      </w:pPr>
      <w:r w:rsidRPr="00184692">
        <w:rPr>
          <w:i/>
        </w:rPr>
        <w:t>Sheridan County, Wyoming</w:t>
      </w:r>
      <w:r>
        <w:t xml:space="preserve">.  </w:t>
      </w:r>
      <w:r w:rsidR="008B419D">
        <w:t xml:space="preserve">Assigned to the Rapid City, South Dakota DMA, Sheridan County is the only Wyoming county in the DMA, which also consists of thirteen South Dakota counties, one Montana county, and one Nebraska county.  Sheridan County does not receive any out-of-market stations </w:t>
      </w:r>
      <w:r w:rsidR="00F40F86">
        <w:t>over the air</w:t>
      </w:r>
      <w:r w:rsidR="008B419D">
        <w:t xml:space="preserve">.  DBS operators do not carry any out of market signals in the county, but the cable MVPD serving Sheridan County carries four out-of-market stations, two of which are licensed to Wyoming communities and one of which is the only significantly viewed Wyoming station listed for the county.  Three in-market stations licensed to Wyoming communities are available </w:t>
      </w:r>
      <w:r w:rsidR="00F40F86">
        <w:t>over the air</w:t>
      </w:r>
      <w:r w:rsidR="008B419D">
        <w:t>, including two translators</w:t>
      </w:r>
      <w:r w:rsidR="00FF425E">
        <w:t>,</w:t>
      </w:r>
      <w:r w:rsidR="008B419D">
        <w:t xml:space="preserve"> which retransmit the signals of the two out-of-market stations carried by the cable MVPD.  DBS operators serving Sheridan County do not carry any Wyoming stations, but the cable MVPD carries two in-market stations licensed to communities in Wyoming.  The two out-of-market stations carried by the cable MVPD both provide Sheridan County with Wyoming daily news and public affairs programming.</w:t>
      </w:r>
      <w:r w:rsidR="008B419D">
        <w:rPr>
          <w:rStyle w:val="FootnoteReference"/>
        </w:rPr>
        <w:footnoteReference w:id="185"/>
      </w:r>
    </w:p>
    <w:p w:rsidR="00FE0C93" w:rsidRDefault="00FE0C93" w:rsidP="00E336C6">
      <w:pPr>
        <w:pStyle w:val="ParaNum"/>
      </w:pPr>
      <w:bookmarkStart w:id="46" w:name="_Ref452470441"/>
      <w:r w:rsidRPr="00E4621E">
        <w:rPr>
          <w:i/>
        </w:rPr>
        <w:t>Sussex County, Delaware</w:t>
      </w:r>
      <w:r>
        <w:t xml:space="preserve">.  </w:t>
      </w:r>
      <w:r w:rsidR="008B419D">
        <w:t xml:space="preserve">Sussex County is the only Delaware county assigned to the Salisbury, Maryland DMA, which also contains four Maryland counties.  Sussex County receives four out-of-market stations </w:t>
      </w:r>
      <w:r w:rsidR="00F40F86">
        <w:t>over the air</w:t>
      </w:r>
      <w:r w:rsidR="008B419D">
        <w:t>, two of which are licensed to Delaware communities.  DBS operators do not carry out-of-market stations in Sussex County.  Cable MVPDs carry two out-of-market stations, but none</w:t>
      </w:r>
      <w:r w:rsidR="00FF425E">
        <w:t xml:space="preserve"> of the stations</w:t>
      </w:r>
      <w:r w:rsidR="008B419D">
        <w:t xml:space="preserve"> are from Delaware.</w:t>
      </w:r>
      <w:r w:rsidR="008B419D" w:rsidDel="0058518A">
        <w:t xml:space="preserve"> </w:t>
      </w:r>
      <w:r w:rsidR="008B419D">
        <w:t xml:space="preserve"> There are four significantly viewed stations listed for Sussex County</w:t>
      </w:r>
      <w:r w:rsidR="006C6DD4">
        <w:t>,</w:t>
      </w:r>
      <w:r w:rsidR="008B419D">
        <w:t xml:space="preserve"> but none </w:t>
      </w:r>
      <w:r w:rsidR="00FF425E">
        <w:t xml:space="preserve">of the stations </w:t>
      </w:r>
      <w:r w:rsidR="008B419D">
        <w:t>are from Delaware.  A PBS affiliate and a low</w:t>
      </w:r>
      <w:r w:rsidR="00FE4F00">
        <w:t xml:space="preserve"> </w:t>
      </w:r>
      <w:r w:rsidR="008B419D">
        <w:t xml:space="preserve">power NBC affiliate are the only in-state, in-market stations that can be received </w:t>
      </w:r>
      <w:r w:rsidR="00F40F86">
        <w:t>over the air</w:t>
      </w:r>
      <w:r w:rsidR="008B419D">
        <w:t xml:space="preserve">.  DBS operators carry </w:t>
      </w:r>
      <w:r w:rsidR="00A732CF">
        <w:t xml:space="preserve">the </w:t>
      </w:r>
      <w:r w:rsidR="00156726">
        <w:t xml:space="preserve">two </w:t>
      </w:r>
      <w:r w:rsidR="008B419D">
        <w:t xml:space="preserve">in-market Delaware stations, </w:t>
      </w:r>
      <w:r w:rsidR="00156726">
        <w:t xml:space="preserve">and </w:t>
      </w:r>
      <w:r w:rsidR="008B419D">
        <w:t>both cable MVPDs serving Sussex County carry the two in-market stations plus an additional low</w:t>
      </w:r>
      <w:r w:rsidR="004B65B3">
        <w:t xml:space="preserve"> </w:t>
      </w:r>
      <w:r w:rsidR="008B419D">
        <w:t>power station.  The PBS and NBC affiliates provide Sussex County with local news and community programming about the state of Delaware.</w:t>
      </w:r>
      <w:bookmarkEnd w:id="46"/>
    </w:p>
    <w:p w:rsidR="00FE0C93" w:rsidRDefault="00FE0C93" w:rsidP="00E336C6">
      <w:pPr>
        <w:pStyle w:val="ParaNum"/>
      </w:pPr>
      <w:r>
        <w:rPr>
          <w:i/>
        </w:rPr>
        <w:t>Elko County, Nevada</w:t>
      </w:r>
      <w:r w:rsidRPr="00A15CA0">
        <w:t>.</w:t>
      </w:r>
      <w:r>
        <w:t xml:space="preserve">  </w:t>
      </w:r>
      <w:r w:rsidR="00CA0A5D">
        <w:t>Elko County is located in Nevada and is assigned to the Salt Lake City, Utah DMA, which also includes twenty-nine Utah counties, three Idaho counties, and two other Nevada counties.  Elko County does not receive any out-of-market stations over</w:t>
      </w:r>
      <w:r w:rsidR="006121EE">
        <w:t xml:space="preserve"> </w:t>
      </w:r>
      <w:r w:rsidR="00CA0A5D">
        <w:t>the</w:t>
      </w:r>
      <w:r w:rsidR="006121EE">
        <w:t xml:space="preserve"> </w:t>
      </w:r>
      <w:r w:rsidR="00CA0A5D">
        <w:t>air.  DBS operators do not carry out-of-market stations from Nevada, but the cable MVPD serving the county carries three out-of-market stations from the Reno, Nevada DMA, including the one significantly viewed station located in Nevada and listed for Elko County.  There are two other significantly viewed stations listed for the county located in the Boise, Idaho DMA.  Elko County receives 36 in-market, in-state stations, but only 21 are either licensed to, or are translators of stations licensed to, Nevada communities.  Many of these stations are Big Four or PBS affiliates and serve large percentages of the county.</w:t>
      </w:r>
      <w:r w:rsidR="00CA0A5D">
        <w:rPr>
          <w:rStyle w:val="FootnoteReference"/>
        </w:rPr>
        <w:footnoteReference w:id="186"/>
      </w:r>
      <w:r w:rsidR="00CA0A5D">
        <w:t xml:space="preserve">  Neither DBS nor cable MVPDs carry any in-market Nevada stations.  The in-market NBC affiliate licensed to Elko, Nevada airs news and political programming about Nevada in Elko County.</w:t>
      </w:r>
    </w:p>
    <w:p w:rsidR="00FE0C93" w:rsidRDefault="00FE0C93" w:rsidP="00E336C6">
      <w:pPr>
        <w:pStyle w:val="ParaNum"/>
      </w:pPr>
      <w:r w:rsidRPr="00B01502">
        <w:rPr>
          <w:i/>
        </w:rPr>
        <w:t>Fulton County, Pennsylvania</w:t>
      </w:r>
      <w:r>
        <w:rPr>
          <w:i/>
        </w:rPr>
        <w:t>,</w:t>
      </w:r>
      <w:r w:rsidRPr="00B01502">
        <w:rPr>
          <w:i/>
        </w:rPr>
        <w:t xml:space="preserve"> and Grant County, West Virginia</w:t>
      </w:r>
      <w:r>
        <w:t xml:space="preserve">.  </w:t>
      </w:r>
      <w:r w:rsidR="00CA0A5D">
        <w:t>The Washington, D.C.-Hagerstown, Maryland DMA consists of twenty-three Virginia counties, eight Maryland counties, seven West Virginia counties, one Pennsylvania county, and the District of Columbia.  Fulton County, Pennsylvania receives eight out-of-market stations licensed to Pennsylvania communities, including Big Four network affiliates and PBS affiliates.  Although only one station serves a little more than half of the county, two stations are listed as significantly viewed for Fulton County.  No MVPD carries out-of-market stations in Fulton County.  The county does not receive any in-market Pennsylvania stations over</w:t>
      </w:r>
      <w:r w:rsidR="006121EE">
        <w:t xml:space="preserve"> </w:t>
      </w:r>
      <w:r w:rsidR="00CA0A5D">
        <w:t>the</w:t>
      </w:r>
      <w:r w:rsidR="006121EE">
        <w:t xml:space="preserve"> </w:t>
      </w:r>
      <w:r w:rsidR="00CA0A5D">
        <w:t>air or via MVPD carriage.  The two significantly viewed stations provide news and public information programming about Pennsylvania to Fulton County.</w:t>
      </w:r>
    </w:p>
    <w:p w:rsidR="008928B8" w:rsidRDefault="007177CD" w:rsidP="00E336C6">
      <w:pPr>
        <w:pStyle w:val="ParaNum"/>
      </w:pPr>
      <w:r>
        <w:t xml:space="preserve">  </w:t>
      </w:r>
      <w:r w:rsidR="00CA0A5D">
        <w:t xml:space="preserve">Grant County receives seven out-of-market stations </w:t>
      </w:r>
      <w:r w:rsidR="00F40F86">
        <w:t>over the air</w:t>
      </w:r>
      <w:r w:rsidR="00CA0A5D">
        <w:t>, three of which are from West Virginia.  Three of these stations are carried by the cable MVPD serving the county, but DBS MVPDs do not carry out-of-market stations in Grant County.  Two significantly viewed stations licensed to West Virginia are listed for Grant County.  There are six in-market stations that also are licensed to West Virginia communities</w:t>
      </w:r>
      <w:r w:rsidR="00FE4F00">
        <w:t>,</w:t>
      </w:r>
      <w:r w:rsidR="00CA0A5D">
        <w:t xml:space="preserve"> or are translators for West Virginian stations</w:t>
      </w:r>
      <w:r w:rsidR="00FE4F00">
        <w:t>,</w:t>
      </w:r>
      <w:r w:rsidR="00CA0A5D">
        <w:t xml:space="preserve"> available over</w:t>
      </w:r>
      <w:r w:rsidR="006121EE">
        <w:t xml:space="preserve"> </w:t>
      </w:r>
      <w:r w:rsidR="00CA0A5D">
        <w:t>the</w:t>
      </w:r>
      <w:r w:rsidR="006121EE">
        <w:t xml:space="preserve"> </w:t>
      </w:r>
      <w:r w:rsidR="00CA0A5D">
        <w:t>air in Grant County.  None of these in-market, in-state stations are carried by MVPDs serving Grant County.  The out-of-market stations from West Virginia, two of which are carried by cable, provide West Virginia local programming including news and political programming.</w:t>
      </w:r>
    </w:p>
    <w:p w:rsidR="00FE0C93" w:rsidRDefault="00FE0C93" w:rsidP="00E336C6">
      <w:pPr>
        <w:pStyle w:val="ParaNum"/>
      </w:pPr>
      <w:r w:rsidRPr="00BE0133">
        <w:rPr>
          <w:i/>
        </w:rPr>
        <w:t>Umatilla County, Oregon</w:t>
      </w:r>
      <w:r>
        <w:t xml:space="preserve">.  </w:t>
      </w:r>
      <w:r w:rsidR="00CA0A5D">
        <w:t xml:space="preserve">Umatilla County is the only Oregon county assigned to the </w:t>
      </w:r>
      <w:r w:rsidR="00CA0A5D" w:rsidRPr="00826714">
        <w:t>Yakima-Pasco-Richland-Kennewick DMA</w:t>
      </w:r>
      <w:r w:rsidR="00CA0A5D">
        <w:t>, which also consists of five Washington counties.  Umatilla County receives two out-of-market stations over</w:t>
      </w:r>
      <w:r w:rsidR="006121EE">
        <w:t xml:space="preserve"> </w:t>
      </w:r>
      <w:r w:rsidR="00CA0A5D">
        <w:t>the</w:t>
      </w:r>
      <w:r w:rsidR="006121EE">
        <w:t xml:space="preserve"> </w:t>
      </w:r>
      <w:r w:rsidR="00CA0A5D">
        <w:t>air from the Portland, Oregon DMA.  One of these stations, a PBS affiliate, is also carried by the cable MVPD serving the county along with two other Portland stations, which are Big Four network affiliates.  DBS operators in Umatilla County do not carry Oregon stations.  There are no significantly viewed stations listed for the county.  Umatilla County receives 16</w:t>
      </w:r>
      <w:r w:rsidR="00CA0A5D" w:rsidRPr="00F53D2E">
        <w:t xml:space="preserve"> </w:t>
      </w:r>
      <w:r w:rsidR="00CA0A5D">
        <w:t xml:space="preserve">in-market, in-state stations, of which 13 are licensed to </w:t>
      </w:r>
      <w:r w:rsidR="00E8499E">
        <w:t xml:space="preserve">Washington </w:t>
      </w:r>
      <w:r w:rsidR="00CA0A5D">
        <w:t>communities or are translators of such stations.  DBS and cable MVPDs in Umatilla County do not carry in-market Oregon stations.</w:t>
      </w:r>
      <w:r w:rsidR="00CA0A5D">
        <w:rPr>
          <w:rStyle w:val="FootnoteReference"/>
        </w:rPr>
        <w:footnoteReference w:id="187"/>
      </w:r>
      <w:r w:rsidR="00CA0A5D">
        <w:t xml:space="preserve">  The out-of-market PBS station carried by the cable </w:t>
      </w:r>
      <w:r w:rsidR="00FF425E">
        <w:t xml:space="preserve">operator </w:t>
      </w:r>
      <w:r w:rsidR="00CA0A5D">
        <w:t>airs local news and Oregon state programming.</w:t>
      </w:r>
    </w:p>
    <w:p w:rsidR="00FE0C93" w:rsidRDefault="00FF425E" w:rsidP="0007066C">
      <w:pPr>
        <w:pStyle w:val="ParaNum"/>
        <w:widowControl/>
      </w:pPr>
      <w:r w:rsidRPr="00FF425E">
        <w:rPr>
          <w:i/>
        </w:rPr>
        <w:t>Summary</w:t>
      </w:r>
      <w:r>
        <w:rPr>
          <w:i/>
        </w:rPr>
        <w:t xml:space="preserve"> of </w:t>
      </w:r>
      <w:r w:rsidR="00FA0458">
        <w:rPr>
          <w:i/>
        </w:rPr>
        <w:t xml:space="preserve">Case Study </w:t>
      </w:r>
      <w:r>
        <w:rPr>
          <w:i/>
        </w:rPr>
        <w:t>Findings</w:t>
      </w:r>
      <w:r>
        <w:t xml:space="preserve">. </w:t>
      </w:r>
      <w:r w:rsidR="00C26B4B">
        <w:t>As Table 3 below illustrates, t</w:t>
      </w:r>
      <w:r w:rsidR="000022C9">
        <w:t>he case studies indicate that each county examined receives the signals of at least one out-of-market station either over</w:t>
      </w:r>
      <w:r w:rsidR="006121EE">
        <w:t xml:space="preserve"> </w:t>
      </w:r>
      <w:r w:rsidR="000022C9">
        <w:t>the</w:t>
      </w:r>
      <w:r w:rsidR="006121EE">
        <w:t xml:space="preserve"> </w:t>
      </w:r>
      <w:r w:rsidR="000022C9">
        <w:t>air or through an MVPD.  In counties where there are only a few available out-of-market stations, we find that there are also in-market stations located in the same state as the county examined that provide local programming, including in-state programming</w:t>
      </w:r>
      <w:r w:rsidR="00C26B4B">
        <w:t>,</w:t>
      </w:r>
      <w:r w:rsidR="00F40E78">
        <w:t xml:space="preserve"> as illustrated below by Table 4</w:t>
      </w:r>
      <w:r w:rsidR="000022C9" w:rsidRPr="000022C9">
        <w:t xml:space="preserve">.  Generally, </w:t>
      </w:r>
      <w:r w:rsidR="001A40A6" w:rsidRPr="000022C9">
        <w:t>more stations are available over</w:t>
      </w:r>
      <w:r w:rsidR="006121EE">
        <w:t xml:space="preserve"> </w:t>
      </w:r>
      <w:r w:rsidR="001A40A6" w:rsidRPr="000022C9">
        <w:t>the</w:t>
      </w:r>
      <w:r w:rsidR="006121EE">
        <w:t xml:space="preserve"> </w:t>
      </w:r>
      <w:r w:rsidR="001A40A6" w:rsidRPr="000022C9">
        <w:t>air than through MVPDs, although this trend varies across the counties examined in the case studies</w:t>
      </w:r>
      <w:r w:rsidR="001A40A6">
        <w:t xml:space="preserve">.  Also, </w:t>
      </w:r>
      <w:r w:rsidR="00C26B4B">
        <w:t xml:space="preserve">in the counties examined, we find that cable MVPDs generally are more likely to carry out-of-market stations than DBS operators.   </w:t>
      </w:r>
      <w:r w:rsidR="00D82327">
        <w:t xml:space="preserve">  </w:t>
      </w:r>
    </w:p>
    <w:p w:rsidR="00755EDF" w:rsidRPr="00755EDF" w:rsidRDefault="00B66E93" w:rsidP="00755EDF">
      <w:pPr>
        <w:pStyle w:val="ParaNum"/>
        <w:numPr>
          <w:ilvl w:val="0"/>
          <w:numId w:val="0"/>
        </w:numPr>
        <w:jc w:val="center"/>
        <w:rPr>
          <w:b/>
        </w:rPr>
      </w:pPr>
      <w:r>
        <w:rPr>
          <w:b/>
        </w:rPr>
        <w:br w:type="page"/>
      </w:r>
      <w:r w:rsidR="00755EDF" w:rsidRPr="00755EDF">
        <w:rPr>
          <w:b/>
        </w:rPr>
        <w:t>Table 3</w:t>
      </w:r>
    </w:p>
    <w:p w:rsidR="00755EDF" w:rsidRPr="00CA1A99" w:rsidRDefault="00755EDF" w:rsidP="00755EDF">
      <w:pPr>
        <w:pStyle w:val="ParaNum"/>
        <w:numPr>
          <w:ilvl w:val="0"/>
          <w:numId w:val="0"/>
        </w:numPr>
        <w:jc w:val="center"/>
      </w:pPr>
      <w:r w:rsidRPr="00755EDF">
        <w:rPr>
          <w:b/>
        </w:rPr>
        <w:t>Number of Out-of-Market Stations Available to Case Study Counties</w:t>
      </w:r>
      <w:r w:rsidRPr="00CA1A99">
        <w:rPr>
          <w:rStyle w:val="FootnoteReference"/>
        </w:rPr>
        <w:footnoteReference w:id="188"/>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509"/>
        <w:gridCol w:w="806"/>
        <w:gridCol w:w="895"/>
        <w:gridCol w:w="1870"/>
        <w:gridCol w:w="1890"/>
      </w:tblGrid>
      <w:tr w:rsidR="009B31BA" w:rsidTr="00570BB3">
        <w:tc>
          <w:tcPr>
            <w:tcW w:w="2480" w:type="dxa"/>
            <w:shd w:val="clear" w:color="auto" w:fill="auto"/>
          </w:tcPr>
          <w:p w:rsidR="00755EDF" w:rsidRPr="00570BB3" w:rsidRDefault="00755EDF" w:rsidP="00570BB3">
            <w:pPr>
              <w:pStyle w:val="ParaNum"/>
              <w:numPr>
                <w:ilvl w:val="0"/>
                <w:numId w:val="0"/>
              </w:numPr>
              <w:rPr>
                <w:b/>
              </w:rPr>
            </w:pPr>
            <w:r w:rsidRPr="00570BB3">
              <w:rPr>
                <w:b/>
              </w:rPr>
              <w:t>County, State</w:t>
            </w:r>
          </w:p>
        </w:tc>
        <w:tc>
          <w:tcPr>
            <w:tcW w:w="1509" w:type="dxa"/>
            <w:shd w:val="clear" w:color="auto" w:fill="auto"/>
          </w:tcPr>
          <w:p w:rsidR="00755EDF" w:rsidRPr="00570BB3" w:rsidRDefault="00F40F86" w:rsidP="00570BB3">
            <w:pPr>
              <w:pStyle w:val="ParaNum"/>
              <w:numPr>
                <w:ilvl w:val="0"/>
                <w:numId w:val="0"/>
              </w:numPr>
              <w:jc w:val="center"/>
              <w:rPr>
                <w:b/>
              </w:rPr>
            </w:pPr>
            <w:r w:rsidRPr="00570BB3">
              <w:rPr>
                <w:b/>
              </w:rPr>
              <w:t>Over the Air</w:t>
            </w:r>
          </w:p>
        </w:tc>
        <w:tc>
          <w:tcPr>
            <w:tcW w:w="806" w:type="dxa"/>
            <w:shd w:val="clear" w:color="auto" w:fill="auto"/>
          </w:tcPr>
          <w:p w:rsidR="00755EDF" w:rsidRPr="00570BB3" w:rsidRDefault="00755EDF" w:rsidP="00570BB3">
            <w:pPr>
              <w:pStyle w:val="ParaNum"/>
              <w:numPr>
                <w:ilvl w:val="0"/>
                <w:numId w:val="0"/>
              </w:numPr>
              <w:jc w:val="center"/>
              <w:rPr>
                <w:b/>
              </w:rPr>
            </w:pPr>
            <w:r w:rsidRPr="00570BB3">
              <w:rPr>
                <w:b/>
              </w:rPr>
              <w:t>DBS</w:t>
            </w:r>
          </w:p>
        </w:tc>
        <w:tc>
          <w:tcPr>
            <w:tcW w:w="895" w:type="dxa"/>
            <w:shd w:val="clear" w:color="auto" w:fill="auto"/>
          </w:tcPr>
          <w:p w:rsidR="00755EDF" w:rsidRPr="00570BB3" w:rsidRDefault="00755EDF" w:rsidP="00570BB3">
            <w:pPr>
              <w:pStyle w:val="ParaNum"/>
              <w:numPr>
                <w:ilvl w:val="0"/>
                <w:numId w:val="0"/>
              </w:numPr>
              <w:jc w:val="center"/>
              <w:rPr>
                <w:b/>
              </w:rPr>
            </w:pPr>
            <w:r w:rsidRPr="00570BB3">
              <w:rPr>
                <w:b/>
              </w:rPr>
              <w:t>Cable</w:t>
            </w:r>
          </w:p>
        </w:tc>
        <w:tc>
          <w:tcPr>
            <w:tcW w:w="1870" w:type="dxa"/>
            <w:shd w:val="clear" w:color="auto" w:fill="auto"/>
          </w:tcPr>
          <w:p w:rsidR="00755EDF" w:rsidRPr="00570BB3" w:rsidRDefault="005B132E" w:rsidP="00570BB3">
            <w:pPr>
              <w:pStyle w:val="ParaNum"/>
              <w:numPr>
                <w:ilvl w:val="0"/>
                <w:numId w:val="0"/>
              </w:numPr>
              <w:jc w:val="center"/>
              <w:rPr>
                <w:b/>
              </w:rPr>
            </w:pPr>
            <w:r w:rsidRPr="00570BB3">
              <w:rPr>
                <w:b/>
              </w:rPr>
              <w:t xml:space="preserve">On </w:t>
            </w:r>
            <w:r w:rsidR="00755EDF" w:rsidRPr="00570BB3">
              <w:rPr>
                <w:b/>
              </w:rPr>
              <w:t>Significantly Viewed</w:t>
            </w:r>
            <w:r w:rsidRPr="00570BB3">
              <w:rPr>
                <w:b/>
              </w:rPr>
              <w:t xml:space="preserve"> List</w:t>
            </w:r>
          </w:p>
        </w:tc>
        <w:tc>
          <w:tcPr>
            <w:tcW w:w="1890" w:type="dxa"/>
            <w:shd w:val="clear" w:color="auto" w:fill="auto"/>
          </w:tcPr>
          <w:p w:rsidR="00755EDF" w:rsidRPr="00570BB3" w:rsidRDefault="00755EDF" w:rsidP="00570BB3">
            <w:pPr>
              <w:pStyle w:val="ParaNum"/>
              <w:numPr>
                <w:ilvl w:val="0"/>
                <w:numId w:val="0"/>
              </w:numPr>
              <w:jc w:val="center"/>
              <w:rPr>
                <w:b/>
              </w:rPr>
            </w:pPr>
            <w:r w:rsidRPr="00570BB3">
              <w:rPr>
                <w:b/>
              </w:rPr>
              <w:t>In-State Programming</w:t>
            </w:r>
            <w:r w:rsidRPr="00F403DB">
              <w:rPr>
                <w:rStyle w:val="FootnoteReference"/>
              </w:rPr>
              <w:footnoteReference w:id="189"/>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La Plata, Colorado</w:t>
            </w:r>
          </w:p>
        </w:tc>
        <w:tc>
          <w:tcPr>
            <w:tcW w:w="1509" w:type="dxa"/>
            <w:shd w:val="clear" w:color="auto" w:fill="auto"/>
          </w:tcPr>
          <w:p w:rsidR="00755EDF" w:rsidRDefault="00755EDF" w:rsidP="00570BB3">
            <w:pPr>
              <w:pStyle w:val="ParaNum"/>
              <w:numPr>
                <w:ilvl w:val="0"/>
                <w:numId w:val="0"/>
              </w:numPr>
              <w:jc w:val="right"/>
            </w:pPr>
            <w:r>
              <w:t>0</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1(1)</w:t>
            </w:r>
          </w:p>
        </w:tc>
        <w:tc>
          <w:tcPr>
            <w:tcW w:w="1870" w:type="dxa"/>
            <w:shd w:val="clear" w:color="auto" w:fill="auto"/>
          </w:tcPr>
          <w:p w:rsidR="00755EDF" w:rsidRDefault="00755EDF" w:rsidP="00570BB3">
            <w:pPr>
              <w:pStyle w:val="ParaNum"/>
              <w:numPr>
                <w:ilvl w:val="0"/>
                <w:numId w:val="0"/>
              </w:numPr>
              <w:jc w:val="right"/>
            </w:pPr>
            <w:r>
              <w:t>0</w:t>
            </w:r>
          </w:p>
        </w:tc>
        <w:tc>
          <w:tcPr>
            <w:tcW w:w="1890" w:type="dxa"/>
            <w:shd w:val="clear" w:color="auto" w:fill="auto"/>
          </w:tcPr>
          <w:p w:rsidR="00755EDF" w:rsidRDefault="00755EDF" w:rsidP="00570BB3">
            <w:pPr>
              <w:pStyle w:val="ParaNum"/>
              <w:numPr>
                <w:ilvl w:val="0"/>
                <w:numId w:val="0"/>
              </w:numPr>
              <w:jc w:val="right"/>
            </w:pPr>
            <w:r>
              <w:t>0</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Montezuma, Colorado</w:t>
            </w:r>
          </w:p>
        </w:tc>
        <w:tc>
          <w:tcPr>
            <w:tcW w:w="1509" w:type="dxa"/>
            <w:shd w:val="clear" w:color="auto" w:fill="auto"/>
          </w:tcPr>
          <w:p w:rsidR="00755EDF" w:rsidRDefault="00755EDF" w:rsidP="00570BB3">
            <w:pPr>
              <w:pStyle w:val="ParaNum"/>
              <w:numPr>
                <w:ilvl w:val="0"/>
                <w:numId w:val="0"/>
              </w:numPr>
              <w:jc w:val="right"/>
            </w:pPr>
            <w:r>
              <w:t>5(5)</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0</w:t>
            </w:r>
          </w:p>
        </w:tc>
        <w:tc>
          <w:tcPr>
            <w:tcW w:w="1870" w:type="dxa"/>
            <w:shd w:val="clear" w:color="auto" w:fill="auto"/>
          </w:tcPr>
          <w:p w:rsidR="00755EDF" w:rsidRDefault="00755EDF" w:rsidP="00570BB3">
            <w:pPr>
              <w:pStyle w:val="ParaNum"/>
              <w:numPr>
                <w:ilvl w:val="0"/>
                <w:numId w:val="0"/>
              </w:numPr>
              <w:jc w:val="right"/>
            </w:pPr>
            <w:r>
              <w:t>0</w:t>
            </w:r>
          </w:p>
        </w:tc>
        <w:tc>
          <w:tcPr>
            <w:tcW w:w="1890" w:type="dxa"/>
            <w:shd w:val="clear" w:color="auto" w:fill="auto"/>
          </w:tcPr>
          <w:p w:rsidR="00755EDF" w:rsidRDefault="00755EDF" w:rsidP="00570BB3">
            <w:pPr>
              <w:pStyle w:val="ParaNum"/>
              <w:numPr>
                <w:ilvl w:val="0"/>
                <w:numId w:val="0"/>
              </w:numPr>
              <w:jc w:val="right"/>
            </w:pPr>
            <w:r>
              <w:t>0</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Albany, Wyoming</w:t>
            </w:r>
          </w:p>
        </w:tc>
        <w:tc>
          <w:tcPr>
            <w:tcW w:w="1509" w:type="dxa"/>
            <w:shd w:val="clear" w:color="auto" w:fill="auto"/>
          </w:tcPr>
          <w:p w:rsidR="00755EDF" w:rsidRDefault="00755EDF" w:rsidP="00570BB3">
            <w:pPr>
              <w:pStyle w:val="ParaNum"/>
              <w:numPr>
                <w:ilvl w:val="0"/>
                <w:numId w:val="0"/>
              </w:numPr>
              <w:jc w:val="right"/>
            </w:pPr>
            <w:r>
              <w:t>8(5)</w:t>
            </w:r>
          </w:p>
        </w:tc>
        <w:tc>
          <w:tcPr>
            <w:tcW w:w="806" w:type="dxa"/>
            <w:shd w:val="clear" w:color="auto" w:fill="auto"/>
          </w:tcPr>
          <w:p w:rsidR="00755EDF" w:rsidRDefault="006A3B37"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3(3)</w:t>
            </w:r>
          </w:p>
        </w:tc>
        <w:tc>
          <w:tcPr>
            <w:tcW w:w="1870" w:type="dxa"/>
            <w:shd w:val="clear" w:color="auto" w:fill="auto"/>
          </w:tcPr>
          <w:p w:rsidR="00755EDF" w:rsidRDefault="00755EDF" w:rsidP="00570BB3">
            <w:pPr>
              <w:pStyle w:val="ParaNum"/>
              <w:numPr>
                <w:ilvl w:val="0"/>
                <w:numId w:val="0"/>
              </w:numPr>
              <w:jc w:val="right"/>
            </w:pPr>
            <w:r>
              <w:t>4(1)</w:t>
            </w:r>
          </w:p>
        </w:tc>
        <w:tc>
          <w:tcPr>
            <w:tcW w:w="1890" w:type="dxa"/>
            <w:shd w:val="clear" w:color="auto" w:fill="auto"/>
          </w:tcPr>
          <w:p w:rsidR="00755EDF" w:rsidRDefault="00755EDF" w:rsidP="00570BB3">
            <w:pPr>
              <w:pStyle w:val="ParaNum"/>
              <w:numPr>
                <w:ilvl w:val="0"/>
                <w:numId w:val="0"/>
              </w:numPr>
              <w:jc w:val="right"/>
            </w:pPr>
            <w:r>
              <w:t>3</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Campbell, Wyoming</w:t>
            </w:r>
          </w:p>
        </w:tc>
        <w:tc>
          <w:tcPr>
            <w:tcW w:w="1509" w:type="dxa"/>
            <w:shd w:val="clear" w:color="auto" w:fill="auto"/>
          </w:tcPr>
          <w:p w:rsidR="00755EDF" w:rsidRDefault="00755EDF" w:rsidP="00570BB3">
            <w:pPr>
              <w:pStyle w:val="ParaNum"/>
              <w:numPr>
                <w:ilvl w:val="0"/>
                <w:numId w:val="0"/>
              </w:numPr>
              <w:jc w:val="right"/>
            </w:pPr>
            <w:r>
              <w:t>2(2)</w:t>
            </w:r>
          </w:p>
        </w:tc>
        <w:tc>
          <w:tcPr>
            <w:tcW w:w="806" w:type="dxa"/>
            <w:shd w:val="clear" w:color="auto" w:fill="auto"/>
          </w:tcPr>
          <w:p w:rsidR="00755EDF" w:rsidRDefault="006A3B37"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3(3)</w:t>
            </w:r>
          </w:p>
        </w:tc>
        <w:tc>
          <w:tcPr>
            <w:tcW w:w="1870" w:type="dxa"/>
            <w:shd w:val="clear" w:color="auto" w:fill="auto"/>
          </w:tcPr>
          <w:p w:rsidR="00755EDF" w:rsidRDefault="00755EDF" w:rsidP="00570BB3">
            <w:pPr>
              <w:pStyle w:val="ParaNum"/>
              <w:numPr>
                <w:ilvl w:val="0"/>
                <w:numId w:val="0"/>
              </w:numPr>
              <w:jc w:val="right"/>
            </w:pPr>
            <w:r>
              <w:t>2(2)</w:t>
            </w:r>
          </w:p>
        </w:tc>
        <w:tc>
          <w:tcPr>
            <w:tcW w:w="1890" w:type="dxa"/>
            <w:shd w:val="clear" w:color="auto" w:fill="auto"/>
          </w:tcPr>
          <w:p w:rsidR="00755EDF" w:rsidRDefault="00755EDF" w:rsidP="00570BB3">
            <w:pPr>
              <w:pStyle w:val="ParaNum"/>
              <w:numPr>
                <w:ilvl w:val="0"/>
                <w:numId w:val="0"/>
              </w:numPr>
              <w:jc w:val="right"/>
            </w:pPr>
            <w:r>
              <w:t>4</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Stephens, Georgia</w:t>
            </w:r>
          </w:p>
        </w:tc>
        <w:tc>
          <w:tcPr>
            <w:tcW w:w="1509" w:type="dxa"/>
            <w:shd w:val="clear" w:color="auto" w:fill="auto"/>
          </w:tcPr>
          <w:p w:rsidR="00755EDF" w:rsidRDefault="00755EDF" w:rsidP="00570BB3">
            <w:pPr>
              <w:pStyle w:val="ParaNum"/>
              <w:numPr>
                <w:ilvl w:val="0"/>
                <w:numId w:val="0"/>
              </w:numPr>
              <w:jc w:val="right"/>
            </w:pPr>
            <w:r>
              <w:t>2(1)</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4(4)</w:t>
            </w:r>
          </w:p>
        </w:tc>
        <w:tc>
          <w:tcPr>
            <w:tcW w:w="1870" w:type="dxa"/>
            <w:shd w:val="clear" w:color="auto" w:fill="auto"/>
          </w:tcPr>
          <w:p w:rsidR="00755EDF" w:rsidRDefault="00755EDF" w:rsidP="00570BB3">
            <w:pPr>
              <w:pStyle w:val="ParaNum"/>
              <w:numPr>
                <w:ilvl w:val="0"/>
                <w:numId w:val="0"/>
              </w:numPr>
              <w:jc w:val="right"/>
            </w:pPr>
            <w:r>
              <w:t>0</w:t>
            </w:r>
          </w:p>
        </w:tc>
        <w:tc>
          <w:tcPr>
            <w:tcW w:w="1890" w:type="dxa"/>
            <w:shd w:val="clear" w:color="auto" w:fill="auto"/>
          </w:tcPr>
          <w:p w:rsidR="00755EDF" w:rsidRDefault="00755EDF" w:rsidP="00570BB3">
            <w:pPr>
              <w:pStyle w:val="ParaNum"/>
              <w:numPr>
                <w:ilvl w:val="0"/>
                <w:numId w:val="0"/>
              </w:numPr>
              <w:jc w:val="right"/>
            </w:pPr>
            <w:r>
              <w:t>4</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Hunterdon, New Jersey</w:t>
            </w:r>
          </w:p>
        </w:tc>
        <w:tc>
          <w:tcPr>
            <w:tcW w:w="1509" w:type="dxa"/>
            <w:shd w:val="clear" w:color="auto" w:fill="auto"/>
          </w:tcPr>
          <w:p w:rsidR="00755EDF" w:rsidRDefault="00755EDF" w:rsidP="00570BB3">
            <w:pPr>
              <w:pStyle w:val="ParaNum"/>
              <w:numPr>
                <w:ilvl w:val="0"/>
                <w:numId w:val="0"/>
              </w:numPr>
              <w:jc w:val="right"/>
            </w:pPr>
            <w:r>
              <w:t>25(6)</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9(0)</w:t>
            </w:r>
          </w:p>
        </w:tc>
        <w:tc>
          <w:tcPr>
            <w:tcW w:w="1870" w:type="dxa"/>
            <w:shd w:val="clear" w:color="auto" w:fill="auto"/>
          </w:tcPr>
          <w:p w:rsidR="00755EDF" w:rsidRDefault="00755EDF" w:rsidP="00570BB3">
            <w:pPr>
              <w:pStyle w:val="ParaNum"/>
              <w:numPr>
                <w:ilvl w:val="0"/>
                <w:numId w:val="0"/>
              </w:numPr>
              <w:jc w:val="right"/>
            </w:pPr>
            <w:r>
              <w:t>5(0)</w:t>
            </w:r>
          </w:p>
        </w:tc>
        <w:tc>
          <w:tcPr>
            <w:tcW w:w="1890" w:type="dxa"/>
            <w:shd w:val="clear" w:color="auto" w:fill="auto"/>
          </w:tcPr>
          <w:p w:rsidR="00755EDF" w:rsidRDefault="00755EDF" w:rsidP="00570BB3">
            <w:pPr>
              <w:pStyle w:val="ParaNum"/>
              <w:numPr>
                <w:ilvl w:val="0"/>
                <w:numId w:val="0"/>
              </w:numPr>
              <w:jc w:val="right"/>
            </w:pPr>
            <w:r>
              <w:t>2</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Garrett, Maryland</w:t>
            </w:r>
          </w:p>
        </w:tc>
        <w:tc>
          <w:tcPr>
            <w:tcW w:w="1509" w:type="dxa"/>
            <w:shd w:val="clear" w:color="auto" w:fill="auto"/>
          </w:tcPr>
          <w:p w:rsidR="00755EDF" w:rsidRDefault="00755EDF" w:rsidP="00570BB3">
            <w:pPr>
              <w:pStyle w:val="ParaNum"/>
              <w:numPr>
                <w:ilvl w:val="0"/>
                <w:numId w:val="0"/>
              </w:numPr>
              <w:jc w:val="right"/>
            </w:pPr>
            <w:r>
              <w:t>12(3)</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3(0)</w:t>
            </w:r>
          </w:p>
        </w:tc>
        <w:tc>
          <w:tcPr>
            <w:tcW w:w="1870" w:type="dxa"/>
            <w:shd w:val="clear" w:color="auto" w:fill="auto"/>
          </w:tcPr>
          <w:p w:rsidR="00755EDF" w:rsidRDefault="00755EDF" w:rsidP="00570BB3">
            <w:pPr>
              <w:pStyle w:val="ParaNum"/>
              <w:numPr>
                <w:ilvl w:val="0"/>
                <w:numId w:val="0"/>
              </w:numPr>
              <w:jc w:val="right"/>
            </w:pPr>
            <w:r>
              <w:t>2(0)</w:t>
            </w:r>
          </w:p>
        </w:tc>
        <w:tc>
          <w:tcPr>
            <w:tcW w:w="1890" w:type="dxa"/>
            <w:shd w:val="clear" w:color="auto" w:fill="auto"/>
          </w:tcPr>
          <w:p w:rsidR="00755EDF" w:rsidRDefault="00755EDF" w:rsidP="00570BB3">
            <w:pPr>
              <w:pStyle w:val="ParaNum"/>
              <w:numPr>
                <w:ilvl w:val="0"/>
                <w:numId w:val="0"/>
              </w:numPr>
              <w:jc w:val="right"/>
            </w:pPr>
            <w:r>
              <w:t>2</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Bristol, Massachusetts</w:t>
            </w:r>
          </w:p>
        </w:tc>
        <w:tc>
          <w:tcPr>
            <w:tcW w:w="1509" w:type="dxa"/>
            <w:shd w:val="clear" w:color="auto" w:fill="auto"/>
          </w:tcPr>
          <w:p w:rsidR="00755EDF" w:rsidRDefault="00755EDF" w:rsidP="00570BB3">
            <w:pPr>
              <w:pStyle w:val="ParaNum"/>
              <w:numPr>
                <w:ilvl w:val="0"/>
                <w:numId w:val="0"/>
              </w:numPr>
              <w:jc w:val="right"/>
            </w:pPr>
            <w:r>
              <w:t>18(17)</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11(11)</w:t>
            </w:r>
          </w:p>
        </w:tc>
        <w:tc>
          <w:tcPr>
            <w:tcW w:w="1870" w:type="dxa"/>
            <w:shd w:val="clear" w:color="auto" w:fill="auto"/>
          </w:tcPr>
          <w:p w:rsidR="00755EDF" w:rsidRDefault="00755EDF" w:rsidP="00570BB3">
            <w:pPr>
              <w:pStyle w:val="ParaNum"/>
              <w:numPr>
                <w:ilvl w:val="0"/>
                <w:numId w:val="0"/>
              </w:numPr>
              <w:jc w:val="right"/>
            </w:pPr>
            <w:r>
              <w:t>5(5)</w:t>
            </w:r>
          </w:p>
        </w:tc>
        <w:tc>
          <w:tcPr>
            <w:tcW w:w="1890" w:type="dxa"/>
            <w:shd w:val="clear" w:color="auto" w:fill="auto"/>
          </w:tcPr>
          <w:p w:rsidR="00755EDF" w:rsidRDefault="00755EDF" w:rsidP="00570BB3">
            <w:pPr>
              <w:pStyle w:val="ParaNum"/>
              <w:numPr>
                <w:ilvl w:val="0"/>
                <w:numId w:val="0"/>
              </w:numPr>
              <w:jc w:val="right"/>
            </w:pPr>
            <w:r>
              <w:t>8</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Sheridan, Wyoming</w:t>
            </w:r>
          </w:p>
        </w:tc>
        <w:tc>
          <w:tcPr>
            <w:tcW w:w="1509" w:type="dxa"/>
            <w:shd w:val="clear" w:color="auto" w:fill="auto"/>
          </w:tcPr>
          <w:p w:rsidR="00755EDF" w:rsidRDefault="00755EDF" w:rsidP="00570BB3">
            <w:pPr>
              <w:pStyle w:val="ParaNum"/>
              <w:numPr>
                <w:ilvl w:val="0"/>
                <w:numId w:val="0"/>
              </w:numPr>
              <w:jc w:val="right"/>
            </w:pPr>
            <w:r>
              <w:t>0</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4(2)</w:t>
            </w:r>
          </w:p>
        </w:tc>
        <w:tc>
          <w:tcPr>
            <w:tcW w:w="1870" w:type="dxa"/>
            <w:shd w:val="clear" w:color="auto" w:fill="auto"/>
          </w:tcPr>
          <w:p w:rsidR="00755EDF" w:rsidRDefault="00755EDF" w:rsidP="00570BB3">
            <w:pPr>
              <w:pStyle w:val="ParaNum"/>
              <w:numPr>
                <w:ilvl w:val="0"/>
                <w:numId w:val="0"/>
              </w:numPr>
              <w:jc w:val="right"/>
            </w:pPr>
            <w:r>
              <w:t>3(1)</w:t>
            </w:r>
          </w:p>
        </w:tc>
        <w:tc>
          <w:tcPr>
            <w:tcW w:w="1890" w:type="dxa"/>
            <w:shd w:val="clear" w:color="auto" w:fill="auto"/>
          </w:tcPr>
          <w:p w:rsidR="00755EDF" w:rsidRDefault="00755EDF" w:rsidP="00570BB3">
            <w:pPr>
              <w:pStyle w:val="ParaNum"/>
              <w:numPr>
                <w:ilvl w:val="0"/>
                <w:numId w:val="0"/>
              </w:numPr>
              <w:jc w:val="right"/>
            </w:pPr>
            <w:r>
              <w:t>2</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Sussex, Delaware</w:t>
            </w:r>
          </w:p>
        </w:tc>
        <w:tc>
          <w:tcPr>
            <w:tcW w:w="1509" w:type="dxa"/>
            <w:shd w:val="clear" w:color="auto" w:fill="auto"/>
          </w:tcPr>
          <w:p w:rsidR="00755EDF" w:rsidRDefault="00755EDF" w:rsidP="00570BB3">
            <w:pPr>
              <w:pStyle w:val="ParaNum"/>
              <w:numPr>
                <w:ilvl w:val="0"/>
                <w:numId w:val="0"/>
              </w:numPr>
              <w:jc w:val="right"/>
            </w:pPr>
            <w:r>
              <w:t>4(2)</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2(0)</w:t>
            </w:r>
          </w:p>
        </w:tc>
        <w:tc>
          <w:tcPr>
            <w:tcW w:w="1870" w:type="dxa"/>
            <w:shd w:val="clear" w:color="auto" w:fill="auto"/>
          </w:tcPr>
          <w:p w:rsidR="00755EDF" w:rsidRDefault="00755EDF" w:rsidP="00570BB3">
            <w:pPr>
              <w:pStyle w:val="ParaNum"/>
              <w:numPr>
                <w:ilvl w:val="0"/>
                <w:numId w:val="0"/>
              </w:numPr>
              <w:jc w:val="right"/>
            </w:pPr>
            <w:r>
              <w:t>4(0)</w:t>
            </w:r>
          </w:p>
        </w:tc>
        <w:tc>
          <w:tcPr>
            <w:tcW w:w="1890" w:type="dxa"/>
            <w:shd w:val="clear" w:color="auto" w:fill="auto"/>
          </w:tcPr>
          <w:p w:rsidR="00755EDF" w:rsidRDefault="00755EDF" w:rsidP="00570BB3">
            <w:pPr>
              <w:pStyle w:val="ParaNum"/>
              <w:numPr>
                <w:ilvl w:val="0"/>
                <w:numId w:val="0"/>
              </w:numPr>
              <w:jc w:val="right"/>
            </w:pPr>
            <w:r>
              <w:t>0</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Elko, Nevada</w:t>
            </w:r>
          </w:p>
        </w:tc>
        <w:tc>
          <w:tcPr>
            <w:tcW w:w="1509" w:type="dxa"/>
            <w:shd w:val="clear" w:color="auto" w:fill="auto"/>
          </w:tcPr>
          <w:p w:rsidR="00755EDF" w:rsidRDefault="00755EDF" w:rsidP="00570BB3">
            <w:pPr>
              <w:pStyle w:val="ParaNum"/>
              <w:numPr>
                <w:ilvl w:val="0"/>
                <w:numId w:val="0"/>
              </w:numPr>
              <w:jc w:val="right"/>
            </w:pPr>
            <w:r>
              <w:t>0</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3(3)</w:t>
            </w:r>
          </w:p>
        </w:tc>
        <w:tc>
          <w:tcPr>
            <w:tcW w:w="1870" w:type="dxa"/>
            <w:shd w:val="clear" w:color="auto" w:fill="auto"/>
          </w:tcPr>
          <w:p w:rsidR="00755EDF" w:rsidRDefault="00755EDF" w:rsidP="00570BB3">
            <w:pPr>
              <w:pStyle w:val="ParaNum"/>
              <w:numPr>
                <w:ilvl w:val="0"/>
                <w:numId w:val="0"/>
              </w:numPr>
              <w:jc w:val="right"/>
            </w:pPr>
            <w:r>
              <w:t>3(1)</w:t>
            </w:r>
          </w:p>
        </w:tc>
        <w:tc>
          <w:tcPr>
            <w:tcW w:w="1890" w:type="dxa"/>
            <w:shd w:val="clear" w:color="auto" w:fill="auto"/>
          </w:tcPr>
          <w:p w:rsidR="00755EDF" w:rsidRDefault="00755EDF" w:rsidP="00570BB3">
            <w:pPr>
              <w:pStyle w:val="ParaNum"/>
              <w:numPr>
                <w:ilvl w:val="0"/>
                <w:numId w:val="0"/>
              </w:numPr>
              <w:jc w:val="right"/>
            </w:pPr>
            <w:r>
              <w:t>0</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Fulton, Pennsylvania</w:t>
            </w:r>
          </w:p>
        </w:tc>
        <w:tc>
          <w:tcPr>
            <w:tcW w:w="1509" w:type="dxa"/>
            <w:shd w:val="clear" w:color="auto" w:fill="auto"/>
          </w:tcPr>
          <w:p w:rsidR="00755EDF" w:rsidRDefault="00755EDF" w:rsidP="00570BB3">
            <w:pPr>
              <w:pStyle w:val="ParaNum"/>
              <w:numPr>
                <w:ilvl w:val="0"/>
                <w:numId w:val="0"/>
              </w:numPr>
              <w:jc w:val="right"/>
            </w:pPr>
            <w:r>
              <w:t>8(8)</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0</w:t>
            </w:r>
          </w:p>
        </w:tc>
        <w:tc>
          <w:tcPr>
            <w:tcW w:w="1870" w:type="dxa"/>
            <w:shd w:val="clear" w:color="auto" w:fill="auto"/>
          </w:tcPr>
          <w:p w:rsidR="00755EDF" w:rsidRDefault="00755EDF" w:rsidP="00570BB3">
            <w:pPr>
              <w:pStyle w:val="ParaNum"/>
              <w:numPr>
                <w:ilvl w:val="0"/>
                <w:numId w:val="0"/>
              </w:numPr>
              <w:jc w:val="right"/>
            </w:pPr>
            <w:r>
              <w:t>2(2)</w:t>
            </w:r>
          </w:p>
        </w:tc>
        <w:tc>
          <w:tcPr>
            <w:tcW w:w="1890" w:type="dxa"/>
            <w:shd w:val="clear" w:color="auto" w:fill="auto"/>
          </w:tcPr>
          <w:p w:rsidR="00755EDF" w:rsidRDefault="00755EDF" w:rsidP="00570BB3">
            <w:pPr>
              <w:pStyle w:val="ParaNum"/>
              <w:numPr>
                <w:ilvl w:val="0"/>
                <w:numId w:val="0"/>
              </w:numPr>
              <w:jc w:val="right"/>
            </w:pPr>
            <w:r>
              <w:t>3</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Grant, West Virginia</w:t>
            </w:r>
          </w:p>
        </w:tc>
        <w:tc>
          <w:tcPr>
            <w:tcW w:w="1509" w:type="dxa"/>
            <w:shd w:val="clear" w:color="auto" w:fill="auto"/>
          </w:tcPr>
          <w:p w:rsidR="00755EDF" w:rsidRDefault="00755EDF" w:rsidP="00570BB3">
            <w:pPr>
              <w:pStyle w:val="ParaNum"/>
              <w:numPr>
                <w:ilvl w:val="0"/>
                <w:numId w:val="0"/>
              </w:numPr>
              <w:jc w:val="right"/>
            </w:pPr>
            <w:r>
              <w:t>7(3)</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3(2)</w:t>
            </w:r>
          </w:p>
        </w:tc>
        <w:tc>
          <w:tcPr>
            <w:tcW w:w="1870" w:type="dxa"/>
            <w:shd w:val="clear" w:color="auto" w:fill="auto"/>
          </w:tcPr>
          <w:p w:rsidR="00755EDF" w:rsidRDefault="00755EDF" w:rsidP="00570BB3">
            <w:pPr>
              <w:pStyle w:val="ParaNum"/>
              <w:numPr>
                <w:ilvl w:val="0"/>
                <w:numId w:val="0"/>
              </w:numPr>
              <w:jc w:val="right"/>
            </w:pPr>
            <w:r>
              <w:t>2(0)</w:t>
            </w:r>
          </w:p>
        </w:tc>
        <w:tc>
          <w:tcPr>
            <w:tcW w:w="1890" w:type="dxa"/>
            <w:shd w:val="clear" w:color="auto" w:fill="auto"/>
          </w:tcPr>
          <w:p w:rsidR="00755EDF" w:rsidRDefault="00755EDF" w:rsidP="00570BB3">
            <w:pPr>
              <w:pStyle w:val="ParaNum"/>
              <w:numPr>
                <w:ilvl w:val="0"/>
                <w:numId w:val="0"/>
              </w:numPr>
              <w:jc w:val="right"/>
            </w:pPr>
            <w:r>
              <w:t>3</w:t>
            </w:r>
          </w:p>
        </w:tc>
      </w:tr>
      <w:tr w:rsidR="009B31BA" w:rsidTr="00570BB3">
        <w:tc>
          <w:tcPr>
            <w:tcW w:w="2480" w:type="dxa"/>
            <w:shd w:val="clear" w:color="auto" w:fill="auto"/>
          </w:tcPr>
          <w:p w:rsidR="00755EDF" w:rsidRPr="003C3400" w:rsidRDefault="00755EDF" w:rsidP="00570BB3">
            <w:pPr>
              <w:pStyle w:val="ParaNum"/>
              <w:numPr>
                <w:ilvl w:val="0"/>
                <w:numId w:val="0"/>
              </w:numPr>
            </w:pPr>
            <w:r w:rsidRPr="003C3400">
              <w:t>Umatilla, Oregon</w:t>
            </w:r>
          </w:p>
        </w:tc>
        <w:tc>
          <w:tcPr>
            <w:tcW w:w="1509" w:type="dxa"/>
            <w:shd w:val="clear" w:color="auto" w:fill="auto"/>
          </w:tcPr>
          <w:p w:rsidR="00755EDF" w:rsidRDefault="00755EDF" w:rsidP="00570BB3">
            <w:pPr>
              <w:pStyle w:val="ParaNum"/>
              <w:numPr>
                <w:ilvl w:val="0"/>
                <w:numId w:val="0"/>
              </w:numPr>
              <w:jc w:val="right"/>
            </w:pPr>
            <w:r>
              <w:t>2(2)</w:t>
            </w:r>
          </w:p>
        </w:tc>
        <w:tc>
          <w:tcPr>
            <w:tcW w:w="806" w:type="dxa"/>
            <w:shd w:val="clear" w:color="auto" w:fill="auto"/>
          </w:tcPr>
          <w:p w:rsidR="00755EDF" w:rsidRDefault="00755EDF" w:rsidP="00570BB3">
            <w:pPr>
              <w:pStyle w:val="ParaNum"/>
              <w:numPr>
                <w:ilvl w:val="0"/>
                <w:numId w:val="0"/>
              </w:numPr>
              <w:jc w:val="right"/>
            </w:pPr>
            <w:r>
              <w:t>0</w:t>
            </w:r>
          </w:p>
        </w:tc>
        <w:tc>
          <w:tcPr>
            <w:tcW w:w="895" w:type="dxa"/>
            <w:shd w:val="clear" w:color="auto" w:fill="auto"/>
          </w:tcPr>
          <w:p w:rsidR="00755EDF" w:rsidRDefault="00755EDF" w:rsidP="00570BB3">
            <w:pPr>
              <w:pStyle w:val="ParaNum"/>
              <w:numPr>
                <w:ilvl w:val="0"/>
                <w:numId w:val="0"/>
              </w:numPr>
              <w:jc w:val="right"/>
            </w:pPr>
            <w:r>
              <w:t>3(3)</w:t>
            </w:r>
          </w:p>
        </w:tc>
        <w:tc>
          <w:tcPr>
            <w:tcW w:w="1870" w:type="dxa"/>
            <w:shd w:val="clear" w:color="auto" w:fill="auto"/>
          </w:tcPr>
          <w:p w:rsidR="00755EDF" w:rsidRDefault="00755EDF" w:rsidP="00570BB3">
            <w:pPr>
              <w:pStyle w:val="ParaNum"/>
              <w:numPr>
                <w:ilvl w:val="0"/>
                <w:numId w:val="0"/>
              </w:numPr>
              <w:jc w:val="right"/>
            </w:pPr>
            <w:r>
              <w:t>0</w:t>
            </w:r>
          </w:p>
        </w:tc>
        <w:tc>
          <w:tcPr>
            <w:tcW w:w="1890" w:type="dxa"/>
            <w:shd w:val="clear" w:color="auto" w:fill="auto"/>
          </w:tcPr>
          <w:p w:rsidR="00755EDF" w:rsidRDefault="00755EDF" w:rsidP="00570BB3">
            <w:pPr>
              <w:pStyle w:val="ParaNum"/>
              <w:numPr>
                <w:ilvl w:val="0"/>
                <w:numId w:val="0"/>
              </w:numPr>
              <w:jc w:val="right"/>
            </w:pPr>
            <w:r>
              <w:t>1</w:t>
            </w:r>
          </w:p>
        </w:tc>
      </w:tr>
    </w:tbl>
    <w:p w:rsidR="00755EDF" w:rsidRDefault="00755EDF" w:rsidP="00755EDF">
      <w:pPr>
        <w:pStyle w:val="ParaNum"/>
        <w:numPr>
          <w:ilvl w:val="0"/>
          <w:numId w:val="0"/>
        </w:numPr>
        <w:ind w:left="720"/>
      </w:pPr>
    </w:p>
    <w:p w:rsidR="00755EDF" w:rsidRPr="00755EDF" w:rsidRDefault="00B66E93" w:rsidP="00324D12">
      <w:pPr>
        <w:pStyle w:val="ParaNum"/>
        <w:keepNext/>
        <w:keepLines/>
        <w:numPr>
          <w:ilvl w:val="0"/>
          <w:numId w:val="0"/>
        </w:numPr>
        <w:jc w:val="center"/>
        <w:rPr>
          <w:b/>
        </w:rPr>
      </w:pPr>
      <w:r>
        <w:rPr>
          <w:b/>
        </w:rPr>
        <w:br w:type="page"/>
      </w:r>
      <w:r w:rsidR="00755EDF" w:rsidRPr="00755EDF">
        <w:rPr>
          <w:b/>
        </w:rPr>
        <w:t>Table 4</w:t>
      </w:r>
    </w:p>
    <w:p w:rsidR="00755EDF" w:rsidRPr="003C3400" w:rsidRDefault="00755EDF" w:rsidP="00324D12">
      <w:pPr>
        <w:pStyle w:val="ParaNum"/>
        <w:keepNext/>
        <w:keepLines/>
        <w:numPr>
          <w:ilvl w:val="0"/>
          <w:numId w:val="0"/>
        </w:numPr>
        <w:jc w:val="center"/>
      </w:pPr>
      <w:r w:rsidRPr="00755EDF">
        <w:rPr>
          <w:b/>
        </w:rPr>
        <w:t>Number of In-Market, In-State Stations Available to Case Study Counties</w:t>
      </w:r>
      <w:r w:rsidRPr="002A47C0">
        <w:rPr>
          <w:rStyle w:val="FootnoteReference"/>
        </w:rPr>
        <w:footnoteReference w:id="190"/>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620"/>
        <w:gridCol w:w="990"/>
        <w:gridCol w:w="1080"/>
        <w:gridCol w:w="2430"/>
      </w:tblGrid>
      <w:tr w:rsidR="009B31BA" w:rsidTr="00570BB3">
        <w:tc>
          <w:tcPr>
            <w:tcW w:w="3330" w:type="dxa"/>
            <w:shd w:val="clear" w:color="auto" w:fill="auto"/>
          </w:tcPr>
          <w:p w:rsidR="00755EDF" w:rsidRPr="00570BB3" w:rsidRDefault="00755EDF" w:rsidP="00570BB3">
            <w:pPr>
              <w:pStyle w:val="ParaNum"/>
              <w:keepNext/>
              <w:keepLines/>
              <w:numPr>
                <w:ilvl w:val="0"/>
                <w:numId w:val="0"/>
              </w:numPr>
              <w:rPr>
                <w:b/>
              </w:rPr>
            </w:pPr>
            <w:r w:rsidRPr="00570BB3">
              <w:rPr>
                <w:b/>
              </w:rPr>
              <w:t>County, State</w:t>
            </w:r>
          </w:p>
        </w:tc>
        <w:tc>
          <w:tcPr>
            <w:tcW w:w="1620" w:type="dxa"/>
            <w:shd w:val="clear" w:color="auto" w:fill="auto"/>
          </w:tcPr>
          <w:p w:rsidR="00755EDF" w:rsidRPr="00570BB3" w:rsidRDefault="00F40F86" w:rsidP="00570BB3">
            <w:pPr>
              <w:pStyle w:val="ParaNum"/>
              <w:keepNext/>
              <w:keepLines/>
              <w:numPr>
                <w:ilvl w:val="0"/>
                <w:numId w:val="0"/>
              </w:numPr>
              <w:jc w:val="center"/>
              <w:rPr>
                <w:b/>
              </w:rPr>
            </w:pPr>
            <w:r w:rsidRPr="00570BB3">
              <w:rPr>
                <w:b/>
              </w:rPr>
              <w:t>Over the Air</w:t>
            </w:r>
          </w:p>
        </w:tc>
        <w:tc>
          <w:tcPr>
            <w:tcW w:w="990" w:type="dxa"/>
            <w:shd w:val="clear" w:color="auto" w:fill="auto"/>
          </w:tcPr>
          <w:p w:rsidR="00755EDF" w:rsidRPr="00570BB3" w:rsidRDefault="00755EDF" w:rsidP="00570BB3">
            <w:pPr>
              <w:pStyle w:val="ParaNum"/>
              <w:keepNext/>
              <w:keepLines/>
              <w:numPr>
                <w:ilvl w:val="0"/>
                <w:numId w:val="0"/>
              </w:numPr>
              <w:jc w:val="center"/>
              <w:rPr>
                <w:b/>
              </w:rPr>
            </w:pPr>
            <w:r w:rsidRPr="00570BB3">
              <w:rPr>
                <w:b/>
              </w:rPr>
              <w:t>DBS</w:t>
            </w:r>
          </w:p>
        </w:tc>
        <w:tc>
          <w:tcPr>
            <w:tcW w:w="1080" w:type="dxa"/>
            <w:shd w:val="clear" w:color="auto" w:fill="auto"/>
          </w:tcPr>
          <w:p w:rsidR="00755EDF" w:rsidRPr="00570BB3" w:rsidRDefault="00755EDF" w:rsidP="00570BB3">
            <w:pPr>
              <w:pStyle w:val="ParaNum"/>
              <w:keepNext/>
              <w:keepLines/>
              <w:numPr>
                <w:ilvl w:val="0"/>
                <w:numId w:val="0"/>
              </w:numPr>
              <w:jc w:val="center"/>
              <w:rPr>
                <w:b/>
              </w:rPr>
            </w:pPr>
            <w:r w:rsidRPr="00570BB3">
              <w:rPr>
                <w:b/>
              </w:rPr>
              <w:t>Cable</w:t>
            </w:r>
          </w:p>
        </w:tc>
        <w:tc>
          <w:tcPr>
            <w:tcW w:w="2430" w:type="dxa"/>
            <w:shd w:val="clear" w:color="auto" w:fill="auto"/>
          </w:tcPr>
          <w:p w:rsidR="00755EDF" w:rsidRPr="00570BB3" w:rsidRDefault="00755EDF" w:rsidP="00570BB3">
            <w:pPr>
              <w:pStyle w:val="ParaNum"/>
              <w:keepNext/>
              <w:keepLines/>
              <w:numPr>
                <w:ilvl w:val="0"/>
                <w:numId w:val="0"/>
              </w:numPr>
              <w:jc w:val="center"/>
              <w:rPr>
                <w:b/>
              </w:rPr>
            </w:pPr>
            <w:r w:rsidRPr="00570BB3">
              <w:rPr>
                <w:b/>
              </w:rPr>
              <w:t>In-State Programming</w:t>
            </w:r>
          </w:p>
        </w:tc>
      </w:tr>
      <w:tr w:rsidR="009B31BA" w:rsidTr="00570BB3">
        <w:tc>
          <w:tcPr>
            <w:tcW w:w="3330" w:type="dxa"/>
            <w:shd w:val="clear" w:color="auto" w:fill="auto"/>
          </w:tcPr>
          <w:p w:rsidR="00755EDF" w:rsidRDefault="00755EDF" w:rsidP="00570BB3">
            <w:pPr>
              <w:pStyle w:val="ParaNum"/>
              <w:numPr>
                <w:ilvl w:val="0"/>
                <w:numId w:val="0"/>
              </w:numPr>
            </w:pPr>
            <w:r>
              <w:t>La Plata, Colorado</w:t>
            </w:r>
          </w:p>
        </w:tc>
        <w:tc>
          <w:tcPr>
            <w:tcW w:w="1620" w:type="dxa"/>
            <w:shd w:val="clear" w:color="auto" w:fill="auto"/>
          </w:tcPr>
          <w:p w:rsidR="00755EDF" w:rsidRDefault="00755EDF" w:rsidP="00570BB3">
            <w:pPr>
              <w:pStyle w:val="ParaNum"/>
              <w:numPr>
                <w:ilvl w:val="0"/>
                <w:numId w:val="0"/>
              </w:numPr>
              <w:jc w:val="right"/>
            </w:pPr>
            <w:r>
              <w:t>10</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1</w:t>
            </w:r>
          </w:p>
        </w:tc>
        <w:tc>
          <w:tcPr>
            <w:tcW w:w="2430" w:type="dxa"/>
            <w:shd w:val="clear" w:color="auto" w:fill="auto"/>
          </w:tcPr>
          <w:p w:rsidR="00755EDF" w:rsidRDefault="00755EDF" w:rsidP="00570BB3">
            <w:pPr>
              <w:pStyle w:val="ParaNum"/>
              <w:numPr>
                <w:ilvl w:val="0"/>
                <w:numId w:val="0"/>
              </w:numPr>
              <w:jc w:val="right"/>
            </w:pPr>
            <w:r>
              <w:t>1</w:t>
            </w:r>
          </w:p>
        </w:tc>
      </w:tr>
      <w:tr w:rsidR="009B31BA" w:rsidTr="00570BB3">
        <w:tc>
          <w:tcPr>
            <w:tcW w:w="3330" w:type="dxa"/>
            <w:shd w:val="clear" w:color="auto" w:fill="auto"/>
          </w:tcPr>
          <w:p w:rsidR="00755EDF" w:rsidRDefault="00755EDF" w:rsidP="00570BB3">
            <w:pPr>
              <w:pStyle w:val="ParaNum"/>
              <w:numPr>
                <w:ilvl w:val="0"/>
                <w:numId w:val="0"/>
              </w:numPr>
            </w:pPr>
            <w:r>
              <w:t>Montezuma, Colorado</w:t>
            </w:r>
          </w:p>
        </w:tc>
        <w:tc>
          <w:tcPr>
            <w:tcW w:w="1620" w:type="dxa"/>
            <w:shd w:val="clear" w:color="auto" w:fill="auto"/>
          </w:tcPr>
          <w:p w:rsidR="00755EDF" w:rsidRDefault="00755EDF" w:rsidP="00570BB3">
            <w:pPr>
              <w:pStyle w:val="ParaNum"/>
              <w:numPr>
                <w:ilvl w:val="0"/>
                <w:numId w:val="0"/>
              </w:numPr>
              <w:jc w:val="right"/>
            </w:pPr>
            <w:r>
              <w:t>23</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1</w:t>
            </w:r>
          </w:p>
        </w:tc>
        <w:tc>
          <w:tcPr>
            <w:tcW w:w="2430" w:type="dxa"/>
            <w:shd w:val="clear" w:color="auto" w:fill="auto"/>
          </w:tcPr>
          <w:p w:rsidR="00755EDF" w:rsidRDefault="00755EDF" w:rsidP="00570BB3">
            <w:pPr>
              <w:pStyle w:val="ParaNum"/>
              <w:numPr>
                <w:ilvl w:val="0"/>
                <w:numId w:val="0"/>
              </w:numPr>
              <w:jc w:val="right"/>
            </w:pPr>
            <w:r>
              <w:t>1</w:t>
            </w:r>
          </w:p>
        </w:tc>
      </w:tr>
      <w:tr w:rsidR="009B31BA" w:rsidTr="00570BB3">
        <w:tc>
          <w:tcPr>
            <w:tcW w:w="3330" w:type="dxa"/>
            <w:shd w:val="clear" w:color="auto" w:fill="auto"/>
          </w:tcPr>
          <w:p w:rsidR="00755EDF" w:rsidRDefault="00755EDF" w:rsidP="00570BB3">
            <w:pPr>
              <w:pStyle w:val="ParaNum"/>
              <w:numPr>
                <w:ilvl w:val="0"/>
                <w:numId w:val="0"/>
              </w:numPr>
            </w:pPr>
            <w:r>
              <w:t>Albany, Wyoming</w:t>
            </w:r>
          </w:p>
        </w:tc>
        <w:tc>
          <w:tcPr>
            <w:tcW w:w="1620" w:type="dxa"/>
            <w:shd w:val="clear" w:color="auto" w:fill="auto"/>
          </w:tcPr>
          <w:p w:rsidR="00755EDF" w:rsidRDefault="00755EDF" w:rsidP="00570BB3">
            <w:pPr>
              <w:pStyle w:val="ParaNum"/>
              <w:numPr>
                <w:ilvl w:val="0"/>
                <w:numId w:val="0"/>
              </w:numPr>
              <w:jc w:val="right"/>
            </w:pPr>
            <w:r>
              <w:t>2</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1</w:t>
            </w:r>
          </w:p>
        </w:tc>
      </w:tr>
      <w:tr w:rsidR="009B31BA" w:rsidTr="00570BB3">
        <w:tc>
          <w:tcPr>
            <w:tcW w:w="3330" w:type="dxa"/>
            <w:shd w:val="clear" w:color="auto" w:fill="auto"/>
          </w:tcPr>
          <w:p w:rsidR="00755EDF" w:rsidRDefault="00755EDF" w:rsidP="00570BB3">
            <w:pPr>
              <w:pStyle w:val="ParaNum"/>
              <w:numPr>
                <w:ilvl w:val="0"/>
                <w:numId w:val="0"/>
              </w:numPr>
            </w:pPr>
            <w:r>
              <w:t>Campbell, Wyoming</w:t>
            </w:r>
          </w:p>
        </w:tc>
        <w:tc>
          <w:tcPr>
            <w:tcW w:w="1620" w:type="dxa"/>
            <w:shd w:val="clear" w:color="auto" w:fill="auto"/>
          </w:tcPr>
          <w:p w:rsidR="00755EDF" w:rsidRDefault="00755EDF" w:rsidP="00570BB3">
            <w:pPr>
              <w:pStyle w:val="ParaNum"/>
              <w:numPr>
                <w:ilvl w:val="0"/>
                <w:numId w:val="0"/>
              </w:numPr>
              <w:jc w:val="right"/>
            </w:pPr>
            <w:r>
              <w:t>0</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0</w:t>
            </w:r>
          </w:p>
        </w:tc>
      </w:tr>
      <w:tr w:rsidR="009B31BA" w:rsidTr="00570BB3">
        <w:tc>
          <w:tcPr>
            <w:tcW w:w="3330" w:type="dxa"/>
            <w:shd w:val="clear" w:color="auto" w:fill="auto"/>
          </w:tcPr>
          <w:p w:rsidR="00755EDF" w:rsidRDefault="00755EDF" w:rsidP="00570BB3">
            <w:pPr>
              <w:pStyle w:val="ParaNum"/>
              <w:numPr>
                <w:ilvl w:val="0"/>
                <w:numId w:val="0"/>
              </w:numPr>
            </w:pPr>
            <w:r>
              <w:t>Stephens, Georgia</w:t>
            </w:r>
          </w:p>
        </w:tc>
        <w:tc>
          <w:tcPr>
            <w:tcW w:w="1620" w:type="dxa"/>
            <w:shd w:val="clear" w:color="auto" w:fill="auto"/>
          </w:tcPr>
          <w:p w:rsidR="00755EDF" w:rsidRDefault="00755EDF" w:rsidP="00570BB3">
            <w:pPr>
              <w:pStyle w:val="ParaNum"/>
              <w:numPr>
                <w:ilvl w:val="0"/>
                <w:numId w:val="0"/>
              </w:numPr>
              <w:jc w:val="right"/>
            </w:pPr>
            <w:r>
              <w:t>2</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0</w:t>
            </w:r>
          </w:p>
        </w:tc>
      </w:tr>
      <w:tr w:rsidR="009B31BA" w:rsidTr="00570BB3">
        <w:tc>
          <w:tcPr>
            <w:tcW w:w="3330" w:type="dxa"/>
            <w:shd w:val="clear" w:color="auto" w:fill="auto"/>
          </w:tcPr>
          <w:p w:rsidR="00755EDF" w:rsidRDefault="00755EDF" w:rsidP="00570BB3">
            <w:pPr>
              <w:pStyle w:val="ParaNum"/>
              <w:numPr>
                <w:ilvl w:val="0"/>
                <w:numId w:val="0"/>
              </w:numPr>
            </w:pPr>
            <w:r>
              <w:t>Hunterdon, New Jersey</w:t>
            </w:r>
          </w:p>
        </w:tc>
        <w:tc>
          <w:tcPr>
            <w:tcW w:w="1620" w:type="dxa"/>
            <w:shd w:val="clear" w:color="auto" w:fill="auto"/>
          </w:tcPr>
          <w:p w:rsidR="00755EDF" w:rsidRDefault="00755EDF" w:rsidP="00570BB3">
            <w:pPr>
              <w:pStyle w:val="ParaNum"/>
              <w:numPr>
                <w:ilvl w:val="0"/>
                <w:numId w:val="0"/>
              </w:numPr>
              <w:jc w:val="right"/>
            </w:pPr>
            <w:r>
              <w:t>9</w:t>
            </w:r>
          </w:p>
        </w:tc>
        <w:tc>
          <w:tcPr>
            <w:tcW w:w="990" w:type="dxa"/>
            <w:shd w:val="clear" w:color="auto" w:fill="auto"/>
          </w:tcPr>
          <w:p w:rsidR="00755EDF" w:rsidRDefault="00755EDF" w:rsidP="00570BB3">
            <w:pPr>
              <w:pStyle w:val="ParaNum"/>
              <w:numPr>
                <w:ilvl w:val="0"/>
                <w:numId w:val="0"/>
              </w:numPr>
              <w:jc w:val="right"/>
            </w:pPr>
            <w:r>
              <w:t>9</w:t>
            </w:r>
          </w:p>
        </w:tc>
        <w:tc>
          <w:tcPr>
            <w:tcW w:w="1080" w:type="dxa"/>
            <w:shd w:val="clear" w:color="auto" w:fill="auto"/>
          </w:tcPr>
          <w:p w:rsidR="00755EDF" w:rsidRDefault="00755EDF" w:rsidP="00570BB3">
            <w:pPr>
              <w:pStyle w:val="ParaNum"/>
              <w:numPr>
                <w:ilvl w:val="0"/>
                <w:numId w:val="0"/>
              </w:numPr>
              <w:jc w:val="right"/>
            </w:pPr>
            <w:r>
              <w:t>2</w:t>
            </w:r>
          </w:p>
        </w:tc>
        <w:tc>
          <w:tcPr>
            <w:tcW w:w="2430" w:type="dxa"/>
            <w:shd w:val="clear" w:color="auto" w:fill="auto"/>
          </w:tcPr>
          <w:p w:rsidR="00755EDF" w:rsidRDefault="00755EDF" w:rsidP="00570BB3">
            <w:pPr>
              <w:pStyle w:val="ParaNum"/>
              <w:numPr>
                <w:ilvl w:val="0"/>
                <w:numId w:val="0"/>
              </w:numPr>
              <w:jc w:val="right"/>
            </w:pPr>
            <w:r>
              <w:t>3</w:t>
            </w:r>
          </w:p>
        </w:tc>
      </w:tr>
      <w:tr w:rsidR="009B31BA" w:rsidTr="00570BB3">
        <w:tc>
          <w:tcPr>
            <w:tcW w:w="3330" w:type="dxa"/>
            <w:shd w:val="clear" w:color="auto" w:fill="auto"/>
          </w:tcPr>
          <w:p w:rsidR="00755EDF" w:rsidRDefault="00755EDF" w:rsidP="00570BB3">
            <w:pPr>
              <w:pStyle w:val="ParaNum"/>
              <w:numPr>
                <w:ilvl w:val="0"/>
                <w:numId w:val="0"/>
              </w:numPr>
            </w:pPr>
            <w:r>
              <w:t>Garrett, Maryland</w:t>
            </w:r>
          </w:p>
        </w:tc>
        <w:tc>
          <w:tcPr>
            <w:tcW w:w="1620" w:type="dxa"/>
            <w:shd w:val="clear" w:color="auto" w:fill="auto"/>
          </w:tcPr>
          <w:p w:rsidR="00755EDF" w:rsidRDefault="00755EDF" w:rsidP="00570BB3">
            <w:pPr>
              <w:pStyle w:val="ParaNum"/>
              <w:numPr>
                <w:ilvl w:val="0"/>
                <w:numId w:val="0"/>
              </w:numPr>
              <w:jc w:val="right"/>
            </w:pPr>
            <w:r>
              <w:t>1</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1</w:t>
            </w:r>
          </w:p>
        </w:tc>
        <w:tc>
          <w:tcPr>
            <w:tcW w:w="2430" w:type="dxa"/>
            <w:shd w:val="clear" w:color="auto" w:fill="auto"/>
          </w:tcPr>
          <w:p w:rsidR="00755EDF" w:rsidRDefault="00755EDF" w:rsidP="00570BB3">
            <w:pPr>
              <w:pStyle w:val="ParaNum"/>
              <w:numPr>
                <w:ilvl w:val="0"/>
                <w:numId w:val="0"/>
              </w:numPr>
              <w:jc w:val="right"/>
            </w:pPr>
            <w:r>
              <w:t>1</w:t>
            </w:r>
          </w:p>
        </w:tc>
      </w:tr>
      <w:tr w:rsidR="009B31BA" w:rsidTr="00570BB3">
        <w:tc>
          <w:tcPr>
            <w:tcW w:w="3330" w:type="dxa"/>
            <w:shd w:val="clear" w:color="auto" w:fill="auto"/>
          </w:tcPr>
          <w:p w:rsidR="00755EDF" w:rsidRDefault="00755EDF" w:rsidP="00570BB3">
            <w:pPr>
              <w:pStyle w:val="ParaNum"/>
              <w:numPr>
                <w:ilvl w:val="0"/>
                <w:numId w:val="0"/>
              </w:numPr>
            </w:pPr>
            <w:r>
              <w:t>Bristol, Massachusetts</w:t>
            </w:r>
          </w:p>
        </w:tc>
        <w:tc>
          <w:tcPr>
            <w:tcW w:w="1620" w:type="dxa"/>
            <w:shd w:val="clear" w:color="auto" w:fill="auto"/>
          </w:tcPr>
          <w:p w:rsidR="00755EDF" w:rsidRDefault="00755EDF" w:rsidP="00570BB3">
            <w:pPr>
              <w:pStyle w:val="ParaNum"/>
              <w:numPr>
                <w:ilvl w:val="0"/>
                <w:numId w:val="0"/>
              </w:numPr>
              <w:jc w:val="right"/>
            </w:pPr>
            <w:r>
              <w:t>2</w:t>
            </w:r>
          </w:p>
        </w:tc>
        <w:tc>
          <w:tcPr>
            <w:tcW w:w="990" w:type="dxa"/>
            <w:shd w:val="clear" w:color="auto" w:fill="auto"/>
          </w:tcPr>
          <w:p w:rsidR="00755EDF" w:rsidRDefault="00755EDF" w:rsidP="00570BB3">
            <w:pPr>
              <w:pStyle w:val="ParaNum"/>
              <w:numPr>
                <w:ilvl w:val="0"/>
                <w:numId w:val="0"/>
              </w:numPr>
              <w:jc w:val="right"/>
            </w:pPr>
            <w:r>
              <w:t>2</w:t>
            </w:r>
          </w:p>
        </w:tc>
        <w:tc>
          <w:tcPr>
            <w:tcW w:w="1080" w:type="dxa"/>
            <w:shd w:val="clear" w:color="auto" w:fill="auto"/>
          </w:tcPr>
          <w:p w:rsidR="00755EDF" w:rsidRDefault="00755EDF" w:rsidP="00570BB3">
            <w:pPr>
              <w:pStyle w:val="ParaNum"/>
              <w:numPr>
                <w:ilvl w:val="0"/>
                <w:numId w:val="0"/>
              </w:numPr>
              <w:jc w:val="right"/>
            </w:pPr>
            <w:r>
              <w:t>2</w:t>
            </w:r>
          </w:p>
        </w:tc>
        <w:tc>
          <w:tcPr>
            <w:tcW w:w="2430" w:type="dxa"/>
            <w:shd w:val="clear" w:color="auto" w:fill="auto"/>
          </w:tcPr>
          <w:p w:rsidR="00755EDF" w:rsidRDefault="00755EDF" w:rsidP="00570BB3">
            <w:pPr>
              <w:pStyle w:val="ParaNum"/>
              <w:numPr>
                <w:ilvl w:val="0"/>
                <w:numId w:val="0"/>
              </w:numPr>
              <w:jc w:val="right"/>
            </w:pPr>
            <w:r>
              <w:t>1</w:t>
            </w:r>
          </w:p>
        </w:tc>
      </w:tr>
      <w:tr w:rsidR="009B31BA" w:rsidTr="00570BB3">
        <w:tc>
          <w:tcPr>
            <w:tcW w:w="3330" w:type="dxa"/>
            <w:shd w:val="clear" w:color="auto" w:fill="auto"/>
          </w:tcPr>
          <w:p w:rsidR="00755EDF" w:rsidRDefault="00755EDF" w:rsidP="00570BB3">
            <w:pPr>
              <w:pStyle w:val="ParaNum"/>
              <w:numPr>
                <w:ilvl w:val="0"/>
                <w:numId w:val="0"/>
              </w:numPr>
            </w:pPr>
            <w:r>
              <w:t>Sheridan, Wyoming</w:t>
            </w:r>
          </w:p>
        </w:tc>
        <w:tc>
          <w:tcPr>
            <w:tcW w:w="1620" w:type="dxa"/>
            <w:shd w:val="clear" w:color="auto" w:fill="auto"/>
          </w:tcPr>
          <w:p w:rsidR="00755EDF" w:rsidRDefault="00755EDF" w:rsidP="00570BB3">
            <w:pPr>
              <w:pStyle w:val="ParaNum"/>
              <w:numPr>
                <w:ilvl w:val="0"/>
                <w:numId w:val="0"/>
              </w:numPr>
              <w:jc w:val="right"/>
            </w:pPr>
            <w:r>
              <w:t>3</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2</w:t>
            </w:r>
          </w:p>
        </w:tc>
        <w:tc>
          <w:tcPr>
            <w:tcW w:w="2430" w:type="dxa"/>
            <w:shd w:val="clear" w:color="auto" w:fill="auto"/>
          </w:tcPr>
          <w:p w:rsidR="00755EDF" w:rsidRDefault="00755EDF" w:rsidP="00570BB3">
            <w:pPr>
              <w:pStyle w:val="ParaNum"/>
              <w:numPr>
                <w:ilvl w:val="0"/>
                <w:numId w:val="0"/>
              </w:numPr>
              <w:jc w:val="right"/>
            </w:pPr>
            <w:r>
              <w:t>0</w:t>
            </w:r>
          </w:p>
        </w:tc>
      </w:tr>
      <w:tr w:rsidR="009B31BA" w:rsidTr="00570BB3">
        <w:tc>
          <w:tcPr>
            <w:tcW w:w="3330" w:type="dxa"/>
            <w:shd w:val="clear" w:color="auto" w:fill="auto"/>
          </w:tcPr>
          <w:p w:rsidR="00755EDF" w:rsidRDefault="00755EDF" w:rsidP="00570BB3">
            <w:pPr>
              <w:pStyle w:val="ParaNum"/>
              <w:numPr>
                <w:ilvl w:val="0"/>
                <w:numId w:val="0"/>
              </w:numPr>
            </w:pPr>
            <w:r>
              <w:t>Sussex, Delaware</w:t>
            </w:r>
          </w:p>
        </w:tc>
        <w:tc>
          <w:tcPr>
            <w:tcW w:w="1620" w:type="dxa"/>
            <w:shd w:val="clear" w:color="auto" w:fill="auto"/>
          </w:tcPr>
          <w:p w:rsidR="00755EDF" w:rsidRDefault="00755EDF" w:rsidP="00570BB3">
            <w:pPr>
              <w:pStyle w:val="ParaNum"/>
              <w:numPr>
                <w:ilvl w:val="0"/>
                <w:numId w:val="0"/>
              </w:numPr>
              <w:jc w:val="right"/>
            </w:pPr>
            <w:r>
              <w:t>2</w:t>
            </w:r>
          </w:p>
        </w:tc>
        <w:tc>
          <w:tcPr>
            <w:tcW w:w="990" w:type="dxa"/>
            <w:shd w:val="clear" w:color="auto" w:fill="auto"/>
          </w:tcPr>
          <w:p w:rsidR="00755EDF" w:rsidRDefault="00156726" w:rsidP="00570BB3">
            <w:pPr>
              <w:pStyle w:val="ParaNum"/>
              <w:numPr>
                <w:ilvl w:val="0"/>
                <w:numId w:val="0"/>
              </w:numPr>
              <w:jc w:val="right"/>
            </w:pPr>
            <w:r>
              <w:t>2</w:t>
            </w:r>
          </w:p>
        </w:tc>
        <w:tc>
          <w:tcPr>
            <w:tcW w:w="1080" w:type="dxa"/>
            <w:shd w:val="clear" w:color="auto" w:fill="auto"/>
          </w:tcPr>
          <w:p w:rsidR="00755EDF" w:rsidRDefault="00755EDF" w:rsidP="00570BB3">
            <w:pPr>
              <w:pStyle w:val="ParaNum"/>
              <w:numPr>
                <w:ilvl w:val="0"/>
                <w:numId w:val="0"/>
              </w:numPr>
              <w:jc w:val="right"/>
            </w:pPr>
            <w:r>
              <w:t>3</w:t>
            </w:r>
          </w:p>
        </w:tc>
        <w:tc>
          <w:tcPr>
            <w:tcW w:w="2430" w:type="dxa"/>
            <w:shd w:val="clear" w:color="auto" w:fill="auto"/>
          </w:tcPr>
          <w:p w:rsidR="00755EDF" w:rsidRDefault="00755EDF" w:rsidP="00570BB3">
            <w:pPr>
              <w:pStyle w:val="ParaNum"/>
              <w:numPr>
                <w:ilvl w:val="0"/>
                <w:numId w:val="0"/>
              </w:numPr>
              <w:jc w:val="right"/>
            </w:pPr>
            <w:r>
              <w:t>2</w:t>
            </w:r>
          </w:p>
        </w:tc>
      </w:tr>
      <w:tr w:rsidR="009B31BA" w:rsidTr="00570BB3">
        <w:tc>
          <w:tcPr>
            <w:tcW w:w="3330" w:type="dxa"/>
            <w:shd w:val="clear" w:color="auto" w:fill="auto"/>
          </w:tcPr>
          <w:p w:rsidR="00755EDF" w:rsidRDefault="00755EDF" w:rsidP="00570BB3">
            <w:pPr>
              <w:pStyle w:val="ParaNum"/>
              <w:numPr>
                <w:ilvl w:val="0"/>
                <w:numId w:val="0"/>
              </w:numPr>
            </w:pPr>
            <w:r>
              <w:t>Elko, Nevada</w:t>
            </w:r>
          </w:p>
        </w:tc>
        <w:tc>
          <w:tcPr>
            <w:tcW w:w="1620" w:type="dxa"/>
            <w:shd w:val="clear" w:color="auto" w:fill="auto"/>
          </w:tcPr>
          <w:p w:rsidR="00755EDF" w:rsidRDefault="00755EDF" w:rsidP="00570BB3">
            <w:pPr>
              <w:pStyle w:val="ParaNum"/>
              <w:numPr>
                <w:ilvl w:val="0"/>
                <w:numId w:val="0"/>
              </w:numPr>
              <w:jc w:val="right"/>
            </w:pPr>
            <w:r>
              <w:t>21</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1</w:t>
            </w:r>
          </w:p>
        </w:tc>
      </w:tr>
      <w:tr w:rsidR="009B31BA" w:rsidTr="00570BB3">
        <w:tc>
          <w:tcPr>
            <w:tcW w:w="3330" w:type="dxa"/>
            <w:shd w:val="clear" w:color="auto" w:fill="auto"/>
          </w:tcPr>
          <w:p w:rsidR="00755EDF" w:rsidRDefault="00755EDF" w:rsidP="00570BB3">
            <w:pPr>
              <w:pStyle w:val="ParaNum"/>
              <w:numPr>
                <w:ilvl w:val="0"/>
                <w:numId w:val="0"/>
              </w:numPr>
            </w:pPr>
            <w:r>
              <w:t>Fulton, Pennsylvania</w:t>
            </w:r>
          </w:p>
        </w:tc>
        <w:tc>
          <w:tcPr>
            <w:tcW w:w="1620" w:type="dxa"/>
            <w:shd w:val="clear" w:color="auto" w:fill="auto"/>
          </w:tcPr>
          <w:p w:rsidR="00755EDF" w:rsidRDefault="00755EDF" w:rsidP="00570BB3">
            <w:pPr>
              <w:pStyle w:val="ParaNum"/>
              <w:numPr>
                <w:ilvl w:val="0"/>
                <w:numId w:val="0"/>
              </w:numPr>
              <w:jc w:val="right"/>
            </w:pPr>
            <w:r>
              <w:t>0</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0</w:t>
            </w:r>
          </w:p>
        </w:tc>
      </w:tr>
      <w:tr w:rsidR="009B31BA" w:rsidTr="00570BB3">
        <w:tc>
          <w:tcPr>
            <w:tcW w:w="3330" w:type="dxa"/>
            <w:shd w:val="clear" w:color="auto" w:fill="auto"/>
          </w:tcPr>
          <w:p w:rsidR="00755EDF" w:rsidRDefault="00755EDF" w:rsidP="00570BB3">
            <w:pPr>
              <w:pStyle w:val="ParaNum"/>
              <w:numPr>
                <w:ilvl w:val="0"/>
                <w:numId w:val="0"/>
              </w:numPr>
            </w:pPr>
            <w:r>
              <w:t>Grant, West Virginia</w:t>
            </w:r>
          </w:p>
        </w:tc>
        <w:tc>
          <w:tcPr>
            <w:tcW w:w="1620" w:type="dxa"/>
            <w:shd w:val="clear" w:color="auto" w:fill="auto"/>
          </w:tcPr>
          <w:p w:rsidR="00755EDF" w:rsidRDefault="00755EDF" w:rsidP="00570BB3">
            <w:pPr>
              <w:pStyle w:val="ParaNum"/>
              <w:numPr>
                <w:ilvl w:val="0"/>
                <w:numId w:val="0"/>
              </w:numPr>
              <w:jc w:val="right"/>
            </w:pPr>
            <w:r>
              <w:t>6</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0</w:t>
            </w:r>
          </w:p>
        </w:tc>
      </w:tr>
      <w:tr w:rsidR="009B31BA" w:rsidTr="00570BB3">
        <w:tc>
          <w:tcPr>
            <w:tcW w:w="3330" w:type="dxa"/>
            <w:shd w:val="clear" w:color="auto" w:fill="auto"/>
          </w:tcPr>
          <w:p w:rsidR="00755EDF" w:rsidRDefault="00755EDF" w:rsidP="00570BB3">
            <w:pPr>
              <w:pStyle w:val="ParaNum"/>
              <w:numPr>
                <w:ilvl w:val="0"/>
                <w:numId w:val="0"/>
              </w:numPr>
            </w:pPr>
            <w:r>
              <w:t>Umatilla, Oregon</w:t>
            </w:r>
          </w:p>
        </w:tc>
        <w:tc>
          <w:tcPr>
            <w:tcW w:w="1620" w:type="dxa"/>
            <w:shd w:val="clear" w:color="auto" w:fill="auto"/>
          </w:tcPr>
          <w:p w:rsidR="00755EDF" w:rsidRDefault="00755EDF" w:rsidP="00570BB3">
            <w:pPr>
              <w:pStyle w:val="ParaNum"/>
              <w:numPr>
                <w:ilvl w:val="0"/>
                <w:numId w:val="0"/>
              </w:numPr>
              <w:jc w:val="right"/>
            </w:pPr>
            <w:r>
              <w:t>13</w:t>
            </w:r>
          </w:p>
        </w:tc>
        <w:tc>
          <w:tcPr>
            <w:tcW w:w="990" w:type="dxa"/>
            <w:shd w:val="clear" w:color="auto" w:fill="auto"/>
          </w:tcPr>
          <w:p w:rsidR="00755EDF" w:rsidRDefault="00755EDF" w:rsidP="00570BB3">
            <w:pPr>
              <w:pStyle w:val="ParaNum"/>
              <w:numPr>
                <w:ilvl w:val="0"/>
                <w:numId w:val="0"/>
              </w:numPr>
              <w:jc w:val="right"/>
            </w:pPr>
            <w:r>
              <w:t>0</w:t>
            </w:r>
          </w:p>
        </w:tc>
        <w:tc>
          <w:tcPr>
            <w:tcW w:w="1080" w:type="dxa"/>
            <w:shd w:val="clear" w:color="auto" w:fill="auto"/>
          </w:tcPr>
          <w:p w:rsidR="00755EDF" w:rsidRDefault="00755EDF" w:rsidP="00570BB3">
            <w:pPr>
              <w:pStyle w:val="ParaNum"/>
              <w:numPr>
                <w:ilvl w:val="0"/>
                <w:numId w:val="0"/>
              </w:numPr>
              <w:jc w:val="right"/>
            </w:pPr>
            <w:r>
              <w:t>0</w:t>
            </w:r>
          </w:p>
        </w:tc>
        <w:tc>
          <w:tcPr>
            <w:tcW w:w="2430" w:type="dxa"/>
            <w:shd w:val="clear" w:color="auto" w:fill="auto"/>
          </w:tcPr>
          <w:p w:rsidR="00755EDF" w:rsidRDefault="00755EDF" w:rsidP="00570BB3">
            <w:pPr>
              <w:pStyle w:val="ParaNum"/>
              <w:numPr>
                <w:ilvl w:val="0"/>
                <w:numId w:val="0"/>
              </w:numPr>
              <w:jc w:val="right"/>
            </w:pPr>
            <w:r>
              <w:t>0</w:t>
            </w:r>
          </w:p>
        </w:tc>
      </w:tr>
    </w:tbl>
    <w:p w:rsidR="004A47DA" w:rsidRDefault="004A47DA" w:rsidP="00755EDF">
      <w:pPr>
        <w:pStyle w:val="ParaNum"/>
        <w:numPr>
          <w:ilvl w:val="0"/>
          <w:numId w:val="0"/>
        </w:numPr>
        <w:ind w:left="720"/>
      </w:pPr>
    </w:p>
    <w:p w:rsidR="00F40E78" w:rsidRDefault="000073EC" w:rsidP="00F40E78">
      <w:pPr>
        <w:pStyle w:val="ParaNum"/>
      </w:pPr>
      <w:r>
        <w:t>Based on our findings, w</w:t>
      </w:r>
      <w:r w:rsidR="00F40E78" w:rsidRPr="000022C9">
        <w:t>e note that</w:t>
      </w:r>
      <w:r w:rsidR="001A40A6">
        <w:t xml:space="preserve"> the availability of stations via MVPD carriage in the case study counties </w:t>
      </w:r>
      <w:r w:rsidR="001A40A6" w:rsidRPr="000022C9">
        <w:t>may depend on factors such as proximity to major metropolitan areas.</w:t>
      </w:r>
      <w:r w:rsidR="001A40A6">
        <w:t xml:space="preserve">  </w:t>
      </w:r>
      <w:r>
        <w:t xml:space="preserve">For example, </w:t>
      </w:r>
      <w:r w:rsidR="001A40A6">
        <w:t xml:space="preserve">Table 3 indicates that </w:t>
      </w:r>
      <w:r w:rsidR="00F40E78" w:rsidRPr="000022C9">
        <w:t xml:space="preserve">MVPDs located in urban counties, such as </w:t>
      </w:r>
      <w:r w:rsidR="00C26B4B">
        <w:t xml:space="preserve">Hunterdon County and </w:t>
      </w:r>
      <w:r w:rsidR="001A40A6">
        <w:t>Bristol County, seem</w:t>
      </w:r>
      <w:r w:rsidR="00F40E78" w:rsidRPr="000022C9">
        <w:t xml:space="preserve"> more likely </w:t>
      </w:r>
      <w:r w:rsidR="00F40E78">
        <w:t xml:space="preserve">to carry an abundance of in-state but out-of-market stations.  In rural counties, the presence of numerous translator stations, retransmitting both in-market and out-of-market signals, seems to indicate </w:t>
      </w:r>
      <w:r w:rsidR="00F40E78" w:rsidRPr="002A3389">
        <w:t xml:space="preserve">an interest by the stations </w:t>
      </w:r>
      <w:r w:rsidR="00F40E78">
        <w:t xml:space="preserve">located in metropolitan areas </w:t>
      </w:r>
      <w:r w:rsidR="00F40E78" w:rsidRPr="002A3389">
        <w:t xml:space="preserve">to serve </w:t>
      </w:r>
      <w:r w:rsidR="00F40E78">
        <w:t>the more distant counties, regardless of whether they are located in a different state than the core of the DMA</w:t>
      </w:r>
      <w:r w:rsidR="00F40E78" w:rsidRPr="002A3389">
        <w:t>.</w:t>
      </w:r>
      <w:r w:rsidR="00F40E78">
        <w:t xml:space="preserve">  Notably, our review of the programming provided by stations in the relevant counties shows that</w:t>
      </w:r>
      <w:r w:rsidR="00FE4F00">
        <w:t>,</w:t>
      </w:r>
      <w:r w:rsidR="00F40E78">
        <w:t xml:space="preserve"> </w:t>
      </w:r>
      <w:r w:rsidR="00C26B4B">
        <w:t>where Table 3 indicates an absence of out-of-market stations providing in-state programming, Table 4 shows that there is an in-state station providing in-state programming.</w:t>
      </w:r>
      <w:r w:rsidR="00C26B4B">
        <w:rPr>
          <w:rStyle w:val="FootnoteReference"/>
        </w:rPr>
        <w:footnoteReference w:id="191"/>
      </w:r>
      <w:r w:rsidR="00C26B4B">
        <w:t xml:space="preserve">  Therefore, consistent with our previous findings in the </w:t>
      </w:r>
      <w:r w:rsidR="00C26B4B" w:rsidRPr="001A40A6">
        <w:rPr>
          <w:i/>
        </w:rPr>
        <w:t>In-State Programming Report</w:t>
      </w:r>
      <w:r w:rsidR="00C26B4B">
        <w:t xml:space="preserve">, </w:t>
      </w:r>
      <w:r w:rsidR="001A40A6">
        <w:t xml:space="preserve">we continue to find that </w:t>
      </w:r>
      <w:r w:rsidR="00F40E78">
        <w:t>there is at least one station providing local programming, including in-state news and public affairs programming, in every county examined by the case studies.</w:t>
      </w:r>
      <w:r w:rsidR="001A40A6">
        <w:rPr>
          <w:rStyle w:val="FootnoteReference"/>
        </w:rPr>
        <w:footnoteReference w:id="192"/>
      </w:r>
      <w:r w:rsidR="00C26B4B">
        <w:t xml:space="preserve">  </w:t>
      </w:r>
    </w:p>
    <w:p w:rsidR="00C85862" w:rsidRDefault="00125C18" w:rsidP="00C74267">
      <w:pPr>
        <w:pStyle w:val="Heading1"/>
      </w:pPr>
      <w:bookmarkStart w:id="47" w:name="_Toc448130183"/>
      <w:bookmarkStart w:id="48" w:name="_Toc448153848"/>
      <w:bookmarkStart w:id="49" w:name="_Toc448230175"/>
      <w:bookmarkStart w:id="50" w:name="_Toc448311221"/>
      <w:bookmarkStart w:id="51" w:name="_Toc452456834"/>
      <w:r>
        <w:t>Section 109(</w:t>
      </w:r>
      <w:r w:rsidRPr="00125C18">
        <w:rPr>
          <w:caps w:val="0"/>
        </w:rPr>
        <w:t>a</w:t>
      </w:r>
      <w:r>
        <w:t>)(1)(</w:t>
      </w:r>
      <w:r w:rsidRPr="00125C18">
        <w:rPr>
          <w:caps w:val="0"/>
        </w:rPr>
        <w:t>B</w:t>
      </w:r>
      <w:r>
        <w:t>), (</w:t>
      </w:r>
      <w:r w:rsidRPr="00125C18">
        <w:rPr>
          <w:caps w:val="0"/>
        </w:rPr>
        <w:t>a</w:t>
      </w:r>
      <w:r>
        <w:t>)(2), and (</w:t>
      </w:r>
      <w:r w:rsidRPr="00125C18">
        <w:rPr>
          <w:caps w:val="0"/>
        </w:rPr>
        <w:t>b</w:t>
      </w:r>
      <w:r>
        <w:t xml:space="preserve">):  </w:t>
      </w:r>
      <w:r w:rsidR="00E12604">
        <w:t xml:space="preserve">DMA Alternatives and </w:t>
      </w:r>
      <w:r w:rsidR="00C85862">
        <w:t>Recommendations</w:t>
      </w:r>
      <w:r w:rsidR="00572F49">
        <w:t xml:space="preserve"> for Fostering Increased Localism</w:t>
      </w:r>
      <w:bookmarkEnd w:id="47"/>
      <w:bookmarkEnd w:id="48"/>
      <w:bookmarkEnd w:id="49"/>
      <w:bookmarkEnd w:id="50"/>
      <w:bookmarkEnd w:id="51"/>
    </w:p>
    <w:p w:rsidR="0047420F" w:rsidRPr="0047420F" w:rsidRDefault="0047420F" w:rsidP="0047420F">
      <w:pPr>
        <w:pStyle w:val="ParaNum"/>
      </w:pPr>
      <w:r w:rsidRPr="0047420F">
        <w:t xml:space="preserve">Sections 109(a)(1)(B), (a)(2), and (b) </w:t>
      </w:r>
      <w:r w:rsidR="00182FEB">
        <w:t>instruct</w:t>
      </w:r>
      <w:r w:rsidR="00182FEB" w:rsidRPr="0047420F">
        <w:t xml:space="preserve"> </w:t>
      </w:r>
      <w:r w:rsidRPr="0047420F">
        <w:t xml:space="preserve">the Commission to analyze alternatives to the use of DMAs </w:t>
      </w:r>
      <w:r w:rsidR="00182FEB">
        <w:t xml:space="preserve">in defining television </w:t>
      </w:r>
      <w:r w:rsidRPr="0047420F">
        <w:t xml:space="preserve">markets and to </w:t>
      </w:r>
      <w:r w:rsidR="00182FEB">
        <w:t>discuss</w:t>
      </w:r>
      <w:r w:rsidRPr="0047420F">
        <w:t xml:space="preserve"> recommendations on how to foster increased locali</w:t>
      </w:r>
      <w:r w:rsidR="00AF4B7A">
        <w:t xml:space="preserve">sm in counties </w:t>
      </w:r>
      <w:r w:rsidR="004675EB">
        <w:t>located in a state different from the state or states that predominantly make up the</w:t>
      </w:r>
      <w:r w:rsidRPr="0047420F">
        <w:t xml:space="preserve"> DMA</w:t>
      </w:r>
      <w:r w:rsidR="00440071">
        <w:t>,</w:t>
      </w:r>
      <w:r w:rsidRPr="0047420F">
        <w:t xml:space="preserve"> taking into account a number of factors. </w:t>
      </w:r>
      <w:r>
        <w:t xml:space="preserve">   </w:t>
      </w:r>
    </w:p>
    <w:p w:rsidR="00E10064" w:rsidRDefault="009A639A" w:rsidP="00587434">
      <w:pPr>
        <w:pStyle w:val="Heading2"/>
      </w:pPr>
      <w:bookmarkStart w:id="52" w:name="_Toc448130184"/>
      <w:bookmarkStart w:id="53" w:name="_Toc448153849"/>
      <w:bookmarkStart w:id="54" w:name="_Toc448230176"/>
      <w:bookmarkStart w:id="55" w:name="_Toc448311222"/>
      <w:bookmarkStart w:id="56" w:name="_Toc452456835"/>
      <w:r w:rsidRPr="00312E17">
        <w:t>Alternatives</w:t>
      </w:r>
      <w:r w:rsidR="00245895">
        <w:t xml:space="preserve"> to </w:t>
      </w:r>
      <w:r w:rsidR="00037F5E">
        <w:t>the Use of Designated Market Areas</w:t>
      </w:r>
      <w:bookmarkEnd w:id="52"/>
      <w:bookmarkEnd w:id="53"/>
      <w:bookmarkEnd w:id="54"/>
      <w:bookmarkEnd w:id="55"/>
      <w:bookmarkEnd w:id="56"/>
      <w:r>
        <w:t xml:space="preserve">  </w:t>
      </w:r>
    </w:p>
    <w:p w:rsidR="000B34B2" w:rsidRDefault="00AB28D5" w:rsidP="0019602D">
      <w:pPr>
        <w:pStyle w:val="ParaNum"/>
      </w:pPr>
      <w:r w:rsidRPr="00AB28D5">
        <w:t xml:space="preserve">Section 109(a)(1)(B) requires the Commission to analyze </w:t>
      </w:r>
      <w:r>
        <w:t>“</w:t>
      </w:r>
      <w:r w:rsidRPr="00AB28D5">
        <w:t>whether there are technologically and economically feasible alternatives to the use of designated market areas to define markets that would provide consumers with more programming options and the potential impact such alternatives could have on localism and on broadcast television locally, regionally, and nationally</w:t>
      </w:r>
      <w:r>
        <w:t>.”</w:t>
      </w:r>
      <w:r w:rsidR="002D64E8">
        <w:rPr>
          <w:rStyle w:val="FootnoteReference"/>
        </w:rPr>
        <w:footnoteReference w:id="193"/>
      </w:r>
      <w:r>
        <w:t xml:space="preserve">  </w:t>
      </w:r>
      <w:r w:rsidR="009B2C8B">
        <w:t xml:space="preserve">Based on our analysis and the comments received in this proceeding, </w:t>
      </w:r>
      <w:r w:rsidR="00245895">
        <w:t xml:space="preserve">it appears that few if any technologically and economically </w:t>
      </w:r>
      <w:r w:rsidR="009B2C8B">
        <w:t>feasible alternative</w:t>
      </w:r>
      <w:r w:rsidR="002A22FF">
        <w:t>s</w:t>
      </w:r>
      <w:r w:rsidR="009B2C8B">
        <w:t xml:space="preserve"> exist to the use of </w:t>
      </w:r>
      <w:r w:rsidR="00245895">
        <w:t xml:space="preserve">Nielsen </w:t>
      </w:r>
      <w:r w:rsidR="009B2C8B">
        <w:t xml:space="preserve">DMAs </w:t>
      </w:r>
      <w:r w:rsidR="00EC2321">
        <w:t xml:space="preserve">for market determination. </w:t>
      </w:r>
      <w:r w:rsidR="009B2C8B">
        <w:t xml:space="preserve">  </w:t>
      </w:r>
    </w:p>
    <w:p w:rsidR="002A22FF" w:rsidRDefault="006738D3" w:rsidP="009B6794">
      <w:pPr>
        <w:pStyle w:val="ParaNum"/>
      </w:pPr>
      <w:bookmarkStart w:id="57" w:name="_Ref452470459"/>
      <w:r>
        <w:t xml:space="preserve">As discussed </w:t>
      </w:r>
      <w:r w:rsidR="005E499D">
        <w:t xml:space="preserve">in the 2011 </w:t>
      </w:r>
      <w:r w:rsidR="005E499D" w:rsidRPr="005E499D">
        <w:rPr>
          <w:i/>
        </w:rPr>
        <w:t>In-State Programming Report</w:t>
      </w:r>
      <w:r>
        <w:t xml:space="preserve">, </w:t>
      </w:r>
      <w:r w:rsidR="00D9504F">
        <w:t xml:space="preserve">our </w:t>
      </w:r>
      <w:r w:rsidR="00D54AD1">
        <w:t xml:space="preserve">previous </w:t>
      </w:r>
      <w:r w:rsidR="00D9504F">
        <w:t>findings demonstrate that the percentage</w:t>
      </w:r>
      <w:r>
        <w:t xml:space="preserve"> of counties that currently lack the ability to receive</w:t>
      </w:r>
      <w:r w:rsidR="00D9504F">
        <w:t xml:space="preserve"> any</w:t>
      </w:r>
      <w:r>
        <w:t xml:space="preserve"> in-state programing is small.</w:t>
      </w:r>
      <w:r w:rsidR="00A43A99">
        <w:rPr>
          <w:rStyle w:val="FootnoteReference"/>
        </w:rPr>
        <w:footnoteReference w:id="194"/>
      </w:r>
      <w:r>
        <w:t xml:space="preserve">  </w:t>
      </w:r>
      <w:r w:rsidR="000B34B2">
        <w:t>In</w:t>
      </w:r>
      <w:r w:rsidR="002A22FF">
        <w:t xml:space="preserve"> the </w:t>
      </w:r>
      <w:r w:rsidR="002A22FF" w:rsidRPr="007C46A5">
        <w:rPr>
          <w:i/>
        </w:rPr>
        <w:t>In-State Programming Report</w:t>
      </w:r>
      <w:r w:rsidR="002A22FF">
        <w:t xml:space="preserve">, the </w:t>
      </w:r>
      <w:r w:rsidR="00D54AD1">
        <w:t>Bureau</w:t>
      </w:r>
      <w:r w:rsidR="002A22FF">
        <w:t xml:space="preserve"> </w:t>
      </w:r>
      <w:r w:rsidR="00D54AD1">
        <w:t xml:space="preserve">extensively </w:t>
      </w:r>
      <w:r w:rsidR="002A22FF">
        <w:t xml:space="preserve">examined consumers’ access to signals from both in-state and out-of-state television stations. </w:t>
      </w:r>
      <w:r w:rsidR="00A249F0">
        <w:t xml:space="preserve"> </w:t>
      </w:r>
      <w:r w:rsidR="002A22FF">
        <w:t xml:space="preserve">The </w:t>
      </w:r>
      <w:r w:rsidR="00903980">
        <w:t>Bureau’s</w:t>
      </w:r>
      <w:r w:rsidR="002A22FF">
        <w:t xml:space="preserve"> detailed analysis found that </w:t>
      </w:r>
      <w:r w:rsidR="006F1E73">
        <w:t xml:space="preserve">the vast majority of </w:t>
      </w:r>
      <w:r w:rsidR="002A22FF">
        <w:t xml:space="preserve">households </w:t>
      </w:r>
      <w:r w:rsidR="006F1E73">
        <w:t xml:space="preserve">and consumers </w:t>
      </w:r>
      <w:r w:rsidR="002A22FF">
        <w:t xml:space="preserve">have access to programming from in-state stations, with </w:t>
      </w:r>
      <w:r w:rsidR="002A22FF" w:rsidRPr="00D573D5">
        <w:t>99.98 percent of the 117.2 million total U.S. households</w:t>
      </w:r>
      <w:r w:rsidR="002A22FF">
        <w:t xml:space="preserve"> </w:t>
      </w:r>
      <w:r w:rsidR="00A249F0">
        <w:t xml:space="preserve">registering </w:t>
      </w:r>
      <w:r w:rsidR="002A22FF" w:rsidRPr="00D573D5">
        <w:t xml:space="preserve">access to in-state programming </w:t>
      </w:r>
      <w:r w:rsidR="002A22FF">
        <w:t xml:space="preserve">from at least one in-state station, </w:t>
      </w:r>
      <w:r w:rsidR="002A22FF" w:rsidRPr="00D573D5">
        <w:t>either over the air or via an MVPD</w:t>
      </w:r>
      <w:r w:rsidR="00A249F0">
        <w:t>.</w:t>
      </w:r>
      <w:r w:rsidR="006F1E73">
        <w:rPr>
          <w:rStyle w:val="FootnoteReference"/>
        </w:rPr>
        <w:footnoteReference w:id="195"/>
      </w:r>
      <w:r w:rsidR="00A249F0">
        <w:t xml:space="preserve">  </w:t>
      </w:r>
      <w:r w:rsidR="00903980">
        <w:t xml:space="preserve">The analysis showed further that about 99.2 percent of all U.S. households can receive at least one in-state station via </w:t>
      </w:r>
      <w:r w:rsidR="00F40F86">
        <w:t>over the air</w:t>
      </w:r>
      <w:r w:rsidR="00903980">
        <w:t xml:space="preserve"> reception, and about 98.4 percent of households have access to at least one in-state station via DBS.</w:t>
      </w:r>
      <w:r w:rsidR="007C46A5">
        <w:rPr>
          <w:rStyle w:val="FootnoteReference"/>
        </w:rPr>
        <w:footnoteReference w:id="196"/>
      </w:r>
      <w:bookmarkEnd w:id="57"/>
      <w:r w:rsidR="00903980">
        <w:t xml:space="preserve">  </w:t>
      </w:r>
    </w:p>
    <w:p w:rsidR="00691413" w:rsidRDefault="00D9504F" w:rsidP="0019602D">
      <w:pPr>
        <w:pStyle w:val="ParaNum"/>
      </w:pPr>
      <w:r>
        <w:t xml:space="preserve">The </w:t>
      </w:r>
      <w:r w:rsidR="009B6794">
        <w:t xml:space="preserve">current </w:t>
      </w:r>
      <w:r>
        <w:t>record</w:t>
      </w:r>
      <w:r w:rsidR="009B6794">
        <w:t xml:space="preserve"> </w:t>
      </w:r>
      <w:r>
        <w:t>indicates that d</w:t>
      </w:r>
      <w:r w:rsidR="00AB28D5">
        <w:t xml:space="preserve">eparting from the existing </w:t>
      </w:r>
      <w:r w:rsidR="00EC2321">
        <w:t xml:space="preserve">Nielsen DMA market determination system </w:t>
      </w:r>
      <w:r w:rsidR="00AB28D5">
        <w:t>would create enormous disruptions in the video programming in</w:t>
      </w:r>
      <w:r w:rsidR="009B2C8B">
        <w:t>dustry</w:t>
      </w:r>
      <w:r w:rsidR="006738D3">
        <w:t xml:space="preserve"> disproportionate to any benefit gained</w:t>
      </w:r>
      <w:r w:rsidR="00350B9A">
        <w:t>, and would be unlikely to increase the amount of local programming available to viewers as a whole</w:t>
      </w:r>
      <w:r w:rsidR="00AB28D5">
        <w:t>.</w:t>
      </w:r>
      <w:r w:rsidR="009B2C8B">
        <w:t xml:space="preserve">  Furthermore, changing the market of a</w:t>
      </w:r>
      <w:r w:rsidR="00C96C8C">
        <w:t xml:space="preserve"> particular </w:t>
      </w:r>
      <w:r w:rsidR="009B2C8B">
        <w:t>county</w:t>
      </w:r>
      <w:r w:rsidR="00AB28D5">
        <w:t xml:space="preserve"> </w:t>
      </w:r>
      <w:r w:rsidR="009B2C8B">
        <w:t xml:space="preserve">from </w:t>
      </w:r>
      <w:r w:rsidR="00C96C8C">
        <w:t>one</w:t>
      </w:r>
      <w:r w:rsidR="009B2C8B">
        <w:t xml:space="preserve"> DMA to an</w:t>
      </w:r>
      <w:r w:rsidR="00C96C8C">
        <w:t>other that is potentially composed of counties from the same state</w:t>
      </w:r>
      <w:r w:rsidR="009B2C8B">
        <w:t xml:space="preserve"> </w:t>
      </w:r>
      <w:r w:rsidR="009B6794">
        <w:t xml:space="preserve">as the county </w:t>
      </w:r>
      <w:r w:rsidR="009B2C8B">
        <w:t>may not necessarily</w:t>
      </w:r>
      <w:r w:rsidR="00AB28D5">
        <w:t xml:space="preserve"> </w:t>
      </w:r>
      <w:r w:rsidR="009B2C8B">
        <w:t xml:space="preserve">increase the </w:t>
      </w:r>
      <w:r w:rsidR="006738D3">
        <w:t xml:space="preserve">amount of </w:t>
      </w:r>
      <w:r w:rsidR="00350B9A">
        <w:t xml:space="preserve">local </w:t>
      </w:r>
      <w:r w:rsidR="006738D3">
        <w:t>programming</w:t>
      </w:r>
      <w:r w:rsidR="009B2C8B">
        <w:t xml:space="preserve"> that </w:t>
      </w:r>
      <w:r w:rsidR="00C96C8C">
        <w:t>the</w:t>
      </w:r>
      <w:r w:rsidR="006738D3">
        <w:t xml:space="preserve"> </w:t>
      </w:r>
      <w:r w:rsidR="009B2C8B">
        <w:t>county receives due to</w:t>
      </w:r>
      <w:r w:rsidR="003441B5">
        <w:t xml:space="preserve"> the</w:t>
      </w:r>
      <w:r w:rsidR="009B2C8B">
        <w:t xml:space="preserve"> economics of broadcast television</w:t>
      </w:r>
      <w:r w:rsidR="00C96C8C">
        <w:t xml:space="preserve"> and the ability (or inability) to serve a geographically distant, but in-state county</w:t>
      </w:r>
      <w:r w:rsidR="001A3F9C">
        <w:t>.</w:t>
      </w:r>
    </w:p>
    <w:p w:rsidR="003C14DF" w:rsidRDefault="00D9504F" w:rsidP="009B7BE4">
      <w:pPr>
        <w:pStyle w:val="ParaNum"/>
        <w:widowControl/>
      </w:pPr>
      <w:bookmarkStart w:id="58" w:name="_Ref452470880"/>
      <w:r>
        <w:t xml:space="preserve">In the </w:t>
      </w:r>
      <w:r w:rsidR="00A16250" w:rsidRPr="002A250B">
        <w:rPr>
          <w:i/>
        </w:rPr>
        <w:t xml:space="preserve">STELAR Report </w:t>
      </w:r>
      <w:r w:rsidR="00A16250">
        <w:rPr>
          <w:i/>
        </w:rPr>
        <w:t>PN</w:t>
      </w:r>
      <w:r>
        <w:t xml:space="preserve">, the Commission requested suggestions on alternatives to the use of DMAs to define market areas.  </w:t>
      </w:r>
      <w:r w:rsidR="00C8061E">
        <w:t>Small,</w:t>
      </w:r>
      <w:r w:rsidR="00373BEE">
        <w:t xml:space="preserve"> rural MVPDs represented by WTA </w:t>
      </w:r>
      <w:r w:rsidR="00C8061E">
        <w:t xml:space="preserve">and the </w:t>
      </w:r>
      <w:r w:rsidR="00C8061E" w:rsidRPr="00C8061E">
        <w:t xml:space="preserve">Independent Telephone &amp; Telecommunications Alliance </w:t>
      </w:r>
      <w:r w:rsidR="00C8061E">
        <w:t>(ITTA) were the only commenters to suggest that the Commission consider DMA alternatives.</w:t>
      </w:r>
      <w:r w:rsidR="00C8061E">
        <w:rPr>
          <w:rStyle w:val="FootnoteReference"/>
        </w:rPr>
        <w:footnoteReference w:id="197"/>
      </w:r>
      <w:r w:rsidR="00C8061E">
        <w:t xml:space="preserve">  Specifically, WTA and ITTA state that the Commission should consider alternatives that would enable cable providers and consumers to choose which broadcast station</w:t>
      </w:r>
      <w:r w:rsidR="003441B5">
        <w:t>s</w:t>
      </w:r>
      <w:r w:rsidR="00C8061E">
        <w:t xml:space="preserve"> they wish to receive.</w:t>
      </w:r>
      <w:r w:rsidR="00C8061E">
        <w:rPr>
          <w:rStyle w:val="FootnoteReference"/>
        </w:rPr>
        <w:footnoteReference w:id="198"/>
      </w:r>
      <w:bookmarkEnd w:id="58"/>
      <w:r w:rsidR="00C8061E">
        <w:t xml:space="preserve">  </w:t>
      </w:r>
    </w:p>
    <w:p w:rsidR="00C8061E" w:rsidRDefault="003C14DF" w:rsidP="00C8061E">
      <w:pPr>
        <w:pStyle w:val="ParaNum"/>
      </w:pPr>
      <w:r w:rsidRPr="00432FE6">
        <w:t>W</w:t>
      </w:r>
      <w:r>
        <w:t xml:space="preserve">TA proposes that cable </w:t>
      </w:r>
      <w:r w:rsidRPr="00432FE6">
        <w:t>operat</w:t>
      </w:r>
      <w:r>
        <w:t xml:space="preserve">ors, on behalf of their customers, should have the ability to </w:t>
      </w:r>
      <w:r w:rsidR="00DE09C1">
        <w:t>change the</w:t>
      </w:r>
      <w:r w:rsidRPr="00432FE6">
        <w:t xml:space="preserve"> DMA </w:t>
      </w:r>
      <w:r w:rsidR="00DE09C1">
        <w:t>assignment of the community in which their customers reside to a DMA in the same state as the customers’ community</w:t>
      </w:r>
      <w:r w:rsidR="00440071">
        <w:t xml:space="preserve"> </w:t>
      </w:r>
      <w:r w:rsidRPr="00432FE6">
        <w:t>that reflects what</w:t>
      </w:r>
      <w:r>
        <w:t xml:space="preserve"> the cable operator determines to be the </w:t>
      </w:r>
      <w:r w:rsidRPr="00432FE6">
        <w:t>interests of the majority of the customers in that commu</w:t>
      </w:r>
      <w:r>
        <w:t>nity.</w:t>
      </w:r>
      <w:r>
        <w:rPr>
          <w:rStyle w:val="FootnoteReference"/>
        </w:rPr>
        <w:footnoteReference w:id="199"/>
      </w:r>
      <w:r>
        <w:t xml:space="preserve">  Under this system, the affected broadcast </w:t>
      </w:r>
      <w:r w:rsidRPr="00432FE6">
        <w:t>stations would then have the burden of rebutting the presu</w:t>
      </w:r>
      <w:r>
        <w:t xml:space="preserve">mption that such </w:t>
      </w:r>
      <w:r w:rsidR="00A2327C">
        <w:t>a change in DMA assignment</w:t>
      </w:r>
      <w:r>
        <w:t xml:space="preserve"> </w:t>
      </w:r>
      <w:r w:rsidRPr="00432FE6">
        <w:t>is reasonable and appropriate.</w:t>
      </w:r>
      <w:r>
        <w:rPr>
          <w:rStyle w:val="FootnoteReference"/>
        </w:rPr>
        <w:footnoteReference w:id="200"/>
      </w:r>
      <w:r>
        <w:t xml:space="preserve">  WTA argues that such a presumption would aid smaller cable operators for whom the market modification process is too costly or inefficient.</w:t>
      </w:r>
      <w:r>
        <w:rPr>
          <w:rStyle w:val="FootnoteReference"/>
        </w:rPr>
        <w:footnoteReference w:id="201"/>
      </w:r>
      <w:r>
        <w:t xml:space="preserve">  WTA states that </w:t>
      </w:r>
      <w:r w:rsidRPr="002227C2">
        <w:t>t</w:t>
      </w:r>
      <w:r>
        <w:t>he impact of such a change on broadcast</w:t>
      </w:r>
      <w:r w:rsidR="0098663C">
        <w:t xml:space="preserve"> viewership and advertising revenue</w:t>
      </w:r>
      <w:r>
        <w:t xml:space="preserve"> </w:t>
      </w:r>
      <w:r w:rsidRPr="002227C2">
        <w:t>would be minimal</w:t>
      </w:r>
      <w:r>
        <w:t xml:space="preserve"> because </w:t>
      </w:r>
      <w:r w:rsidR="0098663C">
        <w:t>“</w:t>
      </w:r>
      <w:r>
        <w:t>the</w:t>
      </w:r>
      <w:r w:rsidRPr="002227C2">
        <w:t xml:space="preserve"> typical</w:t>
      </w:r>
      <w:r>
        <w:t xml:space="preserve"> subscribership of cable </w:t>
      </w:r>
      <w:r w:rsidRPr="002227C2">
        <w:t xml:space="preserve">operators and the size of rural communities impacted </w:t>
      </w:r>
      <w:r>
        <w:t xml:space="preserve">by illogical DMA assignments is </w:t>
      </w:r>
      <w:r w:rsidRPr="002227C2">
        <w:t>generally a very small proportion of the larger DMA</w:t>
      </w:r>
      <w:r>
        <w:t>.</w:t>
      </w:r>
      <w:r w:rsidR="0098663C">
        <w:t>”</w:t>
      </w:r>
      <w:r>
        <w:rPr>
          <w:rStyle w:val="FootnoteReference"/>
        </w:rPr>
        <w:footnoteReference w:id="202"/>
      </w:r>
      <w:r>
        <w:t xml:space="preserve">  WTA states that any negative impact on broadcasters would be outweighed by consumer </w:t>
      </w:r>
      <w:r w:rsidRPr="002227C2">
        <w:t>benefits of greater choice and access to</w:t>
      </w:r>
      <w:r>
        <w:t xml:space="preserve"> more relevant and timely local </w:t>
      </w:r>
      <w:r w:rsidRPr="002227C2">
        <w:t>programming</w:t>
      </w:r>
      <w:r>
        <w:t>.</w:t>
      </w:r>
      <w:r>
        <w:rPr>
          <w:rStyle w:val="FootnoteReference"/>
        </w:rPr>
        <w:footnoteReference w:id="203"/>
      </w:r>
    </w:p>
    <w:p w:rsidR="003C14DF" w:rsidRDefault="003C14DF" w:rsidP="009B31BA">
      <w:pPr>
        <w:pStyle w:val="ParaNum"/>
        <w:widowControl/>
      </w:pPr>
      <w:r>
        <w:t>Alternatively, WTA states that consumers should be able to select the broadcast channels provided by their cable operators on an “a la carte” basis.</w:t>
      </w:r>
      <w:r>
        <w:rPr>
          <w:rStyle w:val="FootnoteReference"/>
        </w:rPr>
        <w:footnoteReference w:id="204"/>
      </w:r>
      <w:r>
        <w:t xml:space="preserve">  </w:t>
      </w:r>
      <w:r w:rsidR="00C179B3">
        <w:t>WTA states that a</w:t>
      </w:r>
      <w:r>
        <w:t>n “a la carte” regime would give consumers the most options in choosing which DMA is the best for their local programming needs and ultimately for which broadcast stations they wish to pay.</w:t>
      </w:r>
      <w:r>
        <w:rPr>
          <w:rStyle w:val="FootnoteReference"/>
        </w:rPr>
        <w:footnoteReference w:id="205"/>
      </w:r>
      <w:r w:rsidR="00821E29">
        <w:t xml:space="preserve">  </w:t>
      </w:r>
      <w:r w:rsidR="004713D0">
        <w:t xml:space="preserve">ITTA suggests an approach similar to the Senate Commerce Committee’s August 2014 </w:t>
      </w:r>
      <w:r w:rsidR="004713D0" w:rsidRPr="000A1B41">
        <w:t>Local CHOICE proposal</w:t>
      </w:r>
      <w:r w:rsidR="004713D0">
        <w:t>.</w:t>
      </w:r>
      <w:r w:rsidR="004713D0">
        <w:rPr>
          <w:rStyle w:val="FootnoteReference"/>
        </w:rPr>
        <w:footnoteReference w:id="206"/>
      </w:r>
      <w:r w:rsidR="004713D0">
        <w:t xml:space="preserve">  Under ITTA’s proposal, local commercial stations annually would opt for must carry or retransmission consent status in exchange for payment at a uniform per subscriber fee that applies to all MVPDs in a market.</w:t>
      </w:r>
      <w:r w:rsidR="004713D0">
        <w:rPr>
          <w:rStyle w:val="FootnoteReference"/>
        </w:rPr>
        <w:footnoteReference w:id="207"/>
      </w:r>
      <w:r w:rsidR="004713D0">
        <w:t xml:space="preserve">  Consumers </w:t>
      </w:r>
      <w:r w:rsidR="0098663C">
        <w:t xml:space="preserve">would </w:t>
      </w:r>
      <w:r w:rsidR="004713D0">
        <w:t xml:space="preserve">then select which stations they want to purchase and the MVPD </w:t>
      </w:r>
      <w:r w:rsidR="0098663C">
        <w:t xml:space="preserve">would </w:t>
      </w:r>
      <w:r w:rsidR="004713D0">
        <w:t>collect and remit those fees to the relevant broadcaster.</w:t>
      </w:r>
      <w:r w:rsidR="004713D0">
        <w:rPr>
          <w:rStyle w:val="FootnoteReference"/>
        </w:rPr>
        <w:footnoteReference w:id="208"/>
      </w:r>
      <w:r w:rsidR="004713D0">
        <w:t xml:space="preserve">  ITTA asserts that this proposal</w:t>
      </w:r>
      <w:r w:rsidR="004713D0" w:rsidRPr="000A1B41">
        <w:t xml:space="preserve"> </w:t>
      </w:r>
      <w:r w:rsidR="003441B5">
        <w:t xml:space="preserve">would </w:t>
      </w:r>
      <w:r w:rsidR="004713D0" w:rsidRPr="000A1B41">
        <w:t>give consumers the choice of whether or not to receive and pay for local broadcast stations based on their individual preferences</w:t>
      </w:r>
      <w:r w:rsidR="004713D0">
        <w:t>.</w:t>
      </w:r>
      <w:r w:rsidR="004713D0">
        <w:rPr>
          <w:rStyle w:val="FootnoteReference"/>
        </w:rPr>
        <w:footnoteReference w:id="209"/>
      </w:r>
      <w:r w:rsidR="004713D0">
        <w:t xml:space="preserve"> </w:t>
      </w:r>
    </w:p>
    <w:p w:rsidR="00186BAF" w:rsidRDefault="002E3022" w:rsidP="00186BAF">
      <w:pPr>
        <w:pStyle w:val="ParaNum"/>
      </w:pPr>
      <w:r>
        <w:t>C</w:t>
      </w:r>
      <w:r w:rsidR="00CE6793">
        <w:t>ommenters</w:t>
      </w:r>
      <w:r>
        <w:t xml:space="preserve"> opposed to DMA alternatives</w:t>
      </w:r>
      <w:r w:rsidR="00CE6793">
        <w:t xml:space="preserve"> argue that changing the existing DMA system would create disruptions in the television programming and advertising markets disproportionate to any benefit gained.</w:t>
      </w:r>
      <w:r w:rsidR="00CE6793">
        <w:rPr>
          <w:rStyle w:val="FootnoteReference"/>
        </w:rPr>
        <w:footnoteReference w:id="210"/>
      </w:r>
      <w:r w:rsidR="00CE6793">
        <w:t xml:space="preserve">  </w:t>
      </w:r>
      <w:r>
        <w:t>DIRECTV adds that adopting a market determination system different from the Nielsen DMA system is infeasible, particularly for DBS providers.</w:t>
      </w:r>
      <w:r>
        <w:rPr>
          <w:rStyle w:val="FootnoteReference"/>
        </w:rPr>
        <w:footnoteReference w:id="211"/>
      </w:r>
      <w:r>
        <w:t xml:space="preserve">  </w:t>
      </w:r>
      <w:r w:rsidR="00F74CF7">
        <w:t xml:space="preserve">DIRECTV states that </w:t>
      </w:r>
      <w:r w:rsidR="007831ED">
        <w:t xml:space="preserve">the </w:t>
      </w:r>
      <w:r w:rsidR="00F74CF7">
        <w:t xml:space="preserve">spot beams </w:t>
      </w:r>
      <w:r w:rsidR="007831ED">
        <w:t xml:space="preserve">used </w:t>
      </w:r>
      <w:r w:rsidR="00F74CF7">
        <w:t xml:space="preserve">to carry local television stations have been configured using the Nielsen DMA </w:t>
      </w:r>
      <w:r w:rsidR="00186BAF">
        <w:t>s</w:t>
      </w:r>
      <w:r w:rsidR="00F74CF7">
        <w:t>ystem.</w:t>
      </w:r>
      <w:r w:rsidR="00F74CF7">
        <w:rPr>
          <w:rStyle w:val="FootnoteReference"/>
        </w:rPr>
        <w:footnoteReference w:id="212"/>
      </w:r>
      <w:r w:rsidR="00F74CF7">
        <w:t xml:space="preserve">  DIRECTV states that</w:t>
      </w:r>
      <w:r w:rsidR="003441B5">
        <w:t>,</w:t>
      </w:r>
      <w:r w:rsidR="00F74CF7">
        <w:t xml:space="preserve"> while some of its satellites can adjust spot beams, doing so would disrupt </w:t>
      </w:r>
      <w:r w:rsidR="00F74CF7" w:rsidRPr="008F02AC">
        <w:t>s</w:t>
      </w:r>
      <w:r w:rsidR="00F74CF7">
        <w:t>ervice across several markets</w:t>
      </w:r>
      <w:r w:rsidR="00F74CF7" w:rsidRPr="008F02AC">
        <w:t xml:space="preserve"> and negate DIRECTV’s efforts to optimize population coverage</w:t>
      </w:r>
      <w:r w:rsidR="00F74CF7">
        <w:t>.</w:t>
      </w:r>
      <w:r w:rsidR="00F74CF7">
        <w:rPr>
          <w:rStyle w:val="FootnoteReference"/>
        </w:rPr>
        <w:footnoteReference w:id="213"/>
      </w:r>
      <w:r w:rsidR="00F74CF7">
        <w:t xml:space="preserve">  DIRECTV explains that it cannot move individual spot beams on its satellites and can only adjust slightly the entire array of spot beams on a satellite.</w:t>
      </w:r>
      <w:r w:rsidR="00F74CF7">
        <w:rPr>
          <w:rStyle w:val="FootnoteReference"/>
        </w:rPr>
        <w:footnoteReference w:id="214"/>
      </w:r>
      <w:r w:rsidR="00C179B3">
        <w:t xml:space="preserve">  </w:t>
      </w:r>
      <w:r w:rsidR="004713D0">
        <w:t xml:space="preserve">DIRECTV states that </w:t>
      </w:r>
      <w:r w:rsidR="004713D0" w:rsidRPr="00413F75">
        <w:t xml:space="preserve">changing satellites to comply with DMA </w:t>
      </w:r>
      <w:r w:rsidR="004713D0">
        <w:t xml:space="preserve">alternatives would </w:t>
      </w:r>
      <w:r w:rsidR="004713D0" w:rsidRPr="00413F75">
        <w:t xml:space="preserve">render </w:t>
      </w:r>
      <w:r w:rsidR="004713D0">
        <w:t xml:space="preserve">its </w:t>
      </w:r>
      <w:r w:rsidR="004713D0" w:rsidRPr="00413F75">
        <w:t>existing satellites</w:t>
      </w:r>
      <w:r w:rsidR="00CA0E05">
        <w:t>, representing billions of dollars,</w:t>
      </w:r>
      <w:r w:rsidR="004713D0" w:rsidRPr="00413F75">
        <w:t xml:space="preserve"> essentially useless and impose </w:t>
      </w:r>
      <w:r w:rsidR="00CA0E05">
        <w:t>significant additional costs as well as substantial</w:t>
      </w:r>
      <w:r w:rsidR="004713D0" w:rsidRPr="00413F75">
        <w:t xml:space="preserve"> consumer disruption</w:t>
      </w:r>
      <w:r w:rsidR="004713D0">
        <w:t>.</w:t>
      </w:r>
      <w:r w:rsidR="004713D0">
        <w:rPr>
          <w:rStyle w:val="FootnoteReference"/>
        </w:rPr>
        <w:footnoteReference w:id="215"/>
      </w:r>
    </w:p>
    <w:p w:rsidR="00CE6793" w:rsidRDefault="00186BAF" w:rsidP="00C8061E">
      <w:pPr>
        <w:pStyle w:val="ParaNum"/>
      </w:pPr>
      <w:r>
        <w:t xml:space="preserve">NAB states that Nielsen DMAs reflect population and economic realities </w:t>
      </w:r>
      <w:r w:rsidR="003C78F1">
        <w:t xml:space="preserve">and </w:t>
      </w:r>
      <w:r>
        <w:t>are essential to an efficient marketplace for television stations.</w:t>
      </w:r>
      <w:r>
        <w:rPr>
          <w:rStyle w:val="FootnoteReference"/>
        </w:rPr>
        <w:footnoteReference w:id="216"/>
      </w:r>
      <w:r>
        <w:t xml:space="preserve">  NAB adds that major changes to the existing DMA structure may be technically impractical or infeasible for broadcasters and MVPDs.</w:t>
      </w:r>
      <w:r>
        <w:rPr>
          <w:rStyle w:val="FootnoteReference"/>
        </w:rPr>
        <w:footnoteReference w:id="217"/>
      </w:r>
      <w:r>
        <w:t xml:space="preserve">  </w:t>
      </w:r>
      <w:r w:rsidR="00CA0E05">
        <w:t>NAB points out that t</w:t>
      </w:r>
      <w:r>
        <w:t>he physical limitations of broadcast signals (tower placement, signal</w:t>
      </w:r>
      <w:r w:rsidR="00CA0E05">
        <w:t xml:space="preserve"> propagation, topography) </w:t>
      </w:r>
      <w:r>
        <w:t>prevent stations from aligning coverage areas with state boundaries.</w:t>
      </w:r>
      <w:r>
        <w:rPr>
          <w:rStyle w:val="FootnoteReference"/>
        </w:rPr>
        <w:footnoteReference w:id="218"/>
      </w:r>
      <w:r>
        <w:t xml:space="preserve">  Cable headends and satellite uplink facilities could have trouble receiving a quality signal from newly aligned in-state stations.</w:t>
      </w:r>
      <w:r>
        <w:rPr>
          <w:rStyle w:val="FootnoteReference"/>
        </w:rPr>
        <w:footnoteReference w:id="219"/>
      </w:r>
      <w:r>
        <w:t xml:space="preserve"> Instead of adopting DMA alternatives, b</w:t>
      </w:r>
      <w:r w:rsidR="00C179B3">
        <w:t>roadcast</w:t>
      </w:r>
      <w:r w:rsidR="00CE6793">
        <w:t xml:space="preserve"> commenters state that existing law and Commission regulations suffice to address localism concerns.</w:t>
      </w:r>
      <w:r w:rsidR="00CE6793">
        <w:rPr>
          <w:rStyle w:val="FootnoteReference"/>
        </w:rPr>
        <w:footnoteReference w:id="220"/>
      </w:r>
      <w:r w:rsidR="00CE6793">
        <w:t xml:space="preserve">  </w:t>
      </w:r>
      <w:r w:rsidR="00C179B3">
        <w:t xml:space="preserve">NAB and </w:t>
      </w:r>
      <w:r w:rsidR="002A789B">
        <w:t>the Joint Television Network Affiliates (JTNA)</w:t>
      </w:r>
      <w:r w:rsidR="00C179B3">
        <w:t xml:space="preserve"> argue</w:t>
      </w:r>
      <w:r w:rsidR="00C8061E">
        <w:t xml:space="preserve"> that the </w:t>
      </w:r>
      <w:r w:rsidR="00240D2E">
        <w:t xml:space="preserve">alternatives </w:t>
      </w:r>
      <w:r w:rsidR="00C8061E">
        <w:t xml:space="preserve">supported by WTA and ITTA </w:t>
      </w:r>
      <w:r w:rsidR="00240D2E">
        <w:t>amount to thinly veiled attempts to give MVPDs more leverage in retransmission consent negotiations.</w:t>
      </w:r>
      <w:r w:rsidR="00240D2E">
        <w:rPr>
          <w:rStyle w:val="FootnoteReference"/>
        </w:rPr>
        <w:footnoteReference w:id="221"/>
      </w:r>
    </w:p>
    <w:p w:rsidR="00240D2E" w:rsidRDefault="00CE6793" w:rsidP="004D5B6C">
      <w:pPr>
        <w:pStyle w:val="ParaNum"/>
      </w:pPr>
      <w:bookmarkStart w:id="59" w:name="_Ref452470890"/>
      <w:r>
        <w:t>Commenters advocating for DMA alternatives generally stress the shortcomings of the current market determination system in serving rural markets.</w:t>
      </w:r>
      <w:r>
        <w:rPr>
          <w:rStyle w:val="FootnoteReference"/>
        </w:rPr>
        <w:footnoteReference w:id="222"/>
      </w:r>
      <w:r>
        <w:t xml:space="preserve">  However, NAB attributes the challenges broadcast television stations face in providing local services in rural markets to the “fundamental economics of television broadcasting,” not market definitions.</w:t>
      </w:r>
      <w:r>
        <w:rPr>
          <w:rStyle w:val="FootnoteReference"/>
        </w:rPr>
        <w:footnoteReference w:id="223"/>
      </w:r>
      <w:r>
        <w:t xml:space="preserve">  NAB explains that television stations need large economic bases drawn from large populations to remain viable</w:t>
      </w:r>
      <w:r w:rsidR="003441B5">
        <w:t>,</w:t>
      </w:r>
      <w:r>
        <w:t xml:space="preserve"> which is why television stations are concentrated in large population centers.</w:t>
      </w:r>
      <w:r>
        <w:rPr>
          <w:rStyle w:val="FootnoteReference"/>
        </w:rPr>
        <w:footnoteReference w:id="224"/>
      </w:r>
      <w:r>
        <w:t xml:space="preserve">  Rural markets have smaller populations</w:t>
      </w:r>
      <w:r w:rsidR="003441B5">
        <w:t>,</w:t>
      </w:r>
      <w:r>
        <w:t xml:space="preserve"> which means smaller sources for potential revenue </w:t>
      </w:r>
      <w:r w:rsidR="003C78F1">
        <w:t>and thus fewer</w:t>
      </w:r>
      <w:r>
        <w:t xml:space="preserve"> resources to produce local programming.</w:t>
      </w:r>
      <w:r>
        <w:rPr>
          <w:rStyle w:val="FootnoteReference"/>
        </w:rPr>
        <w:footnoteReference w:id="225"/>
      </w:r>
      <w:r>
        <w:t xml:space="preserve">  NAB argues that changing the market definitions would not alter this economic reality</w:t>
      </w:r>
      <w:r w:rsidR="00287468">
        <w:t xml:space="preserve"> and thus </w:t>
      </w:r>
      <w:r w:rsidR="00BB6F36">
        <w:t xml:space="preserve">would </w:t>
      </w:r>
      <w:r w:rsidR="00287468">
        <w:t>not result in greater localism or programming options for such areas</w:t>
      </w:r>
      <w:r>
        <w:t>.</w:t>
      </w:r>
      <w:r>
        <w:rPr>
          <w:rStyle w:val="FootnoteReference"/>
        </w:rPr>
        <w:footnoteReference w:id="226"/>
      </w:r>
      <w:bookmarkEnd w:id="59"/>
    </w:p>
    <w:p w:rsidR="00BB6F36" w:rsidRPr="00287468" w:rsidRDefault="00CE72F8" w:rsidP="00EA3C73">
      <w:pPr>
        <w:pStyle w:val="ParaNum"/>
      </w:pPr>
      <w:r w:rsidRPr="00287468">
        <w:t xml:space="preserve">Given the record </w:t>
      </w:r>
      <w:r w:rsidR="003441B5">
        <w:t>developed</w:t>
      </w:r>
      <w:r w:rsidR="003441B5" w:rsidRPr="00287468">
        <w:t xml:space="preserve"> </w:t>
      </w:r>
      <w:r w:rsidRPr="00287468">
        <w:t>in this proceeding</w:t>
      </w:r>
      <w:r w:rsidR="00287468" w:rsidRPr="00287468">
        <w:t xml:space="preserve">, as well as the record and analysis developed in the Commission’s earlier </w:t>
      </w:r>
      <w:r w:rsidR="00287468" w:rsidRPr="00363062">
        <w:rPr>
          <w:i/>
        </w:rPr>
        <w:t>In-State Programming Report</w:t>
      </w:r>
      <w:r w:rsidRPr="00287468">
        <w:t xml:space="preserve">, </w:t>
      </w:r>
      <w:r w:rsidR="00287468" w:rsidRPr="00287468">
        <w:t xml:space="preserve">it does not appear that an economically and technically </w:t>
      </w:r>
      <w:r w:rsidRPr="00287468">
        <w:t>feasible alternative exist</w:t>
      </w:r>
      <w:r w:rsidR="00287468" w:rsidRPr="00287468">
        <w:t>s</w:t>
      </w:r>
      <w:r w:rsidRPr="00287468">
        <w:t xml:space="preserve"> to the use of DMAs to define </w:t>
      </w:r>
      <w:r w:rsidR="00287468" w:rsidRPr="00287468">
        <w:t xml:space="preserve">television </w:t>
      </w:r>
      <w:r w:rsidRPr="00287468">
        <w:t xml:space="preserve">market areas.  </w:t>
      </w:r>
      <w:r w:rsidR="00E35A6D">
        <w:t xml:space="preserve">For the most part, </w:t>
      </w:r>
      <w:r w:rsidR="00561DAE" w:rsidRPr="00287468">
        <w:t>DMAs place each county into one and only one DMA.</w:t>
      </w:r>
      <w:r w:rsidR="00561DAE" w:rsidRPr="00287468">
        <w:rPr>
          <w:rStyle w:val="FootnoteReference"/>
        </w:rPr>
        <w:footnoteReference w:id="227"/>
      </w:r>
      <w:r w:rsidR="00561DAE" w:rsidRPr="00287468">
        <w:t xml:space="preserve">  </w:t>
      </w:r>
      <w:r w:rsidR="0047420F" w:rsidRPr="00287468">
        <w:t xml:space="preserve">Our </w:t>
      </w:r>
      <w:r w:rsidR="00CF701D" w:rsidRPr="00287468">
        <w:t>analysis confirms</w:t>
      </w:r>
      <w:r w:rsidR="0047420F" w:rsidRPr="00287468">
        <w:t xml:space="preserve"> that </w:t>
      </w:r>
      <w:r w:rsidR="00CA4631">
        <w:t xml:space="preserve">the vast majority of households receive signals from in-state television stations, regardless of the DMA to which the county is assigned.  </w:t>
      </w:r>
      <w:r w:rsidR="0047420F" w:rsidRPr="00287468">
        <w:t xml:space="preserve">For </w:t>
      </w:r>
      <w:r w:rsidR="003441B5">
        <w:t xml:space="preserve">particular </w:t>
      </w:r>
      <w:r w:rsidR="0047420F" w:rsidRPr="00287468">
        <w:t>counties</w:t>
      </w:r>
      <w:r w:rsidR="009B3638" w:rsidRPr="00287468">
        <w:t xml:space="preserve">, the DMA assignment </w:t>
      </w:r>
      <w:r w:rsidR="00287468">
        <w:t xml:space="preserve">may </w:t>
      </w:r>
      <w:r w:rsidR="009B3638" w:rsidRPr="00287468">
        <w:t>result in</w:t>
      </w:r>
      <w:r w:rsidR="00D636A0" w:rsidRPr="00287468">
        <w:t xml:space="preserve"> </w:t>
      </w:r>
      <w:r w:rsidR="003441B5">
        <w:t>viewers receiving</w:t>
      </w:r>
      <w:r w:rsidR="00D636A0" w:rsidRPr="00287468">
        <w:t xml:space="preserve"> </w:t>
      </w:r>
      <w:r w:rsidR="00C06DE1">
        <w:t>limited</w:t>
      </w:r>
      <w:r w:rsidR="00C06DE1" w:rsidRPr="00287468">
        <w:t xml:space="preserve"> </w:t>
      </w:r>
      <w:r w:rsidR="0047420F" w:rsidRPr="00287468">
        <w:t>programming about the state</w:t>
      </w:r>
      <w:r w:rsidR="009B3638" w:rsidRPr="00287468">
        <w:t xml:space="preserve"> in which the county is located</w:t>
      </w:r>
      <w:r w:rsidR="0047420F" w:rsidRPr="00287468">
        <w:t xml:space="preserve">. </w:t>
      </w:r>
      <w:r w:rsidR="00E343D1">
        <w:t xml:space="preserve"> </w:t>
      </w:r>
      <w:r w:rsidR="00F048C9" w:rsidRPr="00287468">
        <w:t xml:space="preserve">Based on our analysis of the </w:t>
      </w:r>
      <w:r w:rsidR="00CF701D" w:rsidRPr="00287468">
        <w:t>record</w:t>
      </w:r>
      <w:r w:rsidR="00F048C9" w:rsidRPr="00287468">
        <w:t xml:space="preserve">, </w:t>
      </w:r>
      <w:r w:rsidR="003C78F1">
        <w:t xml:space="preserve">the existence of </w:t>
      </w:r>
      <w:r w:rsidR="003441B5">
        <w:t>such</w:t>
      </w:r>
      <w:r w:rsidR="003441B5" w:rsidRPr="00287468">
        <w:t xml:space="preserve"> </w:t>
      </w:r>
      <w:r w:rsidR="00F048C9" w:rsidRPr="00287468">
        <w:t>counties</w:t>
      </w:r>
      <w:r w:rsidR="007E730F" w:rsidRPr="00287468">
        <w:t xml:space="preserve"> may</w:t>
      </w:r>
      <w:r w:rsidR="00F048C9" w:rsidRPr="00287468">
        <w:t xml:space="preserve"> have less to do with the fact that DMAs cross state lines and more to do with </w:t>
      </w:r>
      <w:r w:rsidR="00B62EB0" w:rsidRPr="00287468">
        <w:t>broadcast television economics and the incentives broadcast stations have to reach large populations.</w:t>
      </w:r>
      <w:r w:rsidR="009B3638" w:rsidRPr="00287468">
        <w:rPr>
          <w:rStyle w:val="FootnoteReference"/>
        </w:rPr>
        <w:footnoteReference w:id="228"/>
      </w:r>
      <w:r w:rsidR="002D64E8" w:rsidRPr="00287468">
        <w:t xml:space="preserve">  </w:t>
      </w:r>
      <w:r w:rsidR="00B62EB0" w:rsidRPr="00287468">
        <w:t>We agree with NAB</w:t>
      </w:r>
      <w:r w:rsidR="009B3638" w:rsidRPr="00287468">
        <w:t>’s comments</w:t>
      </w:r>
      <w:r w:rsidR="00B62EB0" w:rsidRPr="00287468">
        <w:t xml:space="preserve"> that changing the market definitions </w:t>
      </w:r>
      <w:r w:rsidR="00A666EF" w:rsidRPr="00287468">
        <w:t xml:space="preserve">by adopting a DMA alternative would not alter this </w:t>
      </w:r>
      <w:r w:rsidR="00B62EB0" w:rsidRPr="00287468">
        <w:t>reality</w:t>
      </w:r>
      <w:r w:rsidR="00CA4631">
        <w:t>,</w:t>
      </w:r>
      <w:r w:rsidR="009B3638" w:rsidRPr="00287468">
        <w:t xml:space="preserve"> </w:t>
      </w:r>
      <w:r w:rsidR="00CA4631">
        <w:t>n</w:t>
      </w:r>
      <w:r w:rsidR="00287468">
        <w:t>or</w:t>
      </w:r>
      <w:r w:rsidR="00287468" w:rsidRPr="00287468">
        <w:t xml:space="preserve"> </w:t>
      </w:r>
      <w:r w:rsidR="00CA4631">
        <w:t xml:space="preserve">necessarily </w:t>
      </w:r>
      <w:r w:rsidR="009B3638" w:rsidRPr="00287468">
        <w:t xml:space="preserve">result in </w:t>
      </w:r>
      <w:r w:rsidR="00287468">
        <w:t>such</w:t>
      </w:r>
      <w:r w:rsidR="00287468" w:rsidRPr="00287468">
        <w:t xml:space="preserve"> </w:t>
      </w:r>
      <w:r w:rsidR="009B3638" w:rsidRPr="00287468">
        <w:t>counties receiving more programming about their state</w:t>
      </w:r>
      <w:r w:rsidR="00764D15" w:rsidRPr="00287468">
        <w:t>.</w:t>
      </w:r>
      <w:r w:rsidR="009B3638" w:rsidRPr="00287468">
        <w:rPr>
          <w:rStyle w:val="FootnoteReference"/>
        </w:rPr>
        <w:footnoteReference w:id="229"/>
      </w:r>
    </w:p>
    <w:p w:rsidR="003E0485" w:rsidRDefault="003E0485" w:rsidP="009B31BA">
      <w:pPr>
        <w:pStyle w:val="ParaNum"/>
        <w:widowControl/>
      </w:pPr>
      <w:r>
        <w:t xml:space="preserve">Notably, no commenter </w:t>
      </w:r>
      <w:r w:rsidR="00E36AAC">
        <w:t xml:space="preserve">to this proceeding has </w:t>
      </w:r>
      <w:r>
        <w:t>propose</w:t>
      </w:r>
      <w:r w:rsidR="00E36AAC">
        <w:t>d</w:t>
      </w:r>
      <w:r>
        <w:t xml:space="preserve"> that the current DMA syst</w:t>
      </w:r>
      <w:r w:rsidR="00CE72F8">
        <w:t>em should be abandoned entirely.</w:t>
      </w:r>
      <w:r>
        <w:t xml:space="preserve"> </w:t>
      </w:r>
      <w:r w:rsidR="009B3638">
        <w:t xml:space="preserve"> Even t</w:t>
      </w:r>
      <w:r w:rsidR="00CE72F8">
        <w:t xml:space="preserve">he </w:t>
      </w:r>
      <w:r w:rsidR="008B707E">
        <w:t>proposals</w:t>
      </w:r>
      <w:r w:rsidR="00CE72F8">
        <w:t xml:space="preserve"> by WTA and ITTA</w:t>
      </w:r>
      <w:r>
        <w:t xml:space="preserve"> </w:t>
      </w:r>
      <w:r w:rsidR="009B3638">
        <w:t>would rely</w:t>
      </w:r>
      <w:r w:rsidR="00CE72F8">
        <w:t xml:space="preserve"> on retaining Nielsen’s market delineations</w:t>
      </w:r>
      <w:r>
        <w:t>.</w:t>
      </w:r>
      <w:r>
        <w:rPr>
          <w:rStyle w:val="FootnoteReference"/>
        </w:rPr>
        <w:footnoteReference w:id="230"/>
      </w:r>
      <w:r w:rsidR="00CE72F8">
        <w:t xml:space="preserve">  Furthermore, we agree with commenters that Nielsen’s DMA market determination system remains the industry standard and replacing it would unduly disrupt the video programming industry</w:t>
      </w:r>
      <w:r w:rsidR="00E36AAC">
        <w:t xml:space="preserve"> and consumers</w:t>
      </w:r>
      <w:r w:rsidR="00CE72F8">
        <w:t>.</w:t>
      </w:r>
      <w:r w:rsidR="009B3638">
        <w:rPr>
          <w:rStyle w:val="FootnoteReference"/>
        </w:rPr>
        <w:footnoteReference w:id="231"/>
      </w:r>
      <w:r w:rsidR="00CE72F8">
        <w:t xml:space="preserve">  </w:t>
      </w:r>
      <w:r w:rsidR="00E35A6D">
        <w:t>W</w:t>
      </w:r>
      <w:r w:rsidR="00561DAE">
        <w:t>e are unable to identify any technologically or economically feasible alternative market determination system at this time</w:t>
      </w:r>
      <w:r w:rsidR="00CE72F8">
        <w:t>.</w:t>
      </w:r>
      <w:r w:rsidR="00C268D0">
        <w:t xml:space="preserve">  Instead, as discussed in the following section, we note that </w:t>
      </w:r>
      <w:r w:rsidR="00FC4C8B">
        <w:t xml:space="preserve">mechanisms </w:t>
      </w:r>
      <w:r w:rsidR="00CC4A57">
        <w:t>that</w:t>
      </w:r>
      <w:r w:rsidR="00FC4C8B">
        <w:t xml:space="preserve"> </w:t>
      </w:r>
      <w:r w:rsidR="003578B0">
        <w:t xml:space="preserve">work from </w:t>
      </w:r>
      <w:r w:rsidR="00FC4C8B">
        <w:t xml:space="preserve">the current DMA system to make targeted adjustments may </w:t>
      </w:r>
      <w:r w:rsidR="00C17AC7">
        <w:t>potentially provide</w:t>
      </w:r>
      <w:r w:rsidR="00F85646">
        <w:t xml:space="preserve"> consumers with more local programming relevant to the counties and states in which they reside.</w:t>
      </w:r>
    </w:p>
    <w:p w:rsidR="00E10064" w:rsidRDefault="003A3F0A" w:rsidP="00587434">
      <w:pPr>
        <w:pStyle w:val="Heading2"/>
      </w:pPr>
      <w:bookmarkStart w:id="60" w:name="_Toc448130185"/>
      <w:bookmarkStart w:id="61" w:name="_Toc448153850"/>
      <w:bookmarkStart w:id="62" w:name="_Toc448230177"/>
      <w:bookmarkStart w:id="63" w:name="_Toc448311223"/>
      <w:bookmarkStart w:id="64" w:name="_Toc452456836"/>
      <w:r w:rsidRPr="003A3F0A">
        <w:t xml:space="preserve">Recommendations </w:t>
      </w:r>
      <w:r w:rsidR="00AD281E">
        <w:t>for</w:t>
      </w:r>
      <w:r w:rsidRPr="003A3F0A">
        <w:t xml:space="preserve"> Foster</w:t>
      </w:r>
      <w:r w:rsidR="00AD281E">
        <w:t>ing</w:t>
      </w:r>
      <w:r w:rsidRPr="003A3F0A">
        <w:t xml:space="preserve"> Increased Localism</w:t>
      </w:r>
      <w:bookmarkEnd w:id="60"/>
      <w:bookmarkEnd w:id="61"/>
      <w:bookmarkEnd w:id="62"/>
      <w:bookmarkEnd w:id="63"/>
      <w:bookmarkEnd w:id="64"/>
      <w:r>
        <w:t xml:space="preserve">  </w:t>
      </w:r>
    </w:p>
    <w:p w:rsidR="00C74267" w:rsidRDefault="00C74267" w:rsidP="008D64C2">
      <w:pPr>
        <w:pStyle w:val="ParaNum"/>
      </w:pPr>
      <w:r w:rsidRPr="00E12604">
        <w:t>Sections 109(a)</w:t>
      </w:r>
      <w:r w:rsidR="00B8570A">
        <w:t>(2)</w:t>
      </w:r>
      <w:r w:rsidRPr="00E12604">
        <w:t xml:space="preserve"> and (b) </w:t>
      </w:r>
      <w:r w:rsidR="00B366F5">
        <w:t xml:space="preserve">of the STELAR </w:t>
      </w:r>
      <w:r w:rsidRPr="00E12604">
        <w:t xml:space="preserve">require the Commission to </w:t>
      </w:r>
      <w:r w:rsidR="00244279">
        <w:t xml:space="preserve">discuss </w:t>
      </w:r>
      <w:r>
        <w:t xml:space="preserve">recommendations on </w:t>
      </w:r>
      <w:r w:rsidR="00244279">
        <w:t xml:space="preserve">ways </w:t>
      </w:r>
      <w:r>
        <w:t xml:space="preserve">to foster increased localism in counties served by </w:t>
      </w:r>
      <w:r w:rsidR="00E35A6D">
        <w:t xml:space="preserve">broadcast stations licensed to </w:t>
      </w:r>
      <w:r>
        <w:t xml:space="preserve">out-of-state DMAs.  </w:t>
      </w:r>
      <w:r w:rsidRPr="006604A0">
        <w:t xml:space="preserve">In making recommendations, </w:t>
      </w:r>
      <w:r w:rsidR="003578B0">
        <w:t xml:space="preserve">the Commission is instructed by </w:t>
      </w:r>
      <w:r w:rsidRPr="006604A0">
        <w:t>Section 109(b) to consider: (1) t</w:t>
      </w:r>
      <w:r>
        <w:t>he impact that DMAs that cross s</w:t>
      </w:r>
      <w:r w:rsidRPr="006604A0">
        <w:t>tate lines have o</w:t>
      </w:r>
      <w:r>
        <w:t>n access to local programming;</w:t>
      </w:r>
      <w:r w:rsidRPr="006604A0">
        <w:t xml:space="preserve"> (2) the impact that DMAs have on loc</w:t>
      </w:r>
      <w:r>
        <w:t>al programming in rural areas;</w:t>
      </w:r>
      <w:r w:rsidRPr="006604A0">
        <w:t xml:space="preserve"> and (3) the</w:t>
      </w:r>
      <w:r>
        <w:t xml:space="preserve"> state of local programming in s</w:t>
      </w:r>
      <w:r w:rsidRPr="006604A0">
        <w:t>tate</w:t>
      </w:r>
      <w:r>
        <w:t>s served exclusively by out-of-s</w:t>
      </w:r>
      <w:r w:rsidRPr="006604A0">
        <w:t>tate DMAs.</w:t>
      </w:r>
    </w:p>
    <w:p w:rsidR="003305BF" w:rsidRDefault="003305BF" w:rsidP="009B7BE4">
      <w:pPr>
        <w:pStyle w:val="ParaNum"/>
        <w:widowControl/>
      </w:pPr>
      <w:r>
        <w:t xml:space="preserve">In the </w:t>
      </w:r>
      <w:r w:rsidR="00A16250" w:rsidRPr="002A250B">
        <w:rPr>
          <w:i/>
        </w:rPr>
        <w:t xml:space="preserve">STELAR Report </w:t>
      </w:r>
      <w:r w:rsidR="00A16250">
        <w:rPr>
          <w:i/>
        </w:rPr>
        <w:t>PN</w:t>
      </w:r>
      <w:r>
        <w:t xml:space="preserve">, the Commission sought </w:t>
      </w:r>
      <w:r w:rsidR="00E31AF4">
        <w:t xml:space="preserve">comment and </w:t>
      </w:r>
      <w:r>
        <w:t xml:space="preserve">recommendations </w:t>
      </w:r>
      <w:r w:rsidR="00E31AF4">
        <w:t xml:space="preserve">about ways to </w:t>
      </w:r>
      <w:r w:rsidR="00B366F5">
        <w:t xml:space="preserve">potentially </w:t>
      </w:r>
      <w:r w:rsidRPr="003305BF">
        <w:t xml:space="preserve">increase television programming from and about the DMA and television </w:t>
      </w:r>
      <w:r>
        <w:t>programming from and about the s</w:t>
      </w:r>
      <w:r w:rsidRPr="003305BF">
        <w:t>t</w:t>
      </w:r>
      <w:r>
        <w:t xml:space="preserve">ate in which a consumer resides.  The Commission asked commenters </w:t>
      </w:r>
      <w:r w:rsidRPr="003305BF">
        <w:t>to address the three considerations identified in Section 109(b).</w:t>
      </w:r>
      <w:r w:rsidR="00E256C5">
        <w:t xml:space="preserve">  In response, commenters generally referred to existing Commission regulations and procedures</w:t>
      </w:r>
      <w:r w:rsidR="003C78F1">
        <w:t>,</w:t>
      </w:r>
      <w:r w:rsidR="00E256C5">
        <w:t xml:space="preserve"> which </w:t>
      </w:r>
      <w:r w:rsidR="004361D4">
        <w:t xml:space="preserve">commenters suggest could </w:t>
      </w:r>
      <w:r w:rsidR="00E256C5">
        <w:t>be adjusted or maintained to foster increased localism.</w:t>
      </w:r>
      <w:r w:rsidR="00493501">
        <w:rPr>
          <w:rStyle w:val="FootnoteReference"/>
        </w:rPr>
        <w:footnoteReference w:id="232"/>
      </w:r>
    </w:p>
    <w:p w:rsidR="00B51BA2" w:rsidRDefault="00BB6F36" w:rsidP="00C174F1">
      <w:pPr>
        <w:pStyle w:val="ParaNum"/>
      </w:pPr>
      <w:r>
        <w:t>We note that</w:t>
      </w:r>
      <w:r w:rsidR="0019602D">
        <w:t>,</w:t>
      </w:r>
      <w:r w:rsidR="00A8473A">
        <w:t xml:space="preserve"> to the extent </w:t>
      </w:r>
      <w:r w:rsidR="00E31AF4">
        <w:t xml:space="preserve">that </w:t>
      </w:r>
      <w:r w:rsidR="00A8473A">
        <w:t xml:space="preserve">fostering localism </w:t>
      </w:r>
      <w:r w:rsidR="008C43B8">
        <w:t xml:space="preserve">contemplates </w:t>
      </w:r>
      <w:r w:rsidR="00CF20E0">
        <w:t xml:space="preserve">facilitating </w:t>
      </w:r>
      <w:r w:rsidR="00A8473A">
        <w:t xml:space="preserve">access to in-state </w:t>
      </w:r>
      <w:r w:rsidR="008C43B8">
        <w:t xml:space="preserve">television </w:t>
      </w:r>
      <w:r w:rsidR="00A8473A">
        <w:t>signals</w:t>
      </w:r>
      <w:r w:rsidR="0019602D">
        <w:t>,</w:t>
      </w:r>
      <w:r w:rsidR="0051463F">
        <w:t xml:space="preserve"> </w:t>
      </w:r>
      <w:r w:rsidR="0019602D">
        <w:t>an overwhelming</w:t>
      </w:r>
      <w:r>
        <w:t xml:space="preserve"> </w:t>
      </w:r>
      <w:r w:rsidR="0019602D">
        <w:t>majority</w:t>
      </w:r>
      <w:r>
        <w:t xml:space="preserve"> of consumers </w:t>
      </w:r>
      <w:r w:rsidR="0019602D">
        <w:t xml:space="preserve">in the United States already </w:t>
      </w:r>
      <w:r>
        <w:t>have access to in-state signals</w:t>
      </w:r>
      <w:r w:rsidR="00A8473A">
        <w:t xml:space="preserve"> </w:t>
      </w:r>
      <w:r w:rsidR="008C43B8">
        <w:t>as shown in ou</w:t>
      </w:r>
      <w:r w:rsidR="00A8473A">
        <w:t>r prior analysis.</w:t>
      </w:r>
      <w:r>
        <w:rPr>
          <w:rStyle w:val="FootnoteReference"/>
        </w:rPr>
        <w:footnoteReference w:id="233"/>
      </w:r>
      <w:r w:rsidR="00A8473A">
        <w:t xml:space="preserve">  </w:t>
      </w:r>
      <w:r w:rsidR="00E31AF4">
        <w:t>As noted above, t</w:t>
      </w:r>
      <w:r w:rsidR="00202965">
        <w:t xml:space="preserve">he data from the </w:t>
      </w:r>
      <w:r w:rsidR="00202965" w:rsidRPr="005E499D">
        <w:rPr>
          <w:i/>
        </w:rPr>
        <w:t>In-State Programming Report</w:t>
      </w:r>
      <w:r w:rsidR="00202965" w:rsidRPr="00D573D5">
        <w:t xml:space="preserve"> </w:t>
      </w:r>
      <w:r w:rsidR="00202965">
        <w:t xml:space="preserve">shows that 99.98 percent of </w:t>
      </w:r>
      <w:r w:rsidR="00202965" w:rsidRPr="00D573D5">
        <w:t xml:space="preserve">U.S. households have </w:t>
      </w:r>
      <w:r w:rsidR="00A000C9">
        <w:t xml:space="preserve">over the </w:t>
      </w:r>
      <w:r w:rsidR="006056B6">
        <w:t xml:space="preserve">air or MVPD </w:t>
      </w:r>
      <w:r w:rsidR="00202965" w:rsidRPr="00D573D5">
        <w:t xml:space="preserve">access to in-state programming </w:t>
      </w:r>
      <w:r w:rsidR="00202965">
        <w:t>from at least one in-state station.</w:t>
      </w:r>
      <w:r w:rsidR="00320CDB">
        <w:rPr>
          <w:rStyle w:val="FootnoteReference"/>
        </w:rPr>
        <w:footnoteReference w:id="234"/>
      </w:r>
      <w:r w:rsidR="00202965">
        <w:t xml:space="preserve">  Using</w:t>
      </w:r>
      <w:r w:rsidR="00202965" w:rsidRPr="00202965">
        <w:t xml:space="preserve"> </w:t>
      </w:r>
      <w:r w:rsidR="00202965">
        <w:t xml:space="preserve">Nielsen </w:t>
      </w:r>
      <w:r w:rsidR="00202965" w:rsidRPr="00202965">
        <w:t xml:space="preserve">data to examine in-state stations that households are watching, </w:t>
      </w:r>
      <w:r w:rsidR="003578B0">
        <w:t>whether</w:t>
      </w:r>
      <w:r w:rsidR="003578B0" w:rsidRPr="00202965">
        <w:t xml:space="preserve"> </w:t>
      </w:r>
      <w:r w:rsidR="00202965" w:rsidRPr="00202965">
        <w:t xml:space="preserve">via cable, DBS, or </w:t>
      </w:r>
      <w:r w:rsidR="00F40F86">
        <w:t>over the air</w:t>
      </w:r>
      <w:r w:rsidR="00202965" w:rsidRPr="00202965">
        <w:t xml:space="preserve">, </w:t>
      </w:r>
      <w:r w:rsidR="00320CDB">
        <w:t xml:space="preserve">the Commission </w:t>
      </w:r>
      <w:r w:rsidR="00202965" w:rsidRPr="00202965">
        <w:t>found that about 99.4 percent of U.S. television households watch at least one in-state station</w:t>
      </w:r>
      <w:r w:rsidR="00320CDB">
        <w:t>.</w:t>
      </w:r>
      <w:r w:rsidR="00320CDB">
        <w:rPr>
          <w:rStyle w:val="FootnoteReference"/>
        </w:rPr>
        <w:footnoteReference w:id="235"/>
      </w:r>
      <w:r w:rsidR="00202965">
        <w:t xml:space="preserve">  </w:t>
      </w:r>
      <w:r w:rsidR="00C174F1">
        <w:t>Furthermore, roughly</w:t>
      </w:r>
      <w:r w:rsidR="00C174F1" w:rsidRPr="00C174F1">
        <w:t xml:space="preserve"> 98.4 percent of U.S. households are able to receive at least one in-state broadcast station</w:t>
      </w:r>
      <w:r w:rsidR="00C174F1">
        <w:t xml:space="preserve"> through DBS operators.</w:t>
      </w:r>
      <w:r w:rsidR="00C174F1">
        <w:rPr>
          <w:rStyle w:val="FootnoteReference"/>
        </w:rPr>
        <w:footnoteReference w:id="236"/>
      </w:r>
    </w:p>
    <w:p w:rsidR="00A43A99" w:rsidRDefault="00B51BA2" w:rsidP="00C174F1">
      <w:pPr>
        <w:pStyle w:val="ParaNum"/>
      </w:pPr>
      <w:r>
        <w:t xml:space="preserve">In addition, despite the fact that New Jersey and Delaware, respectively, are part of DMAs (New York, NY; Philadelphia, PA; and Salisbury, MD) </w:t>
      </w:r>
      <w:r w:rsidR="00492F8D">
        <w:t>containing</w:t>
      </w:r>
      <w:r>
        <w:t xml:space="preserve"> large portions of adjacent states, consumers in New Jersey and Delaware have access to a number of in-state, in-market broadcast stations.  Specifically, the New York DMA contains</w:t>
      </w:r>
      <w:r w:rsidRPr="0057771A">
        <w:t xml:space="preserve"> </w:t>
      </w:r>
      <w:r>
        <w:t>eight full power station licensed to New Jersey.  The Philadelphia, PA DMA contains eight full power station licensed to New Jersey and two full power stations licensed to Delaware.  The Salisbury, MD DMA contains two low power stations licensed to Delaware.</w:t>
      </w:r>
      <w:r>
        <w:rPr>
          <w:rStyle w:val="FootnoteReference"/>
        </w:rPr>
        <w:footnoteReference w:id="237"/>
      </w:r>
      <w:r>
        <w:t xml:space="preserve">  Thus, despite the fact that the DMAs covering these respective states are composed predominately of counties from neighboring states, consumers in New Jersey and Delaware continue to receive programming from in-market, in-state stations.</w:t>
      </w:r>
      <w:r>
        <w:rPr>
          <w:rStyle w:val="FootnoteReference"/>
        </w:rPr>
        <w:footnoteReference w:id="238"/>
      </w:r>
      <w:r w:rsidR="00C174F1">
        <w:t xml:space="preserve">  </w:t>
      </w:r>
    </w:p>
    <w:p w:rsidR="00A8473A" w:rsidRDefault="00A43A99" w:rsidP="00C174F1">
      <w:pPr>
        <w:pStyle w:val="ParaNum"/>
      </w:pPr>
      <w:r>
        <w:t xml:space="preserve">The </w:t>
      </w:r>
      <w:r w:rsidRPr="005E499D">
        <w:rPr>
          <w:i/>
        </w:rPr>
        <w:t>In-State Programming Report</w:t>
      </w:r>
      <w:r w:rsidRPr="00691413">
        <w:t xml:space="preserve"> </w:t>
      </w:r>
      <w:r>
        <w:t xml:space="preserve">also </w:t>
      </w:r>
      <w:r w:rsidRPr="00691413">
        <w:t xml:space="preserve">estimated the extent to which households receive only out-of-state broadcast stations. </w:t>
      </w:r>
      <w:r>
        <w:t xml:space="preserve"> The Commission</w:t>
      </w:r>
      <w:r w:rsidRPr="00691413">
        <w:t xml:space="preserve"> found that</w:t>
      </w:r>
      <w:r w:rsidR="003578B0">
        <w:t>,</w:t>
      </w:r>
      <w:r w:rsidRPr="00691413">
        <w:t xml:space="preserve"> in all 50 states and</w:t>
      </w:r>
      <w:r>
        <w:t xml:space="preserve"> the District of Columbia, </w:t>
      </w:r>
      <w:r w:rsidRPr="00691413">
        <w:t xml:space="preserve">households </w:t>
      </w:r>
      <w:r>
        <w:t xml:space="preserve">receiving only out-of-state </w:t>
      </w:r>
      <w:r w:rsidRPr="00691413">
        <w:t>stations represent a</w:t>
      </w:r>
      <w:r w:rsidR="009D3270">
        <w:t>n exceedingly</w:t>
      </w:r>
      <w:r w:rsidRPr="00691413">
        <w:t xml:space="preserve"> small percentage of the population.</w:t>
      </w:r>
      <w:r>
        <w:rPr>
          <w:rStyle w:val="FootnoteReference"/>
        </w:rPr>
        <w:footnoteReference w:id="239"/>
      </w:r>
      <w:r>
        <w:t xml:space="preserve">  The highest percentage of </w:t>
      </w:r>
      <w:r w:rsidRPr="001E3457">
        <w:t xml:space="preserve">households </w:t>
      </w:r>
      <w:r w:rsidR="006056B6">
        <w:t>that</w:t>
      </w:r>
      <w:r w:rsidR="006056B6" w:rsidRPr="001E3457">
        <w:t xml:space="preserve"> </w:t>
      </w:r>
      <w:r w:rsidRPr="001E3457">
        <w:t>rec</w:t>
      </w:r>
      <w:r>
        <w:t xml:space="preserve">eive no in-state programming was </w:t>
      </w:r>
      <w:r w:rsidRPr="001E3457">
        <w:t xml:space="preserve">3.5 percent </w:t>
      </w:r>
      <w:r>
        <w:t xml:space="preserve">and occurred in only two states, </w:t>
      </w:r>
      <w:r w:rsidRPr="001E3457">
        <w:t>Wyoming and New Hampshire</w:t>
      </w:r>
      <w:r>
        <w:t>.</w:t>
      </w:r>
      <w:r>
        <w:rPr>
          <w:rStyle w:val="FootnoteReference"/>
        </w:rPr>
        <w:footnoteReference w:id="240"/>
      </w:r>
      <w:r>
        <w:t xml:space="preserve">  T</w:t>
      </w:r>
      <w:r w:rsidRPr="001E3457">
        <w:t>he highest number of households that receive only out-of-state stations</w:t>
      </w:r>
      <w:r>
        <w:t xml:space="preserve"> was found in Minnesota but accounted for only about 2</w:t>
      </w:r>
      <w:r w:rsidRPr="001E3457">
        <w:t xml:space="preserve"> percent of Minnesota households.</w:t>
      </w:r>
      <w:r>
        <w:rPr>
          <w:rStyle w:val="FootnoteReference"/>
        </w:rPr>
        <w:footnoteReference w:id="241"/>
      </w:r>
      <w:r>
        <w:t xml:space="preserve">  Therefore, the </w:t>
      </w:r>
      <w:r w:rsidRPr="005E499D">
        <w:rPr>
          <w:i/>
        </w:rPr>
        <w:t>In-State Programming Report</w:t>
      </w:r>
      <w:r>
        <w:t xml:space="preserve"> demonstrate</w:t>
      </w:r>
      <w:r w:rsidR="000E5263">
        <w:t>d</w:t>
      </w:r>
      <w:r w:rsidR="003578B0">
        <w:t xml:space="preserve"> that</w:t>
      </w:r>
      <w:r>
        <w:t xml:space="preserve"> the percentage of households with access to in-state programming is very high while the percentage of households receiving only out-of-state stations is extremely low.  </w:t>
      </w:r>
      <w:r w:rsidR="003219E5">
        <w:t>For the limited</w:t>
      </w:r>
      <w:r w:rsidR="00A8473A">
        <w:t xml:space="preserve"> situations </w:t>
      </w:r>
      <w:r w:rsidR="003578B0">
        <w:t xml:space="preserve">in which </w:t>
      </w:r>
      <w:r w:rsidR="00A8473A">
        <w:t xml:space="preserve">particular counties, especially in rural areas, may be located in a DMA </w:t>
      </w:r>
      <w:r w:rsidR="000E5263">
        <w:t xml:space="preserve">primarily composed of counties from a </w:t>
      </w:r>
      <w:r w:rsidR="00A8473A">
        <w:t xml:space="preserve">different state, </w:t>
      </w:r>
      <w:r w:rsidR="003219E5">
        <w:t xml:space="preserve">we </w:t>
      </w:r>
      <w:r w:rsidR="009D3270">
        <w:t xml:space="preserve">discuss </w:t>
      </w:r>
      <w:r w:rsidR="003219E5">
        <w:t>the following recommendations for fostering additional options for local programming and access to in-state signals.</w:t>
      </w:r>
    </w:p>
    <w:p w:rsidR="00D14AC3" w:rsidRDefault="005F2161" w:rsidP="00F54A83">
      <w:pPr>
        <w:pStyle w:val="ParaNum"/>
      </w:pPr>
      <w:r>
        <w:rPr>
          <w:i/>
        </w:rPr>
        <w:t>Market Modification</w:t>
      </w:r>
      <w:r w:rsidR="00240D2E" w:rsidRPr="00240D2E">
        <w:t>.</w:t>
      </w:r>
      <w:r w:rsidR="00240D2E">
        <w:t xml:space="preserve">  Broadcasters </w:t>
      </w:r>
      <w:r w:rsidR="001C468C">
        <w:t>state</w:t>
      </w:r>
      <w:r w:rsidR="00240D2E">
        <w:t xml:space="preserve"> that c</w:t>
      </w:r>
      <w:r w:rsidR="00240D2E" w:rsidRPr="00240D2E">
        <w:t xml:space="preserve">urrent Commission procedures such as market modification are adequate </w:t>
      </w:r>
      <w:r w:rsidR="001450ED">
        <w:t>for</w:t>
      </w:r>
      <w:r w:rsidR="00240D2E" w:rsidRPr="00240D2E">
        <w:t xml:space="preserve"> addressing in-state programming needs</w:t>
      </w:r>
      <w:r w:rsidR="00240D2E">
        <w:t>.</w:t>
      </w:r>
      <w:r w:rsidR="00106E0A">
        <w:rPr>
          <w:rStyle w:val="FootnoteReference"/>
        </w:rPr>
        <w:footnoteReference w:id="242"/>
      </w:r>
      <w:r w:rsidR="00702B37">
        <w:t xml:space="preserve">  </w:t>
      </w:r>
      <w:r w:rsidR="009B3B14">
        <w:t>As discussed above, the Commission has implemented the STELAR to permit DBS providers, commercial broadcast stations, and counties to file satellite market modification petitions.</w:t>
      </w:r>
      <w:r w:rsidR="009B3B14">
        <w:rPr>
          <w:rStyle w:val="FootnoteReference"/>
        </w:rPr>
        <w:footnoteReference w:id="243"/>
      </w:r>
      <w:r w:rsidR="009B3B14">
        <w:t xml:space="preserve">  Cable systems and commercial broadcast stations can file cable market modification petitions.</w:t>
      </w:r>
      <w:r w:rsidR="009B3B14">
        <w:rPr>
          <w:rStyle w:val="FootnoteReference"/>
        </w:rPr>
        <w:footnoteReference w:id="244"/>
      </w:r>
      <w:r w:rsidR="009B3B14">
        <w:t xml:space="preserve">  The statutory factors for granting a market modification ensure that stations have a local connection to the community to be added to their local market and now include an additional factor that </w:t>
      </w:r>
      <w:r w:rsidR="009B3B14" w:rsidRPr="00AB41A5">
        <w:t>favors any market modificatio</w:t>
      </w:r>
      <w:r w:rsidR="009B3B14">
        <w:t xml:space="preserve">n that would promote consumers’ </w:t>
      </w:r>
      <w:r w:rsidR="009B3B14" w:rsidRPr="00AB41A5">
        <w:t>access to an in-state station</w:t>
      </w:r>
      <w:r w:rsidR="009B3B14">
        <w:t>.</w:t>
      </w:r>
      <w:r w:rsidR="009B3B14">
        <w:rPr>
          <w:rStyle w:val="FootnoteReference"/>
        </w:rPr>
        <w:footnoteReference w:id="245"/>
      </w:r>
      <w:r w:rsidR="009B3B14">
        <w:t xml:space="preserve">  Accordingly, </w:t>
      </w:r>
      <w:r w:rsidR="00AF4B7A">
        <w:t xml:space="preserve">NAB argues that such targeted mechanisms are preferable for addressing the need for more in-state programming </w:t>
      </w:r>
      <w:r w:rsidR="003578B0">
        <w:t xml:space="preserve">to </w:t>
      </w:r>
      <w:r w:rsidR="00AF4B7A">
        <w:t>replacing the DMA system</w:t>
      </w:r>
      <w:r w:rsidR="00782131">
        <w:t>.</w:t>
      </w:r>
      <w:r w:rsidR="00106E0A">
        <w:rPr>
          <w:rStyle w:val="FootnoteReference"/>
        </w:rPr>
        <w:footnoteReference w:id="246"/>
      </w:r>
      <w:r w:rsidR="00F54A83">
        <w:t xml:space="preserve">  </w:t>
      </w:r>
      <w:r w:rsidR="00852C88">
        <w:t>Some commenters argue that t</w:t>
      </w:r>
      <w:r w:rsidR="00852C88" w:rsidRPr="00EF1157">
        <w:t xml:space="preserve">he current market modification process is costly for small, rural cable operators and </w:t>
      </w:r>
      <w:r w:rsidR="00852C88">
        <w:t>has a</w:t>
      </w:r>
      <w:r w:rsidR="00852C88" w:rsidRPr="00EF1157">
        <w:t xml:space="preserve"> low chance of success</w:t>
      </w:r>
      <w:r w:rsidR="00852C88">
        <w:t>.</w:t>
      </w:r>
      <w:r w:rsidR="00FD17E0">
        <w:rPr>
          <w:rStyle w:val="FootnoteReference"/>
        </w:rPr>
        <w:footnoteReference w:id="247"/>
      </w:r>
      <w:r w:rsidR="00852C88">
        <w:t xml:space="preserve">  </w:t>
      </w:r>
      <w:r w:rsidR="00D14AC3">
        <w:t>ITTA describes market modifications as</w:t>
      </w:r>
      <w:r w:rsidR="00D14AC3" w:rsidRPr="00DA446F">
        <w:t xml:space="preserve"> a time</w:t>
      </w:r>
      <w:r w:rsidR="003578B0">
        <w:t>-</w:t>
      </w:r>
      <w:r w:rsidR="00D14AC3" w:rsidRPr="00DA446F">
        <w:t>consuming and uncertain undertaking that is cost prohibitive f</w:t>
      </w:r>
      <w:r w:rsidR="00D14AC3">
        <w:t>or many smaller MVPDs.</w:t>
      </w:r>
      <w:r w:rsidR="00FD17E0">
        <w:rPr>
          <w:rStyle w:val="FootnoteReference"/>
        </w:rPr>
        <w:footnoteReference w:id="248"/>
      </w:r>
      <w:r w:rsidR="00D14AC3">
        <w:t xml:space="preserve">  </w:t>
      </w:r>
    </w:p>
    <w:p w:rsidR="005A2570" w:rsidRDefault="00FF5697" w:rsidP="00660273">
      <w:pPr>
        <w:pStyle w:val="ParaNum"/>
      </w:pPr>
      <w:r>
        <w:t xml:space="preserve">Given </w:t>
      </w:r>
      <w:r w:rsidR="003578B0">
        <w:t xml:space="preserve">that the market modification procedures offer </w:t>
      </w:r>
      <w:r>
        <w:t xml:space="preserve">the ability to alter carriage patterns and potentially secure carriage of an in-state, but formerly out-of-market station in a particular county, </w:t>
      </w:r>
      <w:r w:rsidR="003578B0">
        <w:t>those</w:t>
      </w:r>
      <w:r>
        <w:t xml:space="preserve"> procedures</w:t>
      </w:r>
      <w:r w:rsidR="003578B0">
        <w:t xml:space="preserve"> appear to</w:t>
      </w:r>
      <w:r>
        <w:t xml:space="preserve"> hold</w:t>
      </w:r>
      <w:r w:rsidR="007A47B1">
        <w:t xml:space="preserve"> great potential </w:t>
      </w:r>
      <w:r w:rsidR="00674F0E">
        <w:t>for fostering increased localism.</w:t>
      </w:r>
      <w:r w:rsidR="00AD7DD2">
        <w:rPr>
          <w:rStyle w:val="FootnoteReference"/>
        </w:rPr>
        <w:footnoteReference w:id="249"/>
      </w:r>
      <w:r w:rsidR="00674F0E">
        <w:t xml:space="preserve">  </w:t>
      </w:r>
      <w:r w:rsidR="00295156">
        <w:t xml:space="preserve">The Commission has </w:t>
      </w:r>
      <w:r w:rsidR="0007408B">
        <w:t>observed</w:t>
      </w:r>
      <w:r w:rsidR="00295156">
        <w:t xml:space="preserve"> that </w:t>
      </w:r>
      <w:r w:rsidR="00295156" w:rsidRPr="00295156">
        <w:t>the purpose of market modification is to permit adju</w:t>
      </w:r>
      <w:r w:rsidR="00295156">
        <w:t>stments to a particular station’</w:t>
      </w:r>
      <w:r w:rsidR="00295156" w:rsidRPr="00295156">
        <w:t xml:space="preserve">s local television market (which is initially defined by the DMA in which it is located) to better serve the value of localism by ensuring that </w:t>
      </w:r>
      <w:r w:rsidR="00295156">
        <w:t xml:space="preserve">consumers </w:t>
      </w:r>
      <w:r w:rsidR="00295156" w:rsidRPr="00295156">
        <w:t>receive the broadcast stations most relevant to them</w:t>
      </w:r>
      <w:r w:rsidR="00295156">
        <w:t>.</w:t>
      </w:r>
      <w:r w:rsidR="005F2161">
        <w:rPr>
          <w:rStyle w:val="FootnoteReference"/>
        </w:rPr>
        <w:footnoteReference w:id="250"/>
      </w:r>
      <w:r w:rsidR="00295156">
        <w:t xml:space="preserve">  </w:t>
      </w:r>
    </w:p>
    <w:p w:rsidR="000F5689" w:rsidRDefault="00B76F90" w:rsidP="009B7BE4">
      <w:pPr>
        <w:pStyle w:val="ParaNum"/>
        <w:widowControl/>
      </w:pPr>
      <w:r>
        <w:t xml:space="preserve">In addition, the </w:t>
      </w:r>
      <w:r w:rsidR="00CF701D">
        <w:t xml:space="preserve">Commission has strengthened this </w:t>
      </w:r>
      <w:r>
        <w:t xml:space="preserve">localism-oriented </w:t>
      </w:r>
      <w:r w:rsidR="00CF701D">
        <w:t xml:space="preserve">purpose by implementing </w:t>
      </w:r>
      <w:r w:rsidR="00A16141">
        <w:t xml:space="preserve">several </w:t>
      </w:r>
      <w:r w:rsidR="007A47B1">
        <w:t xml:space="preserve">provisions of </w:t>
      </w:r>
      <w:r w:rsidR="00EE5130">
        <w:t xml:space="preserve">the </w:t>
      </w:r>
      <w:r w:rsidR="00A16141">
        <w:t xml:space="preserve">STELAR through the </w:t>
      </w:r>
      <w:r w:rsidR="00A16141" w:rsidRPr="00510B12">
        <w:rPr>
          <w:i/>
        </w:rPr>
        <w:t>Satellite Market Modification Order</w:t>
      </w:r>
      <w:r w:rsidR="007A47B1">
        <w:t>.  Specifically, this Order</w:t>
      </w:r>
      <w:r w:rsidR="00A16141">
        <w:t xml:space="preserve"> expands </w:t>
      </w:r>
      <w:r w:rsidR="009D3270">
        <w:t xml:space="preserve">the </w:t>
      </w:r>
      <w:r w:rsidR="00A16141">
        <w:t xml:space="preserve">market modification </w:t>
      </w:r>
      <w:r w:rsidR="009D3270">
        <w:t xml:space="preserve">procedures </w:t>
      </w:r>
      <w:r w:rsidR="00A16141">
        <w:t xml:space="preserve">to satellite </w:t>
      </w:r>
      <w:r w:rsidR="00984E7A">
        <w:t>carriage of broadcast television</w:t>
      </w:r>
      <w:r w:rsidR="007A47B1">
        <w:t xml:space="preserve"> stations</w:t>
      </w:r>
      <w:r w:rsidR="00A16141">
        <w:t>.</w:t>
      </w:r>
      <w:r w:rsidR="00984E7A">
        <w:rPr>
          <w:rStyle w:val="FootnoteReference"/>
        </w:rPr>
        <w:footnoteReference w:id="251"/>
      </w:r>
      <w:r w:rsidR="00A16141">
        <w:t xml:space="preserve">  The implemented provisions also include </w:t>
      </w:r>
      <w:r w:rsidR="00CF701D">
        <w:t xml:space="preserve">the </w:t>
      </w:r>
      <w:r w:rsidR="000F5689">
        <w:t xml:space="preserve">addition </w:t>
      </w:r>
      <w:r w:rsidR="00CF701D">
        <w:t xml:space="preserve">of </w:t>
      </w:r>
      <w:r w:rsidR="000F5689">
        <w:t xml:space="preserve">a new </w:t>
      </w:r>
      <w:r w:rsidR="00CF701D">
        <w:t xml:space="preserve">factor </w:t>
      </w:r>
      <w:r w:rsidR="00A16141">
        <w:t>for consideration in both cable and satellit</w:t>
      </w:r>
      <w:r w:rsidR="007A47B1">
        <w:t xml:space="preserve">e market modification petitions, which explicitly </w:t>
      </w:r>
      <w:r w:rsidR="00032F55">
        <w:t xml:space="preserve">favors modification if </w:t>
      </w:r>
      <w:r w:rsidR="003A3742">
        <w:t xml:space="preserve">the modification </w:t>
      </w:r>
      <w:r w:rsidR="007A47B1">
        <w:t xml:space="preserve">will result in an </w:t>
      </w:r>
      <w:r w:rsidR="00032F55">
        <w:t>increase</w:t>
      </w:r>
      <w:r w:rsidR="007A47B1">
        <w:t xml:space="preserve"> in</w:t>
      </w:r>
      <w:r w:rsidR="00032F55">
        <w:t xml:space="preserve"> </w:t>
      </w:r>
      <w:r w:rsidR="007A47B1">
        <w:t xml:space="preserve">available </w:t>
      </w:r>
      <w:r w:rsidR="00032F55">
        <w:t>in-state programming</w:t>
      </w:r>
      <w:r w:rsidR="00295156">
        <w:t>.</w:t>
      </w:r>
      <w:r w:rsidR="00032F55">
        <w:rPr>
          <w:rStyle w:val="FootnoteReference"/>
        </w:rPr>
        <w:footnoteReference w:id="252"/>
      </w:r>
      <w:r w:rsidR="00295156">
        <w:t xml:space="preserve">  </w:t>
      </w:r>
      <w:r w:rsidR="003A3742">
        <w:t xml:space="preserve">In requiring the new factor, Congress </w:t>
      </w:r>
      <w:r w:rsidR="00EA41F2">
        <w:t>expressed concern</w:t>
      </w:r>
      <w:r w:rsidR="003A3742" w:rsidRPr="003A3742">
        <w:t xml:space="preserve"> that “many consumers, particularly those who reside in DMAs that cross State lines or cover vast geographic distances,” may “lack access to local television programming that is relevant to their everyda</w:t>
      </w:r>
      <w:r w:rsidR="003A3742">
        <w:t>y lives</w:t>
      </w:r>
      <w:r w:rsidR="00E835C7">
        <w:t>.</w:t>
      </w:r>
      <w:r w:rsidR="003A3742" w:rsidRPr="003A3742">
        <w:t>”</w:t>
      </w:r>
      <w:r w:rsidR="003A3742">
        <w:rPr>
          <w:rStyle w:val="FootnoteReference"/>
        </w:rPr>
        <w:footnoteReference w:id="253"/>
      </w:r>
      <w:r w:rsidR="003A3742">
        <w:t xml:space="preserve">  Th</w:t>
      </w:r>
      <w:r w:rsidR="00E835C7">
        <w:t>is</w:t>
      </w:r>
      <w:r w:rsidR="003A3742" w:rsidRPr="003A3742">
        <w:t xml:space="preserve"> legisla</w:t>
      </w:r>
      <w:r w:rsidR="003A3742">
        <w:t xml:space="preserve">tive history </w:t>
      </w:r>
      <w:r w:rsidR="00E835C7">
        <w:t xml:space="preserve">closely parallels the </w:t>
      </w:r>
      <w:r w:rsidR="005234D9">
        <w:t>considerations</w:t>
      </w:r>
      <w:r w:rsidR="00E835C7">
        <w:t xml:space="preserve"> </w:t>
      </w:r>
      <w:r w:rsidR="009D3270">
        <w:t xml:space="preserve">raised in Section 109 and </w:t>
      </w:r>
      <w:r w:rsidR="00E835C7">
        <w:t xml:space="preserve">that Congress has instructed the Commission to </w:t>
      </w:r>
      <w:r w:rsidR="005234D9">
        <w:t xml:space="preserve">take </w:t>
      </w:r>
      <w:r w:rsidR="003C78F1">
        <w:t xml:space="preserve">into </w:t>
      </w:r>
      <w:r w:rsidR="005234D9">
        <w:t xml:space="preserve">account </w:t>
      </w:r>
      <w:r w:rsidR="003C78F1">
        <w:t>when</w:t>
      </w:r>
      <w:r w:rsidR="00D120C7">
        <w:t xml:space="preserve"> making</w:t>
      </w:r>
      <w:r w:rsidR="00E835C7">
        <w:t xml:space="preserve"> recommendations</w:t>
      </w:r>
      <w:r w:rsidR="00D120C7">
        <w:t xml:space="preserve"> on how to foster increased localism in counties served by out-of-state DMAs</w:t>
      </w:r>
      <w:r w:rsidR="003A3742">
        <w:t xml:space="preserve">.  </w:t>
      </w:r>
      <w:r w:rsidR="00D120C7">
        <w:t xml:space="preserve">Therefore, </w:t>
      </w:r>
      <w:r w:rsidR="000D44DB">
        <w:t xml:space="preserve">market modification may have the most potential for fostering increased localism </w:t>
      </w:r>
      <w:r w:rsidR="002D6FA7">
        <w:t>consistent with</w:t>
      </w:r>
      <w:r w:rsidR="000D44DB">
        <w:t xml:space="preserve"> Congress’</w:t>
      </w:r>
      <w:r w:rsidR="009D3270">
        <w:t>s</w:t>
      </w:r>
      <w:r w:rsidR="000D44DB">
        <w:t xml:space="preserve"> concerns.</w:t>
      </w:r>
      <w:r w:rsidR="00FC49F8">
        <w:t xml:space="preserve">  In the </w:t>
      </w:r>
      <w:r w:rsidR="00FC49F8" w:rsidRPr="00510B12">
        <w:rPr>
          <w:i/>
        </w:rPr>
        <w:t>Satellite Market Modification Order</w:t>
      </w:r>
      <w:r w:rsidR="00FC49F8">
        <w:t xml:space="preserve">, the Commission observed, however, </w:t>
      </w:r>
      <w:r w:rsidR="00FC49F8" w:rsidRPr="00EC03C3">
        <w:t xml:space="preserve">that </w:t>
      </w:r>
      <w:r w:rsidR="00FC49F8">
        <w:t>“</w:t>
      </w:r>
      <w:r w:rsidR="00FC49F8" w:rsidRPr="00EC03C3">
        <w:t>the ability of the market modification rules to successfully address the problem of consumer access to in-state stations will depend in large part on broadcasters’ willingness to grant retransmission consent to be carried in the new community and satellite carriers’ technical ability to provide the in-state stations in the new community.</w:t>
      </w:r>
      <w:r w:rsidR="00FC49F8">
        <w:t>”</w:t>
      </w:r>
      <w:r w:rsidR="00FC49F8">
        <w:rPr>
          <w:rStyle w:val="FootnoteReference"/>
        </w:rPr>
        <w:footnoteReference w:id="254"/>
      </w:r>
      <w:r w:rsidR="00FC49F8" w:rsidRPr="00EC03C3">
        <w:t>‎</w:t>
      </w:r>
    </w:p>
    <w:p w:rsidR="00442980" w:rsidRDefault="00FC49F8" w:rsidP="00E835C7">
      <w:pPr>
        <w:pStyle w:val="ParaNum"/>
      </w:pPr>
      <w:r>
        <w:t xml:space="preserve">Furthermore, in the satellite context, the Commission has also expanded the types of entities that may file a market modification petition by </w:t>
      </w:r>
      <w:r w:rsidRPr="00AB41A5">
        <w:t>permitting a county governmental entity (such as a county board, council, commission or other equivalent subdivision) to file a satellite market modification petition</w:t>
      </w:r>
      <w:r>
        <w:t>.</w:t>
      </w:r>
      <w:r>
        <w:rPr>
          <w:rStyle w:val="FootnoteReference"/>
        </w:rPr>
        <w:footnoteReference w:id="255"/>
      </w:r>
      <w:r>
        <w:t xml:space="preserve">  This change seeks to</w:t>
      </w:r>
      <w:r w:rsidRPr="00ED16EE">
        <w:t xml:space="preserve"> </w:t>
      </w:r>
      <w:r w:rsidRPr="006714E8">
        <w:t xml:space="preserve">empower orphan counties to </w:t>
      </w:r>
      <w:r>
        <w:t>petition for</w:t>
      </w:r>
      <w:r w:rsidR="006C1654">
        <w:t xml:space="preserve"> inclusion of</w:t>
      </w:r>
      <w:r>
        <w:t xml:space="preserve"> in-state stations.</w:t>
      </w:r>
      <w:r>
        <w:rPr>
          <w:rStyle w:val="FootnoteReference"/>
        </w:rPr>
        <w:footnoteReference w:id="256"/>
      </w:r>
      <w:r>
        <w:t xml:space="preserve">  In addition, a </w:t>
      </w:r>
      <w:r w:rsidRPr="00E835C7">
        <w:t xml:space="preserve">county government must also be served with a </w:t>
      </w:r>
      <w:r>
        <w:t xml:space="preserve">copy of any </w:t>
      </w:r>
      <w:r w:rsidRPr="00E835C7">
        <w:t>satellite market modification petition</w:t>
      </w:r>
      <w:r>
        <w:t xml:space="preserve"> should another entity initiate such a petition.</w:t>
      </w:r>
      <w:r>
        <w:rPr>
          <w:rStyle w:val="FootnoteReference"/>
        </w:rPr>
        <w:footnoteReference w:id="257"/>
      </w:r>
      <w:r>
        <w:t xml:space="preserve">  This notice requirement </w:t>
      </w:r>
      <w:r w:rsidR="00D97DDE">
        <w:t xml:space="preserve">enables </w:t>
      </w:r>
      <w:r>
        <w:t>county governments to become aware of such petitions and to potentially support or oppose any market modification affecting their county.</w:t>
      </w:r>
      <w:r>
        <w:rPr>
          <w:rStyle w:val="FootnoteReference"/>
        </w:rPr>
        <w:footnoteReference w:id="258"/>
      </w:r>
      <w:r>
        <w:t xml:space="preserve">  As such, it affords counties </w:t>
      </w:r>
      <w:r w:rsidR="003C78F1">
        <w:t xml:space="preserve">an opportunity to have an impact on </w:t>
      </w:r>
      <w:r>
        <w:t>the programming that satellite operators provide to consumers in their area.</w:t>
      </w:r>
      <w:r>
        <w:rPr>
          <w:rStyle w:val="FootnoteReference"/>
        </w:rPr>
        <w:footnoteReference w:id="259"/>
      </w:r>
    </w:p>
    <w:p w:rsidR="00660273" w:rsidRDefault="007755B8" w:rsidP="00660273">
      <w:pPr>
        <w:pStyle w:val="ParaNum"/>
      </w:pPr>
      <w:r>
        <w:t xml:space="preserve">The suggestion that greater flexibility in the modification of markets </w:t>
      </w:r>
      <w:r w:rsidR="00D120C7">
        <w:t>offers a potential solution for counties</w:t>
      </w:r>
      <w:r w:rsidR="00A11640">
        <w:t xml:space="preserve"> located in a state different from the core of their DMA</w:t>
      </w:r>
      <w:r w:rsidR="00D120C7">
        <w:t xml:space="preserve"> is further </w:t>
      </w:r>
      <w:r w:rsidR="006C1654">
        <w:t xml:space="preserve">supported </w:t>
      </w:r>
      <w:r w:rsidR="00D120C7">
        <w:t>by the fact that</w:t>
      </w:r>
      <w:r w:rsidR="00660273">
        <w:t>, s</w:t>
      </w:r>
      <w:r w:rsidR="00295156">
        <w:t xml:space="preserve">ince the Commission adopted the </w:t>
      </w:r>
      <w:r w:rsidR="003667C3" w:rsidRPr="00510B12">
        <w:rPr>
          <w:i/>
        </w:rPr>
        <w:t>Satellite Market Modification Order</w:t>
      </w:r>
      <w:r w:rsidR="00295156">
        <w:t>,</w:t>
      </w:r>
      <w:r w:rsidR="002B0FB4">
        <w:t xml:space="preserve"> </w:t>
      </w:r>
      <w:r w:rsidR="00674F0E">
        <w:t>government officials have expressed support for the new rules as allowing rural counties to access more in-state programming.</w:t>
      </w:r>
      <w:r w:rsidR="00674F0E">
        <w:rPr>
          <w:rStyle w:val="FootnoteReference"/>
        </w:rPr>
        <w:footnoteReference w:id="260"/>
      </w:r>
      <w:r w:rsidR="00106E0A">
        <w:t xml:space="preserve">  </w:t>
      </w:r>
      <w:r w:rsidR="00C27D89">
        <w:t>In particular, U.S. Senator Michael Bennet, who</w:t>
      </w:r>
      <w:r w:rsidR="00295156">
        <w:t xml:space="preserve"> advocated for the </w:t>
      </w:r>
      <w:r w:rsidR="00B413A1" w:rsidRPr="00771745">
        <w:rPr>
          <w:i/>
        </w:rPr>
        <w:t>In-State Programming Report</w:t>
      </w:r>
      <w:r w:rsidR="00C27D89">
        <w:t>,</w:t>
      </w:r>
      <w:r w:rsidR="00231621">
        <w:t xml:space="preserve"> </w:t>
      </w:r>
      <w:r w:rsidR="00C27D89">
        <w:t>has expressed optimism that the new market modification procedures will enable orphan counties in Colorado to receive in-state broadcasts</w:t>
      </w:r>
      <w:r w:rsidR="00295156">
        <w:t>.</w:t>
      </w:r>
      <w:r w:rsidR="00415E34">
        <w:rPr>
          <w:rStyle w:val="FootnoteReference"/>
        </w:rPr>
        <w:footnoteReference w:id="261"/>
      </w:r>
      <w:r w:rsidR="00DF4E83">
        <w:t xml:space="preserve">  </w:t>
      </w:r>
      <w:r w:rsidR="00F92BA8">
        <w:t xml:space="preserve">In response, the Commission has stated that all market modification petitions will be “expeditiously” considered and has </w:t>
      </w:r>
      <w:r w:rsidR="00D97DDE">
        <w:t xml:space="preserve">expressed </w:t>
      </w:r>
      <w:r w:rsidR="00F92BA8">
        <w:t>confidence that the new procedures will increase opportunities for consumers to receive more in-state broadcast stations of local interest.</w:t>
      </w:r>
      <w:r w:rsidR="00F92BA8">
        <w:rPr>
          <w:rStyle w:val="FootnoteReference"/>
        </w:rPr>
        <w:footnoteReference w:id="262"/>
      </w:r>
      <w:r w:rsidR="004C3BEA">
        <w:t xml:space="preserve"> </w:t>
      </w:r>
    </w:p>
    <w:p w:rsidR="00674F0E" w:rsidRDefault="0072158A" w:rsidP="002B3899">
      <w:pPr>
        <w:pStyle w:val="ParaNum"/>
      </w:pPr>
      <w:r>
        <w:t>Regarding cable market modifications, while the Commission has found that the cable market modification process has worked well since being implemented more than 20 years ago,</w:t>
      </w:r>
      <w:r>
        <w:rPr>
          <w:rStyle w:val="FootnoteReference"/>
        </w:rPr>
        <w:footnoteReference w:id="263"/>
      </w:r>
      <w:r>
        <w:t xml:space="preserve"> we acknowledge </w:t>
      </w:r>
      <w:r w:rsidR="00DF4E83">
        <w:t xml:space="preserve">commenters’ concerns that the market modification process </w:t>
      </w:r>
      <w:r>
        <w:t xml:space="preserve">may be </w:t>
      </w:r>
      <w:r w:rsidR="00DF4E83">
        <w:t>too costly</w:t>
      </w:r>
      <w:r w:rsidR="00A667AD">
        <w:t>, time</w:t>
      </w:r>
      <w:r w:rsidR="00D97DDE">
        <w:t>-</w:t>
      </w:r>
      <w:r w:rsidR="00A667AD">
        <w:t>consuming</w:t>
      </w:r>
      <w:r w:rsidR="00415E34">
        <w:t>, and uncertain,</w:t>
      </w:r>
      <w:r>
        <w:t xml:space="preserve"> especially for rural and small cable operators.</w:t>
      </w:r>
      <w:r>
        <w:rPr>
          <w:rStyle w:val="FootnoteReference"/>
        </w:rPr>
        <w:footnoteReference w:id="264"/>
      </w:r>
      <w:r w:rsidR="00415E34">
        <w:t xml:space="preserve">  We note that the evidentiary requirements </w:t>
      </w:r>
      <w:r w:rsidR="002B3899">
        <w:t xml:space="preserve">for market modification are such that petitions have the highest chance for success when the </w:t>
      </w:r>
      <w:r w:rsidR="006C1654">
        <w:t xml:space="preserve">proponents </w:t>
      </w:r>
      <w:r w:rsidR="002B3899">
        <w:t xml:space="preserve">have the </w:t>
      </w:r>
      <w:r w:rsidR="002B3899" w:rsidRPr="002B3899">
        <w:t>aid and cooperation of the station</w:t>
      </w:r>
      <w:r w:rsidR="002B3899">
        <w:t xml:space="preserve"> or stations that are subject to the petition.</w:t>
      </w:r>
      <w:r w:rsidR="002B3899">
        <w:rPr>
          <w:rStyle w:val="FootnoteReference"/>
        </w:rPr>
        <w:footnoteReference w:id="265"/>
      </w:r>
      <w:r w:rsidR="002B3899">
        <w:t xml:space="preserve">  </w:t>
      </w:r>
      <w:r w:rsidR="00462B8E">
        <w:t>Therefore, w</w:t>
      </w:r>
      <w:r w:rsidR="00660273">
        <w:t xml:space="preserve">e </w:t>
      </w:r>
      <w:r w:rsidR="007755B8">
        <w:t xml:space="preserve">continue to </w:t>
      </w:r>
      <w:r w:rsidR="00660273">
        <w:t>recommend that entities considering market modification work closely</w:t>
      </w:r>
      <w:r w:rsidR="00415E34">
        <w:t xml:space="preserve"> </w:t>
      </w:r>
      <w:r w:rsidR="00660273">
        <w:t>with broadcast stations</w:t>
      </w:r>
      <w:r w:rsidR="00462B8E">
        <w:t xml:space="preserve"> to ensure the standards for market modification are met.</w:t>
      </w:r>
      <w:r w:rsidR="00A16141">
        <w:rPr>
          <w:rStyle w:val="FootnoteReference"/>
        </w:rPr>
        <w:footnoteReference w:id="266"/>
      </w:r>
      <w:r>
        <w:t xml:space="preserve">  Also, Congress could consider future legislation to provide targeted relief for </w:t>
      </w:r>
      <w:r w:rsidR="00D30471">
        <w:t>orphan</w:t>
      </w:r>
      <w:r>
        <w:t xml:space="preserve"> counties </w:t>
      </w:r>
      <w:r w:rsidR="002C6619">
        <w:t xml:space="preserve">located </w:t>
      </w:r>
      <w:r>
        <w:t>in rural areas.</w:t>
      </w:r>
    </w:p>
    <w:p w:rsidR="003305BF" w:rsidRDefault="00CC4738" w:rsidP="003305BF">
      <w:pPr>
        <w:pStyle w:val="ParaNum"/>
      </w:pPr>
      <w:r>
        <w:rPr>
          <w:i/>
        </w:rPr>
        <w:t>Carriage of Significantly Viewed Signals</w:t>
      </w:r>
      <w:r w:rsidRPr="00240D2E">
        <w:rPr>
          <w:i/>
        </w:rPr>
        <w:t xml:space="preserve"> </w:t>
      </w:r>
      <w:r w:rsidR="00295156">
        <w:rPr>
          <w:i/>
        </w:rPr>
        <w:t xml:space="preserve">and Other </w:t>
      </w:r>
      <w:r w:rsidR="003305BF" w:rsidRPr="00240D2E">
        <w:rPr>
          <w:i/>
        </w:rPr>
        <w:t>Voluntary Agreements for Out-of-Market, In-State Programming</w:t>
      </w:r>
      <w:r w:rsidR="003305BF">
        <w:t xml:space="preserve">.  </w:t>
      </w:r>
      <w:r w:rsidR="00295156">
        <w:t xml:space="preserve">Broadcasters assert that </w:t>
      </w:r>
      <w:r w:rsidR="00C65466">
        <w:t xml:space="preserve">the </w:t>
      </w:r>
      <w:r w:rsidR="00295156">
        <w:t xml:space="preserve">Commission’s procedure for </w:t>
      </w:r>
      <w:r w:rsidR="00295156" w:rsidRPr="00240D2E">
        <w:t xml:space="preserve">the carriage of significantly viewed stations </w:t>
      </w:r>
      <w:r w:rsidR="00295156">
        <w:t>is another viable method to increase localism</w:t>
      </w:r>
      <w:r w:rsidR="003F3B57">
        <w:t xml:space="preserve"> in a manner consistent with Section 109</w:t>
      </w:r>
      <w:r w:rsidR="00295156">
        <w:t>.  NAB and DIRECTV argue</w:t>
      </w:r>
      <w:r w:rsidR="003305BF">
        <w:t xml:space="preserve"> that e</w:t>
      </w:r>
      <w:r w:rsidR="003305BF" w:rsidRPr="00312E17">
        <w:t>ncouraging voluntary agreements between MVPDs and broadcasters can address the in-state programming needs of counties</w:t>
      </w:r>
      <w:r w:rsidR="00C65466">
        <w:t xml:space="preserve"> located in DMAs composed largely of counties from another state or states</w:t>
      </w:r>
      <w:r w:rsidR="003305BF">
        <w:t xml:space="preserve">.  </w:t>
      </w:r>
      <w:r w:rsidR="00B11120">
        <w:t xml:space="preserve">NAB offers that MVPDs can place out-of-market, in-state programming on a low-tier public access channel </w:t>
      </w:r>
      <w:r w:rsidR="003F3B57">
        <w:t>(</w:t>
      </w:r>
      <w:r w:rsidR="00B11120">
        <w:t xml:space="preserve">so as not to supplant </w:t>
      </w:r>
      <w:r w:rsidR="003F3B57">
        <w:t xml:space="preserve">other </w:t>
      </w:r>
      <w:r w:rsidR="00B11120">
        <w:t>cable programming</w:t>
      </w:r>
      <w:r w:rsidR="003F3B57">
        <w:t>)</w:t>
      </w:r>
      <w:r w:rsidR="00D97DDE">
        <w:t>,</w:t>
      </w:r>
      <w:r w:rsidR="00B11120">
        <w:t xml:space="preserve"> with the only issue being whether MVPDs are willing to do so.</w:t>
      </w:r>
      <w:r w:rsidR="00B11120">
        <w:rPr>
          <w:rStyle w:val="FootnoteReference"/>
        </w:rPr>
        <w:footnoteReference w:id="267"/>
      </w:r>
      <w:r w:rsidR="00B11120">
        <w:t xml:space="preserve">  </w:t>
      </w:r>
      <w:r w:rsidR="003305BF">
        <w:t xml:space="preserve">NAB cites many instances </w:t>
      </w:r>
      <w:r w:rsidR="00D97DDE">
        <w:t xml:space="preserve">in which </w:t>
      </w:r>
      <w:r w:rsidR="003305BF">
        <w:t>MVPDs import out-of-market, in-state television programming via agreements with broadcasters.</w:t>
      </w:r>
      <w:r w:rsidR="003305BF">
        <w:rPr>
          <w:rStyle w:val="FootnoteReference"/>
        </w:rPr>
        <w:footnoteReference w:id="268"/>
      </w:r>
      <w:r w:rsidR="003305BF">
        <w:t xml:space="preserve">  DIRECTV </w:t>
      </w:r>
      <w:r w:rsidR="00B433C1">
        <w:t xml:space="preserve">also </w:t>
      </w:r>
      <w:r w:rsidR="003305BF">
        <w:t xml:space="preserve">states that the best way to provide more programming options to </w:t>
      </w:r>
      <w:r w:rsidR="00C65466">
        <w:t xml:space="preserve">particular </w:t>
      </w:r>
      <w:r w:rsidR="003305BF">
        <w:t xml:space="preserve">counties is to allow </w:t>
      </w:r>
      <w:r w:rsidR="003305BF" w:rsidRPr="004C26FC">
        <w:t xml:space="preserve">satellite carriers </w:t>
      </w:r>
      <w:r w:rsidR="003305BF">
        <w:t xml:space="preserve">to bring additional programming </w:t>
      </w:r>
      <w:r w:rsidR="003305BF" w:rsidRPr="004C26FC">
        <w:t>to subscribers in such cou</w:t>
      </w:r>
      <w:r w:rsidR="003305BF">
        <w:t>nties where technically feasible.</w:t>
      </w:r>
      <w:r w:rsidR="003305BF">
        <w:rPr>
          <w:rStyle w:val="FootnoteReference"/>
        </w:rPr>
        <w:footnoteReference w:id="269"/>
      </w:r>
    </w:p>
    <w:p w:rsidR="00295156" w:rsidRDefault="003305BF" w:rsidP="00492F8D">
      <w:pPr>
        <w:pStyle w:val="ParaNum"/>
        <w:widowControl/>
      </w:pPr>
      <w:bookmarkStart w:id="65" w:name="_Ref452470323"/>
      <w:r>
        <w:t xml:space="preserve">WTA states that cable operators </w:t>
      </w:r>
      <w:r w:rsidRPr="00EF1157">
        <w:t>attempt</w:t>
      </w:r>
      <w:r>
        <w:t>ing</w:t>
      </w:r>
      <w:r w:rsidRPr="00EF1157">
        <w:t xml:space="preserve"> to negotiate carriage </w:t>
      </w:r>
      <w:r>
        <w:t xml:space="preserve">with out-of-market stations </w:t>
      </w:r>
      <w:r w:rsidRPr="00EF1157">
        <w:t>often face resistance stemming from provisions in network affiliation agreements</w:t>
      </w:r>
      <w:r>
        <w:t>.</w:t>
      </w:r>
      <w:r>
        <w:rPr>
          <w:rStyle w:val="FootnoteReference"/>
        </w:rPr>
        <w:footnoteReference w:id="270"/>
      </w:r>
      <w:r>
        <w:t xml:space="preserve">  </w:t>
      </w:r>
      <w:r w:rsidR="00D97DDE">
        <w:t>ITTA makes the same point.</w:t>
      </w:r>
      <w:r>
        <w:rPr>
          <w:rStyle w:val="FootnoteReference"/>
        </w:rPr>
        <w:footnoteReference w:id="271"/>
      </w:r>
      <w:r w:rsidR="001E2E2C">
        <w:t xml:space="preserve">  Furthermore, b</w:t>
      </w:r>
      <w:r w:rsidR="00295156">
        <w:t>ecause retransmission consent is required for the carriage of significantly viewed signals, cable operators state that they often run into the similar problem of network affiliation agreements that prevent carriage of additional stations with the same network affiliation in the same market.</w:t>
      </w:r>
      <w:r w:rsidR="00B433C1">
        <w:rPr>
          <w:rStyle w:val="FootnoteReference"/>
        </w:rPr>
        <w:footnoteReference w:id="272"/>
      </w:r>
      <w:bookmarkEnd w:id="65"/>
      <w:r w:rsidR="00295156">
        <w:t xml:space="preserve"> </w:t>
      </w:r>
    </w:p>
    <w:p w:rsidR="00E3013E" w:rsidRDefault="00B433C1" w:rsidP="001E2E2C">
      <w:pPr>
        <w:pStyle w:val="ParaNum"/>
      </w:pPr>
      <w:bookmarkStart w:id="66" w:name="_Ref452470341"/>
      <w:r>
        <w:t>Broadcasters</w:t>
      </w:r>
      <w:r w:rsidR="00E3013E">
        <w:t xml:space="preserve"> maintain </w:t>
      </w:r>
      <w:r>
        <w:t>in this proceeding that in-market stations</w:t>
      </w:r>
      <w:r w:rsidR="00E3013E">
        <w:t xml:space="preserve"> would be financially harmed by the importation of out-of-market broadcast programming, unless the programming was limited to locally</w:t>
      </w:r>
      <w:r w:rsidR="00C63C9F">
        <w:t xml:space="preserve"> </w:t>
      </w:r>
      <w:r w:rsidR="00E3013E">
        <w:t>produced news programming</w:t>
      </w:r>
      <w:r w:rsidR="00C63C9F">
        <w:t xml:space="preserve"> or other non-duplicative programming</w:t>
      </w:r>
      <w:r w:rsidR="00E3013E">
        <w:t>.</w:t>
      </w:r>
      <w:r w:rsidR="00660273">
        <w:rPr>
          <w:rStyle w:val="FootnoteReference"/>
        </w:rPr>
        <w:footnoteReference w:id="273"/>
      </w:r>
      <w:r w:rsidR="00E3013E">
        <w:t xml:space="preserve">  Because in-market broadcast stations generally oppose the importation of out-of-market broadcast programming</w:t>
      </w:r>
      <w:r>
        <w:t xml:space="preserve"> into their own markets</w:t>
      </w:r>
      <w:r w:rsidR="00E3013E">
        <w:t xml:space="preserve">, they </w:t>
      </w:r>
      <w:r>
        <w:t xml:space="preserve">likewise </w:t>
      </w:r>
      <w:r w:rsidR="00C63C9F">
        <w:t xml:space="preserve">may </w:t>
      </w:r>
      <w:r>
        <w:t>not be willing</w:t>
      </w:r>
      <w:r w:rsidR="00E3013E">
        <w:t xml:space="preserve"> to grant out-of-market MVPDs permission to carry their programming</w:t>
      </w:r>
      <w:r>
        <w:t xml:space="preserve"> in other markets</w:t>
      </w:r>
      <w:r w:rsidR="00E3013E">
        <w:t>.</w:t>
      </w:r>
      <w:r w:rsidR="00660273">
        <w:rPr>
          <w:rStyle w:val="FootnoteReference"/>
        </w:rPr>
        <w:footnoteReference w:id="274"/>
      </w:r>
      <w:r w:rsidR="00E3013E">
        <w:t xml:space="preserve">  Even when in-market and out-of-market broadcast stations can agree to the importation of out-of-market local programming, </w:t>
      </w:r>
      <w:r w:rsidR="00F163AD">
        <w:t>MVPDs often lack financial incentives to carry the programming.</w:t>
      </w:r>
      <w:r w:rsidR="00F163AD">
        <w:rPr>
          <w:rStyle w:val="FootnoteReference"/>
        </w:rPr>
        <w:footnoteReference w:id="275"/>
      </w:r>
      <w:r w:rsidR="00F163AD">
        <w:t xml:space="preserve"> </w:t>
      </w:r>
      <w:r w:rsidR="00E3013E">
        <w:t xml:space="preserve"> Although some MVPDs carry the locally</w:t>
      </w:r>
      <w:r w:rsidR="00C63C9F">
        <w:t xml:space="preserve"> </w:t>
      </w:r>
      <w:r w:rsidR="00E3013E">
        <w:t xml:space="preserve">produced news programming of out-of-market broadcast stations, this </w:t>
      </w:r>
      <w:r w:rsidR="00660273">
        <w:t xml:space="preserve">arrangement </w:t>
      </w:r>
      <w:r w:rsidR="00C63C9F">
        <w:t>appears to be</w:t>
      </w:r>
      <w:r w:rsidR="00E3013E">
        <w:t xml:space="preserve"> uncommon.</w:t>
      </w:r>
      <w:r w:rsidR="00660273">
        <w:rPr>
          <w:rStyle w:val="FootnoteReference"/>
        </w:rPr>
        <w:footnoteReference w:id="276"/>
      </w:r>
      <w:r w:rsidR="00E3013E">
        <w:t xml:space="preserve">  MVPDs contend that allocating a channel and then blocking out all but the locally</w:t>
      </w:r>
      <w:r w:rsidR="00D97DDE">
        <w:t xml:space="preserve"> </w:t>
      </w:r>
      <w:r w:rsidR="00E3013E">
        <w:t>produced news programming would rarely be profitable, especially when the expected audiences are small.</w:t>
      </w:r>
      <w:r w:rsidR="00660273">
        <w:rPr>
          <w:rStyle w:val="FootnoteReference"/>
        </w:rPr>
        <w:footnoteReference w:id="277"/>
      </w:r>
      <w:bookmarkEnd w:id="66"/>
    </w:p>
    <w:p w:rsidR="00841A49" w:rsidRDefault="00852C88" w:rsidP="00240D2E">
      <w:pPr>
        <w:pStyle w:val="ParaNum"/>
      </w:pPr>
      <w:r>
        <w:t xml:space="preserve"> </w:t>
      </w:r>
      <w:bookmarkStart w:id="67" w:name="_Ref452470301"/>
      <w:r w:rsidR="00AF4B7A">
        <w:t xml:space="preserve">One possible </w:t>
      </w:r>
      <w:r w:rsidR="00660273">
        <w:t>solution</w:t>
      </w:r>
      <w:r w:rsidR="000665AE">
        <w:t xml:space="preserve"> could be </w:t>
      </w:r>
      <w:r w:rsidR="00C63C9F">
        <w:t>for</w:t>
      </w:r>
      <w:r w:rsidR="000665AE">
        <w:t xml:space="preserve"> MVPDs </w:t>
      </w:r>
      <w:r w:rsidR="00C63C9F">
        <w:t xml:space="preserve">to obtain consent for carriage of the local programming of </w:t>
      </w:r>
      <w:r w:rsidR="00492F8D">
        <w:t>several</w:t>
      </w:r>
      <w:r w:rsidR="00C63C9F">
        <w:t xml:space="preserve"> out-of-market stations and </w:t>
      </w:r>
      <w:r w:rsidR="000665AE">
        <w:t xml:space="preserve">aggregate </w:t>
      </w:r>
      <w:r w:rsidR="00C63C9F">
        <w:t xml:space="preserve">such </w:t>
      </w:r>
      <w:r w:rsidR="000665AE">
        <w:t>local programming on a separate channel</w:t>
      </w:r>
      <w:r w:rsidR="00F11002">
        <w:t xml:space="preserve"> or channels</w:t>
      </w:r>
      <w:r w:rsidR="002D64E8">
        <w:t xml:space="preserve">.  This approach would allow </w:t>
      </w:r>
      <w:r w:rsidR="000665AE">
        <w:t>an MVPD</w:t>
      </w:r>
      <w:r w:rsidR="00AF4B7A">
        <w:t xml:space="preserve"> </w:t>
      </w:r>
      <w:r w:rsidR="002D64E8">
        <w:t xml:space="preserve">to </w:t>
      </w:r>
      <w:r w:rsidR="000665AE">
        <w:t>use</w:t>
      </w:r>
      <w:r w:rsidR="00AF4B7A">
        <w:t xml:space="preserve"> </w:t>
      </w:r>
      <w:r w:rsidR="00D575CC">
        <w:t xml:space="preserve">fewer </w:t>
      </w:r>
      <w:r w:rsidR="00AF4B7A">
        <w:t xml:space="preserve">resources </w:t>
      </w:r>
      <w:r w:rsidR="00F11002">
        <w:t>by carrying</w:t>
      </w:r>
      <w:r w:rsidR="00AF4B7A">
        <w:t xml:space="preserve"> the relevant local programming </w:t>
      </w:r>
      <w:r w:rsidR="00F11002">
        <w:t>from a distant, out-of-market station (or stati</w:t>
      </w:r>
      <w:r w:rsidR="00940D1E">
        <w:t>o</w:t>
      </w:r>
      <w:r w:rsidR="00F11002">
        <w:t xml:space="preserve">ns) </w:t>
      </w:r>
      <w:r w:rsidR="00AF4B7A">
        <w:t>on a</w:t>
      </w:r>
      <w:r w:rsidR="00D575CC">
        <w:t xml:space="preserve"> single</w:t>
      </w:r>
      <w:r w:rsidR="00AF4B7A">
        <w:t xml:space="preserve"> </w:t>
      </w:r>
      <w:r w:rsidR="000665AE">
        <w:t xml:space="preserve">designated </w:t>
      </w:r>
      <w:r w:rsidR="00AF4B7A">
        <w:t>channel</w:t>
      </w:r>
      <w:r w:rsidR="002D64E8">
        <w:t xml:space="preserve"> </w:t>
      </w:r>
      <w:r w:rsidR="00D575CC">
        <w:t xml:space="preserve">or </w:t>
      </w:r>
      <w:r w:rsidR="001B2DDB">
        <w:t xml:space="preserve">on </w:t>
      </w:r>
      <w:r w:rsidR="00D575CC">
        <w:t xml:space="preserve">a video-on-demand basis, </w:t>
      </w:r>
      <w:r w:rsidR="002D64E8">
        <w:t xml:space="preserve">rather than carrying all of a station’s programming </w:t>
      </w:r>
      <w:r w:rsidR="001B2DDB">
        <w:t>and</w:t>
      </w:r>
      <w:r w:rsidR="00F11002">
        <w:t xml:space="preserve"> facing the need to black </w:t>
      </w:r>
      <w:r w:rsidR="002D64E8">
        <w:t>out all but the relevant</w:t>
      </w:r>
      <w:r w:rsidR="00D575CC">
        <w:t>, non-duplicative</w:t>
      </w:r>
      <w:r w:rsidR="002D64E8">
        <w:t xml:space="preserve"> local programming</w:t>
      </w:r>
      <w:r w:rsidR="00AF4B7A">
        <w:t>.</w:t>
      </w:r>
      <w:bookmarkEnd w:id="67"/>
      <w:r w:rsidR="005F5AC7">
        <w:t xml:space="preserve"> </w:t>
      </w:r>
      <w:r w:rsidR="00AF4B7A">
        <w:t xml:space="preserve"> </w:t>
      </w:r>
      <w:r w:rsidR="001B2DDB">
        <w:t xml:space="preserve">  </w:t>
      </w:r>
      <w:r w:rsidR="001E2E2C">
        <w:t xml:space="preserve">  </w:t>
      </w:r>
    </w:p>
    <w:p w:rsidR="00081E54" w:rsidRDefault="00240D2E" w:rsidP="004D1173">
      <w:pPr>
        <w:pStyle w:val="ParaNum"/>
      </w:pPr>
      <w:r>
        <w:rPr>
          <w:i/>
        </w:rPr>
        <w:t>Repeal of Syndicated Exclusivity and Network Non-duplication Rules</w:t>
      </w:r>
      <w:r w:rsidRPr="00240D2E">
        <w:t>.</w:t>
      </w:r>
      <w:r w:rsidR="00D72565">
        <w:t xml:space="preserve">  </w:t>
      </w:r>
      <w:r w:rsidR="0033763B">
        <w:t xml:space="preserve">One commenter, </w:t>
      </w:r>
      <w:r>
        <w:t>ITTA</w:t>
      </w:r>
      <w:r w:rsidR="0033763B">
        <w:t>,</w:t>
      </w:r>
      <w:r>
        <w:t xml:space="preserve"> argue</w:t>
      </w:r>
      <w:r w:rsidR="00D72565">
        <w:t>s</w:t>
      </w:r>
      <w:r>
        <w:t xml:space="preserve"> that the Commission should repeal the syndicated exclusivity and network non-duplication rules</w:t>
      </w:r>
      <w:r w:rsidR="00081E54">
        <w:t xml:space="preserve"> as a way to foster increased localism</w:t>
      </w:r>
      <w:r>
        <w:t>.</w:t>
      </w:r>
      <w:r w:rsidR="00081E54">
        <w:rPr>
          <w:rStyle w:val="FootnoteReference"/>
        </w:rPr>
        <w:footnoteReference w:id="278"/>
      </w:r>
      <w:r w:rsidR="00841A49">
        <w:t xml:space="preserve">  </w:t>
      </w:r>
      <w:r w:rsidR="00083950">
        <w:t>The</w:t>
      </w:r>
      <w:r w:rsidR="004D1173">
        <w:t>se</w:t>
      </w:r>
      <w:r w:rsidR="00083950">
        <w:t xml:space="preserve"> </w:t>
      </w:r>
      <w:r w:rsidR="004D1173">
        <w:t xml:space="preserve">program </w:t>
      </w:r>
      <w:r w:rsidR="00083950">
        <w:t xml:space="preserve">exclusivity rules currently </w:t>
      </w:r>
      <w:r w:rsidR="004D1173">
        <w:t xml:space="preserve">require </w:t>
      </w:r>
      <w:r w:rsidR="004D1173" w:rsidRPr="004D1173">
        <w:t>MVPDs to delete duplicative network or syndicated programming car</w:t>
      </w:r>
      <w:r w:rsidR="004D1173">
        <w:t xml:space="preserve">ried on any out-of-market signals that </w:t>
      </w:r>
      <w:r w:rsidR="00AC7385">
        <w:t xml:space="preserve">an </w:t>
      </w:r>
      <w:r w:rsidR="004D1173">
        <w:t>MVPD</w:t>
      </w:r>
      <w:r w:rsidR="004D1173" w:rsidRPr="004D1173">
        <w:t xml:space="preserve"> import</w:t>
      </w:r>
      <w:r w:rsidR="004D1173">
        <w:t>s</w:t>
      </w:r>
      <w:r w:rsidR="004D1173" w:rsidRPr="004D1173">
        <w:t xml:space="preserve"> into a local market</w:t>
      </w:r>
      <w:r w:rsidR="00D97DDE">
        <w:t>, where exclusivity provisions exist in the relevant programming agreements</w:t>
      </w:r>
      <w:r w:rsidR="004D1173">
        <w:t>.</w:t>
      </w:r>
      <w:r w:rsidR="004D1173">
        <w:rPr>
          <w:rStyle w:val="FootnoteReference"/>
        </w:rPr>
        <w:footnoteReference w:id="279"/>
      </w:r>
      <w:r w:rsidR="004D1173">
        <w:t xml:space="preserve">  </w:t>
      </w:r>
      <w:r w:rsidR="00083950">
        <w:t>ITTA argues that the exclusivity rules in effect undermine the Commission’s localism interest by blocking competition from out-of-market stations that would enhance the quality of local broadcast programming</w:t>
      </w:r>
      <w:r w:rsidR="00AC7385">
        <w:t xml:space="preserve"> and the viewing options available to consumers</w:t>
      </w:r>
      <w:r w:rsidR="00083950">
        <w:t>.</w:t>
      </w:r>
      <w:r w:rsidR="00083950">
        <w:rPr>
          <w:rStyle w:val="FootnoteReference"/>
        </w:rPr>
        <w:footnoteReference w:id="280"/>
      </w:r>
      <w:r w:rsidR="00083950">
        <w:t xml:space="preserve">  </w:t>
      </w:r>
      <w:r w:rsidR="00D97DDE">
        <w:t>By contrast</w:t>
      </w:r>
      <w:r w:rsidR="00AC7385">
        <w:t xml:space="preserve">, </w:t>
      </w:r>
      <w:r w:rsidR="00081E54">
        <w:t>ITTA states</w:t>
      </w:r>
      <w:r w:rsidR="00D97DDE">
        <w:t>,</w:t>
      </w:r>
      <w:r w:rsidR="00081E54">
        <w:t xml:space="preserve"> repealing the exclusivity rules would facilitate</w:t>
      </w:r>
      <w:r w:rsidR="00E1677A">
        <w:t xml:space="preserve"> the importation of out-of-market</w:t>
      </w:r>
      <w:r w:rsidR="00081E54">
        <w:t xml:space="preserve"> signals by MVPDs.</w:t>
      </w:r>
      <w:r w:rsidR="00081E54">
        <w:rPr>
          <w:rStyle w:val="FootnoteReference"/>
        </w:rPr>
        <w:footnoteReference w:id="281"/>
      </w:r>
      <w:r w:rsidR="00081E54">
        <w:t xml:space="preserve">  </w:t>
      </w:r>
      <w:r w:rsidR="00E1677A">
        <w:t xml:space="preserve">ITTA </w:t>
      </w:r>
      <w:r w:rsidR="00081E54">
        <w:t>a</w:t>
      </w:r>
      <w:r w:rsidR="00E1677A">
        <w:t>rgue</w:t>
      </w:r>
      <w:r w:rsidR="00081E54">
        <w:t xml:space="preserve">s </w:t>
      </w:r>
      <w:r w:rsidR="00AC7385">
        <w:t xml:space="preserve">further </w:t>
      </w:r>
      <w:r w:rsidR="00081E54">
        <w:t>that allowing MVPDs to import network and syndicated programming from a station outside the DMA would create more competition among broadcasters to produce compelling local programming.</w:t>
      </w:r>
      <w:r w:rsidR="00081E54">
        <w:rPr>
          <w:rStyle w:val="FootnoteReference"/>
        </w:rPr>
        <w:footnoteReference w:id="282"/>
      </w:r>
      <w:r w:rsidR="00E1677A">
        <w:t xml:space="preserve">  </w:t>
      </w:r>
    </w:p>
    <w:p w:rsidR="00240D2E" w:rsidRDefault="00841A49" w:rsidP="00240D2E">
      <w:pPr>
        <w:pStyle w:val="ParaNum"/>
      </w:pPr>
      <w:r>
        <w:t xml:space="preserve">Broadcasters argue that </w:t>
      </w:r>
      <w:r w:rsidR="002E5003">
        <w:t>the</w:t>
      </w:r>
      <w:r w:rsidR="006C1654">
        <w:t>se</w:t>
      </w:r>
      <w:r w:rsidR="002E5003">
        <w:t xml:space="preserve"> rules remain necessary for broadcasters to protect the value of their advertising sales</w:t>
      </w:r>
      <w:r w:rsidR="00AC7385">
        <w:t xml:space="preserve"> and the viability of local stations</w:t>
      </w:r>
      <w:r w:rsidR="002E5003">
        <w:t>.</w:t>
      </w:r>
      <w:r w:rsidR="00D72565">
        <w:t xml:space="preserve">  </w:t>
      </w:r>
      <w:r w:rsidR="00083950">
        <w:t>NAB asserts that the importation of duplicative out-of-market programming would reduce local stations’ audiences and devalue the advertising spots that allow advertisers to reach their intended local customers, thereby resulting in a loss of ad</w:t>
      </w:r>
      <w:r w:rsidR="00CA2D3E">
        <w:t>vertising</w:t>
      </w:r>
      <w:r w:rsidR="00083950">
        <w:t xml:space="preserve"> revenue for local stations.</w:t>
      </w:r>
      <w:r w:rsidR="00CA2D3E">
        <w:rPr>
          <w:rStyle w:val="FootnoteReference"/>
        </w:rPr>
        <w:footnoteReference w:id="283"/>
      </w:r>
      <w:r w:rsidR="00083950">
        <w:t xml:space="preserve"> </w:t>
      </w:r>
      <w:r w:rsidR="00083950" w:rsidDel="00081E54">
        <w:t xml:space="preserve"> </w:t>
      </w:r>
      <w:r w:rsidR="00D72565">
        <w:t xml:space="preserve">NAB states that allowing MVPDs to import duplicative national </w:t>
      </w:r>
      <w:r w:rsidR="001A231A">
        <w:t xml:space="preserve">network </w:t>
      </w:r>
      <w:r w:rsidR="00D72565">
        <w:t xml:space="preserve">or syndicated programming </w:t>
      </w:r>
      <w:r w:rsidR="00D411D8">
        <w:t xml:space="preserve">thus </w:t>
      </w:r>
      <w:r w:rsidR="00D72565">
        <w:t>would undermine the economic viability of in-market stations already carrying the same programming.</w:t>
      </w:r>
      <w:r w:rsidR="00D72565">
        <w:rPr>
          <w:rStyle w:val="FootnoteReference"/>
        </w:rPr>
        <w:footnoteReference w:id="284"/>
      </w:r>
      <w:r w:rsidR="00D72565">
        <w:t xml:space="preserve">  NAB argues this would in turn hamper the in-market stations’ ability to produce relevant local programming.</w:t>
      </w:r>
      <w:r w:rsidR="00D72565">
        <w:rPr>
          <w:rStyle w:val="FootnoteReference"/>
        </w:rPr>
        <w:footnoteReference w:id="285"/>
      </w:r>
      <w:r w:rsidR="00E1677A">
        <w:t xml:space="preserve">  ITTA </w:t>
      </w:r>
      <w:r w:rsidR="00F73551">
        <w:t>argues</w:t>
      </w:r>
      <w:r w:rsidR="00E1677A">
        <w:t xml:space="preserve"> that broadcasters no longer depend </w:t>
      </w:r>
      <w:r w:rsidR="00C06DE1">
        <w:t xml:space="preserve">solely </w:t>
      </w:r>
      <w:r w:rsidR="00E1677A">
        <w:t xml:space="preserve">on advertising </w:t>
      </w:r>
      <w:r w:rsidR="00E66BE2">
        <w:t>sales</w:t>
      </w:r>
      <w:r w:rsidR="00E1677A">
        <w:t xml:space="preserve"> but rather rely on retransmission consent </w:t>
      </w:r>
      <w:r w:rsidR="00E66BE2">
        <w:t xml:space="preserve">fees </w:t>
      </w:r>
      <w:r w:rsidR="00E1677A">
        <w:t xml:space="preserve">as their primary source of </w:t>
      </w:r>
      <w:r w:rsidR="00E66BE2">
        <w:t>revenue</w:t>
      </w:r>
      <w:r w:rsidR="00E1677A">
        <w:t>.</w:t>
      </w:r>
      <w:r w:rsidR="00EB6E2C">
        <w:rPr>
          <w:rStyle w:val="FootnoteReference"/>
        </w:rPr>
        <w:footnoteReference w:id="286"/>
      </w:r>
      <w:r w:rsidR="00E1677A">
        <w:t xml:space="preserve">  ITTA further </w:t>
      </w:r>
      <w:r w:rsidR="00F73551">
        <w:t xml:space="preserve">asserts </w:t>
      </w:r>
      <w:r w:rsidR="00E1677A">
        <w:t>that broadcasters’ arguments about the repeal of the exclusivity rules undermining localism are dis</w:t>
      </w:r>
      <w:r w:rsidR="00EB6E2C">
        <w:t>ingenuous as competiti</w:t>
      </w:r>
      <w:r w:rsidR="00E66BE2">
        <w:t>on from out-of-market stations sh</w:t>
      </w:r>
      <w:r w:rsidR="00EB6E2C">
        <w:t>ould incentivize local stations to produce better local programming.</w:t>
      </w:r>
      <w:r w:rsidR="00EB6E2C">
        <w:rPr>
          <w:rStyle w:val="FootnoteReference"/>
        </w:rPr>
        <w:footnoteReference w:id="287"/>
      </w:r>
    </w:p>
    <w:p w:rsidR="00841A49" w:rsidRDefault="00F73551" w:rsidP="00240D2E">
      <w:pPr>
        <w:pStyle w:val="ParaNum"/>
      </w:pPr>
      <w:r>
        <w:t>We find that the record does not establish</w:t>
      </w:r>
      <w:r w:rsidR="00AC7385">
        <w:t xml:space="preserve"> that</w:t>
      </w:r>
      <w:r w:rsidR="00E66BE2">
        <w:t xml:space="preserve"> repeal of the syndicated exclusivity and network non-duplication rules </w:t>
      </w:r>
      <w:r>
        <w:t>would reliably</w:t>
      </w:r>
      <w:r w:rsidR="00E66BE2">
        <w:t xml:space="preserve"> increase localism</w:t>
      </w:r>
      <w:r w:rsidR="00C06DE1">
        <w:t xml:space="preserve"> </w:t>
      </w:r>
      <w:r w:rsidR="00EC2321">
        <w:t>or would</w:t>
      </w:r>
      <w:r w:rsidR="001E2E2C">
        <w:t xml:space="preserve"> have an immediate effect on the increased availability of out-of-market programming.</w:t>
      </w:r>
      <w:r w:rsidR="00EC2321">
        <w:rPr>
          <w:rStyle w:val="FootnoteReference"/>
        </w:rPr>
        <w:footnoteReference w:id="288"/>
      </w:r>
      <w:r w:rsidR="001E2E2C">
        <w:t xml:space="preserve"> </w:t>
      </w:r>
      <w:r w:rsidR="00501CA6">
        <w:t xml:space="preserve"> </w:t>
      </w:r>
      <w:r w:rsidR="004B6F3A">
        <w:t xml:space="preserve">First, </w:t>
      </w:r>
      <w:r w:rsidR="005F5AC7">
        <w:t>the rules do not apply to the signals of significantly viewed stations or</w:t>
      </w:r>
      <w:r w:rsidR="00B72E34">
        <w:t xml:space="preserve"> to</w:t>
      </w:r>
      <w:r w:rsidR="005F5AC7">
        <w:t xml:space="preserve"> small MVPDs serving less than 1,000 subscribers.</w:t>
      </w:r>
      <w:r w:rsidR="005F5AC7">
        <w:rPr>
          <w:rStyle w:val="FootnoteReference"/>
        </w:rPr>
        <w:footnoteReference w:id="289"/>
      </w:r>
      <w:r w:rsidR="005F5AC7">
        <w:t xml:space="preserve">  Second, </w:t>
      </w:r>
      <w:r>
        <w:t>as</w:t>
      </w:r>
      <w:r w:rsidR="00501CA6">
        <w:t xml:space="preserve"> the Commission</w:t>
      </w:r>
      <w:r>
        <w:t xml:space="preserve"> observed in the </w:t>
      </w:r>
      <w:r w:rsidRPr="00D20865">
        <w:rPr>
          <w:i/>
        </w:rPr>
        <w:t>Exclusivity NPRM</w:t>
      </w:r>
      <w:r>
        <w:t>,</w:t>
      </w:r>
      <w:r w:rsidR="00501CA6">
        <w:t xml:space="preserve"> our</w:t>
      </w:r>
      <w:r w:rsidR="00AF4B7A">
        <w:t xml:space="preserve"> </w:t>
      </w:r>
      <w:r w:rsidR="00E1737C">
        <w:t xml:space="preserve">syndicated exclusivity and network non-duplication </w:t>
      </w:r>
      <w:r w:rsidR="00AF4B7A">
        <w:t xml:space="preserve">rules </w:t>
      </w:r>
      <w:r w:rsidR="001E2E2C">
        <w:t xml:space="preserve">largely </w:t>
      </w:r>
      <w:r w:rsidR="00AF4B7A">
        <w:t xml:space="preserve">have the effect of </w:t>
      </w:r>
      <w:r>
        <w:t xml:space="preserve">providing an additional enforcement mechanism for </w:t>
      </w:r>
      <w:r w:rsidR="00AF4B7A">
        <w:t xml:space="preserve">preexisting agreements.  </w:t>
      </w:r>
      <w:r>
        <w:t>P</w:t>
      </w:r>
      <w:r w:rsidR="000665AE">
        <w:t xml:space="preserve">arties </w:t>
      </w:r>
      <w:r>
        <w:t xml:space="preserve">would </w:t>
      </w:r>
      <w:r w:rsidR="000665AE">
        <w:t xml:space="preserve">remain free to include exclusivity </w:t>
      </w:r>
      <w:r w:rsidR="001E2E2C">
        <w:t>provisions in their contracts even in the absence of the Commission’s rules enforcing such provisions</w:t>
      </w:r>
      <w:r w:rsidR="00AC7385">
        <w:t xml:space="preserve">, </w:t>
      </w:r>
      <w:r>
        <w:t>as they</w:t>
      </w:r>
      <w:r w:rsidR="00C06DE1">
        <w:t xml:space="preserve"> </w:t>
      </w:r>
      <w:r w:rsidR="00AC7385">
        <w:t xml:space="preserve">typically do </w:t>
      </w:r>
      <w:r>
        <w:t>today</w:t>
      </w:r>
      <w:r w:rsidR="001E2E2C">
        <w:t>.</w:t>
      </w:r>
      <w:r w:rsidR="00E1737C">
        <w:rPr>
          <w:rStyle w:val="FootnoteReference"/>
        </w:rPr>
        <w:footnoteReference w:id="290"/>
      </w:r>
      <w:r w:rsidR="001E2E2C">
        <w:t xml:space="preserve">  </w:t>
      </w:r>
      <w:r w:rsidR="00B433C1">
        <w:t xml:space="preserve">As discussed earlier, broadcast stations generally oppose the importation of out-of-market broadcast programming into their own markets and </w:t>
      </w:r>
      <w:r w:rsidR="001A231A">
        <w:rPr>
          <w:noProof/>
        </w:rPr>
        <w:t xml:space="preserve">are </w:t>
      </w:r>
      <w:r>
        <w:rPr>
          <w:noProof/>
        </w:rPr>
        <w:t xml:space="preserve">often </w:t>
      </w:r>
      <w:r w:rsidR="001A231A">
        <w:rPr>
          <w:noProof/>
        </w:rPr>
        <w:t>prohibited by their network affiliation agreements from granting retransmission consent to MVPDs for out-of-market carriage of their signals</w:t>
      </w:r>
      <w:r w:rsidR="00B433C1">
        <w:t>.</w:t>
      </w:r>
      <w:r w:rsidR="00B433C1">
        <w:rPr>
          <w:rStyle w:val="FootnoteReference"/>
        </w:rPr>
        <w:footnoteReference w:id="291"/>
      </w:r>
    </w:p>
    <w:p w:rsidR="00EB6E2C" w:rsidRPr="00841A49" w:rsidRDefault="00EB6E2C" w:rsidP="00240D2E">
      <w:pPr>
        <w:pStyle w:val="ParaNum"/>
      </w:pPr>
      <w:r w:rsidRPr="00841A49">
        <w:t xml:space="preserve">We </w:t>
      </w:r>
      <w:r w:rsidR="00AC7385">
        <w:t xml:space="preserve">also </w:t>
      </w:r>
      <w:r w:rsidRPr="00841A49">
        <w:t>note th</w:t>
      </w:r>
      <w:r>
        <w:t>at the Commission has a</w:t>
      </w:r>
      <w:r w:rsidR="00AC7385">
        <w:t>n open</w:t>
      </w:r>
      <w:r>
        <w:t xml:space="preserve"> proceeding dedicated </w:t>
      </w:r>
      <w:r w:rsidR="00AC7385">
        <w:t xml:space="preserve">specifically </w:t>
      </w:r>
      <w:r>
        <w:t xml:space="preserve">to </w:t>
      </w:r>
      <w:r w:rsidR="00F73551">
        <w:t>the future of the exclusivity rules</w:t>
      </w:r>
      <w:r>
        <w:t>.</w:t>
      </w:r>
      <w:bookmarkStart w:id="68" w:name="_Ref452470932"/>
      <w:r>
        <w:rPr>
          <w:rStyle w:val="FootnoteReference"/>
        </w:rPr>
        <w:footnoteReference w:id="292"/>
      </w:r>
      <w:bookmarkEnd w:id="68"/>
      <w:r>
        <w:t xml:space="preserve">  To the extent that commenters have advocated the repeal of these rules, th</w:t>
      </w:r>
      <w:r w:rsidR="009B0979">
        <w:t>eir</w:t>
      </w:r>
      <w:r>
        <w:t xml:space="preserve"> comments are more properly addressed in </w:t>
      </w:r>
      <w:r w:rsidR="009B0979">
        <w:t xml:space="preserve">that </w:t>
      </w:r>
      <w:r>
        <w:t xml:space="preserve">proceeding.  With respect to fostering increased localism, we </w:t>
      </w:r>
      <w:r w:rsidR="00E66BE2">
        <w:t>cannot conclude based on the limited record in this proceeding</w:t>
      </w:r>
      <w:r>
        <w:t xml:space="preserve"> that repealing the exclusivity rules would necessarily increase local programming to </w:t>
      </w:r>
      <w:r w:rsidR="00E66BE2">
        <w:t xml:space="preserve">orphan </w:t>
      </w:r>
      <w:r>
        <w:t>counties.</w:t>
      </w:r>
    </w:p>
    <w:p w:rsidR="00FF7ABE" w:rsidRDefault="00FF7ABE" w:rsidP="00240D2E">
      <w:pPr>
        <w:pStyle w:val="ParaNum"/>
      </w:pPr>
      <w:r>
        <w:rPr>
          <w:i/>
        </w:rPr>
        <w:t>Expand Satellite Carriage Requirements</w:t>
      </w:r>
      <w:r w:rsidRPr="00FF7ABE">
        <w:t>.</w:t>
      </w:r>
      <w:r>
        <w:t xml:space="preserve">  </w:t>
      </w:r>
      <w:r w:rsidR="00444D6C">
        <w:t xml:space="preserve">Some </w:t>
      </w:r>
      <w:r w:rsidR="002A7290">
        <w:t xml:space="preserve">commenters </w:t>
      </w:r>
      <w:r w:rsidR="00D575CC">
        <w:t xml:space="preserve">recommend </w:t>
      </w:r>
      <w:r w:rsidR="002A7290">
        <w:t xml:space="preserve">that the Commission </w:t>
      </w:r>
      <w:r w:rsidR="00D575CC">
        <w:t>explore</w:t>
      </w:r>
      <w:r w:rsidR="002A7290" w:rsidRPr="001C4398">
        <w:t xml:space="preserve"> mechanism</w:t>
      </w:r>
      <w:r w:rsidR="002A7290">
        <w:t>s</w:t>
      </w:r>
      <w:r w:rsidR="002A7290" w:rsidRPr="001C4398">
        <w:t xml:space="preserve"> to encourage</w:t>
      </w:r>
      <w:r w:rsidR="00F20307">
        <w:t xml:space="preserve"> or require</w:t>
      </w:r>
      <w:r w:rsidR="002A7290" w:rsidRPr="001C4398">
        <w:t xml:space="preserve"> DBS </w:t>
      </w:r>
      <w:r w:rsidR="00E1737C">
        <w:t>operators</w:t>
      </w:r>
      <w:r w:rsidR="002A7290">
        <w:t xml:space="preserve"> to carry state</w:t>
      </w:r>
      <w:r w:rsidR="00F20307">
        <w:t xml:space="preserve"> public television</w:t>
      </w:r>
      <w:r w:rsidR="002A7290">
        <w:t xml:space="preserve"> network signals.</w:t>
      </w:r>
      <w:r w:rsidR="005F5AC7">
        <w:rPr>
          <w:rStyle w:val="FootnoteReference"/>
        </w:rPr>
        <w:footnoteReference w:id="293"/>
      </w:r>
      <w:r w:rsidR="002A7290">
        <w:t xml:space="preserve">  DIRECTV states that its</w:t>
      </w:r>
      <w:r w:rsidR="00D46ECD">
        <w:t xml:space="preserve"> technical</w:t>
      </w:r>
      <w:r w:rsidR="002A7290">
        <w:t xml:space="preserve"> inability to reconfigure its satellites, combined with the limited</w:t>
      </w:r>
      <w:r w:rsidR="002A7290" w:rsidRPr="001E51DC">
        <w:t xml:space="preserve"> capacity on its spot beams, is why DIRECTV has largely proven unable to carry statewide networks of public television stations, as Congress permitted it to do.</w:t>
      </w:r>
      <w:r w:rsidR="00F20307">
        <w:rPr>
          <w:rStyle w:val="FootnoteReference"/>
        </w:rPr>
        <w:footnoteReference w:id="294"/>
      </w:r>
      <w:r w:rsidR="002A7290">
        <w:t xml:space="preserve">  </w:t>
      </w:r>
      <w:r w:rsidR="003F18F9">
        <w:t>Also, NAB requests that the Commission require DIRECTV to carry local-into-local channels in all 210 DMAs.</w:t>
      </w:r>
      <w:r w:rsidR="003F18F9">
        <w:rPr>
          <w:rStyle w:val="FootnoteReference"/>
        </w:rPr>
        <w:footnoteReference w:id="295"/>
      </w:r>
      <w:r w:rsidR="003F18F9">
        <w:t xml:space="preserve">  </w:t>
      </w:r>
    </w:p>
    <w:p w:rsidR="00FD17E0" w:rsidRDefault="00E1737C" w:rsidP="00492F8D">
      <w:pPr>
        <w:pStyle w:val="ParaNum"/>
        <w:widowControl/>
      </w:pPr>
      <w:r>
        <w:t xml:space="preserve">We note that </w:t>
      </w:r>
      <w:r w:rsidR="003C1AD7">
        <w:t>most of the</w:t>
      </w:r>
      <w:r w:rsidR="00FD17E0">
        <w:t xml:space="preserve"> comments received concerning </w:t>
      </w:r>
      <w:r w:rsidR="003C1AD7">
        <w:t>this issue</w:t>
      </w:r>
      <w:r w:rsidR="00FD17E0">
        <w:t xml:space="preserve"> focus on one television station in particular, </w:t>
      </w:r>
      <w:r w:rsidR="00B512E6">
        <w:t>a</w:t>
      </w:r>
      <w:r w:rsidR="00FD17E0">
        <w:t xml:space="preserve"> Wyoming PBS station.</w:t>
      </w:r>
      <w:r w:rsidR="00DC2ABD">
        <w:rPr>
          <w:rStyle w:val="FootnoteReference"/>
        </w:rPr>
        <w:footnoteReference w:id="296"/>
      </w:r>
      <w:r w:rsidR="00FD17E0">
        <w:t xml:space="preserve">  </w:t>
      </w:r>
      <w:r>
        <w:t xml:space="preserve">Considering the specific nature of the complaint, we find that a targeted solution </w:t>
      </w:r>
      <w:r w:rsidR="002463B2">
        <w:t xml:space="preserve">may be </w:t>
      </w:r>
      <w:r>
        <w:t xml:space="preserve">preferable to expanding the carriage requirements of DBS operators nationally.  </w:t>
      </w:r>
      <w:r w:rsidR="00492F8D">
        <w:t>In addition, t</w:t>
      </w:r>
      <w:r w:rsidR="00FD17E0">
        <w:t>he newly adopted satellite market modification procedure</w:t>
      </w:r>
      <w:r w:rsidR="002463B2">
        <w:t>s discussed above</w:t>
      </w:r>
      <w:r w:rsidR="00FD17E0">
        <w:t xml:space="preserve"> </w:t>
      </w:r>
      <w:r>
        <w:t xml:space="preserve">enable county officials, presumably at the urging of </w:t>
      </w:r>
      <w:r w:rsidR="003F06C0">
        <w:t>resident county consumers</w:t>
      </w:r>
      <w:r>
        <w:t xml:space="preserve">, to </w:t>
      </w:r>
      <w:r w:rsidR="003C1AD7">
        <w:t xml:space="preserve">seek modification of </w:t>
      </w:r>
      <w:r>
        <w:t xml:space="preserve">the market of </w:t>
      </w:r>
      <w:r w:rsidR="003C1AD7">
        <w:t xml:space="preserve">a </w:t>
      </w:r>
      <w:r>
        <w:t>desired station to include additional counties</w:t>
      </w:r>
      <w:r w:rsidR="00FD17E0">
        <w:t>.</w:t>
      </w:r>
      <w:r w:rsidR="000349B1">
        <w:rPr>
          <w:rStyle w:val="FootnoteReference"/>
        </w:rPr>
        <w:footnoteReference w:id="297"/>
      </w:r>
      <w:r w:rsidR="00FD17E0">
        <w:t xml:space="preserve">  </w:t>
      </w:r>
      <w:r w:rsidR="00255484">
        <w:t xml:space="preserve">Although statutory market modification </w:t>
      </w:r>
      <w:r w:rsidR="00255484" w:rsidRPr="00255484">
        <w:t>provision</w:t>
      </w:r>
      <w:r w:rsidR="00255484">
        <w:t>s</w:t>
      </w:r>
      <w:r w:rsidR="00255484" w:rsidRPr="00255484">
        <w:t xml:space="preserve"> </w:t>
      </w:r>
      <w:r w:rsidR="00E01FFC">
        <w:t xml:space="preserve">currently </w:t>
      </w:r>
      <w:r w:rsidR="00255484" w:rsidRPr="00255484">
        <w:t>pertain</w:t>
      </w:r>
      <w:r w:rsidR="00255484">
        <w:t xml:space="preserve"> only to “commercial” stations</w:t>
      </w:r>
      <w:r w:rsidR="00255484" w:rsidRPr="00255484">
        <w:t xml:space="preserve"> </w:t>
      </w:r>
      <w:r w:rsidR="00255484">
        <w:t>and thus exclude</w:t>
      </w:r>
      <w:r w:rsidR="00255484" w:rsidRPr="00255484">
        <w:t xml:space="preserve"> noncommercial stations </w:t>
      </w:r>
      <w:r w:rsidR="00255484">
        <w:t xml:space="preserve">such as PBS affiliates </w:t>
      </w:r>
      <w:r w:rsidR="00255484" w:rsidRPr="00255484">
        <w:t xml:space="preserve">from </w:t>
      </w:r>
      <w:r w:rsidR="00673E2C">
        <w:t xml:space="preserve">the scope of </w:t>
      </w:r>
      <w:r w:rsidR="00255484" w:rsidRPr="00255484">
        <w:t>market modification</w:t>
      </w:r>
      <w:r w:rsidR="00212B5E">
        <w:t>s</w:t>
      </w:r>
      <w:r w:rsidR="00255484">
        <w:t xml:space="preserve">, </w:t>
      </w:r>
      <w:r w:rsidR="003F4D39">
        <w:t xml:space="preserve">further </w:t>
      </w:r>
      <w:r w:rsidR="00255484">
        <w:t>expanding the procedures through</w:t>
      </w:r>
      <w:r w:rsidR="003F4D39">
        <w:t xml:space="preserve"> future</w:t>
      </w:r>
      <w:r w:rsidR="00255484">
        <w:t xml:space="preserve"> legislation to include noncommercial stations </w:t>
      </w:r>
      <w:r w:rsidR="0063241D">
        <w:t xml:space="preserve">could </w:t>
      </w:r>
      <w:r w:rsidR="00255484">
        <w:t>present a viable path for fostering increased localism</w:t>
      </w:r>
      <w:r w:rsidR="00673E2C">
        <w:t>.</w:t>
      </w:r>
      <w:r w:rsidR="00673E2C">
        <w:rPr>
          <w:rStyle w:val="FootnoteReference"/>
        </w:rPr>
        <w:footnoteReference w:id="298"/>
      </w:r>
      <w:r w:rsidR="002463B2">
        <w:t xml:space="preserve">  </w:t>
      </w:r>
    </w:p>
    <w:p w:rsidR="00FD17E0" w:rsidRDefault="00D575CC" w:rsidP="009B31BA">
      <w:pPr>
        <w:pStyle w:val="ParaNum"/>
        <w:widowControl/>
      </w:pPr>
      <w:r>
        <w:t>We note further that</w:t>
      </w:r>
      <w:r w:rsidR="000349B1">
        <w:t xml:space="preserve"> </w:t>
      </w:r>
      <w:r w:rsidR="002463B2">
        <w:t xml:space="preserve">any </w:t>
      </w:r>
      <w:r w:rsidR="000349B1">
        <w:t>e</w:t>
      </w:r>
      <w:r w:rsidR="00FD17E0">
        <w:t xml:space="preserve">xpansion of satellite carriers’ statutory </w:t>
      </w:r>
      <w:r w:rsidR="00E42DF3">
        <w:t xml:space="preserve">carriage </w:t>
      </w:r>
      <w:r w:rsidR="00FD17E0">
        <w:t xml:space="preserve">requirements would require </w:t>
      </w:r>
      <w:r w:rsidR="00C61EF0">
        <w:t xml:space="preserve">new </w:t>
      </w:r>
      <w:r w:rsidR="00FD17E0">
        <w:t>legislation</w:t>
      </w:r>
      <w:r w:rsidR="00D46ECD">
        <w:t>.</w:t>
      </w:r>
      <w:r w:rsidR="00C61EF0">
        <w:t xml:space="preserve"> </w:t>
      </w:r>
      <w:r w:rsidR="00D46ECD">
        <w:t xml:space="preserve"> With regard to carriage of state public television networks, </w:t>
      </w:r>
      <w:r w:rsidR="00BB5956">
        <w:t xml:space="preserve">we note that </w:t>
      </w:r>
      <w:r w:rsidR="00E42DF3">
        <w:t>changing the permissive carriage of such network stations, as currently provided for in 17 U.S.C. Section 122(a)(4)(E), into a requirement to carry these stations could be achieved only through amending the statute.</w:t>
      </w:r>
      <w:r w:rsidR="000349B1">
        <w:t xml:space="preserve">  Also, we </w:t>
      </w:r>
      <w:r>
        <w:t xml:space="preserve">note </w:t>
      </w:r>
      <w:r w:rsidR="000349B1">
        <w:t>that commenters have not refuted</w:t>
      </w:r>
      <w:r w:rsidR="0031093F">
        <w:t xml:space="preserve"> sufficiently</w:t>
      </w:r>
      <w:r w:rsidR="000349B1">
        <w:t xml:space="preserve"> </w:t>
      </w:r>
      <w:r w:rsidR="00E42DF3">
        <w:t xml:space="preserve">DIRECTV’s assertions of its technical inability or </w:t>
      </w:r>
      <w:r w:rsidR="000349B1">
        <w:t>the Commission’s previous findings regarding the</w:t>
      </w:r>
      <w:r w:rsidR="0031093F">
        <w:t xml:space="preserve"> inherent</w:t>
      </w:r>
      <w:r w:rsidR="000349B1">
        <w:t xml:space="preserve"> limitations of </w:t>
      </w:r>
      <w:r w:rsidR="0031093F">
        <w:t>satellite carriage capacity.</w:t>
      </w:r>
      <w:r w:rsidR="0031093F">
        <w:rPr>
          <w:rStyle w:val="FootnoteReference"/>
        </w:rPr>
        <w:footnoteReference w:id="299"/>
      </w:r>
      <w:r w:rsidR="0031093F">
        <w:t xml:space="preserve">  Both Congress and the Commission </w:t>
      </w:r>
      <w:r w:rsidR="003F06C0">
        <w:t>have concluded</w:t>
      </w:r>
      <w:r w:rsidR="0031093F">
        <w:t xml:space="preserve"> that the carriage requirements of DBS operators should be limited by feasibility.</w:t>
      </w:r>
      <w:r w:rsidR="007F7A32">
        <w:rPr>
          <w:rStyle w:val="FootnoteReference"/>
        </w:rPr>
        <w:footnoteReference w:id="300"/>
      </w:r>
      <w:r w:rsidR="0056796C">
        <w:t xml:space="preserve">  The record of this proceeding provides no reason for us to depart from that conclusion.</w:t>
      </w:r>
      <w:r w:rsidR="00BB5956">
        <w:t xml:space="preserve">  With regard to NAB’s request regarding DIRECTV’s</w:t>
      </w:r>
      <w:r w:rsidR="00E42DF3">
        <w:t xml:space="preserve"> carriage of local-into-local</w:t>
      </w:r>
      <w:r w:rsidR="00672DB6">
        <w:t xml:space="preserve"> stations in all DMAs</w:t>
      </w:r>
      <w:r w:rsidR="00BB5956">
        <w:t>, new legislation would also be required as satellite providers are not currently required by statute to carry local programming in all 210 DMAs.</w:t>
      </w:r>
      <w:r w:rsidR="00BB5956">
        <w:rPr>
          <w:rStyle w:val="FootnoteReference"/>
        </w:rPr>
        <w:footnoteReference w:id="301"/>
      </w:r>
    </w:p>
    <w:p w:rsidR="00C753F9" w:rsidRDefault="00C753F9" w:rsidP="00240D2E">
      <w:pPr>
        <w:pStyle w:val="ParaNum"/>
      </w:pPr>
      <w:r>
        <w:t>The Virgin Islands Public Television System (VIPTS) file</w:t>
      </w:r>
      <w:r w:rsidR="0050595E">
        <w:t>d</w:t>
      </w:r>
      <w:r>
        <w:t xml:space="preserve"> comment</w:t>
      </w:r>
      <w:r w:rsidR="0050595E">
        <w:t>s</w:t>
      </w:r>
      <w:r>
        <w:t xml:space="preserve"> requesting that </w:t>
      </w:r>
      <w:r w:rsidR="0050595E">
        <w:t xml:space="preserve">Congress and </w:t>
      </w:r>
      <w:r>
        <w:t>the Commission reexamine the satellite carriage requirements with regard to the Virgin Islands and other U.S. territories.</w:t>
      </w:r>
      <w:r>
        <w:rPr>
          <w:rStyle w:val="FootnoteReference"/>
        </w:rPr>
        <w:footnoteReference w:id="302"/>
      </w:r>
      <w:r>
        <w:t xml:space="preserve">  VIPTS states that its public service mission is frustrated by its inability to require carriage of its local broadcast station on DBS through the “carry one, carry all” requirement.</w:t>
      </w:r>
      <w:r>
        <w:rPr>
          <w:rStyle w:val="FootnoteReference"/>
        </w:rPr>
        <w:footnoteReference w:id="303"/>
      </w:r>
      <w:r>
        <w:t xml:space="preserve">  VIPTS states that its situation results from the Commission having interpreted in the implementation of </w:t>
      </w:r>
      <w:r w:rsidRPr="00BA149A">
        <w:t>Section 210 of the Satellite Home Viewer Extension and Reaut</w:t>
      </w:r>
      <w:r>
        <w:t>horization Act of 2004 (SHVERA</w:t>
      </w:r>
      <w:r w:rsidRPr="00BA149A">
        <w:t>)</w:t>
      </w:r>
      <w:r>
        <w:t xml:space="preserve"> that </w:t>
      </w:r>
      <w:r w:rsidR="00620587">
        <w:t xml:space="preserve">statutory language containing the </w:t>
      </w:r>
      <w:r w:rsidR="00620587" w:rsidRPr="00C723E9">
        <w:t xml:space="preserve">phrase “State that is not part of the contiguous United States” </w:t>
      </w:r>
      <w:r w:rsidR="00620587">
        <w:t xml:space="preserve">was not meant to include </w:t>
      </w:r>
      <w:r w:rsidR="00DC46F7">
        <w:t>U.S.</w:t>
      </w:r>
      <w:r w:rsidR="00620587" w:rsidRPr="00C723E9">
        <w:t xml:space="preserve"> noncontiguous territories and possessions</w:t>
      </w:r>
      <w:r>
        <w:t>.</w:t>
      </w:r>
      <w:r>
        <w:rPr>
          <w:rStyle w:val="FootnoteReference"/>
        </w:rPr>
        <w:footnoteReference w:id="304"/>
      </w:r>
      <w:r>
        <w:t xml:space="preserve">  VIPTS also asks that </w:t>
      </w:r>
      <w:r w:rsidRPr="00E76EA5">
        <w:t xml:space="preserve">Congress </w:t>
      </w:r>
      <w:r>
        <w:t xml:space="preserve">amend copyright </w:t>
      </w:r>
      <w:r w:rsidRPr="00E76EA5">
        <w:t>law as needed to</w:t>
      </w:r>
      <w:r>
        <w:t xml:space="preserve"> clarify that the Virgin Islands, and </w:t>
      </w:r>
      <w:r w:rsidRPr="00E76EA5">
        <w:t>other territories as appropriate, fall within t</w:t>
      </w:r>
      <w:r>
        <w:t xml:space="preserve">he compulsory copyright license </w:t>
      </w:r>
      <w:r w:rsidRPr="00E76EA5">
        <w:t xml:space="preserve">granted to DBS carriers under Section 122 of </w:t>
      </w:r>
      <w:r>
        <w:t>T</w:t>
      </w:r>
      <w:r w:rsidRPr="00E76EA5">
        <w:t xml:space="preserve">itle 17 of the United States </w:t>
      </w:r>
      <w:r>
        <w:t>C</w:t>
      </w:r>
      <w:r w:rsidRPr="00E76EA5">
        <w:t>ode.</w:t>
      </w:r>
      <w:r>
        <w:rPr>
          <w:rStyle w:val="FootnoteReference"/>
        </w:rPr>
        <w:footnoteReference w:id="305"/>
      </w:r>
      <w:r>
        <w:t xml:space="preserve">  As with the other proposed expansions of satellite carriage requirements discussed above, VIPTS’s requested changes </w:t>
      </w:r>
      <w:r w:rsidR="0050595E">
        <w:t xml:space="preserve">would </w:t>
      </w:r>
      <w:r>
        <w:t>require new legislation to amend the aforementioned statutes.</w:t>
      </w:r>
    </w:p>
    <w:p w:rsidR="007017D4" w:rsidRDefault="005D511E" w:rsidP="009B31BA">
      <w:pPr>
        <w:pStyle w:val="ParaNum"/>
        <w:widowControl/>
      </w:pPr>
      <w:r w:rsidRPr="001D33FA">
        <w:rPr>
          <w:i/>
        </w:rPr>
        <w:t>Online Access to In-State Programming.</w:t>
      </w:r>
      <w:r>
        <w:t xml:space="preserve">  </w:t>
      </w:r>
      <w:r w:rsidR="00E66BE2">
        <w:t>One commenter suggests that technological innovation in the form of online video already has increased consumers’ access to local programming, including in-state news and information.</w:t>
      </w:r>
      <w:r w:rsidR="00E66BE2">
        <w:rPr>
          <w:rStyle w:val="FootnoteReference"/>
        </w:rPr>
        <w:footnoteReference w:id="306"/>
      </w:r>
      <w:r w:rsidR="00E66BE2">
        <w:t xml:space="preserve"> </w:t>
      </w:r>
      <w:r w:rsidR="00D575CC">
        <w:t xml:space="preserve">  </w:t>
      </w:r>
      <w:r>
        <w:t>NAB states that c</w:t>
      </w:r>
      <w:r w:rsidRPr="00823474">
        <w:t xml:space="preserve">ontent accessed via the Internet can “foster increased localism in counties served by </w:t>
      </w:r>
      <w:r w:rsidR="00BB5956">
        <w:t xml:space="preserve">[stations licensed to] </w:t>
      </w:r>
      <w:r w:rsidRPr="00823474">
        <w:t>out-of-State” DMAs, including in rural areas</w:t>
      </w:r>
      <w:r>
        <w:t>.</w:t>
      </w:r>
      <w:r>
        <w:rPr>
          <w:rStyle w:val="FootnoteReference"/>
        </w:rPr>
        <w:footnoteReference w:id="307"/>
      </w:r>
      <w:r w:rsidR="00375A03">
        <w:t xml:space="preserve">  </w:t>
      </w:r>
      <w:r w:rsidR="005E47FD">
        <w:t xml:space="preserve">NAB states that many broadcast stations have embraced the use of websites as </w:t>
      </w:r>
      <w:r w:rsidR="00856C23">
        <w:t xml:space="preserve">an </w:t>
      </w:r>
      <w:r w:rsidR="005E47FD">
        <w:t xml:space="preserve">integral part of their core business, and many television stations’ websites are becoming </w:t>
      </w:r>
      <w:r w:rsidR="00503DA0">
        <w:t xml:space="preserve">popular </w:t>
      </w:r>
      <w:r w:rsidR="005E47FD">
        <w:t>online sources for local news and information.</w:t>
      </w:r>
      <w:r w:rsidR="005E47FD">
        <w:rPr>
          <w:rStyle w:val="FootnoteReference"/>
        </w:rPr>
        <w:footnoteReference w:id="308"/>
      </w:r>
      <w:r w:rsidR="005E47FD">
        <w:t xml:space="preserve">  </w:t>
      </w:r>
      <w:r w:rsidR="00375A03">
        <w:t>NAB cites Radio Television Digital News Association</w:t>
      </w:r>
      <w:r w:rsidR="008F4B79">
        <w:t xml:space="preserve"> (RT</w:t>
      </w:r>
      <w:r w:rsidR="009F14C8">
        <w:t>D</w:t>
      </w:r>
      <w:r w:rsidR="008F4B79">
        <w:t>N</w:t>
      </w:r>
      <w:r w:rsidR="009F14C8">
        <w:t>A)</w:t>
      </w:r>
      <w:r w:rsidR="00375A03">
        <w:t xml:space="preserve"> </w:t>
      </w:r>
      <w:r w:rsidR="005E47FD">
        <w:t xml:space="preserve">data </w:t>
      </w:r>
      <w:r w:rsidR="00375A03">
        <w:t xml:space="preserve">for the </w:t>
      </w:r>
      <w:r w:rsidR="005E47FD">
        <w:t xml:space="preserve">assertion </w:t>
      </w:r>
      <w:r w:rsidR="00375A03">
        <w:t xml:space="preserve">that every television station that provides local news also has a website that provides </w:t>
      </w:r>
      <w:r w:rsidR="008F4B79">
        <w:t>local news</w:t>
      </w:r>
      <w:r w:rsidR="00375A03">
        <w:t>.</w:t>
      </w:r>
      <w:r w:rsidR="00375A03">
        <w:rPr>
          <w:rStyle w:val="FootnoteReference"/>
        </w:rPr>
        <w:footnoteReference w:id="309"/>
      </w:r>
      <w:r w:rsidR="005E47FD">
        <w:t xml:space="preserve">  Furthermore, </w:t>
      </w:r>
      <w:r w:rsidR="009F14C8">
        <w:t>the R</w:t>
      </w:r>
      <w:r w:rsidR="008F4B79">
        <w:t>T</w:t>
      </w:r>
      <w:r w:rsidR="009F14C8">
        <w:t>D</w:t>
      </w:r>
      <w:r w:rsidR="008F4B79">
        <w:t>N</w:t>
      </w:r>
      <w:r w:rsidR="009F14C8">
        <w:t>A data also indicate that about 70 percent of local</w:t>
      </w:r>
      <w:r w:rsidR="00FD3610">
        <w:t xml:space="preserve"> news stations</w:t>
      </w:r>
      <w:r w:rsidR="009F14C8">
        <w:t xml:space="preserve"> in</w:t>
      </w:r>
      <w:r w:rsidR="00FD3610">
        <w:t xml:space="preserve"> the top 100 television markets provide live </w:t>
      </w:r>
      <w:r w:rsidR="005E5127">
        <w:t>newscasts on their websites.</w:t>
      </w:r>
      <w:r w:rsidR="005E5127">
        <w:rPr>
          <w:rStyle w:val="FootnoteReference"/>
        </w:rPr>
        <w:footnoteReference w:id="310"/>
      </w:r>
      <w:r w:rsidR="005E5127">
        <w:t xml:space="preserve">  Many televisions stations also utilize social media and mobile applications to enable greater access </w:t>
      </w:r>
      <w:r w:rsidR="008F4B79">
        <w:t xml:space="preserve">to their local programming </w:t>
      </w:r>
      <w:r w:rsidR="005E5127">
        <w:t>by consumers.</w:t>
      </w:r>
      <w:r w:rsidR="005E5127">
        <w:rPr>
          <w:rStyle w:val="FootnoteReference"/>
        </w:rPr>
        <w:footnoteReference w:id="311"/>
      </w:r>
      <w:r w:rsidR="005E5127">
        <w:t xml:space="preserve"> </w:t>
      </w:r>
    </w:p>
    <w:p w:rsidR="00FB267F" w:rsidRPr="00C85862" w:rsidRDefault="000665AE" w:rsidP="009B7BE4">
      <w:pPr>
        <w:pStyle w:val="ParaNum"/>
        <w:widowControl/>
      </w:pPr>
      <w:r>
        <w:t>We</w:t>
      </w:r>
      <w:r w:rsidR="005F5AC7">
        <w:t xml:space="preserve"> </w:t>
      </w:r>
      <w:r w:rsidR="00D575CC">
        <w:t xml:space="preserve">acknowledge </w:t>
      </w:r>
      <w:r w:rsidR="005F5AC7">
        <w:t xml:space="preserve">that online access to broadcast television offers a method for </w:t>
      </w:r>
      <w:r w:rsidR="00856C23">
        <w:t xml:space="preserve">consumers to potentially access programming from additional television stations outside their market, including access to programming from </w:t>
      </w:r>
      <w:r w:rsidR="005F5AC7">
        <w:t xml:space="preserve">in-state </w:t>
      </w:r>
      <w:r w:rsidR="00856C23">
        <w:t>stations</w:t>
      </w:r>
      <w:r w:rsidR="005F5AC7">
        <w:t>.</w:t>
      </w:r>
      <w:r w:rsidR="009A5512">
        <w:rPr>
          <w:rStyle w:val="FootnoteReference"/>
        </w:rPr>
        <w:footnoteReference w:id="312"/>
      </w:r>
      <w:r w:rsidR="005F5AC7">
        <w:t xml:space="preserve">  </w:t>
      </w:r>
      <w:r w:rsidR="005E5127">
        <w:t xml:space="preserve">We note that </w:t>
      </w:r>
      <w:r w:rsidR="008A1A12">
        <w:t xml:space="preserve">online video programming distribution is unconstrained by DMA or state boundaries and therefore can be accessed by any consumer </w:t>
      </w:r>
      <w:r w:rsidR="00733E17">
        <w:t xml:space="preserve">residing anywhere </w:t>
      </w:r>
      <w:r w:rsidR="008A1A12">
        <w:t>with a broadband Internet connection.</w:t>
      </w:r>
      <w:r w:rsidR="00F0319A">
        <w:rPr>
          <w:rStyle w:val="FootnoteReference"/>
        </w:rPr>
        <w:footnoteReference w:id="313"/>
      </w:r>
      <w:r w:rsidR="008A1A12">
        <w:t xml:space="preserve">  </w:t>
      </w:r>
      <w:r w:rsidR="00856C23">
        <w:t xml:space="preserve">Thus, it appears that another </w:t>
      </w:r>
      <w:r w:rsidR="005D511E">
        <w:t xml:space="preserve">approach </w:t>
      </w:r>
      <w:r>
        <w:t>to foster</w:t>
      </w:r>
      <w:r w:rsidR="008F4B79">
        <w:t>ing</w:t>
      </w:r>
      <w:r>
        <w:t xml:space="preserve"> increased localism </w:t>
      </w:r>
      <w:r w:rsidR="005D511E">
        <w:t xml:space="preserve">is to encourage </w:t>
      </w:r>
      <w:r w:rsidR="00F163AD">
        <w:t>broadcast television stations to make their local programming available online or through mobile applications if they do not do so already.</w:t>
      </w:r>
      <w:r w:rsidR="00F163AD">
        <w:rPr>
          <w:rStyle w:val="FootnoteReference"/>
        </w:rPr>
        <w:footnoteReference w:id="314"/>
      </w:r>
      <w:r w:rsidR="005F5AC7">
        <w:t xml:space="preserve"> </w:t>
      </w:r>
      <w:r w:rsidR="005D511E">
        <w:t xml:space="preserve">  </w:t>
      </w:r>
    </w:p>
    <w:p w:rsidR="00E85238" w:rsidRDefault="005067F6" w:rsidP="00E85238">
      <w:pPr>
        <w:pStyle w:val="Heading1"/>
      </w:pPr>
      <w:bookmarkStart w:id="69" w:name="_Toc448130186"/>
      <w:bookmarkStart w:id="70" w:name="_Toc448153851"/>
      <w:bookmarkStart w:id="71" w:name="_Toc448230178"/>
      <w:bookmarkStart w:id="72" w:name="_Toc448311224"/>
      <w:bookmarkStart w:id="73" w:name="_Toc452456837"/>
      <w:r>
        <w:t>Conclusion</w:t>
      </w:r>
      <w:bookmarkEnd w:id="69"/>
      <w:bookmarkEnd w:id="70"/>
      <w:bookmarkEnd w:id="71"/>
      <w:bookmarkEnd w:id="72"/>
      <w:bookmarkEnd w:id="73"/>
    </w:p>
    <w:p w:rsidR="00493501" w:rsidRDefault="00B3715A" w:rsidP="00E85238">
      <w:pPr>
        <w:pStyle w:val="ParaNum"/>
      </w:pPr>
      <w:r>
        <w:t xml:space="preserve">We find that, consistent </w:t>
      </w:r>
      <w:r w:rsidR="00150742">
        <w:t xml:space="preserve">with the </w:t>
      </w:r>
      <w:r w:rsidR="00150742">
        <w:rPr>
          <w:i/>
        </w:rPr>
        <w:t>In-State Programming Report</w:t>
      </w:r>
      <w:r w:rsidR="00150742">
        <w:t>, the overwhelming majority of consumers in the U</w:t>
      </w:r>
      <w:r w:rsidR="008037D9">
        <w:t>nited States are able to access — through both out-of-market and in-market broadcast television stations — programming from</w:t>
      </w:r>
      <w:r w:rsidR="00150742">
        <w:t xml:space="preserve"> television stations licensed </w:t>
      </w:r>
      <w:r w:rsidR="008037D9">
        <w:t xml:space="preserve">to a community located within the same state in which they reside.  </w:t>
      </w:r>
      <w:r w:rsidR="00745C42">
        <w:t>Based on our analysis and the record of this proceeding, w</w:t>
      </w:r>
      <w:r w:rsidR="008037D9">
        <w:t xml:space="preserve">e </w:t>
      </w:r>
      <w:r w:rsidR="00745C42">
        <w:t xml:space="preserve">have not identified a </w:t>
      </w:r>
      <w:r w:rsidR="008037D9">
        <w:t xml:space="preserve">technologically and economically feasible alternative </w:t>
      </w:r>
      <w:r w:rsidR="00745C42">
        <w:t>to</w:t>
      </w:r>
      <w:r w:rsidR="008037D9">
        <w:t xml:space="preserve"> the current Nielsen </w:t>
      </w:r>
      <w:r w:rsidR="003C1AD7">
        <w:t>DMA</w:t>
      </w:r>
      <w:r w:rsidR="008037D9">
        <w:t xml:space="preserve"> system for defining local television markets</w:t>
      </w:r>
      <w:r w:rsidR="00150742">
        <w:t xml:space="preserve">. </w:t>
      </w:r>
      <w:r w:rsidR="008037D9">
        <w:t xml:space="preserve"> We </w:t>
      </w:r>
      <w:r w:rsidR="00B83B16">
        <w:t xml:space="preserve">have </w:t>
      </w:r>
      <w:r w:rsidR="00745C42">
        <w:t>discuss</w:t>
      </w:r>
      <w:r w:rsidR="00B83B16">
        <w:t>ed</w:t>
      </w:r>
      <w:r w:rsidR="00745C42">
        <w:t xml:space="preserve"> </w:t>
      </w:r>
      <w:r w:rsidR="008037D9">
        <w:t xml:space="preserve">potential targeted mechanisms that </w:t>
      </w:r>
      <w:r w:rsidR="003C1AD7">
        <w:t xml:space="preserve">would </w:t>
      </w:r>
      <w:r w:rsidR="008037D9">
        <w:t>utilize the existing market definition system to make specific adjustments</w:t>
      </w:r>
      <w:r w:rsidR="005067F6">
        <w:t xml:space="preserve"> to foster increased localism in counties served by out-of-state DMAs</w:t>
      </w:r>
      <w:r w:rsidR="008037D9">
        <w:t xml:space="preserve">. </w:t>
      </w:r>
      <w:r w:rsidR="005067F6">
        <w:t xml:space="preserve"> Specifically, we note that the</w:t>
      </w:r>
      <w:r w:rsidR="005067F6" w:rsidRPr="007B1A82">
        <w:t xml:space="preserve"> market mod</w:t>
      </w:r>
      <w:r w:rsidR="005067F6">
        <w:t>ification provisions,</w:t>
      </w:r>
      <w:r w:rsidR="005067F6" w:rsidRPr="007B1A82">
        <w:t xml:space="preserve"> as modified by </w:t>
      </w:r>
      <w:r w:rsidR="005067F6">
        <w:t>the STELAR</w:t>
      </w:r>
      <w:r w:rsidR="005067F6" w:rsidRPr="007B1A82">
        <w:t xml:space="preserve"> and </w:t>
      </w:r>
      <w:r w:rsidR="005067F6">
        <w:t>the C</w:t>
      </w:r>
      <w:r w:rsidR="005067F6" w:rsidRPr="007B1A82">
        <w:t>ommission</w:t>
      </w:r>
      <w:r w:rsidR="005067F6">
        <w:t>’s implementing</w:t>
      </w:r>
      <w:r w:rsidR="005067F6" w:rsidRPr="007B1A82">
        <w:t xml:space="preserve"> rules</w:t>
      </w:r>
      <w:r w:rsidR="005067F6">
        <w:t xml:space="preserve">, may provide </w:t>
      </w:r>
      <w:r w:rsidR="005067F6" w:rsidRPr="007B1A82">
        <w:t xml:space="preserve">relief </w:t>
      </w:r>
      <w:r w:rsidR="005067F6">
        <w:t>responsive to the needs of the relatively few consumers who currently do not have access to in-state programming.</w:t>
      </w:r>
    </w:p>
    <w:p w:rsidR="00E85238" w:rsidRPr="00E85238" w:rsidRDefault="00E85238" w:rsidP="00E85238">
      <w:pPr>
        <w:pStyle w:val="ParaNum"/>
      </w:pPr>
      <w:r>
        <w:t xml:space="preserve">With this Report, the Commission satisfies the obligation pursuant to Section </w:t>
      </w:r>
      <w:r w:rsidR="00BE0D07">
        <w:t>109</w:t>
      </w:r>
      <w:r>
        <w:t xml:space="preserve"> of </w:t>
      </w:r>
      <w:r w:rsidR="00EE5130">
        <w:t xml:space="preserve">the </w:t>
      </w:r>
      <w:r>
        <w:t>STELAR to submit a report to Congress examining consumers</w:t>
      </w:r>
      <w:r w:rsidR="00AF38A0">
        <w:t>’</w:t>
      </w:r>
      <w:r>
        <w:t xml:space="preserve"> access to broadcast programming from outside of their local </w:t>
      </w:r>
      <w:r w:rsidR="00B87571">
        <w:t>DMA</w:t>
      </w:r>
      <w:r w:rsidR="000A5ABF">
        <w:t>s</w:t>
      </w:r>
      <w:r w:rsidR="00B87571">
        <w:t xml:space="preserve"> and to make recommendations on how to foster increased localism in counties served by out-of-state DMAs</w:t>
      </w:r>
      <w:r w:rsidR="000A5ABF">
        <w:t>.</w:t>
      </w:r>
      <w:r w:rsidR="00526164">
        <w:t xml:space="preserve"> </w:t>
      </w:r>
    </w:p>
    <w:p w:rsidR="00E85238" w:rsidRPr="003C2D34" w:rsidRDefault="00E85238" w:rsidP="00B541E8">
      <w:pPr>
        <w:pStyle w:val="ParaNum"/>
        <w:numPr>
          <w:ilvl w:val="0"/>
          <w:numId w:val="0"/>
        </w:numPr>
      </w:pPr>
    </w:p>
    <w:p w:rsidR="003C2D34" w:rsidRDefault="000D6C86" w:rsidP="000D6C86">
      <w:pPr>
        <w:pStyle w:val="ParaNum"/>
        <w:numPr>
          <w:ilvl w:val="0"/>
          <w:numId w:val="0"/>
        </w:numPr>
        <w:ind w:left="2880" w:firstLine="720"/>
      </w:pPr>
      <w:r>
        <w:t>FEDERAL COMMUNICATIONS COMMISSION</w:t>
      </w:r>
    </w:p>
    <w:p w:rsidR="000D6C86" w:rsidRDefault="000D6C86" w:rsidP="000D6C86">
      <w:pPr>
        <w:pStyle w:val="ParaNum"/>
        <w:numPr>
          <w:ilvl w:val="0"/>
          <w:numId w:val="0"/>
        </w:numPr>
        <w:ind w:left="2880" w:firstLine="720"/>
      </w:pPr>
    </w:p>
    <w:p w:rsidR="000D6C86" w:rsidRDefault="000D6C86" w:rsidP="000D6C86">
      <w:pPr>
        <w:pStyle w:val="ParaNum"/>
        <w:numPr>
          <w:ilvl w:val="0"/>
          <w:numId w:val="0"/>
        </w:numPr>
        <w:ind w:left="2880" w:firstLine="720"/>
      </w:pPr>
    </w:p>
    <w:p w:rsidR="00492F8D" w:rsidRDefault="00492F8D" w:rsidP="000D6C86">
      <w:pPr>
        <w:pStyle w:val="ParaNum"/>
        <w:numPr>
          <w:ilvl w:val="0"/>
          <w:numId w:val="0"/>
        </w:numPr>
        <w:ind w:left="2880" w:firstLine="720"/>
      </w:pPr>
    </w:p>
    <w:p w:rsidR="000D6C86" w:rsidRDefault="000D6C86" w:rsidP="000D6C86">
      <w:pPr>
        <w:pStyle w:val="ParaNum"/>
        <w:numPr>
          <w:ilvl w:val="0"/>
          <w:numId w:val="0"/>
        </w:numPr>
        <w:spacing w:after="0"/>
        <w:ind w:left="2880" w:firstLine="720"/>
      </w:pPr>
      <w:r>
        <w:t>William T. Lake</w:t>
      </w:r>
    </w:p>
    <w:p w:rsidR="000D6C86" w:rsidRPr="003C2D34" w:rsidRDefault="000D6C86" w:rsidP="000D6C86">
      <w:pPr>
        <w:pStyle w:val="ParaNum"/>
        <w:numPr>
          <w:ilvl w:val="0"/>
          <w:numId w:val="0"/>
        </w:numPr>
        <w:ind w:left="2880" w:firstLine="720"/>
      </w:pPr>
      <w:r>
        <w:t>Chief, Media Bureau</w:t>
      </w:r>
    </w:p>
    <w:p w:rsidR="003C2D34" w:rsidRPr="003C2D34" w:rsidRDefault="003C2D34" w:rsidP="003C2D34">
      <w:pPr>
        <w:pStyle w:val="ParaNum"/>
        <w:numPr>
          <w:ilvl w:val="0"/>
          <w:numId w:val="0"/>
        </w:numPr>
        <w:ind w:firstLine="720"/>
      </w:pPr>
    </w:p>
    <w:p w:rsidR="003C2D34" w:rsidRPr="003C2D34" w:rsidRDefault="003C2D34" w:rsidP="00260618">
      <w:pPr>
        <w:pStyle w:val="ParaNum"/>
        <w:numPr>
          <w:ilvl w:val="0"/>
          <w:numId w:val="0"/>
        </w:numPr>
      </w:pPr>
    </w:p>
    <w:sectPr w:rsidR="003C2D34" w:rsidRPr="003C2D34" w:rsidSect="00233BC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B8" w:rsidRDefault="00FA70B8">
      <w:pPr>
        <w:spacing w:line="20" w:lineRule="exact"/>
      </w:pPr>
    </w:p>
  </w:endnote>
  <w:endnote w:type="continuationSeparator" w:id="0">
    <w:p w:rsidR="00FA70B8" w:rsidRDefault="00FA70B8">
      <w:r>
        <w:t xml:space="preserve"> </w:t>
      </w:r>
    </w:p>
  </w:endnote>
  <w:endnote w:type="continuationNotice" w:id="1">
    <w:p w:rsidR="00FA70B8" w:rsidRDefault="00FA70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A" w:rsidRDefault="00D7796A" w:rsidP="0055614C">
    <w:pPr>
      <w:pStyle w:val="Footer"/>
      <w:framePr w:wrap="around" w:vAnchor="text" w:hAnchor="margin" w:xAlign="center" w:y="1"/>
    </w:pPr>
    <w:r>
      <w:fldChar w:fldCharType="begin"/>
    </w:r>
    <w:r>
      <w:instrText xml:space="preserve">PAGE  </w:instrText>
    </w:r>
    <w:r>
      <w:fldChar w:fldCharType="end"/>
    </w:r>
  </w:p>
  <w:p w:rsidR="00D7796A" w:rsidRDefault="00D77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A" w:rsidRDefault="00D7796A" w:rsidP="0055614C">
    <w:pPr>
      <w:pStyle w:val="Footer"/>
      <w:framePr w:wrap="around" w:vAnchor="text" w:hAnchor="margin" w:xAlign="center" w:y="1"/>
    </w:pPr>
    <w:r>
      <w:fldChar w:fldCharType="begin"/>
    </w:r>
    <w:r>
      <w:instrText xml:space="preserve">PAGE  </w:instrText>
    </w:r>
    <w:r>
      <w:fldChar w:fldCharType="separate"/>
    </w:r>
    <w:r w:rsidR="002149E5">
      <w:rPr>
        <w:noProof/>
      </w:rPr>
      <w:t>2</w:t>
    </w:r>
    <w:r>
      <w:fldChar w:fldCharType="end"/>
    </w:r>
  </w:p>
  <w:p w:rsidR="00D7796A" w:rsidRDefault="00D7796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A" w:rsidRDefault="00D7796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B8" w:rsidRDefault="00FA70B8">
      <w:r>
        <w:separator/>
      </w:r>
    </w:p>
  </w:footnote>
  <w:footnote w:type="continuationSeparator" w:id="0">
    <w:p w:rsidR="00FA70B8" w:rsidRDefault="00FA70B8" w:rsidP="00C721AC">
      <w:pPr>
        <w:spacing w:before="120"/>
        <w:rPr>
          <w:sz w:val="20"/>
        </w:rPr>
      </w:pPr>
      <w:r>
        <w:rPr>
          <w:sz w:val="20"/>
        </w:rPr>
        <w:t xml:space="preserve">(Continued from previous page)  </w:t>
      </w:r>
      <w:r>
        <w:rPr>
          <w:sz w:val="20"/>
        </w:rPr>
        <w:separator/>
      </w:r>
    </w:p>
  </w:footnote>
  <w:footnote w:type="continuationNotice" w:id="1">
    <w:p w:rsidR="00FA70B8" w:rsidRDefault="00FA70B8" w:rsidP="00C721AC">
      <w:pPr>
        <w:jc w:val="right"/>
        <w:rPr>
          <w:sz w:val="20"/>
        </w:rPr>
      </w:pPr>
      <w:r>
        <w:rPr>
          <w:sz w:val="20"/>
        </w:rPr>
        <w:t>(continued….)</w:t>
      </w:r>
    </w:p>
  </w:footnote>
  <w:footnote w:id="2">
    <w:p w:rsidR="00D7796A" w:rsidRDefault="00D7796A">
      <w:pPr>
        <w:pStyle w:val="FootnoteText"/>
      </w:pPr>
      <w:r>
        <w:rPr>
          <w:rStyle w:val="FootnoteReference"/>
        </w:rPr>
        <w:footnoteRef/>
      </w:r>
      <w:r>
        <w:t xml:space="preserve"> STELA Reauthorization Act of 2014, Pub. L. No. 113-200, § 109, 128 Stat. 2059, 2065 (2014) (STELAR).</w:t>
      </w:r>
    </w:p>
  </w:footnote>
  <w:footnote w:id="3">
    <w:p w:rsidR="00D7796A" w:rsidRDefault="00D7796A">
      <w:pPr>
        <w:pStyle w:val="FootnoteText"/>
      </w:pPr>
      <w:r>
        <w:rPr>
          <w:rStyle w:val="FootnoteReference"/>
        </w:rPr>
        <w:footnoteRef/>
      </w:r>
      <w:r>
        <w:t xml:space="preserve"> Statement by the Press Secretary o</w:t>
      </w:r>
      <w:r w:rsidRPr="000F2CDB">
        <w:t>n H.J. Res. 129, H.R. 4067, H.R. 5441, H.R. 5728</w:t>
      </w:r>
      <w:r>
        <w:t xml:space="preserve">, Dec. 4, 2014, </w:t>
      </w:r>
      <w:r w:rsidRPr="000F2CDB">
        <w:t>2014 WL 6845401</w:t>
      </w:r>
      <w:r>
        <w:t>.</w:t>
      </w:r>
    </w:p>
  </w:footnote>
  <w:footnote w:id="4">
    <w:p w:rsidR="00D7796A" w:rsidRDefault="00D7796A">
      <w:pPr>
        <w:pStyle w:val="FootnoteText"/>
      </w:pPr>
      <w:r>
        <w:rPr>
          <w:rStyle w:val="FootnoteReference"/>
        </w:rPr>
        <w:footnoteRef/>
      </w:r>
      <w:r>
        <w:t xml:space="preserve"> </w:t>
      </w:r>
      <w:r w:rsidRPr="00533B55">
        <w:t>A DMA is a geographic area defined by The Nielsen Company</w:t>
      </w:r>
      <w:r>
        <w:t xml:space="preserve"> </w:t>
      </w:r>
      <w:r w:rsidRPr="00533B55">
        <w:t>as a group of counties that make up a particular television market.  These counties comprise the major viewing audience for the television stations located in their particular metropolitan area.  For the most part, the metropolitan areas correspond to the standard metropolitan statistical areas defined by the Federal Government Office of Management and Budget.  The geographic areas do not overlap, and most counties in the United States belong to only one DMA (</w:t>
      </w:r>
      <w:r>
        <w:t>in rare instances a county is</w:t>
      </w:r>
      <w:r w:rsidRPr="00533B55">
        <w:t xml:space="preserve"> divided by Nielsen and assigned to different DMAs).  DMAs are used in the evaluation of audience data as well as in the planning and buying of television advertising.  In addition, the DMA is used to define local markets for broadcast station carriage rights under must carry and retransmission consent.  </w:t>
      </w:r>
      <w:r>
        <w:t xml:space="preserve">DMAs also have a limited role in determining broadcast television ownership limits as part of the Commission’s media ownership rules.  </w:t>
      </w:r>
      <w:r w:rsidRPr="00533B55">
        <w:t xml:space="preserve">In the satellite context, the statute requires that DMAs be used to define local markets.  </w:t>
      </w:r>
      <w:r w:rsidRPr="00474E25">
        <w:rPr>
          <w:i/>
        </w:rPr>
        <w:t>See</w:t>
      </w:r>
      <w:r>
        <w:rPr>
          <w:i/>
        </w:rPr>
        <w:t>, e.g.,</w:t>
      </w:r>
      <w:r w:rsidRPr="00533B55">
        <w:t xml:space="preserve"> 47 U.S.C § 338 (signal carriage rights) and 17 U.S.C. § 122 (copyright).</w:t>
      </w:r>
    </w:p>
  </w:footnote>
  <w:footnote w:id="5">
    <w:p w:rsidR="00D7796A" w:rsidRDefault="00D7796A">
      <w:pPr>
        <w:pStyle w:val="FootnoteText"/>
      </w:pPr>
      <w:r>
        <w:rPr>
          <w:rStyle w:val="FootnoteReference"/>
        </w:rPr>
        <w:footnoteRef/>
      </w:r>
      <w:r>
        <w:t xml:space="preserve"> The date of enactment was December 4, 2014.  Thus, the deadline for the Section 109 Report under the STELAR is June 4, 2016.  </w:t>
      </w:r>
    </w:p>
  </w:footnote>
  <w:footnote w:id="6">
    <w:p w:rsidR="00D7796A" w:rsidRDefault="00D7796A">
      <w:pPr>
        <w:pStyle w:val="FootnoteText"/>
      </w:pPr>
      <w:r>
        <w:rPr>
          <w:rStyle w:val="FootnoteReference"/>
        </w:rPr>
        <w:footnoteRef/>
      </w:r>
      <w:r>
        <w:t xml:space="preserve"> STELAR, § 109(a)(1)(A), (B), 128 Stat. 2065; </w:t>
      </w:r>
      <w:r>
        <w:rPr>
          <w:i/>
        </w:rPr>
        <w:t>s</w:t>
      </w:r>
      <w:r w:rsidRPr="007B64AF">
        <w:rPr>
          <w:i/>
        </w:rPr>
        <w:t>ee</w:t>
      </w:r>
      <w:r>
        <w:t xml:space="preserve"> </w:t>
      </w:r>
      <w:r w:rsidRPr="006714E8">
        <w:t>Report from the Senate Committee on Commerce, Science, and Transportation accompanying S. 2799</w:t>
      </w:r>
      <w:r>
        <w:t xml:space="preserve"> (</w:t>
      </w:r>
      <w:r w:rsidRPr="007B64AF">
        <w:t>the Satellite Television Access and Viewer Rights Act (STAVRA))</w:t>
      </w:r>
      <w:r>
        <w:t>, 113th</w:t>
      </w:r>
      <w:r w:rsidRPr="006714E8">
        <w:t xml:space="preserve"> Cong</w:t>
      </w:r>
      <w:r>
        <w:t>., S. Rep. No. 113-322, at 15 (2014) (</w:t>
      </w:r>
      <w:r w:rsidRPr="000F3F27">
        <w:rPr>
          <w:i/>
        </w:rPr>
        <w:t>Senate Commerce Committee Report</w:t>
      </w:r>
      <w:r w:rsidRPr="006714E8">
        <w:t>).</w:t>
      </w:r>
    </w:p>
  </w:footnote>
  <w:footnote w:id="7">
    <w:p w:rsidR="00D7796A" w:rsidRDefault="00D7796A">
      <w:pPr>
        <w:pStyle w:val="FootnoteText"/>
      </w:pPr>
      <w:r>
        <w:rPr>
          <w:rStyle w:val="FootnoteReference"/>
        </w:rPr>
        <w:footnoteRef/>
      </w:r>
      <w:r>
        <w:t xml:space="preserve"> STELAR, § 109(a)(2), 128 Stat. 2065; </w:t>
      </w:r>
      <w:r w:rsidRPr="002674BB">
        <w:rPr>
          <w:i/>
        </w:rPr>
        <w:t>see</w:t>
      </w:r>
      <w:r>
        <w:t xml:space="preserve"> </w:t>
      </w:r>
      <w:r w:rsidRPr="000F3F27">
        <w:rPr>
          <w:i/>
        </w:rPr>
        <w:t>Senate Commerce Committee Report</w:t>
      </w:r>
      <w:r>
        <w:t xml:space="preserve"> at 15.</w:t>
      </w:r>
    </w:p>
  </w:footnote>
  <w:footnote w:id="8">
    <w:p w:rsidR="00D7796A" w:rsidRDefault="00D7796A">
      <w:pPr>
        <w:pStyle w:val="FootnoteText"/>
      </w:pPr>
      <w:r>
        <w:rPr>
          <w:rStyle w:val="FootnoteReference"/>
        </w:rPr>
        <w:footnoteRef/>
      </w:r>
      <w:r>
        <w:t xml:space="preserve"> STELAR, § 109(b)(1)-(3), 128 Stat. 2065; </w:t>
      </w:r>
      <w:r w:rsidRPr="002674BB">
        <w:rPr>
          <w:i/>
        </w:rPr>
        <w:t>see</w:t>
      </w:r>
      <w:r>
        <w:t xml:space="preserve"> </w:t>
      </w:r>
      <w:r w:rsidRPr="000F3F27">
        <w:rPr>
          <w:i/>
        </w:rPr>
        <w:t>Senate Commerce Committee Report</w:t>
      </w:r>
      <w:r>
        <w:t xml:space="preserve"> at 15.</w:t>
      </w:r>
    </w:p>
  </w:footnote>
  <w:footnote w:id="9">
    <w:p w:rsidR="00D7796A" w:rsidRDefault="00D7796A">
      <w:pPr>
        <w:pStyle w:val="FootnoteText"/>
      </w:pPr>
      <w:r>
        <w:rPr>
          <w:rStyle w:val="FootnoteReference"/>
        </w:rPr>
        <w:footnoteRef/>
      </w:r>
      <w:r>
        <w:t xml:space="preserve"> </w:t>
      </w:r>
      <w:r w:rsidRPr="00132F42">
        <w:rPr>
          <w:i/>
        </w:rPr>
        <w:t>Media Bureau Seeks Comment for Report Required by the Stela Reauthorization Act Of 2014</w:t>
      </w:r>
      <w:r>
        <w:t>, MB Docket No. 15-43, Public Notice, 30 FCC Rcd 1904 (MB 2015) (</w:t>
      </w:r>
      <w:r w:rsidRPr="002A250B">
        <w:rPr>
          <w:i/>
        </w:rPr>
        <w:t xml:space="preserve">STELAR Report </w:t>
      </w:r>
      <w:r>
        <w:rPr>
          <w:i/>
        </w:rPr>
        <w:t>PN</w:t>
      </w:r>
      <w:r>
        <w:t>).</w:t>
      </w:r>
    </w:p>
  </w:footnote>
  <w:footnote w:id="10">
    <w:p w:rsidR="00D7796A" w:rsidRPr="006777D1" w:rsidRDefault="00D7796A">
      <w:pPr>
        <w:pStyle w:val="FootnoteText"/>
      </w:pPr>
      <w:r>
        <w:rPr>
          <w:rStyle w:val="FootnoteReference"/>
        </w:rPr>
        <w:footnoteRef/>
      </w:r>
      <w:r>
        <w:t xml:space="preserve"> </w:t>
      </w:r>
      <w:r w:rsidRPr="002A250B">
        <w:rPr>
          <w:i/>
        </w:rPr>
        <w:t xml:space="preserve">STELAR Report </w:t>
      </w:r>
      <w:r>
        <w:rPr>
          <w:i/>
        </w:rPr>
        <w:t>PN</w:t>
      </w:r>
      <w:r>
        <w:t xml:space="preserve">, 30 FCC Rcd at 1905.  </w:t>
      </w:r>
    </w:p>
  </w:footnote>
  <w:footnote w:id="11">
    <w:p w:rsidR="00D7796A" w:rsidRDefault="00D7796A">
      <w:pPr>
        <w:pStyle w:val="FootnoteText"/>
      </w:pPr>
      <w:r>
        <w:rPr>
          <w:rStyle w:val="FootnoteReference"/>
        </w:rPr>
        <w:footnoteRef/>
      </w:r>
      <w:r>
        <w:t xml:space="preserve"> </w:t>
      </w:r>
      <w:r>
        <w:rPr>
          <w:i/>
        </w:rPr>
        <w:t>Id</w:t>
      </w:r>
      <w:r w:rsidRPr="00FE4DE9">
        <w:rPr>
          <w:i/>
        </w:rPr>
        <w:t>.</w:t>
      </w:r>
    </w:p>
  </w:footnote>
  <w:footnote w:id="12">
    <w:p w:rsidR="00D7796A" w:rsidRDefault="00D7796A">
      <w:pPr>
        <w:pStyle w:val="FootnoteText"/>
      </w:pPr>
      <w:r>
        <w:rPr>
          <w:rStyle w:val="FootnoteReference"/>
        </w:rPr>
        <w:footnoteRef/>
      </w:r>
      <w:r>
        <w:t xml:space="preserve"> </w:t>
      </w:r>
      <w:r>
        <w:rPr>
          <w:i/>
        </w:rPr>
        <w:t>Id</w:t>
      </w:r>
      <w:r w:rsidRPr="00FE4DE9">
        <w:rPr>
          <w:i/>
        </w:rPr>
        <w:t>.</w:t>
      </w:r>
    </w:p>
  </w:footnote>
  <w:footnote w:id="13">
    <w:p w:rsidR="00D7796A" w:rsidRDefault="00D7796A" w:rsidP="0007066C">
      <w:pPr>
        <w:pStyle w:val="FootnoteText"/>
      </w:pPr>
      <w:r>
        <w:rPr>
          <w:rStyle w:val="FootnoteReference"/>
        </w:rPr>
        <w:footnoteRef/>
      </w:r>
      <w:r>
        <w:t xml:space="preserve"> </w:t>
      </w:r>
      <w:r w:rsidRPr="002A16D5">
        <w:rPr>
          <w:i/>
        </w:rPr>
        <w:t>See infra</w:t>
      </w:r>
      <w:r>
        <w:t xml:space="preserve"> paras. </w:t>
      </w:r>
      <w:r>
        <w:fldChar w:fldCharType="begin"/>
      </w:r>
      <w:r>
        <w:instrText xml:space="preserve"> REF _Ref452470880 \r \h </w:instrText>
      </w:r>
      <w:r>
        <w:fldChar w:fldCharType="separate"/>
      </w:r>
      <w:r w:rsidR="008E3F28">
        <w:t>89</w:t>
      </w:r>
      <w:r>
        <w:fldChar w:fldCharType="end"/>
      </w:r>
      <w:r>
        <w:t>-</w:t>
      </w:r>
      <w:r>
        <w:fldChar w:fldCharType="begin"/>
      </w:r>
      <w:r>
        <w:instrText xml:space="preserve"> REF _Ref452470890 \r \h </w:instrText>
      </w:r>
      <w:r>
        <w:fldChar w:fldCharType="separate"/>
      </w:r>
      <w:r w:rsidR="008E3F28">
        <w:t>94</w:t>
      </w:r>
      <w:r>
        <w:fldChar w:fldCharType="end"/>
      </w:r>
      <w:r w:rsidRPr="0007066C">
        <w:t>.</w:t>
      </w:r>
    </w:p>
  </w:footnote>
  <w:footnote w:id="14">
    <w:p w:rsidR="00D7796A" w:rsidRPr="006714E8" w:rsidRDefault="00D7796A" w:rsidP="00EC754B">
      <w:pPr>
        <w:pStyle w:val="FootnoteText"/>
      </w:pPr>
      <w:r w:rsidRPr="006714E8">
        <w:rPr>
          <w:rStyle w:val="FootnoteReference"/>
        </w:rPr>
        <w:footnoteRef/>
      </w:r>
      <w:r w:rsidRPr="006714E8">
        <w:t xml:space="preserve"> </w:t>
      </w:r>
      <w:r>
        <w:t xml:space="preserve"> </w:t>
      </w:r>
      <w:r w:rsidRPr="006714E8">
        <w:rPr>
          <w:i/>
        </w:rPr>
        <w:t>See</w:t>
      </w:r>
      <w:r w:rsidRPr="006714E8">
        <w:t xml:space="preserve"> 47 U.S.C. §</w:t>
      </w:r>
      <w:r>
        <w:t xml:space="preserve"> </w:t>
      </w:r>
      <w:r w:rsidRPr="006714E8">
        <w:t xml:space="preserve">534(h)(1)(C); 47 </w:t>
      </w:r>
      <w:r>
        <w:t>CFR</w:t>
      </w:r>
      <w:r w:rsidRPr="006714E8">
        <w:t xml:space="preserve"> § 76.55(e)(2)</w:t>
      </w:r>
      <w:r>
        <w:t xml:space="preserve"> (</w:t>
      </w:r>
      <w:r w:rsidRPr="006714E8">
        <w:t xml:space="preserve">defining a television broadcast station’s local market for purposes of </w:t>
      </w:r>
      <w:r>
        <w:t>cable</w:t>
      </w:r>
      <w:r w:rsidRPr="006714E8">
        <w:t xml:space="preserve"> carriage).</w:t>
      </w:r>
      <w:r>
        <w:t xml:space="preserve">  </w:t>
      </w:r>
      <w:r w:rsidRPr="006714E8">
        <w:rPr>
          <w:i/>
        </w:rPr>
        <w:t>See</w:t>
      </w:r>
      <w:r w:rsidRPr="006714E8">
        <w:t xml:space="preserve"> </w:t>
      </w:r>
      <w:r>
        <w:t xml:space="preserve">47 </w:t>
      </w:r>
      <w:r w:rsidRPr="006714E8">
        <w:t>U.S.C. §</w:t>
      </w:r>
      <w:r>
        <w:t xml:space="preserve"> 338(k)(4) (using definition in </w:t>
      </w:r>
      <w:r w:rsidRPr="006714E8">
        <w:t>17 U.S.C. §§</w:t>
      </w:r>
      <w:r>
        <w:t xml:space="preserve"> </w:t>
      </w:r>
      <w:r w:rsidRPr="006714E8">
        <w:t>122(j)(2)</w:t>
      </w:r>
      <w:r>
        <w:t xml:space="preserve">); </w:t>
      </w:r>
      <w:r w:rsidRPr="006714E8">
        <w:t xml:space="preserve">47 </w:t>
      </w:r>
      <w:r>
        <w:t>CFR</w:t>
      </w:r>
      <w:r w:rsidRPr="006714E8">
        <w:t xml:space="preserve"> § 76.66(e) (defining a television broadcast station’s local market for purposes of satellite carriage</w:t>
      </w:r>
      <w:r>
        <w:t xml:space="preserve">).  The Communications Act originally defined local markets for cable carriage using the Arbitron areas of dominant influence (ADI) methodology.  Due to Arbitron discontinuing its television research operation, </w:t>
      </w:r>
      <w:r>
        <w:rPr>
          <w:szCs w:val="22"/>
        </w:rPr>
        <w:t xml:space="preserve">Section 614 of the Communications Act </w:t>
      </w:r>
      <w:r>
        <w:t>was amended by Section 301 of the Telecommunications Act of 1996 to provide that, for purposes of applying the cable mandatory carriage provisions, “a broadcast station’s market shall be determined by the Commission by regulation or order using, where available, commercial publications which delineate television markets based on viewing patterns.”</w:t>
      </w:r>
      <w:r w:rsidRPr="00CB11D2">
        <w:t xml:space="preserve"> </w:t>
      </w:r>
      <w:r>
        <w:t xml:space="preserve">47 U.S.C. § 534(h)(1)(C)(i); </w:t>
      </w:r>
      <w:r w:rsidRPr="00DF5292">
        <w:rPr>
          <w:i/>
        </w:rPr>
        <w:t>see also</w:t>
      </w:r>
      <w:r>
        <w:t xml:space="preserve"> </w:t>
      </w:r>
      <w:r w:rsidRPr="00DF5292">
        <w:rPr>
          <w:i/>
        </w:rPr>
        <w:t>Definition of Markets for Purposes of the Cable Television Mandatory Television Broadcast Signal Carriage Rules</w:t>
      </w:r>
      <w:r>
        <w:t>, CS Docket No. 95-178, Report and Order and Further Notice of Proposed Rulemaking, 11 FCC Rcd 6201, 6202, para. 1 (1996) (</w:t>
      </w:r>
      <w:r w:rsidRPr="008F26BA">
        <w:rPr>
          <w:i/>
        </w:rPr>
        <w:t>Market Definition Order</w:t>
      </w:r>
      <w:r>
        <w:t>) (defining local markets using Nielsen DMAs after Arbitron ceased publication of television data).  The Commission concluded that Nielsen’s DMA system was the appropriate commercial publication to replace Arbitron.</w:t>
      </w:r>
      <w:r w:rsidRPr="00CB11D2">
        <w:rPr>
          <w:i/>
        </w:rPr>
        <w:t xml:space="preserve"> </w:t>
      </w:r>
      <w:r w:rsidRPr="008F26BA">
        <w:rPr>
          <w:i/>
        </w:rPr>
        <w:t>Market Definition Order</w:t>
      </w:r>
      <w:r>
        <w:t xml:space="preserve">, 11 FCC Rcd at 6202, para. 1.  Congress subsequently used DMAs to define local markets in the satellite carriage context.  47 </w:t>
      </w:r>
      <w:r w:rsidRPr="006714E8">
        <w:t>U.S.C. §</w:t>
      </w:r>
      <w:r>
        <w:t xml:space="preserve"> 338(k)(4); </w:t>
      </w:r>
      <w:r w:rsidRPr="006714E8">
        <w:t>17 U.S.C. §</w:t>
      </w:r>
      <w:r>
        <w:t xml:space="preserve"> </w:t>
      </w:r>
      <w:r w:rsidRPr="006714E8">
        <w:t>122(j)(2)</w:t>
      </w:r>
      <w:r>
        <w:t>.</w:t>
      </w:r>
    </w:p>
  </w:footnote>
  <w:footnote w:id="15">
    <w:p w:rsidR="00D7796A" w:rsidRDefault="00D7796A" w:rsidP="00EC754B">
      <w:pPr>
        <w:pStyle w:val="FootnoteText"/>
      </w:pPr>
      <w:r>
        <w:rPr>
          <w:rStyle w:val="FootnoteReference"/>
        </w:rPr>
        <w:footnoteRef/>
      </w:r>
      <w:r>
        <w:t xml:space="preserve"> </w:t>
      </w:r>
      <w:r w:rsidRPr="00DF5292">
        <w:t xml:space="preserve">Nielsen delineates television markets by assigning each U.S. county (except for certain counties in Alaska) to one market based on measured viewing patterns both off-air and by MVPD distribution. </w:t>
      </w:r>
      <w:r>
        <w:t xml:space="preserve"> </w:t>
      </w:r>
      <w:r>
        <w:rPr>
          <w:i/>
        </w:rPr>
        <w:t xml:space="preserve">See </w:t>
      </w:r>
      <w:r w:rsidRPr="00DF5292">
        <w:rPr>
          <w:i/>
        </w:rPr>
        <w:t>Retransmission Consent and Exclusivity Rules: Report to Congress Pursuant to Section 208 of the Satellite Home Viewer Extension and Reauthorization Act of 2004</w:t>
      </w:r>
      <w:r w:rsidRPr="00DF5292">
        <w:t xml:space="preserve">, </w:t>
      </w:r>
      <w:r w:rsidRPr="00E20FDE">
        <w:t xml:space="preserve">2005 WL 2206070, </w:t>
      </w:r>
      <w:r>
        <w:t xml:space="preserve">at para. 53 n.177 </w:t>
      </w:r>
      <w:r w:rsidRPr="00DF5292">
        <w:t>(Sept. 8, 2005) (</w:t>
      </w:r>
      <w:r w:rsidRPr="002648D8">
        <w:rPr>
          <w:i/>
        </w:rPr>
        <w:t>SHVERA Report</w:t>
      </w:r>
      <w:r w:rsidRPr="00DF5292">
        <w:t xml:space="preserve">); </w:t>
      </w:r>
      <w:r w:rsidRPr="00DF5292">
        <w:rPr>
          <w:i/>
        </w:rPr>
        <w:t>see also</w:t>
      </w:r>
      <w:r w:rsidRPr="00DF5292">
        <w:t xml:space="preserve"> Nielsen Media Research, Glos</w:t>
      </w:r>
      <w:r>
        <w:t>sary of Media Terms, at http://</w:t>
      </w:r>
      <w:r w:rsidRPr="00DF5292">
        <w:t>www.nielsenmedia.com/glossary/.</w:t>
      </w:r>
    </w:p>
  </w:footnote>
  <w:footnote w:id="16">
    <w:p w:rsidR="00D7796A" w:rsidRDefault="00D7796A" w:rsidP="00EC754B">
      <w:pPr>
        <w:pStyle w:val="FootnoteText"/>
      </w:pPr>
      <w:r>
        <w:rPr>
          <w:rStyle w:val="FootnoteReference"/>
        </w:rPr>
        <w:footnoteRef/>
      </w:r>
      <w:r>
        <w:t xml:space="preserve"> </w:t>
      </w:r>
      <w:r w:rsidRPr="008F26BA">
        <w:rPr>
          <w:i/>
        </w:rPr>
        <w:t>Market Definition Order</w:t>
      </w:r>
      <w:r>
        <w:t>, 11 FCC Rcd at 6209, 6220, paras. 21, 39.</w:t>
      </w:r>
    </w:p>
  </w:footnote>
  <w:footnote w:id="17">
    <w:p w:rsidR="00D7796A" w:rsidRDefault="00D7796A" w:rsidP="00EC754B">
      <w:pPr>
        <w:pStyle w:val="FootnoteText"/>
      </w:pPr>
      <w:r>
        <w:rPr>
          <w:rStyle w:val="FootnoteReference"/>
        </w:rPr>
        <w:footnoteRef/>
      </w:r>
      <w:r>
        <w:t xml:space="preserve"> </w:t>
      </w:r>
      <w:r w:rsidRPr="0071242A">
        <w:rPr>
          <w:i/>
        </w:rPr>
        <w:t>Broadcast Localism</w:t>
      </w:r>
      <w:r>
        <w:t xml:space="preserve">, MB Docket No. 04-233, </w:t>
      </w:r>
      <w:r w:rsidRPr="0071242A">
        <w:t>Report on Broadcast Localism and Notice of Proposed Rulemaking</w:t>
      </w:r>
      <w:r>
        <w:t xml:space="preserve">, 23 FCC Rcd 1324, 1345-46, para. 49 (2008). </w:t>
      </w:r>
    </w:p>
  </w:footnote>
  <w:footnote w:id="18">
    <w:p w:rsidR="00D7796A" w:rsidRDefault="00D7796A">
      <w:pPr>
        <w:pStyle w:val="FootnoteText"/>
      </w:pPr>
      <w:r>
        <w:rPr>
          <w:rStyle w:val="FootnoteReference"/>
        </w:rPr>
        <w:footnoteRef/>
      </w:r>
      <w:r>
        <w:t xml:space="preserve"> By statute, cable operators are required to carry the signals of all qualified television stations in their local market.  See 47 U.S.C. § 534.  DBS providers are required to carry the signals of all qualified television stations in a local market if they choose to carry the signal of at least one local television station in that market.  See 47 U.S.C. § 338; </w:t>
      </w:r>
      <w:r w:rsidRPr="006714E8">
        <w:t>17 U.S.C. §</w:t>
      </w:r>
      <w:r>
        <w:t xml:space="preserve"> </w:t>
      </w:r>
      <w:r w:rsidRPr="006714E8">
        <w:t>122</w:t>
      </w:r>
      <w:r>
        <w:t>.</w:t>
      </w:r>
    </w:p>
  </w:footnote>
  <w:footnote w:id="19">
    <w:p w:rsidR="00D7796A" w:rsidRDefault="00D7796A" w:rsidP="00B74C1C">
      <w:pPr>
        <w:pStyle w:val="FootnoteText"/>
      </w:pPr>
      <w:r>
        <w:rPr>
          <w:rStyle w:val="FootnoteReference"/>
        </w:rPr>
        <w:footnoteRef/>
      </w:r>
      <w:r>
        <w:t xml:space="preserve"> </w:t>
      </w:r>
      <w:r w:rsidRPr="00B46780">
        <w:rPr>
          <w:i/>
        </w:rPr>
        <w:t>In-State Broadcast Programming:  Report to Congress Pursuant to Section 304 of the Satellite Television Extension and Localism Act of 2010</w:t>
      </w:r>
      <w:r>
        <w:t>, MB Docket No. 10-238, Report, 26 FCC Rcd 11919, 11920, para. 2 (MB 2011) (</w:t>
      </w:r>
      <w:r>
        <w:rPr>
          <w:i/>
        </w:rPr>
        <w:t>In-State Programming</w:t>
      </w:r>
      <w:r w:rsidRPr="00B46780">
        <w:rPr>
          <w:i/>
        </w:rPr>
        <w:t xml:space="preserve"> Report</w:t>
      </w:r>
      <w:r>
        <w:t>).</w:t>
      </w:r>
    </w:p>
  </w:footnote>
  <w:footnote w:id="20">
    <w:p w:rsidR="00D7796A" w:rsidRDefault="00D7796A" w:rsidP="00B74C1C">
      <w:pPr>
        <w:pStyle w:val="FootnoteText"/>
      </w:pPr>
      <w:r>
        <w:rPr>
          <w:rStyle w:val="FootnoteReference"/>
        </w:rPr>
        <w:footnoteRef/>
      </w:r>
      <w:r>
        <w:t xml:space="preserve"> </w:t>
      </w:r>
      <w:r>
        <w:rPr>
          <w:i/>
        </w:rPr>
        <w:t>Id.</w:t>
      </w:r>
    </w:p>
  </w:footnote>
  <w:footnote w:id="21">
    <w:p w:rsidR="00D7796A" w:rsidRDefault="00D7796A">
      <w:pPr>
        <w:pStyle w:val="FootnoteText"/>
      </w:pPr>
      <w:r>
        <w:rPr>
          <w:rStyle w:val="FootnoteReference"/>
        </w:rPr>
        <w:footnoteRef/>
      </w:r>
      <w:r>
        <w:t xml:space="preserve"> </w:t>
      </w:r>
      <w:r>
        <w:rPr>
          <w:i/>
        </w:rPr>
        <w:t>Id.</w:t>
      </w:r>
      <w:r>
        <w:t xml:space="preserve"> at 11929-30, paras. 17-18.</w:t>
      </w:r>
    </w:p>
  </w:footnote>
  <w:footnote w:id="22">
    <w:p w:rsidR="00D7796A" w:rsidRDefault="00D7796A">
      <w:pPr>
        <w:pStyle w:val="FootnoteText"/>
      </w:pPr>
      <w:r>
        <w:rPr>
          <w:rStyle w:val="FootnoteReference"/>
        </w:rPr>
        <w:footnoteRef/>
      </w:r>
      <w:r>
        <w:t xml:space="preserve"> In contrast to </w:t>
      </w:r>
      <w:r w:rsidRPr="00D758E4">
        <w:t>Section 304 of STELA</w:t>
      </w:r>
      <w:r>
        <w:t>, which directed the Commission to analyze consumer access to in-state and out-of-state local broadcast television station signals, Section 109(a)(1)(A) of the STELAR seeks an analysis of consumer access to out-of-market stations.  STELAR, § 109(a)(1)(A), 128 Stat. 2065.</w:t>
      </w:r>
    </w:p>
  </w:footnote>
  <w:footnote w:id="23">
    <w:p w:rsidR="00D7796A" w:rsidRDefault="00D7796A" w:rsidP="001711CA">
      <w:pPr>
        <w:pStyle w:val="FootnoteText"/>
      </w:pPr>
      <w:r>
        <w:rPr>
          <w:rStyle w:val="FootnoteReference"/>
        </w:rPr>
        <w:footnoteRef/>
      </w:r>
      <w:r>
        <w:t xml:space="preserve"> </w:t>
      </w:r>
      <w:r w:rsidRPr="002B0119">
        <w:rPr>
          <w:i/>
        </w:rPr>
        <w:t>See, e.g.</w:t>
      </w:r>
      <w:r w:rsidRPr="002B0119">
        <w:t xml:space="preserve">, </w:t>
      </w:r>
      <w:r w:rsidRPr="002B0119">
        <w:rPr>
          <w:i/>
        </w:rPr>
        <w:t>Deregulation of Radio</w:t>
      </w:r>
      <w:r>
        <w:t>, 84 FCC 2d 968, 994, para.</w:t>
      </w:r>
      <w:r w:rsidRPr="002B0119">
        <w:t xml:space="preserve"> 58 (1981) (“The concept of localism was part and parcel of broadcast regulation virtually from its inception.”).</w:t>
      </w:r>
    </w:p>
  </w:footnote>
  <w:footnote w:id="24">
    <w:p w:rsidR="00D7796A" w:rsidRDefault="00D7796A" w:rsidP="001711CA">
      <w:pPr>
        <w:pStyle w:val="FootnoteText"/>
      </w:pPr>
      <w:r>
        <w:rPr>
          <w:rStyle w:val="FootnoteReference"/>
        </w:rPr>
        <w:footnoteRef/>
      </w:r>
      <w:r>
        <w:t xml:space="preserve"> </w:t>
      </w:r>
      <w:r w:rsidRPr="00C368D8">
        <w:t>47 U.S.C. § 307(b).</w:t>
      </w:r>
    </w:p>
  </w:footnote>
  <w:footnote w:id="25">
    <w:p w:rsidR="00D7796A" w:rsidRDefault="00D7796A" w:rsidP="001711CA">
      <w:pPr>
        <w:pStyle w:val="FootnoteText"/>
      </w:pPr>
      <w:r>
        <w:rPr>
          <w:rStyle w:val="FootnoteReference"/>
        </w:rPr>
        <w:footnoteRef/>
      </w:r>
      <w:r>
        <w:t xml:space="preserve"> </w:t>
      </w:r>
      <w:r w:rsidRPr="00C368D8">
        <w:rPr>
          <w:i/>
        </w:rPr>
        <w:t>Pacific Broadcasting of Missouri LLC</w:t>
      </w:r>
      <w:r w:rsidRPr="00C368D8">
        <w:t xml:space="preserve">, 18 FCC Rcd 2291, 2293 (2003) (quoting </w:t>
      </w:r>
      <w:r w:rsidRPr="00C368D8">
        <w:rPr>
          <w:i/>
        </w:rPr>
        <w:t>Public Service Broadcasting of West Jordan, Inc.</w:t>
      </w:r>
      <w:r w:rsidRPr="00C368D8">
        <w:t>, 97 F.C.C. 2d 960, 962 (Rev. Bd. 1984)).</w:t>
      </w:r>
    </w:p>
  </w:footnote>
  <w:footnote w:id="26">
    <w:p w:rsidR="00D7796A" w:rsidRDefault="00D7796A" w:rsidP="001711CA">
      <w:pPr>
        <w:pStyle w:val="FootnoteText"/>
      </w:pPr>
      <w:r>
        <w:rPr>
          <w:rStyle w:val="FootnoteReference"/>
        </w:rPr>
        <w:footnoteRef/>
      </w:r>
      <w:r>
        <w:t xml:space="preserve"> </w:t>
      </w:r>
      <w:r w:rsidRPr="00C368D8">
        <w:rPr>
          <w:i/>
        </w:rPr>
        <w:t>FCC v. Allentown Broadcasting Corp.</w:t>
      </w:r>
      <w:r w:rsidRPr="00C368D8">
        <w:t>, 349 U.S. 358, 362 (1955).</w:t>
      </w:r>
    </w:p>
  </w:footnote>
  <w:footnote w:id="27">
    <w:p w:rsidR="00D7796A" w:rsidRDefault="00D7796A" w:rsidP="001711CA">
      <w:pPr>
        <w:pStyle w:val="FootnoteText"/>
      </w:pPr>
      <w:r>
        <w:rPr>
          <w:rStyle w:val="FootnoteReference"/>
        </w:rPr>
        <w:footnoteRef/>
      </w:r>
      <w:r>
        <w:t xml:space="preserve"> </w:t>
      </w:r>
      <w:r w:rsidRPr="00B75D79">
        <w:rPr>
          <w:i/>
        </w:rPr>
        <w:t>See, e.g.</w:t>
      </w:r>
      <w:r w:rsidRPr="00C368D8">
        <w:t xml:space="preserve">, </w:t>
      </w:r>
      <w:r w:rsidRPr="00C368D8">
        <w:rPr>
          <w:i/>
        </w:rPr>
        <w:t>Broadcast Localism</w:t>
      </w:r>
      <w:r>
        <w:t xml:space="preserve">, MB Docket No. 04-233, </w:t>
      </w:r>
      <w:r w:rsidRPr="00C368D8">
        <w:t>N</w:t>
      </w:r>
      <w:r>
        <w:t xml:space="preserve">otice of </w:t>
      </w:r>
      <w:r w:rsidRPr="00C368D8">
        <w:t>I</w:t>
      </w:r>
      <w:r>
        <w:t>nquiry</w:t>
      </w:r>
      <w:r w:rsidRPr="00C368D8">
        <w:t xml:space="preserve">, 19 FCC Rcd </w:t>
      </w:r>
      <w:r>
        <w:t xml:space="preserve">12425, </w:t>
      </w:r>
      <w:r w:rsidRPr="00C368D8">
        <w:t>12425</w:t>
      </w:r>
      <w:r>
        <w:t>,</w:t>
      </w:r>
      <w:r w:rsidRPr="00C368D8">
        <w:t xml:space="preserve"> </w:t>
      </w:r>
      <w:r>
        <w:t>para. 1 (2004) (</w:t>
      </w:r>
      <w:r w:rsidRPr="00E916D3">
        <w:rPr>
          <w:i/>
        </w:rPr>
        <w:t>Broadcast Localism NOI</w:t>
      </w:r>
      <w:r>
        <w:t>).</w:t>
      </w:r>
    </w:p>
  </w:footnote>
  <w:footnote w:id="28">
    <w:p w:rsidR="00D7796A" w:rsidRDefault="00D7796A" w:rsidP="001711CA">
      <w:pPr>
        <w:pStyle w:val="FootnoteText"/>
      </w:pPr>
      <w:r>
        <w:rPr>
          <w:rStyle w:val="FootnoteReference"/>
        </w:rPr>
        <w:footnoteRef/>
      </w:r>
      <w:r>
        <w:t xml:space="preserve"> </w:t>
      </w:r>
      <w:r>
        <w:rPr>
          <w:i/>
        </w:rPr>
        <w:t>See id.</w:t>
      </w:r>
      <w:r w:rsidRPr="00C368D8">
        <w:t xml:space="preserve"> </w:t>
      </w:r>
      <w:r>
        <w:t xml:space="preserve">at </w:t>
      </w:r>
      <w:r w:rsidRPr="00C368D8">
        <w:t>12425</w:t>
      </w:r>
      <w:r>
        <w:t>,</w:t>
      </w:r>
      <w:r w:rsidRPr="00C368D8">
        <w:t xml:space="preserve"> </w:t>
      </w:r>
      <w:r>
        <w:t xml:space="preserve">para. </w:t>
      </w:r>
      <w:r w:rsidRPr="00C368D8">
        <w:t>1.</w:t>
      </w:r>
      <w:r>
        <w:t xml:space="preserve">  A broadcast station’s community of license is typically a much smaller geographic area than a DMA.  </w:t>
      </w:r>
    </w:p>
  </w:footnote>
  <w:footnote w:id="29">
    <w:p w:rsidR="00D7796A" w:rsidRDefault="00D7796A" w:rsidP="00211E93">
      <w:pPr>
        <w:pStyle w:val="FootnoteText"/>
      </w:pPr>
      <w:r>
        <w:rPr>
          <w:rStyle w:val="FootnoteReference"/>
        </w:rPr>
        <w:footnoteRef/>
      </w:r>
      <w:r>
        <w:t xml:space="preserve"> </w:t>
      </w:r>
      <w:r w:rsidRPr="00E916D3">
        <w:rPr>
          <w:i/>
        </w:rPr>
        <w:t>See</w:t>
      </w:r>
      <w:r>
        <w:t xml:space="preserve"> 47 CFR § 73.685(a)</w:t>
      </w:r>
      <w:r w:rsidRPr="00E916D3">
        <w:t>.</w:t>
      </w:r>
    </w:p>
  </w:footnote>
  <w:footnote w:id="30">
    <w:p w:rsidR="00D7796A" w:rsidRDefault="00D7796A" w:rsidP="00211E93">
      <w:pPr>
        <w:pStyle w:val="FootnoteText"/>
      </w:pPr>
      <w:r>
        <w:rPr>
          <w:rStyle w:val="FootnoteReference"/>
        </w:rPr>
        <w:footnoteRef/>
      </w:r>
      <w:r>
        <w:t xml:space="preserve"> </w:t>
      </w:r>
      <w:r w:rsidRPr="00E916D3">
        <w:rPr>
          <w:i/>
        </w:rPr>
        <w:t>See id.</w:t>
      </w:r>
      <w:r w:rsidRPr="00E916D3">
        <w:t xml:space="preserve"> § 73.1125.</w:t>
      </w:r>
    </w:p>
  </w:footnote>
  <w:footnote w:id="31">
    <w:p w:rsidR="00D7796A" w:rsidRPr="00211E93" w:rsidRDefault="00D7796A" w:rsidP="00211E93">
      <w:pPr>
        <w:pStyle w:val="FootnoteText"/>
      </w:pPr>
      <w:r>
        <w:rPr>
          <w:rStyle w:val="FootnoteReference"/>
        </w:rPr>
        <w:footnoteRef/>
      </w:r>
      <w:r>
        <w:t xml:space="preserve"> </w:t>
      </w:r>
      <w:r w:rsidRPr="007F3396">
        <w:rPr>
          <w:i/>
        </w:rPr>
        <w:t>Amendment of Section 73.112</w:t>
      </w:r>
      <w:r w:rsidR="007B42D8">
        <w:rPr>
          <w:i/>
        </w:rPr>
        <w:t>5 and 73.1130 of the Commission’</w:t>
      </w:r>
      <w:r w:rsidRPr="007F3396">
        <w:rPr>
          <w:i/>
        </w:rPr>
        <w:t>s Rules, the Main Studio and Program Origination Rules for Radio and Television Broadcast Stations</w:t>
      </w:r>
      <w:r w:rsidRPr="007F3396">
        <w:t xml:space="preserve">, Memorandum Opinion and Order, 3 F.C.C.R. 5024, </w:t>
      </w:r>
      <w:r>
        <w:t xml:space="preserve">at para. 24 </w:t>
      </w:r>
      <w:r w:rsidRPr="007F3396">
        <w:t xml:space="preserve">(1988), </w:t>
      </w:r>
      <w:r w:rsidRPr="007F3396">
        <w:rPr>
          <w:i/>
        </w:rPr>
        <w:t>erratum issued</w:t>
      </w:r>
      <w:r w:rsidRPr="007F3396">
        <w:t>, 3 FCC Rcd 5717 (1988) (correcting language in n.29).</w:t>
      </w:r>
    </w:p>
  </w:footnote>
  <w:footnote w:id="32">
    <w:p w:rsidR="00D7796A" w:rsidRPr="00D7796A" w:rsidRDefault="00D7796A" w:rsidP="00211E93">
      <w:pPr>
        <w:pStyle w:val="FootnoteText"/>
      </w:pPr>
      <w:r w:rsidRPr="00211E93">
        <w:rPr>
          <w:rStyle w:val="FootnoteReference"/>
        </w:rPr>
        <w:footnoteRef/>
      </w:r>
      <w:r w:rsidRPr="00211E93">
        <w:t xml:space="preserve"> </w:t>
      </w:r>
      <w:r w:rsidRPr="00211E93">
        <w:rPr>
          <w:i/>
          <w:iCs/>
        </w:rPr>
        <w:t>Standardized and Enhanced Disclosure Requirements for Television Broadcast Licensee Public Interest Obligations</w:t>
      </w:r>
      <w:r w:rsidRPr="00211E93">
        <w:t xml:space="preserve">, Second Report and Order, </w:t>
      </w:r>
      <w:r w:rsidRPr="00D7796A">
        <w:t xml:space="preserve">27 FCC Rcd 4535 (2012); 47 CFR § 73.3526(b)(2).  </w:t>
      </w:r>
      <w:r w:rsidRPr="00D7796A">
        <w:rPr>
          <w:i/>
        </w:rPr>
        <w:t>See also</w:t>
      </w:r>
      <w:r w:rsidRPr="00D7796A">
        <w:t xml:space="preserve"> </w:t>
      </w:r>
      <w:r w:rsidRPr="00D7796A">
        <w:rPr>
          <w:i/>
        </w:rPr>
        <w:t>Expansion of Online Public File Obligations to Cable and Satellite TV Operators and Broadcast and Satellite Radio Licensees</w:t>
      </w:r>
      <w:r w:rsidRPr="00D7796A">
        <w:t>, MB Docket No. 14-127, Report and Order, 31 FCC Rcd 526 (2016).</w:t>
      </w:r>
    </w:p>
  </w:footnote>
  <w:footnote w:id="33">
    <w:p w:rsidR="00D7796A" w:rsidRDefault="00D7796A" w:rsidP="00211E93">
      <w:pPr>
        <w:pStyle w:val="FootnoteText"/>
      </w:pPr>
      <w:r w:rsidRPr="00D7796A">
        <w:rPr>
          <w:rStyle w:val="FootnoteReference"/>
        </w:rPr>
        <w:footnoteRef/>
      </w:r>
      <w:r w:rsidRPr="00D7796A">
        <w:t xml:space="preserve"> 47 CFR § 73.3526(e)(11)(i) (commercial TV issues/programs</w:t>
      </w:r>
      <w:r w:rsidRPr="00211E93">
        <w:t xml:space="preserve"> list).  These lists must be </w:t>
      </w:r>
      <w:r w:rsidRPr="00E916D3">
        <w:t>retained until final action has been taken on the station</w:t>
      </w:r>
      <w:r w:rsidR="007B42D8">
        <w:t>’</w:t>
      </w:r>
      <w:r w:rsidRPr="00E916D3">
        <w:t>s next renewal application.</w:t>
      </w:r>
      <w:r>
        <w:t xml:space="preserve"> </w:t>
      </w:r>
      <w:r w:rsidRPr="00E916D3">
        <w:t xml:space="preserve"> </w:t>
      </w:r>
      <w:r w:rsidRPr="00E916D3">
        <w:rPr>
          <w:i/>
        </w:rPr>
        <w:t>Id.</w:t>
      </w:r>
      <w:r w:rsidRPr="00E916D3">
        <w:t xml:space="preserve"> </w:t>
      </w:r>
      <w:r>
        <w:t xml:space="preserve"> </w:t>
      </w:r>
      <w:r w:rsidRPr="00E916D3">
        <w:t>The purpose of this requirement is to provide both the public and the Commission with informati</w:t>
      </w:r>
      <w:r>
        <w:t>on needed to monitor a licensee’</w:t>
      </w:r>
      <w:r w:rsidRPr="00E916D3">
        <w:t>s performance in meeting its public interest obligation of providing programming that i</w:t>
      </w:r>
      <w:r>
        <w:t xml:space="preserve">s responsive to its community.  </w:t>
      </w:r>
      <w:r w:rsidRPr="006652C2">
        <w:rPr>
          <w:i/>
        </w:rPr>
        <w:t>See</w:t>
      </w:r>
      <w:r w:rsidRPr="006652C2">
        <w:t xml:space="preserve"> </w:t>
      </w:r>
      <w:r w:rsidRPr="006652C2">
        <w:rPr>
          <w:i/>
        </w:rPr>
        <w:t>Standardized and Enhanced Disclosure Requirements for Television Broadcast Licensee Public Interest Obligations</w:t>
      </w:r>
      <w:r>
        <w:t>, 15 FCC Rcd 19816, 19821, para. 13 (2000).</w:t>
      </w:r>
    </w:p>
  </w:footnote>
  <w:footnote w:id="34">
    <w:p w:rsidR="00D7796A" w:rsidRDefault="00D7796A" w:rsidP="00211E93">
      <w:pPr>
        <w:pStyle w:val="FootnoteText"/>
      </w:pPr>
      <w:r>
        <w:rPr>
          <w:rStyle w:val="FootnoteReference"/>
        </w:rPr>
        <w:footnoteRef/>
      </w:r>
      <w:r>
        <w:t xml:space="preserve"> </w:t>
      </w:r>
      <w:r w:rsidRPr="006652C2">
        <w:rPr>
          <w:i/>
        </w:rPr>
        <w:t>See</w:t>
      </w:r>
      <w:r>
        <w:t xml:space="preserve"> 47 CFR</w:t>
      </w:r>
      <w:r w:rsidRPr="006652C2">
        <w:t xml:space="preserve"> § 73.3580.</w:t>
      </w:r>
    </w:p>
  </w:footnote>
  <w:footnote w:id="35">
    <w:p w:rsidR="00D7796A" w:rsidRDefault="00D7796A" w:rsidP="00211E93">
      <w:pPr>
        <w:pStyle w:val="FootnoteText"/>
      </w:pPr>
      <w:r>
        <w:rPr>
          <w:rStyle w:val="FootnoteReference"/>
        </w:rPr>
        <w:footnoteRef/>
      </w:r>
      <w:r>
        <w:t xml:space="preserve"> </w:t>
      </w:r>
      <w:r>
        <w:rPr>
          <w:i/>
        </w:rPr>
        <w:t xml:space="preserve">See </w:t>
      </w:r>
      <w:r w:rsidRPr="00C368D8">
        <w:rPr>
          <w:i/>
        </w:rPr>
        <w:t>Broadcast Localism</w:t>
      </w:r>
      <w:r>
        <w:rPr>
          <w:i/>
        </w:rPr>
        <w:t xml:space="preserve"> NOI</w:t>
      </w:r>
      <w:r>
        <w:t xml:space="preserve">, </w:t>
      </w:r>
      <w:r w:rsidRPr="00C368D8">
        <w:t xml:space="preserve">19 FCC Rcd </w:t>
      </w:r>
      <w:r>
        <w:t>at 12427,</w:t>
      </w:r>
      <w:r w:rsidRPr="00C368D8">
        <w:t xml:space="preserve"> </w:t>
      </w:r>
      <w:r>
        <w:t>para. 4</w:t>
      </w:r>
      <w:r w:rsidRPr="00C368D8">
        <w:t>.</w:t>
      </w:r>
      <w:r>
        <w:t xml:space="preserve">  Localism also forms one of the Commission’s policy goals for its media ownership rules.  </w:t>
      </w:r>
      <w:r w:rsidRPr="00D7796A">
        <w:rPr>
          <w:i/>
        </w:rPr>
        <w:t>See</w:t>
      </w:r>
      <w:r>
        <w:t xml:space="preserve"> </w:t>
      </w:r>
      <w:r w:rsidRPr="00C46B4B">
        <w:rPr>
          <w:i/>
        </w:rPr>
        <w:t>2014 Quadrennial Regulatory Review – Review of the Commission’s Broadcast Ownership Rules and Other Rules Adopted Pursuant to Section 202 of the Telecommunications Act of 1996</w:t>
      </w:r>
      <w:r w:rsidRPr="00C46B4B">
        <w:t>, MB Docket No. 14-50 et al., Further Notice of Proposed Rulemaking and Report and Order, 29 FCC Rcd 4371</w:t>
      </w:r>
      <w:r>
        <w:t>, 4377, para. 14</w:t>
      </w:r>
      <w:r w:rsidRPr="00C46B4B">
        <w:t xml:space="preserve"> (2014)</w:t>
      </w:r>
      <w:r>
        <w:t xml:space="preserve">.  </w:t>
      </w:r>
    </w:p>
  </w:footnote>
  <w:footnote w:id="36">
    <w:p w:rsidR="00D7796A" w:rsidRDefault="00D7796A" w:rsidP="00211E93">
      <w:pPr>
        <w:pStyle w:val="FootnoteText"/>
      </w:pPr>
      <w:r>
        <w:rPr>
          <w:rStyle w:val="FootnoteReference"/>
        </w:rPr>
        <w:footnoteRef/>
      </w:r>
      <w:r>
        <w:t xml:space="preserve"> </w:t>
      </w:r>
      <w:r w:rsidRPr="00E92894">
        <w:t xml:space="preserve">Congress found that this created a “distortion in the video marketplace which threatens the future of </w:t>
      </w:r>
      <w:r>
        <w:t>over the air</w:t>
      </w:r>
      <w:r w:rsidRPr="00E92894">
        <w:t xml:space="preserve"> broadcasting.” </w:t>
      </w:r>
      <w:r>
        <w:t xml:space="preserve"> </w:t>
      </w:r>
      <w:r w:rsidRPr="00E92894">
        <w:t>S. Rep. No. 92, 102d Cong., 1st Sess. 1 (1991), at 35 (Senate Report)</w:t>
      </w:r>
      <w:r>
        <w:t>.</w:t>
      </w:r>
    </w:p>
  </w:footnote>
  <w:footnote w:id="37">
    <w:p w:rsidR="00D7796A" w:rsidRDefault="00D7796A" w:rsidP="00211E93">
      <w:pPr>
        <w:pStyle w:val="FootnoteText"/>
      </w:pPr>
      <w:r>
        <w:rPr>
          <w:rStyle w:val="FootnoteReference"/>
        </w:rPr>
        <w:footnoteRef/>
      </w:r>
      <w:r>
        <w:t xml:space="preserve"> </w:t>
      </w:r>
      <w:r w:rsidRPr="00E92894">
        <w:t>Cable Television Consumer Protection and Competition Act of 1992, Pub. L. No. 102-385, 106 Stat. 1460 (1992) (1992 Cable Act or 1992 Act); H. Rep. No. 628, 102d Cong.</w:t>
      </w:r>
      <w:r>
        <w:t>, 2d Sess. (1992) (House Report</w:t>
      </w:r>
      <w:r w:rsidRPr="00E92894">
        <w:t>); Senate Report.</w:t>
      </w:r>
      <w:r>
        <w:t xml:space="preserve"> </w:t>
      </w:r>
      <w:r w:rsidRPr="00E92894">
        <w:t xml:space="preserve"> </w:t>
      </w:r>
      <w:r w:rsidRPr="00E92894">
        <w:rPr>
          <w:i/>
        </w:rPr>
        <w:t>See also</w:t>
      </w:r>
      <w:r w:rsidRPr="00E92894">
        <w:t xml:space="preserve"> 47 U.S.C. § 534 (carriage of commercial television stations); 47 U.S.C. § 535 (carriage of noncommercial television stations); 47 U.S.C. § 325 (retransmission consent).</w:t>
      </w:r>
    </w:p>
  </w:footnote>
  <w:footnote w:id="38">
    <w:p w:rsidR="00D7796A" w:rsidRPr="008C194D" w:rsidRDefault="00D7796A" w:rsidP="00211E93">
      <w:pPr>
        <w:pStyle w:val="FootnoteText"/>
      </w:pPr>
      <w:r>
        <w:rPr>
          <w:rStyle w:val="FootnoteReference"/>
        </w:rPr>
        <w:footnoteRef/>
      </w:r>
      <w:r>
        <w:t xml:space="preserve"> </w:t>
      </w:r>
      <w:r w:rsidRPr="00E92894">
        <w:t xml:space="preserve">Congress noted that some broadcasters might find that carriage itself was sufficient compensation for the use of their signal while other broadcasters might seek monetary compensation and still others might negotiate for in-kind consideration such as joint marketing efforts, the opportunity to provide news inserts on cable channels, or the right to program an additional channel on a cable system. </w:t>
      </w:r>
      <w:r>
        <w:t xml:space="preserve"> </w:t>
      </w:r>
      <w:r w:rsidRPr="00E92894">
        <w:t xml:space="preserve">Senate Report at 36. </w:t>
      </w:r>
      <w:r>
        <w:t xml:space="preserve"> </w:t>
      </w:r>
      <w:r w:rsidRPr="00E92894">
        <w:t xml:space="preserve">Congress emphasized that it intended “to establish a marketplace for the disposition of the rights to retransmit broadcast signals” but did not intend “to dictate the outcome of the ensuing marketplace negotiations.” </w:t>
      </w:r>
      <w:r>
        <w:t xml:space="preserve"> </w:t>
      </w:r>
      <w:r w:rsidRPr="00E92894">
        <w:rPr>
          <w:i/>
        </w:rPr>
        <w:t>Id.</w:t>
      </w:r>
      <w:r w:rsidRPr="00E92894">
        <w:t xml:space="preserve"> </w:t>
      </w:r>
      <w:r>
        <w:t xml:space="preserve"> On September 2, 2015, the Commission issued a Notice of Proposed Rulemaking implementing Section 103(c) of the STELAR.  This rulemaking </w:t>
      </w:r>
      <w:r w:rsidRPr="001C2208">
        <w:t>seeks comment on whether and how to update the totality of the circumstances test for good faith negotiation of retransmission consent</w:t>
      </w:r>
      <w:r>
        <w:t xml:space="preserve"> and </w:t>
      </w:r>
      <w:r w:rsidRPr="001C2208">
        <w:t xml:space="preserve">whether certain practices should be considered evidence of </w:t>
      </w:r>
      <w:r w:rsidRPr="00474DE8">
        <w:t xml:space="preserve">bad faith under the totality of the circumstances test, or, alternatively, </w:t>
      </w:r>
      <w:r w:rsidRPr="00474DE8">
        <w:rPr>
          <w:i/>
        </w:rPr>
        <w:t>per se</w:t>
      </w:r>
      <w:r w:rsidRPr="00474DE8">
        <w:t xml:space="preserve"> violations of the requirement to negotiate in good faith.  </w:t>
      </w:r>
      <w:r w:rsidRPr="00474DE8">
        <w:rPr>
          <w:i/>
        </w:rPr>
        <w:t>See</w:t>
      </w:r>
      <w:r w:rsidRPr="00474DE8">
        <w:t xml:space="preserve"> </w:t>
      </w:r>
      <w:r w:rsidRPr="00474DE8">
        <w:rPr>
          <w:i/>
        </w:rPr>
        <w:t xml:space="preserve">Implementation of Section 103(c) of the STELA Reauthorization </w:t>
      </w:r>
      <w:r w:rsidRPr="00D70858">
        <w:rPr>
          <w:i/>
        </w:rPr>
        <w:t>Act of 2014</w:t>
      </w:r>
      <w:r w:rsidRPr="00D70858">
        <w:t xml:space="preserve">, </w:t>
      </w:r>
      <w:r w:rsidRPr="00A33C52">
        <w:rPr>
          <w:i/>
        </w:rPr>
        <w:t>Totality of the Circumstances Test</w:t>
      </w:r>
      <w:r w:rsidRPr="00A33C52">
        <w:t xml:space="preserve">, Notice of Proposed Rulemaking, </w:t>
      </w:r>
      <w:r w:rsidRPr="00D70858">
        <w:t xml:space="preserve">30 FCC Rcd 10327, 10332, </w:t>
      </w:r>
      <w:r w:rsidRPr="00D70858">
        <w:rPr>
          <w:snapToGrid w:val="0"/>
        </w:rPr>
        <w:t>10344-45,</w:t>
      </w:r>
      <w:r w:rsidRPr="00D70858">
        <w:t xml:space="preserve"> paras</w:t>
      </w:r>
      <w:r w:rsidRPr="00485172">
        <w:rPr>
          <w:color w:val="212121"/>
        </w:rPr>
        <w:t>. 6</w:t>
      </w:r>
      <w:r>
        <w:rPr>
          <w:color w:val="212121"/>
        </w:rPr>
        <w:t>, 20</w:t>
      </w:r>
      <w:r w:rsidRPr="00485172">
        <w:rPr>
          <w:rStyle w:val="apple-converted-space"/>
          <w:color w:val="212121"/>
        </w:rPr>
        <w:t> </w:t>
      </w:r>
      <w:r w:rsidRPr="00474DE8">
        <w:t>(2015).</w:t>
      </w:r>
    </w:p>
  </w:footnote>
  <w:footnote w:id="39">
    <w:p w:rsidR="00D7796A" w:rsidRDefault="00D7796A" w:rsidP="00211E93">
      <w:pPr>
        <w:pStyle w:val="FootnoteText"/>
      </w:pPr>
      <w:r>
        <w:rPr>
          <w:rStyle w:val="FootnoteReference"/>
        </w:rPr>
        <w:footnoteRef/>
      </w:r>
      <w:r>
        <w:t xml:space="preserve"> </w:t>
      </w:r>
      <w:r w:rsidRPr="00CB516C">
        <w:t>House Committee on Energy and Commerce, H.R. Conf. Rep. No. 102-862, 102d Cong., 2d Sess. (1992), reprinted at 138 Cong. Rec. H8308, at 2 (Sep</w:t>
      </w:r>
      <w:r>
        <w:t>t. 14, 1992)</w:t>
      </w:r>
      <w:r w:rsidRPr="00CB516C">
        <w:t>.</w:t>
      </w:r>
    </w:p>
  </w:footnote>
  <w:footnote w:id="40">
    <w:p w:rsidR="00D7796A" w:rsidRDefault="00D7796A" w:rsidP="00211E93">
      <w:pPr>
        <w:pStyle w:val="FootnoteText"/>
      </w:pPr>
      <w:r>
        <w:rPr>
          <w:rStyle w:val="FootnoteReference"/>
        </w:rPr>
        <w:footnoteRef/>
      </w:r>
      <w:r>
        <w:t xml:space="preserve"> </w:t>
      </w:r>
      <w:r>
        <w:rPr>
          <w:i/>
        </w:rPr>
        <w:t>Id.</w:t>
      </w:r>
      <w:r w:rsidRPr="00CB516C">
        <w:t xml:space="preserve"> at 3.</w:t>
      </w:r>
    </w:p>
  </w:footnote>
  <w:footnote w:id="41">
    <w:p w:rsidR="00D7796A" w:rsidRDefault="00D7796A" w:rsidP="00211E93">
      <w:pPr>
        <w:pStyle w:val="FootnoteText"/>
      </w:pPr>
      <w:r>
        <w:rPr>
          <w:rStyle w:val="FootnoteReference"/>
        </w:rPr>
        <w:footnoteRef/>
      </w:r>
      <w:r>
        <w:t xml:space="preserve"> Federal law and Commission regulations require c</w:t>
      </w:r>
      <w:r w:rsidRPr="00DF5292">
        <w:t>able operators that are subject to rate regulation to provide subscribers with a basic service tier and to carry local broadcast stations on that tier.</w:t>
      </w:r>
      <w:r>
        <w:t xml:space="preserve"> </w:t>
      </w:r>
      <w:r w:rsidRPr="00DF5292">
        <w:t xml:space="preserve"> 47 U.S.C. § 543(b)(7); </w:t>
      </w:r>
      <w:r w:rsidRPr="00DF5292">
        <w:rPr>
          <w:i/>
        </w:rPr>
        <w:t>see also</w:t>
      </w:r>
      <w:r w:rsidRPr="00DF5292">
        <w:t xml:space="preserve"> 47 </w:t>
      </w:r>
      <w:r>
        <w:t>CFR</w:t>
      </w:r>
      <w:r w:rsidRPr="00DF5292">
        <w:t xml:space="preserve"> § 76.901.</w:t>
      </w:r>
    </w:p>
  </w:footnote>
  <w:footnote w:id="42">
    <w:p w:rsidR="00D7796A" w:rsidRDefault="00D7796A" w:rsidP="00211E93">
      <w:pPr>
        <w:pStyle w:val="FootnoteText"/>
      </w:pPr>
      <w:r>
        <w:rPr>
          <w:rStyle w:val="FootnoteReference"/>
        </w:rPr>
        <w:footnoteRef/>
      </w:r>
      <w:r>
        <w:t xml:space="preserve"> </w:t>
      </w:r>
      <w:r w:rsidRPr="002648D8">
        <w:rPr>
          <w:i/>
        </w:rPr>
        <w:t>See</w:t>
      </w:r>
      <w:r w:rsidRPr="002648D8">
        <w:t xml:space="preserve"> 47 </w:t>
      </w:r>
      <w:r>
        <w:t>CFR</w:t>
      </w:r>
      <w:r w:rsidRPr="002648D8">
        <w:t xml:space="preserve"> § 76.64.</w:t>
      </w:r>
    </w:p>
  </w:footnote>
  <w:footnote w:id="43">
    <w:p w:rsidR="00D7796A" w:rsidRDefault="00D7796A" w:rsidP="00211E93">
      <w:pPr>
        <w:pStyle w:val="FootnoteText"/>
      </w:pPr>
      <w:r>
        <w:rPr>
          <w:rStyle w:val="FootnoteReference"/>
        </w:rPr>
        <w:footnoteRef/>
      </w:r>
      <w:r>
        <w:t xml:space="preserve"> </w:t>
      </w:r>
      <w:r w:rsidRPr="002648D8">
        <w:rPr>
          <w:i/>
        </w:rPr>
        <w:t>See</w:t>
      </w:r>
      <w:r w:rsidRPr="002648D8">
        <w:t xml:space="preserve"> </w:t>
      </w:r>
      <w:r>
        <w:rPr>
          <w:i/>
        </w:rPr>
        <w:t xml:space="preserve">id. </w:t>
      </w:r>
      <w:r w:rsidRPr="002648D8">
        <w:t>§§ 76.55(c)</w:t>
      </w:r>
      <w:r>
        <w:t>(2)-</w:t>
      </w:r>
      <w:r w:rsidR="004A7B75">
        <w:t>(3),</w:t>
      </w:r>
      <w:r w:rsidRPr="002648D8">
        <w:t xml:space="preserve"> 76.56(b)(5).</w:t>
      </w:r>
    </w:p>
  </w:footnote>
  <w:footnote w:id="44">
    <w:p w:rsidR="00D7796A" w:rsidRDefault="00D7796A">
      <w:pPr>
        <w:pStyle w:val="FootnoteText"/>
      </w:pPr>
      <w:r>
        <w:rPr>
          <w:rStyle w:val="FootnoteReference"/>
        </w:rPr>
        <w:footnoteRef/>
      </w:r>
      <w:r>
        <w:t xml:space="preserve"> </w:t>
      </w:r>
      <w:r w:rsidRPr="00D7796A">
        <w:rPr>
          <w:i/>
        </w:rPr>
        <w:t>Id.</w:t>
      </w:r>
      <w:r w:rsidRPr="002648D8">
        <w:t xml:space="preserve"> § 76.6</w:t>
      </w:r>
      <w:r>
        <w:t>5.</w:t>
      </w:r>
    </w:p>
  </w:footnote>
  <w:footnote w:id="45">
    <w:p w:rsidR="00D7796A" w:rsidRDefault="00D7796A" w:rsidP="00211E93">
      <w:pPr>
        <w:pStyle w:val="FootnoteText"/>
      </w:pPr>
      <w:r>
        <w:rPr>
          <w:rStyle w:val="FootnoteReference"/>
        </w:rPr>
        <w:footnoteRef/>
      </w:r>
      <w:r>
        <w:t xml:space="preserve"> </w:t>
      </w:r>
      <w:r w:rsidRPr="002648D8">
        <w:t xml:space="preserve">47 U.S.C. § 325; </w:t>
      </w:r>
      <w:r w:rsidRPr="002648D8">
        <w:rPr>
          <w:i/>
        </w:rPr>
        <w:t>see also</w:t>
      </w:r>
      <w:r w:rsidRPr="002648D8">
        <w:t xml:space="preserve"> 47 </w:t>
      </w:r>
      <w:r>
        <w:t>CFR</w:t>
      </w:r>
      <w:r w:rsidRPr="002648D8">
        <w:t xml:space="preserve"> § 76.64 (retransmission consent). </w:t>
      </w:r>
      <w:r>
        <w:t xml:space="preserve"> </w:t>
      </w:r>
      <w:r w:rsidRPr="002648D8">
        <w:t>However, such carriage arrangements may be</w:t>
      </w:r>
      <w:r>
        <w:t>, and often are,</w:t>
      </w:r>
      <w:r w:rsidRPr="002648D8">
        <w:t xml:space="preserve"> limited by other contractual restrictions, such as network affiliation agreements.</w:t>
      </w:r>
      <w:r>
        <w:t xml:space="preserve">  </w:t>
      </w:r>
      <w:r w:rsidRPr="00EE2D4F">
        <w:rPr>
          <w:i/>
        </w:rPr>
        <w:t>See</w:t>
      </w:r>
      <w:r>
        <w:t xml:space="preserve"> </w:t>
      </w:r>
      <w:r w:rsidRPr="00EE2D4F">
        <w:rPr>
          <w:i/>
        </w:rPr>
        <w:t>supra</w:t>
      </w:r>
      <w:r>
        <w:t xml:space="preserve"> paras. </w:t>
      </w:r>
      <w:r>
        <w:fldChar w:fldCharType="begin"/>
      </w:r>
      <w:r>
        <w:instrText xml:space="preserve"> REF _Ref452470638 \r \h </w:instrText>
      </w:r>
      <w:r>
        <w:fldChar w:fldCharType="separate"/>
      </w:r>
      <w:r w:rsidR="008E3F28">
        <w:t>24</w:t>
      </w:r>
      <w:r>
        <w:fldChar w:fldCharType="end"/>
      </w:r>
      <w:r>
        <w:t xml:space="preserve">, </w:t>
      </w:r>
      <w:r>
        <w:fldChar w:fldCharType="begin"/>
      </w:r>
      <w:r>
        <w:instrText xml:space="preserve"> REF _Ref452470323 \r \h </w:instrText>
      </w:r>
      <w:r>
        <w:fldChar w:fldCharType="separate"/>
      </w:r>
      <w:r w:rsidR="008E3F28">
        <w:t>109</w:t>
      </w:r>
      <w:r>
        <w:fldChar w:fldCharType="end"/>
      </w:r>
      <w:r>
        <w:t>.</w:t>
      </w:r>
    </w:p>
  </w:footnote>
  <w:footnote w:id="46">
    <w:p w:rsidR="00D7796A" w:rsidRDefault="00D7796A" w:rsidP="00B030D3">
      <w:pPr>
        <w:pStyle w:val="FootnoteText"/>
      </w:pPr>
      <w:r>
        <w:rPr>
          <w:rStyle w:val="FootnoteReference"/>
        </w:rPr>
        <w:footnoteRef/>
      </w:r>
      <w:r>
        <w:t xml:space="preserve"> 47 U.S.C. </w:t>
      </w:r>
      <w:r w:rsidRPr="002648D8">
        <w:t>§ 325</w:t>
      </w:r>
      <w:r>
        <w:t>(b)(2)(A).</w:t>
      </w:r>
    </w:p>
  </w:footnote>
  <w:footnote w:id="47">
    <w:p w:rsidR="00D7796A" w:rsidRDefault="00D7796A" w:rsidP="00B030D3">
      <w:pPr>
        <w:pStyle w:val="FootnoteText"/>
      </w:pPr>
      <w:r>
        <w:rPr>
          <w:rStyle w:val="FootnoteReference"/>
        </w:rPr>
        <w:footnoteRef/>
      </w:r>
      <w:r>
        <w:t xml:space="preserve"> </w:t>
      </w:r>
      <w:r w:rsidRPr="002648D8">
        <w:t xml:space="preserve">Pursuant to </w:t>
      </w:r>
      <w:r>
        <w:t xml:space="preserve">the </w:t>
      </w:r>
      <w:r w:rsidRPr="002648D8">
        <w:t>Commission</w:t>
      </w:r>
      <w:r>
        <w:t>’s</w:t>
      </w:r>
      <w:r w:rsidRPr="002648D8">
        <w:t xml:space="preserve"> rules, a qualified NCE station is one that is:</w:t>
      </w:r>
      <w:r>
        <w:t xml:space="preserve"> </w:t>
      </w:r>
      <w:r w:rsidRPr="002648D8">
        <w:t xml:space="preserve"> (1) licensed to a community whose reference point, as defined in § 76.53, is within 80.45Km (or 50 miles) of the principal headend (as defined in </w:t>
      </w:r>
      <w:r>
        <w:br/>
      </w:r>
      <w:r w:rsidRPr="002648D8">
        <w:t xml:space="preserve">§ 76.5) of the cable system; and (2) whose </w:t>
      </w:r>
      <w:r w:rsidRPr="00485172">
        <w:t>Grade B service contour</w:t>
      </w:r>
      <w:r w:rsidRPr="00E95EE0">
        <w:t xml:space="preserve"> encompasses the principal headend (as defined in § 76.5) of the cable system.  Further, a cable operator is not required to</w:t>
      </w:r>
      <w:r w:rsidRPr="002648D8">
        <w:t xml:space="preserve"> carry the signal of a qualified local NCE </w:t>
      </w:r>
      <w:r>
        <w:t xml:space="preserve">station </w:t>
      </w:r>
      <w:r w:rsidRPr="002648D8">
        <w:t>if the station</w:t>
      </w:r>
      <w:r>
        <w:t>’</w:t>
      </w:r>
      <w:r w:rsidRPr="002648D8">
        <w:t xml:space="preserve">s signal would be considered a distant signal for copyright purposes unless the station agrees to indemnify the cable operator for any increased copyright liability resulting from carriage of its station signal. </w:t>
      </w:r>
      <w:r>
        <w:t xml:space="preserve"> </w:t>
      </w:r>
      <w:r w:rsidRPr="002648D8">
        <w:t xml:space="preserve">47 </w:t>
      </w:r>
      <w:r>
        <w:t>CFR</w:t>
      </w:r>
      <w:r w:rsidRPr="002648D8">
        <w:t xml:space="preserve"> § 76.55(b). </w:t>
      </w:r>
      <w:r>
        <w:t xml:space="preserve"> </w:t>
      </w:r>
      <w:r w:rsidRPr="002057E4">
        <w:t>We note that this rule has not been amended since the digital transition. However</w:t>
      </w:r>
      <w:r>
        <w:t xml:space="preserve">, following the digital transition, a station’s service area is no longer defined by reference to its Grade B contour.  Rather, </w:t>
      </w:r>
      <w:r>
        <w:rPr>
          <w:color w:val="000000"/>
        </w:rPr>
        <w:t xml:space="preserve">a digital station’s service area is defined as the area within its noise-limited contour where its signal strength is predicted to exceed the noise-limited service level.  </w:t>
      </w:r>
      <w:r>
        <w:rPr>
          <w:i/>
          <w:iCs/>
          <w:color w:val="000000"/>
        </w:rPr>
        <w:t>See</w:t>
      </w:r>
      <w:r>
        <w:rPr>
          <w:color w:val="000000"/>
        </w:rPr>
        <w:t xml:space="preserve"> </w:t>
      </w:r>
      <w:r>
        <w:rPr>
          <w:i/>
          <w:color w:val="000000"/>
        </w:rPr>
        <w:t>id.</w:t>
      </w:r>
      <w:r>
        <w:rPr>
          <w:color w:val="000000"/>
        </w:rPr>
        <w:t xml:space="preserve"> § 73.622(e); </w:t>
      </w:r>
      <w:r w:rsidRPr="00292EF6">
        <w:rPr>
          <w:i/>
          <w:color w:val="000000"/>
        </w:rPr>
        <w:t>see also</w:t>
      </w:r>
      <w:r>
        <w:rPr>
          <w:color w:val="000000"/>
        </w:rPr>
        <w:t xml:space="preserve"> </w:t>
      </w:r>
      <w:r w:rsidRPr="00292EF6">
        <w:rPr>
          <w:i/>
          <w:color w:val="000000"/>
        </w:rPr>
        <w:t>Report To Congress:  The Satellite Home Viewer Extension and Reauthorization Act of 2004 Study of Digital Television Field Strength Standards and Testing Procedures</w:t>
      </w:r>
      <w:r w:rsidRPr="00292EF6">
        <w:rPr>
          <w:color w:val="000000"/>
        </w:rPr>
        <w:t xml:space="preserve">, </w:t>
      </w:r>
      <w:r>
        <w:rPr>
          <w:color w:val="000000"/>
        </w:rPr>
        <w:t xml:space="preserve">ET Docket No. 05-182, </w:t>
      </w:r>
      <w:r w:rsidRPr="00292EF6">
        <w:rPr>
          <w:color w:val="000000"/>
        </w:rPr>
        <w:t xml:space="preserve">20 FCC Rcd 19504, 19507, 19554, </w:t>
      </w:r>
      <w:r>
        <w:rPr>
          <w:color w:val="000000"/>
        </w:rPr>
        <w:t>paras. 3,</w:t>
      </w:r>
      <w:r w:rsidRPr="00292EF6">
        <w:rPr>
          <w:color w:val="000000"/>
        </w:rPr>
        <w:t xml:space="preserve"> 111 (2005); </w:t>
      </w:r>
      <w:r w:rsidRPr="00292EF6">
        <w:rPr>
          <w:i/>
          <w:color w:val="000000"/>
        </w:rPr>
        <w:t>Implementation of the Satellite Home Viewer Extension and Reauthorization Act of 2004, Implementation of Section 340 of the Communications Act</w:t>
      </w:r>
      <w:r w:rsidRPr="00292EF6">
        <w:rPr>
          <w:color w:val="000000"/>
        </w:rPr>
        <w:t xml:space="preserve">, </w:t>
      </w:r>
      <w:r>
        <w:rPr>
          <w:color w:val="000000"/>
        </w:rPr>
        <w:t xml:space="preserve">MB Docket No. 05-49, </w:t>
      </w:r>
      <w:r w:rsidRPr="00292EF6">
        <w:rPr>
          <w:color w:val="000000"/>
        </w:rPr>
        <w:t>Report and O</w:t>
      </w:r>
      <w:r>
        <w:rPr>
          <w:color w:val="000000"/>
        </w:rPr>
        <w:t>rder, 20 FCC Rcd 17278, 17292, para.</w:t>
      </w:r>
      <w:r w:rsidRPr="00292EF6">
        <w:rPr>
          <w:color w:val="000000"/>
        </w:rPr>
        <w:t xml:space="preserve"> 31 (2005)</w:t>
      </w:r>
      <w:r>
        <w:rPr>
          <w:color w:val="000000"/>
        </w:rPr>
        <w:t>.</w:t>
      </w:r>
    </w:p>
  </w:footnote>
  <w:footnote w:id="48">
    <w:p w:rsidR="00D7796A" w:rsidRDefault="00D7796A" w:rsidP="00B030D3">
      <w:pPr>
        <w:pStyle w:val="FootnoteText"/>
      </w:pPr>
      <w:r>
        <w:rPr>
          <w:rStyle w:val="FootnoteReference"/>
        </w:rPr>
        <w:footnoteRef/>
      </w:r>
      <w:r>
        <w:t xml:space="preserve"> </w:t>
      </w:r>
      <w:r w:rsidRPr="00EC3865">
        <w:t xml:space="preserve">47 </w:t>
      </w:r>
      <w:r>
        <w:t>CFR</w:t>
      </w:r>
      <w:r w:rsidRPr="00EC3865">
        <w:t xml:space="preserve"> §</w:t>
      </w:r>
      <w:r w:rsidR="004A7B75" w:rsidRPr="00EC3865">
        <w:t>§</w:t>
      </w:r>
      <w:r w:rsidRPr="00EC3865">
        <w:t xml:space="preserve"> 76.55(d)</w:t>
      </w:r>
      <w:r w:rsidR="004A7B75">
        <w:t>,</w:t>
      </w:r>
      <w:r>
        <w:t xml:space="preserve"> </w:t>
      </w:r>
      <w:r w:rsidRPr="00EC3865">
        <w:t xml:space="preserve">76.56(b)(4). </w:t>
      </w:r>
      <w:r>
        <w:t xml:space="preserve"> </w:t>
      </w:r>
      <w:r w:rsidRPr="006714E8">
        <w:t xml:space="preserve">LPTV stations may be entitled to mandatory cable carriage only in limited circumstances.  Both the Communications Act and the Commission’s rules mandate that only a minimum number of qualified low power stations must be carried by cable systems, </w:t>
      </w:r>
      <w:r w:rsidRPr="006714E8">
        <w:rPr>
          <w:i/>
        </w:rPr>
        <w:t>see</w:t>
      </w:r>
      <w:r w:rsidRPr="006714E8">
        <w:t xml:space="preserve"> 47 U.S.C. § 534(c)(1); 47 </w:t>
      </w:r>
      <w:r>
        <w:t>CFR</w:t>
      </w:r>
      <w:r w:rsidRPr="006714E8">
        <w:t xml:space="preserve"> § 76.56(b)(3), and, in order to qualify, such stations must meet several criteria.  </w:t>
      </w:r>
      <w:r w:rsidRPr="006714E8">
        <w:rPr>
          <w:i/>
        </w:rPr>
        <w:t>See</w:t>
      </w:r>
      <w:r w:rsidRPr="006714E8">
        <w:t xml:space="preserve"> 47 U.S.C. § 534(h)(2)(A) – (F); 47 </w:t>
      </w:r>
      <w:r>
        <w:t>CFR</w:t>
      </w:r>
      <w:r w:rsidRPr="006714E8">
        <w:t xml:space="preserve"> § 76.55(d)(1) – (6).  Class A stations have the same limited must carry rights as LPTV stations; in other words, they are “low power stations” for mandatory carriage purposes.  </w:t>
      </w:r>
      <w:r w:rsidRPr="006714E8">
        <w:rPr>
          <w:i/>
        </w:rPr>
        <w:t>See Establishment of a Class A Television Service</w:t>
      </w:r>
      <w:r w:rsidRPr="006714E8">
        <w:t xml:space="preserve">, MM Docket No. 00-10, Memorandum Opinion and Order on Reconsideration, 16 FCC Rcd 8244, 8259-6, </w:t>
      </w:r>
      <w:r>
        <w:t>paras.</w:t>
      </w:r>
      <w:r w:rsidRPr="006714E8">
        <w:t xml:space="preserve"> 40, 42.  LPTV stations are not entitled </w:t>
      </w:r>
      <w:r w:rsidR="004A7B75">
        <w:t>to mandatory satellite carriage.</w:t>
      </w:r>
      <w:r w:rsidRPr="006714E8">
        <w:t xml:space="preserve"> </w:t>
      </w:r>
      <w:r w:rsidR="004A7B75">
        <w:t xml:space="preserve"> </w:t>
      </w:r>
      <w:r w:rsidR="004A7B75" w:rsidRPr="006714E8">
        <w:rPr>
          <w:i/>
        </w:rPr>
        <w:t>S</w:t>
      </w:r>
      <w:r w:rsidRPr="006714E8">
        <w:rPr>
          <w:i/>
        </w:rPr>
        <w:t>ee</w:t>
      </w:r>
      <w:r w:rsidRPr="006714E8">
        <w:t xml:space="preserve"> 47 U.S.C. § 338(a)(3)</w:t>
      </w:r>
      <w:r>
        <w:t>.</w:t>
      </w:r>
    </w:p>
  </w:footnote>
  <w:footnote w:id="49">
    <w:p w:rsidR="00D7796A" w:rsidRDefault="00D7796A" w:rsidP="00F01C90">
      <w:pPr>
        <w:pStyle w:val="FootnoteText"/>
      </w:pPr>
      <w:r>
        <w:rPr>
          <w:rStyle w:val="FootnoteReference"/>
        </w:rPr>
        <w:footnoteRef/>
      </w:r>
      <w:r>
        <w:t xml:space="preserve"> 47 CFR § 76.59; </w:t>
      </w:r>
      <w:r w:rsidRPr="00EA06ED">
        <w:rPr>
          <w:i/>
        </w:rPr>
        <w:t>see also</w:t>
      </w:r>
      <w:r>
        <w:t xml:space="preserve"> 47 U.S.C. § 534(h)(1)(C); STELAR § 102,</w:t>
      </w:r>
      <w:r w:rsidRPr="006714E8">
        <w:t xml:space="preserve"> 128 Stat. at 2060-62</w:t>
      </w:r>
      <w:r>
        <w:t xml:space="preserve"> (extending market modification provisions to satellite MVPDs).    </w:t>
      </w:r>
    </w:p>
  </w:footnote>
  <w:footnote w:id="50">
    <w:p w:rsidR="00D7796A" w:rsidRDefault="00D7796A" w:rsidP="00F01C90">
      <w:pPr>
        <w:pStyle w:val="FootnoteText"/>
      </w:pPr>
      <w:r>
        <w:rPr>
          <w:rStyle w:val="FootnoteReference"/>
        </w:rPr>
        <w:footnoteRef/>
      </w:r>
      <w:r>
        <w:t xml:space="preserve"> 47 CFR § 76.59.</w:t>
      </w:r>
    </w:p>
  </w:footnote>
  <w:footnote w:id="51">
    <w:p w:rsidR="00D7796A" w:rsidRDefault="00D7796A" w:rsidP="00F01C90">
      <w:pPr>
        <w:pStyle w:val="FootnoteText"/>
      </w:pPr>
      <w:r>
        <w:rPr>
          <w:rStyle w:val="FootnoteReference"/>
        </w:rPr>
        <w:footnoteRef/>
      </w:r>
      <w:r>
        <w:t xml:space="preserve"> 47 U.S.C. § 534(h)(1)(C)(ii)(I)-(V).  </w:t>
      </w:r>
      <w:r w:rsidRPr="006714E8">
        <w:t xml:space="preserve">The Commission must also consider other relevant information to develop a result that is designed to “better effectuate the purposes” of the law.  </w:t>
      </w:r>
      <w:r w:rsidRPr="006714E8">
        <w:rPr>
          <w:i/>
        </w:rPr>
        <w:t>See</w:t>
      </w:r>
      <w:r w:rsidRPr="006714E8">
        <w:t xml:space="preserve"> </w:t>
      </w:r>
      <w:r w:rsidRPr="006714E8">
        <w:rPr>
          <w:i/>
        </w:rPr>
        <w:t>Definition of Markets for Purposes of the Cable Television Broadcast Signal Carriage Rules</w:t>
      </w:r>
      <w:r w:rsidRPr="006714E8">
        <w:t xml:space="preserve">, CS Docket No. 95-178, Order on Reconsideration and Second Report and Order, 14 FCC Rcd 8366, 8389, </w:t>
      </w:r>
      <w:r>
        <w:t>para.</w:t>
      </w:r>
      <w:r w:rsidRPr="006714E8">
        <w:t xml:space="preserve"> 53 (1999) (</w:t>
      </w:r>
      <w:r w:rsidRPr="006714E8">
        <w:rPr>
          <w:i/>
        </w:rPr>
        <w:t>Cable Market Modification Second Report and Order</w:t>
      </w:r>
      <w:r w:rsidRPr="006714E8">
        <w:t>).</w:t>
      </w:r>
    </w:p>
  </w:footnote>
  <w:footnote w:id="52">
    <w:p w:rsidR="00D7796A" w:rsidRDefault="00D7796A" w:rsidP="00F01C90">
      <w:pPr>
        <w:pStyle w:val="FootnoteText"/>
      </w:pPr>
      <w:r>
        <w:rPr>
          <w:rStyle w:val="FootnoteReference"/>
        </w:rPr>
        <w:footnoteRef/>
      </w:r>
      <w:r>
        <w:t xml:space="preserve"> STELAR, § 102(b)(1)(C), 128 Stat. 2061.  47 U.S.C. § 534(h)(1)(C)(ii)(III).</w:t>
      </w:r>
    </w:p>
  </w:footnote>
  <w:footnote w:id="53">
    <w:p w:rsidR="00D7796A" w:rsidRDefault="00D7796A" w:rsidP="00211E93">
      <w:pPr>
        <w:pStyle w:val="FootnoteText"/>
      </w:pPr>
      <w:r>
        <w:rPr>
          <w:rStyle w:val="FootnoteReference"/>
        </w:rPr>
        <w:footnoteRef/>
      </w:r>
      <w:r>
        <w:t xml:space="preserve"> </w:t>
      </w:r>
      <w:r w:rsidRPr="00FB320F">
        <w:rPr>
          <w:i/>
        </w:rPr>
        <w:t>Amendment to the Commission</w:t>
      </w:r>
      <w:r w:rsidR="00D57A0F">
        <w:rPr>
          <w:i/>
        </w:rPr>
        <w:t>’</w:t>
      </w:r>
      <w:r w:rsidRPr="00FB320F">
        <w:rPr>
          <w:i/>
        </w:rPr>
        <w:t>s Rules Concerning Market Modification</w:t>
      </w:r>
      <w:r>
        <w:t>, MB Docket No. 15-71, Report and Order, 30 FCC Rcd 10406, 10409, para. 4 (2016) (</w:t>
      </w:r>
      <w:r w:rsidRPr="00FB320F">
        <w:rPr>
          <w:i/>
        </w:rPr>
        <w:t>Satellite Market Modification Order</w:t>
      </w:r>
      <w:r>
        <w:t>).</w:t>
      </w:r>
    </w:p>
  </w:footnote>
  <w:footnote w:id="54">
    <w:p w:rsidR="00D7796A" w:rsidRDefault="00D7796A">
      <w:pPr>
        <w:pStyle w:val="FootnoteText"/>
      </w:pPr>
      <w:r>
        <w:rPr>
          <w:rStyle w:val="FootnoteReference"/>
        </w:rPr>
        <w:footnoteRef/>
      </w:r>
      <w:r>
        <w:t xml:space="preserve"> </w:t>
      </w:r>
      <w:r w:rsidRPr="00F01C90">
        <w:rPr>
          <w:i/>
        </w:rPr>
        <w:t>See</w:t>
      </w:r>
      <w:r>
        <w:t xml:space="preserve"> STELAR § 102,</w:t>
      </w:r>
      <w:r w:rsidRPr="006714E8">
        <w:t xml:space="preserve"> 128 Stat. at 2060-62</w:t>
      </w:r>
      <w:r>
        <w:t xml:space="preserve">; </w:t>
      </w:r>
      <w:r w:rsidRPr="00581369">
        <w:t>47 U.S.C. § 338(</w:t>
      </w:r>
      <w:r w:rsidRPr="00A10BBD">
        <w:rPr>
          <w:i/>
        </w:rPr>
        <w:t>l</w:t>
      </w:r>
      <w:r w:rsidRPr="00581369">
        <w:t>)(2)(B)(i)-(v)</w:t>
      </w:r>
      <w:r>
        <w:t>.</w:t>
      </w:r>
    </w:p>
  </w:footnote>
  <w:footnote w:id="55">
    <w:p w:rsidR="00D7796A" w:rsidRDefault="00D7796A" w:rsidP="00EE6F1B">
      <w:pPr>
        <w:pStyle w:val="FootnoteText"/>
      </w:pPr>
      <w:r>
        <w:rPr>
          <w:rStyle w:val="FootnoteReference"/>
        </w:rPr>
        <w:footnoteRef/>
      </w:r>
      <w:r>
        <w:t xml:space="preserve"> </w:t>
      </w:r>
      <w:r w:rsidRPr="00EA06ED">
        <w:rPr>
          <w:i/>
        </w:rPr>
        <w:t>See</w:t>
      </w:r>
      <w:r w:rsidRPr="00EA06ED">
        <w:t xml:space="preserve"> </w:t>
      </w:r>
      <w:r w:rsidRPr="00EA06ED">
        <w:rPr>
          <w:i/>
        </w:rPr>
        <w:t>SHVERA Report</w:t>
      </w:r>
      <w:r w:rsidRPr="00EA06ED">
        <w:t xml:space="preserve"> at </w:t>
      </w:r>
      <w:r>
        <w:t>paras.</w:t>
      </w:r>
      <w:r w:rsidRPr="00EA06ED">
        <w:t xml:space="preserve"> 15-16; </w:t>
      </w:r>
      <w:r w:rsidRPr="00EA06ED">
        <w:rPr>
          <w:i/>
        </w:rPr>
        <w:t>see also</w:t>
      </w:r>
      <w:r w:rsidRPr="00EA06ED">
        <w:t xml:space="preserve"> </w:t>
      </w:r>
      <w:r w:rsidRPr="00EA06ED">
        <w:rPr>
          <w:i/>
        </w:rPr>
        <w:t>Implementation of Section 203 of the Satellite Television Extension and Localism Act of 2010</w:t>
      </w:r>
      <w:r w:rsidRPr="00EA06ED">
        <w:t>, MB Docket No. 10-148, Report and Order and Order on Reconsideration</w:t>
      </w:r>
      <w:r>
        <w:t>, 25 FCC Rcd 16383, 16389-90, paras.</w:t>
      </w:r>
      <w:r w:rsidRPr="00EA06ED">
        <w:t xml:space="preserve"> 7-8 (2010)</w:t>
      </w:r>
      <w:r>
        <w:t xml:space="preserve"> </w:t>
      </w:r>
      <w:r w:rsidRPr="00EA06ED">
        <w:t>(</w:t>
      </w:r>
      <w:r w:rsidRPr="00EA06ED">
        <w:rPr>
          <w:i/>
        </w:rPr>
        <w:t>STELA Significantly Viewed Report and Order</w:t>
      </w:r>
      <w:r w:rsidRPr="00EA06ED">
        <w:t>).</w:t>
      </w:r>
    </w:p>
  </w:footnote>
  <w:footnote w:id="56">
    <w:p w:rsidR="00D7796A" w:rsidRDefault="00D7796A" w:rsidP="00EE6F1B">
      <w:pPr>
        <w:pStyle w:val="FootnoteText"/>
      </w:pPr>
      <w:r>
        <w:rPr>
          <w:rStyle w:val="FootnoteReference"/>
        </w:rPr>
        <w:footnoteRef/>
      </w:r>
      <w:r>
        <w:t xml:space="preserve"> 47 CFR § 76.54(b), (d); 47 CFR § 76.5(i)(1)-(2).  All stations that have been declared significantly viewed are included in the publicly available significantly viewed list.  </w:t>
      </w:r>
      <w:r w:rsidRPr="00D82F65">
        <w:t xml:space="preserve">The determination of whether or not a station is </w:t>
      </w:r>
      <w:r>
        <w:t xml:space="preserve">considered </w:t>
      </w:r>
      <w:r w:rsidRPr="00D82F65">
        <w:t>significantly viewed in a community depends on several statutory factors</w:t>
      </w:r>
      <w:r>
        <w:t xml:space="preserve">, and is not dependent upon whether the station is in the same market or state as the county in which it is considered significantly viewed.   The current significantly viewed list is available on the Media Bureau’s website at http://www.fcc.gov/mb/.  The vast majority of stations identified on the significantly viewed list are already considered local in their markets, as the counties in which they are considered significantly viewed are contained in the station’s DMA.  </w:t>
      </w:r>
    </w:p>
  </w:footnote>
  <w:footnote w:id="57">
    <w:p w:rsidR="00D7796A" w:rsidRDefault="00D7796A" w:rsidP="00EE6F1B">
      <w:pPr>
        <w:pStyle w:val="FootnoteText"/>
      </w:pPr>
      <w:r>
        <w:rPr>
          <w:rStyle w:val="FootnoteReference"/>
        </w:rPr>
        <w:footnoteRef/>
      </w:r>
      <w:r>
        <w:t xml:space="preserve"> </w:t>
      </w:r>
      <w:r w:rsidRPr="004407BD">
        <w:rPr>
          <w:i/>
        </w:rPr>
        <w:t>See</w:t>
      </w:r>
      <w:r>
        <w:t xml:space="preserve"> STELA </w:t>
      </w:r>
      <w:r w:rsidRPr="00E26436">
        <w:t>§</w:t>
      </w:r>
      <w:r>
        <w:t xml:space="preserve"> 103.</w:t>
      </w:r>
    </w:p>
  </w:footnote>
  <w:footnote w:id="58">
    <w:p w:rsidR="00D7796A" w:rsidRDefault="00D7796A" w:rsidP="00EE6F1B">
      <w:pPr>
        <w:pStyle w:val="FootnoteText"/>
      </w:pPr>
      <w:r>
        <w:rPr>
          <w:rStyle w:val="FootnoteReference"/>
        </w:rPr>
        <w:footnoteRef/>
      </w:r>
      <w:r>
        <w:t xml:space="preserve"> 47 U.S.C. § 340</w:t>
      </w:r>
      <w:r w:rsidRPr="00E26436">
        <w:t>(d)(2).</w:t>
      </w:r>
      <w:r>
        <w:t xml:space="preserve">  The STELAR contains a provision that </w:t>
      </w:r>
      <w:r w:rsidRPr="00376ED9">
        <w:t>prohibit</w:t>
      </w:r>
      <w:r>
        <w:t>s</w:t>
      </w:r>
      <w:r w:rsidRPr="00376ED9">
        <w:t xml:space="preserve"> a television broadcast station from limiting the ability of an MVPD to carry into its local market television signals that are deemed “significantly viewed” or that otherwise are permitted to be carried by the MVPD</w:t>
      </w:r>
      <w:r>
        <w:t xml:space="preserve"> </w:t>
      </w:r>
      <w:r w:rsidRPr="006C4244">
        <w:t xml:space="preserve">unless such stations are directly or indirectly under common </w:t>
      </w:r>
      <w:r w:rsidRPr="00553DE9">
        <w:rPr>
          <w:i/>
        </w:rPr>
        <w:t>de jure</w:t>
      </w:r>
      <w:r w:rsidRPr="006C4244">
        <w:t xml:space="preserve"> control permitted by the Commission</w:t>
      </w:r>
      <w:r>
        <w:t xml:space="preserve">.  STELAR, § 103(b), 128 Stat. 2062; </w:t>
      </w:r>
      <w:r>
        <w:rPr>
          <w:i/>
        </w:rPr>
        <w:t>Implementation of Sections 101, 103 and 105 of t</w:t>
      </w:r>
      <w:r w:rsidRPr="00D865A1">
        <w:rPr>
          <w:i/>
        </w:rPr>
        <w:t>he S</w:t>
      </w:r>
      <w:r>
        <w:rPr>
          <w:i/>
        </w:rPr>
        <w:t>TELA</w:t>
      </w:r>
      <w:r w:rsidRPr="00D865A1">
        <w:rPr>
          <w:i/>
        </w:rPr>
        <w:t xml:space="preserve"> Reauthorization Act Of 2014</w:t>
      </w:r>
      <w:r>
        <w:t>, MB Docket 15-37, Order, 30 FCC Rcd 2380, 2382, para. 5 (2015).</w:t>
      </w:r>
    </w:p>
  </w:footnote>
  <w:footnote w:id="59">
    <w:p w:rsidR="00D7796A" w:rsidRDefault="00D7796A" w:rsidP="00EE6F1B">
      <w:pPr>
        <w:pStyle w:val="FootnoteText"/>
      </w:pPr>
      <w:r>
        <w:rPr>
          <w:rStyle w:val="FootnoteReference"/>
        </w:rPr>
        <w:footnoteRef/>
      </w:r>
      <w:r>
        <w:t xml:space="preserve"> 17 U.S.C. § 111(c).  Under the compulsory license, cable systems are not required to obtain the consent of the copyright owners of copyrighted material contained in the broadcast signal being retransmitted or negotiate license fees for the use of such copyrighted material, but, instead, must pay government-established fees for the right to retransmit copyrighted material contained in broadcast programming.  17 U.S.C. § 111(d).  The 1976 amendments established that fees payable to copyright owners for compulsory licenses would be based on a percentage of each cable system’s gross revenues and would be adjusted periodically by the newly formed Copyright Royalty Tribunal.  </w:t>
      </w:r>
      <w:r w:rsidRPr="00E26436">
        <w:rPr>
          <w:i/>
        </w:rPr>
        <w:t>Id.</w:t>
      </w:r>
    </w:p>
  </w:footnote>
  <w:footnote w:id="60">
    <w:p w:rsidR="00D7796A" w:rsidRDefault="00D7796A" w:rsidP="00EE6F1B">
      <w:pPr>
        <w:pStyle w:val="FootnoteText"/>
      </w:pPr>
      <w:r>
        <w:rPr>
          <w:rStyle w:val="FootnoteReference"/>
        </w:rPr>
        <w:footnoteRef/>
      </w:r>
      <w:r>
        <w:t xml:space="preserve"> </w:t>
      </w:r>
      <w:r w:rsidRPr="00E26436">
        <w:rPr>
          <w:i/>
        </w:rPr>
        <w:t>See</w:t>
      </w:r>
      <w:r>
        <w:t xml:space="preserve"> 17 U.S.C. § 111(b).</w:t>
      </w:r>
    </w:p>
  </w:footnote>
  <w:footnote w:id="61">
    <w:p w:rsidR="00D7796A" w:rsidRDefault="00D7796A" w:rsidP="00EE6F1B">
      <w:pPr>
        <w:pStyle w:val="FootnoteText"/>
      </w:pPr>
      <w:r>
        <w:rPr>
          <w:rStyle w:val="FootnoteReference"/>
        </w:rPr>
        <w:footnoteRef/>
      </w:r>
      <w:r>
        <w:t xml:space="preserve"> </w:t>
      </w:r>
      <w:r w:rsidRPr="00E26436">
        <w:t xml:space="preserve">47 </w:t>
      </w:r>
      <w:r>
        <w:t>CFR</w:t>
      </w:r>
      <w:r w:rsidRPr="00E26436">
        <w:t xml:space="preserve"> §§ 76.59(b); 76.61(b); 17 U.S.C. § 111.</w:t>
      </w:r>
    </w:p>
  </w:footnote>
  <w:footnote w:id="62">
    <w:p w:rsidR="00D7796A" w:rsidRDefault="00D7796A" w:rsidP="00EE6F1B">
      <w:pPr>
        <w:pStyle w:val="FootnoteText"/>
      </w:pPr>
      <w:r>
        <w:rPr>
          <w:rStyle w:val="FootnoteReference"/>
        </w:rPr>
        <w:footnoteRef/>
      </w:r>
      <w:r>
        <w:t xml:space="preserve"> </w:t>
      </w:r>
      <w:r w:rsidRPr="00E26436">
        <w:t xml:space="preserve">47 </w:t>
      </w:r>
      <w:r>
        <w:t>CFR</w:t>
      </w:r>
      <w:r w:rsidRPr="00E26436">
        <w:t xml:space="preserve"> §§ 76.92 (cable network non-duplication), 76.101 (cable syndicated program exclusivity); 17 U.S.C. § 111(d) (limitations on exclusive rights; secondary transmissions of broadcast programming by cable).</w:t>
      </w:r>
    </w:p>
  </w:footnote>
  <w:footnote w:id="63">
    <w:p w:rsidR="00D7796A" w:rsidRDefault="00D7796A" w:rsidP="00EE6F1B">
      <w:pPr>
        <w:pStyle w:val="FootnoteText"/>
      </w:pPr>
      <w:r>
        <w:rPr>
          <w:rStyle w:val="FootnoteReference"/>
        </w:rPr>
        <w:footnoteRef/>
      </w:r>
      <w:r>
        <w:t xml:space="preserve"> </w:t>
      </w:r>
      <w:r w:rsidRPr="00E26436">
        <w:t>Satellite Home Viewer Act of 1988, Pub. L. No. 100-667, 102 Stat 3935, Title II (1988) (SHVA); 17 U.S.C. § 119</w:t>
      </w:r>
      <w:r>
        <w:t>.</w:t>
      </w:r>
    </w:p>
  </w:footnote>
  <w:footnote w:id="64">
    <w:p w:rsidR="00D7796A" w:rsidRDefault="00D7796A" w:rsidP="00EE6F1B">
      <w:pPr>
        <w:pStyle w:val="FootnoteText"/>
      </w:pPr>
      <w:r>
        <w:rPr>
          <w:rStyle w:val="FootnoteReference"/>
        </w:rPr>
        <w:footnoteRef/>
      </w:r>
      <w:r>
        <w:t xml:space="preserve"> </w:t>
      </w:r>
      <w:r w:rsidRPr="00E26436">
        <w:t xml:space="preserve">Network stations are generally television broadcast stations owned or operated by, or affiliated with, one or more of the television networks. </w:t>
      </w:r>
      <w:r>
        <w:t xml:space="preserve"> </w:t>
      </w:r>
      <w:r w:rsidRPr="00E26436">
        <w:rPr>
          <w:i/>
        </w:rPr>
        <w:t>See</w:t>
      </w:r>
      <w:r w:rsidRPr="00E26436">
        <w:t xml:space="preserve"> 47 U.S.C. § 339(d)(3) (stating that a “network station” for purposes of this section is defined by the Copyright Act); 17 U.S.C. § 119(d)(2) (“The term </w:t>
      </w:r>
      <w:r>
        <w:t>‘</w:t>
      </w:r>
      <w:r w:rsidRPr="00E26436">
        <w:t>network station</w:t>
      </w:r>
      <w:r>
        <w:t>’</w:t>
      </w:r>
      <w:r w:rsidRPr="00E26436">
        <w:t xml:space="preserve"> means -- (A) a television broadcast station, including any translator station or terrestrial satellite stations that rebroadcasts all or substantially all of the programming broadcast by a network station, that is owned or operated by, or affiliated with, one or more of the television networks in the United States which offer an interconnected program service on a regular basis for 15 or more hours per week to at least 25 of its affiliated television licensees in 10 or more States; or (B) a noncommercial edu</w:t>
      </w:r>
      <w:r>
        <w:t>cational broadcast station…</w:t>
      </w:r>
      <w:r w:rsidRPr="00E26436">
        <w:t>”).</w:t>
      </w:r>
    </w:p>
  </w:footnote>
  <w:footnote w:id="65">
    <w:p w:rsidR="00D7796A" w:rsidRDefault="00D7796A" w:rsidP="00EE6F1B">
      <w:pPr>
        <w:pStyle w:val="FootnoteText"/>
      </w:pPr>
      <w:r>
        <w:rPr>
          <w:rStyle w:val="FootnoteReference"/>
        </w:rPr>
        <w:footnoteRef/>
      </w:r>
      <w:r>
        <w:t xml:space="preserve"> The Copyright Act defined an unserved household as a “household that cannot receive, through use of a conventional stationary, outdoor rooftop receiving antenna, an over the air signal of a primary network television station affiliated with that network of Grade B intensity as defined by the Federal Communications Commission under Section 73.683(a) of Title 47 of </w:t>
      </w:r>
      <w:r w:rsidRPr="0086146C">
        <w:t xml:space="preserve">the Code of Federal Regulations, as in effect on January 1, 1999.”  17 U.S.C. § 119(d)(10)(A).  An unserved household can also be one that is subject to one of four statutory waivers or exemptions.  17 U.S.C. § 119(d)(10)(B)-(E); </w:t>
      </w:r>
      <w:r w:rsidRPr="0086146C">
        <w:rPr>
          <w:i/>
        </w:rPr>
        <w:t>see also</w:t>
      </w:r>
      <w:r w:rsidRPr="0086146C">
        <w:t xml:space="preserve"> 47 U.S.C. § 325(b)(2)(C) (providing an exemption from retransmission consent requirements for satellite carriage of network stations to unserved households), as amended by Section </w:t>
      </w:r>
      <w:r w:rsidRPr="00485172">
        <w:t xml:space="preserve">101 of </w:t>
      </w:r>
      <w:r>
        <w:t xml:space="preserve">the </w:t>
      </w:r>
      <w:r w:rsidRPr="00485172">
        <w:t>STELAR</w:t>
      </w:r>
      <w:r w:rsidRPr="0086146C">
        <w:t xml:space="preserve"> (extending exemption through December 31,</w:t>
      </w:r>
      <w:r w:rsidRPr="00485172">
        <w:t>2019</w:t>
      </w:r>
      <w:r w:rsidRPr="0086146C">
        <w:t>).</w:t>
      </w:r>
      <w:r>
        <w:t xml:space="preserve">  Section 119(d)(9) of the Copyright Act defines “superstation” as a television station, other than a network station, licensed by the Federal Communications Commission, that is secondarily transmitted by a satellite carrier.” 17 U.S.C. § 119(d)(9).</w:t>
      </w:r>
    </w:p>
  </w:footnote>
  <w:footnote w:id="66">
    <w:p w:rsidR="00D7796A" w:rsidRDefault="00D7796A" w:rsidP="00EE6F1B">
      <w:pPr>
        <w:pStyle w:val="FootnoteText"/>
      </w:pPr>
      <w:r>
        <w:rPr>
          <w:rStyle w:val="FootnoteReference"/>
        </w:rPr>
        <w:footnoteRef/>
      </w:r>
      <w:r>
        <w:t xml:space="preserve"> </w:t>
      </w:r>
      <w:r w:rsidRPr="002137A6">
        <w:t>17 U.S.C. § 119.</w:t>
      </w:r>
    </w:p>
  </w:footnote>
  <w:footnote w:id="67">
    <w:p w:rsidR="00D7796A" w:rsidRDefault="00D7796A" w:rsidP="00EE6F1B">
      <w:pPr>
        <w:pStyle w:val="FootnoteText"/>
      </w:pPr>
      <w:r>
        <w:rPr>
          <w:rStyle w:val="FootnoteReference"/>
        </w:rPr>
        <w:footnoteRef/>
      </w:r>
      <w:r>
        <w:t xml:space="preserve"> </w:t>
      </w:r>
      <w:r w:rsidRPr="00076946">
        <w:t xml:space="preserve">Satellite Home Viewer Improvement Act of 1999, Pub. L. No. 106-113, 113 Stat. 1501, 1501A-526 to 1501A-545 (1999) (SHVIA). </w:t>
      </w:r>
      <w:r>
        <w:t xml:space="preserve"> </w:t>
      </w:r>
      <w:r w:rsidRPr="00076946">
        <w:rPr>
          <w:i/>
        </w:rPr>
        <w:t>See also</w:t>
      </w:r>
      <w:r w:rsidRPr="00076946">
        <w:t xml:space="preserve"> 17 U.S.C. § 122(j) (the term “local market” means the </w:t>
      </w:r>
      <w:r>
        <w:t>DMA</w:t>
      </w:r>
      <w:r w:rsidRPr="00076946">
        <w:t xml:space="preserve"> in which the station is located).</w:t>
      </w:r>
    </w:p>
  </w:footnote>
  <w:footnote w:id="68">
    <w:p w:rsidR="00D7796A" w:rsidRDefault="00D7796A" w:rsidP="00EE6F1B">
      <w:pPr>
        <w:pStyle w:val="FootnoteText"/>
      </w:pPr>
      <w:r>
        <w:rPr>
          <w:rStyle w:val="FootnoteReference"/>
        </w:rPr>
        <w:footnoteRef/>
      </w:r>
      <w:r>
        <w:t xml:space="preserve"> </w:t>
      </w:r>
      <w:r w:rsidRPr="00076946">
        <w:t>47 U.S.C. § 325.</w:t>
      </w:r>
      <w:r>
        <w:t xml:space="preserve">  </w:t>
      </w:r>
      <w:r w:rsidRPr="00076946">
        <w:t>This carriage arrangement is commonly referred to as “local-into-local” carriage.</w:t>
      </w:r>
    </w:p>
  </w:footnote>
  <w:footnote w:id="69">
    <w:p w:rsidR="00D7796A" w:rsidRDefault="00D7796A" w:rsidP="00EE6F1B">
      <w:pPr>
        <w:pStyle w:val="FootnoteText"/>
      </w:pPr>
      <w:r>
        <w:rPr>
          <w:rStyle w:val="FootnoteReference"/>
        </w:rPr>
        <w:footnoteRef/>
      </w:r>
      <w:r>
        <w:t xml:space="preserve"> </w:t>
      </w:r>
      <w:r w:rsidR="00AE06BB" w:rsidRPr="00AE06BB">
        <w:rPr>
          <w:i/>
        </w:rPr>
        <w:t>Id.</w:t>
      </w:r>
      <w:r w:rsidRPr="00076946">
        <w:t xml:space="preserve"> § 338.</w:t>
      </w:r>
      <w:r>
        <w:t xml:space="preserve">  </w:t>
      </w:r>
      <w:r w:rsidRPr="00076946">
        <w:t xml:space="preserve">This </w:t>
      </w:r>
      <w:r>
        <w:t>requirement is commonly referred to as</w:t>
      </w:r>
      <w:r w:rsidRPr="00076946">
        <w:t xml:space="preserve"> “c</w:t>
      </w:r>
      <w:r>
        <w:t>arry one, carry all</w:t>
      </w:r>
      <w:r w:rsidRPr="00076946">
        <w:t>.</w:t>
      </w:r>
      <w:r>
        <w:t>”</w:t>
      </w:r>
    </w:p>
  </w:footnote>
  <w:footnote w:id="70">
    <w:p w:rsidR="00D7796A" w:rsidRDefault="00D7796A" w:rsidP="00EE6F1B">
      <w:pPr>
        <w:pStyle w:val="FootnoteText"/>
      </w:pPr>
      <w:r>
        <w:rPr>
          <w:rStyle w:val="FootnoteReference"/>
        </w:rPr>
        <w:footnoteRef/>
      </w:r>
      <w:r>
        <w:t xml:space="preserve"> </w:t>
      </w:r>
      <w:r w:rsidR="00AE06BB" w:rsidRPr="00AE06BB">
        <w:rPr>
          <w:i/>
        </w:rPr>
        <w:t>Id.</w:t>
      </w:r>
      <w:r w:rsidRPr="00076946">
        <w:t xml:space="preserve"> § 338. </w:t>
      </w:r>
      <w:r>
        <w:t xml:space="preserve"> </w:t>
      </w:r>
      <w:r w:rsidRPr="00076946">
        <w:rPr>
          <w:i/>
        </w:rPr>
        <w:t>See also</w:t>
      </w:r>
      <w:r w:rsidRPr="00076946">
        <w:t xml:space="preserve"> </w:t>
      </w:r>
      <w:r w:rsidRPr="00742FF3">
        <w:rPr>
          <w:i/>
        </w:rPr>
        <w:t>Implementation of the Satellite Home Viewer Extension and Reauthorization Act of 2004 to Amend Section 338 of the Communications Act</w:t>
      </w:r>
      <w:r w:rsidRPr="00076946">
        <w:t>, MB Docket No. 05-181, 20 FCC Rcd 14242 (2005) (Section 338(a)(4) supersedes carry-one, carry-all by mandating analog and digital carriage in Alaska and Hawaii)</w:t>
      </w:r>
      <w:r>
        <w:t xml:space="preserve">; </w:t>
      </w:r>
      <w:r w:rsidRPr="00076946">
        <w:t>Satellite Home Viewer Extension and Reauthorization Act of 2004, Pub. L. No. 108-477</w:t>
      </w:r>
      <w:r>
        <w:t>,</w:t>
      </w:r>
      <w:r w:rsidRPr="00076946">
        <w:t xml:space="preserve"> § 210,</w:t>
      </w:r>
      <w:r w:rsidRPr="00EC2436">
        <w:t xml:space="preserve"> </w:t>
      </w:r>
      <w:r w:rsidRPr="00076946">
        <w:t>118 Stat. 2809 (2004) (SHVERA)</w:t>
      </w:r>
      <w:r>
        <w:t xml:space="preserve"> (</w:t>
      </w:r>
      <w:r w:rsidRPr="00076946">
        <w:t>creating § 338(a)(4) (mandatory</w:t>
      </w:r>
      <w:r>
        <w:t xml:space="preserve"> carriage in Alaska and Hawaii))</w:t>
      </w:r>
      <w:r w:rsidRPr="00076946">
        <w:t>.</w:t>
      </w:r>
    </w:p>
  </w:footnote>
  <w:footnote w:id="71">
    <w:p w:rsidR="00D7796A" w:rsidRDefault="00D7796A" w:rsidP="00EE6F1B">
      <w:pPr>
        <w:pStyle w:val="FootnoteText"/>
      </w:pPr>
      <w:r>
        <w:rPr>
          <w:rStyle w:val="FootnoteReference"/>
        </w:rPr>
        <w:footnoteRef/>
      </w:r>
      <w:r>
        <w:t xml:space="preserve"> </w:t>
      </w:r>
      <w:r w:rsidRPr="00076946">
        <w:t>47 U.S.C. § 338(c)(1).</w:t>
      </w:r>
    </w:p>
  </w:footnote>
  <w:footnote w:id="72">
    <w:p w:rsidR="00D7796A" w:rsidRDefault="00D7796A" w:rsidP="00EE6F1B">
      <w:pPr>
        <w:pStyle w:val="FootnoteText"/>
      </w:pPr>
      <w:r>
        <w:rPr>
          <w:rStyle w:val="FootnoteReference"/>
        </w:rPr>
        <w:footnoteRef/>
      </w:r>
      <w:r>
        <w:t xml:space="preserve"> </w:t>
      </w:r>
      <w:r w:rsidR="00AE06BB" w:rsidRPr="00AE06BB">
        <w:rPr>
          <w:i/>
        </w:rPr>
        <w:t>Id.</w:t>
      </w:r>
      <w:r w:rsidRPr="00076946">
        <w:t xml:space="preserve"> § 338.</w:t>
      </w:r>
    </w:p>
  </w:footnote>
  <w:footnote w:id="73">
    <w:p w:rsidR="00D7796A" w:rsidRDefault="00D7796A" w:rsidP="007269C3">
      <w:pPr>
        <w:pStyle w:val="FootnoteText"/>
      </w:pPr>
      <w:r>
        <w:rPr>
          <w:rStyle w:val="FootnoteReference"/>
        </w:rPr>
        <w:footnoteRef/>
      </w:r>
      <w:r>
        <w:t xml:space="preserve"> </w:t>
      </w:r>
      <w:r w:rsidRPr="006957C9">
        <w:rPr>
          <w:i/>
        </w:rPr>
        <w:t>See</w:t>
      </w:r>
      <w:r w:rsidRPr="006957C9">
        <w:t xml:space="preserve"> 17 U.S.C. § 119</w:t>
      </w:r>
      <w:r>
        <w:t>;</w:t>
      </w:r>
      <w:r w:rsidRPr="006957C9">
        <w:t xml:space="preserve"> 47 U.S.C. § 339. </w:t>
      </w:r>
      <w:r>
        <w:t xml:space="preserve"> </w:t>
      </w:r>
      <w:r w:rsidRPr="00497E11">
        <w:t xml:space="preserve"> </w:t>
      </w:r>
      <w:r w:rsidRPr="006714E8">
        <w:t xml:space="preserve">The Communications Act and copyright laws set out two key restrictions on a satellite subscriber’s eligibility to receive “distant” (out-of-market) signals.  First, subscribers are generally eligible to receive a distant station from a satellite carrier only if the subscriber is “unserved” over the air by a local station of the same network.  Second, even if “unserved,” a subscriber is not eligible to receive a distant station from a satellite carrier if the carrier is making “available” to such subscriber a local station of the same network.  </w:t>
      </w:r>
      <w:r w:rsidRPr="006714E8">
        <w:rPr>
          <w:i/>
        </w:rPr>
        <w:t>See</w:t>
      </w:r>
      <w:r w:rsidRPr="006714E8">
        <w:t xml:space="preserve"> 47 U.S.C. § 339(a)(2); 17 U.S.C. § 119(a)(3).  This second restriction on eligibility is commonly referred to as the “no distant where local” rule.  A satellite carrier makes “available” a local signal to a subscriber or person if the satellite carrier offers that local signal to other subscribers who reside in the same zip code as that subscriber or person.  47 U.S.C. § 339(a)(2)(H).  </w:t>
      </w:r>
      <w:r w:rsidRPr="006714E8">
        <w:rPr>
          <w:i/>
        </w:rPr>
        <w:t>See also</w:t>
      </w:r>
      <w:r w:rsidRPr="006714E8">
        <w:t xml:space="preserve"> 17 U.S.C. § 119(a)(3)(F).</w:t>
      </w:r>
      <w:r>
        <w:t xml:space="preserve">  </w:t>
      </w:r>
      <w:r w:rsidRPr="006714E8">
        <w:t xml:space="preserve">The Copyright Act defines an “unserved household,” with respect to a particular television network, as “a household that cannot receive, through the use of an antenna, an </w:t>
      </w:r>
      <w:r>
        <w:t>over the air</w:t>
      </w:r>
      <w:r w:rsidRPr="006714E8">
        <w:t xml:space="preserve"> signal containing the primary stream, or, on or after the qualifying date, the multicast stream, originating in that household’s local market and affiliated with that network— (i) if the signal originates as an analog signal, </w:t>
      </w:r>
      <w:r>
        <w:t xml:space="preserve">[of] </w:t>
      </w:r>
      <w:r w:rsidRPr="006714E8">
        <w:t xml:space="preserve">Grade B intensity as defined by the Federal Communications Commission in section 73.683(a) of title 47, Code of Federal Regulations, as in effect on January 1, 1999; or (ii) if the signal originates as a digital signal, </w:t>
      </w:r>
      <w:r>
        <w:t xml:space="preserve">[of] </w:t>
      </w:r>
      <w:r w:rsidRPr="006714E8">
        <w:t>intensity defined in the values for the digital television noise-limited service contour</w:t>
      </w:r>
      <w:r>
        <w:t>…</w:t>
      </w:r>
      <w:r w:rsidRPr="006714E8">
        <w:t>.</w:t>
      </w:r>
      <w:r>
        <w:t>”</w:t>
      </w:r>
      <w:r w:rsidRPr="006714E8">
        <w:t xml:space="preserve">  17 U.S.C. § 119(d)(10)(A).  An unserved household can also be one that is subject to one of four statutory waivers or exemptions.  </w:t>
      </w:r>
      <w:r w:rsidRPr="006714E8">
        <w:rPr>
          <w:i/>
        </w:rPr>
        <w:t>See id</w:t>
      </w:r>
      <w:r w:rsidRPr="006714E8">
        <w:t>. § 119(d)(10)(B)-(E).</w:t>
      </w:r>
    </w:p>
  </w:footnote>
  <w:footnote w:id="74">
    <w:p w:rsidR="00D7796A" w:rsidRDefault="00D7796A">
      <w:pPr>
        <w:pStyle w:val="FootnoteText"/>
      </w:pPr>
      <w:r>
        <w:rPr>
          <w:rStyle w:val="FootnoteReference"/>
        </w:rPr>
        <w:footnoteRef/>
      </w:r>
      <w:r>
        <w:t xml:space="preserve"> </w:t>
      </w:r>
      <w:r w:rsidRPr="00AF6C13">
        <w:rPr>
          <w:i/>
        </w:rPr>
        <w:t>See</w:t>
      </w:r>
      <w:r>
        <w:t xml:space="preserve"> 47 U.S.C. § 339(a)(2)(C); 17 U.S.C. § 119(d)(10); </w:t>
      </w:r>
      <w:r w:rsidRPr="00510B12">
        <w:rPr>
          <w:i/>
        </w:rPr>
        <w:t>Satellite Market Modification Order</w:t>
      </w:r>
      <w:r>
        <w:t>, 30 FCC Rcd at 10443, n.256.</w:t>
      </w:r>
    </w:p>
  </w:footnote>
  <w:footnote w:id="75">
    <w:p w:rsidR="00D7796A" w:rsidRDefault="00D7796A" w:rsidP="00EE6F1B">
      <w:pPr>
        <w:pStyle w:val="FootnoteText"/>
      </w:pPr>
      <w:r>
        <w:rPr>
          <w:rStyle w:val="FootnoteReference"/>
        </w:rPr>
        <w:footnoteRef/>
      </w:r>
      <w:r>
        <w:t xml:space="preserve"> </w:t>
      </w:r>
      <w:r w:rsidRPr="002137A6">
        <w:t>Satellite carriers pay royalties on a per subscriber, per signal, per month basis; and must report periodically to the Copyright Office on which broadcast signals they have retransmitted.</w:t>
      </w:r>
    </w:p>
  </w:footnote>
  <w:footnote w:id="76">
    <w:p w:rsidR="00D7796A" w:rsidRDefault="00D7796A" w:rsidP="00A6788C">
      <w:pPr>
        <w:pStyle w:val="FootnoteText"/>
      </w:pPr>
      <w:r>
        <w:rPr>
          <w:rStyle w:val="FootnoteReference"/>
        </w:rPr>
        <w:footnoteRef/>
      </w:r>
      <w:r>
        <w:t xml:space="preserve"> </w:t>
      </w:r>
      <w:r w:rsidRPr="003F091F">
        <w:t xml:space="preserve">Section 202 of SHVERA created Section 340 of the Communications Act, 47 U.S.C. § 340, which authorized satellite carriage of significantly viewed stations. </w:t>
      </w:r>
      <w:r>
        <w:t xml:space="preserve"> </w:t>
      </w:r>
      <w:r w:rsidRPr="003F091F">
        <w:rPr>
          <w:i/>
        </w:rPr>
        <w:t>See also</w:t>
      </w:r>
      <w:r w:rsidRPr="003F091F">
        <w:t xml:space="preserve"> </w:t>
      </w:r>
      <w:r w:rsidRPr="003F091F">
        <w:rPr>
          <w:i/>
        </w:rPr>
        <w:t>Implementation of the Satellite Home Viewer Extension and Reauthorization Act of 2004, Implementation of Section 340 of the Communications Act</w:t>
      </w:r>
      <w:r w:rsidRPr="003F091F">
        <w:t>, MB Docket No. 05-49, Report and Order, 20 FCC Rcd 17278 (2005)</w:t>
      </w:r>
      <w:r>
        <w:t xml:space="preserve"> </w:t>
      </w:r>
      <w:r w:rsidRPr="003F091F">
        <w:t>(</w:t>
      </w:r>
      <w:r w:rsidRPr="003F091F">
        <w:rPr>
          <w:i/>
        </w:rPr>
        <w:t>SHVERA Significantly Viewed Report and Order</w:t>
      </w:r>
      <w:r w:rsidRPr="003F091F">
        <w:t>).</w:t>
      </w:r>
    </w:p>
  </w:footnote>
  <w:footnote w:id="77">
    <w:p w:rsidR="00D7796A" w:rsidRPr="0009034E" w:rsidRDefault="00D7796A" w:rsidP="00A6788C">
      <w:pPr>
        <w:pStyle w:val="FootnoteText"/>
      </w:pPr>
      <w:r>
        <w:rPr>
          <w:rStyle w:val="FootnoteReference"/>
        </w:rPr>
        <w:footnoteRef/>
      </w:r>
      <w:r>
        <w:t xml:space="preserve"> </w:t>
      </w:r>
      <w:r w:rsidRPr="005761AB">
        <w:t>Section 102 of SHVERA extend</w:t>
      </w:r>
      <w:r>
        <w:t>ed</w:t>
      </w:r>
      <w:r w:rsidRPr="005761AB">
        <w:t xml:space="preserve"> the statutory copyright license contained in 17 U.S.C. § 119(a) to apply </w:t>
      </w:r>
      <w:r>
        <w:t>“</w:t>
      </w:r>
      <w:r w:rsidRPr="005761AB">
        <w:t>to the secondary transmission of the primary transmission of a network station or a superstation to a subscriber who resides out</w:t>
      </w:r>
      <w:r>
        <w:t xml:space="preserve">side the station’s local market … </w:t>
      </w:r>
      <w:r w:rsidRPr="005761AB">
        <w:t>but within a community in which the signal has been determined by the Federal Communications Commission, to be significantly viewed in such community, pursuant to the rules, regulations and authorizations of the Federal Communications Commission in effect on April 15, 1976, applicable to determining with respect to a cable system whether signals are significantly viewed in a community.</w:t>
      </w:r>
      <w:r>
        <w:t>”</w:t>
      </w:r>
    </w:p>
  </w:footnote>
  <w:footnote w:id="78">
    <w:p w:rsidR="00D7796A" w:rsidRDefault="00D7796A" w:rsidP="00A6788C">
      <w:pPr>
        <w:pStyle w:val="FootnoteText"/>
      </w:pPr>
      <w:r>
        <w:rPr>
          <w:rStyle w:val="FootnoteReference"/>
        </w:rPr>
        <w:footnoteRef/>
      </w:r>
      <w:r>
        <w:t xml:space="preserve"> </w:t>
      </w:r>
      <w:r w:rsidRPr="00CA0376">
        <w:rPr>
          <w:i/>
        </w:rPr>
        <w:t>See</w:t>
      </w:r>
      <w:r w:rsidRPr="00CA0376">
        <w:t xml:space="preserve"> 47 </w:t>
      </w:r>
      <w:r>
        <w:t>CFR</w:t>
      </w:r>
      <w:r w:rsidRPr="00CA0376">
        <w:t xml:space="preserve"> §§ 76.5(dd) (defining c</w:t>
      </w:r>
      <w:r w:rsidR="00AE06BB">
        <w:t>able “community unit”),</w:t>
      </w:r>
      <w:r>
        <w:t xml:space="preserve"> 76.5</w:t>
      </w:r>
      <w:r w:rsidRPr="00CA0376">
        <w:t>(gg) (defining a “satellite community”).</w:t>
      </w:r>
    </w:p>
  </w:footnote>
  <w:footnote w:id="79">
    <w:p w:rsidR="00D7796A" w:rsidRDefault="00D7796A" w:rsidP="00A6788C">
      <w:pPr>
        <w:pStyle w:val="FootnoteText"/>
      </w:pPr>
      <w:r>
        <w:rPr>
          <w:rStyle w:val="FootnoteReference"/>
        </w:rPr>
        <w:footnoteRef/>
      </w:r>
      <w:r>
        <w:t xml:space="preserve"> For copyright purposes, significantly viewed status means that cable and satellite providers may carry the out-of-market but significantly viewed station with the reduced copyright payment obligations applicable to local (in-market) stations.  </w:t>
      </w:r>
      <w:r w:rsidRPr="00CA0376">
        <w:rPr>
          <w:i/>
        </w:rPr>
        <w:t>See</w:t>
      </w:r>
      <w:r>
        <w:t xml:space="preserve"> 17 U.S.C. §§ 111(a), (c), (d), and (f), as amended by STELA § 104 (relating to cable statutory copyright license) and 122(a)(2), as amended by STELA § 103 (relating to satellite statutory copyright license).</w:t>
      </w:r>
    </w:p>
  </w:footnote>
  <w:footnote w:id="80">
    <w:p w:rsidR="00D7796A" w:rsidRDefault="00D7796A" w:rsidP="00A6788C">
      <w:pPr>
        <w:pStyle w:val="FootnoteText"/>
      </w:pPr>
      <w:r>
        <w:rPr>
          <w:rStyle w:val="FootnoteReference"/>
        </w:rPr>
        <w:footnoteRef/>
      </w:r>
      <w:r>
        <w:t xml:space="preserve"> </w:t>
      </w:r>
      <w:r w:rsidRPr="00CA0376">
        <w:rPr>
          <w:i/>
        </w:rPr>
        <w:t>See</w:t>
      </w:r>
      <w:r w:rsidRPr="00CA0376">
        <w:t xml:space="preserve"> 47 U.S.C. § 340(d). </w:t>
      </w:r>
      <w:r>
        <w:t xml:space="preserve"> </w:t>
      </w:r>
      <w:r w:rsidRPr="00CA0376">
        <w:t>Pursuant to SHVERA, DBS operators were granted the right to retransmit out-of-market significantly viewed commercial broadcast stations to subscribers in the community in which the station is deemed significantly viewed, provided the local station affiliated with the same network as the significantly viewed station is offered to subscribers.</w:t>
      </w:r>
      <w:r>
        <w:t xml:space="preserve"> </w:t>
      </w:r>
      <w:r w:rsidRPr="00CA0376">
        <w:t xml:space="preserve"> SHVERA permits a satellite carrier to privately negotiate with a local network station to obtain a waiver of the requirement that the local station be offered.</w:t>
      </w:r>
      <w:r>
        <w:t xml:space="preserve"> </w:t>
      </w:r>
      <w:r w:rsidRPr="00CA0376">
        <w:t xml:space="preserve"> 47 U.S.C. § 340(b)(4). </w:t>
      </w:r>
      <w:r>
        <w:t xml:space="preserve"> </w:t>
      </w:r>
      <w:r w:rsidRPr="00CA0376">
        <w:t xml:space="preserve">SHVERA provides that, as in the cable context, satellite carriers pay reduced copyright fees for retransmission of significantly viewed stations. </w:t>
      </w:r>
      <w:r>
        <w:t xml:space="preserve"> </w:t>
      </w:r>
      <w:r w:rsidRPr="00CA0376">
        <w:t>17 U.S.C. § 119(a).</w:t>
      </w:r>
    </w:p>
  </w:footnote>
  <w:footnote w:id="81">
    <w:p w:rsidR="00D7796A" w:rsidRDefault="00D7796A" w:rsidP="00A6788C">
      <w:pPr>
        <w:pStyle w:val="FootnoteText"/>
      </w:pPr>
      <w:r>
        <w:rPr>
          <w:rStyle w:val="FootnoteReference"/>
        </w:rPr>
        <w:footnoteRef/>
      </w:r>
      <w:r>
        <w:t xml:space="preserve"> </w:t>
      </w:r>
      <w:r w:rsidRPr="00CA0376">
        <w:rPr>
          <w:i/>
        </w:rPr>
        <w:t>See</w:t>
      </w:r>
      <w:r w:rsidRPr="00CA0376">
        <w:t xml:space="preserve"> STELA § 103.</w:t>
      </w:r>
    </w:p>
  </w:footnote>
  <w:footnote w:id="82">
    <w:p w:rsidR="00D7796A" w:rsidRDefault="00D7796A" w:rsidP="00A6788C">
      <w:pPr>
        <w:pStyle w:val="FootnoteText"/>
      </w:pPr>
      <w:r>
        <w:rPr>
          <w:rStyle w:val="FootnoteReference"/>
        </w:rPr>
        <w:footnoteRef/>
      </w:r>
      <w:r>
        <w:t xml:space="preserve"> </w:t>
      </w:r>
      <w:r w:rsidRPr="00CA0376">
        <w:rPr>
          <w:i/>
        </w:rPr>
        <w:t>STELA Significantly Viewed Report and Order</w:t>
      </w:r>
      <w:r w:rsidRPr="00CA0376">
        <w:t xml:space="preserve">, 25 FCC Rcd 16383, 16387, </w:t>
      </w:r>
      <w:r>
        <w:t>para.</w:t>
      </w:r>
      <w:r w:rsidRPr="00CA0376">
        <w:t xml:space="preserve"> 4 </w:t>
      </w:r>
      <w:r>
        <w:t xml:space="preserve">&amp; </w:t>
      </w:r>
      <w:r w:rsidRPr="00CA0376">
        <w:t xml:space="preserve">n.23. </w:t>
      </w:r>
      <w:r>
        <w:t xml:space="preserve"> </w:t>
      </w:r>
      <w:r w:rsidRPr="00CA0376">
        <w:t xml:space="preserve">In the </w:t>
      </w:r>
      <w:r w:rsidRPr="00CA0376">
        <w:rPr>
          <w:i/>
        </w:rPr>
        <w:t>STELA Significantly Viewed Report and Order</w:t>
      </w:r>
      <w:r w:rsidRPr="00CA0376">
        <w:t xml:space="preserve">, the Commission revised its satellite television significantly viewed rules to facilitate satellite carriage of significantly viewed stations and thereby provide satellite subscribers with greater choice of programming and to improve parity and competition between satellite and cable carriage of broadcast stations. </w:t>
      </w:r>
      <w:r>
        <w:t xml:space="preserve"> </w:t>
      </w:r>
      <w:r w:rsidRPr="00CA0376">
        <w:rPr>
          <w:i/>
        </w:rPr>
        <w:t>Id.</w:t>
      </w:r>
      <w:r w:rsidRPr="00CA0376">
        <w:t xml:space="preserve"> at 16411, </w:t>
      </w:r>
      <w:r>
        <w:t>para.</w:t>
      </w:r>
      <w:r w:rsidRPr="00CA0376">
        <w:t xml:space="preserve"> 55. </w:t>
      </w:r>
      <w:r>
        <w:t xml:space="preserve"> </w:t>
      </w:r>
    </w:p>
  </w:footnote>
  <w:footnote w:id="83">
    <w:p w:rsidR="00D7796A" w:rsidRDefault="00D7796A" w:rsidP="00A6788C">
      <w:pPr>
        <w:pStyle w:val="FootnoteText"/>
      </w:pPr>
      <w:r>
        <w:rPr>
          <w:rStyle w:val="FootnoteReference"/>
        </w:rPr>
        <w:footnoteRef/>
      </w:r>
      <w:r>
        <w:t xml:space="preserve"> 17 U.S.C. </w:t>
      </w:r>
      <w:r w:rsidRPr="00CA0376">
        <w:t>§</w:t>
      </w:r>
      <w:r>
        <w:t xml:space="preserve"> 122(a).</w:t>
      </w:r>
    </w:p>
  </w:footnote>
  <w:footnote w:id="84">
    <w:p w:rsidR="00D7796A" w:rsidRDefault="00D7796A" w:rsidP="00A6788C">
      <w:pPr>
        <w:pStyle w:val="FootnoteText"/>
      </w:pPr>
      <w:r>
        <w:rPr>
          <w:rStyle w:val="FootnoteReference"/>
        </w:rPr>
        <w:footnoteRef/>
      </w:r>
      <w:r>
        <w:t xml:space="preserve"> 47 CFR</w:t>
      </w:r>
      <w:r w:rsidRPr="00CA0376">
        <w:t xml:space="preserve"> §</w:t>
      </w:r>
      <w:r>
        <w:t xml:space="preserve"> 76.54(e).  </w:t>
      </w:r>
      <w:r w:rsidRPr="003F091F">
        <w:t>This notice requirement does not apply to cable system carriage of significantly viewed stations.</w:t>
      </w:r>
    </w:p>
  </w:footnote>
  <w:footnote w:id="85">
    <w:p w:rsidR="00D7796A" w:rsidRPr="006714E8" w:rsidRDefault="00D7796A" w:rsidP="006C01DB">
      <w:pPr>
        <w:pStyle w:val="FootnoteText"/>
      </w:pPr>
      <w:r w:rsidRPr="006714E8">
        <w:rPr>
          <w:rStyle w:val="FootnoteReference"/>
        </w:rPr>
        <w:footnoteRef/>
      </w:r>
      <w:r w:rsidRPr="006714E8">
        <w:t xml:space="preserve"> STELAR §§ 102, 204, 128 Stat. at 2060-62, 2067.  </w:t>
      </w:r>
      <w:r>
        <w:t>Like</w:t>
      </w:r>
      <w:r w:rsidRPr="006714E8">
        <w:t xml:space="preserve"> the existing cable provision, the STELAR provision pertains only to “commercial” stations, thus excluding noncommercial stations from seeking market modification.  </w:t>
      </w:r>
      <w:r w:rsidRPr="006714E8">
        <w:rPr>
          <w:i/>
        </w:rPr>
        <w:t>See</w:t>
      </w:r>
      <w:r w:rsidRPr="006714E8">
        <w:t xml:space="preserve"> 47 U.S.C. § 338(</w:t>
      </w:r>
      <w:r w:rsidRPr="00A10BBD">
        <w:rPr>
          <w:i/>
        </w:rPr>
        <w:t>l</w:t>
      </w:r>
      <w:r w:rsidRPr="006714E8">
        <w:t xml:space="preserve">)(1). </w:t>
      </w:r>
    </w:p>
  </w:footnote>
  <w:footnote w:id="86">
    <w:p w:rsidR="00D7796A" w:rsidRPr="006714E8" w:rsidRDefault="00D7796A" w:rsidP="006C01DB">
      <w:pPr>
        <w:pStyle w:val="FootnoteText"/>
      </w:pPr>
      <w:r w:rsidRPr="006714E8">
        <w:rPr>
          <w:rStyle w:val="FootnoteReference"/>
        </w:rPr>
        <w:footnoteRef/>
      </w:r>
      <w:r w:rsidRPr="006714E8">
        <w:t xml:space="preserve"> </w:t>
      </w:r>
      <w:r w:rsidRPr="006714E8">
        <w:rPr>
          <w:i/>
        </w:rPr>
        <w:t>See</w:t>
      </w:r>
      <w:r w:rsidRPr="006714E8">
        <w:t xml:space="preserve"> 47 U.S.C. § 534(h)(1)(C).  </w:t>
      </w:r>
      <w:r w:rsidRPr="006714E8">
        <w:rPr>
          <w:i/>
        </w:rPr>
        <w:t>See also</w:t>
      </w:r>
      <w:r w:rsidRPr="006714E8">
        <w:t xml:space="preserve"> 47 </w:t>
      </w:r>
      <w:r>
        <w:t>CFR</w:t>
      </w:r>
      <w:r w:rsidRPr="006714E8">
        <w:t xml:space="preserve"> § 76.59.</w:t>
      </w:r>
    </w:p>
  </w:footnote>
  <w:footnote w:id="87">
    <w:p w:rsidR="00D7796A" w:rsidRDefault="00D7796A" w:rsidP="006C01DB">
      <w:pPr>
        <w:pStyle w:val="FootnoteText"/>
      </w:pPr>
      <w:r>
        <w:rPr>
          <w:rStyle w:val="FootnoteReference"/>
        </w:rPr>
        <w:footnoteRef/>
      </w:r>
      <w:r>
        <w:t xml:space="preserve"> </w:t>
      </w:r>
      <w:r w:rsidRPr="00995F47">
        <w:rPr>
          <w:i/>
        </w:rPr>
        <w:t>Amendment to the Commission</w:t>
      </w:r>
      <w:r w:rsidR="00D57A0F">
        <w:rPr>
          <w:i/>
        </w:rPr>
        <w:t>’</w:t>
      </w:r>
      <w:r w:rsidRPr="00995F47">
        <w:rPr>
          <w:i/>
        </w:rPr>
        <w:t>s Rules Concerning Market Modification; Implementation of Section 102 of the STELA Reauthorization Act of 2014</w:t>
      </w:r>
      <w:r w:rsidRPr="00057CAA">
        <w:t xml:space="preserve">; MB Docket No. 15-71, Report and Order, </w:t>
      </w:r>
      <w:r w:rsidRPr="00F32BA8">
        <w:t>30 FCC Rcd 10406 (2015)</w:t>
      </w:r>
      <w:r>
        <w:t xml:space="preserve"> (</w:t>
      </w:r>
      <w:r w:rsidRPr="00510B12">
        <w:rPr>
          <w:i/>
        </w:rPr>
        <w:t>Satellite Market Modification Order</w:t>
      </w:r>
      <w:r>
        <w:t>).</w:t>
      </w:r>
    </w:p>
  </w:footnote>
  <w:footnote w:id="88">
    <w:p w:rsidR="00D7796A" w:rsidRDefault="00D7796A" w:rsidP="006C01DB">
      <w:pPr>
        <w:pStyle w:val="FootnoteText"/>
      </w:pPr>
      <w:r>
        <w:rPr>
          <w:rStyle w:val="FootnoteReference"/>
        </w:rPr>
        <w:footnoteRef/>
      </w:r>
      <w:r>
        <w:t xml:space="preserve"> 47 CFR § 76.59; </w:t>
      </w:r>
      <w:r w:rsidRPr="00EA06ED">
        <w:rPr>
          <w:i/>
        </w:rPr>
        <w:t xml:space="preserve">see </w:t>
      </w:r>
      <w:r>
        <w:t>47 U.S.C. §§ 338(</w:t>
      </w:r>
      <w:r w:rsidRPr="00351F39">
        <w:rPr>
          <w:i/>
        </w:rPr>
        <w:t>l</w:t>
      </w:r>
      <w:r>
        <w:t xml:space="preserve">) and 534(h)(1)(C).    </w:t>
      </w:r>
    </w:p>
  </w:footnote>
  <w:footnote w:id="89">
    <w:p w:rsidR="00D7796A" w:rsidRDefault="00D7796A" w:rsidP="006C01DB">
      <w:pPr>
        <w:pStyle w:val="FootnoteText"/>
      </w:pPr>
      <w:r>
        <w:rPr>
          <w:rStyle w:val="FootnoteReference"/>
        </w:rPr>
        <w:footnoteRef/>
      </w:r>
      <w:r>
        <w:t xml:space="preserve"> 47 CFR § 76.59.</w:t>
      </w:r>
    </w:p>
  </w:footnote>
  <w:footnote w:id="90">
    <w:p w:rsidR="00D7796A" w:rsidRPr="00510B12" w:rsidRDefault="00D7796A" w:rsidP="006C01DB">
      <w:pPr>
        <w:pStyle w:val="FootnoteText"/>
      </w:pPr>
      <w:r>
        <w:rPr>
          <w:rStyle w:val="FootnoteReference"/>
        </w:rPr>
        <w:footnoteRef/>
      </w:r>
      <w:r>
        <w:t xml:space="preserve"> </w:t>
      </w:r>
      <w:r w:rsidRPr="00510B12">
        <w:rPr>
          <w:i/>
        </w:rPr>
        <w:t>Satellite Market Modification Order</w:t>
      </w:r>
      <w:r>
        <w:t>, 30 FCC Rcd at 10409, para. 4.</w:t>
      </w:r>
    </w:p>
  </w:footnote>
  <w:footnote w:id="91">
    <w:p w:rsidR="00D7796A" w:rsidRDefault="00D7796A" w:rsidP="006C01DB">
      <w:pPr>
        <w:pStyle w:val="FootnoteText"/>
      </w:pPr>
      <w:r>
        <w:rPr>
          <w:rStyle w:val="FootnoteReference"/>
        </w:rPr>
        <w:footnoteRef/>
      </w:r>
      <w:r>
        <w:t xml:space="preserve"> </w:t>
      </w:r>
      <w:r w:rsidR="006C0014" w:rsidRPr="00AE06BB">
        <w:rPr>
          <w:i/>
        </w:rPr>
        <w:t>Id.</w:t>
      </w:r>
    </w:p>
  </w:footnote>
  <w:footnote w:id="92">
    <w:p w:rsidR="00D7796A" w:rsidRDefault="00D7796A">
      <w:pPr>
        <w:pStyle w:val="FootnoteText"/>
      </w:pPr>
      <w:r>
        <w:rPr>
          <w:rStyle w:val="FootnoteReference"/>
        </w:rPr>
        <w:footnoteRef/>
      </w:r>
      <w:r>
        <w:t xml:space="preserve"> </w:t>
      </w:r>
      <w:r w:rsidRPr="00F61F1F">
        <w:rPr>
          <w:i/>
        </w:rPr>
        <w:t>Notice of Effective Date of STELAR Market Modification Rules Requiring OMB Approval Media Bureau Now Accepting Satellite Market Modification Petitions</w:t>
      </w:r>
      <w:r>
        <w:t>, MB Docket No. 15-71, Public Notice, DA 16-203 (MB Feb. 25, 2016).</w:t>
      </w:r>
    </w:p>
  </w:footnote>
  <w:footnote w:id="93">
    <w:p w:rsidR="00D7796A" w:rsidRDefault="00D7796A">
      <w:pPr>
        <w:pStyle w:val="FootnoteText"/>
      </w:pPr>
      <w:r>
        <w:rPr>
          <w:rStyle w:val="FootnoteReference"/>
        </w:rPr>
        <w:footnoteRef/>
      </w:r>
      <w:r>
        <w:t xml:space="preserve"> </w:t>
      </w:r>
      <w:r>
        <w:rPr>
          <w:color w:val="000000"/>
        </w:rPr>
        <w:t>The exclusivity rules may be invoked by stations that elect retransmission consent in their local markets, even if they are not actually carried by the MVPD, to prevent an MVPD from carrying programming of a distant station that duplicates local broadcast station programming.  For example, an in-market station that fails to reach agreement for retransmission consent and subsequently refuses to permit an MVPD to carry its signal can still invoke the network non-duplication and syndicated exclusivity rules to require the blackout, in market, of programming that would otherwise be provided by the in-market station.</w:t>
      </w:r>
    </w:p>
  </w:footnote>
  <w:footnote w:id="94">
    <w:p w:rsidR="00D7796A" w:rsidRDefault="00D7796A" w:rsidP="00A6788C">
      <w:pPr>
        <w:pStyle w:val="FootnoteText"/>
      </w:pPr>
      <w:r>
        <w:rPr>
          <w:rStyle w:val="FootnoteReference"/>
        </w:rPr>
        <w:footnoteRef/>
      </w:r>
      <w:r>
        <w:t xml:space="preserve"> </w:t>
      </w:r>
      <w:r w:rsidRPr="0092144D">
        <w:rPr>
          <w:i/>
        </w:rPr>
        <w:t>See</w:t>
      </w:r>
      <w:r w:rsidRPr="00AF38A0">
        <w:t xml:space="preserve"> 47 </w:t>
      </w:r>
      <w:r>
        <w:t>CFR</w:t>
      </w:r>
      <w:r w:rsidR="006C0014">
        <w:t xml:space="preserve"> §§ 76.92, 76.93,</w:t>
      </w:r>
      <w:r w:rsidRPr="00AF38A0">
        <w:t xml:space="preserve"> 76.122.</w:t>
      </w:r>
    </w:p>
  </w:footnote>
  <w:footnote w:id="95">
    <w:p w:rsidR="00D7796A" w:rsidRDefault="00D7796A" w:rsidP="00A6788C">
      <w:pPr>
        <w:pStyle w:val="FootnoteText"/>
      </w:pPr>
      <w:r>
        <w:rPr>
          <w:rStyle w:val="FootnoteReference"/>
        </w:rPr>
        <w:footnoteRef/>
      </w:r>
      <w:r>
        <w:t xml:space="preserve"> </w:t>
      </w:r>
      <w:r w:rsidRPr="0092144D">
        <w:rPr>
          <w:i/>
        </w:rPr>
        <w:t>See</w:t>
      </w:r>
      <w:r w:rsidRPr="00AF38A0">
        <w:t xml:space="preserve"> </w:t>
      </w:r>
      <w:r w:rsidR="006C0014">
        <w:rPr>
          <w:i/>
        </w:rPr>
        <w:t>i</w:t>
      </w:r>
      <w:r w:rsidR="006C0014" w:rsidRPr="00AE06BB">
        <w:rPr>
          <w:i/>
        </w:rPr>
        <w:t>d.</w:t>
      </w:r>
      <w:r w:rsidR="006C0014">
        <w:t xml:space="preserve"> §§ 76.101, 76.103,</w:t>
      </w:r>
      <w:r>
        <w:t xml:space="preserve"> 76.123</w:t>
      </w:r>
      <w:r w:rsidRPr="00AF38A0">
        <w:t>.</w:t>
      </w:r>
    </w:p>
  </w:footnote>
  <w:footnote w:id="96">
    <w:p w:rsidR="00D7796A" w:rsidRDefault="00D7796A" w:rsidP="00A6788C">
      <w:pPr>
        <w:pStyle w:val="FootnoteText"/>
      </w:pPr>
      <w:r>
        <w:rPr>
          <w:rStyle w:val="FootnoteReference"/>
        </w:rPr>
        <w:footnoteRef/>
      </w:r>
      <w:r>
        <w:t xml:space="preserve"> </w:t>
      </w:r>
      <w:r w:rsidRPr="00154360">
        <w:rPr>
          <w:i/>
        </w:rPr>
        <w:t>Amendment of the Commission</w:t>
      </w:r>
      <w:r w:rsidR="00D57A0F">
        <w:rPr>
          <w:i/>
        </w:rPr>
        <w:t>’</w:t>
      </w:r>
      <w:r w:rsidRPr="00154360">
        <w:rPr>
          <w:i/>
        </w:rPr>
        <w:t>s Rules Related to Retransmission Consent</w:t>
      </w:r>
      <w:r>
        <w:t xml:space="preserve">, MB Docket No. 10-71, </w:t>
      </w:r>
      <w:r w:rsidRPr="00154360">
        <w:t>Report and Order and Further Notice of Proposed Rulemaking</w:t>
      </w:r>
      <w:r>
        <w:t>, 29 FCC Rcd 3351, 3375, para. 40 (2014).  The proceeding remains pending.</w:t>
      </w:r>
    </w:p>
  </w:footnote>
  <w:footnote w:id="97">
    <w:p w:rsidR="00D7796A" w:rsidRDefault="00D7796A" w:rsidP="00A6788C">
      <w:pPr>
        <w:pStyle w:val="FootnoteText"/>
      </w:pPr>
      <w:r>
        <w:rPr>
          <w:rStyle w:val="FootnoteReference"/>
        </w:rPr>
        <w:footnoteRef/>
      </w:r>
      <w:r>
        <w:t xml:space="preserve"> </w:t>
      </w:r>
      <w:r w:rsidRPr="003A2C34">
        <w:rPr>
          <w:i/>
        </w:rPr>
        <w:t>Sports Blackout Rules</w:t>
      </w:r>
      <w:r>
        <w:t xml:space="preserve">, MB Docket No. 12-3, Report and Order, 29 FCC Rcd 12053 (2014).  The elimination of the sports blackout rules became effective as of November 24, 2014.  </w:t>
      </w:r>
      <w:r w:rsidRPr="003A2C34">
        <w:rPr>
          <w:i/>
        </w:rPr>
        <w:t>See</w:t>
      </w:r>
      <w:r>
        <w:t xml:space="preserve"> Sports Blackout Rules, 79 Fed. Reg. 63,547, 63,547 (Oct. 24, 2014).</w:t>
      </w:r>
    </w:p>
  </w:footnote>
  <w:footnote w:id="98">
    <w:p w:rsidR="00D7796A" w:rsidRDefault="00D7796A" w:rsidP="00A6788C">
      <w:pPr>
        <w:pStyle w:val="FootnoteText"/>
      </w:pPr>
      <w:r>
        <w:rPr>
          <w:rStyle w:val="FootnoteReference"/>
        </w:rPr>
        <w:footnoteRef/>
      </w:r>
      <w:r>
        <w:t xml:space="preserve"> </w:t>
      </w:r>
      <w:r w:rsidRPr="003A2C34">
        <w:rPr>
          <w:i/>
        </w:rPr>
        <w:t>Sports Blackout Rules</w:t>
      </w:r>
      <w:r>
        <w:t>, 29 FCC Rcd at 12054, 12056, 12060-61, paras. 1, 6, 12.</w:t>
      </w:r>
    </w:p>
  </w:footnote>
  <w:footnote w:id="99">
    <w:p w:rsidR="00D7796A" w:rsidRDefault="00D7796A" w:rsidP="00A6788C">
      <w:pPr>
        <w:pStyle w:val="FootnoteText"/>
      </w:pPr>
      <w:r>
        <w:rPr>
          <w:rStyle w:val="FootnoteReference"/>
        </w:rPr>
        <w:footnoteRef/>
      </w:r>
      <w:r>
        <w:t xml:space="preserve"> </w:t>
      </w:r>
      <w:r w:rsidR="00FE5753" w:rsidRPr="00AE06BB">
        <w:rPr>
          <w:i/>
        </w:rPr>
        <w:t>Id.</w:t>
      </w:r>
      <w:r w:rsidR="00FE5753">
        <w:rPr>
          <w:i/>
        </w:rPr>
        <w:t xml:space="preserve"> </w:t>
      </w:r>
      <w:r>
        <w:t>at 12084, para. 40.</w:t>
      </w:r>
    </w:p>
  </w:footnote>
  <w:footnote w:id="100">
    <w:p w:rsidR="00D7796A" w:rsidRDefault="00D7796A" w:rsidP="00A6788C">
      <w:pPr>
        <w:pStyle w:val="FootnoteText"/>
      </w:pPr>
      <w:r>
        <w:rPr>
          <w:rStyle w:val="FootnoteReference"/>
        </w:rPr>
        <w:footnoteRef/>
      </w:r>
      <w:r>
        <w:t xml:space="preserve"> </w:t>
      </w:r>
      <w:r w:rsidR="00C009A2" w:rsidRPr="00AE06BB">
        <w:rPr>
          <w:i/>
        </w:rPr>
        <w:t>Id.</w:t>
      </w:r>
    </w:p>
  </w:footnote>
  <w:footnote w:id="101">
    <w:p w:rsidR="00D7796A" w:rsidRDefault="00D7796A" w:rsidP="00C03A11">
      <w:pPr>
        <w:pStyle w:val="FootnoteText"/>
      </w:pPr>
      <w:r>
        <w:rPr>
          <w:rStyle w:val="FootnoteReference"/>
        </w:rPr>
        <w:footnoteRef/>
      </w:r>
      <w:r>
        <w:t xml:space="preserve"> STELAR § </w:t>
      </w:r>
      <w:r w:rsidRPr="0066489B">
        <w:t>109(a)(1)(A)</w:t>
      </w:r>
      <w:r>
        <w:t xml:space="preserve">. </w:t>
      </w:r>
    </w:p>
  </w:footnote>
  <w:footnote w:id="102">
    <w:p w:rsidR="00D7796A" w:rsidRDefault="00D7796A" w:rsidP="00C03A11">
      <w:pPr>
        <w:pStyle w:val="FootnoteText"/>
      </w:pPr>
      <w:r>
        <w:rPr>
          <w:rStyle w:val="FootnoteReference"/>
        </w:rPr>
        <w:footnoteRef/>
      </w:r>
      <w:r>
        <w:t xml:space="preserve"> </w:t>
      </w:r>
      <w:r w:rsidRPr="002A250B">
        <w:rPr>
          <w:i/>
        </w:rPr>
        <w:t xml:space="preserve">STELAR Report </w:t>
      </w:r>
      <w:r>
        <w:rPr>
          <w:i/>
        </w:rPr>
        <w:t>PN</w:t>
      </w:r>
      <w:r>
        <w:t>, 30 FCC Rcd at 1906.</w:t>
      </w:r>
    </w:p>
  </w:footnote>
  <w:footnote w:id="103">
    <w:p w:rsidR="00D7796A" w:rsidRDefault="00D7796A" w:rsidP="00C03A11">
      <w:pPr>
        <w:pStyle w:val="FootnoteText"/>
      </w:pPr>
      <w:r>
        <w:rPr>
          <w:rStyle w:val="FootnoteReference"/>
        </w:rPr>
        <w:footnoteRef/>
      </w:r>
      <w:r>
        <w:t xml:space="preserve"> </w:t>
      </w:r>
      <w:r w:rsidRPr="00B90A92">
        <w:rPr>
          <w:i/>
        </w:rPr>
        <w:t>See</w:t>
      </w:r>
      <w:r>
        <w:t xml:space="preserve"> </w:t>
      </w:r>
      <w:r w:rsidRPr="00B90A92">
        <w:rPr>
          <w:i/>
        </w:rPr>
        <w:t>In-State Broadcast Programming: Report to Congress Pursuant to Section 304 of the Satellite Television Extension and Localism Act of 2010</w:t>
      </w:r>
      <w:r>
        <w:t>, MB Docket No. 10-238, Report, 26 FCC Rcd 11919 (2011).</w:t>
      </w:r>
    </w:p>
  </w:footnote>
  <w:footnote w:id="104">
    <w:p w:rsidR="00D7796A" w:rsidRDefault="00D7796A" w:rsidP="00A658C0">
      <w:pPr>
        <w:pStyle w:val="FootnoteText"/>
      </w:pPr>
      <w:r>
        <w:rPr>
          <w:rStyle w:val="FootnoteReference"/>
        </w:rPr>
        <w:footnoteRef/>
      </w:r>
      <w:r>
        <w:t xml:space="preserve"> </w:t>
      </w:r>
      <w:r w:rsidRPr="002A250B">
        <w:rPr>
          <w:i/>
        </w:rPr>
        <w:t xml:space="preserve">STELAR Report </w:t>
      </w:r>
      <w:r>
        <w:rPr>
          <w:i/>
        </w:rPr>
        <w:t>PN</w:t>
      </w:r>
      <w:r>
        <w:t>, 30 FCC Rcd at 1906-7.</w:t>
      </w:r>
    </w:p>
  </w:footnote>
  <w:footnote w:id="105">
    <w:p w:rsidR="00D7796A" w:rsidRDefault="00D7796A" w:rsidP="00C03A11">
      <w:pPr>
        <w:pStyle w:val="FootnoteText"/>
      </w:pPr>
      <w:r>
        <w:rPr>
          <w:rStyle w:val="FootnoteReference"/>
        </w:rPr>
        <w:footnoteRef/>
      </w:r>
      <w:r>
        <w:t xml:space="preserve"> No commenter provided any suggestions for a single data source.  The National Association of Broadcasters (NAB) and the Western Telecommunications Alliance – Advocates for Rural Broadband (WTA) confirm our tentative conclusion and state that they are unaware of any single data source that would enable the Commission to determine access to out-of-market broadcast programming across all distribution technologies.  </w:t>
      </w:r>
      <w:r w:rsidRPr="00482DEC">
        <w:rPr>
          <w:i/>
        </w:rPr>
        <w:t>See</w:t>
      </w:r>
      <w:r>
        <w:t xml:space="preserve"> National Ass’n of Broadcasters (NAB) Comments at 5; Western Telecommunications Alliance – Advocates for Rural Broadband (WTA) Comments at 4-5; WTA Reply at 2.</w:t>
      </w:r>
    </w:p>
  </w:footnote>
  <w:footnote w:id="106">
    <w:p w:rsidR="00D7796A" w:rsidRDefault="00D7796A" w:rsidP="00C03A11">
      <w:pPr>
        <w:pStyle w:val="FootnoteText"/>
      </w:pPr>
      <w:r>
        <w:rPr>
          <w:rStyle w:val="FootnoteReference"/>
        </w:rPr>
        <w:footnoteRef/>
      </w:r>
      <w:r>
        <w:t xml:space="preserve"> We similarly noted this issue and the difficulty of obtaining useful data for cable and telephone MVPDs in the </w:t>
      </w:r>
      <w:r w:rsidRPr="00771745">
        <w:rPr>
          <w:i/>
        </w:rPr>
        <w:t>In-State Programming Report</w:t>
      </w:r>
      <w:r>
        <w:t xml:space="preserve">.  </w:t>
      </w:r>
      <w:r w:rsidRPr="00752756">
        <w:rPr>
          <w:i/>
        </w:rPr>
        <w:t xml:space="preserve">See </w:t>
      </w:r>
      <w:r w:rsidRPr="00771745">
        <w:rPr>
          <w:i/>
        </w:rPr>
        <w:t>In-State Programming Report</w:t>
      </w:r>
      <w:r>
        <w:t xml:space="preserve">, 26 FCC Rcd at 11942, para 40.  </w:t>
      </w:r>
    </w:p>
  </w:footnote>
  <w:footnote w:id="107">
    <w:p w:rsidR="00D7796A" w:rsidRDefault="00D7796A" w:rsidP="00A658C0">
      <w:pPr>
        <w:pStyle w:val="FootnoteText"/>
      </w:pPr>
      <w:r>
        <w:rPr>
          <w:rStyle w:val="FootnoteReference"/>
        </w:rPr>
        <w:footnoteRef/>
      </w:r>
      <w:r>
        <w:t xml:space="preserve"> </w:t>
      </w:r>
      <w:r w:rsidRPr="002A250B">
        <w:rPr>
          <w:i/>
        </w:rPr>
        <w:t xml:space="preserve">STELAR Report </w:t>
      </w:r>
      <w:r>
        <w:rPr>
          <w:i/>
        </w:rPr>
        <w:t>PN</w:t>
      </w:r>
      <w:r>
        <w:t>, 30 FCC Rcd at 1906-7.</w:t>
      </w:r>
    </w:p>
  </w:footnote>
  <w:footnote w:id="108">
    <w:p w:rsidR="00D7796A" w:rsidRDefault="00D7796A">
      <w:pPr>
        <w:pStyle w:val="FootnoteText"/>
      </w:pPr>
      <w:r>
        <w:rPr>
          <w:rStyle w:val="FootnoteReference"/>
        </w:rPr>
        <w:footnoteRef/>
      </w:r>
      <w:r>
        <w:t xml:space="preserve"> </w:t>
      </w:r>
      <w:r w:rsidRPr="009018AC">
        <w:t xml:space="preserve">For purposes of this Report, we considered data about out-of-market broadcast stations carried by the two DBS operators throughout a market or portions of a market (e.g., one or more counties in a market) and do not consider carriage of out-of-market stations provided to particular “unserved” subscriber households not otherwise available throughout the market or portions of the market.  Specifically, the out-of-market broadcast signals we examine for DBS include significantly viewed stations, network fill-ins imported into “short markets,” and stations carried pursuant to specific statutory copyright exceptions.  </w:t>
      </w:r>
      <w:r w:rsidRPr="009018AC">
        <w:rPr>
          <w:i/>
        </w:rPr>
        <w:t>See</w:t>
      </w:r>
      <w:r w:rsidRPr="009018AC">
        <w:t xml:space="preserve"> 47 U.S.C. § 339(a)(2)(C); 17 U.S.C. §§ 119(d)(10), 122(a)(2), 122(a)(4).  For the purposes of this Report, we exclude from our analysis of “distant” signals those stations that are provided on a subscriber-by-subscriber basis by satellite MVPDs to unserved subscribers as these stations are not available to all consumers in a market (or portions/counties of a market) but are unique to a particular unserved household.  </w:t>
      </w:r>
      <w:r w:rsidRPr="009018AC">
        <w:rPr>
          <w:i/>
        </w:rPr>
        <w:t>See</w:t>
      </w:r>
      <w:r w:rsidRPr="009018AC">
        <w:t xml:space="preserve"> 47 U.S.C. § 339(a)(2); 17 U.S.C. § 119(a)(3).</w:t>
      </w:r>
    </w:p>
  </w:footnote>
  <w:footnote w:id="109">
    <w:p w:rsidR="00D7796A" w:rsidRDefault="00D7796A" w:rsidP="00C03A11">
      <w:pPr>
        <w:pStyle w:val="FootnoteText"/>
      </w:pPr>
      <w:r>
        <w:rPr>
          <w:rStyle w:val="FootnoteReference"/>
        </w:rPr>
        <w:footnoteRef/>
      </w:r>
      <w:r>
        <w:t xml:space="preserve"> </w:t>
      </w:r>
      <w:r w:rsidRPr="002A250B">
        <w:rPr>
          <w:i/>
        </w:rPr>
        <w:t xml:space="preserve">STELAR Report </w:t>
      </w:r>
      <w:r>
        <w:rPr>
          <w:i/>
        </w:rPr>
        <w:t>PN</w:t>
      </w:r>
      <w:r>
        <w:t xml:space="preserve">, 30 FCC Rcd at 1906-7. </w:t>
      </w:r>
    </w:p>
  </w:footnote>
  <w:footnote w:id="110">
    <w:p w:rsidR="00D7796A" w:rsidRDefault="00D7796A" w:rsidP="00C03A11">
      <w:pPr>
        <w:pStyle w:val="FootnoteText"/>
      </w:pPr>
      <w:r>
        <w:rPr>
          <w:rStyle w:val="FootnoteReference"/>
        </w:rPr>
        <w:footnoteRef/>
      </w:r>
      <w:r>
        <w:t xml:space="preserve"> </w:t>
      </w:r>
      <w:r w:rsidRPr="00771745">
        <w:rPr>
          <w:i/>
        </w:rPr>
        <w:t>In-State Programming Report</w:t>
      </w:r>
      <w:r w:rsidRPr="00D830F7">
        <w:t>,</w:t>
      </w:r>
      <w:r>
        <w:t xml:space="preserve"> 26 FCC Rcd at 11932, para 21.</w:t>
      </w:r>
    </w:p>
  </w:footnote>
  <w:footnote w:id="111">
    <w:p w:rsidR="00D7796A" w:rsidRDefault="00D7796A" w:rsidP="00C03A11">
      <w:pPr>
        <w:pStyle w:val="FootnoteText"/>
      </w:pPr>
      <w:r>
        <w:rPr>
          <w:rStyle w:val="FootnoteReference"/>
        </w:rPr>
        <w:footnoteRef/>
      </w:r>
      <w:r>
        <w:t xml:space="preserve"> Federal Communications Commission, Office of Engineering and Technology Bulletin No. 69, </w:t>
      </w:r>
      <w:r w:rsidRPr="00B4375D">
        <w:rPr>
          <w:i/>
        </w:rPr>
        <w:t>Longley-Rice Methodology for Evaluating TV Coverage and Interference</w:t>
      </w:r>
      <w:r>
        <w:t>, Feb. 6, 2004 (</w:t>
      </w:r>
      <w:hyperlink r:id="rId1" w:history="1">
        <w:r w:rsidRPr="00247DBB">
          <w:rPr>
            <w:rStyle w:val="Hyperlink"/>
          </w:rPr>
          <w:t>https://www.fcc.gov/general/oet-bulletins-line</w:t>
        </w:r>
      </w:hyperlink>
      <w:r>
        <w:t xml:space="preserve">).  OET Bulletin No. 69 provides guidance on the use of the Longley-Rice propagation model to evaluate television service, coverage, and interference.  </w:t>
      </w:r>
      <w:r w:rsidRPr="00B4375D">
        <w:rPr>
          <w:i/>
        </w:rPr>
        <w:t>See</w:t>
      </w:r>
      <w:r>
        <w:t xml:space="preserve"> OET Bulletin No. 69 at 1.</w:t>
      </w:r>
    </w:p>
  </w:footnote>
  <w:footnote w:id="112">
    <w:p w:rsidR="00D7796A" w:rsidRDefault="00D7796A" w:rsidP="00C03A11">
      <w:pPr>
        <w:pStyle w:val="FootnoteText"/>
      </w:pPr>
      <w:r>
        <w:rPr>
          <w:rStyle w:val="FootnoteReference"/>
        </w:rPr>
        <w:footnoteRef/>
      </w:r>
      <w:r>
        <w:t xml:space="preserve"> NAB Comments at 7-8.</w:t>
      </w:r>
    </w:p>
  </w:footnote>
  <w:footnote w:id="113">
    <w:p w:rsidR="00D7796A" w:rsidRDefault="00D7796A" w:rsidP="00C03A11">
      <w:pPr>
        <w:pStyle w:val="FootnoteText"/>
      </w:pPr>
      <w:r>
        <w:rPr>
          <w:rStyle w:val="FootnoteReference"/>
        </w:rPr>
        <w:footnoteRef/>
      </w:r>
      <w:r>
        <w:t xml:space="preserve"> In the </w:t>
      </w:r>
      <w:r w:rsidRPr="00933F04">
        <w:rPr>
          <w:i/>
        </w:rPr>
        <w:t>STELAR Report PN</w:t>
      </w:r>
      <w:r>
        <w:t xml:space="preserve">, we proposed also to potentially use data collected under Section 108 of the STELAR.  </w:t>
      </w:r>
      <w:r w:rsidRPr="00A0519B">
        <w:rPr>
          <w:i/>
        </w:rPr>
        <w:t>STELAR Report PN</w:t>
      </w:r>
      <w:r>
        <w:t xml:space="preserve"> at 1906.  However, we find that the information obtained directly from the DBS operators offers more complete data about DBS carriage of out-of-market broadcast stations.</w:t>
      </w:r>
    </w:p>
  </w:footnote>
  <w:footnote w:id="114">
    <w:p w:rsidR="00D7796A" w:rsidRDefault="00D7796A">
      <w:pPr>
        <w:pStyle w:val="FootnoteText"/>
      </w:pPr>
      <w:r>
        <w:rPr>
          <w:rStyle w:val="FootnoteReference"/>
        </w:rPr>
        <w:footnoteRef/>
      </w:r>
      <w:r>
        <w:t xml:space="preserve"> DISH informed the Bureau that it does not currently carry any broadcast stations pursuant to the significantly viewed rules.  </w:t>
      </w:r>
    </w:p>
  </w:footnote>
  <w:footnote w:id="115">
    <w:p w:rsidR="00D7796A" w:rsidRDefault="00D7796A" w:rsidP="00C03A11">
      <w:pPr>
        <w:pStyle w:val="FootnoteText"/>
      </w:pPr>
      <w:r>
        <w:rPr>
          <w:rStyle w:val="FootnoteReference"/>
        </w:rPr>
        <w:footnoteRef/>
      </w:r>
      <w:r>
        <w:t xml:space="preserve"> </w:t>
      </w:r>
      <w:r w:rsidRPr="002E5022">
        <w:rPr>
          <w:i/>
        </w:rPr>
        <w:t>STELAR Report PN</w:t>
      </w:r>
      <w:r>
        <w:t xml:space="preserve"> at 1907.  </w:t>
      </w:r>
      <w:r w:rsidRPr="00B76BBF">
        <w:rPr>
          <w:i/>
        </w:rPr>
        <w:t xml:space="preserve">See also </w:t>
      </w:r>
      <w:r w:rsidRPr="00771745">
        <w:rPr>
          <w:i/>
        </w:rPr>
        <w:t>In-State Programming Report</w:t>
      </w:r>
      <w:r>
        <w:t xml:space="preserve"> 26 FCC Rcd at 11934, 11940-41, paras 27, 37.</w:t>
      </w:r>
    </w:p>
  </w:footnote>
  <w:footnote w:id="116">
    <w:p w:rsidR="00D7796A" w:rsidRDefault="00D7796A" w:rsidP="00C03A11">
      <w:pPr>
        <w:pStyle w:val="FootnoteText"/>
      </w:pPr>
      <w:r>
        <w:rPr>
          <w:rStyle w:val="FootnoteReference"/>
        </w:rPr>
        <w:footnoteRef/>
      </w:r>
      <w:r>
        <w:t xml:space="preserve"> </w:t>
      </w:r>
      <w:r w:rsidRPr="002E5022">
        <w:rPr>
          <w:i/>
        </w:rPr>
        <w:t>STELAR Report PN</w:t>
      </w:r>
      <w:r>
        <w:t xml:space="preserve"> at 1907-8.  </w:t>
      </w:r>
      <w:r>
        <w:rPr>
          <w:szCs w:val="22"/>
        </w:rPr>
        <w:t>The Commission</w:t>
      </w:r>
      <w:r w:rsidRPr="00C90314">
        <w:rPr>
          <w:szCs w:val="22"/>
        </w:rPr>
        <w:t xml:space="preserve"> require</w:t>
      </w:r>
      <w:r>
        <w:rPr>
          <w:szCs w:val="22"/>
        </w:rPr>
        <w:t>s</w:t>
      </w:r>
      <w:r w:rsidRPr="00C90314">
        <w:rPr>
          <w:szCs w:val="22"/>
        </w:rPr>
        <w:t xml:space="preserve"> annual </w:t>
      </w:r>
      <w:r>
        <w:rPr>
          <w:szCs w:val="22"/>
        </w:rPr>
        <w:t xml:space="preserve">Form 325 </w:t>
      </w:r>
      <w:r w:rsidRPr="00C90314">
        <w:rPr>
          <w:szCs w:val="22"/>
        </w:rPr>
        <w:t>filings from cable systems that serve 20,000 or more subscribers and from a sample of systems with fewer than 20,000 subscribers.</w:t>
      </w:r>
      <w:r>
        <w:rPr>
          <w:szCs w:val="22"/>
        </w:rPr>
        <w:t xml:space="preserve">  </w:t>
      </w:r>
      <w:r w:rsidRPr="00711C21">
        <w:rPr>
          <w:i/>
        </w:rPr>
        <w:t>See</w:t>
      </w:r>
      <w:r>
        <w:t xml:space="preserve"> 47 CFR § 76.403.</w:t>
      </w:r>
    </w:p>
  </w:footnote>
  <w:footnote w:id="117">
    <w:p w:rsidR="00D7796A" w:rsidRDefault="00D7796A" w:rsidP="00C03A11">
      <w:pPr>
        <w:pStyle w:val="FootnoteText"/>
      </w:pPr>
      <w:r>
        <w:rPr>
          <w:rStyle w:val="FootnoteReference"/>
        </w:rPr>
        <w:footnoteRef/>
      </w:r>
      <w:r>
        <w:t xml:space="preserve"> </w:t>
      </w:r>
      <w:r w:rsidRPr="002E5022">
        <w:rPr>
          <w:i/>
        </w:rPr>
        <w:t>STELAR Report PN</w:t>
      </w:r>
      <w:r>
        <w:t xml:space="preserve"> at 1907-8.  Further, the FCC Form 325 does not provide data on a granular level such that it could be used for a DMA or county level analysis.  </w:t>
      </w:r>
      <w:r w:rsidRPr="00714AAE">
        <w:rPr>
          <w:i/>
        </w:rPr>
        <w:t>See</w:t>
      </w:r>
      <w:r>
        <w:t xml:space="preserve"> </w:t>
      </w:r>
      <w:r w:rsidR="00C009A2">
        <w:rPr>
          <w:i/>
        </w:rPr>
        <w:t>i</w:t>
      </w:r>
      <w:r w:rsidR="00C009A2" w:rsidRPr="00AE06BB">
        <w:rPr>
          <w:i/>
        </w:rPr>
        <w:t>d.</w:t>
      </w:r>
      <w:r w:rsidR="00C009A2">
        <w:rPr>
          <w:i/>
        </w:rPr>
        <w:t xml:space="preserve"> </w:t>
      </w:r>
      <w:r>
        <w:t xml:space="preserve">at 1907.  WTA claims that almost all of its members providing cable service and negatively impacted by the current DMA assignment system are “exempt” from the Form 325 requirement.  </w:t>
      </w:r>
      <w:r w:rsidRPr="00F5745C">
        <w:rPr>
          <w:i/>
        </w:rPr>
        <w:t>See</w:t>
      </w:r>
      <w:r>
        <w:t xml:space="preserve"> WTA Comments at 4 (WTA’s claimed exemption refers to the requirement that only a sample </w:t>
      </w:r>
      <w:r w:rsidRPr="00C90314">
        <w:rPr>
          <w:szCs w:val="22"/>
        </w:rPr>
        <w:t>of systems with fewer than 20,000 subscribers</w:t>
      </w:r>
      <w:r>
        <w:rPr>
          <w:szCs w:val="22"/>
        </w:rPr>
        <w:t xml:space="preserve"> are required to file the form each year.)</w:t>
      </w:r>
      <w:r>
        <w:t>.</w:t>
      </w:r>
    </w:p>
  </w:footnote>
  <w:footnote w:id="118">
    <w:p w:rsidR="00D7796A" w:rsidRDefault="00D7796A" w:rsidP="00C03A11">
      <w:pPr>
        <w:pStyle w:val="FootnoteText"/>
      </w:pPr>
      <w:r>
        <w:rPr>
          <w:rStyle w:val="FootnoteReference"/>
        </w:rPr>
        <w:footnoteRef/>
      </w:r>
      <w:r>
        <w:t xml:space="preserve"> NAB Comments at 6.</w:t>
      </w:r>
    </w:p>
  </w:footnote>
  <w:footnote w:id="119">
    <w:p w:rsidR="00D7796A" w:rsidRDefault="00D7796A" w:rsidP="00C03A11">
      <w:pPr>
        <w:pStyle w:val="FootnoteText"/>
      </w:pPr>
      <w:r>
        <w:rPr>
          <w:rStyle w:val="FootnoteReference"/>
        </w:rPr>
        <w:footnoteRef/>
      </w:r>
      <w:r>
        <w:t xml:space="preserve"> </w:t>
      </w:r>
      <w:r w:rsidR="00C009A2" w:rsidRPr="00AE06BB">
        <w:rPr>
          <w:i/>
        </w:rPr>
        <w:t>Id.</w:t>
      </w:r>
      <w:r>
        <w:t>; WTA Reply at 2-3.</w:t>
      </w:r>
    </w:p>
  </w:footnote>
  <w:footnote w:id="120">
    <w:p w:rsidR="00D7796A" w:rsidRDefault="00D7796A" w:rsidP="00C03A11">
      <w:pPr>
        <w:pStyle w:val="FootnoteText"/>
      </w:pPr>
      <w:r>
        <w:rPr>
          <w:rStyle w:val="FootnoteReference"/>
        </w:rPr>
        <w:footnoteRef/>
      </w:r>
      <w:r>
        <w:t xml:space="preserve"> NAB Comments at 6 n.12; WTA Reply at 2-3.  </w:t>
      </w:r>
    </w:p>
  </w:footnote>
  <w:footnote w:id="121">
    <w:p w:rsidR="00D7796A" w:rsidRDefault="00D7796A" w:rsidP="00C03A11">
      <w:pPr>
        <w:pStyle w:val="FootnoteText"/>
      </w:pPr>
      <w:r>
        <w:rPr>
          <w:rStyle w:val="FootnoteReference"/>
        </w:rPr>
        <w:footnoteRef/>
      </w:r>
      <w:r>
        <w:t xml:space="preserve"> Comments of the National Association of Broadcasters, MB Docket 10-238, filed Jan. 24, 2011, Attachment A at 9-11 (2011 NAB Comments).</w:t>
      </w:r>
    </w:p>
  </w:footnote>
  <w:footnote w:id="122">
    <w:p w:rsidR="00D7796A" w:rsidRDefault="00D7796A" w:rsidP="00C03A11">
      <w:pPr>
        <w:pStyle w:val="FootnoteText"/>
      </w:pPr>
      <w:r>
        <w:rPr>
          <w:rStyle w:val="FootnoteReference"/>
        </w:rPr>
        <w:footnoteRef/>
      </w:r>
      <w:r>
        <w:t xml:space="preserve"> </w:t>
      </w:r>
      <w:r w:rsidR="00E96F1D" w:rsidRPr="00AE06BB">
        <w:rPr>
          <w:i/>
        </w:rPr>
        <w:t>Id.</w:t>
      </w:r>
      <w:r>
        <w:t>, Attachment A at 10.</w:t>
      </w:r>
    </w:p>
  </w:footnote>
  <w:footnote w:id="123">
    <w:p w:rsidR="00D7796A" w:rsidRDefault="00D7796A" w:rsidP="00C03A11">
      <w:pPr>
        <w:pStyle w:val="FootnoteText"/>
      </w:pPr>
      <w:r>
        <w:rPr>
          <w:rStyle w:val="FootnoteReference"/>
        </w:rPr>
        <w:footnoteRef/>
      </w:r>
      <w:r>
        <w:t xml:space="preserve"> </w:t>
      </w:r>
      <w:r w:rsidR="00E96F1D" w:rsidRPr="00AE06BB">
        <w:rPr>
          <w:i/>
        </w:rPr>
        <w:t>Id.</w:t>
      </w:r>
      <w:r>
        <w:t>, Attachment A at 10 n.12.</w:t>
      </w:r>
    </w:p>
  </w:footnote>
  <w:footnote w:id="124">
    <w:p w:rsidR="00D7796A" w:rsidRDefault="00D7796A" w:rsidP="00C03A11">
      <w:pPr>
        <w:pStyle w:val="FootnoteText"/>
      </w:pPr>
      <w:r>
        <w:rPr>
          <w:rStyle w:val="FootnoteReference"/>
        </w:rPr>
        <w:footnoteRef/>
      </w:r>
      <w:r>
        <w:t xml:space="preserve"> OET Bulletin No. 69 (Feb. 6, 2004) provides guidance on the use of the Longley-Rice propagation model and </w:t>
      </w:r>
      <w:smartTag w:uri="urn:schemas-microsoft-com:office:smarttags" w:element="country-region">
        <w:smartTag w:uri="urn:schemas-microsoft-com:office:smarttags" w:element="place">
          <w:r>
            <w:t>U.S.</w:t>
          </w:r>
        </w:smartTag>
      </w:smartTag>
      <w:r>
        <w:t xml:space="preserve"> census blocks to evaluate TV service coverage and interference.  The bulletin is available at </w:t>
      </w:r>
      <w:hyperlink r:id="rId2" w:history="1">
        <w:r w:rsidRPr="00A5784E">
          <w:rPr>
            <w:rStyle w:val="Hyperlink"/>
          </w:rPr>
          <w:t>https://www.fcc.gov/general/oet-bulletins-line</w:t>
        </w:r>
      </w:hyperlink>
      <w:r>
        <w:t xml:space="preserve">.    </w:t>
      </w:r>
    </w:p>
  </w:footnote>
  <w:footnote w:id="125">
    <w:p w:rsidR="00D7796A" w:rsidRDefault="00D7796A" w:rsidP="00C03A11">
      <w:pPr>
        <w:pStyle w:val="FootnoteText"/>
      </w:pPr>
      <w:r>
        <w:rPr>
          <w:rStyle w:val="FootnoteReference"/>
        </w:rPr>
        <w:footnoteRef/>
      </w:r>
      <w:r>
        <w:t xml:space="preserve"> </w:t>
      </w:r>
      <w:r w:rsidRPr="00CC18E7">
        <w:t xml:space="preserve">The FCC’s Office of Engineering and Technology (OET) has released software, called </w:t>
      </w:r>
      <w:r w:rsidRPr="00CC18E7">
        <w:rPr>
          <w:i/>
          <w:iCs/>
        </w:rPr>
        <w:t>TVStudy</w:t>
      </w:r>
      <w:r w:rsidRPr="00CC18E7">
        <w:t>, which interfaces with data contained in FCC Media Bureau’s CDBS/LMS databases and is used to perform coverage and interference analyses of full service digital a</w:t>
      </w:r>
      <w:r>
        <w:t xml:space="preserve">nd Class A television stations.  Additional information regarding </w:t>
      </w:r>
      <w:r w:rsidRPr="00CC18E7">
        <w:rPr>
          <w:i/>
        </w:rPr>
        <w:t>TVStudy</w:t>
      </w:r>
      <w:r>
        <w:t xml:space="preserve"> is available at </w:t>
      </w:r>
      <w:hyperlink r:id="rId3" w:history="1">
        <w:r w:rsidRPr="00A5784E">
          <w:rPr>
            <w:rStyle w:val="Hyperlink"/>
          </w:rPr>
          <w:t>https://www.fcc.gov/engineering-technology/electromagnetic-compatibility-division/general/tvstudy-interference-analysis</w:t>
        </w:r>
      </w:hyperlink>
      <w:r>
        <w:t xml:space="preserve">. </w:t>
      </w:r>
    </w:p>
  </w:footnote>
  <w:footnote w:id="126">
    <w:p w:rsidR="00D7796A" w:rsidRDefault="00D7796A" w:rsidP="00193C37">
      <w:pPr>
        <w:pStyle w:val="FootnoteText"/>
      </w:pPr>
      <w:r>
        <w:rPr>
          <w:rStyle w:val="FootnoteReference"/>
        </w:rPr>
        <w:footnoteRef/>
      </w:r>
      <w:r>
        <w:t xml:space="preserve">  W</w:t>
      </w:r>
      <w:r w:rsidRPr="0069601A">
        <w:t xml:space="preserve">e </w:t>
      </w:r>
      <w:r>
        <w:t xml:space="preserve">have </w:t>
      </w:r>
      <w:r w:rsidRPr="0069601A">
        <w:t>use</w:t>
      </w:r>
      <w:r>
        <w:t>d</w:t>
      </w:r>
      <w:r w:rsidRPr="0069601A">
        <w:t xml:space="preserve"> </w:t>
      </w:r>
      <w:r>
        <w:t xml:space="preserve">the </w:t>
      </w:r>
      <w:r w:rsidRPr="0069601A">
        <w:t>O</w:t>
      </w:r>
      <w:r>
        <w:t>ET Bulletin No. 69 methodology, known as the Longley-Rice propagation model, t</w:t>
      </w:r>
      <w:r w:rsidRPr="0069601A">
        <w:t xml:space="preserve">o determine the predicted service area for purposes of </w:t>
      </w:r>
      <w:r>
        <w:t>our Section 109(a)(1)(A)</w:t>
      </w:r>
      <w:r w:rsidRPr="0069601A">
        <w:t xml:space="preserve"> </w:t>
      </w:r>
      <w:r>
        <w:t>analysis</w:t>
      </w:r>
      <w:r w:rsidRPr="0069601A">
        <w:t>.</w:t>
      </w:r>
      <w:r>
        <w:t xml:space="preserve">  T</w:t>
      </w:r>
      <w:r w:rsidRPr="0069601A">
        <w:t>he data set forth in this Report are based on a predictive model regarding the availability of broadcast t</w:t>
      </w:r>
      <w:r>
        <w:t>elevision stations via over the air</w:t>
      </w:r>
      <w:r w:rsidRPr="0069601A">
        <w:t xml:space="preserve"> transmission. </w:t>
      </w:r>
      <w:r>
        <w:t xml:space="preserve"> Consistent with </w:t>
      </w:r>
      <w:r w:rsidRPr="0069601A">
        <w:t xml:space="preserve">our assessment of the questions posed by Sections </w:t>
      </w:r>
      <w:r>
        <w:t>109 of the STELAR, w</w:t>
      </w:r>
      <w:r w:rsidRPr="0069601A">
        <w:t xml:space="preserve">e believe that this approach yields the most accurate data </w:t>
      </w:r>
      <w:r>
        <w:t>with respect to the analysis required by Section 109(a)(1)(A)</w:t>
      </w:r>
      <w:r w:rsidRPr="0069601A">
        <w:t xml:space="preserve">. </w:t>
      </w:r>
      <w:r>
        <w:t xml:space="preserve"> I</w:t>
      </w:r>
      <w:r w:rsidRPr="0069601A">
        <w:t xml:space="preserve">n this Report, with respect to </w:t>
      </w:r>
      <w:r>
        <w:t>over the air</w:t>
      </w:r>
      <w:r w:rsidRPr="0069601A">
        <w:t xml:space="preserve"> broadcasting, we use the terms “receive” and “have access to” interchangeably. </w:t>
      </w:r>
      <w:r>
        <w:t xml:space="preserve"> </w:t>
      </w:r>
      <w:r w:rsidRPr="0069601A">
        <w:t xml:space="preserve">We define these terms to mean that </w:t>
      </w:r>
      <w:r>
        <w:t>populations</w:t>
      </w:r>
      <w:r w:rsidRPr="0069601A">
        <w:t xml:space="preserve"> fall within the predicted </w:t>
      </w:r>
      <w:r>
        <w:t>over the air</w:t>
      </w:r>
      <w:r w:rsidRPr="0069601A">
        <w:t xml:space="preserve"> service area of </w:t>
      </w:r>
      <w:r>
        <w:t>out-of-state</w:t>
      </w:r>
      <w:r w:rsidRPr="0069601A">
        <w:t xml:space="preserve"> broadcast stations. </w:t>
      </w:r>
      <w:r>
        <w:t xml:space="preserve"> </w:t>
      </w:r>
      <w:r w:rsidRPr="0069601A">
        <w:t xml:space="preserve">Nonetheless, we recognize that certain </w:t>
      </w:r>
      <w:r>
        <w:t>areas</w:t>
      </w:r>
      <w:r w:rsidRPr="0069601A">
        <w:t xml:space="preserve"> may not be able to access a station for various reasons, including signal interference or the lack of a suitable antenna or other equipment. </w:t>
      </w:r>
      <w:r>
        <w:t xml:space="preserve"> </w:t>
      </w:r>
      <w:r w:rsidRPr="0069601A">
        <w:t xml:space="preserve">Moreover, </w:t>
      </w:r>
      <w:r>
        <w:t xml:space="preserve">one’s </w:t>
      </w:r>
      <w:r w:rsidRPr="0069601A">
        <w:t xml:space="preserve">ability to “receive” or “have access to” the signal of a broadcast television station via </w:t>
      </w:r>
      <w:r>
        <w:t>over the air</w:t>
      </w:r>
      <w:r w:rsidRPr="0069601A">
        <w:t xml:space="preserve"> transmission may be impacted by a range of other factors that we cannot determine and assess for the purposes of this Report.</w:t>
      </w:r>
      <w:r>
        <w:t xml:space="preserve"> </w:t>
      </w:r>
      <w:r w:rsidRPr="0069601A">
        <w:t xml:space="preserve"> The Longley-Rice propagation model cannot account for these situations. </w:t>
      </w:r>
      <w:r>
        <w:t xml:space="preserve"> </w:t>
      </w:r>
      <w:r w:rsidRPr="0069601A">
        <w:t xml:space="preserve">Therefore, the data set forth in this Report and the Appendices are predictions of the </w:t>
      </w:r>
      <w:r>
        <w:t>over the air</w:t>
      </w:r>
      <w:r w:rsidRPr="0069601A">
        <w:t xml:space="preserve"> broadcast service that should be available in certain markets and to certain </w:t>
      </w:r>
      <w:r>
        <w:t>populations</w:t>
      </w:r>
      <w:r w:rsidRPr="0069601A">
        <w:t>.</w:t>
      </w:r>
      <w:r>
        <w:t xml:space="preserve"> </w:t>
      </w:r>
      <w:r w:rsidRPr="0069601A">
        <w:t xml:space="preserve"> </w:t>
      </w:r>
    </w:p>
  </w:footnote>
  <w:footnote w:id="127">
    <w:p w:rsidR="00D7796A" w:rsidRDefault="00D7796A" w:rsidP="00C03A11">
      <w:pPr>
        <w:pStyle w:val="FootnoteText"/>
      </w:pPr>
      <w:r>
        <w:rPr>
          <w:rStyle w:val="FootnoteReference"/>
        </w:rPr>
        <w:footnoteRef/>
      </w:r>
      <w:r>
        <w:t xml:space="preserve"> Census blocks</w:t>
      </w:r>
      <w:r>
        <w:rPr>
          <w:b/>
          <w:bCs/>
        </w:rPr>
        <w:t xml:space="preserve"> </w:t>
      </w:r>
      <w:r>
        <w:t xml:space="preserve">are statistical areas bounded by visible features, such as streets, roads, streams and railroad tracks, and by non-visible boundaries, such as selected property lines and city, township, school district and county limits, and short line-of-sight extensions of streets and roads.  Census blocks do not cross county lines or state lines.  Census blocks cover the entire territory of the United States, Puerto Rico, and the Island Areas.  Census blocks nest within all other tabulated census geographic entities and are the basis for all tabulated data.  </w:t>
      </w:r>
      <w:r>
        <w:rPr>
          <w:i/>
        </w:rPr>
        <w:t xml:space="preserve">See </w:t>
      </w:r>
      <w:r w:rsidRPr="00402B39">
        <w:t>2010 Census Geographic Terms and Concepts</w:t>
      </w:r>
      <w:r>
        <w:t xml:space="preserve">, </w:t>
      </w:r>
      <w:hyperlink r:id="rId4" w:history="1">
        <w:r w:rsidRPr="00344D32">
          <w:rPr>
            <w:rStyle w:val="Hyperlink"/>
          </w:rPr>
          <w:t>https://www.census.gov/geo/reference/terms.html</w:t>
        </w:r>
      </w:hyperlink>
      <w:r>
        <w:t>.</w:t>
      </w:r>
    </w:p>
  </w:footnote>
  <w:footnote w:id="128">
    <w:p w:rsidR="00D7796A" w:rsidRDefault="00D7796A" w:rsidP="00C03A11">
      <w:pPr>
        <w:pStyle w:val="FootnoteText"/>
      </w:pPr>
      <w:r>
        <w:rPr>
          <w:rStyle w:val="FootnoteReference"/>
        </w:rPr>
        <w:footnoteRef/>
      </w:r>
      <w:r>
        <w:t xml:space="preserve"> The internal point of a census block is a set of geographic coordinates (latitude and longitude) that is located within a census block.  </w:t>
      </w:r>
      <w:r w:rsidRPr="008D2B93">
        <w:rPr>
          <w:i/>
        </w:rPr>
        <w:t>See</w:t>
      </w:r>
      <w:r>
        <w:t xml:space="preserve"> </w:t>
      </w:r>
      <w:hyperlink r:id="rId5" w:anchor="InternalPoint" w:history="1">
        <w:r>
          <w:rPr>
            <w:rStyle w:val="Hyperlink"/>
          </w:rPr>
          <w:t>http://www.census.gov/geo/www/geo_defn.html#InternalPoint</w:t>
        </w:r>
      </w:hyperlink>
      <w:r>
        <w:t xml:space="preserve">. </w:t>
      </w:r>
    </w:p>
  </w:footnote>
  <w:footnote w:id="129">
    <w:p w:rsidR="00D7796A" w:rsidRDefault="00D7796A" w:rsidP="00C03A11">
      <w:pPr>
        <w:pStyle w:val="FootnoteText"/>
      </w:pPr>
      <w:r>
        <w:rPr>
          <w:rStyle w:val="FootnoteReference"/>
        </w:rPr>
        <w:footnoteRef/>
      </w:r>
      <w:r>
        <w:t xml:space="preserve"> </w:t>
      </w:r>
      <w:r w:rsidRPr="0020406F">
        <w:rPr>
          <w:i/>
        </w:rPr>
        <w:t>See</w:t>
      </w:r>
      <w:r>
        <w:rPr>
          <w:i/>
        </w:rPr>
        <w:t xml:space="preserve"> </w:t>
      </w:r>
      <w:hyperlink r:id="rId6" w:history="1">
        <w:r w:rsidRPr="009674CC">
          <w:rPr>
            <w:rStyle w:val="Hyperlink"/>
          </w:rPr>
          <w:t>http://factfinder.census.gov/faces/nav/jsf/pages/index.xhtml</w:t>
        </w:r>
      </w:hyperlink>
      <w:r>
        <w:t xml:space="preserve">.  </w:t>
      </w:r>
    </w:p>
  </w:footnote>
  <w:footnote w:id="130">
    <w:p w:rsidR="00D7796A" w:rsidRDefault="00D7796A" w:rsidP="00C03A11">
      <w:pPr>
        <w:pStyle w:val="FootnoteText"/>
      </w:pPr>
      <w:r>
        <w:rPr>
          <w:rStyle w:val="FootnoteReference"/>
        </w:rPr>
        <w:footnoteRef/>
      </w:r>
      <w:r>
        <w:t xml:space="preserve"> </w:t>
      </w:r>
      <w:r w:rsidRPr="00B82CB9">
        <w:rPr>
          <w:i/>
        </w:rPr>
        <w:t>See</w:t>
      </w:r>
      <w:r>
        <w:t xml:space="preserve"> </w:t>
      </w:r>
      <w:hyperlink r:id="rId7" w:history="1">
        <w:r w:rsidRPr="009674CC">
          <w:rPr>
            <w:rStyle w:val="Hyperlink"/>
          </w:rPr>
          <w:t>http://www.census.gov/geo/maps-data/</w:t>
        </w:r>
      </w:hyperlink>
      <w:r>
        <w:t xml:space="preserve">.  Grid cells can overlap county borders, so population estimates may differ slightly, less than one percent, from Census data.  </w:t>
      </w:r>
      <w:r w:rsidRPr="00270A3B">
        <w:t>Further, as grid cells can overlap county borders, in some cases a small amount of population from one county is added to an adjacent county, with the result that a station may be shown as serving slightly more population than exists within the county.  Such deviations are typically within 1 percent or less of the population.</w:t>
      </w:r>
    </w:p>
  </w:footnote>
  <w:footnote w:id="131">
    <w:p w:rsidR="00D7796A" w:rsidRDefault="00D7796A" w:rsidP="00C03A11">
      <w:pPr>
        <w:pStyle w:val="FootnoteText"/>
      </w:pPr>
      <w:r>
        <w:rPr>
          <w:rStyle w:val="FootnoteReference"/>
        </w:rPr>
        <w:footnoteRef/>
      </w:r>
      <w:r>
        <w:t xml:space="preserve"> </w:t>
      </w:r>
      <w:r w:rsidRPr="00B82CB9">
        <w:rPr>
          <w:i/>
        </w:rPr>
        <w:t>See</w:t>
      </w:r>
      <w:r>
        <w:t xml:space="preserve"> </w:t>
      </w:r>
      <w:hyperlink r:id="rId8" w:history="1">
        <w:r w:rsidRPr="009674CC">
          <w:rPr>
            <w:rStyle w:val="Hyperlink"/>
          </w:rPr>
          <w:t>http://licensing.fcc.gov/prod/cdbs/pubacc/prod/cdbs_pa.htm</w:t>
        </w:r>
      </w:hyperlink>
      <w:r>
        <w:t xml:space="preserve">. </w:t>
      </w:r>
    </w:p>
  </w:footnote>
  <w:footnote w:id="132">
    <w:p w:rsidR="00D7796A" w:rsidRDefault="00D7796A">
      <w:pPr>
        <w:pStyle w:val="FootnoteText"/>
      </w:pPr>
      <w:r>
        <w:rPr>
          <w:rStyle w:val="FootnoteReference"/>
        </w:rPr>
        <w:footnoteRef/>
      </w:r>
      <w:r>
        <w:t xml:space="preserve"> Appendix A – List 5 is available at </w:t>
      </w:r>
      <w:hyperlink r:id="rId9" w:history="1">
        <w:r>
          <w:rPr>
            <w:rStyle w:val="Hyperlink"/>
          </w:rPr>
          <w:t>https://www.fcc.gov/2016-stelar-section-109-report-congress</w:t>
        </w:r>
      </w:hyperlink>
      <w:r>
        <w:t>.</w:t>
      </w:r>
    </w:p>
  </w:footnote>
  <w:footnote w:id="133">
    <w:p w:rsidR="00D7796A" w:rsidRDefault="00D7796A">
      <w:pPr>
        <w:pStyle w:val="FootnoteText"/>
      </w:pPr>
      <w:r>
        <w:rPr>
          <w:rStyle w:val="FootnoteReference"/>
        </w:rPr>
        <w:footnoteRef/>
      </w:r>
      <w:r>
        <w:t xml:space="preserve"> A standard deviation is a measure of how far the values of a statistical distribution range from the mean.  With a normal distribution (a statistical term that approximates to what is referred to as the “bell curve”), 68 percent of the population will fall within one standard deviation plus or minus of the mean, and 95 percent will fall within two standard deviations plus or minus of the mean.  While the distribution of out-of-market signals is not a normal distribution, this rule is still an approximation of the distribution of out-of-market signals.  </w:t>
      </w:r>
    </w:p>
  </w:footnote>
  <w:footnote w:id="134">
    <w:p w:rsidR="00D7796A" w:rsidRDefault="00D7796A" w:rsidP="005721E2">
      <w:pPr>
        <w:pStyle w:val="FootnoteText"/>
      </w:pPr>
      <w:r>
        <w:rPr>
          <w:rStyle w:val="FootnoteReference"/>
        </w:rPr>
        <w:footnoteRef/>
      </w:r>
      <w:r>
        <w:t xml:space="preserve"> The top-five DMAs are:  New York, NY with access to 54 out-of-market signals; Charlotte, NC with 50; Atlanta, GA with 49; Hartford-New Britain-Middletown, CT with 49; and Raleigh Durham, NC with 47.</w:t>
      </w:r>
    </w:p>
  </w:footnote>
  <w:footnote w:id="135">
    <w:p w:rsidR="00D7796A" w:rsidRDefault="00D7796A" w:rsidP="005721E2">
      <w:pPr>
        <w:pStyle w:val="FootnoteText"/>
      </w:pPr>
      <w:r>
        <w:rPr>
          <w:rStyle w:val="FootnoteReference"/>
        </w:rPr>
        <w:footnoteRef/>
      </w:r>
      <w:r>
        <w:t xml:space="preserve">  Internal Bureau analysis based on building DMA population from internal county populations.  Note that this will differ from Nielsen analysis, which looks at television households, not total population.</w:t>
      </w:r>
    </w:p>
  </w:footnote>
  <w:footnote w:id="136">
    <w:p w:rsidR="00D7796A" w:rsidRPr="00A0519B" w:rsidRDefault="00D7796A">
      <w:pPr>
        <w:pStyle w:val="FootnoteText"/>
      </w:pPr>
      <w:r w:rsidRPr="00A0519B">
        <w:rPr>
          <w:rStyle w:val="FootnoteReference"/>
        </w:rPr>
        <w:footnoteRef/>
      </w:r>
      <w:r>
        <w:t xml:space="preserve"> </w:t>
      </w:r>
      <w:r w:rsidRPr="00A0519B">
        <w:t xml:space="preserve"> The arithmetic (unweighted) average calculates the average number of signals </w:t>
      </w:r>
      <w:r w:rsidRPr="00A0519B">
        <w:rPr>
          <w:i/>
          <w:iCs/>
        </w:rPr>
        <w:t>per DMA</w:t>
      </w:r>
      <w:r w:rsidRPr="00A0519B">
        <w:t>.  However, since populations vary widely by DMA, this figure does not represent what an average person can view across DMAs; the unweighted average will treat a DMA with a tiny population the same as a DMA with the greatest population.  To account for this issue, weighting the average number of signals by the population of the DMA produces an average that can be regarded as the average number of out-of-market signals an individual might receive.</w:t>
      </w:r>
    </w:p>
  </w:footnote>
  <w:footnote w:id="137">
    <w:p w:rsidR="00D7796A" w:rsidRDefault="00D7796A" w:rsidP="005721E2">
      <w:pPr>
        <w:pStyle w:val="FootnoteText"/>
      </w:pPr>
      <w:r>
        <w:rPr>
          <w:rStyle w:val="FootnoteReference"/>
        </w:rPr>
        <w:footnoteRef/>
      </w:r>
      <w:r>
        <w:t xml:space="preserve">  The unweighted average of out-of-market signals by DMA is </w:t>
      </w:r>
      <w:r w:rsidRPr="005B5A84">
        <w:t xml:space="preserve">20.6333 </w:t>
      </w:r>
      <w:r>
        <w:t>with a</w:t>
      </w:r>
      <w:r w:rsidRPr="005B5A84">
        <w:t xml:space="preserve"> standard deviation </w:t>
      </w:r>
      <w:r>
        <w:t xml:space="preserve">of </w:t>
      </w:r>
      <w:r w:rsidRPr="005B5A84">
        <w:t>12.4129</w:t>
      </w:r>
      <w:r>
        <w:t>.</w:t>
      </w:r>
    </w:p>
  </w:footnote>
  <w:footnote w:id="138">
    <w:p w:rsidR="00D7796A" w:rsidRDefault="00D7796A">
      <w:pPr>
        <w:pStyle w:val="FootnoteText"/>
      </w:pPr>
      <w:r w:rsidRPr="00A0519B">
        <w:rPr>
          <w:rStyle w:val="FootnoteReference"/>
        </w:rPr>
        <w:footnoteRef/>
      </w:r>
      <w:r w:rsidRPr="00A0519B">
        <w:t xml:space="preserve"> </w:t>
      </w:r>
      <w:r>
        <w:t xml:space="preserve"> </w:t>
      </w:r>
      <w:r w:rsidRPr="00A0519B">
        <w:t>Not all out-of-DMA signals cover the same percentage of a DMA; some cover virtually the entire DMA, and others cover less than 5 percent of a DMA.  To adjust for this fact, we created a “viewability index”:  based on predictions of the percentage of the counties of a DMA an out-of-market signal can reach, we multiply this percentage by the number of out-of-market signals to adjust the number of out-of-market signals for the percentage of a DMA the signals actually reach.</w:t>
      </w:r>
    </w:p>
  </w:footnote>
  <w:footnote w:id="139">
    <w:p w:rsidR="00D7796A" w:rsidRDefault="00D7796A" w:rsidP="005B5A84">
      <w:pPr>
        <w:pStyle w:val="FootnoteText"/>
      </w:pPr>
      <w:r>
        <w:rPr>
          <w:rStyle w:val="FootnoteReference"/>
        </w:rPr>
        <w:footnoteRef/>
      </w:r>
      <w:r>
        <w:t xml:space="preserve">  If a DMA had three out-of-market stations and all of them reached the entire population, the number of out-of-market signals would equal the viewability index of signals at 3.  If, however, each station covered one-third of the population, the number would still be three, but the viewability index would be 0.333 * 3 = 1.</w:t>
      </w:r>
    </w:p>
  </w:footnote>
  <w:footnote w:id="140">
    <w:p w:rsidR="00D7796A" w:rsidRDefault="00D7796A" w:rsidP="003A5C9B">
      <w:pPr>
        <w:pStyle w:val="FootnoteText"/>
      </w:pPr>
      <w:r>
        <w:rPr>
          <w:rStyle w:val="FootnoteReference"/>
        </w:rPr>
        <w:footnoteRef/>
      </w:r>
      <w:r>
        <w:t xml:space="preserve">  To illustrate the effect of large counties on unadjusted averages, the 35 counties with 20 or more out-of-market signals (</w:t>
      </w:r>
      <w:r w:rsidRPr="001C43EC">
        <w:t>Riverside County, California</w:t>
      </w:r>
      <w:r>
        <w:t xml:space="preserve">; </w:t>
      </w:r>
      <w:r w:rsidRPr="001C43EC">
        <w:t>Hampden County, Massachusetts</w:t>
      </w:r>
      <w:r>
        <w:t xml:space="preserve">; </w:t>
      </w:r>
      <w:r w:rsidRPr="001C43EC">
        <w:t>Hampshire County, Massachusetts</w:t>
      </w:r>
      <w:r>
        <w:t xml:space="preserve">; </w:t>
      </w:r>
      <w:r w:rsidRPr="001C43EC">
        <w:t>Lancaster County, Pennsylvania</w:t>
      </w:r>
      <w:r>
        <w:t xml:space="preserve">; </w:t>
      </w:r>
      <w:r w:rsidRPr="001C43EC">
        <w:t>Franklin County, Massachusetts</w:t>
      </w:r>
      <w:r>
        <w:t xml:space="preserve">; </w:t>
      </w:r>
      <w:r w:rsidRPr="001C43EC">
        <w:t>Hunterdon County, New Jersey</w:t>
      </w:r>
      <w:r>
        <w:t xml:space="preserve">; </w:t>
      </w:r>
      <w:r w:rsidRPr="001C43EC">
        <w:t>San Diego County, California</w:t>
      </w:r>
      <w:r>
        <w:t xml:space="preserve">; </w:t>
      </w:r>
      <w:r w:rsidRPr="001C43EC">
        <w:t>Kern County, California</w:t>
      </w:r>
      <w:r>
        <w:t xml:space="preserve">; </w:t>
      </w:r>
      <w:r w:rsidRPr="001C43EC">
        <w:t>Carroll County, Maryland</w:t>
      </w:r>
      <w:r>
        <w:t xml:space="preserve">; </w:t>
      </w:r>
      <w:r w:rsidRPr="001C43EC">
        <w:t>Kent County, Maryland</w:t>
      </w:r>
      <w:r>
        <w:t xml:space="preserve">; </w:t>
      </w:r>
      <w:r w:rsidRPr="001C43EC">
        <w:t>Windham County, Connecticut</w:t>
      </w:r>
      <w:r>
        <w:t xml:space="preserve">; </w:t>
      </w:r>
      <w:r w:rsidRPr="001C43EC">
        <w:t>Walworth County, Wisconsin</w:t>
      </w:r>
      <w:r>
        <w:t xml:space="preserve">; </w:t>
      </w:r>
      <w:r w:rsidRPr="001C43EC">
        <w:t>Warren County, New Jersey</w:t>
      </w:r>
      <w:r>
        <w:t xml:space="preserve">; </w:t>
      </w:r>
      <w:r w:rsidRPr="001C43EC">
        <w:t>Columbiana County, Ohio</w:t>
      </w:r>
      <w:r>
        <w:t xml:space="preserve">; </w:t>
      </w:r>
      <w:r w:rsidRPr="001C43EC">
        <w:t>Cecil County, Maryland</w:t>
      </w:r>
      <w:r>
        <w:t xml:space="preserve">; </w:t>
      </w:r>
      <w:r w:rsidRPr="001C43EC">
        <w:t>Harford County, Maryland</w:t>
      </w:r>
      <w:r>
        <w:t xml:space="preserve">; </w:t>
      </w:r>
      <w:r w:rsidR="007B42D8">
        <w:t>Queen Anne’</w:t>
      </w:r>
      <w:r w:rsidRPr="001C43EC">
        <w:t>s County, Maryland</w:t>
      </w:r>
      <w:r>
        <w:t xml:space="preserve">; </w:t>
      </w:r>
      <w:r w:rsidRPr="001C43EC">
        <w:t>Delaware County</w:t>
      </w:r>
      <w:r>
        <w:t>;</w:t>
      </w:r>
      <w:r w:rsidRPr="001C43EC">
        <w:t xml:space="preserve"> New York</w:t>
      </w:r>
      <w:r>
        <w:t xml:space="preserve">; </w:t>
      </w:r>
      <w:r w:rsidRPr="001C43EC">
        <w:t>Worcester County, Massachusetts</w:t>
      </w:r>
      <w:r>
        <w:t xml:space="preserve">; </w:t>
      </w:r>
      <w:r w:rsidRPr="001C43EC">
        <w:t>Richmond County</w:t>
      </w:r>
      <w:r>
        <w:t>;</w:t>
      </w:r>
      <w:r w:rsidRPr="001C43EC">
        <w:t xml:space="preserve"> North Carolina</w:t>
      </w:r>
      <w:r>
        <w:t xml:space="preserve">; </w:t>
      </w:r>
      <w:r w:rsidRPr="001C43EC">
        <w:t>Jackson County, Michigan</w:t>
      </w:r>
      <w:r>
        <w:t xml:space="preserve">; </w:t>
      </w:r>
      <w:r w:rsidRPr="001C43EC">
        <w:t>Kent County</w:t>
      </w:r>
      <w:r>
        <w:t>,</w:t>
      </w:r>
      <w:r w:rsidRPr="001C43EC">
        <w:t xml:space="preserve"> Rhode Island</w:t>
      </w:r>
      <w:r>
        <w:t xml:space="preserve">; </w:t>
      </w:r>
      <w:r w:rsidRPr="001C43EC">
        <w:t>Providence County, Rhode Island</w:t>
      </w:r>
      <w:r>
        <w:t xml:space="preserve">; </w:t>
      </w:r>
      <w:r w:rsidRPr="001C43EC">
        <w:t>Berrien County, Michigan</w:t>
      </w:r>
      <w:r>
        <w:t xml:space="preserve">; </w:t>
      </w:r>
      <w:r w:rsidRPr="001C43EC">
        <w:t>Mahoning County, Ohio</w:t>
      </w:r>
      <w:r>
        <w:t xml:space="preserve">; </w:t>
      </w:r>
      <w:r w:rsidRPr="001C43EC">
        <w:t>Baltimore County, Maryland</w:t>
      </w:r>
      <w:r>
        <w:t xml:space="preserve">; </w:t>
      </w:r>
      <w:r w:rsidRPr="001C43EC">
        <w:t>Howard County, Maryland</w:t>
      </w:r>
      <w:r>
        <w:t xml:space="preserve">; </w:t>
      </w:r>
      <w:r w:rsidRPr="001C43EC">
        <w:t>Montgomery County, North Carolina</w:t>
      </w:r>
      <w:r>
        <w:t xml:space="preserve">; </w:t>
      </w:r>
      <w:r w:rsidRPr="001C43EC">
        <w:t>Madison County, North Carolina</w:t>
      </w:r>
      <w:r>
        <w:t xml:space="preserve">; </w:t>
      </w:r>
      <w:r w:rsidRPr="001C43EC">
        <w:t>Litchfield County, Connecticut</w:t>
      </w:r>
      <w:r>
        <w:t xml:space="preserve">; </w:t>
      </w:r>
      <w:r w:rsidRPr="001C43EC">
        <w:t>New Haven County, Connecticut</w:t>
      </w:r>
      <w:r>
        <w:t xml:space="preserve">; </w:t>
      </w:r>
      <w:r w:rsidRPr="001C43EC">
        <w:t>Putnam County, Florida</w:t>
      </w:r>
      <w:r>
        <w:t xml:space="preserve">; </w:t>
      </w:r>
      <w:r w:rsidRPr="001C43EC">
        <w:t>Washington County, Rhode Island</w:t>
      </w:r>
      <w:r>
        <w:t xml:space="preserve">; and </w:t>
      </w:r>
      <w:r w:rsidRPr="001C43EC">
        <w:t>Greene County, Tennessee</w:t>
      </w:r>
      <w:r>
        <w:t>) have a mean population of 387,903, whereas the mean county population of all counties is only 100,541.  Thus, the number of out-of-market signals skews toward large counties, which is not surprising because high population areas tend to have a high density of broadcast signals.  For these counties, the mean number of out-of-market signals is 23, but the viewability index is 15.16.</w:t>
      </w:r>
    </w:p>
  </w:footnote>
  <w:footnote w:id="141">
    <w:p w:rsidR="00D7796A" w:rsidRDefault="00D7796A">
      <w:pPr>
        <w:pStyle w:val="FootnoteText"/>
      </w:pPr>
      <w:r>
        <w:rPr>
          <w:rStyle w:val="FootnoteReference"/>
        </w:rPr>
        <w:footnoteRef/>
      </w:r>
      <w:r>
        <w:t xml:space="preserve"> Because the coverage statistics for stations are calculated on a county basis, the calculation of the viewability index by county is simpler than by DMA. We multiple the total county coverage by out-of-market stations by the number of out-of-market stations by county to generate this statistic.</w:t>
      </w:r>
    </w:p>
  </w:footnote>
  <w:footnote w:id="142">
    <w:p w:rsidR="00D7796A" w:rsidRPr="00376EBB" w:rsidRDefault="00D7796A" w:rsidP="005721E2">
      <w:pPr>
        <w:pStyle w:val="FootnoteText"/>
        <w:rPr>
          <w:b/>
        </w:rPr>
      </w:pPr>
      <w:r>
        <w:rPr>
          <w:rStyle w:val="FootnoteReference"/>
        </w:rPr>
        <w:footnoteRef/>
      </w:r>
      <w:r>
        <w:t xml:space="preserve"> To calculate the viewability average, we used the station’s predicted population coverage as described above.  However, in about 7.5 percent of the observations the data show that more than 100 percent of the population of the county can see the signal.  As noted above, this is a result of the fact that </w:t>
      </w:r>
      <w:r w:rsidRPr="00250EA1">
        <w:t>grid cells can overlap county borders, in which case a small amount of population from one county is added to an adjacent county resulting in a station being reported as serving slightly more population than exists within the county.</w:t>
      </w:r>
      <w:r>
        <w:t xml:space="preserve"> </w:t>
      </w:r>
      <w:r w:rsidRPr="00250EA1">
        <w:t xml:space="preserve"> </w:t>
      </w:r>
      <w:r>
        <w:t xml:space="preserve">To correct for this, we replaced any value over 100 percent with 100 percent, and doing so altered the numbers only slightly.  </w:t>
      </w:r>
    </w:p>
  </w:footnote>
  <w:footnote w:id="143">
    <w:p w:rsidR="00D7796A" w:rsidRDefault="00D7796A" w:rsidP="00480AC1">
      <w:pPr>
        <w:pStyle w:val="FootnoteText"/>
      </w:pPr>
      <w:r>
        <w:rPr>
          <w:rStyle w:val="FootnoteReference"/>
        </w:rPr>
        <w:footnoteRef/>
      </w:r>
      <w:r>
        <w:t xml:space="preserve"> Nielsen does not collect data for certain unmeasured parts of Alaska.  Accordingly, we have excluded 123 low power observations (out of a total of 16,357) from our analysis, as these observations occur in the unmeasured parts of Alaska.  </w:t>
      </w:r>
      <w:r w:rsidRPr="001E5BD6">
        <w:t>Appendix A – List 6 is available</w:t>
      </w:r>
      <w:r>
        <w:t xml:space="preserve"> at </w:t>
      </w:r>
      <w:hyperlink r:id="rId10" w:history="1">
        <w:r>
          <w:rPr>
            <w:rStyle w:val="Hyperlink"/>
          </w:rPr>
          <w:t>https://www.fcc.gov/2016-stelar-section-109-report-congress</w:t>
        </w:r>
      </w:hyperlink>
      <w:r>
        <w:t>.</w:t>
      </w:r>
    </w:p>
  </w:footnote>
  <w:footnote w:id="144">
    <w:p w:rsidR="00D7796A" w:rsidRDefault="00D7796A" w:rsidP="00412188">
      <w:pPr>
        <w:pStyle w:val="FootnoteText"/>
      </w:pPr>
      <w:r>
        <w:rPr>
          <w:rStyle w:val="FootnoteReference"/>
        </w:rPr>
        <w:footnoteRef/>
      </w:r>
      <w:r>
        <w:t xml:space="preserve"> </w:t>
      </w:r>
      <w:r w:rsidRPr="00DA78F9">
        <w:rPr>
          <w:i/>
        </w:rPr>
        <w:t>See</w:t>
      </w:r>
      <w:r w:rsidRPr="00DA78F9">
        <w:t xml:space="preserve"> </w:t>
      </w:r>
      <w:r w:rsidRPr="00DA78F9">
        <w:rPr>
          <w:i/>
        </w:rPr>
        <w:t>supra</w:t>
      </w:r>
      <w:r>
        <w:t xml:space="preserve"> note </w:t>
      </w:r>
      <w:r>
        <w:fldChar w:fldCharType="begin"/>
      </w:r>
      <w:r>
        <w:instrText xml:space="preserve"> NOTEREF _Ref452470589 \h </w:instrText>
      </w:r>
      <w:r>
        <w:fldChar w:fldCharType="separate"/>
      </w:r>
      <w:r w:rsidR="008E3F28">
        <w:t>132</w:t>
      </w:r>
      <w:r>
        <w:fldChar w:fldCharType="end"/>
      </w:r>
      <w:r>
        <w:t xml:space="preserve">.  </w:t>
      </w:r>
    </w:p>
  </w:footnote>
  <w:footnote w:id="145">
    <w:p w:rsidR="00D7796A" w:rsidRDefault="00D7796A" w:rsidP="00412188">
      <w:pPr>
        <w:pStyle w:val="FootnoteText"/>
      </w:pPr>
      <w:r>
        <w:rPr>
          <w:rStyle w:val="FootnoteReference"/>
        </w:rPr>
        <w:footnoteRef/>
      </w:r>
      <w:r>
        <w:t xml:space="preserve"> DMAs with no out-of-market low power signals are identified in Appendix A – List 4 by having a 0 count of out-of-DMA signals.</w:t>
      </w:r>
    </w:p>
  </w:footnote>
  <w:footnote w:id="146">
    <w:p w:rsidR="00D7796A" w:rsidRPr="00376EBB" w:rsidRDefault="00D7796A" w:rsidP="00412188">
      <w:pPr>
        <w:pStyle w:val="FootnoteText"/>
        <w:rPr>
          <w:b/>
        </w:rPr>
      </w:pPr>
      <w:r>
        <w:rPr>
          <w:rStyle w:val="FootnoteReference"/>
        </w:rPr>
        <w:footnoteRef/>
      </w:r>
      <w:r>
        <w:t xml:space="preserve"> As noted above, in order to calculate the viewability average we used the station’s predicted population coverage.  However, because </w:t>
      </w:r>
      <w:r w:rsidRPr="00250EA1">
        <w:t xml:space="preserve">grid cells can overlap county borders, in </w:t>
      </w:r>
      <w:r>
        <w:t>some cases</w:t>
      </w:r>
      <w:r w:rsidRPr="00250EA1">
        <w:t xml:space="preserve"> a small amount of population from one county is added to an adjacent county</w:t>
      </w:r>
      <w:r>
        <w:t>,</w:t>
      </w:r>
      <w:r w:rsidRPr="00250EA1">
        <w:t xml:space="preserve"> resulting in a station being reported as serving slightly more population than exists within the county.</w:t>
      </w:r>
      <w:r>
        <w:t xml:space="preserve"> </w:t>
      </w:r>
      <w:r w:rsidRPr="00250EA1">
        <w:t xml:space="preserve"> </w:t>
      </w:r>
      <w:r>
        <w:t xml:space="preserve">To correct for this, we replaced any value over 100 percent with 100 percent, and doing so altered the numbers only slightly.  </w:t>
      </w:r>
    </w:p>
  </w:footnote>
  <w:footnote w:id="147">
    <w:p w:rsidR="00D7796A" w:rsidRDefault="00D7796A" w:rsidP="00412188">
      <w:pPr>
        <w:pStyle w:val="FootnoteText"/>
      </w:pPr>
      <w:r>
        <w:rPr>
          <w:rStyle w:val="FootnoteReference"/>
        </w:rPr>
        <w:footnoteRef/>
      </w:r>
      <w:r>
        <w:t xml:space="preserve"> </w:t>
      </w:r>
      <w:r w:rsidRPr="001E5BD6">
        <w:t>Appendix A – List 8 is</w:t>
      </w:r>
      <w:r>
        <w:t xml:space="preserve"> available at </w:t>
      </w:r>
      <w:hyperlink r:id="rId11" w:history="1">
        <w:r>
          <w:rPr>
            <w:rStyle w:val="Hyperlink"/>
          </w:rPr>
          <w:t>https://www.fcc.gov/2016-stelar-section-109-report-congress</w:t>
        </w:r>
      </w:hyperlink>
      <w:r>
        <w:t>.</w:t>
      </w:r>
    </w:p>
  </w:footnote>
  <w:footnote w:id="148">
    <w:p w:rsidR="00D7796A" w:rsidRDefault="00D7796A" w:rsidP="00412188">
      <w:pPr>
        <w:pStyle w:val="FootnoteText"/>
      </w:pPr>
      <w:r>
        <w:rPr>
          <w:rStyle w:val="FootnoteReference"/>
        </w:rPr>
        <w:footnoteRef/>
      </w:r>
      <w:r>
        <w:t xml:space="preserve"> </w:t>
      </w:r>
      <w:r w:rsidRPr="001E5BD6">
        <w:t>Appendix A – List 7 is</w:t>
      </w:r>
      <w:r>
        <w:t xml:space="preserve"> available at </w:t>
      </w:r>
      <w:hyperlink r:id="rId12" w:history="1">
        <w:r>
          <w:rPr>
            <w:rStyle w:val="Hyperlink"/>
          </w:rPr>
          <w:t>https://www.fcc.gov/2016-stelar-section-109-report-congress</w:t>
        </w:r>
      </w:hyperlink>
      <w:r>
        <w:t>.</w:t>
      </w:r>
    </w:p>
  </w:footnote>
  <w:footnote w:id="149">
    <w:p w:rsidR="00D7796A" w:rsidRDefault="00D7796A">
      <w:pPr>
        <w:pStyle w:val="FootnoteText"/>
      </w:pPr>
      <w:r>
        <w:rPr>
          <w:rStyle w:val="FootnoteReference"/>
        </w:rPr>
        <w:footnoteRef/>
      </w:r>
      <w:r>
        <w:t xml:space="preserve"> </w:t>
      </w:r>
      <w:r w:rsidRPr="001F1D17">
        <w:rPr>
          <w:i/>
        </w:rPr>
        <w:t>See</w:t>
      </w:r>
      <w:r>
        <w:t xml:space="preserve"> </w:t>
      </w:r>
      <w:r w:rsidRPr="001F1D17">
        <w:rPr>
          <w:i/>
        </w:rPr>
        <w:t>supra</w:t>
      </w:r>
      <w:r>
        <w:t xml:space="preserve"> note </w:t>
      </w:r>
      <w:r>
        <w:fldChar w:fldCharType="begin"/>
      </w:r>
      <w:r>
        <w:instrText xml:space="preserve"> NOTEREF _Ref452470513 \h </w:instrText>
      </w:r>
      <w:r>
        <w:fldChar w:fldCharType="separate"/>
      </w:r>
      <w:r w:rsidR="008E3F28">
        <w:t>73</w:t>
      </w:r>
      <w:r>
        <w:fldChar w:fldCharType="end"/>
      </w:r>
      <w:r>
        <w:t xml:space="preserve"> and accompanying text.</w:t>
      </w:r>
    </w:p>
  </w:footnote>
  <w:footnote w:id="150">
    <w:p w:rsidR="00D7796A" w:rsidRDefault="00D7796A">
      <w:pPr>
        <w:pStyle w:val="FootnoteText"/>
      </w:pPr>
      <w:r>
        <w:rPr>
          <w:rStyle w:val="FootnoteReference"/>
        </w:rPr>
        <w:footnoteRef/>
      </w:r>
      <w:r>
        <w:t xml:space="preserve"> The counties are Cleburne County located in Alabama but assigned to the Atlanta, Georgia DMA; Mecklenburg and Patrick Counties located in Virginia but assigned to North Carolina DMAs; Sequoyah, Ottawa, and Le Flore Counties located in Oklahoma but assigned to Arkansas and Kansas DMAs.  </w:t>
      </w:r>
      <w:r w:rsidRPr="00430C6C">
        <w:rPr>
          <w:i/>
        </w:rPr>
        <w:t>See</w:t>
      </w:r>
      <w:r>
        <w:t xml:space="preserve"> Appendix B.</w:t>
      </w:r>
    </w:p>
  </w:footnote>
  <w:footnote w:id="151">
    <w:p w:rsidR="00D7796A" w:rsidRDefault="00D7796A">
      <w:pPr>
        <w:pStyle w:val="FootnoteText"/>
      </w:pPr>
      <w:r>
        <w:rPr>
          <w:rStyle w:val="FootnoteReference"/>
        </w:rPr>
        <w:footnoteRef/>
      </w:r>
      <w:r>
        <w:t xml:space="preserve"> WVTM and WBRC are licensed to Birmingham, Alabama and are being imported into Cleburne County, Alabama.  WRIC, WDBJ, WSLS, and WSET are licensed to Virginia communities and are being imported into Mecklenburg and Patrick Counties, Virginia.  KOTV, KJRH, and KTUL</w:t>
      </w:r>
      <w:r w:rsidRPr="00D431B1">
        <w:t xml:space="preserve"> </w:t>
      </w:r>
      <w:r>
        <w:t xml:space="preserve">are licensed to Tulsa, Oklahoma and are being imported into Sequoyah, Ottawa, and Le Flore Counties in Oklahoma.  </w:t>
      </w:r>
      <w:r w:rsidRPr="00430C6C">
        <w:rPr>
          <w:i/>
        </w:rPr>
        <w:t>See</w:t>
      </w:r>
      <w:r>
        <w:t xml:space="preserve"> Appendix B.</w:t>
      </w:r>
    </w:p>
  </w:footnote>
  <w:footnote w:id="152">
    <w:p w:rsidR="00D7796A" w:rsidRDefault="00D7796A">
      <w:pPr>
        <w:pStyle w:val="FootnoteText"/>
      </w:pPr>
      <w:r>
        <w:rPr>
          <w:rStyle w:val="FootnoteReference"/>
        </w:rPr>
        <w:footnoteRef/>
      </w:r>
      <w:r>
        <w:t xml:space="preserve"> We identified three short markets that consist of counties from more than one state as potential DMAs where orphan counties may be present.  However, in these short markets, the out-of-market station imported into these markets is licensed to a community from the same state as the counties that make up a majority of the DMA.  The Parkersburg, West Virginia DMA, which receives a fill-in station from the Charleston, West Virginia DMA, consists of two West Virginia counties and one Ohio county.  The St. Joseph, Missouri DMA, which receives two fill-in stations from the Kansas City, Missouri DMA, consists of three Missouri counties and one Kansas county.  The Ottumwa, Iowa-Kirksville, Missouri DMA, which receives a fill-in station from the Kansas City, Missouri DMA, consists of five Missouri counties and four Iowa counties. </w:t>
      </w:r>
    </w:p>
  </w:footnote>
  <w:footnote w:id="153">
    <w:p w:rsidR="00D7796A" w:rsidRDefault="00D7796A">
      <w:pPr>
        <w:pStyle w:val="FootnoteText"/>
      </w:pPr>
      <w:r>
        <w:rPr>
          <w:rStyle w:val="FootnoteReference"/>
        </w:rPr>
        <w:footnoteRef/>
      </w:r>
      <w:r>
        <w:t xml:space="preserve"> </w:t>
      </w:r>
      <w:r w:rsidRPr="00404963">
        <w:t xml:space="preserve">Nielsen, </w:t>
      </w:r>
      <w:r w:rsidRPr="00404963">
        <w:rPr>
          <w:i/>
        </w:rPr>
        <w:t>2015-2016 Local Reference Supplement: A Description of Methodology</w:t>
      </w:r>
      <w:r w:rsidRPr="00404963">
        <w:t>, March 7, 2016.</w:t>
      </w:r>
    </w:p>
  </w:footnote>
  <w:footnote w:id="154">
    <w:p w:rsidR="00D7796A" w:rsidRDefault="00D7796A">
      <w:pPr>
        <w:pStyle w:val="FootnoteText"/>
      </w:pPr>
      <w:r>
        <w:rPr>
          <w:rStyle w:val="FootnoteReference"/>
        </w:rPr>
        <w:footnoteRef/>
      </w:r>
      <w:r>
        <w:t xml:space="preserve"> </w:t>
      </w:r>
      <w:r w:rsidRPr="00F81B30">
        <w:rPr>
          <w:iCs/>
          <w:kern w:val="28"/>
        </w:rPr>
        <w:t xml:space="preserve">Four </w:t>
      </w:r>
      <w:r w:rsidRPr="00404963">
        <w:rPr>
          <w:iCs/>
          <w:snapToGrid w:val="0"/>
          <w:kern w:val="28"/>
        </w:rPr>
        <w:t>times</w:t>
      </w:r>
      <w:r w:rsidRPr="00404963">
        <w:rPr>
          <w:iCs/>
          <w:kern w:val="28"/>
        </w:rPr>
        <w:t xml:space="preserve"> a year (</w:t>
      </w:r>
      <w:r w:rsidRPr="00404963">
        <w:rPr>
          <w:i/>
          <w:kern w:val="28"/>
        </w:rPr>
        <w:t>i.e.</w:t>
      </w:r>
      <w:r w:rsidRPr="00404963">
        <w:rPr>
          <w:iCs/>
          <w:kern w:val="28"/>
        </w:rPr>
        <w:t>, February, May, July, and November, known as ratings “sweep” periods) Nielsen measures audiences for television stations assigned to all 210 DMAs and publishes this information in its Viewers in Profile Reports.  This is the source for the information provided by Nielsen.  The data presented herein is for the month of November 2015.</w:t>
      </w:r>
    </w:p>
  </w:footnote>
  <w:footnote w:id="155">
    <w:p w:rsidR="00D7796A" w:rsidRPr="00CD08B7" w:rsidRDefault="00D7796A">
      <w:pPr>
        <w:pStyle w:val="FootnoteText"/>
      </w:pPr>
      <w:r>
        <w:rPr>
          <w:rStyle w:val="FootnoteReference"/>
        </w:rPr>
        <w:footnoteRef/>
      </w:r>
      <w:r>
        <w:t xml:space="preserve"> </w:t>
      </w:r>
      <w:r w:rsidRPr="00CD08B7">
        <w:t xml:space="preserve">Nielsen, </w:t>
      </w:r>
      <w:r w:rsidRPr="00CD08B7">
        <w:rPr>
          <w:i/>
        </w:rPr>
        <w:t>2015-2016 Local Reference Supplement: A Description of Methodology</w:t>
      </w:r>
      <w:r w:rsidRPr="00CD08B7">
        <w:t>, March 7, 2016.  This is only the minimum reporting requirement, so stations’ ratings may not be reported in all sections.</w:t>
      </w:r>
    </w:p>
  </w:footnote>
  <w:footnote w:id="156">
    <w:p w:rsidR="00D7796A" w:rsidRPr="00CD08B7" w:rsidRDefault="00D7796A">
      <w:pPr>
        <w:pStyle w:val="FootnoteText"/>
      </w:pPr>
      <w:r w:rsidRPr="00CD08B7">
        <w:rPr>
          <w:rStyle w:val="FootnoteReference"/>
        </w:rPr>
        <w:footnoteRef/>
      </w:r>
      <w:r w:rsidRPr="00CD08B7">
        <w:t xml:space="preserve"> Nielsen, </w:t>
      </w:r>
      <w:r w:rsidRPr="00CD08B7">
        <w:rPr>
          <w:i/>
          <w:iCs/>
        </w:rPr>
        <w:t>Nielsen Station Index: Viewers in Profile</w:t>
      </w:r>
      <w:r w:rsidRPr="00CD08B7">
        <w:t xml:space="preserve"> (multiple markets), November 2015.  Commission staff analyzed Nielsen Station Index data for all 210 DMAs during the November 2015 reporting period.  </w:t>
      </w:r>
    </w:p>
  </w:footnote>
  <w:footnote w:id="157">
    <w:p w:rsidR="00D7796A" w:rsidRPr="00CD08B7" w:rsidRDefault="00D7796A">
      <w:pPr>
        <w:pStyle w:val="FootnoteText"/>
      </w:pPr>
      <w:r w:rsidRPr="00CD08B7">
        <w:rPr>
          <w:rStyle w:val="FootnoteReference"/>
        </w:rPr>
        <w:footnoteRef/>
      </w:r>
      <w:r w:rsidRPr="00CD08B7">
        <w:t xml:space="preserve"> </w:t>
      </w:r>
      <w:r w:rsidR="00E96F1D" w:rsidRPr="00AE06BB">
        <w:rPr>
          <w:i/>
        </w:rPr>
        <w:t>Id.</w:t>
      </w:r>
    </w:p>
  </w:footnote>
  <w:footnote w:id="158">
    <w:p w:rsidR="00D7796A" w:rsidRPr="00CD08B7" w:rsidRDefault="00D7796A">
      <w:pPr>
        <w:pStyle w:val="FootnoteText"/>
      </w:pPr>
      <w:r w:rsidRPr="00CD08B7">
        <w:rPr>
          <w:rStyle w:val="FootnoteReference"/>
        </w:rPr>
        <w:footnoteRef/>
      </w:r>
      <w:r w:rsidRPr="00CD08B7">
        <w:t xml:space="preserve"> </w:t>
      </w:r>
      <w:r w:rsidR="00E96F1D" w:rsidRPr="00AE06BB">
        <w:rPr>
          <w:i/>
        </w:rPr>
        <w:t>Id.</w:t>
      </w:r>
    </w:p>
  </w:footnote>
  <w:footnote w:id="159">
    <w:p w:rsidR="00D7796A" w:rsidRPr="00CD08B7" w:rsidRDefault="00D7796A">
      <w:pPr>
        <w:pStyle w:val="FootnoteText"/>
      </w:pPr>
      <w:r w:rsidRPr="00CD08B7">
        <w:rPr>
          <w:rStyle w:val="FootnoteReference"/>
        </w:rPr>
        <w:footnoteRef/>
      </w:r>
      <w:r w:rsidRPr="00CD08B7">
        <w:t xml:space="preserve"> </w:t>
      </w:r>
      <w:r w:rsidR="00E96F1D" w:rsidRPr="00AE06BB">
        <w:rPr>
          <w:i/>
        </w:rPr>
        <w:t>Id.</w:t>
      </w:r>
      <w:r>
        <w:t xml:space="preserve">  In addition, we note that several Mexican television stations also appeared in the viewing data for particular markets, but we have not included such stations in our analysis.  </w:t>
      </w:r>
    </w:p>
  </w:footnote>
  <w:footnote w:id="160">
    <w:p w:rsidR="00D7796A" w:rsidRDefault="00D7796A">
      <w:pPr>
        <w:pStyle w:val="FootnoteText"/>
      </w:pPr>
      <w:r>
        <w:rPr>
          <w:rStyle w:val="FootnoteReference"/>
        </w:rPr>
        <w:footnoteRef/>
      </w:r>
      <w:r>
        <w:t xml:space="preserve"> </w:t>
      </w:r>
      <w:r w:rsidRPr="00842953">
        <w:rPr>
          <w:i/>
        </w:rPr>
        <w:t>See</w:t>
      </w:r>
      <w:r w:rsidRPr="00F27111">
        <w:t xml:space="preserve"> Significantly Viewed List, at </w:t>
      </w:r>
      <w:r w:rsidRPr="00683BB8">
        <w:t>http://www.fcc.gov/mb/</w:t>
      </w:r>
      <w:r>
        <w:t>.</w:t>
      </w:r>
    </w:p>
  </w:footnote>
  <w:footnote w:id="161">
    <w:p w:rsidR="00D7796A" w:rsidRDefault="00D7796A" w:rsidP="00A658C0">
      <w:pPr>
        <w:pStyle w:val="FootnoteText"/>
      </w:pPr>
      <w:r>
        <w:rPr>
          <w:rStyle w:val="FootnoteReference"/>
        </w:rPr>
        <w:footnoteRef/>
      </w:r>
      <w:r>
        <w:t xml:space="preserve"> </w:t>
      </w:r>
      <w:r w:rsidRPr="002A250B">
        <w:rPr>
          <w:i/>
        </w:rPr>
        <w:t xml:space="preserve">STELAR Report </w:t>
      </w:r>
      <w:r>
        <w:rPr>
          <w:i/>
        </w:rPr>
        <w:t>PN</w:t>
      </w:r>
      <w:r>
        <w:t>, 30 FCC Rcd at 1906-7.</w:t>
      </w:r>
    </w:p>
  </w:footnote>
  <w:footnote w:id="162">
    <w:p w:rsidR="00D7796A" w:rsidRDefault="00D7796A" w:rsidP="00AF44B1">
      <w:pPr>
        <w:pStyle w:val="FootnoteText"/>
      </w:pPr>
      <w:r>
        <w:rPr>
          <w:rStyle w:val="FootnoteReference"/>
        </w:rPr>
        <w:footnoteRef/>
      </w:r>
      <w:r>
        <w:t xml:space="preserve"> WTA Comments at 4.</w:t>
      </w:r>
    </w:p>
  </w:footnote>
  <w:footnote w:id="163">
    <w:p w:rsidR="00D7796A" w:rsidRDefault="00D7796A" w:rsidP="00AF44B1">
      <w:pPr>
        <w:pStyle w:val="FootnoteText"/>
      </w:pPr>
      <w:r>
        <w:rPr>
          <w:rStyle w:val="FootnoteReference"/>
        </w:rPr>
        <w:footnoteRef/>
      </w:r>
      <w:r>
        <w:t xml:space="preserve"> </w:t>
      </w:r>
      <w:r w:rsidR="00E96F1D" w:rsidRPr="00AE06BB">
        <w:rPr>
          <w:i/>
        </w:rPr>
        <w:t>Id.</w:t>
      </w:r>
    </w:p>
  </w:footnote>
  <w:footnote w:id="164">
    <w:p w:rsidR="00D7796A" w:rsidRDefault="00D7796A">
      <w:pPr>
        <w:pStyle w:val="FootnoteText"/>
      </w:pPr>
      <w:r>
        <w:rPr>
          <w:rStyle w:val="FootnoteReference"/>
        </w:rPr>
        <w:footnoteRef/>
      </w:r>
      <w:r>
        <w:t xml:space="preserve"> </w:t>
      </w:r>
      <w:r w:rsidR="00E96F1D" w:rsidRPr="00AE06BB">
        <w:rPr>
          <w:i/>
        </w:rPr>
        <w:t>Id.</w:t>
      </w:r>
      <w:r>
        <w:t xml:space="preserve">  No commenter objected to the use of case studies.</w:t>
      </w:r>
    </w:p>
  </w:footnote>
  <w:footnote w:id="165">
    <w:p w:rsidR="00D7796A" w:rsidRDefault="00D7796A">
      <w:pPr>
        <w:pStyle w:val="FootnoteText"/>
      </w:pPr>
      <w:r>
        <w:rPr>
          <w:rStyle w:val="FootnoteReference"/>
        </w:rPr>
        <w:footnoteRef/>
      </w:r>
      <w:r>
        <w:t xml:space="preserve"> Commenters name La Plata County, Colorado; Albany County, Wyoming; Stephens County, Georgia; Garrett County, Maryland; Bristol County, Massachusetts; and Fulton County, Pennsylvania, as counties of concern.  </w:t>
      </w:r>
      <w:r w:rsidRPr="00924602">
        <w:rPr>
          <w:i/>
          <w:color w:val="000000"/>
        </w:rPr>
        <w:t>See, e.g.</w:t>
      </w:r>
      <w:r w:rsidRPr="00FE5538">
        <w:rPr>
          <w:color w:val="000000"/>
        </w:rPr>
        <w:t xml:space="preserve">, </w:t>
      </w:r>
      <w:r>
        <w:rPr>
          <w:color w:val="000000"/>
        </w:rPr>
        <w:t xml:space="preserve">Spencer Karter Comments (March 6, 2015); Timothy Brastow Comments (March 24, 2015); Kyle Ramie Comments (May 6, 2015); </w:t>
      </w:r>
      <w:r w:rsidRPr="00924602">
        <w:rPr>
          <w:color w:val="000000"/>
        </w:rPr>
        <w:t xml:space="preserve">Pam Mathewson </w:t>
      </w:r>
      <w:r>
        <w:rPr>
          <w:color w:val="000000"/>
        </w:rPr>
        <w:t xml:space="preserve">Comments </w:t>
      </w:r>
      <w:r w:rsidRPr="00924602">
        <w:rPr>
          <w:color w:val="000000"/>
        </w:rPr>
        <w:t xml:space="preserve">(May 11, 2015); Bridget Hettgar </w:t>
      </w:r>
      <w:r>
        <w:rPr>
          <w:color w:val="000000"/>
        </w:rPr>
        <w:t xml:space="preserve">Comments </w:t>
      </w:r>
      <w:r w:rsidRPr="00924602">
        <w:rPr>
          <w:color w:val="000000"/>
        </w:rPr>
        <w:t xml:space="preserve">(May 13, 2015); </w:t>
      </w:r>
      <w:r>
        <w:rPr>
          <w:color w:val="000000"/>
        </w:rPr>
        <w:t xml:space="preserve">Richard Bolt Comments (May 13, 2015); </w:t>
      </w:r>
      <w:r w:rsidRPr="00924602">
        <w:rPr>
          <w:color w:val="000000"/>
        </w:rPr>
        <w:t xml:space="preserve">Celeste Colgan </w:t>
      </w:r>
      <w:r>
        <w:rPr>
          <w:color w:val="000000"/>
        </w:rPr>
        <w:t xml:space="preserve">Comments </w:t>
      </w:r>
      <w:r w:rsidRPr="00924602">
        <w:rPr>
          <w:color w:val="000000"/>
        </w:rPr>
        <w:t xml:space="preserve">(May 15, 2015); Peter Lang </w:t>
      </w:r>
      <w:r>
        <w:rPr>
          <w:color w:val="000000"/>
        </w:rPr>
        <w:t xml:space="preserve">Comments (May 26, 2015); </w:t>
      </w:r>
      <w:r w:rsidRPr="00924602">
        <w:rPr>
          <w:color w:val="000000"/>
        </w:rPr>
        <w:t xml:space="preserve">Tami Sorenson </w:t>
      </w:r>
      <w:r>
        <w:rPr>
          <w:color w:val="000000"/>
        </w:rPr>
        <w:t xml:space="preserve">Comments </w:t>
      </w:r>
      <w:r w:rsidRPr="00924602">
        <w:rPr>
          <w:color w:val="000000"/>
        </w:rPr>
        <w:t xml:space="preserve">(May 26, 2015); Linda Valenti </w:t>
      </w:r>
      <w:r>
        <w:rPr>
          <w:color w:val="000000"/>
        </w:rPr>
        <w:t xml:space="preserve">Comments </w:t>
      </w:r>
      <w:r w:rsidRPr="00924602">
        <w:rPr>
          <w:color w:val="000000"/>
        </w:rPr>
        <w:t xml:space="preserve">(May 28, 2015); Tammy Au-France </w:t>
      </w:r>
      <w:r>
        <w:rPr>
          <w:color w:val="000000"/>
        </w:rPr>
        <w:t xml:space="preserve">Comments </w:t>
      </w:r>
      <w:r w:rsidRPr="00924602">
        <w:rPr>
          <w:color w:val="000000"/>
        </w:rPr>
        <w:t xml:space="preserve">(June 4, 2015); Kenneth Allison </w:t>
      </w:r>
      <w:r>
        <w:rPr>
          <w:color w:val="000000"/>
        </w:rPr>
        <w:t xml:space="preserve">Comments </w:t>
      </w:r>
      <w:r w:rsidRPr="00924602">
        <w:rPr>
          <w:color w:val="000000"/>
        </w:rPr>
        <w:t xml:space="preserve">(June 5, 2015); Dean and Linda Lebeda </w:t>
      </w:r>
      <w:r>
        <w:rPr>
          <w:color w:val="000000"/>
        </w:rPr>
        <w:t xml:space="preserve">Comments </w:t>
      </w:r>
      <w:r w:rsidRPr="00924602">
        <w:rPr>
          <w:color w:val="000000"/>
        </w:rPr>
        <w:t xml:space="preserve">(June 8, 2015); Joe Remick </w:t>
      </w:r>
      <w:r>
        <w:rPr>
          <w:color w:val="000000"/>
        </w:rPr>
        <w:t xml:space="preserve">Comments </w:t>
      </w:r>
      <w:r w:rsidRPr="00924602">
        <w:rPr>
          <w:color w:val="000000"/>
        </w:rPr>
        <w:t xml:space="preserve">(June 9, 2015); Julius and Erica Muschaweck </w:t>
      </w:r>
      <w:r>
        <w:rPr>
          <w:color w:val="000000"/>
        </w:rPr>
        <w:t xml:space="preserve">Comments </w:t>
      </w:r>
      <w:r w:rsidRPr="00924602">
        <w:rPr>
          <w:color w:val="000000"/>
        </w:rPr>
        <w:t xml:space="preserve">(June 10, 2015); Lee Ann Stephenson </w:t>
      </w:r>
      <w:r>
        <w:rPr>
          <w:color w:val="000000"/>
        </w:rPr>
        <w:t xml:space="preserve">Comments </w:t>
      </w:r>
      <w:r w:rsidRPr="00924602">
        <w:rPr>
          <w:color w:val="000000"/>
        </w:rPr>
        <w:t xml:space="preserve">(June 11, 2015); Governor Matthew Mead </w:t>
      </w:r>
      <w:r>
        <w:rPr>
          <w:color w:val="000000"/>
        </w:rPr>
        <w:t xml:space="preserve">Comments </w:t>
      </w:r>
      <w:r w:rsidRPr="00924602">
        <w:rPr>
          <w:color w:val="000000"/>
        </w:rPr>
        <w:t>(June 11, 2015)</w:t>
      </w:r>
      <w:r>
        <w:rPr>
          <w:color w:val="000000"/>
        </w:rPr>
        <w:t>.</w:t>
      </w:r>
    </w:p>
  </w:footnote>
  <w:footnote w:id="166">
    <w:p w:rsidR="00D7796A" w:rsidRDefault="00D7796A">
      <w:pPr>
        <w:pStyle w:val="FootnoteText"/>
      </w:pPr>
      <w:r>
        <w:rPr>
          <w:rStyle w:val="FootnoteReference"/>
        </w:rPr>
        <w:footnoteRef/>
      </w:r>
      <w:r>
        <w:t xml:space="preserve"> </w:t>
      </w:r>
      <w:r w:rsidRPr="00E96F1D">
        <w:rPr>
          <w:i/>
        </w:rPr>
        <w:t>See</w:t>
      </w:r>
      <w:r>
        <w:t xml:space="preserve"> Appendix </w:t>
      </w:r>
      <w:r w:rsidRPr="00324D12">
        <w:t>D</w:t>
      </w:r>
      <w:r>
        <w:t>.</w:t>
      </w:r>
    </w:p>
  </w:footnote>
  <w:footnote w:id="167">
    <w:p w:rsidR="00D7796A" w:rsidRPr="00683BB8" w:rsidRDefault="00D7796A" w:rsidP="002010D1">
      <w:pPr>
        <w:pStyle w:val="FootnoteText"/>
      </w:pPr>
      <w:r>
        <w:rPr>
          <w:rStyle w:val="FootnoteReference"/>
        </w:rPr>
        <w:footnoteRef/>
      </w:r>
      <w:r>
        <w:t xml:space="preserve"> S</w:t>
      </w:r>
      <w:r>
        <w:rPr>
          <w:szCs w:val="22"/>
        </w:rPr>
        <w:t xml:space="preserve">ome low power and Class A broadcast stations originate in-state broadcast programming, and translators extend the geographic reach of broadcast programming; thus, estimates based only on full power broadcast stations may understate the extent to which in-state broadcast programming is available over the air.  Conversely, some low power television stations, Class A stations, and translators may carry programming that originates from out-of-state broadcast stations; and, therefore, estimates that include all broadcast stations may overstate the extent to which in-state broadcast programming </w:t>
      </w:r>
      <w:r w:rsidRPr="00683BB8">
        <w:t>is available over the air.</w:t>
      </w:r>
    </w:p>
  </w:footnote>
  <w:footnote w:id="168">
    <w:p w:rsidR="00D7796A" w:rsidRPr="00F27111" w:rsidRDefault="00D7796A" w:rsidP="00376EBB">
      <w:pPr>
        <w:spacing w:after="120"/>
        <w:rPr>
          <w:b/>
          <w:sz w:val="20"/>
        </w:rPr>
      </w:pPr>
      <w:r w:rsidRPr="00683BB8">
        <w:rPr>
          <w:rStyle w:val="FootnoteReference"/>
        </w:rPr>
        <w:footnoteRef/>
      </w:r>
      <w:r w:rsidRPr="00683BB8">
        <w:rPr>
          <w:sz w:val="20"/>
        </w:rPr>
        <w:t xml:space="preserve"> </w:t>
      </w:r>
      <w:r w:rsidRPr="00683BB8">
        <w:rPr>
          <w:i/>
          <w:snapToGrid/>
          <w:kern w:val="0"/>
          <w:sz w:val="20"/>
        </w:rPr>
        <w:t>See</w:t>
      </w:r>
      <w:r w:rsidRPr="00683BB8">
        <w:rPr>
          <w:snapToGrid/>
          <w:kern w:val="0"/>
          <w:sz w:val="20"/>
        </w:rPr>
        <w:t xml:space="preserve"> Significantly Viewed List, at </w:t>
      </w:r>
      <w:r w:rsidRPr="00683BB8">
        <w:rPr>
          <w:sz w:val="20"/>
        </w:rPr>
        <w:t>http://www.fcc.gov/mb/</w:t>
      </w:r>
      <w:r w:rsidRPr="00683BB8">
        <w:rPr>
          <w:snapToGrid/>
          <w:kern w:val="0"/>
          <w:sz w:val="20"/>
        </w:rPr>
        <w:t xml:space="preserve">.  </w:t>
      </w:r>
      <w:r w:rsidRPr="00683BB8">
        <w:rPr>
          <w:sz w:val="20"/>
        </w:rPr>
        <w:t>As described above, significantly viewed stations are available for carriage by cable and DBS operators and are treated as local stations for copyright purposes.  Cable and DBS operators must obtain retr</w:t>
      </w:r>
      <w:r w:rsidRPr="00ED0EE4">
        <w:rPr>
          <w:sz w:val="20"/>
        </w:rPr>
        <w:t>ansmission</w:t>
      </w:r>
      <w:r>
        <w:t xml:space="preserve"> </w:t>
      </w:r>
      <w:r w:rsidRPr="00F27111">
        <w:rPr>
          <w:sz w:val="20"/>
        </w:rPr>
        <w:t xml:space="preserve">consent </w:t>
      </w:r>
      <w:r>
        <w:rPr>
          <w:sz w:val="20"/>
        </w:rPr>
        <w:t xml:space="preserve">prior to carrying </w:t>
      </w:r>
      <w:r w:rsidRPr="00F27111">
        <w:rPr>
          <w:sz w:val="20"/>
        </w:rPr>
        <w:t>out-of-market significantly viewed stations</w:t>
      </w:r>
      <w:r>
        <w:rPr>
          <w:sz w:val="20"/>
        </w:rPr>
        <w:t xml:space="preserve">.  Furthermore, we note that cable or DBS MVPD carriage of a station listed as significantly viewed does not necessarily indicate that the station is being carried by the MVPD pursuant to the significantly viewed rules.  </w:t>
      </w:r>
    </w:p>
  </w:footnote>
  <w:footnote w:id="169">
    <w:p w:rsidR="00D7796A" w:rsidRDefault="00D7796A" w:rsidP="002010D1">
      <w:pPr>
        <w:pStyle w:val="FootnoteText"/>
      </w:pPr>
      <w:r>
        <w:rPr>
          <w:rStyle w:val="FootnoteReference"/>
        </w:rPr>
        <w:footnoteRef/>
      </w:r>
      <w:r>
        <w:t xml:space="preserve"> The Commission’s C</w:t>
      </w:r>
      <w:r w:rsidR="00E96F1D">
        <w:t xml:space="preserve">OALS database can be located at </w:t>
      </w:r>
      <w:hyperlink r:id="rId13" w:history="1">
        <w:r w:rsidRPr="00B61654">
          <w:rPr>
            <w:rStyle w:val="Hyperlink"/>
          </w:rPr>
          <w:t>http://fjallfoss.fcc.gov/coals7</w:t>
        </w:r>
      </w:hyperlink>
      <w:r>
        <w:t>.</w:t>
      </w:r>
    </w:p>
  </w:footnote>
  <w:footnote w:id="170">
    <w:p w:rsidR="00D7796A" w:rsidRDefault="00D7796A" w:rsidP="002010D1">
      <w:pPr>
        <w:pStyle w:val="FootnoteText"/>
      </w:pPr>
      <w:r>
        <w:rPr>
          <w:rStyle w:val="FootnoteReference"/>
        </w:rPr>
        <w:footnoteRef/>
      </w:r>
      <w:r>
        <w:t xml:space="preserve"> Warren Communications News, Television &amp; Cable Factbook Online, </w:t>
      </w:r>
      <w:hyperlink r:id="rId14" w:history="1">
        <w:r>
          <w:rPr>
            <w:rStyle w:val="Hyperlink"/>
          </w:rPr>
          <w:t>http://www.tvcablefactbook.com</w:t>
        </w:r>
      </w:hyperlink>
      <w:r>
        <w:t xml:space="preserve"> (Warren Factbook).  We were not able to locate complete information from publicly available sources for every cable system listed in COALS that was not in </w:t>
      </w:r>
      <w:r w:rsidRPr="00376EBB">
        <w:t>the 2010 FCC Form 325 sample</w:t>
      </w:r>
      <w:r>
        <w:t xml:space="preserve">.  </w:t>
      </w:r>
      <w:r>
        <w:rPr>
          <w:szCs w:val="22"/>
        </w:rPr>
        <w:t xml:space="preserve">The data are not sufficient to allow us to determine the extent to which cable is available to specific households in any particular county or community; thus, the presence of a cable system does not necessarily mean that all households have access to the out-of-market stations offered by the included cable systems.  </w:t>
      </w:r>
    </w:p>
  </w:footnote>
  <w:footnote w:id="171">
    <w:p w:rsidR="00D7796A" w:rsidRDefault="00D7796A" w:rsidP="002010D1">
      <w:pPr>
        <w:pStyle w:val="FootnoteText"/>
      </w:pPr>
      <w:r>
        <w:rPr>
          <w:rStyle w:val="FootnoteReference"/>
        </w:rPr>
        <w:footnoteRef/>
      </w:r>
      <w:r>
        <w:t xml:space="preserve"> The data sources list call signs for the stations carried by individual cable systems.  Unless otherwise noted, the data do not allow us to determine if a cable system carries the entire programming schedule of the station or only the local programming (</w:t>
      </w:r>
      <w:r>
        <w:rPr>
          <w:i/>
        </w:rPr>
        <w:t>i.e.</w:t>
      </w:r>
      <w:r>
        <w:t xml:space="preserve">, non-network, non-syndicated programming) of a station.  </w:t>
      </w:r>
    </w:p>
  </w:footnote>
  <w:footnote w:id="172">
    <w:p w:rsidR="00D7796A" w:rsidRDefault="00D7796A">
      <w:pPr>
        <w:pStyle w:val="FootnoteText"/>
      </w:pPr>
      <w:r>
        <w:rPr>
          <w:rStyle w:val="FootnoteReference"/>
        </w:rPr>
        <w:footnoteRef/>
      </w:r>
      <w:r>
        <w:t xml:space="preserve"> </w:t>
      </w:r>
      <w:r w:rsidRPr="00933F04">
        <w:rPr>
          <w:i/>
        </w:rPr>
        <w:t>See</w:t>
      </w:r>
      <w:r>
        <w:t xml:space="preserve"> </w:t>
      </w:r>
      <w:r w:rsidRPr="00933F04">
        <w:rPr>
          <w:i/>
        </w:rPr>
        <w:t>supra</w:t>
      </w:r>
      <w:r>
        <w:t xml:space="preserve"> para. </w:t>
      </w:r>
      <w:r>
        <w:fldChar w:fldCharType="begin"/>
      </w:r>
      <w:r>
        <w:instrText xml:space="preserve"> REF _Ref452470483 \r \h </w:instrText>
      </w:r>
      <w:r>
        <w:fldChar w:fldCharType="separate"/>
      </w:r>
      <w:r w:rsidR="008E3F28">
        <w:t>53</w:t>
      </w:r>
      <w:r>
        <w:fldChar w:fldCharType="end"/>
      </w:r>
      <w:r>
        <w:t>.</w:t>
      </w:r>
    </w:p>
  </w:footnote>
  <w:footnote w:id="173">
    <w:p w:rsidR="00D7796A" w:rsidRDefault="00D7796A" w:rsidP="00A15097">
      <w:pPr>
        <w:pStyle w:val="FootnoteText"/>
      </w:pPr>
      <w:r>
        <w:rPr>
          <w:rStyle w:val="FootnoteReference"/>
        </w:rPr>
        <w:footnoteRef/>
      </w:r>
      <w:r>
        <w:t xml:space="preserve"> The sources for information about broadcast stations’ communities of license and affiliations are Nielsen, BIA/Kelsey, DISH, DIRECTV, and individual broadcast stations’ websites.  </w:t>
      </w:r>
    </w:p>
  </w:footnote>
  <w:footnote w:id="174">
    <w:p w:rsidR="00D7796A" w:rsidRDefault="00D7796A">
      <w:pPr>
        <w:pStyle w:val="FootnoteText"/>
      </w:pPr>
      <w:r>
        <w:rPr>
          <w:rStyle w:val="FootnoteReference"/>
        </w:rPr>
        <w:footnoteRef/>
      </w:r>
      <w:r>
        <w:t xml:space="preserve"> </w:t>
      </w:r>
      <w:r w:rsidRPr="002674BB">
        <w:rPr>
          <w:i/>
        </w:rPr>
        <w:t>See</w:t>
      </w:r>
      <w:r>
        <w:t xml:space="preserve"> </w:t>
      </w:r>
      <w:r w:rsidRPr="000F3F27">
        <w:rPr>
          <w:i/>
        </w:rPr>
        <w:t>Senate Commerce Committee Report</w:t>
      </w:r>
      <w:r>
        <w:t xml:space="preserve"> at 15.</w:t>
      </w:r>
    </w:p>
  </w:footnote>
  <w:footnote w:id="175">
    <w:p w:rsidR="00D7796A" w:rsidRDefault="00D7796A">
      <w:pPr>
        <w:pStyle w:val="FootnoteText"/>
      </w:pPr>
      <w:r>
        <w:rPr>
          <w:rStyle w:val="FootnoteReference"/>
        </w:rPr>
        <w:footnoteRef/>
      </w:r>
      <w:r>
        <w:t xml:space="preserve"> We find that this consideration is relevant as it allows us to evaluate the extent to which consumers in those counties receive in-state programming.</w:t>
      </w:r>
    </w:p>
  </w:footnote>
  <w:footnote w:id="176">
    <w:p w:rsidR="00D7796A" w:rsidRDefault="00D7796A" w:rsidP="00F722A1">
      <w:pPr>
        <w:pStyle w:val="FootnoteText"/>
      </w:pPr>
      <w:r>
        <w:rPr>
          <w:rStyle w:val="FootnoteReference"/>
        </w:rPr>
        <w:footnoteRef/>
      </w:r>
      <w:r>
        <w:t xml:space="preserve"> We note that our ability to evaluate programming is limited by the amount of programming information available for each station.  Thus the programming we describe is not meant to be exhaustive for each county.</w:t>
      </w:r>
    </w:p>
  </w:footnote>
  <w:footnote w:id="177">
    <w:p w:rsidR="00D7796A" w:rsidRDefault="00D7796A" w:rsidP="00F722A1">
      <w:pPr>
        <w:pStyle w:val="FootnoteText"/>
      </w:pPr>
      <w:r>
        <w:rPr>
          <w:rStyle w:val="FootnoteReference"/>
        </w:rPr>
        <w:footnoteRef/>
      </w:r>
      <w:r>
        <w:t xml:space="preserve"> KRMU airs </w:t>
      </w:r>
      <w:r w:rsidRPr="008A6CC7">
        <w:rPr>
          <w:i/>
        </w:rPr>
        <w:t>Rocky Mountain PBS</w:t>
      </w:r>
      <w:r>
        <w:t xml:space="preserve"> on all three of its multicast channels and provides news and information to La Plata County and Colorado.  An additional seven in-market stations retransmit signals from broadcast stations licensed to Colorado communities.</w:t>
      </w:r>
    </w:p>
  </w:footnote>
  <w:footnote w:id="178">
    <w:p w:rsidR="00D7796A" w:rsidRDefault="00D7796A" w:rsidP="00F722A1">
      <w:pPr>
        <w:pStyle w:val="FootnoteText"/>
      </w:pPr>
      <w:r>
        <w:rPr>
          <w:rStyle w:val="FootnoteReference"/>
        </w:rPr>
        <w:footnoteRef/>
      </w:r>
      <w:r>
        <w:t xml:space="preserve"> However, we note that the percentage of the county reached by these stations is quite low.</w:t>
      </w:r>
    </w:p>
  </w:footnote>
  <w:footnote w:id="179">
    <w:p w:rsidR="00D7796A" w:rsidRDefault="00D7796A" w:rsidP="00F722A1">
      <w:pPr>
        <w:pStyle w:val="FootnoteText"/>
      </w:pPr>
      <w:r>
        <w:rPr>
          <w:rStyle w:val="FootnoteReference"/>
        </w:rPr>
        <w:footnoteRef/>
      </w:r>
      <w:r>
        <w:t xml:space="preserve"> K24CH (NBC), K28EB (CBS), K30HJ (PBS), K22CU (CW), and K26CI (MyNetworkTV) all serve at least 90 percent of Montezuma County and retransmit the programming of stations licensed to Colorado communities.</w:t>
      </w:r>
    </w:p>
  </w:footnote>
  <w:footnote w:id="180">
    <w:p w:rsidR="00D7796A" w:rsidRDefault="00D7796A" w:rsidP="00F722A1">
      <w:pPr>
        <w:pStyle w:val="FootnoteText"/>
      </w:pPr>
      <w:r>
        <w:rPr>
          <w:rStyle w:val="FootnoteReference"/>
        </w:rPr>
        <w:footnoteRef/>
      </w:r>
      <w:r>
        <w:t xml:space="preserve"> The significantly viewed station, KGWN, is a CBS/NBC/CW affiliate and serves two percent of the county over the air.  KGWN is carried by cable and DBS MVPDs in Albany County.  However, the DBS operators are not carrying KGWN pursuant to its significantly viewed status.</w:t>
      </w:r>
    </w:p>
  </w:footnote>
  <w:footnote w:id="181">
    <w:p w:rsidR="00D7796A" w:rsidRDefault="00D7796A" w:rsidP="00F722A1">
      <w:pPr>
        <w:pStyle w:val="FootnoteText"/>
      </w:pPr>
      <w:r>
        <w:rPr>
          <w:rStyle w:val="FootnoteReference"/>
        </w:rPr>
        <w:footnoteRef/>
      </w:r>
      <w:r>
        <w:t xml:space="preserve"> K19FX (CBS) and KXJB-LP (NBC) are licensed to the Wyoming communities of Cheyenne and Laramie respectively, and serve 96 percent and 93 percent of Albany County respectively.  </w:t>
      </w:r>
    </w:p>
  </w:footnote>
  <w:footnote w:id="182">
    <w:p w:rsidR="00D7796A" w:rsidRDefault="00D7796A" w:rsidP="00F722A1">
      <w:pPr>
        <w:pStyle w:val="FootnoteText"/>
      </w:pPr>
      <w:r>
        <w:rPr>
          <w:rStyle w:val="FootnoteReference"/>
        </w:rPr>
        <w:footnoteRef/>
      </w:r>
      <w:r>
        <w:t xml:space="preserve"> The additional stations are KTWO (ABC), KCWY (NBC), and KCWC (PBS).</w:t>
      </w:r>
    </w:p>
  </w:footnote>
  <w:footnote w:id="183">
    <w:p w:rsidR="00D7796A" w:rsidRDefault="00D7796A" w:rsidP="00EE4EC7">
      <w:pPr>
        <w:pStyle w:val="FootnoteText"/>
      </w:pPr>
      <w:r>
        <w:rPr>
          <w:rStyle w:val="FootnoteReference"/>
        </w:rPr>
        <w:footnoteRef/>
      </w:r>
      <w:r>
        <w:t xml:space="preserve"> WWOR-TV (FOX/MyNetworkTV) serves 73 percent of Hunterdon County, and one of the PBS affiliates, WNJB, serves 95 percent of the county.  </w:t>
      </w:r>
    </w:p>
  </w:footnote>
  <w:footnote w:id="184">
    <w:p w:rsidR="00D7796A" w:rsidRDefault="00D7796A">
      <w:pPr>
        <w:pStyle w:val="FootnoteText"/>
      </w:pPr>
      <w:r>
        <w:rPr>
          <w:rStyle w:val="FootnoteReference"/>
        </w:rPr>
        <w:footnoteRef/>
      </w:r>
      <w:r>
        <w:t xml:space="preserve"> We note that the MVPDs may not necessarily be carrying these stations pursuant to the significantly viewed rules.</w:t>
      </w:r>
    </w:p>
  </w:footnote>
  <w:footnote w:id="185">
    <w:p w:rsidR="00D7796A" w:rsidRDefault="00D7796A" w:rsidP="008B419D">
      <w:pPr>
        <w:pStyle w:val="FootnoteText"/>
      </w:pPr>
      <w:r>
        <w:rPr>
          <w:rStyle w:val="FootnoteReference"/>
        </w:rPr>
        <w:footnoteRef/>
      </w:r>
      <w:r>
        <w:t xml:space="preserve"> KTWO-TV (ABC) and KCWC (PBS) are also the originating stations of the two translators available over the air in Sheridan County, which serve 96 percent and 89 percent of the county respectively.</w:t>
      </w:r>
    </w:p>
  </w:footnote>
  <w:footnote w:id="186">
    <w:p w:rsidR="00D7796A" w:rsidRDefault="00D7796A" w:rsidP="00CA0A5D">
      <w:pPr>
        <w:pStyle w:val="FootnoteText"/>
      </w:pPr>
      <w:r>
        <w:rPr>
          <w:rStyle w:val="FootnoteReference"/>
        </w:rPr>
        <w:footnoteRef/>
      </w:r>
      <w:r>
        <w:t xml:space="preserve"> KENV-TV (NBC) serves 82 percent of Elko County.  K36HA (CBS), K15EE (PBS), and K08LS (ABC) are translators that retransmit signals from Reno, Nevada and serve respective percentages of 73, 73, and 51 in Elko County.</w:t>
      </w:r>
    </w:p>
  </w:footnote>
  <w:footnote w:id="187">
    <w:p w:rsidR="00D7796A" w:rsidRDefault="00D7796A" w:rsidP="00CA0A5D">
      <w:pPr>
        <w:pStyle w:val="FootnoteText"/>
      </w:pPr>
      <w:r>
        <w:rPr>
          <w:rStyle w:val="FootnoteReference"/>
        </w:rPr>
        <w:footnoteRef/>
      </w:r>
      <w:r>
        <w:t xml:space="preserve"> DIRECTV and Charter carry</w:t>
      </w:r>
      <w:r w:rsidRPr="00237AD9">
        <w:t xml:space="preserve"> KFFX-TV (FOX)</w:t>
      </w:r>
      <w:r>
        <w:t>, which while located in Pendleton, Oregon, is</w:t>
      </w:r>
      <w:r w:rsidRPr="00237AD9">
        <w:t xml:space="preserve"> </w:t>
      </w:r>
      <w:r>
        <w:t xml:space="preserve">actually </w:t>
      </w:r>
      <w:r w:rsidRPr="00237AD9">
        <w:t>a satellite</w:t>
      </w:r>
      <w:r>
        <w:t xml:space="preserve"> station</w:t>
      </w:r>
      <w:r w:rsidRPr="00237AD9">
        <w:t xml:space="preserve"> of K</w:t>
      </w:r>
      <w:r>
        <w:t>CY</w:t>
      </w:r>
      <w:r w:rsidRPr="00237AD9">
        <w:t>U-LD</w:t>
      </w:r>
      <w:r>
        <w:t xml:space="preserve"> (FOX)</w:t>
      </w:r>
      <w:r w:rsidRPr="00237AD9">
        <w:t>,</w:t>
      </w:r>
      <w:r>
        <w:t xml:space="preserve"> located in Yakima,</w:t>
      </w:r>
      <w:r w:rsidRPr="00237AD9">
        <w:t xml:space="preserve"> </w:t>
      </w:r>
      <w:r>
        <w:t>Washington.</w:t>
      </w:r>
    </w:p>
  </w:footnote>
  <w:footnote w:id="188">
    <w:p w:rsidR="00D7796A" w:rsidRDefault="00D7796A" w:rsidP="00755EDF">
      <w:pPr>
        <w:pStyle w:val="FootnoteText"/>
      </w:pPr>
      <w:r>
        <w:rPr>
          <w:rStyle w:val="FootnoteReference"/>
        </w:rPr>
        <w:footnoteRef/>
      </w:r>
      <w:r>
        <w:t xml:space="preserve"> Parentheses indicate the number of out-of-market stations that are also in-state (i.e. licensed to a community in the same state as the county listed).</w:t>
      </w:r>
    </w:p>
  </w:footnote>
  <w:footnote w:id="189">
    <w:p w:rsidR="00D7796A" w:rsidRDefault="00D7796A" w:rsidP="00755EDF">
      <w:pPr>
        <w:pStyle w:val="FootnoteText"/>
      </w:pPr>
      <w:r>
        <w:rPr>
          <w:rStyle w:val="FootnoteReference"/>
        </w:rPr>
        <w:footnoteRef/>
      </w:r>
      <w:r>
        <w:t xml:space="preserve"> Based on review of publically available sources, Bureau staff noted the number of stations located in the same state as the county that carry local news or public affairs programming.  We note that our ability to evaluate programming is limited by the amount of programming information available for each station and that the number is not meant to be precise.</w:t>
      </w:r>
    </w:p>
  </w:footnote>
  <w:footnote w:id="190">
    <w:p w:rsidR="00D7796A" w:rsidRDefault="00D7796A" w:rsidP="00755EDF">
      <w:pPr>
        <w:pStyle w:val="FootnoteText"/>
      </w:pPr>
      <w:r>
        <w:rPr>
          <w:rStyle w:val="FootnoteReference"/>
        </w:rPr>
        <w:footnoteRef/>
      </w:r>
      <w:r>
        <w:t xml:space="preserve"> These numbers exclude stations that are translators for stations that originate from out-of-state.  Translator stations were identified using a list of TV translators available via the Media Bureau’s website.  </w:t>
      </w:r>
      <w:r w:rsidRPr="009A3DB6">
        <w:rPr>
          <w:i/>
        </w:rPr>
        <w:t>See</w:t>
      </w:r>
      <w:r>
        <w:t xml:space="preserve"> </w:t>
      </w:r>
      <w:r w:rsidRPr="000073EC">
        <w:t>Low Power Television (LPTV)</w:t>
      </w:r>
      <w:r>
        <w:t xml:space="preserve">, </w:t>
      </w:r>
      <w:hyperlink r:id="rId15" w:history="1">
        <w:r w:rsidRPr="00C53768">
          <w:rPr>
            <w:rStyle w:val="Hyperlink"/>
          </w:rPr>
          <w:t>https://www.fcc.gov/media/television/low-power-television-lptv</w:t>
        </w:r>
      </w:hyperlink>
      <w:r>
        <w:t xml:space="preserve"> (last visited May 3, 2016).</w:t>
      </w:r>
    </w:p>
  </w:footnote>
  <w:footnote w:id="191">
    <w:p w:rsidR="00D7796A" w:rsidRDefault="00D7796A">
      <w:pPr>
        <w:pStyle w:val="FootnoteText"/>
      </w:pPr>
      <w:r>
        <w:rPr>
          <w:rStyle w:val="FootnoteReference"/>
        </w:rPr>
        <w:footnoteRef/>
      </w:r>
      <w:r>
        <w:t xml:space="preserve"> In the counties of La Plata, Montezuma, Sussex, and Elko, the last column of Table 3 indicates that there are no out-of-market stations with programming about the state in which those counties are located.  However, the last column of Table 4 indicates that there is at least one in-market, in-state station that provides local programming to each of those counties. </w:t>
      </w:r>
    </w:p>
  </w:footnote>
  <w:footnote w:id="192">
    <w:p w:rsidR="00D7796A" w:rsidRDefault="00D7796A">
      <w:pPr>
        <w:pStyle w:val="FootnoteText"/>
      </w:pPr>
      <w:r>
        <w:rPr>
          <w:rStyle w:val="FootnoteReference"/>
        </w:rPr>
        <w:footnoteRef/>
      </w:r>
      <w:r>
        <w:t xml:space="preserve"> </w:t>
      </w:r>
      <w:r w:rsidRPr="001A40A6">
        <w:rPr>
          <w:i/>
        </w:rPr>
        <w:t>See</w:t>
      </w:r>
      <w:r>
        <w:t xml:space="preserve"> </w:t>
      </w:r>
      <w:r>
        <w:rPr>
          <w:i/>
        </w:rPr>
        <w:t>In-State Programming Report</w:t>
      </w:r>
      <w:r>
        <w:t>, 26 FCC Rcd at 11933-34, paras. 25-26.</w:t>
      </w:r>
    </w:p>
  </w:footnote>
  <w:footnote w:id="193">
    <w:p w:rsidR="00D7796A" w:rsidRDefault="00D7796A">
      <w:pPr>
        <w:pStyle w:val="FootnoteText"/>
      </w:pPr>
      <w:r>
        <w:rPr>
          <w:rStyle w:val="FootnoteReference"/>
        </w:rPr>
        <w:footnoteRef/>
      </w:r>
      <w:r>
        <w:t xml:space="preserve"> STELAR, § </w:t>
      </w:r>
      <w:r w:rsidRPr="00AB28D5">
        <w:t>109(a)(1)(B)</w:t>
      </w:r>
      <w:r>
        <w:t>, 128 Stat. 2065.</w:t>
      </w:r>
    </w:p>
  </w:footnote>
  <w:footnote w:id="194">
    <w:p w:rsidR="00D7796A" w:rsidRDefault="00D7796A">
      <w:pPr>
        <w:pStyle w:val="FootnoteText"/>
      </w:pPr>
      <w:r>
        <w:rPr>
          <w:rStyle w:val="FootnoteReference"/>
        </w:rPr>
        <w:footnoteRef/>
      </w:r>
      <w:r>
        <w:t xml:space="preserve"> </w:t>
      </w:r>
      <w:r>
        <w:rPr>
          <w:i/>
        </w:rPr>
        <w:t>In-State Programming Report</w:t>
      </w:r>
      <w:r>
        <w:t>, 26 FCC Rcd at 11933-34, paras. 25-26.</w:t>
      </w:r>
    </w:p>
  </w:footnote>
  <w:footnote w:id="195">
    <w:p w:rsidR="00D7796A" w:rsidRDefault="00D7796A">
      <w:pPr>
        <w:pStyle w:val="FootnoteText"/>
      </w:pPr>
      <w:r>
        <w:rPr>
          <w:rStyle w:val="FootnoteReference"/>
        </w:rPr>
        <w:footnoteRef/>
      </w:r>
      <w:r>
        <w:t xml:space="preserve"> </w:t>
      </w:r>
      <w:r w:rsidR="000871AA" w:rsidRPr="00AE06BB">
        <w:rPr>
          <w:i/>
        </w:rPr>
        <w:t>Id.</w:t>
      </w:r>
    </w:p>
  </w:footnote>
  <w:footnote w:id="196">
    <w:p w:rsidR="00D7796A" w:rsidRDefault="00D7796A">
      <w:pPr>
        <w:pStyle w:val="FootnoteText"/>
      </w:pPr>
      <w:r>
        <w:rPr>
          <w:rStyle w:val="FootnoteReference"/>
        </w:rPr>
        <w:footnoteRef/>
      </w:r>
      <w:r>
        <w:t xml:space="preserve"> </w:t>
      </w:r>
      <w:r w:rsidR="000871AA" w:rsidRPr="00AE06BB">
        <w:rPr>
          <w:i/>
        </w:rPr>
        <w:t>Id.</w:t>
      </w:r>
      <w:r>
        <w:t xml:space="preserve"> at 11934, para. 28.</w:t>
      </w:r>
    </w:p>
  </w:footnote>
  <w:footnote w:id="197">
    <w:p w:rsidR="00D7796A" w:rsidRDefault="00D7796A">
      <w:pPr>
        <w:pStyle w:val="FootnoteText"/>
      </w:pPr>
      <w:r>
        <w:rPr>
          <w:rStyle w:val="FootnoteReference"/>
        </w:rPr>
        <w:footnoteRef/>
      </w:r>
      <w:r>
        <w:t xml:space="preserve"> WTA Comments at 13; </w:t>
      </w:r>
      <w:r w:rsidRPr="00C8061E">
        <w:t>Independent Telephone &amp; Telecommunications Alliance</w:t>
      </w:r>
      <w:r>
        <w:t xml:space="preserve"> (ITTA) Reply at 3-5.</w:t>
      </w:r>
    </w:p>
  </w:footnote>
  <w:footnote w:id="198">
    <w:p w:rsidR="00D7796A" w:rsidRDefault="00D7796A" w:rsidP="00C8061E">
      <w:pPr>
        <w:pStyle w:val="FootnoteText"/>
      </w:pPr>
      <w:r>
        <w:rPr>
          <w:rStyle w:val="FootnoteReference"/>
        </w:rPr>
        <w:footnoteRef/>
      </w:r>
      <w:r>
        <w:t xml:space="preserve"> WTA Comments at 13; ITTA Reply at 3-5.</w:t>
      </w:r>
    </w:p>
  </w:footnote>
  <w:footnote w:id="199">
    <w:p w:rsidR="00D7796A" w:rsidRDefault="00D7796A" w:rsidP="003C14DF">
      <w:pPr>
        <w:pStyle w:val="FootnoteText"/>
      </w:pPr>
      <w:r>
        <w:rPr>
          <w:rStyle w:val="FootnoteReference"/>
        </w:rPr>
        <w:footnoteRef/>
      </w:r>
      <w:r>
        <w:t xml:space="preserve"> WTA Comments at 3, 9-11.</w:t>
      </w:r>
    </w:p>
  </w:footnote>
  <w:footnote w:id="200">
    <w:p w:rsidR="00D7796A" w:rsidRDefault="00D7796A" w:rsidP="003C14DF">
      <w:pPr>
        <w:pStyle w:val="FootnoteText"/>
      </w:pPr>
      <w:r>
        <w:rPr>
          <w:rStyle w:val="FootnoteReference"/>
        </w:rPr>
        <w:footnoteRef/>
      </w:r>
      <w:r>
        <w:t xml:space="preserve"> </w:t>
      </w:r>
      <w:r w:rsidR="000871AA" w:rsidRPr="00AE06BB">
        <w:rPr>
          <w:i/>
        </w:rPr>
        <w:t>Id.</w:t>
      </w:r>
      <w:r>
        <w:t xml:space="preserve"> at 3.</w:t>
      </w:r>
    </w:p>
  </w:footnote>
  <w:footnote w:id="201">
    <w:p w:rsidR="00D7796A" w:rsidRDefault="00D7796A" w:rsidP="003C14DF">
      <w:pPr>
        <w:pStyle w:val="FootnoteText"/>
      </w:pPr>
      <w:r>
        <w:rPr>
          <w:rStyle w:val="FootnoteReference"/>
        </w:rPr>
        <w:footnoteRef/>
      </w:r>
      <w:r>
        <w:t xml:space="preserve"> </w:t>
      </w:r>
      <w:r w:rsidR="000871AA" w:rsidRPr="00AE06BB">
        <w:rPr>
          <w:i/>
        </w:rPr>
        <w:t>Id.</w:t>
      </w:r>
    </w:p>
  </w:footnote>
  <w:footnote w:id="202">
    <w:p w:rsidR="00D7796A" w:rsidRDefault="00D7796A" w:rsidP="003C14DF">
      <w:pPr>
        <w:pStyle w:val="FootnoteText"/>
      </w:pPr>
      <w:r>
        <w:rPr>
          <w:rStyle w:val="FootnoteReference"/>
        </w:rPr>
        <w:footnoteRef/>
      </w:r>
      <w:r>
        <w:t xml:space="preserve"> </w:t>
      </w:r>
      <w:r w:rsidR="000871AA" w:rsidRPr="00AE06BB">
        <w:rPr>
          <w:i/>
        </w:rPr>
        <w:t>Id.</w:t>
      </w:r>
    </w:p>
  </w:footnote>
  <w:footnote w:id="203">
    <w:p w:rsidR="00D7796A" w:rsidRDefault="00D7796A" w:rsidP="003C14DF">
      <w:pPr>
        <w:pStyle w:val="FootnoteText"/>
      </w:pPr>
      <w:r>
        <w:rPr>
          <w:rStyle w:val="FootnoteReference"/>
        </w:rPr>
        <w:footnoteRef/>
      </w:r>
      <w:r>
        <w:t xml:space="preserve"> </w:t>
      </w:r>
      <w:r w:rsidR="000871AA" w:rsidRPr="00AE06BB">
        <w:rPr>
          <w:i/>
        </w:rPr>
        <w:t>Id.</w:t>
      </w:r>
    </w:p>
  </w:footnote>
  <w:footnote w:id="204">
    <w:p w:rsidR="00D7796A" w:rsidRDefault="00D7796A" w:rsidP="003C14DF">
      <w:pPr>
        <w:pStyle w:val="FootnoteText"/>
      </w:pPr>
      <w:r>
        <w:rPr>
          <w:rStyle w:val="FootnoteReference"/>
        </w:rPr>
        <w:footnoteRef/>
      </w:r>
      <w:r>
        <w:t xml:space="preserve"> </w:t>
      </w:r>
      <w:r w:rsidR="000871AA" w:rsidRPr="00AE06BB">
        <w:rPr>
          <w:i/>
        </w:rPr>
        <w:t>Id.</w:t>
      </w:r>
    </w:p>
  </w:footnote>
  <w:footnote w:id="205">
    <w:p w:rsidR="00D7796A" w:rsidRDefault="00D7796A" w:rsidP="003C14DF">
      <w:pPr>
        <w:pStyle w:val="FootnoteText"/>
      </w:pPr>
      <w:r>
        <w:rPr>
          <w:rStyle w:val="FootnoteReference"/>
        </w:rPr>
        <w:footnoteRef/>
      </w:r>
      <w:r>
        <w:t xml:space="preserve"> </w:t>
      </w:r>
      <w:r w:rsidR="000871AA" w:rsidRPr="00AE06BB">
        <w:rPr>
          <w:i/>
        </w:rPr>
        <w:t>Id.</w:t>
      </w:r>
      <w:r>
        <w:t xml:space="preserve"> at 3-4.</w:t>
      </w:r>
    </w:p>
  </w:footnote>
  <w:footnote w:id="206">
    <w:p w:rsidR="00D7796A" w:rsidRDefault="00D7796A">
      <w:pPr>
        <w:pStyle w:val="FootnoteText"/>
      </w:pPr>
      <w:r>
        <w:rPr>
          <w:rStyle w:val="FootnoteReference"/>
        </w:rPr>
        <w:footnoteRef/>
      </w:r>
      <w:r>
        <w:t xml:space="preserve"> ITTA Reply at 4.</w:t>
      </w:r>
    </w:p>
  </w:footnote>
  <w:footnote w:id="207">
    <w:p w:rsidR="00D7796A" w:rsidRDefault="00D7796A">
      <w:pPr>
        <w:pStyle w:val="FootnoteText"/>
      </w:pPr>
      <w:r>
        <w:rPr>
          <w:rStyle w:val="FootnoteReference"/>
        </w:rPr>
        <w:footnoteRef/>
      </w:r>
      <w:r>
        <w:t xml:space="preserve"> </w:t>
      </w:r>
      <w:r w:rsidR="000871AA" w:rsidRPr="00AE06BB">
        <w:rPr>
          <w:i/>
        </w:rPr>
        <w:t>Id.</w:t>
      </w:r>
    </w:p>
  </w:footnote>
  <w:footnote w:id="208">
    <w:p w:rsidR="00D7796A" w:rsidRDefault="00D7796A">
      <w:pPr>
        <w:pStyle w:val="FootnoteText"/>
      </w:pPr>
      <w:r>
        <w:rPr>
          <w:rStyle w:val="FootnoteReference"/>
        </w:rPr>
        <w:footnoteRef/>
      </w:r>
      <w:r>
        <w:t xml:space="preserve"> </w:t>
      </w:r>
      <w:r w:rsidR="000871AA" w:rsidRPr="00AE06BB">
        <w:rPr>
          <w:i/>
        </w:rPr>
        <w:t>Id.</w:t>
      </w:r>
    </w:p>
  </w:footnote>
  <w:footnote w:id="209">
    <w:p w:rsidR="00D7796A" w:rsidRDefault="00D7796A">
      <w:pPr>
        <w:pStyle w:val="FootnoteText"/>
      </w:pPr>
      <w:r>
        <w:rPr>
          <w:rStyle w:val="FootnoteReference"/>
        </w:rPr>
        <w:footnoteRef/>
      </w:r>
      <w:r>
        <w:t xml:space="preserve"> </w:t>
      </w:r>
      <w:r w:rsidR="000871AA" w:rsidRPr="00AE06BB">
        <w:rPr>
          <w:i/>
        </w:rPr>
        <w:t>Id.</w:t>
      </w:r>
    </w:p>
  </w:footnote>
  <w:footnote w:id="210">
    <w:p w:rsidR="00D7796A" w:rsidRDefault="00D7796A" w:rsidP="00CE6793">
      <w:pPr>
        <w:pStyle w:val="FootnoteText"/>
      </w:pPr>
      <w:r>
        <w:rPr>
          <w:rStyle w:val="FootnoteReference"/>
        </w:rPr>
        <w:footnoteRef/>
      </w:r>
      <w:r>
        <w:t xml:space="preserve"> NAB Comments at 4, 23; Joint Television Network Affiliates (JTNA) Reply at 2, 15.</w:t>
      </w:r>
    </w:p>
  </w:footnote>
  <w:footnote w:id="211">
    <w:p w:rsidR="00D7796A" w:rsidRDefault="00D7796A">
      <w:pPr>
        <w:pStyle w:val="FootnoteText"/>
      </w:pPr>
      <w:r>
        <w:rPr>
          <w:rStyle w:val="FootnoteReference"/>
        </w:rPr>
        <w:footnoteRef/>
      </w:r>
      <w:r>
        <w:t xml:space="preserve"> DIRECTV, LLC (DIRECTV) Comments at 1.</w:t>
      </w:r>
    </w:p>
  </w:footnote>
  <w:footnote w:id="212">
    <w:p w:rsidR="00D7796A" w:rsidRDefault="00D7796A" w:rsidP="00F74CF7">
      <w:pPr>
        <w:pStyle w:val="FootnoteText"/>
      </w:pPr>
      <w:r>
        <w:rPr>
          <w:rStyle w:val="FootnoteReference"/>
        </w:rPr>
        <w:footnoteRef/>
      </w:r>
      <w:r>
        <w:t xml:space="preserve"> </w:t>
      </w:r>
      <w:r w:rsidR="000871AA" w:rsidRPr="00AE06BB">
        <w:rPr>
          <w:i/>
        </w:rPr>
        <w:t>Id.</w:t>
      </w:r>
      <w:r>
        <w:t xml:space="preserve"> at 2.  Spot beam coverage is fixed on the satellites DIRECTV uses to provide local-into-local service.  </w:t>
      </w:r>
      <w:r w:rsidRPr="007831ED">
        <w:rPr>
          <w:i/>
        </w:rPr>
        <w:t>Id.</w:t>
      </w:r>
      <w:r>
        <w:t xml:space="preserve"> at 2-3.</w:t>
      </w:r>
    </w:p>
  </w:footnote>
  <w:footnote w:id="213">
    <w:p w:rsidR="00D7796A" w:rsidRDefault="00D7796A" w:rsidP="00F74CF7">
      <w:pPr>
        <w:pStyle w:val="FootnoteText"/>
      </w:pPr>
      <w:r>
        <w:rPr>
          <w:rStyle w:val="FootnoteReference"/>
        </w:rPr>
        <w:footnoteRef/>
      </w:r>
      <w:r>
        <w:t xml:space="preserve"> </w:t>
      </w:r>
      <w:r w:rsidR="001A58CA" w:rsidRPr="001A58CA">
        <w:rPr>
          <w:i/>
        </w:rPr>
        <w:t>Id.</w:t>
      </w:r>
      <w:r>
        <w:t xml:space="preserve"> at 2-3.</w:t>
      </w:r>
    </w:p>
  </w:footnote>
  <w:footnote w:id="214">
    <w:p w:rsidR="00D7796A" w:rsidRDefault="00D7796A" w:rsidP="00F74CF7">
      <w:pPr>
        <w:pStyle w:val="FootnoteText"/>
      </w:pPr>
      <w:r>
        <w:rPr>
          <w:rStyle w:val="FootnoteReference"/>
        </w:rPr>
        <w:footnoteRef/>
      </w:r>
      <w:r>
        <w:t xml:space="preserve"> </w:t>
      </w:r>
      <w:r w:rsidR="000871AA" w:rsidRPr="00AE06BB">
        <w:rPr>
          <w:i/>
        </w:rPr>
        <w:t>Id.</w:t>
      </w:r>
      <w:r w:rsidR="000871AA">
        <w:rPr>
          <w:i/>
        </w:rPr>
        <w:t xml:space="preserve"> </w:t>
      </w:r>
      <w:r>
        <w:t>at 2-3 &amp; n.7.</w:t>
      </w:r>
    </w:p>
  </w:footnote>
  <w:footnote w:id="215">
    <w:p w:rsidR="00D7796A" w:rsidRDefault="00D7796A">
      <w:pPr>
        <w:pStyle w:val="FootnoteText"/>
      </w:pPr>
      <w:r>
        <w:rPr>
          <w:rStyle w:val="FootnoteReference"/>
        </w:rPr>
        <w:footnoteRef/>
      </w:r>
      <w:r>
        <w:t xml:space="preserve"> </w:t>
      </w:r>
      <w:r w:rsidR="000871AA" w:rsidRPr="00AE06BB">
        <w:rPr>
          <w:i/>
        </w:rPr>
        <w:t>Id.</w:t>
      </w:r>
      <w:r w:rsidR="000871AA">
        <w:rPr>
          <w:i/>
        </w:rPr>
        <w:t xml:space="preserve"> </w:t>
      </w:r>
      <w:r>
        <w:t>at 3.</w:t>
      </w:r>
    </w:p>
  </w:footnote>
  <w:footnote w:id="216">
    <w:p w:rsidR="00D7796A" w:rsidRDefault="00D7796A" w:rsidP="00186BAF">
      <w:pPr>
        <w:pStyle w:val="FootnoteText"/>
      </w:pPr>
      <w:r>
        <w:rPr>
          <w:rStyle w:val="FootnoteReference"/>
        </w:rPr>
        <w:footnoteRef/>
      </w:r>
      <w:r>
        <w:t xml:space="preserve"> NAB Comments at 8-12.</w:t>
      </w:r>
    </w:p>
  </w:footnote>
  <w:footnote w:id="217">
    <w:p w:rsidR="00D7796A" w:rsidRDefault="00D7796A" w:rsidP="00186BAF">
      <w:pPr>
        <w:pStyle w:val="FootnoteText"/>
      </w:pPr>
      <w:r>
        <w:rPr>
          <w:rStyle w:val="FootnoteReference"/>
        </w:rPr>
        <w:footnoteRef/>
      </w:r>
      <w:r>
        <w:t xml:space="preserve"> </w:t>
      </w:r>
      <w:r w:rsidR="000871AA" w:rsidRPr="00AE06BB">
        <w:rPr>
          <w:i/>
        </w:rPr>
        <w:t>Id.</w:t>
      </w:r>
      <w:r w:rsidR="000871AA">
        <w:rPr>
          <w:i/>
        </w:rPr>
        <w:t xml:space="preserve"> </w:t>
      </w:r>
      <w:r>
        <w:t>at 25.</w:t>
      </w:r>
    </w:p>
  </w:footnote>
  <w:footnote w:id="218">
    <w:p w:rsidR="00D7796A" w:rsidRDefault="00D7796A" w:rsidP="00186BAF">
      <w:pPr>
        <w:pStyle w:val="FootnoteText"/>
      </w:pPr>
      <w:r>
        <w:rPr>
          <w:rStyle w:val="FootnoteReference"/>
        </w:rPr>
        <w:footnoteRef/>
      </w:r>
      <w:r>
        <w:t xml:space="preserve"> </w:t>
      </w:r>
      <w:r w:rsidR="000871AA" w:rsidRPr="00AE06BB">
        <w:rPr>
          <w:i/>
        </w:rPr>
        <w:t>Id.</w:t>
      </w:r>
      <w:r w:rsidR="000871AA">
        <w:rPr>
          <w:i/>
        </w:rPr>
        <w:t xml:space="preserve"> </w:t>
      </w:r>
      <w:r>
        <w:t>at 25.</w:t>
      </w:r>
    </w:p>
  </w:footnote>
  <w:footnote w:id="219">
    <w:p w:rsidR="00D7796A" w:rsidRDefault="00D7796A" w:rsidP="00186BAF">
      <w:pPr>
        <w:pStyle w:val="FootnoteText"/>
      </w:pPr>
      <w:r>
        <w:rPr>
          <w:rStyle w:val="FootnoteReference"/>
        </w:rPr>
        <w:footnoteRef/>
      </w:r>
      <w:r>
        <w:t xml:space="preserve"> </w:t>
      </w:r>
      <w:r w:rsidR="000871AA" w:rsidRPr="00AE06BB">
        <w:rPr>
          <w:i/>
        </w:rPr>
        <w:t>Id.</w:t>
      </w:r>
      <w:r w:rsidR="000871AA">
        <w:rPr>
          <w:i/>
        </w:rPr>
        <w:t xml:space="preserve"> </w:t>
      </w:r>
      <w:r>
        <w:t>at 25.</w:t>
      </w:r>
    </w:p>
  </w:footnote>
  <w:footnote w:id="220">
    <w:p w:rsidR="00D7796A" w:rsidRDefault="00D7796A" w:rsidP="00CE6793">
      <w:pPr>
        <w:pStyle w:val="FootnoteText"/>
      </w:pPr>
      <w:r>
        <w:rPr>
          <w:rStyle w:val="FootnoteReference"/>
        </w:rPr>
        <w:footnoteRef/>
      </w:r>
      <w:r>
        <w:t xml:space="preserve"> </w:t>
      </w:r>
      <w:r w:rsidR="000871AA" w:rsidRPr="00AE06BB">
        <w:rPr>
          <w:i/>
        </w:rPr>
        <w:t>Id.</w:t>
      </w:r>
      <w:r w:rsidR="000871AA">
        <w:rPr>
          <w:i/>
        </w:rPr>
        <w:t xml:space="preserve"> </w:t>
      </w:r>
      <w:r>
        <w:t>at 13-14; JTNA Reply at 10-15.</w:t>
      </w:r>
    </w:p>
  </w:footnote>
  <w:footnote w:id="221">
    <w:p w:rsidR="00D7796A" w:rsidRDefault="00D7796A">
      <w:pPr>
        <w:pStyle w:val="FootnoteText"/>
      </w:pPr>
      <w:r>
        <w:rPr>
          <w:rStyle w:val="FootnoteReference"/>
        </w:rPr>
        <w:footnoteRef/>
      </w:r>
      <w:r>
        <w:t xml:space="preserve"> NAB Reply at 6-8; JTNA Reply at 17-18.</w:t>
      </w:r>
    </w:p>
  </w:footnote>
  <w:footnote w:id="222">
    <w:p w:rsidR="00D7796A" w:rsidRDefault="00D7796A" w:rsidP="00CE6793">
      <w:pPr>
        <w:pStyle w:val="FootnoteText"/>
      </w:pPr>
      <w:r>
        <w:rPr>
          <w:rStyle w:val="FootnoteReference"/>
        </w:rPr>
        <w:footnoteRef/>
      </w:r>
      <w:r>
        <w:t xml:space="preserve"> WTA Comments at 2; ITTA reply at 1-2.</w:t>
      </w:r>
    </w:p>
  </w:footnote>
  <w:footnote w:id="223">
    <w:p w:rsidR="00D7796A" w:rsidRDefault="00D7796A" w:rsidP="00CE6793">
      <w:pPr>
        <w:pStyle w:val="FootnoteText"/>
      </w:pPr>
      <w:r>
        <w:rPr>
          <w:rStyle w:val="FootnoteReference"/>
        </w:rPr>
        <w:footnoteRef/>
      </w:r>
      <w:r>
        <w:t xml:space="preserve"> NAB Comments at 26.</w:t>
      </w:r>
    </w:p>
  </w:footnote>
  <w:footnote w:id="224">
    <w:p w:rsidR="00D7796A" w:rsidRDefault="00D7796A" w:rsidP="00CE6793">
      <w:pPr>
        <w:pStyle w:val="FootnoteText"/>
      </w:pPr>
      <w:r>
        <w:rPr>
          <w:rStyle w:val="FootnoteReference"/>
        </w:rPr>
        <w:footnoteRef/>
      </w:r>
      <w:r>
        <w:t xml:space="preserve"> </w:t>
      </w:r>
      <w:r w:rsidR="000871AA" w:rsidRPr="00AE06BB">
        <w:rPr>
          <w:i/>
        </w:rPr>
        <w:t>Id.</w:t>
      </w:r>
      <w:r w:rsidR="000871AA">
        <w:rPr>
          <w:i/>
        </w:rPr>
        <w:t xml:space="preserve"> </w:t>
      </w:r>
      <w:r>
        <w:t>at 26.</w:t>
      </w:r>
    </w:p>
  </w:footnote>
  <w:footnote w:id="225">
    <w:p w:rsidR="00D7796A" w:rsidRDefault="00D7796A" w:rsidP="00CE6793">
      <w:pPr>
        <w:pStyle w:val="FootnoteText"/>
      </w:pPr>
      <w:r>
        <w:rPr>
          <w:rStyle w:val="FootnoteReference"/>
        </w:rPr>
        <w:footnoteRef/>
      </w:r>
      <w:r>
        <w:t xml:space="preserve"> </w:t>
      </w:r>
      <w:r w:rsidR="000871AA" w:rsidRPr="00AE06BB">
        <w:rPr>
          <w:i/>
        </w:rPr>
        <w:t>Id.</w:t>
      </w:r>
      <w:r w:rsidR="000871AA">
        <w:rPr>
          <w:i/>
        </w:rPr>
        <w:t xml:space="preserve"> </w:t>
      </w:r>
      <w:r>
        <w:t>at 27.</w:t>
      </w:r>
    </w:p>
  </w:footnote>
  <w:footnote w:id="226">
    <w:p w:rsidR="00D7796A" w:rsidRDefault="00D7796A" w:rsidP="00CE6793">
      <w:pPr>
        <w:pStyle w:val="FootnoteText"/>
      </w:pPr>
      <w:r>
        <w:rPr>
          <w:rStyle w:val="FootnoteReference"/>
        </w:rPr>
        <w:footnoteRef/>
      </w:r>
      <w:r>
        <w:t xml:space="preserve"> </w:t>
      </w:r>
      <w:r w:rsidR="000871AA" w:rsidRPr="00AE06BB">
        <w:rPr>
          <w:i/>
        </w:rPr>
        <w:t>Id.</w:t>
      </w:r>
      <w:r w:rsidR="000871AA">
        <w:rPr>
          <w:i/>
        </w:rPr>
        <w:t xml:space="preserve"> </w:t>
      </w:r>
      <w:r>
        <w:t>at 27.</w:t>
      </w:r>
    </w:p>
  </w:footnote>
  <w:footnote w:id="227">
    <w:p w:rsidR="00D7796A" w:rsidRDefault="00D7796A" w:rsidP="00561DAE">
      <w:pPr>
        <w:pStyle w:val="FootnoteText"/>
      </w:pPr>
      <w:r>
        <w:rPr>
          <w:rStyle w:val="FootnoteReference"/>
        </w:rPr>
        <w:footnoteRef/>
      </w:r>
      <w:r>
        <w:t xml:space="preserve"> Some counties are split with part of the county in one DMA and part of the county in another DMA.  Also, the Commission may consider a county as part of more than one local market in certain situations such as where the local television market of a broadcast station has been modified by a market modification petition or in the case of a “switched” county (</w:t>
      </w:r>
      <w:r w:rsidRPr="003F4E55">
        <w:rPr>
          <w:i/>
        </w:rPr>
        <w:t>i.e.</w:t>
      </w:r>
      <w:r>
        <w:t xml:space="preserve">, one that Nielsen has moved to another DMA).  </w:t>
      </w:r>
      <w:r w:rsidRPr="007C222E">
        <w:rPr>
          <w:i/>
        </w:rPr>
        <w:t>See</w:t>
      </w:r>
      <w:r w:rsidRPr="007C222E">
        <w:t xml:space="preserve"> 47 U.S.C. §§ 338(</w:t>
      </w:r>
      <w:r w:rsidRPr="00351F39">
        <w:rPr>
          <w:i/>
        </w:rPr>
        <w:t>l</w:t>
      </w:r>
      <w:r w:rsidRPr="007C222E">
        <w:t xml:space="preserve">)(2)(A), 534(h)(1)(C)(i).  </w:t>
      </w:r>
      <w:r w:rsidRPr="00FE4DE9">
        <w:rPr>
          <w:i/>
        </w:rPr>
        <w:t>See</w:t>
      </w:r>
      <w:r w:rsidRPr="007C222E">
        <w:t xml:space="preserve"> </w:t>
      </w:r>
      <w:r w:rsidRPr="00FE4DE9">
        <w:rPr>
          <w:i/>
        </w:rPr>
        <w:t>also</w:t>
      </w:r>
      <w:r w:rsidRPr="007C222E">
        <w:t xml:space="preserve"> 47 </w:t>
      </w:r>
      <w:r>
        <w:t>CFR</w:t>
      </w:r>
      <w:r w:rsidR="00222FD2">
        <w:t xml:space="preserve"> § 76.66(e</w:t>
      </w:r>
      <w:r w:rsidRPr="007C222E">
        <w:t>)(3) (“…a county deleted from a market by Nielsen need not be subtracted from a market in which a satellite carrier provides local-into-local service, if that county is assigned to that market in the 1999-2000 Nielsen Station Index Directory or any subsequent issue of that publication.”)</w:t>
      </w:r>
      <w:r>
        <w:t>.</w:t>
      </w:r>
    </w:p>
  </w:footnote>
  <w:footnote w:id="228">
    <w:p w:rsidR="00D7796A" w:rsidRDefault="00D7796A">
      <w:pPr>
        <w:pStyle w:val="FootnoteText"/>
      </w:pPr>
      <w:r>
        <w:rPr>
          <w:rStyle w:val="FootnoteReference"/>
        </w:rPr>
        <w:footnoteRef/>
      </w:r>
      <w:r>
        <w:t xml:space="preserve"> </w:t>
      </w:r>
      <w:r w:rsidRPr="009B3638">
        <w:rPr>
          <w:i/>
        </w:rPr>
        <w:t>See</w:t>
      </w:r>
      <w:r>
        <w:t xml:space="preserve"> NAB Comments at 26-27. </w:t>
      </w:r>
    </w:p>
  </w:footnote>
  <w:footnote w:id="229">
    <w:p w:rsidR="00D7796A" w:rsidRDefault="00D7796A">
      <w:pPr>
        <w:pStyle w:val="FootnoteText"/>
      </w:pPr>
      <w:r>
        <w:rPr>
          <w:rStyle w:val="FootnoteReference"/>
        </w:rPr>
        <w:footnoteRef/>
      </w:r>
      <w:r>
        <w:t xml:space="preserve"> </w:t>
      </w:r>
      <w:r w:rsidRPr="009B3638">
        <w:rPr>
          <w:i/>
        </w:rPr>
        <w:t>See</w:t>
      </w:r>
      <w:r>
        <w:t xml:space="preserve"> </w:t>
      </w:r>
      <w:r w:rsidR="000871AA" w:rsidRPr="00AE06BB">
        <w:rPr>
          <w:i/>
        </w:rPr>
        <w:t>Id.</w:t>
      </w:r>
      <w:r>
        <w:t xml:space="preserve"> at 27.</w:t>
      </w:r>
    </w:p>
  </w:footnote>
  <w:footnote w:id="230">
    <w:p w:rsidR="00D7796A" w:rsidRDefault="00D7796A" w:rsidP="003E0485">
      <w:pPr>
        <w:pStyle w:val="FootnoteText"/>
      </w:pPr>
      <w:r>
        <w:rPr>
          <w:rStyle w:val="FootnoteReference"/>
        </w:rPr>
        <w:footnoteRef/>
      </w:r>
      <w:r>
        <w:t xml:space="preserve"> </w:t>
      </w:r>
      <w:r w:rsidRPr="00240D2E">
        <w:rPr>
          <w:i/>
        </w:rPr>
        <w:t>See</w:t>
      </w:r>
      <w:r>
        <w:t xml:space="preserve"> WTA Comments at 13; ITTA Reply at 3-5.</w:t>
      </w:r>
    </w:p>
  </w:footnote>
  <w:footnote w:id="231">
    <w:p w:rsidR="00D7796A" w:rsidRDefault="00D7796A">
      <w:pPr>
        <w:pStyle w:val="FootnoteText"/>
      </w:pPr>
      <w:r>
        <w:rPr>
          <w:rStyle w:val="FootnoteReference"/>
        </w:rPr>
        <w:footnoteRef/>
      </w:r>
      <w:r>
        <w:t xml:space="preserve"> </w:t>
      </w:r>
      <w:r w:rsidRPr="00462B8E">
        <w:rPr>
          <w:i/>
        </w:rPr>
        <w:t>See</w:t>
      </w:r>
      <w:r>
        <w:t xml:space="preserve"> NAB Comments at 25; DIRECTV Comments at 3.</w:t>
      </w:r>
    </w:p>
  </w:footnote>
  <w:footnote w:id="232">
    <w:p w:rsidR="00D7796A" w:rsidRDefault="00D7796A">
      <w:pPr>
        <w:pStyle w:val="FootnoteText"/>
      </w:pPr>
      <w:r>
        <w:rPr>
          <w:rStyle w:val="FootnoteReference"/>
        </w:rPr>
        <w:footnoteRef/>
      </w:r>
      <w:r>
        <w:t xml:space="preserve"> In addition to the recommendations discussed by the commenters, we note that other incremental adjustments to the Commission’s rules and to copyright laws could potentially assist in fostering increased localism.  In the </w:t>
      </w:r>
      <w:r>
        <w:rPr>
          <w:i/>
        </w:rPr>
        <w:t>In-State Programming Report</w:t>
      </w:r>
      <w:r>
        <w:t xml:space="preserve">, we discussed a proposal to expand the license for DBS carriage of local television stations.  </w:t>
      </w:r>
      <w:r w:rsidRPr="00C652B1">
        <w:rPr>
          <w:i/>
        </w:rPr>
        <w:t>See</w:t>
      </w:r>
      <w:r>
        <w:t xml:space="preserve"> </w:t>
      </w:r>
      <w:r>
        <w:rPr>
          <w:i/>
        </w:rPr>
        <w:t>In-State Programming Report</w:t>
      </w:r>
      <w:r>
        <w:t xml:space="preserve">, 26 FCC Rcd at 11951, paras. 60-61 (discussing the adoption of a statewide copyright license that would permit satellite carriers to retransmit in-state broadcast stations to residents of orphan counties without triggering carriage requirements beyond the current DMA-based scope of Section 338 of the Communications Act).  We note that, with respect to cable MVPDs, similar adjustments could be made to the Commission’s retransmission consent regime as detailed in proposed legislation offered by Representative Ben Ray Luján during the reauthorization of STELA.  </w:t>
      </w:r>
      <w:r w:rsidRPr="00094A99">
        <w:rPr>
          <w:i/>
        </w:rPr>
        <w:t>See</w:t>
      </w:r>
      <w:r>
        <w:t xml:space="preserve"> Angele A. Gilroy and Lennard G. Kruger, Cong. Research Serv., R43490, Reauthorization of the Satellite Television Extension and Localism Act (STELA) 15 &amp; n.41 (2014) (suggesting modification of the retransmission consent and carriage rules to make delivery of in-state, out-of-market network broadcast signals to underserved consumers in counties adjacent to the market more feasible for MVPDs).</w:t>
      </w:r>
    </w:p>
  </w:footnote>
  <w:footnote w:id="233">
    <w:p w:rsidR="00D7796A" w:rsidRDefault="00D7796A">
      <w:pPr>
        <w:pStyle w:val="FootnoteText"/>
      </w:pPr>
      <w:r>
        <w:rPr>
          <w:rStyle w:val="FootnoteReference"/>
        </w:rPr>
        <w:footnoteRef/>
      </w:r>
      <w:r>
        <w:t xml:space="preserve"> </w:t>
      </w:r>
      <w:r w:rsidRPr="00AC01C6">
        <w:rPr>
          <w:i/>
        </w:rPr>
        <w:t>See supra</w:t>
      </w:r>
      <w:r>
        <w:t xml:space="preserve"> para. </w:t>
      </w:r>
      <w:r>
        <w:fldChar w:fldCharType="begin"/>
      </w:r>
      <w:r>
        <w:instrText xml:space="preserve"> REF _Ref452470459 \r \h </w:instrText>
      </w:r>
      <w:r>
        <w:fldChar w:fldCharType="separate"/>
      </w:r>
      <w:r w:rsidR="008E3F28">
        <w:t>87</w:t>
      </w:r>
      <w:r>
        <w:fldChar w:fldCharType="end"/>
      </w:r>
      <w:r>
        <w:t xml:space="preserve">; </w:t>
      </w:r>
      <w:r>
        <w:rPr>
          <w:i/>
        </w:rPr>
        <w:t>In-State Programming Report</w:t>
      </w:r>
      <w:r>
        <w:t>, 26 FCC Rcd at 11929, para. 17.</w:t>
      </w:r>
    </w:p>
  </w:footnote>
  <w:footnote w:id="234">
    <w:p w:rsidR="00D7796A" w:rsidRDefault="00D7796A">
      <w:pPr>
        <w:pStyle w:val="FootnoteText"/>
      </w:pPr>
      <w:r>
        <w:rPr>
          <w:rStyle w:val="FootnoteReference"/>
        </w:rPr>
        <w:footnoteRef/>
      </w:r>
      <w:r>
        <w:t xml:space="preserve"> </w:t>
      </w:r>
      <w:r>
        <w:rPr>
          <w:i/>
        </w:rPr>
        <w:t>In-State Programming Report</w:t>
      </w:r>
      <w:r>
        <w:t>, 26 FCC Rcd at 11933-34, para. 26.  Although these data were collected five years ago as required by STELA, the findings remain applicable to our analysis in this report as there have not been significant changes in the video programming delivery infrastructure.</w:t>
      </w:r>
    </w:p>
  </w:footnote>
  <w:footnote w:id="235">
    <w:p w:rsidR="00D7796A" w:rsidRDefault="00D7796A">
      <w:pPr>
        <w:pStyle w:val="FootnoteText"/>
      </w:pPr>
      <w:r>
        <w:rPr>
          <w:rStyle w:val="FootnoteReference"/>
        </w:rPr>
        <w:footnoteRef/>
      </w:r>
      <w:r>
        <w:t xml:space="preserve"> </w:t>
      </w:r>
      <w:r w:rsidR="000871AA" w:rsidRPr="00AE06BB">
        <w:rPr>
          <w:i/>
        </w:rPr>
        <w:t>Id.</w:t>
      </w:r>
      <w:r>
        <w:t xml:space="preserve"> at 11934, para. 27.  The Commission limited its analysis to viewership that meets Nielsen’</w:t>
      </w:r>
      <w:r w:rsidRPr="00202965">
        <w:t>s minimum reporting requirements (</w:t>
      </w:r>
      <w:r w:rsidRPr="000E5263">
        <w:rPr>
          <w:i/>
        </w:rPr>
        <w:t>i.e</w:t>
      </w:r>
      <w:r w:rsidRPr="00202965">
        <w:t xml:space="preserve">., in-state stations that attract a viewing audience comprised of </w:t>
      </w:r>
      <w:r>
        <w:t xml:space="preserve">at least 2.5 percent of the DMA’s households).  </w:t>
      </w:r>
      <w:r w:rsidRPr="00320CDB">
        <w:rPr>
          <w:i/>
        </w:rPr>
        <w:t>Id.</w:t>
      </w:r>
    </w:p>
  </w:footnote>
  <w:footnote w:id="236">
    <w:p w:rsidR="00D7796A" w:rsidRDefault="00D7796A">
      <w:pPr>
        <w:pStyle w:val="FootnoteText"/>
      </w:pPr>
      <w:r>
        <w:rPr>
          <w:rStyle w:val="FootnoteReference"/>
        </w:rPr>
        <w:footnoteRef/>
      </w:r>
      <w:r>
        <w:t xml:space="preserve"> </w:t>
      </w:r>
      <w:r w:rsidR="000871AA" w:rsidRPr="00AE06BB">
        <w:rPr>
          <w:i/>
        </w:rPr>
        <w:t>Id.</w:t>
      </w:r>
      <w:r w:rsidR="000871AA">
        <w:rPr>
          <w:i/>
        </w:rPr>
        <w:t xml:space="preserve"> </w:t>
      </w:r>
      <w:r>
        <w:t>at 11934, para. 28.</w:t>
      </w:r>
    </w:p>
  </w:footnote>
  <w:footnote w:id="237">
    <w:p w:rsidR="00D7796A" w:rsidRDefault="00D7796A" w:rsidP="00B51BA2">
      <w:pPr>
        <w:pStyle w:val="FootnoteText"/>
      </w:pPr>
      <w:r>
        <w:rPr>
          <w:rStyle w:val="FootnoteReference"/>
        </w:rPr>
        <w:footnoteRef/>
      </w:r>
      <w:r>
        <w:t xml:space="preserve"> SNL Financial, TV Stations by Market and Affiliation (May 2016).</w:t>
      </w:r>
    </w:p>
  </w:footnote>
  <w:footnote w:id="238">
    <w:p w:rsidR="00D7796A" w:rsidRDefault="00D7796A" w:rsidP="00B51BA2">
      <w:pPr>
        <w:pStyle w:val="FootnoteText"/>
      </w:pPr>
      <w:r>
        <w:rPr>
          <w:rStyle w:val="FootnoteReference"/>
        </w:rPr>
        <w:footnoteRef/>
      </w:r>
      <w:r>
        <w:t xml:space="preserve"> </w:t>
      </w:r>
      <w:r w:rsidRPr="00492F8D">
        <w:rPr>
          <w:i/>
        </w:rPr>
        <w:t>See also supra</w:t>
      </w:r>
      <w:r>
        <w:t xml:space="preserve"> paras </w:t>
      </w:r>
      <w:r>
        <w:fldChar w:fldCharType="begin"/>
      </w:r>
      <w:r>
        <w:instrText xml:space="preserve"> REF _Ref452470428 \r \h </w:instrText>
      </w:r>
      <w:r>
        <w:fldChar w:fldCharType="separate"/>
      </w:r>
      <w:r w:rsidR="008E3F28">
        <w:t>74</w:t>
      </w:r>
      <w:r>
        <w:fldChar w:fldCharType="end"/>
      </w:r>
      <w:r>
        <w:t xml:space="preserve">, </w:t>
      </w:r>
      <w:r>
        <w:fldChar w:fldCharType="begin"/>
      </w:r>
      <w:r>
        <w:instrText xml:space="preserve"> REF _Ref452470441 \r \h </w:instrText>
      </w:r>
      <w:r>
        <w:fldChar w:fldCharType="separate"/>
      </w:r>
      <w:r w:rsidR="008E3F28">
        <w:t>78</w:t>
      </w:r>
      <w:r>
        <w:fldChar w:fldCharType="end"/>
      </w:r>
      <w:r>
        <w:t xml:space="preserve"> (discussing case studies of Hunterdon County, NJ</w:t>
      </w:r>
      <w:r w:rsidRPr="00492F8D">
        <w:t xml:space="preserve"> </w:t>
      </w:r>
      <w:r>
        <w:t xml:space="preserve">and Sussex County, DE).  </w:t>
      </w:r>
    </w:p>
  </w:footnote>
  <w:footnote w:id="239">
    <w:p w:rsidR="00D7796A" w:rsidRDefault="00D7796A" w:rsidP="00A43A99">
      <w:pPr>
        <w:pStyle w:val="FootnoteText"/>
      </w:pPr>
      <w:r>
        <w:rPr>
          <w:rStyle w:val="FootnoteReference"/>
        </w:rPr>
        <w:footnoteRef/>
      </w:r>
      <w:r>
        <w:t xml:space="preserve"> </w:t>
      </w:r>
      <w:r>
        <w:rPr>
          <w:i/>
        </w:rPr>
        <w:t>In-State Programming Report</w:t>
      </w:r>
      <w:r>
        <w:t>, 26 FCC Rcd at 11933, para. 24.</w:t>
      </w:r>
    </w:p>
  </w:footnote>
  <w:footnote w:id="240">
    <w:p w:rsidR="00D7796A" w:rsidRDefault="00D7796A" w:rsidP="00A43A99">
      <w:pPr>
        <w:pStyle w:val="FootnoteText"/>
      </w:pPr>
      <w:r>
        <w:rPr>
          <w:rStyle w:val="FootnoteReference"/>
        </w:rPr>
        <w:footnoteRef/>
      </w:r>
      <w:r>
        <w:t xml:space="preserve"> </w:t>
      </w:r>
      <w:r w:rsidR="000871AA" w:rsidRPr="00AE06BB">
        <w:rPr>
          <w:i/>
        </w:rPr>
        <w:t>Id.</w:t>
      </w:r>
      <w:r w:rsidR="000871AA">
        <w:rPr>
          <w:i/>
        </w:rPr>
        <w:t xml:space="preserve"> </w:t>
      </w:r>
    </w:p>
  </w:footnote>
  <w:footnote w:id="241">
    <w:p w:rsidR="00D7796A" w:rsidRDefault="00D7796A" w:rsidP="00A43A99">
      <w:pPr>
        <w:pStyle w:val="FootnoteText"/>
      </w:pPr>
      <w:r>
        <w:rPr>
          <w:rStyle w:val="FootnoteReference"/>
        </w:rPr>
        <w:footnoteRef/>
      </w:r>
      <w:r>
        <w:t xml:space="preserve"> </w:t>
      </w:r>
      <w:r w:rsidR="00432A6D" w:rsidRPr="00AE06BB">
        <w:rPr>
          <w:i/>
        </w:rPr>
        <w:t>Id.</w:t>
      </w:r>
    </w:p>
  </w:footnote>
  <w:footnote w:id="242">
    <w:p w:rsidR="00D7796A" w:rsidRDefault="00D7796A">
      <w:pPr>
        <w:pStyle w:val="FootnoteText"/>
      </w:pPr>
      <w:r>
        <w:rPr>
          <w:rStyle w:val="FootnoteReference"/>
        </w:rPr>
        <w:footnoteRef/>
      </w:r>
      <w:r>
        <w:t xml:space="preserve"> NAB Comments at 14; JTNA Reply at 14-15.  </w:t>
      </w:r>
    </w:p>
  </w:footnote>
  <w:footnote w:id="243">
    <w:p w:rsidR="00D7796A" w:rsidRDefault="00D7796A">
      <w:pPr>
        <w:pStyle w:val="FootnoteText"/>
      </w:pPr>
      <w:r>
        <w:rPr>
          <w:rStyle w:val="FootnoteReference"/>
        </w:rPr>
        <w:footnoteRef/>
      </w:r>
      <w:r>
        <w:t xml:space="preserve"> </w:t>
      </w:r>
      <w:r w:rsidRPr="008E02F0">
        <w:rPr>
          <w:i/>
        </w:rPr>
        <w:t>See</w:t>
      </w:r>
      <w:r>
        <w:t xml:space="preserve"> </w:t>
      </w:r>
      <w:r w:rsidRPr="008E02F0">
        <w:rPr>
          <w:i/>
        </w:rPr>
        <w:t>supra</w:t>
      </w:r>
      <w:r>
        <w:t xml:space="preserve"> para. </w:t>
      </w:r>
      <w:r>
        <w:fldChar w:fldCharType="begin"/>
      </w:r>
      <w:r>
        <w:instrText xml:space="preserve"> REF _Ref452470368 \r \h </w:instrText>
      </w:r>
      <w:r>
        <w:fldChar w:fldCharType="separate"/>
      </w:r>
      <w:r w:rsidR="008E3F28">
        <w:t>23</w:t>
      </w:r>
      <w:r>
        <w:fldChar w:fldCharType="end"/>
      </w:r>
      <w:r>
        <w:t>.</w:t>
      </w:r>
    </w:p>
  </w:footnote>
  <w:footnote w:id="244">
    <w:p w:rsidR="00D7796A" w:rsidRDefault="00D7796A">
      <w:pPr>
        <w:pStyle w:val="FootnoteText"/>
      </w:pPr>
      <w:r>
        <w:rPr>
          <w:rStyle w:val="FootnoteReference"/>
        </w:rPr>
        <w:footnoteRef/>
      </w:r>
      <w:r>
        <w:t xml:space="preserve"> 47 CFR § 76.59.</w:t>
      </w:r>
    </w:p>
  </w:footnote>
  <w:footnote w:id="245">
    <w:p w:rsidR="00D7796A" w:rsidRDefault="00D7796A">
      <w:pPr>
        <w:pStyle w:val="FootnoteText"/>
      </w:pPr>
      <w:r>
        <w:rPr>
          <w:rStyle w:val="FootnoteReference"/>
        </w:rPr>
        <w:footnoteRef/>
      </w:r>
      <w:r>
        <w:t xml:space="preserve"> 47 U.S.C. § 534(h)(1)(C)(ii)(I)-(V); </w:t>
      </w:r>
      <w:r w:rsidRPr="00FB320F">
        <w:rPr>
          <w:i/>
        </w:rPr>
        <w:t>Satellite Market Modification Order</w:t>
      </w:r>
      <w:r>
        <w:t xml:space="preserve">, 30 FCC Rcd at 10409, para. 4.  </w:t>
      </w:r>
      <w:r w:rsidRPr="006714E8">
        <w:t xml:space="preserve">The Commission must also consider other relevant information to develop a result that is designed to “better effectuate the purposes” of the law.  </w:t>
      </w:r>
      <w:r w:rsidRPr="006714E8">
        <w:rPr>
          <w:i/>
        </w:rPr>
        <w:t>See</w:t>
      </w:r>
      <w:r w:rsidRPr="006714E8">
        <w:t xml:space="preserve"> </w:t>
      </w:r>
      <w:r w:rsidRPr="006714E8">
        <w:rPr>
          <w:i/>
        </w:rPr>
        <w:t>Cable Market Modification Second Report and Order</w:t>
      </w:r>
      <w:r>
        <w:t xml:space="preserve">, 14 FCC Rcd at </w:t>
      </w:r>
      <w:r w:rsidRPr="006714E8">
        <w:t xml:space="preserve">8389, </w:t>
      </w:r>
      <w:r>
        <w:t>para.</w:t>
      </w:r>
      <w:r w:rsidRPr="006714E8">
        <w:t xml:space="preserve"> 53.</w:t>
      </w:r>
    </w:p>
  </w:footnote>
  <w:footnote w:id="246">
    <w:p w:rsidR="00D7796A" w:rsidRDefault="00D7796A">
      <w:pPr>
        <w:pStyle w:val="FootnoteText"/>
      </w:pPr>
      <w:r>
        <w:rPr>
          <w:rStyle w:val="FootnoteReference"/>
        </w:rPr>
        <w:footnoteRef/>
      </w:r>
      <w:r>
        <w:t xml:space="preserve"> NAB Comments at 2.</w:t>
      </w:r>
    </w:p>
  </w:footnote>
  <w:footnote w:id="247">
    <w:p w:rsidR="00D7796A" w:rsidRDefault="00D7796A">
      <w:pPr>
        <w:pStyle w:val="FootnoteText"/>
      </w:pPr>
      <w:r>
        <w:rPr>
          <w:rStyle w:val="FootnoteReference"/>
        </w:rPr>
        <w:footnoteRef/>
      </w:r>
      <w:r>
        <w:t xml:space="preserve"> WTA Comments at 9.</w:t>
      </w:r>
    </w:p>
  </w:footnote>
  <w:footnote w:id="248">
    <w:p w:rsidR="00D7796A" w:rsidRDefault="00D7796A">
      <w:pPr>
        <w:pStyle w:val="FootnoteText"/>
      </w:pPr>
      <w:r>
        <w:rPr>
          <w:rStyle w:val="FootnoteReference"/>
        </w:rPr>
        <w:footnoteRef/>
      </w:r>
      <w:r>
        <w:t xml:space="preserve"> ITTA Reply at 2-3.</w:t>
      </w:r>
    </w:p>
  </w:footnote>
  <w:footnote w:id="249">
    <w:p w:rsidR="00D7796A" w:rsidRDefault="00D7796A">
      <w:pPr>
        <w:pStyle w:val="FootnoteText"/>
      </w:pPr>
      <w:r>
        <w:rPr>
          <w:rStyle w:val="FootnoteReference"/>
        </w:rPr>
        <w:footnoteRef/>
      </w:r>
      <w:r>
        <w:t xml:space="preserve"> </w:t>
      </w:r>
      <w:r w:rsidRPr="00936C1A">
        <w:rPr>
          <w:i/>
        </w:rPr>
        <w:t>See</w:t>
      </w:r>
      <w:r>
        <w:t xml:space="preserve"> </w:t>
      </w:r>
      <w:r w:rsidRPr="00936C1A">
        <w:rPr>
          <w:i/>
        </w:rPr>
        <w:t>Chairman Wheeler’s Response to Senator Johnson Regarding STELAR Implementation</w:t>
      </w:r>
      <w:r>
        <w:t xml:space="preserve">, available at </w:t>
      </w:r>
      <w:hyperlink r:id="rId16" w:history="1">
        <w:r w:rsidRPr="00BF0C91">
          <w:rPr>
            <w:rStyle w:val="Hyperlink"/>
          </w:rPr>
          <w:t>http://transition.fcc.gov/Daily_Releases/Daily_Business/2016/db0310/DOC-338173A1.pdf</w:t>
        </w:r>
      </w:hyperlink>
      <w:r>
        <w:t>.</w:t>
      </w:r>
    </w:p>
  </w:footnote>
  <w:footnote w:id="250">
    <w:p w:rsidR="00D7796A" w:rsidRDefault="00D7796A">
      <w:pPr>
        <w:pStyle w:val="FootnoteText"/>
      </w:pPr>
      <w:r>
        <w:rPr>
          <w:rStyle w:val="FootnoteReference"/>
        </w:rPr>
        <w:footnoteRef/>
      </w:r>
      <w:r>
        <w:t xml:space="preserve"> </w:t>
      </w:r>
      <w:r w:rsidRPr="005F2161">
        <w:rPr>
          <w:i/>
        </w:rPr>
        <w:t>Satellite Market Modification Order</w:t>
      </w:r>
      <w:r>
        <w:t>, 30 FCC Rcd at 10409, para. 4.</w:t>
      </w:r>
    </w:p>
  </w:footnote>
  <w:footnote w:id="251">
    <w:p w:rsidR="00D7796A" w:rsidRDefault="00D7796A">
      <w:pPr>
        <w:pStyle w:val="FootnoteText"/>
      </w:pPr>
      <w:r>
        <w:rPr>
          <w:rStyle w:val="FootnoteReference"/>
        </w:rPr>
        <w:footnoteRef/>
      </w:r>
      <w:r>
        <w:t xml:space="preserve"> </w:t>
      </w:r>
      <w:r w:rsidR="00432A6D" w:rsidRPr="00AE06BB">
        <w:rPr>
          <w:i/>
        </w:rPr>
        <w:t>Id.</w:t>
      </w:r>
      <w:r w:rsidR="00432A6D">
        <w:rPr>
          <w:i/>
        </w:rPr>
        <w:t xml:space="preserve"> </w:t>
      </w:r>
      <w:r>
        <w:t>at 10406, para. 1.</w:t>
      </w:r>
    </w:p>
  </w:footnote>
  <w:footnote w:id="252">
    <w:p w:rsidR="00D7796A" w:rsidRDefault="00D7796A">
      <w:pPr>
        <w:pStyle w:val="FootnoteText"/>
      </w:pPr>
      <w:r>
        <w:rPr>
          <w:rStyle w:val="FootnoteReference"/>
        </w:rPr>
        <w:footnoteRef/>
      </w:r>
      <w:r>
        <w:t xml:space="preserve"> </w:t>
      </w:r>
      <w:r w:rsidR="00432A6D" w:rsidRPr="00AE06BB">
        <w:rPr>
          <w:i/>
        </w:rPr>
        <w:t>Id.</w:t>
      </w:r>
      <w:r>
        <w:t xml:space="preserve"> at 10409, para. 4.</w:t>
      </w:r>
    </w:p>
  </w:footnote>
  <w:footnote w:id="253">
    <w:p w:rsidR="00D7796A" w:rsidRDefault="00D7796A">
      <w:pPr>
        <w:pStyle w:val="FootnoteText"/>
      </w:pPr>
      <w:r>
        <w:rPr>
          <w:rStyle w:val="FootnoteReference"/>
        </w:rPr>
        <w:footnoteRef/>
      </w:r>
      <w:r>
        <w:t xml:space="preserve"> </w:t>
      </w:r>
      <w:r w:rsidR="00432A6D" w:rsidRPr="00AE06BB">
        <w:rPr>
          <w:i/>
        </w:rPr>
        <w:t>Id.</w:t>
      </w:r>
      <w:r w:rsidR="00432A6D">
        <w:rPr>
          <w:i/>
        </w:rPr>
        <w:t xml:space="preserve"> </w:t>
      </w:r>
      <w:r>
        <w:t xml:space="preserve">at 10420, para. 18 (citing </w:t>
      </w:r>
      <w:r w:rsidRPr="004D5D81">
        <w:rPr>
          <w:i/>
        </w:rPr>
        <w:t>Senate Commerce Committee Report</w:t>
      </w:r>
      <w:r w:rsidRPr="003A3742">
        <w:t xml:space="preserve"> at 11</w:t>
      </w:r>
      <w:r>
        <w:t>)</w:t>
      </w:r>
      <w:r w:rsidRPr="003A3742">
        <w:t>.</w:t>
      </w:r>
    </w:p>
  </w:footnote>
  <w:footnote w:id="254">
    <w:p w:rsidR="00D7796A" w:rsidRDefault="00D7796A" w:rsidP="00FC49F8">
      <w:pPr>
        <w:pStyle w:val="FootnoteText"/>
      </w:pPr>
      <w:r>
        <w:rPr>
          <w:rStyle w:val="FootnoteReference"/>
        </w:rPr>
        <w:footnoteRef/>
      </w:r>
      <w:r>
        <w:t xml:space="preserve"> </w:t>
      </w:r>
      <w:r w:rsidR="00432A6D" w:rsidRPr="00AE06BB">
        <w:rPr>
          <w:i/>
        </w:rPr>
        <w:t>Id.</w:t>
      </w:r>
      <w:r w:rsidR="00432A6D">
        <w:rPr>
          <w:i/>
        </w:rPr>
        <w:t xml:space="preserve"> </w:t>
      </w:r>
      <w:r>
        <w:t>at 10406, para. 1.</w:t>
      </w:r>
    </w:p>
  </w:footnote>
  <w:footnote w:id="255">
    <w:p w:rsidR="00D7796A" w:rsidRDefault="00D7796A" w:rsidP="00FC49F8">
      <w:pPr>
        <w:pStyle w:val="FootnoteText"/>
      </w:pPr>
      <w:r>
        <w:rPr>
          <w:rStyle w:val="FootnoteReference"/>
        </w:rPr>
        <w:footnoteRef/>
      </w:r>
      <w:r>
        <w:t xml:space="preserve"> </w:t>
      </w:r>
      <w:r w:rsidR="00432A6D" w:rsidRPr="00AE06BB">
        <w:rPr>
          <w:i/>
        </w:rPr>
        <w:t>Id.</w:t>
      </w:r>
      <w:r>
        <w:t xml:space="preserve"> at 10409, para. 4.  Finding that </w:t>
      </w:r>
      <w:r w:rsidRPr="00271065">
        <w:t xml:space="preserve">the cable market modification process has worked well for more than </w:t>
      </w:r>
      <w:r>
        <w:t>twenty</w:t>
      </w:r>
      <w:r w:rsidRPr="00271065">
        <w:t xml:space="preserve"> years</w:t>
      </w:r>
      <w:r>
        <w:t>,</w:t>
      </w:r>
      <w:r w:rsidRPr="00271065">
        <w:t xml:space="preserve"> </w:t>
      </w:r>
      <w:r>
        <w:t xml:space="preserve">the Commission did not expand the class of entities that may file a cable market modification petition.  </w:t>
      </w:r>
      <w:r w:rsidRPr="00AD7DD2">
        <w:rPr>
          <w:i/>
        </w:rPr>
        <w:t>Id.</w:t>
      </w:r>
      <w:r>
        <w:t xml:space="preserve"> at 10418, para. 15.</w:t>
      </w:r>
    </w:p>
  </w:footnote>
  <w:footnote w:id="256">
    <w:p w:rsidR="00D7796A" w:rsidRDefault="00D7796A" w:rsidP="00FC49F8">
      <w:pPr>
        <w:pStyle w:val="FootnoteText"/>
      </w:pPr>
      <w:r>
        <w:rPr>
          <w:rStyle w:val="FootnoteReference"/>
        </w:rPr>
        <w:footnoteRef/>
      </w:r>
      <w:r>
        <w:t xml:space="preserve"> </w:t>
      </w:r>
      <w:r w:rsidR="00432A6D" w:rsidRPr="00AE06BB">
        <w:rPr>
          <w:i/>
        </w:rPr>
        <w:t>Id.</w:t>
      </w:r>
      <w:r w:rsidR="00432A6D">
        <w:rPr>
          <w:i/>
        </w:rPr>
        <w:t xml:space="preserve"> </w:t>
      </w:r>
      <w:r>
        <w:t xml:space="preserve">at 10416-17, para. 14.  The Order observes, however, that </w:t>
      </w:r>
      <w:r w:rsidRPr="006714E8">
        <w:t>station carriage relies in part on business decisions involving broadcasters and satellite carriers and that</w:t>
      </w:r>
      <w:r>
        <w:t>,</w:t>
      </w:r>
      <w:r w:rsidRPr="006714E8">
        <w:t xml:space="preserve"> without the willing participation of the affected broadcaster, modifying the market of a particular television station, in itself, would not result in consumer access to that station.</w:t>
      </w:r>
      <w:r>
        <w:t xml:space="preserve">  </w:t>
      </w:r>
      <w:r w:rsidRPr="0034304C">
        <w:rPr>
          <w:i/>
        </w:rPr>
        <w:t>Id</w:t>
      </w:r>
      <w:r>
        <w:t>.</w:t>
      </w:r>
    </w:p>
  </w:footnote>
  <w:footnote w:id="257">
    <w:p w:rsidR="00D7796A" w:rsidRDefault="00D7796A" w:rsidP="00FC49F8">
      <w:pPr>
        <w:pStyle w:val="FootnoteText"/>
      </w:pPr>
      <w:r>
        <w:rPr>
          <w:rStyle w:val="FootnoteReference"/>
        </w:rPr>
        <w:footnoteRef/>
      </w:r>
      <w:r>
        <w:t xml:space="preserve"> </w:t>
      </w:r>
      <w:r w:rsidR="00432A6D" w:rsidRPr="00AE06BB">
        <w:rPr>
          <w:i/>
        </w:rPr>
        <w:t>Id.</w:t>
      </w:r>
      <w:r w:rsidR="00432A6D">
        <w:rPr>
          <w:i/>
        </w:rPr>
        <w:t xml:space="preserve"> </w:t>
      </w:r>
      <w:r>
        <w:t>at 10419, para. 16.</w:t>
      </w:r>
    </w:p>
  </w:footnote>
  <w:footnote w:id="258">
    <w:p w:rsidR="00D7796A" w:rsidRDefault="00D7796A" w:rsidP="00FC49F8">
      <w:pPr>
        <w:pStyle w:val="FootnoteText"/>
      </w:pPr>
      <w:r>
        <w:rPr>
          <w:rStyle w:val="FootnoteReference"/>
        </w:rPr>
        <w:footnoteRef/>
      </w:r>
      <w:r>
        <w:t xml:space="preserve"> </w:t>
      </w:r>
      <w:r w:rsidRPr="005234D9">
        <w:rPr>
          <w:i/>
        </w:rPr>
        <w:t>See</w:t>
      </w:r>
      <w:r>
        <w:t xml:space="preserve"> 47 CFR § 76.59(b); </w:t>
      </w:r>
      <w:r w:rsidRPr="00FB320F">
        <w:rPr>
          <w:i/>
        </w:rPr>
        <w:t>Satellite Market Modification Order</w:t>
      </w:r>
      <w:r>
        <w:t>, 30 FCC Rcd at 10419, para. 16.</w:t>
      </w:r>
    </w:p>
  </w:footnote>
  <w:footnote w:id="259">
    <w:p w:rsidR="00D7796A" w:rsidRDefault="00D7796A" w:rsidP="00FC49F8">
      <w:pPr>
        <w:pStyle w:val="FootnoteText"/>
      </w:pPr>
      <w:r>
        <w:rPr>
          <w:rStyle w:val="FootnoteReference"/>
        </w:rPr>
        <w:footnoteRef/>
      </w:r>
      <w:r>
        <w:t xml:space="preserve"> </w:t>
      </w:r>
      <w:r w:rsidRPr="005234D9">
        <w:rPr>
          <w:i/>
        </w:rPr>
        <w:t>See</w:t>
      </w:r>
      <w:r>
        <w:t xml:space="preserve"> </w:t>
      </w:r>
      <w:r w:rsidRPr="004C3BEA">
        <w:rPr>
          <w:i/>
        </w:rPr>
        <w:t>id.</w:t>
      </w:r>
    </w:p>
  </w:footnote>
  <w:footnote w:id="260">
    <w:p w:rsidR="00D7796A" w:rsidRDefault="00D7796A">
      <w:pPr>
        <w:pStyle w:val="FootnoteText"/>
      </w:pPr>
      <w:r>
        <w:rPr>
          <w:rStyle w:val="FootnoteReference"/>
        </w:rPr>
        <w:footnoteRef/>
      </w:r>
      <w:r>
        <w:t xml:space="preserve"> </w:t>
      </w:r>
      <w:r w:rsidRPr="00015964">
        <w:rPr>
          <w:i/>
        </w:rPr>
        <w:t>See, e.g.</w:t>
      </w:r>
      <w:r>
        <w:t xml:space="preserve">, </w:t>
      </w:r>
      <w:r w:rsidRPr="00674F0E">
        <w:rPr>
          <w:i/>
        </w:rPr>
        <w:t>FCC Finalizes Rule to Allow Four Corners to Request Colorado Broadcast TV</w:t>
      </w:r>
      <w:r>
        <w:t xml:space="preserve"> (Feb. 19, 2016), </w:t>
      </w:r>
      <w:hyperlink r:id="rId17" w:history="1">
        <w:r w:rsidRPr="00D95100">
          <w:rPr>
            <w:rStyle w:val="Hyperlink"/>
          </w:rPr>
          <w:t>https://www.bennet.senate.gov/?p=release&amp;id=3599</w:t>
        </w:r>
      </w:hyperlink>
      <w:r>
        <w:t xml:space="preserve">; Edward Graham, </w:t>
      </w:r>
      <w:r w:rsidRPr="006D0540">
        <w:rPr>
          <w:i/>
        </w:rPr>
        <w:t>Finalized FCC rule puts Denver TV within reach</w:t>
      </w:r>
      <w:r w:rsidRPr="006D0540">
        <w:t xml:space="preserve"> </w:t>
      </w:r>
      <w:r>
        <w:t xml:space="preserve">(Feb. 22, 2016), </w:t>
      </w:r>
      <w:hyperlink r:id="rId18" w:history="1">
        <w:r w:rsidRPr="00DB0AD4">
          <w:rPr>
            <w:rStyle w:val="Hyperlink"/>
          </w:rPr>
          <w:t>http://www.cortezjournal.com/article/20160222/NEWS01/160229985/-1/News</w:t>
        </w:r>
      </w:hyperlink>
      <w:r>
        <w:t>.</w:t>
      </w:r>
    </w:p>
  </w:footnote>
  <w:footnote w:id="261">
    <w:p w:rsidR="00D7796A" w:rsidRDefault="00D7796A">
      <w:pPr>
        <w:pStyle w:val="FootnoteText"/>
      </w:pPr>
      <w:r>
        <w:rPr>
          <w:rStyle w:val="FootnoteReference"/>
        </w:rPr>
        <w:footnoteRef/>
      </w:r>
      <w:r>
        <w:t xml:space="preserve"> </w:t>
      </w:r>
      <w:r w:rsidRPr="00231621">
        <w:rPr>
          <w:i/>
        </w:rPr>
        <w:t>See</w:t>
      </w:r>
      <w:r>
        <w:t xml:space="preserve"> Peter Marcus, </w:t>
      </w:r>
      <w:r w:rsidRPr="00231621">
        <w:rPr>
          <w:i/>
        </w:rPr>
        <w:t>New rules may open door to Denver TV</w:t>
      </w:r>
      <w:r w:rsidRPr="00231621">
        <w:t xml:space="preserve"> </w:t>
      </w:r>
      <w:r>
        <w:t xml:space="preserve">(Sept. 8, 2015), </w:t>
      </w:r>
      <w:hyperlink r:id="rId19" w:history="1">
        <w:r w:rsidRPr="00DB0AD4">
          <w:rPr>
            <w:rStyle w:val="Hyperlink"/>
          </w:rPr>
          <w:t>http://www.cortezjournal.com/article/20150908/NEWS01/150909838/0/news/New-rules-may-open-door-to-Denver-TV</w:t>
        </w:r>
      </w:hyperlink>
      <w:r>
        <w:t xml:space="preserve"> (noting the efforts of U.S. Senators Michael Bennet and Mark Udall in securing provisions in the STELAR); </w:t>
      </w:r>
      <w:r w:rsidRPr="00674F0E">
        <w:rPr>
          <w:i/>
        </w:rPr>
        <w:t>FCC Finalizes Rule to Allow Four Corners to Request Colorado Broadcast TV</w:t>
      </w:r>
      <w:r>
        <w:t xml:space="preserve"> (Feb. 19, 2016), </w:t>
      </w:r>
      <w:r w:rsidRPr="00231621">
        <w:t>https://www.bennet.senate.gov/?p=release&amp;id=3599</w:t>
      </w:r>
      <w:r>
        <w:t xml:space="preserve"> (noting Senator Bennet’s efforts in getting the Commission to publish the </w:t>
      </w:r>
      <w:r w:rsidRPr="00771745">
        <w:rPr>
          <w:i/>
        </w:rPr>
        <w:t>In-State Programming Report</w:t>
      </w:r>
      <w:r>
        <w:t>).</w:t>
      </w:r>
    </w:p>
  </w:footnote>
  <w:footnote w:id="262">
    <w:p w:rsidR="00D7796A" w:rsidRDefault="00D7796A">
      <w:pPr>
        <w:pStyle w:val="FootnoteText"/>
      </w:pPr>
      <w:r>
        <w:rPr>
          <w:rStyle w:val="FootnoteReference"/>
        </w:rPr>
        <w:footnoteRef/>
      </w:r>
      <w:r>
        <w:t xml:space="preserve"> </w:t>
      </w:r>
      <w:r w:rsidRPr="00936C1A">
        <w:rPr>
          <w:i/>
        </w:rPr>
        <w:t>Chairman Wheeler</w:t>
      </w:r>
      <w:r w:rsidR="00D57A0F">
        <w:rPr>
          <w:i/>
        </w:rPr>
        <w:t>’</w:t>
      </w:r>
      <w:r w:rsidRPr="00936C1A">
        <w:rPr>
          <w:i/>
        </w:rPr>
        <w:t>s Response to Senator Johnson Regarding STELAR Implementation</w:t>
      </w:r>
      <w:r>
        <w:t xml:space="preserve">, available at </w:t>
      </w:r>
      <w:hyperlink r:id="rId20" w:history="1">
        <w:r w:rsidRPr="00BF0C91">
          <w:rPr>
            <w:rStyle w:val="Hyperlink"/>
          </w:rPr>
          <w:t>http://transition.fcc.gov/Daily_Releases/Daily_Business/2016/db0310/DOC-338173A1.pdf</w:t>
        </w:r>
      </w:hyperlink>
      <w:r>
        <w:t>.</w:t>
      </w:r>
    </w:p>
  </w:footnote>
  <w:footnote w:id="263">
    <w:p w:rsidR="00D7796A" w:rsidRDefault="00D7796A" w:rsidP="0072158A">
      <w:pPr>
        <w:pStyle w:val="FootnoteText"/>
      </w:pPr>
      <w:r>
        <w:rPr>
          <w:rStyle w:val="FootnoteReference"/>
        </w:rPr>
        <w:footnoteRef/>
      </w:r>
      <w:r>
        <w:t xml:space="preserve"> </w:t>
      </w:r>
      <w:r w:rsidRPr="005F2161">
        <w:rPr>
          <w:i/>
        </w:rPr>
        <w:t>Satellite Market Modification Order</w:t>
      </w:r>
      <w:r>
        <w:t>, 30 FCC Rcd at 10418, para. 15 (observing</w:t>
      </w:r>
      <w:r w:rsidRPr="00767D12">
        <w:t xml:space="preserve"> that the cable market modification process has worked well for more than 20 years</w:t>
      </w:r>
      <w:r>
        <w:t>).</w:t>
      </w:r>
    </w:p>
  </w:footnote>
  <w:footnote w:id="264">
    <w:p w:rsidR="00D7796A" w:rsidRDefault="00D7796A">
      <w:pPr>
        <w:pStyle w:val="FootnoteText"/>
      </w:pPr>
      <w:r>
        <w:rPr>
          <w:rStyle w:val="FootnoteReference"/>
        </w:rPr>
        <w:footnoteRef/>
      </w:r>
      <w:r>
        <w:t xml:space="preserve"> WTA Comments at 9; ITTA Reply at 2-3.</w:t>
      </w:r>
    </w:p>
  </w:footnote>
  <w:footnote w:id="265">
    <w:p w:rsidR="00D7796A" w:rsidRDefault="00D7796A">
      <w:pPr>
        <w:pStyle w:val="FootnoteText"/>
      </w:pPr>
      <w:r>
        <w:rPr>
          <w:rStyle w:val="FootnoteReference"/>
        </w:rPr>
        <w:footnoteRef/>
      </w:r>
      <w:r>
        <w:t xml:space="preserve"> </w:t>
      </w:r>
      <w:r w:rsidRPr="005F2161">
        <w:rPr>
          <w:i/>
        </w:rPr>
        <w:t>S</w:t>
      </w:r>
      <w:r>
        <w:rPr>
          <w:i/>
        </w:rPr>
        <w:t>ee S</w:t>
      </w:r>
      <w:r w:rsidRPr="005F2161">
        <w:rPr>
          <w:i/>
        </w:rPr>
        <w:t>atellite Market Modification Order</w:t>
      </w:r>
      <w:r>
        <w:t>, 30 FCC Rcd at 10417-18, para. 14.</w:t>
      </w:r>
    </w:p>
  </w:footnote>
  <w:footnote w:id="266">
    <w:p w:rsidR="00D7796A" w:rsidRDefault="00D7796A">
      <w:pPr>
        <w:pStyle w:val="FootnoteText"/>
      </w:pPr>
      <w:r>
        <w:rPr>
          <w:rStyle w:val="FootnoteReference"/>
        </w:rPr>
        <w:footnoteRef/>
      </w:r>
      <w:r>
        <w:t xml:space="preserve"> </w:t>
      </w:r>
      <w:r w:rsidRPr="003E3BB8">
        <w:rPr>
          <w:i/>
        </w:rPr>
        <w:t>See</w:t>
      </w:r>
      <w:r>
        <w:t xml:space="preserve"> </w:t>
      </w:r>
      <w:r w:rsidR="00432A6D">
        <w:rPr>
          <w:i/>
        </w:rPr>
        <w:t>i</w:t>
      </w:r>
      <w:r w:rsidR="00432A6D" w:rsidRPr="00AE06BB">
        <w:rPr>
          <w:i/>
        </w:rPr>
        <w:t>d.</w:t>
      </w:r>
      <w:r w:rsidR="00432A6D">
        <w:rPr>
          <w:i/>
        </w:rPr>
        <w:t xml:space="preserve"> </w:t>
      </w:r>
      <w:r>
        <w:t>at 10406, para. 1.</w:t>
      </w:r>
    </w:p>
  </w:footnote>
  <w:footnote w:id="267">
    <w:p w:rsidR="00D7796A" w:rsidRDefault="00D7796A">
      <w:pPr>
        <w:pStyle w:val="FootnoteText"/>
      </w:pPr>
      <w:r>
        <w:rPr>
          <w:rStyle w:val="FootnoteReference"/>
        </w:rPr>
        <w:footnoteRef/>
      </w:r>
      <w:r>
        <w:t xml:space="preserve"> NAB Comments at 16.</w:t>
      </w:r>
    </w:p>
  </w:footnote>
  <w:footnote w:id="268">
    <w:p w:rsidR="00D7796A" w:rsidRDefault="00D7796A" w:rsidP="003305BF">
      <w:pPr>
        <w:pStyle w:val="FootnoteText"/>
      </w:pPr>
      <w:r>
        <w:rPr>
          <w:rStyle w:val="FootnoteReference"/>
        </w:rPr>
        <w:footnoteRef/>
      </w:r>
      <w:r>
        <w:t xml:space="preserve"> </w:t>
      </w:r>
      <w:r w:rsidR="00432A6D" w:rsidRPr="00AE06BB">
        <w:rPr>
          <w:i/>
        </w:rPr>
        <w:t>Id.</w:t>
      </w:r>
      <w:r w:rsidR="00432A6D">
        <w:rPr>
          <w:i/>
        </w:rPr>
        <w:t xml:space="preserve"> </w:t>
      </w:r>
      <w:r>
        <w:t xml:space="preserve">at 16 (citing three instances where MVPDs have agreements in place with broadcasters to import out-of-market, in-state television programming).  To the extent that MVPDs do not pursue carriage of out-of-market, in-state television stations, NAB attributes this reluctance to the MVPDs’ business decisions.  </w:t>
      </w:r>
      <w:r w:rsidRPr="00E94A6C">
        <w:rPr>
          <w:i/>
        </w:rPr>
        <w:t>Id.</w:t>
      </w:r>
      <w:r>
        <w:t xml:space="preserve"> at 17.</w:t>
      </w:r>
    </w:p>
  </w:footnote>
  <w:footnote w:id="269">
    <w:p w:rsidR="00D7796A" w:rsidRDefault="00D7796A" w:rsidP="003305BF">
      <w:pPr>
        <w:pStyle w:val="FootnoteText"/>
      </w:pPr>
      <w:r>
        <w:rPr>
          <w:rStyle w:val="FootnoteReference"/>
        </w:rPr>
        <w:footnoteRef/>
      </w:r>
      <w:r>
        <w:t xml:space="preserve"> DIRECTV Comments at 3.</w:t>
      </w:r>
    </w:p>
  </w:footnote>
  <w:footnote w:id="270">
    <w:p w:rsidR="00D7796A" w:rsidRDefault="00D7796A" w:rsidP="003305BF">
      <w:pPr>
        <w:pStyle w:val="FootnoteText"/>
      </w:pPr>
      <w:r>
        <w:rPr>
          <w:rStyle w:val="FootnoteReference"/>
        </w:rPr>
        <w:footnoteRef/>
      </w:r>
      <w:r>
        <w:t xml:space="preserve"> WTA Comments at 9.</w:t>
      </w:r>
    </w:p>
  </w:footnote>
  <w:footnote w:id="271">
    <w:p w:rsidR="00D7796A" w:rsidRDefault="00D7796A" w:rsidP="003305BF">
      <w:pPr>
        <w:pStyle w:val="FootnoteText"/>
      </w:pPr>
      <w:r>
        <w:rPr>
          <w:rStyle w:val="FootnoteReference"/>
        </w:rPr>
        <w:footnoteRef/>
      </w:r>
      <w:r>
        <w:t xml:space="preserve"> ITTA Reply at 2-3.</w:t>
      </w:r>
    </w:p>
  </w:footnote>
  <w:footnote w:id="272">
    <w:p w:rsidR="00D7796A" w:rsidRDefault="00D7796A">
      <w:pPr>
        <w:pStyle w:val="FootnoteText"/>
      </w:pPr>
      <w:r>
        <w:rPr>
          <w:rStyle w:val="FootnoteReference"/>
        </w:rPr>
        <w:footnoteRef/>
      </w:r>
      <w:r>
        <w:t xml:space="preserve"> WTA Comments at 9; ITTA Reply at 2-3.</w:t>
      </w:r>
    </w:p>
  </w:footnote>
  <w:footnote w:id="273">
    <w:p w:rsidR="00D7796A" w:rsidRDefault="00D7796A">
      <w:pPr>
        <w:pStyle w:val="FootnoteText"/>
      </w:pPr>
      <w:r>
        <w:rPr>
          <w:rStyle w:val="FootnoteReference"/>
        </w:rPr>
        <w:footnoteRef/>
      </w:r>
      <w:r>
        <w:t xml:space="preserve"> </w:t>
      </w:r>
      <w:r w:rsidRPr="00B51322">
        <w:rPr>
          <w:i/>
        </w:rPr>
        <w:t>See</w:t>
      </w:r>
      <w:r>
        <w:t xml:space="preserve"> NAB Comments at 3-4.</w:t>
      </w:r>
    </w:p>
  </w:footnote>
  <w:footnote w:id="274">
    <w:p w:rsidR="00D7796A" w:rsidRDefault="00D7796A">
      <w:pPr>
        <w:pStyle w:val="FootnoteText"/>
      </w:pPr>
      <w:r>
        <w:rPr>
          <w:rStyle w:val="FootnoteReference"/>
        </w:rPr>
        <w:footnoteRef/>
      </w:r>
      <w:r>
        <w:t xml:space="preserve"> </w:t>
      </w:r>
      <w:r w:rsidRPr="008F7AF8">
        <w:rPr>
          <w:i/>
        </w:rPr>
        <w:t>See</w:t>
      </w:r>
      <w:r>
        <w:t xml:space="preserve"> </w:t>
      </w:r>
      <w:r w:rsidR="00432A6D">
        <w:rPr>
          <w:i/>
        </w:rPr>
        <w:t>i</w:t>
      </w:r>
      <w:r w:rsidR="00432A6D" w:rsidRPr="00AE06BB">
        <w:rPr>
          <w:i/>
        </w:rPr>
        <w:t>d.</w:t>
      </w:r>
      <w:r w:rsidR="00432A6D">
        <w:rPr>
          <w:i/>
        </w:rPr>
        <w:t xml:space="preserve"> </w:t>
      </w:r>
      <w:r>
        <w:t xml:space="preserve">at 31.  NAB makes the distinction that, while broadcasters oppose the importation of duplicative programming, broadcasters are willing to grant out-of-market carriage rights for non-duplicative programming.  </w:t>
      </w:r>
      <w:r w:rsidR="00B201FA" w:rsidRPr="00AE06BB">
        <w:rPr>
          <w:i/>
        </w:rPr>
        <w:t>Id.</w:t>
      </w:r>
      <w:r w:rsidR="00B201FA">
        <w:rPr>
          <w:i/>
        </w:rPr>
        <w:t xml:space="preserve"> </w:t>
      </w:r>
      <w:r>
        <w:t>at 16-17.</w:t>
      </w:r>
    </w:p>
  </w:footnote>
  <w:footnote w:id="275">
    <w:p w:rsidR="00D7796A" w:rsidRDefault="00D7796A" w:rsidP="00F163AD">
      <w:pPr>
        <w:pStyle w:val="FootnoteText"/>
      </w:pPr>
      <w:r>
        <w:rPr>
          <w:rStyle w:val="FootnoteReference"/>
        </w:rPr>
        <w:footnoteRef/>
      </w:r>
      <w:r>
        <w:t xml:space="preserve"> WTA Comments at 9.  Although DISH did not submit comments in this proceeding, we note that DISH has suggested in the context of the recent market modification proceeding that carriage of two stations with the same network affiliation could result in the MVPD paying retransmission consent fees to two stations.  DISH Comments, MB Docket No. 15-71, at 9-10 (May 13, 2015).</w:t>
      </w:r>
    </w:p>
  </w:footnote>
  <w:footnote w:id="276">
    <w:p w:rsidR="00D7796A" w:rsidRDefault="00D7796A">
      <w:pPr>
        <w:pStyle w:val="FootnoteText"/>
      </w:pPr>
      <w:r>
        <w:rPr>
          <w:rStyle w:val="FootnoteReference"/>
        </w:rPr>
        <w:footnoteRef/>
      </w:r>
      <w:r>
        <w:t xml:space="preserve"> NAB Comments at 16.</w:t>
      </w:r>
    </w:p>
  </w:footnote>
  <w:footnote w:id="277">
    <w:p w:rsidR="00D7796A" w:rsidRDefault="00D7796A">
      <w:pPr>
        <w:pStyle w:val="FootnoteText"/>
      </w:pPr>
      <w:r>
        <w:rPr>
          <w:rStyle w:val="FootnoteReference"/>
        </w:rPr>
        <w:footnoteRef/>
      </w:r>
      <w:r>
        <w:t xml:space="preserve"> </w:t>
      </w:r>
      <w:r w:rsidRPr="00674FC1">
        <w:rPr>
          <w:i/>
        </w:rPr>
        <w:t>But see</w:t>
      </w:r>
      <w:r>
        <w:t xml:space="preserve"> </w:t>
      </w:r>
      <w:r w:rsidR="00B201FA">
        <w:rPr>
          <w:i/>
        </w:rPr>
        <w:t>i</w:t>
      </w:r>
      <w:r w:rsidR="00B201FA" w:rsidRPr="00AE06BB">
        <w:rPr>
          <w:i/>
        </w:rPr>
        <w:t>d</w:t>
      </w:r>
      <w:r>
        <w:t>.</w:t>
      </w:r>
    </w:p>
  </w:footnote>
  <w:footnote w:id="278">
    <w:p w:rsidR="00D7796A" w:rsidRDefault="00D7796A">
      <w:pPr>
        <w:pStyle w:val="FootnoteText"/>
      </w:pPr>
      <w:r>
        <w:rPr>
          <w:rStyle w:val="FootnoteReference"/>
        </w:rPr>
        <w:footnoteRef/>
      </w:r>
      <w:r>
        <w:t xml:space="preserve"> ITTA Reply at 3-4. </w:t>
      </w:r>
    </w:p>
  </w:footnote>
  <w:footnote w:id="279">
    <w:p w:rsidR="00D7796A" w:rsidRDefault="00D7796A">
      <w:pPr>
        <w:pStyle w:val="FootnoteText"/>
      </w:pPr>
      <w:r>
        <w:rPr>
          <w:rStyle w:val="FootnoteReference"/>
        </w:rPr>
        <w:footnoteRef/>
      </w:r>
      <w:r>
        <w:t xml:space="preserve"> </w:t>
      </w:r>
      <w:r w:rsidRPr="004D1173">
        <w:rPr>
          <w:i/>
        </w:rPr>
        <w:t>A</w:t>
      </w:r>
      <w:r w:rsidRPr="00154360">
        <w:rPr>
          <w:i/>
        </w:rPr>
        <w:t>mendment of the Commission</w:t>
      </w:r>
      <w:r w:rsidR="00D57A0F">
        <w:rPr>
          <w:i/>
        </w:rPr>
        <w:t>’</w:t>
      </w:r>
      <w:r w:rsidRPr="00154360">
        <w:rPr>
          <w:i/>
        </w:rPr>
        <w:t>s Rules Related to Retransmission Consent</w:t>
      </w:r>
      <w:r>
        <w:t xml:space="preserve">, 29 FCC Rcd at 3376, para. 41.  MVPDs often will not import out-of-market signals if they are required to black out a significant portion of the programming. </w:t>
      </w:r>
    </w:p>
  </w:footnote>
  <w:footnote w:id="280">
    <w:p w:rsidR="00D7796A" w:rsidRDefault="00D7796A" w:rsidP="00083950">
      <w:pPr>
        <w:pStyle w:val="FootnoteText"/>
      </w:pPr>
      <w:r>
        <w:rPr>
          <w:rStyle w:val="FootnoteReference"/>
        </w:rPr>
        <w:footnoteRef/>
      </w:r>
      <w:r>
        <w:t xml:space="preserve"> ITTA Reply at 8.</w:t>
      </w:r>
    </w:p>
  </w:footnote>
  <w:footnote w:id="281">
    <w:p w:rsidR="00D7796A" w:rsidRDefault="00D7796A">
      <w:pPr>
        <w:pStyle w:val="FootnoteText"/>
      </w:pPr>
      <w:r>
        <w:rPr>
          <w:rStyle w:val="FootnoteReference"/>
        </w:rPr>
        <w:footnoteRef/>
      </w:r>
      <w:r>
        <w:t xml:space="preserve"> </w:t>
      </w:r>
      <w:r w:rsidR="00B201FA" w:rsidRPr="00AE06BB">
        <w:rPr>
          <w:i/>
        </w:rPr>
        <w:t>Id.</w:t>
      </w:r>
      <w:r>
        <w:t xml:space="preserve"> at 7.</w:t>
      </w:r>
    </w:p>
  </w:footnote>
  <w:footnote w:id="282">
    <w:p w:rsidR="00D7796A" w:rsidRDefault="00D7796A">
      <w:pPr>
        <w:pStyle w:val="FootnoteText"/>
      </w:pPr>
      <w:r>
        <w:rPr>
          <w:rStyle w:val="FootnoteReference"/>
        </w:rPr>
        <w:footnoteRef/>
      </w:r>
      <w:r>
        <w:t xml:space="preserve"> </w:t>
      </w:r>
      <w:r w:rsidR="00B201FA" w:rsidRPr="00AE06BB">
        <w:rPr>
          <w:i/>
        </w:rPr>
        <w:t>Id.</w:t>
      </w:r>
      <w:r w:rsidR="00B201FA">
        <w:rPr>
          <w:i/>
        </w:rPr>
        <w:t xml:space="preserve"> </w:t>
      </w:r>
      <w:r>
        <w:t>at 8-9.</w:t>
      </w:r>
    </w:p>
  </w:footnote>
  <w:footnote w:id="283">
    <w:p w:rsidR="00D7796A" w:rsidRDefault="00D7796A">
      <w:pPr>
        <w:pStyle w:val="FootnoteText"/>
      </w:pPr>
      <w:r>
        <w:rPr>
          <w:rStyle w:val="FootnoteReference"/>
        </w:rPr>
        <w:footnoteRef/>
      </w:r>
      <w:r>
        <w:t xml:space="preserve"> NAB Comments at 31.</w:t>
      </w:r>
    </w:p>
  </w:footnote>
  <w:footnote w:id="284">
    <w:p w:rsidR="00D7796A" w:rsidRDefault="00D7796A" w:rsidP="00D72565">
      <w:pPr>
        <w:pStyle w:val="FootnoteText"/>
      </w:pPr>
      <w:r>
        <w:rPr>
          <w:rStyle w:val="FootnoteReference"/>
        </w:rPr>
        <w:footnoteRef/>
      </w:r>
      <w:r>
        <w:t xml:space="preserve"> </w:t>
      </w:r>
      <w:r w:rsidR="00B201FA" w:rsidRPr="00AE06BB">
        <w:rPr>
          <w:i/>
        </w:rPr>
        <w:t>Id.</w:t>
      </w:r>
      <w:r w:rsidR="00B201FA">
        <w:rPr>
          <w:i/>
        </w:rPr>
        <w:t xml:space="preserve"> </w:t>
      </w:r>
      <w:r>
        <w:t>at 3-4.</w:t>
      </w:r>
    </w:p>
  </w:footnote>
  <w:footnote w:id="285">
    <w:p w:rsidR="00D7796A" w:rsidRDefault="00D7796A">
      <w:pPr>
        <w:pStyle w:val="FootnoteText"/>
      </w:pPr>
      <w:r>
        <w:rPr>
          <w:rStyle w:val="FootnoteReference"/>
        </w:rPr>
        <w:footnoteRef/>
      </w:r>
      <w:r>
        <w:t xml:space="preserve"> </w:t>
      </w:r>
      <w:r w:rsidR="00B201FA" w:rsidRPr="00AE06BB">
        <w:rPr>
          <w:i/>
        </w:rPr>
        <w:t>Id.</w:t>
      </w:r>
      <w:r w:rsidR="00B201FA">
        <w:rPr>
          <w:i/>
        </w:rPr>
        <w:t xml:space="preserve"> </w:t>
      </w:r>
      <w:r>
        <w:t>at 4.</w:t>
      </w:r>
    </w:p>
  </w:footnote>
  <w:footnote w:id="286">
    <w:p w:rsidR="00D7796A" w:rsidRDefault="00D7796A">
      <w:pPr>
        <w:pStyle w:val="FootnoteText"/>
      </w:pPr>
      <w:r>
        <w:rPr>
          <w:rStyle w:val="FootnoteReference"/>
        </w:rPr>
        <w:footnoteRef/>
      </w:r>
      <w:r>
        <w:t xml:space="preserve"> ITTA Reply at 7.</w:t>
      </w:r>
    </w:p>
  </w:footnote>
  <w:footnote w:id="287">
    <w:p w:rsidR="00D7796A" w:rsidRDefault="00D7796A">
      <w:pPr>
        <w:pStyle w:val="FootnoteText"/>
      </w:pPr>
      <w:r>
        <w:rPr>
          <w:rStyle w:val="FootnoteReference"/>
        </w:rPr>
        <w:footnoteRef/>
      </w:r>
      <w:r>
        <w:t xml:space="preserve"> </w:t>
      </w:r>
      <w:r w:rsidR="00B201FA" w:rsidRPr="00AE06BB">
        <w:rPr>
          <w:i/>
        </w:rPr>
        <w:t>Id.</w:t>
      </w:r>
      <w:r w:rsidR="00B201FA">
        <w:rPr>
          <w:i/>
        </w:rPr>
        <w:t xml:space="preserve"> </w:t>
      </w:r>
      <w:r>
        <w:t>at 8.</w:t>
      </w:r>
    </w:p>
  </w:footnote>
  <w:footnote w:id="288">
    <w:p w:rsidR="00D7796A" w:rsidRDefault="00D7796A">
      <w:pPr>
        <w:pStyle w:val="FootnoteText"/>
      </w:pPr>
      <w:r>
        <w:rPr>
          <w:rStyle w:val="FootnoteReference"/>
        </w:rPr>
        <w:footnoteRef/>
      </w:r>
      <w:r>
        <w:t xml:space="preserve"> We express no view on other possible benefits or potential harms of repealing the rules given the existence of an open proceeding examining the issue.  </w:t>
      </w:r>
      <w:r w:rsidRPr="0067336C">
        <w:rPr>
          <w:i/>
        </w:rPr>
        <w:t>See</w:t>
      </w:r>
      <w:r w:rsidRPr="0067336C">
        <w:t xml:space="preserve"> </w:t>
      </w:r>
      <w:r w:rsidRPr="0067336C">
        <w:rPr>
          <w:i/>
        </w:rPr>
        <w:t>infra</w:t>
      </w:r>
      <w:r>
        <w:t xml:space="preserve"> note </w:t>
      </w:r>
      <w:r>
        <w:fldChar w:fldCharType="begin"/>
      </w:r>
      <w:r>
        <w:instrText xml:space="preserve"> NOTEREF _Ref452470932 \h </w:instrText>
      </w:r>
      <w:r>
        <w:fldChar w:fldCharType="separate"/>
      </w:r>
      <w:r w:rsidR="008E3F28">
        <w:t>291</w:t>
      </w:r>
      <w:r>
        <w:fldChar w:fldCharType="end"/>
      </w:r>
      <w:r>
        <w:t xml:space="preserve"> and accompanying text.</w:t>
      </w:r>
    </w:p>
  </w:footnote>
  <w:footnote w:id="289">
    <w:p w:rsidR="00D7796A" w:rsidRDefault="00D7796A">
      <w:pPr>
        <w:pStyle w:val="FootnoteText"/>
      </w:pPr>
      <w:r>
        <w:rPr>
          <w:rStyle w:val="FootnoteReference"/>
        </w:rPr>
        <w:footnoteRef/>
      </w:r>
      <w:r>
        <w:t xml:space="preserve"> </w:t>
      </w:r>
      <w:r w:rsidRPr="00154360">
        <w:rPr>
          <w:i/>
        </w:rPr>
        <w:t>Amendment of the Commission</w:t>
      </w:r>
      <w:r w:rsidR="00D57A0F">
        <w:rPr>
          <w:i/>
        </w:rPr>
        <w:t>’</w:t>
      </w:r>
      <w:r w:rsidRPr="00154360">
        <w:rPr>
          <w:i/>
        </w:rPr>
        <w:t>s Rules Related to Retransmission Consent</w:t>
      </w:r>
      <w:r>
        <w:t>, 29 FCC Rcd at 3378-79, paras. 44-45.</w:t>
      </w:r>
    </w:p>
  </w:footnote>
  <w:footnote w:id="290">
    <w:p w:rsidR="00D7796A" w:rsidRDefault="00D7796A">
      <w:pPr>
        <w:pStyle w:val="FootnoteText"/>
      </w:pPr>
      <w:r>
        <w:rPr>
          <w:rStyle w:val="FootnoteReference"/>
        </w:rPr>
        <w:footnoteRef/>
      </w:r>
      <w:r>
        <w:t xml:space="preserve"> </w:t>
      </w:r>
      <w:r w:rsidRPr="004B6F3A">
        <w:rPr>
          <w:i/>
        </w:rPr>
        <w:t>See</w:t>
      </w:r>
      <w:r>
        <w:t xml:space="preserve"> </w:t>
      </w:r>
      <w:r w:rsidR="00F478DF">
        <w:rPr>
          <w:i/>
        </w:rPr>
        <w:t>i</w:t>
      </w:r>
      <w:r w:rsidR="00F478DF" w:rsidRPr="00AE06BB">
        <w:rPr>
          <w:i/>
        </w:rPr>
        <w:t>d.</w:t>
      </w:r>
      <w:r w:rsidR="00F478DF">
        <w:rPr>
          <w:i/>
        </w:rPr>
        <w:t xml:space="preserve"> </w:t>
      </w:r>
      <w:r>
        <w:t>at 3391, para. 66.</w:t>
      </w:r>
    </w:p>
  </w:footnote>
  <w:footnote w:id="291">
    <w:p w:rsidR="00D7796A" w:rsidRDefault="00D7796A">
      <w:pPr>
        <w:pStyle w:val="FootnoteText"/>
      </w:pPr>
      <w:r>
        <w:rPr>
          <w:rStyle w:val="FootnoteReference"/>
        </w:rPr>
        <w:footnoteRef/>
      </w:r>
      <w:r>
        <w:t xml:space="preserve"> </w:t>
      </w:r>
      <w:r w:rsidRPr="004F6320">
        <w:rPr>
          <w:i/>
        </w:rPr>
        <w:t>See supra</w:t>
      </w:r>
      <w:r>
        <w:t xml:space="preserve"> paras. </w:t>
      </w:r>
      <w:r>
        <w:fldChar w:fldCharType="begin"/>
      </w:r>
      <w:r>
        <w:instrText xml:space="preserve"> REF _Ref452470323 \r \h </w:instrText>
      </w:r>
      <w:r>
        <w:fldChar w:fldCharType="separate"/>
      </w:r>
      <w:r w:rsidR="008E3F28">
        <w:t>109</w:t>
      </w:r>
      <w:r>
        <w:fldChar w:fldCharType="end"/>
      </w:r>
      <w:r>
        <w:t>-</w:t>
      </w:r>
      <w:r>
        <w:fldChar w:fldCharType="begin"/>
      </w:r>
      <w:r>
        <w:instrText xml:space="preserve"> REF _Ref452470341 \r \h </w:instrText>
      </w:r>
      <w:r>
        <w:fldChar w:fldCharType="separate"/>
      </w:r>
      <w:r w:rsidR="008E3F28">
        <w:t>110</w:t>
      </w:r>
      <w:r>
        <w:fldChar w:fldCharType="end"/>
      </w:r>
      <w:r>
        <w:t>.</w:t>
      </w:r>
    </w:p>
  </w:footnote>
  <w:footnote w:id="292">
    <w:p w:rsidR="00D7796A" w:rsidRDefault="00D7796A" w:rsidP="00EB6E2C">
      <w:pPr>
        <w:pStyle w:val="FootnoteText"/>
      </w:pPr>
      <w:r>
        <w:rPr>
          <w:rStyle w:val="FootnoteReference"/>
        </w:rPr>
        <w:footnoteRef/>
      </w:r>
      <w:r>
        <w:t xml:space="preserve"> </w:t>
      </w:r>
      <w:r w:rsidRPr="00154360">
        <w:rPr>
          <w:i/>
        </w:rPr>
        <w:t>Comment Period Extended for Further Notice of Proposed Rulemaking on Network Non-Duplication and Syndicated Exclusivity Rules</w:t>
      </w:r>
      <w:r>
        <w:t>, Public Notice, 29 FCC Rcd 3925 (MB 2014).</w:t>
      </w:r>
    </w:p>
  </w:footnote>
  <w:footnote w:id="293">
    <w:p w:rsidR="00D7796A" w:rsidRDefault="00D7796A">
      <w:pPr>
        <w:pStyle w:val="FootnoteText"/>
      </w:pPr>
      <w:r>
        <w:rPr>
          <w:rStyle w:val="FootnoteReference"/>
        </w:rPr>
        <w:footnoteRef/>
      </w:r>
      <w:r>
        <w:t xml:space="preserve"> Oregon Public Broad. Comments at 2-4; Ass’n of Public Television Stations and Org. of State Broad. Executives Comments at 7.</w:t>
      </w:r>
    </w:p>
  </w:footnote>
  <w:footnote w:id="294">
    <w:p w:rsidR="00D7796A" w:rsidRDefault="00D7796A">
      <w:pPr>
        <w:pStyle w:val="FootnoteText"/>
      </w:pPr>
      <w:r>
        <w:rPr>
          <w:rStyle w:val="FootnoteReference"/>
        </w:rPr>
        <w:footnoteRef/>
      </w:r>
      <w:r>
        <w:t xml:space="preserve"> DIRECTV Comments at 3-4.</w:t>
      </w:r>
    </w:p>
  </w:footnote>
  <w:footnote w:id="295">
    <w:p w:rsidR="00D7796A" w:rsidRDefault="00D7796A" w:rsidP="003F18F9">
      <w:pPr>
        <w:pStyle w:val="FootnoteText"/>
      </w:pPr>
      <w:r>
        <w:rPr>
          <w:rStyle w:val="FootnoteReference"/>
        </w:rPr>
        <w:footnoteRef/>
      </w:r>
      <w:r>
        <w:t xml:space="preserve"> NAB Comments at 5.</w:t>
      </w:r>
    </w:p>
  </w:footnote>
  <w:footnote w:id="296">
    <w:p w:rsidR="00D7796A" w:rsidRDefault="00D7796A">
      <w:pPr>
        <w:pStyle w:val="FootnoteText"/>
      </w:pPr>
      <w:r>
        <w:rPr>
          <w:rStyle w:val="FootnoteReference"/>
        </w:rPr>
        <w:footnoteRef/>
      </w:r>
      <w:r>
        <w:t xml:space="preserve"> </w:t>
      </w:r>
      <w:r w:rsidRPr="00924602">
        <w:rPr>
          <w:i/>
          <w:color w:val="000000"/>
        </w:rPr>
        <w:t xml:space="preserve">See, e.g., </w:t>
      </w:r>
      <w:r w:rsidRPr="00924602">
        <w:rPr>
          <w:color w:val="000000"/>
        </w:rPr>
        <w:t xml:space="preserve">Pam Mathewson </w:t>
      </w:r>
      <w:r>
        <w:rPr>
          <w:color w:val="000000"/>
        </w:rPr>
        <w:t xml:space="preserve">Comments </w:t>
      </w:r>
      <w:r w:rsidRPr="00924602">
        <w:rPr>
          <w:color w:val="000000"/>
        </w:rPr>
        <w:t xml:space="preserve">(May 11, 2015); Bridget Hettgar </w:t>
      </w:r>
      <w:r>
        <w:rPr>
          <w:color w:val="000000"/>
        </w:rPr>
        <w:t xml:space="preserve">Comments </w:t>
      </w:r>
      <w:r w:rsidRPr="00924602">
        <w:rPr>
          <w:color w:val="000000"/>
        </w:rPr>
        <w:t xml:space="preserve">(May 13, 2015); Craig Blumenshine </w:t>
      </w:r>
      <w:r>
        <w:rPr>
          <w:color w:val="000000"/>
        </w:rPr>
        <w:t xml:space="preserve">Comments </w:t>
      </w:r>
      <w:r w:rsidRPr="00924602">
        <w:rPr>
          <w:color w:val="000000"/>
        </w:rPr>
        <w:t xml:space="preserve">(May 13, 2015); Celeste Colgan </w:t>
      </w:r>
      <w:r>
        <w:rPr>
          <w:color w:val="000000"/>
        </w:rPr>
        <w:t xml:space="preserve">Comments </w:t>
      </w:r>
      <w:r w:rsidRPr="00924602">
        <w:rPr>
          <w:color w:val="000000"/>
        </w:rPr>
        <w:t xml:space="preserve">(May 15, 2015); Ralph Horne </w:t>
      </w:r>
      <w:r>
        <w:rPr>
          <w:color w:val="000000"/>
        </w:rPr>
        <w:t xml:space="preserve">Comments </w:t>
      </w:r>
      <w:r w:rsidRPr="00924602">
        <w:rPr>
          <w:color w:val="000000"/>
        </w:rPr>
        <w:t xml:space="preserve">(May 18, 2015); Christine Warner </w:t>
      </w:r>
      <w:r>
        <w:rPr>
          <w:color w:val="000000"/>
        </w:rPr>
        <w:t xml:space="preserve">Comments </w:t>
      </w:r>
      <w:r w:rsidRPr="00924602">
        <w:rPr>
          <w:color w:val="000000"/>
        </w:rPr>
        <w:t xml:space="preserve">(May 18, 2015);  Connie Baker </w:t>
      </w:r>
      <w:r>
        <w:rPr>
          <w:color w:val="000000"/>
        </w:rPr>
        <w:t xml:space="preserve">Comments </w:t>
      </w:r>
      <w:r w:rsidRPr="00924602">
        <w:rPr>
          <w:color w:val="000000"/>
        </w:rPr>
        <w:t xml:space="preserve">(May 21, 2015); Sweetwater County Democratic </w:t>
      </w:r>
      <w:r>
        <w:rPr>
          <w:color w:val="000000"/>
        </w:rPr>
        <w:t>P</w:t>
      </w:r>
      <w:r w:rsidRPr="00924602">
        <w:rPr>
          <w:color w:val="000000"/>
        </w:rPr>
        <w:t xml:space="preserve">arty </w:t>
      </w:r>
      <w:r>
        <w:rPr>
          <w:color w:val="000000"/>
        </w:rPr>
        <w:t xml:space="preserve">Comments </w:t>
      </w:r>
      <w:r w:rsidRPr="00924602">
        <w:rPr>
          <w:color w:val="000000"/>
        </w:rPr>
        <w:t xml:space="preserve">(May 26, 2015); Peter Lang </w:t>
      </w:r>
      <w:r>
        <w:rPr>
          <w:color w:val="000000"/>
        </w:rPr>
        <w:t xml:space="preserve">Comments </w:t>
      </w:r>
      <w:r w:rsidRPr="00924602">
        <w:rPr>
          <w:color w:val="000000"/>
        </w:rPr>
        <w:t xml:space="preserve">(May 26, 2015); Tami Sorenson </w:t>
      </w:r>
      <w:r>
        <w:rPr>
          <w:color w:val="000000"/>
        </w:rPr>
        <w:t xml:space="preserve">Comments </w:t>
      </w:r>
      <w:r w:rsidRPr="00924602">
        <w:rPr>
          <w:color w:val="000000"/>
        </w:rPr>
        <w:t xml:space="preserve">(May 26, 2015); Cherie Longmuir </w:t>
      </w:r>
      <w:r>
        <w:rPr>
          <w:color w:val="000000"/>
        </w:rPr>
        <w:t xml:space="preserve">Comments </w:t>
      </w:r>
      <w:r w:rsidRPr="00924602">
        <w:rPr>
          <w:color w:val="000000"/>
        </w:rPr>
        <w:t xml:space="preserve">(May 26, 2015); Linda Valenti </w:t>
      </w:r>
      <w:r>
        <w:rPr>
          <w:color w:val="000000"/>
        </w:rPr>
        <w:t xml:space="preserve">Comments </w:t>
      </w:r>
      <w:r w:rsidRPr="00924602">
        <w:rPr>
          <w:color w:val="000000"/>
        </w:rPr>
        <w:t xml:space="preserve">(May 28, 2015); Tammy Au-France </w:t>
      </w:r>
      <w:r>
        <w:rPr>
          <w:color w:val="000000"/>
        </w:rPr>
        <w:t xml:space="preserve">Comments </w:t>
      </w:r>
      <w:r w:rsidRPr="00924602">
        <w:rPr>
          <w:color w:val="000000"/>
        </w:rPr>
        <w:t xml:space="preserve">(June 4, 2015); Kenneth Allison </w:t>
      </w:r>
      <w:r>
        <w:rPr>
          <w:color w:val="000000"/>
        </w:rPr>
        <w:t xml:space="preserve">Comments </w:t>
      </w:r>
      <w:r w:rsidRPr="00924602">
        <w:rPr>
          <w:color w:val="000000"/>
        </w:rPr>
        <w:t xml:space="preserve">(June 5, 2015); Dean and Linda Lebeda </w:t>
      </w:r>
      <w:r>
        <w:rPr>
          <w:color w:val="000000"/>
        </w:rPr>
        <w:t xml:space="preserve">Comments </w:t>
      </w:r>
      <w:r w:rsidRPr="00924602">
        <w:rPr>
          <w:color w:val="000000"/>
        </w:rPr>
        <w:t xml:space="preserve">(June 8, 2015); Holly Horton </w:t>
      </w:r>
      <w:r>
        <w:rPr>
          <w:color w:val="000000"/>
        </w:rPr>
        <w:t xml:space="preserve">Comments </w:t>
      </w:r>
      <w:r w:rsidRPr="00924602">
        <w:rPr>
          <w:color w:val="000000"/>
        </w:rPr>
        <w:t xml:space="preserve">(June 8, 2015); Joe Remick </w:t>
      </w:r>
      <w:r>
        <w:rPr>
          <w:color w:val="000000"/>
        </w:rPr>
        <w:t xml:space="preserve">Comments </w:t>
      </w:r>
      <w:r w:rsidRPr="00924602">
        <w:rPr>
          <w:color w:val="000000"/>
        </w:rPr>
        <w:t xml:space="preserve">(June 9, 2015); Julius and Erica Muschaweck </w:t>
      </w:r>
      <w:r>
        <w:rPr>
          <w:color w:val="000000"/>
        </w:rPr>
        <w:t xml:space="preserve">Comments </w:t>
      </w:r>
      <w:r w:rsidRPr="00924602">
        <w:rPr>
          <w:color w:val="000000"/>
        </w:rPr>
        <w:t xml:space="preserve">(June 10, 2015); Katie Peterson </w:t>
      </w:r>
      <w:r>
        <w:rPr>
          <w:color w:val="000000"/>
        </w:rPr>
        <w:t xml:space="preserve">Comments </w:t>
      </w:r>
      <w:r w:rsidRPr="00924602">
        <w:rPr>
          <w:color w:val="000000"/>
        </w:rPr>
        <w:t xml:space="preserve">(June 10, 2015); Paul Parmelly </w:t>
      </w:r>
      <w:r>
        <w:rPr>
          <w:color w:val="000000"/>
        </w:rPr>
        <w:t xml:space="preserve">Comments </w:t>
      </w:r>
      <w:r w:rsidRPr="00924602">
        <w:rPr>
          <w:color w:val="000000"/>
        </w:rPr>
        <w:t xml:space="preserve">(June 10, 2015); Walt Lashmett </w:t>
      </w:r>
      <w:r>
        <w:rPr>
          <w:color w:val="000000"/>
        </w:rPr>
        <w:t xml:space="preserve">Comments </w:t>
      </w:r>
      <w:r w:rsidRPr="00924602">
        <w:rPr>
          <w:color w:val="000000"/>
        </w:rPr>
        <w:t xml:space="preserve">(June 10, 2015); Jenny Williams </w:t>
      </w:r>
      <w:r>
        <w:rPr>
          <w:color w:val="000000"/>
        </w:rPr>
        <w:t xml:space="preserve">Comments </w:t>
      </w:r>
      <w:r w:rsidRPr="00924602">
        <w:rPr>
          <w:color w:val="000000"/>
        </w:rPr>
        <w:t xml:space="preserve">(June 10, 2015); Frances Tschacher </w:t>
      </w:r>
      <w:r>
        <w:rPr>
          <w:color w:val="000000"/>
        </w:rPr>
        <w:t xml:space="preserve">Comments </w:t>
      </w:r>
      <w:r w:rsidRPr="00924602">
        <w:rPr>
          <w:color w:val="000000"/>
        </w:rPr>
        <w:t xml:space="preserve">(June 10, 2015); Lee Tschacher </w:t>
      </w:r>
      <w:r>
        <w:rPr>
          <w:color w:val="000000"/>
        </w:rPr>
        <w:t xml:space="preserve">Comments </w:t>
      </w:r>
      <w:r w:rsidRPr="00924602">
        <w:rPr>
          <w:color w:val="000000"/>
        </w:rPr>
        <w:t xml:space="preserve">(June 10, 2015); Judith King </w:t>
      </w:r>
      <w:r>
        <w:rPr>
          <w:color w:val="000000"/>
        </w:rPr>
        <w:t xml:space="preserve">Comments </w:t>
      </w:r>
      <w:r w:rsidRPr="00924602">
        <w:rPr>
          <w:color w:val="000000"/>
        </w:rPr>
        <w:t xml:space="preserve">(June 10, 2015); Justin Gulley </w:t>
      </w:r>
      <w:r>
        <w:rPr>
          <w:color w:val="000000"/>
        </w:rPr>
        <w:t xml:space="preserve">Comments </w:t>
      </w:r>
      <w:r w:rsidRPr="00924602">
        <w:rPr>
          <w:color w:val="000000"/>
        </w:rPr>
        <w:t>(June 10, 2015); Algera and Dennis Jensen</w:t>
      </w:r>
      <w:r w:rsidRPr="002729EA">
        <w:rPr>
          <w:color w:val="000000"/>
        </w:rPr>
        <w:t xml:space="preserve"> </w:t>
      </w:r>
      <w:r>
        <w:rPr>
          <w:color w:val="000000"/>
        </w:rPr>
        <w:t xml:space="preserve">Comments </w:t>
      </w:r>
      <w:r w:rsidRPr="00924602">
        <w:rPr>
          <w:color w:val="000000"/>
        </w:rPr>
        <w:t xml:space="preserve">( June 10, 2015); Dee Krejci </w:t>
      </w:r>
      <w:r>
        <w:rPr>
          <w:color w:val="000000"/>
        </w:rPr>
        <w:t xml:space="preserve">Comments </w:t>
      </w:r>
      <w:r w:rsidRPr="00924602">
        <w:rPr>
          <w:color w:val="000000"/>
        </w:rPr>
        <w:t xml:space="preserve">(June 10, 2015);  C. Robb </w:t>
      </w:r>
      <w:r>
        <w:rPr>
          <w:color w:val="000000"/>
        </w:rPr>
        <w:t xml:space="preserve">Comments </w:t>
      </w:r>
      <w:r w:rsidRPr="00924602">
        <w:rPr>
          <w:color w:val="000000"/>
        </w:rPr>
        <w:t xml:space="preserve">(June 10, 2015 Lee Ann Stephenson </w:t>
      </w:r>
      <w:r>
        <w:rPr>
          <w:color w:val="000000"/>
        </w:rPr>
        <w:t xml:space="preserve">Comments </w:t>
      </w:r>
      <w:r w:rsidRPr="00924602">
        <w:rPr>
          <w:color w:val="000000"/>
        </w:rPr>
        <w:t xml:space="preserve">(June 11, 2015); Governor Matthew Mead </w:t>
      </w:r>
      <w:r>
        <w:rPr>
          <w:color w:val="000000"/>
        </w:rPr>
        <w:t xml:space="preserve">Comments </w:t>
      </w:r>
      <w:r w:rsidRPr="00924602">
        <w:rPr>
          <w:color w:val="000000"/>
        </w:rPr>
        <w:t>(June 11, 2015)</w:t>
      </w:r>
      <w:r>
        <w:rPr>
          <w:color w:val="000000"/>
        </w:rPr>
        <w:t>.</w:t>
      </w:r>
    </w:p>
  </w:footnote>
  <w:footnote w:id="297">
    <w:p w:rsidR="00D7796A" w:rsidRDefault="00D7796A">
      <w:pPr>
        <w:pStyle w:val="FootnoteText"/>
      </w:pPr>
      <w:r>
        <w:rPr>
          <w:rStyle w:val="FootnoteReference"/>
        </w:rPr>
        <w:footnoteRef/>
      </w:r>
      <w:r>
        <w:t xml:space="preserve"> We note that such market modifications still must be technically and economically feasible.  </w:t>
      </w:r>
      <w:r>
        <w:rPr>
          <w:i/>
        </w:rPr>
        <w:t>S</w:t>
      </w:r>
      <w:r w:rsidRPr="005F2161">
        <w:rPr>
          <w:i/>
        </w:rPr>
        <w:t>atellite Market Modification Order</w:t>
      </w:r>
      <w:r>
        <w:t>, 30 FCC Rcd at 10406, para. 1.</w:t>
      </w:r>
    </w:p>
  </w:footnote>
  <w:footnote w:id="298">
    <w:p w:rsidR="00D7796A" w:rsidRDefault="00D7796A" w:rsidP="00673E2C">
      <w:pPr>
        <w:pStyle w:val="FootnoteText"/>
      </w:pPr>
      <w:r>
        <w:rPr>
          <w:rStyle w:val="FootnoteReference"/>
        </w:rPr>
        <w:footnoteRef/>
      </w:r>
      <w:r>
        <w:t xml:space="preserve"> </w:t>
      </w:r>
      <w:r w:rsidRPr="00163ED5">
        <w:rPr>
          <w:i/>
        </w:rPr>
        <w:t>See</w:t>
      </w:r>
      <w:r>
        <w:t xml:space="preserve"> </w:t>
      </w:r>
      <w:r w:rsidR="00F478DF">
        <w:rPr>
          <w:i/>
        </w:rPr>
        <w:t>i</w:t>
      </w:r>
      <w:r w:rsidR="00F478DF" w:rsidRPr="00AE06BB">
        <w:rPr>
          <w:i/>
        </w:rPr>
        <w:t>d.</w:t>
      </w:r>
      <w:r>
        <w:t xml:space="preserve"> at 10406, para. 1, n.2.</w:t>
      </w:r>
    </w:p>
  </w:footnote>
  <w:footnote w:id="299">
    <w:p w:rsidR="00D7796A" w:rsidRDefault="00D7796A">
      <w:pPr>
        <w:pStyle w:val="FootnoteText"/>
      </w:pPr>
      <w:r>
        <w:rPr>
          <w:rStyle w:val="FootnoteReference"/>
        </w:rPr>
        <w:footnoteRef/>
      </w:r>
      <w:r>
        <w:t xml:space="preserve"> </w:t>
      </w:r>
      <w:r w:rsidRPr="00163ED5">
        <w:rPr>
          <w:i/>
        </w:rPr>
        <w:t>See Carriage of Digital Television Broadcast Signals: Amendment to Part 76 of the Communications Rules; Implementation of the Satellite Home Viewer Improvement Act of 1999: Local Broadcast Signal Carriage Issues and Retransmission Consent Issues</w:t>
      </w:r>
      <w:r>
        <w:t>, Second Report and Order, Memorandum Opinion and Order, and Second Further Notice of Proposed Rulemaking, 23 FCC Rcd 5351, 5355, para. 7 (2008) (“We recognize that satellite carriers face unique capacity, uplink, and ground facility construction issues that must be factored into the timing of any HD ‘carry-one, carry-all’ requirement.”).</w:t>
      </w:r>
    </w:p>
  </w:footnote>
  <w:footnote w:id="300">
    <w:p w:rsidR="00D7796A" w:rsidRDefault="00D7796A">
      <w:pPr>
        <w:pStyle w:val="FootnoteText"/>
      </w:pPr>
      <w:r>
        <w:rPr>
          <w:rStyle w:val="FootnoteReference"/>
        </w:rPr>
        <w:footnoteRef/>
      </w:r>
      <w:r>
        <w:t xml:space="preserve"> </w:t>
      </w:r>
      <w:r w:rsidRPr="00163ED5">
        <w:rPr>
          <w:i/>
        </w:rPr>
        <w:t>See</w:t>
      </w:r>
      <w:r>
        <w:t xml:space="preserve"> </w:t>
      </w:r>
      <w:r>
        <w:rPr>
          <w:i/>
        </w:rPr>
        <w:t>S</w:t>
      </w:r>
      <w:r w:rsidRPr="005F2161">
        <w:rPr>
          <w:i/>
        </w:rPr>
        <w:t>atellite Market Modification Order</w:t>
      </w:r>
      <w:r>
        <w:t>, 30 FCC Rcd at 10406, para. 1 (“</w:t>
      </w:r>
      <w:r w:rsidRPr="00163ED5">
        <w:t>Finally, Congress recognized that satellite carriage of additional stations might be technically or economically infeasible in some circumstances. Accordingly, our rules implement this exception to the carriage requirements that would otherwise apply for modified markets.</w:t>
      </w:r>
      <w:r>
        <w:t>”).</w:t>
      </w:r>
    </w:p>
  </w:footnote>
  <w:footnote w:id="301">
    <w:p w:rsidR="00D7796A" w:rsidRDefault="00D7796A" w:rsidP="00BB5956">
      <w:pPr>
        <w:pStyle w:val="FootnoteText"/>
      </w:pPr>
      <w:r>
        <w:rPr>
          <w:rStyle w:val="FootnoteReference"/>
        </w:rPr>
        <w:footnoteRef/>
      </w:r>
      <w:r>
        <w:t xml:space="preserve"> </w:t>
      </w:r>
      <w:r w:rsidRPr="0056796C">
        <w:rPr>
          <w:i/>
        </w:rPr>
        <w:t>See</w:t>
      </w:r>
      <w:r>
        <w:t xml:space="preserve"> 47 U.S.C. § 338.  DISH, pursuant to its willing commitment as a “qualified carrier,” provides local programming in all 210 DMAs.  </w:t>
      </w:r>
      <w:r w:rsidRPr="00335486">
        <w:rPr>
          <w:i/>
        </w:rPr>
        <w:t>See</w:t>
      </w:r>
      <w:r>
        <w:t xml:space="preserve"> 17 U.S.C. § 119(g); </w:t>
      </w:r>
      <w:r w:rsidRPr="00335486">
        <w:rPr>
          <w:i/>
        </w:rPr>
        <w:t>Application of D</w:t>
      </w:r>
      <w:r>
        <w:rPr>
          <w:i/>
        </w:rPr>
        <w:t>ISH</w:t>
      </w:r>
      <w:r w:rsidRPr="00335486">
        <w:rPr>
          <w:i/>
        </w:rPr>
        <w:t xml:space="preserve"> Network, LLC for Qualified Carrier Certification</w:t>
      </w:r>
      <w:r>
        <w:t>, MB Docket No. 10-124, Order, 25 FCC Rcd</w:t>
      </w:r>
      <w:r w:rsidRPr="00335486">
        <w:t xml:space="preserve"> 12941</w:t>
      </w:r>
      <w:r>
        <w:t xml:space="preserve"> (2010) (</w:t>
      </w:r>
      <w:r>
        <w:rPr>
          <w:i/>
        </w:rPr>
        <w:t>DISH Q</w:t>
      </w:r>
      <w:r w:rsidRPr="00335486">
        <w:rPr>
          <w:i/>
        </w:rPr>
        <w:t>ualified Carrier</w:t>
      </w:r>
      <w:r>
        <w:rPr>
          <w:i/>
        </w:rPr>
        <w:t xml:space="preserve"> Order</w:t>
      </w:r>
      <w:r>
        <w:t xml:space="preserve">).  However, in 29 DMAs, DISH is only required to reach </w:t>
      </w:r>
      <w:r w:rsidRPr="00335486">
        <w:t xml:space="preserve">at least 90 percent of the households in </w:t>
      </w:r>
      <w:r>
        <w:t>the</w:t>
      </w:r>
      <w:r w:rsidRPr="00335486">
        <w:t xml:space="preserve"> market area based on the most recent census data released by the United States Census Bureau</w:t>
      </w:r>
      <w:r>
        <w:t xml:space="preserve">.  </w:t>
      </w:r>
      <w:r w:rsidRPr="00335486">
        <w:rPr>
          <w:i/>
        </w:rPr>
        <w:t>See</w:t>
      </w:r>
      <w:r>
        <w:t xml:space="preserve"> </w:t>
      </w:r>
      <w:r w:rsidRPr="00335486">
        <w:t>47 U.S.C. § 342(a)(2)(A)</w:t>
      </w:r>
      <w:r>
        <w:t xml:space="preserve">; </w:t>
      </w:r>
      <w:r>
        <w:rPr>
          <w:i/>
        </w:rPr>
        <w:t>DISH Q</w:t>
      </w:r>
      <w:r w:rsidRPr="00335486">
        <w:rPr>
          <w:i/>
        </w:rPr>
        <w:t>ualified Carrier</w:t>
      </w:r>
      <w:r>
        <w:rPr>
          <w:i/>
        </w:rPr>
        <w:t xml:space="preserve"> Order</w:t>
      </w:r>
      <w:r>
        <w:t>, 25 FCC Rcd at12944-46, paras. 9-13</w:t>
      </w:r>
      <w:r w:rsidRPr="00335486">
        <w:t>.</w:t>
      </w:r>
    </w:p>
  </w:footnote>
  <w:footnote w:id="302">
    <w:p w:rsidR="00D7796A" w:rsidRPr="00D24707" w:rsidRDefault="00D7796A" w:rsidP="00C753F9">
      <w:pPr>
        <w:pStyle w:val="FootnoteText"/>
      </w:pPr>
      <w:r w:rsidRPr="00D24707">
        <w:rPr>
          <w:rStyle w:val="FootnoteReference"/>
        </w:rPr>
        <w:footnoteRef/>
      </w:r>
      <w:r w:rsidRPr="00D24707">
        <w:t xml:space="preserve"> </w:t>
      </w:r>
      <w:r w:rsidRPr="00D24707">
        <w:rPr>
          <w:snapToGrid w:val="0"/>
        </w:rPr>
        <w:t xml:space="preserve">Virgin Islands Public Television System </w:t>
      </w:r>
      <w:r>
        <w:rPr>
          <w:snapToGrid w:val="0"/>
        </w:rPr>
        <w:t xml:space="preserve">(VIPTS) </w:t>
      </w:r>
      <w:r w:rsidRPr="00D24707">
        <w:rPr>
          <w:snapToGrid w:val="0"/>
        </w:rPr>
        <w:t>Comments at 4-5.</w:t>
      </w:r>
    </w:p>
  </w:footnote>
  <w:footnote w:id="303">
    <w:p w:rsidR="00D7796A" w:rsidRPr="00D24707" w:rsidRDefault="00D7796A" w:rsidP="00C753F9">
      <w:pPr>
        <w:pStyle w:val="FootnoteText"/>
      </w:pPr>
      <w:r w:rsidRPr="00D24707">
        <w:rPr>
          <w:rStyle w:val="FootnoteReference"/>
        </w:rPr>
        <w:footnoteRef/>
      </w:r>
      <w:r w:rsidRPr="00D24707">
        <w:t xml:space="preserve"> </w:t>
      </w:r>
      <w:r>
        <w:rPr>
          <w:snapToGrid w:val="0"/>
        </w:rPr>
        <w:t>VIPTS Comments at 3.</w:t>
      </w:r>
    </w:p>
  </w:footnote>
  <w:footnote w:id="304">
    <w:p w:rsidR="00D7796A" w:rsidRPr="00C723E9" w:rsidRDefault="00D7796A" w:rsidP="00C753F9">
      <w:pPr>
        <w:pStyle w:val="FootnoteText"/>
        <w:rPr>
          <w:snapToGrid w:val="0"/>
        </w:rPr>
      </w:pPr>
      <w:r w:rsidRPr="00D24707">
        <w:rPr>
          <w:rStyle w:val="FootnoteReference"/>
        </w:rPr>
        <w:footnoteRef/>
      </w:r>
      <w:r w:rsidRPr="00D24707">
        <w:t xml:space="preserve"> </w:t>
      </w:r>
      <w:r>
        <w:rPr>
          <w:snapToGrid w:val="0"/>
        </w:rPr>
        <w:t xml:space="preserve">VIPTS Comments at 3 (citing </w:t>
      </w:r>
      <w:r w:rsidRPr="00C723E9">
        <w:rPr>
          <w:i/>
          <w:snapToGrid w:val="0"/>
        </w:rPr>
        <w:t>Implementation of Section 210 of the Satellite Home Viewer Extension and Reauthorization Act of 2004 to Amend Section 338 of the Communications Act</w:t>
      </w:r>
      <w:r>
        <w:rPr>
          <w:snapToGrid w:val="0"/>
        </w:rPr>
        <w:t xml:space="preserve">, MB Docket No. 05-181, Report and Order, 20 FCC Rcd 14242, 14247, para. 10 (2005) (interpreting statutory language containing the </w:t>
      </w:r>
      <w:r w:rsidRPr="00C723E9">
        <w:rPr>
          <w:snapToGrid w:val="0"/>
        </w:rPr>
        <w:t xml:space="preserve">phrase “State that is not part of the contiguous United States” </w:t>
      </w:r>
      <w:r>
        <w:rPr>
          <w:snapToGrid w:val="0"/>
        </w:rPr>
        <w:t>as</w:t>
      </w:r>
      <w:r w:rsidRPr="00C723E9">
        <w:rPr>
          <w:snapToGrid w:val="0"/>
        </w:rPr>
        <w:t xml:space="preserve"> </w:t>
      </w:r>
      <w:r>
        <w:rPr>
          <w:snapToGrid w:val="0"/>
        </w:rPr>
        <w:t>excluding</w:t>
      </w:r>
      <w:r w:rsidRPr="00C723E9">
        <w:rPr>
          <w:snapToGrid w:val="0"/>
        </w:rPr>
        <w:t xml:space="preserve"> noncontiguous territories and possessions</w:t>
      </w:r>
      <w:r>
        <w:rPr>
          <w:snapToGrid w:val="0"/>
        </w:rPr>
        <w:t>)).</w:t>
      </w:r>
    </w:p>
  </w:footnote>
  <w:footnote w:id="305">
    <w:p w:rsidR="00D7796A" w:rsidRPr="00D24707" w:rsidRDefault="00D7796A" w:rsidP="00C753F9">
      <w:pPr>
        <w:pStyle w:val="FootnoteText"/>
      </w:pPr>
      <w:r w:rsidRPr="00D24707">
        <w:rPr>
          <w:rStyle w:val="FootnoteReference"/>
        </w:rPr>
        <w:footnoteRef/>
      </w:r>
      <w:r w:rsidRPr="00D24707">
        <w:t xml:space="preserve"> </w:t>
      </w:r>
      <w:r>
        <w:rPr>
          <w:snapToGrid w:val="0"/>
        </w:rPr>
        <w:t>VIPTS Comments at 4-5.</w:t>
      </w:r>
    </w:p>
  </w:footnote>
  <w:footnote w:id="306">
    <w:p w:rsidR="00D7796A" w:rsidRDefault="00D7796A">
      <w:pPr>
        <w:pStyle w:val="FootnoteText"/>
      </w:pPr>
      <w:r>
        <w:rPr>
          <w:rStyle w:val="FootnoteReference"/>
        </w:rPr>
        <w:footnoteRef/>
      </w:r>
      <w:r>
        <w:t xml:space="preserve"> NAB Comments at 17.</w:t>
      </w:r>
    </w:p>
  </w:footnote>
  <w:footnote w:id="307">
    <w:p w:rsidR="00D7796A" w:rsidRDefault="00D7796A">
      <w:pPr>
        <w:pStyle w:val="FootnoteText"/>
      </w:pPr>
      <w:r>
        <w:rPr>
          <w:rStyle w:val="FootnoteReference"/>
        </w:rPr>
        <w:footnoteRef/>
      </w:r>
      <w:r>
        <w:t xml:space="preserve"> </w:t>
      </w:r>
      <w:r w:rsidR="00F478DF" w:rsidRPr="00AE06BB">
        <w:rPr>
          <w:i/>
        </w:rPr>
        <w:t>Id.</w:t>
      </w:r>
    </w:p>
  </w:footnote>
  <w:footnote w:id="308">
    <w:p w:rsidR="00D7796A" w:rsidRDefault="00D7796A">
      <w:pPr>
        <w:pStyle w:val="FootnoteText"/>
      </w:pPr>
      <w:r>
        <w:rPr>
          <w:rStyle w:val="FootnoteReference"/>
        </w:rPr>
        <w:footnoteRef/>
      </w:r>
      <w:r>
        <w:t xml:space="preserve"> </w:t>
      </w:r>
      <w:r w:rsidR="00F478DF" w:rsidRPr="00AE06BB">
        <w:rPr>
          <w:i/>
        </w:rPr>
        <w:t>Id.</w:t>
      </w:r>
      <w:r w:rsidR="00F478DF">
        <w:rPr>
          <w:i/>
        </w:rPr>
        <w:t xml:space="preserve"> </w:t>
      </w:r>
      <w:r>
        <w:t>at 18-19.</w:t>
      </w:r>
    </w:p>
  </w:footnote>
  <w:footnote w:id="309">
    <w:p w:rsidR="00D7796A" w:rsidRDefault="00D7796A" w:rsidP="00375A03">
      <w:pPr>
        <w:pStyle w:val="FootnoteText"/>
      </w:pPr>
      <w:r>
        <w:rPr>
          <w:rStyle w:val="FootnoteReference"/>
        </w:rPr>
        <w:footnoteRef/>
      </w:r>
      <w:r>
        <w:t xml:space="preserve"> </w:t>
      </w:r>
      <w:r w:rsidR="00F478DF" w:rsidRPr="00AE06BB">
        <w:rPr>
          <w:i/>
        </w:rPr>
        <w:t>Id.</w:t>
      </w:r>
      <w:r w:rsidR="00F478DF">
        <w:rPr>
          <w:i/>
        </w:rPr>
        <w:t xml:space="preserve"> </w:t>
      </w:r>
      <w:r>
        <w:t>at 4, 19.</w:t>
      </w:r>
    </w:p>
  </w:footnote>
  <w:footnote w:id="310">
    <w:p w:rsidR="00D7796A" w:rsidRDefault="00D7796A">
      <w:pPr>
        <w:pStyle w:val="FootnoteText"/>
      </w:pPr>
      <w:r>
        <w:rPr>
          <w:rStyle w:val="FootnoteReference"/>
        </w:rPr>
        <w:footnoteRef/>
      </w:r>
      <w:r>
        <w:t xml:space="preserve"> </w:t>
      </w:r>
      <w:r w:rsidR="00F478DF" w:rsidRPr="00AE06BB">
        <w:rPr>
          <w:i/>
        </w:rPr>
        <w:t>Id.</w:t>
      </w:r>
      <w:r w:rsidR="00F478DF">
        <w:rPr>
          <w:i/>
        </w:rPr>
        <w:t xml:space="preserve"> </w:t>
      </w:r>
      <w:r>
        <w:t>at 19.</w:t>
      </w:r>
    </w:p>
  </w:footnote>
  <w:footnote w:id="311">
    <w:p w:rsidR="00D7796A" w:rsidRDefault="00D7796A">
      <w:pPr>
        <w:pStyle w:val="FootnoteText"/>
      </w:pPr>
      <w:r>
        <w:rPr>
          <w:rStyle w:val="FootnoteReference"/>
        </w:rPr>
        <w:footnoteRef/>
      </w:r>
      <w:r>
        <w:t xml:space="preserve"> </w:t>
      </w:r>
      <w:r w:rsidR="00F478DF" w:rsidRPr="00AE06BB">
        <w:rPr>
          <w:i/>
        </w:rPr>
        <w:t>Id.</w:t>
      </w:r>
      <w:r w:rsidR="00F478DF">
        <w:rPr>
          <w:i/>
        </w:rPr>
        <w:t xml:space="preserve"> </w:t>
      </w:r>
      <w:r>
        <w:t>at 20 (citing the RTDNA survey that “[i]n the top 50 markets … about 80 percent of stations responding to the survey indicated that their TV newsrooms ‘constantly’ use Twitter to provide updated local information and news” and that “nearly 88 percent of TV stations responding to RTDNA’s survey reported that they have mobile applications”).</w:t>
      </w:r>
    </w:p>
  </w:footnote>
  <w:footnote w:id="312">
    <w:p w:rsidR="00D7796A" w:rsidRDefault="00D7796A">
      <w:pPr>
        <w:pStyle w:val="FootnoteText"/>
      </w:pPr>
      <w:r>
        <w:rPr>
          <w:rStyle w:val="FootnoteReference"/>
        </w:rPr>
        <w:footnoteRef/>
      </w:r>
      <w:r>
        <w:t xml:space="preserve"> In our pending Quadrennial Review proceeding, we have tentatively concluded that the overwhelming majority of consumers continue to rely on broadcast television for local programming.  </w:t>
      </w:r>
      <w:r w:rsidRPr="00C46B4B">
        <w:rPr>
          <w:i/>
        </w:rPr>
        <w:t>2014 Quadrennial Regulatory Review – Review of the Commission’s Broadcast Ownership Rules and Other Rules Adopted Pursuant to Section 202 of the Telecommunications Act of 1996</w:t>
      </w:r>
      <w:r w:rsidRPr="00C46B4B">
        <w:t>, MB Docket No. 14-50 et al., Further Notice of Proposed Rulemaking and Report and Order, 29 FCC Rcd 4371</w:t>
      </w:r>
      <w:r>
        <w:t>, 4381-83, paras. 23-25</w:t>
      </w:r>
      <w:r w:rsidRPr="00C46B4B">
        <w:t xml:space="preserve"> (2014)</w:t>
      </w:r>
      <w:r>
        <w:t>.  To the extent that broadcast programming is made available online, such online video facilitates wider access to broadcast programming and is not a substitute for broadcast television, as broadcast television stations remain the content originator even as the local programming is being accessed online or via mobile applications.</w:t>
      </w:r>
    </w:p>
  </w:footnote>
  <w:footnote w:id="313">
    <w:p w:rsidR="00D7796A" w:rsidRDefault="00D7796A">
      <w:pPr>
        <w:pStyle w:val="FootnoteText"/>
      </w:pPr>
      <w:r>
        <w:rPr>
          <w:rStyle w:val="FootnoteReference"/>
        </w:rPr>
        <w:footnoteRef/>
      </w:r>
      <w:r>
        <w:t xml:space="preserve"> We recognize that the viability of this recommendation relies on the extent to which consumers, particularly those in rural areas, have access to broadband Internet at speeds necessary for viewing video and note that this recommendation is consistent with the Commission’s continued goal of accelerating broadband deployment. </w:t>
      </w:r>
    </w:p>
  </w:footnote>
  <w:footnote w:id="314">
    <w:p w:rsidR="00D7796A" w:rsidRDefault="00D7796A" w:rsidP="00F163AD">
      <w:pPr>
        <w:pStyle w:val="FootnoteText"/>
      </w:pPr>
      <w:r>
        <w:rPr>
          <w:rStyle w:val="FootnoteReference"/>
        </w:rPr>
        <w:footnoteRef/>
      </w:r>
      <w:r>
        <w:t xml:space="preserve"> In addition to Internet-based, on-demand local programming provided by broadcasters on their websites and mobile applications, MVPDs could also be encouraged to provide local programming through their on-demand offerings as well.  </w:t>
      </w:r>
      <w:r w:rsidRPr="00733E17">
        <w:rPr>
          <w:i/>
        </w:rPr>
        <w:t>See supra</w:t>
      </w:r>
      <w:r>
        <w:t xml:space="preserve"> para. </w:t>
      </w:r>
      <w:r>
        <w:fldChar w:fldCharType="begin"/>
      </w:r>
      <w:r>
        <w:instrText xml:space="preserve"> REF _Ref452470301 \r \h </w:instrText>
      </w:r>
      <w:r>
        <w:fldChar w:fldCharType="separate"/>
      </w:r>
      <w:r w:rsidR="008E3F28">
        <w:t>111</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21" w:rsidRDefault="00762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A" w:rsidRDefault="00D7796A" w:rsidP="00810B6F">
    <w:pPr>
      <w:pStyle w:val="Header"/>
      <w:rPr>
        <w:b w:val="0"/>
      </w:rPr>
    </w:pPr>
    <w:r>
      <w:tab/>
      <w:t>Federal Communications Commission</w:t>
    </w:r>
    <w:r>
      <w:tab/>
    </w:r>
    <w:r w:rsidR="00605722">
      <w:t>DA 16-613</w:t>
    </w:r>
  </w:p>
  <w:p w:rsidR="00D7796A" w:rsidRDefault="0060572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E0CBE86" wp14:editId="69F5D5A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7796A" w:rsidRDefault="00D7796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A" w:rsidRDefault="00605722"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7121946" wp14:editId="2C604F5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7796A">
      <w:tab/>
      <w:t>Federal Communications Commission</w:t>
    </w:r>
    <w:r w:rsidR="00D7796A">
      <w:tab/>
    </w:r>
    <w:r w:rsidR="00D7796A">
      <w:rPr>
        <w:spacing w:val="-2"/>
      </w:rPr>
      <w:t xml:space="preserve">DA </w:t>
    </w:r>
    <w:r>
      <w:rPr>
        <w:spacing w:val="-2"/>
      </w:rPr>
      <w:t>16-613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C48E71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2395650"/>
    <w:multiLevelType w:val="hybridMultilevel"/>
    <w:tmpl w:val="BAC478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43E3721"/>
    <w:multiLevelType w:val="hybridMultilevel"/>
    <w:tmpl w:val="64B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7"/>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34"/>
    <w:rsid w:val="000022C9"/>
    <w:rsid w:val="000024CF"/>
    <w:rsid w:val="00002963"/>
    <w:rsid w:val="00006A63"/>
    <w:rsid w:val="000073EC"/>
    <w:rsid w:val="000126F9"/>
    <w:rsid w:val="00015964"/>
    <w:rsid w:val="0001728E"/>
    <w:rsid w:val="0001753E"/>
    <w:rsid w:val="000202C9"/>
    <w:rsid w:val="000236E2"/>
    <w:rsid w:val="00023954"/>
    <w:rsid w:val="00023A8E"/>
    <w:rsid w:val="000245E8"/>
    <w:rsid w:val="00026FFF"/>
    <w:rsid w:val="00027667"/>
    <w:rsid w:val="0002787D"/>
    <w:rsid w:val="00030F38"/>
    <w:rsid w:val="0003217B"/>
    <w:rsid w:val="00032F55"/>
    <w:rsid w:val="000349B1"/>
    <w:rsid w:val="000358A5"/>
    <w:rsid w:val="00035D57"/>
    <w:rsid w:val="00036039"/>
    <w:rsid w:val="0003658C"/>
    <w:rsid w:val="00036CE4"/>
    <w:rsid w:val="00037F5E"/>
    <w:rsid w:val="00037F90"/>
    <w:rsid w:val="00044A79"/>
    <w:rsid w:val="0004521F"/>
    <w:rsid w:val="00053FF7"/>
    <w:rsid w:val="0005406E"/>
    <w:rsid w:val="00054C85"/>
    <w:rsid w:val="000665AE"/>
    <w:rsid w:val="0007066C"/>
    <w:rsid w:val="00070A8B"/>
    <w:rsid w:val="0007408B"/>
    <w:rsid w:val="0007538A"/>
    <w:rsid w:val="00076946"/>
    <w:rsid w:val="00077388"/>
    <w:rsid w:val="00081E54"/>
    <w:rsid w:val="00083950"/>
    <w:rsid w:val="0008498A"/>
    <w:rsid w:val="000871AA"/>
    <w:rsid w:val="000875BF"/>
    <w:rsid w:val="00090BE8"/>
    <w:rsid w:val="00092787"/>
    <w:rsid w:val="00094A99"/>
    <w:rsid w:val="00095D5E"/>
    <w:rsid w:val="00096D8C"/>
    <w:rsid w:val="00097269"/>
    <w:rsid w:val="000A06D8"/>
    <w:rsid w:val="000A13F4"/>
    <w:rsid w:val="000A5ABF"/>
    <w:rsid w:val="000B2416"/>
    <w:rsid w:val="000B34B2"/>
    <w:rsid w:val="000B75E8"/>
    <w:rsid w:val="000C0B65"/>
    <w:rsid w:val="000C5EAF"/>
    <w:rsid w:val="000C6CF9"/>
    <w:rsid w:val="000C7440"/>
    <w:rsid w:val="000D2C46"/>
    <w:rsid w:val="000D365B"/>
    <w:rsid w:val="000D3712"/>
    <w:rsid w:val="000D44DB"/>
    <w:rsid w:val="000D4554"/>
    <w:rsid w:val="000D6C86"/>
    <w:rsid w:val="000D70A4"/>
    <w:rsid w:val="000E05FE"/>
    <w:rsid w:val="000E2324"/>
    <w:rsid w:val="000E2981"/>
    <w:rsid w:val="000E3D42"/>
    <w:rsid w:val="000E40FF"/>
    <w:rsid w:val="000E480D"/>
    <w:rsid w:val="000E5263"/>
    <w:rsid w:val="000E5B6B"/>
    <w:rsid w:val="000E6655"/>
    <w:rsid w:val="000F2CDB"/>
    <w:rsid w:val="000F3766"/>
    <w:rsid w:val="000F3F27"/>
    <w:rsid w:val="000F4966"/>
    <w:rsid w:val="000F507D"/>
    <w:rsid w:val="000F5689"/>
    <w:rsid w:val="000F689A"/>
    <w:rsid w:val="00100EB4"/>
    <w:rsid w:val="00101AB8"/>
    <w:rsid w:val="00105D1D"/>
    <w:rsid w:val="00106E0A"/>
    <w:rsid w:val="00107487"/>
    <w:rsid w:val="001102FB"/>
    <w:rsid w:val="00112356"/>
    <w:rsid w:val="0011312A"/>
    <w:rsid w:val="00113741"/>
    <w:rsid w:val="00114D2A"/>
    <w:rsid w:val="00115179"/>
    <w:rsid w:val="00116118"/>
    <w:rsid w:val="00120B34"/>
    <w:rsid w:val="00122BD5"/>
    <w:rsid w:val="00124ADD"/>
    <w:rsid w:val="00125C18"/>
    <w:rsid w:val="0012693E"/>
    <w:rsid w:val="00127914"/>
    <w:rsid w:val="001304C7"/>
    <w:rsid w:val="00132F42"/>
    <w:rsid w:val="00133F79"/>
    <w:rsid w:val="001358DF"/>
    <w:rsid w:val="001358F8"/>
    <w:rsid w:val="00136A1A"/>
    <w:rsid w:val="001372EC"/>
    <w:rsid w:val="00137DD8"/>
    <w:rsid w:val="00140469"/>
    <w:rsid w:val="00142A7A"/>
    <w:rsid w:val="001450ED"/>
    <w:rsid w:val="0014576E"/>
    <w:rsid w:val="0014643A"/>
    <w:rsid w:val="00147C76"/>
    <w:rsid w:val="00150742"/>
    <w:rsid w:val="0015329E"/>
    <w:rsid w:val="00154360"/>
    <w:rsid w:val="00156726"/>
    <w:rsid w:val="00163ED5"/>
    <w:rsid w:val="001671F8"/>
    <w:rsid w:val="001711CA"/>
    <w:rsid w:val="00173B6A"/>
    <w:rsid w:val="00173CC7"/>
    <w:rsid w:val="00175BF3"/>
    <w:rsid w:val="00182FEB"/>
    <w:rsid w:val="00184252"/>
    <w:rsid w:val="00186BAF"/>
    <w:rsid w:val="0019185E"/>
    <w:rsid w:val="00192C4B"/>
    <w:rsid w:val="00193C37"/>
    <w:rsid w:val="00193C89"/>
    <w:rsid w:val="00194A66"/>
    <w:rsid w:val="00195819"/>
    <w:rsid w:val="0019602D"/>
    <w:rsid w:val="001A231A"/>
    <w:rsid w:val="001A3F9C"/>
    <w:rsid w:val="001A40A6"/>
    <w:rsid w:val="001A58CA"/>
    <w:rsid w:val="001B221D"/>
    <w:rsid w:val="001B243D"/>
    <w:rsid w:val="001B2DDB"/>
    <w:rsid w:val="001B60F9"/>
    <w:rsid w:val="001B7400"/>
    <w:rsid w:val="001C23A8"/>
    <w:rsid w:val="001C468C"/>
    <w:rsid w:val="001C6B94"/>
    <w:rsid w:val="001C70B4"/>
    <w:rsid w:val="001C796C"/>
    <w:rsid w:val="001C7F7E"/>
    <w:rsid w:val="001D33FA"/>
    <w:rsid w:val="001D539C"/>
    <w:rsid w:val="001D6467"/>
    <w:rsid w:val="001D67EA"/>
    <w:rsid w:val="001D6BCF"/>
    <w:rsid w:val="001E01CA"/>
    <w:rsid w:val="001E0A40"/>
    <w:rsid w:val="001E0C3E"/>
    <w:rsid w:val="001E2E2C"/>
    <w:rsid w:val="001E3457"/>
    <w:rsid w:val="001E3BFD"/>
    <w:rsid w:val="001E5BD6"/>
    <w:rsid w:val="001E6A53"/>
    <w:rsid w:val="001F1D17"/>
    <w:rsid w:val="00200EC2"/>
    <w:rsid w:val="002010D1"/>
    <w:rsid w:val="00202965"/>
    <w:rsid w:val="00202E1C"/>
    <w:rsid w:val="002035A1"/>
    <w:rsid w:val="0020466D"/>
    <w:rsid w:val="002047A0"/>
    <w:rsid w:val="0020494D"/>
    <w:rsid w:val="00204CB1"/>
    <w:rsid w:val="002057E4"/>
    <w:rsid w:val="00207A52"/>
    <w:rsid w:val="00211E93"/>
    <w:rsid w:val="00212B5E"/>
    <w:rsid w:val="00212EE0"/>
    <w:rsid w:val="002137A6"/>
    <w:rsid w:val="002149E5"/>
    <w:rsid w:val="00216A6A"/>
    <w:rsid w:val="00220D8D"/>
    <w:rsid w:val="00221B79"/>
    <w:rsid w:val="00222FD2"/>
    <w:rsid w:val="0022391E"/>
    <w:rsid w:val="002275E1"/>
    <w:rsid w:val="00231621"/>
    <w:rsid w:val="00233BC8"/>
    <w:rsid w:val="00240D2E"/>
    <w:rsid w:val="002430A4"/>
    <w:rsid w:val="00244279"/>
    <w:rsid w:val="00245895"/>
    <w:rsid w:val="002463B2"/>
    <w:rsid w:val="00246BAA"/>
    <w:rsid w:val="00247DDF"/>
    <w:rsid w:val="00250EA1"/>
    <w:rsid w:val="00250EC1"/>
    <w:rsid w:val="002527AA"/>
    <w:rsid w:val="00255484"/>
    <w:rsid w:val="0025751B"/>
    <w:rsid w:val="002604CC"/>
    <w:rsid w:val="00260556"/>
    <w:rsid w:val="00260618"/>
    <w:rsid w:val="00262986"/>
    <w:rsid w:val="002648D8"/>
    <w:rsid w:val="002674BB"/>
    <w:rsid w:val="00267F04"/>
    <w:rsid w:val="00270A3B"/>
    <w:rsid w:val="00271065"/>
    <w:rsid w:val="00272D40"/>
    <w:rsid w:val="002730A7"/>
    <w:rsid w:val="00275CF5"/>
    <w:rsid w:val="00282829"/>
    <w:rsid w:val="0028301F"/>
    <w:rsid w:val="002843A0"/>
    <w:rsid w:val="00285017"/>
    <w:rsid w:val="00286364"/>
    <w:rsid w:val="00286514"/>
    <w:rsid w:val="00287468"/>
    <w:rsid w:val="002919FB"/>
    <w:rsid w:val="00292EF6"/>
    <w:rsid w:val="00294029"/>
    <w:rsid w:val="00295156"/>
    <w:rsid w:val="002978D6"/>
    <w:rsid w:val="002A0333"/>
    <w:rsid w:val="002A16D5"/>
    <w:rsid w:val="002A22FF"/>
    <w:rsid w:val="002A250B"/>
    <w:rsid w:val="002A2D2E"/>
    <w:rsid w:val="002A4B24"/>
    <w:rsid w:val="002A4BDE"/>
    <w:rsid w:val="002A5E86"/>
    <w:rsid w:val="002A6E33"/>
    <w:rsid w:val="002A7290"/>
    <w:rsid w:val="002A789B"/>
    <w:rsid w:val="002B0119"/>
    <w:rsid w:val="002B0930"/>
    <w:rsid w:val="002B0FB4"/>
    <w:rsid w:val="002B2077"/>
    <w:rsid w:val="002B3899"/>
    <w:rsid w:val="002B3B00"/>
    <w:rsid w:val="002B4989"/>
    <w:rsid w:val="002C00E8"/>
    <w:rsid w:val="002C087A"/>
    <w:rsid w:val="002C2FEC"/>
    <w:rsid w:val="002C6619"/>
    <w:rsid w:val="002C6638"/>
    <w:rsid w:val="002D4CA2"/>
    <w:rsid w:val="002D64E8"/>
    <w:rsid w:val="002D65DC"/>
    <w:rsid w:val="002D6FA7"/>
    <w:rsid w:val="002D7436"/>
    <w:rsid w:val="002E0AAB"/>
    <w:rsid w:val="002E1C04"/>
    <w:rsid w:val="002E3022"/>
    <w:rsid w:val="002E46ED"/>
    <w:rsid w:val="002E5003"/>
    <w:rsid w:val="002E688A"/>
    <w:rsid w:val="002E7A9D"/>
    <w:rsid w:val="003012A4"/>
    <w:rsid w:val="00303D75"/>
    <w:rsid w:val="00305B37"/>
    <w:rsid w:val="00306295"/>
    <w:rsid w:val="00306735"/>
    <w:rsid w:val="00310250"/>
    <w:rsid w:val="0031093F"/>
    <w:rsid w:val="003115C7"/>
    <w:rsid w:val="0031232E"/>
    <w:rsid w:val="003126BC"/>
    <w:rsid w:val="00312A99"/>
    <w:rsid w:val="00312E17"/>
    <w:rsid w:val="00313367"/>
    <w:rsid w:val="00315891"/>
    <w:rsid w:val="00320CDB"/>
    <w:rsid w:val="003219E5"/>
    <w:rsid w:val="00322654"/>
    <w:rsid w:val="003249B1"/>
    <w:rsid w:val="00324D12"/>
    <w:rsid w:val="00327E93"/>
    <w:rsid w:val="0033000B"/>
    <w:rsid w:val="003305BF"/>
    <w:rsid w:val="003335DA"/>
    <w:rsid w:val="00335486"/>
    <w:rsid w:val="00336FA9"/>
    <w:rsid w:val="0033763B"/>
    <w:rsid w:val="00337689"/>
    <w:rsid w:val="0034037F"/>
    <w:rsid w:val="00343749"/>
    <w:rsid w:val="003441B5"/>
    <w:rsid w:val="0034511A"/>
    <w:rsid w:val="003460DD"/>
    <w:rsid w:val="00350B9A"/>
    <w:rsid w:val="00351F39"/>
    <w:rsid w:val="00355568"/>
    <w:rsid w:val="00355E2A"/>
    <w:rsid w:val="003578B0"/>
    <w:rsid w:val="00361776"/>
    <w:rsid w:val="00361C96"/>
    <w:rsid w:val="00363062"/>
    <w:rsid w:val="003635C0"/>
    <w:rsid w:val="00363B33"/>
    <w:rsid w:val="00364DC6"/>
    <w:rsid w:val="00365E3B"/>
    <w:rsid w:val="003660ED"/>
    <w:rsid w:val="00366338"/>
    <w:rsid w:val="003666D2"/>
    <w:rsid w:val="003667C3"/>
    <w:rsid w:val="003676F5"/>
    <w:rsid w:val="00373A93"/>
    <w:rsid w:val="00373BEE"/>
    <w:rsid w:val="00375501"/>
    <w:rsid w:val="00375A03"/>
    <w:rsid w:val="00376EBB"/>
    <w:rsid w:val="00382942"/>
    <w:rsid w:val="003835B1"/>
    <w:rsid w:val="003906A2"/>
    <w:rsid w:val="00390E12"/>
    <w:rsid w:val="0039594B"/>
    <w:rsid w:val="003A2C34"/>
    <w:rsid w:val="003A3742"/>
    <w:rsid w:val="003A3770"/>
    <w:rsid w:val="003A3F0A"/>
    <w:rsid w:val="003A4AA9"/>
    <w:rsid w:val="003A5C9B"/>
    <w:rsid w:val="003A7C6B"/>
    <w:rsid w:val="003B0408"/>
    <w:rsid w:val="003B0550"/>
    <w:rsid w:val="003B0615"/>
    <w:rsid w:val="003B4490"/>
    <w:rsid w:val="003B4BDE"/>
    <w:rsid w:val="003B694F"/>
    <w:rsid w:val="003C122B"/>
    <w:rsid w:val="003C14DF"/>
    <w:rsid w:val="003C1AD7"/>
    <w:rsid w:val="003C2D34"/>
    <w:rsid w:val="003C3578"/>
    <w:rsid w:val="003C6CC3"/>
    <w:rsid w:val="003C760E"/>
    <w:rsid w:val="003C78F1"/>
    <w:rsid w:val="003E0485"/>
    <w:rsid w:val="003E3BB8"/>
    <w:rsid w:val="003E4A7B"/>
    <w:rsid w:val="003E56A7"/>
    <w:rsid w:val="003E7B5E"/>
    <w:rsid w:val="003E7E5D"/>
    <w:rsid w:val="003E7EBF"/>
    <w:rsid w:val="003F06C0"/>
    <w:rsid w:val="003F091F"/>
    <w:rsid w:val="003F0F79"/>
    <w:rsid w:val="003F101C"/>
    <w:rsid w:val="003F171C"/>
    <w:rsid w:val="003F18F9"/>
    <w:rsid w:val="003F1A3B"/>
    <w:rsid w:val="003F2542"/>
    <w:rsid w:val="003F3B57"/>
    <w:rsid w:val="003F4D39"/>
    <w:rsid w:val="003F4E55"/>
    <w:rsid w:val="004010E6"/>
    <w:rsid w:val="00402B39"/>
    <w:rsid w:val="00403F3E"/>
    <w:rsid w:val="004043B6"/>
    <w:rsid w:val="004117FA"/>
    <w:rsid w:val="00412188"/>
    <w:rsid w:val="00412FC5"/>
    <w:rsid w:val="00414D7F"/>
    <w:rsid w:val="00415E34"/>
    <w:rsid w:val="00416E4E"/>
    <w:rsid w:val="00417940"/>
    <w:rsid w:val="00420020"/>
    <w:rsid w:val="00421E15"/>
    <w:rsid w:val="00422276"/>
    <w:rsid w:val="00422A2C"/>
    <w:rsid w:val="004242F1"/>
    <w:rsid w:val="0042461D"/>
    <w:rsid w:val="0042478C"/>
    <w:rsid w:val="004247BC"/>
    <w:rsid w:val="00425675"/>
    <w:rsid w:val="0042615C"/>
    <w:rsid w:val="00430C6C"/>
    <w:rsid w:val="00430CA0"/>
    <w:rsid w:val="0043225C"/>
    <w:rsid w:val="00432A6D"/>
    <w:rsid w:val="00432D5F"/>
    <w:rsid w:val="004361D4"/>
    <w:rsid w:val="00436F08"/>
    <w:rsid w:val="00437D6F"/>
    <w:rsid w:val="00440071"/>
    <w:rsid w:val="004401AE"/>
    <w:rsid w:val="004407BD"/>
    <w:rsid w:val="00442980"/>
    <w:rsid w:val="00444D6C"/>
    <w:rsid w:val="00445A00"/>
    <w:rsid w:val="00446465"/>
    <w:rsid w:val="0044731E"/>
    <w:rsid w:val="00450365"/>
    <w:rsid w:val="00451B0F"/>
    <w:rsid w:val="004526AA"/>
    <w:rsid w:val="0045459B"/>
    <w:rsid w:val="00454B4E"/>
    <w:rsid w:val="00462B8E"/>
    <w:rsid w:val="00465A88"/>
    <w:rsid w:val="004661A2"/>
    <w:rsid w:val="004675EB"/>
    <w:rsid w:val="004712DF"/>
    <w:rsid w:val="004713D0"/>
    <w:rsid w:val="0047298C"/>
    <w:rsid w:val="0047420F"/>
    <w:rsid w:val="00474B44"/>
    <w:rsid w:val="00474E01"/>
    <w:rsid w:val="00474E25"/>
    <w:rsid w:val="004753B1"/>
    <w:rsid w:val="00480AC1"/>
    <w:rsid w:val="00481BCD"/>
    <w:rsid w:val="00482ECF"/>
    <w:rsid w:val="00485762"/>
    <w:rsid w:val="004879C5"/>
    <w:rsid w:val="00492F8D"/>
    <w:rsid w:val="00493501"/>
    <w:rsid w:val="004A0C4D"/>
    <w:rsid w:val="004A2834"/>
    <w:rsid w:val="004A3CD9"/>
    <w:rsid w:val="004A47DA"/>
    <w:rsid w:val="004A4E2B"/>
    <w:rsid w:val="004A50F5"/>
    <w:rsid w:val="004A5848"/>
    <w:rsid w:val="004A7B75"/>
    <w:rsid w:val="004B035A"/>
    <w:rsid w:val="004B0EC2"/>
    <w:rsid w:val="004B2686"/>
    <w:rsid w:val="004B65B3"/>
    <w:rsid w:val="004B6F3A"/>
    <w:rsid w:val="004C0DEB"/>
    <w:rsid w:val="004C152A"/>
    <w:rsid w:val="004C1FDD"/>
    <w:rsid w:val="004C2EE3"/>
    <w:rsid w:val="004C3BEA"/>
    <w:rsid w:val="004C67F3"/>
    <w:rsid w:val="004D1173"/>
    <w:rsid w:val="004D34EF"/>
    <w:rsid w:val="004D5B6C"/>
    <w:rsid w:val="004D5D81"/>
    <w:rsid w:val="004D5EAD"/>
    <w:rsid w:val="004D605B"/>
    <w:rsid w:val="004E0435"/>
    <w:rsid w:val="004E419E"/>
    <w:rsid w:val="004E4A22"/>
    <w:rsid w:val="004E50C0"/>
    <w:rsid w:val="004F1880"/>
    <w:rsid w:val="004F5FB7"/>
    <w:rsid w:val="004F6320"/>
    <w:rsid w:val="004F6F5B"/>
    <w:rsid w:val="00500ABE"/>
    <w:rsid w:val="00500F5B"/>
    <w:rsid w:val="00501CA6"/>
    <w:rsid w:val="00502DE6"/>
    <w:rsid w:val="00503DA0"/>
    <w:rsid w:val="00503F4E"/>
    <w:rsid w:val="0050595E"/>
    <w:rsid w:val="005067F6"/>
    <w:rsid w:val="00506E4E"/>
    <w:rsid w:val="00510B12"/>
    <w:rsid w:val="00511968"/>
    <w:rsid w:val="00511F79"/>
    <w:rsid w:val="00512359"/>
    <w:rsid w:val="0051463F"/>
    <w:rsid w:val="005209E8"/>
    <w:rsid w:val="00521FC5"/>
    <w:rsid w:val="005234D9"/>
    <w:rsid w:val="005237E8"/>
    <w:rsid w:val="005240DB"/>
    <w:rsid w:val="00525FC8"/>
    <w:rsid w:val="00526164"/>
    <w:rsid w:val="00527E9B"/>
    <w:rsid w:val="00530A0C"/>
    <w:rsid w:val="0053339C"/>
    <w:rsid w:val="00533B55"/>
    <w:rsid w:val="00540622"/>
    <w:rsid w:val="00541536"/>
    <w:rsid w:val="00542523"/>
    <w:rsid w:val="00543371"/>
    <w:rsid w:val="005461FD"/>
    <w:rsid w:val="0054787D"/>
    <w:rsid w:val="00550288"/>
    <w:rsid w:val="005509C9"/>
    <w:rsid w:val="00553DE9"/>
    <w:rsid w:val="0055444E"/>
    <w:rsid w:val="00555039"/>
    <w:rsid w:val="0055614C"/>
    <w:rsid w:val="00557F64"/>
    <w:rsid w:val="00561DAE"/>
    <w:rsid w:val="005627F0"/>
    <w:rsid w:val="00565061"/>
    <w:rsid w:val="0056796C"/>
    <w:rsid w:val="00567BC4"/>
    <w:rsid w:val="00570BB3"/>
    <w:rsid w:val="005721E2"/>
    <w:rsid w:val="00572A23"/>
    <w:rsid w:val="00572F49"/>
    <w:rsid w:val="005761AB"/>
    <w:rsid w:val="00576290"/>
    <w:rsid w:val="00581F65"/>
    <w:rsid w:val="005824D5"/>
    <w:rsid w:val="00583A52"/>
    <w:rsid w:val="0058592C"/>
    <w:rsid w:val="00587434"/>
    <w:rsid w:val="0059059F"/>
    <w:rsid w:val="005928FC"/>
    <w:rsid w:val="00595CBC"/>
    <w:rsid w:val="005A1E17"/>
    <w:rsid w:val="005A2570"/>
    <w:rsid w:val="005A4055"/>
    <w:rsid w:val="005A6AA2"/>
    <w:rsid w:val="005B0F64"/>
    <w:rsid w:val="005B132E"/>
    <w:rsid w:val="005B150D"/>
    <w:rsid w:val="005B16C4"/>
    <w:rsid w:val="005B26B3"/>
    <w:rsid w:val="005B54B8"/>
    <w:rsid w:val="005B58A1"/>
    <w:rsid w:val="005B5A84"/>
    <w:rsid w:val="005B652F"/>
    <w:rsid w:val="005C0B0E"/>
    <w:rsid w:val="005C4D9B"/>
    <w:rsid w:val="005C79A8"/>
    <w:rsid w:val="005D1E5E"/>
    <w:rsid w:val="005D2410"/>
    <w:rsid w:val="005D2D02"/>
    <w:rsid w:val="005D3B42"/>
    <w:rsid w:val="005D511E"/>
    <w:rsid w:val="005D771F"/>
    <w:rsid w:val="005E14C2"/>
    <w:rsid w:val="005E2750"/>
    <w:rsid w:val="005E2CB7"/>
    <w:rsid w:val="005E47FD"/>
    <w:rsid w:val="005E499D"/>
    <w:rsid w:val="005E5127"/>
    <w:rsid w:val="005E6B83"/>
    <w:rsid w:val="005F2161"/>
    <w:rsid w:val="005F2DE8"/>
    <w:rsid w:val="005F3F1C"/>
    <w:rsid w:val="005F4B6C"/>
    <w:rsid w:val="005F55DE"/>
    <w:rsid w:val="005F5AC7"/>
    <w:rsid w:val="005F5F1E"/>
    <w:rsid w:val="0060431D"/>
    <w:rsid w:val="006056B6"/>
    <w:rsid w:val="00605722"/>
    <w:rsid w:val="00606FEF"/>
    <w:rsid w:val="00607BA5"/>
    <w:rsid w:val="0061180A"/>
    <w:rsid w:val="006121EE"/>
    <w:rsid w:val="00613094"/>
    <w:rsid w:val="0061513B"/>
    <w:rsid w:val="00616724"/>
    <w:rsid w:val="00620587"/>
    <w:rsid w:val="00620D49"/>
    <w:rsid w:val="0062285B"/>
    <w:rsid w:val="00622FCA"/>
    <w:rsid w:val="0062421F"/>
    <w:rsid w:val="00624DF4"/>
    <w:rsid w:val="006259FE"/>
    <w:rsid w:val="00626EB6"/>
    <w:rsid w:val="006276F7"/>
    <w:rsid w:val="0063080B"/>
    <w:rsid w:val="006311E1"/>
    <w:rsid w:val="0063203B"/>
    <w:rsid w:val="0063241D"/>
    <w:rsid w:val="0063293A"/>
    <w:rsid w:val="0063313B"/>
    <w:rsid w:val="0063364A"/>
    <w:rsid w:val="006361B0"/>
    <w:rsid w:val="00636E56"/>
    <w:rsid w:val="00643A6F"/>
    <w:rsid w:val="00645310"/>
    <w:rsid w:val="006468F2"/>
    <w:rsid w:val="00647F7A"/>
    <w:rsid w:val="00653AD5"/>
    <w:rsid w:val="00654699"/>
    <w:rsid w:val="00655CAE"/>
    <w:rsid w:val="00655D03"/>
    <w:rsid w:val="00657952"/>
    <w:rsid w:val="00660273"/>
    <w:rsid w:val="006604A0"/>
    <w:rsid w:val="00663D9D"/>
    <w:rsid w:val="00663F88"/>
    <w:rsid w:val="0066489B"/>
    <w:rsid w:val="006652C2"/>
    <w:rsid w:val="00666409"/>
    <w:rsid w:val="006703FD"/>
    <w:rsid w:val="00672DB6"/>
    <w:rsid w:val="0067336C"/>
    <w:rsid w:val="006738D3"/>
    <w:rsid w:val="00673E2C"/>
    <w:rsid w:val="00674570"/>
    <w:rsid w:val="00674F0E"/>
    <w:rsid w:val="00674FC1"/>
    <w:rsid w:val="006751D9"/>
    <w:rsid w:val="0067559A"/>
    <w:rsid w:val="006777D1"/>
    <w:rsid w:val="00683388"/>
    <w:rsid w:val="00683BB8"/>
    <w:rsid w:val="00683F84"/>
    <w:rsid w:val="00691413"/>
    <w:rsid w:val="0069191B"/>
    <w:rsid w:val="006955C5"/>
    <w:rsid w:val="006957C9"/>
    <w:rsid w:val="00695AAF"/>
    <w:rsid w:val="0069601A"/>
    <w:rsid w:val="00697947"/>
    <w:rsid w:val="00697B14"/>
    <w:rsid w:val="006A1A8A"/>
    <w:rsid w:val="006A29CB"/>
    <w:rsid w:val="006A3B37"/>
    <w:rsid w:val="006A3E1B"/>
    <w:rsid w:val="006A666D"/>
    <w:rsid w:val="006A6A81"/>
    <w:rsid w:val="006A6E06"/>
    <w:rsid w:val="006B0535"/>
    <w:rsid w:val="006B0F93"/>
    <w:rsid w:val="006B70A5"/>
    <w:rsid w:val="006C0014"/>
    <w:rsid w:val="006C01DB"/>
    <w:rsid w:val="006C1654"/>
    <w:rsid w:val="006C2711"/>
    <w:rsid w:val="006C4244"/>
    <w:rsid w:val="006C4E97"/>
    <w:rsid w:val="006C69CD"/>
    <w:rsid w:val="006C6DD4"/>
    <w:rsid w:val="006D0540"/>
    <w:rsid w:val="006D3D16"/>
    <w:rsid w:val="006D5BBF"/>
    <w:rsid w:val="006E3FBC"/>
    <w:rsid w:val="006E662F"/>
    <w:rsid w:val="006E6D75"/>
    <w:rsid w:val="006F1E73"/>
    <w:rsid w:val="006F26BC"/>
    <w:rsid w:val="006F2A9C"/>
    <w:rsid w:val="006F7393"/>
    <w:rsid w:val="006F7A3E"/>
    <w:rsid w:val="007017D4"/>
    <w:rsid w:val="0070224F"/>
    <w:rsid w:val="00702B37"/>
    <w:rsid w:val="00705A9C"/>
    <w:rsid w:val="007115F7"/>
    <w:rsid w:val="0071242A"/>
    <w:rsid w:val="00712B0E"/>
    <w:rsid w:val="007152CE"/>
    <w:rsid w:val="007177CD"/>
    <w:rsid w:val="00717D43"/>
    <w:rsid w:val="0072158A"/>
    <w:rsid w:val="007268BD"/>
    <w:rsid w:val="007269C3"/>
    <w:rsid w:val="007313A0"/>
    <w:rsid w:val="007330AF"/>
    <w:rsid w:val="00733E17"/>
    <w:rsid w:val="0073614D"/>
    <w:rsid w:val="00736F3A"/>
    <w:rsid w:val="0073703B"/>
    <w:rsid w:val="0074064C"/>
    <w:rsid w:val="00741B4B"/>
    <w:rsid w:val="00742FF3"/>
    <w:rsid w:val="00745C42"/>
    <w:rsid w:val="00746D19"/>
    <w:rsid w:val="007511C1"/>
    <w:rsid w:val="007516AD"/>
    <w:rsid w:val="00753ED1"/>
    <w:rsid w:val="007545A7"/>
    <w:rsid w:val="007545FD"/>
    <w:rsid w:val="00755281"/>
    <w:rsid w:val="00755AF0"/>
    <w:rsid w:val="00755EDF"/>
    <w:rsid w:val="007605AB"/>
    <w:rsid w:val="00760816"/>
    <w:rsid w:val="0076171A"/>
    <w:rsid w:val="00762B21"/>
    <w:rsid w:val="007634B2"/>
    <w:rsid w:val="00763CFE"/>
    <w:rsid w:val="00764D15"/>
    <w:rsid w:val="00767D12"/>
    <w:rsid w:val="00771745"/>
    <w:rsid w:val="0077394B"/>
    <w:rsid w:val="0077493C"/>
    <w:rsid w:val="007755B8"/>
    <w:rsid w:val="007813AA"/>
    <w:rsid w:val="00781FE9"/>
    <w:rsid w:val="00782131"/>
    <w:rsid w:val="007831ED"/>
    <w:rsid w:val="007836F6"/>
    <w:rsid w:val="00785526"/>
    <w:rsid w:val="00785689"/>
    <w:rsid w:val="00785D7D"/>
    <w:rsid w:val="00786B2F"/>
    <w:rsid w:val="007878C6"/>
    <w:rsid w:val="00791CF8"/>
    <w:rsid w:val="007930A2"/>
    <w:rsid w:val="0079754B"/>
    <w:rsid w:val="007A064B"/>
    <w:rsid w:val="007A09BB"/>
    <w:rsid w:val="007A1E6D"/>
    <w:rsid w:val="007A47B1"/>
    <w:rsid w:val="007B0EB2"/>
    <w:rsid w:val="007B1661"/>
    <w:rsid w:val="007B41B7"/>
    <w:rsid w:val="007B42D8"/>
    <w:rsid w:val="007B65C3"/>
    <w:rsid w:val="007B6D81"/>
    <w:rsid w:val="007C03A9"/>
    <w:rsid w:val="007C0FC6"/>
    <w:rsid w:val="007C222E"/>
    <w:rsid w:val="007C46A5"/>
    <w:rsid w:val="007C67D3"/>
    <w:rsid w:val="007C67DE"/>
    <w:rsid w:val="007D0995"/>
    <w:rsid w:val="007D2D98"/>
    <w:rsid w:val="007D4EBB"/>
    <w:rsid w:val="007D7DF6"/>
    <w:rsid w:val="007E4517"/>
    <w:rsid w:val="007E730F"/>
    <w:rsid w:val="007F012A"/>
    <w:rsid w:val="007F4029"/>
    <w:rsid w:val="007F586B"/>
    <w:rsid w:val="007F7A32"/>
    <w:rsid w:val="008037D9"/>
    <w:rsid w:val="00803C03"/>
    <w:rsid w:val="008042DC"/>
    <w:rsid w:val="00810B6F"/>
    <w:rsid w:val="00812585"/>
    <w:rsid w:val="008201C9"/>
    <w:rsid w:val="008211F6"/>
    <w:rsid w:val="008219D5"/>
    <w:rsid w:val="00821E29"/>
    <w:rsid w:val="00822CE0"/>
    <w:rsid w:val="00824CDC"/>
    <w:rsid w:val="008251D8"/>
    <w:rsid w:val="00825D45"/>
    <w:rsid w:val="00830286"/>
    <w:rsid w:val="0083082B"/>
    <w:rsid w:val="008318AE"/>
    <w:rsid w:val="00832D8E"/>
    <w:rsid w:val="00833E77"/>
    <w:rsid w:val="00835A6D"/>
    <w:rsid w:val="00840951"/>
    <w:rsid w:val="008415EA"/>
    <w:rsid w:val="00841A49"/>
    <w:rsid w:val="00841AB1"/>
    <w:rsid w:val="00842953"/>
    <w:rsid w:val="00843188"/>
    <w:rsid w:val="008435B2"/>
    <w:rsid w:val="0084554C"/>
    <w:rsid w:val="0084615B"/>
    <w:rsid w:val="00847852"/>
    <w:rsid w:val="008509C1"/>
    <w:rsid w:val="00850E1A"/>
    <w:rsid w:val="00852C88"/>
    <w:rsid w:val="00852CDF"/>
    <w:rsid w:val="00854769"/>
    <w:rsid w:val="00856C23"/>
    <w:rsid w:val="00856CA1"/>
    <w:rsid w:val="00861808"/>
    <w:rsid w:val="00863287"/>
    <w:rsid w:val="0086501D"/>
    <w:rsid w:val="00865421"/>
    <w:rsid w:val="00865B5E"/>
    <w:rsid w:val="008674DD"/>
    <w:rsid w:val="0087255D"/>
    <w:rsid w:val="008736A0"/>
    <w:rsid w:val="00874F60"/>
    <w:rsid w:val="00876954"/>
    <w:rsid w:val="00882C7A"/>
    <w:rsid w:val="00882DDF"/>
    <w:rsid w:val="00886EC7"/>
    <w:rsid w:val="008878FE"/>
    <w:rsid w:val="008928B8"/>
    <w:rsid w:val="00894E91"/>
    <w:rsid w:val="00896E38"/>
    <w:rsid w:val="008A1172"/>
    <w:rsid w:val="008A1A12"/>
    <w:rsid w:val="008A31BB"/>
    <w:rsid w:val="008A4EB6"/>
    <w:rsid w:val="008B419D"/>
    <w:rsid w:val="008B5F18"/>
    <w:rsid w:val="008B707E"/>
    <w:rsid w:val="008C2E34"/>
    <w:rsid w:val="008C360F"/>
    <w:rsid w:val="008C3F00"/>
    <w:rsid w:val="008C43B8"/>
    <w:rsid w:val="008C68F1"/>
    <w:rsid w:val="008C6C8A"/>
    <w:rsid w:val="008D0BB1"/>
    <w:rsid w:val="008D200B"/>
    <w:rsid w:val="008D5426"/>
    <w:rsid w:val="008D64C2"/>
    <w:rsid w:val="008E02F0"/>
    <w:rsid w:val="008E0C10"/>
    <w:rsid w:val="008E3F28"/>
    <w:rsid w:val="008E577A"/>
    <w:rsid w:val="008E6D05"/>
    <w:rsid w:val="008F235B"/>
    <w:rsid w:val="008F26BA"/>
    <w:rsid w:val="008F4B79"/>
    <w:rsid w:val="008F6551"/>
    <w:rsid w:val="008F6E08"/>
    <w:rsid w:val="008F7AF8"/>
    <w:rsid w:val="00900871"/>
    <w:rsid w:val="009018AC"/>
    <w:rsid w:val="00902C0C"/>
    <w:rsid w:val="00903891"/>
    <w:rsid w:val="00903980"/>
    <w:rsid w:val="00906022"/>
    <w:rsid w:val="00906508"/>
    <w:rsid w:val="00920855"/>
    <w:rsid w:val="00921278"/>
    <w:rsid w:val="0092144D"/>
    <w:rsid w:val="00921803"/>
    <w:rsid w:val="00926503"/>
    <w:rsid w:val="00930483"/>
    <w:rsid w:val="009308DD"/>
    <w:rsid w:val="00930926"/>
    <w:rsid w:val="00933F04"/>
    <w:rsid w:val="00934B6D"/>
    <w:rsid w:val="00936C1A"/>
    <w:rsid w:val="00937204"/>
    <w:rsid w:val="00940D1E"/>
    <w:rsid w:val="00945059"/>
    <w:rsid w:val="00945428"/>
    <w:rsid w:val="00946BDC"/>
    <w:rsid w:val="0095071C"/>
    <w:rsid w:val="009519D8"/>
    <w:rsid w:val="0095795B"/>
    <w:rsid w:val="00960882"/>
    <w:rsid w:val="00966AE8"/>
    <w:rsid w:val="009726D8"/>
    <w:rsid w:val="00972CAE"/>
    <w:rsid w:val="009741DB"/>
    <w:rsid w:val="00974C2D"/>
    <w:rsid w:val="0097669F"/>
    <w:rsid w:val="00976ACA"/>
    <w:rsid w:val="009770FF"/>
    <w:rsid w:val="0098038A"/>
    <w:rsid w:val="00984E7A"/>
    <w:rsid w:val="0098663C"/>
    <w:rsid w:val="009923BC"/>
    <w:rsid w:val="0099305D"/>
    <w:rsid w:val="00996BD0"/>
    <w:rsid w:val="00997A34"/>
    <w:rsid w:val="009A06B5"/>
    <w:rsid w:val="009A3DB6"/>
    <w:rsid w:val="009A4A47"/>
    <w:rsid w:val="009A5512"/>
    <w:rsid w:val="009A60BA"/>
    <w:rsid w:val="009A639A"/>
    <w:rsid w:val="009A696C"/>
    <w:rsid w:val="009B031E"/>
    <w:rsid w:val="009B05D1"/>
    <w:rsid w:val="009B0979"/>
    <w:rsid w:val="009B09CC"/>
    <w:rsid w:val="009B21F5"/>
    <w:rsid w:val="009B2C8B"/>
    <w:rsid w:val="009B2D0D"/>
    <w:rsid w:val="009B31BA"/>
    <w:rsid w:val="009B3638"/>
    <w:rsid w:val="009B39E2"/>
    <w:rsid w:val="009B3B14"/>
    <w:rsid w:val="009B3C62"/>
    <w:rsid w:val="009B6794"/>
    <w:rsid w:val="009B6C64"/>
    <w:rsid w:val="009B75E6"/>
    <w:rsid w:val="009B7BE4"/>
    <w:rsid w:val="009C0600"/>
    <w:rsid w:val="009C3A6C"/>
    <w:rsid w:val="009C4D15"/>
    <w:rsid w:val="009C618D"/>
    <w:rsid w:val="009C679D"/>
    <w:rsid w:val="009C694B"/>
    <w:rsid w:val="009C71BC"/>
    <w:rsid w:val="009D3270"/>
    <w:rsid w:val="009D375D"/>
    <w:rsid w:val="009D4295"/>
    <w:rsid w:val="009D58FC"/>
    <w:rsid w:val="009E180C"/>
    <w:rsid w:val="009E1C10"/>
    <w:rsid w:val="009E6BF1"/>
    <w:rsid w:val="009F14C8"/>
    <w:rsid w:val="009F1828"/>
    <w:rsid w:val="009F1E34"/>
    <w:rsid w:val="009F4CD6"/>
    <w:rsid w:val="009F5456"/>
    <w:rsid w:val="009F55D4"/>
    <w:rsid w:val="009F55F1"/>
    <w:rsid w:val="009F5FC1"/>
    <w:rsid w:val="009F76DB"/>
    <w:rsid w:val="00A000C9"/>
    <w:rsid w:val="00A0519B"/>
    <w:rsid w:val="00A10BBD"/>
    <w:rsid w:val="00A11640"/>
    <w:rsid w:val="00A128D3"/>
    <w:rsid w:val="00A12F4F"/>
    <w:rsid w:val="00A15097"/>
    <w:rsid w:val="00A153EE"/>
    <w:rsid w:val="00A16141"/>
    <w:rsid w:val="00A16250"/>
    <w:rsid w:val="00A174EB"/>
    <w:rsid w:val="00A1791B"/>
    <w:rsid w:val="00A21009"/>
    <w:rsid w:val="00A2327C"/>
    <w:rsid w:val="00A249F0"/>
    <w:rsid w:val="00A269D0"/>
    <w:rsid w:val="00A27DA9"/>
    <w:rsid w:val="00A303AB"/>
    <w:rsid w:val="00A30D16"/>
    <w:rsid w:val="00A31F20"/>
    <w:rsid w:val="00A32C3B"/>
    <w:rsid w:val="00A32D13"/>
    <w:rsid w:val="00A32F87"/>
    <w:rsid w:val="00A33C52"/>
    <w:rsid w:val="00A33E21"/>
    <w:rsid w:val="00A43A99"/>
    <w:rsid w:val="00A4459B"/>
    <w:rsid w:val="00A446A1"/>
    <w:rsid w:val="00A446AC"/>
    <w:rsid w:val="00A450AA"/>
    <w:rsid w:val="00A45F4F"/>
    <w:rsid w:val="00A47ECE"/>
    <w:rsid w:val="00A5350A"/>
    <w:rsid w:val="00A564D4"/>
    <w:rsid w:val="00A57E3E"/>
    <w:rsid w:val="00A600A9"/>
    <w:rsid w:val="00A658C0"/>
    <w:rsid w:val="00A65A7A"/>
    <w:rsid w:val="00A666EF"/>
    <w:rsid w:val="00A667AD"/>
    <w:rsid w:val="00A67464"/>
    <w:rsid w:val="00A6788C"/>
    <w:rsid w:val="00A72A04"/>
    <w:rsid w:val="00A732CF"/>
    <w:rsid w:val="00A7367D"/>
    <w:rsid w:val="00A80B96"/>
    <w:rsid w:val="00A840EB"/>
    <w:rsid w:val="00A8473A"/>
    <w:rsid w:val="00A8699A"/>
    <w:rsid w:val="00A923D0"/>
    <w:rsid w:val="00A930ED"/>
    <w:rsid w:val="00A9686D"/>
    <w:rsid w:val="00AA0EB9"/>
    <w:rsid w:val="00AA40E6"/>
    <w:rsid w:val="00AA55B7"/>
    <w:rsid w:val="00AA5B9E"/>
    <w:rsid w:val="00AA5F58"/>
    <w:rsid w:val="00AA7B71"/>
    <w:rsid w:val="00AA7ECC"/>
    <w:rsid w:val="00AB2407"/>
    <w:rsid w:val="00AB28D5"/>
    <w:rsid w:val="00AB41A5"/>
    <w:rsid w:val="00AB4CA0"/>
    <w:rsid w:val="00AB53DF"/>
    <w:rsid w:val="00AB6F38"/>
    <w:rsid w:val="00AC01C6"/>
    <w:rsid w:val="00AC0432"/>
    <w:rsid w:val="00AC240E"/>
    <w:rsid w:val="00AC48A7"/>
    <w:rsid w:val="00AC7385"/>
    <w:rsid w:val="00AC7D06"/>
    <w:rsid w:val="00AC7EDF"/>
    <w:rsid w:val="00AD13CB"/>
    <w:rsid w:val="00AD281E"/>
    <w:rsid w:val="00AD2DC8"/>
    <w:rsid w:val="00AD4030"/>
    <w:rsid w:val="00AD605F"/>
    <w:rsid w:val="00AD7DD2"/>
    <w:rsid w:val="00AE06BB"/>
    <w:rsid w:val="00AE4391"/>
    <w:rsid w:val="00AE72ED"/>
    <w:rsid w:val="00AF2471"/>
    <w:rsid w:val="00AF38A0"/>
    <w:rsid w:val="00AF44B1"/>
    <w:rsid w:val="00AF459A"/>
    <w:rsid w:val="00AF4855"/>
    <w:rsid w:val="00AF4B7A"/>
    <w:rsid w:val="00AF4BD7"/>
    <w:rsid w:val="00AF6C13"/>
    <w:rsid w:val="00B01AFC"/>
    <w:rsid w:val="00B030D3"/>
    <w:rsid w:val="00B055C9"/>
    <w:rsid w:val="00B07E5C"/>
    <w:rsid w:val="00B11120"/>
    <w:rsid w:val="00B12EB1"/>
    <w:rsid w:val="00B16BE0"/>
    <w:rsid w:val="00B201FA"/>
    <w:rsid w:val="00B215CA"/>
    <w:rsid w:val="00B2233E"/>
    <w:rsid w:val="00B24E85"/>
    <w:rsid w:val="00B27E89"/>
    <w:rsid w:val="00B33BA2"/>
    <w:rsid w:val="00B33BD4"/>
    <w:rsid w:val="00B34740"/>
    <w:rsid w:val="00B366F5"/>
    <w:rsid w:val="00B36B3B"/>
    <w:rsid w:val="00B3715A"/>
    <w:rsid w:val="00B40751"/>
    <w:rsid w:val="00B4107D"/>
    <w:rsid w:val="00B413A1"/>
    <w:rsid w:val="00B42CA5"/>
    <w:rsid w:val="00B42D89"/>
    <w:rsid w:val="00B433C1"/>
    <w:rsid w:val="00B45AF1"/>
    <w:rsid w:val="00B46156"/>
    <w:rsid w:val="00B46157"/>
    <w:rsid w:val="00B46780"/>
    <w:rsid w:val="00B512E6"/>
    <w:rsid w:val="00B51322"/>
    <w:rsid w:val="00B51A7D"/>
    <w:rsid w:val="00B51BA2"/>
    <w:rsid w:val="00B51EB8"/>
    <w:rsid w:val="00B541E8"/>
    <w:rsid w:val="00B62EB0"/>
    <w:rsid w:val="00B64D25"/>
    <w:rsid w:val="00B66E93"/>
    <w:rsid w:val="00B7076E"/>
    <w:rsid w:val="00B7245A"/>
    <w:rsid w:val="00B7298B"/>
    <w:rsid w:val="00B72E34"/>
    <w:rsid w:val="00B74C1C"/>
    <w:rsid w:val="00B75D79"/>
    <w:rsid w:val="00B76BBF"/>
    <w:rsid w:val="00B76F90"/>
    <w:rsid w:val="00B775FA"/>
    <w:rsid w:val="00B811F7"/>
    <w:rsid w:val="00B83B16"/>
    <w:rsid w:val="00B8570A"/>
    <w:rsid w:val="00B861ED"/>
    <w:rsid w:val="00B87571"/>
    <w:rsid w:val="00B87577"/>
    <w:rsid w:val="00B9000A"/>
    <w:rsid w:val="00B90A92"/>
    <w:rsid w:val="00B92D46"/>
    <w:rsid w:val="00B933D5"/>
    <w:rsid w:val="00B942DA"/>
    <w:rsid w:val="00B95570"/>
    <w:rsid w:val="00B95840"/>
    <w:rsid w:val="00B960E8"/>
    <w:rsid w:val="00BA5DC6"/>
    <w:rsid w:val="00BA6196"/>
    <w:rsid w:val="00BB230E"/>
    <w:rsid w:val="00BB5956"/>
    <w:rsid w:val="00BB6F36"/>
    <w:rsid w:val="00BB7125"/>
    <w:rsid w:val="00BC01F0"/>
    <w:rsid w:val="00BC062E"/>
    <w:rsid w:val="00BC404D"/>
    <w:rsid w:val="00BC6D8C"/>
    <w:rsid w:val="00BD0B9E"/>
    <w:rsid w:val="00BD200E"/>
    <w:rsid w:val="00BD4638"/>
    <w:rsid w:val="00BE05C6"/>
    <w:rsid w:val="00BE0D07"/>
    <w:rsid w:val="00BE69E7"/>
    <w:rsid w:val="00BF0129"/>
    <w:rsid w:val="00BF0DFC"/>
    <w:rsid w:val="00BF6FAC"/>
    <w:rsid w:val="00BF70B8"/>
    <w:rsid w:val="00C009A2"/>
    <w:rsid w:val="00C03A11"/>
    <w:rsid w:val="00C06DE1"/>
    <w:rsid w:val="00C071C1"/>
    <w:rsid w:val="00C1383E"/>
    <w:rsid w:val="00C13A5F"/>
    <w:rsid w:val="00C174F1"/>
    <w:rsid w:val="00C17703"/>
    <w:rsid w:val="00C179B3"/>
    <w:rsid w:val="00C17AC7"/>
    <w:rsid w:val="00C24971"/>
    <w:rsid w:val="00C268D0"/>
    <w:rsid w:val="00C26B4B"/>
    <w:rsid w:val="00C27D89"/>
    <w:rsid w:val="00C332B7"/>
    <w:rsid w:val="00C34006"/>
    <w:rsid w:val="00C364C8"/>
    <w:rsid w:val="00C368D8"/>
    <w:rsid w:val="00C37E37"/>
    <w:rsid w:val="00C404C0"/>
    <w:rsid w:val="00C42045"/>
    <w:rsid w:val="00C426B1"/>
    <w:rsid w:val="00C435BF"/>
    <w:rsid w:val="00C46084"/>
    <w:rsid w:val="00C4794E"/>
    <w:rsid w:val="00C54BD7"/>
    <w:rsid w:val="00C568D3"/>
    <w:rsid w:val="00C57F67"/>
    <w:rsid w:val="00C61EF0"/>
    <w:rsid w:val="00C63C9F"/>
    <w:rsid w:val="00C6411E"/>
    <w:rsid w:val="00C64586"/>
    <w:rsid w:val="00C652B1"/>
    <w:rsid w:val="00C65466"/>
    <w:rsid w:val="00C65FCC"/>
    <w:rsid w:val="00C66160"/>
    <w:rsid w:val="00C7173B"/>
    <w:rsid w:val="00C721AC"/>
    <w:rsid w:val="00C74267"/>
    <w:rsid w:val="00C74A1D"/>
    <w:rsid w:val="00C753F9"/>
    <w:rsid w:val="00C7559F"/>
    <w:rsid w:val="00C75CE8"/>
    <w:rsid w:val="00C77931"/>
    <w:rsid w:val="00C8061E"/>
    <w:rsid w:val="00C85862"/>
    <w:rsid w:val="00C85CEF"/>
    <w:rsid w:val="00C90D6A"/>
    <w:rsid w:val="00C92675"/>
    <w:rsid w:val="00C96C8C"/>
    <w:rsid w:val="00CA0376"/>
    <w:rsid w:val="00CA0630"/>
    <w:rsid w:val="00CA0A5D"/>
    <w:rsid w:val="00CA0E05"/>
    <w:rsid w:val="00CA247E"/>
    <w:rsid w:val="00CA29D4"/>
    <w:rsid w:val="00CA2D3E"/>
    <w:rsid w:val="00CA32B9"/>
    <w:rsid w:val="00CA3E14"/>
    <w:rsid w:val="00CA4631"/>
    <w:rsid w:val="00CB2167"/>
    <w:rsid w:val="00CB2DFF"/>
    <w:rsid w:val="00CB4EC2"/>
    <w:rsid w:val="00CB516C"/>
    <w:rsid w:val="00CB7D70"/>
    <w:rsid w:val="00CC38B6"/>
    <w:rsid w:val="00CC4738"/>
    <w:rsid w:val="00CC490D"/>
    <w:rsid w:val="00CC4A57"/>
    <w:rsid w:val="00CC72B6"/>
    <w:rsid w:val="00CD0525"/>
    <w:rsid w:val="00CD08B7"/>
    <w:rsid w:val="00CD3097"/>
    <w:rsid w:val="00CD43E6"/>
    <w:rsid w:val="00CD4D64"/>
    <w:rsid w:val="00CD559D"/>
    <w:rsid w:val="00CD60E2"/>
    <w:rsid w:val="00CE103A"/>
    <w:rsid w:val="00CE362E"/>
    <w:rsid w:val="00CE6793"/>
    <w:rsid w:val="00CE72F8"/>
    <w:rsid w:val="00CF1141"/>
    <w:rsid w:val="00CF20E0"/>
    <w:rsid w:val="00CF440D"/>
    <w:rsid w:val="00CF6277"/>
    <w:rsid w:val="00CF701D"/>
    <w:rsid w:val="00D01F36"/>
    <w:rsid w:val="00D0218D"/>
    <w:rsid w:val="00D02BF7"/>
    <w:rsid w:val="00D032B2"/>
    <w:rsid w:val="00D03CEF"/>
    <w:rsid w:val="00D03E8B"/>
    <w:rsid w:val="00D05E8F"/>
    <w:rsid w:val="00D06E20"/>
    <w:rsid w:val="00D111DD"/>
    <w:rsid w:val="00D120C7"/>
    <w:rsid w:val="00D124EA"/>
    <w:rsid w:val="00D14AC3"/>
    <w:rsid w:val="00D15D29"/>
    <w:rsid w:val="00D1636E"/>
    <w:rsid w:val="00D20865"/>
    <w:rsid w:val="00D2204A"/>
    <w:rsid w:val="00D2522C"/>
    <w:rsid w:val="00D25FB5"/>
    <w:rsid w:val="00D27995"/>
    <w:rsid w:val="00D30471"/>
    <w:rsid w:val="00D30495"/>
    <w:rsid w:val="00D315C4"/>
    <w:rsid w:val="00D40B4D"/>
    <w:rsid w:val="00D411D8"/>
    <w:rsid w:val="00D41CDA"/>
    <w:rsid w:val="00D431B1"/>
    <w:rsid w:val="00D44223"/>
    <w:rsid w:val="00D44FB5"/>
    <w:rsid w:val="00D4685B"/>
    <w:rsid w:val="00D46ECD"/>
    <w:rsid w:val="00D5051E"/>
    <w:rsid w:val="00D5277A"/>
    <w:rsid w:val="00D539BF"/>
    <w:rsid w:val="00D54172"/>
    <w:rsid w:val="00D54AD1"/>
    <w:rsid w:val="00D573D5"/>
    <w:rsid w:val="00D575CC"/>
    <w:rsid w:val="00D57A0F"/>
    <w:rsid w:val="00D6333F"/>
    <w:rsid w:val="00D636A0"/>
    <w:rsid w:val="00D6545F"/>
    <w:rsid w:val="00D66318"/>
    <w:rsid w:val="00D707A2"/>
    <w:rsid w:val="00D70858"/>
    <w:rsid w:val="00D72565"/>
    <w:rsid w:val="00D758E4"/>
    <w:rsid w:val="00D7796A"/>
    <w:rsid w:val="00D821ED"/>
    <w:rsid w:val="00D82327"/>
    <w:rsid w:val="00D82F65"/>
    <w:rsid w:val="00D830F7"/>
    <w:rsid w:val="00D918E1"/>
    <w:rsid w:val="00D9504F"/>
    <w:rsid w:val="00D96172"/>
    <w:rsid w:val="00D97108"/>
    <w:rsid w:val="00D97760"/>
    <w:rsid w:val="00D97A24"/>
    <w:rsid w:val="00D97DDE"/>
    <w:rsid w:val="00DA2529"/>
    <w:rsid w:val="00DA30FF"/>
    <w:rsid w:val="00DA78F9"/>
    <w:rsid w:val="00DB130A"/>
    <w:rsid w:val="00DB2EBB"/>
    <w:rsid w:val="00DB6054"/>
    <w:rsid w:val="00DC10A1"/>
    <w:rsid w:val="00DC2ABD"/>
    <w:rsid w:val="00DC3962"/>
    <w:rsid w:val="00DC46F7"/>
    <w:rsid w:val="00DC47CC"/>
    <w:rsid w:val="00DC558B"/>
    <w:rsid w:val="00DC655F"/>
    <w:rsid w:val="00DD0B59"/>
    <w:rsid w:val="00DD0DE7"/>
    <w:rsid w:val="00DD2618"/>
    <w:rsid w:val="00DD2D2C"/>
    <w:rsid w:val="00DD4378"/>
    <w:rsid w:val="00DD4606"/>
    <w:rsid w:val="00DD7EBD"/>
    <w:rsid w:val="00DE025B"/>
    <w:rsid w:val="00DE095F"/>
    <w:rsid w:val="00DE09C1"/>
    <w:rsid w:val="00DE15AF"/>
    <w:rsid w:val="00DF3060"/>
    <w:rsid w:val="00DF3520"/>
    <w:rsid w:val="00DF4E83"/>
    <w:rsid w:val="00DF5292"/>
    <w:rsid w:val="00DF567B"/>
    <w:rsid w:val="00DF62B6"/>
    <w:rsid w:val="00DF7AEB"/>
    <w:rsid w:val="00E009B3"/>
    <w:rsid w:val="00E00EE8"/>
    <w:rsid w:val="00E01FFC"/>
    <w:rsid w:val="00E0208D"/>
    <w:rsid w:val="00E050B8"/>
    <w:rsid w:val="00E05CB4"/>
    <w:rsid w:val="00E07225"/>
    <w:rsid w:val="00E10064"/>
    <w:rsid w:val="00E11D46"/>
    <w:rsid w:val="00E11DFE"/>
    <w:rsid w:val="00E12604"/>
    <w:rsid w:val="00E146E5"/>
    <w:rsid w:val="00E15E58"/>
    <w:rsid w:val="00E1677A"/>
    <w:rsid w:val="00E1737C"/>
    <w:rsid w:val="00E2265B"/>
    <w:rsid w:val="00E2464E"/>
    <w:rsid w:val="00E256C5"/>
    <w:rsid w:val="00E26436"/>
    <w:rsid w:val="00E266DD"/>
    <w:rsid w:val="00E3013E"/>
    <w:rsid w:val="00E31AF4"/>
    <w:rsid w:val="00E336C6"/>
    <w:rsid w:val="00E343D1"/>
    <w:rsid w:val="00E34C39"/>
    <w:rsid w:val="00E35A6D"/>
    <w:rsid w:val="00E36AAC"/>
    <w:rsid w:val="00E36D2E"/>
    <w:rsid w:val="00E411BE"/>
    <w:rsid w:val="00E42DF3"/>
    <w:rsid w:val="00E449E5"/>
    <w:rsid w:val="00E45DC2"/>
    <w:rsid w:val="00E471A1"/>
    <w:rsid w:val="00E50313"/>
    <w:rsid w:val="00E51827"/>
    <w:rsid w:val="00E51EF8"/>
    <w:rsid w:val="00E52997"/>
    <w:rsid w:val="00E5409F"/>
    <w:rsid w:val="00E571B9"/>
    <w:rsid w:val="00E57640"/>
    <w:rsid w:val="00E62220"/>
    <w:rsid w:val="00E62771"/>
    <w:rsid w:val="00E62A5F"/>
    <w:rsid w:val="00E636AF"/>
    <w:rsid w:val="00E66BE2"/>
    <w:rsid w:val="00E74120"/>
    <w:rsid w:val="00E7471F"/>
    <w:rsid w:val="00E74843"/>
    <w:rsid w:val="00E835C7"/>
    <w:rsid w:val="00E844A5"/>
    <w:rsid w:val="00E84944"/>
    <w:rsid w:val="00E8499E"/>
    <w:rsid w:val="00E84E66"/>
    <w:rsid w:val="00E85238"/>
    <w:rsid w:val="00E852DF"/>
    <w:rsid w:val="00E85D97"/>
    <w:rsid w:val="00E90A84"/>
    <w:rsid w:val="00E90E1A"/>
    <w:rsid w:val="00E916D3"/>
    <w:rsid w:val="00E92277"/>
    <w:rsid w:val="00E92894"/>
    <w:rsid w:val="00E92F23"/>
    <w:rsid w:val="00E941B6"/>
    <w:rsid w:val="00E94A6C"/>
    <w:rsid w:val="00E95D83"/>
    <w:rsid w:val="00E96867"/>
    <w:rsid w:val="00E96F1D"/>
    <w:rsid w:val="00EA06ED"/>
    <w:rsid w:val="00EA0DB2"/>
    <w:rsid w:val="00EA3C73"/>
    <w:rsid w:val="00EA41F2"/>
    <w:rsid w:val="00EA63F6"/>
    <w:rsid w:val="00EB5088"/>
    <w:rsid w:val="00EB6E2C"/>
    <w:rsid w:val="00EC2321"/>
    <w:rsid w:val="00EC2436"/>
    <w:rsid w:val="00EC3351"/>
    <w:rsid w:val="00EC3492"/>
    <w:rsid w:val="00EC3865"/>
    <w:rsid w:val="00EC493F"/>
    <w:rsid w:val="00EC53D9"/>
    <w:rsid w:val="00EC7153"/>
    <w:rsid w:val="00EC739E"/>
    <w:rsid w:val="00EC754B"/>
    <w:rsid w:val="00ED0EE4"/>
    <w:rsid w:val="00ED508F"/>
    <w:rsid w:val="00EE2D4F"/>
    <w:rsid w:val="00EE4EC7"/>
    <w:rsid w:val="00EE5130"/>
    <w:rsid w:val="00EE6488"/>
    <w:rsid w:val="00EE6F1B"/>
    <w:rsid w:val="00EF3AEB"/>
    <w:rsid w:val="00EF45E8"/>
    <w:rsid w:val="00F00B64"/>
    <w:rsid w:val="00F01C90"/>
    <w:rsid w:val="00F021FA"/>
    <w:rsid w:val="00F0319A"/>
    <w:rsid w:val="00F048C9"/>
    <w:rsid w:val="00F052BC"/>
    <w:rsid w:val="00F05CFB"/>
    <w:rsid w:val="00F071CF"/>
    <w:rsid w:val="00F11002"/>
    <w:rsid w:val="00F1363B"/>
    <w:rsid w:val="00F163AD"/>
    <w:rsid w:val="00F166A1"/>
    <w:rsid w:val="00F17209"/>
    <w:rsid w:val="00F17720"/>
    <w:rsid w:val="00F20307"/>
    <w:rsid w:val="00F21D24"/>
    <w:rsid w:val="00F265CB"/>
    <w:rsid w:val="00F32BBE"/>
    <w:rsid w:val="00F33425"/>
    <w:rsid w:val="00F36D6A"/>
    <w:rsid w:val="00F36F17"/>
    <w:rsid w:val="00F40E78"/>
    <w:rsid w:val="00F40F86"/>
    <w:rsid w:val="00F432BE"/>
    <w:rsid w:val="00F43E16"/>
    <w:rsid w:val="00F4644F"/>
    <w:rsid w:val="00F478DF"/>
    <w:rsid w:val="00F5005D"/>
    <w:rsid w:val="00F54A83"/>
    <w:rsid w:val="00F5590D"/>
    <w:rsid w:val="00F55C60"/>
    <w:rsid w:val="00F57A44"/>
    <w:rsid w:val="00F60149"/>
    <w:rsid w:val="00F609E1"/>
    <w:rsid w:val="00F61F1F"/>
    <w:rsid w:val="00F62E97"/>
    <w:rsid w:val="00F64209"/>
    <w:rsid w:val="00F65C14"/>
    <w:rsid w:val="00F72193"/>
    <w:rsid w:val="00F722A1"/>
    <w:rsid w:val="00F73551"/>
    <w:rsid w:val="00F74817"/>
    <w:rsid w:val="00F74CF7"/>
    <w:rsid w:val="00F75BAC"/>
    <w:rsid w:val="00F8077F"/>
    <w:rsid w:val="00F812FD"/>
    <w:rsid w:val="00F85646"/>
    <w:rsid w:val="00F85B40"/>
    <w:rsid w:val="00F86B9F"/>
    <w:rsid w:val="00F916E7"/>
    <w:rsid w:val="00F91C34"/>
    <w:rsid w:val="00F91D35"/>
    <w:rsid w:val="00F92793"/>
    <w:rsid w:val="00F92896"/>
    <w:rsid w:val="00F92BA8"/>
    <w:rsid w:val="00F93BF5"/>
    <w:rsid w:val="00F96DE9"/>
    <w:rsid w:val="00F96EE6"/>
    <w:rsid w:val="00F972A9"/>
    <w:rsid w:val="00F97D25"/>
    <w:rsid w:val="00F97E57"/>
    <w:rsid w:val="00FA0458"/>
    <w:rsid w:val="00FA15A1"/>
    <w:rsid w:val="00FA4D2C"/>
    <w:rsid w:val="00FA69BD"/>
    <w:rsid w:val="00FA70B8"/>
    <w:rsid w:val="00FA71F6"/>
    <w:rsid w:val="00FB267F"/>
    <w:rsid w:val="00FB2C24"/>
    <w:rsid w:val="00FB320F"/>
    <w:rsid w:val="00FB4748"/>
    <w:rsid w:val="00FB63D8"/>
    <w:rsid w:val="00FC4816"/>
    <w:rsid w:val="00FC49F8"/>
    <w:rsid w:val="00FC4C8B"/>
    <w:rsid w:val="00FC6A77"/>
    <w:rsid w:val="00FD03F9"/>
    <w:rsid w:val="00FD04EC"/>
    <w:rsid w:val="00FD17E0"/>
    <w:rsid w:val="00FD1CB6"/>
    <w:rsid w:val="00FD27F1"/>
    <w:rsid w:val="00FD3610"/>
    <w:rsid w:val="00FD7DE4"/>
    <w:rsid w:val="00FE0C93"/>
    <w:rsid w:val="00FE2679"/>
    <w:rsid w:val="00FE2E7C"/>
    <w:rsid w:val="00FE420D"/>
    <w:rsid w:val="00FE4DE9"/>
    <w:rsid w:val="00FE4F00"/>
    <w:rsid w:val="00FE518F"/>
    <w:rsid w:val="00FE5538"/>
    <w:rsid w:val="00FE5753"/>
    <w:rsid w:val="00FE6866"/>
    <w:rsid w:val="00FF2198"/>
    <w:rsid w:val="00FF2DA2"/>
    <w:rsid w:val="00FF425E"/>
    <w:rsid w:val="00FF4578"/>
    <w:rsid w:val="00FF5697"/>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7434"/>
    <w:pPr>
      <w:keepNext/>
      <w:numPr>
        <w:ilvl w:val="1"/>
        <w:numId w:val="3"/>
      </w:numPr>
      <w:tabs>
        <w:tab w:val="left" w:pos="1440"/>
      </w:tabs>
      <w:spacing w:after="120"/>
      <w:ind w:left="1800" w:hanging="108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fn,f,FOOTNOTE"/>
    <w:link w:val="FootnoteTextChar"/>
    <w:uiPriority w:val="99"/>
    <w:rsid w:val="000E3D42"/>
    <w:pPr>
      <w:spacing w:after="120"/>
    </w:pPr>
  </w:style>
  <w:style w:type="character" w:styleId="FootnoteReference">
    <w:name w:val="footnote reference"/>
    <w:aliases w:val="Style 12,(NECG) Footnote Reference,o,fr,Style 3,Appel note de bas de p,Style 124,Style 13,FR,Style 17,Style 6,Footnote Reference/,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2,Footnote Text Char Char Char1,Footnote Text Char1 Char Char1 Char1,Footnote Text Char Char Char Char1 Char1,Footnote Text Char3 Char Char Char Char1 Char1,Footnote Text Char Char Char Char1 Char Char Char1"/>
    <w:basedOn w:val="DefaultParagraphFont"/>
    <w:link w:val="FootnoteText"/>
    <w:uiPriority w:val="99"/>
    <w:rsid w:val="00DE025B"/>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semiHidden/>
    <w:rsid w:val="002010D1"/>
    <w:rPr>
      <w:rFonts w:ascii="Times New Roman" w:eastAsia="Times New Roman" w:hAnsi="Times New Roman" w:cs="Times New Roman"/>
      <w:sz w:val="20"/>
      <w:szCs w:val="20"/>
    </w:rPr>
  </w:style>
  <w:style w:type="character" w:customStyle="1" w:styleId="ParaNumChar">
    <w:name w:val="ParaNum Char"/>
    <w:link w:val="ParaNum"/>
    <w:rsid w:val="002010D1"/>
    <w:rPr>
      <w:snapToGrid w:val="0"/>
      <w:kern w:val="28"/>
      <w:sz w:val="22"/>
    </w:rPr>
  </w:style>
  <w:style w:type="character" w:styleId="CommentReference">
    <w:name w:val="annotation reference"/>
    <w:rsid w:val="00E74120"/>
    <w:rPr>
      <w:sz w:val="16"/>
      <w:szCs w:val="16"/>
    </w:rPr>
  </w:style>
  <w:style w:type="paragraph" w:styleId="CommentText">
    <w:name w:val="annotation text"/>
    <w:basedOn w:val="Normal"/>
    <w:link w:val="CommentTextChar"/>
    <w:rsid w:val="00E74120"/>
    <w:rPr>
      <w:sz w:val="20"/>
    </w:rPr>
  </w:style>
  <w:style w:type="character" w:customStyle="1" w:styleId="CommentTextChar">
    <w:name w:val="Comment Text Char"/>
    <w:link w:val="CommentText"/>
    <w:rsid w:val="00E74120"/>
    <w:rPr>
      <w:snapToGrid w:val="0"/>
      <w:kern w:val="28"/>
    </w:rPr>
  </w:style>
  <w:style w:type="paragraph" w:styleId="CommentSubject">
    <w:name w:val="annotation subject"/>
    <w:basedOn w:val="CommentText"/>
    <w:next w:val="CommentText"/>
    <w:link w:val="CommentSubjectChar"/>
    <w:rsid w:val="00E74120"/>
    <w:rPr>
      <w:b/>
      <w:bCs/>
    </w:rPr>
  </w:style>
  <w:style w:type="character" w:customStyle="1" w:styleId="CommentSubjectChar">
    <w:name w:val="Comment Subject Char"/>
    <w:link w:val="CommentSubject"/>
    <w:rsid w:val="00E74120"/>
    <w:rPr>
      <w:b/>
      <w:bCs/>
      <w:snapToGrid w:val="0"/>
      <w:kern w:val="28"/>
    </w:rPr>
  </w:style>
  <w:style w:type="paragraph" w:styleId="BalloonText">
    <w:name w:val="Balloon Text"/>
    <w:basedOn w:val="Normal"/>
    <w:link w:val="BalloonTextChar"/>
    <w:rsid w:val="00E74120"/>
    <w:rPr>
      <w:rFonts w:ascii="Segoe UI" w:hAnsi="Segoe UI" w:cs="Segoe UI"/>
      <w:sz w:val="18"/>
      <w:szCs w:val="18"/>
    </w:rPr>
  </w:style>
  <w:style w:type="character" w:customStyle="1" w:styleId="BalloonTextChar">
    <w:name w:val="Balloon Text Char"/>
    <w:link w:val="BalloonText"/>
    <w:rsid w:val="00E74120"/>
    <w:rPr>
      <w:rFonts w:ascii="Segoe UI" w:hAnsi="Segoe UI" w:cs="Segoe UI"/>
      <w:snapToGrid w:val="0"/>
      <w:kern w:val="28"/>
      <w:sz w:val="18"/>
      <w:szCs w:val="18"/>
    </w:rPr>
  </w:style>
  <w:style w:type="character" w:styleId="FollowedHyperlink">
    <w:name w:val="FollowedHyperlink"/>
    <w:rsid w:val="00EE5130"/>
    <w:rPr>
      <w:color w:val="954F72"/>
      <w:u w:val="single"/>
    </w:rPr>
  </w:style>
  <w:style w:type="character" w:customStyle="1" w:styleId="apple-converted-space">
    <w:name w:val="apple-converted-space"/>
    <w:basedOn w:val="DefaultParagraphFont"/>
    <w:rsid w:val="00211E93"/>
  </w:style>
  <w:style w:type="table" w:styleId="TableGrid">
    <w:name w:val="Table Grid"/>
    <w:basedOn w:val="TableNormal"/>
    <w:rsid w:val="00C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C03A11"/>
    <w:pPr>
      <w:spacing w:after="200"/>
    </w:pPr>
    <w:rPr>
      <w:i/>
      <w:iCs/>
      <w:color w:val="44546A"/>
      <w:sz w:val="18"/>
      <w:szCs w:val="18"/>
    </w:rPr>
  </w:style>
  <w:style w:type="paragraph" w:styleId="Revision">
    <w:name w:val="Revision"/>
    <w:hidden/>
    <w:uiPriority w:val="99"/>
    <w:semiHidden/>
    <w:rsid w:val="001E0C3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7434"/>
    <w:pPr>
      <w:keepNext/>
      <w:numPr>
        <w:ilvl w:val="1"/>
        <w:numId w:val="3"/>
      </w:numPr>
      <w:tabs>
        <w:tab w:val="left" w:pos="1440"/>
      </w:tabs>
      <w:spacing w:after="120"/>
      <w:ind w:left="1800" w:hanging="108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fn,f,FOOTNOTE"/>
    <w:link w:val="FootnoteTextChar"/>
    <w:uiPriority w:val="99"/>
    <w:rsid w:val="000E3D42"/>
    <w:pPr>
      <w:spacing w:after="120"/>
    </w:pPr>
  </w:style>
  <w:style w:type="character" w:styleId="FootnoteReference">
    <w:name w:val="footnote reference"/>
    <w:aliases w:val="Style 12,(NECG) Footnote Reference,o,fr,Style 3,Appel note de bas de p,Style 124,Style 13,FR,Style 17,Style 6,Footnote Reference/,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2,Footnote Text Char Char Char1,Footnote Text Char1 Char Char1 Char1,Footnote Text Char Char Char Char1 Char1,Footnote Text Char3 Char Char Char Char1 Char1,Footnote Text Char Char Char Char1 Char Char Char1"/>
    <w:basedOn w:val="DefaultParagraphFont"/>
    <w:link w:val="FootnoteText"/>
    <w:uiPriority w:val="99"/>
    <w:rsid w:val="00DE025B"/>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semiHidden/>
    <w:rsid w:val="002010D1"/>
    <w:rPr>
      <w:rFonts w:ascii="Times New Roman" w:eastAsia="Times New Roman" w:hAnsi="Times New Roman" w:cs="Times New Roman"/>
      <w:sz w:val="20"/>
      <w:szCs w:val="20"/>
    </w:rPr>
  </w:style>
  <w:style w:type="character" w:customStyle="1" w:styleId="ParaNumChar">
    <w:name w:val="ParaNum Char"/>
    <w:link w:val="ParaNum"/>
    <w:rsid w:val="002010D1"/>
    <w:rPr>
      <w:snapToGrid w:val="0"/>
      <w:kern w:val="28"/>
      <w:sz w:val="22"/>
    </w:rPr>
  </w:style>
  <w:style w:type="character" w:styleId="CommentReference">
    <w:name w:val="annotation reference"/>
    <w:rsid w:val="00E74120"/>
    <w:rPr>
      <w:sz w:val="16"/>
      <w:szCs w:val="16"/>
    </w:rPr>
  </w:style>
  <w:style w:type="paragraph" w:styleId="CommentText">
    <w:name w:val="annotation text"/>
    <w:basedOn w:val="Normal"/>
    <w:link w:val="CommentTextChar"/>
    <w:rsid w:val="00E74120"/>
    <w:rPr>
      <w:sz w:val="20"/>
    </w:rPr>
  </w:style>
  <w:style w:type="character" w:customStyle="1" w:styleId="CommentTextChar">
    <w:name w:val="Comment Text Char"/>
    <w:link w:val="CommentText"/>
    <w:rsid w:val="00E74120"/>
    <w:rPr>
      <w:snapToGrid w:val="0"/>
      <w:kern w:val="28"/>
    </w:rPr>
  </w:style>
  <w:style w:type="paragraph" w:styleId="CommentSubject">
    <w:name w:val="annotation subject"/>
    <w:basedOn w:val="CommentText"/>
    <w:next w:val="CommentText"/>
    <w:link w:val="CommentSubjectChar"/>
    <w:rsid w:val="00E74120"/>
    <w:rPr>
      <w:b/>
      <w:bCs/>
    </w:rPr>
  </w:style>
  <w:style w:type="character" w:customStyle="1" w:styleId="CommentSubjectChar">
    <w:name w:val="Comment Subject Char"/>
    <w:link w:val="CommentSubject"/>
    <w:rsid w:val="00E74120"/>
    <w:rPr>
      <w:b/>
      <w:bCs/>
      <w:snapToGrid w:val="0"/>
      <w:kern w:val="28"/>
    </w:rPr>
  </w:style>
  <w:style w:type="paragraph" w:styleId="BalloonText">
    <w:name w:val="Balloon Text"/>
    <w:basedOn w:val="Normal"/>
    <w:link w:val="BalloonTextChar"/>
    <w:rsid w:val="00E74120"/>
    <w:rPr>
      <w:rFonts w:ascii="Segoe UI" w:hAnsi="Segoe UI" w:cs="Segoe UI"/>
      <w:sz w:val="18"/>
      <w:szCs w:val="18"/>
    </w:rPr>
  </w:style>
  <w:style w:type="character" w:customStyle="1" w:styleId="BalloonTextChar">
    <w:name w:val="Balloon Text Char"/>
    <w:link w:val="BalloonText"/>
    <w:rsid w:val="00E74120"/>
    <w:rPr>
      <w:rFonts w:ascii="Segoe UI" w:hAnsi="Segoe UI" w:cs="Segoe UI"/>
      <w:snapToGrid w:val="0"/>
      <w:kern w:val="28"/>
      <w:sz w:val="18"/>
      <w:szCs w:val="18"/>
    </w:rPr>
  </w:style>
  <w:style w:type="character" w:styleId="FollowedHyperlink">
    <w:name w:val="FollowedHyperlink"/>
    <w:rsid w:val="00EE5130"/>
    <w:rPr>
      <w:color w:val="954F72"/>
      <w:u w:val="single"/>
    </w:rPr>
  </w:style>
  <w:style w:type="character" w:customStyle="1" w:styleId="apple-converted-space">
    <w:name w:val="apple-converted-space"/>
    <w:basedOn w:val="DefaultParagraphFont"/>
    <w:rsid w:val="00211E93"/>
  </w:style>
  <w:style w:type="table" w:styleId="TableGrid">
    <w:name w:val="Table Grid"/>
    <w:basedOn w:val="TableNormal"/>
    <w:rsid w:val="00C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C03A11"/>
    <w:pPr>
      <w:spacing w:after="200"/>
    </w:pPr>
    <w:rPr>
      <w:i/>
      <w:iCs/>
      <w:color w:val="44546A"/>
      <w:sz w:val="18"/>
      <w:szCs w:val="18"/>
    </w:rPr>
  </w:style>
  <w:style w:type="paragraph" w:styleId="Revision">
    <w:name w:val="Revision"/>
    <w:hidden/>
    <w:uiPriority w:val="99"/>
    <w:semiHidden/>
    <w:rsid w:val="001E0C3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794">
      <w:bodyDiv w:val="1"/>
      <w:marLeft w:val="0"/>
      <w:marRight w:val="0"/>
      <w:marTop w:val="0"/>
      <w:marBottom w:val="0"/>
      <w:divBdr>
        <w:top w:val="none" w:sz="0" w:space="0" w:color="auto"/>
        <w:left w:val="none" w:sz="0" w:space="0" w:color="auto"/>
        <w:bottom w:val="none" w:sz="0" w:space="0" w:color="auto"/>
        <w:right w:val="none" w:sz="0" w:space="0" w:color="auto"/>
      </w:divBdr>
      <w:divsChild>
        <w:div w:id="926810779">
          <w:marLeft w:val="0"/>
          <w:marRight w:val="0"/>
          <w:marTop w:val="240"/>
          <w:marBottom w:val="0"/>
          <w:divBdr>
            <w:top w:val="none" w:sz="0" w:space="0" w:color="auto"/>
            <w:left w:val="none" w:sz="0" w:space="0" w:color="auto"/>
            <w:bottom w:val="none" w:sz="0" w:space="0" w:color="auto"/>
            <w:right w:val="none" w:sz="0" w:space="0" w:color="auto"/>
          </w:divBdr>
        </w:div>
        <w:div w:id="954286317">
          <w:marLeft w:val="0"/>
          <w:marRight w:val="0"/>
          <w:marTop w:val="0"/>
          <w:marBottom w:val="0"/>
          <w:divBdr>
            <w:top w:val="single" w:sz="6" w:space="5" w:color="D6D6D6"/>
            <w:left w:val="none" w:sz="0" w:space="9" w:color="auto"/>
            <w:bottom w:val="none" w:sz="0" w:space="9" w:color="auto"/>
            <w:right w:val="none" w:sz="0" w:space="2" w:color="auto"/>
          </w:divBdr>
          <w:divsChild>
            <w:div w:id="1814759389">
              <w:marLeft w:val="0"/>
              <w:marRight w:val="0"/>
              <w:marTop w:val="0"/>
              <w:marBottom w:val="0"/>
              <w:divBdr>
                <w:top w:val="none" w:sz="0" w:space="0" w:color="auto"/>
                <w:left w:val="none" w:sz="0" w:space="0" w:color="auto"/>
                <w:bottom w:val="none" w:sz="0" w:space="0" w:color="auto"/>
                <w:right w:val="none" w:sz="0" w:space="0" w:color="auto"/>
              </w:divBdr>
              <w:divsChild>
                <w:div w:id="758450773">
                  <w:marLeft w:val="0"/>
                  <w:marRight w:val="0"/>
                  <w:marTop w:val="0"/>
                  <w:marBottom w:val="0"/>
                  <w:divBdr>
                    <w:top w:val="none" w:sz="0" w:space="0" w:color="auto"/>
                    <w:left w:val="none" w:sz="0" w:space="0" w:color="auto"/>
                    <w:bottom w:val="none" w:sz="0" w:space="0" w:color="auto"/>
                    <w:right w:val="none" w:sz="0" w:space="0" w:color="auto"/>
                  </w:divBdr>
                  <w:divsChild>
                    <w:div w:id="18278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6208">
          <w:marLeft w:val="0"/>
          <w:marRight w:val="0"/>
          <w:marTop w:val="0"/>
          <w:marBottom w:val="0"/>
          <w:divBdr>
            <w:top w:val="none" w:sz="0" w:space="0" w:color="auto"/>
            <w:left w:val="none" w:sz="0" w:space="0" w:color="auto"/>
            <w:bottom w:val="none" w:sz="0" w:space="0" w:color="auto"/>
            <w:right w:val="none" w:sz="0" w:space="0" w:color="auto"/>
          </w:divBdr>
        </w:div>
      </w:divsChild>
    </w:div>
    <w:div w:id="156966901">
      <w:bodyDiv w:val="1"/>
      <w:marLeft w:val="0"/>
      <w:marRight w:val="0"/>
      <w:marTop w:val="0"/>
      <w:marBottom w:val="0"/>
      <w:divBdr>
        <w:top w:val="none" w:sz="0" w:space="0" w:color="auto"/>
        <w:left w:val="none" w:sz="0" w:space="0" w:color="auto"/>
        <w:bottom w:val="none" w:sz="0" w:space="0" w:color="auto"/>
        <w:right w:val="none" w:sz="0" w:space="0" w:color="auto"/>
      </w:divBdr>
    </w:div>
    <w:div w:id="522936198">
      <w:bodyDiv w:val="1"/>
      <w:marLeft w:val="0"/>
      <w:marRight w:val="0"/>
      <w:marTop w:val="0"/>
      <w:marBottom w:val="0"/>
      <w:divBdr>
        <w:top w:val="none" w:sz="0" w:space="0" w:color="auto"/>
        <w:left w:val="none" w:sz="0" w:space="0" w:color="auto"/>
        <w:bottom w:val="none" w:sz="0" w:space="0" w:color="auto"/>
        <w:right w:val="none" w:sz="0" w:space="0" w:color="auto"/>
      </w:divBdr>
    </w:div>
    <w:div w:id="581182020">
      <w:bodyDiv w:val="1"/>
      <w:marLeft w:val="0"/>
      <w:marRight w:val="0"/>
      <w:marTop w:val="0"/>
      <w:marBottom w:val="0"/>
      <w:divBdr>
        <w:top w:val="none" w:sz="0" w:space="0" w:color="auto"/>
        <w:left w:val="none" w:sz="0" w:space="0" w:color="auto"/>
        <w:bottom w:val="none" w:sz="0" w:space="0" w:color="auto"/>
        <w:right w:val="none" w:sz="0" w:space="0" w:color="auto"/>
      </w:divBdr>
    </w:div>
    <w:div w:id="720441108">
      <w:bodyDiv w:val="1"/>
      <w:marLeft w:val="0"/>
      <w:marRight w:val="0"/>
      <w:marTop w:val="0"/>
      <w:marBottom w:val="0"/>
      <w:divBdr>
        <w:top w:val="none" w:sz="0" w:space="0" w:color="auto"/>
        <w:left w:val="none" w:sz="0" w:space="0" w:color="auto"/>
        <w:bottom w:val="none" w:sz="0" w:space="0" w:color="auto"/>
        <w:right w:val="none" w:sz="0" w:space="0" w:color="auto"/>
      </w:divBdr>
    </w:div>
    <w:div w:id="992758246">
      <w:bodyDiv w:val="1"/>
      <w:marLeft w:val="0"/>
      <w:marRight w:val="0"/>
      <w:marTop w:val="0"/>
      <w:marBottom w:val="0"/>
      <w:divBdr>
        <w:top w:val="none" w:sz="0" w:space="0" w:color="auto"/>
        <w:left w:val="none" w:sz="0" w:space="0" w:color="auto"/>
        <w:bottom w:val="none" w:sz="0" w:space="0" w:color="auto"/>
        <w:right w:val="none" w:sz="0" w:space="0" w:color="auto"/>
      </w:divBdr>
    </w:div>
    <w:div w:id="1124350992">
      <w:bodyDiv w:val="1"/>
      <w:marLeft w:val="0"/>
      <w:marRight w:val="0"/>
      <w:marTop w:val="0"/>
      <w:marBottom w:val="0"/>
      <w:divBdr>
        <w:top w:val="none" w:sz="0" w:space="0" w:color="auto"/>
        <w:left w:val="none" w:sz="0" w:space="0" w:color="auto"/>
        <w:bottom w:val="none" w:sz="0" w:space="0" w:color="auto"/>
        <w:right w:val="none" w:sz="0" w:space="0" w:color="auto"/>
      </w:divBdr>
    </w:div>
    <w:div w:id="1493521429">
      <w:bodyDiv w:val="1"/>
      <w:marLeft w:val="0"/>
      <w:marRight w:val="0"/>
      <w:marTop w:val="0"/>
      <w:marBottom w:val="0"/>
      <w:divBdr>
        <w:top w:val="none" w:sz="0" w:space="0" w:color="auto"/>
        <w:left w:val="none" w:sz="0" w:space="0" w:color="auto"/>
        <w:bottom w:val="none" w:sz="0" w:space="0" w:color="auto"/>
        <w:right w:val="none" w:sz="0" w:space="0" w:color="auto"/>
      </w:divBdr>
      <w:divsChild>
        <w:div w:id="616641772">
          <w:marLeft w:val="0"/>
          <w:marRight w:val="0"/>
          <w:marTop w:val="240"/>
          <w:marBottom w:val="0"/>
          <w:divBdr>
            <w:top w:val="none" w:sz="0" w:space="0" w:color="auto"/>
            <w:left w:val="none" w:sz="0" w:space="0" w:color="auto"/>
            <w:bottom w:val="none" w:sz="0" w:space="0" w:color="auto"/>
            <w:right w:val="none" w:sz="0" w:space="0" w:color="auto"/>
          </w:divBdr>
          <w:divsChild>
            <w:div w:id="704137932">
              <w:marLeft w:val="0"/>
              <w:marRight w:val="0"/>
              <w:marTop w:val="0"/>
              <w:marBottom w:val="0"/>
              <w:divBdr>
                <w:top w:val="none" w:sz="0" w:space="0" w:color="auto"/>
                <w:left w:val="none" w:sz="0" w:space="0" w:color="auto"/>
                <w:bottom w:val="none" w:sz="0" w:space="0" w:color="auto"/>
                <w:right w:val="none" w:sz="0" w:space="0" w:color="auto"/>
              </w:divBdr>
            </w:div>
          </w:divsChild>
        </w:div>
        <w:div w:id="1774204703">
          <w:marLeft w:val="0"/>
          <w:marRight w:val="0"/>
          <w:marTop w:val="240"/>
          <w:marBottom w:val="0"/>
          <w:divBdr>
            <w:top w:val="none" w:sz="0" w:space="0" w:color="auto"/>
            <w:left w:val="none" w:sz="0" w:space="0" w:color="auto"/>
            <w:bottom w:val="none" w:sz="0" w:space="0" w:color="auto"/>
            <w:right w:val="none" w:sz="0" w:space="0" w:color="auto"/>
          </w:divBdr>
          <w:divsChild>
            <w:div w:id="7766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397">
      <w:bodyDiv w:val="1"/>
      <w:marLeft w:val="0"/>
      <w:marRight w:val="0"/>
      <w:marTop w:val="0"/>
      <w:marBottom w:val="0"/>
      <w:divBdr>
        <w:top w:val="none" w:sz="0" w:space="0" w:color="auto"/>
        <w:left w:val="none" w:sz="0" w:space="0" w:color="auto"/>
        <w:bottom w:val="none" w:sz="0" w:space="0" w:color="auto"/>
        <w:right w:val="none" w:sz="0" w:space="0" w:color="auto"/>
      </w:divBdr>
    </w:div>
    <w:div w:id="2050907905">
      <w:bodyDiv w:val="1"/>
      <w:marLeft w:val="0"/>
      <w:marRight w:val="0"/>
      <w:marTop w:val="0"/>
      <w:marBottom w:val="0"/>
      <w:divBdr>
        <w:top w:val="none" w:sz="0" w:space="0" w:color="auto"/>
        <w:left w:val="none" w:sz="0" w:space="0" w:color="auto"/>
        <w:bottom w:val="none" w:sz="0" w:space="0" w:color="auto"/>
        <w:right w:val="none" w:sz="0" w:space="0" w:color="auto"/>
      </w:divBdr>
    </w:div>
    <w:div w:id="20868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censing.fcc.gov/prod/cdbs/pubacc/prod/cdbs_pa.htm" TargetMode="External"/><Relationship Id="rId13" Type="http://schemas.openxmlformats.org/officeDocument/2006/relationships/hyperlink" Target="http://fjallfoss.fcc.gov/coals7" TargetMode="External"/><Relationship Id="rId18" Type="http://schemas.openxmlformats.org/officeDocument/2006/relationships/hyperlink" Target="http://www.cortezjournal.com/article/20160222/NEWS01/160229985/-1/News" TargetMode="External"/><Relationship Id="rId3" Type="http://schemas.openxmlformats.org/officeDocument/2006/relationships/hyperlink" Target="https://www.fcc.gov/engineering-technology/electromagnetic-compatibility-division/general/tvstudy-interference-analysis" TargetMode="External"/><Relationship Id="rId7" Type="http://schemas.openxmlformats.org/officeDocument/2006/relationships/hyperlink" Target="http://www.census.gov/geo/maps-data/" TargetMode="External"/><Relationship Id="rId12" Type="http://schemas.openxmlformats.org/officeDocument/2006/relationships/hyperlink" Target="https://www.fcc.gov/2016-stelar-section-109-report-congress" TargetMode="External"/><Relationship Id="rId17" Type="http://schemas.openxmlformats.org/officeDocument/2006/relationships/hyperlink" Target="https://www.bennet.senate.gov/?p=release&amp;id=3599" TargetMode="External"/><Relationship Id="rId2" Type="http://schemas.openxmlformats.org/officeDocument/2006/relationships/hyperlink" Target="https://www.fcc.gov/general/oet-bulletins-line" TargetMode="External"/><Relationship Id="rId16" Type="http://schemas.openxmlformats.org/officeDocument/2006/relationships/hyperlink" Target="http://transition.fcc.gov/Daily_Releases/Daily_Business/2016/db0310/DOC-338173A1.pdf" TargetMode="External"/><Relationship Id="rId20" Type="http://schemas.openxmlformats.org/officeDocument/2006/relationships/hyperlink" Target="http://transition.fcc.gov/Daily_Releases/Daily_Business/2016/db0310/DOC-338173A1.pdf" TargetMode="External"/><Relationship Id="rId1" Type="http://schemas.openxmlformats.org/officeDocument/2006/relationships/hyperlink" Target="https://www.fcc.gov/general/oet-bulletins-line" TargetMode="External"/><Relationship Id="rId6" Type="http://schemas.openxmlformats.org/officeDocument/2006/relationships/hyperlink" Target="http://factfinder.census.gov/faces/nav/jsf/pages/index.xhtml" TargetMode="External"/><Relationship Id="rId11" Type="http://schemas.openxmlformats.org/officeDocument/2006/relationships/hyperlink" Target="https://www.fcc.gov/2016-stelar-section-109-report-congress" TargetMode="External"/><Relationship Id="rId5" Type="http://schemas.openxmlformats.org/officeDocument/2006/relationships/hyperlink" Target="http://www.census.gov/geo/www/geo_defn.html" TargetMode="External"/><Relationship Id="rId15" Type="http://schemas.openxmlformats.org/officeDocument/2006/relationships/hyperlink" Target="https://www.fcc.gov/media/television/low-power-television-lptv" TargetMode="External"/><Relationship Id="rId10" Type="http://schemas.openxmlformats.org/officeDocument/2006/relationships/hyperlink" Target="https://www.fcc.gov/2016-stelar-section-109-report-congress" TargetMode="External"/><Relationship Id="rId19" Type="http://schemas.openxmlformats.org/officeDocument/2006/relationships/hyperlink" Target="http://www.cortezjournal.com/article/20150908/NEWS01/150909838/0/news/New-rules-may-open-door-to-Denver-TV" TargetMode="External"/><Relationship Id="rId4" Type="http://schemas.openxmlformats.org/officeDocument/2006/relationships/hyperlink" Target="https://www.census.gov/geo/reference/terms.html" TargetMode="External"/><Relationship Id="rId9" Type="http://schemas.openxmlformats.org/officeDocument/2006/relationships/hyperlink" Target="https://www.fcc.gov/2016-stelar-section-109-report-congress" TargetMode="External"/><Relationship Id="rId14" Type="http://schemas.openxmlformats.org/officeDocument/2006/relationships/hyperlink" Target="http://www.tvcablefact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18149</Words>
  <Characters>102038</Characters>
  <Application>Microsoft Office Word</Application>
  <DocSecurity>0</DocSecurity>
  <Lines>1521</Lines>
  <Paragraphs>393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120475</CharactersWithSpaces>
  <SharedDoc>false</SharedDoc>
  <HyperlinkBase> </HyperlinkBase>
  <HLinks>
    <vt:vector size="120" baseType="variant">
      <vt:variant>
        <vt:i4>6815787</vt:i4>
      </vt:variant>
      <vt:variant>
        <vt:i4>90</vt:i4>
      </vt:variant>
      <vt:variant>
        <vt:i4>0</vt:i4>
      </vt:variant>
      <vt:variant>
        <vt:i4>5</vt:i4>
      </vt:variant>
      <vt:variant>
        <vt:lpwstr>http://transition.fcc.gov/Daily_Releases/Daily_Business/2016/db0310/DOC-338173A1.pdf</vt:lpwstr>
      </vt:variant>
      <vt:variant>
        <vt:lpwstr/>
      </vt:variant>
      <vt:variant>
        <vt:i4>3735679</vt:i4>
      </vt:variant>
      <vt:variant>
        <vt:i4>87</vt:i4>
      </vt:variant>
      <vt:variant>
        <vt:i4>0</vt:i4>
      </vt:variant>
      <vt:variant>
        <vt:i4>5</vt:i4>
      </vt:variant>
      <vt:variant>
        <vt:lpwstr>http://www.cortezjournal.com/article/20150908/NEWS01/150909838/0/news/New-rules-may-open-door-to-Denver-TV</vt:lpwstr>
      </vt:variant>
      <vt:variant>
        <vt:lpwstr/>
      </vt:variant>
      <vt:variant>
        <vt:i4>8192121</vt:i4>
      </vt:variant>
      <vt:variant>
        <vt:i4>84</vt:i4>
      </vt:variant>
      <vt:variant>
        <vt:i4>0</vt:i4>
      </vt:variant>
      <vt:variant>
        <vt:i4>5</vt:i4>
      </vt:variant>
      <vt:variant>
        <vt:lpwstr>http://www.cortezjournal.com/article/20160222/NEWS01/160229985/-1/News</vt:lpwstr>
      </vt:variant>
      <vt:variant>
        <vt:lpwstr/>
      </vt:variant>
      <vt:variant>
        <vt:i4>131150</vt:i4>
      </vt:variant>
      <vt:variant>
        <vt:i4>81</vt:i4>
      </vt:variant>
      <vt:variant>
        <vt:i4>0</vt:i4>
      </vt:variant>
      <vt:variant>
        <vt:i4>5</vt:i4>
      </vt:variant>
      <vt:variant>
        <vt:lpwstr>https://www.bennet.senate.gov/?p=release&amp;id=3599</vt:lpwstr>
      </vt:variant>
      <vt:variant>
        <vt:lpwstr/>
      </vt:variant>
      <vt:variant>
        <vt:i4>6815787</vt:i4>
      </vt:variant>
      <vt:variant>
        <vt:i4>78</vt:i4>
      </vt:variant>
      <vt:variant>
        <vt:i4>0</vt:i4>
      </vt:variant>
      <vt:variant>
        <vt:i4>5</vt:i4>
      </vt:variant>
      <vt:variant>
        <vt:lpwstr>http://transition.fcc.gov/Daily_Releases/Daily_Business/2016/db0310/DOC-338173A1.pdf</vt:lpwstr>
      </vt:variant>
      <vt:variant>
        <vt:lpwstr/>
      </vt:variant>
      <vt:variant>
        <vt:i4>4128882</vt:i4>
      </vt:variant>
      <vt:variant>
        <vt:i4>63</vt:i4>
      </vt:variant>
      <vt:variant>
        <vt:i4>0</vt:i4>
      </vt:variant>
      <vt:variant>
        <vt:i4>5</vt:i4>
      </vt:variant>
      <vt:variant>
        <vt:lpwstr>https://www.fcc.gov/media/television/low-power-television-lptv</vt:lpwstr>
      </vt:variant>
      <vt:variant>
        <vt:lpwstr/>
      </vt:variant>
      <vt:variant>
        <vt:i4>2359394</vt:i4>
      </vt:variant>
      <vt:variant>
        <vt:i4>57</vt:i4>
      </vt:variant>
      <vt:variant>
        <vt:i4>0</vt:i4>
      </vt:variant>
      <vt:variant>
        <vt:i4>5</vt:i4>
      </vt:variant>
      <vt:variant>
        <vt:lpwstr>http://www.tvcablefactbook.com/</vt:lpwstr>
      </vt:variant>
      <vt:variant>
        <vt:lpwstr/>
      </vt:variant>
      <vt:variant>
        <vt:i4>3735610</vt:i4>
      </vt:variant>
      <vt:variant>
        <vt:i4>54</vt:i4>
      </vt:variant>
      <vt:variant>
        <vt:i4>0</vt:i4>
      </vt:variant>
      <vt:variant>
        <vt:i4>5</vt:i4>
      </vt:variant>
      <vt:variant>
        <vt:lpwstr>http://fjallfoss.fcc.gov/coals7</vt:lpwstr>
      </vt:variant>
      <vt:variant>
        <vt:lpwstr/>
      </vt:variant>
      <vt:variant>
        <vt:i4>2424895</vt:i4>
      </vt:variant>
      <vt:variant>
        <vt:i4>48</vt:i4>
      </vt:variant>
      <vt:variant>
        <vt:i4>0</vt:i4>
      </vt:variant>
      <vt:variant>
        <vt:i4>5</vt:i4>
      </vt:variant>
      <vt:variant>
        <vt:lpwstr>https://www.fcc.gov/2016-stelar-section-109-report-congress</vt:lpwstr>
      </vt:variant>
      <vt:variant>
        <vt:lpwstr/>
      </vt:variant>
      <vt:variant>
        <vt:i4>2424895</vt:i4>
      </vt:variant>
      <vt:variant>
        <vt:i4>45</vt:i4>
      </vt:variant>
      <vt:variant>
        <vt:i4>0</vt:i4>
      </vt:variant>
      <vt:variant>
        <vt:i4>5</vt:i4>
      </vt:variant>
      <vt:variant>
        <vt:lpwstr>https://www.fcc.gov/2016-stelar-section-109-report-congress</vt:lpwstr>
      </vt:variant>
      <vt:variant>
        <vt:lpwstr/>
      </vt:variant>
      <vt:variant>
        <vt:i4>2424895</vt:i4>
      </vt:variant>
      <vt:variant>
        <vt:i4>39</vt:i4>
      </vt:variant>
      <vt:variant>
        <vt:i4>0</vt:i4>
      </vt:variant>
      <vt:variant>
        <vt:i4>5</vt:i4>
      </vt:variant>
      <vt:variant>
        <vt:lpwstr>https://www.fcc.gov/2016-stelar-section-109-report-congress</vt:lpwstr>
      </vt:variant>
      <vt:variant>
        <vt:lpwstr/>
      </vt:variant>
      <vt:variant>
        <vt:i4>2424895</vt:i4>
      </vt:variant>
      <vt:variant>
        <vt:i4>36</vt:i4>
      </vt:variant>
      <vt:variant>
        <vt:i4>0</vt:i4>
      </vt:variant>
      <vt:variant>
        <vt:i4>5</vt:i4>
      </vt:variant>
      <vt:variant>
        <vt:lpwstr>https://www.fcc.gov/2016-stelar-section-109-report-congress</vt:lpwstr>
      </vt:variant>
      <vt:variant>
        <vt:lpwstr/>
      </vt:variant>
      <vt:variant>
        <vt:i4>327801</vt:i4>
      </vt:variant>
      <vt:variant>
        <vt:i4>33</vt:i4>
      </vt:variant>
      <vt:variant>
        <vt:i4>0</vt:i4>
      </vt:variant>
      <vt:variant>
        <vt:i4>5</vt:i4>
      </vt:variant>
      <vt:variant>
        <vt:lpwstr>http://licensing.fcc.gov/prod/cdbs/pubacc/prod/cdbs_pa.htm</vt:lpwstr>
      </vt:variant>
      <vt:variant>
        <vt:lpwstr/>
      </vt:variant>
      <vt:variant>
        <vt:i4>5898268</vt:i4>
      </vt:variant>
      <vt:variant>
        <vt:i4>30</vt:i4>
      </vt:variant>
      <vt:variant>
        <vt:i4>0</vt:i4>
      </vt:variant>
      <vt:variant>
        <vt:i4>5</vt:i4>
      </vt:variant>
      <vt:variant>
        <vt:lpwstr>http://www.census.gov/geo/maps-data/</vt:lpwstr>
      </vt:variant>
      <vt:variant>
        <vt:lpwstr/>
      </vt:variant>
      <vt:variant>
        <vt:i4>655431</vt:i4>
      </vt:variant>
      <vt:variant>
        <vt:i4>27</vt:i4>
      </vt:variant>
      <vt:variant>
        <vt:i4>0</vt:i4>
      </vt:variant>
      <vt:variant>
        <vt:i4>5</vt:i4>
      </vt:variant>
      <vt:variant>
        <vt:lpwstr>http://factfinder.census.gov/faces/nav/jsf/pages/index.xhtml</vt:lpwstr>
      </vt:variant>
      <vt:variant>
        <vt:lpwstr/>
      </vt:variant>
      <vt:variant>
        <vt:i4>1245291</vt:i4>
      </vt:variant>
      <vt:variant>
        <vt:i4>24</vt:i4>
      </vt:variant>
      <vt:variant>
        <vt:i4>0</vt:i4>
      </vt:variant>
      <vt:variant>
        <vt:i4>5</vt:i4>
      </vt:variant>
      <vt:variant>
        <vt:lpwstr>http://www.census.gov/geo/www/geo_defn.html</vt:lpwstr>
      </vt:variant>
      <vt:variant>
        <vt:lpwstr>InternalPoint</vt:lpwstr>
      </vt:variant>
      <vt:variant>
        <vt:i4>2687079</vt:i4>
      </vt:variant>
      <vt:variant>
        <vt:i4>21</vt:i4>
      </vt:variant>
      <vt:variant>
        <vt:i4>0</vt:i4>
      </vt:variant>
      <vt:variant>
        <vt:i4>5</vt:i4>
      </vt:variant>
      <vt:variant>
        <vt:lpwstr>https://www.census.gov/geo/reference/terms.html</vt:lpwstr>
      </vt:variant>
      <vt:variant>
        <vt:lpwstr/>
      </vt:variant>
      <vt:variant>
        <vt:i4>4063279</vt:i4>
      </vt:variant>
      <vt:variant>
        <vt:i4>18</vt:i4>
      </vt:variant>
      <vt:variant>
        <vt:i4>0</vt:i4>
      </vt:variant>
      <vt:variant>
        <vt:i4>5</vt:i4>
      </vt:variant>
      <vt:variant>
        <vt:lpwstr>https://www.fcc.gov/engineering-technology/electromagnetic-compatibility-division/general/tvstudy-interference-analysis</vt:lpwstr>
      </vt:variant>
      <vt:variant>
        <vt:lpwstr/>
      </vt:variant>
      <vt:variant>
        <vt:i4>6357035</vt:i4>
      </vt:variant>
      <vt:variant>
        <vt:i4>15</vt:i4>
      </vt:variant>
      <vt:variant>
        <vt:i4>0</vt:i4>
      </vt:variant>
      <vt:variant>
        <vt:i4>5</vt:i4>
      </vt:variant>
      <vt:variant>
        <vt:lpwstr>https://www.fcc.gov/general/oet-bulletins-line</vt:lpwstr>
      </vt:variant>
      <vt:variant>
        <vt:lpwstr/>
      </vt:variant>
      <vt:variant>
        <vt:i4>6357035</vt:i4>
      </vt:variant>
      <vt:variant>
        <vt:i4>12</vt:i4>
      </vt:variant>
      <vt:variant>
        <vt:i4>0</vt:i4>
      </vt:variant>
      <vt:variant>
        <vt:i4>5</vt:i4>
      </vt:variant>
      <vt:variant>
        <vt:lpwstr>https://www.fcc.gov/general/oet-bulletins-line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2016-06-02T17:38:00Z</cp:lastPrinted>
  <dcterms:created xsi:type="dcterms:W3CDTF">2016-06-03T18:22:00Z</dcterms:created>
  <dcterms:modified xsi:type="dcterms:W3CDTF">2016-06-03T18:22:00Z</dcterms:modified>
  <cp:category> </cp:category>
  <cp:contentStatus> </cp:contentStatus>
</cp:coreProperties>
</file>