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10" w:rsidRDefault="00B61810" w:rsidP="00D47505">
      <w:pPr>
        <w:jc w:val="right"/>
        <w:rPr>
          <w:b/>
        </w:rPr>
      </w:pPr>
      <w:bookmarkStart w:id="0" w:name="_GoBack"/>
      <w:bookmarkEnd w:id="0"/>
    </w:p>
    <w:p w:rsidR="00D47505" w:rsidRPr="00FB3181" w:rsidRDefault="00B61810" w:rsidP="00D47505">
      <w:pPr>
        <w:jc w:val="right"/>
        <w:rPr>
          <w:b/>
          <w:sz w:val="22"/>
          <w:szCs w:val="22"/>
        </w:rPr>
      </w:pPr>
      <w:r w:rsidRPr="00FB3181">
        <w:rPr>
          <w:b/>
          <w:sz w:val="22"/>
          <w:szCs w:val="22"/>
        </w:rPr>
        <w:t>DA 16-</w:t>
      </w:r>
      <w:r w:rsidR="00A538D1">
        <w:rPr>
          <w:b/>
          <w:sz w:val="22"/>
          <w:szCs w:val="22"/>
        </w:rPr>
        <w:t>478</w:t>
      </w:r>
    </w:p>
    <w:p w:rsidR="00D47505" w:rsidRPr="00FB3181" w:rsidRDefault="00B338A9" w:rsidP="00D47505">
      <w:pPr>
        <w:spacing w:before="60"/>
        <w:jc w:val="right"/>
        <w:rPr>
          <w:b/>
          <w:sz w:val="22"/>
          <w:szCs w:val="22"/>
        </w:rPr>
      </w:pPr>
      <w:r w:rsidRPr="00FB3181">
        <w:rPr>
          <w:b/>
          <w:sz w:val="22"/>
          <w:szCs w:val="22"/>
        </w:rPr>
        <w:t xml:space="preserve">Released:  </w:t>
      </w:r>
      <w:r w:rsidR="009413C1">
        <w:rPr>
          <w:b/>
          <w:sz w:val="22"/>
          <w:szCs w:val="22"/>
        </w:rPr>
        <w:t xml:space="preserve">May </w:t>
      </w:r>
      <w:r w:rsidR="00C72D5B">
        <w:rPr>
          <w:b/>
          <w:sz w:val="22"/>
          <w:szCs w:val="22"/>
        </w:rPr>
        <w:t>3</w:t>
      </w:r>
      <w:r w:rsidR="00B61810" w:rsidRPr="00FB3181">
        <w:rPr>
          <w:b/>
          <w:sz w:val="22"/>
          <w:szCs w:val="22"/>
        </w:rPr>
        <w:t>, 2016</w:t>
      </w:r>
    </w:p>
    <w:p w:rsidR="00D47505" w:rsidRPr="00FB3181" w:rsidRDefault="00D47505" w:rsidP="00D47505">
      <w:pPr>
        <w:jc w:val="right"/>
        <w:rPr>
          <w:sz w:val="22"/>
          <w:szCs w:val="22"/>
        </w:rPr>
      </w:pPr>
    </w:p>
    <w:p w:rsidR="00154B91" w:rsidRDefault="00B61810" w:rsidP="00154B91">
      <w:pPr>
        <w:jc w:val="center"/>
        <w:rPr>
          <w:b/>
          <w:caps/>
          <w:sz w:val="22"/>
          <w:szCs w:val="22"/>
        </w:rPr>
      </w:pPr>
      <w:r w:rsidRPr="00FB3181">
        <w:rPr>
          <w:b/>
          <w:caps/>
          <w:sz w:val="22"/>
          <w:szCs w:val="22"/>
        </w:rPr>
        <w:t xml:space="preserve">WIRELINE COMPETITION BUREAU </w:t>
      </w:r>
      <w:r w:rsidR="00154B91">
        <w:rPr>
          <w:b/>
          <w:caps/>
          <w:sz w:val="22"/>
          <w:szCs w:val="22"/>
        </w:rPr>
        <w:t xml:space="preserve">RELEASEs density data </w:t>
      </w:r>
    </w:p>
    <w:p w:rsidR="00154B91" w:rsidRPr="00FB3181" w:rsidRDefault="00154B91" w:rsidP="00154B91">
      <w:pPr>
        <w:jc w:val="center"/>
        <w:rPr>
          <w:b/>
          <w:caps/>
          <w:sz w:val="22"/>
          <w:szCs w:val="22"/>
        </w:rPr>
      </w:pPr>
      <w:r>
        <w:rPr>
          <w:b/>
          <w:caps/>
          <w:sz w:val="22"/>
          <w:szCs w:val="22"/>
        </w:rPr>
        <w:t xml:space="preserve">for rate-of-return </w:t>
      </w:r>
      <w:r w:rsidR="007A5BC2">
        <w:rPr>
          <w:b/>
          <w:caps/>
          <w:sz w:val="22"/>
          <w:szCs w:val="22"/>
        </w:rPr>
        <w:t>carri</w:t>
      </w:r>
      <w:r>
        <w:rPr>
          <w:b/>
          <w:caps/>
          <w:sz w:val="22"/>
          <w:szCs w:val="22"/>
        </w:rPr>
        <w:t>er study areas</w:t>
      </w:r>
      <w:r w:rsidR="00B61810" w:rsidRPr="00FB3181">
        <w:rPr>
          <w:b/>
          <w:caps/>
          <w:sz w:val="22"/>
          <w:szCs w:val="22"/>
        </w:rPr>
        <w:t xml:space="preserve"> </w:t>
      </w:r>
    </w:p>
    <w:p w:rsidR="00B61810" w:rsidRPr="00FB3181" w:rsidRDefault="00B61810" w:rsidP="00EB2231">
      <w:pPr>
        <w:rPr>
          <w:b/>
          <w:sz w:val="22"/>
          <w:szCs w:val="22"/>
        </w:rPr>
      </w:pPr>
    </w:p>
    <w:p w:rsidR="00D47505" w:rsidRPr="00FB3181" w:rsidRDefault="00B61810" w:rsidP="00D47505">
      <w:pPr>
        <w:jc w:val="center"/>
        <w:rPr>
          <w:b/>
          <w:sz w:val="22"/>
          <w:szCs w:val="22"/>
        </w:rPr>
      </w:pPr>
      <w:r w:rsidRPr="00FB3181">
        <w:rPr>
          <w:b/>
          <w:sz w:val="22"/>
          <w:szCs w:val="22"/>
        </w:rPr>
        <w:t>WC Docket No. 10-90</w:t>
      </w:r>
    </w:p>
    <w:p w:rsidR="00B61810" w:rsidRPr="00FB3181" w:rsidRDefault="00B61810" w:rsidP="00B61810">
      <w:pPr>
        <w:rPr>
          <w:b/>
          <w:sz w:val="22"/>
          <w:szCs w:val="22"/>
        </w:rPr>
      </w:pPr>
    </w:p>
    <w:p w:rsidR="00087DD8" w:rsidRDefault="00B61810" w:rsidP="00B61810">
      <w:pPr>
        <w:spacing w:after="120"/>
        <w:ind w:firstLine="720"/>
        <w:rPr>
          <w:sz w:val="22"/>
          <w:szCs w:val="22"/>
        </w:rPr>
      </w:pPr>
      <w:r w:rsidRPr="00FB3181">
        <w:rPr>
          <w:sz w:val="22"/>
          <w:szCs w:val="22"/>
        </w:rPr>
        <w:t xml:space="preserve">The Wireline Competition Bureau (Bureau) announces the release of </w:t>
      </w:r>
      <w:r w:rsidR="007A5BC2">
        <w:rPr>
          <w:sz w:val="22"/>
          <w:szCs w:val="22"/>
        </w:rPr>
        <w:t>rate-of-return study area density data.</w:t>
      </w:r>
      <w:r w:rsidR="007A5BC2">
        <w:rPr>
          <w:rStyle w:val="FootnoteReference"/>
          <w:szCs w:val="22"/>
        </w:rPr>
        <w:footnoteReference w:id="2"/>
      </w:r>
      <w:r w:rsidR="00A65B01">
        <w:rPr>
          <w:sz w:val="22"/>
          <w:szCs w:val="22"/>
        </w:rPr>
        <w:t xml:space="preserve">  </w:t>
      </w:r>
      <w:r w:rsidR="00087DD8">
        <w:rPr>
          <w:sz w:val="22"/>
          <w:szCs w:val="22"/>
        </w:rPr>
        <w:t xml:space="preserve">Density will be used in implementing various reforms adopted by the Commission in the </w:t>
      </w:r>
      <w:r w:rsidR="00087DD8" w:rsidRPr="008F6CF8">
        <w:rPr>
          <w:i/>
          <w:sz w:val="22"/>
          <w:szCs w:val="22"/>
        </w:rPr>
        <w:t>Rate-of-Return Reform Order</w:t>
      </w:r>
      <w:r w:rsidR="00087DD8">
        <w:rPr>
          <w:i/>
          <w:sz w:val="22"/>
          <w:szCs w:val="22"/>
        </w:rPr>
        <w:t>.</w:t>
      </w:r>
      <w:r w:rsidR="00087DD8" w:rsidRPr="00087DD8">
        <w:rPr>
          <w:sz w:val="22"/>
          <w:szCs w:val="22"/>
          <w:vertAlign w:val="superscript"/>
        </w:rPr>
        <w:t xml:space="preserve"> </w:t>
      </w:r>
      <w:r w:rsidR="00087DD8" w:rsidRPr="008F6CF8">
        <w:rPr>
          <w:sz w:val="22"/>
          <w:szCs w:val="22"/>
          <w:vertAlign w:val="superscript"/>
        </w:rPr>
        <w:footnoteReference w:id="3"/>
      </w:r>
    </w:p>
    <w:p w:rsidR="00A65B01" w:rsidRDefault="00A65B01" w:rsidP="00B61810">
      <w:pPr>
        <w:spacing w:after="120"/>
        <w:ind w:firstLine="720"/>
        <w:rPr>
          <w:sz w:val="22"/>
          <w:szCs w:val="22"/>
        </w:rPr>
      </w:pPr>
      <w:r>
        <w:rPr>
          <w:sz w:val="22"/>
          <w:szCs w:val="22"/>
        </w:rPr>
        <w:t xml:space="preserve">The Bureau used the study area boundaries submitted to the Bureau as of March 10, 2016 and overlaid 2010 census blocks to determine the land area for each study area.  </w:t>
      </w:r>
      <w:r w:rsidRPr="00A65B01">
        <w:rPr>
          <w:sz w:val="22"/>
          <w:szCs w:val="22"/>
        </w:rPr>
        <w:t xml:space="preserve">Where a study area boundary covered a portion of the census block, </w:t>
      </w:r>
      <w:r>
        <w:rPr>
          <w:sz w:val="22"/>
          <w:szCs w:val="22"/>
        </w:rPr>
        <w:t>we multiplied the block’s</w:t>
      </w:r>
      <w:r w:rsidRPr="00A65B01">
        <w:rPr>
          <w:sz w:val="22"/>
          <w:szCs w:val="22"/>
        </w:rPr>
        <w:t xml:space="preserve"> area, housing units</w:t>
      </w:r>
      <w:r>
        <w:rPr>
          <w:sz w:val="22"/>
          <w:szCs w:val="22"/>
        </w:rPr>
        <w:t>,</w:t>
      </w:r>
      <w:r w:rsidRPr="00A65B01">
        <w:rPr>
          <w:sz w:val="22"/>
          <w:szCs w:val="22"/>
        </w:rPr>
        <w:t xml:space="preserve"> and population by the pe</w:t>
      </w:r>
      <w:r>
        <w:rPr>
          <w:sz w:val="22"/>
          <w:szCs w:val="22"/>
        </w:rPr>
        <w:t xml:space="preserve">rcentage of the block covered.  We also calculated the </w:t>
      </w:r>
      <w:r w:rsidR="00D2216F">
        <w:rPr>
          <w:sz w:val="22"/>
          <w:szCs w:val="22"/>
        </w:rPr>
        <w:t>state-level density for carriers with more than one study area in a state.</w:t>
      </w:r>
    </w:p>
    <w:p w:rsidR="009379F0" w:rsidRDefault="009379F0" w:rsidP="00B61810">
      <w:pPr>
        <w:spacing w:after="120"/>
        <w:ind w:firstLine="720"/>
        <w:rPr>
          <w:sz w:val="22"/>
          <w:szCs w:val="22"/>
        </w:rPr>
      </w:pPr>
      <w:r>
        <w:rPr>
          <w:sz w:val="22"/>
          <w:szCs w:val="22"/>
        </w:rPr>
        <w:t xml:space="preserve">We note that there is a significant range in density among the 1,094 rate-of-return study areas, as shown below.  </w:t>
      </w:r>
    </w:p>
    <w:tbl>
      <w:tblPr>
        <w:tblStyle w:val="TableGrid"/>
        <w:tblW w:w="0" w:type="auto"/>
        <w:jc w:val="center"/>
        <w:tblLook w:val="04A0" w:firstRow="1" w:lastRow="0" w:firstColumn="1" w:lastColumn="0" w:noHBand="0" w:noVBand="1"/>
      </w:tblPr>
      <w:tblGrid>
        <w:gridCol w:w="3055"/>
        <w:gridCol w:w="2340"/>
      </w:tblGrid>
      <w:tr w:rsidR="009379F0" w:rsidTr="009413C1">
        <w:trPr>
          <w:jc w:val="center"/>
        </w:trPr>
        <w:tc>
          <w:tcPr>
            <w:tcW w:w="3055" w:type="dxa"/>
          </w:tcPr>
          <w:p w:rsidR="009379F0" w:rsidRPr="002648EF" w:rsidRDefault="009379F0" w:rsidP="00B61810">
            <w:pPr>
              <w:spacing w:after="120"/>
              <w:rPr>
                <w:sz w:val="22"/>
                <w:szCs w:val="22"/>
              </w:rPr>
            </w:pPr>
            <w:r w:rsidRPr="002648EF">
              <w:rPr>
                <w:sz w:val="22"/>
                <w:szCs w:val="22"/>
              </w:rPr>
              <w:t>Housing Units Per Square Mile</w:t>
            </w:r>
          </w:p>
        </w:tc>
        <w:tc>
          <w:tcPr>
            <w:tcW w:w="2340" w:type="dxa"/>
          </w:tcPr>
          <w:p w:rsidR="009379F0" w:rsidRPr="009379F0" w:rsidRDefault="009379F0" w:rsidP="00B61810">
            <w:pPr>
              <w:spacing w:after="120"/>
              <w:rPr>
                <w:sz w:val="22"/>
                <w:szCs w:val="22"/>
              </w:rPr>
            </w:pPr>
            <w:r w:rsidRPr="009379F0">
              <w:rPr>
                <w:sz w:val="22"/>
                <w:szCs w:val="22"/>
              </w:rPr>
              <w:t>Number of Study Areas</w:t>
            </w:r>
          </w:p>
        </w:tc>
      </w:tr>
      <w:tr w:rsidR="009379F0" w:rsidTr="009413C1">
        <w:trPr>
          <w:jc w:val="center"/>
        </w:trPr>
        <w:tc>
          <w:tcPr>
            <w:tcW w:w="3055" w:type="dxa"/>
          </w:tcPr>
          <w:p w:rsidR="009379F0" w:rsidRPr="002648EF" w:rsidRDefault="009379F0" w:rsidP="00B61810">
            <w:pPr>
              <w:spacing w:after="120"/>
              <w:rPr>
                <w:sz w:val="22"/>
                <w:szCs w:val="22"/>
              </w:rPr>
            </w:pPr>
            <w:r w:rsidRPr="002648EF">
              <w:rPr>
                <w:sz w:val="22"/>
                <w:szCs w:val="22"/>
              </w:rPr>
              <w:t>25 or greater</w:t>
            </w:r>
          </w:p>
        </w:tc>
        <w:tc>
          <w:tcPr>
            <w:tcW w:w="2340" w:type="dxa"/>
          </w:tcPr>
          <w:p w:rsidR="009379F0" w:rsidRPr="009379F0" w:rsidRDefault="009379F0" w:rsidP="00B61810">
            <w:pPr>
              <w:spacing w:after="120"/>
              <w:rPr>
                <w:sz w:val="22"/>
                <w:szCs w:val="22"/>
              </w:rPr>
            </w:pPr>
            <w:r w:rsidRPr="009379F0">
              <w:rPr>
                <w:sz w:val="22"/>
                <w:szCs w:val="22"/>
              </w:rPr>
              <w:t>239</w:t>
            </w:r>
          </w:p>
        </w:tc>
      </w:tr>
      <w:tr w:rsidR="009379F0" w:rsidTr="009413C1">
        <w:trPr>
          <w:jc w:val="center"/>
        </w:trPr>
        <w:tc>
          <w:tcPr>
            <w:tcW w:w="3055" w:type="dxa"/>
          </w:tcPr>
          <w:p w:rsidR="009379F0" w:rsidRPr="002648EF" w:rsidRDefault="009379F0" w:rsidP="00B61810">
            <w:pPr>
              <w:spacing w:after="120"/>
              <w:rPr>
                <w:sz w:val="22"/>
                <w:szCs w:val="22"/>
              </w:rPr>
            </w:pPr>
            <w:r w:rsidRPr="009413C1">
              <w:rPr>
                <w:sz w:val="22"/>
                <w:szCs w:val="22"/>
              </w:rPr>
              <w:t>10-24.99              </w:t>
            </w:r>
          </w:p>
        </w:tc>
        <w:tc>
          <w:tcPr>
            <w:tcW w:w="2340" w:type="dxa"/>
          </w:tcPr>
          <w:p w:rsidR="009379F0" w:rsidRPr="009379F0" w:rsidRDefault="009379F0" w:rsidP="00B61810">
            <w:pPr>
              <w:spacing w:after="120"/>
              <w:rPr>
                <w:sz w:val="22"/>
                <w:szCs w:val="22"/>
              </w:rPr>
            </w:pPr>
            <w:r w:rsidRPr="009379F0">
              <w:rPr>
                <w:sz w:val="22"/>
                <w:szCs w:val="22"/>
              </w:rPr>
              <w:t>322</w:t>
            </w:r>
          </w:p>
        </w:tc>
      </w:tr>
      <w:tr w:rsidR="009379F0" w:rsidTr="009413C1">
        <w:trPr>
          <w:jc w:val="center"/>
        </w:trPr>
        <w:tc>
          <w:tcPr>
            <w:tcW w:w="3055" w:type="dxa"/>
          </w:tcPr>
          <w:p w:rsidR="009379F0" w:rsidRPr="002648EF" w:rsidRDefault="009379F0" w:rsidP="00B61810">
            <w:pPr>
              <w:spacing w:after="120"/>
              <w:rPr>
                <w:sz w:val="22"/>
                <w:szCs w:val="22"/>
              </w:rPr>
            </w:pPr>
            <w:r w:rsidRPr="002648EF">
              <w:rPr>
                <w:sz w:val="22"/>
                <w:szCs w:val="22"/>
              </w:rPr>
              <w:t>5.01-9.99</w:t>
            </w:r>
          </w:p>
        </w:tc>
        <w:tc>
          <w:tcPr>
            <w:tcW w:w="2340" w:type="dxa"/>
          </w:tcPr>
          <w:p w:rsidR="009379F0" w:rsidRPr="009379F0" w:rsidRDefault="009379F0" w:rsidP="00B61810">
            <w:pPr>
              <w:spacing w:after="120"/>
              <w:rPr>
                <w:sz w:val="22"/>
                <w:szCs w:val="22"/>
              </w:rPr>
            </w:pPr>
            <w:r w:rsidRPr="009379F0">
              <w:rPr>
                <w:sz w:val="22"/>
                <w:szCs w:val="22"/>
              </w:rPr>
              <w:t>230</w:t>
            </w:r>
          </w:p>
        </w:tc>
      </w:tr>
      <w:tr w:rsidR="009379F0" w:rsidTr="009413C1">
        <w:trPr>
          <w:jc w:val="center"/>
        </w:trPr>
        <w:tc>
          <w:tcPr>
            <w:tcW w:w="3055" w:type="dxa"/>
          </w:tcPr>
          <w:p w:rsidR="009379F0" w:rsidRPr="002648EF" w:rsidRDefault="009379F0" w:rsidP="00B61810">
            <w:pPr>
              <w:spacing w:after="120"/>
              <w:rPr>
                <w:sz w:val="22"/>
                <w:szCs w:val="22"/>
              </w:rPr>
            </w:pPr>
            <w:r w:rsidRPr="002648EF">
              <w:rPr>
                <w:sz w:val="22"/>
                <w:szCs w:val="22"/>
              </w:rPr>
              <w:t>5 or less</w:t>
            </w:r>
          </w:p>
        </w:tc>
        <w:tc>
          <w:tcPr>
            <w:tcW w:w="2340" w:type="dxa"/>
          </w:tcPr>
          <w:p w:rsidR="009379F0" w:rsidRPr="009379F0" w:rsidRDefault="009379F0" w:rsidP="00B61810">
            <w:pPr>
              <w:spacing w:after="120"/>
              <w:rPr>
                <w:sz w:val="22"/>
                <w:szCs w:val="22"/>
              </w:rPr>
            </w:pPr>
            <w:r w:rsidRPr="009379F0">
              <w:rPr>
                <w:sz w:val="22"/>
                <w:szCs w:val="22"/>
              </w:rPr>
              <w:t>303</w:t>
            </w:r>
          </w:p>
        </w:tc>
      </w:tr>
    </w:tbl>
    <w:p w:rsidR="00344414" w:rsidRDefault="00D234BA" w:rsidP="00D2216F">
      <w:pPr>
        <w:spacing w:after="120"/>
        <w:ind w:firstLine="720"/>
        <w:rPr>
          <w:sz w:val="22"/>
          <w:szCs w:val="22"/>
        </w:rPr>
      </w:pPr>
      <w:r>
        <w:rPr>
          <w:sz w:val="22"/>
          <w:szCs w:val="22"/>
        </w:rPr>
        <w:t xml:space="preserve"> </w:t>
      </w:r>
    </w:p>
    <w:p w:rsidR="00B61810" w:rsidRPr="00C72D5B" w:rsidRDefault="00B61810" w:rsidP="00B61810">
      <w:pPr>
        <w:spacing w:after="120"/>
        <w:ind w:firstLine="720"/>
        <w:rPr>
          <w:sz w:val="22"/>
          <w:szCs w:val="22"/>
        </w:rPr>
      </w:pPr>
      <w:r w:rsidRPr="00C72D5B">
        <w:rPr>
          <w:sz w:val="22"/>
          <w:szCs w:val="22"/>
        </w:rPr>
        <w:t xml:space="preserve">For additional information on this proceeding, contact </w:t>
      </w:r>
      <w:r w:rsidR="00C72D5B" w:rsidRPr="00C72D5B">
        <w:rPr>
          <w:sz w:val="22"/>
          <w:szCs w:val="22"/>
        </w:rPr>
        <w:t>Suzanne Yelen</w:t>
      </w:r>
      <w:r w:rsidRPr="00C72D5B">
        <w:rPr>
          <w:sz w:val="22"/>
          <w:szCs w:val="22"/>
        </w:rPr>
        <w:t xml:space="preserve"> (</w:t>
      </w:r>
      <w:r w:rsidR="00C72D5B" w:rsidRPr="00C72D5B">
        <w:rPr>
          <w:sz w:val="22"/>
          <w:szCs w:val="22"/>
        </w:rPr>
        <w:t>Suzanne.Yelen</w:t>
      </w:r>
      <w:r w:rsidRPr="00C72D5B">
        <w:rPr>
          <w:sz w:val="22"/>
          <w:szCs w:val="22"/>
        </w:rPr>
        <w:t xml:space="preserve">@fcc.gov) of the Wireline Competition Bureau, </w:t>
      </w:r>
      <w:r w:rsidR="00C72D5B" w:rsidRPr="00C72D5B">
        <w:rPr>
          <w:sz w:val="22"/>
          <w:szCs w:val="22"/>
        </w:rPr>
        <w:t>Industry Analysis &amp; Technology Division, (202) 418-0626</w:t>
      </w:r>
      <w:r w:rsidRPr="00C72D5B">
        <w:rPr>
          <w:sz w:val="22"/>
          <w:szCs w:val="22"/>
        </w:rPr>
        <w:t>.</w:t>
      </w:r>
    </w:p>
    <w:p w:rsidR="006A1F49" w:rsidRDefault="00B61810" w:rsidP="009413C1">
      <w:pPr>
        <w:spacing w:before="240"/>
        <w:jc w:val="center"/>
      </w:pPr>
      <w:r w:rsidRPr="00FB3181">
        <w:rPr>
          <w:b/>
          <w:sz w:val="22"/>
          <w:szCs w:val="22"/>
        </w:rPr>
        <w:t>- FCC -</w:t>
      </w: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C0" w:rsidRDefault="00DC76C0">
      <w:pPr>
        <w:spacing w:line="20" w:lineRule="exact"/>
      </w:pPr>
    </w:p>
  </w:endnote>
  <w:endnote w:type="continuationSeparator" w:id="0">
    <w:p w:rsidR="00DC76C0" w:rsidRDefault="00DC76C0">
      <w:r>
        <w:t xml:space="preserve"> </w:t>
      </w:r>
    </w:p>
  </w:endnote>
  <w:endnote w:type="continuationNotice" w:id="1">
    <w:p w:rsidR="00DC76C0" w:rsidRDefault="00DC76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413C1">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C0" w:rsidRDefault="00DC76C0">
      <w:r>
        <w:separator/>
      </w:r>
    </w:p>
  </w:footnote>
  <w:footnote w:type="continuationSeparator" w:id="0">
    <w:p w:rsidR="00DC76C0" w:rsidRDefault="00DC76C0" w:rsidP="00C721AC">
      <w:pPr>
        <w:spacing w:before="120"/>
        <w:rPr>
          <w:sz w:val="20"/>
        </w:rPr>
      </w:pPr>
      <w:r>
        <w:rPr>
          <w:sz w:val="20"/>
        </w:rPr>
        <w:t xml:space="preserve">(Continued from previous page)  </w:t>
      </w:r>
      <w:r>
        <w:rPr>
          <w:sz w:val="20"/>
        </w:rPr>
        <w:separator/>
      </w:r>
    </w:p>
  </w:footnote>
  <w:footnote w:type="continuationNotice" w:id="1">
    <w:p w:rsidR="00DC76C0" w:rsidRDefault="00DC76C0" w:rsidP="00C721AC">
      <w:pPr>
        <w:jc w:val="right"/>
        <w:rPr>
          <w:sz w:val="20"/>
        </w:rPr>
      </w:pPr>
      <w:r>
        <w:rPr>
          <w:sz w:val="20"/>
        </w:rPr>
        <w:t>(continued….)</w:t>
      </w:r>
    </w:p>
  </w:footnote>
  <w:footnote w:id="2">
    <w:p w:rsidR="008F6CF8" w:rsidRDefault="007A5BC2">
      <w:pPr>
        <w:pStyle w:val="FootnoteText"/>
      </w:pPr>
      <w:r>
        <w:rPr>
          <w:rStyle w:val="FootnoteReference"/>
        </w:rPr>
        <w:footnoteRef/>
      </w:r>
      <w:r>
        <w:t xml:space="preserve"> </w:t>
      </w:r>
      <w:r w:rsidR="008F6CF8">
        <w:t xml:space="preserve">The </w:t>
      </w:r>
      <w:r w:rsidR="002648EF">
        <w:t xml:space="preserve">housing unit, land area and density </w:t>
      </w:r>
      <w:r w:rsidR="008F6CF8">
        <w:t xml:space="preserve">data are posted </w:t>
      </w:r>
      <w:r>
        <w:t xml:space="preserve">on the Industry and Technology Analysis Division’s Study Area Boundary Data page, </w:t>
      </w:r>
      <w:hyperlink r:id="rId1" w:history="1">
        <w:r w:rsidR="009413C1" w:rsidRPr="0003196E">
          <w:rPr>
            <w:rStyle w:val="Hyperlink"/>
          </w:rPr>
          <w:t>https://www.fcc.gov/wireline-competition/industry-analysis-and-technology-division/general/study-area-boundary-data</w:t>
        </w:r>
      </w:hyperlink>
      <w:r w:rsidR="008F6CF8">
        <w:t>, and a</w:t>
      </w:r>
      <w:r>
        <w:t xml:space="preserve">vailable at </w:t>
      </w:r>
      <w:hyperlink r:id="rId2" w:history="1">
        <w:r w:rsidR="009413C1" w:rsidRPr="0003196E">
          <w:rPr>
            <w:rStyle w:val="Hyperlink"/>
          </w:rPr>
          <w:t>https://www.fcc.gov/file/3722/download</w:t>
        </w:r>
      </w:hyperlink>
      <w:r>
        <w:t>.</w:t>
      </w:r>
    </w:p>
  </w:footnote>
  <w:footnote w:id="3">
    <w:p w:rsidR="00087DD8" w:rsidRPr="00087DD8" w:rsidRDefault="00087DD8" w:rsidP="00FF4DB8">
      <w:pPr>
        <w:pStyle w:val="FootnoteText"/>
      </w:pPr>
      <w:r>
        <w:rPr>
          <w:rStyle w:val="FootnoteReference"/>
        </w:rPr>
        <w:footnoteRef/>
      </w:r>
      <w:r>
        <w:t xml:space="preserve"> For instance, </w:t>
      </w:r>
      <w:r w:rsidRPr="00BB1036">
        <w:t>the Commission adopted a regression methodology to limit operating expenses eligible for support under rate-of-return mechanisms that includes study area density and housing units per square miles as variables in the regression formula</w:t>
      </w:r>
      <w:r>
        <w:t xml:space="preserve">.  </w:t>
      </w:r>
      <w:r>
        <w:rPr>
          <w:i/>
        </w:rPr>
        <w:t>Connect America Fund</w:t>
      </w:r>
      <w:r>
        <w:t xml:space="preserve"> </w:t>
      </w:r>
      <w:r w:rsidRPr="009413C1">
        <w:rPr>
          <w:i/>
        </w:rPr>
        <w:t>et al.</w:t>
      </w:r>
      <w:r>
        <w:t>, WC Docket No. 10-90 et al., Report and Order et al., FCC 16-33, at 39-40, paras. 98-104 (rel. March 30, 2016) (</w:t>
      </w:r>
      <w:r>
        <w:rPr>
          <w:i/>
          <w:szCs w:val="22"/>
        </w:rPr>
        <w:t>Rate-of-Return Reform Order</w:t>
      </w:r>
      <w:r>
        <w:rPr>
          <w:szCs w:val="22"/>
        </w:rPr>
        <w:t>)</w:t>
      </w:r>
      <w:r>
        <w:t xml:space="preserve">.  </w:t>
      </w:r>
      <w:r w:rsidRPr="009413C1">
        <w:t xml:space="preserve">The Commission also adopted defined performance and deployment obligations for rate-of-return carriers not electing model support that will be individually sized for each carrier taking into account the density characteristics of individual </w:t>
      </w:r>
      <w:r>
        <w:t>study area</w:t>
      </w:r>
      <w:r w:rsidR="002648EF">
        <w:t>s</w:t>
      </w:r>
      <w:r w:rsidRPr="009413C1">
        <w:t>, among other factors.</w:t>
      </w:r>
      <w:r>
        <w:t xml:space="preserve">  </w:t>
      </w:r>
      <w:r>
        <w:rPr>
          <w:i/>
        </w:rPr>
        <w:t>Id</w:t>
      </w:r>
      <w:r>
        <w:t xml:space="preserve">. at 62-68, paras.162-80.  The deployment obligations for carriers that voluntarily elect to receive model-based support vary based on state-level density.  </w:t>
      </w:r>
      <w:r w:rsidRPr="009413C1">
        <w:rPr>
          <w:i/>
        </w:rPr>
        <w:t>Id</w:t>
      </w:r>
      <w:r>
        <w:t>. at 11-13, para. 25-26.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0F" w:rsidRDefault="00BA5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0F" w:rsidRDefault="00BA5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B2F1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921CB">
                            <w:rPr>
                              <w:rFonts w:ascii="Arial" w:hAnsi="Arial"/>
                              <w:b/>
                              <w:sz w:val="16"/>
                            </w:rPr>
                            <w:instrText>HYPERLINK "https://www.fcc.gov/"</w:instrText>
                          </w:r>
                          <w:r w:rsidR="00B921C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921CB">
                      <w:rPr>
                        <w:rFonts w:ascii="Arial" w:hAnsi="Arial"/>
                        <w:b/>
                        <w:sz w:val="16"/>
                      </w:rPr>
                      <w:instrText>HYPERLINK "https://www.fcc.gov/"</w:instrText>
                    </w:r>
                    <w:r w:rsidR="00B921C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0"/>
    <w:rsid w:val="00036039"/>
    <w:rsid w:val="00037F90"/>
    <w:rsid w:val="000875BF"/>
    <w:rsid w:val="00087DD8"/>
    <w:rsid w:val="00096D8C"/>
    <w:rsid w:val="000A7591"/>
    <w:rsid w:val="000C0B65"/>
    <w:rsid w:val="000C6401"/>
    <w:rsid w:val="000E05FE"/>
    <w:rsid w:val="000E3D42"/>
    <w:rsid w:val="00122BD5"/>
    <w:rsid w:val="00133F79"/>
    <w:rsid w:val="001410A8"/>
    <w:rsid w:val="00154B91"/>
    <w:rsid w:val="001877C6"/>
    <w:rsid w:val="00194A66"/>
    <w:rsid w:val="001D6BCF"/>
    <w:rsid w:val="001E01CA"/>
    <w:rsid w:val="002040A1"/>
    <w:rsid w:val="002207E1"/>
    <w:rsid w:val="00230D65"/>
    <w:rsid w:val="0025054A"/>
    <w:rsid w:val="002648EF"/>
    <w:rsid w:val="00275CF5"/>
    <w:rsid w:val="0028301F"/>
    <w:rsid w:val="00285017"/>
    <w:rsid w:val="002A2D2E"/>
    <w:rsid w:val="002B7757"/>
    <w:rsid w:val="002C00E8"/>
    <w:rsid w:val="00323417"/>
    <w:rsid w:val="00334A85"/>
    <w:rsid w:val="003378FC"/>
    <w:rsid w:val="00343749"/>
    <w:rsid w:val="00344414"/>
    <w:rsid w:val="00365593"/>
    <w:rsid w:val="003660ED"/>
    <w:rsid w:val="003A5E71"/>
    <w:rsid w:val="003B0550"/>
    <w:rsid w:val="003B694F"/>
    <w:rsid w:val="003F171C"/>
    <w:rsid w:val="00412FC5"/>
    <w:rsid w:val="00422276"/>
    <w:rsid w:val="004242F1"/>
    <w:rsid w:val="00445A00"/>
    <w:rsid w:val="00451B0F"/>
    <w:rsid w:val="004C2EE3"/>
    <w:rsid w:val="004E4A22"/>
    <w:rsid w:val="00511968"/>
    <w:rsid w:val="005119B9"/>
    <w:rsid w:val="0055614C"/>
    <w:rsid w:val="005E14C2"/>
    <w:rsid w:val="00602246"/>
    <w:rsid w:val="00607BA5"/>
    <w:rsid w:val="0061180A"/>
    <w:rsid w:val="00621A6F"/>
    <w:rsid w:val="00626EB6"/>
    <w:rsid w:val="00655D03"/>
    <w:rsid w:val="006607B4"/>
    <w:rsid w:val="0067167F"/>
    <w:rsid w:val="00683388"/>
    <w:rsid w:val="00683F84"/>
    <w:rsid w:val="006A1F49"/>
    <w:rsid w:val="006A6A81"/>
    <w:rsid w:val="006B1456"/>
    <w:rsid w:val="006F286A"/>
    <w:rsid w:val="006F7393"/>
    <w:rsid w:val="0070224F"/>
    <w:rsid w:val="007115F7"/>
    <w:rsid w:val="007440A0"/>
    <w:rsid w:val="00785689"/>
    <w:rsid w:val="0079754B"/>
    <w:rsid w:val="007A1E6D"/>
    <w:rsid w:val="007A5BC2"/>
    <w:rsid w:val="007B0EB2"/>
    <w:rsid w:val="007F413A"/>
    <w:rsid w:val="00810B6F"/>
    <w:rsid w:val="0081277A"/>
    <w:rsid w:val="00822CE0"/>
    <w:rsid w:val="00841AB1"/>
    <w:rsid w:val="008426A7"/>
    <w:rsid w:val="008C68F1"/>
    <w:rsid w:val="008F627C"/>
    <w:rsid w:val="008F6CF8"/>
    <w:rsid w:val="00921803"/>
    <w:rsid w:val="00926503"/>
    <w:rsid w:val="009379F0"/>
    <w:rsid w:val="009413C1"/>
    <w:rsid w:val="009460C7"/>
    <w:rsid w:val="009726D8"/>
    <w:rsid w:val="00984586"/>
    <w:rsid w:val="00996454"/>
    <w:rsid w:val="009F76DB"/>
    <w:rsid w:val="00A32C3B"/>
    <w:rsid w:val="00A45F4F"/>
    <w:rsid w:val="00A538D1"/>
    <w:rsid w:val="00A600A9"/>
    <w:rsid w:val="00A65B01"/>
    <w:rsid w:val="00AA55B7"/>
    <w:rsid w:val="00AA5B9E"/>
    <w:rsid w:val="00AA756E"/>
    <w:rsid w:val="00AB2407"/>
    <w:rsid w:val="00AB53DF"/>
    <w:rsid w:val="00AC424B"/>
    <w:rsid w:val="00AE02ED"/>
    <w:rsid w:val="00AF46DC"/>
    <w:rsid w:val="00B07E5C"/>
    <w:rsid w:val="00B20363"/>
    <w:rsid w:val="00B338A9"/>
    <w:rsid w:val="00B61810"/>
    <w:rsid w:val="00B679AB"/>
    <w:rsid w:val="00B76DB8"/>
    <w:rsid w:val="00B811F7"/>
    <w:rsid w:val="00B921CB"/>
    <w:rsid w:val="00BA550F"/>
    <w:rsid w:val="00BA5DC6"/>
    <w:rsid w:val="00BA6196"/>
    <w:rsid w:val="00BC6D8C"/>
    <w:rsid w:val="00C34006"/>
    <w:rsid w:val="00C426B1"/>
    <w:rsid w:val="00C66160"/>
    <w:rsid w:val="00C721AC"/>
    <w:rsid w:val="00C72D5B"/>
    <w:rsid w:val="00C90D6A"/>
    <w:rsid w:val="00CA247E"/>
    <w:rsid w:val="00CC72B6"/>
    <w:rsid w:val="00CC776F"/>
    <w:rsid w:val="00D0218D"/>
    <w:rsid w:val="00D2216F"/>
    <w:rsid w:val="00D234BA"/>
    <w:rsid w:val="00D25FB5"/>
    <w:rsid w:val="00D44223"/>
    <w:rsid w:val="00D47505"/>
    <w:rsid w:val="00D60795"/>
    <w:rsid w:val="00DA2529"/>
    <w:rsid w:val="00DB130A"/>
    <w:rsid w:val="00DB2EBB"/>
    <w:rsid w:val="00DC10A1"/>
    <w:rsid w:val="00DC655F"/>
    <w:rsid w:val="00DC76C0"/>
    <w:rsid w:val="00DD0B59"/>
    <w:rsid w:val="00DD7EBD"/>
    <w:rsid w:val="00DE4C8D"/>
    <w:rsid w:val="00DF0810"/>
    <w:rsid w:val="00DF62B6"/>
    <w:rsid w:val="00E07225"/>
    <w:rsid w:val="00E5409F"/>
    <w:rsid w:val="00EB2231"/>
    <w:rsid w:val="00EB4ACC"/>
    <w:rsid w:val="00EE6488"/>
    <w:rsid w:val="00F021FA"/>
    <w:rsid w:val="00F62E97"/>
    <w:rsid w:val="00F64209"/>
    <w:rsid w:val="00F82FDD"/>
    <w:rsid w:val="00F8591E"/>
    <w:rsid w:val="00F93BF5"/>
    <w:rsid w:val="00FB3181"/>
    <w:rsid w:val="00FE2C6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 w:type="character" w:customStyle="1" w:styleId="ParaNumCharChar1">
    <w:name w:val="ParaNum Char Char1"/>
    <w:link w:val="ParaNum"/>
    <w:locked/>
    <w:rsid w:val="00984586"/>
    <w:rPr>
      <w:snapToGrid w:val="0"/>
      <w:kern w:val="28"/>
      <w:sz w:val="22"/>
    </w:rPr>
  </w:style>
  <w:style w:type="table" w:styleId="TableGrid">
    <w:name w:val="Table Grid"/>
    <w:basedOn w:val="TableNormal"/>
    <w:rsid w:val="0093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 w:type="character" w:customStyle="1" w:styleId="ParaNumCharChar1">
    <w:name w:val="ParaNum Char Char1"/>
    <w:link w:val="ParaNum"/>
    <w:locked/>
    <w:rsid w:val="00984586"/>
    <w:rPr>
      <w:snapToGrid w:val="0"/>
      <w:kern w:val="28"/>
      <w:sz w:val="22"/>
    </w:rPr>
  </w:style>
  <w:style w:type="table" w:styleId="TableGrid">
    <w:name w:val="Table Grid"/>
    <w:basedOn w:val="TableNormal"/>
    <w:rsid w:val="00937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940">
      <w:bodyDiv w:val="1"/>
      <w:marLeft w:val="0"/>
      <w:marRight w:val="0"/>
      <w:marTop w:val="0"/>
      <w:marBottom w:val="0"/>
      <w:divBdr>
        <w:top w:val="none" w:sz="0" w:space="0" w:color="auto"/>
        <w:left w:val="none" w:sz="0" w:space="0" w:color="auto"/>
        <w:bottom w:val="none" w:sz="0" w:space="0" w:color="auto"/>
        <w:right w:val="none" w:sz="0" w:space="0" w:color="auto"/>
      </w:divBdr>
    </w:div>
    <w:div w:id="12232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file/3722/download" TargetMode="External"/><Relationship Id="rId1" Type="http://schemas.openxmlformats.org/officeDocument/2006/relationships/hyperlink" Target="https://www.fcc.gov/wireline-competition/industry-analysis-and-technology-division/general/study-area-boundary-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192</Words>
  <Characters>1024</Characters>
  <Application>Microsoft Office Word</Application>
  <DocSecurity>0</DocSecurity>
  <Lines>33</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2016-05-03T18:21:00Z</dcterms:created>
  <dcterms:modified xsi:type="dcterms:W3CDTF">2016-05-03T18:21:00Z</dcterms:modified>
  <cp:category> </cp:category>
  <cp:contentStatus> </cp:contentStatus>
</cp:coreProperties>
</file>