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706A8" w14:textId="77777777" w:rsidR="004C2EE3" w:rsidRDefault="004C2EE3" w:rsidP="00BD5E7E">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D7762A6" w14:textId="77777777" w:rsidR="00921803" w:rsidRDefault="00921803" w:rsidP="00BD5E7E">
      <w:pPr>
        <w:pStyle w:val="StyleBoldCentered"/>
        <w:widowControl/>
      </w:pPr>
      <w:r>
        <w:t>F</w:t>
      </w:r>
      <w:r>
        <w:rPr>
          <w:caps w:val="0"/>
        </w:rPr>
        <w:t>ederal Communications Commission</w:t>
      </w:r>
    </w:p>
    <w:p w14:paraId="481071D1" w14:textId="77777777" w:rsidR="004C2EE3" w:rsidRDefault="00810B6F" w:rsidP="00BD5E7E">
      <w:pPr>
        <w:pStyle w:val="StyleBoldCentered"/>
        <w:widowControl/>
      </w:pPr>
      <w:r>
        <w:rPr>
          <w:caps w:val="0"/>
        </w:rPr>
        <w:t>Washington, D.C. 20554</w:t>
      </w:r>
    </w:p>
    <w:p w14:paraId="39EB2DE7" w14:textId="77777777" w:rsidR="004C2EE3" w:rsidRDefault="004C2EE3" w:rsidP="00BD5E7E">
      <w:pPr>
        <w:widowControl/>
      </w:pPr>
    </w:p>
    <w:p w14:paraId="0E4CBBA1" w14:textId="77777777" w:rsidR="004C2EE3" w:rsidRDefault="004C2EE3" w:rsidP="00BD5E7E">
      <w:pPr>
        <w:widowControl/>
      </w:pPr>
    </w:p>
    <w:tbl>
      <w:tblPr>
        <w:tblW w:w="0" w:type="auto"/>
        <w:tblLayout w:type="fixed"/>
        <w:tblLook w:val="0000" w:firstRow="0" w:lastRow="0" w:firstColumn="0" w:lastColumn="0" w:noHBand="0" w:noVBand="0"/>
      </w:tblPr>
      <w:tblGrid>
        <w:gridCol w:w="4698"/>
        <w:gridCol w:w="630"/>
        <w:gridCol w:w="4248"/>
      </w:tblGrid>
      <w:tr w:rsidR="004C2EE3" w14:paraId="4044E20E" w14:textId="77777777">
        <w:tc>
          <w:tcPr>
            <w:tcW w:w="4698" w:type="dxa"/>
          </w:tcPr>
          <w:p w14:paraId="30C6D89F" w14:textId="77777777" w:rsidR="004C2EE3" w:rsidRDefault="004C2EE3" w:rsidP="00BD5E7E">
            <w:pPr>
              <w:widowControl/>
              <w:tabs>
                <w:tab w:val="center" w:pos="4680"/>
              </w:tabs>
              <w:suppressAutoHyphens/>
              <w:rPr>
                <w:spacing w:val="-2"/>
              </w:rPr>
            </w:pPr>
            <w:r>
              <w:rPr>
                <w:spacing w:val="-2"/>
              </w:rPr>
              <w:t>In the Matter of</w:t>
            </w:r>
          </w:p>
          <w:p w14:paraId="57710A07" w14:textId="77777777" w:rsidR="004C2EE3" w:rsidRDefault="004C2EE3" w:rsidP="00BD5E7E">
            <w:pPr>
              <w:widowControl/>
              <w:tabs>
                <w:tab w:val="center" w:pos="4680"/>
              </w:tabs>
              <w:suppressAutoHyphens/>
              <w:rPr>
                <w:spacing w:val="-2"/>
              </w:rPr>
            </w:pPr>
          </w:p>
          <w:p w14:paraId="269A8636" w14:textId="77777777" w:rsidR="004C2EE3" w:rsidRDefault="00495CDB" w:rsidP="00BD5E7E">
            <w:pPr>
              <w:widowControl/>
              <w:tabs>
                <w:tab w:val="center" w:pos="4680"/>
              </w:tabs>
              <w:suppressAutoHyphens/>
              <w:rPr>
                <w:spacing w:val="-2"/>
              </w:rPr>
            </w:pPr>
            <w:r>
              <w:rPr>
                <w:spacing w:val="-2"/>
              </w:rPr>
              <w:t>Federal-State Board on Universal Service</w:t>
            </w:r>
          </w:p>
          <w:p w14:paraId="111B8D07" w14:textId="77777777" w:rsidR="00495CDB" w:rsidRDefault="00495CDB" w:rsidP="00BD5E7E">
            <w:pPr>
              <w:widowControl/>
              <w:tabs>
                <w:tab w:val="center" w:pos="4680"/>
              </w:tabs>
              <w:suppressAutoHyphens/>
              <w:rPr>
                <w:spacing w:val="-2"/>
              </w:rPr>
            </w:pPr>
          </w:p>
          <w:p w14:paraId="68FDFCFD" w14:textId="77777777" w:rsidR="00495CDB" w:rsidRDefault="00495CDB" w:rsidP="00BD5E7E">
            <w:pPr>
              <w:widowControl/>
              <w:tabs>
                <w:tab w:val="center" w:pos="4680"/>
              </w:tabs>
              <w:suppressAutoHyphens/>
              <w:rPr>
                <w:spacing w:val="-2"/>
              </w:rPr>
            </w:pPr>
            <w:r>
              <w:rPr>
                <w:spacing w:val="-2"/>
              </w:rPr>
              <w:t>Mid-Tex Cellular, Ltd. Petition for Waiver of the FCC’s Universal Service Rules</w:t>
            </w:r>
          </w:p>
          <w:p w14:paraId="72DF5FA2" w14:textId="77777777" w:rsidR="00495CDB" w:rsidRDefault="00495CDB" w:rsidP="00BD5E7E">
            <w:pPr>
              <w:widowControl/>
              <w:tabs>
                <w:tab w:val="center" w:pos="4680"/>
              </w:tabs>
              <w:suppressAutoHyphens/>
              <w:rPr>
                <w:spacing w:val="-2"/>
              </w:rPr>
            </w:pPr>
          </w:p>
          <w:p w14:paraId="7E64AF00" w14:textId="77777777" w:rsidR="00495CDB" w:rsidRPr="007115F7" w:rsidRDefault="00495CDB" w:rsidP="00BD5E7E">
            <w:pPr>
              <w:widowControl/>
              <w:tabs>
                <w:tab w:val="center" w:pos="4680"/>
              </w:tabs>
              <w:suppressAutoHyphens/>
              <w:rPr>
                <w:spacing w:val="-2"/>
              </w:rPr>
            </w:pPr>
          </w:p>
        </w:tc>
        <w:tc>
          <w:tcPr>
            <w:tcW w:w="630" w:type="dxa"/>
          </w:tcPr>
          <w:p w14:paraId="779A9B97" w14:textId="77777777" w:rsidR="004C2EE3" w:rsidRDefault="004C2EE3" w:rsidP="00BD5E7E">
            <w:pPr>
              <w:widowControl/>
              <w:tabs>
                <w:tab w:val="center" w:pos="4680"/>
              </w:tabs>
              <w:suppressAutoHyphens/>
              <w:rPr>
                <w:b/>
                <w:spacing w:val="-2"/>
              </w:rPr>
            </w:pPr>
            <w:r>
              <w:rPr>
                <w:b/>
                <w:spacing w:val="-2"/>
              </w:rPr>
              <w:t>)</w:t>
            </w:r>
          </w:p>
          <w:p w14:paraId="014FF528" w14:textId="77777777" w:rsidR="004C2EE3" w:rsidRDefault="004C2EE3" w:rsidP="00BD5E7E">
            <w:pPr>
              <w:widowControl/>
              <w:tabs>
                <w:tab w:val="center" w:pos="4680"/>
              </w:tabs>
              <w:suppressAutoHyphens/>
              <w:rPr>
                <w:b/>
                <w:spacing w:val="-2"/>
              </w:rPr>
            </w:pPr>
            <w:r>
              <w:rPr>
                <w:b/>
                <w:spacing w:val="-2"/>
              </w:rPr>
              <w:t>)</w:t>
            </w:r>
          </w:p>
          <w:p w14:paraId="737CB866" w14:textId="77777777" w:rsidR="004C2EE3" w:rsidRDefault="004C2EE3" w:rsidP="00BD5E7E">
            <w:pPr>
              <w:widowControl/>
              <w:tabs>
                <w:tab w:val="center" w:pos="4680"/>
              </w:tabs>
              <w:suppressAutoHyphens/>
              <w:rPr>
                <w:b/>
                <w:spacing w:val="-2"/>
              </w:rPr>
            </w:pPr>
            <w:r>
              <w:rPr>
                <w:b/>
                <w:spacing w:val="-2"/>
              </w:rPr>
              <w:t>)</w:t>
            </w:r>
          </w:p>
          <w:p w14:paraId="12BB1C17" w14:textId="77777777" w:rsidR="004C2EE3" w:rsidRDefault="004C2EE3" w:rsidP="00BD5E7E">
            <w:pPr>
              <w:widowControl/>
              <w:tabs>
                <w:tab w:val="center" w:pos="4680"/>
              </w:tabs>
              <w:suppressAutoHyphens/>
              <w:rPr>
                <w:b/>
                <w:spacing w:val="-2"/>
              </w:rPr>
            </w:pPr>
            <w:r>
              <w:rPr>
                <w:b/>
                <w:spacing w:val="-2"/>
              </w:rPr>
              <w:t>)</w:t>
            </w:r>
          </w:p>
          <w:p w14:paraId="2F31671D" w14:textId="77777777" w:rsidR="004C2EE3" w:rsidRDefault="004C2EE3" w:rsidP="00BD5E7E">
            <w:pPr>
              <w:widowControl/>
              <w:tabs>
                <w:tab w:val="center" w:pos="4680"/>
              </w:tabs>
              <w:suppressAutoHyphens/>
              <w:rPr>
                <w:b/>
                <w:spacing w:val="-2"/>
              </w:rPr>
            </w:pPr>
            <w:r>
              <w:rPr>
                <w:b/>
                <w:spacing w:val="-2"/>
              </w:rPr>
              <w:t>)</w:t>
            </w:r>
          </w:p>
          <w:p w14:paraId="154D8553" w14:textId="77777777" w:rsidR="004C2EE3" w:rsidRDefault="004C2EE3" w:rsidP="00BD5E7E">
            <w:pPr>
              <w:widowControl/>
              <w:tabs>
                <w:tab w:val="center" w:pos="4680"/>
              </w:tabs>
              <w:suppressAutoHyphens/>
              <w:rPr>
                <w:b/>
                <w:spacing w:val="-2"/>
              </w:rPr>
            </w:pPr>
            <w:r>
              <w:rPr>
                <w:b/>
                <w:spacing w:val="-2"/>
              </w:rPr>
              <w:t>)</w:t>
            </w:r>
          </w:p>
          <w:p w14:paraId="7713BD62" w14:textId="5DD217C3" w:rsidR="00495CDB" w:rsidRDefault="00854829" w:rsidP="00BD5E7E">
            <w:pPr>
              <w:widowControl/>
              <w:tabs>
                <w:tab w:val="center" w:pos="4680"/>
              </w:tabs>
              <w:suppressAutoHyphens/>
              <w:rPr>
                <w:b/>
                <w:spacing w:val="-2"/>
              </w:rPr>
            </w:pPr>
            <w:r>
              <w:rPr>
                <w:b/>
                <w:spacing w:val="-2"/>
              </w:rPr>
              <w:t>)</w:t>
            </w:r>
          </w:p>
          <w:p w14:paraId="4B555CA0" w14:textId="77777777" w:rsidR="00495CDB" w:rsidRDefault="00495CDB" w:rsidP="00BD5E7E">
            <w:pPr>
              <w:widowControl/>
              <w:tabs>
                <w:tab w:val="center" w:pos="4680"/>
              </w:tabs>
              <w:suppressAutoHyphens/>
              <w:rPr>
                <w:spacing w:val="-2"/>
              </w:rPr>
            </w:pPr>
          </w:p>
        </w:tc>
        <w:tc>
          <w:tcPr>
            <w:tcW w:w="4248" w:type="dxa"/>
          </w:tcPr>
          <w:p w14:paraId="24CF4210" w14:textId="77777777" w:rsidR="004C2EE3" w:rsidRDefault="004C2EE3" w:rsidP="00BD5E7E">
            <w:pPr>
              <w:widowControl/>
              <w:tabs>
                <w:tab w:val="center" w:pos="4680"/>
              </w:tabs>
              <w:suppressAutoHyphens/>
              <w:rPr>
                <w:spacing w:val="-2"/>
              </w:rPr>
            </w:pPr>
          </w:p>
          <w:p w14:paraId="3E2634C8" w14:textId="77777777" w:rsidR="004C2EE3" w:rsidRDefault="004C2EE3" w:rsidP="00BD5E7E">
            <w:pPr>
              <w:pStyle w:val="TOAHeading"/>
              <w:widowControl/>
              <w:tabs>
                <w:tab w:val="clear" w:pos="9360"/>
                <w:tab w:val="center" w:pos="4680"/>
              </w:tabs>
              <w:rPr>
                <w:spacing w:val="-2"/>
              </w:rPr>
            </w:pPr>
          </w:p>
          <w:p w14:paraId="5AC3B5BF" w14:textId="77777777" w:rsidR="004C2EE3" w:rsidRDefault="00495CDB" w:rsidP="00BD5E7E">
            <w:pPr>
              <w:widowControl/>
              <w:tabs>
                <w:tab w:val="center" w:pos="4680"/>
              </w:tabs>
              <w:suppressAutoHyphens/>
              <w:rPr>
                <w:spacing w:val="-2"/>
              </w:rPr>
            </w:pPr>
            <w:r>
              <w:rPr>
                <w:spacing w:val="-2"/>
              </w:rPr>
              <w:t>CC Docket No. 96-45</w:t>
            </w:r>
          </w:p>
          <w:p w14:paraId="2120391B" w14:textId="77777777" w:rsidR="00495CDB" w:rsidRDefault="00495CDB" w:rsidP="00BD5E7E">
            <w:pPr>
              <w:widowControl/>
              <w:tabs>
                <w:tab w:val="center" w:pos="4680"/>
              </w:tabs>
              <w:suppressAutoHyphens/>
              <w:rPr>
                <w:spacing w:val="-2"/>
              </w:rPr>
            </w:pPr>
          </w:p>
          <w:p w14:paraId="6C3B76AE" w14:textId="77777777" w:rsidR="00495CDB" w:rsidRDefault="00495CDB" w:rsidP="00BD5E7E">
            <w:pPr>
              <w:widowControl/>
              <w:tabs>
                <w:tab w:val="center" w:pos="4680"/>
              </w:tabs>
              <w:suppressAutoHyphens/>
              <w:rPr>
                <w:spacing w:val="-2"/>
              </w:rPr>
            </w:pPr>
          </w:p>
        </w:tc>
      </w:tr>
    </w:tbl>
    <w:p w14:paraId="2DA0FBD8" w14:textId="77777777" w:rsidR="00841AB1" w:rsidRDefault="00116426" w:rsidP="00BD5E7E">
      <w:pPr>
        <w:pStyle w:val="StyleBoldCentered"/>
        <w:widowControl/>
      </w:pPr>
      <w:r>
        <w:t>Order on Reconsideration</w:t>
      </w:r>
    </w:p>
    <w:p w14:paraId="13EA4F42" w14:textId="77777777" w:rsidR="004C2EE3" w:rsidRDefault="004C2EE3" w:rsidP="00BD5E7E">
      <w:pPr>
        <w:widowControl/>
        <w:tabs>
          <w:tab w:val="left" w:pos="-720"/>
        </w:tabs>
        <w:suppressAutoHyphens/>
        <w:spacing w:line="227" w:lineRule="auto"/>
        <w:rPr>
          <w:spacing w:val="-2"/>
        </w:rPr>
      </w:pPr>
    </w:p>
    <w:p w14:paraId="1EEF5CE3" w14:textId="202226FE" w:rsidR="004C2EE3" w:rsidRDefault="004C2EE3" w:rsidP="00BD5E7E">
      <w:pPr>
        <w:widowControl/>
        <w:tabs>
          <w:tab w:val="left" w:pos="720"/>
          <w:tab w:val="right" w:pos="9360"/>
        </w:tabs>
        <w:suppressAutoHyphens/>
        <w:spacing w:line="227" w:lineRule="auto"/>
        <w:rPr>
          <w:spacing w:val="-2"/>
        </w:rPr>
      </w:pPr>
      <w:r>
        <w:rPr>
          <w:b/>
          <w:spacing w:val="-2"/>
        </w:rPr>
        <w:t xml:space="preserve">Adopted:  </w:t>
      </w:r>
      <w:r w:rsidR="00290D93">
        <w:rPr>
          <w:b/>
          <w:spacing w:val="-2"/>
        </w:rPr>
        <w:t>April 20</w:t>
      </w:r>
      <w:r w:rsidR="00B23245">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290D93">
        <w:rPr>
          <w:b/>
          <w:spacing w:val="-2"/>
        </w:rPr>
        <w:t>April 20</w:t>
      </w:r>
      <w:r w:rsidR="00B23245">
        <w:rPr>
          <w:b/>
          <w:spacing w:val="-2"/>
        </w:rPr>
        <w:t>, 2016</w:t>
      </w:r>
    </w:p>
    <w:p w14:paraId="5FCB35FF" w14:textId="77777777" w:rsidR="00822CE0" w:rsidRDefault="00822CE0" w:rsidP="00BD5E7E">
      <w:pPr>
        <w:widowControl/>
      </w:pPr>
    </w:p>
    <w:p w14:paraId="11E3670F" w14:textId="77777777" w:rsidR="004C2EE3" w:rsidRDefault="004C2EE3" w:rsidP="00BD5E7E">
      <w:pPr>
        <w:widowControl/>
        <w:rPr>
          <w:spacing w:val="-2"/>
        </w:rPr>
      </w:pPr>
      <w:r>
        <w:t xml:space="preserve">By </w:t>
      </w:r>
      <w:r w:rsidR="004E4A22">
        <w:t>the</w:t>
      </w:r>
      <w:r w:rsidR="002A2D2E">
        <w:t xml:space="preserve"> </w:t>
      </w:r>
      <w:r w:rsidR="00116426">
        <w:rPr>
          <w:spacing w:val="-2"/>
        </w:rPr>
        <w:t>Chief, Wireline Competition Bureau</w:t>
      </w:r>
      <w:r>
        <w:rPr>
          <w:spacing w:val="-2"/>
        </w:rPr>
        <w:t>:</w:t>
      </w:r>
    </w:p>
    <w:p w14:paraId="6FB3B82C" w14:textId="77777777" w:rsidR="00412FC5" w:rsidRDefault="00412FC5" w:rsidP="00BD5E7E">
      <w:pPr>
        <w:widowControl/>
      </w:pPr>
    </w:p>
    <w:p w14:paraId="5CAD5D61" w14:textId="77777777" w:rsidR="002C00E8" w:rsidRDefault="00116426" w:rsidP="00BD5E7E">
      <w:pPr>
        <w:pStyle w:val="Heading1"/>
        <w:widowControl/>
      </w:pPr>
      <w:r>
        <w:t>Introduction</w:t>
      </w:r>
    </w:p>
    <w:p w14:paraId="01E43393" w14:textId="54E4AC7D" w:rsidR="00116426" w:rsidRDefault="00116426" w:rsidP="00BD5E7E">
      <w:pPr>
        <w:pStyle w:val="ParaNum"/>
        <w:widowControl/>
      </w:pPr>
      <w:r>
        <w:t xml:space="preserve">In this Order, we deny </w:t>
      </w:r>
      <w:r w:rsidR="004816B1">
        <w:t xml:space="preserve">the </w:t>
      </w:r>
      <w:r w:rsidR="0039458E">
        <w:t>petition</w:t>
      </w:r>
      <w:r>
        <w:t xml:space="preserve"> for reconsideration filed by Mid-Tex Cellular, Ltd.</w:t>
      </w:r>
      <w:r w:rsidR="000B7B07">
        <w:t xml:space="preserve"> (Mid-Tex).</w:t>
      </w:r>
      <w:r w:rsidR="008E0972">
        <w:rPr>
          <w:rStyle w:val="FootnoteReference"/>
        </w:rPr>
        <w:footnoteReference w:id="2"/>
      </w:r>
      <w:r>
        <w:t xml:space="preserve">  </w:t>
      </w:r>
      <w:r w:rsidR="006E5F8D">
        <w:t xml:space="preserve">We conclude that Mid-Tex has failed to present any argument warranting reconsideration of the decision of the </w:t>
      </w:r>
      <w:r w:rsidR="000B7B07">
        <w:t xml:space="preserve">Wireline Competition Bureau (Bureau) </w:t>
      </w:r>
      <w:r w:rsidR="006E5F8D">
        <w:t>to</w:t>
      </w:r>
      <w:r w:rsidR="000B7B07">
        <w:t xml:space="preserve"> </w:t>
      </w:r>
      <w:r w:rsidR="006C75BB">
        <w:t xml:space="preserve">deny </w:t>
      </w:r>
      <w:r w:rsidR="004816B1">
        <w:t>Mid-Tex</w:t>
      </w:r>
      <w:r w:rsidR="000B7B07">
        <w:t>’s peti</w:t>
      </w:r>
      <w:r w:rsidR="004816B1">
        <w:t>tion</w:t>
      </w:r>
      <w:r w:rsidR="000B7B07">
        <w:t xml:space="preserve"> for waiver of</w:t>
      </w:r>
      <w:r w:rsidR="004816B1">
        <w:t xml:space="preserve"> a</w:t>
      </w:r>
      <w:r w:rsidR="000B7B07">
        <w:t xml:space="preserve"> </w:t>
      </w:r>
      <w:r w:rsidR="004816B1">
        <w:t>high-cost filing deadline</w:t>
      </w:r>
      <w:r w:rsidR="006C75BB">
        <w:t>.</w:t>
      </w:r>
      <w:r w:rsidR="006C75BB">
        <w:rPr>
          <w:rStyle w:val="FootnoteReference"/>
        </w:rPr>
        <w:footnoteReference w:id="3"/>
      </w:r>
      <w:r w:rsidR="006C75BB">
        <w:t xml:space="preserve"> </w:t>
      </w:r>
    </w:p>
    <w:p w14:paraId="2A9B4002" w14:textId="77777777" w:rsidR="006C75BB" w:rsidRDefault="006C75BB" w:rsidP="00BD5E7E">
      <w:pPr>
        <w:pStyle w:val="Heading1"/>
        <w:widowControl/>
      </w:pPr>
      <w:r>
        <w:t>Background</w:t>
      </w:r>
    </w:p>
    <w:p w14:paraId="20F349A6" w14:textId="7A4DB996" w:rsidR="00134836" w:rsidRPr="003B4EA8" w:rsidRDefault="00134836" w:rsidP="00BD5E7E">
      <w:pPr>
        <w:pStyle w:val="ParaNum"/>
        <w:widowControl/>
        <w:rPr>
          <w:szCs w:val="22"/>
        </w:rPr>
      </w:pPr>
      <w:r w:rsidRPr="00297BE3">
        <w:t xml:space="preserve">Section 254(e) of the Communications Act of 1934, as amended (the Act), provides that “only an eligible telecommunications carrier [(ETC)] </w:t>
      </w:r>
      <w:r>
        <w:t xml:space="preserve">designated under section 214(e) . . . </w:t>
      </w:r>
      <w:r w:rsidRPr="00297BE3">
        <w:t>shall be eligible to receive specific Federal universal service support.”</w:t>
      </w:r>
      <w:r w:rsidRPr="00297BE3">
        <w:rPr>
          <w:rStyle w:val="FootnoteReference"/>
          <w:szCs w:val="22"/>
        </w:rPr>
        <w:footnoteReference w:id="4"/>
      </w:r>
      <w:r w:rsidRPr="00297BE3">
        <w:t xml:space="preserve">  Support shall be used “only for the provision, maintenance, and upgrading of facilities and services for which the support is intended.”</w:t>
      </w:r>
      <w:r w:rsidRPr="00297BE3">
        <w:rPr>
          <w:rStyle w:val="FootnoteReference"/>
          <w:szCs w:val="22"/>
        </w:rPr>
        <w:footnoteReference w:id="5"/>
      </w:r>
      <w:r w:rsidRPr="00297BE3">
        <w:t xml:space="preserve">  </w:t>
      </w:r>
      <w:r w:rsidR="00475BA8">
        <w:t>For many years,</w:t>
      </w:r>
      <w:r>
        <w:t xml:space="preserve"> the Commission </w:t>
      </w:r>
      <w:r w:rsidR="006E5F8D">
        <w:t>has relied upon</w:t>
      </w:r>
      <w:r w:rsidRPr="00297BE3">
        <w:t xml:space="preserve"> various certification and data filing requirements</w:t>
      </w:r>
      <w:r>
        <w:t xml:space="preserve"> to implement this statutory requirement</w:t>
      </w:r>
      <w:r w:rsidRPr="00297BE3">
        <w:t>.</w:t>
      </w:r>
      <w:r w:rsidR="00475BA8">
        <w:t xml:space="preserve"> </w:t>
      </w:r>
      <w:r>
        <w:rPr>
          <w:szCs w:val="22"/>
        </w:rPr>
        <w:t xml:space="preserve"> The</w:t>
      </w:r>
      <w:r w:rsidR="00571FE6">
        <w:rPr>
          <w:szCs w:val="22"/>
        </w:rPr>
        <w:t xml:space="preserve"> </w:t>
      </w:r>
      <w:r>
        <w:rPr>
          <w:szCs w:val="22"/>
        </w:rPr>
        <w:t>s</w:t>
      </w:r>
      <w:r w:rsidR="00571FE6">
        <w:rPr>
          <w:szCs w:val="22"/>
        </w:rPr>
        <w:t>pecific certifications at issue in this case</w:t>
      </w:r>
      <w:r>
        <w:rPr>
          <w:szCs w:val="22"/>
        </w:rPr>
        <w:t xml:space="preserve"> have been largely superseded by the uniform framework for accountability that the Commission adopted in the </w:t>
      </w:r>
      <w:r w:rsidRPr="00C51111">
        <w:rPr>
          <w:i/>
          <w:szCs w:val="22"/>
        </w:rPr>
        <w:t>USF/ICC Transformation Order</w:t>
      </w:r>
      <w:r>
        <w:rPr>
          <w:szCs w:val="22"/>
        </w:rPr>
        <w:t>.</w:t>
      </w:r>
      <w:r w:rsidR="00571FE6" w:rsidRPr="00571FE6">
        <w:rPr>
          <w:rStyle w:val="FootnoteReference"/>
          <w:szCs w:val="22"/>
        </w:rPr>
        <w:t xml:space="preserve"> </w:t>
      </w:r>
      <w:r w:rsidR="00571FE6">
        <w:rPr>
          <w:rStyle w:val="FootnoteReference"/>
          <w:szCs w:val="22"/>
        </w:rPr>
        <w:footnoteReference w:id="6"/>
      </w:r>
      <w:r w:rsidR="00571FE6">
        <w:rPr>
          <w:szCs w:val="22"/>
        </w:rPr>
        <w:t xml:space="preserve"> </w:t>
      </w:r>
    </w:p>
    <w:p w14:paraId="305D2346" w14:textId="705E2736" w:rsidR="00CE6EC3" w:rsidRDefault="00571FE6" w:rsidP="00BD5E7E">
      <w:pPr>
        <w:pStyle w:val="ParaNum"/>
        <w:widowControl/>
      </w:pPr>
      <w:r>
        <w:t>P</w:t>
      </w:r>
      <w:r w:rsidR="00B550E9">
        <w:t xml:space="preserve">rior to the </w:t>
      </w:r>
      <w:r w:rsidR="00B550E9" w:rsidRPr="00B550E9">
        <w:rPr>
          <w:i/>
        </w:rPr>
        <w:t>USF/ICC Transformation Order</w:t>
      </w:r>
      <w:r w:rsidR="00874992">
        <w:t xml:space="preserve">, </w:t>
      </w:r>
      <w:r w:rsidR="00CE6EC3" w:rsidRPr="004B07E7">
        <w:t>an ETC</w:t>
      </w:r>
      <w:r w:rsidR="00B550E9">
        <w:t xml:space="preserve"> </w:t>
      </w:r>
      <w:r w:rsidR="00CE6EC3">
        <w:t xml:space="preserve">was required to </w:t>
      </w:r>
      <w:r w:rsidR="00874992">
        <w:t>file a certification with the Universal Service Administrative Company (USAC)</w:t>
      </w:r>
      <w:r w:rsidR="00CE6EC3" w:rsidRPr="004B07E7">
        <w:t xml:space="preserve"> and the Commission pursuant to section 54.904(a) of the Commission’s rules</w:t>
      </w:r>
      <w:r w:rsidR="00B550E9">
        <w:t xml:space="preserve"> to receive Interstate Common Line Support</w:t>
      </w:r>
      <w:r w:rsidR="001A3F73">
        <w:t xml:space="preserve"> (ICLS), among other </w:t>
      </w:r>
      <w:r w:rsidR="001A3F73">
        <w:lastRenderedPageBreak/>
        <w:t>requirements</w:t>
      </w:r>
      <w:r w:rsidR="00B550E9">
        <w:t>.  That certification had to state</w:t>
      </w:r>
      <w:r w:rsidR="00CE6EC3" w:rsidRPr="004B07E7">
        <w:t xml:space="preserve"> that all ICLS received by</w:t>
      </w:r>
      <w:r w:rsidR="00CE6EC3">
        <w:t xml:space="preserve"> the ETC would</w:t>
      </w:r>
      <w:r w:rsidR="00CE6EC3" w:rsidRPr="004B07E7">
        <w:t xml:space="preserve"> </w:t>
      </w:r>
      <w:r w:rsidR="00CE6EC3">
        <w:t>“</w:t>
      </w:r>
      <w:r w:rsidR="00CE6EC3" w:rsidRPr="004B07E7">
        <w:t>be used only for the provision, maintenance, and upgrading of facilities and services for which the support is intended.</w:t>
      </w:r>
      <w:r w:rsidR="00CE6EC3">
        <w:t>”</w:t>
      </w:r>
      <w:r w:rsidR="00CE6EC3" w:rsidRPr="004B07E7">
        <w:rPr>
          <w:rStyle w:val="FootnoteReference"/>
          <w:szCs w:val="22"/>
        </w:rPr>
        <w:footnoteReference w:id="7"/>
      </w:r>
      <w:r w:rsidR="00CE6EC3" w:rsidRPr="004B07E7">
        <w:t xml:space="preserve">  This certification </w:t>
      </w:r>
      <w:r w:rsidR="00CE6EC3">
        <w:t>had to</w:t>
      </w:r>
      <w:r w:rsidR="00CE6EC3" w:rsidRPr="004B07E7">
        <w:t xml:space="preserve"> be filed </w:t>
      </w:r>
      <w:r w:rsidR="00CE6EC3">
        <w:t xml:space="preserve">with USAC and the Commission </w:t>
      </w:r>
      <w:r w:rsidR="00CE6EC3" w:rsidRPr="004B07E7">
        <w:t>on t</w:t>
      </w:r>
      <w:r w:rsidR="00CE6EC3">
        <w:t>he date that the ETC first filed</w:t>
      </w:r>
      <w:r w:rsidR="00CE6EC3" w:rsidRPr="004B07E7">
        <w:t xml:space="preserve"> its line count data, and thereafter on June 30</w:t>
      </w:r>
      <w:r w:rsidR="00CE6EC3" w:rsidRPr="004B07E7">
        <w:rPr>
          <w:vertAlign w:val="superscript"/>
        </w:rPr>
        <w:t xml:space="preserve"> </w:t>
      </w:r>
      <w:r w:rsidR="00CE6EC3" w:rsidRPr="004B07E7">
        <w:t>of each year.</w:t>
      </w:r>
      <w:r w:rsidR="00CE6EC3" w:rsidRPr="004B07E7">
        <w:rPr>
          <w:rStyle w:val="FootnoteReference"/>
          <w:szCs w:val="22"/>
        </w:rPr>
        <w:footnoteReference w:id="8"/>
      </w:r>
      <w:r w:rsidR="00874992">
        <w:t xml:space="preserve">  The</w:t>
      </w:r>
      <w:r w:rsidR="00874992" w:rsidRPr="00E91797">
        <w:t xml:space="preserve"> Commission adopt</w:t>
      </w:r>
      <w:r w:rsidR="00F11835">
        <w:t xml:space="preserve">ed a mechanism for accepting </w:t>
      </w:r>
      <w:r w:rsidR="00874992" w:rsidRPr="00E91797">
        <w:t>untimely filed ICLS certification</w:t>
      </w:r>
      <w:r w:rsidR="00874992">
        <w:t>s</w:t>
      </w:r>
      <w:r w:rsidR="00874992" w:rsidRPr="00E91797">
        <w:t>, whereby the carrier does not become eligible for ICLS until the second calendar quarter after the certification is untimely filed.</w:t>
      </w:r>
      <w:r w:rsidR="00874992">
        <w:rPr>
          <w:rStyle w:val="FootnoteReference"/>
        </w:rPr>
        <w:footnoteReference w:id="9"/>
      </w:r>
      <w:r w:rsidR="00874992" w:rsidRPr="00E91797">
        <w:t xml:space="preserve">  </w:t>
      </w:r>
    </w:p>
    <w:p w14:paraId="001EF03A" w14:textId="2B873249" w:rsidR="006C75BB" w:rsidRPr="00B26A4D" w:rsidRDefault="00B26A4D" w:rsidP="00BD5E7E">
      <w:pPr>
        <w:pStyle w:val="ParaNum"/>
        <w:widowControl/>
        <w:rPr>
          <w:i/>
        </w:rPr>
      </w:pPr>
      <w:r w:rsidRPr="00B26A4D">
        <w:rPr>
          <w:i/>
        </w:rPr>
        <w:t>Mid-Tex’s Petition for Reconsideration.</w:t>
      </w:r>
      <w:r>
        <w:t xml:space="preserve">  </w:t>
      </w:r>
      <w:r w:rsidR="00CE6EC3">
        <w:t>On December 28, 2006</w:t>
      </w:r>
      <w:r w:rsidR="0087588C">
        <w:t xml:space="preserve">, the Bureau granted in part and denied in part </w:t>
      </w:r>
      <w:r w:rsidR="0052124C">
        <w:t>Mid-Tex’s petition seeking waiver of several high-cost filing deadlines</w:t>
      </w:r>
      <w:r w:rsidR="00551FD9">
        <w:t>, including the ICLS certification deadline</w:t>
      </w:r>
      <w:r w:rsidR="0052124C">
        <w:t>.</w:t>
      </w:r>
      <w:r w:rsidR="00C930CA">
        <w:rPr>
          <w:rStyle w:val="FootnoteReference"/>
        </w:rPr>
        <w:footnoteReference w:id="10"/>
      </w:r>
      <w:r w:rsidR="0052124C">
        <w:t xml:space="preserve">  </w:t>
      </w:r>
      <w:r w:rsidR="00B666CF">
        <w:t>Mid-Tex did not file its ICLS certification</w:t>
      </w:r>
      <w:r w:rsidR="0006581D">
        <w:t xml:space="preserve"> that was </w:t>
      </w:r>
      <w:r w:rsidR="00BD7263">
        <w:t>due on</w:t>
      </w:r>
      <w:r w:rsidR="0006581D">
        <w:t xml:space="preserve"> September 9, 2005</w:t>
      </w:r>
      <w:r w:rsidR="00755BD8">
        <w:t xml:space="preserve"> </w:t>
      </w:r>
      <w:r w:rsidR="0006581D">
        <w:t xml:space="preserve">until </w:t>
      </w:r>
      <w:r w:rsidR="00755BD8">
        <w:t>November 23, 2005</w:t>
      </w:r>
      <w:r w:rsidR="0006581D">
        <w:t xml:space="preserve">. </w:t>
      </w:r>
      <w:r w:rsidR="007B69A1">
        <w:t xml:space="preserve"> </w:t>
      </w:r>
      <w:r w:rsidR="00BD7263">
        <w:t>Mid-Tex claimed that it failed</w:t>
      </w:r>
      <w:r w:rsidR="0067158B">
        <w:t xml:space="preserve"> to </w:t>
      </w:r>
      <w:r w:rsidR="00BD7263">
        <w:t xml:space="preserve">file its ICLS certification </w:t>
      </w:r>
      <w:r w:rsidR="0067158B">
        <w:t xml:space="preserve">on </w:t>
      </w:r>
      <w:r w:rsidR="0006581D">
        <w:t>time</w:t>
      </w:r>
      <w:r w:rsidR="00726483">
        <w:t xml:space="preserve"> </w:t>
      </w:r>
      <w:r w:rsidR="00BD7263">
        <w:t xml:space="preserve">because </w:t>
      </w:r>
      <w:r w:rsidR="00FA1BDB">
        <w:t>it “was overwhelmed and confused by the numerous unfamiliar filings associated with its nascent ETC status” and relied on the advice of its regulatory consultant.</w:t>
      </w:r>
      <w:r w:rsidR="00FA1BDB">
        <w:rPr>
          <w:rStyle w:val="FootnoteReference"/>
        </w:rPr>
        <w:footnoteReference w:id="11"/>
      </w:r>
      <w:r w:rsidR="00E47869">
        <w:t xml:space="preserve">  The Bureau held that </w:t>
      </w:r>
      <w:r w:rsidR="008C4411">
        <w:t>Mid-Tex had not demonstrated that there was good cause to waive the filing deadline because confusion does not constitute special circumstances.</w:t>
      </w:r>
      <w:r w:rsidR="008C4411">
        <w:rPr>
          <w:rStyle w:val="FootnoteReference"/>
        </w:rPr>
        <w:footnoteReference w:id="12"/>
      </w:r>
      <w:r w:rsidR="00951CAF">
        <w:t xml:space="preserve">  Mid-Tex filed a petition for reconsideration </w:t>
      </w:r>
      <w:r w:rsidR="00610AC2">
        <w:t>claiming that the Bureau’s decision was inconsistent with precedent</w:t>
      </w:r>
      <w:r w:rsidR="00551FD9">
        <w:t xml:space="preserve">.  Mid-Tex also argues that the Bureau’s decision </w:t>
      </w:r>
      <w:r w:rsidR="00610AC2">
        <w:t xml:space="preserve">was </w:t>
      </w:r>
      <w:r w:rsidR="00B8762C">
        <w:t>“</w:t>
      </w:r>
      <w:r w:rsidR="00610AC2">
        <w:t>arbitrary and capricious</w:t>
      </w:r>
      <w:r w:rsidR="00B8762C">
        <w:t>”</w:t>
      </w:r>
      <w:r w:rsidR="00610AC2">
        <w:t xml:space="preserve"> because it did not consider all the relevant facts regarding the potential consumer harm of denying the waiver and</w:t>
      </w:r>
      <w:r w:rsidR="0006581D">
        <w:t xml:space="preserve"> that the Bureau</w:t>
      </w:r>
      <w:r w:rsidR="00610AC2">
        <w:t xml:space="preserve"> did not provide “any rationale or satisfactory explanation” for its decision to deny the waiver.</w:t>
      </w:r>
      <w:r w:rsidR="00610AC2">
        <w:rPr>
          <w:rStyle w:val="FootnoteReference"/>
        </w:rPr>
        <w:footnoteReference w:id="13"/>
      </w:r>
      <w:r w:rsidR="00610AC2">
        <w:t xml:space="preserve">  </w:t>
      </w:r>
    </w:p>
    <w:p w14:paraId="3DF29299" w14:textId="77777777" w:rsidR="00CE69F9" w:rsidRDefault="00CE69F9" w:rsidP="00BD5E7E">
      <w:pPr>
        <w:pStyle w:val="Heading1"/>
        <w:widowControl/>
      </w:pPr>
      <w:r>
        <w:t>Discussion</w:t>
      </w:r>
    </w:p>
    <w:p w14:paraId="73DB8A9A" w14:textId="70CEF75E" w:rsidR="0080234A" w:rsidRDefault="00CE69F9" w:rsidP="00BD5E7E">
      <w:pPr>
        <w:pStyle w:val="ParaNum"/>
        <w:widowControl/>
      </w:pPr>
      <w:r>
        <w:t xml:space="preserve">We conclude </w:t>
      </w:r>
      <w:r w:rsidR="00571FE6">
        <w:t xml:space="preserve">Mid-Tex </w:t>
      </w:r>
      <w:r w:rsidR="003615AF">
        <w:t xml:space="preserve">has </w:t>
      </w:r>
      <w:r w:rsidR="00571FE6">
        <w:t xml:space="preserve">failed to present any arguments warranting reconsideration of </w:t>
      </w:r>
      <w:r w:rsidR="00B3524D">
        <w:t>the Bureau</w:t>
      </w:r>
      <w:r w:rsidR="00571FE6">
        <w:t>’s</w:t>
      </w:r>
      <w:r w:rsidR="00B3524D">
        <w:t xml:space="preserve"> den</w:t>
      </w:r>
      <w:r w:rsidR="00475BA8">
        <w:t>ial of</w:t>
      </w:r>
      <w:r w:rsidR="00B3524D">
        <w:t xml:space="preserve"> Mid-Tex</w:t>
      </w:r>
      <w:r w:rsidR="00755BD8">
        <w:t>’s</w:t>
      </w:r>
      <w:r w:rsidR="00B3524D">
        <w:t xml:space="preserve"> petition for waiver.</w:t>
      </w:r>
      <w:r w:rsidR="00C5004B">
        <w:rPr>
          <w:rStyle w:val="FootnoteReference"/>
        </w:rPr>
        <w:footnoteReference w:id="14"/>
      </w:r>
      <w:r w:rsidR="00B3524D">
        <w:t xml:space="preserve">  Accordin</w:t>
      </w:r>
      <w:r w:rsidR="002F4430">
        <w:t>gly, we deny Mid-Tex’s</w:t>
      </w:r>
      <w:r w:rsidR="0039458E">
        <w:t xml:space="preserve"> petition</w:t>
      </w:r>
      <w:r w:rsidR="00B3524D">
        <w:t xml:space="preserve"> for reconsideration.</w:t>
      </w:r>
      <w:r w:rsidR="003829BC">
        <w:rPr>
          <w:rStyle w:val="FootnoteReference"/>
        </w:rPr>
        <w:footnoteReference w:id="15"/>
      </w:r>
      <w:r w:rsidR="00B3524D">
        <w:t xml:space="preserve"> </w:t>
      </w:r>
      <w:r w:rsidR="0039458E">
        <w:t xml:space="preserve"> We </w:t>
      </w:r>
      <w:r w:rsidR="00BD1C05">
        <w:t xml:space="preserve">disagree with Mid-Tex’s claim that </w:t>
      </w:r>
      <w:r w:rsidR="00FC0515">
        <w:t>the Bureau’s decision “abandon[ed]” Commission precedent in denying Mid-Tex’s petition for waiver of the filing deadline.</w:t>
      </w:r>
      <w:r w:rsidR="00FC0515">
        <w:rPr>
          <w:rStyle w:val="FootnoteReference"/>
        </w:rPr>
        <w:footnoteReference w:id="16"/>
      </w:r>
      <w:r w:rsidR="00FC0515">
        <w:t xml:space="preserve">  </w:t>
      </w:r>
      <w:r w:rsidR="00254FAB">
        <w:t xml:space="preserve">The Bureau’s </w:t>
      </w:r>
      <w:r w:rsidR="00254FAB">
        <w:lastRenderedPageBreak/>
        <w:t>finding that Mid-Tex did not demonstrate</w:t>
      </w:r>
      <w:r w:rsidR="00BD1C05">
        <w:t xml:space="preserve"> that it missed the </w:t>
      </w:r>
      <w:r w:rsidR="00F272B8">
        <w:t xml:space="preserve">filing </w:t>
      </w:r>
      <w:r w:rsidR="00BD1C05">
        <w:t>deadline due to</w:t>
      </w:r>
      <w:r w:rsidR="00254FAB">
        <w:t xml:space="preserve"> special circumstances is consistent with well-established precedent</w:t>
      </w:r>
      <w:r w:rsidR="00D07376">
        <w:t xml:space="preserve"> in the high-cost context and in other universal service programs</w:t>
      </w:r>
      <w:r w:rsidR="00254FAB">
        <w:t xml:space="preserve"> that “confusion</w:t>
      </w:r>
      <w:r w:rsidR="00813591">
        <w:t xml:space="preserve"> regarding the rules does not establish special circumstances that warrant deviation from the Commission’s rules.”</w:t>
      </w:r>
      <w:r w:rsidR="00813591">
        <w:rPr>
          <w:rStyle w:val="FootnoteReference"/>
        </w:rPr>
        <w:footnoteReference w:id="17"/>
      </w:r>
      <w:r w:rsidR="00F272B8">
        <w:t xml:space="preserve">  </w:t>
      </w:r>
    </w:p>
    <w:p w14:paraId="1DEED3E6" w14:textId="24050F94" w:rsidR="00204E88" w:rsidRDefault="00F31EA4" w:rsidP="00BD5E7E">
      <w:pPr>
        <w:pStyle w:val="ParaNum"/>
        <w:widowControl/>
      </w:pPr>
      <w:r>
        <w:t>Despite</w:t>
      </w:r>
      <w:r w:rsidR="00C933D4">
        <w:t xml:space="preserve"> Mid-Tex’s </w:t>
      </w:r>
      <w:r w:rsidR="0080234A">
        <w:t>claim</w:t>
      </w:r>
      <w:r>
        <w:t>s</w:t>
      </w:r>
      <w:r w:rsidR="003C592B">
        <w:t xml:space="preserve"> in its petition for r</w:t>
      </w:r>
      <w:r w:rsidR="0027288E">
        <w:t>econsideration</w:t>
      </w:r>
      <w:r>
        <w:t>, we are also not persuaded</w:t>
      </w:r>
      <w:r w:rsidR="0080234A">
        <w:t xml:space="preserve"> that special circumstances exist because Mid-Tex would </w:t>
      </w:r>
      <w:r w:rsidR="00A85D39">
        <w:t xml:space="preserve">need to </w:t>
      </w:r>
      <w:r w:rsidR="00461EDF">
        <w:t>delay or stop certain planned upgrades or raise its rates as a result</w:t>
      </w:r>
      <w:r w:rsidR="00417B03">
        <w:t xml:space="preserve"> of the reduction in it</w:t>
      </w:r>
      <w:r w:rsidR="00C933D4">
        <w:t>s ICLS support.</w:t>
      </w:r>
      <w:r w:rsidR="0080234A">
        <w:rPr>
          <w:rStyle w:val="FootnoteReference"/>
        </w:rPr>
        <w:footnoteReference w:id="18"/>
      </w:r>
      <w:r w:rsidR="00C933D4">
        <w:t xml:space="preserve">  </w:t>
      </w:r>
      <w:r w:rsidR="0080234A">
        <w:t>Mid-Tex cites a number of Bureau decisions where the Bureau granted waivers of high-cost filing deadlines based, in part, on the amount of funding at stake.</w:t>
      </w:r>
      <w:r w:rsidR="0080234A">
        <w:rPr>
          <w:rStyle w:val="FootnoteReference"/>
        </w:rPr>
        <w:footnoteReference w:id="19"/>
      </w:r>
      <w:r w:rsidR="0080234A">
        <w:t xml:space="preserve">  However, those petitioners presented additional facts, not present here, that helped establish good cause to grant those waiver petitions.  For example, some of the orders that Mid-Tex cites involved situations where the ETC filed the late filing soon after the deadline,</w:t>
      </w:r>
      <w:r w:rsidR="0080234A">
        <w:rPr>
          <w:rStyle w:val="FootnoteReference"/>
        </w:rPr>
        <w:footnoteReference w:id="20"/>
      </w:r>
      <w:r w:rsidR="0080234A">
        <w:t xml:space="preserve"> where the ETC stood to lose an entire year of Local Switching Support as a result of missing the filing deadline,</w:t>
      </w:r>
      <w:r w:rsidR="0080234A">
        <w:rPr>
          <w:rStyle w:val="FootnoteReference"/>
        </w:rPr>
        <w:footnoteReference w:id="21"/>
      </w:r>
      <w:r w:rsidR="0080234A">
        <w:t xml:space="preserve"> where the ETC had taken steps to make the filing, but filed the wrong certification,</w:t>
      </w:r>
      <w:r w:rsidR="0080234A">
        <w:rPr>
          <w:rStyle w:val="FootnoteReference"/>
        </w:rPr>
        <w:footnoteReference w:id="22"/>
      </w:r>
      <w:r w:rsidR="0080234A">
        <w:t xml:space="preserve"> or where the ETC was emerging from bankruptcy.</w:t>
      </w:r>
      <w:r w:rsidR="0080234A">
        <w:rPr>
          <w:rStyle w:val="FootnoteReference"/>
        </w:rPr>
        <w:footnoteReference w:id="23"/>
      </w:r>
      <w:r w:rsidR="0080234A">
        <w:t xml:space="preserve">  In contrast, </w:t>
      </w:r>
      <w:r w:rsidR="00571FE6">
        <w:t xml:space="preserve">here, </w:t>
      </w:r>
      <w:r w:rsidR="0080234A">
        <w:t>Mid-Tex simply missed the deadline because it was confused about the deadline and did not file until more than two months later.</w:t>
      </w:r>
      <w:r w:rsidR="0080234A">
        <w:rPr>
          <w:rStyle w:val="FootnoteReference"/>
        </w:rPr>
        <w:footnoteReference w:id="24"/>
      </w:r>
      <w:r w:rsidR="0080234A">
        <w:t xml:space="preserve">  </w:t>
      </w:r>
    </w:p>
    <w:p w14:paraId="2E025D49" w14:textId="2C9B2DFA" w:rsidR="00FD0E59" w:rsidRDefault="007545AF" w:rsidP="00BD5E7E">
      <w:pPr>
        <w:pStyle w:val="ParaNum"/>
        <w:widowControl/>
      </w:pPr>
      <w:r>
        <w:t xml:space="preserve">We are not persuaded by </w:t>
      </w:r>
      <w:r w:rsidR="0016663C">
        <w:t xml:space="preserve">Mid-Tex’s claim that the Bureau </w:t>
      </w:r>
      <w:r>
        <w:t xml:space="preserve">was arbitrary and capricious because it </w:t>
      </w:r>
      <w:r w:rsidR="0016663C">
        <w:t>“ignor[ed] Mid-Tex’s public interest arguments</w:t>
      </w:r>
      <w:r>
        <w:t>.</w:t>
      </w:r>
      <w:r w:rsidR="0016663C">
        <w:t>”</w:t>
      </w:r>
      <w:r w:rsidR="00204E88">
        <w:rPr>
          <w:rStyle w:val="FootnoteReference"/>
        </w:rPr>
        <w:footnoteReference w:id="25"/>
      </w:r>
      <w:r w:rsidR="00204E88">
        <w:t xml:space="preserve">  Because the Bureau must find that both “special circumstances warrant a deviation from the general rule” </w:t>
      </w:r>
      <w:r w:rsidR="00204E88" w:rsidRPr="00204E88">
        <w:rPr>
          <w:i/>
        </w:rPr>
        <w:t>and</w:t>
      </w:r>
      <w:r w:rsidR="00204E88">
        <w:t xml:space="preserve"> that “such deviation will serve the public interest” </w:t>
      </w:r>
      <w:r w:rsidR="00896000">
        <w:t xml:space="preserve">for there to be good cause to </w:t>
      </w:r>
      <w:r w:rsidR="002653A0">
        <w:t xml:space="preserve">waive a filing deadline, </w:t>
      </w:r>
      <w:r w:rsidR="003B556C">
        <w:t>the Bureau</w:t>
      </w:r>
      <w:r w:rsidR="00E82C32">
        <w:t xml:space="preserve">’s finding that </w:t>
      </w:r>
      <w:r w:rsidR="003B556C">
        <w:t>special circumstances did not exist</w:t>
      </w:r>
      <w:r w:rsidR="008A0013">
        <w:t xml:space="preserve"> </w:t>
      </w:r>
      <w:r w:rsidR="00E82C32">
        <w:t>was sufficient grounds for denying Mid-Tex’s petition</w:t>
      </w:r>
      <w:r w:rsidR="00C7648A">
        <w:t>.</w:t>
      </w:r>
      <w:r w:rsidR="00587322">
        <w:rPr>
          <w:rStyle w:val="FootnoteReference"/>
        </w:rPr>
        <w:footnoteReference w:id="26"/>
      </w:r>
      <w:r w:rsidR="00790FC8">
        <w:t xml:space="preserve">  </w:t>
      </w:r>
      <w:r w:rsidR="00FC285A">
        <w:t xml:space="preserve">Nevertheless, we are not persuaded that it would serve the public interest to grant Mid-Tex’s waiver petition.  </w:t>
      </w:r>
      <w:r w:rsidR="00C87AF5">
        <w:t xml:space="preserve">While we acknowledge that the Commission </w:t>
      </w:r>
      <w:r w:rsidR="00C87AF5" w:rsidRPr="00FD0E59">
        <w:rPr>
          <w:i/>
        </w:rPr>
        <w:t>may</w:t>
      </w:r>
      <w:r w:rsidR="00C87AF5">
        <w:t xml:space="preserve"> take into account considerations of hardship</w:t>
      </w:r>
      <w:r w:rsidR="001D467C">
        <w:t xml:space="preserve"> or equity</w:t>
      </w:r>
      <w:r w:rsidR="00C87AF5">
        <w:t xml:space="preserve"> in determining whether there is good cause to waive a rule,</w:t>
      </w:r>
      <w:r w:rsidR="00C87AF5">
        <w:rPr>
          <w:rStyle w:val="FootnoteReference"/>
        </w:rPr>
        <w:footnoteReference w:id="27"/>
      </w:r>
      <w:r w:rsidR="00C87AF5">
        <w:t xml:space="preserve"> we are not persuaded that </w:t>
      </w:r>
      <w:r w:rsidR="00C5004B">
        <w:t xml:space="preserve">the impact of the loss of support </w:t>
      </w:r>
      <w:r w:rsidR="00C87AF5">
        <w:t>alone constitute</w:t>
      </w:r>
      <w:r w:rsidR="00C5004B">
        <w:t>s</w:t>
      </w:r>
      <w:r w:rsidR="00C87AF5">
        <w:t xml:space="preserve"> good cause to grant the waiver petition. </w:t>
      </w:r>
      <w:r w:rsidR="009401CA">
        <w:t xml:space="preserve"> </w:t>
      </w:r>
      <w:r w:rsidR="004E1BE5">
        <w:t xml:space="preserve">As explained </w:t>
      </w:r>
      <w:r w:rsidR="001A1592">
        <w:t xml:space="preserve">above, where the Bureau has found that the public interest would be served by granting a waiver petition, the Bureau has </w:t>
      </w:r>
      <w:r w:rsidR="00C5004B">
        <w:t xml:space="preserve">typically </w:t>
      </w:r>
      <w:r w:rsidR="001A1592">
        <w:t>relied on other facts in addition to the hardship caused by a reduction in support in making that finding</w:t>
      </w:r>
      <w:r w:rsidR="004E1BE5">
        <w:t xml:space="preserve">. </w:t>
      </w:r>
      <w:r w:rsidR="001A1592">
        <w:t xml:space="preserve"> </w:t>
      </w:r>
      <w:r w:rsidR="00C5004B">
        <w:t>If we were to h</w:t>
      </w:r>
      <w:r w:rsidR="00AE2BA0">
        <w:t>old that the public interest prong of the waiver standard is met whenever a carrier is faced with a reduction in support</w:t>
      </w:r>
      <w:r w:rsidR="00C5004B">
        <w:t>, that</w:t>
      </w:r>
      <w:r w:rsidR="00AE2BA0">
        <w:t xml:space="preserve"> would effectively negate the public interest requirement, as this criterion would be met any time </w:t>
      </w:r>
      <w:r w:rsidR="00C5004B">
        <w:t xml:space="preserve">failure to meet a filing deadline </w:t>
      </w:r>
      <w:r w:rsidR="00AE2BA0">
        <w:t>resulted in reduced support.</w:t>
      </w:r>
      <w:r w:rsidR="00AE2BA0">
        <w:rPr>
          <w:rStyle w:val="FootnoteReference"/>
        </w:rPr>
        <w:footnoteReference w:id="28"/>
      </w:r>
      <w:r w:rsidR="00AE2BA0">
        <w:t xml:space="preserve">  </w:t>
      </w:r>
    </w:p>
    <w:p w14:paraId="6C6B963F" w14:textId="35361E6D" w:rsidR="003615AF" w:rsidRDefault="00FD0E59" w:rsidP="00BD5E7E">
      <w:pPr>
        <w:pStyle w:val="ParaNum"/>
        <w:widowControl/>
      </w:pPr>
      <w:r>
        <w:t>Moreover,</w:t>
      </w:r>
      <w:r w:rsidR="00F31EA4">
        <w:t xml:space="preserve"> </w:t>
      </w:r>
      <w:r w:rsidR="0013039D">
        <w:t>while we acknowledge that</w:t>
      </w:r>
      <w:r w:rsidR="007F19DA">
        <w:t xml:space="preserve"> USAC has a mechanism</w:t>
      </w:r>
      <w:r w:rsidR="007403D1">
        <w:t xml:space="preserve"> in place</w:t>
      </w:r>
      <w:r w:rsidR="007F19DA">
        <w:t xml:space="preserve"> for </w:t>
      </w:r>
      <w:r w:rsidR="00093697">
        <w:t xml:space="preserve">true-ups of </w:t>
      </w:r>
      <w:r w:rsidR="007F19DA">
        <w:t xml:space="preserve">ICLS support, </w:t>
      </w:r>
      <w:r w:rsidR="004C42A8">
        <w:t>we disagree with Mid-Tex’s claims that USAC would not be burdened if we waived the filing deadline.</w:t>
      </w:r>
      <w:r w:rsidR="004C42A8">
        <w:rPr>
          <w:rStyle w:val="FootnoteReference"/>
        </w:rPr>
        <w:footnoteReference w:id="29"/>
      </w:r>
      <w:r w:rsidR="004C42A8">
        <w:t xml:space="preserve"> </w:t>
      </w:r>
      <w:r w:rsidR="007545AF">
        <w:t xml:space="preserve"> Simply put, this line of argument is irrelevant.  </w:t>
      </w:r>
      <w:r w:rsidR="004C42A8">
        <w:t>T</w:t>
      </w:r>
      <w:r w:rsidR="007F19DA">
        <w:t xml:space="preserve">he Bureau has consistently enforced </w:t>
      </w:r>
      <w:r w:rsidR="006E28B2">
        <w:t xml:space="preserve">line count and certification </w:t>
      </w:r>
      <w:r w:rsidR="007F19DA">
        <w:t xml:space="preserve">deadlines absent a finding of special circumstances due to the tremendous amount of data </w:t>
      </w:r>
      <w:r w:rsidR="006C4816">
        <w:t>that USAC processes each year</w:t>
      </w:r>
      <w:r w:rsidR="00672FAE">
        <w:t>.</w:t>
      </w:r>
      <w:r w:rsidR="00676DA0">
        <w:rPr>
          <w:rStyle w:val="FootnoteReference"/>
        </w:rPr>
        <w:footnoteReference w:id="30"/>
      </w:r>
      <w:r w:rsidR="006C4816">
        <w:t xml:space="preserve">  </w:t>
      </w:r>
    </w:p>
    <w:p w14:paraId="6E43D806" w14:textId="30983A43" w:rsidR="00B3524D" w:rsidRDefault="00EA0219" w:rsidP="00BD5E7E">
      <w:pPr>
        <w:pStyle w:val="ParaNum"/>
        <w:widowControl/>
      </w:pPr>
      <w:r>
        <w:t xml:space="preserve">Finally, </w:t>
      </w:r>
      <w:r w:rsidR="00052EA6">
        <w:t>we disagree with Mid-Tex’s claims that by denying Mid-Tex’s waiver petition</w:t>
      </w:r>
      <w:r w:rsidR="002A571F">
        <w:t xml:space="preserve"> </w:t>
      </w:r>
      <w:r w:rsidR="00052EA6">
        <w:t xml:space="preserve">we are undermining the Commission’s universal service </w:t>
      </w:r>
      <w:r w:rsidR="002A571F">
        <w:t>rules</w:t>
      </w:r>
      <w:r w:rsidR="00052EA6">
        <w:t>.</w:t>
      </w:r>
      <w:r w:rsidR="003C592B">
        <w:rPr>
          <w:rStyle w:val="FootnoteReference"/>
        </w:rPr>
        <w:footnoteReference w:id="31"/>
      </w:r>
      <w:r w:rsidR="002A571F">
        <w:t xml:space="preserve"> </w:t>
      </w:r>
      <w:r w:rsidR="0000696C">
        <w:t xml:space="preserve"> </w:t>
      </w:r>
      <w:r w:rsidR="00052EA6">
        <w:t xml:space="preserve">By enforcing filing deadlines we ensure that </w:t>
      </w:r>
      <w:r w:rsidR="00FD0E59">
        <w:t xml:space="preserve">all </w:t>
      </w:r>
      <w:r w:rsidR="0000696C">
        <w:t xml:space="preserve">ETCs </w:t>
      </w:r>
      <w:r w:rsidR="003C592B">
        <w:t xml:space="preserve">timely </w:t>
      </w:r>
      <w:r w:rsidR="0000696C">
        <w:t>receive the universal service support</w:t>
      </w:r>
      <w:r w:rsidR="002A571F">
        <w:t xml:space="preserve"> </w:t>
      </w:r>
      <w:r w:rsidR="003C592B">
        <w:t xml:space="preserve">they </w:t>
      </w:r>
      <w:r w:rsidR="007545AF">
        <w:t>are eligible to receive</w:t>
      </w:r>
      <w:r>
        <w:t xml:space="preserve">.  </w:t>
      </w:r>
      <w:r w:rsidR="00AE2BA0">
        <w:t xml:space="preserve">Because Mid-Tex has not </w:t>
      </w:r>
      <w:r w:rsidR="007545AF">
        <w:t xml:space="preserve">presented any arguments warranting reversal of our prior decision, </w:t>
      </w:r>
      <w:r w:rsidR="00AE2BA0">
        <w:t xml:space="preserve">we deny its petition for reconsideration. </w:t>
      </w:r>
    </w:p>
    <w:p w14:paraId="4D1D748F" w14:textId="77777777" w:rsidR="00E13E13" w:rsidRDefault="00E13E13" w:rsidP="00BD5E7E">
      <w:pPr>
        <w:pStyle w:val="Heading1"/>
        <w:widowControl/>
      </w:pPr>
      <w:r>
        <w:t>oRDERING cLAUSES</w:t>
      </w:r>
    </w:p>
    <w:p w14:paraId="7E0D65B7" w14:textId="3ED23A7F" w:rsidR="00E13E13" w:rsidRDefault="00E13E13" w:rsidP="00BD5E7E">
      <w:pPr>
        <w:pStyle w:val="ParaNum"/>
        <w:widowControl/>
      </w:pPr>
      <w:r>
        <w:t>Accordingly, IT IS ORDERED that, pursuant to the authority contained in sections 1, 4(i), 5 (c), 201, 254, and 405 of the Communications Act of 1934, as amended, 47 U.S.C. §§ 151, 154(i), 155(c), 201, 254, and 405, and sections 0.91, 0.291, 1.3, and 1.106 of t</w:t>
      </w:r>
      <w:r w:rsidR="00732287">
        <w:t>he Commission’s rules, 47 CFR</w:t>
      </w:r>
      <w:r>
        <w:t xml:space="preserve"> §§ 0.91, 0.291, 1.3, and 1.106, Mid-Tex Cellular, Ltd.’s Petition for Reconsideration is DENIED.</w:t>
      </w:r>
    </w:p>
    <w:p w14:paraId="63042087" w14:textId="7C513A82" w:rsidR="00E13E13" w:rsidRDefault="00E13E13" w:rsidP="00BD5E7E">
      <w:pPr>
        <w:pStyle w:val="ParaNum"/>
        <w:widowControl/>
      </w:pPr>
      <w:r w:rsidRPr="00297BE3">
        <w:t xml:space="preserve">IT IS FURTHER ORDERED that, pursuant to section 1.102(b)(1) of the </w:t>
      </w:r>
      <w:r w:rsidR="00732287">
        <w:t>Commission’s rules, 47 CFR</w:t>
      </w:r>
      <w:r w:rsidR="00413288">
        <w:t xml:space="preserve"> § </w:t>
      </w:r>
      <w:r w:rsidRPr="00297BE3">
        <w:t xml:space="preserve">1.102(b)(1), this </w:t>
      </w:r>
      <w:r>
        <w:t>O</w:t>
      </w:r>
      <w:r w:rsidRPr="00297BE3">
        <w:t>rder SHALL BE EFFECTIVE upon release.</w:t>
      </w:r>
    </w:p>
    <w:p w14:paraId="0D01A5FF" w14:textId="77777777" w:rsidR="00DE2908" w:rsidRDefault="00DE2908" w:rsidP="00BD5E7E">
      <w:pPr>
        <w:pStyle w:val="ParaNum"/>
        <w:widowControl/>
        <w:numPr>
          <w:ilvl w:val="0"/>
          <w:numId w:val="0"/>
        </w:numPr>
        <w:ind w:left="720"/>
      </w:pPr>
    </w:p>
    <w:p w14:paraId="1349D99E" w14:textId="279D2BAD" w:rsidR="00DE2908" w:rsidRPr="0052329F" w:rsidRDefault="00F8215D" w:rsidP="00810E08">
      <w:pPr>
        <w:pStyle w:val="ParaNum"/>
        <w:widowControl/>
        <w:numPr>
          <w:ilvl w:val="0"/>
          <w:numId w:val="0"/>
        </w:numPr>
        <w:spacing w:after="0"/>
        <w:ind w:left="3600"/>
      </w:pPr>
      <w:r>
        <w:tab/>
      </w:r>
      <w:r w:rsidR="00DE2908" w:rsidRPr="0052329F">
        <w:t>FEDERAL COMMUNICATIONS COMMISSION</w:t>
      </w:r>
    </w:p>
    <w:p w14:paraId="132E3BCC" w14:textId="77777777" w:rsidR="00DE2908" w:rsidRPr="0019242C" w:rsidRDefault="00DE2908" w:rsidP="00810E08">
      <w:pPr>
        <w:pStyle w:val="ParaNum"/>
        <w:widowControl/>
        <w:numPr>
          <w:ilvl w:val="0"/>
          <w:numId w:val="0"/>
        </w:numPr>
        <w:spacing w:after="0"/>
        <w:ind w:left="720"/>
      </w:pPr>
    </w:p>
    <w:p w14:paraId="6FB8B9D4" w14:textId="77777777" w:rsidR="00DE2908" w:rsidRPr="0019242C" w:rsidRDefault="00DE2908" w:rsidP="00810E08">
      <w:pPr>
        <w:pStyle w:val="ParaNum"/>
        <w:widowControl/>
        <w:numPr>
          <w:ilvl w:val="0"/>
          <w:numId w:val="0"/>
        </w:numPr>
        <w:spacing w:after="0"/>
        <w:ind w:left="720"/>
      </w:pPr>
    </w:p>
    <w:p w14:paraId="1CBDE71D" w14:textId="77777777" w:rsidR="00DE2908" w:rsidRPr="0019242C" w:rsidRDefault="00DE2908" w:rsidP="00810E08">
      <w:pPr>
        <w:pStyle w:val="ParaNum"/>
        <w:widowControl/>
        <w:numPr>
          <w:ilvl w:val="0"/>
          <w:numId w:val="0"/>
        </w:numPr>
        <w:spacing w:after="0"/>
        <w:ind w:left="720"/>
      </w:pPr>
    </w:p>
    <w:p w14:paraId="3C5808FF" w14:textId="77777777" w:rsidR="00DE2908" w:rsidRPr="0019242C" w:rsidRDefault="00DE2908" w:rsidP="00810E08">
      <w:pPr>
        <w:pStyle w:val="ParaNum"/>
        <w:widowControl/>
        <w:numPr>
          <w:ilvl w:val="0"/>
          <w:numId w:val="0"/>
        </w:numPr>
        <w:spacing w:after="0"/>
        <w:ind w:left="720"/>
      </w:pPr>
    </w:p>
    <w:p w14:paraId="7FE85D99" w14:textId="17C25337" w:rsidR="00737A54" w:rsidRPr="0019242C" w:rsidRDefault="00DE2908" w:rsidP="00BD5E7E">
      <w:pPr>
        <w:widowControl/>
        <w:rPr>
          <w:szCs w:val="22"/>
        </w:rPr>
      </w:pPr>
      <w:r>
        <w:tab/>
      </w:r>
      <w:r>
        <w:tab/>
      </w:r>
      <w:r>
        <w:tab/>
      </w:r>
      <w:r>
        <w:tab/>
      </w:r>
      <w:r w:rsidR="00737A54">
        <w:tab/>
      </w:r>
      <w:r w:rsidR="00737A54">
        <w:tab/>
      </w:r>
      <w:r w:rsidR="00737A54">
        <w:rPr>
          <w:szCs w:val="22"/>
        </w:rPr>
        <w:t>Matthew S. DelNero</w:t>
      </w:r>
      <w:r w:rsidR="00737A54" w:rsidRPr="0019242C">
        <w:rPr>
          <w:szCs w:val="22"/>
        </w:rPr>
        <w:tab/>
      </w:r>
      <w:r w:rsidR="00737A54" w:rsidRPr="0019242C">
        <w:rPr>
          <w:szCs w:val="22"/>
        </w:rPr>
        <w:tab/>
      </w:r>
      <w:r w:rsidR="00737A54" w:rsidRPr="0019242C">
        <w:rPr>
          <w:szCs w:val="22"/>
        </w:rPr>
        <w:tab/>
      </w:r>
      <w:r w:rsidR="00737A54" w:rsidRPr="0019242C">
        <w:rPr>
          <w:szCs w:val="22"/>
        </w:rPr>
        <w:tab/>
      </w:r>
    </w:p>
    <w:p w14:paraId="105BA388" w14:textId="14FF27BF" w:rsidR="00737A54" w:rsidRPr="0019242C" w:rsidRDefault="00737A54" w:rsidP="00BD5E7E">
      <w:pPr>
        <w:widowControl/>
        <w:rPr>
          <w:szCs w:val="22"/>
        </w:rPr>
      </w:pPr>
      <w:r w:rsidRPr="0019242C">
        <w:rPr>
          <w:szCs w:val="22"/>
        </w:rPr>
        <w:tab/>
      </w:r>
      <w:r w:rsidRPr="0019242C">
        <w:rPr>
          <w:szCs w:val="22"/>
        </w:rPr>
        <w:tab/>
      </w:r>
      <w:r w:rsidRPr="0019242C">
        <w:rPr>
          <w:szCs w:val="22"/>
        </w:rPr>
        <w:tab/>
      </w:r>
      <w:r w:rsidRPr="0019242C">
        <w:rPr>
          <w:szCs w:val="22"/>
        </w:rPr>
        <w:tab/>
      </w:r>
      <w:r w:rsidRPr="0019242C">
        <w:rPr>
          <w:szCs w:val="22"/>
        </w:rPr>
        <w:tab/>
      </w:r>
      <w:r w:rsidRPr="0019242C">
        <w:rPr>
          <w:szCs w:val="22"/>
        </w:rPr>
        <w:tab/>
        <w:t>Chief</w:t>
      </w:r>
    </w:p>
    <w:p w14:paraId="293115B5" w14:textId="1BA477CC" w:rsidR="00DE2908" w:rsidRPr="00CE69F9" w:rsidRDefault="00737A54" w:rsidP="00BD5E7E">
      <w:pPr>
        <w:pStyle w:val="ParaNum"/>
        <w:widowControl/>
        <w:numPr>
          <w:ilvl w:val="0"/>
          <w:numId w:val="0"/>
        </w:numPr>
        <w:ind w:left="720"/>
      </w:pPr>
      <w:r w:rsidRPr="0019242C">
        <w:tab/>
      </w:r>
      <w:r w:rsidRPr="0019242C">
        <w:tab/>
      </w:r>
      <w:r w:rsidRPr="0019242C">
        <w:tab/>
      </w:r>
      <w:r w:rsidRPr="0019242C">
        <w:tab/>
      </w:r>
      <w:r w:rsidRPr="0019242C">
        <w:tab/>
        <w:t>Wireline Competition Bureau</w:t>
      </w:r>
    </w:p>
    <w:sectPr w:rsidR="00DE2908" w:rsidRPr="00CE69F9"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8B80D" w14:textId="77777777" w:rsidR="00414B10" w:rsidRDefault="00414B10">
      <w:pPr>
        <w:spacing w:line="20" w:lineRule="exact"/>
      </w:pPr>
    </w:p>
  </w:endnote>
  <w:endnote w:type="continuationSeparator" w:id="0">
    <w:p w14:paraId="42744BE3" w14:textId="77777777" w:rsidR="00414B10" w:rsidRDefault="00414B10">
      <w:r>
        <w:t xml:space="preserve"> </w:t>
      </w:r>
    </w:p>
  </w:endnote>
  <w:endnote w:type="continuationNotice" w:id="1">
    <w:p w14:paraId="6F5C1883" w14:textId="77777777" w:rsidR="00414B10" w:rsidRDefault="00414B1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n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9DCCD"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D68661B"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92F1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C2CB6">
      <w:rPr>
        <w:noProof/>
      </w:rPr>
      <w:t>2</w:t>
    </w:r>
    <w:r>
      <w:fldChar w:fldCharType="end"/>
    </w:r>
  </w:p>
  <w:p w14:paraId="4E8FE18A" w14:textId="5737C5FC"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C5A2E" w14:textId="7ABAD0A8"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D7AEB" w14:textId="77777777" w:rsidR="00414B10" w:rsidRDefault="00414B10">
      <w:r>
        <w:separator/>
      </w:r>
    </w:p>
  </w:footnote>
  <w:footnote w:type="continuationSeparator" w:id="0">
    <w:p w14:paraId="74169AE9" w14:textId="77777777" w:rsidR="00414B10" w:rsidRDefault="00414B10" w:rsidP="00C721AC">
      <w:pPr>
        <w:spacing w:before="120"/>
        <w:rPr>
          <w:sz w:val="20"/>
        </w:rPr>
      </w:pPr>
      <w:r>
        <w:rPr>
          <w:sz w:val="20"/>
        </w:rPr>
        <w:t xml:space="preserve">(Continued from previous page)  </w:t>
      </w:r>
      <w:r>
        <w:rPr>
          <w:sz w:val="20"/>
        </w:rPr>
        <w:separator/>
      </w:r>
    </w:p>
  </w:footnote>
  <w:footnote w:type="continuationNotice" w:id="1">
    <w:p w14:paraId="5371C633" w14:textId="77777777" w:rsidR="00414B10" w:rsidRDefault="00414B10" w:rsidP="00C721AC">
      <w:pPr>
        <w:jc w:val="right"/>
        <w:rPr>
          <w:sz w:val="20"/>
        </w:rPr>
      </w:pPr>
      <w:r>
        <w:rPr>
          <w:sz w:val="20"/>
        </w:rPr>
        <w:t>(continued….)</w:t>
      </w:r>
    </w:p>
  </w:footnote>
  <w:footnote w:id="2">
    <w:p w14:paraId="2D2793C1" w14:textId="21B6276E" w:rsidR="008E0972" w:rsidRDefault="008E0972">
      <w:pPr>
        <w:pStyle w:val="FootnoteText"/>
      </w:pPr>
      <w:r>
        <w:rPr>
          <w:rStyle w:val="FootnoteReference"/>
        </w:rPr>
        <w:footnoteRef/>
      </w:r>
      <w:r>
        <w:t xml:space="preserve"> 47 </w:t>
      </w:r>
      <w:r w:rsidR="00732287">
        <w:t>CFR</w:t>
      </w:r>
      <w:r>
        <w:t xml:space="preserve"> § 1.106; Mid-Tex Cellular, Ltd. Petition for Reconsideration, CC Docket No. 96-45 (filed Jan. 26, 2007)</w:t>
      </w:r>
      <w:r w:rsidR="00951CAF">
        <w:t xml:space="preserve"> (Mid-Tex Petition for Reconsideration)</w:t>
      </w:r>
      <w:r>
        <w:t xml:space="preserve">. </w:t>
      </w:r>
    </w:p>
  </w:footnote>
  <w:footnote w:id="3">
    <w:p w14:paraId="625C23F6" w14:textId="354C4B5D" w:rsidR="006C75BB" w:rsidRDefault="006C75BB">
      <w:pPr>
        <w:pStyle w:val="FootnoteText"/>
      </w:pPr>
      <w:r>
        <w:rPr>
          <w:rStyle w:val="FootnoteReference"/>
        </w:rPr>
        <w:footnoteRef/>
      </w:r>
      <w:r>
        <w:t xml:space="preserve"> </w:t>
      </w:r>
      <w:r w:rsidR="0052124C" w:rsidRPr="006A57C6">
        <w:rPr>
          <w:i/>
        </w:rPr>
        <w:t>See Federal-State Joint Board on Universal Service; Mid-Tex Cellular, Ltd. Petition for Waiver of the FCC’s Universal Service Ru</w:t>
      </w:r>
      <w:r w:rsidR="006A57C6" w:rsidRPr="006A57C6">
        <w:rPr>
          <w:i/>
        </w:rPr>
        <w:t>les</w:t>
      </w:r>
      <w:r w:rsidR="006A57C6">
        <w:t>, Order, 21 FCC Rcd 14931 (</w:t>
      </w:r>
      <w:r w:rsidR="00732287">
        <w:t>WCB</w:t>
      </w:r>
      <w:r w:rsidR="006A57C6">
        <w:t>. 2006) (</w:t>
      </w:r>
      <w:r w:rsidR="006A57C6" w:rsidRPr="006A57C6">
        <w:rPr>
          <w:i/>
        </w:rPr>
        <w:t>Mid-Tex Waiver Order</w:t>
      </w:r>
      <w:r w:rsidR="004816B1">
        <w:t>).</w:t>
      </w:r>
    </w:p>
  </w:footnote>
  <w:footnote w:id="4">
    <w:p w14:paraId="03DC6DD6" w14:textId="77777777" w:rsidR="00134836" w:rsidRPr="007F4A5D" w:rsidRDefault="00134836" w:rsidP="00134836">
      <w:pPr>
        <w:pStyle w:val="FootnoteText"/>
      </w:pPr>
      <w:r w:rsidRPr="007F4A5D">
        <w:rPr>
          <w:rStyle w:val="FootnoteReference"/>
        </w:rPr>
        <w:footnoteRef/>
      </w:r>
      <w:r w:rsidRPr="007F4A5D">
        <w:t xml:space="preserve"> 47 U.S.C. § 254(e).</w:t>
      </w:r>
    </w:p>
  </w:footnote>
  <w:footnote w:id="5">
    <w:p w14:paraId="3A6E5993" w14:textId="77777777" w:rsidR="00134836" w:rsidRPr="007F4A5D" w:rsidRDefault="00134836" w:rsidP="00134836">
      <w:pPr>
        <w:pStyle w:val="FootnoteText"/>
      </w:pPr>
      <w:r w:rsidRPr="007F4A5D">
        <w:rPr>
          <w:rStyle w:val="FootnoteReference"/>
        </w:rPr>
        <w:footnoteRef/>
      </w:r>
      <w:r w:rsidRPr="007F4A5D">
        <w:t xml:space="preserve"> </w:t>
      </w:r>
      <w:smartTag w:uri="urn:schemas-microsoft-com:office:smarttags" w:element="place">
        <w:smartTag w:uri="urn:schemas-microsoft-com:office:smarttags" w:element="State">
          <w:r w:rsidRPr="007F4A5D">
            <w:rPr>
              <w:i/>
            </w:rPr>
            <w:t>Id.</w:t>
          </w:r>
        </w:smartTag>
      </w:smartTag>
    </w:p>
  </w:footnote>
  <w:footnote w:id="6">
    <w:p w14:paraId="3E8D9729" w14:textId="3C9C9FED" w:rsidR="00571FE6" w:rsidRDefault="00571FE6" w:rsidP="00571FE6">
      <w:pPr>
        <w:pStyle w:val="FootnoteText"/>
      </w:pPr>
      <w:r>
        <w:rPr>
          <w:rStyle w:val="FootnoteReference"/>
        </w:rPr>
        <w:footnoteRef/>
      </w:r>
      <w:r>
        <w:t xml:space="preserve"> In </w:t>
      </w:r>
      <w:r w:rsidR="003615AF">
        <w:t>2011</w:t>
      </w:r>
      <w:r>
        <w:t xml:space="preserve">, the Commission eliminated the ICLS line count reporting and certification requirements for most carriers and adopted a new uniform framework for accountability.  </w:t>
      </w:r>
      <w:r w:rsidRPr="00832F63">
        <w:rPr>
          <w:i/>
        </w:rPr>
        <w:t>Connect America Fund et a</w:t>
      </w:r>
      <w:r>
        <w:rPr>
          <w:i/>
        </w:rPr>
        <w:t>l.,</w:t>
      </w:r>
      <w:r w:rsidRPr="00832F63">
        <w:rPr>
          <w:i/>
        </w:rPr>
        <w:t xml:space="preserve"> </w:t>
      </w:r>
      <w:r w:rsidRPr="00832F63">
        <w:t>Report and Order and Further Notice of Proposed Rulemaking, 26 FCC Rcd 17663</w:t>
      </w:r>
      <w:r>
        <w:t>, 17849-62, paras. 569-614</w:t>
      </w:r>
      <w:r w:rsidRPr="00832F63">
        <w:t xml:space="preserve"> (2011) (</w:t>
      </w:r>
      <w:r w:rsidRPr="00832F63">
        <w:rPr>
          <w:i/>
        </w:rPr>
        <w:t>USF/ICC Transformation Order and/or FNPRM</w:t>
      </w:r>
      <w:r w:rsidRPr="00832F63">
        <w:t xml:space="preserve">) </w:t>
      </w:r>
      <w:r w:rsidRPr="00832F63">
        <w:rPr>
          <w:i/>
          <w:iCs/>
        </w:rPr>
        <w:t>aff’d sub nom., In re: FCC 11-161</w:t>
      </w:r>
      <w:r w:rsidRPr="00832F63">
        <w:t>, 753 F.3d 1015 (10th Cir. 2014).</w:t>
      </w:r>
      <w:r>
        <w:t xml:space="preserve">  Certain competitive ETCs serving remote areas in Alaska remain subject to the ICLS line count reporting requirements.  47 CFR </w:t>
      </w:r>
      <w:r w:rsidRPr="007F4A5D">
        <w:t>§</w:t>
      </w:r>
      <w:r>
        <w:t xml:space="preserve"> 54.307(e)(7); </w:t>
      </w:r>
      <w:r w:rsidRPr="002304E2">
        <w:rPr>
          <w:i/>
        </w:rPr>
        <w:t>USF/ICC Transformation Order</w:t>
      </w:r>
      <w:r>
        <w:t xml:space="preserve">, 26 FCC Rcd at 17835-36, para. 529.   </w:t>
      </w:r>
    </w:p>
  </w:footnote>
  <w:footnote w:id="7">
    <w:p w14:paraId="2F9D6620" w14:textId="4F91D91F" w:rsidR="00CE6EC3" w:rsidRPr="00E91797" w:rsidRDefault="00CE6EC3" w:rsidP="00CE6EC3">
      <w:pPr>
        <w:pStyle w:val="FootnoteText"/>
      </w:pPr>
      <w:r w:rsidRPr="00E91797">
        <w:rPr>
          <w:rStyle w:val="FootnoteReference"/>
        </w:rPr>
        <w:footnoteRef/>
      </w:r>
      <w:r w:rsidRPr="00E91797">
        <w:t xml:space="preserve"> 47 </w:t>
      </w:r>
      <w:r w:rsidR="00732287">
        <w:t>CFR</w:t>
      </w:r>
      <w:r w:rsidRPr="00E91797">
        <w:t xml:space="preserve"> § 54.904(a).</w:t>
      </w:r>
      <w:r>
        <w:t xml:space="preserve">  </w:t>
      </w:r>
    </w:p>
  </w:footnote>
  <w:footnote w:id="8">
    <w:p w14:paraId="4463998A" w14:textId="194E607B" w:rsidR="00CE6EC3" w:rsidRPr="00E91797" w:rsidRDefault="00CE6EC3" w:rsidP="00CE6EC3">
      <w:pPr>
        <w:pStyle w:val="FootnoteText"/>
        <w:rPr>
          <w:b/>
        </w:rPr>
      </w:pPr>
      <w:r w:rsidRPr="00E91797">
        <w:rPr>
          <w:rStyle w:val="FootnoteReference"/>
        </w:rPr>
        <w:footnoteRef/>
      </w:r>
      <w:r w:rsidRPr="00E91797">
        <w:rPr>
          <w:i/>
        </w:rPr>
        <w:t xml:space="preserve"> </w:t>
      </w:r>
      <w:r w:rsidRPr="00E91797">
        <w:t xml:space="preserve">47 </w:t>
      </w:r>
      <w:r w:rsidR="00732287">
        <w:t>CFR</w:t>
      </w:r>
      <w:r w:rsidRPr="00E91797">
        <w:t xml:space="preserve"> § 54.904(d).  </w:t>
      </w:r>
    </w:p>
  </w:footnote>
  <w:footnote w:id="9">
    <w:p w14:paraId="3C061AA6" w14:textId="3154F953" w:rsidR="00874992" w:rsidRPr="00874992" w:rsidRDefault="00874992">
      <w:pPr>
        <w:pStyle w:val="FootnoteText"/>
        <w:rPr>
          <w:b/>
        </w:rPr>
      </w:pPr>
      <w:r>
        <w:rPr>
          <w:rStyle w:val="FootnoteReference"/>
        </w:rPr>
        <w:footnoteRef/>
      </w:r>
      <w:r>
        <w:t xml:space="preserve"> </w:t>
      </w:r>
      <w:r w:rsidR="00732AF2" w:rsidRPr="00E91797">
        <w:rPr>
          <w:i/>
        </w:rPr>
        <w:t>See</w:t>
      </w:r>
      <w:r w:rsidR="00732AF2" w:rsidRPr="00E91797">
        <w:t xml:space="preserve"> </w:t>
      </w:r>
      <w:r w:rsidR="00732AF2" w:rsidRPr="00E91797">
        <w:rPr>
          <w:i/>
        </w:rPr>
        <w:t>Multi-Association Group (MAG) Plan for Regulation of Interstate Services of Non-Price Cap Incumbent Local Exchange Carriers and Interexchange Carriers</w:t>
      </w:r>
      <w:r w:rsidR="00732AF2">
        <w:rPr>
          <w:i/>
        </w:rPr>
        <w:t xml:space="preserve"> et al.</w:t>
      </w:r>
      <w:r w:rsidR="00732AF2" w:rsidRPr="00E91797">
        <w:t>;</w:t>
      </w:r>
      <w:r w:rsidR="00732AF2">
        <w:t xml:space="preserve"> </w:t>
      </w:r>
      <w:r w:rsidR="00732AF2" w:rsidRPr="00E91797">
        <w:t>Second Report and Order</w:t>
      </w:r>
      <w:r w:rsidR="00732AF2">
        <w:t xml:space="preserve"> et al., </w:t>
      </w:r>
      <w:r w:rsidR="00732AF2" w:rsidRPr="00E91797">
        <w:t>16 FCC Rcd 19613, 19688, para. 176 (2001) (</w:t>
      </w:r>
      <w:r w:rsidR="00732AF2" w:rsidRPr="008500A7">
        <w:t>subsequent history omitted</w:t>
      </w:r>
      <w:r w:rsidR="00732AF2">
        <w:t>).</w:t>
      </w:r>
    </w:p>
  </w:footnote>
  <w:footnote w:id="10">
    <w:p w14:paraId="51393223" w14:textId="4EF4D4A6" w:rsidR="00C930CA" w:rsidRDefault="00C930CA">
      <w:pPr>
        <w:pStyle w:val="FootnoteText"/>
      </w:pPr>
      <w:r>
        <w:rPr>
          <w:rStyle w:val="FootnoteReference"/>
        </w:rPr>
        <w:footnoteRef/>
      </w:r>
      <w:r>
        <w:t xml:space="preserve"> </w:t>
      </w:r>
      <w:r w:rsidRPr="00C930CA">
        <w:rPr>
          <w:i/>
        </w:rPr>
        <w:t>See generally</w:t>
      </w:r>
      <w:r>
        <w:t xml:space="preserve"> </w:t>
      </w:r>
      <w:r w:rsidRPr="00C930CA">
        <w:rPr>
          <w:i/>
        </w:rPr>
        <w:t>Mid-Tex Waiver Order</w:t>
      </w:r>
      <w:r>
        <w:t>, 21 FCC Rcd 14931.</w:t>
      </w:r>
    </w:p>
  </w:footnote>
  <w:footnote w:id="11">
    <w:p w14:paraId="1A454EC5" w14:textId="77777777" w:rsidR="00FA1BDB" w:rsidRDefault="00FA1BDB">
      <w:pPr>
        <w:pStyle w:val="FootnoteText"/>
      </w:pPr>
      <w:r>
        <w:rPr>
          <w:rStyle w:val="FootnoteReference"/>
        </w:rPr>
        <w:footnoteRef/>
      </w:r>
      <w:r>
        <w:t xml:space="preserve"> Mid-Tex Cellular, Ltd. Petition for Waiver of the Commission’s Universal Service Rules, CC Docket No. 96-45, at </w:t>
      </w:r>
      <w:r w:rsidR="00E47869">
        <w:t xml:space="preserve">8 (filed December 20, 2005) (Mid-Tex Petition for Waiver).  </w:t>
      </w:r>
    </w:p>
  </w:footnote>
  <w:footnote w:id="12">
    <w:p w14:paraId="6FEB9E2D" w14:textId="77777777" w:rsidR="008C4411" w:rsidRDefault="008C4411">
      <w:pPr>
        <w:pStyle w:val="FootnoteText"/>
      </w:pPr>
      <w:r>
        <w:rPr>
          <w:rStyle w:val="FootnoteReference"/>
        </w:rPr>
        <w:footnoteRef/>
      </w:r>
      <w:r>
        <w:t xml:space="preserve"> </w:t>
      </w:r>
      <w:r w:rsidRPr="005A705E">
        <w:rPr>
          <w:i/>
        </w:rPr>
        <w:t>Mid-Tex Waiver Order</w:t>
      </w:r>
      <w:r>
        <w:t xml:space="preserve">, 21 FCC Rcd at </w:t>
      </w:r>
      <w:r w:rsidR="00EC37EE">
        <w:t xml:space="preserve">14933, para. </w:t>
      </w:r>
      <w:r w:rsidR="005A705E">
        <w:t>10.</w:t>
      </w:r>
    </w:p>
  </w:footnote>
  <w:footnote w:id="13">
    <w:p w14:paraId="3D20108B" w14:textId="5268890F" w:rsidR="00610AC2" w:rsidRDefault="00610AC2">
      <w:pPr>
        <w:pStyle w:val="FootnoteText"/>
      </w:pPr>
      <w:r>
        <w:rPr>
          <w:rStyle w:val="FootnoteReference"/>
        </w:rPr>
        <w:footnoteRef/>
      </w:r>
      <w:r>
        <w:t xml:space="preserve"> </w:t>
      </w:r>
      <w:r w:rsidR="001C208E">
        <w:t>Mid-T</w:t>
      </w:r>
      <w:r w:rsidR="00732AF2">
        <w:t>ex Petition for Reconsideration</w:t>
      </w:r>
      <w:r w:rsidR="001C208E">
        <w:t xml:space="preserve"> at 4-8.</w:t>
      </w:r>
    </w:p>
  </w:footnote>
  <w:footnote w:id="14">
    <w:p w14:paraId="17C1EAB2" w14:textId="582C8175" w:rsidR="00C5004B" w:rsidRDefault="00C5004B">
      <w:pPr>
        <w:pStyle w:val="FootnoteText"/>
      </w:pPr>
      <w:r>
        <w:rPr>
          <w:rStyle w:val="FootnoteReference"/>
        </w:rPr>
        <w:footnoteRef/>
      </w:r>
      <w:r>
        <w:t xml:space="preserve"> </w:t>
      </w:r>
      <w:r w:rsidRPr="008112C7">
        <w:t xml:space="preserve">Generally, the Commission’s rules may be waived for good cause shown.  47 </w:t>
      </w:r>
      <w:r>
        <w:t>CFR</w:t>
      </w:r>
      <w:r w:rsidRPr="008112C7">
        <w:t xml:space="preserve"> § 1.3.  The Commission may exercise its discretion to waive a rule where the particular facts make strict compliance inconsistent with the public interest.  </w:t>
      </w:r>
      <w:r w:rsidRPr="008112C7">
        <w:rPr>
          <w:i/>
        </w:rPr>
        <w:t>Northeast Cellular Telephone Co. v. FCC</w:t>
      </w:r>
      <w:r w:rsidRPr="008112C7">
        <w:t>, 897 F.2d 1164, 1166 (D.C. Cir. 1990) (</w:t>
      </w:r>
      <w:r w:rsidRPr="008112C7">
        <w:rPr>
          <w:i/>
        </w:rPr>
        <w:t>Northeast Cellular</w:t>
      </w:r>
      <w:r w:rsidRPr="008112C7">
        <w:t xml:space="preserve">).  In addition, the Commission may take into account considerations of hardship, equity, or more effective implementation of overall policy on an individual basis. </w:t>
      </w:r>
      <w:r w:rsidRPr="008112C7">
        <w:rPr>
          <w:i/>
        </w:rPr>
        <w:t xml:space="preserve"> WAIT Radio v. FCC</w:t>
      </w:r>
      <w:r w:rsidRPr="008112C7">
        <w:t xml:space="preserve">, 418 F.2d 1153, 1159 (D.C. Cir. 1969); </w:t>
      </w:r>
      <w:r w:rsidRPr="008112C7">
        <w:rPr>
          <w:i/>
        </w:rPr>
        <w:t>Northeast Cellular</w:t>
      </w:r>
      <w:r w:rsidRPr="008112C7">
        <w:t xml:space="preserve">, 897 F.2d at 1166.  Waiver of the Commission’s rules is appropriate if special circumstances warrant a deviation from the general rule, and such deviation will serve the public interest.  </w:t>
      </w:r>
      <w:r w:rsidRPr="008112C7">
        <w:rPr>
          <w:i/>
        </w:rPr>
        <w:t>Northeast Cellular</w:t>
      </w:r>
      <w:r w:rsidRPr="008112C7">
        <w:t>, 897 F.2d at 1166.</w:t>
      </w:r>
    </w:p>
  </w:footnote>
  <w:footnote w:id="15">
    <w:p w14:paraId="1A3E5EE5" w14:textId="6F08B9E0" w:rsidR="003829BC" w:rsidRDefault="003829BC">
      <w:pPr>
        <w:pStyle w:val="FootnoteText"/>
      </w:pPr>
      <w:r>
        <w:rPr>
          <w:rStyle w:val="FootnoteReference"/>
        </w:rPr>
        <w:footnoteRef/>
      </w:r>
      <w:r>
        <w:t xml:space="preserve"> </w:t>
      </w:r>
      <w:r w:rsidRPr="003829BC">
        <w:rPr>
          <w:i/>
        </w:rPr>
        <w:t>See</w:t>
      </w:r>
      <w:r>
        <w:t xml:space="preserve"> </w:t>
      </w:r>
      <w:r w:rsidR="002F4430">
        <w:t xml:space="preserve">47 </w:t>
      </w:r>
      <w:r w:rsidR="00732287">
        <w:t>CFR</w:t>
      </w:r>
      <w:r w:rsidR="002F4430">
        <w:t xml:space="preserve"> § 1.106 (permitting the Bureau to act on petitions requesting reconsideration of final actions taken pursuant to delegated authority).</w:t>
      </w:r>
    </w:p>
  </w:footnote>
  <w:footnote w:id="16">
    <w:p w14:paraId="1227896D" w14:textId="07D6AE19" w:rsidR="00FC0515" w:rsidRDefault="00FC0515">
      <w:pPr>
        <w:pStyle w:val="FootnoteText"/>
      </w:pPr>
      <w:r>
        <w:rPr>
          <w:rStyle w:val="FootnoteReference"/>
        </w:rPr>
        <w:footnoteRef/>
      </w:r>
      <w:r>
        <w:t xml:space="preserve"> </w:t>
      </w:r>
      <w:r w:rsidR="00732AF2">
        <w:t xml:space="preserve">Mid-Tex Petition for Reconsideration </w:t>
      </w:r>
      <w:r>
        <w:t xml:space="preserve">at 8.  </w:t>
      </w:r>
      <w:r w:rsidR="00C5004B">
        <w:t xml:space="preserve">We note that the Commission subsequently concluded in 2014 that it would require strict adherence to filing deadlines for the new regime of certifications adopted in the </w:t>
      </w:r>
      <w:r w:rsidR="00C5004B" w:rsidRPr="00E728A5">
        <w:rPr>
          <w:i/>
        </w:rPr>
        <w:t>USF/ICC Transformation Order</w:t>
      </w:r>
      <w:r w:rsidR="00C5004B">
        <w:t xml:space="preserve">.  </w:t>
      </w:r>
      <w:r w:rsidR="00C5004B" w:rsidRPr="003D761A">
        <w:rPr>
          <w:i/>
        </w:rPr>
        <w:t>Dec</w:t>
      </w:r>
      <w:r w:rsidR="00475BA8" w:rsidRPr="003D761A">
        <w:rPr>
          <w:i/>
        </w:rPr>
        <w:t xml:space="preserve">ember </w:t>
      </w:r>
      <w:r w:rsidR="00922143">
        <w:rPr>
          <w:i/>
        </w:rPr>
        <w:t xml:space="preserve">2014 Connect America </w:t>
      </w:r>
      <w:r w:rsidR="00C5004B" w:rsidRPr="003D761A">
        <w:rPr>
          <w:i/>
        </w:rPr>
        <w:t>Order</w:t>
      </w:r>
      <w:r w:rsidR="00C5004B">
        <w:t>,</w:t>
      </w:r>
      <w:r w:rsidR="00475BA8">
        <w:t xml:space="preserve"> 29 FCC Rcd</w:t>
      </w:r>
      <w:r w:rsidR="003D761A">
        <w:t xml:space="preserve"> at 15693,</w:t>
      </w:r>
      <w:r w:rsidR="00C5004B">
        <w:t xml:space="preserve"> p</w:t>
      </w:r>
      <w:r w:rsidR="00780CAD">
        <w:t xml:space="preserve">ara. 138.  Under that standard, we would deny the waiver request.  </w:t>
      </w:r>
      <w:r w:rsidR="00C5004B">
        <w:t xml:space="preserve">In this </w:t>
      </w:r>
      <w:r w:rsidR="00BC1C81">
        <w:t xml:space="preserve">order on </w:t>
      </w:r>
      <w:r w:rsidR="00C5004B">
        <w:t xml:space="preserve">reconsideration, we apply the precedent that </w:t>
      </w:r>
      <w:r w:rsidR="00E864F9">
        <w:t>pre-dates this Commission decision</w:t>
      </w:r>
      <w:r w:rsidR="00C5004B">
        <w:t xml:space="preserve">.  </w:t>
      </w:r>
    </w:p>
  </w:footnote>
  <w:footnote w:id="17">
    <w:p w14:paraId="11CFE7C7" w14:textId="3E09A0F6" w:rsidR="00813591" w:rsidRDefault="00813591">
      <w:pPr>
        <w:pStyle w:val="FootnoteText"/>
      </w:pPr>
      <w:r>
        <w:rPr>
          <w:rStyle w:val="FootnoteReference"/>
        </w:rPr>
        <w:footnoteRef/>
      </w:r>
      <w:r>
        <w:t xml:space="preserve"> </w:t>
      </w:r>
      <w:r w:rsidR="00614A5A">
        <w:rPr>
          <w:i/>
        </w:rPr>
        <w:t xml:space="preserve">South Slope Cooperative Telephone </w:t>
      </w:r>
      <w:r w:rsidR="00614A5A" w:rsidRPr="00614A5A">
        <w:rPr>
          <w:i/>
        </w:rPr>
        <w:t>Company, Federal-State Joint Board on Universal Service; South Slope Cooperative Telephone Company Petition for Waiver of Filing Deadline in 47 C.F.R. Section 54.307(c)</w:t>
      </w:r>
      <w:r w:rsidR="00614A5A">
        <w:t>, Order, 19 FCC Rcd 17493</w:t>
      </w:r>
      <w:r w:rsidR="005E624B">
        <w:t>, 17494, para. 5</w:t>
      </w:r>
      <w:r w:rsidR="00614A5A">
        <w:t xml:space="preserve"> (</w:t>
      </w:r>
      <w:r w:rsidR="00732287">
        <w:t>WCB</w:t>
      </w:r>
      <w:r w:rsidR="00614A5A">
        <w:t xml:space="preserve"> 2004)</w:t>
      </w:r>
      <w:r w:rsidR="006E28B2">
        <w:t xml:space="preserve"> (</w:t>
      </w:r>
      <w:r w:rsidR="006E28B2" w:rsidRPr="006E28B2">
        <w:rPr>
          <w:i/>
        </w:rPr>
        <w:t>South Slope Order</w:t>
      </w:r>
      <w:r w:rsidR="006E28B2">
        <w:t>)</w:t>
      </w:r>
      <w:r w:rsidR="00614A5A">
        <w:t xml:space="preserve">; </w:t>
      </w:r>
      <w:r w:rsidRPr="00B273F5">
        <w:rPr>
          <w:i/>
        </w:rPr>
        <w:t>Federal-</w:t>
      </w:r>
      <w:r w:rsidRPr="00813591">
        <w:rPr>
          <w:i/>
        </w:rPr>
        <w:t>State Joint Board on Universal Service et al.</w:t>
      </w:r>
      <w:r>
        <w:t>, Order, 22 FCC Rcd 4946</w:t>
      </w:r>
      <w:r w:rsidR="005E624B">
        <w:t>, 4949, para. 7</w:t>
      </w:r>
      <w:r>
        <w:t xml:space="preserve"> (</w:t>
      </w:r>
      <w:r w:rsidR="00732287">
        <w:t>WCB</w:t>
      </w:r>
      <w:r>
        <w:t xml:space="preserve"> 2007)</w:t>
      </w:r>
      <w:r w:rsidR="00712863">
        <w:t xml:space="preserve">.  </w:t>
      </w:r>
      <w:r w:rsidR="00712863" w:rsidRPr="00712863">
        <w:rPr>
          <w:i/>
        </w:rPr>
        <w:t>See also</w:t>
      </w:r>
      <w:r w:rsidR="00712863">
        <w:t xml:space="preserve"> </w:t>
      </w:r>
      <w:r w:rsidR="00E377D9">
        <w:rPr>
          <w:i/>
        </w:rPr>
        <w:t>Federal-State Joint Board on Universal Service FiberNet, LLC Petition for Waiver of 54.307(c) of the Commission’s Rules and Regulations</w:t>
      </w:r>
      <w:r w:rsidR="00E377D9">
        <w:t>, Order, 19 FCC Rcd 8202 (</w:t>
      </w:r>
      <w:r w:rsidR="00732287">
        <w:t>WCB</w:t>
      </w:r>
      <w:r w:rsidR="00E377D9">
        <w:t xml:space="preserve"> 2004)</w:t>
      </w:r>
      <w:r w:rsidR="006E28B2">
        <w:t xml:space="preserve"> (</w:t>
      </w:r>
      <w:r w:rsidR="006E28B2" w:rsidRPr="006E28B2">
        <w:rPr>
          <w:i/>
        </w:rPr>
        <w:t>FiberNet Order</w:t>
      </w:r>
      <w:r w:rsidR="006E28B2">
        <w:t>)</w:t>
      </w:r>
      <w:r w:rsidR="00E377D9">
        <w:t xml:space="preserve"> (finding that “it is the responsibility of the ETC to plan accordingly so it is in a position to assure that its submissions are filed in a timely manner”</w:t>
      </w:r>
      <w:r w:rsidR="00FB4525">
        <w:t xml:space="preserve"> and noting that “[o]therwise, recently designated ETCs could seek to circumvent program rules by merely alleging that they do not have prior experience with . . . filing procedures”</w:t>
      </w:r>
      <w:r w:rsidR="00E377D9">
        <w:t>);</w:t>
      </w:r>
      <w:r w:rsidR="00E377D9" w:rsidRPr="0032579D">
        <w:rPr>
          <w:i/>
        </w:rPr>
        <w:t xml:space="preserve"> </w:t>
      </w:r>
      <w:r w:rsidR="004D5C20" w:rsidRPr="009C1755">
        <w:rPr>
          <w:i/>
        </w:rPr>
        <w:t>Requests for Waiver by Freehold Regional High School District Englishtown, New Jersey et al.</w:t>
      </w:r>
      <w:r w:rsidR="004D5C20">
        <w:t>, Order, 19 FCC Rcd 2983</w:t>
      </w:r>
      <w:r w:rsidR="001A2798">
        <w:t>, 2985, para. 4</w:t>
      </w:r>
      <w:r w:rsidR="004D5C20">
        <w:t xml:space="preserve"> (</w:t>
      </w:r>
      <w:r w:rsidR="00732287">
        <w:t>WCB</w:t>
      </w:r>
      <w:r w:rsidR="004D5C20">
        <w:t xml:space="preserve"> 2004) (denying a petition for waiver in the E-rate context </w:t>
      </w:r>
      <w:r w:rsidR="0063398C">
        <w:t xml:space="preserve">after finding </w:t>
      </w:r>
      <w:r w:rsidR="004D5C20">
        <w:t>that “[c]onfusion by an applicant does not constitute special circumstances for a waiver . . . .”)</w:t>
      </w:r>
      <w:r w:rsidR="00DD7773">
        <w:t>.</w:t>
      </w:r>
      <w:r w:rsidR="004D5C20">
        <w:t xml:space="preserve"> </w:t>
      </w:r>
    </w:p>
  </w:footnote>
  <w:footnote w:id="18">
    <w:p w14:paraId="13A2E0DF" w14:textId="24B4745F" w:rsidR="0080234A" w:rsidRPr="0032579D" w:rsidRDefault="0080234A">
      <w:pPr>
        <w:pStyle w:val="FootnoteText"/>
        <w:rPr>
          <w:i/>
        </w:rPr>
      </w:pPr>
      <w:r>
        <w:rPr>
          <w:rStyle w:val="FootnoteReference"/>
        </w:rPr>
        <w:footnoteRef/>
      </w:r>
      <w:r>
        <w:t xml:space="preserve"> Mid-Tex Petition for Reconsideration at 4. </w:t>
      </w:r>
      <w:r w:rsidR="00DD7773">
        <w:t xml:space="preserve"> We note that Mid-Tex certified in its </w:t>
      </w:r>
      <w:r w:rsidR="00571FE6">
        <w:t xml:space="preserve">most recent </w:t>
      </w:r>
      <w:r w:rsidR="00DD7773">
        <w:t xml:space="preserve">annual report that its rates complied with the Commission’s reasonably comparable benchmark.  </w:t>
      </w:r>
      <w:r w:rsidR="00DD7773">
        <w:rPr>
          <w:i/>
        </w:rPr>
        <w:t xml:space="preserve">See </w:t>
      </w:r>
      <w:r w:rsidR="00DD7773" w:rsidRPr="00FB0565">
        <w:rPr>
          <w:color w:val="231F20"/>
        </w:rPr>
        <w:t>Letter from John Kuykendall, Vice President, JSI, to Marlene H. Dortch, Secretary, Federal Communications Commission, WC Docket No. 14-58 (filed June 12, 2015) (filing FCC Form 481 on behalf of Mid-Tex Cellular Ltd.)</w:t>
      </w:r>
      <w:r w:rsidR="00DD7773">
        <w:rPr>
          <w:color w:val="231F20"/>
        </w:rPr>
        <w:t>.</w:t>
      </w:r>
    </w:p>
  </w:footnote>
  <w:footnote w:id="19">
    <w:p w14:paraId="4E6C1D33" w14:textId="5BB4A35B" w:rsidR="0080234A" w:rsidRDefault="0080234A" w:rsidP="0080234A">
      <w:pPr>
        <w:pStyle w:val="FootnoteText"/>
      </w:pPr>
      <w:r>
        <w:rPr>
          <w:rStyle w:val="FootnoteReference"/>
        </w:rPr>
        <w:footnoteRef/>
      </w:r>
      <w:r>
        <w:t xml:space="preserve"> </w:t>
      </w:r>
      <w:r w:rsidR="003615AF">
        <w:t xml:space="preserve">Mid-Tex Petition for Reconsideration </w:t>
      </w:r>
      <w:r>
        <w:t>at 4-8.</w:t>
      </w:r>
    </w:p>
  </w:footnote>
  <w:footnote w:id="20">
    <w:p w14:paraId="04194C7D" w14:textId="2B9777F8" w:rsidR="0080234A" w:rsidRDefault="0080234A" w:rsidP="0080234A">
      <w:pPr>
        <w:pStyle w:val="FootnoteText"/>
      </w:pPr>
      <w:r>
        <w:rPr>
          <w:rStyle w:val="FootnoteReference"/>
        </w:rPr>
        <w:footnoteRef/>
      </w:r>
      <w:r>
        <w:t xml:space="preserve"> </w:t>
      </w:r>
      <w:r w:rsidRPr="00D02619">
        <w:rPr>
          <w:i/>
        </w:rPr>
        <w:t>Federal-State Joint Board on Universal Service; NPCR, Inc. Petition for Waiver of Section 54.802(A) of the Commission’s Rules</w:t>
      </w:r>
      <w:r>
        <w:t>, Order, 22 FCC Rcd 560, 562, para. 6 (</w:t>
      </w:r>
      <w:r w:rsidR="00732287">
        <w:t>WCB</w:t>
      </w:r>
      <w:r>
        <w:t xml:space="preserve"> 2007)</w:t>
      </w:r>
      <w:r w:rsidR="00943F1F">
        <w:t xml:space="preserve"> (</w:t>
      </w:r>
      <w:r w:rsidR="00943F1F" w:rsidRPr="00943F1F">
        <w:rPr>
          <w:i/>
        </w:rPr>
        <w:t>NPCR Order</w:t>
      </w:r>
      <w:r w:rsidR="00943F1F">
        <w:t>)</w:t>
      </w:r>
      <w:r>
        <w:t xml:space="preserve"> (filing one business day after the deadline); </w:t>
      </w:r>
      <w:r w:rsidRPr="00C86C00">
        <w:rPr>
          <w:i/>
        </w:rPr>
        <w:t>Federal-State Joint Board on Universal Service; Citizens Communications and Frontier Communications Petition for Waiver of Section 54.802(a) of the Commission’s Rules</w:t>
      </w:r>
      <w:r>
        <w:t>, Order, 20 FCC Rcd 16761, 16763, para. 7 (</w:t>
      </w:r>
      <w:r w:rsidR="00732287">
        <w:t>WCB</w:t>
      </w:r>
      <w:r>
        <w:t xml:space="preserve"> 2005) (filing two business days after the deadline); </w:t>
      </w:r>
      <w:r w:rsidRPr="00F25EBC">
        <w:rPr>
          <w:i/>
        </w:rPr>
        <w:t>Federal-State Joint Board on Universal Service; FiberNet, LLC Petition for Waiver of FCC Rule Section 54.307(c)(4)</w:t>
      </w:r>
      <w:r>
        <w:t>, Order, 20 FCC Rcd 20316, 20317-18, para. 6 (</w:t>
      </w:r>
      <w:r w:rsidR="00732287">
        <w:t>WCB</w:t>
      </w:r>
      <w:r>
        <w:t xml:space="preserve"> 2005) (filing within five business days of the deadline); </w:t>
      </w:r>
      <w:r w:rsidRPr="00F25EBC">
        <w:rPr>
          <w:i/>
        </w:rPr>
        <w:t>Federal-State Joint Board on Universal Service; Verizon Communications Inc. Petition for Waiver of Section 54.802(A) of the Commission’s Rules</w:t>
      </w:r>
      <w:r>
        <w:t>, Order, 21 FCC Rcd 10155, 10157, para. 9 (</w:t>
      </w:r>
      <w:r w:rsidR="00732287">
        <w:t>WCB</w:t>
      </w:r>
      <w:r>
        <w:t xml:space="preserve"> 2006) (filing two business days after the deadline). </w:t>
      </w:r>
    </w:p>
  </w:footnote>
  <w:footnote w:id="21">
    <w:p w14:paraId="59980052" w14:textId="3B7BCC31" w:rsidR="0080234A" w:rsidRPr="00092349" w:rsidRDefault="0080234A" w:rsidP="0080234A">
      <w:pPr>
        <w:pStyle w:val="FootnoteText"/>
      </w:pPr>
      <w:r>
        <w:rPr>
          <w:rStyle w:val="FootnoteReference"/>
        </w:rPr>
        <w:footnoteRef/>
      </w:r>
      <w:r>
        <w:t xml:space="preserve"> </w:t>
      </w:r>
      <w:r>
        <w:rPr>
          <w:i/>
        </w:rPr>
        <w:t>Federal-State Joint Board on Universal Service; Smithville Telephone Company, Inc. Petition for Waiver of Section 54.301 Local Switching Support Data Submission Reporting Date for an Average Schedule Company</w:t>
      </w:r>
      <w:r>
        <w:t>, Order, 19 FCC Rcd 8891, 8892-93, para. 5 (</w:t>
      </w:r>
      <w:r w:rsidR="00732287">
        <w:t>WCB</w:t>
      </w:r>
      <w:r>
        <w:t xml:space="preserve"> 2004) (finding the loss of funding for an entire year may affect the rates customers will be charged, which is not in the public interest); </w:t>
      </w:r>
      <w:r w:rsidR="00732AF2">
        <w:rPr>
          <w:i/>
        </w:rPr>
        <w:t>Federal-</w:t>
      </w:r>
      <w:r w:rsidRPr="009B5854">
        <w:rPr>
          <w:i/>
        </w:rPr>
        <w:t>State Joint Board on Universal Service et al.</w:t>
      </w:r>
      <w:r>
        <w:t>, Order, 20 FCC Rcd 18250, 18253, para. 8 (</w:t>
      </w:r>
      <w:r w:rsidR="00732287">
        <w:t>WCB</w:t>
      </w:r>
      <w:r>
        <w:t xml:space="preserve"> 2005) (finding that loss of funding for an entire year has a much greater impact on a small carrier’s capacity to ensure access to broadband service). </w:t>
      </w:r>
    </w:p>
  </w:footnote>
  <w:footnote w:id="22">
    <w:p w14:paraId="37512A5F" w14:textId="17553FDB" w:rsidR="0080234A" w:rsidRDefault="0080234A" w:rsidP="0080234A">
      <w:pPr>
        <w:pStyle w:val="FootnoteText"/>
      </w:pPr>
      <w:r>
        <w:rPr>
          <w:rStyle w:val="FootnoteReference"/>
        </w:rPr>
        <w:footnoteRef/>
      </w:r>
      <w:r>
        <w:t xml:space="preserve"> </w:t>
      </w:r>
      <w:r w:rsidRPr="006C29D5">
        <w:rPr>
          <w:i/>
        </w:rPr>
        <w:t>Federal-State Joint Board on Universal Service; North River Telephone Cooperative Petition for Waiver of the deadline in 47 C.F.R. § 54.904(d)</w:t>
      </w:r>
      <w:r>
        <w:t>, Order, 21 FCC Rcd 14937, 14938, para. 4 (</w:t>
      </w:r>
      <w:r w:rsidR="00732287">
        <w:t>WCB</w:t>
      </w:r>
      <w:r>
        <w:t xml:space="preserve"> 2006) (filing the </w:t>
      </w:r>
      <w:r w:rsidR="00332AAB">
        <w:t>high-cost</w:t>
      </w:r>
      <w:r>
        <w:t xml:space="preserve"> use certification instead of its ICLS certification inadvertently).</w:t>
      </w:r>
    </w:p>
  </w:footnote>
  <w:footnote w:id="23">
    <w:p w14:paraId="3FD35D85" w14:textId="0E57DBBD" w:rsidR="0080234A" w:rsidRDefault="0080234A" w:rsidP="0080234A">
      <w:pPr>
        <w:pStyle w:val="FootnoteText"/>
      </w:pPr>
      <w:r>
        <w:rPr>
          <w:rStyle w:val="FootnoteReference"/>
        </w:rPr>
        <w:footnoteRef/>
      </w:r>
      <w:r>
        <w:t xml:space="preserve"> </w:t>
      </w:r>
      <w:r w:rsidRPr="00C52DD2">
        <w:rPr>
          <w:i/>
        </w:rPr>
        <w:t>Federal-State Joint Board on Universal Service; MCI, Inc. Petitions for Waiver of Sections 54.802(a) and 54.809(c) of the Commission’s Rules</w:t>
      </w:r>
      <w:r>
        <w:t>, CC 96-45, Order, 21 FCC Rcd 14926, 14928-29, para. 7 (</w:t>
      </w:r>
      <w:r w:rsidR="00732287">
        <w:t>WCB</w:t>
      </w:r>
      <w:r w:rsidR="00FD78F6">
        <w:t xml:space="preserve"> 2006) (finding </w:t>
      </w:r>
      <w:r>
        <w:t xml:space="preserve">a loss of funding </w:t>
      </w:r>
      <w:r w:rsidR="003615AF">
        <w:t xml:space="preserve">to be </w:t>
      </w:r>
      <w:r>
        <w:t xml:space="preserve">excessive given that the company had recently emerged from bankruptcy). </w:t>
      </w:r>
    </w:p>
  </w:footnote>
  <w:footnote w:id="24">
    <w:p w14:paraId="2AB79D72" w14:textId="77777777" w:rsidR="0080234A" w:rsidRDefault="0080234A" w:rsidP="0080234A">
      <w:pPr>
        <w:pStyle w:val="FootnoteText"/>
      </w:pPr>
      <w:r>
        <w:rPr>
          <w:rStyle w:val="FootnoteReference"/>
        </w:rPr>
        <w:footnoteRef/>
      </w:r>
      <w:r>
        <w:t xml:space="preserve"> Mid-Tex Petition for Waiver at 3.</w:t>
      </w:r>
    </w:p>
  </w:footnote>
  <w:footnote w:id="25">
    <w:p w14:paraId="6FFB7436" w14:textId="35F19A36" w:rsidR="00204E88" w:rsidRDefault="00204E88">
      <w:pPr>
        <w:pStyle w:val="FootnoteText"/>
      </w:pPr>
      <w:r>
        <w:rPr>
          <w:rStyle w:val="FootnoteReference"/>
        </w:rPr>
        <w:footnoteRef/>
      </w:r>
      <w:r>
        <w:t xml:space="preserve"> </w:t>
      </w:r>
      <w:r w:rsidR="00565817" w:rsidRPr="00565817">
        <w:rPr>
          <w:i/>
        </w:rPr>
        <w:t>Id.</w:t>
      </w:r>
      <w:r w:rsidR="00A874D3">
        <w:t xml:space="preserve"> at 8.</w:t>
      </w:r>
    </w:p>
  </w:footnote>
  <w:footnote w:id="26">
    <w:p w14:paraId="47FBC936" w14:textId="0BC59582" w:rsidR="00587322" w:rsidRDefault="00587322">
      <w:pPr>
        <w:pStyle w:val="FootnoteText"/>
      </w:pPr>
      <w:r>
        <w:rPr>
          <w:rStyle w:val="FootnoteReference"/>
        </w:rPr>
        <w:footnoteRef/>
      </w:r>
      <w:r>
        <w:t xml:space="preserve"> </w:t>
      </w:r>
      <w:r w:rsidRPr="00587322">
        <w:rPr>
          <w:i/>
        </w:rPr>
        <w:t>See</w:t>
      </w:r>
      <w:r>
        <w:t xml:space="preserve"> </w:t>
      </w:r>
      <w:r w:rsidRPr="008112C7">
        <w:rPr>
          <w:i/>
        </w:rPr>
        <w:t>Northeast Cellular</w:t>
      </w:r>
      <w:r w:rsidR="007C421F">
        <w:t xml:space="preserve">, 897 F.2d at 1166; </w:t>
      </w:r>
      <w:r w:rsidR="007C421F" w:rsidRPr="00832F63">
        <w:rPr>
          <w:i/>
        </w:rPr>
        <w:t>NetworkIP, LLC v. FCC</w:t>
      </w:r>
      <w:r w:rsidR="007C421F">
        <w:t>, 548 F.3d 116, 127</w:t>
      </w:r>
      <w:r w:rsidR="007C421F" w:rsidRPr="00832F63">
        <w:t xml:space="preserve"> (D.C. Cir. 2008) (citation omitted)</w:t>
      </w:r>
      <w:r w:rsidR="007C421F">
        <w:t xml:space="preserve"> (“[B]efore the FCC can invoke its good cause exception, it </w:t>
      </w:r>
      <w:r w:rsidR="007C421F" w:rsidRPr="007C421F">
        <w:rPr>
          <w:i/>
        </w:rPr>
        <w:t>both</w:t>
      </w:r>
      <w:r w:rsidR="007C421F">
        <w:t xml:space="preserve"> ‘must explain why deviation betters serves the public interest, </w:t>
      </w:r>
      <w:r w:rsidR="007C421F" w:rsidRPr="007C421F">
        <w:rPr>
          <w:i/>
        </w:rPr>
        <w:t>and</w:t>
      </w:r>
      <w:r w:rsidR="007C421F">
        <w:t xml:space="preserve"> articulate the nature of the special circumstances . . .’”) (citing </w:t>
      </w:r>
      <w:r w:rsidR="007C421F" w:rsidRPr="008112C7">
        <w:rPr>
          <w:i/>
        </w:rPr>
        <w:t>Northeast Cellular</w:t>
      </w:r>
      <w:r w:rsidR="007C421F">
        <w:t>, 897 F.2d at 1166</w:t>
      </w:r>
      <w:r w:rsidR="004E5062">
        <w:t>).</w:t>
      </w:r>
    </w:p>
  </w:footnote>
  <w:footnote w:id="27">
    <w:p w14:paraId="2BEFD45E" w14:textId="77777777" w:rsidR="00C87AF5" w:rsidRDefault="00C87AF5" w:rsidP="00C87AF5">
      <w:pPr>
        <w:pStyle w:val="FootnoteText"/>
      </w:pPr>
      <w:r>
        <w:rPr>
          <w:rStyle w:val="FootnoteReference"/>
        </w:rPr>
        <w:footnoteRef/>
      </w:r>
      <w:r>
        <w:t xml:space="preserve"> Mid-Tex Petition for Reconsideration at 4 (citing </w:t>
      </w:r>
      <w:r w:rsidRPr="00083BA8">
        <w:rPr>
          <w:i/>
        </w:rPr>
        <w:t>Wait Radio</w:t>
      </w:r>
      <w:r>
        <w:t xml:space="preserve">, 418 F.2d at </w:t>
      </w:r>
      <w:r w:rsidRPr="008112C7">
        <w:t>1159</w:t>
      </w:r>
      <w:r>
        <w:t>).</w:t>
      </w:r>
    </w:p>
  </w:footnote>
  <w:footnote w:id="28">
    <w:p w14:paraId="343DB8E0" w14:textId="7D7479A9" w:rsidR="00AE2BA0" w:rsidRDefault="00AE2BA0" w:rsidP="00AE2BA0">
      <w:pPr>
        <w:pStyle w:val="FootnoteText"/>
      </w:pPr>
      <w:r>
        <w:rPr>
          <w:rStyle w:val="FootnoteReference"/>
        </w:rPr>
        <w:footnoteRef/>
      </w:r>
      <w:r>
        <w:t xml:space="preserve"> </w:t>
      </w:r>
      <w:r w:rsidR="00C5004B" w:rsidRPr="007C4968">
        <w:rPr>
          <w:i/>
        </w:rPr>
        <w:t>See also</w:t>
      </w:r>
      <w:r w:rsidR="00C5004B">
        <w:t xml:space="preserve"> </w:t>
      </w:r>
      <w:r w:rsidRPr="00223ED8">
        <w:rPr>
          <w:i/>
        </w:rPr>
        <w:t>Coral Wireless d/b/a Mobi PCS Request for Review of the Decision of the Universal Service Administrator et al.</w:t>
      </w:r>
      <w:r>
        <w:t>, Order, 29 FCC Rcd 9540, 9542</w:t>
      </w:r>
      <w:r w:rsidR="00732287">
        <w:t>,</w:t>
      </w:r>
      <w:r>
        <w:t xml:space="preserve"> para. 8 (</w:t>
      </w:r>
      <w:r w:rsidR="00732287">
        <w:t>WCB</w:t>
      </w:r>
      <w:r>
        <w:t xml:space="preserve"> 2014)</w:t>
      </w:r>
    </w:p>
  </w:footnote>
  <w:footnote w:id="29">
    <w:p w14:paraId="692C938A" w14:textId="77777777" w:rsidR="004C42A8" w:rsidRDefault="004C42A8" w:rsidP="004C42A8">
      <w:pPr>
        <w:pStyle w:val="FootnoteText"/>
      </w:pPr>
      <w:r>
        <w:rPr>
          <w:rStyle w:val="FootnoteReference"/>
        </w:rPr>
        <w:footnoteRef/>
      </w:r>
      <w:r>
        <w:t xml:space="preserve"> Mid-Tex Petition for Reconsideration at 8; Mid-Tex Petition for Waiver at 12.</w:t>
      </w:r>
    </w:p>
  </w:footnote>
  <w:footnote w:id="30">
    <w:p w14:paraId="59648EFD" w14:textId="71D0A1F4" w:rsidR="00676DA0" w:rsidRPr="00676DA0" w:rsidRDefault="00676DA0">
      <w:pPr>
        <w:pStyle w:val="FootnoteText"/>
      </w:pPr>
      <w:r>
        <w:rPr>
          <w:rStyle w:val="FootnoteReference"/>
        </w:rPr>
        <w:footnoteRef/>
      </w:r>
      <w:r>
        <w:t xml:space="preserve"> </w:t>
      </w:r>
      <w:r w:rsidRPr="00676DA0">
        <w:rPr>
          <w:i/>
        </w:rPr>
        <w:t>See, e.g.</w:t>
      </w:r>
      <w:r>
        <w:t xml:space="preserve">, </w:t>
      </w:r>
      <w:r w:rsidRPr="00676DA0">
        <w:rPr>
          <w:i/>
        </w:rPr>
        <w:t>FiberNet Order</w:t>
      </w:r>
      <w:r>
        <w:t xml:space="preserve">, 19 FCC Rcd at 8204, para. 5; </w:t>
      </w:r>
      <w:r w:rsidR="006E28B2" w:rsidRPr="00943F1F">
        <w:rPr>
          <w:i/>
        </w:rPr>
        <w:t>South Slope Order</w:t>
      </w:r>
      <w:r w:rsidR="006E28B2">
        <w:t xml:space="preserve">, 19 FCC Rcd at </w:t>
      </w:r>
      <w:r w:rsidR="00943F1F">
        <w:t xml:space="preserve">17494, para. 5; </w:t>
      </w:r>
      <w:r w:rsidR="00943F1F" w:rsidRPr="00943F1F">
        <w:rPr>
          <w:i/>
        </w:rPr>
        <w:t>NPCR Order</w:t>
      </w:r>
      <w:r w:rsidR="00943F1F">
        <w:t xml:space="preserve">, 22 FCC Rcd at 561, para. 6. </w:t>
      </w:r>
    </w:p>
  </w:footnote>
  <w:footnote w:id="31">
    <w:p w14:paraId="484CB854" w14:textId="20E9D157" w:rsidR="003C592B" w:rsidRDefault="003C592B">
      <w:pPr>
        <w:pStyle w:val="FootnoteText"/>
      </w:pPr>
      <w:r>
        <w:rPr>
          <w:rStyle w:val="FootnoteReference"/>
        </w:rPr>
        <w:footnoteRef/>
      </w:r>
      <w:r>
        <w:t xml:space="preserve"> Mid-Tex P</w:t>
      </w:r>
      <w:r w:rsidR="00732AF2">
        <w:t xml:space="preserve">etition for Reconsideration at </w:t>
      </w:r>
      <w:r>
        <w:t xml:space="preserve">8; Mid-Tex Petition for Waiver at </w:t>
      </w:r>
      <w:r w:rsidR="00732AF2">
        <w:t>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F238" w14:textId="77777777" w:rsidR="00CF21C5" w:rsidRDefault="00CF21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A639" w14:textId="1B0861B3" w:rsidR="00D25FB5" w:rsidRDefault="00D25FB5" w:rsidP="00810B6F">
    <w:pPr>
      <w:pStyle w:val="Header"/>
      <w:rPr>
        <w:b w:val="0"/>
      </w:rPr>
    </w:pPr>
    <w:r>
      <w:tab/>
      <w:t>Federal Communications Commission</w:t>
    </w:r>
    <w:r>
      <w:tab/>
    </w:r>
    <w:r w:rsidR="00B23245">
      <w:t>DA 16</w:t>
    </w:r>
    <w:r w:rsidR="00D6368F">
      <w:t>-</w:t>
    </w:r>
    <w:r w:rsidR="004C7B33">
      <w:t>433</w:t>
    </w:r>
  </w:p>
  <w:p w14:paraId="2277CA73" w14:textId="77777777" w:rsidR="00D25FB5" w:rsidRDefault="007C2E12">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714917D" wp14:editId="2B1E2F5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5039C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689E6D6D"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18A7E" w14:textId="4EA20416" w:rsidR="00D25FB5" w:rsidRDefault="007C2E12"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00C0383" wp14:editId="27EF94AE">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53226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23245">
      <w:rPr>
        <w:spacing w:val="-2"/>
      </w:rPr>
      <w:t>DA 16-</w:t>
    </w:r>
    <w:r w:rsidR="004C7B33">
      <w:rPr>
        <w:spacing w:val="-2"/>
      </w:rPr>
      <w:t>433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66D6792E"/>
    <w:lvl w:ilvl="0">
      <w:start w:val="1"/>
      <w:numFmt w:val="decimal"/>
      <w:pStyle w:val="ParaNum"/>
      <w:lvlText w:val="%1."/>
      <w:lvlJc w:val="left"/>
      <w:pPr>
        <w:tabs>
          <w:tab w:val="num" w:pos="1080"/>
        </w:tabs>
        <w:ind w:left="0" w:firstLine="720"/>
      </w:pPr>
      <w:rPr>
        <w:i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02261"/>
    <w:rsid w:val="00002B68"/>
    <w:rsid w:val="0000696C"/>
    <w:rsid w:val="0001396E"/>
    <w:rsid w:val="00036039"/>
    <w:rsid w:val="00037F90"/>
    <w:rsid w:val="00041ED7"/>
    <w:rsid w:val="000423E4"/>
    <w:rsid w:val="00052EA6"/>
    <w:rsid w:val="0006581D"/>
    <w:rsid w:val="00072355"/>
    <w:rsid w:val="00083BA8"/>
    <w:rsid w:val="000875BF"/>
    <w:rsid w:val="00092349"/>
    <w:rsid w:val="00093697"/>
    <w:rsid w:val="00096D8C"/>
    <w:rsid w:val="000B7B07"/>
    <w:rsid w:val="000C0B65"/>
    <w:rsid w:val="000E05FE"/>
    <w:rsid w:val="000E363A"/>
    <w:rsid w:val="000E3CBC"/>
    <w:rsid w:val="000E3D42"/>
    <w:rsid w:val="000E6C04"/>
    <w:rsid w:val="000F667F"/>
    <w:rsid w:val="000F7DF7"/>
    <w:rsid w:val="001034BB"/>
    <w:rsid w:val="00110B51"/>
    <w:rsid w:val="00116426"/>
    <w:rsid w:val="00122BD5"/>
    <w:rsid w:val="00126C28"/>
    <w:rsid w:val="0013039D"/>
    <w:rsid w:val="00133F79"/>
    <w:rsid w:val="00134836"/>
    <w:rsid w:val="0016663C"/>
    <w:rsid w:val="0019307C"/>
    <w:rsid w:val="00194A66"/>
    <w:rsid w:val="001A1592"/>
    <w:rsid w:val="001A2798"/>
    <w:rsid w:val="001A3F73"/>
    <w:rsid w:val="001C208E"/>
    <w:rsid w:val="001D2B9A"/>
    <w:rsid w:val="001D467C"/>
    <w:rsid w:val="001D6BCF"/>
    <w:rsid w:val="001E01CA"/>
    <w:rsid w:val="002031E8"/>
    <w:rsid w:val="00204E88"/>
    <w:rsid w:val="00213E9B"/>
    <w:rsid w:val="00220338"/>
    <w:rsid w:val="00221FB5"/>
    <w:rsid w:val="00223ED8"/>
    <w:rsid w:val="00235711"/>
    <w:rsid w:val="00254FAB"/>
    <w:rsid w:val="002653A0"/>
    <w:rsid w:val="0027288E"/>
    <w:rsid w:val="002745C4"/>
    <w:rsid w:val="00275CF5"/>
    <w:rsid w:val="00280A27"/>
    <w:rsid w:val="0028197B"/>
    <w:rsid w:val="0028301F"/>
    <w:rsid w:val="00283063"/>
    <w:rsid w:val="00285017"/>
    <w:rsid w:val="00287E9A"/>
    <w:rsid w:val="00290D93"/>
    <w:rsid w:val="00294482"/>
    <w:rsid w:val="00295ED8"/>
    <w:rsid w:val="002A2D2E"/>
    <w:rsid w:val="002A571F"/>
    <w:rsid w:val="002B1ED8"/>
    <w:rsid w:val="002C00E8"/>
    <w:rsid w:val="002F4430"/>
    <w:rsid w:val="0032579D"/>
    <w:rsid w:val="00332AAB"/>
    <w:rsid w:val="00337747"/>
    <w:rsid w:val="00343749"/>
    <w:rsid w:val="00343812"/>
    <w:rsid w:val="003505F7"/>
    <w:rsid w:val="003615AF"/>
    <w:rsid w:val="003660ED"/>
    <w:rsid w:val="0038202B"/>
    <w:rsid w:val="003829BC"/>
    <w:rsid w:val="0039458E"/>
    <w:rsid w:val="003B0550"/>
    <w:rsid w:val="003B1DDE"/>
    <w:rsid w:val="003B556C"/>
    <w:rsid w:val="003B694F"/>
    <w:rsid w:val="003C2CEF"/>
    <w:rsid w:val="003C592B"/>
    <w:rsid w:val="003D761A"/>
    <w:rsid w:val="003E4162"/>
    <w:rsid w:val="003F171C"/>
    <w:rsid w:val="003F3A82"/>
    <w:rsid w:val="00403AB3"/>
    <w:rsid w:val="00412FC5"/>
    <w:rsid w:val="00413288"/>
    <w:rsid w:val="00414B10"/>
    <w:rsid w:val="00415E74"/>
    <w:rsid w:val="00417B03"/>
    <w:rsid w:val="00422276"/>
    <w:rsid w:val="004242F1"/>
    <w:rsid w:val="004278A4"/>
    <w:rsid w:val="00445A00"/>
    <w:rsid w:val="0045086A"/>
    <w:rsid w:val="00450FF9"/>
    <w:rsid w:val="00451B0F"/>
    <w:rsid w:val="00461EDF"/>
    <w:rsid w:val="00475BA8"/>
    <w:rsid w:val="00481498"/>
    <w:rsid w:val="004816B1"/>
    <w:rsid w:val="00483DE9"/>
    <w:rsid w:val="00495CDB"/>
    <w:rsid w:val="004C1E29"/>
    <w:rsid w:val="004C2EE3"/>
    <w:rsid w:val="004C42A8"/>
    <w:rsid w:val="004C795C"/>
    <w:rsid w:val="004C7B33"/>
    <w:rsid w:val="004D5C20"/>
    <w:rsid w:val="004E1BE5"/>
    <w:rsid w:val="004E467B"/>
    <w:rsid w:val="004E4A22"/>
    <w:rsid w:val="004E5039"/>
    <w:rsid w:val="004E5062"/>
    <w:rsid w:val="00511968"/>
    <w:rsid w:val="0051478A"/>
    <w:rsid w:val="0052124C"/>
    <w:rsid w:val="0052329F"/>
    <w:rsid w:val="00550D3A"/>
    <w:rsid w:val="00551FD9"/>
    <w:rsid w:val="0055614C"/>
    <w:rsid w:val="00565817"/>
    <w:rsid w:val="0056651C"/>
    <w:rsid w:val="00571FE6"/>
    <w:rsid w:val="00572B29"/>
    <w:rsid w:val="0057583F"/>
    <w:rsid w:val="005758AD"/>
    <w:rsid w:val="005845D2"/>
    <w:rsid w:val="00584C59"/>
    <w:rsid w:val="00587322"/>
    <w:rsid w:val="00591956"/>
    <w:rsid w:val="00594585"/>
    <w:rsid w:val="00596542"/>
    <w:rsid w:val="005A1067"/>
    <w:rsid w:val="005A705E"/>
    <w:rsid w:val="005B1F54"/>
    <w:rsid w:val="005D057E"/>
    <w:rsid w:val="005D4E5C"/>
    <w:rsid w:val="005E14C2"/>
    <w:rsid w:val="005E624B"/>
    <w:rsid w:val="00607BA5"/>
    <w:rsid w:val="00610AC2"/>
    <w:rsid w:val="0061180A"/>
    <w:rsid w:val="00611CE9"/>
    <w:rsid w:val="00614A5A"/>
    <w:rsid w:val="0062101D"/>
    <w:rsid w:val="00626EB6"/>
    <w:rsid w:val="00630398"/>
    <w:rsid w:val="0063398C"/>
    <w:rsid w:val="006529DE"/>
    <w:rsid w:val="00655D03"/>
    <w:rsid w:val="0067158B"/>
    <w:rsid w:val="00672FAE"/>
    <w:rsid w:val="00676DA0"/>
    <w:rsid w:val="00683388"/>
    <w:rsid w:val="00683F84"/>
    <w:rsid w:val="00696A04"/>
    <w:rsid w:val="006A57C6"/>
    <w:rsid w:val="006A6A81"/>
    <w:rsid w:val="006B597B"/>
    <w:rsid w:val="006C29D5"/>
    <w:rsid w:val="006C4816"/>
    <w:rsid w:val="006C75BB"/>
    <w:rsid w:val="006E28B2"/>
    <w:rsid w:val="006E5F8D"/>
    <w:rsid w:val="006F67E6"/>
    <w:rsid w:val="006F7393"/>
    <w:rsid w:val="0070224F"/>
    <w:rsid w:val="00705247"/>
    <w:rsid w:val="007076FF"/>
    <w:rsid w:val="007115F7"/>
    <w:rsid w:val="00712863"/>
    <w:rsid w:val="00726483"/>
    <w:rsid w:val="00732287"/>
    <w:rsid w:val="00732AF2"/>
    <w:rsid w:val="00736FA1"/>
    <w:rsid w:val="00737A54"/>
    <w:rsid w:val="007403D1"/>
    <w:rsid w:val="007545AF"/>
    <w:rsid w:val="00755BD8"/>
    <w:rsid w:val="00760E72"/>
    <w:rsid w:val="007757C2"/>
    <w:rsid w:val="00780CAD"/>
    <w:rsid w:val="00785689"/>
    <w:rsid w:val="00790FC8"/>
    <w:rsid w:val="0079754B"/>
    <w:rsid w:val="007A1E6D"/>
    <w:rsid w:val="007B0EB2"/>
    <w:rsid w:val="007B69A1"/>
    <w:rsid w:val="007C2E12"/>
    <w:rsid w:val="007C421F"/>
    <w:rsid w:val="007C4968"/>
    <w:rsid w:val="007E3792"/>
    <w:rsid w:val="007E7399"/>
    <w:rsid w:val="007F19DA"/>
    <w:rsid w:val="0080234A"/>
    <w:rsid w:val="00810B6F"/>
    <w:rsid w:val="00810E08"/>
    <w:rsid w:val="00813591"/>
    <w:rsid w:val="0082035B"/>
    <w:rsid w:val="00822CE0"/>
    <w:rsid w:val="00825C23"/>
    <w:rsid w:val="00841AB1"/>
    <w:rsid w:val="00854829"/>
    <w:rsid w:val="008626A3"/>
    <w:rsid w:val="00871A31"/>
    <w:rsid w:val="00874992"/>
    <w:rsid w:val="0087588C"/>
    <w:rsid w:val="00896000"/>
    <w:rsid w:val="008A0013"/>
    <w:rsid w:val="008B28B6"/>
    <w:rsid w:val="008B7A9F"/>
    <w:rsid w:val="008C4411"/>
    <w:rsid w:val="008C68F1"/>
    <w:rsid w:val="008E0972"/>
    <w:rsid w:val="008F0EBB"/>
    <w:rsid w:val="00921803"/>
    <w:rsid w:val="00922143"/>
    <w:rsid w:val="00926503"/>
    <w:rsid w:val="009401CA"/>
    <w:rsid w:val="00943F1F"/>
    <w:rsid w:val="0094645D"/>
    <w:rsid w:val="00951CAF"/>
    <w:rsid w:val="00962D26"/>
    <w:rsid w:val="00963F43"/>
    <w:rsid w:val="00965807"/>
    <w:rsid w:val="009726D8"/>
    <w:rsid w:val="009A4E0C"/>
    <w:rsid w:val="009B329A"/>
    <w:rsid w:val="009B5854"/>
    <w:rsid w:val="009C1755"/>
    <w:rsid w:val="009E19EB"/>
    <w:rsid w:val="009F10CC"/>
    <w:rsid w:val="009F76DB"/>
    <w:rsid w:val="00A013FA"/>
    <w:rsid w:val="00A01E93"/>
    <w:rsid w:val="00A03152"/>
    <w:rsid w:val="00A21CAF"/>
    <w:rsid w:val="00A32C3B"/>
    <w:rsid w:val="00A45F4F"/>
    <w:rsid w:val="00A600A9"/>
    <w:rsid w:val="00A8569E"/>
    <w:rsid w:val="00A85D39"/>
    <w:rsid w:val="00A874D3"/>
    <w:rsid w:val="00AA0789"/>
    <w:rsid w:val="00AA55B7"/>
    <w:rsid w:val="00AA5B9E"/>
    <w:rsid w:val="00AB2407"/>
    <w:rsid w:val="00AB53DF"/>
    <w:rsid w:val="00AB6D42"/>
    <w:rsid w:val="00AE2BA0"/>
    <w:rsid w:val="00AF0994"/>
    <w:rsid w:val="00B07E5C"/>
    <w:rsid w:val="00B23245"/>
    <w:rsid w:val="00B267A5"/>
    <w:rsid w:val="00B26A4D"/>
    <w:rsid w:val="00B273F5"/>
    <w:rsid w:val="00B3524D"/>
    <w:rsid w:val="00B51ECE"/>
    <w:rsid w:val="00B550E9"/>
    <w:rsid w:val="00B63AE7"/>
    <w:rsid w:val="00B666CF"/>
    <w:rsid w:val="00B811F7"/>
    <w:rsid w:val="00B85E2D"/>
    <w:rsid w:val="00B8762C"/>
    <w:rsid w:val="00BA5DC6"/>
    <w:rsid w:val="00BA6196"/>
    <w:rsid w:val="00BA7798"/>
    <w:rsid w:val="00BC1C81"/>
    <w:rsid w:val="00BC6D8C"/>
    <w:rsid w:val="00BD1C05"/>
    <w:rsid w:val="00BD5E7E"/>
    <w:rsid w:val="00BD7263"/>
    <w:rsid w:val="00C34006"/>
    <w:rsid w:val="00C426B1"/>
    <w:rsid w:val="00C5004B"/>
    <w:rsid w:val="00C52DD2"/>
    <w:rsid w:val="00C63877"/>
    <w:rsid w:val="00C647E7"/>
    <w:rsid w:val="00C66160"/>
    <w:rsid w:val="00C721AC"/>
    <w:rsid w:val="00C74571"/>
    <w:rsid w:val="00C7648A"/>
    <w:rsid w:val="00C86C00"/>
    <w:rsid w:val="00C87AF5"/>
    <w:rsid w:val="00C90D6A"/>
    <w:rsid w:val="00C930CA"/>
    <w:rsid w:val="00C933D4"/>
    <w:rsid w:val="00C95F90"/>
    <w:rsid w:val="00CA247E"/>
    <w:rsid w:val="00CB7AEE"/>
    <w:rsid w:val="00CC72B6"/>
    <w:rsid w:val="00CE1B93"/>
    <w:rsid w:val="00CE251C"/>
    <w:rsid w:val="00CE69F9"/>
    <w:rsid w:val="00CE6EC3"/>
    <w:rsid w:val="00CF21C5"/>
    <w:rsid w:val="00D01C43"/>
    <w:rsid w:val="00D0218D"/>
    <w:rsid w:val="00D02619"/>
    <w:rsid w:val="00D07376"/>
    <w:rsid w:val="00D152FF"/>
    <w:rsid w:val="00D25FB5"/>
    <w:rsid w:val="00D4307C"/>
    <w:rsid w:val="00D44223"/>
    <w:rsid w:val="00D52D75"/>
    <w:rsid w:val="00D6368F"/>
    <w:rsid w:val="00D8092D"/>
    <w:rsid w:val="00D9040B"/>
    <w:rsid w:val="00DA2529"/>
    <w:rsid w:val="00DB130A"/>
    <w:rsid w:val="00DB2EBB"/>
    <w:rsid w:val="00DC07BA"/>
    <w:rsid w:val="00DC10A1"/>
    <w:rsid w:val="00DC655F"/>
    <w:rsid w:val="00DC7D8B"/>
    <w:rsid w:val="00DD0B59"/>
    <w:rsid w:val="00DD3880"/>
    <w:rsid w:val="00DD7773"/>
    <w:rsid w:val="00DD7EBD"/>
    <w:rsid w:val="00DE2908"/>
    <w:rsid w:val="00DF0D12"/>
    <w:rsid w:val="00DF62B6"/>
    <w:rsid w:val="00E07225"/>
    <w:rsid w:val="00E11E6A"/>
    <w:rsid w:val="00E13E13"/>
    <w:rsid w:val="00E21BD7"/>
    <w:rsid w:val="00E377D9"/>
    <w:rsid w:val="00E409B1"/>
    <w:rsid w:val="00E47869"/>
    <w:rsid w:val="00E5409F"/>
    <w:rsid w:val="00E70708"/>
    <w:rsid w:val="00E82C32"/>
    <w:rsid w:val="00E8589F"/>
    <w:rsid w:val="00E864F9"/>
    <w:rsid w:val="00EA0219"/>
    <w:rsid w:val="00EB179F"/>
    <w:rsid w:val="00EB6EBA"/>
    <w:rsid w:val="00EC37EE"/>
    <w:rsid w:val="00EC4210"/>
    <w:rsid w:val="00EC704C"/>
    <w:rsid w:val="00EE6488"/>
    <w:rsid w:val="00EF1021"/>
    <w:rsid w:val="00EF3069"/>
    <w:rsid w:val="00F021FA"/>
    <w:rsid w:val="00F11835"/>
    <w:rsid w:val="00F1308A"/>
    <w:rsid w:val="00F25EBC"/>
    <w:rsid w:val="00F272B8"/>
    <w:rsid w:val="00F31EA4"/>
    <w:rsid w:val="00F62DC4"/>
    <w:rsid w:val="00F62E97"/>
    <w:rsid w:val="00F64209"/>
    <w:rsid w:val="00F8215D"/>
    <w:rsid w:val="00F93BF5"/>
    <w:rsid w:val="00FA0FEF"/>
    <w:rsid w:val="00FA1BDB"/>
    <w:rsid w:val="00FB4525"/>
    <w:rsid w:val="00FC0515"/>
    <w:rsid w:val="00FC285A"/>
    <w:rsid w:val="00FC2CB6"/>
    <w:rsid w:val="00FD0E59"/>
    <w:rsid w:val="00FD3FE0"/>
    <w:rsid w:val="00FD78F6"/>
    <w:rsid w:val="00FE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14:docId w14:val="1D4A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 Cha"/>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rsid w:val="00134836"/>
  </w:style>
  <w:style w:type="paragraph" w:customStyle="1" w:styleId="StyleParaNumTimesnewromnaLeftAfter0pt">
    <w:name w:val="Style ParaNum + Times new romna Left After:  0 pt"/>
    <w:basedOn w:val="ParaNum"/>
    <w:rsid w:val="00134836"/>
    <w:pPr>
      <w:numPr>
        <w:numId w:val="0"/>
      </w:numPr>
      <w:tabs>
        <w:tab w:val="num" w:pos="360"/>
        <w:tab w:val="num" w:pos="1440"/>
      </w:tabs>
      <w:spacing w:after="0"/>
      <w:ind w:firstLine="720"/>
    </w:pPr>
    <w:rPr>
      <w:rFonts w:ascii="Times new romna" w:hAnsi="Times new romna"/>
    </w:rPr>
  </w:style>
  <w:style w:type="character" w:customStyle="1" w:styleId="ParaNumChar">
    <w:name w:val="ParaNum Char"/>
    <w:link w:val="ParaNum"/>
    <w:uiPriority w:val="99"/>
    <w:rsid w:val="00134836"/>
    <w:rPr>
      <w:snapToGrid w:val="0"/>
      <w:kern w:val="28"/>
      <w:sz w:val="22"/>
    </w:rPr>
  </w:style>
  <w:style w:type="character" w:styleId="CommentReference">
    <w:name w:val="annotation reference"/>
    <w:basedOn w:val="DefaultParagraphFont"/>
    <w:rsid w:val="00D07376"/>
    <w:rPr>
      <w:sz w:val="16"/>
      <w:szCs w:val="16"/>
    </w:rPr>
  </w:style>
  <w:style w:type="paragraph" w:styleId="CommentText">
    <w:name w:val="annotation text"/>
    <w:basedOn w:val="Normal"/>
    <w:link w:val="CommentTextChar"/>
    <w:rsid w:val="00D07376"/>
    <w:rPr>
      <w:sz w:val="20"/>
    </w:rPr>
  </w:style>
  <w:style w:type="character" w:customStyle="1" w:styleId="CommentTextChar">
    <w:name w:val="Comment Text Char"/>
    <w:basedOn w:val="DefaultParagraphFont"/>
    <w:link w:val="CommentText"/>
    <w:rsid w:val="00D07376"/>
    <w:rPr>
      <w:snapToGrid w:val="0"/>
      <w:kern w:val="28"/>
    </w:rPr>
  </w:style>
  <w:style w:type="paragraph" w:styleId="CommentSubject">
    <w:name w:val="annotation subject"/>
    <w:basedOn w:val="CommentText"/>
    <w:next w:val="CommentText"/>
    <w:link w:val="CommentSubjectChar"/>
    <w:rsid w:val="00D07376"/>
    <w:rPr>
      <w:b/>
      <w:bCs/>
    </w:rPr>
  </w:style>
  <w:style w:type="character" w:customStyle="1" w:styleId="CommentSubjectChar">
    <w:name w:val="Comment Subject Char"/>
    <w:basedOn w:val="CommentTextChar"/>
    <w:link w:val="CommentSubject"/>
    <w:rsid w:val="00D07376"/>
    <w:rPr>
      <w:b/>
      <w:bCs/>
      <w:snapToGrid w:val="0"/>
      <w:kern w:val="28"/>
    </w:rPr>
  </w:style>
  <w:style w:type="paragraph" w:styleId="BalloonText">
    <w:name w:val="Balloon Text"/>
    <w:basedOn w:val="Normal"/>
    <w:link w:val="BalloonTextChar"/>
    <w:rsid w:val="00D07376"/>
    <w:rPr>
      <w:rFonts w:ascii="Tahoma" w:hAnsi="Tahoma" w:cs="Tahoma"/>
      <w:sz w:val="16"/>
      <w:szCs w:val="16"/>
    </w:rPr>
  </w:style>
  <w:style w:type="character" w:customStyle="1" w:styleId="BalloonTextChar">
    <w:name w:val="Balloon Text Char"/>
    <w:basedOn w:val="DefaultParagraphFont"/>
    <w:link w:val="BalloonText"/>
    <w:rsid w:val="00D07376"/>
    <w:rPr>
      <w:rFonts w:ascii="Tahoma" w:hAnsi="Tahoma" w:cs="Tahoma"/>
      <w:snapToGrid w:val="0"/>
      <w:kern w:val="28"/>
      <w:sz w:val="16"/>
      <w:szCs w:val="16"/>
    </w:rPr>
  </w:style>
  <w:style w:type="character" w:customStyle="1" w:styleId="HeaderChar">
    <w:name w:val="Header Char"/>
    <w:basedOn w:val="DefaultParagraphFont"/>
    <w:link w:val="Header"/>
    <w:uiPriority w:val="99"/>
    <w:rsid w:val="00DE2908"/>
    <w:rPr>
      <w:b/>
      <w:snapToGrid w:val="0"/>
      <w:kern w:val="28"/>
      <w:sz w:val="22"/>
    </w:rPr>
  </w:style>
  <w:style w:type="paragraph" w:styleId="Revision">
    <w:name w:val="Revision"/>
    <w:hidden/>
    <w:uiPriority w:val="99"/>
    <w:semiHidden/>
    <w:rsid w:val="00C5004B"/>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Footnote Text Char1 Char,Footnote Text Char Char Char,ALTS FOOTNOTE Char Char Char,fn Char Char Char,Footnote Text Char Char1,ALTS FOOTNOTE Char Char1,fn Char Char1,ALTS FOOTNOTE Char,fn Char,fn Char Cha"/>
    <w:link w:val="FootnoteTextChar1"/>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link w:val="FootnoteText"/>
    <w:rsid w:val="00134836"/>
  </w:style>
  <w:style w:type="paragraph" w:customStyle="1" w:styleId="StyleParaNumTimesnewromnaLeftAfter0pt">
    <w:name w:val="Style ParaNum + Times new romna Left After:  0 pt"/>
    <w:basedOn w:val="ParaNum"/>
    <w:rsid w:val="00134836"/>
    <w:pPr>
      <w:numPr>
        <w:numId w:val="0"/>
      </w:numPr>
      <w:tabs>
        <w:tab w:val="num" w:pos="360"/>
        <w:tab w:val="num" w:pos="1440"/>
      </w:tabs>
      <w:spacing w:after="0"/>
      <w:ind w:firstLine="720"/>
    </w:pPr>
    <w:rPr>
      <w:rFonts w:ascii="Times new romna" w:hAnsi="Times new romna"/>
    </w:rPr>
  </w:style>
  <w:style w:type="character" w:customStyle="1" w:styleId="ParaNumChar">
    <w:name w:val="ParaNum Char"/>
    <w:link w:val="ParaNum"/>
    <w:uiPriority w:val="99"/>
    <w:rsid w:val="00134836"/>
    <w:rPr>
      <w:snapToGrid w:val="0"/>
      <w:kern w:val="28"/>
      <w:sz w:val="22"/>
    </w:rPr>
  </w:style>
  <w:style w:type="character" w:styleId="CommentReference">
    <w:name w:val="annotation reference"/>
    <w:basedOn w:val="DefaultParagraphFont"/>
    <w:rsid w:val="00D07376"/>
    <w:rPr>
      <w:sz w:val="16"/>
      <w:szCs w:val="16"/>
    </w:rPr>
  </w:style>
  <w:style w:type="paragraph" w:styleId="CommentText">
    <w:name w:val="annotation text"/>
    <w:basedOn w:val="Normal"/>
    <w:link w:val="CommentTextChar"/>
    <w:rsid w:val="00D07376"/>
    <w:rPr>
      <w:sz w:val="20"/>
    </w:rPr>
  </w:style>
  <w:style w:type="character" w:customStyle="1" w:styleId="CommentTextChar">
    <w:name w:val="Comment Text Char"/>
    <w:basedOn w:val="DefaultParagraphFont"/>
    <w:link w:val="CommentText"/>
    <w:rsid w:val="00D07376"/>
    <w:rPr>
      <w:snapToGrid w:val="0"/>
      <w:kern w:val="28"/>
    </w:rPr>
  </w:style>
  <w:style w:type="paragraph" w:styleId="CommentSubject">
    <w:name w:val="annotation subject"/>
    <w:basedOn w:val="CommentText"/>
    <w:next w:val="CommentText"/>
    <w:link w:val="CommentSubjectChar"/>
    <w:rsid w:val="00D07376"/>
    <w:rPr>
      <w:b/>
      <w:bCs/>
    </w:rPr>
  </w:style>
  <w:style w:type="character" w:customStyle="1" w:styleId="CommentSubjectChar">
    <w:name w:val="Comment Subject Char"/>
    <w:basedOn w:val="CommentTextChar"/>
    <w:link w:val="CommentSubject"/>
    <w:rsid w:val="00D07376"/>
    <w:rPr>
      <w:b/>
      <w:bCs/>
      <w:snapToGrid w:val="0"/>
      <w:kern w:val="28"/>
    </w:rPr>
  </w:style>
  <w:style w:type="paragraph" w:styleId="BalloonText">
    <w:name w:val="Balloon Text"/>
    <w:basedOn w:val="Normal"/>
    <w:link w:val="BalloonTextChar"/>
    <w:rsid w:val="00D07376"/>
    <w:rPr>
      <w:rFonts w:ascii="Tahoma" w:hAnsi="Tahoma" w:cs="Tahoma"/>
      <w:sz w:val="16"/>
      <w:szCs w:val="16"/>
    </w:rPr>
  </w:style>
  <w:style w:type="character" w:customStyle="1" w:styleId="BalloonTextChar">
    <w:name w:val="Balloon Text Char"/>
    <w:basedOn w:val="DefaultParagraphFont"/>
    <w:link w:val="BalloonText"/>
    <w:rsid w:val="00D07376"/>
    <w:rPr>
      <w:rFonts w:ascii="Tahoma" w:hAnsi="Tahoma" w:cs="Tahoma"/>
      <w:snapToGrid w:val="0"/>
      <w:kern w:val="28"/>
      <w:sz w:val="16"/>
      <w:szCs w:val="16"/>
    </w:rPr>
  </w:style>
  <w:style w:type="character" w:customStyle="1" w:styleId="HeaderChar">
    <w:name w:val="Header Char"/>
    <w:basedOn w:val="DefaultParagraphFont"/>
    <w:link w:val="Header"/>
    <w:uiPriority w:val="99"/>
    <w:rsid w:val="00DE2908"/>
    <w:rPr>
      <w:b/>
      <w:snapToGrid w:val="0"/>
      <w:kern w:val="28"/>
      <w:sz w:val="22"/>
    </w:rPr>
  </w:style>
  <w:style w:type="paragraph" w:styleId="Revision">
    <w:name w:val="Revision"/>
    <w:hidden/>
    <w:uiPriority w:val="99"/>
    <w:semiHidden/>
    <w:rsid w:val="00C5004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1275</Words>
  <Characters>6958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8266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2016-03-10T15:52:00Z</cp:lastPrinted>
  <dcterms:created xsi:type="dcterms:W3CDTF">2016-04-20T19:34:00Z</dcterms:created>
  <dcterms:modified xsi:type="dcterms:W3CDTF">2016-04-20T19:34:00Z</dcterms:modified>
  <cp:category> </cp:category>
  <cp:contentStatus> </cp:contentStatus>
</cp:coreProperties>
</file>