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36D39" w14:textId="77777777" w:rsidR="00602577" w:rsidRPr="009D6643" w:rsidRDefault="00602577">
      <w:pPr>
        <w:pStyle w:val="Header"/>
        <w:tabs>
          <w:tab w:val="clear" w:pos="4320"/>
          <w:tab w:val="clear" w:pos="8640"/>
        </w:tabs>
        <w:rPr>
          <w:szCs w:val="22"/>
        </w:rPr>
        <w:sectPr w:rsidR="00602577" w:rsidRPr="009D66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5AB1E9B0" w14:textId="72ADCC66" w:rsidR="00602577" w:rsidRPr="009D6643" w:rsidRDefault="007C3A4D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 xml:space="preserve">DA </w:t>
      </w:r>
      <w:r w:rsidR="00F142FA">
        <w:rPr>
          <w:b/>
          <w:szCs w:val="22"/>
        </w:rPr>
        <w:t>16-162</w:t>
      </w:r>
    </w:p>
    <w:p w14:paraId="765EF7CD" w14:textId="77777777" w:rsidR="008635E4" w:rsidRPr="009D6643" w:rsidRDefault="008635E4">
      <w:pPr>
        <w:jc w:val="right"/>
        <w:rPr>
          <w:b/>
          <w:szCs w:val="22"/>
        </w:rPr>
      </w:pPr>
    </w:p>
    <w:p w14:paraId="34555EC5" w14:textId="718B72C4" w:rsidR="00602577" w:rsidRPr="009D6643" w:rsidRDefault="00C21179">
      <w:pPr>
        <w:spacing w:before="60"/>
        <w:jc w:val="right"/>
        <w:rPr>
          <w:b/>
          <w:szCs w:val="22"/>
        </w:rPr>
      </w:pPr>
      <w:r>
        <w:rPr>
          <w:b/>
          <w:szCs w:val="22"/>
        </w:rPr>
        <w:t>Released February 17</w:t>
      </w:r>
      <w:r w:rsidR="008C7C6B">
        <w:rPr>
          <w:b/>
          <w:szCs w:val="22"/>
        </w:rPr>
        <w:t>, 2016</w:t>
      </w:r>
    </w:p>
    <w:p w14:paraId="4A21899A" w14:textId="77777777" w:rsidR="00602577" w:rsidRPr="009D6643" w:rsidRDefault="00602577">
      <w:pPr>
        <w:jc w:val="right"/>
        <w:rPr>
          <w:szCs w:val="22"/>
        </w:rPr>
      </w:pPr>
    </w:p>
    <w:p w14:paraId="03A8B137" w14:textId="547C213E" w:rsidR="00602577" w:rsidRPr="009D6643" w:rsidRDefault="00733073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 xml:space="preserve">OFFICE OF ENGINEERING AND TECHNOLOGY AND </w:t>
      </w:r>
      <w:r w:rsidR="008635E4" w:rsidRPr="009D6643">
        <w:rPr>
          <w:b/>
          <w:szCs w:val="22"/>
        </w:rPr>
        <w:t>WIRELESS T</w:t>
      </w:r>
      <w:r w:rsidR="00D95C30">
        <w:rPr>
          <w:b/>
          <w:szCs w:val="22"/>
        </w:rPr>
        <w:t>ELECOMMUNICATIONS BUREAU EXTEND</w:t>
      </w:r>
      <w:r w:rsidR="008635E4" w:rsidRPr="009D6643">
        <w:rPr>
          <w:b/>
          <w:szCs w:val="22"/>
        </w:rPr>
        <w:t xml:space="preserve"> PERIOD TO FILE REPLY COMMENTS </w:t>
      </w:r>
      <w:r w:rsidR="00596B67">
        <w:rPr>
          <w:b/>
          <w:szCs w:val="22"/>
        </w:rPr>
        <w:t>FOR USE OF SPECTRUM BANDS ABOVE 24 GHZ FOR MOBILE RADIO SERVICES NOTICE OF PROPOSED RULEMAKING</w:t>
      </w:r>
    </w:p>
    <w:p w14:paraId="1A0CC629" w14:textId="77777777" w:rsidR="0014326D" w:rsidRDefault="0014326D" w:rsidP="0014326D">
      <w:pPr>
        <w:jc w:val="center"/>
        <w:rPr>
          <w:b/>
          <w:szCs w:val="22"/>
        </w:rPr>
      </w:pPr>
      <w:r w:rsidRPr="0014326D">
        <w:rPr>
          <w:b/>
          <w:szCs w:val="22"/>
        </w:rPr>
        <w:t>GN Docket No. 14-177</w:t>
      </w:r>
    </w:p>
    <w:p w14:paraId="6F0FB0F2" w14:textId="77777777" w:rsidR="0014326D" w:rsidRPr="0014326D" w:rsidRDefault="0014326D" w:rsidP="0014326D">
      <w:pPr>
        <w:jc w:val="center"/>
        <w:rPr>
          <w:b/>
          <w:szCs w:val="22"/>
        </w:rPr>
      </w:pPr>
    </w:p>
    <w:p w14:paraId="771AD73A" w14:textId="77777777" w:rsidR="0014326D" w:rsidRPr="0014326D" w:rsidRDefault="0014326D" w:rsidP="0014326D">
      <w:pPr>
        <w:jc w:val="center"/>
        <w:rPr>
          <w:b/>
          <w:szCs w:val="22"/>
        </w:rPr>
      </w:pPr>
      <w:r w:rsidRPr="0014326D">
        <w:rPr>
          <w:b/>
          <w:szCs w:val="22"/>
        </w:rPr>
        <w:t>IB Docket Nos. 15-256, 97-95</w:t>
      </w:r>
    </w:p>
    <w:p w14:paraId="48042F2C" w14:textId="77777777" w:rsidR="0014326D" w:rsidRDefault="0014326D" w:rsidP="0014326D">
      <w:pPr>
        <w:jc w:val="center"/>
        <w:rPr>
          <w:b/>
          <w:szCs w:val="22"/>
        </w:rPr>
      </w:pPr>
    </w:p>
    <w:p w14:paraId="5BBFBF15" w14:textId="77777777" w:rsidR="0014326D" w:rsidRDefault="0014326D" w:rsidP="0014326D">
      <w:pPr>
        <w:jc w:val="center"/>
        <w:rPr>
          <w:b/>
          <w:szCs w:val="22"/>
        </w:rPr>
      </w:pPr>
      <w:r w:rsidRPr="0014326D">
        <w:rPr>
          <w:b/>
          <w:szCs w:val="22"/>
        </w:rPr>
        <w:t>WT Docket No. 10-112</w:t>
      </w:r>
    </w:p>
    <w:p w14:paraId="63927D2E" w14:textId="77777777" w:rsidR="0014326D" w:rsidRPr="0014326D" w:rsidRDefault="0014326D" w:rsidP="0014326D">
      <w:pPr>
        <w:jc w:val="center"/>
        <w:rPr>
          <w:b/>
          <w:szCs w:val="22"/>
        </w:rPr>
      </w:pPr>
    </w:p>
    <w:p w14:paraId="0677A1FD" w14:textId="661281F0" w:rsidR="00602577" w:rsidRPr="009D6643" w:rsidRDefault="0014326D" w:rsidP="0014326D">
      <w:pPr>
        <w:jc w:val="center"/>
        <w:rPr>
          <w:szCs w:val="22"/>
        </w:rPr>
      </w:pPr>
      <w:r w:rsidRPr="0014326D">
        <w:rPr>
          <w:b/>
          <w:szCs w:val="22"/>
        </w:rPr>
        <w:t>RM-11664</w:t>
      </w:r>
    </w:p>
    <w:p w14:paraId="368E2D45" w14:textId="09D7F64A" w:rsidR="00602577" w:rsidRPr="009D6643" w:rsidRDefault="008635E4">
      <w:pPr>
        <w:spacing w:before="120" w:after="240"/>
        <w:rPr>
          <w:b/>
          <w:szCs w:val="22"/>
        </w:rPr>
      </w:pPr>
      <w:r w:rsidRPr="009D6643">
        <w:rPr>
          <w:b/>
          <w:szCs w:val="22"/>
        </w:rPr>
        <w:t xml:space="preserve">Reply Comment Date: </w:t>
      </w:r>
      <w:r w:rsidR="00596B67">
        <w:rPr>
          <w:b/>
          <w:szCs w:val="22"/>
        </w:rPr>
        <w:t>February 26, 2016</w:t>
      </w:r>
    </w:p>
    <w:p w14:paraId="076B790D" w14:textId="30240663" w:rsidR="001467D2" w:rsidRDefault="008635E4">
      <w:pPr>
        <w:spacing w:before="120" w:after="240"/>
        <w:rPr>
          <w:szCs w:val="22"/>
        </w:rPr>
      </w:pPr>
      <w:r w:rsidRPr="009D6643">
        <w:rPr>
          <w:szCs w:val="22"/>
        </w:rPr>
        <w:tab/>
        <w:t xml:space="preserve">By this </w:t>
      </w:r>
      <w:r w:rsidRPr="009D6643">
        <w:rPr>
          <w:i/>
          <w:szCs w:val="22"/>
        </w:rPr>
        <w:t>Public Notice</w:t>
      </w:r>
      <w:r w:rsidRPr="009D6643">
        <w:rPr>
          <w:szCs w:val="22"/>
        </w:rPr>
        <w:t xml:space="preserve">, we extend the deadline for filing reply comments in response to the </w:t>
      </w:r>
      <w:r w:rsidRPr="009D6643">
        <w:rPr>
          <w:i/>
          <w:szCs w:val="22"/>
        </w:rPr>
        <w:t>Notice of Proposed Rulemaking</w:t>
      </w:r>
      <w:r w:rsidRPr="009D6643">
        <w:rPr>
          <w:szCs w:val="22"/>
        </w:rPr>
        <w:t xml:space="preserve"> (</w:t>
      </w:r>
      <w:r w:rsidRPr="009D6643">
        <w:rPr>
          <w:i/>
          <w:szCs w:val="22"/>
        </w:rPr>
        <w:t>NPRM</w:t>
      </w:r>
      <w:r w:rsidRPr="009D6643">
        <w:rPr>
          <w:szCs w:val="22"/>
        </w:rPr>
        <w:t>)</w:t>
      </w:r>
      <w:r w:rsidR="009D6643">
        <w:rPr>
          <w:szCs w:val="22"/>
        </w:rPr>
        <w:t xml:space="preserve"> in the above-</w:t>
      </w:r>
      <w:r w:rsidRPr="009D6643">
        <w:rPr>
          <w:szCs w:val="22"/>
        </w:rPr>
        <w:t>captioned proceeding.</w:t>
      </w:r>
      <w:r w:rsidRPr="009D6643">
        <w:rPr>
          <w:rStyle w:val="FootnoteReference"/>
          <w:szCs w:val="22"/>
        </w:rPr>
        <w:footnoteReference w:id="1"/>
      </w:r>
      <w:r w:rsidRPr="009D6643">
        <w:rPr>
          <w:szCs w:val="22"/>
        </w:rPr>
        <w:t xml:space="preserve">  Interested parties wil</w:t>
      </w:r>
      <w:r w:rsidR="008C7C6B">
        <w:rPr>
          <w:szCs w:val="22"/>
        </w:rPr>
        <w:t>l now have until</w:t>
      </w:r>
      <w:r w:rsidR="008C7C6B" w:rsidRPr="008C7C6B">
        <w:t xml:space="preserve"> </w:t>
      </w:r>
      <w:r w:rsidR="008C7C6B">
        <w:rPr>
          <w:szCs w:val="22"/>
        </w:rPr>
        <w:t xml:space="preserve">February 26, 2016 </w:t>
      </w:r>
      <w:r w:rsidRPr="009D6643">
        <w:rPr>
          <w:szCs w:val="22"/>
        </w:rPr>
        <w:t>to file reply comments.</w:t>
      </w:r>
      <w:r w:rsidRPr="009D6643">
        <w:rPr>
          <w:rStyle w:val="FootnoteReference"/>
          <w:szCs w:val="22"/>
        </w:rPr>
        <w:footnoteReference w:id="2"/>
      </w:r>
    </w:p>
    <w:p w14:paraId="410F980D" w14:textId="55BCC86D" w:rsidR="009D6643" w:rsidRPr="00873D12" w:rsidRDefault="007037A1">
      <w:pPr>
        <w:spacing w:before="120" w:after="240"/>
        <w:rPr>
          <w:szCs w:val="22"/>
        </w:rPr>
      </w:pPr>
      <w:r>
        <w:rPr>
          <w:szCs w:val="22"/>
        </w:rPr>
        <w:tab/>
        <w:t>On February 12, 2016</w:t>
      </w:r>
      <w:r w:rsidR="009D6643">
        <w:rPr>
          <w:szCs w:val="22"/>
        </w:rPr>
        <w:t>, the Satellite Industry Association (SIA)</w:t>
      </w:r>
      <w:r>
        <w:rPr>
          <w:szCs w:val="22"/>
        </w:rPr>
        <w:t>,</w:t>
      </w:r>
      <w:r w:rsidRPr="007037A1">
        <w:t xml:space="preserve"> </w:t>
      </w:r>
      <w:r w:rsidRPr="007037A1">
        <w:rPr>
          <w:szCs w:val="22"/>
        </w:rPr>
        <w:t>the Global VSAT Forum (GVF), the EMEA Satellite Operator’s Association (ESOA), and the Telecommunications Industry Association (TIA)</w:t>
      </w:r>
      <w:r w:rsidR="009D6643">
        <w:rPr>
          <w:szCs w:val="22"/>
        </w:rPr>
        <w:t xml:space="preserve"> </w:t>
      </w:r>
      <w:r w:rsidR="00596B67">
        <w:rPr>
          <w:szCs w:val="22"/>
        </w:rPr>
        <w:t xml:space="preserve">(together, Petitioners) </w:t>
      </w:r>
      <w:r w:rsidR="009D6643">
        <w:rPr>
          <w:szCs w:val="22"/>
        </w:rPr>
        <w:t xml:space="preserve">filed a </w:t>
      </w:r>
      <w:r w:rsidR="00180F37">
        <w:rPr>
          <w:szCs w:val="22"/>
        </w:rPr>
        <w:t xml:space="preserve">motion </w:t>
      </w:r>
      <w:r w:rsidR="009D6643">
        <w:rPr>
          <w:szCs w:val="22"/>
        </w:rPr>
        <w:t>to extend the reply comment deadline in the above-ca</w:t>
      </w:r>
      <w:r>
        <w:rPr>
          <w:szCs w:val="22"/>
        </w:rPr>
        <w:t>ptioned proceeding from February 23, 2016 until February 26, 2016</w:t>
      </w:r>
      <w:r w:rsidR="009D6643">
        <w:rPr>
          <w:szCs w:val="22"/>
        </w:rPr>
        <w:t>.</w:t>
      </w:r>
      <w:r w:rsidR="009D6643">
        <w:rPr>
          <w:rStyle w:val="FootnoteReference"/>
          <w:szCs w:val="22"/>
        </w:rPr>
        <w:footnoteReference w:id="3"/>
      </w:r>
      <w:r w:rsidR="009D6643">
        <w:rPr>
          <w:szCs w:val="22"/>
        </w:rPr>
        <w:t xml:space="preserve">  </w:t>
      </w:r>
      <w:r w:rsidR="00596B67">
        <w:rPr>
          <w:szCs w:val="22"/>
        </w:rPr>
        <w:t xml:space="preserve">Petitioners </w:t>
      </w:r>
      <w:r w:rsidR="009D6643">
        <w:rPr>
          <w:szCs w:val="22"/>
        </w:rPr>
        <w:t>assert that addi</w:t>
      </w:r>
      <w:r w:rsidR="00873D12">
        <w:rPr>
          <w:szCs w:val="22"/>
        </w:rPr>
        <w:t>tional time is n</w:t>
      </w:r>
      <w:r>
        <w:rPr>
          <w:szCs w:val="22"/>
        </w:rPr>
        <w:t>eeded to respond to detailed licensing proposals and technical information addressing a number of different frequency bands raised by commenters in the record</w:t>
      </w:r>
      <w:r w:rsidR="00873D12">
        <w:rPr>
          <w:szCs w:val="22"/>
        </w:rPr>
        <w:t>.</w:t>
      </w:r>
      <w:r w:rsidR="00180F37">
        <w:rPr>
          <w:rStyle w:val="FootnoteReference"/>
          <w:szCs w:val="22"/>
        </w:rPr>
        <w:footnoteReference w:id="4"/>
      </w:r>
      <w:r>
        <w:rPr>
          <w:szCs w:val="22"/>
        </w:rPr>
        <w:t xml:space="preserve">  </w:t>
      </w:r>
      <w:r w:rsidR="00596B67">
        <w:rPr>
          <w:szCs w:val="22"/>
        </w:rPr>
        <w:t>Petitioners also cite inclement weather, which caused Federal Government offices to be closed for several days, resulting in an extension of the comment deadline.</w:t>
      </w:r>
    </w:p>
    <w:p w14:paraId="0E490AA2" w14:textId="1268EA58" w:rsidR="008635E4" w:rsidRPr="008635E4" w:rsidRDefault="008635E4" w:rsidP="008635E4">
      <w:pPr>
        <w:ind w:firstLine="720"/>
        <w:rPr>
          <w:szCs w:val="22"/>
        </w:rPr>
      </w:pPr>
      <w:r w:rsidRPr="008635E4">
        <w:rPr>
          <w:szCs w:val="22"/>
        </w:rPr>
        <w:lastRenderedPageBreak/>
        <w:t>It is the general policy of the Commission that extensions of time shall not be routinely granted.</w:t>
      </w:r>
      <w:r w:rsidRPr="009D6643">
        <w:rPr>
          <w:szCs w:val="22"/>
          <w:vertAlign w:val="superscript"/>
        </w:rPr>
        <w:footnoteReference w:id="5"/>
      </w:r>
      <w:r w:rsidRPr="008635E4">
        <w:rPr>
          <w:szCs w:val="22"/>
        </w:rPr>
        <w:t xml:space="preserve">  However, under these</w:t>
      </w:r>
      <w:r w:rsidR="00EB7F7D">
        <w:rPr>
          <w:szCs w:val="22"/>
        </w:rPr>
        <w:t xml:space="preserve"> circumstances, we agree that a short</w:t>
      </w:r>
      <w:r w:rsidRPr="008635E4">
        <w:rPr>
          <w:szCs w:val="22"/>
        </w:rPr>
        <w:t xml:space="preserve"> extension of time to file reply comments is warranted to ensure that the Commission obtains a complete and thorough record in response to the </w:t>
      </w:r>
      <w:r w:rsidRPr="009D6643">
        <w:rPr>
          <w:i/>
          <w:szCs w:val="22"/>
        </w:rPr>
        <w:t>NPRM</w:t>
      </w:r>
      <w:r w:rsidRPr="008635E4">
        <w:rPr>
          <w:szCs w:val="22"/>
        </w:rPr>
        <w:t xml:space="preserve">.  The </w:t>
      </w:r>
      <w:r w:rsidRPr="009D6643">
        <w:rPr>
          <w:i/>
          <w:szCs w:val="22"/>
        </w:rPr>
        <w:t>NPRM</w:t>
      </w:r>
      <w:r w:rsidR="000441EA">
        <w:rPr>
          <w:szCs w:val="22"/>
        </w:rPr>
        <w:t xml:space="preserve"> sought comment on a wide variety of novel technical, policy</w:t>
      </w:r>
      <w:r w:rsidR="00EB7F7D">
        <w:rPr>
          <w:szCs w:val="22"/>
        </w:rPr>
        <w:t>,</w:t>
      </w:r>
      <w:r w:rsidR="000441EA">
        <w:rPr>
          <w:szCs w:val="22"/>
        </w:rPr>
        <w:t xml:space="preserve"> and legal issues</w:t>
      </w:r>
      <w:r w:rsidRPr="009D6643">
        <w:rPr>
          <w:szCs w:val="22"/>
        </w:rPr>
        <w:t>.</w:t>
      </w:r>
      <w:r w:rsidRPr="008635E4">
        <w:rPr>
          <w:szCs w:val="22"/>
        </w:rPr>
        <w:t xml:space="preserve">  </w:t>
      </w:r>
      <w:r w:rsidR="00CE5C38">
        <w:rPr>
          <w:szCs w:val="22"/>
        </w:rPr>
        <w:t xml:space="preserve">The </w:t>
      </w:r>
      <w:r w:rsidR="00596B67">
        <w:rPr>
          <w:szCs w:val="22"/>
        </w:rPr>
        <w:t xml:space="preserve">time </w:t>
      </w:r>
      <w:r w:rsidR="00CE5C38">
        <w:rPr>
          <w:szCs w:val="22"/>
        </w:rPr>
        <w:t xml:space="preserve">for reviewing comments and preparing reply comments </w:t>
      </w:r>
      <w:r w:rsidR="00596B67">
        <w:rPr>
          <w:szCs w:val="22"/>
        </w:rPr>
        <w:t xml:space="preserve">was shortened as a result of an extension in the comment deadline caused by the closure of Federal Government offices.  </w:t>
      </w:r>
      <w:r w:rsidRPr="008635E4">
        <w:rPr>
          <w:szCs w:val="22"/>
        </w:rPr>
        <w:t xml:space="preserve">We conclude that a short extension of time is warranted to enable interested parties sufficient opportunity to review and respond to the complex issues raised by the </w:t>
      </w:r>
      <w:r w:rsidRPr="009D6643">
        <w:rPr>
          <w:i/>
          <w:szCs w:val="22"/>
        </w:rPr>
        <w:t>NPRM</w:t>
      </w:r>
      <w:r w:rsidRPr="008635E4">
        <w:rPr>
          <w:i/>
          <w:szCs w:val="22"/>
        </w:rPr>
        <w:t xml:space="preserve">.  </w:t>
      </w:r>
      <w:r w:rsidRPr="008635E4">
        <w:rPr>
          <w:szCs w:val="22"/>
        </w:rPr>
        <w:t>Accordingly, pursuant to Section 4(i) of the Communications Act of 1934, as amended,</w:t>
      </w:r>
      <w:r w:rsidRPr="009D6643">
        <w:rPr>
          <w:szCs w:val="22"/>
          <w:vertAlign w:val="superscript"/>
        </w:rPr>
        <w:footnoteReference w:id="6"/>
      </w:r>
      <w:r w:rsidRPr="008635E4">
        <w:rPr>
          <w:szCs w:val="22"/>
        </w:rPr>
        <w:t xml:space="preserve"> and Section 1.46 of the Commission's rules,</w:t>
      </w:r>
      <w:r w:rsidRPr="009D6643">
        <w:rPr>
          <w:szCs w:val="22"/>
          <w:vertAlign w:val="superscript"/>
        </w:rPr>
        <w:footnoteReference w:id="7"/>
      </w:r>
      <w:r w:rsidRPr="008635E4">
        <w:rPr>
          <w:szCs w:val="22"/>
        </w:rPr>
        <w:t xml:space="preserve"> we extend the deadline for filing reply comments until </w:t>
      </w:r>
      <w:r w:rsidR="00596B67">
        <w:rPr>
          <w:szCs w:val="22"/>
        </w:rPr>
        <w:t>February 26</w:t>
      </w:r>
      <w:r w:rsidR="004E458A">
        <w:rPr>
          <w:szCs w:val="22"/>
        </w:rPr>
        <w:t>,</w:t>
      </w:r>
      <w:r w:rsidRPr="008635E4">
        <w:rPr>
          <w:szCs w:val="22"/>
        </w:rPr>
        <w:t xml:space="preserve"> 201</w:t>
      </w:r>
      <w:r w:rsidR="00596B67">
        <w:rPr>
          <w:szCs w:val="22"/>
        </w:rPr>
        <w:t>6</w:t>
      </w:r>
      <w:r w:rsidRPr="008635E4">
        <w:rPr>
          <w:szCs w:val="22"/>
        </w:rPr>
        <w:t>.</w:t>
      </w:r>
    </w:p>
    <w:p w14:paraId="2329AF83" w14:textId="03FBCCEE" w:rsidR="008635E4" w:rsidRPr="009D6643" w:rsidRDefault="008635E4">
      <w:pPr>
        <w:spacing w:before="120" w:after="240"/>
        <w:rPr>
          <w:szCs w:val="22"/>
        </w:rPr>
      </w:pPr>
      <w:r w:rsidRPr="009D6643">
        <w:rPr>
          <w:szCs w:val="22"/>
        </w:rPr>
        <w:tab/>
        <w:t>For further informa</w:t>
      </w:r>
      <w:r w:rsidR="00EB7F7D">
        <w:rPr>
          <w:szCs w:val="22"/>
        </w:rPr>
        <w:t xml:space="preserve">tion, please contact </w:t>
      </w:r>
      <w:r w:rsidR="008E353E" w:rsidRPr="008E353E">
        <w:rPr>
          <w:szCs w:val="22"/>
        </w:rPr>
        <w:t>John Schauble of the Wireless Telecommunications Bureau, Broadband Division, at 202-418-0797 or John.Schauble @fcc.gov</w:t>
      </w:r>
      <w:r w:rsidRPr="009D6643">
        <w:rPr>
          <w:szCs w:val="22"/>
        </w:rPr>
        <w:t>.</w:t>
      </w:r>
    </w:p>
    <w:p w14:paraId="113EF315" w14:textId="77777777" w:rsidR="001467D2" w:rsidRPr="009D6643" w:rsidRDefault="001467D2">
      <w:pPr>
        <w:spacing w:before="120" w:after="240"/>
        <w:rPr>
          <w:szCs w:val="22"/>
        </w:rPr>
      </w:pPr>
      <w:r w:rsidRPr="009D6643">
        <w:rPr>
          <w:szCs w:val="22"/>
        </w:rPr>
        <w:tab/>
        <w:t xml:space="preserve">Action by the </w:t>
      </w:r>
      <w:r w:rsidR="00EB7F7D">
        <w:rPr>
          <w:szCs w:val="22"/>
        </w:rPr>
        <w:t>Associate</w:t>
      </w:r>
      <w:r w:rsidR="00913B65">
        <w:rPr>
          <w:szCs w:val="22"/>
        </w:rPr>
        <w:t xml:space="preserve"> </w:t>
      </w:r>
      <w:r w:rsidRPr="009D6643">
        <w:rPr>
          <w:szCs w:val="22"/>
        </w:rPr>
        <w:t>Chief, Wireless Telecommunications Bureau.</w:t>
      </w:r>
    </w:p>
    <w:p w14:paraId="370032D6" w14:textId="77777777" w:rsidR="001467D2" w:rsidRPr="009D6643" w:rsidRDefault="001467D2" w:rsidP="001467D2">
      <w:pPr>
        <w:spacing w:before="120" w:after="240"/>
        <w:jc w:val="center"/>
        <w:rPr>
          <w:szCs w:val="22"/>
        </w:rPr>
      </w:pPr>
      <w:r w:rsidRPr="009D6643">
        <w:rPr>
          <w:szCs w:val="22"/>
        </w:rPr>
        <w:t>-FCC-</w:t>
      </w:r>
    </w:p>
    <w:sectPr w:rsidR="001467D2" w:rsidRPr="009D6643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9D1E9" w14:textId="77777777" w:rsidR="00786CD6" w:rsidRDefault="00786CD6">
      <w:r>
        <w:separator/>
      </w:r>
    </w:p>
  </w:endnote>
  <w:endnote w:type="continuationSeparator" w:id="0">
    <w:p w14:paraId="3249B9ED" w14:textId="77777777" w:rsidR="00786CD6" w:rsidRDefault="0078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DFFB1" w14:textId="77777777" w:rsidR="00B05AF4" w:rsidRDefault="00B05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FCD1E" w14:textId="77777777" w:rsidR="00B05AF4" w:rsidRDefault="00B05A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EE806" w14:textId="77777777" w:rsidR="00B05AF4" w:rsidRDefault="00B05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99690" w14:textId="77777777" w:rsidR="00786CD6" w:rsidRDefault="00786CD6">
      <w:r>
        <w:separator/>
      </w:r>
    </w:p>
  </w:footnote>
  <w:footnote w:type="continuationSeparator" w:id="0">
    <w:p w14:paraId="58980DAC" w14:textId="77777777" w:rsidR="00786CD6" w:rsidRDefault="00786CD6">
      <w:r>
        <w:continuationSeparator/>
      </w:r>
    </w:p>
  </w:footnote>
  <w:footnote w:id="1">
    <w:p w14:paraId="7E745D81" w14:textId="3F16D569" w:rsidR="008635E4" w:rsidRPr="004F7CCA" w:rsidRDefault="008635E4" w:rsidP="00652478">
      <w:pPr>
        <w:pStyle w:val="FootnoteText"/>
        <w:rPr>
          <w:sz w:val="20"/>
        </w:rPr>
      </w:pPr>
      <w:r w:rsidRPr="00C92AD1">
        <w:rPr>
          <w:rStyle w:val="FootnoteReference"/>
          <w:sz w:val="20"/>
        </w:rPr>
        <w:footnoteRef/>
      </w:r>
      <w:r w:rsidRPr="00C92AD1">
        <w:rPr>
          <w:sz w:val="20"/>
        </w:rPr>
        <w:t xml:space="preserve"> </w:t>
      </w:r>
      <w:r w:rsidR="00652478">
        <w:rPr>
          <w:sz w:val="20"/>
        </w:rPr>
        <w:t xml:space="preserve">Use of Spectrum Bands Above 24 GHz for Mobile Radio Services, GN Docket No. 14-177, IB Docket Nos. 15-256, 97-95, WT Docket No. 10-112, </w:t>
      </w:r>
      <w:r w:rsidR="00652478" w:rsidRPr="00652478">
        <w:rPr>
          <w:sz w:val="20"/>
        </w:rPr>
        <w:t>RM-11664</w:t>
      </w:r>
      <w:r w:rsidR="00652478">
        <w:rPr>
          <w:sz w:val="20"/>
        </w:rPr>
        <w:t xml:space="preserve">, </w:t>
      </w:r>
      <w:r w:rsidR="00652478">
        <w:rPr>
          <w:i/>
          <w:sz w:val="20"/>
        </w:rPr>
        <w:t>Notice of Propose</w:t>
      </w:r>
      <w:r w:rsidR="004F7CCA">
        <w:rPr>
          <w:i/>
          <w:sz w:val="20"/>
        </w:rPr>
        <w:t xml:space="preserve">d Rulemaking </w:t>
      </w:r>
      <w:r w:rsidR="004F7CCA">
        <w:rPr>
          <w:sz w:val="20"/>
        </w:rPr>
        <w:t>(2015).</w:t>
      </w:r>
    </w:p>
  </w:footnote>
  <w:footnote w:id="2">
    <w:p w14:paraId="51342A5A" w14:textId="48CA8D19" w:rsidR="008635E4" w:rsidRPr="00C92AD1" w:rsidRDefault="008635E4">
      <w:pPr>
        <w:pStyle w:val="FootnoteText"/>
        <w:rPr>
          <w:sz w:val="20"/>
        </w:rPr>
      </w:pPr>
      <w:r w:rsidRPr="00C92AD1">
        <w:rPr>
          <w:rStyle w:val="FootnoteReference"/>
          <w:sz w:val="20"/>
        </w:rPr>
        <w:footnoteRef/>
      </w:r>
      <w:r w:rsidRPr="00C92AD1">
        <w:rPr>
          <w:sz w:val="20"/>
        </w:rPr>
        <w:t xml:space="preserve"> </w:t>
      </w:r>
      <w:r w:rsidR="002B2BA7" w:rsidRPr="00C92AD1">
        <w:rPr>
          <w:sz w:val="20"/>
        </w:rPr>
        <w:t xml:space="preserve">The </w:t>
      </w:r>
      <w:r w:rsidR="002B2BA7" w:rsidRPr="00C92AD1">
        <w:rPr>
          <w:i/>
          <w:sz w:val="20"/>
        </w:rPr>
        <w:t xml:space="preserve">NPRM </w:t>
      </w:r>
      <w:r w:rsidR="00180F37" w:rsidRPr="00C92AD1">
        <w:rPr>
          <w:sz w:val="20"/>
        </w:rPr>
        <w:t>sets forth a comment deadline of</w:t>
      </w:r>
      <w:r w:rsidR="00515735">
        <w:rPr>
          <w:sz w:val="20"/>
        </w:rPr>
        <w:t xml:space="preserve"> January 26, 2016, and a reply comment date of February 23, 2016</w:t>
      </w:r>
      <w:r w:rsidR="002B2BA7" w:rsidRPr="00C92AD1">
        <w:rPr>
          <w:sz w:val="20"/>
        </w:rPr>
        <w:t xml:space="preserve">. </w:t>
      </w:r>
      <w:r w:rsidR="00515735">
        <w:rPr>
          <w:sz w:val="20"/>
        </w:rPr>
        <w:t xml:space="preserve"> </w:t>
      </w:r>
      <w:r w:rsidR="00515735">
        <w:rPr>
          <w:i/>
          <w:sz w:val="20"/>
        </w:rPr>
        <w:t>Id.</w:t>
      </w:r>
    </w:p>
  </w:footnote>
  <w:footnote w:id="3">
    <w:p w14:paraId="5949AEB6" w14:textId="77777777" w:rsidR="009D6643" w:rsidRPr="00C92AD1" w:rsidRDefault="009D6643">
      <w:pPr>
        <w:pStyle w:val="FootnoteText"/>
        <w:rPr>
          <w:sz w:val="20"/>
        </w:rPr>
      </w:pPr>
      <w:r w:rsidRPr="00C92AD1">
        <w:rPr>
          <w:rStyle w:val="FootnoteReference"/>
          <w:sz w:val="20"/>
        </w:rPr>
        <w:footnoteRef/>
      </w:r>
      <w:r w:rsidRPr="00C92AD1">
        <w:rPr>
          <w:sz w:val="20"/>
        </w:rPr>
        <w:t xml:space="preserve"> </w:t>
      </w:r>
      <w:r w:rsidR="00180F37" w:rsidRPr="00C92AD1">
        <w:rPr>
          <w:sz w:val="20"/>
        </w:rPr>
        <w:t>Satellite Industry Association</w:t>
      </w:r>
      <w:r w:rsidR="00AD1179">
        <w:rPr>
          <w:sz w:val="20"/>
        </w:rPr>
        <w:t>, Global VSAT Forum, EMEA Satellite Operator’s Association, and Telecommunications Industry Association Request for Extension of Time for Reply Comment Deadline, GN Docket No. 14-177 (filed Feb. 12, 2016)</w:t>
      </w:r>
      <w:r w:rsidR="00180F37" w:rsidRPr="00C92AD1">
        <w:rPr>
          <w:sz w:val="20"/>
        </w:rPr>
        <w:t>.</w:t>
      </w:r>
    </w:p>
  </w:footnote>
  <w:footnote w:id="4">
    <w:p w14:paraId="7AC06B28" w14:textId="77777777" w:rsidR="00180F37" w:rsidRPr="00AD4271" w:rsidRDefault="00180F37">
      <w:pPr>
        <w:pStyle w:val="FootnoteText"/>
        <w:rPr>
          <w:sz w:val="20"/>
        </w:rPr>
      </w:pPr>
      <w:r w:rsidRPr="00C92AD1">
        <w:rPr>
          <w:rStyle w:val="FootnoteReference"/>
          <w:sz w:val="20"/>
        </w:rPr>
        <w:footnoteRef/>
      </w:r>
      <w:r w:rsidRPr="00C92AD1">
        <w:rPr>
          <w:sz w:val="20"/>
        </w:rPr>
        <w:t xml:space="preserve"> </w:t>
      </w:r>
      <w:r w:rsidR="00AD4271">
        <w:rPr>
          <w:i/>
          <w:sz w:val="20"/>
        </w:rPr>
        <w:t xml:space="preserve">Id. </w:t>
      </w:r>
      <w:r w:rsidR="00AD4271">
        <w:rPr>
          <w:sz w:val="20"/>
        </w:rPr>
        <w:t>at 1.</w:t>
      </w:r>
    </w:p>
  </w:footnote>
  <w:footnote w:id="5">
    <w:p w14:paraId="42DBE514" w14:textId="77777777" w:rsidR="008635E4" w:rsidRPr="00C92AD1" w:rsidRDefault="008635E4" w:rsidP="008635E4">
      <w:pPr>
        <w:pStyle w:val="FootnoteText"/>
        <w:spacing w:after="120"/>
        <w:rPr>
          <w:sz w:val="20"/>
        </w:rPr>
      </w:pPr>
      <w:r w:rsidRPr="00C92AD1">
        <w:rPr>
          <w:rStyle w:val="FootnoteReference"/>
          <w:sz w:val="20"/>
        </w:rPr>
        <w:footnoteRef/>
      </w:r>
      <w:r w:rsidRPr="00C92AD1">
        <w:rPr>
          <w:sz w:val="20"/>
        </w:rPr>
        <w:t xml:space="preserve"> 47 C.F.R. § 1.46(a).</w:t>
      </w:r>
    </w:p>
  </w:footnote>
  <w:footnote w:id="6">
    <w:p w14:paraId="08EFFA60" w14:textId="77777777" w:rsidR="008635E4" w:rsidRPr="00C92AD1" w:rsidRDefault="008635E4" w:rsidP="008635E4">
      <w:pPr>
        <w:pStyle w:val="FootnoteText"/>
        <w:spacing w:after="120"/>
        <w:rPr>
          <w:sz w:val="20"/>
        </w:rPr>
      </w:pPr>
      <w:r w:rsidRPr="00C92AD1">
        <w:rPr>
          <w:rStyle w:val="FootnoteReference"/>
          <w:sz w:val="20"/>
        </w:rPr>
        <w:footnoteRef/>
      </w:r>
      <w:r w:rsidRPr="00C92AD1">
        <w:rPr>
          <w:sz w:val="20"/>
        </w:rPr>
        <w:t xml:space="preserve"> 47 U.S.C. § 154(i).</w:t>
      </w:r>
    </w:p>
  </w:footnote>
  <w:footnote w:id="7">
    <w:p w14:paraId="7964DAA3" w14:textId="77777777" w:rsidR="008635E4" w:rsidRPr="00C92AD1" w:rsidRDefault="008635E4" w:rsidP="008635E4">
      <w:pPr>
        <w:pStyle w:val="FootnoteText"/>
        <w:spacing w:after="120"/>
        <w:rPr>
          <w:sz w:val="20"/>
        </w:rPr>
      </w:pPr>
      <w:r w:rsidRPr="00C92AD1">
        <w:rPr>
          <w:rStyle w:val="FootnoteReference"/>
          <w:sz w:val="20"/>
        </w:rPr>
        <w:footnoteRef/>
      </w:r>
      <w:r w:rsidRPr="00C92AD1">
        <w:rPr>
          <w:sz w:val="20"/>
        </w:rPr>
        <w:t xml:space="preserve"> 47 C.F.R. § 1.46.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C4C0" w14:textId="77777777" w:rsidR="00B05AF4" w:rsidRDefault="00B05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3D310" w14:textId="77777777" w:rsidR="00B05AF4" w:rsidRDefault="00B05A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BA5A" w14:textId="77777777" w:rsidR="00602577" w:rsidRDefault="00C9642E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45B01AFB" wp14:editId="1007DCBD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14:paraId="1C030CA7" w14:textId="77777777" w:rsidR="00602577" w:rsidRDefault="00C9642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ABF210" wp14:editId="17721A85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F90B5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F701778" wp14:editId="5A40FE14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9BB9E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694FA01F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2EBEABB1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7017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6E69BB9E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694FA01F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2EBEABB1" w14:textId="77777777"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603AE8" wp14:editId="28C0908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127EB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30B5492D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35C4FEEB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6174405B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A603AE8"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599127EB" w14:textId="77777777"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30B5492D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35C4FEEB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6174405B" w14:textId="77777777"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3C09232F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E4"/>
    <w:rsid w:val="000265AE"/>
    <w:rsid w:val="00026FA3"/>
    <w:rsid w:val="000441EA"/>
    <w:rsid w:val="000F7FC2"/>
    <w:rsid w:val="0014326D"/>
    <w:rsid w:val="001467D2"/>
    <w:rsid w:val="00180F37"/>
    <w:rsid w:val="001A25F2"/>
    <w:rsid w:val="001A5FEE"/>
    <w:rsid w:val="001D7D3C"/>
    <w:rsid w:val="0021357C"/>
    <w:rsid w:val="002B2BA7"/>
    <w:rsid w:val="003314EF"/>
    <w:rsid w:val="003631F5"/>
    <w:rsid w:val="004E458A"/>
    <w:rsid w:val="004F7CCA"/>
    <w:rsid w:val="00515735"/>
    <w:rsid w:val="00596B67"/>
    <w:rsid w:val="005B1E02"/>
    <w:rsid w:val="00602577"/>
    <w:rsid w:val="00652478"/>
    <w:rsid w:val="007037A1"/>
    <w:rsid w:val="00733073"/>
    <w:rsid w:val="00761070"/>
    <w:rsid w:val="00786CD6"/>
    <w:rsid w:val="007C3A4D"/>
    <w:rsid w:val="008116DF"/>
    <w:rsid w:val="00814CB1"/>
    <w:rsid w:val="00824EED"/>
    <w:rsid w:val="008635E4"/>
    <w:rsid w:val="00873D12"/>
    <w:rsid w:val="008C7C6B"/>
    <w:rsid w:val="008E353E"/>
    <w:rsid w:val="00913B65"/>
    <w:rsid w:val="009D6643"/>
    <w:rsid w:val="00A94166"/>
    <w:rsid w:val="00AD1179"/>
    <w:rsid w:val="00AD4271"/>
    <w:rsid w:val="00B05AF4"/>
    <w:rsid w:val="00BB7390"/>
    <w:rsid w:val="00C21179"/>
    <w:rsid w:val="00C90C54"/>
    <w:rsid w:val="00C92AD1"/>
    <w:rsid w:val="00C9642E"/>
    <w:rsid w:val="00CE5C38"/>
    <w:rsid w:val="00D17DC0"/>
    <w:rsid w:val="00D60EFF"/>
    <w:rsid w:val="00D95C30"/>
    <w:rsid w:val="00DB76BB"/>
    <w:rsid w:val="00DD1A69"/>
    <w:rsid w:val="00DD4782"/>
    <w:rsid w:val="00E117C0"/>
    <w:rsid w:val="00E73EDC"/>
    <w:rsid w:val="00EB7F7D"/>
    <w:rsid w:val="00F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595C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1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1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380</Words>
  <Characters>2137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2514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2016-02-17T14:37:00Z</dcterms:created>
  <dcterms:modified xsi:type="dcterms:W3CDTF">2016-02-17T14:37:00Z</dcterms:modified>
  <cp:category> </cp:category>
  <cp:contentStatus> </cp:contentStatus>
</cp:coreProperties>
</file>