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4A72"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E29EF73" w14:textId="77777777" w:rsidR="00F84BCA" w:rsidRPr="00ED5746" w:rsidRDefault="00F84BCA" w:rsidP="00F84BCA">
      <w:pPr>
        <w:pStyle w:val="StyleBoldCentered"/>
      </w:pPr>
      <w:r w:rsidRPr="00ED5746">
        <w:t>F</w:t>
      </w:r>
      <w:r w:rsidRPr="00ED5746">
        <w:rPr>
          <w:caps w:val="0"/>
        </w:rPr>
        <w:t>ederal Communications Commission</w:t>
      </w:r>
    </w:p>
    <w:p w14:paraId="69D3F3B4" w14:textId="5A06C85E" w:rsidR="00F84BCA" w:rsidRPr="00ED5746" w:rsidRDefault="00F84BCA" w:rsidP="00F84BCA">
      <w:pPr>
        <w:pStyle w:val="StyleBoldCentered"/>
      </w:pPr>
      <w:r w:rsidRPr="00ED5746">
        <w:rPr>
          <w:caps w:val="0"/>
        </w:rPr>
        <w:t>Washington, DC 20554</w:t>
      </w:r>
    </w:p>
    <w:p w14:paraId="033933EF" w14:textId="77777777" w:rsidR="00F84BCA" w:rsidRPr="00ED5746" w:rsidRDefault="00F84BCA" w:rsidP="00F84BCA"/>
    <w:tbl>
      <w:tblPr>
        <w:tblW w:w="0" w:type="auto"/>
        <w:tblLayout w:type="fixed"/>
        <w:tblLook w:val="0000" w:firstRow="0" w:lastRow="0" w:firstColumn="0" w:lastColumn="0" w:noHBand="0" w:noVBand="0"/>
      </w:tblPr>
      <w:tblGrid>
        <w:gridCol w:w="4698"/>
        <w:gridCol w:w="630"/>
        <w:gridCol w:w="4248"/>
      </w:tblGrid>
      <w:tr w:rsidR="00ED5746" w:rsidRPr="00D84548" w14:paraId="092E4E3A" w14:textId="77777777" w:rsidTr="003B739D">
        <w:tc>
          <w:tcPr>
            <w:tcW w:w="4698" w:type="dxa"/>
          </w:tcPr>
          <w:p w14:paraId="69708E7F" w14:textId="77777777" w:rsidR="00ED5746" w:rsidRPr="00D84548" w:rsidRDefault="00ED5746" w:rsidP="00CF6B78">
            <w:pPr>
              <w:tabs>
                <w:tab w:val="center" w:pos="4680"/>
              </w:tabs>
              <w:suppressAutoHyphens/>
              <w:rPr>
                <w:spacing w:val="-2"/>
              </w:rPr>
            </w:pPr>
            <w:r w:rsidRPr="00ED5746">
              <w:rPr>
                <w:spacing w:val="-2"/>
              </w:rPr>
              <w:t>In the Matter of</w:t>
            </w:r>
          </w:p>
          <w:p w14:paraId="1E177E1F" w14:textId="77777777" w:rsidR="00ED5746" w:rsidRPr="00D23E19" w:rsidRDefault="00ED5746" w:rsidP="00CF6B78">
            <w:pPr>
              <w:tabs>
                <w:tab w:val="left" w:pos="360"/>
                <w:tab w:val="center" w:pos="4680"/>
                <w:tab w:val="right" w:leader="dot" w:pos="9360"/>
              </w:tabs>
              <w:suppressAutoHyphens/>
              <w:ind w:left="360" w:right="720" w:hanging="360"/>
              <w:rPr>
                <w:spacing w:val="-2"/>
              </w:rPr>
            </w:pPr>
          </w:p>
          <w:p w14:paraId="055596A3" w14:textId="543C520F" w:rsidR="00ED5746" w:rsidRPr="00D84548" w:rsidRDefault="000A688C" w:rsidP="00EF71C3">
            <w:pPr>
              <w:autoSpaceDE w:val="0"/>
              <w:autoSpaceDN w:val="0"/>
              <w:adjustRightInd w:val="0"/>
            </w:pPr>
            <w:r>
              <w:t>Essex Telcom, Inc.</w:t>
            </w:r>
          </w:p>
        </w:tc>
        <w:tc>
          <w:tcPr>
            <w:tcW w:w="630" w:type="dxa"/>
          </w:tcPr>
          <w:p w14:paraId="4E626BFF" w14:textId="77777777" w:rsidR="00ED5746" w:rsidRPr="00D84548" w:rsidRDefault="00ED5746" w:rsidP="00CF6B78">
            <w:pPr>
              <w:tabs>
                <w:tab w:val="center" w:pos="4680"/>
              </w:tabs>
              <w:suppressAutoHyphens/>
              <w:rPr>
                <w:b/>
                <w:spacing w:val="-2"/>
              </w:rPr>
            </w:pPr>
            <w:r w:rsidRPr="00D84548">
              <w:rPr>
                <w:b/>
                <w:spacing w:val="-2"/>
              </w:rPr>
              <w:t>)</w:t>
            </w:r>
          </w:p>
          <w:p w14:paraId="30D6019C" w14:textId="77777777" w:rsidR="00ED5746" w:rsidRPr="00D23E19" w:rsidRDefault="00ED5746" w:rsidP="00CF6B78">
            <w:pPr>
              <w:tabs>
                <w:tab w:val="center" w:pos="4680"/>
              </w:tabs>
              <w:suppressAutoHyphens/>
              <w:rPr>
                <w:b/>
                <w:spacing w:val="-2"/>
              </w:rPr>
            </w:pPr>
            <w:r w:rsidRPr="00D84548">
              <w:rPr>
                <w:b/>
                <w:spacing w:val="-2"/>
              </w:rPr>
              <w:t>)</w:t>
            </w:r>
          </w:p>
          <w:p w14:paraId="1D088DB3" w14:textId="77777777" w:rsidR="00ED5746" w:rsidRPr="00D23E19" w:rsidRDefault="00ED5746" w:rsidP="00CF6B78">
            <w:pPr>
              <w:tabs>
                <w:tab w:val="center" w:pos="4680"/>
              </w:tabs>
              <w:suppressAutoHyphens/>
              <w:rPr>
                <w:b/>
                <w:spacing w:val="-2"/>
              </w:rPr>
            </w:pPr>
            <w:r w:rsidRPr="00D84548">
              <w:rPr>
                <w:b/>
                <w:spacing w:val="-2"/>
              </w:rPr>
              <w:t>)</w:t>
            </w:r>
          </w:p>
          <w:p w14:paraId="6C30BF33" w14:textId="77777777" w:rsidR="00ED5746" w:rsidRPr="00D23E19" w:rsidRDefault="00ED5746" w:rsidP="00CF6B78">
            <w:pPr>
              <w:tabs>
                <w:tab w:val="center" w:pos="4680"/>
              </w:tabs>
              <w:suppressAutoHyphens/>
              <w:rPr>
                <w:b/>
                <w:spacing w:val="-2"/>
              </w:rPr>
            </w:pPr>
            <w:r w:rsidRPr="00D84548">
              <w:rPr>
                <w:b/>
                <w:spacing w:val="-2"/>
              </w:rPr>
              <w:t>)</w:t>
            </w:r>
          </w:p>
          <w:p w14:paraId="25240A0E" w14:textId="77777777" w:rsidR="00ED5746" w:rsidRPr="00D23E19" w:rsidRDefault="00ED5746" w:rsidP="00CF6B78">
            <w:pPr>
              <w:tabs>
                <w:tab w:val="center" w:pos="4680"/>
              </w:tabs>
              <w:suppressAutoHyphens/>
              <w:rPr>
                <w:b/>
                <w:spacing w:val="-2"/>
              </w:rPr>
            </w:pPr>
            <w:r w:rsidRPr="00D84548">
              <w:rPr>
                <w:b/>
                <w:spacing w:val="-2"/>
              </w:rPr>
              <w:t>)</w:t>
            </w:r>
          </w:p>
          <w:p w14:paraId="72A27E98" w14:textId="77777777" w:rsidR="00ED5746" w:rsidRPr="00D23E19" w:rsidRDefault="00ED5746" w:rsidP="00CF6B78">
            <w:pPr>
              <w:tabs>
                <w:tab w:val="center" w:pos="4680"/>
              </w:tabs>
              <w:suppressAutoHyphens/>
              <w:rPr>
                <w:b/>
                <w:spacing w:val="-2"/>
              </w:rPr>
            </w:pPr>
            <w:r w:rsidRPr="00D84548">
              <w:rPr>
                <w:b/>
                <w:spacing w:val="-2"/>
              </w:rPr>
              <w:t>)</w:t>
            </w:r>
          </w:p>
          <w:p w14:paraId="5EDF804F" w14:textId="77777777" w:rsidR="00ED5746" w:rsidRPr="00D23E19" w:rsidRDefault="00ED5746" w:rsidP="00CF6B78">
            <w:pPr>
              <w:tabs>
                <w:tab w:val="center" w:pos="4680"/>
              </w:tabs>
              <w:suppressAutoHyphens/>
              <w:rPr>
                <w:b/>
                <w:spacing w:val="-2"/>
              </w:rPr>
            </w:pPr>
            <w:r w:rsidRPr="00D84548">
              <w:rPr>
                <w:b/>
                <w:spacing w:val="-2"/>
              </w:rPr>
              <w:t>)</w:t>
            </w:r>
          </w:p>
          <w:p w14:paraId="693E72AD" w14:textId="0302AFE7" w:rsidR="00ED5746" w:rsidRPr="00D23E19" w:rsidRDefault="00ED5746" w:rsidP="003B739D">
            <w:pPr>
              <w:tabs>
                <w:tab w:val="center" w:pos="4680"/>
              </w:tabs>
              <w:suppressAutoHyphens/>
              <w:rPr>
                <w:b/>
                <w:spacing w:val="-2"/>
              </w:rPr>
            </w:pPr>
          </w:p>
        </w:tc>
        <w:tc>
          <w:tcPr>
            <w:tcW w:w="4248" w:type="dxa"/>
          </w:tcPr>
          <w:p w14:paraId="05719545" w14:textId="77777777" w:rsidR="00E44AC6" w:rsidRDefault="00E44AC6" w:rsidP="00CF6B78">
            <w:pPr>
              <w:tabs>
                <w:tab w:val="center" w:pos="4680"/>
              </w:tabs>
              <w:suppressAutoHyphens/>
              <w:ind w:left="432"/>
              <w:rPr>
                <w:spacing w:val="-2"/>
                <w:szCs w:val="22"/>
              </w:rPr>
            </w:pPr>
          </w:p>
          <w:p w14:paraId="71783AD3" w14:textId="77777777" w:rsidR="00E44AC6" w:rsidRDefault="00E44AC6" w:rsidP="00CF6B78">
            <w:pPr>
              <w:tabs>
                <w:tab w:val="center" w:pos="4680"/>
              </w:tabs>
              <w:suppressAutoHyphens/>
              <w:ind w:left="432"/>
              <w:rPr>
                <w:spacing w:val="-2"/>
                <w:szCs w:val="22"/>
              </w:rPr>
            </w:pPr>
          </w:p>
          <w:p w14:paraId="3B860B02" w14:textId="18BAD523" w:rsidR="00ED5746" w:rsidRPr="00D84548" w:rsidRDefault="00ED5746" w:rsidP="00CF6B78">
            <w:pPr>
              <w:tabs>
                <w:tab w:val="center" w:pos="4680"/>
              </w:tabs>
              <w:suppressAutoHyphens/>
              <w:ind w:left="432"/>
              <w:rPr>
                <w:spacing w:val="-2"/>
                <w:szCs w:val="22"/>
              </w:rPr>
            </w:pPr>
            <w:r w:rsidRPr="00D84548">
              <w:rPr>
                <w:spacing w:val="-2"/>
                <w:szCs w:val="22"/>
              </w:rPr>
              <w:t xml:space="preserve">File No.:  </w:t>
            </w:r>
            <w:r w:rsidR="000A688C">
              <w:rPr>
                <w:spacing w:val="-2"/>
                <w:szCs w:val="22"/>
              </w:rPr>
              <w:t>EB-SED-16-00022830</w:t>
            </w:r>
            <w:r w:rsidR="000A688C">
              <w:rPr>
                <w:rStyle w:val="FootnoteReference"/>
                <w:spacing w:val="-2"/>
                <w:szCs w:val="22"/>
              </w:rPr>
              <w:footnoteReference w:id="2"/>
            </w:r>
          </w:p>
          <w:p w14:paraId="49558413" w14:textId="26C8C015" w:rsidR="00ED5746" w:rsidRPr="00D84548" w:rsidRDefault="00ED5746" w:rsidP="00D84548">
            <w:pPr>
              <w:ind w:left="432"/>
              <w:rPr>
                <w:spacing w:val="-2"/>
                <w:szCs w:val="22"/>
              </w:rPr>
            </w:pPr>
            <w:r w:rsidRPr="00D84548">
              <w:rPr>
                <w:spacing w:val="-2"/>
                <w:szCs w:val="22"/>
              </w:rPr>
              <w:t xml:space="preserve">Acct. No.:  </w:t>
            </w:r>
            <w:r w:rsidR="0096659F">
              <w:rPr>
                <w:spacing w:val="-2"/>
                <w:szCs w:val="22"/>
              </w:rPr>
              <w:t>201732100002</w:t>
            </w:r>
          </w:p>
          <w:p w14:paraId="1DACCC82" w14:textId="59C09E22" w:rsidR="00ED5746" w:rsidRPr="00D84548" w:rsidRDefault="00ED5746" w:rsidP="000A688C">
            <w:pPr>
              <w:tabs>
                <w:tab w:val="center" w:pos="4680"/>
              </w:tabs>
              <w:suppressAutoHyphens/>
              <w:ind w:left="432"/>
              <w:rPr>
                <w:snapToGrid/>
                <w:spacing w:val="-2"/>
              </w:rPr>
            </w:pPr>
            <w:r w:rsidRPr="00D84548">
              <w:rPr>
                <w:szCs w:val="22"/>
              </w:rPr>
              <w:t xml:space="preserve">FRN:  </w:t>
            </w:r>
            <w:r w:rsidR="000A688C">
              <w:rPr>
                <w:szCs w:val="22"/>
              </w:rPr>
              <w:t>0008317661</w:t>
            </w:r>
          </w:p>
        </w:tc>
      </w:tr>
    </w:tbl>
    <w:p w14:paraId="378D8910" w14:textId="115C29C1" w:rsidR="00F84BCA" w:rsidRPr="00D84548" w:rsidRDefault="00F84BCA" w:rsidP="00AA4B16">
      <w:pPr>
        <w:jc w:val="center"/>
        <w:outlineLvl w:val="0"/>
        <w:rPr>
          <w:b/>
          <w:szCs w:val="22"/>
        </w:rPr>
      </w:pPr>
      <w:r w:rsidRPr="00D84548">
        <w:rPr>
          <w:b/>
          <w:szCs w:val="22"/>
        </w:rPr>
        <w:t>ORDER</w:t>
      </w:r>
    </w:p>
    <w:p w14:paraId="4BD00AA5" w14:textId="77777777" w:rsidR="00F84BCA" w:rsidRPr="00D84548" w:rsidRDefault="00F84BCA" w:rsidP="00AA4B16">
      <w:pPr>
        <w:tabs>
          <w:tab w:val="left" w:pos="-720"/>
        </w:tabs>
        <w:suppressAutoHyphens/>
        <w:spacing w:line="227" w:lineRule="auto"/>
        <w:rPr>
          <w:spacing w:val="-2"/>
        </w:rPr>
      </w:pPr>
    </w:p>
    <w:p w14:paraId="073541FF" w14:textId="41585281"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821606">
        <w:rPr>
          <w:b/>
          <w:spacing w:val="-2"/>
        </w:rPr>
        <w:t>December 30, 2016</w:t>
      </w:r>
      <w:r w:rsidRPr="00D84548">
        <w:rPr>
          <w:b/>
          <w:spacing w:val="-2"/>
        </w:rPr>
        <w:tab/>
        <w:t xml:space="preserve">Released:  </w:t>
      </w:r>
      <w:r w:rsidR="00821606">
        <w:rPr>
          <w:b/>
          <w:spacing w:val="-2"/>
        </w:rPr>
        <w:t>December 30, 2016</w:t>
      </w:r>
    </w:p>
    <w:p w14:paraId="21319640" w14:textId="77777777" w:rsidR="00F84BCA" w:rsidRPr="00D84548" w:rsidRDefault="00F84BCA" w:rsidP="00F84BCA"/>
    <w:p w14:paraId="065DDB16" w14:textId="0EF8DECA" w:rsidR="00F84BCA" w:rsidRPr="00D84548" w:rsidRDefault="00D42D5D" w:rsidP="00F84BCA">
      <w:pPr>
        <w:rPr>
          <w:spacing w:val="-2"/>
        </w:rPr>
      </w:pPr>
      <w:r w:rsidRPr="00D84548">
        <w:rPr>
          <w:spacing w:val="-2"/>
          <w:szCs w:val="22"/>
        </w:rPr>
        <w:t xml:space="preserve">By the </w:t>
      </w:r>
      <w:r w:rsidR="00F84BCA" w:rsidRPr="00D84548">
        <w:rPr>
          <w:spacing w:val="-2"/>
          <w:szCs w:val="22"/>
        </w:rPr>
        <w:t>Chief</w:t>
      </w:r>
      <w:r w:rsidR="00EF1C44" w:rsidRPr="00D84548">
        <w:rPr>
          <w:spacing w:val="-2"/>
          <w:szCs w:val="22"/>
        </w:rPr>
        <w:t xml:space="preserve"> </w:t>
      </w:r>
      <w:r w:rsidR="00F84BCA" w:rsidRPr="00D84548">
        <w:rPr>
          <w:spacing w:val="-2"/>
          <w:szCs w:val="22"/>
        </w:rPr>
        <w:t>Enforcement Bureau:</w:t>
      </w:r>
    </w:p>
    <w:p w14:paraId="59AA998E" w14:textId="77777777" w:rsidR="00F84BCA" w:rsidRPr="00D84548" w:rsidRDefault="00F84BCA" w:rsidP="00F84BCA"/>
    <w:p w14:paraId="00D1D021" w14:textId="723AC2EC" w:rsidR="00F84BCA" w:rsidRPr="00D84548" w:rsidRDefault="00B277A4" w:rsidP="0020695B">
      <w:pPr>
        <w:pStyle w:val="ParaNum0"/>
        <w:numPr>
          <w:ilvl w:val="0"/>
          <w:numId w:val="4"/>
        </w:numPr>
        <w:tabs>
          <w:tab w:val="clear" w:pos="1080"/>
        </w:tabs>
        <w:rPr>
          <w:color w:val="000000"/>
          <w:szCs w:val="22"/>
        </w:rPr>
      </w:pPr>
      <w:r w:rsidRPr="00D84548">
        <w:rPr>
          <w:szCs w:val="22"/>
        </w:rPr>
        <w:t>T</w:t>
      </w:r>
      <w:r w:rsidR="00F84BCA" w:rsidRPr="00D84548">
        <w:rPr>
          <w:szCs w:val="22"/>
        </w:rPr>
        <w:t xml:space="preserve">he Enforcement Bureau (Bureau) </w:t>
      </w:r>
      <w:r w:rsidRPr="00D84548">
        <w:rPr>
          <w:szCs w:val="22"/>
        </w:rPr>
        <w:t xml:space="preserve">of the Federal Communications Commission </w:t>
      </w:r>
      <w:r w:rsidR="00C106C0">
        <w:rPr>
          <w:szCs w:val="22"/>
        </w:rPr>
        <w:t xml:space="preserve">(Commission) </w:t>
      </w:r>
      <w:r w:rsidRPr="00D84548">
        <w:rPr>
          <w:szCs w:val="22"/>
        </w:rPr>
        <w:t>has entered into a Consent Decree to resolve its investigation into whether</w:t>
      </w:r>
      <w:r w:rsidR="00E87831" w:rsidRPr="00D84548">
        <w:rPr>
          <w:szCs w:val="22"/>
        </w:rPr>
        <w:t xml:space="preserve"> </w:t>
      </w:r>
      <w:r w:rsidR="00C106C0">
        <w:rPr>
          <w:szCs w:val="22"/>
        </w:rPr>
        <w:t>Essex Telcom, Inc. (Essex) operated station WQJA669 on unauthorized frequencies</w:t>
      </w:r>
      <w:r w:rsidR="00C32DC1">
        <w:rPr>
          <w:szCs w:val="22"/>
        </w:rPr>
        <w:t xml:space="preserve"> in the 3.5 GHz Band</w:t>
      </w:r>
      <w:r w:rsidR="00C106C0">
        <w:rPr>
          <w:szCs w:val="22"/>
        </w:rPr>
        <w:t>.</w:t>
      </w:r>
      <w:r w:rsidR="00C32DC1">
        <w:rPr>
          <w:szCs w:val="22"/>
        </w:rPr>
        <w:t xml:space="preserve">  These laws </w:t>
      </w:r>
      <w:r w:rsidR="00620A7A">
        <w:rPr>
          <w:szCs w:val="22"/>
        </w:rPr>
        <w:t xml:space="preserve">ensure that devices that emit radio frequency radiation comply with the Commission’s technical requirements and do not interfere with authorized communications.  </w:t>
      </w:r>
      <w:r w:rsidR="00852F69" w:rsidRPr="00D84548">
        <w:rPr>
          <w:szCs w:val="22"/>
        </w:rPr>
        <w:t xml:space="preserve">To settle this matter, </w:t>
      </w:r>
      <w:r w:rsidR="007700D9">
        <w:rPr>
          <w:szCs w:val="22"/>
        </w:rPr>
        <w:t xml:space="preserve">Essex </w:t>
      </w:r>
      <w:r w:rsidR="00202B90" w:rsidRPr="00D84548">
        <w:rPr>
          <w:szCs w:val="22"/>
        </w:rPr>
        <w:t xml:space="preserve">admits that it </w:t>
      </w:r>
      <w:r w:rsidR="007700D9">
        <w:rPr>
          <w:szCs w:val="22"/>
        </w:rPr>
        <w:t>operated station WQJA669 on unauthorized frequencies from April</w:t>
      </w:r>
      <w:r w:rsidR="00C32DC1">
        <w:rPr>
          <w:szCs w:val="22"/>
        </w:rPr>
        <w:t xml:space="preserve"> 14, 2016 until August 17, 2016, </w:t>
      </w:r>
      <w:r w:rsidR="007700D9">
        <w:rPr>
          <w:szCs w:val="22"/>
        </w:rPr>
        <w:t>will implement a compliance plan</w:t>
      </w:r>
      <w:r w:rsidR="00C32DC1">
        <w:rPr>
          <w:szCs w:val="22"/>
        </w:rPr>
        <w:t xml:space="preserve">, </w:t>
      </w:r>
      <w:r w:rsidR="007700D9">
        <w:rPr>
          <w:szCs w:val="22"/>
        </w:rPr>
        <w:t>and will pay a $</w:t>
      </w:r>
      <w:r w:rsidR="00AA7420">
        <w:rPr>
          <w:szCs w:val="22"/>
        </w:rPr>
        <w:t>28,800</w:t>
      </w:r>
      <w:r w:rsidR="007700D9">
        <w:rPr>
          <w:szCs w:val="22"/>
        </w:rPr>
        <w:t xml:space="preserve"> civil penalty.</w:t>
      </w:r>
      <w:r w:rsidR="00F84BCA" w:rsidRPr="00D84548">
        <w:rPr>
          <w:szCs w:val="22"/>
        </w:rPr>
        <w:t xml:space="preserve"> </w:t>
      </w:r>
    </w:p>
    <w:p w14:paraId="0C2A38EA" w14:textId="0737A16F" w:rsidR="00B277A4" w:rsidRPr="00D84548" w:rsidRDefault="00F84BCA" w:rsidP="0020695B">
      <w:pPr>
        <w:pStyle w:val="ParaNum0"/>
        <w:numPr>
          <w:ilvl w:val="0"/>
          <w:numId w:val="4"/>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00B277A4" w:rsidRPr="00D84548">
        <w:rPr>
          <w:szCs w:val="22"/>
        </w:rPr>
        <w:t xml:space="preserve"> regarding </w:t>
      </w:r>
      <w:r w:rsidR="00ED40B1">
        <w:rPr>
          <w:szCs w:val="22"/>
        </w:rPr>
        <w:t>Essex’s compliance with Section 301 of the Communications Act</w:t>
      </w:r>
      <w:r w:rsidR="00C32DC1">
        <w:rPr>
          <w:szCs w:val="22"/>
        </w:rPr>
        <w:t xml:space="preserve"> of 1934</w:t>
      </w:r>
      <w:r w:rsidR="00ED40B1">
        <w:rPr>
          <w:szCs w:val="22"/>
        </w:rPr>
        <w:t>, as amended (Act),</w:t>
      </w:r>
      <w:r w:rsidR="00ED40B1">
        <w:rPr>
          <w:rStyle w:val="FootnoteReference"/>
          <w:szCs w:val="22"/>
        </w:rPr>
        <w:footnoteReference w:id="3"/>
      </w:r>
      <w:r w:rsidR="00ED40B1">
        <w:rPr>
          <w:szCs w:val="22"/>
        </w:rPr>
        <w:t xml:space="preserve"> and Section 1.903(a) </w:t>
      </w:r>
      <w:r w:rsidR="00B277A4" w:rsidRPr="00D84548">
        <w:rPr>
          <w:szCs w:val="22"/>
        </w:rPr>
        <w:t>of the Commission’s rules</w:t>
      </w:r>
      <w:r w:rsidR="00C32DC1">
        <w:rPr>
          <w:szCs w:val="22"/>
        </w:rPr>
        <w:t xml:space="preserve"> (Rules)</w:t>
      </w:r>
      <w:r w:rsidR="00B277A4" w:rsidRPr="00D84548">
        <w:rPr>
          <w:szCs w:val="22"/>
        </w:rPr>
        <w:t>.</w:t>
      </w:r>
      <w:r w:rsidR="00B277A4" w:rsidRPr="00D84548">
        <w:rPr>
          <w:rStyle w:val="FootnoteReference"/>
          <w:szCs w:val="22"/>
        </w:rPr>
        <w:footnoteReference w:id="4"/>
      </w:r>
    </w:p>
    <w:p w14:paraId="4AD621F4" w14:textId="4A06DEE4" w:rsidR="00F84BCA" w:rsidRPr="00D84548" w:rsidRDefault="00357044" w:rsidP="0020695B">
      <w:pPr>
        <w:pStyle w:val="ParaNum0"/>
        <w:numPr>
          <w:ilvl w:val="0"/>
          <w:numId w:val="4"/>
        </w:numPr>
        <w:tabs>
          <w:tab w:val="clear" w:pos="1080"/>
          <w:tab w:val="left" w:pos="1440"/>
        </w:tabs>
        <w:rPr>
          <w:szCs w:val="22"/>
        </w:rPr>
      </w:pPr>
      <w:r>
        <w:rPr>
          <w:szCs w:val="22"/>
        </w:rPr>
        <w:t xml:space="preserve">In the absence of material new evidence relating to this matter, we do not set for hearing the question of </w:t>
      </w:r>
      <w:r w:rsidR="00ED40B1">
        <w:rPr>
          <w:szCs w:val="22"/>
        </w:rPr>
        <w:t>Essex</w:t>
      </w:r>
      <w:r>
        <w:rPr>
          <w:szCs w:val="22"/>
        </w:rPr>
        <w:t>’s basic qualifications to hold or obtain an</w:t>
      </w:r>
      <w:r w:rsidR="00F74D07">
        <w:rPr>
          <w:szCs w:val="22"/>
        </w:rPr>
        <w:t>y</w:t>
      </w:r>
      <w:r>
        <w:rPr>
          <w:szCs w:val="22"/>
        </w:rPr>
        <w:t xml:space="preserve"> Commission license or authorization.</w:t>
      </w:r>
      <w:r>
        <w:rPr>
          <w:rStyle w:val="FootnoteReference"/>
          <w:szCs w:val="22"/>
        </w:rPr>
        <w:footnoteReference w:id="5"/>
      </w:r>
    </w:p>
    <w:p w14:paraId="13E174C8" w14:textId="0EAD9560" w:rsidR="00F84BCA" w:rsidRPr="00D84548" w:rsidRDefault="00F84BCA" w:rsidP="0020695B">
      <w:pPr>
        <w:pStyle w:val="ParaNum0"/>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sidR="00B75912" w:rsidRPr="00D84548">
        <w:rPr>
          <w:szCs w:val="22"/>
        </w:rPr>
        <w:t xml:space="preserve"> 4(i)</w:t>
      </w:r>
      <w:r w:rsidR="00D75C02">
        <w:rPr>
          <w:szCs w:val="22"/>
        </w:rPr>
        <w:t xml:space="preserve"> </w:t>
      </w:r>
      <w:r w:rsidR="009632A6" w:rsidRPr="00D84548">
        <w:rPr>
          <w:szCs w:val="22"/>
        </w:rPr>
        <w:t>of the Act</w:t>
      </w:r>
      <w:r w:rsidR="009632A6" w:rsidRPr="00D84548">
        <w:rPr>
          <w:rStyle w:val="FootnoteReference"/>
          <w:szCs w:val="22"/>
        </w:rPr>
        <w:footnoteReference w:id="6"/>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7"/>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14:paraId="4B49E470" w14:textId="2CAF41C3" w:rsidR="00F84BCA" w:rsidRPr="00D84548" w:rsidRDefault="00F84BCA" w:rsidP="0020695B">
      <w:pPr>
        <w:pStyle w:val="ParaNum0"/>
        <w:numPr>
          <w:ilvl w:val="0"/>
          <w:numId w:val="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14:paraId="215A29F1" w14:textId="4B91BF89" w:rsidR="00F84BCA" w:rsidRPr="00D84548" w:rsidRDefault="00F84BCA" w:rsidP="0020695B">
      <w:pPr>
        <w:pStyle w:val="ParaNum0"/>
        <w:numPr>
          <w:ilvl w:val="0"/>
          <w:numId w:val="4"/>
        </w:numPr>
        <w:tabs>
          <w:tab w:val="clear" w:pos="1080"/>
          <w:tab w:val="left" w:pos="1440"/>
        </w:tabs>
        <w:rPr>
          <w:szCs w:val="22"/>
        </w:rPr>
      </w:pPr>
      <w:r w:rsidRPr="00D84548">
        <w:rPr>
          <w:b/>
        </w:rPr>
        <w:t>IT IS FURTHER ORDERED</w:t>
      </w:r>
      <w:r w:rsidRPr="00D84548">
        <w:t xml:space="preserve"> that a copy of this Order and Consent Decree </w:t>
      </w:r>
      <w:r w:rsidR="00D84548" w:rsidRPr="00981F23">
        <w:rPr>
          <w:color w:val="000000" w:themeColor="text1"/>
          <w:szCs w:val="22"/>
        </w:rPr>
        <w:t xml:space="preserve">shall be sent by first class mail and certified mail, return receipt requested, to </w:t>
      </w:r>
      <w:r w:rsidR="00EF71C3">
        <w:rPr>
          <w:color w:val="000000" w:themeColor="text1"/>
          <w:szCs w:val="22"/>
        </w:rPr>
        <w:t xml:space="preserve">Mr. </w:t>
      </w:r>
      <w:r w:rsidR="00823A75">
        <w:rPr>
          <w:color w:val="000000" w:themeColor="text1"/>
          <w:szCs w:val="22"/>
        </w:rPr>
        <w:t xml:space="preserve">Jeff Kohler, Executive Vice </w:t>
      </w:r>
      <w:r w:rsidR="00823A75">
        <w:rPr>
          <w:color w:val="000000" w:themeColor="text1"/>
          <w:szCs w:val="22"/>
        </w:rPr>
        <w:lastRenderedPageBreak/>
        <w:t xml:space="preserve">President and Chief </w:t>
      </w:r>
      <w:r w:rsidR="009A0243">
        <w:rPr>
          <w:color w:val="000000" w:themeColor="text1"/>
          <w:szCs w:val="22"/>
        </w:rPr>
        <w:t xml:space="preserve">Development Officer, </w:t>
      </w:r>
      <w:r w:rsidR="00EF71C3">
        <w:rPr>
          <w:color w:val="000000" w:themeColor="text1"/>
          <w:szCs w:val="22"/>
        </w:rPr>
        <w:t>Essex Tel</w:t>
      </w:r>
      <w:r w:rsidR="0046477F">
        <w:rPr>
          <w:color w:val="000000" w:themeColor="text1"/>
          <w:szCs w:val="22"/>
        </w:rPr>
        <w:t xml:space="preserve">com, Inc., </w:t>
      </w:r>
      <w:r w:rsidR="00CD20D6">
        <w:rPr>
          <w:color w:val="000000" w:themeColor="text1"/>
          <w:szCs w:val="22"/>
        </w:rPr>
        <w:t>61 Inverness Drive</w:t>
      </w:r>
      <w:r w:rsidR="0046477F" w:rsidRPr="00CD20D6">
        <w:rPr>
          <w:color w:val="000000" w:themeColor="text1"/>
          <w:szCs w:val="22"/>
        </w:rPr>
        <w:t xml:space="preserve"> East, Suite 250, Englewood, Colorado, 80112,</w:t>
      </w:r>
      <w:r w:rsidR="0046477F">
        <w:rPr>
          <w:color w:val="000000" w:themeColor="text1"/>
          <w:szCs w:val="22"/>
        </w:rPr>
        <w:t xml:space="preserve"> </w:t>
      </w:r>
      <w:r w:rsidR="00D84548" w:rsidRPr="00981F23">
        <w:rPr>
          <w:color w:val="000000" w:themeColor="text1"/>
          <w:szCs w:val="22"/>
        </w:rPr>
        <w:t xml:space="preserve">and to </w:t>
      </w:r>
      <w:r w:rsidR="00AC70B0">
        <w:rPr>
          <w:color w:val="000000" w:themeColor="text1"/>
          <w:szCs w:val="22"/>
        </w:rPr>
        <w:t xml:space="preserve">Stephen E. Coran, </w:t>
      </w:r>
      <w:r w:rsidR="00D84548" w:rsidRPr="00981F23">
        <w:rPr>
          <w:color w:val="000000" w:themeColor="text1"/>
          <w:szCs w:val="22"/>
        </w:rPr>
        <w:t xml:space="preserve">Esq., </w:t>
      </w:r>
      <w:r w:rsidR="00AC70B0">
        <w:rPr>
          <w:color w:val="000000" w:themeColor="text1"/>
          <w:szCs w:val="22"/>
        </w:rPr>
        <w:t>Lerman Senter, PLLC, 2001, L Street, N.W., Suite 400</w:t>
      </w:r>
      <w:r w:rsidR="00EE58D9">
        <w:rPr>
          <w:color w:val="000000" w:themeColor="text1"/>
          <w:szCs w:val="22"/>
        </w:rPr>
        <w:t xml:space="preserve">, </w:t>
      </w:r>
      <w:r w:rsidR="00AC70B0">
        <w:rPr>
          <w:color w:val="000000" w:themeColor="text1"/>
          <w:szCs w:val="22"/>
        </w:rPr>
        <w:t>Washington, D.C. 20036.</w:t>
      </w:r>
    </w:p>
    <w:p w14:paraId="1B07C337" w14:textId="77777777" w:rsidR="00F84BCA" w:rsidRDefault="00F84BCA" w:rsidP="00F84BCA">
      <w:pPr>
        <w:pStyle w:val="ParaNum0"/>
        <w:numPr>
          <w:ilvl w:val="0"/>
          <w:numId w:val="0"/>
        </w:numPr>
        <w:tabs>
          <w:tab w:val="left" w:pos="1440"/>
        </w:tabs>
        <w:spacing w:after="240"/>
        <w:ind w:left="720"/>
        <w:rPr>
          <w:b/>
        </w:rPr>
      </w:pPr>
    </w:p>
    <w:p w14:paraId="13D8E575"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02E77021" w14:textId="77777777" w:rsidR="00F84BCA" w:rsidRPr="00EF505E" w:rsidRDefault="00F84BCA" w:rsidP="00F84BCA">
      <w:pPr>
        <w:rPr>
          <w:szCs w:val="22"/>
          <w:lang w:val="fr-FR"/>
        </w:rPr>
      </w:pPr>
    </w:p>
    <w:p w14:paraId="03C5656E" w14:textId="77777777" w:rsidR="00F84BCA" w:rsidRPr="00EF505E" w:rsidRDefault="00F84BCA" w:rsidP="00F84BCA">
      <w:pPr>
        <w:rPr>
          <w:szCs w:val="22"/>
          <w:lang w:val="fr-FR"/>
        </w:rPr>
      </w:pPr>
    </w:p>
    <w:p w14:paraId="46D0CC5C"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33CB404" w14:textId="77777777" w:rsidR="00F84BCA" w:rsidRPr="00EF505E" w:rsidRDefault="00F84BCA" w:rsidP="00F84BCA">
      <w:pPr>
        <w:outlineLvl w:val="0"/>
        <w:rPr>
          <w:szCs w:val="22"/>
          <w:lang w:val="fr-FR"/>
        </w:rPr>
      </w:pPr>
    </w:p>
    <w:p w14:paraId="5AD2E467" w14:textId="51A9AB63"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24F40FCB" w14:textId="47DEABE1"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r w:rsidR="00EF1C44">
        <w:rPr>
          <w:szCs w:val="22"/>
        </w:rPr>
        <w:t xml:space="preserve"> </w:t>
      </w:r>
    </w:p>
    <w:p w14:paraId="67913349" w14:textId="7B992155" w:rsidR="00F84BCA" w:rsidRDefault="00F84BCA" w:rsidP="00D23E19">
      <w:pPr>
        <w:ind w:left="2880" w:firstLine="720"/>
        <w:outlineLvl w:val="0"/>
        <w:rPr>
          <w:szCs w:val="22"/>
        </w:rPr>
      </w:pPr>
      <w:r>
        <w:rPr>
          <w:szCs w:val="22"/>
        </w:rPr>
        <w:t>Enforcement Bureau</w:t>
      </w:r>
    </w:p>
    <w:p w14:paraId="4C793935" w14:textId="77777777" w:rsidR="0020695B" w:rsidRDefault="0020695B" w:rsidP="00CF77B7">
      <w:pPr>
        <w:rPr>
          <w:szCs w:val="22"/>
        </w:rPr>
        <w:sectPr w:rsidR="0020695B" w:rsidSect="00AD608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titlePg/>
          <w:docGrid w:linePitch="299"/>
        </w:sectPr>
      </w:pPr>
    </w:p>
    <w:p w14:paraId="4B849FE6" w14:textId="77777777" w:rsidR="0020695B" w:rsidRPr="00843A5F" w:rsidRDefault="0020695B" w:rsidP="005B4F0E">
      <w:pPr>
        <w:jc w:val="center"/>
        <w:rPr>
          <w:b/>
        </w:rPr>
      </w:pPr>
      <w:r w:rsidRPr="00843A5F">
        <w:rPr>
          <w:rFonts w:ascii="Times New Roman Bold" w:hAnsi="Times New Roman Bold"/>
          <w:b/>
          <w:kern w:val="0"/>
          <w:szCs w:val="22"/>
        </w:rPr>
        <w:t>Before</w:t>
      </w:r>
      <w:r w:rsidRPr="00843A5F">
        <w:rPr>
          <w:b/>
        </w:rPr>
        <w:t xml:space="preserve"> the</w:t>
      </w:r>
    </w:p>
    <w:p w14:paraId="39F7234E" w14:textId="77777777" w:rsidR="0020695B" w:rsidRPr="00843A5F" w:rsidRDefault="0020695B" w:rsidP="005B4F0E">
      <w:pPr>
        <w:pStyle w:val="StyleBoldCentered"/>
      </w:pPr>
      <w:r w:rsidRPr="00843A5F">
        <w:t>F</w:t>
      </w:r>
      <w:r w:rsidRPr="00843A5F">
        <w:rPr>
          <w:caps w:val="0"/>
        </w:rPr>
        <w:t>ederal Communications Commission</w:t>
      </w:r>
    </w:p>
    <w:p w14:paraId="59123EA0" w14:textId="77777777" w:rsidR="0020695B" w:rsidRPr="00843A5F" w:rsidRDefault="0020695B" w:rsidP="005B4F0E">
      <w:pPr>
        <w:pStyle w:val="StyleBoldCentered"/>
      </w:pPr>
      <w:r w:rsidRPr="00843A5F">
        <w:rPr>
          <w:caps w:val="0"/>
        </w:rPr>
        <w:t>Washington, DC 20554</w:t>
      </w:r>
    </w:p>
    <w:p w14:paraId="2BF9716B" w14:textId="77777777" w:rsidR="0020695B" w:rsidRPr="00843A5F" w:rsidRDefault="0020695B" w:rsidP="005B4F0E"/>
    <w:tbl>
      <w:tblPr>
        <w:tblW w:w="9576" w:type="dxa"/>
        <w:tblLayout w:type="fixed"/>
        <w:tblLook w:val="0000" w:firstRow="0" w:lastRow="0" w:firstColumn="0" w:lastColumn="0" w:noHBand="0" w:noVBand="0"/>
      </w:tblPr>
      <w:tblGrid>
        <w:gridCol w:w="4698"/>
        <w:gridCol w:w="630"/>
        <w:gridCol w:w="4248"/>
      </w:tblGrid>
      <w:tr w:rsidR="0020695B" w:rsidRPr="007C0B39" w14:paraId="7A4DF3AF" w14:textId="77777777" w:rsidTr="00051558">
        <w:trPr>
          <w:trHeight w:val="2043"/>
        </w:trPr>
        <w:tc>
          <w:tcPr>
            <w:tcW w:w="4698" w:type="dxa"/>
          </w:tcPr>
          <w:p w14:paraId="1B80E1ED" w14:textId="77777777" w:rsidR="0020695B" w:rsidRPr="00843A5F" w:rsidRDefault="0020695B" w:rsidP="008048A6">
            <w:pPr>
              <w:tabs>
                <w:tab w:val="center" w:pos="4680"/>
              </w:tabs>
              <w:suppressAutoHyphens/>
              <w:rPr>
                <w:spacing w:val="-2"/>
              </w:rPr>
            </w:pPr>
            <w:r w:rsidRPr="00843A5F">
              <w:rPr>
                <w:spacing w:val="-2"/>
              </w:rPr>
              <w:t>In the Matter of</w:t>
            </w:r>
          </w:p>
          <w:p w14:paraId="3A680296" w14:textId="77777777" w:rsidR="0020695B" w:rsidRPr="00843A5F" w:rsidRDefault="0020695B" w:rsidP="008048A6">
            <w:pPr>
              <w:tabs>
                <w:tab w:val="center" w:pos="4680"/>
              </w:tabs>
              <w:suppressAutoHyphens/>
              <w:rPr>
                <w:spacing w:val="-2"/>
              </w:rPr>
            </w:pPr>
          </w:p>
          <w:p w14:paraId="433804E4" w14:textId="77777777" w:rsidR="0020695B" w:rsidRPr="007C0B39" w:rsidRDefault="0020695B" w:rsidP="00AA780E">
            <w:pPr>
              <w:tabs>
                <w:tab w:val="center" w:pos="4680"/>
              </w:tabs>
              <w:suppressAutoHyphens/>
              <w:rPr>
                <w:spacing w:val="-2"/>
              </w:rPr>
            </w:pPr>
            <w:r>
              <w:rPr>
                <w:spacing w:val="-2"/>
              </w:rPr>
              <w:t>Essex Telcom, Inc.</w:t>
            </w:r>
          </w:p>
        </w:tc>
        <w:tc>
          <w:tcPr>
            <w:tcW w:w="630" w:type="dxa"/>
          </w:tcPr>
          <w:p w14:paraId="572074D8" w14:textId="77777777" w:rsidR="0020695B" w:rsidRPr="007C0B39" w:rsidRDefault="0020695B" w:rsidP="008048A6">
            <w:pPr>
              <w:tabs>
                <w:tab w:val="center" w:pos="4680"/>
              </w:tabs>
              <w:suppressAutoHyphens/>
              <w:rPr>
                <w:b/>
                <w:spacing w:val="-2"/>
              </w:rPr>
            </w:pPr>
            <w:r w:rsidRPr="007C0B39">
              <w:rPr>
                <w:b/>
                <w:spacing w:val="-2"/>
              </w:rPr>
              <w:t>)</w:t>
            </w:r>
          </w:p>
          <w:p w14:paraId="132F7064" w14:textId="77777777" w:rsidR="0020695B" w:rsidRPr="007C0B39" w:rsidRDefault="0020695B" w:rsidP="008048A6">
            <w:pPr>
              <w:tabs>
                <w:tab w:val="center" w:pos="4680"/>
              </w:tabs>
              <w:suppressAutoHyphens/>
              <w:rPr>
                <w:b/>
                <w:spacing w:val="-2"/>
              </w:rPr>
            </w:pPr>
            <w:r w:rsidRPr="007C0B39">
              <w:rPr>
                <w:b/>
                <w:spacing w:val="-2"/>
              </w:rPr>
              <w:t>)</w:t>
            </w:r>
          </w:p>
          <w:p w14:paraId="1DF771B7" w14:textId="77777777" w:rsidR="0020695B" w:rsidRPr="007C0B39" w:rsidRDefault="0020695B" w:rsidP="008048A6">
            <w:pPr>
              <w:tabs>
                <w:tab w:val="center" w:pos="4680"/>
              </w:tabs>
              <w:suppressAutoHyphens/>
              <w:rPr>
                <w:b/>
                <w:spacing w:val="-2"/>
              </w:rPr>
            </w:pPr>
            <w:r w:rsidRPr="007C0B39">
              <w:rPr>
                <w:b/>
                <w:spacing w:val="-2"/>
              </w:rPr>
              <w:t>)</w:t>
            </w:r>
          </w:p>
          <w:p w14:paraId="38D2349A" w14:textId="77777777" w:rsidR="0020695B" w:rsidRPr="007C0B39" w:rsidRDefault="0020695B" w:rsidP="008048A6">
            <w:pPr>
              <w:tabs>
                <w:tab w:val="center" w:pos="4680"/>
              </w:tabs>
              <w:suppressAutoHyphens/>
              <w:rPr>
                <w:b/>
                <w:spacing w:val="-2"/>
              </w:rPr>
            </w:pPr>
            <w:r w:rsidRPr="007C0B39">
              <w:rPr>
                <w:b/>
                <w:spacing w:val="-2"/>
              </w:rPr>
              <w:t>)</w:t>
            </w:r>
          </w:p>
          <w:p w14:paraId="7338B77B" w14:textId="77777777" w:rsidR="0020695B" w:rsidRPr="007C0B39" w:rsidRDefault="0020695B" w:rsidP="00486AAF">
            <w:pPr>
              <w:tabs>
                <w:tab w:val="center" w:pos="4680"/>
              </w:tabs>
              <w:suppressAutoHyphens/>
              <w:rPr>
                <w:b/>
                <w:spacing w:val="-2"/>
              </w:rPr>
            </w:pPr>
            <w:r w:rsidRPr="007C0B39">
              <w:rPr>
                <w:b/>
                <w:spacing w:val="-2"/>
              </w:rPr>
              <w:t>)</w:t>
            </w:r>
          </w:p>
          <w:p w14:paraId="61E3EB15" w14:textId="77777777" w:rsidR="0020695B" w:rsidRPr="007C0B39" w:rsidRDefault="0020695B" w:rsidP="00486AAF">
            <w:pPr>
              <w:tabs>
                <w:tab w:val="center" w:pos="4680"/>
              </w:tabs>
              <w:suppressAutoHyphens/>
              <w:rPr>
                <w:b/>
                <w:spacing w:val="-2"/>
              </w:rPr>
            </w:pPr>
            <w:r w:rsidRPr="007C0B39">
              <w:rPr>
                <w:b/>
                <w:spacing w:val="-2"/>
              </w:rPr>
              <w:t>)</w:t>
            </w:r>
          </w:p>
          <w:p w14:paraId="7FBE7924" w14:textId="77777777" w:rsidR="0020695B" w:rsidRPr="007C0B39" w:rsidRDefault="0020695B" w:rsidP="00486AAF">
            <w:pPr>
              <w:tabs>
                <w:tab w:val="center" w:pos="4680"/>
              </w:tabs>
              <w:suppressAutoHyphens/>
              <w:rPr>
                <w:b/>
                <w:spacing w:val="-2"/>
              </w:rPr>
            </w:pPr>
            <w:r w:rsidRPr="007C0B39">
              <w:rPr>
                <w:b/>
                <w:spacing w:val="-2"/>
              </w:rPr>
              <w:t>)</w:t>
            </w:r>
          </w:p>
          <w:p w14:paraId="493A453A" w14:textId="77777777" w:rsidR="0020695B" w:rsidRPr="007C0B39" w:rsidRDefault="0020695B" w:rsidP="00486AAF">
            <w:pPr>
              <w:tabs>
                <w:tab w:val="center" w:pos="4680"/>
              </w:tabs>
              <w:suppressAutoHyphens/>
              <w:rPr>
                <w:spacing w:val="-2"/>
              </w:rPr>
            </w:pPr>
          </w:p>
        </w:tc>
        <w:tc>
          <w:tcPr>
            <w:tcW w:w="4248" w:type="dxa"/>
          </w:tcPr>
          <w:p w14:paraId="5B7E9251" w14:textId="77777777" w:rsidR="0020695B" w:rsidRDefault="0020695B" w:rsidP="00076C13">
            <w:pPr>
              <w:tabs>
                <w:tab w:val="center" w:pos="4680"/>
              </w:tabs>
              <w:suppressAutoHyphens/>
              <w:ind w:left="432"/>
              <w:rPr>
                <w:spacing w:val="-2"/>
                <w:szCs w:val="22"/>
              </w:rPr>
            </w:pPr>
          </w:p>
          <w:p w14:paraId="21C01BDF" w14:textId="77777777" w:rsidR="0020695B" w:rsidRDefault="0020695B" w:rsidP="00076C13">
            <w:pPr>
              <w:tabs>
                <w:tab w:val="center" w:pos="4680"/>
              </w:tabs>
              <w:suppressAutoHyphens/>
              <w:ind w:left="432"/>
              <w:rPr>
                <w:spacing w:val="-2"/>
                <w:szCs w:val="22"/>
              </w:rPr>
            </w:pPr>
          </w:p>
          <w:p w14:paraId="61FA09CF" w14:textId="77777777" w:rsidR="0020695B" w:rsidRPr="007C0B39" w:rsidRDefault="0020695B" w:rsidP="00076C13">
            <w:pPr>
              <w:tabs>
                <w:tab w:val="center" w:pos="4680"/>
              </w:tabs>
              <w:suppressAutoHyphens/>
              <w:ind w:left="432"/>
              <w:rPr>
                <w:spacing w:val="-2"/>
                <w:szCs w:val="22"/>
              </w:rPr>
            </w:pPr>
            <w:r w:rsidRPr="007C0B39">
              <w:rPr>
                <w:spacing w:val="-2"/>
                <w:szCs w:val="22"/>
              </w:rPr>
              <w:t xml:space="preserve">File No.:  </w:t>
            </w:r>
            <w:r>
              <w:rPr>
                <w:spacing w:val="-2"/>
                <w:szCs w:val="22"/>
              </w:rPr>
              <w:t>EB-SED-16-00022830</w:t>
            </w:r>
          </w:p>
          <w:p w14:paraId="50573532" w14:textId="77777777" w:rsidR="0020695B" w:rsidRPr="007C0B39" w:rsidRDefault="0020695B" w:rsidP="00076C13">
            <w:pPr>
              <w:ind w:left="432"/>
              <w:rPr>
                <w:spacing w:val="-2"/>
                <w:szCs w:val="22"/>
              </w:rPr>
            </w:pPr>
            <w:r w:rsidRPr="007C0B39">
              <w:rPr>
                <w:spacing w:val="-2"/>
                <w:szCs w:val="22"/>
              </w:rPr>
              <w:t xml:space="preserve">Acct. No.:  </w:t>
            </w:r>
            <w:r>
              <w:rPr>
                <w:spacing w:val="-2"/>
                <w:szCs w:val="22"/>
              </w:rPr>
              <w:t>201732100002</w:t>
            </w:r>
          </w:p>
          <w:p w14:paraId="3CA0A7B1" w14:textId="77777777" w:rsidR="0020695B" w:rsidRPr="007C0B39" w:rsidRDefault="0020695B" w:rsidP="005505D3">
            <w:pPr>
              <w:tabs>
                <w:tab w:val="center" w:pos="4680"/>
              </w:tabs>
              <w:suppressAutoHyphens/>
              <w:ind w:left="432"/>
              <w:rPr>
                <w:spacing w:val="-2"/>
              </w:rPr>
            </w:pPr>
            <w:r w:rsidRPr="007C0B39">
              <w:rPr>
                <w:szCs w:val="22"/>
              </w:rPr>
              <w:t xml:space="preserve">FRN:  </w:t>
            </w:r>
            <w:r>
              <w:rPr>
                <w:szCs w:val="22"/>
              </w:rPr>
              <w:t>0008317661</w:t>
            </w:r>
          </w:p>
        </w:tc>
      </w:tr>
    </w:tbl>
    <w:p w14:paraId="1B8A7E3B" w14:textId="77777777" w:rsidR="0020695B" w:rsidRPr="007C0B39" w:rsidRDefault="0020695B" w:rsidP="00FD0F9C">
      <w:pPr>
        <w:pStyle w:val="StyleBoldCentered"/>
      </w:pPr>
      <w:r w:rsidRPr="007C0B39">
        <w:t>CONSENT DECREE</w:t>
      </w:r>
    </w:p>
    <w:p w14:paraId="2B196870" w14:textId="77777777" w:rsidR="0020695B" w:rsidRPr="007C0B39" w:rsidRDefault="0020695B" w:rsidP="00064ADC">
      <w:pPr>
        <w:pStyle w:val="StyleBoldCentered"/>
      </w:pPr>
    </w:p>
    <w:p w14:paraId="08C863B6" w14:textId="77777777" w:rsidR="0020695B" w:rsidRPr="007C0B39" w:rsidRDefault="0020695B" w:rsidP="00FE372D">
      <w:pPr>
        <w:pStyle w:val="ParaNum0"/>
      </w:pPr>
      <w:r w:rsidRPr="007C0B39">
        <w:t xml:space="preserve">The Enforcement Bureau of the Federal Communications Commission and </w:t>
      </w:r>
      <w:r>
        <w:t>Essex Telcom, Inc.,</w:t>
      </w:r>
      <w:r w:rsidRPr="007C0B39">
        <w:t xml:space="preserve"> by their authorized representatives, hereby enter into this Consent Decree for the purpose of terminating the Enforcement Bureau’s investigation into whether </w:t>
      </w:r>
      <w:r>
        <w:t xml:space="preserve">Essex Telcom, Inc. </w:t>
      </w:r>
      <w:r w:rsidRPr="007C0B39">
        <w:t xml:space="preserve">violated </w:t>
      </w:r>
      <w:r>
        <w:t>Section 301 of the Communications Act of 1934, as amended,</w:t>
      </w:r>
      <w:r>
        <w:rPr>
          <w:rStyle w:val="FootnoteReference"/>
        </w:rPr>
        <w:footnoteReference w:id="8"/>
      </w:r>
      <w:r>
        <w:t xml:space="preserve"> and Section 1.903(a) of the Commission’s rules</w:t>
      </w:r>
      <w:r>
        <w:rPr>
          <w:rStyle w:val="FootnoteReference"/>
        </w:rPr>
        <w:footnoteReference w:id="9"/>
      </w:r>
      <w:r>
        <w:t xml:space="preserve"> in connection with its operation of Station WQJA669 on unauthorized frequencies.</w:t>
      </w:r>
    </w:p>
    <w:p w14:paraId="0AA5FA7D" w14:textId="77777777" w:rsidR="0020695B" w:rsidRPr="007C0B39" w:rsidRDefault="0020695B" w:rsidP="00E02214">
      <w:pPr>
        <w:pStyle w:val="Heading1"/>
      </w:pPr>
      <w:r w:rsidRPr="007C0B39">
        <w:t>DEFINITIONS</w:t>
      </w:r>
    </w:p>
    <w:p w14:paraId="1C8737D2" w14:textId="77777777" w:rsidR="0020695B" w:rsidRPr="007C0B39" w:rsidRDefault="0020695B" w:rsidP="00FE372D">
      <w:pPr>
        <w:pStyle w:val="ParaNum0"/>
      </w:pPr>
      <w:r w:rsidRPr="007C0B39">
        <w:t>For the purposes of this Consent Decree, the following definitions shall apply:</w:t>
      </w:r>
    </w:p>
    <w:p w14:paraId="0A7545CA" w14:textId="77777777" w:rsidR="0020695B" w:rsidRPr="007C0B39" w:rsidRDefault="0020695B" w:rsidP="0020695B">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0"/>
      </w:r>
    </w:p>
    <w:p w14:paraId="50030955"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1F89EF80"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09B5D161"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1F2E1B7B"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 xml:space="preserve">Essex </w:t>
      </w:r>
      <w:r w:rsidRPr="007C0B39">
        <w:rPr>
          <w:szCs w:val="22"/>
        </w:rPr>
        <w:t xml:space="preserve">is subject by virtue of its business activities, including but not limited to the </w:t>
      </w:r>
      <w:r>
        <w:rPr>
          <w:szCs w:val="22"/>
        </w:rPr>
        <w:t>Licensing Rules</w:t>
      </w:r>
      <w:r w:rsidRPr="007C0B39">
        <w:rPr>
          <w:szCs w:val="22"/>
        </w:rPr>
        <w:t>.</w:t>
      </w:r>
    </w:p>
    <w:p w14:paraId="46E0FBB9"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 </w:t>
      </w:r>
      <w:r>
        <w:rPr>
          <w:szCs w:val="22"/>
        </w:rPr>
        <w:t>13.</w:t>
      </w:r>
    </w:p>
    <w:p w14:paraId="4025D155"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 xml:space="preserve">Essex </w:t>
      </w:r>
      <w:r w:rsidRPr="007C0B39">
        <w:rPr>
          <w:szCs w:val="22"/>
        </w:rPr>
        <w:t xml:space="preserve">who perform, or supervise, oversee, or manage the performance of, duties that relate to </w:t>
      </w:r>
      <w:r>
        <w:rPr>
          <w:szCs w:val="22"/>
        </w:rPr>
        <w:t xml:space="preserve">Essex’s </w:t>
      </w:r>
      <w:r w:rsidRPr="007C0B39">
        <w:rPr>
          <w:szCs w:val="22"/>
        </w:rPr>
        <w:t xml:space="preserve">responsibilities under the Communications Laws, including the </w:t>
      </w:r>
      <w:r>
        <w:rPr>
          <w:szCs w:val="22"/>
        </w:rPr>
        <w:t xml:space="preserve">Licensing </w:t>
      </w:r>
      <w:r w:rsidRPr="007C0B39">
        <w:rPr>
          <w:szCs w:val="22"/>
        </w:rPr>
        <w:t>Rules.</w:t>
      </w:r>
    </w:p>
    <w:p w14:paraId="05DC7DA7" w14:textId="77777777" w:rsidR="0020695B" w:rsidRDefault="0020695B" w:rsidP="0020695B">
      <w:pPr>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 xml:space="preserve">Essex </w:t>
      </w:r>
      <w:r w:rsidRPr="007C0B39">
        <w:rPr>
          <w:szCs w:val="22"/>
        </w:rPr>
        <w:t>have signed the Consent Decree.</w:t>
      </w:r>
    </w:p>
    <w:p w14:paraId="76CD25FD" w14:textId="2D1A5AAB" w:rsidR="00481BC8" w:rsidRDefault="0020695B" w:rsidP="0020695B">
      <w:pPr>
        <w:numPr>
          <w:ilvl w:val="0"/>
          <w:numId w:val="5"/>
        </w:numPr>
        <w:tabs>
          <w:tab w:val="clear" w:pos="1224"/>
        </w:tabs>
        <w:spacing w:after="120"/>
        <w:ind w:left="1890"/>
        <w:rPr>
          <w:szCs w:val="22"/>
        </w:rPr>
      </w:pPr>
      <w:r>
        <w:rPr>
          <w:szCs w:val="22"/>
        </w:rPr>
        <w:t>“Essex” means Essex Telcom, Inc. and its affiliates, subsidiaries, predecessors-in-interest, and successors-in-interest.</w:t>
      </w:r>
    </w:p>
    <w:p w14:paraId="6433AA55" w14:textId="2F72CE80" w:rsidR="0020695B" w:rsidRPr="007C0B39" w:rsidRDefault="00481BC8" w:rsidP="00481BC8">
      <w:pPr>
        <w:widowControl/>
        <w:rPr>
          <w:szCs w:val="22"/>
        </w:rPr>
      </w:pPr>
      <w:r>
        <w:rPr>
          <w:szCs w:val="22"/>
        </w:rPr>
        <w:br w:type="page"/>
      </w:r>
    </w:p>
    <w:p w14:paraId="37374F33" w14:textId="77777777" w:rsidR="0020695B" w:rsidRDefault="0020695B" w:rsidP="0020695B">
      <w:pPr>
        <w:widowControl/>
        <w:numPr>
          <w:ilvl w:val="0"/>
          <w:numId w:val="5"/>
        </w:numPr>
        <w:tabs>
          <w:tab w:val="clear" w:pos="1224"/>
        </w:tabs>
        <w:spacing w:after="120"/>
        <w:ind w:left="1886"/>
        <w:rPr>
          <w:szCs w:val="22"/>
        </w:rPr>
      </w:pPr>
      <w:r w:rsidRPr="007C0B39">
        <w:rPr>
          <w:szCs w:val="22"/>
        </w:rPr>
        <w:t>“</w:t>
      </w:r>
      <w:r w:rsidRPr="007C0B39">
        <w:t>Investigation</w:t>
      </w:r>
      <w:r w:rsidRPr="007C0B39">
        <w:rPr>
          <w:szCs w:val="22"/>
        </w:rPr>
        <w:t xml:space="preserve">” means the investigation commenced by the Bureau in </w:t>
      </w:r>
      <w:r w:rsidRPr="002755D1">
        <w:rPr>
          <w:szCs w:val="22"/>
        </w:rPr>
        <w:t>F</w:t>
      </w:r>
      <w:r>
        <w:rPr>
          <w:szCs w:val="22"/>
        </w:rPr>
        <w:t xml:space="preserve">ile </w:t>
      </w:r>
      <w:r w:rsidRPr="002755D1">
        <w:rPr>
          <w:szCs w:val="22"/>
        </w:rPr>
        <w:t>No.</w:t>
      </w:r>
      <w:r>
        <w:rPr>
          <w:szCs w:val="22"/>
        </w:rPr>
        <w:t xml:space="preserve"> EB-SED-16-00022736</w:t>
      </w:r>
      <w:r>
        <w:rPr>
          <w:rStyle w:val="FootnoteReference"/>
          <w:szCs w:val="22"/>
        </w:rPr>
        <w:footnoteReference w:id="11"/>
      </w:r>
      <w:r>
        <w:rPr>
          <w:szCs w:val="22"/>
        </w:rPr>
        <w:t xml:space="preserve"> </w:t>
      </w:r>
      <w:r w:rsidRPr="007C0B39">
        <w:rPr>
          <w:szCs w:val="22"/>
        </w:rPr>
        <w:t xml:space="preserve">regarding whether </w:t>
      </w:r>
      <w:r>
        <w:rPr>
          <w:szCs w:val="22"/>
        </w:rPr>
        <w:t xml:space="preserve">Essex </w:t>
      </w:r>
      <w:r w:rsidRPr="007C0B39">
        <w:rPr>
          <w:szCs w:val="22"/>
        </w:rPr>
        <w:t xml:space="preserve">violated the </w:t>
      </w:r>
      <w:r>
        <w:rPr>
          <w:szCs w:val="22"/>
        </w:rPr>
        <w:t xml:space="preserve">Licensing </w:t>
      </w:r>
      <w:r w:rsidRPr="007C0B39">
        <w:rPr>
          <w:szCs w:val="22"/>
        </w:rPr>
        <w:t xml:space="preserve">Rules. </w:t>
      </w:r>
    </w:p>
    <w:p w14:paraId="5FE62DC5" w14:textId="77777777" w:rsidR="0020695B" w:rsidRPr="009E6548" w:rsidRDefault="0020695B" w:rsidP="0020695B">
      <w:pPr>
        <w:numPr>
          <w:ilvl w:val="0"/>
          <w:numId w:val="5"/>
        </w:numPr>
        <w:tabs>
          <w:tab w:val="clear" w:pos="1224"/>
        </w:tabs>
        <w:spacing w:after="120"/>
        <w:ind w:left="1890"/>
        <w:rPr>
          <w:szCs w:val="22"/>
        </w:rPr>
      </w:pPr>
      <w:r w:rsidRPr="009E6548">
        <w:rPr>
          <w:szCs w:val="22"/>
        </w:rPr>
        <w:t xml:space="preserve">“Licensing Rules” means Section 301 of the Act, and Section 1.903(a) of the </w:t>
      </w:r>
      <w:r>
        <w:rPr>
          <w:szCs w:val="22"/>
        </w:rPr>
        <w:t>R</w:t>
      </w:r>
      <w:r w:rsidRPr="009E6548">
        <w:rPr>
          <w:szCs w:val="22"/>
        </w:rPr>
        <w:t>ules and other provisions of the Act, the Rules, and Commission orders that prohibit the use or operation of a wireless radio station in a manner inconsistent with its licensed parameters.</w:t>
      </w:r>
    </w:p>
    <w:p w14:paraId="1C76BB08"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 xml:space="preserve">Essex </w:t>
      </w:r>
      <w:r w:rsidRPr="007C0B39">
        <w:rPr>
          <w:szCs w:val="22"/>
        </w:rPr>
        <w:t>to implement the Compliance Plan.</w:t>
      </w:r>
    </w:p>
    <w:p w14:paraId="11F1DAEE" w14:textId="77777777" w:rsidR="0020695B" w:rsidRPr="007C0B39" w:rsidRDefault="0020695B" w:rsidP="0020695B">
      <w:pPr>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 xml:space="preserve">Essex </w:t>
      </w:r>
      <w:r w:rsidRPr="007C0B39">
        <w:rPr>
          <w:szCs w:val="22"/>
        </w:rPr>
        <w:t>and the Bureau, each of which is a “Party.”</w:t>
      </w:r>
    </w:p>
    <w:p w14:paraId="066898B5" w14:textId="77777777" w:rsidR="0020695B" w:rsidRDefault="0020695B" w:rsidP="0020695B">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75B70CBA" w14:textId="77777777" w:rsidR="0020695B" w:rsidRPr="00512601" w:rsidRDefault="0020695B" w:rsidP="0020695B">
      <w:pPr>
        <w:widowControl/>
        <w:numPr>
          <w:ilvl w:val="0"/>
          <w:numId w:val="5"/>
        </w:numPr>
        <w:tabs>
          <w:tab w:val="clear" w:pos="1224"/>
        </w:tabs>
        <w:spacing w:after="120"/>
        <w:ind w:left="1886"/>
        <w:rPr>
          <w:i/>
          <w:szCs w:val="22"/>
        </w:rPr>
      </w:pPr>
      <w:r w:rsidRPr="00512601">
        <w:rPr>
          <w:szCs w:val="22"/>
        </w:rPr>
        <w:t>“Station” means Station WQJA669.</w:t>
      </w:r>
    </w:p>
    <w:p w14:paraId="0A702586" w14:textId="77777777" w:rsidR="0020695B" w:rsidRPr="007C0B39" w:rsidRDefault="0020695B" w:rsidP="00E24E9F">
      <w:pPr>
        <w:pStyle w:val="Heading1"/>
        <w:rPr>
          <w:szCs w:val="22"/>
        </w:rPr>
      </w:pPr>
      <w:r w:rsidRPr="007C0B39">
        <w:t>BACKGROUND</w:t>
      </w:r>
    </w:p>
    <w:p w14:paraId="0B5C332A" w14:textId="77777777" w:rsidR="0020695B" w:rsidRPr="007C0B39" w:rsidRDefault="0020695B" w:rsidP="00FE372D">
      <w:pPr>
        <w:pStyle w:val="ParaNum0"/>
      </w:pPr>
      <w:r>
        <w:t>Section 301 of the Act and Section 1.903(a) of the Rules prohibit the use or operation of any apparatus for the transmission of energy or communications or signals by radio except under, and in accordance with, a Commission-granted authorization.</w:t>
      </w:r>
      <w:r>
        <w:rPr>
          <w:rStyle w:val="FootnoteReference"/>
        </w:rPr>
        <w:footnoteReference w:id="12"/>
      </w:r>
      <w:r>
        <w:t xml:space="preserve">  </w:t>
      </w:r>
    </w:p>
    <w:p w14:paraId="6B238F8C" w14:textId="77777777" w:rsidR="0020695B" w:rsidRDefault="0020695B" w:rsidP="00FE372D">
      <w:pPr>
        <w:pStyle w:val="ParaNum0"/>
      </w:pPr>
      <w:r>
        <w:t>In July 2016, the Enforcement Bureau’s Spectrum Enforcement Division (Division) received information from the Wireless Telecommunications Bureau that Essex was operating on frequencies in the 3550-3650 MHz band, a band not yet available for commercial use.</w:t>
      </w:r>
      <w:r>
        <w:rPr>
          <w:rStyle w:val="FootnoteReference"/>
        </w:rPr>
        <w:footnoteReference w:id="13"/>
      </w:r>
      <w:r>
        <w:t xml:space="preserve">  The Division reviewed Commission records and found that Essex had recently acquired and held a license for the Station, which was authorized to operate in the 3650-3700 MHz band.</w:t>
      </w:r>
      <w:r>
        <w:rPr>
          <w:rStyle w:val="FootnoteReference"/>
        </w:rPr>
        <w:footnoteReference w:id="14"/>
      </w:r>
      <w:r>
        <w:t xml:space="preserve">  On July 25, 2016, Division staff contacted Essex, requesting Essex to cease operations on unauthorized frequencies immediately.  On July 28, 2016, Jeff Kohler of JAB Wireless, Inc. (JAB Wireless), the parent company of Essex, submitted a Declaration stating that immediately upon speaking with Commission staff, Essex began to migrate some customers and disconnect others and in less than 24 hours had ceased transmitting on the 3550-3650 MHz frequencies.</w:t>
      </w:r>
      <w:r>
        <w:rPr>
          <w:rStyle w:val="FootnoteReference"/>
        </w:rPr>
        <w:footnoteReference w:id="15"/>
      </w:r>
    </w:p>
    <w:p w14:paraId="4E46DE07" w14:textId="77777777" w:rsidR="0020695B" w:rsidRDefault="0020695B" w:rsidP="00FE372D">
      <w:pPr>
        <w:pStyle w:val="ParaNum0"/>
      </w:pPr>
      <w:r>
        <w:t>The Kohler Declaration further explained that, in May 2016, JAB Wireless realized that “certain customers were receiving fixed broadband service” from unauthorized frequencies.</w:t>
      </w:r>
      <w:r>
        <w:rPr>
          <w:rStyle w:val="FootnoteReference"/>
        </w:rPr>
        <w:footnoteReference w:id="16"/>
      </w:r>
      <w:r>
        <w:t xml:space="preserve">  JAB Wireless stated that when it “understood the gravity of the situation,” Essex “took immediate steps” to cease operations on the unauthorized frequencies, and had stopped such operations on July 26, 2016.</w:t>
      </w:r>
      <w:r>
        <w:rPr>
          <w:rStyle w:val="FootnoteReference"/>
        </w:rPr>
        <w:footnoteReference w:id="17"/>
      </w:r>
      <w:r>
        <w:t xml:space="preserve">  </w:t>
      </w:r>
    </w:p>
    <w:p w14:paraId="0FC0893D" w14:textId="58D3B62B" w:rsidR="0020695B" w:rsidRPr="007C0B39" w:rsidRDefault="0020695B" w:rsidP="00707F0D">
      <w:pPr>
        <w:pStyle w:val="ParaNum0"/>
      </w:pPr>
      <w:r w:rsidRPr="00231CA8">
        <w:t>An Enforcement Bureau Field Office Agent (Field Agent) conducted an inspection during the period August 15-17, 2016, and determined that one transmitter was still operating on</w:t>
      </w:r>
      <w:r w:rsidR="00707F0D">
        <w:t xml:space="preserve"> </w:t>
      </w:r>
      <w:r w:rsidRPr="00231CA8">
        <w:t>unauthorized frequencies.</w:t>
      </w:r>
      <w:r>
        <w:t xml:space="preserve">  On August 17, 2016, the Field Agent informed Essex of this transmission and Essex stopped operations on the unauthorized frequencies on the same date.</w:t>
      </w:r>
      <w:r>
        <w:rPr>
          <w:rStyle w:val="FootnoteReference"/>
        </w:rPr>
        <w:footnoteReference w:id="18"/>
      </w:r>
      <w:r>
        <w:t xml:space="preserve">  In response to an inquiry from the Enforcement Bureau,</w:t>
      </w:r>
      <w:r>
        <w:rPr>
          <w:rStyle w:val="FootnoteReference"/>
        </w:rPr>
        <w:footnoteReference w:id="19"/>
      </w:r>
      <w:r>
        <w:t xml:space="preserve"> Essex indicated that it had operated on unauthorized frequencies at nine locations.</w:t>
      </w:r>
      <w:r>
        <w:rPr>
          <w:rStyle w:val="FootnoteReference"/>
        </w:rPr>
        <w:footnoteReference w:id="20"/>
      </w:r>
      <w:r>
        <w:t xml:space="preserve">  Subsequently, Essex and the Bureau engaged in settlement negotiations.  The Bureau and Essex agree to the following terms and conditions of settlement and hereby enter into this Consent Decree as provided herein.</w:t>
      </w:r>
    </w:p>
    <w:p w14:paraId="685DA2B4" w14:textId="77777777" w:rsidR="0020695B" w:rsidRPr="007C0B39" w:rsidRDefault="0020695B" w:rsidP="001B74D4">
      <w:pPr>
        <w:pStyle w:val="Heading1"/>
      </w:pPr>
      <w:bookmarkStart w:id="1" w:name="FN[FN18]"/>
      <w:bookmarkEnd w:id="1"/>
      <w:r w:rsidRPr="007C0B39">
        <w:t>TERMS OF AGREEMENT</w:t>
      </w:r>
    </w:p>
    <w:p w14:paraId="6B37C069" w14:textId="77777777" w:rsidR="0020695B" w:rsidRPr="007C0B39" w:rsidRDefault="0020695B" w:rsidP="00FE372D">
      <w:pPr>
        <w:pStyle w:val="ParaNum0"/>
        <w:rPr>
          <w:szCs w:val="22"/>
        </w:rPr>
      </w:pPr>
      <w:r w:rsidRPr="007C0B39">
        <w:rPr>
          <w:b/>
          <w:szCs w:val="22"/>
          <w:u w:val="single"/>
        </w:rPr>
        <w:t>Adopting Order</w:t>
      </w:r>
      <w:r w:rsidRPr="007C0B39">
        <w:rPr>
          <w:szCs w:val="22"/>
        </w:rPr>
        <w:t>.  The provisions of this Consent Decree shall be incorporated by the Bureau in an Adopting Order.</w:t>
      </w:r>
    </w:p>
    <w:p w14:paraId="54DD60FF" w14:textId="77777777" w:rsidR="0020695B" w:rsidRPr="007C0B39" w:rsidRDefault="0020695B" w:rsidP="00FE372D">
      <w:pPr>
        <w:pStyle w:val="ParaNum0"/>
        <w:rPr>
          <w:szCs w:val="22"/>
        </w:rPr>
      </w:pPr>
      <w:r w:rsidRPr="007C0B39">
        <w:rPr>
          <w:b/>
          <w:szCs w:val="22"/>
          <w:u w:val="single"/>
        </w:rPr>
        <w:t>Jurisdiction</w:t>
      </w:r>
      <w:r w:rsidRPr="007C0B39">
        <w:rPr>
          <w:szCs w:val="22"/>
        </w:rPr>
        <w:t xml:space="preserve">.  </w:t>
      </w:r>
      <w:r>
        <w:rPr>
          <w:szCs w:val="22"/>
        </w:rPr>
        <w:t xml:space="preserve">Essex </w:t>
      </w:r>
      <w:r w:rsidRPr="007C0B39">
        <w:rPr>
          <w:szCs w:val="22"/>
        </w:rPr>
        <w:t xml:space="preserve">agrees that the Bureau has jurisdiction over it and the matters contained in this Consent Decree and has the </w:t>
      </w:r>
      <w:r w:rsidRPr="00ED419F">
        <w:t>authority</w:t>
      </w:r>
      <w:r w:rsidRPr="007C0B39">
        <w:rPr>
          <w:szCs w:val="22"/>
        </w:rPr>
        <w:t xml:space="preserve"> to enter into and adopt this Consent Decree.</w:t>
      </w:r>
    </w:p>
    <w:p w14:paraId="4BDF035B" w14:textId="77777777" w:rsidR="0020695B" w:rsidRPr="007C0B39" w:rsidRDefault="0020695B" w:rsidP="00FE372D">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4590A967" w14:textId="77777777" w:rsidR="0020695B" w:rsidRPr="00C566EC" w:rsidRDefault="0020695B" w:rsidP="00FE372D">
      <w:pPr>
        <w:pStyle w:val="ParaNum0"/>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w:t>
      </w:r>
      <w:r>
        <w:rPr>
          <w:szCs w:val="22"/>
        </w:rPr>
        <w:t>.</w:t>
      </w:r>
      <w:r w:rsidRPr="007C0B39">
        <w:rPr>
          <w:szCs w:val="22"/>
        </w:rPr>
        <w:t xml:space="preserve">  In consideration for the termination of the Investigation, </w:t>
      </w:r>
      <w:r>
        <w:rPr>
          <w:szCs w:val="22"/>
        </w:rPr>
        <w:t xml:space="preserve">Essex </w:t>
      </w:r>
      <w:r w:rsidRPr="007C0B39">
        <w:rPr>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 xml:space="preserve">Essex </w:t>
      </w:r>
      <w:r w:rsidRPr="007C0B39">
        <w:rPr>
          <w:szCs w:val="22"/>
        </w:rPr>
        <w:t xml:space="preserve">concerning the matters that were the subject of the Investigation.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Essex’s basic qualifications to be a Commission licensee or hold Commission licenses or authorizations.</w:t>
      </w:r>
      <w:r>
        <w:rPr>
          <w:rStyle w:val="FootnoteReference"/>
        </w:rPr>
        <w:footnoteReference w:id="21"/>
      </w:r>
    </w:p>
    <w:p w14:paraId="59BFAB1C" w14:textId="77777777" w:rsidR="0020695B" w:rsidRPr="007C0B39" w:rsidRDefault="0020695B" w:rsidP="00FE372D">
      <w:pPr>
        <w:pStyle w:val="ParaNum0"/>
        <w:rPr>
          <w:szCs w:val="22"/>
        </w:rPr>
      </w:pPr>
      <w:r w:rsidRPr="007C0B39">
        <w:rPr>
          <w:b/>
          <w:u w:val="single"/>
        </w:rPr>
        <w:t>Admission of Liability</w:t>
      </w:r>
      <w:r w:rsidRPr="007C0B39">
        <w:t xml:space="preserve">.  </w:t>
      </w:r>
      <w:r>
        <w:t xml:space="preserve">Essex </w:t>
      </w:r>
      <w:r w:rsidRPr="007C0B39">
        <w:t xml:space="preserve">admits for the purpose of this Consent Decree and for Commission civil enforcement purposes, and in express reliance on the provisions of paragraph </w:t>
      </w:r>
      <w:r>
        <w:t xml:space="preserve">10 </w:t>
      </w:r>
      <w:r w:rsidRPr="007C0B39">
        <w:t>herein,</w:t>
      </w:r>
      <w:r>
        <w:t xml:space="preserve"> that its operation on unauthorized frequencies violated the Licensing Rules.</w:t>
      </w:r>
    </w:p>
    <w:p w14:paraId="29143115" w14:textId="00AA4882" w:rsidR="00C26612" w:rsidRDefault="0020695B" w:rsidP="00FE372D">
      <w:pPr>
        <w:pStyle w:val="ParaNum0"/>
        <w:rPr>
          <w:szCs w:val="22"/>
        </w:rPr>
      </w:pPr>
      <w:bookmarkStart w:id="2"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 xml:space="preserve">Essex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zCs w:val="22"/>
        </w:rPr>
        <w:t xml:space="preserve">Essex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Licensing Ru</w:t>
      </w:r>
      <w:r w:rsidRPr="007C0B39">
        <w:rPr>
          <w:szCs w:val="22"/>
        </w:rPr>
        <w:t>les prior to assuming his/her duties.</w:t>
      </w:r>
      <w:bookmarkEnd w:id="2"/>
    </w:p>
    <w:p w14:paraId="1FAC4B2A" w14:textId="77777777" w:rsidR="00C26612" w:rsidRDefault="00C26612">
      <w:pPr>
        <w:widowControl/>
        <w:rPr>
          <w:szCs w:val="22"/>
        </w:rPr>
      </w:pPr>
      <w:r>
        <w:rPr>
          <w:szCs w:val="22"/>
        </w:rPr>
        <w:br w:type="page"/>
      </w:r>
    </w:p>
    <w:p w14:paraId="5B3E50B0" w14:textId="77777777" w:rsidR="0020695B" w:rsidRPr="007C0B39" w:rsidRDefault="0020695B" w:rsidP="00C26612">
      <w:pPr>
        <w:pStyle w:val="ParaNum0"/>
        <w:numPr>
          <w:ilvl w:val="0"/>
          <w:numId w:val="0"/>
        </w:numPr>
        <w:ind w:left="720"/>
        <w:rPr>
          <w:szCs w:val="22"/>
        </w:rPr>
      </w:pPr>
    </w:p>
    <w:p w14:paraId="06ABB94A" w14:textId="77777777" w:rsidR="0020695B" w:rsidRPr="007C0B39" w:rsidRDefault="0020695B" w:rsidP="001701C3">
      <w:pPr>
        <w:pStyle w:val="ParaNum0"/>
        <w:widowControl/>
        <w:rPr>
          <w:szCs w:val="22"/>
        </w:rPr>
      </w:pPr>
      <w:bookmarkStart w:id="3" w:name="_Ref357521857"/>
      <w:r w:rsidRPr="007C0B39">
        <w:rPr>
          <w:b/>
          <w:szCs w:val="22"/>
          <w:u w:val="single"/>
        </w:rPr>
        <w:t>Compliance Plan</w:t>
      </w:r>
      <w:r w:rsidRPr="007C0B39">
        <w:rPr>
          <w:szCs w:val="22"/>
        </w:rPr>
        <w:t xml:space="preserve">.  For purposes of settling the matters set forth herein, </w:t>
      </w:r>
      <w:r>
        <w:rPr>
          <w:szCs w:val="22"/>
        </w:rPr>
        <w:t xml:space="preserve">Essex </w:t>
      </w:r>
      <w:r w:rsidRPr="007C0B39">
        <w:rPr>
          <w:szCs w:val="22"/>
        </w:rPr>
        <w:t>agrees that it shall, within sixty (60) calendar days after the Effective Date, develop and implement a Compliance Plan designed to ensure future compliance with the Communications Laws and with the terms and conditions of this Consent Decree.</w:t>
      </w:r>
      <w:r>
        <w:rPr>
          <w:rStyle w:val="FootnoteReference"/>
          <w:szCs w:val="22"/>
        </w:rPr>
        <w:footnoteReference w:id="22"/>
      </w:r>
      <w:r w:rsidRPr="007C0B39">
        <w:rPr>
          <w:szCs w:val="22"/>
        </w:rPr>
        <w:t xml:space="preserve">  With respect to the </w:t>
      </w:r>
      <w:r>
        <w:rPr>
          <w:szCs w:val="22"/>
        </w:rPr>
        <w:t xml:space="preserve">Licensing </w:t>
      </w:r>
      <w:r w:rsidRPr="007C0B39">
        <w:rPr>
          <w:szCs w:val="22"/>
        </w:rPr>
        <w:t xml:space="preserve">Rules, </w:t>
      </w:r>
      <w:r>
        <w:rPr>
          <w:szCs w:val="22"/>
        </w:rPr>
        <w:t xml:space="preserve">Essex </w:t>
      </w:r>
      <w:r w:rsidRPr="007C0B39">
        <w:rPr>
          <w:szCs w:val="22"/>
        </w:rPr>
        <w:t>will implement, at a minimum, the following procedures:</w:t>
      </w:r>
      <w:bookmarkEnd w:id="3"/>
    </w:p>
    <w:p w14:paraId="04F00A60" w14:textId="77777777" w:rsidR="0020695B" w:rsidRPr="007C0B39" w:rsidRDefault="0020695B" w:rsidP="00707F0D">
      <w:pPr>
        <w:widowControl/>
        <w:numPr>
          <w:ilvl w:val="0"/>
          <w:numId w:val="6"/>
        </w:numPr>
        <w:tabs>
          <w:tab w:val="clear" w:pos="1656"/>
        </w:tabs>
        <w:spacing w:after="8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 xml:space="preserve">Essex </w:t>
      </w:r>
      <w:r w:rsidRPr="007C0B39">
        <w:rPr>
          <w:szCs w:val="22"/>
        </w:rPr>
        <w:t xml:space="preserve">shall establish Operating Procedures that all Covered Employees must follow to help ensure </w:t>
      </w:r>
      <w:r>
        <w:rPr>
          <w:szCs w:val="22"/>
        </w:rPr>
        <w:t>Essex</w:t>
      </w:r>
      <w:r w:rsidRPr="007C0B39">
        <w:rPr>
          <w:szCs w:val="22"/>
        </w:rPr>
        <w:t xml:space="preserve">’s compliance with the </w:t>
      </w:r>
      <w:r>
        <w:rPr>
          <w:szCs w:val="22"/>
        </w:rPr>
        <w:t xml:space="preserve">Licensing </w:t>
      </w:r>
      <w:r w:rsidRPr="007C0B39">
        <w:rPr>
          <w:szCs w:val="22"/>
        </w:rPr>
        <w:t xml:space="preserve">Rules.  </w:t>
      </w:r>
      <w:r>
        <w:rPr>
          <w:szCs w:val="22"/>
        </w:rPr>
        <w:t>Essex</w:t>
      </w:r>
      <w:r w:rsidRPr="007C0B39">
        <w:rPr>
          <w:szCs w:val="22"/>
        </w:rPr>
        <w:t xml:space="preserve">’s Operating Procedures shall include internal procedures and policies specifically designed to ensure that </w:t>
      </w:r>
      <w:r>
        <w:rPr>
          <w:szCs w:val="22"/>
        </w:rPr>
        <w:t xml:space="preserve">it operates its stations in accordance with their authorized parameters.  Essex </w:t>
      </w:r>
      <w:r w:rsidRPr="007C0B39">
        <w:rPr>
          <w:szCs w:val="22"/>
        </w:rPr>
        <w:t xml:space="preserve">shall also develop a Compliance Checklist that describes the steps that a Covered Employee must follow to ensure compliance with the </w:t>
      </w:r>
      <w:r>
        <w:rPr>
          <w:szCs w:val="22"/>
        </w:rPr>
        <w:t xml:space="preserve">Licensing </w:t>
      </w:r>
      <w:r w:rsidRPr="007C0B39">
        <w:rPr>
          <w:szCs w:val="22"/>
        </w:rPr>
        <w:t>Rules.</w:t>
      </w:r>
    </w:p>
    <w:p w14:paraId="07CACB16" w14:textId="77777777" w:rsidR="0020695B" w:rsidRPr="007C0B39" w:rsidRDefault="0020695B" w:rsidP="00707F0D">
      <w:pPr>
        <w:widowControl/>
        <w:numPr>
          <w:ilvl w:val="0"/>
          <w:numId w:val="6"/>
        </w:numPr>
        <w:tabs>
          <w:tab w:val="clear" w:pos="1656"/>
        </w:tabs>
        <w:spacing w:after="8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 xml:space="preserve">Licensing </w:t>
      </w:r>
      <w:r w:rsidRPr="007C0B39">
        <w:rPr>
          <w:szCs w:val="22"/>
        </w:rPr>
        <w:t xml:space="preserve">Rules and set forth the Operating Procedures that Covered Employees shall follow to help ensure </w:t>
      </w:r>
      <w:r>
        <w:rPr>
          <w:szCs w:val="22"/>
        </w:rPr>
        <w:t>Essex</w:t>
      </w:r>
      <w:r w:rsidRPr="007C0B39">
        <w:rPr>
          <w:szCs w:val="22"/>
        </w:rPr>
        <w:t xml:space="preserve">’s compliance with the </w:t>
      </w:r>
      <w:r>
        <w:rPr>
          <w:szCs w:val="22"/>
        </w:rPr>
        <w:t xml:space="preserve">Licensing </w:t>
      </w:r>
      <w:r w:rsidRPr="007C0B39">
        <w:rPr>
          <w:szCs w:val="22"/>
        </w:rPr>
        <w:t xml:space="preserve">Rules.  </w:t>
      </w:r>
      <w:r>
        <w:rPr>
          <w:szCs w:val="22"/>
        </w:rPr>
        <w:t xml:space="preserve">Essex </w:t>
      </w:r>
      <w:r w:rsidRPr="007C0B39">
        <w:rPr>
          <w:szCs w:val="22"/>
        </w:rPr>
        <w:t xml:space="preserve">shall periodically review and revise the Compliance Manual as necessary to ensure that the information set forth therein remains current and accurate.  </w:t>
      </w:r>
      <w:r>
        <w:rPr>
          <w:szCs w:val="22"/>
        </w:rPr>
        <w:t xml:space="preserve">Essex </w:t>
      </w:r>
      <w:r w:rsidRPr="007C0B39">
        <w:rPr>
          <w:szCs w:val="22"/>
        </w:rPr>
        <w:t>shall distribute any revisions to the Compliance Manual promptly to all Covered Employees.</w:t>
      </w:r>
    </w:p>
    <w:p w14:paraId="09DDC60A" w14:textId="77777777" w:rsidR="0020695B" w:rsidRPr="007C0B39" w:rsidRDefault="0020695B" w:rsidP="00707F0D">
      <w:pPr>
        <w:widowControl/>
        <w:numPr>
          <w:ilvl w:val="0"/>
          <w:numId w:val="6"/>
        </w:numPr>
        <w:tabs>
          <w:tab w:val="clear" w:pos="1656"/>
        </w:tabs>
        <w:spacing w:after="80"/>
        <w:ind w:left="1886"/>
      </w:pPr>
      <w:r w:rsidRPr="007C0B39">
        <w:rPr>
          <w:b/>
          <w:szCs w:val="22"/>
          <w:u w:val="single"/>
        </w:rPr>
        <w:t>Compliance Training Program</w:t>
      </w:r>
      <w:r w:rsidRPr="007C0B39">
        <w:rPr>
          <w:szCs w:val="22"/>
        </w:rPr>
        <w:t xml:space="preserve">.  </w:t>
      </w:r>
      <w:r>
        <w:rPr>
          <w:szCs w:val="22"/>
        </w:rPr>
        <w:t xml:space="preserve">Essex </w:t>
      </w:r>
      <w:r w:rsidRPr="007C0B39">
        <w:rPr>
          <w:szCs w:val="22"/>
        </w:rPr>
        <w:t xml:space="preserve">shall establish and implement a Compliance Training Program on compliance with the </w:t>
      </w:r>
      <w:r>
        <w:rPr>
          <w:szCs w:val="22"/>
        </w:rPr>
        <w:t xml:space="preserve">Licensing </w:t>
      </w:r>
      <w:r w:rsidRPr="007C0B39">
        <w:rPr>
          <w:szCs w:val="22"/>
        </w:rPr>
        <w:t>Rules</w:t>
      </w:r>
      <w:r>
        <w:rPr>
          <w:szCs w:val="22"/>
        </w:rPr>
        <w:t xml:space="preserve"> </w:t>
      </w:r>
      <w:r w:rsidRPr="007C0B39">
        <w:rPr>
          <w:szCs w:val="22"/>
        </w:rPr>
        <w:t xml:space="preserve">and the Operating Procedures.  As part of the Compliance Training Program, Covered Employees shall be advised of </w:t>
      </w:r>
      <w:r>
        <w:rPr>
          <w:szCs w:val="22"/>
        </w:rPr>
        <w:t>Essex</w:t>
      </w:r>
      <w:r w:rsidRPr="007C0B39">
        <w:rPr>
          <w:szCs w:val="22"/>
        </w:rPr>
        <w:t xml:space="preserve">’s obligation to report any noncompliance with the </w:t>
      </w:r>
      <w:r>
        <w:rPr>
          <w:szCs w:val="22"/>
        </w:rPr>
        <w:t xml:space="preserve">Licensing </w:t>
      </w:r>
      <w:r w:rsidRPr="007C0B39">
        <w:rPr>
          <w:szCs w:val="22"/>
        </w:rPr>
        <w:t xml:space="preserve">Rules under paragraph </w:t>
      </w:r>
      <w:r>
        <w:rPr>
          <w:szCs w:val="22"/>
        </w:rPr>
        <w:fldChar w:fldCharType="begin"/>
      </w:r>
      <w:r>
        <w:rPr>
          <w:szCs w:val="22"/>
        </w:rPr>
        <w:instrText xml:space="preserve"> REF _Ref321323028 \r \h </w:instrText>
      </w:r>
      <w:r>
        <w:rPr>
          <w:szCs w:val="22"/>
        </w:rPr>
      </w:r>
      <w:r>
        <w:rPr>
          <w:szCs w:val="22"/>
        </w:rPr>
        <w:fldChar w:fldCharType="separate"/>
      </w:r>
      <w:r>
        <w:rPr>
          <w:szCs w:val="22"/>
        </w:rPr>
        <w:t>14</w:t>
      </w:r>
      <w:r>
        <w:rPr>
          <w:szCs w:val="22"/>
        </w:rPr>
        <w:fldChar w:fldCharType="end"/>
      </w:r>
      <w:r>
        <w:rPr>
          <w:szCs w:val="22"/>
        </w:rPr>
        <w:t xml:space="preserve"> of </w:t>
      </w:r>
      <w:r w:rsidRPr="007C0B39">
        <w:rPr>
          <w:szCs w:val="22"/>
        </w:rPr>
        <w:t xml:space="preserve">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Pr>
          <w:szCs w:val="22"/>
        </w:rPr>
        <w:t xml:space="preserve">Essex </w:t>
      </w:r>
      <w:r w:rsidRPr="007C0B39">
        <w:rPr>
          <w:szCs w:val="22"/>
        </w:rPr>
        <w:t>shall repeat compliance training on an annual basis, and shall periodically review and revise the Compliance Training Program as necessary to ensure that it remains current and complete and to enhance its effectiveness.</w:t>
      </w:r>
    </w:p>
    <w:p w14:paraId="1C032635" w14:textId="6A9D4C25" w:rsidR="0020695B" w:rsidRPr="007C0B39" w:rsidRDefault="0020695B" w:rsidP="00707F0D">
      <w:pPr>
        <w:pStyle w:val="ParaNum0"/>
      </w:pPr>
      <w:bookmarkStart w:id="4" w:name="_Ref321323028"/>
      <w:r w:rsidRPr="007C0B39">
        <w:rPr>
          <w:b/>
          <w:u w:val="single"/>
        </w:rPr>
        <w:t>Reporting Noncompliance</w:t>
      </w:r>
      <w:r w:rsidRPr="007C0B39">
        <w:t xml:space="preserve">.  </w:t>
      </w:r>
      <w:r>
        <w:t xml:space="preserve">Essex </w:t>
      </w:r>
      <w:r w:rsidRPr="007C0B39">
        <w:t xml:space="preserve">shall report any noncompliance with the </w:t>
      </w:r>
      <w:r>
        <w:t xml:space="preserve">Licensing </w:t>
      </w:r>
      <w:r w:rsidRPr="007C0B39">
        <w:t xml:space="preserve">Rules and with the terms and conditions of this Consent Decree within fifteen (15) calendar days after discovery of such noncompliance.  Such reports shall include a detailed explanation of:  (i) each instance of noncompliance; (ii) the steps that </w:t>
      </w:r>
      <w:r>
        <w:t xml:space="preserve">Essex </w:t>
      </w:r>
      <w:r w:rsidRPr="007C0B39">
        <w:t xml:space="preserve">has taken or will take to remedy such noncompliance; (iii) the schedule on which such remedial actions will be taken; and (iv) the steps that </w:t>
      </w:r>
      <w:r>
        <w:t xml:space="preserve">Essex </w:t>
      </w:r>
      <w:r w:rsidRPr="007C0B39">
        <w:t xml:space="preserve">has taken or will take to prevent the recurrence of any such noncompliance.  All reports of noncompliance shall be submitted to </w:t>
      </w:r>
      <w:r>
        <w:t>the Chief, Spectrum Enforcement Division, Enforcement Bureau, Federal Communications Commission, 445 12</w:t>
      </w:r>
      <w:r w:rsidRPr="00101A94">
        <w:rPr>
          <w:vertAlign w:val="superscript"/>
        </w:rPr>
        <w:t>th</w:t>
      </w:r>
      <w:r>
        <w:t xml:space="preserve"> Street, SW, Rm. 4-C224, Washington, DC 20554, with copies submitted electronically to Kathy</w:t>
      </w:r>
      <w:r w:rsidR="00707F0D">
        <w:t xml:space="preserve"> </w:t>
      </w:r>
      <w:r>
        <w:t xml:space="preserve">Harvey at </w:t>
      </w:r>
      <w:r w:rsidRPr="00101A94">
        <w:t>Kathy.Harvey@fcc.gov</w:t>
      </w:r>
      <w:r>
        <w:t xml:space="preserve"> and JoAnn Lucanik at </w:t>
      </w:r>
      <w:r w:rsidRPr="00101A94">
        <w:t>JoAnn.Lucanik@fcc.gov</w:t>
      </w:r>
      <w:r w:rsidRPr="007C0B39">
        <w:t>.</w:t>
      </w:r>
      <w:bookmarkEnd w:id="4"/>
    </w:p>
    <w:p w14:paraId="3FDD780D" w14:textId="77777777" w:rsidR="0020695B" w:rsidRPr="007C0B39" w:rsidRDefault="0020695B" w:rsidP="001701C3">
      <w:pPr>
        <w:pStyle w:val="ParaNum0"/>
        <w:widowControl/>
        <w:rPr>
          <w:caps/>
        </w:rPr>
      </w:pPr>
      <w:bookmarkStart w:id="5" w:name="_Ref379202892"/>
      <w:r w:rsidRPr="007C0B39">
        <w:rPr>
          <w:b/>
          <w:u w:val="single"/>
        </w:rPr>
        <w:t>Compliance Reports</w:t>
      </w:r>
      <w:r w:rsidRPr="007C0B39">
        <w:t xml:space="preserve">.  </w:t>
      </w:r>
      <w:r>
        <w:t xml:space="preserve">Essex </w:t>
      </w:r>
      <w:r w:rsidRPr="007C0B39">
        <w:t>shall file compliance reports with the Commission ninety (90) calendar days after the Effective Date, twelve (12) months after the Effective Date, twenty-four (24) months after the Effective Date, and thirty-six (36) months after the Effective Date.</w:t>
      </w:r>
      <w:bookmarkEnd w:id="5"/>
      <w:r w:rsidRPr="007C0B39">
        <w:t xml:space="preserve">  </w:t>
      </w:r>
    </w:p>
    <w:p w14:paraId="2E53586D" w14:textId="77777777" w:rsidR="0020695B" w:rsidRPr="007C0B39" w:rsidRDefault="0020695B" w:rsidP="00707F0D">
      <w:pPr>
        <w:widowControl/>
        <w:numPr>
          <w:ilvl w:val="0"/>
          <w:numId w:val="7"/>
        </w:numPr>
        <w:tabs>
          <w:tab w:val="clear" w:pos="1782"/>
        </w:tabs>
        <w:spacing w:after="80"/>
        <w:ind w:left="1886"/>
        <w:rPr>
          <w:szCs w:val="22"/>
        </w:rPr>
      </w:pPr>
      <w:r w:rsidRPr="007C0B39">
        <w:rPr>
          <w:szCs w:val="22"/>
        </w:rPr>
        <w:t xml:space="preserve">Each Compliance Report shall include a detailed description of </w:t>
      </w:r>
      <w:r>
        <w:rPr>
          <w:szCs w:val="22"/>
        </w:rPr>
        <w:t>Essex</w:t>
      </w:r>
      <w:r w:rsidRPr="007C0B39">
        <w:rPr>
          <w:szCs w:val="22"/>
        </w:rPr>
        <w:t xml:space="preserve">’s efforts during the relevant period to comply with the terms and conditions of this Consent Decree and the </w:t>
      </w:r>
      <w:r>
        <w:rPr>
          <w:szCs w:val="22"/>
        </w:rPr>
        <w:t xml:space="preserve">Licensing </w:t>
      </w:r>
      <w:r w:rsidRPr="007C0B39">
        <w:rPr>
          <w:szCs w:val="22"/>
        </w:rPr>
        <w:t xml:space="preserve">Rules.  In addition, each Compliance Report shall include a certification by the Compliance Officer, as an agent of and on behalf of </w:t>
      </w:r>
      <w:r>
        <w:rPr>
          <w:szCs w:val="22"/>
        </w:rPr>
        <w:t>Essex</w:t>
      </w:r>
      <w:r w:rsidRPr="007C0B39">
        <w:rPr>
          <w:szCs w:val="22"/>
        </w:rPr>
        <w:t xml:space="preserve">, stating that the Compliance Officer has personal knowledge that </w:t>
      </w:r>
      <w:r>
        <w:rPr>
          <w:szCs w:val="22"/>
        </w:rPr>
        <w:t>Essex</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t xml:space="preserve">14 </w:t>
      </w:r>
      <w:r w:rsidRPr="007C0B39">
        <w:rPr>
          <w:szCs w:val="22"/>
        </w:rPr>
        <w:t>of this Consent Decree.</w:t>
      </w:r>
    </w:p>
    <w:p w14:paraId="4E740EEF" w14:textId="77777777" w:rsidR="0020695B" w:rsidRPr="007C0B39" w:rsidRDefault="0020695B" w:rsidP="00707F0D">
      <w:pPr>
        <w:widowControl/>
        <w:numPr>
          <w:ilvl w:val="0"/>
          <w:numId w:val="7"/>
        </w:numPr>
        <w:tabs>
          <w:tab w:val="clear" w:pos="1782"/>
        </w:tabs>
        <w:spacing w:after="8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23"/>
      </w:r>
    </w:p>
    <w:p w14:paraId="556DCFA6" w14:textId="77777777" w:rsidR="0020695B" w:rsidRPr="007C0B39" w:rsidRDefault="0020695B" w:rsidP="00707F0D">
      <w:pPr>
        <w:widowControl/>
        <w:numPr>
          <w:ilvl w:val="0"/>
          <w:numId w:val="7"/>
        </w:numPr>
        <w:tabs>
          <w:tab w:val="clear" w:pos="1782"/>
        </w:tabs>
        <w:spacing w:after="80"/>
        <w:ind w:left="1886"/>
        <w:rPr>
          <w:szCs w:val="22"/>
        </w:rPr>
      </w:pPr>
      <w:r w:rsidRPr="007C0B39">
        <w:rPr>
          <w:szCs w:val="22"/>
        </w:rPr>
        <w:t xml:space="preserve">If the Compliance Officer cannot provide the requisite certification, the Compliance Officer, as an agent of and on behalf of </w:t>
      </w:r>
      <w:r>
        <w:rPr>
          <w:szCs w:val="22"/>
        </w:rPr>
        <w:t>Essex,</w:t>
      </w:r>
      <w:r w:rsidRPr="007C0B39">
        <w:rPr>
          <w:szCs w:val="22"/>
        </w:rPr>
        <w:t xml:space="preserve"> shall provide the Commission with a detailed explanation of the reason(s) why and describe fully:  (i) each instance of noncompliance; (ii) the steps that</w:t>
      </w:r>
      <w:r>
        <w:rPr>
          <w:szCs w:val="22"/>
        </w:rPr>
        <w:t xml:space="preserve"> Essex </w:t>
      </w:r>
      <w:r w:rsidRPr="007C0B39">
        <w:rPr>
          <w:szCs w:val="22"/>
        </w:rPr>
        <w:t>has taken or will take to remedy such noncompliance, including the schedule on which proposed remedial actions will be taken; and (iii) the steps that</w:t>
      </w:r>
      <w:r>
        <w:rPr>
          <w:szCs w:val="22"/>
        </w:rPr>
        <w:t xml:space="preserve"> Essex </w:t>
      </w:r>
      <w:r w:rsidRPr="007C0B39">
        <w:rPr>
          <w:szCs w:val="22"/>
        </w:rPr>
        <w:t>has taken or will take to prevent the recurrence of any such noncompliance, including the schedule on which such preventive action will be taken.</w:t>
      </w:r>
    </w:p>
    <w:p w14:paraId="70C3F190" w14:textId="77777777" w:rsidR="0020695B" w:rsidRPr="007C0B39" w:rsidRDefault="0020695B" w:rsidP="00707F0D">
      <w:pPr>
        <w:widowControl/>
        <w:numPr>
          <w:ilvl w:val="0"/>
          <w:numId w:val="7"/>
        </w:numPr>
        <w:tabs>
          <w:tab w:val="clear" w:pos="1782"/>
        </w:tabs>
        <w:spacing w:after="80"/>
        <w:ind w:left="1886" w:hanging="450"/>
        <w:rPr>
          <w:szCs w:val="22"/>
        </w:rPr>
      </w:pPr>
      <w:r w:rsidRPr="007C0B39">
        <w:rPr>
          <w:szCs w:val="22"/>
        </w:rPr>
        <w:t>All Compliance Reports shall be submitted</w:t>
      </w:r>
      <w:r>
        <w:rPr>
          <w:szCs w:val="22"/>
        </w:rPr>
        <w:t xml:space="preserve"> to the</w:t>
      </w:r>
      <w:r w:rsidRPr="007C0B39">
        <w:rPr>
          <w:szCs w:val="22"/>
        </w:rPr>
        <w:t xml:space="preserve"> </w:t>
      </w:r>
      <w:r>
        <w:rPr>
          <w:szCs w:val="22"/>
        </w:rPr>
        <w:t>Chief, Spectrum Enforcement Division, Enforcement Bureau, Federal Communications Commission, 445 12</w:t>
      </w:r>
      <w:r w:rsidRPr="00FB3609">
        <w:rPr>
          <w:szCs w:val="22"/>
          <w:vertAlign w:val="superscript"/>
        </w:rPr>
        <w:t>th</w:t>
      </w:r>
      <w:r>
        <w:rPr>
          <w:szCs w:val="22"/>
        </w:rPr>
        <w:t xml:space="preserve"> Street, SW, Rm. 4-C224</w:t>
      </w:r>
      <w:r w:rsidRPr="007C0B39">
        <w:t>,</w:t>
      </w:r>
      <w:r>
        <w:t xml:space="preserve"> Washington, DC 20554, w</w:t>
      </w:r>
      <w:r w:rsidRPr="007C0B39">
        <w:t>ith cop</w:t>
      </w:r>
      <w:r>
        <w:t xml:space="preserve">ies </w:t>
      </w:r>
      <w:r w:rsidRPr="007C0B39">
        <w:t xml:space="preserve">submitted electronically to </w:t>
      </w:r>
      <w:r>
        <w:t xml:space="preserve">Kathy Harvey at </w:t>
      </w:r>
      <w:r w:rsidRPr="00FB3609">
        <w:t>Kathy.Harvey@fcc.gov</w:t>
      </w:r>
      <w:r>
        <w:t xml:space="preserve"> and JoAnn Lucanik at JoAnn.Lucanik@fcc.gov.</w:t>
      </w:r>
    </w:p>
    <w:p w14:paraId="28170E7C" w14:textId="77777777" w:rsidR="0020695B" w:rsidRPr="007C0B39" w:rsidRDefault="0020695B" w:rsidP="00FE372D">
      <w:pPr>
        <w:pStyle w:val="ParaNum0"/>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Pr>
          <w:szCs w:val="22"/>
        </w:rPr>
        <w:fldChar w:fldCharType="begin"/>
      </w:r>
      <w:r>
        <w:rPr>
          <w:szCs w:val="22"/>
        </w:rPr>
        <w:instrText xml:space="preserve"> REF _Ref379202869 \r \h </w:instrText>
      </w:r>
      <w:r>
        <w:rPr>
          <w:szCs w:val="22"/>
        </w:rPr>
      </w:r>
      <w:r>
        <w:rPr>
          <w:szCs w:val="22"/>
        </w:rPr>
        <w:fldChar w:fldCharType="separate"/>
      </w:r>
      <w:r>
        <w:rPr>
          <w:szCs w:val="22"/>
        </w:rPr>
        <w:t>12</w:t>
      </w:r>
      <w:r>
        <w:rPr>
          <w:szCs w:val="22"/>
        </w:rPr>
        <w:fldChar w:fldCharType="end"/>
      </w:r>
      <w:r>
        <w:rPr>
          <w:szCs w:val="22"/>
        </w:rPr>
        <w:t xml:space="preserve"> </w:t>
      </w:r>
      <w:r w:rsidRPr="007C0B39">
        <w:rPr>
          <w:szCs w:val="22"/>
        </w:rPr>
        <w:t xml:space="preserve">through </w:t>
      </w:r>
      <w:r>
        <w:rPr>
          <w:szCs w:val="22"/>
        </w:rPr>
        <w:fldChar w:fldCharType="begin"/>
      </w:r>
      <w:r>
        <w:rPr>
          <w:szCs w:val="22"/>
        </w:rPr>
        <w:instrText xml:space="preserve"> REF _Ref379202892 \r \h </w:instrText>
      </w:r>
      <w:r>
        <w:rPr>
          <w:szCs w:val="22"/>
        </w:rPr>
      </w:r>
      <w:r>
        <w:rPr>
          <w:szCs w:val="22"/>
        </w:rPr>
        <w:fldChar w:fldCharType="separate"/>
      </w:r>
      <w:r>
        <w:rPr>
          <w:szCs w:val="22"/>
        </w:rPr>
        <w:t>15</w:t>
      </w:r>
      <w:r>
        <w:rPr>
          <w:szCs w:val="22"/>
        </w:rPr>
        <w:fldChar w:fldCharType="end"/>
      </w:r>
      <w:r>
        <w:rPr>
          <w:szCs w:val="22"/>
        </w:rPr>
        <w:t xml:space="preserve"> </w:t>
      </w:r>
      <w:r w:rsidRPr="007C0B39">
        <w:rPr>
          <w:szCs w:val="22"/>
        </w:rPr>
        <w:t xml:space="preserve">of this Consent Decree shall expire thirty-six (36) months after the Effective Date.  </w:t>
      </w:r>
    </w:p>
    <w:p w14:paraId="1793778D" w14:textId="77777777" w:rsidR="0020695B" w:rsidRDefault="0020695B" w:rsidP="00FE372D">
      <w:pPr>
        <w:pStyle w:val="ParaNum0"/>
      </w:pPr>
      <w:r w:rsidRPr="00FF35A0">
        <w:rPr>
          <w:b/>
          <w:u w:val="single"/>
        </w:rPr>
        <w:t>Section 208 Complaints; Subsequent Investigations</w:t>
      </w:r>
      <w:r w:rsidRPr="00FF35A0">
        <w:t>.  Nothing in this Consent Decree shall prevent the Commission or its delegated authority from adjudicating complaints filed pursuant to Section 208 of the Act</w:t>
      </w:r>
      <w:r w:rsidRPr="00FF35A0">
        <w:rPr>
          <w:rStyle w:val="FootnoteReference"/>
          <w:szCs w:val="22"/>
        </w:rPr>
        <w:footnoteReference w:id="24"/>
      </w:r>
      <w:r w:rsidRPr="00FF35A0">
        <w:t xml:space="preserve"> against </w:t>
      </w:r>
      <w:r>
        <w:t xml:space="preserve">Essex </w:t>
      </w:r>
      <w:r w:rsidRPr="00FF35A0">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t xml:space="preserve">Essex </w:t>
      </w:r>
      <w:r w:rsidRPr="00FF35A0">
        <w:t>with the Communications Laws.</w:t>
      </w:r>
    </w:p>
    <w:p w14:paraId="00298426" w14:textId="77777777" w:rsidR="00707F0D" w:rsidRDefault="0020695B" w:rsidP="00FE372D">
      <w:pPr>
        <w:pStyle w:val="ParaNum0"/>
      </w:pPr>
      <w:r w:rsidRPr="00E21777">
        <w:rPr>
          <w:b/>
          <w:u w:val="single"/>
        </w:rPr>
        <w:t>Civil Penalty</w:t>
      </w:r>
      <w:r w:rsidRPr="007C0B39">
        <w:t xml:space="preserve">.  </w:t>
      </w:r>
      <w:r>
        <w:t xml:space="preserve">Essex </w:t>
      </w:r>
      <w:r w:rsidRPr="007C0B39">
        <w:t xml:space="preserve">will pay a civil penalty to the United States Treasury in the amount </w:t>
      </w:r>
      <w:r>
        <w:t>Twenty-Eight Thousand and Eight Hundred Dollars (</w:t>
      </w:r>
      <w:r w:rsidRPr="002755D1">
        <w:t>$</w:t>
      </w:r>
      <w:r>
        <w:t xml:space="preserve">28,800) within thirty (30) calendar days after the Effective Date.  Essex shall </w:t>
      </w:r>
      <w:r w:rsidRPr="007C0B39">
        <w:t xml:space="preserve">send electronic notification of payment to </w:t>
      </w:r>
      <w:r>
        <w:t xml:space="preserve">Kathy Harvey at </w:t>
      </w:r>
      <w:r w:rsidRPr="00FF35A0">
        <w:t>Kathy.Harvey@fcc.gov</w:t>
      </w:r>
      <w:r>
        <w:t xml:space="preserve">, JoAnn Lucanik at </w:t>
      </w:r>
      <w:r w:rsidRPr="00FF35A0">
        <w:t>JoAnn.Lucanik@fcc.gov</w:t>
      </w:r>
      <w:r>
        <w:t xml:space="preserve"> and Samantha Peoples at </w:t>
      </w:r>
    </w:p>
    <w:p w14:paraId="6FCDE572" w14:textId="77777777" w:rsidR="00707F0D" w:rsidRDefault="00707F0D" w:rsidP="00707F0D">
      <w:pPr>
        <w:pStyle w:val="ParaNum0"/>
        <w:numPr>
          <w:ilvl w:val="0"/>
          <w:numId w:val="0"/>
        </w:numPr>
      </w:pPr>
    </w:p>
    <w:p w14:paraId="0F5E2129" w14:textId="53BF5FE0" w:rsidR="0020695B" w:rsidRPr="007C0B39" w:rsidRDefault="0020695B" w:rsidP="00707F0D">
      <w:pPr>
        <w:pStyle w:val="ParaNum0"/>
        <w:numPr>
          <w:ilvl w:val="0"/>
          <w:numId w:val="0"/>
        </w:numPr>
      </w:pPr>
      <w:r w:rsidRPr="00FF35A0">
        <w:t>Sam.Peoples@fcc.gov</w:t>
      </w:r>
      <w:r>
        <w:t xml:space="preserve"> </w:t>
      </w:r>
      <w:r w:rsidRPr="007C0B39">
        <w:t xml:space="preserve">on the date said payment is made.  </w:t>
      </w:r>
      <w:r w:rsidRPr="007C0B39">
        <w:rPr>
          <w:szCs w:val="22"/>
        </w:rPr>
        <w:t xml:space="preserve">The </w:t>
      </w:r>
      <w:r w:rsidRPr="007C0B39">
        <w:t xml:space="preserve">payment </w:t>
      </w:r>
      <w:r w:rsidRPr="007C0B39">
        <w:rPr>
          <w:szCs w:val="22"/>
        </w:rPr>
        <w:t>must be made by check or similar instrument, wire transfer, or credit card, and must include the Account Number and FRN referenced above</w:t>
      </w:r>
      <w:r>
        <w:rPr>
          <w:szCs w:val="22"/>
        </w:rPr>
        <w:t xml:space="preserve">.  </w:t>
      </w:r>
      <w:r w:rsidRPr="007C0B39">
        <w:rPr>
          <w:szCs w:val="22"/>
        </w:rPr>
        <w:t>Regardless of the form of payment, a completed FCC Form 159 (Remittance Advice) must be submitted.</w:t>
      </w:r>
      <w:r w:rsidRPr="007C0B39">
        <w:rPr>
          <w:rStyle w:val="FootnoteReference"/>
          <w:szCs w:val="22"/>
        </w:rPr>
        <w:footnoteReference w:id="25"/>
      </w:r>
      <w:r w:rsidRPr="007C0B39">
        <w:rPr>
          <w:szCs w:val="22"/>
        </w:rPr>
        <w:t xml:space="preserve">  When completing the FCC Form 159, enter the Account Number in block number 23A (call sign/other ID) and enter the letters “FORF” in block number 24A (payment type code).  Below are additional instructions </w:t>
      </w:r>
      <w:r>
        <w:rPr>
          <w:szCs w:val="22"/>
        </w:rPr>
        <w:t>that should be followed based on the form of payment selected</w:t>
      </w:r>
      <w:r w:rsidRPr="007C0B39">
        <w:rPr>
          <w:szCs w:val="22"/>
        </w:rPr>
        <w:t>:</w:t>
      </w:r>
    </w:p>
    <w:p w14:paraId="292AD991" w14:textId="77777777" w:rsidR="0020695B" w:rsidRPr="007C0B39" w:rsidRDefault="0020695B" w:rsidP="0020695B">
      <w:pPr>
        <w:pStyle w:val="ParaNum0"/>
        <w:numPr>
          <w:ilvl w:val="0"/>
          <w:numId w:val="8"/>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6BE967F0" w14:textId="77777777" w:rsidR="0020695B" w:rsidRPr="007C0B39" w:rsidRDefault="0020695B" w:rsidP="0020695B">
      <w:pPr>
        <w:pStyle w:val="ParaNum0"/>
        <w:numPr>
          <w:ilvl w:val="0"/>
          <w:numId w:val="8"/>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4456157" w14:textId="77777777" w:rsidR="0020695B" w:rsidRPr="007C0B39" w:rsidRDefault="0020695B" w:rsidP="0020695B">
      <w:pPr>
        <w:pStyle w:val="ParaNum0"/>
        <w:widowControl/>
        <w:numPr>
          <w:ilvl w:val="0"/>
          <w:numId w:val="8"/>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4B429E3" w14:textId="77777777" w:rsidR="0020695B" w:rsidRDefault="0020695B" w:rsidP="00DF3340">
      <w:pPr>
        <w:pStyle w:val="ParaNum0"/>
        <w:numPr>
          <w:ilvl w:val="0"/>
          <w:numId w:val="0"/>
        </w:numPr>
        <w:ind w:left="720"/>
      </w:pPr>
      <w:r w:rsidRPr="007C0B39">
        <w:rPr>
          <w:rFonts w:eastAsia="MS Mincho"/>
        </w:rPr>
        <w:t>Questions regarding payment procedures should be addressed to the Financial Operations Group Help Desk by phone, 1-877-480-3201, or by e-mail, ARINQUIRIES@fcc.gov.</w:t>
      </w:r>
    </w:p>
    <w:p w14:paraId="2EB7B6DE" w14:textId="77777777" w:rsidR="0020695B" w:rsidRPr="007C0B39" w:rsidRDefault="0020695B" w:rsidP="00FE372D">
      <w:pPr>
        <w:pStyle w:val="ParaNum0"/>
      </w:pPr>
      <w:r w:rsidRPr="007C0B39">
        <w:rPr>
          <w:b/>
          <w:u w:val="single"/>
        </w:rPr>
        <w:t>Waivers</w:t>
      </w:r>
      <w:r w:rsidRPr="007C0B39">
        <w:t xml:space="preserve">.  As of the Effective Date, </w:t>
      </w:r>
      <w:r>
        <w:t xml:space="preserve">Essex </w:t>
      </w:r>
      <w:r w:rsidRPr="007C0B39">
        <w:t xml:space="preserve">waives any and all rights it may have to seek administrative or judicial reconsideration, review, appeal or stay, or to otherwise challenge or contest the validity of this Consent Decree and the Adopting Order.  </w:t>
      </w:r>
      <w:r>
        <w:t xml:space="preserve">Essex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Essex </w:t>
      </w:r>
      <w:r w:rsidRPr="007C0B39">
        <w:t xml:space="preserve">nor the Commission shall contest the validity of the Consent Decree or the Adopting Order, and </w:t>
      </w:r>
      <w:r>
        <w:t xml:space="preserve">Essex </w:t>
      </w:r>
      <w:r w:rsidRPr="007C0B39">
        <w:t xml:space="preserve">shall waive any statutory right to a trial </w:t>
      </w:r>
      <w:r w:rsidRPr="007C0B39">
        <w:rPr>
          <w:i/>
        </w:rPr>
        <w:t>de novo</w:t>
      </w:r>
      <w:r w:rsidRPr="007C0B39">
        <w:t xml:space="preserve">.  </w:t>
      </w:r>
      <w:r>
        <w:t xml:space="preserve">Essex </w:t>
      </w:r>
      <w:r w:rsidRPr="007C0B39">
        <w:t>hereby agrees to waive any claims it may otherwise have under the Equal Access to Justice Act</w:t>
      </w:r>
      <w:r w:rsidRPr="007C0B39">
        <w:rPr>
          <w:rStyle w:val="FootnoteReference"/>
          <w:szCs w:val="22"/>
        </w:rPr>
        <w:footnoteReference w:id="26"/>
      </w:r>
      <w:r w:rsidRPr="007C0B39">
        <w:t xml:space="preserve"> relating to the matters addressed in this Consent Decree.</w:t>
      </w:r>
    </w:p>
    <w:p w14:paraId="58EF2E7A" w14:textId="77777777" w:rsidR="0020695B" w:rsidRPr="007C0B39" w:rsidRDefault="0020695B" w:rsidP="00FE372D">
      <w:pPr>
        <w:pStyle w:val="ParaNum0"/>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6AD6D143" w14:textId="77777777" w:rsidR="0020695B" w:rsidRPr="007C0B39" w:rsidRDefault="0020695B" w:rsidP="00FE372D">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4E26FA77" w14:textId="77777777" w:rsidR="0020695B" w:rsidRPr="007C0B39" w:rsidRDefault="0020695B" w:rsidP="00176AAC">
      <w:pPr>
        <w:pStyle w:val="ParaNum0"/>
        <w:widowControl/>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Essex </w:t>
      </w:r>
      <w:r w:rsidRPr="007C0B39">
        <w:t>does not expressly consent) that provision will be superseded by such Rule or Order.</w:t>
      </w:r>
    </w:p>
    <w:p w14:paraId="48637C46" w14:textId="77777777" w:rsidR="0020695B" w:rsidRPr="007C0B39" w:rsidRDefault="0020695B" w:rsidP="00FE372D">
      <w:pPr>
        <w:pStyle w:val="ParaNum0"/>
      </w:pPr>
      <w:r w:rsidRPr="007C0B39">
        <w:rPr>
          <w:b/>
          <w:u w:val="single"/>
        </w:rPr>
        <w:t>Successors and Assigns</w:t>
      </w:r>
      <w:r w:rsidRPr="007C0B39">
        <w:t xml:space="preserve">.  </w:t>
      </w:r>
      <w:r>
        <w:t xml:space="preserve">Essex </w:t>
      </w:r>
      <w:r w:rsidRPr="007C0B39">
        <w:t>agrees that the provisions of this Consent Decree shall be binding on its successors, assigns, and transferees.</w:t>
      </w:r>
    </w:p>
    <w:p w14:paraId="2BA3697D" w14:textId="77777777" w:rsidR="0020695B" w:rsidRPr="007C0B39" w:rsidRDefault="0020695B" w:rsidP="009745FB">
      <w:pPr>
        <w:pStyle w:val="ParaNum0"/>
        <w:widowControl/>
        <w:rPr>
          <w:szCs w:val="22"/>
        </w:rPr>
      </w:pPr>
      <w:r w:rsidRPr="007C0B39">
        <w:rPr>
          <w:b/>
          <w:szCs w:val="22"/>
          <w:u w:val="single"/>
        </w:rPr>
        <w:t>Final Settlement</w:t>
      </w:r>
      <w:r w:rsidRPr="007C0B39">
        <w:rPr>
          <w:szCs w:val="22"/>
        </w:rPr>
        <w:t>.  The Parties agree and acknowledge that this Consent Decree shall constitute a final settlement between the Parties with respect to the Investigation.</w:t>
      </w:r>
      <w:r w:rsidRPr="0004267E">
        <w:rPr>
          <w:szCs w:val="22"/>
        </w:rPr>
        <w:t xml:space="preserve">  </w:t>
      </w:r>
    </w:p>
    <w:p w14:paraId="3712B501" w14:textId="77777777" w:rsidR="0020695B" w:rsidRPr="007C0B39" w:rsidRDefault="0020695B" w:rsidP="00FE372D">
      <w:pPr>
        <w:pStyle w:val="ParaNum0"/>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63B6C3F9" w14:textId="77777777" w:rsidR="0020695B" w:rsidRPr="007C0B39" w:rsidRDefault="0020695B" w:rsidP="00FE372D">
      <w:pPr>
        <w:pStyle w:val="ParaNum0"/>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758914C6" w14:textId="77777777" w:rsidR="0020695B" w:rsidRPr="007C0B39" w:rsidRDefault="0020695B" w:rsidP="00FE372D">
      <w:pPr>
        <w:pStyle w:val="ParaNum0"/>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26EEF0A9" w14:textId="77777777" w:rsidR="0020695B" w:rsidRPr="007C0B39" w:rsidRDefault="0020695B" w:rsidP="00FE372D">
      <w:pPr>
        <w:pStyle w:val="ParaNum0"/>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37933945" w14:textId="77777777" w:rsidR="0020695B" w:rsidRDefault="0020695B" w:rsidP="009A17A5">
      <w:pPr>
        <w:keepNext/>
        <w:keepLines/>
      </w:pPr>
    </w:p>
    <w:p w14:paraId="2608D68C" w14:textId="77777777" w:rsidR="0020695B" w:rsidRPr="007C0B39" w:rsidRDefault="0020695B" w:rsidP="009A17A5">
      <w:pPr>
        <w:keepNext/>
        <w:keepLines/>
      </w:pPr>
    </w:p>
    <w:p w14:paraId="3C1B8177" w14:textId="77777777" w:rsidR="0020695B" w:rsidRPr="007C0B39" w:rsidRDefault="0020695B" w:rsidP="009A17A5">
      <w:pPr>
        <w:keepNext/>
        <w:keepLines/>
      </w:pPr>
    </w:p>
    <w:p w14:paraId="06428C73" w14:textId="77777777" w:rsidR="0020695B" w:rsidRPr="007C0B39" w:rsidRDefault="0020695B" w:rsidP="009A17A5">
      <w:pPr>
        <w:keepNext/>
        <w:keepLines/>
      </w:pPr>
      <w:r w:rsidRPr="007C0B39">
        <w:t>________________________________</w:t>
      </w:r>
    </w:p>
    <w:p w14:paraId="4212BF91" w14:textId="77777777" w:rsidR="0020695B" w:rsidRPr="007C0B39" w:rsidRDefault="0020695B" w:rsidP="009A17A5">
      <w:pPr>
        <w:keepNext/>
        <w:keepLines/>
      </w:pPr>
      <w:r>
        <w:t>Travis LeBlanc</w:t>
      </w:r>
    </w:p>
    <w:p w14:paraId="644BE275" w14:textId="77777777" w:rsidR="0020695B" w:rsidRPr="007C0B39" w:rsidRDefault="0020695B" w:rsidP="009A17A5">
      <w:pPr>
        <w:keepNext/>
        <w:keepLines/>
      </w:pPr>
      <w:r>
        <w:t>Chief</w:t>
      </w:r>
    </w:p>
    <w:p w14:paraId="4E3B98F7" w14:textId="77777777" w:rsidR="0020695B" w:rsidRPr="007C0B39" w:rsidRDefault="0020695B" w:rsidP="009A17A5">
      <w:pPr>
        <w:keepNext/>
        <w:keepLines/>
      </w:pPr>
      <w:r w:rsidRPr="007C0B39">
        <w:t>Enforcement Bureau</w:t>
      </w:r>
    </w:p>
    <w:p w14:paraId="5F681C3D" w14:textId="77777777" w:rsidR="0020695B" w:rsidRPr="007C0B39" w:rsidRDefault="0020695B" w:rsidP="009A17A5">
      <w:pPr>
        <w:keepNext/>
        <w:keepLines/>
      </w:pPr>
    </w:p>
    <w:p w14:paraId="38102834" w14:textId="77777777" w:rsidR="0020695B" w:rsidRPr="007C0B39" w:rsidRDefault="0020695B" w:rsidP="009A17A5">
      <w:pPr>
        <w:keepNext/>
        <w:keepLines/>
      </w:pPr>
    </w:p>
    <w:p w14:paraId="5EE316C6" w14:textId="77777777" w:rsidR="0020695B" w:rsidRPr="007C0B39" w:rsidRDefault="0020695B" w:rsidP="009A17A5">
      <w:pPr>
        <w:keepNext/>
        <w:keepLines/>
      </w:pPr>
      <w:r w:rsidRPr="007C0B39">
        <w:t>________________________________</w:t>
      </w:r>
    </w:p>
    <w:p w14:paraId="48ED997F" w14:textId="77777777" w:rsidR="0020695B" w:rsidRPr="007C0B39" w:rsidRDefault="0020695B" w:rsidP="009A17A5">
      <w:pPr>
        <w:keepNext/>
        <w:keepLines/>
      </w:pPr>
      <w:r w:rsidRPr="007C0B39">
        <w:t>Date</w:t>
      </w:r>
    </w:p>
    <w:p w14:paraId="5E2688BB" w14:textId="77777777" w:rsidR="0020695B" w:rsidRPr="007C0B39" w:rsidRDefault="0020695B" w:rsidP="009A17A5">
      <w:pPr>
        <w:keepNext/>
        <w:keepLines/>
      </w:pPr>
    </w:p>
    <w:p w14:paraId="075867D9" w14:textId="77777777" w:rsidR="0020695B" w:rsidRPr="007C0B39" w:rsidRDefault="0020695B" w:rsidP="00710CC1">
      <w:pPr>
        <w:keepLines/>
      </w:pPr>
    </w:p>
    <w:p w14:paraId="65949140" w14:textId="77777777" w:rsidR="0020695B" w:rsidRPr="007C0B39" w:rsidRDefault="0020695B" w:rsidP="00710CC1">
      <w:pPr>
        <w:keepLines/>
      </w:pPr>
    </w:p>
    <w:p w14:paraId="0F951E8B" w14:textId="77777777" w:rsidR="0020695B" w:rsidRPr="007C0B39" w:rsidRDefault="0020695B" w:rsidP="00710CC1">
      <w:pPr>
        <w:keepLines/>
      </w:pPr>
      <w:r w:rsidRPr="007C0B39">
        <w:t>________________________________</w:t>
      </w:r>
    </w:p>
    <w:p w14:paraId="66C16940" w14:textId="77777777" w:rsidR="0020695B" w:rsidRPr="007C0B39" w:rsidRDefault="0020695B" w:rsidP="00710CC1">
      <w:pPr>
        <w:keepLines/>
      </w:pPr>
      <w:r>
        <w:t>Jeff Kohler</w:t>
      </w:r>
    </w:p>
    <w:p w14:paraId="24EFA347" w14:textId="77777777" w:rsidR="0020695B" w:rsidRPr="007C0B39" w:rsidRDefault="0020695B" w:rsidP="00710CC1">
      <w:pPr>
        <w:keepLines/>
      </w:pPr>
      <w:r>
        <w:t>Executive Vice President and Chief Development Officer</w:t>
      </w:r>
      <w:r w:rsidRPr="007C0B39">
        <w:t xml:space="preserve"> </w:t>
      </w:r>
    </w:p>
    <w:p w14:paraId="1857AB45" w14:textId="77777777" w:rsidR="0020695B" w:rsidRPr="007C0B39" w:rsidRDefault="0020695B" w:rsidP="00710CC1">
      <w:pPr>
        <w:keepLines/>
      </w:pPr>
      <w:r>
        <w:t>Essex Telcom, Inc.</w:t>
      </w:r>
      <w:r w:rsidRPr="007C0B39" w:rsidDel="00ED2F7F">
        <w:t xml:space="preserve"> </w:t>
      </w:r>
    </w:p>
    <w:p w14:paraId="76522CB0" w14:textId="77777777" w:rsidR="0020695B" w:rsidRPr="007C0B39" w:rsidRDefault="0020695B" w:rsidP="00710CC1">
      <w:pPr>
        <w:keepLines/>
      </w:pPr>
    </w:p>
    <w:p w14:paraId="498945BC" w14:textId="77777777" w:rsidR="0020695B" w:rsidRPr="007C0B39" w:rsidRDefault="0020695B" w:rsidP="00710CC1">
      <w:pPr>
        <w:keepLines/>
      </w:pPr>
      <w:r w:rsidRPr="007C0B39">
        <w:t>________________________________</w:t>
      </w:r>
    </w:p>
    <w:p w14:paraId="3245296B" w14:textId="77777777" w:rsidR="0020695B" w:rsidRPr="002C00E8" w:rsidRDefault="0020695B" w:rsidP="002755D1">
      <w:pPr>
        <w:keepLines/>
      </w:pPr>
      <w:r w:rsidRPr="007C0B39">
        <w:t>Date</w:t>
      </w:r>
    </w:p>
    <w:p w14:paraId="486958A0" w14:textId="0494687D" w:rsidR="00412FC5" w:rsidRPr="008C4282" w:rsidRDefault="00412FC5" w:rsidP="00CF77B7">
      <w:pPr>
        <w:rPr>
          <w:szCs w:val="22"/>
        </w:rPr>
      </w:pPr>
    </w:p>
    <w:sectPr w:rsidR="00412FC5" w:rsidRPr="008C4282" w:rsidSect="004B3F1B">
      <w:headerReference w:type="default" r:id="rId14"/>
      <w:footerReference w:type="default" r:id="rId15"/>
      <w:headerReference w:type="first" r:id="rId16"/>
      <w:footerReference w:type="first" r:id="rId17"/>
      <w:footnotePr>
        <w:numRestart w:val="eachSect"/>
      </w:footnotePr>
      <w:endnotePr>
        <w:numFmt w:val="decimal"/>
      </w:endnotePr>
      <w:pgSz w:w="12240" w:h="15840"/>
      <w:pgMar w:top="109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1916" w14:textId="77777777" w:rsidR="00376EB5" w:rsidRDefault="00376EB5">
      <w:pPr>
        <w:spacing w:line="20" w:lineRule="exact"/>
      </w:pPr>
    </w:p>
  </w:endnote>
  <w:endnote w:type="continuationSeparator" w:id="0">
    <w:p w14:paraId="41440F41" w14:textId="77777777" w:rsidR="00376EB5" w:rsidRDefault="00376EB5">
      <w:r>
        <w:t xml:space="preserve"> </w:t>
      </w:r>
    </w:p>
  </w:endnote>
  <w:endnote w:type="continuationNotice" w:id="1">
    <w:p w14:paraId="79BEA724" w14:textId="77777777" w:rsidR="00376EB5" w:rsidRDefault="00376E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28B7"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7524B73D"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AEEE"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707F0D">
      <w:rPr>
        <w:noProof/>
      </w:rPr>
      <w:t>2</w:t>
    </w:r>
    <w:r w:rsidRPr="007B3BDA">
      <w:fldChar w:fldCharType="end"/>
    </w:r>
  </w:p>
  <w:p w14:paraId="4EDAD4C0" w14:textId="77777777" w:rsidR="00676723" w:rsidRPr="007B3BDA" w:rsidRDefault="00676723">
    <w:pPr>
      <w:suppressAutoHyphens/>
      <w:spacing w:line="227" w:lineRule="auto"/>
    </w:pPr>
  </w:p>
  <w:p w14:paraId="3C209FFE"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AA94" w14:textId="77777777" w:rsidR="00676723" w:rsidRDefault="0067672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22E7BB07" w14:textId="77777777" w:rsidR="00153AAA" w:rsidRDefault="001465DE" w:rsidP="00453A9E">
        <w:pPr>
          <w:pStyle w:val="Footer"/>
          <w:jc w:val="center"/>
        </w:pPr>
        <w:r>
          <w:fldChar w:fldCharType="begin"/>
        </w:r>
        <w:r>
          <w:instrText xml:space="preserve"> PAGE   \* MERGEFORMAT </w:instrText>
        </w:r>
        <w:r>
          <w:fldChar w:fldCharType="separate"/>
        </w:r>
        <w:r w:rsidR="00707F0D">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D65EA" w14:textId="77777777" w:rsidR="009E51C5" w:rsidRDefault="003C4E2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460C5" w14:textId="77777777" w:rsidR="00376EB5" w:rsidRDefault="00376EB5">
      <w:pPr>
        <w:rPr>
          <w:noProof/>
        </w:rPr>
      </w:pPr>
      <w:r>
        <w:rPr>
          <w:noProof/>
        </w:rPr>
        <w:separator/>
      </w:r>
    </w:p>
  </w:footnote>
  <w:footnote w:type="continuationSeparator" w:id="0">
    <w:p w14:paraId="3DCAA5CD" w14:textId="77777777" w:rsidR="00376EB5" w:rsidRDefault="00376EB5">
      <w:pPr>
        <w:rPr>
          <w:sz w:val="20"/>
        </w:rPr>
      </w:pPr>
      <w:r>
        <w:rPr>
          <w:sz w:val="20"/>
        </w:rPr>
        <w:t xml:space="preserve">(Continued from previous page)  </w:t>
      </w:r>
      <w:r>
        <w:rPr>
          <w:sz w:val="20"/>
        </w:rPr>
        <w:separator/>
      </w:r>
    </w:p>
  </w:footnote>
  <w:footnote w:type="continuationNotice" w:id="1">
    <w:p w14:paraId="2A941C1C" w14:textId="77777777" w:rsidR="00376EB5" w:rsidRDefault="00376EB5">
      <w:pPr>
        <w:rPr>
          <w:sz w:val="20"/>
        </w:rPr>
      </w:pPr>
      <w:r>
        <w:rPr>
          <w:sz w:val="20"/>
        </w:rPr>
        <w:t>(continued….)</w:t>
      </w:r>
    </w:p>
  </w:footnote>
  <w:footnote w:id="2">
    <w:p w14:paraId="528F6E2A" w14:textId="6CABEC8D" w:rsidR="000A688C" w:rsidRDefault="000A688C">
      <w:pPr>
        <w:pStyle w:val="FootnoteText"/>
      </w:pPr>
      <w:r>
        <w:rPr>
          <w:rStyle w:val="FootnoteReference"/>
        </w:rPr>
        <w:footnoteRef/>
      </w:r>
      <w:r>
        <w:t xml:space="preserve"> The investigation began under File No. EB-SED-16-00022736 and was subsequently assigned File No. EB-SED-16-00022830.</w:t>
      </w:r>
    </w:p>
  </w:footnote>
  <w:footnote w:id="3">
    <w:p w14:paraId="4CE0AA98" w14:textId="4D4C3FA9" w:rsidR="00ED40B1" w:rsidRDefault="00ED40B1">
      <w:pPr>
        <w:pStyle w:val="FootnoteText"/>
      </w:pPr>
      <w:r>
        <w:rPr>
          <w:rStyle w:val="FootnoteReference"/>
        </w:rPr>
        <w:footnoteRef/>
      </w:r>
      <w:r>
        <w:t xml:space="preserve"> 47 U.S.C. § 301.</w:t>
      </w:r>
    </w:p>
  </w:footnote>
  <w:footnote w:id="4">
    <w:p w14:paraId="39E87981" w14:textId="0E7CF16F" w:rsidR="00B277A4" w:rsidRPr="00D84548" w:rsidRDefault="00B277A4">
      <w:pPr>
        <w:pStyle w:val="FootnoteText"/>
      </w:pPr>
      <w:r w:rsidRPr="00D84548">
        <w:rPr>
          <w:rStyle w:val="FootnoteReference"/>
        </w:rPr>
        <w:footnoteRef/>
      </w:r>
      <w:r w:rsidRPr="00D84548">
        <w:t xml:space="preserve"> </w:t>
      </w:r>
      <w:r w:rsidR="005E4B8D">
        <w:rPr>
          <w:szCs w:val="22"/>
        </w:rPr>
        <w:t>47 CFR</w:t>
      </w:r>
      <w:r w:rsidRPr="00D84548">
        <w:rPr>
          <w:szCs w:val="22"/>
        </w:rPr>
        <w:t xml:space="preserve"> §</w:t>
      </w:r>
      <w:r w:rsidR="00ED40B1">
        <w:rPr>
          <w:szCs w:val="22"/>
        </w:rPr>
        <w:t xml:space="preserve"> 1.903(a)</w:t>
      </w:r>
      <w:r w:rsidRPr="00D84548">
        <w:rPr>
          <w:szCs w:val="22"/>
        </w:rPr>
        <w:t>.</w:t>
      </w:r>
    </w:p>
  </w:footnote>
  <w:footnote w:id="5">
    <w:p w14:paraId="3BDD7136" w14:textId="34F68ED1" w:rsidR="00357044" w:rsidRPr="00F74D07" w:rsidRDefault="00357044">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14:paraId="268A1611" w14:textId="3627B749"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D75C02">
        <w:rPr>
          <w:szCs w:val="22"/>
        </w:rPr>
        <w:t xml:space="preserve"> </w:t>
      </w:r>
      <w:r w:rsidRPr="00D84548">
        <w:rPr>
          <w:szCs w:val="22"/>
        </w:rPr>
        <w:t>154(i).</w:t>
      </w:r>
    </w:p>
  </w:footnote>
  <w:footnote w:id="7">
    <w:p w14:paraId="1A7D599A" w14:textId="65519F00" w:rsidR="009632A6" w:rsidRDefault="009632A6">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14:paraId="2252CBD5" w14:textId="77777777" w:rsidR="0020695B" w:rsidRDefault="0020695B">
      <w:pPr>
        <w:pStyle w:val="FootnoteText"/>
      </w:pPr>
      <w:r>
        <w:rPr>
          <w:rStyle w:val="FootnoteReference"/>
        </w:rPr>
        <w:footnoteRef/>
      </w:r>
      <w:r>
        <w:t xml:space="preserve"> 47 U.S.C. § 301.</w:t>
      </w:r>
    </w:p>
  </w:footnote>
  <w:footnote w:id="9">
    <w:p w14:paraId="5D627BAD" w14:textId="77777777" w:rsidR="0020695B" w:rsidRDefault="0020695B">
      <w:pPr>
        <w:pStyle w:val="FootnoteText"/>
      </w:pPr>
      <w:r>
        <w:rPr>
          <w:rStyle w:val="FootnoteReference"/>
        </w:rPr>
        <w:footnoteRef/>
      </w:r>
      <w:r>
        <w:t xml:space="preserve"> 47 CFR § 1.903(a).</w:t>
      </w:r>
    </w:p>
  </w:footnote>
  <w:footnote w:id="10">
    <w:p w14:paraId="262F78C3" w14:textId="77777777" w:rsidR="0020695B" w:rsidRDefault="0020695B">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14:paraId="06388D50" w14:textId="77777777" w:rsidR="0020695B" w:rsidRDefault="0020695B">
      <w:pPr>
        <w:pStyle w:val="FootnoteText"/>
      </w:pPr>
      <w:r>
        <w:rPr>
          <w:rStyle w:val="FootnoteReference"/>
        </w:rPr>
        <w:footnoteRef/>
      </w:r>
      <w:r>
        <w:t xml:space="preserve"> The investigation began under File No. EB-SED-16-00022736 and was subsequently assigned File No. EB-SED-16-00022830.</w:t>
      </w:r>
    </w:p>
  </w:footnote>
  <w:footnote w:id="12">
    <w:p w14:paraId="4291D994" w14:textId="77777777" w:rsidR="0020695B" w:rsidRDefault="0020695B">
      <w:pPr>
        <w:pStyle w:val="FootnoteText"/>
      </w:pPr>
      <w:r>
        <w:rPr>
          <w:rStyle w:val="FootnoteReference"/>
        </w:rPr>
        <w:footnoteRef/>
      </w:r>
      <w:r>
        <w:t xml:space="preserve"> 47 U.S.C. § 301; 47 CFR § 1.903(a).</w:t>
      </w:r>
    </w:p>
  </w:footnote>
  <w:footnote w:id="13">
    <w:p w14:paraId="7054E059" w14:textId="77777777" w:rsidR="0020695B" w:rsidRDefault="0020695B" w:rsidP="00AF6E8B">
      <w:pPr>
        <w:pStyle w:val="FootnoteText"/>
      </w:pPr>
      <w:r>
        <w:rPr>
          <w:rStyle w:val="FootnoteReference"/>
        </w:rPr>
        <w:footnoteRef/>
      </w:r>
      <w:r>
        <w:t xml:space="preserve"> </w:t>
      </w:r>
      <w:r w:rsidRPr="00B9586B">
        <w:rPr>
          <w:i/>
        </w:rPr>
        <w:t>See Amendment of the Commission’s Rules with Regard to Commercial Operations in the 3550-3650 MHz Band</w:t>
      </w:r>
      <w:r>
        <w:t>, Report and Order and Second Further Notice of Proposed Rulemaking, 30 FCC Rcd 3959 (2015).</w:t>
      </w:r>
    </w:p>
  </w:footnote>
  <w:footnote w:id="14">
    <w:p w14:paraId="032FB185" w14:textId="77777777" w:rsidR="0020695B" w:rsidRDefault="0020695B" w:rsidP="00AF6E8B">
      <w:pPr>
        <w:pStyle w:val="FootnoteText"/>
      </w:pPr>
      <w:r>
        <w:rPr>
          <w:rStyle w:val="FootnoteReference"/>
        </w:rPr>
        <w:footnoteRef/>
      </w:r>
      <w:r>
        <w:t xml:space="preserve"> </w:t>
      </w:r>
      <w:r w:rsidRPr="00B9586B">
        <w:rPr>
          <w:i/>
        </w:rPr>
        <w:t>See</w:t>
      </w:r>
      <w:r>
        <w:t xml:space="preserve"> ULS File No. 0007207276.</w:t>
      </w:r>
    </w:p>
  </w:footnote>
  <w:footnote w:id="15">
    <w:p w14:paraId="57B9E01B" w14:textId="77777777" w:rsidR="0020695B" w:rsidRDefault="0020695B" w:rsidP="00AF6E8B">
      <w:pPr>
        <w:pStyle w:val="FootnoteText"/>
      </w:pPr>
      <w:r>
        <w:rPr>
          <w:rStyle w:val="FootnoteReference"/>
        </w:rPr>
        <w:footnoteRef/>
      </w:r>
      <w:r>
        <w:t xml:space="preserve"> </w:t>
      </w:r>
      <w:r w:rsidRPr="007F2C49">
        <w:rPr>
          <w:i/>
        </w:rPr>
        <w:t>See</w:t>
      </w:r>
      <w:r>
        <w:t xml:space="preserve"> Declaration of Jeff Kohler, Co-Founder and Chief Development Officer for JAB Wireless, Inc., (July 28, 2016) (on file in EB-SED-16-00022830) (Kohler Declaration).</w:t>
      </w:r>
    </w:p>
  </w:footnote>
  <w:footnote w:id="16">
    <w:p w14:paraId="10D74CC5" w14:textId="77777777" w:rsidR="0020695B" w:rsidRDefault="0020695B" w:rsidP="00AF6E8B">
      <w:pPr>
        <w:pStyle w:val="FootnoteText"/>
      </w:pPr>
      <w:r>
        <w:rPr>
          <w:rStyle w:val="FootnoteReference"/>
        </w:rPr>
        <w:footnoteRef/>
      </w:r>
      <w:r>
        <w:t xml:space="preserve"> Kohler Declaration at 2.</w:t>
      </w:r>
    </w:p>
  </w:footnote>
  <w:footnote w:id="17">
    <w:p w14:paraId="2EA8EDB2" w14:textId="77777777" w:rsidR="0020695B" w:rsidRDefault="0020695B" w:rsidP="00AF6E8B">
      <w:pPr>
        <w:pStyle w:val="FootnoteText"/>
      </w:pPr>
      <w:r>
        <w:rPr>
          <w:rStyle w:val="FootnoteReference"/>
        </w:rPr>
        <w:footnoteRef/>
      </w:r>
      <w:r>
        <w:t xml:space="preserve"> </w:t>
      </w:r>
      <w:r w:rsidRPr="00CF5CD2">
        <w:rPr>
          <w:i/>
        </w:rPr>
        <w:t>See</w:t>
      </w:r>
      <w:r>
        <w:t xml:space="preserve"> Declaration of Martin Garrity, Vice President of Network Planning, Engineering and Construction for JAB Wireless, Inc. (July 28, 2016) (on file in EB-SED-16-00022830).</w:t>
      </w:r>
    </w:p>
  </w:footnote>
  <w:footnote w:id="18">
    <w:p w14:paraId="21B38E1F" w14:textId="77777777" w:rsidR="0020695B" w:rsidRDefault="0020695B" w:rsidP="00AF6E8B">
      <w:pPr>
        <w:pStyle w:val="FootnoteText"/>
      </w:pPr>
      <w:r>
        <w:rPr>
          <w:rStyle w:val="FootnoteReference"/>
        </w:rPr>
        <w:footnoteRef/>
      </w:r>
      <w:r>
        <w:t xml:space="preserve"> </w:t>
      </w:r>
      <w:r w:rsidRPr="00B160B6">
        <w:rPr>
          <w:i/>
        </w:rPr>
        <w:t>See</w:t>
      </w:r>
      <w:r>
        <w:t xml:space="preserve"> Supplemental Declaration of Martin Garrity, Vice President of Deployment and Network Operations for JAB Wireless, Inc. (Aug. 18, 2016) (on file in EB-SED-16-00022830).</w:t>
      </w:r>
    </w:p>
  </w:footnote>
  <w:footnote w:id="19">
    <w:p w14:paraId="0060078B" w14:textId="77777777" w:rsidR="0020695B" w:rsidRDefault="0020695B" w:rsidP="00AF6E8B">
      <w:pPr>
        <w:pStyle w:val="FootnoteText"/>
      </w:pPr>
      <w:r>
        <w:rPr>
          <w:rStyle w:val="FootnoteReference"/>
        </w:rPr>
        <w:footnoteRef/>
      </w:r>
      <w:r>
        <w:t xml:space="preserve"> </w:t>
      </w:r>
      <w:r w:rsidRPr="00164469">
        <w:rPr>
          <w:i/>
        </w:rPr>
        <w:t>See</w:t>
      </w:r>
      <w:r>
        <w:t xml:space="preserve"> </w:t>
      </w:r>
      <w:r w:rsidRPr="00430BA0">
        <w:t>E-mail from Kathy Harvey, Attorney Advisor, Spectrum Enforcement Division, FCC Enforcement Bureau, to Doug VanCura, Vice Presiden</w:t>
      </w:r>
      <w:r>
        <w:t>t Network Operations, Essex Tel</w:t>
      </w:r>
      <w:r w:rsidRPr="00430BA0">
        <w:t>com</w:t>
      </w:r>
      <w:r>
        <w:t>,</w:t>
      </w:r>
      <w:r w:rsidRPr="00430BA0">
        <w:t xml:space="preserve"> Inc. (Oct. 11</w:t>
      </w:r>
      <w:r>
        <w:t>,</w:t>
      </w:r>
      <w:r w:rsidRPr="00430BA0">
        <w:t xml:space="preserve"> 2016) (on file in EB-SED-16-00022830).</w:t>
      </w:r>
      <w:r>
        <w:t xml:space="preserve"> </w:t>
      </w:r>
    </w:p>
  </w:footnote>
  <w:footnote w:id="20">
    <w:p w14:paraId="7F0E0F86" w14:textId="77777777" w:rsidR="0020695B" w:rsidRDefault="0020695B" w:rsidP="00AF6E8B">
      <w:pPr>
        <w:pStyle w:val="FootnoteText"/>
      </w:pPr>
      <w:r>
        <w:rPr>
          <w:rStyle w:val="FootnoteReference"/>
        </w:rPr>
        <w:footnoteRef/>
      </w:r>
      <w:r>
        <w:t xml:space="preserve"> </w:t>
      </w:r>
      <w:r w:rsidRPr="00E52C77">
        <w:rPr>
          <w:i/>
        </w:rPr>
        <w:t>See</w:t>
      </w:r>
      <w:r>
        <w:t xml:space="preserve"> Declaration of Martin Garrity, Vice President of Network Deployment and Field Operations for JAB Wireless, Inc. (Oct. 20, 2016) (on file in EB-SED-16-00022830).</w:t>
      </w:r>
    </w:p>
  </w:footnote>
  <w:footnote w:id="21">
    <w:p w14:paraId="59767214" w14:textId="77777777" w:rsidR="0020695B" w:rsidRDefault="0020695B">
      <w:pPr>
        <w:pStyle w:val="FootnoteText"/>
      </w:pPr>
      <w:r>
        <w:rPr>
          <w:rStyle w:val="FootnoteReference"/>
        </w:rPr>
        <w:footnoteRef/>
      </w:r>
      <w:r>
        <w:t xml:space="preserve"> </w:t>
      </w:r>
      <w:r w:rsidRPr="00C566EC">
        <w:rPr>
          <w:i/>
        </w:rPr>
        <w:t>See</w:t>
      </w:r>
      <w:r>
        <w:t xml:space="preserve"> 47 CFR § 1.93(b).</w:t>
      </w:r>
    </w:p>
  </w:footnote>
  <w:footnote w:id="22">
    <w:p w14:paraId="30034ECB" w14:textId="77777777" w:rsidR="0020695B" w:rsidRDefault="0020695B">
      <w:pPr>
        <w:pStyle w:val="FootnoteText"/>
      </w:pPr>
      <w:r>
        <w:rPr>
          <w:rStyle w:val="FootnoteReference"/>
        </w:rPr>
        <w:footnoteRef/>
      </w:r>
      <w:r>
        <w:t xml:space="preserve"> Essex represents that it has comprehensive organizational structures, plans, and procedures in place that are intended to ensure compliance with the Communications Laws.  This Consent Decree does not require new organizational structures, plans, or procedures except as necessary to implement paragraphs 12-15 of this Consent Decree, nor does it require application of the Compliance Plan to Covered Employees with no responsibilities for compliance with the Licensing Rules.</w:t>
      </w:r>
    </w:p>
  </w:footnote>
  <w:footnote w:id="23">
    <w:p w14:paraId="09F2A04F" w14:textId="77777777" w:rsidR="0020695B" w:rsidRDefault="0020695B" w:rsidP="00E02214">
      <w:pPr>
        <w:pStyle w:val="FootnoteText"/>
      </w:pPr>
      <w:r w:rsidRPr="00A07FCB">
        <w:rPr>
          <w:rStyle w:val="FootnoteReference"/>
        </w:rPr>
        <w:footnoteRef/>
      </w:r>
      <w:r w:rsidRPr="00A07FCB">
        <w:t xml:space="preserve"> 47 CFR § 1.16.</w:t>
      </w:r>
    </w:p>
  </w:footnote>
  <w:footnote w:id="24">
    <w:p w14:paraId="3BFCB304" w14:textId="77777777" w:rsidR="0020695B" w:rsidRDefault="0020695B" w:rsidP="00E02214">
      <w:pPr>
        <w:pStyle w:val="FootnoteText"/>
        <w:tabs>
          <w:tab w:val="left" w:pos="810"/>
        </w:tabs>
      </w:pPr>
      <w:r w:rsidRPr="00A07FCB">
        <w:rPr>
          <w:rStyle w:val="FootnoteReference"/>
        </w:rPr>
        <w:footnoteRef/>
      </w:r>
      <w:r w:rsidRPr="003F6349">
        <w:t xml:space="preserve"> </w:t>
      </w:r>
      <w:r w:rsidRPr="00A07FCB">
        <w:t>47 U.S.C. § 208.</w:t>
      </w:r>
    </w:p>
  </w:footnote>
  <w:footnote w:id="25">
    <w:p w14:paraId="686C82C2" w14:textId="77777777" w:rsidR="0020695B" w:rsidRPr="00042447" w:rsidRDefault="0020695B" w:rsidP="00FE372D">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6">
    <w:p w14:paraId="25E1324E" w14:textId="77777777" w:rsidR="0020695B" w:rsidRDefault="0020695B"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1035" w14:textId="77777777" w:rsidR="002E4816" w:rsidRDefault="002E4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0CC3" w14:textId="77777777" w:rsidR="00AD608F" w:rsidRDefault="00AD608F" w:rsidP="00AD608F">
    <w:pPr>
      <w:pStyle w:val="Header"/>
    </w:pPr>
  </w:p>
  <w:p w14:paraId="36D09438" w14:textId="77777777" w:rsidR="00AD608F" w:rsidRDefault="00AD608F" w:rsidP="00AD608F">
    <w:pPr>
      <w:pStyle w:val="Header"/>
      <w:rPr>
        <w:snapToGrid/>
      </w:rPr>
    </w:pPr>
  </w:p>
  <w:p w14:paraId="7AD2FA16" w14:textId="77777777" w:rsidR="00AD608F" w:rsidRDefault="00AD608F" w:rsidP="00AD608F">
    <w:pPr>
      <w:tabs>
        <w:tab w:val="center" w:pos="4680"/>
        <w:tab w:val="right" w:pos="9360"/>
      </w:tabs>
    </w:pPr>
    <w:r>
      <w:rPr>
        <w:noProof/>
      </w:rPr>
      <mc:AlternateContent>
        <mc:Choice Requires="wps">
          <w:drawing>
            <wp:anchor distT="0" distB="0" distL="114300" distR="114300" simplePos="0" relativeHeight="251663360" behindDoc="1" locked="0" layoutInCell="0" allowOverlap="1" wp14:anchorId="147A4ABD" wp14:editId="3291E85D">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E6077F"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DA 16-1463</w:t>
    </w:r>
  </w:p>
  <w:p w14:paraId="0AD124B8" w14:textId="77777777" w:rsidR="00AD608F" w:rsidRPr="00C438ED" w:rsidRDefault="00AD608F" w:rsidP="00AD608F">
    <w:pPr>
      <w:pStyle w:val="Header"/>
    </w:pPr>
  </w:p>
  <w:p w14:paraId="259FC37F" w14:textId="2BC773B8" w:rsidR="00676723" w:rsidRPr="00AD608F" w:rsidRDefault="00676723" w:rsidP="00AD6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3DB9" w14:textId="77777777" w:rsidR="00AD608F" w:rsidRDefault="00AD608F" w:rsidP="00AD608F">
    <w:pPr>
      <w:pStyle w:val="Header"/>
    </w:pPr>
  </w:p>
  <w:p w14:paraId="67C6D2BF" w14:textId="77777777" w:rsidR="00AD608F" w:rsidRDefault="00AD608F" w:rsidP="00AD608F">
    <w:pPr>
      <w:pStyle w:val="Header"/>
      <w:rPr>
        <w:snapToGrid/>
      </w:rPr>
    </w:pPr>
  </w:p>
  <w:p w14:paraId="518FE2D8" w14:textId="77777777" w:rsidR="00AD608F" w:rsidRDefault="00AD608F" w:rsidP="00AD608F">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152F3547" wp14:editId="4F1B914D">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54D9B"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DA 16-1463</w:t>
    </w:r>
  </w:p>
  <w:p w14:paraId="17FE632B" w14:textId="77777777" w:rsidR="00AD608F" w:rsidRPr="00C438ED" w:rsidRDefault="00AD608F" w:rsidP="00AD608F">
    <w:pPr>
      <w:pStyle w:val="Header"/>
    </w:pPr>
  </w:p>
  <w:p w14:paraId="01033C44" w14:textId="77777777" w:rsidR="002E4C64" w:rsidRPr="00AD608F" w:rsidRDefault="002E4C64" w:rsidP="00AD60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AE68" w14:textId="77777777" w:rsidR="00E071C0" w:rsidRDefault="003C4E2C" w:rsidP="00E071C0">
    <w:pPr>
      <w:pStyle w:val="Header"/>
    </w:pPr>
  </w:p>
  <w:p w14:paraId="64569DFA" w14:textId="77777777" w:rsidR="00E071C0" w:rsidRDefault="001465DE" w:rsidP="00E071C0">
    <w:pPr>
      <w:pStyle w:val="Header"/>
    </w:pPr>
    <w:r w:rsidRPr="00843A5F">
      <w:rPr>
        <w:noProof/>
        <w:snapToGrid/>
      </w:rPr>
      <mc:AlternateContent>
        <mc:Choice Requires="wps">
          <w:drawing>
            <wp:anchor distT="0" distB="0" distL="114300" distR="114300" simplePos="0" relativeHeight="251666432" behindDoc="1" locked="0" layoutInCell="0" allowOverlap="1" wp14:anchorId="27A1FFA1" wp14:editId="0CD89158">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B9D16" id="Rectangle 3" o:spid="_x0000_s1026"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Pr>
        <w:spacing w:val="-2"/>
      </w:rPr>
      <w:t>DA 16-1463</w:t>
    </w:r>
  </w:p>
  <w:p w14:paraId="69F7639F" w14:textId="77777777" w:rsidR="00153AAA" w:rsidRPr="00E071C0" w:rsidRDefault="003C4E2C" w:rsidP="00E071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64BE" w14:textId="77777777" w:rsidR="00E071C0" w:rsidRDefault="003C4E2C" w:rsidP="00E071C0">
    <w:pPr>
      <w:pStyle w:val="Header"/>
    </w:pPr>
  </w:p>
  <w:p w14:paraId="1430D505" w14:textId="77777777" w:rsidR="00153AAA" w:rsidRDefault="001465DE" w:rsidP="00E071C0">
    <w:pPr>
      <w:pStyle w:val="Header"/>
    </w:pPr>
    <w:r w:rsidRPr="00843A5F">
      <w:rPr>
        <w:noProof/>
        <w:snapToGrid/>
      </w:rPr>
      <mc:AlternateContent>
        <mc:Choice Requires="wps">
          <w:drawing>
            <wp:anchor distT="0" distB="0" distL="114300" distR="114300" simplePos="0" relativeHeight="251665408" behindDoc="1" locked="0" layoutInCell="0" allowOverlap="1" wp14:anchorId="6B4C85E1" wp14:editId="71B8E95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2C13F"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Pr>
        <w:spacing w:val="-2"/>
      </w:rPr>
      <w:t>DA 16-1463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88C"/>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465DE"/>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43C6"/>
    <w:rsid w:val="001C50A9"/>
    <w:rsid w:val="001C5527"/>
    <w:rsid w:val="001C7762"/>
    <w:rsid w:val="001D10CF"/>
    <w:rsid w:val="001D63ED"/>
    <w:rsid w:val="001D6BCF"/>
    <w:rsid w:val="001E01CA"/>
    <w:rsid w:val="001E7454"/>
    <w:rsid w:val="001F0CA8"/>
    <w:rsid w:val="001F11C8"/>
    <w:rsid w:val="001F1433"/>
    <w:rsid w:val="001F278E"/>
    <w:rsid w:val="001F2BAB"/>
    <w:rsid w:val="001F660E"/>
    <w:rsid w:val="00202B90"/>
    <w:rsid w:val="0020695B"/>
    <w:rsid w:val="0020707F"/>
    <w:rsid w:val="0021043C"/>
    <w:rsid w:val="0021060B"/>
    <w:rsid w:val="00211D92"/>
    <w:rsid w:val="00211EE2"/>
    <w:rsid w:val="00221D7C"/>
    <w:rsid w:val="00223374"/>
    <w:rsid w:val="00231522"/>
    <w:rsid w:val="002352DC"/>
    <w:rsid w:val="00237F53"/>
    <w:rsid w:val="00240F56"/>
    <w:rsid w:val="00243018"/>
    <w:rsid w:val="002532CF"/>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816"/>
    <w:rsid w:val="002E4C64"/>
    <w:rsid w:val="002E5543"/>
    <w:rsid w:val="002F0F20"/>
    <w:rsid w:val="002F7BE9"/>
    <w:rsid w:val="0030082F"/>
    <w:rsid w:val="003016ED"/>
    <w:rsid w:val="0030274A"/>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19D0"/>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4E2C"/>
    <w:rsid w:val="003C6DEB"/>
    <w:rsid w:val="003D49D5"/>
    <w:rsid w:val="003F1126"/>
    <w:rsid w:val="003F171C"/>
    <w:rsid w:val="004008FF"/>
    <w:rsid w:val="00400BCE"/>
    <w:rsid w:val="00402316"/>
    <w:rsid w:val="00404B01"/>
    <w:rsid w:val="0041095B"/>
    <w:rsid w:val="00412FC5"/>
    <w:rsid w:val="00414A07"/>
    <w:rsid w:val="00414BD8"/>
    <w:rsid w:val="00414F00"/>
    <w:rsid w:val="004172DB"/>
    <w:rsid w:val="00422276"/>
    <w:rsid w:val="004242F1"/>
    <w:rsid w:val="00433E5E"/>
    <w:rsid w:val="00434575"/>
    <w:rsid w:val="004348F7"/>
    <w:rsid w:val="004359DD"/>
    <w:rsid w:val="00435FB8"/>
    <w:rsid w:val="004409D9"/>
    <w:rsid w:val="00445A00"/>
    <w:rsid w:val="004479E5"/>
    <w:rsid w:val="00450242"/>
    <w:rsid w:val="00451B0F"/>
    <w:rsid w:val="00452FFD"/>
    <w:rsid w:val="00463506"/>
    <w:rsid w:val="0046402A"/>
    <w:rsid w:val="0046477F"/>
    <w:rsid w:val="004655CB"/>
    <w:rsid w:val="00465FD1"/>
    <w:rsid w:val="00471DDB"/>
    <w:rsid w:val="004737E2"/>
    <w:rsid w:val="00481BC8"/>
    <w:rsid w:val="00484691"/>
    <w:rsid w:val="00486ADC"/>
    <w:rsid w:val="00490FA1"/>
    <w:rsid w:val="00491CAC"/>
    <w:rsid w:val="00492284"/>
    <w:rsid w:val="0049610C"/>
    <w:rsid w:val="004A1DD7"/>
    <w:rsid w:val="004A25AB"/>
    <w:rsid w:val="004A296D"/>
    <w:rsid w:val="004A4478"/>
    <w:rsid w:val="004A55DF"/>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366BE"/>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0A7A"/>
    <w:rsid w:val="006225BE"/>
    <w:rsid w:val="00624FD7"/>
    <w:rsid w:val="00626EB6"/>
    <w:rsid w:val="0063094A"/>
    <w:rsid w:val="006313E2"/>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07F0D"/>
    <w:rsid w:val="007115F7"/>
    <w:rsid w:val="00714014"/>
    <w:rsid w:val="0071473B"/>
    <w:rsid w:val="00722CD3"/>
    <w:rsid w:val="00725C20"/>
    <w:rsid w:val="0072645F"/>
    <w:rsid w:val="007279D7"/>
    <w:rsid w:val="00733B04"/>
    <w:rsid w:val="00736852"/>
    <w:rsid w:val="007447A7"/>
    <w:rsid w:val="0074605C"/>
    <w:rsid w:val="007511CA"/>
    <w:rsid w:val="0075516F"/>
    <w:rsid w:val="007567BB"/>
    <w:rsid w:val="007570F2"/>
    <w:rsid w:val="00763ED6"/>
    <w:rsid w:val="00764026"/>
    <w:rsid w:val="007661E4"/>
    <w:rsid w:val="007700D9"/>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6D8"/>
    <w:rsid w:val="007E1B57"/>
    <w:rsid w:val="007E2BD7"/>
    <w:rsid w:val="007E2D92"/>
    <w:rsid w:val="007E460A"/>
    <w:rsid w:val="007F25D2"/>
    <w:rsid w:val="008044E4"/>
    <w:rsid w:val="00805856"/>
    <w:rsid w:val="008067EA"/>
    <w:rsid w:val="00811D58"/>
    <w:rsid w:val="008128B3"/>
    <w:rsid w:val="00815E84"/>
    <w:rsid w:val="00821606"/>
    <w:rsid w:val="008217DF"/>
    <w:rsid w:val="00822CE0"/>
    <w:rsid w:val="00823A75"/>
    <w:rsid w:val="00823DB9"/>
    <w:rsid w:val="00824015"/>
    <w:rsid w:val="0082410C"/>
    <w:rsid w:val="0082670C"/>
    <w:rsid w:val="0082735A"/>
    <w:rsid w:val="00831C59"/>
    <w:rsid w:val="008346E7"/>
    <w:rsid w:val="0083668C"/>
    <w:rsid w:val="00841AB1"/>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28D6"/>
    <w:rsid w:val="008D579C"/>
    <w:rsid w:val="008D66A7"/>
    <w:rsid w:val="008E08DB"/>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659F"/>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94E49"/>
    <w:rsid w:val="009A0243"/>
    <w:rsid w:val="009A40C2"/>
    <w:rsid w:val="009A4C16"/>
    <w:rsid w:val="009A7EE4"/>
    <w:rsid w:val="009B5A50"/>
    <w:rsid w:val="009D332B"/>
    <w:rsid w:val="009D66D5"/>
    <w:rsid w:val="009E2677"/>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20"/>
    <w:rsid w:val="00AA7463"/>
    <w:rsid w:val="00AA7622"/>
    <w:rsid w:val="00AB2407"/>
    <w:rsid w:val="00AB2C10"/>
    <w:rsid w:val="00AB39F3"/>
    <w:rsid w:val="00AB4688"/>
    <w:rsid w:val="00AB4CF8"/>
    <w:rsid w:val="00AB53DF"/>
    <w:rsid w:val="00AC12AD"/>
    <w:rsid w:val="00AC2247"/>
    <w:rsid w:val="00AC3D20"/>
    <w:rsid w:val="00AC5A7C"/>
    <w:rsid w:val="00AC70B0"/>
    <w:rsid w:val="00AD010D"/>
    <w:rsid w:val="00AD0ADA"/>
    <w:rsid w:val="00AD3587"/>
    <w:rsid w:val="00AD608F"/>
    <w:rsid w:val="00AD6C34"/>
    <w:rsid w:val="00AE05AE"/>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52FF"/>
    <w:rsid w:val="00B277A4"/>
    <w:rsid w:val="00B302CB"/>
    <w:rsid w:val="00B32157"/>
    <w:rsid w:val="00B44A4F"/>
    <w:rsid w:val="00B47311"/>
    <w:rsid w:val="00B508D0"/>
    <w:rsid w:val="00B517BE"/>
    <w:rsid w:val="00B5414A"/>
    <w:rsid w:val="00B64EC5"/>
    <w:rsid w:val="00B65EF8"/>
    <w:rsid w:val="00B66445"/>
    <w:rsid w:val="00B66F5A"/>
    <w:rsid w:val="00B67077"/>
    <w:rsid w:val="00B75912"/>
    <w:rsid w:val="00B761CF"/>
    <w:rsid w:val="00B80DF6"/>
    <w:rsid w:val="00B811F7"/>
    <w:rsid w:val="00B816A7"/>
    <w:rsid w:val="00B84E6C"/>
    <w:rsid w:val="00B860D7"/>
    <w:rsid w:val="00B86673"/>
    <w:rsid w:val="00B87679"/>
    <w:rsid w:val="00BA3B91"/>
    <w:rsid w:val="00BA5DAD"/>
    <w:rsid w:val="00BA5DC6"/>
    <w:rsid w:val="00BA6196"/>
    <w:rsid w:val="00BA7F12"/>
    <w:rsid w:val="00BB0606"/>
    <w:rsid w:val="00BB0C03"/>
    <w:rsid w:val="00BB365A"/>
    <w:rsid w:val="00BB5512"/>
    <w:rsid w:val="00BC1B5E"/>
    <w:rsid w:val="00BC2CFF"/>
    <w:rsid w:val="00BC5D56"/>
    <w:rsid w:val="00BC68DF"/>
    <w:rsid w:val="00BC6D8C"/>
    <w:rsid w:val="00BC76F9"/>
    <w:rsid w:val="00BD129C"/>
    <w:rsid w:val="00BD24F4"/>
    <w:rsid w:val="00BE2581"/>
    <w:rsid w:val="00BE2B2B"/>
    <w:rsid w:val="00BE56B5"/>
    <w:rsid w:val="00BE73DC"/>
    <w:rsid w:val="00BE7722"/>
    <w:rsid w:val="00BF0234"/>
    <w:rsid w:val="00BF1EEC"/>
    <w:rsid w:val="00BF6D9C"/>
    <w:rsid w:val="00C02FA9"/>
    <w:rsid w:val="00C04D36"/>
    <w:rsid w:val="00C06E84"/>
    <w:rsid w:val="00C07B88"/>
    <w:rsid w:val="00C106C0"/>
    <w:rsid w:val="00C10ADD"/>
    <w:rsid w:val="00C218DC"/>
    <w:rsid w:val="00C26612"/>
    <w:rsid w:val="00C26F5F"/>
    <w:rsid w:val="00C32DC1"/>
    <w:rsid w:val="00C34006"/>
    <w:rsid w:val="00C4174C"/>
    <w:rsid w:val="00C426B1"/>
    <w:rsid w:val="00C438ED"/>
    <w:rsid w:val="00C447D2"/>
    <w:rsid w:val="00C473A8"/>
    <w:rsid w:val="00C47A0C"/>
    <w:rsid w:val="00C47F6C"/>
    <w:rsid w:val="00C518D0"/>
    <w:rsid w:val="00C523B9"/>
    <w:rsid w:val="00C52CF8"/>
    <w:rsid w:val="00C5585E"/>
    <w:rsid w:val="00C6071D"/>
    <w:rsid w:val="00C612AC"/>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0D6"/>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745"/>
    <w:rsid w:val="00D377A5"/>
    <w:rsid w:val="00D42D5D"/>
    <w:rsid w:val="00D44790"/>
    <w:rsid w:val="00D52151"/>
    <w:rsid w:val="00D52555"/>
    <w:rsid w:val="00D55448"/>
    <w:rsid w:val="00D5619D"/>
    <w:rsid w:val="00D56630"/>
    <w:rsid w:val="00D630D3"/>
    <w:rsid w:val="00D67F84"/>
    <w:rsid w:val="00D704AA"/>
    <w:rsid w:val="00D70822"/>
    <w:rsid w:val="00D71CDA"/>
    <w:rsid w:val="00D75C02"/>
    <w:rsid w:val="00D81FA0"/>
    <w:rsid w:val="00D82EB7"/>
    <w:rsid w:val="00D83129"/>
    <w:rsid w:val="00D84548"/>
    <w:rsid w:val="00D86532"/>
    <w:rsid w:val="00D875FA"/>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63070"/>
    <w:rsid w:val="00E70486"/>
    <w:rsid w:val="00E73616"/>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0B1"/>
    <w:rsid w:val="00ED48FF"/>
    <w:rsid w:val="00ED5746"/>
    <w:rsid w:val="00ED64B0"/>
    <w:rsid w:val="00EE0C8E"/>
    <w:rsid w:val="00EE58D9"/>
    <w:rsid w:val="00EE6488"/>
    <w:rsid w:val="00EF1C44"/>
    <w:rsid w:val="00EF28F5"/>
    <w:rsid w:val="00EF3095"/>
    <w:rsid w:val="00EF4CF7"/>
    <w:rsid w:val="00EF71C3"/>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3D0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20695B"/>
    <w:rPr>
      <w:rFonts w:ascii="Times New Roman Bold" w:hAnsi="Times New Roman Bold"/>
      <w:b/>
      <w:caps/>
      <w:snapToGrid w:val="0"/>
      <w:kern w:val="28"/>
      <w:sz w:val="22"/>
    </w:rPr>
  </w:style>
  <w:style w:type="character" w:customStyle="1" w:styleId="FooterChar">
    <w:name w:val="Footer Char"/>
    <w:basedOn w:val="DefaultParagraphFont"/>
    <w:link w:val="Footer"/>
    <w:rsid w:val="0020695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20695B"/>
    <w:rPr>
      <w:rFonts w:ascii="Times New Roman Bold" w:hAnsi="Times New Roman Bold"/>
      <w:b/>
      <w:caps/>
      <w:snapToGrid w:val="0"/>
      <w:kern w:val="28"/>
      <w:sz w:val="22"/>
    </w:rPr>
  </w:style>
  <w:style w:type="character" w:customStyle="1" w:styleId="FooterChar">
    <w:name w:val="Footer Char"/>
    <w:basedOn w:val="DefaultParagraphFont"/>
    <w:link w:val="Footer"/>
    <w:rsid w:val="0020695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2</Pages>
  <Words>3405</Words>
  <Characters>18998</Characters>
  <Application>Microsoft Office Word</Application>
  <DocSecurity>0</DocSecurity>
  <PresentationFormat>[Compatibility Mode]</PresentationFormat>
  <Lines>347</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22411</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2016-12-30T19:57:00Z</dcterms:created>
  <dcterms:modified xsi:type="dcterms:W3CDTF">2016-12-30T19:57:00Z</dcterms:modified>
  <cp:category> </cp:category>
  <cp:contentStatus> </cp:contentStatus>
</cp:coreProperties>
</file>