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51342" w14:textId="77777777" w:rsidR="004C2EE3" w:rsidRPr="002D3135" w:rsidRDefault="004C2EE3">
      <w:pPr>
        <w:jc w:val="center"/>
        <w:rPr>
          <w:b/>
        </w:rPr>
      </w:pPr>
      <w:bookmarkStart w:id="0" w:name="_GoBack"/>
      <w:bookmarkEnd w:id="0"/>
      <w:r w:rsidRPr="002D3135">
        <w:rPr>
          <w:b/>
          <w:kern w:val="0"/>
          <w:szCs w:val="22"/>
        </w:rPr>
        <w:t>Before</w:t>
      </w:r>
      <w:r w:rsidRPr="002D3135">
        <w:rPr>
          <w:b/>
        </w:rPr>
        <w:t xml:space="preserve"> the</w:t>
      </w:r>
    </w:p>
    <w:p w14:paraId="30C0C63C" w14:textId="77777777" w:rsidR="00921803" w:rsidRPr="002D3135" w:rsidRDefault="00921803" w:rsidP="00921803">
      <w:pPr>
        <w:pStyle w:val="StyleBoldCentered"/>
        <w:rPr>
          <w:rFonts w:ascii="Times New Roman" w:hAnsi="Times New Roman"/>
        </w:rPr>
      </w:pPr>
      <w:r w:rsidRPr="002D3135">
        <w:rPr>
          <w:rFonts w:ascii="Times New Roman" w:hAnsi="Times New Roman"/>
        </w:rPr>
        <w:t>F</w:t>
      </w:r>
      <w:r w:rsidRPr="002D3135">
        <w:rPr>
          <w:rFonts w:ascii="Times New Roman" w:hAnsi="Times New Roman"/>
          <w:caps w:val="0"/>
        </w:rPr>
        <w:t>ederal Communications Commission</w:t>
      </w:r>
    </w:p>
    <w:p w14:paraId="6E81BDFE" w14:textId="77777777" w:rsidR="004C2EE3" w:rsidRPr="002D3135" w:rsidRDefault="00810B6F" w:rsidP="00096D8C">
      <w:pPr>
        <w:pStyle w:val="StyleBoldCentered"/>
        <w:rPr>
          <w:rFonts w:ascii="Times New Roman" w:hAnsi="Times New Roman"/>
        </w:rPr>
      </w:pPr>
      <w:r w:rsidRPr="002D3135">
        <w:rPr>
          <w:rFonts w:ascii="Times New Roman" w:hAnsi="Times New Roman"/>
          <w:caps w:val="0"/>
        </w:rPr>
        <w:t>Washington, D.C. 20554</w:t>
      </w:r>
    </w:p>
    <w:p w14:paraId="02629D15" w14:textId="77777777" w:rsidR="004C2EE3" w:rsidRPr="002D3135" w:rsidRDefault="004C2EE3" w:rsidP="0070224F"/>
    <w:p w14:paraId="1C30E002" w14:textId="77777777" w:rsidR="004C2EE3" w:rsidRPr="002D3135" w:rsidRDefault="004C2EE3" w:rsidP="0070224F"/>
    <w:tbl>
      <w:tblPr>
        <w:tblW w:w="0" w:type="auto"/>
        <w:tblLayout w:type="fixed"/>
        <w:tblLook w:val="0000" w:firstRow="0" w:lastRow="0" w:firstColumn="0" w:lastColumn="0" w:noHBand="0" w:noVBand="0"/>
      </w:tblPr>
      <w:tblGrid>
        <w:gridCol w:w="4698"/>
        <w:gridCol w:w="630"/>
        <w:gridCol w:w="4248"/>
      </w:tblGrid>
      <w:tr w:rsidR="004C2EE3" w:rsidRPr="002D3135" w14:paraId="291F5AA6" w14:textId="77777777">
        <w:tc>
          <w:tcPr>
            <w:tcW w:w="4698" w:type="dxa"/>
          </w:tcPr>
          <w:p w14:paraId="1A0E7B1B" w14:textId="77777777" w:rsidR="004C2EE3" w:rsidRPr="002D3135" w:rsidRDefault="004C2EE3">
            <w:pPr>
              <w:tabs>
                <w:tab w:val="center" w:pos="4680"/>
              </w:tabs>
              <w:suppressAutoHyphens/>
              <w:rPr>
                <w:spacing w:val="-2"/>
              </w:rPr>
            </w:pPr>
            <w:r w:rsidRPr="002D3135">
              <w:rPr>
                <w:spacing w:val="-2"/>
              </w:rPr>
              <w:t>In the Matter of</w:t>
            </w:r>
          </w:p>
          <w:p w14:paraId="38958523" w14:textId="77777777" w:rsidR="004C2EE3" w:rsidRPr="002D3135" w:rsidRDefault="004C2EE3">
            <w:pPr>
              <w:tabs>
                <w:tab w:val="center" w:pos="4680"/>
              </w:tabs>
              <w:suppressAutoHyphens/>
              <w:rPr>
                <w:spacing w:val="-2"/>
              </w:rPr>
            </w:pPr>
          </w:p>
          <w:p w14:paraId="5B2170BF" w14:textId="77777777" w:rsidR="004C2EE3" w:rsidRDefault="001867EA" w:rsidP="007115F7">
            <w:pPr>
              <w:tabs>
                <w:tab w:val="center" w:pos="4680"/>
              </w:tabs>
              <w:suppressAutoHyphens/>
              <w:rPr>
                <w:spacing w:val="-2"/>
              </w:rPr>
            </w:pPr>
            <w:r>
              <w:rPr>
                <w:spacing w:val="-2"/>
              </w:rPr>
              <w:t>Connect America Fund</w:t>
            </w:r>
          </w:p>
          <w:p w14:paraId="2CEF31D8" w14:textId="77777777" w:rsidR="001867EA" w:rsidRDefault="001867EA" w:rsidP="007115F7">
            <w:pPr>
              <w:tabs>
                <w:tab w:val="center" w:pos="4680"/>
              </w:tabs>
              <w:suppressAutoHyphens/>
              <w:rPr>
                <w:spacing w:val="-2"/>
              </w:rPr>
            </w:pPr>
          </w:p>
          <w:p w14:paraId="6F57F8DE" w14:textId="77777777" w:rsidR="001867EA" w:rsidRDefault="001867EA" w:rsidP="007115F7">
            <w:pPr>
              <w:tabs>
                <w:tab w:val="center" w:pos="4680"/>
              </w:tabs>
              <w:suppressAutoHyphens/>
              <w:rPr>
                <w:spacing w:val="-2"/>
              </w:rPr>
            </w:pPr>
            <w:r>
              <w:rPr>
                <w:spacing w:val="-2"/>
              </w:rPr>
              <w:t>ETC Annual Reports and Certifications</w:t>
            </w:r>
          </w:p>
          <w:p w14:paraId="1CF34ED7" w14:textId="77777777" w:rsidR="001867EA" w:rsidRDefault="001867EA" w:rsidP="007115F7">
            <w:pPr>
              <w:tabs>
                <w:tab w:val="center" w:pos="4680"/>
              </w:tabs>
              <w:suppressAutoHyphens/>
              <w:rPr>
                <w:spacing w:val="-2"/>
              </w:rPr>
            </w:pPr>
          </w:p>
          <w:p w14:paraId="175049B1" w14:textId="77777777" w:rsidR="001867EA" w:rsidRDefault="001867EA" w:rsidP="007115F7">
            <w:pPr>
              <w:tabs>
                <w:tab w:val="center" w:pos="4680"/>
              </w:tabs>
              <w:suppressAutoHyphens/>
              <w:rPr>
                <w:spacing w:val="-2"/>
              </w:rPr>
            </w:pPr>
            <w:r>
              <w:rPr>
                <w:spacing w:val="-2"/>
              </w:rPr>
              <w:t>Developing a Unified Intercarrier Compensation Regime</w:t>
            </w:r>
          </w:p>
          <w:p w14:paraId="7E27BAF4" w14:textId="77777777" w:rsidR="001C1D6B" w:rsidRDefault="001C1D6B" w:rsidP="007115F7">
            <w:pPr>
              <w:tabs>
                <w:tab w:val="center" w:pos="4680"/>
              </w:tabs>
              <w:suppressAutoHyphens/>
              <w:rPr>
                <w:spacing w:val="-2"/>
              </w:rPr>
            </w:pPr>
          </w:p>
          <w:p w14:paraId="3D24610D" w14:textId="553C108F" w:rsidR="001C1D6B" w:rsidRPr="002D3135" w:rsidRDefault="001C1D6B" w:rsidP="007115F7">
            <w:pPr>
              <w:tabs>
                <w:tab w:val="center" w:pos="4680"/>
              </w:tabs>
              <w:suppressAutoHyphens/>
              <w:rPr>
                <w:spacing w:val="-2"/>
              </w:rPr>
            </w:pPr>
            <w:r>
              <w:rPr>
                <w:spacing w:val="-2"/>
              </w:rPr>
              <w:t>Access Charge Tariff Filings Introducing Broadband-only Loop Service</w:t>
            </w:r>
          </w:p>
        </w:tc>
        <w:tc>
          <w:tcPr>
            <w:tcW w:w="630" w:type="dxa"/>
          </w:tcPr>
          <w:p w14:paraId="37AC0C7C" w14:textId="77777777" w:rsidR="004C2EE3" w:rsidRPr="002D3135" w:rsidRDefault="004C2EE3">
            <w:pPr>
              <w:tabs>
                <w:tab w:val="center" w:pos="4680"/>
              </w:tabs>
              <w:suppressAutoHyphens/>
              <w:rPr>
                <w:b/>
                <w:spacing w:val="-2"/>
              </w:rPr>
            </w:pPr>
            <w:r w:rsidRPr="002D3135">
              <w:rPr>
                <w:b/>
                <w:spacing w:val="-2"/>
              </w:rPr>
              <w:t>)</w:t>
            </w:r>
          </w:p>
          <w:p w14:paraId="5E67C5F0" w14:textId="77777777" w:rsidR="004C2EE3" w:rsidRPr="002D3135" w:rsidRDefault="004C2EE3">
            <w:pPr>
              <w:tabs>
                <w:tab w:val="center" w:pos="4680"/>
              </w:tabs>
              <w:suppressAutoHyphens/>
              <w:rPr>
                <w:b/>
                <w:spacing w:val="-2"/>
              </w:rPr>
            </w:pPr>
            <w:r w:rsidRPr="002D3135">
              <w:rPr>
                <w:b/>
                <w:spacing w:val="-2"/>
              </w:rPr>
              <w:t>)</w:t>
            </w:r>
          </w:p>
          <w:p w14:paraId="4E2180AC" w14:textId="77777777" w:rsidR="004C2EE3" w:rsidRPr="002D3135" w:rsidRDefault="004C2EE3">
            <w:pPr>
              <w:tabs>
                <w:tab w:val="center" w:pos="4680"/>
              </w:tabs>
              <w:suppressAutoHyphens/>
              <w:rPr>
                <w:b/>
                <w:spacing w:val="-2"/>
              </w:rPr>
            </w:pPr>
            <w:r w:rsidRPr="002D3135">
              <w:rPr>
                <w:b/>
                <w:spacing w:val="-2"/>
              </w:rPr>
              <w:t>)</w:t>
            </w:r>
          </w:p>
          <w:p w14:paraId="76522351" w14:textId="77777777" w:rsidR="004C2EE3" w:rsidRPr="002D3135" w:rsidRDefault="004C2EE3">
            <w:pPr>
              <w:tabs>
                <w:tab w:val="center" w:pos="4680"/>
              </w:tabs>
              <w:suppressAutoHyphens/>
              <w:rPr>
                <w:b/>
                <w:spacing w:val="-2"/>
              </w:rPr>
            </w:pPr>
            <w:r w:rsidRPr="002D3135">
              <w:rPr>
                <w:b/>
                <w:spacing w:val="-2"/>
              </w:rPr>
              <w:t>)</w:t>
            </w:r>
          </w:p>
          <w:p w14:paraId="4821DCA7" w14:textId="77777777" w:rsidR="004C2EE3" w:rsidRPr="002D3135" w:rsidRDefault="004C2EE3">
            <w:pPr>
              <w:tabs>
                <w:tab w:val="center" w:pos="4680"/>
              </w:tabs>
              <w:suppressAutoHyphens/>
              <w:rPr>
                <w:b/>
                <w:spacing w:val="-2"/>
              </w:rPr>
            </w:pPr>
            <w:r w:rsidRPr="002D3135">
              <w:rPr>
                <w:b/>
                <w:spacing w:val="-2"/>
              </w:rPr>
              <w:t>)</w:t>
            </w:r>
          </w:p>
          <w:p w14:paraId="561AC0D1" w14:textId="77777777" w:rsidR="004C2EE3" w:rsidRPr="002D3135" w:rsidRDefault="004C2EE3">
            <w:pPr>
              <w:tabs>
                <w:tab w:val="center" w:pos="4680"/>
              </w:tabs>
              <w:suppressAutoHyphens/>
              <w:rPr>
                <w:b/>
                <w:spacing w:val="-2"/>
              </w:rPr>
            </w:pPr>
            <w:r w:rsidRPr="002D3135">
              <w:rPr>
                <w:b/>
                <w:spacing w:val="-2"/>
              </w:rPr>
              <w:t>)</w:t>
            </w:r>
          </w:p>
          <w:p w14:paraId="5B63FD12" w14:textId="77777777" w:rsidR="004C2EE3" w:rsidRPr="002D3135" w:rsidRDefault="004C2EE3">
            <w:pPr>
              <w:tabs>
                <w:tab w:val="center" w:pos="4680"/>
              </w:tabs>
              <w:suppressAutoHyphens/>
              <w:rPr>
                <w:b/>
                <w:spacing w:val="-2"/>
              </w:rPr>
            </w:pPr>
            <w:r w:rsidRPr="002D3135">
              <w:rPr>
                <w:b/>
                <w:spacing w:val="-2"/>
              </w:rPr>
              <w:t>)</w:t>
            </w:r>
          </w:p>
          <w:p w14:paraId="25F09201" w14:textId="77777777" w:rsidR="004C2EE3" w:rsidRPr="002D3135" w:rsidRDefault="004C2EE3">
            <w:pPr>
              <w:tabs>
                <w:tab w:val="center" w:pos="4680"/>
              </w:tabs>
              <w:suppressAutoHyphens/>
              <w:rPr>
                <w:b/>
                <w:spacing w:val="-2"/>
              </w:rPr>
            </w:pPr>
            <w:r w:rsidRPr="002D3135">
              <w:rPr>
                <w:b/>
                <w:spacing w:val="-2"/>
              </w:rPr>
              <w:t>)</w:t>
            </w:r>
          </w:p>
          <w:p w14:paraId="7C5429C5" w14:textId="77777777" w:rsidR="004C2EE3" w:rsidRDefault="004C2EE3">
            <w:pPr>
              <w:tabs>
                <w:tab w:val="center" w:pos="4680"/>
              </w:tabs>
              <w:suppressAutoHyphens/>
              <w:rPr>
                <w:b/>
                <w:spacing w:val="-2"/>
              </w:rPr>
            </w:pPr>
            <w:r w:rsidRPr="002D3135">
              <w:rPr>
                <w:b/>
                <w:spacing w:val="-2"/>
              </w:rPr>
              <w:t>)</w:t>
            </w:r>
          </w:p>
          <w:p w14:paraId="43D35304" w14:textId="77777777" w:rsidR="001C1D6B" w:rsidRDefault="001C1D6B">
            <w:pPr>
              <w:tabs>
                <w:tab w:val="center" w:pos="4680"/>
              </w:tabs>
              <w:suppressAutoHyphens/>
              <w:rPr>
                <w:b/>
                <w:spacing w:val="-2"/>
              </w:rPr>
            </w:pPr>
            <w:r>
              <w:rPr>
                <w:b/>
                <w:spacing w:val="-2"/>
              </w:rPr>
              <w:t>)</w:t>
            </w:r>
          </w:p>
          <w:p w14:paraId="217672F4" w14:textId="77777777" w:rsidR="001C1D6B" w:rsidRDefault="001C1D6B">
            <w:pPr>
              <w:tabs>
                <w:tab w:val="center" w:pos="4680"/>
              </w:tabs>
              <w:suppressAutoHyphens/>
              <w:rPr>
                <w:b/>
                <w:spacing w:val="-2"/>
              </w:rPr>
            </w:pPr>
            <w:r>
              <w:rPr>
                <w:b/>
                <w:spacing w:val="-2"/>
              </w:rPr>
              <w:t>)</w:t>
            </w:r>
          </w:p>
          <w:p w14:paraId="191DEA83" w14:textId="1471ACF7" w:rsidR="001C1D6B" w:rsidRPr="002D3135" w:rsidRDefault="001C1D6B">
            <w:pPr>
              <w:tabs>
                <w:tab w:val="center" w:pos="4680"/>
              </w:tabs>
              <w:suppressAutoHyphens/>
              <w:rPr>
                <w:spacing w:val="-2"/>
              </w:rPr>
            </w:pPr>
            <w:r>
              <w:rPr>
                <w:b/>
                <w:spacing w:val="-2"/>
              </w:rPr>
              <w:t>)</w:t>
            </w:r>
          </w:p>
        </w:tc>
        <w:tc>
          <w:tcPr>
            <w:tcW w:w="4248" w:type="dxa"/>
          </w:tcPr>
          <w:p w14:paraId="2BBA5545" w14:textId="77777777" w:rsidR="004C2EE3" w:rsidRPr="002D3135" w:rsidRDefault="004C2EE3">
            <w:pPr>
              <w:tabs>
                <w:tab w:val="center" w:pos="4680"/>
              </w:tabs>
              <w:suppressAutoHyphens/>
              <w:rPr>
                <w:spacing w:val="-2"/>
              </w:rPr>
            </w:pPr>
          </w:p>
          <w:p w14:paraId="2665FBF4" w14:textId="77777777" w:rsidR="004C2EE3" w:rsidRPr="002D3135" w:rsidRDefault="004C2EE3">
            <w:pPr>
              <w:pStyle w:val="TOAHeading"/>
              <w:tabs>
                <w:tab w:val="clear" w:pos="9360"/>
                <w:tab w:val="center" w:pos="4680"/>
              </w:tabs>
              <w:rPr>
                <w:spacing w:val="-2"/>
              </w:rPr>
            </w:pPr>
          </w:p>
          <w:p w14:paraId="317F88D9" w14:textId="77777777" w:rsidR="004C2EE3" w:rsidRDefault="001867EA">
            <w:pPr>
              <w:tabs>
                <w:tab w:val="center" w:pos="4680"/>
              </w:tabs>
              <w:suppressAutoHyphens/>
              <w:rPr>
                <w:spacing w:val="-2"/>
              </w:rPr>
            </w:pPr>
            <w:r>
              <w:rPr>
                <w:spacing w:val="-2"/>
              </w:rPr>
              <w:t>WC Docket No. 10-90</w:t>
            </w:r>
          </w:p>
          <w:p w14:paraId="04B1B212" w14:textId="77777777" w:rsidR="001867EA" w:rsidRDefault="001867EA">
            <w:pPr>
              <w:tabs>
                <w:tab w:val="center" w:pos="4680"/>
              </w:tabs>
              <w:suppressAutoHyphens/>
              <w:rPr>
                <w:spacing w:val="-2"/>
              </w:rPr>
            </w:pPr>
          </w:p>
          <w:p w14:paraId="300909B9" w14:textId="77777777" w:rsidR="001867EA" w:rsidRDefault="001867EA">
            <w:pPr>
              <w:tabs>
                <w:tab w:val="center" w:pos="4680"/>
              </w:tabs>
              <w:suppressAutoHyphens/>
              <w:rPr>
                <w:spacing w:val="-2"/>
              </w:rPr>
            </w:pPr>
            <w:r>
              <w:rPr>
                <w:spacing w:val="-2"/>
              </w:rPr>
              <w:t>WC Docket No. 14-58</w:t>
            </w:r>
          </w:p>
          <w:p w14:paraId="65C6C5FD" w14:textId="77777777" w:rsidR="001867EA" w:rsidRDefault="001867EA">
            <w:pPr>
              <w:tabs>
                <w:tab w:val="center" w:pos="4680"/>
              </w:tabs>
              <w:suppressAutoHyphens/>
              <w:rPr>
                <w:spacing w:val="-2"/>
              </w:rPr>
            </w:pPr>
          </w:p>
          <w:p w14:paraId="68054EC7" w14:textId="77777777" w:rsidR="001867EA" w:rsidRDefault="001867EA">
            <w:pPr>
              <w:tabs>
                <w:tab w:val="center" w:pos="4680"/>
              </w:tabs>
              <w:suppressAutoHyphens/>
              <w:rPr>
                <w:spacing w:val="-2"/>
              </w:rPr>
            </w:pPr>
            <w:r>
              <w:rPr>
                <w:spacing w:val="-2"/>
              </w:rPr>
              <w:t>CC Docket No. 01-92</w:t>
            </w:r>
          </w:p>
          <w:p w14:paraId="2EAC1A56" w14:textId="77777777" w:rsidR="001C1D6B" w:rsidRDefault="001C1D6B">
            <w:pPr>
              <w:tabs>
                <w:tab w:val="center" w:pos="4680"/>
              </w:tabs>
              <w:suppressAutoHyphens/>
              <w:rPr>
                <w:spacing w:val="-2"/>
              </w:rPr>
            </w:pPr>
          </w:p>
          <w:p w14:paraId="1B7B1A41" w14:textId="77777777" w:rsidR="001C1D6B" w:rsidRDefault="001C1D6B">
            <w:pPr>
              <w:tabs>
                <w:tab w:val="center" w:pos="4680"/>
              </w:tabs>
              <w:suppressAutoHyphens/>
              <w:rPr>
                <w:spacing w:val="-2"/>
              </w:rPr>
            </w:pPr>
          </w:p>
          <w:p w14:paraId="15A65534" w14:textId="5CAAEE40" w:rsidR="001C1D6B" w:rsidRPr="002D3135" w:rsidRDefault="001C1D6B">
            <w:pPr>
              <w:tabs>
                <w:tab w:val="center" w:pos="4680"/>
              </w:tabs>
              <w:suppressAutoHyphens/>
              <w:rPr>
                <w:spacing w:val="-2"/>
              </w:rPr>
            </w:pPr>
            <w:r>
              <w:rPr>
                <w:spacing w:val="-2"/>
              </w:rPr>
              <w:t>WC Docket No. 16-317</w:t>
            </w:r>
          </w:p>
        </w:tc>
      </w:tr>
    </w:tbl>
    <w:p w14:paraId="32E552F8" w14:textId="5824BCF3" w:rsidR="004C2EE3" w:rsidRPr="002D3135" w:rsidRDefault="004C2EE3" w:rsidP="0070224F"/>
    <w:p w14:paraId="22ACC492" w14:textId="77777777" w:rsidR="00841AB1" w:rsidRPr="002D3135" w:rsidRDefault="001867EA" w:rsidP="00F021FA">
      <w:pPr>
        <w:pStyle w:val="StyleBoldCentered"/>
        <w:rPr>
          <w:rFonts w:ascii="Times New Roman" w:hAnsi="Times New Roman"/>
        </w:rPr>
      </w:pPr>
      <w:r>
        <w:rPr>
          <w:rFonts w:ascii="Times New Roman" w:hAnsi="Times New Roman"/>
        </w:rPr>
        <w:t xml:space="preserve">Order </w:t>
      </w:r>
    </w:p>
    <w:p w14:paraId="58FDCBA9" w14:textId="77777777" w:rsidR="004C2EE3" w:rsidRPr="002D3135" w:rsidRDefault="004C2EE3">
      <w:pPr>
        <w:tabs>
          <w:tab w:val="left" w:pos="-720"/>
        </w:tabs>
        <w:suppressAutoHyphens/>
        <w:spacing w:line="227" w:lineRule="auto"/>
        <w:rPr>
          <w:spacing w:val="-2"/>
        </w:rPr>
      </w:pPr>
    </w:p>
    <w:p w14:paraId="1B7AFC32" w14:textId="242C366B" w:rsidR="004C2EE3" w:rsidRPr="002D3135" w:rsidRDefault="004C2EE3" w:rsidP="00133F79">
      <w:pPr>
        <w:tabs>
          <w:tab w:val="left" w:pos="720"/>
          <w:tab w:val="right" w:pos="9360"/>
        </w:tabs>
        <w:suppressAutoHyphens/>
        <w:spacing w:line="227" w:lineRule="auto"/>
        <w:rPr>
          <w:spacing w:val="-2"/>
        </w:rPr>
      </w:pPr>
      <w:r w:rsidRPr="002D3135">
        <w:rPr>
          <w:b/>
          <w:spacing w:val="-2"/>
        </w:rPr>
        <w:t xml:space="preserve">Adopted:  </w:t>
      </w:r>
      <w:r w:rsidR="00A578C0">
        <w:rPr>
          <w:b/>
          <w:spacing w:val="-2"/>
        </w:rPr>
        <w:t>December 14, 2016</w:t>
      </w:r>
      <w:r w:rsidRPr="002D3135">
        <w:rPr>
          <w:b/>
          <w:spacing w:val="-2"/>
        </w:rPr>
        <w:tab/>
      </w:r>
      <w:r w:rsidR="00822CE0" w:rsidRPr="002D3135">
        <w:rPr>
          <w:b/>
          <w:spacing w:val="-2"/>
        </w:rPr>
        <w:t>Released</w:t>
      </w:r>
      <w:r w:rsidRPr="002D3135">
        <w:rPr>
          <w:b/>
          <w:spacing w:val="-2"/>
        </w:rPr>
        <w:t>:</w:t>
      </w:r>
      <w:r w:rsidR="00822CE0" w:rsidRPr="002D3135">
        <w:rPr>
          <w:b/>
          <w:spacing w:val="-2"/>
        </w:rPr>
        <w:t xml:space="preserve"> </w:t>
      </w:r>
      <w:r w:rsidRPr="002D3135">
        <w:rPr>
          <w:b/>
          <w:spacing w:val="-2"/>
        </w:rPr>
        <w:t xml:space="preserve"> </w:t>
      </w:r>
      <w:r w:rsidR="00A578C0">
        <w:rPr>
          <w:b/>
          <w:spacing w:val="-2"/>
        </w:rPr>
        <w:t>December 14, 2016</w:t>
      </w:r>
    </w:p>
    <w:p w14:paraId="5829CFEC" w14:textId="77777777" w:rsidR="00822CE0" w:rsidRPr="002D3135" w:rsidRDefault="00822CE0"/>
    <w:p w14:paraId="571A6EB2" w14:textId="77777777" w:rsidR="004C2EE3" w:rsidRPr="002D3135" w:rsidRDefault="004C2EE3">
      <w:pPr>
        <w:rPr>
          <w:spacing w:val="-2"/>
        </w:rPr>
      </w:pPr>
      <w:r w:rsidRPr="002D3135">
        <w:t xml:space="preserve">By </w:t>
      </w:r>
      <w:r w:rsidR="004E4A22" w:rsidRPr="002D3135">
        <w:t>the</w:t>
      </w:r>
      <w:r w:rsidR="002A2D2E" w:rsidRPr="002D3135">
        <w:t xml:space="preserve"> </w:t>
      </w:r>
      <w:r w:rsidR="003D4209">
        <w:t xml:space="preserve">Chief, Wireline Competition </w:t>
      </w:r>
      <w:r w:rsidR="001867EA">
        <w:rPr>
          <w:spacing w:val="-2"/>
        </w:rPr>
        <w:t>Bureau</w:t>
      </w:r>
      <w:r w:rsidRPr="002D3135">
        <w:rPr>
          <w:spacing w:val="-2"/>
        </w:rPr>
        <w:t>:</w:t>
      </w:r>
    </w:p>
    <w:p w14:paraId="2C1573F6" w14:textId="77777777" w:rsidR="003D4209" w:rsidRPr="003D4209" w:rsidRDefault="003D4209" w:rsidP="003D4209">
      <w:pPr>
        <w:pStyle w:val="Heading1"/>
        <w:widowControl/>
        <w:numPr>
          <w:ilvl w:val="0"/>
          <w:numId w:val="0"/>
        </w:numPr>
        <w:tabs>
          <w:tab w:val="left" w:pos="720"/>
        </w:tabs>
        <w:ind w:left="720"/>
        <w:rPr>
          <w:spacing w:val="-2"/>
        </w:rPr>
      </w:pPr>
    </w:p>
    <w:p w14:paraId="4E0E8147" w14:textId="77777777" w:rsidR="002C00E8" w:rsidRPr="002D3135" w:rsidRDefault="005E72A0" w:rsidP="003D4209">
      <w:pPr>
        <w:pStyle w:val="Heading1"/>
      </w:pPr>
      <w:r>
        <w:t>introduction</w:t>
      </w:r>
    </w:p>
    <w:p w14:paraId="1D8263A0" w14:textId="4B6D4A0F" w:rsidR="00DE3A0C" w:rsidRDefault="00FF70EC" w:rsidP="00DE3A0C">
      <w:pPr>
        <w:pStyle w:val="ParaNum"/>
        <w:widowControl/>
        <w:numPr>
          <w:ilvl w:val="0"/>
          <w:numId w:val="13"/>
        </w:numPr>
        <w:tabs>
          <w:tab w:val="clear" w:pos="1080"/>
          <w:tab w:val="num" w:pos="360"/>
          <w:tab w:val="left" w:pos="1440"/>
        </w:tabs>
      </w:pPr>
      <w:r>
        <w:t xml:space="preserve">In the </w:t>
      </w:r>
      <w:r w:rsidRPr="00DE3A0C">
        <w:rPr>
          <w:i/>
        </w:rPr>
        <w:t xml:space="preserve">Rate-of-Return Reform Order, </w:t>
      </w:r>
      <w:r>
        <w:t>the Commission adopted significant reforms to the rules governing incumbent local exchange carriers that currently receive high-cost support through the legacy high-cost support mechanisms (rate-of-return LECs), including the adoption of a new Connect America Fund Broadband Loop Support (CAF BLS) mechanism and a voluntary path to model-based support for those rate-of-return carriers (also known as the Alternative Connect America Cost Model, or A-CAM)</w:t>
      </w:r>
      <w:r w:rsidR="00DE3A0C">
        <w:t>.</w:t>
      </w:r>
      <w:r w:rsidR="00DE3A0C">
        <w:rPr>
          <w:rStyle w:val="FootnoteReference"/>
        </w:rPr>
        <w:footnoteReference w:id="2"/>
      </w:r>
      <w:r w:rsidR="00DE3A0C">
        <w:t xml:space="preserve">  With t</w:t>
      </w:r>
      <w:r w:rsidR="00DE3A0C" w:rsidRPr="00734777">
        <w:t>his Order</w:t>
      </w:r>
      <w:r w:rsidR="000419FB">
        <w:t>, the Wirel</w:t>
      </w:r>
      <w:r w:rsidR="00DE3A0C">
        <w:t>ine Competition Bureau (Bureau)</w:t>
      </w:r>
      <w:r w:rsidR="006B7A88">
        <w:t>, on its own motion</w:t>
      </w:r>
      <w:r w:rsidR="00B63D6F">
        <w:t>,</w:t>
      </w:r>
      <w:r w:rsidR="00DE3A0C">
        <w:t xml:space="preserve"> </w:t>
      </w:r>
      <w:r w:rsidR="001822B4">
        <w:t xml:space="preserve">grants a </w:t>
      </w:r>
      <w:r w:rsidR="00F36A75">
        <w:t>waiver</w:t>
      </w:r>
      <w:r w:rsidR="00086BD5">
        <w:t xml:space="preserve"> </w:t>
      </w:r>
      <w:r w:rsidR="00F36A75">
        <w:t xml:space="preserve">of </w:t>
      </w:r>
      <w:r w:rsidR="00086BD5">
        <w:t>sections 69.311 and 69.416 of the Commission’s rules</w:t>
      </w:r>
      <w:r w:rsidR="001822B4">
        <w:t xml:space="preserve"> </w:t>
      </w:r>
      <w:r w:rsidR="00086BD5">
        <w:t xml:space="preserve">to limit the costs </w:t>
      </w:r>
      <w:r w:rsidR="00EA1B89">
        <w:t xml:space="preserve">that must be </w:t>
      </w:r>
      <w:r w:rsidR="00086BD5">
        <w:t>shifted from the Special Access category to the Consumer Broadband-only Loop catego</w:t>
      </w:r>
      <w:r w:rsidR="00EA1B89">
        <w:t>r</w:t>
      </w:r>
      <w:r w:rsidR="001822B4">
        <w:t>y</w:t>
      </w:r>
      <w:r w:rsidR="001822B4" w:rsidRPr="001822B4">
        <w:t xml:space="preserve"> </w:t>
      </w:r>
      <w:r w:rsidR="001822B4">
        <w:t>in certain specific circumstances</w:t>
      </w:r>
      <w:r w:rsidR="00F36A75">
        <w:t xml:space="preserve">, </w:t>
      </w:r>
      <w:r w:rsidR="00086BD5">
        <w:t>as described below.</w:t>
      </w:r>
      <w:r w:rsidR="00060A6E">
        <w:rPr>
          <w:rStyle w:val="FootnoteReference"/>
        </w:rPr>
        <w:footnoteReference w:id="3"/>
      </w:r>
      <w:r w:rsidR="00EA1B89">
        <w:t xml:space="preserve"> </w:t>
      </w:r>
    </w:p>
    <w:p w14:paraId="2E34BB01" w14:textId="77777777" w:rsidR="00DE3A0C" w:rsidRPr="001822B4" w:rsidRDefault="00DE3A0C" w:rsidP="001822B4">
      <w:pPr>
        <w:pStyle w:val="Heading1"/>
        <w:rPr>
          <w:sz w:val="24"/>
          <w:szCs w:val="24"/>
        </w:rPr>
      </w:pPr>
      <w:r>
        <w:t xml:space="preserve">Background  </w:t>
      </w:r>
    </w:p>
    <w:p w14:paraId="37F6F2F3" w14:textId="6D6B8C80" w:rsidR="001822B4" w:rsidRPr="001822B4" w:rsidRDefault="00DE3A0C" w:rsidP="00DE3A0C">
      <w:pPr>
        <w:pStyle w:val="ParaNum"/>
        <w:widowControl/>
        <w:numPr>
          <w:ilvl w:val="0"/>
          <w:numId w:val="13"/>
        </w:numPr>
        <w:tabs>
          <w:tab w:val="clear" w:pos="1080"/>
          <w:tab w:val="num" w:pos="360"/>
          <w:tab w:val="left" w:pos="1440"/>
        </w:tabs>
        <w:rPr>
          <w:szCs w:val="22"/>
        </w:rPr>
      </w:pPr>
      <w:r w:rsidRPr="001A1877">
        <w:t xml:space="preserve">In the </w:t>
      </w:r>
      <w:r w:rsidRPr="001A1877">
        <w:rPr>
          <w:i/>
        </w:rPr>
        <w:t xml:space="preserve">Rate-of-Return Reform Order, </w:t>
      </w:r>
      <w:r w:rsidRPr="001A1877">
        <w:t xml:space="preserve">the Commission adopted significant reforms to the rules governing </w:t>
      </w:r>
      <w:r>
        <w:t>the provision of universal service support to rate-of-return LECs.</w:t>
      </w:r>
      <w:r>
        <w:rPr>
          <w:rStyle w:val="FootnoteReference"/>
        </w:rPr>
        <w:footnoteReference w:id="4"/>
      </w:r>
      <w:r w:rsidRPr="001A1877">
        <w:t xml:space="preserve"> </w:t>
      </w:r>
      <w:r>
        <w:t xml:space="preserve"> The Commission adopted a voluntary path under which rate-of-return carriers may elect model-based support for a term of 10 years in exchange for meeting defined build-out obligations.</w:t>
      </w:r>
      <w:r w:rsidRPr="001A1877">
        <w:rPr>
          <w:rStyle w:val="FootnoteReference"/>
        </w:rPr>
        <w:footnoteReference w:id="5"/>
      </w:r>
      <w:r>
        <w:t xml:space="preserve">  For carriers not electing model-based support, the Commission modernized the existing interstate common line support (ICLS) rules to provide </w:t>
      </w:r>
      <w:r>
        <w:lastRenderedPageBreak/>
        <w:t>support in situations where the customer no longer subscribes to traditional regulated local exchange voice service, i.e.</w:t>
      </w:r>
      <w:r w:rsidR="001C1D6B">
        <w:t>,</w:t>
      </w:r>
      <w:r>
        <w:t xml:space="preserve"> subscribes to stand-alone broadband.</w:t>
      </w:r>
      <w:r w:rsidRPr="001A1877">
        <w:rPr>
          <w:rStyle w:val="FootnoteReference"/>
        </w:rPr>
        <w:footnoteReference w:id="6"/>
      </w:r>
      <w:r>
        <w:t xml:space="preserve">  </w:t>
      </w:r>
    </w:p>
    <w:p w14:paraId="17D32919" w14:textId="79172636" w:rsidR="006B7A88" w:rsidRPr="0070616E" w:rsidRDefault="00DE3A0C" w:rsidP="0070616E">
      <w:pPr>
        <w:pStyle w:val="ParaNum"/>
        <w:widowControl/>
        <w:numPr>
          <w:ilvl w:val="0"/>
          <w:numId w:val="13"/>
        </w:numPr>
        <w:tabs>
          <w:tab w:val="clear" w:pos="1080"/>
          <w:tab w:val="num" w:pos="360"/>
          <w:tab w:val="left" w:pos="1440"/>
        </w:tabs>
        <w:rPr>
          <w:szCs w:val="22"/>
        </w:rPr>
      </w:pPr>
      <w:r>
        <w:t>To implement these reforms,</w:t>
      </w:r>
      <w:r w:rsidRPr="001A1877">
        <w:t xml:space="preserve"> </w:t>
      </w:r>
      <w:r>
        <w:t xml:space="preserve">the Commission, </w:t>
      </w:r>
      <w:r w:rsidRPr="000419FB">
        <w:rPr>
          <w:szCs w:val="22"/>
        </w:rPr>
        <w:t>among other things, revised certain cost allocation and tariffing rules for carriers to introduce supported Consumer Broadband-only Loop services.</w:t>
      </w:r>
      <w:r w:rsidRPr="000419FB">
        <w:rPr>
          <w:rStyle w:val="FootnoteReference"/>
          <w:sz w:val="22"/>
          <w:szCs w:val="22"/>
        </w:rPr>
        <w:footnoteReference w:id="7"/>
      </w:r>
      <w:r w:rsidRPr="000419FB">
        <w:rPr>
          <w:szCs w:val="22"/>
        </w:rPr>
        <w:t xml:space="preserve">  </w:t>
      </w:r>
      <w:r w:rsidR="00F36A75" w:rsidRPr="001822B4">
        <w:rPr>
          <w:color w:val="000000"/>
          <w:szCs w:val="22"/>
        </w:rPr>
        <w:t>Specifically, t</w:t>
      </w:r>
      <w:r w:rsidRPr="001822B4">
        <w:rPr>
          <w:color w:val="000000"/>
          <w:szCs w:val="22"/>
        </w:rPr>
        <w:t>he Commission</w:t>
      </w:r>
      <w:r w:rsidR="0092034E" w:rsidRPr="001822B4">
        <w:rPr>
          <w:color w:val="000000"/>
          <w:szCs w:val="22"/>
        </w:rPr>
        <w:t xml:space="preserve"> </w:t>
      </w:r>
      <w:r w:rsidR="001822B4">
        <w:t>r</w:t>
      </w:r>
      <w:r w:rsidR="0092034E">
        <w:t>evised Part 69 of the</w:t>
      </w:r>
      <w:r w:rsidR="006B7A88">
        <w:t xml:space="preserve"> Commission’s rules to require rate-of-return</w:t>
      </w:r>
      <w:r w:rsidR="0092034E">
        <w:t xml:space="preserve"> carrier</w:t>
      </w:r>
      <w:r w:rsidR="006B7A88">
        <w:t>s</w:t>
      </w:r>
      <w:r w:rsidR="0092034E">
        <w:t xml:space="preserve"> to move the costs of consumer</w:t>
      </w:r>
      <w:r w:rsidR="00BF1A19">
        <w:t xml:space="preserve"> broadband-only loops from the Special A</w:t>
      </w:r>
      <w:r w:rsidR="0092034E">
        <w:t>ccess category to the new Consumer Broadband-Only Loop category.</w:t>
      </w:r>
      <w:r w:rsidR="0092034E">
        <w:rPr>
          <w:rStyle w:val="FootnoteReference"/>
        </w:rPr>
        <w:footnoteReference w:id="8"/>
      </w:r>
      <w:r w:rsidR="001822B4">
        <w:t xml:space="preserve">  Because</w:t>
      </w:r>
      <w:r w:rsidR="0092034E">
        <w:t xml:space="preserve"> the costs of the facilities associated with the common line and the consumer br</w:t>
      </w:r>
      <w:r w:rsidR="001822B4">
        <w:t>oadband loop are very similar, t</w:t>
      </w:r>
      <w:r w:rsidR="0092034E">
        <w:t>he Commission developed a method for determining the cost of a Consumer Broadband-only Loop using Common Line costs</w:t>
      </w:r>
      <w:r w:rsidR="001822B4">
        <w:t xml:space="preserve"> as a surrogate.  Under this methodology, </w:t>
      </w:r>
      <w:r w:rsidR="006B7A88">
        <w:t xml:space="preserve">rate-of-return </w:t>
      </w:r>
      <w:r w:rsidR="001822B4">
        <w:t>carriers use a</w:t>
      </w:r>
      <w:r w:rsidR="0092034E">
        <w:t xml:space="preserve"> 100 percent allocation</w:t>
      </w:r>
      <w:r w:rsidR="001822B4">
        <w:t xml:space="preserve"> of the Common Line costs </w:t>
      </w:r>
      <w:r w:rsidR="0092034E">
        <w:t>to the inter</w:t>
      </w:r>
      <w:r w:rsidR="001822B4">
        <w:t>state jurisdiction to identify the costs</w:t>
      </w:r>
      <w:r w:rsidR="00BF1A19">
        <w:t xml:space="preserve"> that must be moved</w:t>
      </w:r>
      <w:r w:rsidR="0092034E">
        <w:t xml:space="preserve"> from</w:t>
      </w:r>
      <w:r w:rsidR="001822B4">
        <w:t xml:space="preserve"> the</w:t>
      </w:r>
      <w:r w:rsidR="00BF1A19">
        <w:t xml:space="preserve"> S</w:t>
      </w:r>
      <w:r w:rsidR="0092034E">
        <w:t>pe</w:t>
      </w:r>
      <w:r w:rsidR="00F36A75">
        <w:t>c</w:t>
      </w:r>
      <w:r w:rsidR="00BF1A19">
        <w:t>ial A</w:t>
      </w:r>
      <w:r w:rsidR="0092034E">
        <w:t>ccess</w:t>
      </w:r>
      <w:r w:rsidR="001822B4">
        <w:t xml:space="preserve"> category</w:t>
      </w:r>
      <w:r w:rsidR="0092034E">
        <w:t xml:space="preserve"> to the Consumer Broadband-only Loop category.</w:t>
      </w:r>
      <w:r w:rsidR="00BF1A19">
        <w:t xml:space="preserve">  In doing </w:t>
      </w:r>
      <w:r w:rsidR="009F0F3E">
        <w:t>s</w:t>
      </w:r>
      <w:r w:rsidR="00BF1A19">
        <w:t xml:space="preserve">o, the Commission intended to </w:t>
      </w:r>
      <w:r w:rsidR="0092034E">
        <w:t>segregate the broadband-only loop investment and expenses from other special access costs currently included in the Special Access category</w:t>
      </w:r>
      <w:r w:rsidR="0092034E">
        <w:rPr>
          <w:rStyle w:val="FootnoteReference"/>
        </w:rPr>
        <w:footnoteReference w:id="9"/>
      </w:r>
      <w:r w:rsidR="0092034E">
        <w:t xml:space="preserve"> and also preclude cross-subsidization.</w:t>
      </w:r>
      <w:r w:rsidR="00BF1A19">
        <w:rPr>
          <w:rStyle w:val="FootnoteReference"/>
        </w:rPr>
        <w:footnoteReference w:id="10"/>
      </w:r>
      <w:r w:rsidR="0092034E">
        <w:t xml:space="preserve">  The Commission indica</w:t>
      </w:r>
      <w:r w:rsidR="00BF1A19">
        <w:t>ted that it would monitor implementation of this requirement to ensure that the rules are working as intended</w:t>
      </w:r>
      <w:r w:rsidR="0092034E">
        <w:t>.</w:t>
      </w:r>
      <w:r w:rsidR="00F36A75" w:rsidRPr="00F36A75">
        <w:rPr>
          <w:rStyle w:val="FootnoteReference"/>
        </w:rPr>
        <w:t xml:space="preserve"> </w:t>
      </w:r>
      <w:r w:rsidR="00F36A75">
        <w:rPr>
          <w:rStyle w:val="FootnoteReference"/>
        </w:rPr>
        <w:footnoteReference w:id="11"/>
      </w:r>
      <w:r w:rsidR="0092034E">
        <w:t xml:space="preserve"> </w:t>
      </w:r>
      <w:r w:rsidR="001822B4">
        <w:t xml:space="preserve">     </w:t>
      </w:r>
    </w:p>
    <w:p w14:paraId="1ADC6F3D" w14:textId="77777777" w:rsidR="00DE3A0C" w:rsidRDefault="00DE3A0C" w:rsidP="005E6023">
      <w:pPr>
        <w:pStyle w:val="Heading1"/>
      </w:pPr>
      <w:r>
        <w:t>DISCUSSION</w:t>
      </w:r>
    </w:p>
    <w:p w14:paraId="15A431C2" w14:textId="77777777" w:rsidR="00B148EB" w:rsidRPr="0070616E" w:rsidRDefault="006B7A88" w:rsidP="006B7A88">
      <w:pPr>
        <w:pStyle w:val="ParaNum"/>
        <w:widowControl/>
        <w:numPr>
          <w:ilvl w:val="0"/>
          <w:numId w:val="13"/>
        </w:numPr>
        <w:tabs>
          <w:tab w:val="clear" w:pos="1080"/>
          <w:tab w:val="num" w:pos="360"/>
          <w:tab w:val="left" w:pos="1440"/>
        </w:tabs>
        <w:rPr>
          <w:snapToGrid/>
          <w:szCs w:val="22"/>
        </w:rPr>
      </w:pPr>
      <w:r>
        <w:rPr>
          <w:szCs w:val="22"/>
        </w:rPr>
        <w:t>Generally, the Commission’s rules may be waived under section 1.3 of our rules for “good cause shown.”</w:t>
      </w:r>
      <w:r>
        <w:rPr>
          <w:rStyle w:val="FootnoteReference"/>
          <w:szCs w:val="22"/>
        </w:rPr>
        <w:footnoteReference w:id="12"/>
      </w:r>
      <w:r>
        <w:rPr>
          <w:szCs w:val="22"/>
        </w:rPr>
        <w:t xml:space="preserve">  The Commission may exercise its discretion to waive a rule where: (a) the particular facts make strict compliance inconsistent with the public interest; (b) special circumstances warrant a deviation from the general rule; and (c) such deviation will serve the public interest.</w:t>
      </w:r>
      <w:r>
        <w:rPr>
          <w:rStyle w:val="FootnoteReference"/>
          <w:szCs w:val="22"/>
        </w:rPr>
        <w:footnoteReference w:id="13"/>
      </w:r>
      <w:r>
        <w:rPr>
          <w:szCs w:val="22"/>
        </w:rPr>
        <w:t xml:space="preserve">  In making these determinations, the Commission may consider evidence of hardship, equity, and more effective implementation of overall policy on an individual basis.</w:t>
      </w:r>
      <w:r>
        <w:rPr>
          <w:rStyle w:val="FootnoteReference"/>
          <w:szCs w:val="22"/>
        </w:rPr>
        <w:footnoteReference w:id="14"/>
      </w:r>
      <w:r>
        <w:rPr>
          <w:szCs w:val="22"/>
        </w:rPr>
        <w:t xml:space="preserve">  </w:t>
      </w:r>
    </w:p>
    <w:p w14:paraId="5715949A" w14:textId="51F9ECE1" w:rsidR="006B7A88" w:rsidRDefault="00B148EB" w:rsidP="006B7A88">
      <w:pPr>
        <w:pStyle w:val="ParaNum"/>
        <w:widowControl/>
        <w:numPr>
          <w:ilvl w:val="0"/>
          <w:numId w:val="13"/>
        </w:numPr>
        <w:tabs>
          <w:tab w:val="clear" w:pos="1080"/>
          <w:tab w:val="num" w:pos="360"/>
          <w:tab w:val="left" w:pos="1440"/>
        </w:tabs>
        <w:rPr>
          <w:snapToGrid/>
          <w:szCs w:val="22"/>
        </w:rPr>
      </w:pPr>
      <w:r w:rsidRPr="006B7A88">
        <w:rPr>
          <w:szCs w:val="22"/>
        </w:rPr>
        <w:t xml:space="preserve">It has come to our attention that, in certain limited situations, </w:t>
      </w:r>
      <w:r w:rsidRPr="006B7A88">
        <w:rPr>
          <w:color w:val="000000"/>
          <w:szCs w:val="22"/>
        </w:rPr>
        <w:t>the surrogate cost methodology over-allocates costs out of the Special Access category</w:t>
      </w:r>
      <w:r w:rsidRPr="006B7A88">
        <w:rPr>
          <w:szCs w:val="22"/>
        </w:rPr>
        <w:t>, thereby</w:t>
      </w:r>
      <w:r>
        <w:rPr>
          <w:szCs w:val="22"/>
        </w:rPr>
        <w:t xml:space="preserve"> reducing the revenue requirement and resulting</w:t>
      </w:r>
      <w:r w:rsidRPr="006B7A88">
        <w:rPr>
          <w:szCs w:val="22"/>
        </w:rPr>
        <w:t xml:space="preserve"> </w:t>
      </w:r>
      <w:r w:rsidRPr="006B7A88">
        <w:rPr>
          <w:color w:val="000000"/>
          <w:szCs w:val="22"/>
        </w:rPr>
        <w:t>special access rates more than intended and</w:t>
      </w:r>
      <w:r w:rsidR="001C1D6B">
        <w:rPr>
          <w:color w:val="000000"/>
          <w:szCs w:val="22"/>
        </w:rPr>
        <w:t>,</w:t>
      </w:r>
      <w:r w:rsidRPr="006B7A88">
        <w:rPr>
          <w:color w:val="000000"/>
          <w:szCs w:val="22"/>
        </w:rPr>
        <w:t xml:space="preserve"> in the worst case scenario, to zero.  </w:t>
      </w:r>
      <w:r w:rsidR="0059397C">
        <w:rPr>
          <w:color w:val="000000"/>
          <w:szCs w:val="22"/>
        </w:rPr>
        <w:t xml:space="preserve">Such special access rates would likely be unreasonably low until the Commission revisits the allocation methodology and, when the costs in the Special Access category rise, there would be a consequent spike in special access rates.  </w:t>
      </w:r>
      <w:r w:rsidR="009F0F3E">
        <w:rPr>
          <w:color w:val="000000"/>
          <w:szCs w:val="22"/>
        </w:rPr>
        <w:t>This</w:t>
      </w:r>
      <w:r>
        <w:rPr>
          <w:color w:val="000000"/>
          <w:szCs w:val="22"/>
        </w:rPr>
        <w:t xml:space="preserve"> outcome </w:t>
      </w:r>
      <w:r w:rsidR="009F0F3E">
        <w:rPr>
          <w:color w:val="000000"/>
          <w:szCs w:val="22"/>
        </w:rPr>
        <w:t>strongly suggests</w:t>
      </w:r>
      <w:r>
        <w:rPr>
          <w:color w:val="000000"/>
          <w:szCs w:val="22"/>
        </w:rPr>
        <w:t xml:space="preserve"> that it would be unreasonable to apply the surrogate in these limited circumstances.  </w:t>
      </w:r>
      <w:r w:rsidR="006B7A88">
        <w:rPr>
          <w:szCs w:val="22"/>
        </w:rPr>
        <w:t xml:space="preserve">For the reasons discussed below, we find that good cause </w:t>
      </w:r>
      <w:r>
        <w:rPr>
          <w:szCs w:val="22"/>
        </w:rPr>
        <w:t>exists to</w:t>
      </w:r>
      <w:r w:rsidR="006B7A88">
        <w:rPr>
          <w:szCs w:val="22"/>
        </w:rPr>
        <w:t xml:space="preserve"> grant a limited waiver of the rules requiring rate-of-return carriers to use the surrogate cost methodology</w:t>
      </w:r>
      <w:r w:rsidR="00BE2533">
        <w:rPr>
          <w:szCs w:val="22"/>
        </w:rPr>
        <w:t xml:space="preserve"> for the December 2016 tariff filings</w:t>
      </w:r>
      <w:r w:rsidR="001C1D6B">
        <w:rPr>
          <w:rStyle w:val="FootnoteReference"/>
          <w:szCs w:val="22"/>
        </w:rPr>
        <w:footnoteReference w:id="15"/>
      </w:r>
      <w:r w:rsidR="00A8748A">
        <w:rPr>
          <w:szCs w:val="22"/>
        </w:rPr>
        <w:t xml:space="preserve"> when the special circumstances described below are present.</w:t>
      </w:r>
      <w:r w:rsidR="001E481B">
        <w:rPr>
          <w:szCs w:val="22"/>
        </w:rPr>
        <w:t xml:space="preserve">  </w:t>
      </w:r>
      <w:r w:rsidR="006B7A88">
        <w:rPr>
          <w:szCs w:val="22"/>
        </w:rPr>
        <w:t xml:space="preserve">  </w:t>
      </w:r>
    </w:p>
    <w:p w14:paraId="4EBD3B93" w14:textId="78C98CB0" w:rsidR="00822703" w:rsidRPr="001C1D6B" w:rsidRDefault="00E255C0" w:rsidP="001C1D6B">
      <w:pPr>
        <w:pStyle w:val="ParaNum"/>
        <w:widowControl/>
        <w:numPr>
          <w:ilvl w:val="0"/>
          <w:numId w:val="13"/>
        </w:numPr>
        <w:tabs>
          <w:tab w:val="left" w:pos="1440"/>
        </w:tabs>
        <w:rPr>
          <w:color w:val="000000"/>
          <w:szCs w:val="22"/>
        </w:rPr>
      </w:pPr>
      <w:r w:rsidRPr="006B7A88">
        <w:rPr>
          <w:szCs w:val="22"/>
        </w:rPr>
        <w:lastRenderedPageBreak/>
        <w:t>Use of the surrogate cost</w:t>
      </w:r>
      <w:r w:rsidR="001E481B">
        <w:rPr>
          <w:szCs w:val="22"/>
        </w:rPr>
        <w:t xml:space="preserve"> methodology </w:t>
      </w:r>
      <w:r w:rsidR="009F0F3E">
        <w:rPr>
          <w:szCs w:val="22"/>
        </w:rPr>
        <w:t>in a way that significantly affects non-Digital Subscriber Line (DSL) special access rates</w:t>
      </w:r>
      <w:r w:rsidR="00B57DDF" w:rsidRPr="006B7A88">
        <w:rPr>
          <w:szCs w:val="22"/>
        </w:rPr>
        <w:t xml:space="preserve"> </w:t>
      </w:r>
      <w:r w:rsidR="00A27C8E" w:rsidRPr="006B7A88">
        <w:rPr>
          <w:szCs w:val="22"/>
        </w:rPr>
        <w:t>would</w:t>
      </w:r>
      <w:r w:rsidR="001E481B">
        <w:rPr>
          <w:szCs w:val="22"/>
        </w:rPr>
        <w:t xml:space="preserve"> be inconsistent with the public interest because it would</w:t>
      </w:r>
      <w:r w:rsidR="00A27C8E" w:rsidRPr="006B7A88">
        <w:rPr>
          <w:szCs w:val="22"/>
        </w:rPr>
        <w:t xml:space="preserve"> introduce distortive pricing effects</w:t>
      </w:r>
      <w:r w:rsidR="00922ED8">
        <w:rPr>
          <w:szCs w:val="22"/>
        </w:rPr>
        <w:t xml:space="preserve"> unrelated </w:t>
      </w:r>
      <w:r w:rsidR="00D441AF">
        <w:rPr>
          <w:szCs w:val="22"/>
        </w:rPr>
        <w:t xml:space="preserve">to </w:t>
      </w:r>
      <w:r w:rsidR="00922ED8">
        <w:rPr>
          <w:szCs w:val="22"/>
        </w:rPr>
        <w:t>the provisioning of broadband services and would be</w:t>
      </w:r>
      <w:r w:rsidR="00A27C8E" w:rsidRPr="006B7A88">
        <w:rPr>
          <w:szCs w:val="22"/>
        </w:rPr>
        <w:t xml:space="preserve"> inconsistent with the goal of just and reasonable rates and rate stabil</w:t>
      </w:r>
      <w:r w:rsidR="00B57DDF" w:rsidRPr="006B7A88">
        <w:rPr>
          <w:szCs w:val="22"/>
        </w:rPr>
        <w:t>i</w:t>
      </w:r>
      <w:r w:rsidR="007B375A">
        <w:rPr>
          <w:szCs w:val="22"/>
        </w:rPr>
        <w:t xml:space="preserve">ty over time.  Thus, we conclude that the policy underlying the Commission’s rule would be better served by waiver than by strict application of the rule.  </w:t>
      </w:r>
      <w:r w:rsidR="009F0F3E">
        <w:rPr>
          <w:szCs w:val="22"/>
        </w:rPr>
        <w:t>Accordingly, a</w:t>
      </w:r>
      <w:r w:rsidR="00A27C8E" w:rsidRPr="006B7A88">
        <w:rPr>
          <w:szCs w:val="22"/>
        </w:rPr>
        <w:t xml:space="preserve">s an exercise of the Bureau’s delegated authority, we </w:t>
      </w:r>
      <w:r w:rsidR="00B57DDF" w:rsidRPr="006B7A88">
        <w:rPr>
          <w:szCs w:val="22"/>
        </w:rPr>
        <w:t xml:space="preserve">hereby </w:t>
      </w:r>
      <w:r w:rsidR="00F64277" w:rsidRPr="006B7A88">
        <w:rPr>
          <w:szCs w:val="22"/>
        </w:rPr>
        <w:t>waive secti</w:t>
      </w:r>
      <w:r w:rsidR="00B57DDF" w:rsidRPr="006B7A88">
        <w:rPr>
          <w:szCs w:val="22"/>
        </w:rPr>
        <w:t>o</w:t>
      </w:r>
      <w:r w:rsidR="00F64277" w:rsidRPr="006B7A88">
        <w:rPr>
          <w:szCs w:val="22"/>
        </w:rPr>
        <w:t>n</w:t>
      </w:r>
      <w:r w:rsidR="00B57DDF" w:rsidRPr="006B7A88">
        <w:rPr>
          <w:szCs w:val="22"/>
        </w:rPr>
        <w:t>s</w:t>
      </w:r>
      <w:r w:rsidR="00F64277" w:rsidRPr="006B7A88">
        <w:rPr>
          <w:szCs w:val="22"/>
        </w:rPr>
        <w:t xml:space="preserve"> 69.311 and 69.416</w:t>
      </w:r>
      <w:r w:rsidR="00A27C8E" w:rsidRPr="006B7A88">
        <w:rPr>
          <w:szCs w:val="22"/>
        </w:rPr>
        <w:t xml:space="preserve"> </w:t>
      </w:r>
      <w:r w:rsidRPr="006B7A88">
        <w:rPr>
          <w:szCs w:val="22"/>
        </w:rPr>
        <w:t>of the rules in cases where use of the surroga</w:t>
      </w:r>
      <w:r w:rsidR="00A8748A">
        <w:rPr>
          <w:szCs w:val="22"/>
        </w:rPr>
        <w:t xml:space="preserve">te cost methodology would result in unintended </w:t>
      </w:r>
      <w:r w:rsidR="00AF5201">
        <w:rPr>
          <w:szCs w:val="22"/>
        </w:rPr>
        <w:t xml:space="preserve">rate </w:t>
      </w:r>
      <w:r w:rsidR="00A8748A">
        <w:rPr>
          <w:szCs w:val="22"/>
        </w:rPr>
        <w:t>reductions.</w:t>
      </w:r>
      <w:r w:rsidR="00922ED8" w:rsidRPr="006B7A88">
        <w:rPr>
          <w:szCs w:val="22"/>
        </w:rPr>
        <w:t xml:space="preserve"> </w:t>
      </w:r>
      <w:r w:rsidR="00922ED8">
        <w:rPr>
          <w:szCs w:val="22"/>
        </w:rPr>
        <w:t xml:space="preserve"> </w:t>
      </w:r>
      <w:r w:rsidRPr="006B7A88">
        <w:rPr>
          <w:szCs w:val="22"/>
        </w:rPr>
        <w:t xml:space="preserve">Specifically, </w:t>
      </w:r>
      <w:r w:rsidR="00D441AF">
        <w:rPr>
          <w:szCs w:val="22"/>
        </w:rPr>
        <w:t xml:space="preserve">this limited waiver will apply in circumstances in which </w:t>
      </w:r>
      <w:r w:rsidR="00B57DDF" w:rsidRPr="006B7A88">
        <w:rPr>
          <w:color w:val="000000"/>
          <w:szCs w:val="22"/>
        </w:rPr>
        <w:t xml:space="preserve">subtraction of surrogate consumer broadband-only loop costs </w:t>
      </w:r>
      <w:r w:rsidR="00D441AF">
        <w:rPr>
          <w:color w:val="000000"/>
          <w:szCs w:val="22"/>
        </w:rPr>
        <w:t>(</w:t>
      </w:r>
      <w:r w:rsidR="00B57DDF" w:rsidRPr="006B7A88">
        <w:rPr>
          <w:color w:val="000000"/>
          <w:szCs w:val="22"/>
        </w:rPr>
        <w:t>as defin</w:t>
      </w:r>
      <w:r w:rsidRPr="006B7A88">
        <w:rPr>
          <w:color w:val="000000"/>
          <w:szCs w:val="22"/>
        </w:rPr>
        <w:t>ed in Part 69</w:t>
      </w:r>
      <w:r w:rsidR="00D441AF">
        <w:rPr>
          <w:color w:val="000000"/>
          <w:szCs w:val="22"/>
        </w:rPr>
        <w:t>)</w:t>
      </w:r>
      <w:r w:rsidRPr="006B7A88">
        <w:rPr>
          <w:color w:val="000000"/>
          <w:szCs w:val="22"/>
        </w:rPr>
        <w:t xml:space="preserve"> from a carrier’s Special A</w:t>
      </w:r>
      <w:r w:rsidR="00B57DDF" w:rsidRPr="006B7A88">
        <w:rPr>
          <w:color w:val="000000"/>
          <w:szCs w:val="22"/>
        </w:rPr>
        <w:t>ccess category would result in the need to reduce the carrier’s special access rates other than broadband transmission rates associated with</w:t>
      </w:r>
      <w:r w:rsidRPr="006B7A88">
        <w:rPr>
          <w:color w:val="000000"/>
          <w:szCs w:val="22"/>
        </w:rPr>
        <w:t xml:space="preserve"> provision of retail broadband I</w:t>
      </w:r>
      <w:r w:rsidR="00B57DDF" w:rsidRPr="006B7A88">
        <w:rPr>
          <w:color w:val="000000"/>
          <w:szCs w:val="22"/>
        </w:rPr>
        <w:t>nternet access service</w:t>
      </w:r>
      <w:r w:rsidR="00D441AF">
        <w:rPr>
          <w:color w:val="000000"/>
          <w:szCs w:val="22"/>
        </w:rPr>
        <w:t xml:space="preserve">.  In such cases, </w:t>
      </w:r>
      <w:r w:rsidR="00B57DDF" w:rsidRPr="006B7A88">
        <w:rPr>
          <w:color w:val="000000"/>
          <w:szCs w:val="22"/>
        </w:rPr>
        <w:t xml:space="preserve">the carrier </w:t>
      </w:r>
      <w:r w:rsidR="00D441AF">
        <w:rPr>
          <w:color w:val="000000"/>
          <w:szCs w:val="22"/>
        </w:rPr>
        <w:t>will</w:t>
      </w:r>
      <w:r w:rsidR="00CB0049" w:rsidRPr="006B7A88">
        <w:rPr>
          <w:color w:val="000000"/>
          <w:szCs w:val="22"/>
        </w:rPr>
        <w:t xml:space="preserve"> have </w:t>
      </w:r>
      <w:r w:rsidR="00B57DDF" w:rsidRPr="006B7A88">
        <w:rPr>
          <w:color w:val="000000"/>
          <w:szCs w:val="22"/>
        </w:rPr>
        <w:t>the option</w:t>
      </w:r>
      <w:r w:rsidR="00227BBD" w:rsidRPr="006B7A88">
        <w:rPr>
          <w:color w:val="000000"/>
          <w:szCs w:val="22"/>
        </w:rPr>
        <w:t xml:space="preserve"> to limit the level of costs subtracted from the Special A</w:t>
      </w:r>
      <w:r w:rsidR="00B57DDF" w:rsidRPr="006B7A88">
        <w:rPr>
          <w:color w:val="000000"/>
          <w:szCs w:val="22"/>
        </w:rPr>
        <w:t>ccess category to the amount only affecting those broadband transmi</w:t>
      </w:r>
      <w:r w:rsidR="00227BBD" w:rsidRPr="006B7A88">
        <w:rPr>
          <w:color w:val="000000"/>
          <w:szCs w:val="22"/>
        </w:rPr>
        <w:t>ssion rates, pending further</w:t>
      </w:r>
      <w:r w:rsidR="00B57DDF" w:rsidRPr="006B7A88">
        <w:rPr>
          <w:color w:val="000000"/>
          <w:szCs w:val="22"/>
        </w:rPr>
        <w:t xml:space="preserve"> consideration of current surrogate cost estimation rules.  </w:t>
      </w:r>
      <w:r w:rsidR="00822703">
        <w:rPr>
          <w:color w:val="000000"/>
          <w:szCs w:val="22"/>
        </w:rPr>
        <w:t>As a condition of this waiver, w</w:t>
      </w:r>
      <w:r w:rsidR="004447A4" w:rsidRPr="006B7A88">
        <w:rPr>
          <w:color w:val="000000"/>
          <w:szCs w:val="22"/>
        </w:rPr>
        <w:t>e require</w:t>
      </w:r>
      <w:r w:rsidR="00EB66F3">
        <w:rPr>
          <w:color w:val="000000"/>
          <w:szCs w:val="22"/>
        </w:rPr>
        <w:t xml:space="preserve"> carriers</w:t>
      </w:r>
      <w:r w:rsidR="004447A4" w:rsidRPr="006B7A88">
        <w:rPr>
          <w:color w:val="000000"/>
          <w:szCs w:val="22"/>
        </w:rPr>
        <w:t xml:space="preserve"> </w:t>
      </w:r>
      <w:r w:rsidR="00B57DDF" w:rsidRPr="006B7A88">
        <w:rPr>
          <w:color w:val="000000"/>
          <w:szCs w:val="22"/>
        </w:rPr>
        <w:t>elect</w:t>
      </w:r>
      <w:r w:rsidR="00227BBD" w:rsidRPr="006B7A88">
        <w:rPr>
          <w:color w:val="000000"/>
          <w:szCs w:val="22"/>
        </w:rPr>
        <w:t>ing this option to limit their Consumer Broadband-only L</w:t>
      </w:r>
      <w:r w:rsidR="00B57DDF" w:rsidRPr="006B7A88">
        <w:rPr>
          <w:color w:val="000000"/>
          <w:szCs w:val="22"/>
        </w:rPr>
        <w:t xml:space="preserve">oop revenue requirement reported to </w:t>
      </w:r>
      <w:r w:rsidR="001C1D6B" w:rsidRPr="001C1D6B">
        <w:rPr>
          <w:color w:val="000000"/>
          <w:szCs w:val="22"/>
        </w:rPr>
        <w:t>Universal Service</w:t>
      </w:r>
      <w:r w:rsidR="001C1D6B">
        <w:rPr>
          <w:color w:val="000000"/>
          <w:szCs w:val="22"/>
        </w:rPr>
        <w:t xml:space="preserve"> </w:t>
      </w:r>
      <w:r w:rsidR="001C1D6B" w:rsidRPr="001C1D6B">
        <w:rPr>
          <w:color w:val="000000"/>
          <w:szCs w:val="22"/>
        </w:rPr>
        <w:t>Administrative Company (USAC)</w:t>
      </w:r>
      <w:r w:rsidR="00B57DDF" w:rsidRPr="001C1D6B">
        <w:rPr>
          <w:color w:val="000000"/>
          <w:szCs w:val="22"/>
        </w:rPr>
        <w:t xml:space="preserve"> for CAF BLS purposes to this amount.</w:t>
      </w:r>
      <w:r w:rsidR="00D441AF" w:rsidRPr="001C1D6B">
        <w:rPr>
          <w:color w:val="000000"/>
          <w:szCs w:val="22"/>
        </w:rPr>
        <w:t xml:space="preserve">  As noted above, this waiver applies only to the December 2016 tariff filings.  </w:t>
      </w:r>
    </w:p>
    <w:p w14:paraId="7B2EC5F7" w14:textId="4C6D9F0C" w:rsidR="00822703" w:rsidRPr="00822703" w:rsidRDefault="00822703" w:rsidP="00822703">
      <w:pPr>
        <w:pStyle w:val="Heading1"/>
      </w:pPr>
      <w:r>
        <w:t>Ordering Clauses</w:t>
      </w:r>
    </w:p>
    <w:p w14:paraId="697D5C48" w14:textId="77777777" w:rsidR="00822703" w:rsidRDefault="00822703" w:rsidP="00822703">
      <w:pPr>
        <w:pStyle w:val="ParaNum"/>
        <w:widowControl/>
        <w:numPr>
          <w:ilvl w:val="0"/>
          <w:numId w:val="13"/>
        </w:numPr>
        <w:tabs>
          <w:tab w:val="clear" w:pos="1080"/>
          <w:tab w:val="num" w:pos="360"/>
          <w:tab w:val="left" w:pos="1440"/>
        </w:tabs>
        <w:rPr>
          <w:szCs w:val="22"/>
        </w:rPr>
      </w:pPr>
      <w:r w:rsidRPr="00822703">
        <w:rPr>
          <w:szCs w:val="22"/>
        </w:rPr>
        <w:t xml:space="preserve">Accordingly, IT IS ORDERED that, pursuant to sections 1, 4(i) and (j), 5, 201-202, 251, and 254 of the Communications Act of 1934, as amended, 47 U.S.C. §§ 151, 154(i) and (j), 155, 201-202, 251, 254, and sections 0.91, 0.291 and 1.3 of the Commission’s rules, 47 CFR §§ 0.91, 0.291, 1.3, and pursuant to the delegation of authority in footnote 413 of the </w:t>
      </w:r>
      <w:r w:rsidRPr="00822703">
        <w:rPr>
          <w:i/>
          <w:szCs w:val="22"/>
        </w:rPr>
        <w:t>Rate-of-Return Reform Order</w:t>
      </w:r>
      <w:r w:rsidRPr="00822703">
        <w:rPr>
          <w:szCs w:val="22"/>
        </w:rPr>
        <w:t xml:space="preserve">, </w:t>
      </w:r>
      <w:r>
        <w:t xml:space="preserve">sections 69.311(b) and 69.416(b) of the Commission’s rules, </w:t>
      </w:r>
      <w:r w:rsidRPr="00822703">
        <w:rPr>
          <w:szCs w:val="22"/>
        </w:rPr>
        <w:t>47 CFR §§ 69.311(b)</w:t>
      </w:r>
      <w:r>
        <w:t xml:space="preserve">, 69.416(b), </w:t>
      </w:r>
      <w:r w:rsidRPr="00822703">
        <w:rPr>
          <w:szCs w:val="22"/>
        </w:rPr>
        <w:t>are WAIVED to the extent and under the specific circumstances specified herein.</w:t>
      </w:r>
    </w:p>
    <w:p w14:paraId="3166D5E4" w14:textId="094A1C5D" w:rsidR="00954A0C" w:rsidRPr="00822703" w:rsidRDefault="00954A0C" w:rsidP="00822703">
      <w:pPr>
        <w:pStyle w:val="ParaNum"/>
        <w:widowControl/>
        <w:numPr>
          <w:ilvl w:val="0"/>
          <w:numId w:val="13"/>
        </w:numPr>
        <w:tabs>
          <w:tab w:val="clear" w:pos="1080"/>
          <w:tab w:val="num" w:pos="360"/>
          <w:tab w:val="left" w:pos="1440"/>
        </w:tabs>
        <w:rPr>
          <w:szCs w:val="22"/>
        </w:rPr>
      </w:pPr>
      <w:r w:rsidRPr="00822703">
        <w:rPr>
          <w:szCs w:val="22"/>
        </w:rPr>
        <w:t>IT IS FURTHER ORDERED</w:t>
      </w:r>
      <w:r w:rsidR="003200DF" w:rsidRPr="00822703">
        <w:rPr>
          <w:szCs w:val="22"/>
        </w:rPr>
        <w:t xml:space="preserve">, </w:t>
      </w:r>
      <w:r w:rsidR="003200DF">
        <w:t>pursuant to section 1.102(b)(1) of the Commission’s rules, 47 CFR § 1.102(b)(1), that</w:t>
      </w:r>
      <w:r w:rsidRPr="00822703">
        <w:rPr>
          <w:szCs w:val="22"/>
        </w:rPr>
        <w:t xml:space="preserve"> the Order SHALL BE EFFECTIVE upon </w:t>
      </w:r>
      <w:r w:rsidR="00463CEB" w:rsidRPr="00822703">
        <w:rPr>
          <w:szCs w:val="22"/>
        </w:rPr>
        <w:t xml:space="preserve">RELEASE. </w:t>
      </w:r>
    </w:p>
    <w:p w14:paraId="51285ABA" w14:textId="77777777" w:rsidR="003D4209" w:rsidRPr="003567F1" w:rsidRDefault="003D4209" w:rsidP="003D4209">
      <w:pPr>
        <w:keepNext/>
        <w:widowControl/>
        <w:autoSpaceDE w:val="0"/>
        <w:autoSpaceDN w:val="0"/>
        <w:adjustRightInd w:val="0"/>
        <w:spacing w:after="120"/>
        <w:rPr>
          <w:szCs w:val="22"/>
        </w:rPr>
      </w:pPr>
    </w:p>
    <w:p w14:paraId="142D75AD" w14:textId="77777777" w:rsidR="003D4209" w:rsidRPr="003567F1" w:rsidRDefault="003D4209" w:rsidP="003D4209">
      <w:pPr>
        <w:keepNext/>
        <w:keepLines/>
        <w:widowControl/>
        <w:spacing w:after="100" w:afterAutospacing="1"/>
        <w:ind w:left="2880" w:firstLine="720"/>
        <w:rPr>
          <w:szCs w:val="22"/>
        </w:rPr>
      </w:pPr>
      <w:r w:rsidRPr="003567F1">
        <w:rPr>
          <w:szCs w:val="22"/>
        </w:rPr>
        <w:t>FEDERAL COMMUNICATIONS COMMISSION</w:t>
      </w:r>
    </w:p>
    <w:p w14:paraId="2F083B1A" w14:textId="77777777" w:rsidR="003D4209" w:rsidRPr="003567F1" w:rsidRDefault="003D4209" w:rsidP="003D4209">
      <w:pPr>
        <w:keepNext/>
        <w:keepLines/>
        <w:widowControl/>
        <w:tabs>
          <w:tab w:val="left" w:pos="-1440"/>
          <w:tab w:val="left" w:pos="-720"/>
        </w:tabs>
        <w:suppressAutoHyphens/>
        <w:rPr>
          <w:szCs w:val="22"/>
        </w:rPr>
      </w:pPr>
      <w:r w:rsidRPr="003567F1">
        <w:rPr>
          <w:szCs w:val="22"/>
        </w:rPr>
        <w:tab/>
      </w:r>
      <w:r w:rsidRPr="003567F1">
        <w:rPr>
          <w:szCs w:val="22"/>
        </w:rPr>
        <w:tab/>
      </w:r>
      <w:r w:rsidRPr="003567F1">
        <w:rPr>
          <w:szCs w:val="22"/>
        </w:rPr>
        <w:tab/>
      </w:r>
      <w:r w:rsidRPr="003567F1">
        <w:rPr>
          <w:szCs w:val="22"/>
        </w:rPr>
        <w:tab/>
      </w:r>
      <w:r w:rsidRPr="003567F1">
        <w:rPr>
          <w:szCs w:val="22"/>
        </w:rPr>
        <w:tab/>
      </w:r>
    </w:p>
    <w:p w14:paraId="69D01255" w14:textId="77777777" w:rsidR="003D4209" w:rsidRPr="003567F1" w:rsidRDefault="003D4209" w:rsidP="003D4209">
      <w:pPr>
        <w:keepNext/>
        <w:keepLines/>
        <w:widowControl/>
        <w:tabs>
          <w:tab w:val="left" w:pos="-1440"/>
          <w:tab w:val="left" w:pos="-720"/>
        </w:tabs>
        <w:suppressAutoHyphens/>
        <w:rPr>
          <w:szCs w:val="22"/>
        </w:rPr>
      </w:pPr>
    </w:p>
    <w:p w14:paraId="6E5C486D" w14:textId="77777777" w:rsidR="003D4209" w:rsidRPr="003567F1" w:rsidRDefault="003D4209" w:rsidP="003D4209">
      <w:pPr>
        <w:keepNext/>
        <w:keepLines/>
        <w:widowControl/>
        <w:rPr>
          <w:szCs w:val="22"/>
        </w:rPr>
      </w:pPr>
      <w:r w:rsidRPr="003567F1">
        <w:rPr>
          <w:szCs w:val="22"/>
        </w:rPr>
        <w:tab/>
      </w:r>
      <w:r w:rsidRPr="003567F1">
        <w:rPr>
          <w:szCs w:val="22"/>
        </w:rPr>
        <w:tab/>
      </w:r>
      <w:r w:rsidRPr="003567F1">
        <w:rPr>
          <w:szCs w:val="22"/>
        </w:rPr>
        <w:tab/>
      </w:r>
      <w:r w:rsidRPr="003567F1">
        <w:rPr>
          <w:szCs w:val="22"/>
        </w:rPr>
        <w:tab/>
      </w:r>
      <w:r w:rsidRPr="003567F1">
        <w:rPr>
          <w:szCs w:val="22"/>
        </w:rPr>
        <w:tab/>
      </w:r>
      <w:r w:rsidR="00EA2FEB">
        <w:rPr>
          <w:szCs w:val="22"/>
        </w:rPr>
        <w:t xml:space="preserve">Matthew </w:t>
      </w:r>
      <w:r w:rsidR="00FD6262">
        <w:rPr>
          <w:szCs w:val="22"/>
        </w:rPr>
        <w:t>S. DelNero</w:t>
      </w:r>
    </w:p>
    <w:p w14:paraId="65537FF9" w14:textId="77777777" w:rsidR="00CC1522" w:rsidRPr="002D3135" w:rsidRDefault="003D4209" w:rsidP="003D4209">
      <w:pPr>
        <w:pStyle w:val="ParaNum"/>
        <w:numPr>
          <w:ilvl w:val="0"/>
          <w:numId w:val="0"/>
        </w:numPr>
        <w:ind w:left="720"/>
      </w:pPr>
      <w:r w:rsidRPr="003567F1">
        <w:rPr>
          <w:szCs w:val="22"/>
        </w:rPr>
        <w:tab/>
      </w:r>
      <w:r w:rsidRPr="003567F1">
        <w:rPr>
          <w:szCs w:val="22"/>
        </w:rPr>
        <w:tab/>
      </w:r>
      <w:r w:rsidRPr="003567F1">
        <w:rPr>
          <w:szCs w:val="22"/>
        </w:rPr>
        <w:tab/>
      </w:r>
      <w:r w:rsidRPr="003567F1">
        <w:rPr>
          <w:szCs w:val="22"/>
        </w:rPr>
        <w:tab/>
        <w:t>Chief, Wireline Competition Bureau</w:t>
      </w:r>
    </w:p>
    <w:sectPr w:rsidR="00CC1522" w:rsidRPr="002D313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8334F" w14:textId="77777777" w:rsidR="00404461" w:rsidRDefault="00404461">
      <w:pPr>
        <w:spacing w:line="20" w:lineRule="exact"/>
      </w:pPr>
    </w:p>
  </w:endnote>
  <w:endnote w:type="continuationSeparator" w:id="0">
    <w:p w14:paraId="4452F340" w14:textId="77777777" w:rsidR="00404461" w:rsidRDefault="00404461">
      <w:r>
        <w:t xml:space="preserve"> </w:t>
      </w:r>
    </w:p>
  </w:endnote>
  <w:endnote w:type="continuationNotice" w:id="1">
    <w:p w14:paraId="78AA2353" w14:textId="77777777" w:rsidR="00404461" w:rsidRDefault="004044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D595" w14:textId="77777777" w:rsidR="00A27C8E" w:rsidRDefault="00A27C8E" w:rsidP="0055614C">
    <w:pPr>
      <w:pStyle w:val="Footer"/>
      <w:framePr w:wrap="around" w:vAnchor="text" w:hAnchor="margin" w:xAlign="center" w:y="1"/>
    </w:pPr>
    <w:r>
      <w:fldChar w:fldCharType="begin"/>
    </w:r>
    <w:r>
      <w:instrText xml:space="preserve">PAGE  </w:instrText>
    </w:r>
    <w:r>
      <w:fldChar w:fldCharType="end"/>
    </w:r>
  </w:p>
  <w:p w14:paraId="7E2699D4" w14:textId="77777777" w:rsidR="00A27C8E" w:rsidRDefault="00A27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1DFD0" w14:textId="77777777" w:rsidR="00A27C8E" w:rsidRDefault="00A27C8E" w:rsidP="0055614C">
    <w:pPr>
      <w:pStyle w:val="Footer"/>
      <w:framePr w:wrap="around" w:vAnchor="text" w:hAnchor="margin" w:xAlign="center" w:y="1"/>
    </w:pPr>
    <w:r>
      <w:fldChar w:fldCharType="begin"/>
    </w:r>
    <w:r>
      <w:instrText xml:space="preserve">PAGE  </w:instrText>
    </w:r>
    <w:r>
      <w:fldChar w:fldCharType="separate"/>
    </w:r>
    <w:r w:rsidR="008D486E">
      <w:rPr>
        <w:noProof/>
      </w:rPr>
      <w:t>2</w:t>
    </w:r>
    <w:r>
      <w:fldChar w:fldCharType="end"/>
    </w:r>
  </w:p>
  <w:p w14:paraId="414413B7" w14:textId="77777777" w:rsidR="00A27C8E" w:rsidRDefault="00A27C8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A482" w14:textId="77777777" w:rsidR="00A27C8E" w:rsidRDefault="00A27C8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DE109" w14:textId="77777777" w:rsidR="00404461" w:rsidRDefault="00404461">
      <w:r>
        <w:separator/>
      </w:r>
    </w:p>
  </w:footnote>
  <w:footnote w:type="continuationSeparator" w:id="0">
    <w:p w14:paraId="36A14DE1" w14:textId="77777777" w:rsidR="00404461" w:rsidRDefault="00404461" w:rsidP="00C721AC">
      <w:pPr>
        <w:spacing w:before="120"/>
        <w:rPr>
          <w:sz w:val="20"/>
        </w:rPr>
      </w:pPr>
      <w:r>
        <w:rPr>
          <w:sz w:val="20"/>
        </w:rPr>
        <w:t xml:space="preserve">(Continued from previous page)  </w:t>
      </w:r>
      <w:r>
        <w:rPr>
          <w:sz w:val="20"/>
        </w:rPr>
        <w:separator/>
      </w:r>
    </w:p>
  </w:footnote>
  <w:footnote w:type="continuationNotice" w:id="1">
    <w:p w14:paraId="515749D8" w14:textId="77777777" w:rsidR="00404461" w:rsidRDefault="00404461" w:rsidP="00C721AC">
      <w:pPr>
        <w:jc w:val="right"/>
        <w:rPr>
          <w:sz w:val="20"/>
        </w:rPr>
      </w:pPr>
      <w:r>
        <w:rPr>
          <w:sz w:val="20"/>
        </w:rPr>
        <w:t>(continued….)</w:t>
      </w:r>
    </w:p>
  </w:footnote>
  <w:footnote w:id="2">
    <w:p w14:paraId="58E17674" w14:textId="77777777" w:rsidR="00A27C8E" w:rsidRDefault="00A27C8E" w:rsidP="00DE3A0C">
      <w:pPr>
        <w:pStyle w:val="FootnoteText"/>
      </w:pPr>
      <w:r>
        <w:rPr>
          <w:rStyle w:val="FootnoteReference"/>
        </w:rPr>
        <w:footnoteRef/>
      </w:r>
      <w:r>
        <w:t xml:space="preserve"> </w:t>
      </w:r>
      <w:r w:rsidR="00227BBD" w:rsidRPr="00227BBD">
        <w:rPr>
          <w:i/>
        </w:rPr>
        <w:t>See</w:t>
      </w:r>
      <w:r w:rsidR="00227BBD">
        <w:t xml:space="preserve"> </w:t>
      </w:r>
      <w:r>
        <w:rPr>
          <w:i/>
        </w:rPr>
        <w:t>Connect America Fund et al.</w:t>
      </w:r>
      <w:r>
        <w:t xml:space="preserve">, WC Docket No. 10-90 et al., Report and Order, Order and Order on Reconsideration and Further Notice of Proposed Rulemaking, 31 FCC </w:t>
      </w:r>
      <w:r w:rsidR="007949CC">
        <w:t>Rcd 3087</w:t>
      </w:r>
      <w:r w:rsidR="00227BBD">
        <w:t xml:space="preserve"> (</w:t>
      </w:r>
      <w:r>
        <w:t>2016) (</w:t>
      </w:r>
      <w:r>
        <w:rPr>
          <w:i/>
        </w:rPr>
        <w:t>Rate-of-Return Reform Order).</w:t>
      </w:r>
    </w:p>
  </w:footnote>
  <w:footnote w:id="3">
    <w:p w14:paraId="5C8A20F2" w14:textId="77777777" w:rsidR="00060A6E" w:rsidRDefault="00060A6E">
      <w:pPr>
        <w:pStyle w:val="FootnoteText"/>
      </w:pPr>
      <w:r>
        <w:rPr>
          <w:rStyle w:val="FootnoteReference"/>
        </w:rPr>
        <w:footnoteRef/>
      </w:r>
      <w:r>
        <w:t xml:space="preserve"> 47 CFR §§ 69.311, 69.416.</w:t>
      </w:r>
    </w:p>
  </w:footnote>
  <w:footnote w:id="4">
    <w:p w14:paraId="3A1ED7D4" w14:textId="77777777" w:rsidR="00A27C8E" w:rsidRDefault="00A27C8E" w:rsidP="00DE3A0C">
      <w:pPr>
        <w:pStyle w:val="FootnoteText"/>
      </w:pPr>
      <w:r>
        <w:rPr>
          <w:rStyle w:val="FootnoteReference"/>
        </w:rPr>
        <w:footnoteRef/>
      </w:r>
      <w:r>
        <w:t xml:space="preserve"> </w:t>
      </w:r>
      <w:r w:rsidRPr="00652F46">
        <w:rPr>
          <w:i/>
        </w:rPr>
        <w:t>Rate-of-Return Reform Order</w:t>
      </w:r>
      <w:r w:rsidRPr="001A1877">
        <w:t xml:space="preserve">, 31 FCC Rcd </w:t>
      </w:r>
      <w:r>
        <w:t>at 3089, para.1.</w:t>
      </w:r>
    </w:p>
  </w:footnote>
  <w:footnote w:id="5">
    <w:p w14:paraId="4C4AB9C7" w14:textId="77777777" w:rsidR="00A27C8E" w:rsidRPr="001A1877" w:rsidRDefault="00A27C8E" w:rsidP="00DE3A0C">
      <w:pPr>
        <w:pStyle w:val="FootnoteText"/>
      </w:pPr>
      <w:r w:rsidRPr="001A1877">
        <w:rPr>
          <w:rStyle w:val="FootnoteReference"/>
        </w:rPr>
        <w:footnoteRef/>
      </w:r>
      <w:r>
        <w:t xml:space="preserve"> </w:t>
      </w:r>
      <w:r w:rsidR="008472A1" w:rsidRPr="008472A1">
        <w:rPr>
          <w:i/>
        </w:rPr>
        <w:t>See i</w:t>
      </w:r>
      <w:r w:rsidRPr="008472A1">
        <w:rPr>
          <w:i/>
        </w:rPr>
        <w:t>d</w:t>
      </w:r>
      <w:r>
        <w:t>.</w:t>
      </w:r>
      <w:r w:rsidRPr="001A1877">
        <w:t xml:space="preserve"> </w:t>
      </w:r>
      <w:r>
        <w:t>at 3094-117, paras. 17-79</w:t>
      </w:r>
      <w:r w:rsidRPr="001A1877">
        <w:t xml:space="preserve">. </w:t>
      </w:r>
    </w:p>
  </w:footnote>
  <w:footnote w:id="6">
    <w:p w14:paraId="69C5F85C" w14:textId="77777777" w:rsidR="00A27C8E" w:rsidRPr="001A1877" w:rsidRDefault="00A27C8E" w:rsidP="00DE3A0C">
      <w:pPr>
        <w:pStyle w:val="FootnoteText"/>
      </w:pPr>
      <w:r w:rsidRPr="001A1877">
        <w:rPr>
          <w:rStyle w:val="FootnoteReference"/>
        </w:rPr>
        <w:footnoteRef/>
      </w:r>
      <w:r w:rsidRPr="001A1877">
        <w:t xml:space="preserve"> </w:t>
      </w:r>
      <w:r w:rsidR="008472A1">
        <w:rPr>
          <w:i/>
        </w:rPr>
        <w:t>See i</w:t>
      </w:r>
      <w:r>
        <w:rPr>
          <w:i/>
        </w:rPr>
        <w:t xml:space="preserve">d. </w:t>
      </w:r>
      <w:r>
        <w:t>at 3117-57, paras. 80-187.</w:t>
      </w:r>
      <w:r w:rsidRPr="001A1877">
        <w:t xml:space="preserve"> </w:t>
      </w:r>
    </w:p>
  </w:footnote>
  <w:footnote w:id="7">
    <w:p w14:paraId="6AD5BEEE" w14:textId="77777777" w:rsidR="00A27C8E" w:rsidRPr="001A1877" w:rsidRDefault="00A27C8E" w:rsidP="00DE3A0C">
      <w:pPr>
        <w:pStyle w:val="FootnoteText"/>
      </w:pPr>
      <w:r w:rsidRPr="001A1877">
        <w:rPr>
          <w:rStyle w:val="FootnoteReference"/>
        </w:rPr>
        <w:footnoteRef/>
      </w:r>
      <w:r w:rsidRPr="001A1877">
        <w:t xml:space="preserve"> </w:t>
      </w:r>
      <w:r w:rsidR="008472A1" w:rsidRPr="00A578C0">
        <w:rPr>
          <w:i/>
        </w:rPr>
        <w:t>See</w:t>
      </w:r>
      <w:r w:rsidR="008472A1">
        <w:t xml:space="preserve"> </w:t>
      </w:r>
      <w:r w:rsidR="008472A1">
        <w:rPr>
          <w:i/>
        </w:rPr>
        <w:t>i</w:t>
      </w:r>
      <w:r w:rsidRPr="00343BD1">
        <w:rPr>
          <w:i/>
        </w:rPr>
        <w:t>d</w:t>
      </w:r>
      <w:r>
        <w:t>. at 3157-62, paras. 188-204.</w:t>
      </w:r>
      <w:r w:rsidRPr="001A1877">
        <w:t xml:space="preserve"> </w:t>
      </w:r>
    </w:p>
  </w:footnote>
  <w:footnote w:id="8">
    <w:p w14:paraId="250AA4AD" w14:textId="77777777" w:rsidR="00A27C8E" w:rsidRDefault="00A27C8E" w:rsidP="0092034E">
      <w:pPr>
        <w:pStyle w:val="FootnoteText"/>
      </w:pPr>
      <w:r>
        <w:rPr>
          <w:rStyle w:val="FootnoteReference"/>
        </w:rPr>
        <w:footnoteRef/>
      </w:r>
      <w:r>
        <w:t xml:space="preserve"> </w:t>
      </w:r>
      <w:r w:rsidR="00F36A75" w:rsidRPr="00227BBD">
        <w:rPr>
          <w:i/>
        </w:rPr>
        <w:t>Id</w:t>
      </w:r>
      <w:r w:rsidR="008472A1">
        <w:t>. at 3158-59</w:t>
      </w:r>
      <w:r w:rsidR="00F36A75">
        <w:t xml:space="preserve">, </w:t>
      </w:r>
      <w:r w:rsidR="008472A1">
        <w:t>p</w:t>
      </w:r>
      <w:r w:rsidRPr="00F36A75">
        <w:t>ara</w:t>
      </w:r>
      <w:r>
        <w:t>. 191.</w:t>
      </w:r>
    </w:p>
  </w:footnote>
  <w:footnote w:id="9">
    <w:p w14:paraId="245C5033" w14:textId="77777777" w:rsidR="00A27C8E" w:rsidRPr="00EC687D" w:rsidRDefault="00A27C8E" w:rsidP="0092034E">
      <w:pPr>
        <w:pStyle w:val="FootnoteText"/>
      </w:pPr>
      <w:r w:rsidRPr="00EC687D">
        <w:rPr>
          <w:rStyle w:val="FootnoteReference"/>
        </w:rPr>
        <w:footnoteRef/>
      </w:r>
      <w:r w:rsidRPr="00EC687D">
        <w:t xml:space="preserve"> The costs remaining in the special access category include those related to business services, such as DS1 and DS3 other wide-ba</w:t>
      </w:r>
      <w:r w:rsidR="00922ED8">
        <w:t>nd services, and the costs for Digital Subscriber L</w:t>
      </w:r>
      <w:r w:rsidRPr="00EC687D">
        <w:t>ine (DSL) service that could be tariffed.</w:t>
      </w:r>
    </w:p>
  </w:footnote>
  <w:footnote w:id="10">
    <w:p w14:paraId="047D75B8" w14:textId="77777777" w:rsidR="00BF1A19" w:rsidRDefault="00BF1A19">
      <w:pPr>
        <w:pStyle w:val="FootnoteText"/>
      </w:pPr>
      <w:r>
        <w:rPr>
          <w:rStyle w:val="FootnoteReference"/>
        </w:rPr>
        <w:footnoteRef/>
      </w:r>
      <w:r>
        <w:t xml:space="preserve"> </w:t>
      </w:r>
      <w:r w:rsidR="008472A1" w:rsidRPr="00652F46">
        <w:rPr>
          <w:i/>
        </w:rPr>
        <w:t>Rate-of-Return Reform Order</w:t>
      </w:r>
      <w:r w:rsidR="008472A1" w:rsidRPr="001A1877">
        <w:t xml:space="preserve">, 31 FCC Rcd </w:t>
      </w:r>
      <w:r w:rsidR="008472A1">
        <w:t>at 3158-59, p</w:t>
      </w:r>
      <w:r w:rsidR="008472A1" w:rsidRPr="00F36A75">
        <w:t>ara</w:t>
      </w:r>
      <w:r w:rsidR="008472A1">
        <w:t>. 191.</w:t>
      </w:r>
    </w:p>
  </w:footnote>
  <w:footnote w:id="11">
    <w:p w14:paraId="5C19C85E" w14:textId="77777777" w:rsidR="00F36A75" w:rsidRDefault="00F36A75" w:rsidP="00F36A75">
      <w:pPr>
        <w:pStyle w:val="FootnoteText"/>
      </w:pPr>
      <w:r>
        <w:rPr>
          <w:rStyle w:val="FootnoteReference"/>
        </w:rPr>
        <w:footnoteRef/>
      </w:r>
      <w:r>
        <w:t xml:space="preserve"> </w:t>
      </w:r>
      <w:r w:rsidRPr="008472A1">
        <w:rPr>
          <w:i/>
        </w:rPr>
        <w:t>Id</w:t>
      </w:r>
      <w:r w:rsidR="008472A1">
        <w:t>. at 3158-59</w:t>
      </w:r>
      <w:r>
        <w:t xml:space="preserve">, </w:t>
      </w:r>
      <w:r w:rsidR="008472A1">
        <w:t>p</w:t>
      </w:r>
      <w:r w:rsidRPr="00F36A75">
        <w:t>ara</w:t>
      </w:r>
      <w:r>
        <w:t>. 191.</w:t>
      </w:r>
    </w:p>
  </w:footnote>
  <w:footnote w:id="12">
    <w:p w14:paraId="6428A4A6" w14:textId="77777777" w:rsidR="006B7A88" w:rsidRDefault="006B7A88" w:rsidP="006B7A88">
      <w:pPr>
        <w:pStyle w:val="FootnoteText"/>
      </w:pPr>
      <w:r>
        <w:rPr>
          <w:rStyle w:val="FootnoteReference"/>
        </w:rPr>
        <w:footnoteRef/>
      </w:r>
      <w:r>
        <w:t xml:space="preserve"> 47 CFR § 1.3; </w:t>
      </w:r>
      <w:r>
        <w:rPr>
          <w:i/>
        </w:rPr>
        <w:t>Northeast Cellular Telephone Co. v. FCC</w:t>
      </w:r>
      <w:r>
        <w:t>, 897 F.2d 1164, 1166 (D.C. Cir. 1990).</w:t>
      </w:r>
    </w:p>
  </w:footnote>
  <w:footnote w:id="13">
    <w:p w14:paraId="064160BB" w14:textId="77777777" w:rsidR="006B7A88" w:rsidRDefault="006B7A88" w:rsidP="006B7A88">
      <w:pPr>
        <w:pStyle w:val="FootnoteText"/>
      </w:pPr>
      <w:r>
        <w:rPr>
          <w:rStyle w:val="FootnoteReference"/>
        </w:rPr>
        <w:footnoteRef/>
      </w:r>
      <w:r>
        <w:t xml:space="preserve"> </w:t>
      </w:r>
      <w:r>
        <w:rPr>
          <w:i/>
        </w:rPr>
        <w:t>Northeast Cellular</w:t>
      </w:r>
      <w:r>
        <w:t>, 897 F.2d at 1166.</w:t>
      </w:r>
    </w:p>
  </w:footnote>
  <w:footnote w:id="14">
    <w:p w14:paraId="1528930B" w14:textId="77777777" w:rsidR="006B7A88" w:rsidRDefault="006B7A88" w:rsidP="006B7A88">
      <w:pPr>
        <w:pStyle w:val="FootnoteText"/>
      </w:pPr>
      <w:r>
        <w:rPr>
          <w:rStyle w:val="FootnoteReference"/>
        </w:rPr>
        <w:footnoteRef/>
      </w:r>
      <w:r>
        <w:t xml:space="preserve"> </w:t>
      </w:r>
      <w:r>
        <w:rPr>
          <w:i/>
        </w:rPr>
        <w:t>WAIT Radio v. FCC</w:t>
      </w:r>
      <w:r>
        <w:t xml:space="preserve">, 418 F.2d 1153, 1159 (D.C. Cir. 1969); </w:t>
      </w:r>
      <w:r>
        <w:rPr>
          <w:i/>
        </w:rPr>
        <w:t>Northeast Cellular</w:t>
      </w:r>
      <w:r>
        <w:t>, 897 F.2d at 1166.</w:t>
      </w:r>
    </w:p>
  </w:footnote>
  <w:footnote w:id="15">
    <w:p w14:paraId="1771DB5A" w14:textId="07EEC0EA" w:rsidR="001C1D6B" w:rsidRDefault="001C1D6B">
      <w:pPr>
        <w:pStyle w:val="FootnoteText"/>
      </w:pPr>
      <w:r>
        <w:rPr>
          <w:rStyle w:val="FootnoteReference"/>
        </w:rPr>
        <w:footnoteRef/>
      </w:r>
      <w:r>
        <w:t xml:space="preserve"> </w:t>
      </w:r>
      <w:r w:rsidRPr="003E4AF4">
        <w:rPr>
          <w:i/>
        </w:rPr>
        <w:t>See Access Charge Tariff Filings Introducing Broadband-only Loop Service</w:t>
      </w:r>
      <w:r w:rsidRPr="003E4AF4">
        <w:t>, Order, Docket No. 16-317, 33 FCC Rcd 11017 (WCB Oct. 6, 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4A2A" w14:textId="77777777" w:rsidR="0060112A" w:rsidRDefault="00601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7696" w14:textId="43F04AFA" w:rsidR="00A27C8E" w:rsidRDefault="00A27C8E" w:rsidP="00810B6F">
    <w:pPr>
      <w:pStyle w:val="Header"/>
      <w:rPr>
        <w:b w:val="0"/>
      </w:rPr>
    </w:pPr>
    <w:r>
      <w:tab/>
      <w:t>Federal Communications Commission</w:t>
    </w:r>
    <w:r>
      <w:tab/>
      <w:t xml:space="preserve">DA </w:t>
    </w:r>
    <w:r w:rsidR="00A578C0">
      <w:t>16</w:t>
    </w:r>
    <w:r>
      <w:t>-</w:t>
    </w:r>
    <w:r w:rsidR="00BA0252">
      <w:t>1383</w:t>
    </w:r>
  </w:p>
  <w:p w14:paraId="0B6A407F" w14:textId="77777777" w:rsidR="00A27C8E" w:rsidRDefault="00A27C8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8687A07" wp14:editId="2B1E211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F3E9C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639001D" w14:textId="77777777" w:rsidR="00A27C8E" w:rsidRDefault="00A27C8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A63D" w14:textId="190E33FF" w:rsidR="00A27C8E" w:rsidRDefault="00A27C8E" w:rsidP="00810B6F">
    <w:pPr>
      <w:pStyle w:val="Header"/>
      <w:rPr>
        <w:b w:val="0"/>
      </w:rPr>
    </w:pPr>
    <w:r>
      <w:rPr>
        <w:noProof/>
      </w:rPr>
      <mc:AlternateContent>
        <mc:Choice Requires="wps">
          <w:drawing>
            <wp:anchor distT="0" distB="0" distL="114300" distR="114300" simplePos="0" relativeHeight="251658240" behindDoc="1" locked="0" layoutInCell="0" allowOverlap="1" wp14:anchorId="3DE7E17F" wp14:editId="03C287D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7DB3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 xml:space="preserve">DA </w:t>
    </w:r>
    <w:r w:rsidR="00A578C0">
      <w:rPr>
        <w:spacing w:val="-2"/>
      </w:rPr>
      <w:t>16</w:t>
    </w:r>
    <w:r>
      <w:rPr>
        <w:spacing w:val="-2"/>
      </w:rPr>
      <w:t>-</w:t>
    </w:r>
    <w:r w:rsidR="00BA0252">
      <w:rPr>
        <w:spacing w:val="-2"/>
      </w:rPr>
      <w:t>1383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F2357B8"/>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9"/>
  </w:num>
  <w:num w:numId="8">
    <w:abstractNumId w:val="9"/>
  </w:num>
  <w:num w:numId="9">
    <w:abstractNumId w:val="9"/>
  </w:num>
  <w:num w:numId="10">
    <w:abstractNumId w:val="0"/>
  </w:num>
  <w:num w:numId="11">
    <w:abstractNumId w:val="7"/>
  </w:num>
  <w:num w:numId="12">
    <w:abstractNumId w:val="4"/>
  </w:num>
  <w:num w:numId="13">
    <w:abstractNumId w:val="5"/>
  </w:num>
  <w:num w:numId="14">
    <w:abstractNumId w:val="8"/>
  </w:num>
  <w:num w:numId="15">
    <w:abstractNumId w:val="9"/>
    <w:lvlOverride w:ilvl="0">
      <w:startOverride w:val="1"/>
    </w:lvlOverride>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4"/>
  </w:num>
  <w:num w:numId="26">
    <w:abstractNumId w:val="4"/>
  </w:num>
  <w:num w:numId="27">
    <w:abstractNumId w:val="4"/>
  </w:num>
  <w:num w:numId="28">
    <w:abstractNumId w:val="4"/>
  </w:num>
  <w:num w:numId="29">
    <w:abstractNumId w:val="4"/>
  </w:num>
  <w:num w:numId="30">
    <w:abstractNumId w:val="4"/>
  </w:num>
  <w:num w:numId="31">
    <w:abstractNumId w:val="9"/>
  </w:num>
  <w:num w:numId="32">
    <w:abstractNumId w:val="9"/>
  </w:num>
  <w:num w:numId="33">
    <w:abstractNumId w:val="9"/>
  </w:num>
  <w:num w:numId="34">
    <w:abstractNumId w:val="9"/>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9C"/>
    <w:rsid w:val="00006D1D"/>
    <w:rsid w:val="00036039"/>
    <w:rsid w:val="00037F90"/>
    <w:rsid w:val="00040A41"/>
    <w:rsid w:val="000419FB"/>
    <w:rsid w:val="0004496B"/>
    <w:rsid w:val="00046715"/>
    <w:rsid w:val="00060A6E"/>
    <w:rsid w:val="00062347"/>
    <w:rsid w:val="0006789B"/>
    <w:rsid w:val="00086BD5"/>
    <w:rsid w:val="000875BF"/>
    <w:rsid w:val="00096D8C"/>
    <w:rsid w:val="000C0B65"/>
    <w:rsid w:val="000E05FE"/>
    <w:rsid w:val="000E3D42"/>
    <w:rsid w:val="00115AF1"/>
    <w:rsid w:val="00117281"/>
    <w:rsid w:val="001229E8"/>
    <w:rsid w:val="00122BD5"/>
    <w:rsid w:val="0012342D"/>
    <w:rsid w:val="00126522"/>
    <w:rsid w:val="00133F79"/>
    <w:rsid w:val="00142AA8"/>
    <w:rsid w:val="00143045"/>
    <w:rsid w:val="00153CA1"/>
    <w:rsid w:val="001716F6"/>
    <w:rsid w:val="001822B4"/>
    <w:rsid w:val="001867EA"/>
    <w:rsid w:val="00186CFC"/>
    <w:rsid w:val="0018790A"/>
    <w:rsid w:val="00194A66"/>
    <w:rsid w:val="001A36DC"/>
    <w:rsid w:val="001C1D6B"/>
    <w:rsid w:val="001D2C1E"/>
    <w:rsid w:val="001D6BCF"/>
    <w:rsid w:val="001E01CA"/>
    <w:rsid w:val="001E481B"/>
    <w:rsid w:val="0020787D"/>
    <w:rsid w:val="00216F73"/>
    <w:rsid w:val="00227BBD"/>
    <w:rsid w:val="00230702"/>
    <w:rsid w:val="00231A4B"/>
    <w:rsid w:val="00245299"/>
    <w:rsid w:val="0025792E"/>
    <w:rsid w:val="002609DA"/>
    <w:rsid w:val="0026661A"/>
    <w:rsid w:val="00272480"/>
    <w:rsid w:val="002755E9"/>
    <w:rsid w:val="00275CF5"/>
    <w:rsid w:val="0028301F"/>
    <w:rsid w:val="00283EC2"/>
    <w:rsid w:val="00285017"/>
    <w:rsid w:val="002856C5"/>
    <w:rsid w:val="002A2D2E"/>
    <w:rsid w:val="002A7594"/>
    <w:rsid w:val="002B75CD"/>
    <w:rsid w:val="002C00E8"/>
    <w:rsid w:val="002D3135"/>
    <w:rsid w:val="002F3B19"/>
    <w:rsid w:val="003200DF"/>
    <w:rsid w:val="00343749"/>
    <w:rsid w:val="003660ED"/>
    <w:rsid w:val="0038297D"/>
    <w:rsid w:val="00384FA8"/>
    <w:rsid w:val="003926F0"/>
    <w:rsid w:val="003B0550"/>
    <w:rsid w:val="003B694F"/>
    <w:rsid w:val="003C334B"/>
    <w:rsid w:val="003D4209"/>
    <w:rsid w:val="003D51AC"/>
    <w:rsid w:val="003E3D32"/>
    <w:rsid w:val="003F171C"/>
    <w:rsid w:val="00404461"/>
    <w:rsid w:val="00412FC5"/>
    <w:rsid w:val="00422276"/>
    <w:rsid w:val="004242F1"/>
    <w:rsid w:val="0042470E"/>
    <w:rsid w:val="004262E1"/>
    <w:rsid w:val="00431EBE"/>
    <w:rsid w:val="004447A4"/>
    <w:rsid w:val="00445A00"/>
    <w:rsid w:val="00451B0F"/>
    <w:rsid w:val="00463CEB"/>
    <w:rsid w:val="00464AE4"/>
    <w:rsid w:val="004B3201"/>
    <w:rsid w:val="004C040C"/>
    <w:rsid w:val="004C2EE3"/>
    <w:rsid w:val="004D640F"/>
    <w:rsid w:val="004E4A22"/>
    <w:rsid w:val="004F5B51"/>
    <w:rsid w:val="00506D9D"/>
    <w:rsid w:val="0051056E"/>
    <w:rsid w:val="00511968"/>
    <w:rsid w:val="00514424"/>
    <w:rsid w:val="00530A35"/>
    <w:rsid w:val="0055614C"/>
    <w:rsid w:val="00570DBE"/>
    <w:rsid w:val="0059397C"/>
    <w:rsid w:val="005A3265"/>
    <w:rsid w:val="005B0BB9"/>
    <w:rsid w:val="005E14C2"/>
    <w:rsid w:val="005E6023"/>
    <w:rsid w:val="005E72A0"/>
    <w:rsid w:val="0060112A"/>
    <w:rsid w:val="00607BA5"/>
    <w:rsid w:val="0061180A"/>
    <w:rsid w:val="00626EB6"/>
    <w:rsid w:val="00655D03"/>
    <w:rsid w:val="006669E8"/>
    <w:rsid w:val="00683388"/>
    <w:rsid w:val="00683F84"/>
    <w:rsid w:val="006A6A81"/>
    <w:rsid w:val="006B7A88"/>
    <w:rsid w:val="006C4A0A"/>
    <w:rsid w:val="006D1698"/>
    <w:rsid w:val="006F1DA9"/>
    <w:rsid w:val="006F7393"/>
    <w:rsid w:val="0070120F"/>
    <w:rsid w:val="0070224F"/>
    <w:rsid w:val="0070616E"/>
    <w:rsid w:val="007115F7"/>
    <w:rsid w:val="00734107"/>
    <w:rsid w:val="007721D6"/>
    <w:rsid w:val="00785689"/>
    <w:rsid w:val="007949CC"/>
    <w:rsid w:val="0079754B"/>
    <w:rsid w:val="007A1E6D"/>
    <w:rsid w:val="007B0EB2"/>
    <w:rsid w:val="007B375A"/>
    <w:rsid w:val="007B4154"/>
    <w:rsid w:val="007C34AA"/>
    <w:rsid w:val="007D38CD"/>
    <w:rsid w:val="007E65A4"/>
    <w:rsid w:val="007F7659"/>
    <w:rsid w:val="00803784"/>
    <w:rsid w:val="00806CDF"/>
    <w:rsid w:val="00810B6F"/>
    <w:rsid w:val="00822703"/>
    <w:rsid w:val="00822CE0"/>
    <w:rsid w:val="00841AB1"/>
    <w:rsid w:val="0084326A"/>
    <w:rsid w:val="008472A1"/>
    <w:rsid w:val="00847865"/>
    <w:rsid w:val="008941AC"/>
    <w:rsid w:val="008969D7"/>
    <w:rsid w:val="008A7AE2"/>
    <w:rsid w:val="008C1022"/>
    <w:rsid w:val="008C24E6"/>
    <w:rsid w:val="008C68F1"/>
    <w:rsid w:val="008D486E"/>
    <w:rsid w:val="008E21CD"/>
    <w:rsid w:val="0091031F"/>
    <w:rsid w:val="0092034E"/>
    <w:rsid w:val="00921803"/>
    <w:rsid w:val="00922ED8"/>
    <w:rsid w:val="00926503"/>
    <w:rsid w:val="00941027"/>
    <w:rsid w:val="00954A0C"/>
    <w:rsid w:val="009634A9"/>
    <w:rsid w:val="009726D8"/>
    <w:rsid w:val="009A229D"/>
    <w:rsid w:val="009B0443"/>
    <w:rsid w:val="009B4134"/>
    <w:rsid w:val="009F0F3E"/>
    <w:rsid w:val="009F76DB"/>
    <w:rsid w:val="00A13C0A"/>
    <w:rsid w:val="00A165C3"/>
    <w:rsid w:val="00A27C8E"/>
    <w:rsid w:val="00A32B6F"/>
    <w:rsid w:val="00A32C3B"/>
    <w:rsid w:val="00A339F3"/>
    <w:rsid w:val="00A45F4F"/>
    <w:rsid w:val="00A54A82"/>
    <w:rsid w:val="00A578C0"/>
    <w:rsid w:val="00A600A9"/>
    <w:rsid w:val="00A622F3"/>
    <w:rsid w:val="00A6656D"/>
    <w:rsid w:val="00A70551"/>
    <w:rsid w:val="00A761CA"/>
    <w:rsid w:val="00A8748A"/>
    <w:rsid w:val="00A96B6C"/>
    <w:rsid w:val="00A97D02"/>
    <w:rsid w:val="00AA0726"/>
    <w:rsid w:val="00AA2184"/>
    <w:rsid w:val="00AA55B7"/>
    <w:rsid w:val="00AA5B9E"/>
    <w:rsid w:val="00AA664E"/>
    <w:rsid w:val="00AB2407"/>
    <w:rsid w:val="00AB53DF"/>
    <w:rsid w:val="00AB704F"/>
    <w:rsid w:val="00AC2582"/>
    <w:rsid w:val="00AD26E1"/>
    <w:rsid w:val="00AE2B69"/>
    <w:rsid w:val="00AF5201"/>
    <w:rsid w:val="00B019A9"/>
    <w:rsid w:val="00B03525"/>
    <w:rsid w:val="00B03D70"/>
    <w:rsid w:val="00B07E5C"/>
    <w:rsid w:val="00B11B0B"/>
    <w:rsid w:val="00B148EB"/>
    <w:rsid w:val="00B249F9"/>
    <w:rsid w:val="00B24D38"/>
    <w:rsid w:val="00B25088"/>
    <w:rsid w:val="00B57DDF"/>
    <w:rsid w:val="00B63B91"/>
    <w:rsid w:val="00B63D6F"/>
    <w:rsid w:val="00B80650"/>
    <w:rsid w:val="00B811F7"/>
    <w:rsid w:val="00BA0252"/>
    <w:rsid w:val="00BA5DC6"/>
    <w:rsid w:val="00BA6196"/>
    <w:rsid w:val="00BB4A95"/>
    <w:rsid w:val="00BC0DC0"/>
    <w:rsid w:val="00BC4005"/>
    <w:rsid w:val="00BC6440"/>
    <w:rsid w:val="00BC6D8C"/>
    <w:rsid w:val="00BD413B"/>
    <w:rsid w:val="00BE2533"/>
    <w:rsid w:val="00BF1A19"/>
    <w:rsid w:val="00BF3764"/>
    <w:rsid w:val="00BF7B83"/>
    <w:rsid w:val="00C02284"/>
    <w:rsid w:val="00C34006"/>
    <w:rsid w:val="00C426B1"/>
    <w:rsid w:val="00C42D2B"/>
    <w:rsid w:val="00C63796"/>
    <w:rsid w:val="00C66160"/>
    <w:rsid w:val="00C700B1"/>
    <w:rsid w:val="00C721AC"/>
    <w:rsid w:val="00C80D7B"/>
    <w:rsid w:val="00C90D6A"/>
    <w:rsid w:val="00CA247E"/>
    <w:rsid w:val="00CA5747"/>
    <w:rsid w:val="00CB0049"/>
    <w:rsid w:val="00CB412E"/>
    <w:rsid w:val="00CB709C"/>
    <w:rsid w:val="00CC1522"/>
    <w:rsid w:val="00CC2E43"/>
    <w:rsid w:val="00CC72B6"/>
    <w:rsid w:val="00CE4B23"/>
    <w:rsid w:val="00CE7870"/>
    <w:rsid w:val="00CF58A4"/>
    <w:rsid w:val="00D0218D"/>
    <w:rsid w:val="00D14F4D"/>
    <w:rsid w:val="00D25FB5"/>
    <w:rsid w:val="00D441AF"/>
    <w:rsid w:val="00D44223"/>
    <w:rsid w:val="00D5173E"/>
    <w:rsid w:val="00D711AE"/>
    <w:rsid w:val="00DA2529"/>
    <w:rsid w:val="00DB130A"/>
    <w:rsid w:val="00DB2B8E"/>
    <w:rsid w:val="00DB2EBB"/>
    <w:rsid w:val="00DC10A1"/>
    <w:rsid w:val="00DC655F"/>
    <w:rsid w:val="00DD0B59"/>
    <w:rsid w:val="00DD1851"/>
    <w:rsid w:val="00DD7EBD"/>
    <w:rsid w:val="00DE3A0C"/>
    <w:rsid w:val="00DF62B6"/>
    <w:rsid w:val="00E07225"/>
    <w:rsid w:val="00E255C0"/>
    <w:rsid w:val="00E440B1"/>
    <w:rsid w:val="00E5409F"/>
    <w:rsid w:val="00E61452"/>
    <w:rsid w:val="00E63C9A"/>
    <w:rsid w:val="00E65DC5"/>
    <w:rsid w:val="00E809A0"/>
    <w:rsid w:val="00EA1B89"/>
    <w:rsid w:val="00EA2FEB"/>
    <w:rsid w:val="00EB4B5B"/>
    <w:rsid w:val="00EB66F3"/>
    <w:rsid w:val="00EB7483"/>
    <w:rsid w:val="00EE6488"/>
    <w:rsid w:val="00F021FA"/>
    <w:rsid w:val="00F07BDE"/>
    <w:rsid w:val="00F31C1B"/>
    <w:rsid w:val="00F36A75"/>
    <w:rsid w:val="00F410FF"/>
    <w:rsid w:val="00F62E97"/>
    <w:rsid w:val="00F64209"/>
    <w:rsid w:val="00F64277"/>
    <w:rsid w:val="00F835D3"/>
    <w:rsid w:val="00F93BF5"/>
    <w:rsid w:val="00F96831"/>
    <w:rsid w:val="00FA6302"/>
    <w:rsid w:val="00FD6262"/>
    <w:rsid w:val="00FF419C"/>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B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86E"/>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8D48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8D486E"/>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8D486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8D486E"/>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8D486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8D486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D48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486E"/>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8D48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48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486E"/>
  </w:style>
  <w:style w:type="paragraph" w:customStyle="1" w:styleId="ParaNum">
    <w:name w:val="ParaNum"/>
    <w:basedOn w:val="Normal"/>
    <w:link w:val="ParaNumCharChar1"/>
    <w:rsid w:val="008D486E"/>
    <w:pPr>
      <w:numPr>
        <w:numId w:val="2"/>
      </w:numPr>
      <w:tabs>
        <w:tab w:val="clear" w:pos="1080"/>
        <w:tab w:val="num" w:pos="1440"/>
      </w:tabs>
      <w:spacing w:after="120"/>
    </w:pPr>
  </w:style>
  <w:style w:type="paragraph" w:styleId="EndnoteText">
    <w:name w:val="endnote text"/>
    <w:basedOn w:val="Normal"/>
    <w:semiHidden/>
    <w:rsid w:val="008D486E"/>
    <w:rPr>
      <w:sz w:val="20"/>
    </w:rPr>
  </w:style>
  <w:style w:type="character" w:styleId="EndnoteReference">
    <w:name w:val="endnote reference"/>
    <w:semiHidden/>
    <w:rsid w:val="008D486E"/>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8D486E"/>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8D486E"/>
    <w:rPr>
      <w:rFonts w:ascii="Times New Roman" w:hAnsi="Times New Roman"/>
      <w:dstrike w:val="0"/>
      <w:color w:val="auto"/>
      <w:sz w:val="20"/>
      <w:vertAlign w:val="superscript"/>
    </w:rPr>
  </w:style>
  <w:style w:type="paragraph" w:styleId="TOC1">
    <w:name w:val="toc 1"/>
    <w:basedOn w:val="Normal"/>
    <w:next w:val="Normal"/>
    <w:semiHidden/>
    <w:rsid w:val="008D486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486E"/>
    <w:pPr>
      <w:tabs>
        <w:tab w:val="left" w:pos="720"/>
        <w:tab w:val="right" w:leader="dot" w:pos="9360"/>
      </w:tabs>
      <w:suppressAutoHyphens/>
      <w:ind w:left="720" w:right="720" w:hanging="360"/>
    </w:pPr>
    <w:rPr>
      <w:noProof/>
    </w:rPr>
  </w:style>
  <w:style w:type="paragraph" w:styleId="TOC3">
    <w:name w:val="toc 3"/>
    <w:basedOn w:val="Normal"/>
    <w:next w:val="Normal"/>
    <w:semiHidden/>
    <w:rsid w:val="008D48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48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48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48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48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48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48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486E"/>
    <w:pPr>
      <w:tabs>
        <w:tab w:val="right" w:pos="9360"/>
      </w:tabs>
      <w:suppressAutoHyphens/>
    </w:pPr>
  </w:style>
  <w:style w:type="character" w:customStyle="1" w:styleId="EquationCaption">
    <w:name w:val="_Equation Caption"/>
    <w:rsid w:val="008D486E"/>
  </w:style>
  <w:style w:type="paragraph" w:styleId="Header">
    <w:name w:val="header"/>
    <w:basedOn w:val="Normal"/>
    <w:autoRedefine/>
    <w:rsid w:val="008D486E"/>
    <w:pPr>
      <w:tabs>
        <w:tab w:val="center" w:pos="4680"/>
        <w:tab w:val="right" w:pos="9360"/>
      </w:tabs>
    </w:pPr>
    <w:rPr>
      <w:b/>
    </w:rPr>
  </w:style>
  <w:style w:type="paragraph" w:styleId="Footer">
    <w:name w:val="footer"/>
    <w:basedOn w:val="Normal"/>
    <w:rsid w:val="008D486E"/>
    <w:pPr>
      <w:tabs>
        <w:tab w:val="center" w:pos="4320"/>
        <w:tab w:val="right" w:pos="8640"/>
      </w:tabs>
    </w:pPr>
  </w:style>
  <w:style w:type="character" w:styleId="PageNumber">
    <w:name w:val="page number"/>
    <w:basedOn w:val="DefaultParagraphFont"/>
    <w:rsid w:val="008D486E"/>
  </w:style>
  <w:style w:type="paragraph" w:styleId="BlockText">
    <w:name w:val="Block Text"/>
    <w:basedOn w:val="Normal"/>
    <w:rsid w:val="008D486E"/>
    <w:pPr>
      <w:spacing w:after="240"/>
      <w:ind w:left="1440" w:right="1440"/>
    </w:pPr>
  </w:style>
  <w:style w:type="paragraph" w:customStyle="1" w:styleId="Paratitle">
    <w:name w:val="Para title"/>
    <w:basedOn w:val="Normal"/>
    <w:rsid w:val="008D486E"/>
    <w:pPr>
      <w:tabs>
        <w:tab w:val="center" w:pos="9270"/>
      </w:tabs>
      <w:spacing w:after="240"/>
    </w:pPr>
    <w:rPr>
      <w:spacing w:val="-2"/>
    </w:rPr>
  </w:style>
  <w:style w:type="paragraph" w:customStyle="1" w:styleId="Bullet">
    <w:name w:val="Bullet"/>
    <w:basedOn w:val="Normal"/>
    <w:rsid w:val="008D486E"/>
    <w:pPr>
      <w:tabs>
        <w:tab w:val="left" w:pos="2160"/>
      </w:tabs>
      <w:spacing w:after="220"/>
      <w:ind w:left="2160" w:hanging="720"/>
    </w:pPr>
  </w:style>
  <w:style w:type="paragraph" w:customStyle="1" w:styleId="TableFormat">
    <w:name w:val="TableFormat"/>
    <w:basedOn w:val="Bullet"/>
    <w:rsid w:val="008D486E"/>
    <w:pPr>
      <w:tabs>
        <w:tab w:val="clear" w:pos="2160"/>
        <w:tab w:val="left" w:pos="5040"/>
      </w:tabs>
      <w:ind w:left="5040" w:hanging="3600"/>
    </w:pPr>
  </w:style>
  <w:style w:type="paragraph" w:customStyle="1" w:styleId="TOCTitle">
    <w:name w:val="TOC Title"/>
    <w:basedOn w:val="Normal"/>
    <w:rsid w:val="008D48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486E"/>
    <w:pPr>
      <w:jc w:val="center"/>
    </w:pPr>
    <w:rPr>
      <w:rFonts w:ascii="Times New Roman Bold" w:hAnsi="Times New Roman Bold"/>
      <w:b/>
      <w:bCs/>
      <w:caps/>
      <w:szCs w:val="22"/>
    </w:rPr>
  </w:style>
  <w:style w:type="character" w:styleId="Hyperlink">
    <w:name w:val="Hyperlink"/>
    <w:rsid w:val="008D486E"/>
    <w:rPr>
      <w:color w:val="0000FF"/>
      <w:u w:val="single"/>
    </w:rPr>
  </w:style>
  <w:style w:type="character" w:customStyle="1" w:styleId="ParaNumCharChar1">
    <w:name w:val="ParaNum Char Char1"/>
    <w:link w:val="ParaNum"/>
    <w:locked/>
    <w:rsid w:val="00FA6302"/>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FA6302"/>
  </w:style>
  <w:style w:type="paragraph" w:styleId="BalloonText">
    <w:name w:val="Balloon Text"/>
    <w:basedOn w:val="Normal"/>
    <w:link w:val="BalloonTextChar"/>
    <w:rsid w:val="00E809A0"/>
    <w:rPr>
      <w:rFonts w:ascii="Segoe UI" w:hAnsi="Segoe UI" w:cs="Segoe UI"/>
      <w:sz w:val="18"/>
      <w:szCs w:val="18"/>
    </w:rPr>
  </w:style>
  <w:style w:type="character" w:customStyle="1" w:styleId="BalloonTextChar">
    <w:name w:val="Balloon Text Char"/>
    <w:basedOn w:val="DefaultParagraphFont"/>
    <w:link w:val="BalloonText"/>
    <w:rsid w:val="00E809A0"/>
    <w:rPr>
      <w:rFonts w:ascii="Segoe UI" w:hAnsi="Segoe UI" w:cs="Segoe UI"/>
      <w:snapToGrid w:val="0"/>
      <w:kern w:val="28"/>
      <w:sz w:val="18"/>
      <w:szCs w:val="18"/>
    </w:rPr>
  </w:style>
  <w:style w:type="character" w:styleId="CommentReference">
    <w:name w:val="annotation reference"/>
    <w:basedOn w:val="DefaultParagraphFont"/>
    <w:rsid w:val="00AC2582"/>
    <w:rPr>
      <w:sz w:val="16"/>
      <w:szCs w:val="16"/>
    </w:rPr>
  </w:style>
  <w:style w:type="paragraph" w:styleId="CommentText">
    <w:name w:val="annotation text"/>
    <w:basedOn w:val="Normal"/>
    <w:link w:val="CommentTextChar"/>
    <w:rsid w:val="00AC2582"/>
    <w:rPr>
      <w:sz w:val="20"/>
    </w:rPr>
  </w:style>
  <w:style w:type="character" w:customStyle="1" w:styleId="CommentTextChar">
    <w:name w:val="Comment Text Char"/>
    <w:basedOn w:val="DefaultParagraphFont"/>
    <w:link w:val="CommentText"/>
    <w:rsid w:val="00AC2582"/>
    <w:rPr>
      <w:snapToGrid w:val="0"/>
      <w:kern w:val="28"/>
    </w:rPr>
  </w:style>
  <w:style w:type="paragraph" w:styleId="CommentSubject">
    <w:name w:val="annotation subject"/>
    <w:basedOn w:val="CommentText"/>
    <w:next w:val="CommentText"/>
    <w:link w:val="CommentSubjectChar"/>
    <w:rsid w:val="00AC2582"/>
    <w:rPr>
      <w:b/>
      <w:bCs/>
    </w:rPr>
  </w:style>
  <w:style w:type="character" w:customStyle="1" w:styleId="CommentSubjectChar">
    <w:name w:val="Comment Subject Char"/>
    <w:basedOn w:val="CommentTextChar"/>
    <w:link w:val="CommentSubject"/>
    <w:rsid w:val="00AC2582"/>
    <w:rPr>
      <w:b/>
      <w:bCs/>
      <w:snapToGrid w:val="0"/>
      <w:kern w:val="28"/>
    </w:rPr>
  </w:style>
  <w:style w:type="paragraph" w:styleId="ListBullet2">
    <w:name w:val="List Bullet 2"/>
    <w:basedOn w:val="Normal"/>
    <w:rsid w:val="003D4209"/>
    <w:pPr>
      <w:numPr>
        <w:numId w:val="10"/>
      </w:numPr>
      <w:ind w:left="360"/>
    </w:pPr>
    <w:rPr>
      <w:sz w:val="24"/>
    </w:rPr>
  </w:style>
  <w:style w:type="character" w:customStyle="1" w:styleId="ParaNumChar">
    <w:name w:val="ParaNum Char"/>
    <w:locked/>
    <w:rsid w:val="003D4209"/>
    <w:rPr>
      <w:snapToGrid w:val="0"/>
      <w:kern w:val="28"/>
      <w:sz w:val="22"/>
      <w:szCs w:val="20"/>
    </w:rPr>
  </w:style>
  <w:style w:type="paragraph" w:customStyle="1" w:styleId="NumberedList">
    <w:name w:val="Numbered List"/>
    <w:basedOn w:val="Normal"/>
    <w:rsid w:val="003D4209"/>
    <w:pPr>
      <w:numPr>
        <w:numId w:val="11"/>
      </w:numPr>
      <w:spacing w:after="220"/>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3D4209"/>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D4209"/>
    <w:rPr>
      <w:rFonts w:ascii="Times New Roman Bold" w:hAnsi="Times New Roman Bold"/>
      <w:b/>
      <w:caps/>
      <w:snapToGrid w:val="0"/>
      <w:kern w:val="28"/>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DE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86E"/>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8D48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8D486E"/>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8D486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8D486E"/>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8D486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8D486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D48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486E"/>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8D48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48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486E"/>
  </w:style>
  <w:style w:type="paragraph" w:customStyle="1" w:styleId="ParaNum">
    <w:name w:val="ParaNum"/>
    <w:basedOn w:val="Normal"/>
    <w:link w:val="ParaNumCharChar1"/>
    <w:rsid w:val="008D486E"/>
    <w:pPr>
      <w:numPr>
        <w:numId w:val="2"/>
      </w:numPr>
      <w:tabs>
        <w:tab w:val="clear" w:pos="1080"/>
        <w:tab w:val="num" w:pos="1440"/>
      </w:tabs>
      <w:spacing w:after="120"/>
    </w:pPr>
  </w:style>
  <w:style w:type="paragraph" w:styleId="EndnoteText">
    <w:name w:val="endnote text"/>
    <w:basedOn w:val="Normal"/>
    <w:semiHidden/>
    <w:rsid w:val="008D486E"/>
    <w:rPr>
      <w:sz w:val="20"/>
    </w:rPr>
  </w:style>
  <w:style w:type="character" w:styleId="EndnoteReference">
    <w:name w:val="endnote reference"/>
    <w:semiHidden/>
    <w:rsid w:val="008D486E"/>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8D486E"/>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8D486E"/>
    <w:rPr>
      <w:rFonts w:ascii="Times New Roman" w:hAnsi="Times New Roman"/>
      <w:dstrike w:val="0"/>
      <w:color w:val="auto"/>
      <w:sz w:val="20"/>
      <w:vertAlign w:val="superscript"/>
    </w:rPr>
  </w:style>
  <w:style w:type="paragraph" w:styleId="TOC1">
    <w:name w:val="toc 1"/>
    <w:basedOn w:val="Normal"/>
    <w:next w:val="Normal"/>
    <w:semiHidden/>
    <w:rsid w:val="008D486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486E"/>
    <w:pPr>
      <w:tabs>
        <w:tab w:val="left" w:pos="720"/>
        <w:tab w:val="right" w:leader="dot" w:pos="9360"/>
      </w:tabs>
      <w:suppressAutoHyphens/>
      <w:ind w:left="720" w:right="720" w:hanging="360"/>
    </w:pPr>
    <w:rPr>
      <w:noProof/>
    </w:rPr>
  </w:style>
  <w:style w:type="paragraph" w:styleId="TOC3">
    <w:name w:val="toc 3"/>
    <w:basedOn w:val="Normal"/>
    <w:next w:val="Normal"/>
    <w:semiHidden/>
    <w:rsid w:val="008D48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48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48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48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48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48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48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486E"/>
    <w:pPr>
      <w:tabs>
        <w:tab w:val="right" w:pos="9360"/>
      </w:tabs>
      <w:suppressAutoHyphens/>
    </w:pPr>
  </w:style>
  <w:style w:type="character" w:customStyle="1" w:styleId="EquationCaption">
    <w:name w:val="_Equation Caption"/>
    <w:rsid w:val="008D486E"/>
  </w:style>
  <w:style w:type="paragraph" w:styleId="Header">
    <w:name w:val="header"/>
    <w:basedOn w:val="Normal"/>
    <w:autoRedefine/>
    <w:rsid w:val="008D486E"/>
    <w:pPr>
      <w:tabs>
        <w:tab w:val="center" w:pos="4680"/>
        <w:tab w:val="right" w:pos="9360"/>
      </w:tabs>
    </w:pPr>
    <w:rPr>
      <w:b/>
    </w:rPr>
  </w:style>
  <w:style w:type="paragraph" w:styleId="Footer">
    <w:name w:val="footer"/>
    <w:basedOn w:val="Normal"/>
    <w:rsid w:val="008D486E"/>
    <w:pPr>
      <w:tabs>
        <w:tab w:val="center" w:pos="4320"/>
        <w:tab w:val="right" w:pos="8640"/>
      </w:tabs>
    </w:pPr>
  </w:style>
  <w:style w:type="character" w:styleId="PageNumber">
    <w:name w:val="page number"/>
    <w:basedOn w:val="DefaultParagraphFont"/>
    <w:rsid w:val="008D486E"/>
  </w:style>
  <w:style w:type="paragraph" w:styleId="BlockText">
    <w:name w:val="Block Text"/>
    <w:basedOn w:val="Normal"/>
    <w:rsid w:val="008D486E"/>
    <w:pPr>
      <w:spacing w:after="240"/>
      <w:ind w:left="1440" w:right="1440"/>
    </w:pPr>
  </w:style>
  <w:style w:type="paragraph" w:customStyle="1" w:styleId="Paratitle">
    <w:name w:val="Para title"/>
    <w:basedOn w:val="Normal"/>
    <w:rsid w:val="008D486E"/>
    <w:pPr>
      <w:tabs>
        <w:tab w:val="center" w:pos="9270"/>
      </w:tabs>
      <w:spacing w:after="240"/>
    </w:pPr>
    <w:rPr>
      <w:spacing w:val="-2"/>
    </w:rPr>
  </w:style>
  <w:style w:type="paragraph" w:customStyle="1" w:styleId="Bullet">
    <w:name w:val="Bullet"/>
    <w:basedOn w:val="Normal"/>
    <w:rsid w:val="008D486E"/>
    <w:pPr>
      <w:tabs>
        <w:tab w:val="left" w:pos="2160"/>
      </w:tabs>
      <w:spacing w:after="220"/>
      <w:ind w:left="2160" w:hanging="720"/>
    </w:pPr>
  </w:style>
  <w:style w:type="paragraph" w:customStyle="1" w:styleId="TableFormat">
    <w:name w:val="TableFormat"/>
    <w:basedOn w:val="Bullet"/>
    <w:rsid w:val="008D486E"/>
    <w:pPr>
      <w:tabs>
        <w:tab w:val="clear" w:pos="2160"/>
        <w:tab w:val="left" w:pos="5040"/>
      </w:tabs>
      <w:ind w:left="5040" w:hanging="3600"/>
    </w:pPr>
  </w:style>
  <w:style w:type="paragraph" w:customStyle="1" w:styleId="TOCTitle">
    <w:name w:val="TOC Title"/>
    <w:basedOn w:val="Normal"/>
    <w:rsid w:val="008D48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486E"/>
    <w:pPr>
      <w:jc w:val="center"/>
    </w:pPr>
    <w:rPr>
      <w:rFonts w:ascii="Times New Roman Bold" w:hAnsi="Times New Roman Bold"/>
      <w:b/>
      <w:bCs/>
      <w:caps/>
      <w:szCs w:val="22"/>
    </w:rPr>
  </w:style>
  <w:style w:type="character" w:styleId="Hyperlink">
    <w:name w:val="Hyperlink"/>
    <w:rsid w:val="008D486E"/>
    <w:rPr>
      <w:color w:val="0000FF"/>
      <w:u w:val="single"/>
    </w:rPr>
  </w:style>
  <w:style w:type="character" w:customStyle="1" w:styleId="ParaNumCharChar1">
    <w:name w:val="ParaNum Char Char1"/>
    <w:link w:val="ParaNum"/>
    <w:locked/>
    <w:rsid w:val="00FA6302"/>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FA6302"/>
  </w:style>
  <w:style w:type="paragraph" w:styleId="BalloonText">
    <w:name w:val="Balloon Text"/>
    <w:basedOn w:val="Normal"/>
    <w:link w:val="BalloonTextChar"/>
    <w:rsid w:val="00E809A0"/>
    <w:rPr>
      <w:rFonts w:ascii="Segoe UI" w:hAnsi="Segoe UI" w:cs="Segoe UI"/>
      <w:sz w:val="18"/>
      <w:szCs w:val="18"/>
    </w:rPr>
  </w:style>
  <w:style w:type="character" w:customStyle="1" w:styleId="BalloonTextChar">
    <w:name w:val="Balloon Text Char"/>
    <w:basedOn w:val="DefaultParagraphFont"/>
    <w:link w:val="BalloonText"/>
    <w:rsid w:val="00E809A0"/>
    <w:rPr>
      <w:rFonts w:ascii="Segoe UI" w:hAnsi="Segoe UI" w:cs="Segoe UI"/>
      <w:snapToGrid w:val="0"/>
      <w:kern w:val="28"/>
      <w:sz w:val="18"/>
      <w:szCs w:val="18"/>
    </w:rPr>
  </w:style>
  <w:style w:type="character" w:styleId="CommentReference">
    <w:name w:val="annotation reference"/>
    <w:basedOn w:val="DefaultParagraphFont"/>
    <w:rsid w:val="00AC2582"/>
    <w:rPr>
      <w:sz w:val="16"/>
      <w:szCs w:val="16"/>
    </w:rPr>
  </w:style>
  <w:style w:type="paragraph" w:styleId="CommentText">
    <w:name w:val="annotation text"/>
    <w:basedOn w:val="Normal"/>
    <w:link w:val="CommentTextChar"/>
    <w:rsid w:val="00AC2582"/>
    <w:rPr>
      <w:sz w:val="20"/>
    </w:rPr>
  </w:style>
  <w:style w:type="character" w:customStyle="1" w:styleId="CommentTextChar">
    <w:name w:val="Comment Text Char"/>
    <w:basedOn w:val="DefaultParagraphFont"/>
    <w:link w:val="CommentText"/>
    <w:rsid w:val="00AC2582"/>
    <w:rPr>
      <w:snapToGrid w:val="0"/>
      <w:kern w:val="28"/>
    </w:rPr>
  </w:style>
  <w:style w:type="paragraph" w:styleId="CommentSubject">
    <w:name w:val="annotation subject"/>
    <w:basedOn w:val="CommentText"/>
    <w:next w:val="CommentText"/>
    <w:link w:val="CommentSubjectChar"/>
    <w:rsid w:val="00AC2582"/>
    <w:rPr>
      <w:b/>
      <w:bCs/>
    </w:rPr>
  </w:style>
  <w:style w:type="character" w:customStyle="1" w:styleId="CommentSubjectChar">
    <w:name w:val="Comment Subject Char"/>
    <w:basedOn w:val="CommentTextChar"/>
    <w:link w:val="CommentSubject"/>
    <w:rsid w:val="00AC2582"/>
    <w:rPr>
      <w:b/>
      <w:bCs/>
      <w:snapToGrid w:val="0"/>
      <w:kern w:val="28"/>
    </w:rPr>
  </w:style>
  <w:style w:type="paragraph" w:styleId="ListBullet2">
    <w:name w:val="List Bullet 2"/>
    <w:basedOn w:val="Normal"/>
    <w:rsid w:val="003D4209"/>
    <w:pPr>
      <w:numPr>
        <w:numId w:val="10"/>
      </w:numPr>
      <w:ind w:left="360"/>
    </w:pPr>
    <w:rPr>
      <w:sz w:val="24"/>
    </w:rPr>
  </w:style>
  <w:style w:type="character" w:customStyle="1" w:styleId="ParaNumChar">
    <w:name w:val="ParaNum Char"/>
    <w:locked/>
    <w:rsid w:val="003D4209"/>
    <w:rPr>
      <w:snapToGrid w:val="0"/>
      <w:kern w:val="28"/>
      <w:sz w:val="22"/>
      <w:szCs w:val="20"/>
    </w:rPr>
  </w:style>
  <w:style w:type="paragraph" w:customStyle="1" w:styleId="NumberedList">
    <w:name w:val="Numbered List"/>
    <w:basedOn w:val="Normal"/>
    <w:rsid w:val="003D4209"/>
    <w:pPr>
      <w:numPr>
        <w:numId w:val="11"/>
      </w:numPr>
      <w:spacing w:after="220"/>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3D4209"/>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D4209"/>
    <w:rPr>
      <w:rFonts w:ascii="Times New Roman Bold" w:hAnsi="Times New Roman Bold"/>
      <w:b/>
      <w:caps/>
      <w:snapToGrid w:val="0"/>
      <w:kern w:val="28"/>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DE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5038">
      <w:bodyDiv w:val="1"/>
      <w:marLeft w:val="0"/>
      <w:marRight w:val="0"/>
      <w:marTop w:val="0"/>
      <w:marBottom w:val="0"/>
      <w:divBdr>
        <w:top w:val="none" w:sz="0" w:space="0" w:color="auto"/>
        <w:left w:val="none" w:sz="0" w:space="0" w:color="auto"/>
        <w:bottom w:val="none" w:sz="0" w:space="0" w:color="auto"/>
        <w:right w:val="none" w:sz="0" w:space="0" w:color="auto"/>
      </w:divBdr>
    </w:div>
    <w:div w:id="957830868">
      <w:bodyDiv w:val="1"/>
      <w:marLeft w:val="0"/>
      <w:marRight w:val="0"/>
      <w:marTop w:val="0"/>
      <w:marBottom w:val="0"/>
      <w:divBdr>
        <w:top w:val="none" w:sz="0" w:space="0" w:color="auto"/>
        <w:left w:val="none" w:sz="0" w:space="0" w:color="auto"/>
        <w:bottom w:val="none" w:sz="0" w:space="0" w:color="auto"/>
        <w:right w:val="none" w:sz="0" w:space="0" w:color="auto"/>
      </w:divBdr>
    </w:div>
    <w:div w:id="1342314560">
      <w:bodyDiv w:val="1"/>
      <w:marLeft w:val="0"/>
      <w:marRight w:val="0"/>
      <w:marTop w:val="0"/>
      <w:marBottom w:val="0"/>
      <w:divBdr>
        <w:top w:val="none" w:sz="0" w:space="0" w:color="auto"/>
        <w:left w:val="none" w:sz="0" w:space="0" w:color="auto"/>
        <w:bottom w:val="none" w:sz="0" w:space="0" w:color="auto"/>
        <w:right w:val="none" w:sz="0" w:space="0" w:color="auto"/>
      </w:divBdr>
    </w:div>
    <w:div w:id="1387992493">
      <w:bodyDiv w:val="1"/>
      <w:marLeft w:val="0"/>
      <w:marRight w:val="0"/>
      <w:marTop w:val="0"/>
      <w:marBottom w:val="0"/>
      <w:divBdr>
        <w:top w:val="none" w:sz="0" w:space="0" w:color="auto"/>
        <w:left w:val="none" w:sz="0" w:space="0" w:color="auto"/>
        <w:bottom w:val="none" w:sz="0" w:space="0" w:color="auto"/>
        <w:right w:val="none" w:sz="0" w:space="0" w:color="auto"/>
      </w:divBdr>
    </w:div>
    <w:div w:id="1451630238">
      <w:bodyDiv w:val="1"/>
      <w:marLeft w:val="0"/>
      <w:marRight w:val="0"/>
      <w:marTop w:val="0"/>
      <w:marBottom w:val="0"/>
      <w:divBdr>
        <w:top w:val="none" w:sz="0" w:space="0" w:color="auto"/>
        <w:left w:val="none" w:sz="0" w:space="0" w:color="auto"/>
        <w:bottom w:val="none" w:sz="0" w:space="0" w:color="auto"/>
        <w:right w:val="none" w:sz="0" w:space="0" w:color="auto"/>
      </w:divBdr>
    </w:div>
    <w:div w:id="20201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1090</Words>
  <Characters>6187</Characters>
  <Application>Microsoft Office Word</Application>
  <DocSecurity>0</DocSecurity>
  <Lines>125</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7292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2016-12-13T19:58:00Z</cp:lastPrinted>
  <dcterms:created xsi:type="dcterms:W3CDTF">2016-12-14T20:05:00Z</dcterms:created>
  <dcterms:modified xsi:type="dcterms:W3CDTF">2016-12-14T20:05:00Z</dcterms:modified>
  <cp:category> </cp:category>
  <cp:contentStatus> </cp:contentStatus>
</cp:coreProperties>
</file>