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A77A33" w:rsidRDefault="00E273E3" w:rsidP="002659F3">
      <w:pPr>
        <w:jc w:val="center"/>
        <w:rPr>
          <w:b/>
          <w:color w:val="000000" w:themeColor="text1"/>
        </w:rPr>
      </w:pPr>
      <w:bookmarkStart w:id="0" w:name="_GoBack"/>
      <w:bookmarkEnd w:id="0"/>
      <w:r w:rsidRPr="00A77A33">
        <w:rPr>
          <w:b/>
          <w:color w:val="000000" w:themeColor="text1"/>
        </w:rPr>
        <w:t>Before the</w:t>
      </w:r>
    </w:p>
    <w:p w:rsidR="00E273E3" w:rsidRPr="00A77A33" w:rsidRDefault="00E273E3" w:rsidP="002659F3">
      <w:pPr>
        <w:pStyle w:val="StyleBoldCentered"/>
        <w:widowControl/>
        <w:rPr>
          <w:rFonts w:ascii="Times New Roman" w:hAnsi="Times New Roman"/>
          <w:color w:val="000000" w:themeColor="text1"/>
        </w:rPr>
      </w:pPr>
      <w:r w:rsidRPr="00A77A33">
        <w:rPr>
          <w:rFonts w:ascii="Times New Roman" w:hAnsi="Times New Roman"/>
          <w:color w:val="000000" w:themeColor="text1"/>
        </w:rPr>
        <w:t>F</w:t>
      </w:r>
      <w:r w:rsidRPr="00A77A33">
        <w:rPr>
          <w:rFonts w:ascii="Times New Roman" w:hAnsi="Times New Roman"/>
          <w:caps w:val="0"/>
          <w:color w:val="000000" w:themeColor="text1"/>
        </w:rPr>
        <w:t>ederal Communications Commission</w:t>
      </w:r>
    </w:p>
    <w:p w:rsidR="00E273E3" w:rsidRPr="00A77A33" w:rsidRDefault="00E273E3" w:rsidP="002659F3">
      <w:pPr>
        <w:pStyle w:val="StyleBoldCentered"/>
        <w:widowControl/>
        <w:rPr>
          <w:rFonts w:ascii="Times New Roman" w:hAnsi="Times New Roman"/>
          <w:color w:val="000000" w:themeColor="text1"/>
        </w:rPr>
      </w:pPr>
      <w:r w:rsidRPr="00A77A33">
        <w:rPr>
          <w:rFonts w:ascii="Times New Roman" w:hAnsi="Times New Roman"/>
          <w:caps w:val="0"/>
          <w:color w:val="000000" w:themeColor="text1"/>
        </w:rPr>
        <w:t>Washington</w:t>
      </w:r>
      <w:r w:rsidRPr="00A77A33">
        <w:rPr>
          <w:rFonts w:ascii="Times New Roman" w:hAnsi="Times New Roman"/>
          <w:color w:val="000000" w:themeColor="text1"/>
        </w:rPr>
        <w:t>, DC 20554</w:t>
      </w:r>
    </w:p>
    <w:p w:rsidR="00E273E3" w:rsidRPr="00A77A33" w:rsidRDefault="00E273E3" w:rsidP="002659F3">
      <w:pPr>
        <w:rPr>
          <w:color w:val="000000" w:themeColor="text1"/>
        </w:rPr>
      </w:pPr>
    </w:p>
    <w:tbl>
      <w:tblPr>
        <w:tblW w:w="0" w:type="auto"/>
        <w:tblLayout w:type="fixed"/>
        <w:tblLook w:val="0000" w:firstRow="0" w:lastRow="0" w:firstColumn="0" w:lastColumn="0" w:noHBand="0" w:noVBand="0"/>
      </w:tblPr>
      <w:tblGrid>
        <w:gridCol w:w="4698"/>
        <w:gridCol w:w="630"/>
        <w:gridCol w:w="4248"/>
      </w:tblGrid>
      <w:tr w:rsidR="00A77A33" w:rsidRPr="00A77A33">
        <w:tc>
          <w:tcPr>
            <w:tcW w:w="4698" w:type="dxa"/>
          </w:tcPr>
          <w:p w:rsidR="00E273E3" w:rsidRPr="00A77A33" w:rsidRDefault="00E273E3" w:rsidP="002659F3">
            <w:pPr>
              <w:suppressAutoHyphens/>
              <w:rPr>
                <w:color w:val="000000" w:themeColor="text1"/>
                <w:spacing w:val="-2"/>
              </w:rPr>
            </w:pPr>
            <w:r w:rsidRPr="00A77A33">
              <w:rPr>
                <w:color w:val="000000" w:themeColor="text1"/>
                <w:spacing w:val="-2"/>
              </w:rPr>
              <w:t>In the Matter of</w:t>
            </w:r>
          </w:p>
          <w:p w:rsidR="00E273E3" w:rsidRPr="00A77A33" w:rsidRDefault="00E273E3" w:rsidP="002659F3">
            <w:pPr>
              <w:suppressAutoHyphens/>
              <w:rPr>
                <w:color w:val="000000" w:themeColor="text1"/>
                <w:spacing w:val="-2"/>
              </w:rPr>
            </w:pPr>
          </w:p>
          <w:p w:rsidR="009A73C4" w:rsidRPr="00A77A33" w:rsidRDefault="009A73C4" w:rsidP="009A73C4">
            <w:pPr>
              <w:rPr>
                <w:color w:val="000000" w:themeColor="text1"/>
              </w:rPr>
            </w:pPr>
            <w:r w:rsidRPr="00A77A33">
              <w:rPr>
                <w:color w:val="000000" w:themeColor="text1"/>
                <w:spacing w:val="-2"/>
              </w:rPr>
              <w:t>Sound Communications, LLC</w:t>
            </w:r>
          </w:p>
          <w:p w:rsidR="009A73C4" w:rsidRPr="00A77A33" w:rsidRDefault="009A73C4" w:rsidP="009A73C4">
            <w:pPr>
              <w:rPr>
                <w:color w:val="000000" w:themeColor="text1"/>
              </w:rPr>
            </w:pPr>
            <w:r w:rsidRPr="00A77A33">
              <w:rPr>
                <w:color w:val="000000" w:themeColor="text1"/>
              </w:rPr>
              <w:t>Owner of Antenna Structure Number 1053420</w:t>
            </w:r>
          </w:p>
          <w:p w:rsidR="009A73C4" w:rsidRPr="00A77A33" w:rsidRDefault="009A73C4" w:rsidP="009A73C4">
            <w:pPr>
              <w:rPr>
                <w:color w:val="000000" w:themeColor="text1"/>
              </w:rPr>
            </w:pPr>
            <w:r w:rsidRPr="00A77A33">
              <w:rPr>
                <w:color w:val="000000" w:themeColor="text1"/>
              </w:rPr>
              <w:t>Licensee of AM Station WENY</w:t>
            </w:r>
          </w:p>
          <w:p w:rsidR="00E273E3" w:rsidRPr="00A77A33" w:rsidRDefault="009A73C4" w:rsidP="004755A2">
            <w:pPr>
              <w:rPr>
                <w:color w:val="000000" w:themeColor="text1"/>
              </w:rPr>
            </w:pPr>
            <w:r w:rsidRPr="00A77A33">
              <w:rPr>
                <w:color w:val="000000" w:themeColor="text1"/>
              </w:rPr>
              <w:t>Southport, New York</w:t>
            </w:r>
          </w:p>
        </w:tc>
        <w:tc>
          <w:tcPr>
            <w:tcW w:w="630" w:type="dxa"/>
          </w:tcPr>
          <w:p w:rsidR="00E273E3" w:rsidRPr="00A77A33" w:rsidRDefault="00E273E3" w:rsidP="002659F3">
            <w:pPr>
              <w:suppressAutoHyphens/>
              <w:rPr>
                <w:color w:val="000000" w:themeColor="text1"/>
                <w:spacing w:val="-2"/>
              </w:rPr>
            </w:pPr>
            <w:r w:rsidRPr="00A77A33">
              <w:rPr>
                <w:color w:val="000000" w:themeColor="text1"/>
                <w:spacing w:val="-2"/>
              </w:rPr>
              <w:t>)</w:t>
            </w:r>
          </w:p>
          <w:p w:rsidR="00E273E3" w:rsidRPr="00A77A33" w:rsidRDefault="00E273E3" w:rsidP="002659F3">
            <w:pPr>
              <w:suppressAutoHyphens/>
              <w:rPr>
                <w:color w:val="000000" w:themeColor="text1"/>
                <w:spacing w:val="-2"/>
              </w:rPr>
            </w:pPr>
            <w:r w:rsidRPr="00A77A33">
              <w:rPr>
                <w:color w:val="000000" w:themeColor="text1"/>
                <w:spacing w:val="-2"/>
              </w:rPr>
              <w:t>)</w:t>
            </w:r>
          </w:p>
          <w:p w:rsidR="00E273E3" w:rsidRPr="00A77A33" w:rsidRDefault="00E273E3" w:rsidP="002659F3">
            <w:pPr>
              <w:suppressAutoHyphens/>
              <w:rPr>
                <w:color w:val="000000" w:themeColor="text1"/>
                <w:spacing w:val="-2"/>
              </w:rPr>
            </w:pPr>
            <w:r w:rsidRPr="00A77A33">
              <w:rPr>
                <w:color w:val="000000" w:themeColor="text1"/>
                <w:spacing w:val="-2"/>
              </w:rPr>
              <w:t>)</w:t>
            </w:r>
          </w:p>
          <w:p w:rsidR="00E273E3" w:rsidRPr="00A77A33" w:rsidRDefault="00E273E3" w:rsidP="002659F3">
            <w:pPr>
              <w:suppressAutoHyphens/>
              <w:rPr>
                <w:color w:val="000000" w:themeColor="text1"/>
                <w:spacing w:val="-2"/>
              </w:rPr>
            </w:pPr>
            <w:r w:rsidRPr="00A77A33">
              <w:rPr>
                <w:color w:val="000000" w:themeColor="text1"/>
                <w:spacing w:val="-2"/>
              </w:rPr>
              <w:t>)</w:t>
            </w:r>
          </w:p>
          <w:p w:rsidR="00E273E3" w:rsidRPr="00A77A33" w:rsidRDefault="00E273E3" w:rsidP="002659F3">
            <w:pPr>
              <w:suppressAutoHyphens/>
              <w:rPr>
                <w:color w:val="000000" w:themeColor="text1"/>
                <w:spacing w:val="-2"/>
              </w:rPr>
            </w:pPr>
            <w:r w:rsidRPr="00A77A33">
              <w:rPr>
                <w:color w:val="000000" w:themeColor="text1"/>
                <w:spacing w:val="-2"/>
              </w:rPr>
              <w:t>)</w:t>
            </w:r>
          </w:p>
          <w:p w:rsidR="004755A2" w:rsidRPr="00A77A33" w:rsidRDefault="004755A2" w:rsidP="002659F3">
            <w:pPr>
              <w:suppressAutoHyphens/>
              <w:rPr>
                <w:color w:val="000000" w:themeColor="text1"/>
                <w:spacing w:val="-2"/>
              </w:rPr>
            </w:pPr>
            <w:r w:rsidRPr="00A77A33">
              <w:rPr>
                <w:color w:val="000000" w:themeColor="text1"/>
                <w:spacing w:val="-2"/>
              </w:rPr>
              <w:t>)</w:t>
            </w:r>
          </w:p>
        </w:tc>
        <w:tc>
          <w:tcPr>
            <w:tcW w:w="4248" w:type="dxa"/>
          </w:tcPr>
          <w:p w:rsidR="00E273E3" w:rsidRPr="00A77A33" w:rsidRDefault="00E273E3" w:rsidP="002659F3">
            <w:pPr>
              <w:suppressAutoHyphens/>
              <w:rPr>
                <w:color w:val="000000" w:themeColor="text1"/>
                <w:spacing w:val="-2"/>
              </w:rPr>
            </w:pPr>
          </w:p>
          <w:p w:rsidR="00E273E3" w:rsidRPr="00A77A33" w:rsidRDefault="00E273E3" w:rsidP="002659F3">
            <w:pPr>
              <w:suppressAutoHyphens/>
              <w:rPr>
                <w:color w:val="000000" w:themeColor="text1"/>
                <w:spacing w:val="-2"/>
              </w:rPr>
            </w:pPr>
          </w:p>
          <w:p w:rsidR="00E273E3" w:rsidRPr="00A77A33" w:rsidRDefault="00E273E3" w:rsidP="00EE05DB">
            <w:pPr>
              <w:suppressAutoHyphens/>
              <w:ind w:left="432"/>
              <w:rPr>
                <w:color w:val="000000" w:themeColor="text1"/>
                <w:spacing w:val="-2"/>
              </w:rPr>
            </w:pPr>
            <w:r w:rsidRPr="00A77A33">
              <w:rPr>
                <w:color w:val="000000" w:themeColor="text1"/>
                <w:spacing w:val="-2"/>
              </w:rPr>
              <w:t xml:space="preserve">File No.:  </w:t>
            </w:r>
            <w:r w:rsidR="009A73C4" w:rsidRPr="00A77A33">
              <w:rPr>
                <w:color w:val="000000" w:themeColor="text1"/>
              </w:rPr>
              <w:t>EB-FIELDNER-13-00009899</w:t>
            </w:r>
          </w:p>
          <w:p w:rsidR="00E273E3" w:rsidRPr="00A77A33" w:rsidRDefault="00E273E3" w:rsidP="00EE05DB">
            <w:pPr>
              <w:suppressAutoHyphens/>
              <w:ind w:left="432"/>
              <w:rPr>
                <w:color w:val="000000" w:themeColor="text1"/>
                <w:spacing w:val="-2"/>
              </w:rPr>
            </w:pPr>
            <w:r w:rsidRPr="00A77A33">
              <w:rPr>
                <w:color w:val="000000" w:themeColor="text1"/>
                <w:spacing w:val="-2"/>
              </w:rPr>
              <w:t xml:space="preserve">NAL/Acct. No.:  </w:t>
            </w:r>
            <w:r w:rsidR="00023089" w:rsidRPr="00A77A33">
              <w:rPr>
                <w:color w:val="000000" w:themeColor="text1"/>
              </w:rPr>
              <w:t>201432400005</w:t>
            </w:r>
          </w:p>
          <w:p w:rsidR="00E273E3" w:rsidRPr="00A77A33" w:rsidRDefault="00E273E3" w:rsidP="00023089">
            <w:pPr>
              <w:suppressAutoHyphens/>
              <w:ind w:left="432"/>
              <w:rPr>
                <w:color w:val="000000" w:themeColor="text1"/>
              </w:rPr>
            </w:pPr>
            <w:r w:rsidRPr="00A77A33">
              <w:rPr>
                <w:color w:val="000000" w:themeColor="text1"/>
                <w:spacing w:val="-2"/>
              </w:rPr>
              <w:t xml:space="preserve">FRN:  </w:t>
            </w:r>
            <w:r w:rsidR="00023089" w:rsidRPr="00A77A33">
              <w:rPr>
                <w:color w:val="000000" w:themeColor="text1"/>
              </w:rPr>
              <w:t>0019815109</w:t>
            </w:r>
          </w:p>
          <w:p w:rsidR="00147460" w:rsidRPr="00A77A33" w:rsidRDefault="00147460" w:rsidP="00023089">
            <w:pPr>
              <w:suppressAutoHyphens/>
              <w:ind w:left="432"/>
              <w:rPr>
                <w:color w:val="000000" w:themeColor="text1"/>
                <w:spacing w:val="-2"/>
              </w:rPr>
            </w:pPr>
            <w:r w:rsidRPr="00A77A33">
              <w:rPr>
                <w:color w:val="000000" w:themeColor="text1"/>
              </w:rPr>
              <w:t>Facility ID No.</w:t>
            </w:r>
            <w:r w:rsidR="00CB3AC4" w:rsidRPr="00A77A33">
              <w:rPr>
                <w:color w:val="000000" w:themeColor="text1"/>
              </w:rPr>
              <w:t>:</w:t>
            </w:r>
            <w:r w:rsidRPr="00A77A33">
              <w:rPr>
                <w:color w:val="000000" w:themeColor="text1"/>
              </w:rPr>
              <w:t xml:space="preserve"> </w:t>
            </w:r>
            <w:r w:rsidR="00CB3AC4" w:rsidRPr="00A77A33">
              <w:rPr>
                <w:color w:val="000000" w:themeColor="text1"/>
              </w:rPr>
              <w:t xml:space="preserve"> </w:t>
            </w:r>
            <w:r w:rsidRPr="00A77A33">
              <w:rPr>
                <w:color w:val="000000" w:themeColor="text1"/>
              </w:rPr>
              <w:t>71510</w:t>
            </w:r>
          </w:p>
        </w:tc>
      </w:tr>
    </w:tbl>
    <w:p w:rsidR="00E273E3" w:rsidRPr="00A77A33" w:rsidRDefault="00E273E3" w:rsidP="002659F3">
      <w:pPr>
        <w:rPr>
          <w:color w:val="000000" w:themeColor="text1"/>
        </w:rPr>
      </w:pPr>
    </w:p>
    <w:p w:rsidR="00E273E3" w:rsidRPr="00A77A33" w:rsidRDefault="0099235E" w:rsidP="002659F3">
      <w:pPr>
        <w:pStyle w:val="StyleBoldCentered"/>
        <w:widowControl/>
        <w:spacing w:after="220"/>
        <w:rPr>
          <w:color w:val="000000" w:themeColor="text1"/>
        </w:rPr>
      </w:pPr>
      <w:r w:rsidRPr="00A77A33">
        <w:rPr>
          <w:color w:val="000000" w:themeColor="text1"/>
        </w:rPr>
        <w:t>MEMORANDUM OPINION AND O</w:t>
      </w:r>
      <w:r w:rsidR="00E273E3" w:rsidRPr="00A77A33">
        <w:rPr>
          <w:color w:val="000000" w:themeColor="text1"/>
        </w:rPr>
        <w:t>RDER</w:t>
      </w:r>
    </w:p>
    <w:p w:rsidR="00E273E3" w:rsidRPr="00A77A33" w:rsidRDefault="00E273E3" w:rsidP="0099235E">
      <w:pPr>
        <w:tabs>
          <w:tab w:val="right" w:pos="9360"/>
        </w:tabs>
        <w:suppressAutoHyphens/>
        <w:rPr>
          <w:b/>
          <w:color w:val="000000" w:themeColor="text1"/>
          <w:spacing w:val="-2"/>
        </w:rPr>
      </w:pPr>
      <w:r w:rsidRPr="00A77A33">
        <w:rPr>
          <w:b/>
          <w:color w:val="000000" w:themeColor="text1"/>
          <w:spacing w:val="-2"/>
        </w:rPr>
        <w:t xml:space="preserve">Adopted:  </w:t>
      </w:r>
      <w:r w:rsidR="00053697">
        <w:rPr>
          <w:b/>
          <w:color w:val="000000" w:themeColor="text1"/>
          <w:spacing w:val="-2"/>
        </w:rPr>
        <w:t>February 5</w:t>
      </w:r>
      <w:r w:rsidR="0099235E" w:rsidRPr="00A77A33">
        <w:rPr>
          <w:b/>
          <w:color w:val="000000" w:themeColor="text1"/>
          <w:spacing w:val="-2"/>
        </w:rPr>
        <w:t>, 2016</w:t>
      </w:r>
      <w:r w:rsidR="006D2212" w:rsidRPr="00A77A33">
        <w:rPr>
          <w:b/>
          <w:color w:val="000000" w:themeColor="text1"/>
          <w:spacing w:val="-2"/>
        </w:rPr>
        <w:tab/>
        <w:t xml:space="preserve">Released:  </w:t>
      </w:r>
      <w:r w:rsidR="00053697">
        <w:rPr>
          <w:b/>
          <w:color w:val="000000" w:themeColor="text1"/>
          <w:spacing w:val="-2"/>
        </w:rPr>
        <w:t>February 8</w:t>
      </w:r>
      <w:r w:rsidR="0099235E" w:rsidRPr="00A77A33">
        <w:rPr>
          <w:b/>
          <w:color w:val="000000" w:themeColor="text1"/>
          <w:spacing w:val="-2"/>
        </w:rPr>
        <w:t>, 2016</w:t>
      </w:r>
    </w:p>
    <w:p w:rsidR="0099235E" w:rsidRPr="00A77A33" w:rsidRDefault="0099235E" w:rsidP="0099235E">
      <w:pPr>
        <w:tabs>
          <w:tab w:val="right" w:pos="9360"/>
        </w:tabs>
        <w:suppressAutoHyphens/>
        <w:rPr>
          <w:color w:val="000000" w:themeColor="text1"/>
          <w:spacing w:val="-2"/>
        </w:rPr>
      </w:pPr>
    </w:p>
    <w:p w:rsidR="00E273E3" w:rsidRPr="00A77A33" w:rsidRDefault="00E273E3" w:rsidP="002659F3">
      <w:pPr>
        <w:rPr>
          <w:color w:val="000000" w:themeColor="text1"/>
          <w:spacing w:val="-2"/>
        </w:rPr>
      </w:pPr>
      <w:r w:rsidRPr="00A77A33">
        <w:rPr>
          <w:color w:val="000000" w:themeColor="text1"/>
        </w:rPr>
        <w:t>By the</w:t>
      </w:r>
      <w:r w:rsidR="00147460" w:rsidRPr="00A77A33">
        <w:rPr>
          <w:color w:val="000000" w:themeColor="text1"/>
        </w:rPr>
        <w:t xml:space="preserve"> </w:t>
      </w:r>
      <w:r w:rsidR="0099235E" w:rsidRPr="00A77A33">
        <w:rPr>
          <w:color w:val="000000" w:themeColor="text1"/>
          <w:spacing w:val="-2"/>
        </w:rPr>
        <w:t xml:space="preserve">Deputy Chief, </w:t>
      </w:r>
      <w:r w:rsidR="00023089" w:rsidRPr="00A77A33">
        <w:rPr>
          <w:color w:val="000000" w:themeColor="text1"/>
          <w:spacing w:val="-2"/>
        </w:rPr>
        <w:t>Enforcement Bureau</w:t>
      </w:r>
      <w:r w:rsidRPr="00A77A33">
        <w:rPr>
          <w:color w:val="000000" w:themeColor="text1"/>
          <w:spacing w:val="-2"/>
        </w:rPr>
        <w:t>:</w:t>
      </w:r>
    </w:p>
    <w:p w:rsidR="00E273E3" w:rsidRPr="00A77A33" w:rsidRDefault="00E273E3" w:rsidP="00652860">
      <w:pPr>
        <w:pStyle w:val="Heading1"/>
        <w:numPr>
          <w:ilvl w:val="0"/>
          <w:numId w:val="0"/>
        </w:numPr>
        <w:rPr>
          <w:color w:val="000000" w:themeColor="text1"/>
        </w:rPr>
      </w:pPr>
    </w:p>
    <w:p w:rsidR="0085610B" w:rsidRPr="00A77A33" w:rsidRDefault="00E273E3" w:rsidP="007C59CE">
      <w:pPr>
        <w:pStyle w:val="ParaNum"/>
        <w:rPr>
          <w:color w:val="000000" w:themeColor="text1"/>
        </w:rPr>
      </w:pPr>
      <w:r w:rsidRPr="00A77A33">
        <w:rPr>
          <w:color w:val="000000" w:themeColor="text1"/>
        </w:rPr>
        <w:t xml:space="preserve"> </w:t>
      </w:r>
      <w:r w:rsidR="0099235E" w:rsidRPr="00A77A33">
        <w:rPr>
          <w:color w:val="000000" w:themeColor="text1"/>
        </w:rPr>
        <w:t xml:space="preserve">We deny the Petition for Reconsideration filed by </w:t>
      </w:r>
      <w:r w:rsidR="009A73C4" w:rsidRPr="00A77A33">
        <w:rPr>
          <w:color w:val="000000" w:themeColor="text1"/>
        </w:rPr>
        <w:t xml:space="preserve">Sound Communications, LLC </w:t>
      </w:r>
      <w:r w:rsidR="00147460" w:rsidRPr="00A77A33">
        <w:rPr>
          <w:color w:val="000000" w:themeColor="text1"/>
        </w:rPr>
        <w:t>(Sound Communications</w:t>
      </w:r>
      <w:r w:rsidR="00971CD5" w:rsidRPr="00A77A33">
        <w:rPr>
          <w:color w:val="000000" w:themeColor="text1"/>
        </w:rPr>
        <w:t xml:space="preserve">) </w:t>
      </w:r>
      <w:r w:rsidR="0099235E" w:rsidRPr="00A77A33">
        <w:rPr>
          <w:color w:val="000000" w:themeColor="text1"/>
        </w:rPr>
        <w:t xml:space="preserve">seeking reconsideration of a Forfeiture Order issued by the Enforcement Bureau.  </w:t>
      </w:r>
      <w:r w:rsidR="007C59CE" w:rsidRPr="00A77A33">
        <w:rPr>
          <w:color w:val="000000" w:themeColor="text1"/>
        </w:rPr>
        <w:t>On June 2, 2014, the Enforcement Bureau’s Philadelphia Office issued a Notice of Apparent Liability for Forfeiture Order (</w:t>
      </w:r>
      <w:r w:rsidR="007C59CE" w:rsidRPr="00A77A33">
        <w:rPr>
          <w:i/>
          <w:color w:val="000000" w:themeColor="text1"/>
        </w:rPr>
        <w:t>NAL</w:t>
      </w:r>
      <w:r w:rsidR="007C59CE" w:rsidRPr="00A77A33">
        <w:rPr>
          <w:color w:val="000000" w:themeColor="text1"/>
        </w:rPr>
        <w:t>)</w:t>
      </w:r>
      <w:r w:rsidR="007C59CE" w:rsidRPr="00A77A33">
        <w:rPr>
          <w:i/>
          <w:color w:val="000000" w:themeColor="text1"/>
        </w:rPr>
        <w:t xml:space="preserve"> </w:t>
      </w:r>
      <w:r w:rsidR="007C59CE" w:rsidRPr="00A77A33">
        <w:rPr>
          <w:color w:val="000000" w:themeColor="text1"/>
        </w:rPr>
        <w:t>proposing a $7,000 forfeiture against Sound Communications for apparently willfully and repeatedly violating Section 73.49 of the Commission’s rules (Rules) by failing to enclose its antenna structure for AM Station WENY within an effective locked fence or other enclosure.</w:t>
      </w:r>
      <w:r w:rsidR="007C59CE" w:rsidRPr="00A77A33">
        <w:rPr>
          <w:rStyle w:val="FootnoteReference"/>
          <w:color w:val="000000" w:themeColor="text1"/>
        </w:rPr>
        <w:footnoteReference w:id="2"/>
      </w:r>
      <w:r w:rsidR="007C59CE" w:rsidRPr="00A77A33">
        <w:rPr>
          <w:color w:val="000000" w:themeColor="text1"/>
        </w:rPr>
        <w:t xml:space="preserve">  The Enforcement Bureau subsequently issued a Forfeiture Order imposing a $7,000 penalty against Sound Communications.</w:t>
      </w:r>
      <w:r w:rsidR="007C59CE" w:rsidRPr="00A77A33">
        <w:rPr>
          <w:rStyle w:val="FootnoteReference"/>
          <w:color w:val="000000" w:themeColor="text1"/>
        </w:rPr>
        <w:footnoteReference w:id="3"/>
      </w:r>
      <w:r w:rsidR="007C59CE" w:rsidRPr="00A77A33">
        <w:rPr>
          <w:color w:val="000000" w:themeColor="text1"/>
        </w:rPr>
        <w:t xml:space="preserve">   </w:t>
      </w:r>
    </w:p>
    <w:p w:rsidR="00652860" w:rsidRPr="00F62BF2" w:rsidRDefault="00652860" w:rsidP="00652860">
      <w:pPr>
        <w:pStyle w:val="ParaNum"/>
        <w:rPr>
          <w:color w:val="000000" w:themeColor="text1"/>
        </w:rPr>
      </w:pPr>
      <w:r w:rsidRPr="00F62BF2">
        <w:rPr>
          <w:color w:val="000000" w:themeColor="text1"/>
        </w:rPr>
        <w:t>Petitions for reconsideration are granted only in limited circumstances.  Reconsideration is appropriate only when the petitioner either demonstrates a material error or omission in the underlying order or raises additional facts not known or not existing until after the petitioner’s last opportunity to present such matters.</w:t>
      </w:r>
      <w:r w:rsidRPr="00F62BF2">
        <w:rPr>
          <w:rStyle w:val="FootnoteReference"/>
          <w:color w:val="000000" w:themeColor="text1"/>
        </w:rPr>
        <w:footnoteReference w:id="4"/>
      </w:r>
      <w:r>
        <w:rPr>
          <w:color w:val="000000" w:themeColor="text1"/>
        </w:rPr>
        <w:t xml:space="preserve"> </w:t>
      </w:r>
      <w:r w:rsidRPr="00F62BF2">
        <w:rPr>
          <w:color w:val="000000" w:themeColor="text1"/>
          <w:szCs w:val="22"/>
        </w:rPr>
        <w:t>A petition for reconsideration that only reiterates facts and arguments previously considered and rejected will be denied.</w:t>
      </w:r>
      <w:r w:rsidRPr="00F62BF2">
        <w:rPr>
          <w:rStyle w:val="FootnoteReference"/>
          <w:color w:val="000000" w:themeColor="text1"/>
          <w:szCs w:val="22"/>
        </w:rPr>
        <w:footnoteReference w:id="5"/>
      </w:r>
      <w:r w:rsidRPr="00F62BF2">
        <w:rPr>
          <w:color w:val="000000" w:themeColor="text1"/>
          <w:szCs w:val="22"/>
          <w:vertAlign w:val="superscript"/>
        </w:rPr>
        <w:t xml:space="preserve"> </w:t>
      </w:r>
      <w:r w:rsidRPr="00F62BF2">
        <w:rPr>
          <w:color w:val="000000" w:themeColor="text1"/>
          <w:szCs w:val="22"/>
        </w:rPr>
        <w:t>Sound Communication’s Petition fails to present such information warranting reconsideration</w:t>
      </w:r>
      <w:r w:rsidRPr="00F62BF2">
        <w:rPr>
          <w:color w:val="000000" w:themeColor="text1"/>
        </w:rPr>
        <w:t xml:space="preserve">.  </w:t>
      </w:r>
    </w:p>
    <w:p w:rsidR="00652860" w:rsidRPr="00F62BF2" w:rsidRDefault="00652860" w:rsidP="00652860">
      <w:pPr>
        <w:pStyle w:val="ParaNum"/>
        <w:widowControl/>
        <w:rPr>
          <w:color w:val="000000" w:themeColor="text1"/>
        </w:rPr>
      </w:pPr>
      <w:r w:rsidRPr="00A77A33">
        <w:rPr>
          <w:color w:val="000000" w:themeColor="text1"/>
          <w:szCs w:val="22"/>
        </w:rPr>
        <w:t>Were we to reach the merits of Sound Communication’</w:t>
      </w:r>
      <w:r w:rsidR="00146912">
        <w:rPr>
          <w:color w:val="000000" w:themeColor="text1"/>
          <w:szCs w:val="22"/>
        </w:rPr>
        <w:t xml:space="preserve">s arguments, we also would find </w:t>
      </w:r>
      <w:r w:rsidRPr="00A77A33">
        <w:rPr>
          <w:color w:val="000000" w:themeColor="text1"/>
          <w:szCs w:val="22"/>
        </w:rPr>
        <w:t>no</w:t>
      </w:r>
      <w:r>
        <w:rPr>
          <w:color w:val="000000" w:themeColor="text1"/>
          <w:szCs w:val="22"/>
        </w:rPr>
        <w:t xml:space="preserve"> basis for reconsideration. </w:t>
      </w:r>
      <w:r w:rsidR="006746BF">
        <w:rPr>
          <w:color w:val="000000" w:themeColor="text1"/>
          <w:szCs w:val="22"/>
        </w:rPr>
        <w:t xml:space="preserve"> </w:t>
      </w:r>
      <w:r w:rsidRPr="00F62BF2">
        <w:rPr>
          <w:rStyle w:val="apple-converted-space"/>
          <w:color w:val="000000" w:themeColor="text1"/>
          <w:szCs w:val="22"/>
        </w:rPr>
        <w:t>Sound Communications argues that a forfeiture reduction is warranted because there is no evidence of a “willful or repeated” violation of the Communications Act or Rules.</w:t>
      </w:r>
      <w:r w:rsidRPr="00F62BF2">
        <w:rPr>
          <w:rStyle w:val="FootnoteReference"/>
          <w:color w:val="000000" w:themeColor="text1"/>
          <w:szCs w:val="22"/>
        </w:rPr>
        <w:footnoteReference w:id="6"/>
      </w:r>
      <w:r w:rsidRPr="00F62BF2">
        <w:rPr>
          <w:rStyle w:val="apple-converted-space"/>
          <w:color w:val="000000" w:themeColor="text1"/>
          <w:szCs w:val="22"/>
        </w:rPr>
        <w:t xml:space="preserve">  </w:t>
      </w:r>
      <w:r w:rsidRPr="00F62BF2">
        <w:rPr>
          <w:rStyle w:val="apple-converted-space"/>
          <w:color w:val="000000" w:themeColor="text1"/>
          <w:szCs w:val="22"/>
        </w:rPr>
        <w:lastRenderedPageBreak/>
        <w:t xml:space="preserve">As explained in the </w:t>
      </w:r>
      <w:r w:rsidRPr="00F62BF2">
        <w:rPr>
          <w:rStyle w:val="apple-converted-space"/>
          <w:i/>
          <w:color w:val="000000" w:themeColor="text1"/>
          <w:szCs w:val="22"/>
        </w:rPr>
        <w:t>NAL</w:t>
      </w:r>
      <w:r w:rsidRPr="00F62BF2">
        <w:rPr>
          <w:rStyle w:val="apple-converted-space"/>
          <w:color w:val="000000" w:themeColor="text1"/>
          <w:szCs w:val="22"/>
        </w:rPr>
        <w:t xml:space="preserve"> and Forfeiture Order, the </w:t>
      </w:r>
      <w:r w:rsidRPr="00F62BF2">
        <w:rPr>
          <w:color w:val="000000" w:themeColor="text1"/>
          <w:szCs w:val="22"/>
        </w:rPr>
        <w:t>“conscious and deliberate commission or omission of [any] act, irrespective of any intent to violate” the law renders a violation willful regardless of whether the party intended to violate the law.</w:t>
      </w:r>
      <w:r w:rsidRPr="00F62BF2">
        <w:rPr>
          <w:rStyle w:val="FootnoteReference"/>
          <w:color w:val="000000" w:themeColor="text1"/>
          <w:sz w:val="22"/>
          <w:szCs w:val="22"/>
        </w:rPr>
        <w:footnoteReference w:id="7"/>
      </w:r>
      <w:r w:rsidRPr="00F62BF2">
        <w:rPr>
          <w:color w:val="000000" w:themeColor="text1"/>
          <w:szCs w:val="22"/>
        </w:rPr>
        <w:t xml:space="preserve">  In its Petition, Sound Communications does not deny that it deliberately left its fencing gate unlocked.  Rather it argues that </w:t>
      </w:r>
      <w:r w:rsidR="00053697">
        <w:rPr>
          <w:color w:val="000000" w:themeColor="text1"/>
          <w:szCs w:val="22"/>
        </w:rPr>
        <w:t>its</w:t>
      </w:r>
      <w:r w:rsidRPr="00F62BF2">
        <w:rPr>
          <w:color w:val="000000" w:themeColor="text1"/>
          <w:szCs w:val="22"/>
        </w:rPr>
        <w:t xml:space="preserve"> conduct was not willful but merely an “inadvertent error” that was immediately rectified upon notification of the issue.</w:t>
      </w:r>
      <w:r w:rsidRPr="00F62BF2">
        <w:rPr>
          <w:rStyle w:val="FootnoteReference"/>
          <w:color w:val="000000" w:themeColor="text1"/>
          <w:szCs w:val="22"/>
        </w:rPr>
        <w:footnoteReference w:id="8"/>
      </w:r>
      <w:r w:rsidRPr="00F62BF2">
        <w:rPr>
          <w:color w:val="000000" w:themeColor="text1"/>
          <w:szCs w:val="22"/>
        </w:rPr>
        <w:t xml:space="preserve">  We disagree.  </w:t>
      </w:r>
      <w:r w:rsidRPr="00F62BF2">
        <w:rPr>
          <w:color w:val="000000" w:themeColor="text1"/>
        </w:rPr>
        <w:t>The Bureau addressed this in the Forfeiture Order noting that “[i]nadvertent mistakes are not mitigating circumstances that can serve to justify a forfeiture reduction.”</w:t>
      </w:r>
      <w:r w:rsidRPr="00F62BF2">
        <w:rPr>
          <w:rStyle w:val="FootnoteReference"/>
          <w:color w:val="000000" w:themeColor="text1"/>
        </w:rPr>
        <w:footnoteReference w:id="9"/>
      </w:r>
      <w:r w:rsidRPr="00F62BF2">
        <w:rPr>
          <w:color w:val="000000" w:themeColor="text1"/>
        </w:rPr>
        <w:t xml:space="preserve">  </w:t>
      </w:r>
      <w:r w:rsidRPr="00F62BF2">
        <w:rPr>
          <w:color w:val="000000" w:themeColor="text1"/>
          <w:szCs w:val="22"/>
        </w:rPr>
        <w:t>As a result, we find that Sound Communications willfully violated the Rules.  In its Petition, Sound Communications also concedes that the violation continued over several days.</w:t>
      </w:r>
      <w:r w:rsidRPr="00F62BF2">
        <w:rPr>
          <w:rStyle w:val="FootnoteReference"/>
          <w:color w:val="000000" w:themeColor="text1"/>
          <w:szCs w:val="22"/>
        </w:rPr>
        <w:footnoteReference w:id="10"/>
      </w:r>
      <w:r w:rsidRPr="00F62BF2">
        <w:rPr>
          <w:color w:val="000000" w:themeColor="text1"/>
          <w:szCs w:val="22"/>
        </w:rPr>
        <w:t xml:space="preserve">  As a result, even if we did not find Sound Communications’ violation willful, the Bureau correctly determined that the violation was repeated.</w:t>
      </w:r>
      <w:r w:rsidRPr="00F62BF2">
        <w:rPr>
          <w:rStyle w:val="FootnoteReference"/>
          <w:color w:val="000000" w:themeColor="text1"/>
          <w:szCs w:val="22"/>
        </w:rPr>
        <w:footnoteReference w:id="11"/>
      </w:r>
    </w:p>
    <w:p w:rsidR="00E273E3" w:rsidRPr="00652860" w:rsidRDefault="00652860" w:rsidP="00652860">
      <w:pPr>
        <w:pStyle w:val="ParaNum"/>
        <w:rPr>
          <w:color w:val="000000" w:themeColor="text1"/>
        </w:rPr>
      </w:pPr>
      <w:r w:rsidRPr="00F62BF2">
        <w:rPr>
          <w:color w:val="000000" w:themeColor="text1"/>
          <w:szCs w:val="22"/>
        </w:rPr>
        <w:t xml:space="preserve">Sound Communications’ Petition fails to present any information or argument warranting reconsideration of the Forfeiture Order. The Petition does not challenge the Bureau's finding that Sound Communications’ </w:t>
      </w:r>
      <w:r w:rsidRPr="00F62BF2">
        <w:rPr>
          <w:color w:val="000000" w:themeColor="text1"/>
        </w:rPr>
        <w:t xml:space="preserve">antenna structure was not properly enclosed, nor does it dispute that the gate remained unlocked for several days.  Instead, Sound Communications’ argues that the “Commission’s conclusion regarding what constitutes a ‘willful’ or ‘repeated’ violation has </w:t>
      </w:r>
      <w:r w:rsidRPr="00F62BF2">
        <w:rPr>
          <w:color w:val="000000" w:themeColor="text1"/>
          <w:szCs w:val="22"/>
        </w:rPr>
        <w:t>not been corroborated by any court.”</w:t>
      </w:r>
      <w:r w:rsidRPr="00F62BF2">
        <w:rPr>
          <w:rStyle w:val="FootnoteReference"/>
          <w:color w:val="000000" w:themeColor="text1"/>
          <w:sz w:val="22"/>
          <w:szCs w:val="22"/>
        </w:rPr>
        <w:footnoteReference w:id="12"/>
      </w:r>
      <w:r w:rsidRPr="00F62BF2">
        <w:rPr>
          <w:color w:val="000000" w:themeColor="text1"/>
          <w:szCs w:val="22"/>
        </w:rPr>
        <w:t xml:space="preserve"> This argument was fully considered and rejected in the Forfeiture Order.</w:t>
      </w:r>
      <w:r w:rsidRPr="00F62BF2">
        <w:rPr>
          <w:rStyle w:val="FootnoteReference"/>
          <w:color w:val="000000" w:themeColor="text1"/>
          <w:sz w:val="22"/>
          <w:szCs w:val="22"/>
        </w:rPr>
        <w:footnoteReference w:id="13"/>
      </w:r>
      <w:r w:rsidRPr="00F62BF2">
        <w:rPr>
          <w:color w:val="000000" w:themeColor="text1"/>
          <w:szCs w:val="22"/>
        </w:rPr>
        <w:t xml:space="preserve"> Accordingly, because Sound Communications failed to provide any new information, or to raise any new arguments not previously considered and rejected by the Bureau, we deny the Petition pursuant to section 405 of the Act and Section 1.106 of the Commission's rules.</w:t>
      </w:r>
      <w:r w:rsidR="007D4374" w:rsidRPr="00A77A33">
        <w:rPr>
          <w:color w:val="000000" w:themeColor="text1"/>
        </w:rPr>
        <w:t xml:space="preserve"> </w:t>
      </w:r>
      <w:r w:rsidR="00AF0A67" w:rsidRPr="00652860">
        <w:rPr>
          <w:color w:val="000000" w:themeColor="text1"/>
        </w:rPr>
        <w:t xml:space="preserve">   </w:t>
      </w:r>
      <w:r w:rsidR="005A52AE" w:rsidRPr="00652860">
        <w:rPr>
          <w:color w:val="000000" w:themeColor="text1"/>
        </w:rPr>
        <w:t xml:space="preserve">  </w:t>
      </w:r>
    </w:p>
    <w:p w:rsidR="00E33E1D" w:rsidRPr="00A77A33" w:rsidRDefault="00E33E1D" w:rsidP="00E33E1D">
      <w:pPr>
        <w:pStyle w:val="ParaNum"/>
        <w:widowControl/>
        <w:rPr>
          <w:color w:val="000000" w:themeColor="text1"/>
        </w:rPr>
      </w:pPr>
      <w:r w:rsidRPr="00A77A33">
        <w:rPr>
          <w:color w:val="000000" w:themeColor="text1"/>
        </w:rPr>
        <w:t xml:space="preserve">Accordingly, </w:t>
      </w:r>
      <w:r w:rsidRPr="00A77A33">
        <w:rPr>
          <w:b/>
          <w:color w:val="000000" w:themeColor="text1"/>
        </w:rPr>
        <w:t xml:space="preserve">IT IS ORDERED </w:t>
      </w:r>
      <w:r w:rsidRPr="00A77A33">
        <w:rPr>
          <w:color w:val="000000" w:themeColor="text1"/>
        </w:rPr>
        <w:t>that, pursuant to Section 405 of the Communications Act of 1934, as amended (Act),</w:t>
      </w:r>
      <w:r w:rsidRPr="00A77A33">
        <w:rPr>
          <w:rStyle w:val="FootnoteReference"/>
          <w:color w:val="000000" w:themeColor="text1"/>
          <w:szCs w:val="22"/>
        </w:rPr>
        <w:footnoteReference w:id="14"/>
      </w:r>
      <w:r w:rsidRPr="00A77A33">
        <w:rPr>
          <w:color w:val="000000" w:themeColor="text1"/>
        </w:rPr>
        <w:t xml:space="preserve"> and Section 1.106 of the Rules,</w:t>
      </w:r>
      <w:r w:rsidRPr="00A77A33">
        <w:rPr>
          <w:rStyle w:val="FootnoteCharacters"/>
          <w:color w:val="000000" w:themeColor="text1"/>
          <w:szCs w:val="22"/>
        </w:rPr>
        <w:footnoteReference w:id="15"/>
      </w:r>
      <w:r w:rsidRPr="00A77A33">
        <w:rPr>
          <w:color w:val="000000" w:themeColor="text1"/>
        </w:rPr>
        <w:t xml:space="preserve"> the Petition for Reconsideration filed by Sound Communications, LLC is hereby </w:t>
      </w:r>
      <w:r w:rsidRPr="00A77A33">
        <w:rPr>
          <w:b/>
          <w:color w:val="000000" w:themeColor="text1"/>
        </w:rPr>
        <w:t>DENIED</w:t>
      </w:r>
      <w:r w:rsidRPr="00A77A33">
        <w:rPr>
          <w:color w:val="000000" w:themeColor="text1"/>
        </w:rPr>
        <w:t>.</w:t>
      </w:r>
    </w:p>
    <w:p w:rsidR="00652860" w:rsidRPr="00652860" w:rsidRDefault="00E33E1D" w:rsidP="00652860">
      <w:pPr>
        <w:pStyle w:val="ParaNum"/>
        <w:rPr>
          <w:color w:val="000000" w:themeColor="text1"/>
        </w:rPr>
      </w:pPr>
      <w:r w:rsidRPr="00A77A33">
        <w:rPr>
          <w:b/>
          <w:color w:val="000000" w:themeColor="text1"/>
        </w:rPr>
        <w:t xml:space="preserve">IT IS FURTHER ORDERED </w:t>
      </w:r>
      <w:r w:rsidRPr="00A77A33">
        <w:rPr>
          <w:color w:val="000000" w:themeColor="text1"/>
        </w:rPr>
        <w:t>that, pursuant to Section 503(b) of the Act and Sections 0.111, 0.311,</w:t>
      </w:r>
      <w:r w:rsidRPr="00A77A33">
        <w:rPr>
          <w:b/>
          <w:color w:val="000000" w:themeColor="text1"/>
        </w:rPr>
        <w:t xml:space="preserve"> </w:t>
      </w:r>
      <w:r w:rsidRPr="00A77A33">
        <w:rPr>
          <w:color w:val="000000" w:themeColor="text1"/>
        </w:rPr>
        <w:t xml:space="preserve">and 1.80 of the Rules, Sound Communications, LLC </w:t>
      </w:r>
      <w:r w:rsidRPr="00A77A33">
        <w:rPr>
          <w:b/>
          <w:color w:val="000000" w:themeColor="text1"/>
        </w:rPr>
        <w:t>IS LIABLE FOR A MONETARY FORFEITURE</w:t>
      </w:r>
      <w:r w:rsidRPr="00A77A33">
        <w:rPr>
          <w:color w:val="000000" w:themeColor="text1"/>
        </w:rPr>
        <w:t xml:space="preserve"> in the amount of seven thousand dollars ($7,000) for </w:t>
      </w:r>
      <w:r w:rsidR="00B97BA0" w:rsidRPr="00A77A33">
        <w:rPr>
          <w:color w:val="000000" w:themeColor="text1"/>
        </w:rPr>
        <w:t>willfully and repeatedly violating Section 73.49 of the Rules.</w:t>
      </w:r>
      <w:r w:rsidR="00B97BA0" w:rsidRPr="00A77A33">
        <w:rPr>
          <w:rStyle w:val="FootnoteReference"/>
          <w:color w:val="000000" w:themeColor="text1"/>
        </w:rPr>
        <w:footnoteReference w:id="16"/>
      </w:r>
    </w:p>
    <w:p w:rsidR="003343CA" w:rsidRPr="00A77A33" w:rsidRDefault="003343CA" w:rsidP="004755A2">
      <w:pPr>
        <w:pStyle w:val="ParaNum"/>
        <w:rPr>
          <w:color w:val="000000" w:themeColor="text1"/>
        </w:rPr>
      </w:pPr>
      <w:r w:rsidRPr="00A77A33">
        <w:rPr>
          <w:color w:val="000000" w:themeColor="text1"/>
        </w:rPr>
        <w:t xml:space="preserve">Payment of the forfeiture shall be made in the manner provided for in Section 1.80 of the Rules within </w:t>
      </w:r>
      <w:r w:rsidR="00225854" w:rsidRPr="00A77A33">
        <w:rPr>
          <w:color w:val="000000" w:themeColor="text1"/>
        </w:rPr>
        <w:t>thirty (30</w:t>
      </w:r>
      <w:r w:rsidRPr="00A77A33">
        <w:rPr>
          <w:color w:val="000000" w:themeColor="text1"/>
        </w:rPr>
        <w:t xml:space="preserve">) calendar days after the </w:t>
      </w:r>
      <w:r w:rsidR="00B97BA0" w:rsidRPr="00A77A33">
        <w:rPr>
          <w:color w:val="000000" w:themeColor="text1"/>
        </w:rPr>
        <w:t>release of this Memorandum Opinion and Order</w:t>
      </w:r>
      <w:r w:rsidRPr="00A77A33">
        <w:rPr>
          <w:color w:val="000000" w:themeColor="text1"/>
        </w:rPr>
        <w:t>.</w:t>
      </w:r>
      <w:r w:rsidRPr="00A77A33">
        <w:rPr>
          <w:rStyle w:val="FootnoteReference"/>
          <w:color w:val="000000" w:themeColor="text1"/>
        </w:rPr>
        <w:footnoteReference w:id="17"/>
      </w:r>
      <w:r w:rsidRPr="00A77A33">
        <w:rPr>
          <w:color w:val="000000" w:themeColor="text1"/>
        </w:rPr>
        <w:t xml:space="preserve">  If the </w:t>
      </w:r>
      <w:r w:rsidRPr="00A77A33">
        <w:rPr>
          <w:color w:val="000000" w:themeColor="text1"/>
        </w:rPr>
        <w:lastRenderedPageBreak/>
        <w:t>forfeiture is not paid within the period specified, the case may be referred to the U.S. Department of Justice for enforcement of the forfeiture pursuant to Section 504(a) of the Act.</w:t>
      </w:r>
      <w:r w:rsidRPr="00A77A33">
        <w:rPr>
          <w:rStyle w:val="FootnoteReference"/>
          <w:color w:val="000000" w:themeColor="text1"/>
        </w:rPr>
        <w:footnoteReference w:id="18"/>
      </w:r>
      <w:r w:rsidRPr="00A77A33">
        <w:rPr>
          <w:color w:val="000000" w:themeColor="text1"/>
        </w:rPr>
        <w:t xml:space="preserve">  </w:t>
      </w:r>
    </w:p>
    <w:p w:rsidR="00652860" w:rsidRPr="00652860" w:rsidRDefault="00F23F1E" w:rsidP="00652860">
      <w:pPr>
        <w:pStyle w:val="ParaNum"/>
        <w:rPr>
          <w:color w:val="000000" w:themeColor="text1"/>
        </w:rPr>
      </w:pPr>
      <w:r w:rsidRPr="00A77A33">
        <w:rPr>
          <w:color w:val="000000" w:themeColor="text1"/>
          <w:szCs w:val="22"/>
        </w:rPr>
        <w:t>Payment of the forfeiture must be made by check or similar instrument, wire transfer, or credit card, and must include the NAL/Account Number and FRN referenced above</w:t>
      </w:r>
      <w:r w:rsidR="00246E35" w:rsidRPr="00A77A33">
        <w:rPr>
          <w:color w:val="000000" w:themeColor="text1"/>
          <w:szCs w:val="22"/>
        </w:rPr>
        <w:t xml:space="preserve">. </w:t>
      </w:r>
      <w:r w:rsidR="00694A6E" w:rsidRPr="00A77A33">
        <w:rPr>
          <w:color w:val="000000" w:themeColor="text1"/>
          <w:szCs w:val="22"/>
        </w:rPr>
        <w:t xml:space="preserve"> </w:t>
      </w:r>
      <w:r w:rsidR="00E7391D" w:rsidRPr="00A77A33">
        <w:rPr>
          <w:color w:val="000000" w:themeColor="text1"/>
          <w:szCs w:val="22"/>
        </w:rPr>
        <w:t>Sound Communications, LLC,</w:t>
      </w:r>
      <w:r w:rsidRPr="00A77A33">
        <w:rPr>
          <w:color w:val="000000" w:themeColor="text1"/>
          <w:szCs w:val="22"/>
        </w:rPr>
        <w:t xml:space="preserve"> shall send electronic notification of </w:t>
      </w:r>
      <w:r w:rsidR="00E077BE" w:rsidRPr="00A77A33">
        <w:rPr>
          <w:color w:val="000000" w:themeColor="text1"/>
          <w:szCs w:val="22"/>
        </w:rPr>
        <w:t>payment to NER-Response</w:t>
      </w:r>
      <w:r w:rsidRPr="00A77A33">
        <w:rPr>
          <w:color w:val="000000" w:themeColor="text1"/>
          <w:szCs w:val="22"/>
        </w:rPr>
        <w:t xml:space="preserve">@fcc.gov on the date said payment is made.  </w:t>
      </w:r>
      <w:r w:rsidR="003343CA" w:rsidRPr="00A77A33">
        <w:rPr>
          <w:color w:val="000000" w:themeColor="text1"/>
        </w:rPr>
        <w:t>Regardless of the form of payment, a completed FCC Form 159 (Remittance Advice) must be submitted.</w:t>
      </w:r>
      <w:r w:rsidR="003343CA" w:rsidRPr="00A77A33">
        <w:rPr>
          <w:rStyle w:val="FootnoteReference"/>
          <w:color w:val="000000" w:themeColor="text1"/>
        </w:rPr>
        <w:footnoteReference w:id="19"/>
      </w:r>
      <w:r w:rsidR="003343CA" w:rsidRPr="00A77A33">
        <w:rPr>
          <w:color w:val="000000" w:themeColor="text1"/>
        </w:rPr>
        <w:t xml:space="preserve">  When completing the Form 159, enter the Account Number in block number 23A (call sign/other ID) and enter the letters “FORF” in block number 24A (payment type code).  </w:t>
      </w:r>
      <w:r w:rsidRPr="00A77A33">
        <w:rPr>
          <w:color w:val="000000" w:themeColor="text1"/>
          <w:szCs w:val="22"/>
        </w:rPr>
        <w:t>Below are additional instructions that should be followed based on the form of payment selected:</w:t>
      </w:r>
    </w:p>
    <w:p w:rsidR="003343CA" w:rsidRPr="00A77A33" w:rsidRDefault="003343CA" w:rsidP="001D41D4">
      <w:pPr>
        <w:pStyle w:val="par1"/>
        <w:numPr>
          <w:ilvl w:val="0"/>
          <w:numId w:val="4"/>
        </w:numPr>
        <w:tabs>
          <w:tab w:val="clear" w:pos="1440"/>
        </w:tabs>
        <w:spacing w:after="120"/>
        <w:rPr>
          <w:color w:val="000000" w:themeColor="text1"/>
          <w:sz w:val="22"/>
        </w:rPr>
      </w:pPr>
      <w:r w:rsidRPr="00A77A33">
        <w:rPr>
          <w:color w:val="000000" w:themeColor="text1"/>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A77A33">
        <w:rPr>
          <w:color w:val="000000" w:themeColor="text1"/>
          <w:sz w:val="22"/>
        </w:rPr>
        <w:noBreakHyphen/>
        <w:t>MO-C2-GL, 1005 Convention Plaza, St. Louis, MO 63101.</w:t>
      </w:r>
    </w:p>
    <w:p w:rsidR="003343CA" w:rsidRPr="00A77A33" w:rsidRDefault="003343CA" w:rsidP="001D41D4">
      <w:pPr>
        <w:pStyle w:val="par1"/>
        <w:numPr>
          <w:ilvl w:val="0"/>
          <w:numId w:val="4"/>
        </w:numPr>
        <w:tabs>
          <w:tab w:val="clear" w:pos="1440"/>
        </w:tabs>
        <w:spacing w:after="120"/>
        <w:rPr>
          <w:color w:val="000000" w:themeColor="text1"/>
          <w:sz w:val="22"/>
        </w:rPr>
      </w:pPr>
      <w:r w:rsidRPr="00A77A33">
        <w:rPr>
          <w:color w:val="000000" w:themeColor="text1"/>
          <w:sz w:val="22"/>
        </w:rPr>
        <w:t xml:space="preserve">Payment by wire transfer must be made to ABA Number 021030004, receiving bank TREAS/NYC, and Account Number 27000001.  To complete the wire transfer and </w:t>
      </w:r>
      <w:r w:rsidR="002D74C4" w:rsidRPr="00A77A33">
        <w:rPr>
          <w:color w:val="000000" w:themeColor="text1"/>
          <w:sz w:val="22"/>
        </w:rPr>
        <w:t>e</w:t>
      </w:r>
      <w:r w:rsidRPr="00A77A33">
        <w:rPr>
          <w:color w:val="000000" w:themeColor="text1"/>
          <w:sz w:val="22"/>
        </w:rPr>
        <w:t>nsure appropriate crediting of the wired funds, a completed Form 159 must be faxed to U.S. Bank at (314) 418-4232 on the same business day the wire transfer is initiated.</w:t>
      </w:r>
    </w:p>
    <w:p w:rsidR="00652860" w:rsidRPr="00A77A33" w:rsidRDefault="003343CA" w:rsidP="00652860">
      <w:pPr>
        <w:pStyle w:val="par1"/>
        <w:widowControl/>
        <w:numPr>
          <w:ilvl w:val="0"/>
          <w:numId w:val="4"/>
        </w:numPr>
        <w:tabs>
          <w:tab w:val="clear" w:pos="1440"/>
        </w:tabs>
        <w:spacing w:after="120"/>
        <w:ind w:left="1267"/>
        <w:rPr>
          <w:color w:val="000000" w:themeColor="text1"/>
          <w:sz w:val="22"/>
        </w:rPr>
      </w:pPr>
      <w:r w:rsidRPr="00A77A33">
        <w:rPr>
          <w:color w:val="000000" w:themeColor="text1"/>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sidR="00652860" w:rsidRPr="00A77A33">
        <w:rPr>
          <w:color w:val="000000" w:themeColor="text1"/>
          <w:sz w:val="22"/>
        </w:rPr>
        <w:t xml:space="preserve"> </w:t>
      </w:r>
    </w:p>
    <w:p w:rsidR="00652860" w:rsidRPr="00652860" w:rsidRDefault="00F23F1E" w:rsidP="00652860">
      <w:pPr>
        <w:pStyle w:val="ParaNum"/>
        <w:rPr>
          <w:color w:val="000000" w:themeColor="text1"/>
        </w:rPr>
      </w:pPr>
      <w:r w:rsidRPr="00A77A33">
        <w:rPr>
          <w:color w:val="000000" w:themeColor="text1"/>
        </w:rPr>
        <w:t>Any request for making full payment over time under an installment plan should be sent to:  Chief Financial Officer – Financial Operations, Federal Communications Commission, 445 12th Street, SW, Room 1</w:t>
      </w:r>
      <w:r w:rsidRPr="00A77A33">
        <w:rPr>
          <w:color w:val="000000" w:themeColor="text1"/>
        </w:rPr>
        <w:noBreakHyphen/>
        <w:t>A625, Washington, DC 20554.</w:t>
      </w:r>
      <w:r w:rsidRPr="00A77A33">
        <w:rPr>
          <w:rStyle w:val="FootnoteReference"/>
          <w:color w:val="000000" w:themeColor="text1"/>
          <w:sz w:val="22"/>
          <w:szCs w:val="22"/>
        </w:rPr>
        <w:footnoteReference w:id="20"/>
      </w:r>
      <w:r w:rsidRPr="00A77A33">
        <w:rPr>
          <w:color w:val="000000" w:themeColor="text1"/>
        </w:rPr>
        <w:t xml:space="preserve">  Questions regarding payment procedures should be directed to the Financial Operations Group Help Desk by telephone, 1-877-480-3201, or by e-mail, </w:t>
      </w:r>
      <w:hyperlink r:id="rId8" w:history="1">
        <w:r w:rsidR="00652860" w:rsidRPr="00CB104A">
          <w:rPr>
            <w:rStyle w:val="Hyperlink"/>
          </w:rPr>
          <w:t>ARINQUIRIES@fcc.gov</w:t>
        </w:r>
      </w:hyperlink>
      <w:r w:rsidRPr="00A77A33">
        <w:rPr>
          <w:color w:val="000000" w:themeColor="text1"/>
        </w:rPr>
        <w:t>.</w:t>
      </w:r>
    </w:p>
    <w:p w:rsidR="00085024" w:rsidRPr="00E31D71" w:rsidRDefault="003343CA" w:rsidP="00E31D71">
      <w:pPr>
        <w:pStyle w:val="ParaNum"/>
        <w:rPr>
          <w:color w:val="000000" w:themeColor="text1"/>
        </w:rPr>
      </w:pPr>
      <w:r w:rsidRPr="00A77A33">
        <w:rPr>
          <w:b/>
          <w:color w:val="000000" w:themeColor="text1"/>
        </w:rPr>
        <w:t>IT IS FURTHER ORDERED</w:t>
      </w:r>
      <w:r w:rsidRPr="00A77A33">
        <w:rPr>
          <w:color w:val="000000" w:themeColor="text1"/>
        </w:rPr>
        <w:t xml:space="preserve"> that </w:t>
      </w:r>
      <w:r w:rsidR="00C627F2" w:rsidRPr="00A77A33">
        <w:rPr>
          <w:color w:val="000000" w:themeColor="text1"/>
        </w:rPr>
        <w:t xml:space="preserve">a copy of this Memorandum Opinion and Order </w:t>
      </w:r>
      <w:r w:rsidR="00F23F1E" w:rsidRPr="00A77A33">
        <w:rPr>
          <w:color w:val="000000" w:themeColor="text1"/>
        </w:rPr>
        <w:t>shall be sent by first class mail and certified mail</w:t>
      </w:r>
      <w:r w:rsidR="00085024" w:rsidRPr="00A77A33">
        <w:rPr>
          <w:color w:val="000000" w:themeColor="text1"/>
        </w:rPr>
        <w:t xml:space="preserve">, return receipt requested, to </w:t>
      </w:r>
      <w:r w:rsidR="00085024" w:rsidRPr="00A77A33">
        <w:rPr>
          <w:color w:val="000000" w:themeColor="text1"/>
          <w:spacing w:val="-2"/>
          <w:szCs w:val="22"/>
        </w:rPr>
        <w:t>Sound Communications</w:t>
      </w:r>
      <w:r w:rsidR="00694A6E" w:rsidRPr="00A77A33">
        <w:rPr>
          <w:color w:val="000000" w:themeColor="text1"/>
          <w:spacing w:val="-2"/>
          <w:szCs w:val="22"/>
        </w:rPr>
        <w:t>,</w:t>
      </w:r>
      <w:r w:rsidR="00085024" w:rsidRPr="00A77A33">
        <w:rPr>
          <w:color w:val="000000" w:themeColor="text1"/>
          <w:spacing w:val="-2"/>
          <w:szCs w:val="22"/>
        </w:rPr>
        <w:t xml:space="preserve"> LLC at 15 Woodland Way, Painted Post, New York 14870 </w:t>
      </w:r>
      <w:r w:rsidR="00085024" w:rsidRPr="00A77A33">
        <w:rPr>
          <w:color w:val="000000" w:themeColor="text1"/>
        </w:rPr>
        <w:t xml:space="preserve">and to Mark B. Denbo, Esq., </w:t>
      </w:r>
      <w:r w:rsidR="00694A6E" w:rsidRPr="00A77A33">
        <w:rPr>
          <w:color w:val="000000" w:themeColor="text1"/>
        </w:rPr>
        <w:t xml:space="preserve">Counsel for Sound Communications, LLC, at </w:t>
      </w:r>
      <w:r w:rsidR="00085024" w:rsidRPr="00A77A33">
        <w:rPr>
          <w:color w:val="000000" w:themeColor="text1"/>
        </w:rPr>
        <w:t>Smithwick &amp; Belenduik, P.C., 5028 Wisconsin Avenue,</w:t>
      </w:r>
      <w:r w:rsidR="00694A6E" w:rsidRPr="00A77A33">
        <w:rPr>
          <w:color w:val="000000" w:themeColor="text1"/>
        </w:rPr>
        <w:t xml:space="preserve"> N.W., Suite 301, Washington, DC </w:t>
      </w:r>
      <w:r w:rsidR="00085024" w:rsidRPr="00A77A33">
        <w:rPr>
          <w:color w:val="000000" w:themeColor="text1"/>
        </w:rPr>
        <w:t xml:space="preserve">20016. </w:t>
      </w:r>
    </w:p>
    <w:p w:rsidR="00085024" w:rsidRPr="00A77A33" w:rsidRDefault="00085024" w:rsidP="00085024">
      <w:pPr>
        <w:tabs>
          <w:tab w:val="left" w:pos="0"/>
          <w:tab w:val="num" w:pos="1440"/>
        </w:tabs>
        <w:suppressAutoHyphens/>
        <w:spacing w:line="240" w:lineRule="atLeast"/>
        <w:rPr>
          <w:color w:val="000000" w:themeColor="text1"/>
          <w:spacing w:val="-2"/>
        </w:rPr>
      </w:pPr>
      <w:r w:rsidRPr="00A77A33">
        <w:rPr>
          <w:color w:val="000000" w:themeColor="text1"/>
          <w:spacing w:val="-2"/>
        </w:rPr>
        <w:tab/>
      </w:r>
      <w:r w:rsidRPr="00A77A33">
        <w:rPr>
          <w:color w:val="000000" w:themeColor="text1"/>
          <w:spacing w:val="-2"/>
        </w:rPr>
        <w:tab/>
      </w:r>
      <w:r w:rsidRPr="00A77A33">
        <w:rPr>
          <w:color w:val="000000" w:themeColor="text1"/>
          <w:spacing w:val="-2"/>
        </w:rPr>
        <w:tab/>
      </w:r>
      <w:r w:rsidRPr="00A77A33">
        <w:rPr>
          <w:color w:val="000000" w:themeColor="text1"/>
          <w:spacing w:val="-2"/>
        </w:rPr>
        <w:tab/>
      </w:r>
      <w:r w:rsidRPr="00A77A33">
        <w:rPr>
          <w:color w:val="000000" w:themeColor="text1"/>
          <w:spacing w:val="-2"/>
        </w:rPr>
        <w:tab/>
        <w:t>FEDERAL COMMUNICATIONS COMMISSION</w:t>
      </w:r>
    </w:p>
    <w:p w:rsidR="00085024" w:rsidRPr="001D139B" w:rsidRDefault="00085024" w:rsidP="00085024">
      <w:pPr>
        <w:tabs>
          <w:tab w:val="left" w:pos="0"/>
          <w:tab w:val="num" w:pos="1440"/>
        </w:tabs>
        <w:suppressAutoHyphens/>
        <w:spacing w:line="240" w:lineRule="atLeast"/>
        <w:jc w:val="both"/>
        <w:rPr>
          <w:color w:val="000000" w:themeColor="text1"/>
          <w:spacing w:val="-2"/>
          <w:sz w:val="16"/>
          <w:szCs w:val="16"/>
        </w:rPr>
      </w:pPr>
    </w:p>
    <w:p w:rsidR="00085024" w:rsidRPr="001D139B" w:rsidRDefault="00085024" w:rsidP="00085024">
      <w:pPr>
        <w:tabs>
          <w:tab w:val="left" w:pos="0"/>
          <w:tab w:val="num" w:pos="1440"/>
        </w:tabs>
        <w:suppressAutoHyphens/>
        <w:spacing w:line="240" w:lineRule="atLeast"/>
        <w:jc w:val="both"/>
        <w:rPr>
          <w:color w:val="000000" w:themeColor="text1"/>
          <w:spacing w:val="-2"/>
          <w:sz w:val="12"/>
          <w:szCs w:val="12"/>
        </w:rPr>
      </w:pPr>
    </w:p>
    <w:p w:rsidR="00085024" w:rsidRPr="001D139B" w:rsidRDefault="00085024" w:rsidP="00085024">
      <w:pPr>
        <w:tabs>
          <w:tab w:val="left" w:pos="0"/>
          <w:tab w:val="num" w:pos="1440"/>
        </w:tabs>
        <w:suppressAutoHyphens/>
        <w:spacing w:line="240" w:lineRule="atLeast"/>
        <w:jc w:val="both"/>
        <w:rPr>
          <w:color w:val="000000" w:themeColor="text1"/>
          <w:spacing w:val="-2"/>
          <w:sz w:val="12"/>
          <w:szCs w:val="12"/>
        </w:rPr>
      </w:pPr>
    </w:p>
    <w:p w:rsidR="004755A2" w:rsidRPr="001D139B" w:rsidRDefault="00085024" w:rsidP="00085024">
      <w:pPr>
        <w:tabs>
          <w:tab w:val="left" w:pos="0"/>
          <w:tab w:val="num" w:pos="1440"/>
        </w:tabs>
        <w:suppressAutoHyphens/>
        <w:spacing w:line="240" w:lineRule="atLeast"/>
        <w:jc w:val="both"/>
        <w:rPr>
          <w:color w:val="000000" w:themeColor="text1"/>
          <w:spacing w:val="-2"/>
          <w:sz w:val="12"/>
          <w:szCs w:val="12"/>
        </w:rPr>
      </w:pPr>
      <w:r w:rsidRPr="001D139B">
        <w:rPr>
          <w:color w:val="000000" w:themeColor="text1"/>
          <w:spacing w:val="-2"/>
          <w:sz w:val="12"/>
          <w:szCs w:val="12"/>
        </w:rPr>
        <w:tab/>
      </w:r>
      <w:r w:rsidRPr="001D139B">
        <w:rPr>
          <w:color w:val="000000" w:themeColor="text1"/>
          <w:spacing w:val="-2"/>
          <w:sz w:val="12"/>
          <w:szCs w:val="12"/>
        </w:rPr>
        <w:tab/>
      </w:r>
      <w:r w:rsidRPr="001D139B">
        <w:rPr>
          <w:color w:val="000000" w:themeColor="text1"/>
          <w:spacing w:val="-2"/>
          <w:sz w:val="12"/>
          <w:szCs w:val="12"/>
        </w:rPr>
        <w:tab/>
      </w:r>
      <w:r w:rsidRPr="001D139B">
        <w:rPr>
          <w:color w:val="000000" w:themeColor="text1"/>
          <w:spacing w:val="-2"/>
          <w:sz w:val="12"/>
          <w:szCs w:val="12"/>
        </w:rPr>
        <w:tab/>
      </w:r>
      <w:r w:rsidRPr="001D139B">
        <w:rPr>
          <w:color w:val="000000" w:themeColor="text1"/>
          <w:spacing w:val="-2"/>
          <w:sz w:val="12"/>
          <w:szCs w:val="12"/>
        </w:rPr>
        <w:tab/>
      </w:r>
    </w:p>
    <w:p w:rsidR="00085024" w:rsidRPr="00A77A33" w:rsidRDefault="004755A2" w:rsidP="004755A2">
      <w:pPr>
        <w:tabs>
          <w:tab w:val="left" w:pos="0"/>
          <w:tab w:val="num" w:pos="1440"/>
        </w:tabs>
        <w:suppressAutoHyphens/>
        <w:spacing w:line="240" w:lineRule="atLeast"/>
        <w:jc w:val="both"/>
        <w:rPr>
          <w:color w:val="000000" w:themeColor="text1"/>
          <w:spacing w:val="-2"/>
        </w:rPr>
      </w:pPr>
      <w:r w:rsidRPr="00A77A33">
        <w:rPr>
          <w:color w:val="000000" w:themeColor="text1"/>
          <w:spacing w:val="-2"/>
        </w:rPr>
        <w:tab/>
      </w:r>
      <w:r w:rsidRPr="00A77A33">
        <w:rPr>
          <w:color w:val="000000" w:themeColor="text1"/>
          <w:spacing w:val="-2"/>
        </w:rPr>
        <w:tab/>
      </w:r>
      <w:r w:rsidRPr="00A77A33">
        <w:rPr>
          <w:color w:val="000000" w:themeColor="text1"/>
          <w:spacing w:val="-2"/>
        </w:rPr>
        <w:tab/>
      </w:r>
      <w:r w:rsidRPr="00A77A33">
        <w:rPr>
          <w:color w:val="000000" w:themeColor="text1"/>
          <w:spacing w:val="-2"/>
        </w:rPr>
        <w:tab/>
      </w:r>
      <w:r w:rsidRPr="00A77A33">
        <w:rPr>
          <w:color w:val="000000" w:themeColor="text1"/>
          <w:spacing w:val="-2"/>
        </w:rPr>
        <w:tab/>
      </w:r>
      <w:r w:rsidR="00C627F2" w:rsidRPr="00A77A33">
        <w:rPr>
          <w:color w:val="000000" w:themeColor="text1"/>
          <w:spacing w:val="-2"/>
        </w:rPr>
        <w:t>William Davenport</w:t>
      </w:r>
    </w:p>
    <w:p w:rsidR="00085024" w:rsidRPr="00A77A33" w:rsidRDefault="004755A2" w:rsidP="00085024">
      <w:pPr>
        <w:tabs>
          <w:tab w:val="left" w:pos="0"/>
          <w:tab w:val="num" w:pos="1440"/>
        </w:tabs>
        <w:suppressAutoHyphens/>
        <w:spacing w:line="240" w:lineRule="atLeast"/>
        <w:jc w:val="both"/>
        <w:rPr>
          <w:color w:val="000000" w:themeColor="text1"/>
          <w:spacing w:val="-2"/>
        </w:rPr>
      </w:pPr>
      <w:r w:rsidRPr="00A77A33">
        <w:rPr>
          <w:color w:val="000000" w:themeColor="text1"/>
          <w:spacing w:val="-2"/>
        </w:rPr>
        <w:tab/>
      </w:r>
      <w:r w:rsidRPr="00A77A33">
        <w:rPr>
          <w:color w:val="000000" w:themeColor="text1"/>
          <w:spacing w:val="-2"/>
        </w:rPr>
        <w:tab/>
      </w:r>
      <w:r w:rsidRPr="00A77A33">
        <w:rPr>
          <w:color w:val="000000" w:themeColor="text1"/>
          <w:spacing w:val="-2"/>
        </w:rPr>
        <w:tab/>
      </w:r>
      <w:r w:rsidRPr="00A77A33">
        <w:rPr>
          <w:color w:val="000000" w:themeColor="text1"/>
          <w:spacing w:val="-2"/>
        </w:rPr>
        <w:tab/>
      </w:r>
      <w:r w:rsidRPr="00A77A33">
        <w:rPr>
          <w:color w:val="000000" w:themeColor="text1"/>
          <w:spacing w:val="-2"/>
        </w:rPr>
        <w:tab/>
      </w:r>
      <w:r w:rsidR="00C627F2" w:rsidRPr="00A77A33">
        <w:rPr>
          <w:color w:val="000000" w:themeColor="text1"/>
          <w:spacing w:val="-2"/>
        </w:rPr>
        <w:t>Deputy Chief</w:t>
      </w:r>
    </w:p>
    <w:p w:rsidR="00E273E3" w:rsidRPr="00652860" w:rsidRDefault="00085024" w:rsidP="00652860">
      <w:pPr>
        <w:tabs>
          <w:tab w:val="left" w:pos="0"/>
          <w:tab w:val="num" w:pos="1440"/>
        </w:tabs>
        <w:suppressAutoHyphens/>
        <w:spacing w:line="240" w:lineRule="atLeast"/>
        <w:jc w:val="both"/>
        <w:rPr>
          <w:color w:val="000000" w:themeColor="text1"/>
          <w:spacing w:val="-2"/>
        </w:rPr>
      </w:pPr>
      <w:r w:rsidRPr="00A77A33">
        <w:rPr>
          <w:color w:val="000000" w:themeColor="text1"/>
          <w:spacing w:val="-2"/>
        </w:rPr>
        <w:tab/>
      </w:r>
      <w:r w:rsidRPr="00A77A33">
        <w:rPr>
          <w:color w:val="000000" w:themeColor="text1"/>
          <w:spacing w:val="-2"/>
        </w:rPr>
        <w:tab/>
      </w:r>
      <w:r w:rsidRPr="00A77A33">
        <w:rPr>
          <w:color w:val="000000" w:themeColor="text1"/>
          <w:spacing w:val="-2"/>
        </w:rPr>
        <w:tab/>
      </w:r>
      <w:r w:rsidRPr="00A77A33">
        <w:rPr>
          <w:color w:val="000000" w:themeColor="text1"/>
          <w:spacing w:val="-2"/>
        </w:rPr>
        <w:tab/>
      </w:r>
      <w:r w:rsidRPr="00A77A33">
        <w:rPr>
          <w:color w:val="000000" w:themeColor="text1"/>
          <w:spacing w:val="-2"/>
        </w:rPr>
        <w:tab/>
        <w:t>Enforcement Bureau</w:t>
      </w:r>
    </w:p>
    <w:sectPr w:rsidR="00E273E3" w:rsidRPr="00652860" w:rsidSect="00D417D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1E" w:rsidRDefault="00964E1E">
      <w:pPr>
        <w:spacing w:line="20" w:lineRule="exact"/>
      </w:pPr>
    </w:p>
  </w:endnote>
  <w:endnote w:type="continuationSeparator" w:id="0">
    <w:p w:rsidR="00964E1E" w:rsidRDefault="00964E1E">
      <w:r>
        <w:t xml:space="preserve"> </w:t>
      </w:r>
    </w:p>
  </w:endnote>
  <w:endnote w:type="continuationNotice" w:id="1">
    <w:p w:rsidR="00964E1E" w:rsidRDefault="00964E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F44921">
      <w:rPr>
        <w:noProof/>
      </w:rPr>
      <w:t>2</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7D" w:rsidRDefault="00D74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1E" w:rsidRDefault="00964E1E">
      <w:r>
        <w:separator/>
      </w:r>
    </w:p>
  </w:footnote>
  <w:footnote w:type="continuationSeparator" w:id="0">
    <w:p w:rsidR="00964E1E" w:rsidRDefault="00964E1E">
      <w:pPr>
        <w:rPr>
          <w:sz w:val="20"/>
        </w:rPr>
      </w:pPr>
      <w:r>
        <w:rPr>
          <w:sz w:val="20"/>
        </w:rPr>
        <w:t xml:space="preserve">(Continued from previous page)  </w:t>
      </w:r>
      <w:r>
        <w:rPr>
          <w:sz w:val="20"/>
        </w:rPr>
        <w:separator/>
      </w:r>
    </w:p>
  </w:footnote>
  <w:footnote w:type="continuationNotice" w:id="1">
    <w:p w:rsidR="00964E1E" w:rsidRDefault="00964E1E">
      <w:pPr>
        <w:rPr>
          <w:sz w:val="20"/>
        </w:rPr>
      </w:pPr>
      <w:r>
        <w:rPr>
          <w:sz w:val="20"/>
        </w:rPr>
        <w:t>(continued….)</w:t>
      </w:r>
    </w:p>
  </w:footnote>
  <w:footnote w:id="2">
    <w:p w:rsidR="007C59CE" w:rsidRPr="00A77A33" w:rsidRDefault="007C59CE" w:rsidP="007C59CE">
      <w:pPr>
        <w:pStyle w:val="FootnoteText"/>
        <w:rPr>
          <w:color w:val="000000" w:themeColor="text1"/>
        </w:rPr>
      </w:pPr>
      <w:r w:rsidRPr="00A77A33">
        <w:rPr>
          <w:rStyle w:val="FootnoteReference"/>
          <w:color w:val="000000" w:themeColor="text1"/>
        </w:rPr>
        <w:footnoteRef/>
      </w:r>
      <w:r w:rsidRPr="00A77A33">
        <w:rPr>
          <w:color w:val="000000" w:themeColor="text1"/>
        </w:rPr>
        <w:t xml:space="preserve"> </w:t>
      </w:r>
      <w:r w:rsidRPr="00A77A33">
        <w:rPr>
          <w:i/>
          <w:color w:val="000000" w:themeColor="text1"/>
        </w:rPr>
        <w:t>Sound Communications, LLC</w:t>
      </w:r>
      <w:r w:rsidRPr="00A77A33">
        <w:rPr>
          <w:color w:val="000000" w:themeColor="text1"/>
        </w:rPr>
        <w:t>, Notice of Apparent Liability for Forfeiture, 29 FCC Rcd 5840 (Enf. Bur. 2014) (</w:t>
      </w:r>
      <w:r w:rsidRPr="00A77A33">
        <w:rPr>
          <w:i/>
          <w:color w:val="000000" w:themeColor="text1"/>
        </w:rPr>
        <w:t>NAL</w:t>
      </w:r>
      <w:r w:rsidRPr="00A77A33">
        <w:rPr>
          <w:color w:val="000000" w:themeColor="text1"/>
        </w:rPr>
        <w:t>); 47 C.F.R. § 73.49.</w:t>
      </w:r>
    </w:p>
  </w:footnote>
  <w:footnote w:id="3">
    <w:p w:rsidR="007C59CE" w:rsidRPr="00A77A33" w:rsidRDefault="007C59CE" w:rsidP="007C59CE">
      <w:pPr>
        <w:pStyle w:val="FootnoteText"/>
        <w:rPr>
          <w:color w:val="000000" w:themeColor="text1"/>
        </w:rPr>
      </w:pPr>
      <w:r w:rsidRPr="00A77A33">
        <w:rPr>
          <w:rStyle w:val="FootnoteReference"/>
          <w:color w:val="000000" w:themeColor="text1"/>
        </w:rPr>
        <w:footnoteRef/>
      </w:r>
      <w:r w:rsidRPr="00A77A33">
        <w:rPr>
          <w:color w:val="000000" w:themeColor="text1"/>
        </w:rPr>
        <w:t xml:space="preserve"> </w:t>
      </w:r>
      <w:r w:rsidRPr="00A77A33">
        <w:rPr>
          <w:i/>
          <w:color w:val="000000" w:themeColor="text1"/>
        </w:rPr>
        <w:t>Sound Communications, LLC</w:t>
      </w:r>
      <w:r w:rsidRPr="00A77A33">
        <w:rPr>
          <w:color w:val="000000" w:themeColor="text1"/>
        </w:rPr>
        <w:t>, Forfeiture Order, 30 FCC Rcd 6252 (Enf. Bur. 2015)</w:t>
      </w:r>
      <w:r w:rsidR="00C67ADA">
        <w:rPr>
          <w:color w:val="000000" w:themeColor="text1"/>
        </w:rPr>
        <w:t xml:space="preserve"> </w:t>
      </w:r>
      <w:r w:rsidRPr="00A77A33">
        <w:rPr>
          <w:color w:val="000000" w:themeColor="text1"/>
        </w:rPr>
        <w:t>(Forfeiture Order).</w:t>
      </w:r>
    </w:p>
  </w:footnote>
  <w:footnote w:id="4">
    <w:p w:rsidR="00652860" w:rsidRPr="00F62BF2" w:rsidRDefault="00652860" w:rsidP="00652860">
      <w:pPr>
        <w:pStyle w:val="FootnoteText"/>
        <w:rPr>
          <w:color w:val="000000" w:themeColor="text1"/>
        </w:rPr>
      </w:pPr>
      <w:r w:rsidRPr="00F62BF2">
        <w:rPr>
          <w:rStyle w:val="FootnoteReference"/>
          <w:color w:val="000000" w:themeColor="text1"/>
        </w:rPr>
        <w:footnoteRef/>
      </w:r>
      <w:r w:rsidRPr="00F62BF2">
        <w:rPr>
          <w:color w:val="000000" w:themeColor="text1"/>
        </w:rPr>
        <w:t xml:space="preserve"> </w:t>
      </w:r>
      <w:r w:rsidRPr="00F62BF2">
        <w:rPr>
          <w:i/>
          <w:color w:val="000000" w:themeColor="text1"/>
        </w:rPr>
        <w:t xml:space="preserve">See </w:t>
      </w:r>
      <w:r w:rsidRPr="00F62BF2">
        <w:rPr>
          <w:color w:val="000000" w:themeColor="text1"/>
        </w:rPr>
        <w:t xml:space="preserve">47 C.F.R. § 1.106(c); </w:t>
      </w:r>
      <w:r w:rsidRPr="00F62BF2">
        <w:rPr>
          <w:i/>
          <w:color w:val="000000" w:themeColor="text1"/>
        </w:rPr>
        <w:t>EZ Sacramento, Inc.</w:t>
      </w:r>
      <w:r w:rsidRPr="00F62BF2">
        <w:rPr>
          <w:color w:val="000000" w:themeColor="text1"/>
        </w:rPr>
        <w:t>,</w:t>
      </w:r>
      <w:r w:rsidRPr="00F62BF2">
        <w:rPr>
          <w:i/>
          <w:color w:val="000000" w:themeColor="text1"/>
        </w:rPr>
        <w:t xml:space="preserve"> </w:t>
      </w:r>
      <w:r w:rsidRPr="00F62BF2">
        <w:rPr>
          <w:color w:val="000000" w:themeColor="text1"/>
        </w:rPr>
        <w:t>Memorandum Opinion and Order, 15 FCC Rcd 18257, 18257, para. 2 (Enf. Bur. 2000) (</w:t>
      </w:r>
      <w:r w:rsidRPr="00F62BF2">
        <w:rPr>
          <w:i/>
          <w:color w:val="000000" w:themeColor="text1"/>
        </w:rPr>
        <w:t>citing WWIZ, Inc.</w:t>
      </w:r>
      <w:r w:rsidRPr="00F62BF2">
        <w:rPr>
          <w:color w:val="000000" w:themeColor="text1"/>
        </w:rPr>
        <w:t>,</w:t>
      </w:r>
      <w:r w:rsidRPr="00F62BF2">
        <w:rPr>
          <w:i/>
          <w:color w:val="000000" w:themeColor="text1"/>
        </w:rPr>
        <w:t xml:space="preserve"> </w:t>
      </w:r>
      <w:r w:rsidRPr="00F62BF2">
        <w:rPr>
          <w:color w:val="000000" w:themeColor="text1"/>
        </w:rPr>
        <w:t xml:space="preserve">Memorandum Opinion and Order, 37 FCC 685, 686 (1964), </w:t>
      </w:r>
      <w:r w:rsidRPr="00F62BF2">
        <w:rPr>
          <w:i/>
          <w:color w:val="000000" w:themeColor="text1"/>
        </w:rPr>
        <w:t>aff’d sub. nom. Lorain Journal Co. v. FCC</w:t>
      </w:r>
      <w:r w:rsidRPr="00F62BF2">
        <w:rPr>
          <w:color w:val="000000" w:themeColor="text1"/>
        </w:rPr>
        <w:t>,</w:t>
      </w:r>
      <w:r w:rsidRPr="00F62BF2">
        <w:rPr>
          <w:i/>
          <w:color w:val="000000" w:themeColor="text1"/>
        </w:rPr>
        <w:t xml:space="preserve"> </w:t>
      </w:r>
      <w:r w:rsidRPr="00F62BF2">
        <w:rPr>
          <w:color w:val="000000" w:themeColor="text1"/>
        </w:rPr>
        <w:t xml:space="preserve">351 F.2d 824 (D.C. Cir. 1965), </w:t>
      </w:r>
      <w:r w:rsidRPr="00F62BF2">
        <w:rPr>
          <w:i/>
          <w:color w:val="000000" w:themeColor="text1"/>
        </w:rPr>
        <w:t>cert. denied</w:t>
      </w:r>
      <w:r w:rsidRPr="00F62BF2">
        <w:rPr>
          <w:color w:val="000000" w:themeColor="text1"/>
        </w:rPr>
        <w:t>,</w:t>
      </w:r>
      <w:r w:rsidRPr="00F62BF2">
        <w:rPr>
          <w:i/>
          <w:color w:val="000000" w:themeColor="text1"/>
        </w:rPr>
        <w:t xml:space="preserve"> </w:t>
      </w:r>
      <w:r w:rsidRPr="00F62BF2">
        <w:rPr>
          <w:color w:val="000000" w:themeColor="text1"/>
        </w:rPr>
        <w:t xml:space="preserve">383 U.S. 967 (1966)); </w:t>
      </w:r>
      <w:r w:rsidRPr="00F62BF2">
        <w:rPr>
          <w:i/>
          <w:color w:val="000000" w:themeColor="text1"/>
        </w:rPr>
        <w:t xml:space="preserve">see also Ely Radio, LLC, </w:t>
      </w:r>
      <w:r w:rsidRPr="00F62BF2">
        <w:rPr>
          <w:color w:val="000000" w:themeColor="text1"/>
        </w:rPr>
        <w:t>Memorandum Opinion and Order, 27 FCC Rcd 7608, 7610, para. 6 (Enf. Bur. 2012)(providing standard of review for petitions for reconsideration).</w:t>
      </w:r>
    </w:p>
  </w:footnote>
  <w:footnote w:id="5">
    <w:p w:rsidR="00652860" w:rsidRPr="00F62BF2" w:rsidRDefault="00652860" w:rsidP="00652860">
      <w:pPr>
        <w:pStyle w:val="FootnoteText"/>
        <w:rPr>
          <w:color w:val="000000" w:themeColor="text1"/>
        </w:rPr>
      </w:pPr>
      <w:r w:rsidRPr="00F62BF2">
        <w:rPr>
          <w:rStyle w:val="FootnoteReference"/>
          <w:color w:val="000000" w:themeColor="text1"/>
        </w:rPr>
        <w:footnoteRef/>
      </w:r>
      <w:r w:rsidRPr="00F62BF2">
        <w:rPr>
          <w:color w:val="000000" w:themeColor="text1"/>
        </w:rPr>
        <w:t xml:space="preserve"> 47 C.F.R. § 1.106(a)(3)</w:t>
      </w:r>
      <w:r w:rsidR="006746BF">
        <w:rPr>
          <w:color w:val="000000" w:themeColor="text1"/>
        </w:rPr>
        <w:t xml:space="preserve"> </w:t>
      </w:r>
      <w:r w:rsidRPr="00F62BF2">
        <w:rPr>
          <w:rFonts w:ascii="Arial" w:hAnsi="Arial" w:cs="Arial"/>
          <w:color w:val="000000" w:themeColor="text1"/>
          <w:sz w:val="21"/>
          <w:szCs w:val="21"/>
        </w:rPr>
        <w:t>(</w:t>
      </w:r>
      <w:r w:rsidRPr="00F62BF2">
        <w:rPr>
          <w:color w:val="000000" w:themeColor="text1"/>
        </w:rPr>
        <w:t xml:space="preserve">petitions for reconsideration may be dismissed or denied where they “[r]ely on arguments that have been fully considered and rejected by the Commission within the same proceeding”). </w:t>
      </w:r>
      <w:r w:rsidR="006746BF">
        <w:rPr>
          <w:color w:val="000000" w:themeColor="text1"/>
        </w:rPr>
        <w:t xml:space="preserve"> </w:t>
      </w:r>
      <w:r w:rsidRPr="00F62BF2">
        <w:rPr>
          <w:i/>
          <w:iCs/>
          <w:color w:val="000000" w:themeColor="text1"/>
        </w:rPr>
        <w:t>See, e.g.</w:t>
      </w:r>
      <w:r w:rsidRPr="00F62BF2">
        <w:rPr>
          <w:color w:val="000000" w:themeColor="text1"/>
        </w:rPr>
        <w:t xml:space="preserve">, </w:t>
      </w:r>
      <w:hyperlink r:id="rId1" w:anchor="co_pp_sp_1016_686" w:history="1">
        <w:r w:rsidRPr="00F62BF2">
          <w:rPr>
            <w:i/>
            <w:iCs/>
            <w:color w:val="000000" w:themeColor="text1"/>
          </w:rPr>
          <w:t>WWIZ, Inc.</w:t>
        </w:r>
        <w:r w:rsidRPr="00F62BF2">
          <w:rPr>
            <w:color w:val="000000" w:themeColor="text1"/>
          </w:rPr>
          <w:t>, Memorandum Opinion and Order, 37 FCC 685, 686, para. 2 (1964)</w:t>
        </w:r>
      </w:hyperlink>
      <w:r w:rsidRPr="00F62BF2">
        <w:rPr>
          <w:color w:val="000000" w:themeColor="text1"/>
        </w:rPr>
        <w:t xml:space="preserve"> (reconsideration “will not be granted merely for the purpose of again debating matters on which the tribunal has once deliberated and spoken”), </w:t>
      </w:r>
      <w:r w:rsidRPr="00F62BF2">
        <w:rPr>
          <w:i/>
          <w:iCs/>
          <w:color w:val="000000" w:themeColor="text1"/>
        </w:rPr>
        <w:t xml:space="preserve">aff'd </w:t>
      </w:r>
      <w:hyperlink r:id="rId2" w:history="1">
        <w:r w:rsidRPr="00F62BF2">
          <w:rPr>
            <w:i/>
            <w:iCs/>
            <w:color w:val="000000" w:themeColor="text1"/>
          </w:rPr>
          <w:t>Lorain Journal Co. v. FCC</w:t>
        </w:r>
        <w:r w:rsidRPr="00F62BF2">
          <w:rPr>
            <w:color w:val="000000" w:themeColor="text1"/>
          </w:rPr>
          <w:t>, 351 F.2d 824 (D.C. Cir. 1965)</w:t>
        </w:r>
      </w:hyperlink>
      <w:r w:rsidRPr="00F62BF2">
        <w:rPr>
          <w:color w:val="000000" w:themeColor="text1"/>
        </w:rPr>
        <w:t xml:space="preserve">, </w:t>
      </w:r>
      <w:r w:rsidRPr="00F62BF2">
        <w:rPr>
          <w:i/>
          <w:iCs/>
          <w:color w:val="000000" w:themeColor="text1"/>
        </w:rPr>
        <w:t>cert. denied</w:t>
      </w:r>
      <w:r w:rsidRPr="00F62BF2">
        <w:rPr>
          <w:color w:val="000000" w:themeColor="text1"/>
        </w:rPr>
        <w:t xml:space="preserve">, </w:t>
      </w:r>
      <w:hyperlink r:id="rId3" w:history="1">
        <w:r w:rsidRPr="00F62BF2">
          <w:rPr>
            <w:color w:val="000000" w:themeColor="text1"/>
          </w:rPr>
          <w:t>383 U.S. 967 (1966)</w:t>
        </w:r>
      </w:hyperlink>
      <w:r w:rsidRPr="00F62BF2">
        <w:rPr>
          <w:color w:val="000000" w:themeColor="text1"/>
        </w:rPr>
        <w:t xml:space="preserve">; </w:t>
      </w:r>
      <w:hyperlink r:id="rId4" w:anchor="co_pp_sp_4493_7610" w:history="1">
        <w:r w:rsidRPr="00F62BF2">
          <w:rPr>
            <w:i/>
            <w:iCs/>
            <w:color w:val="000000" w:themeColor="text1"/>
          </w:rPr>
          <w:t>Ely Radio</w:t>
        </w:r>
        <w:r w:rsidRPr="00F62BF2">
          <w:rPr>
            <w:color w:val="000000" w:themeColor="text1"/>
          </w:rPr>
          <w:t>, 27 FCC Rcd at 7610, para. 6</w:t>
        </w:r>
      </w:hyperlink>
      <w:r w:rsidRPr="00F62BF2">
        <w:rPr>
          <w:color w:val="000000" w:themeColor="text1"/>
        </w:rPr>
        <w:t xml:space="preserve">; </w:t>
      </w:r>
      <w:hyperlink r:id="rId5" w:anchor="co_pp_sp_4493_18257" w:history="1">
        <w:r w:rsidRPr="00F62BF2">
          <w:rPr>
            <w:i/>
            <w:iCs/>
            <w:color w:val="000000" w:themeColor="text1"/>
          </w:rPr>
          <w:t>EZ Sacramento</w:t>
        </w:r>
        <w:r w:rsidRPr="00F62BF2">
          <w:rPr>
            <w:color w:val="000000" w:themeColor="text1"/>
          </w:rPr>
          <w:t>, 15 FCC Rcd at 18257, para. 2</w:t>
        </w:r>
      </w:hyperlink>
      <w:r w:rsidRPr="00F62BF2">
        <w:rPr>
          <w:rFonts w:ascii="Arial" w:hAnsi="Arial" w:cs="Arial"/>
          <w:color w:val="000000" w:themeColor="text1"/>
          <w:sz w:val="21"/>
          <w:szCs w:val="21"/>
        </w:rPr>
        <w:t>.</w:t>
      </w:r>
    </w:p>
  </w:footnote>
  <w:footnote w:id="6">
    <w:p w:rsidR="00652860" w:rsidRPr="00F62BF2" w:rsidRDefault="00652860" w:rsidP="00652860">
      <w:pPr>
        <w:pStyle w:val="FootnoteText"/>
        <w:rPr>
          <w:color w:val="000000" w:themeColor="text1"/>
        </w:rPr>
      </w:pPr>
      <w:r w:rsidRPr="00F62BF2">
        <w:rPr>
          <w:rStyle w:val="FootnoteReference"/>
          <w:color w:val="000000" w:themeColor="text1"/>
        </w:rPr>
        <w:footnoteRef/>
      </w:r>
      <w:r w:rsidRPr="00F62BF2">
        <w:rPr>
          <w:color w:val="000000" w:themeColor="text1"/>
        </w:rPr>
        <w:t xml:space="preserve"> Petition</w:t>
      </w:r>
      <w:r w:rsidRPr="00F62BF2">
        <w:rPr>
          <w:i/>
          <w:color w:val="000000" w:themeColor="text1"/>
        </w:rPr>
        <w:t xml:space="preserve"> </w:t>
      </w:r>
      <w:r w:rsidRPr="00F62BF2">
        <w:rPr>
          <w:color w:val="000000" w:themeColor="text1"/>
        </w:rPr>
        <w:t>at 2.</w:t>
      </w:r>
    </w:p>
  </w:footnote>
  <w:footnote w:id="7">
    <w:p w:rsidR="00652860" w:rsidRPr="00F62BF2" w:rsidRDefault="00652860" w:rsidP="00652860">
      <w:pPr>
        <w:pStyle w:val="FootnoteText"/>
        <w:rPr>
          <w:color w:val="000000" w:themeColor="text1"/>
        </w:rPr>
      </w:pPr>
      <w:r w:rsidRPr="00F62BF2">
        <w:rPr>
          <w:rStyle w:val="FootnoteReference"/>
          <w:color w:val="000000" w:themeColor="text1"/>
        </w:rPr>
        <w:footnoteRef/>
      </w:r>
      <w:r w:rsidRPr="00F62BF2">
        <w:rPr>
          <w:color w:val="000000" w:themeColor="text1"/>
        </w:rPr>
        <w:t xml:space="preserve"> </w:t>
      </w:r>
      <w:r w:rsidRPr="00F62BF2">
        <w:rPr>
          <w:i/>
          <w:color w:val="000000" w:themeColor="text1"/>
        </w:rPr>
        <w:t>See NAL,</w:t>
      </w:r>
      <w:r w:rsidRPr="00F62BF2">
        <w:rPr>
          <w:color w:val="000000" w:themeColor="text1"/>
        </w:rPr>
        <w:t xml:space="preserve"> 29 FCC Rcd 5842, para. 7; </w:t>
      </w:r>
      <w:r w:rsidRPr="00F62BF2">
        <w:rPr>
          <w:i/>
          <w:color w:val="000000" w:themeColor="text1"/>
        </w:rPr>
        <w:t>see also</w:t>
      </w:r>
      <w:r w:rsidRPr="00F62BF2">
        <w:rPr>
          <w:color w:val="000000" w:themeColor="text1"/>
        </w:rPr>
        <w:t xml:space="preserve"> Forfeiture Order 30 FCC Rcd 6254, para 6 (citing 47 U.S.C. § 312(f)(1)).</w:t>
      </w:r>
    </w:p>
  </w:footnote>
  <w:footnote w:id="8">
    <w:p w:rsidR="00652860" w:rsidRPr="00F62BF2" w:rsidRDefault="00652860" w:rsidP="00652860">
      <w:pPr>
        <w:pStyle w:val="FootnoteText"/>
        <w:rPr>
          <w:color w:val="000000" w:themeColor="text1"/>
        </w:rPr>
      </w:pPr>
      <w:r w:rsidRPr="00F62BF2">
        <w:rPr>
          <w:rStyle w:val="FootnoteReference"/>
          <w:color w:val="000000" w:themeColor="text1"/>
        </w:rPr>
        <w:footnoteRef/>
      </w:r>
      <w:r w:rsidRPr="00F62BF2">
        <w:rPr>
          <w:color w:val="000000" w:themeColor="text1"/>
        </w:rPr>
        <w:t xml:space="preserve"> Petition at 3.</w:t>
      </w:r>
    </w:p>
  </w:footnote>
  <w:footnote w:id="9">
    <w:p w:rsidR="00652860" w:rsidRPr="00F62BF2" w:rsidRDefault="00652860" w:rsidP="00652860">
      <w:pPr>
        <w:spacing w:after="120"/>
        <w:rPr>
          <w:color w:val="000000" w:themeColor="text1"/>
          <w:sz w:val="20"/>
        </w:rPr>
      </w:pPr>
      <w:r w:rsidRPr="00F62BF2">
        <w:rPr>
          <w:rStyle w:val="FootnoteReference"/>
          <w:color w:val="000000" w:themeColor="text1"/>
        </w:rPr>
        <w:footnoteRef/>
      </w:r>
      <w:r w:rsidRPr="00F62BF2">
        <w:rPr>
          <w:color w:val="000000" w:themeColor="text1"/>
          <w:sz w:val="20"/>
        </w:rPr>
        <w:t xml:space="preserve"> Forfeiture Order 30 FCC Rcd 6254, para 6.  </w:t>
      </w:r>
      <w:r w:rsidRPr="00F62BF2">
        <w:rPr>
          <w:i/>
          <w:color w:val="000000" w:themeColor="text1"/>
          <w:sz w:val="20"/>
        </w:rPr>
        <w:t>See also W. Slope Communications, LLC</w:t>
      </w:r>
      <w:r w:rsidRPr="00F62BF2">
        <w:rPr>
          <w:color w:val="000000" w:themeColor="text1"/>
          <w:sz w:val="20"/>
        </w:rPr>
        <w:t xml:space="preserve">, Forfeiture Order, 29 FCC Rcd 10470, 10471, para. 6 (Enf. Bur. 2014).  </w:t>
      </w:r>
      <w:r w:rsidRPr="00F62BF2">
        <w:rPr>
          <w:i/>
          <w:color w:val="000000" w:themeColor="text1"/>
          <w:sz w:val="20"/>
        </w:rPr>
        <w:t>See, e.g.</w:t>
      </w:r>
      <w:r w:rsidRPr="00F62BF2">
        <w:rPr>
          <w:color w:val="000000" w:themeColor="text1"/>
          <w:sz w:val="20"/>
        </w:rPr>
        <w:t xml:space="preserve">, </w:t>
      </w:r>
      <w:r w:rsidRPr="00F62BF2">
        <w:rPr>
          <w:i/>
          <w:color w:val="000000" w:themeColor="text1"/>
          <w:sz w:val="20"/>
        </w:rPr>
        <w:t>Steckline Communications, Inc.</w:t>
      </w:r>
      <w:r w:rsidRPr="00F62BF2">
        <w:rPr>
          <w:color w:val="000000" w:themeColor="text1"/>
          <w:sz w:val="20"/>
        </w:rPr>
        <w:t xml:space="preserve">, Forfeiture Order, 29 FCC Rcd 1082, 1084, para. 5 (Enf. Bur. 2014) (“[I]nadvertent mistakes neither excuse a rule violation nor mitigate a forfeiture liability.”); </w:t>
      </w:r>
      <w:r w:rsidRPr="00F62BF2">
        <w:rPr>
          <w:i/>
          <w:color w:val="000000" w:themeColor="text1"/>
          <w:sz w:val="20"/>
        </w:rPr>
        <w:t>Emigrant Storage LLC</w:t>
      </w:r>
      <w:r w:rsidRPr="00F62BF2">
        <w:rPr>
          <w:color w:val="000000" w:themeColor="text1"/>
          <w:sz w:val="20"/>
        </w:rPr>
        <w:t xml:space="preserve">, Forfeiture Order, 27 FCC Rcd 8917, 8919, para. 6 (Enf. Bur. 2012) (“[I]t is well established that administrative oversight or inadvertence is not a mitigating factor.”). </w:t>
      </w:r>
    </w:p>
  </w:footnote>
  <w:footnote w:id="10">
    <w:p w:rsidR="00652860" w:rsidRPr="00F62BF2" w:rsidRDefault="00652860" w:rsidP="00652860">
      <w:pPr>
        <w:pStyle w:val="FootnoteText"/>
        <w:rPr>
          <w:color w:val="000000" w:themeColor="text1"/>
        </w:rPr>
      </w:pPr>
      <w:r w:rsidRPr="00F62BF2">
        <w:rPr>
          <w:rStyle w:val="FootnoteReference"/>
          <w:color w:val="000000" w:themeColor="text1"/>
        </w:rPr>
        <w:footnoteRef/>
      </w:r>
      <w:r w:rsidRPr="00F62BF2">
        <w:rPr>
          <w:color w:val="000000" w:themeColor="text1"/>
        </w:rPr>
        <w:t xml:space="preserve"> Petition at 2.</w:t>
      </w:r>
    </w:p>
  </w:footnote>
  <w:footnote w:id="11">
    <w:p w:rsidR="00652860" w:rsidRPr="00F62BF2" w:rsidRDefault="00652860" w:rsidP="00652860">
      <w:pPr>
        <w:pStyle w:val="FootnoteText"/>
        <w:rPr>
          <w:color w:val="000000" w:themeColor="text1"/>
        </w:rPr>
      </w:pPr>
      <w:r w:rsidRPr="00F62BF2">
        <w:rPr>
          <w:rStyle w:val="FootnoteReference"/>
          <w:color w:val="000000" w:themeColor="text1"/>
        </w:rPr>
        <w:footnoteRef/>
      </w:r>
      <w:r w:rsidRPr="00F62BF2">
        <w:rPr>
          <w:color w:val="000000" w:themeColor="text1"/>
        </w:rPr>
        <w:t xml:space="preserve"> Forfeiture Order 30 FCC Rcd 6254, para 6 (citing 47 U.S.C. § 312(f)(1)).</w:t>
      </w:r>
    </w:p>
  </w:footnote>
  <w:footnote w:id="12">
    <w:p w:rsidR="00652860" w:rsidRPr="00F62BF2" w:rsidRDefault="00652860" w:rsidP="00652860">
      <w:pPr>
        <w:pStyle w:val="FootnoteText"/>
        <w:rPr>
          <w:color w:val="000000" w:themeColor="text1"/>
        </w:rPr>
      </w:pPr>
      <w:r w:rsidRPr="00F62BF2">
        <w:rPr>
          <w:rStyle w:val="FootnoteReference"/>
          <w:color w:val="000000" w:themeColor="text1"/>
        </w:rPr>
        <w:footnoteRef/>
      </w:r>
      <w:r w:rsidRPr="00F62BF2">
        <w:rPr>
          <w:color w:val="000000" w:themeColor="text1"/>
        </w:rPr>
        <w:t xml:space="preserve"> Petition at 3-4.</w:t>
      </w:r>
    </w:p>
  </w:footnote>
  <w:footnote w:id="13">
    <w:p w:rsidR="00652860" w:rsidRPr="00F62BF2" w:rsidRDefault="00652860" w:rsidP="00652860">
      <w:pPr>
        <w:pStyle w:val="FootnoteText"/>
        <w:rPr>
          <w:color w:val="000000" w:themeColor="text1"/>
        </w:rPr>
      </w:pPr>
      <w:r w:rsidRPr="00F62BF2">
        <w:rPr>
          <w:rStyle w:val="FootnoteReference"/>
          <w:color w:val="000000" w:themeColor="text1"/>
        </w:rPr>
        <w:footnoteRef/>
      </w:r>
      <w:r w:rsidRPr="00F62BF2">
        <w:rPr>
          <w:color w:val="000000" w:themeColor="text1"/>
        </w:rPr>
        <w:t xml:space="preserve"> Forfeiture Order 30 FCC Rcd 6254, para 4 (wherein the Bureau noted that it fully considered Sound Communications’ </w:t>
      </w:r>
      <w:r w:rsidRPr="00F62BF2">
        <w:rPr>
          <w:i/>
          <w:color w:val="000000" w:themeColor="text1"/>
        </w:rPr>
        <w:t>NAL Response</w:t>
      </w:r>
      <w:r w:rsidRPr="00F62BF2">
        <w:rPr>
          <w:color w:val="000000" w:themeColor="text1"/>
        </w:rPr>
        <w:t xml:space="preserve"> and concluded that none of its arguments were persuasive).</w:t>
      </w:r>
    </w:p>
  </w:footnote>
  <w:footnote w:id="14">
    <w:p w:rsidR="00E33E1D" w:rsidRPr="00A77A33" w:rsidRDefault="00E33E1D" w:rsidP="00E33E1D">
      <w:pPr>
        <w:pStyle w:val="FootnoteText"/>
        <w:rPr>
          <w:color w:val="000000" w:themeColor="text1"/>
        </w:rPr>
      </w:pPr>
      <w:r w:rsidRPr="00A77A33">
        <w:rPr>
          <w:rStyle w:val="FootnoteCharacters"/>
          <w:color w:val="000000" w:themeColor="text1"/>
        </w:rPr>
        <w:footnoteRef/>
      </w:r>
      <w:r w:rsidRPr="00A77A33">
        <w:rPr>
          <w:rStyle w:val="Footnote"/>
          <w:color w:val="000000" w:themeColor="text1"/>
        </w:rPr>
        <w:t xml:space="preserve"> 47 U.S.C. § 405</w:t>
      </w:r>
      <w:r w:rsidRPr="00A77A33">
        <w:rPr>
          <w:color w:val="000000" w:themeColor="text1"/>
        </w:rPr>
        <w:t>.</w:t>
      </w:r>
    </w:p>
  </w:footnote>
  <w:footnote w:id="15">
    <w:p w:rsidR="00E33E1D" w:rsidRPr="00A77A33" w:rsidRDefault="00E33E1D" w:rsidP="00E33E1D">
      <w:pPr>
        <w:pStyle w:val="FootnoteText"/>
        <w:rPr>
          <w:color w:val="000000" w:themeColor="text1"/>
        </w:rPr>
      </w:pPr>
      <w:r w:rsidRPr="00A77A33">
        <w:rPr>
          <w:rStyle w:val="FootnoteCharacters"/>
          <w:color w:val="000000" w:themeColor="text1"/>
        </w:rPr>
        <w:footnoteRef/>
      </w:r>
      <w:r w:rsidRPr="00A77A33">
        <w:rPr>
          <w:color w:val="000000" w:themeColor="text1"/>
        </w:rPr>
        <w:t xml:space="preserve"> 47 C.F.R. § 1.106.</w:t>
      </w:r>
    </w:p>
  </w:footnote>
  <w:footnote w:id="16">
    <w:p w:rsidR="00B97BA0" w:rsidRPr="00A77A33" w:rsidRDefault="00B97BA0" w:rsidP="00B97BA0">
      <w:pPr>
        <w:pStyle w:val="FootnoteText"/>
        <w:rPr>
          <w:color w:val="000000" w:themeColor="text1"/>
        </w:rPr>
      </w:pPr>
      <w:r w:rsidRPr="00A77A33">
        <w:rPr>
          <w:rStyle w:val="FootnoteReference"/>
          <w:color w:val="000000" w:themeColor="text1"/>
        </w:rPr>
        <w:footnoteRef/>
      </w:r>
      <w:r w:rsidRPr="00A77A33">
        <w:rPr>
          <w:color w:val="000000" w:themeColor="text1"/>
        </w:rPr>
        <w:t xml:space="preserve"> 47 U.S.C. § 503(b); 47 C.F.R. §§ 0.111, 0.311, 1.80, 73.49.</w:t>
      </w:r>
    </w:p>
  </w:footnote>
  <w:footnote w:id="17">
    <w:p w:rsidR="003343CA" w:rsidRPr="00A77A33" w:rsidRDefault="003343CA" w:rsidP="00E355D6">
      <w:pPr>
        <w:pStyle w:val="FootnoteText"/>
        <w:rPr>
          <w:color w:val="000000" w:themeColor="text1"/>
        </w:rPr>
      </w:pPr>
      <w:r w:rsidRPr="00A77A33">
        <w:rPr>
          <w:rStyle w:val="FootnoteReference"/>
          <w:color w:val="000000" w:themeColor="text1"/>
        </w:rPr>
        <w:footnoteRef/>
      </w:r>
      <w:r w:rsidRPr="00A77A33">
        <w:rPr>
          <w:color w:val="000000" w:themeColor="text1"/>
        </w:rPr>
        <w:t xml:space="preserve"> </w:t>
      </w:r>
      <w:r w:rsidR="00694A6E" w:rsidRPr="00A77A33">
        <w:rPr>
          <w:color w:val="000000" w:themeColor="text1"/>
        </w:rPr>
        <w:t>47 C.F.R. § 1.80.</w:t>
      </w:r>
    </w:p>
  </w:footnote>
  <w:footnote w:id="18">
    <w:p w:rsidR="003343CA" w:rsidRPr="00A77A33" w:rsidRDefault="003343CA" w:rsidP="00E355D6">
      <w:pPr>
        <w:pStyle w:val="FootnoteText"/>
        <w:rPr>
          <w:color w:val="000000" w:themeColor="text1"/>
        </w:rPr>
      </w:pPr>
      <w:r w:rsidRPr="00A77A33">
        <w:rPr>
          <w:rStyle w:val="FootnoteReference"/>
          <w:color w:val="000000" w:themeColor="text1"/>
        </w:rPr>
        <w:footnoteRef/>
      </w:r>
      <w:r w:rsidRPr="00A77A33">
        <w:rPr>
          <w:color w:val="000000" w:themeColor="text1"/>
        </w:rPr>
        <w:t xml:space="preserve"> 47 U.S.C. § 504(a).</w:t>
      </w:r>
    </w:p>
  </w:footnote>
  <w:footnote w:id="19">
    <w:p w:rsidR="003343CA" w:rsidRPr="00A77A33" w:rsidRDefault="003343CA" w:rsidP="00E355D6">
      <w:pPr>
        <w:pStyle w:val="FootnoteText"/>
        <w:rPr>
          <w:color w:val="000000" w:themeColor="text1"/>
        </w:rPr>
      </w:pPr>
      <w:r w:rsidRPr="00A77A33">
        <w:rPr>
          <w:rStyle w:val="FootnoteReference"/>
          <w:color w:val="000000" w:themeColor="text1"/>
        </w:rPr>
        <w:footnoteRef/>
      </w:r>
      <w:r w:rsidRPr="00A77A33">
        <w:rPr>
          <w:color w:val="000000" w:themeColor="text1"/>
        </w:rPr>
        <w:t xml:space="preserve"> </w:t>
      </w:r>
      <w:r w:rsidRPr="00A77A33">
        <w:rPr>
          <w:rStyle w:val="FootnoteTextChar2"/>
          <w:color w:val="000000" w:themeColor="text1"/>
        </w:rPr>
        <w:t xml:space="preserve">An FCC Form 159 and detailed instructions for completing the form may be obtained at </w:t>
      </w:r>
      <w:r w:rsidRPr="00A77A33">
        <w:rPr>
          <w:color w:val="000000" w:themeColor="text1"/>
        </w:rPr>
        <w:t>http://www.fcc.gov/Forms/Form159/159.pdf</w:t>
      </w:r>
      <w:r w:rsidRPr="00A77A33">
        <w:rPr>
          <w:rStyle w:val="FootnoteTextChar2"/>
          <w:color w:val="000000" w:themeColor="text1"/>
        </w:rPr>
        <w:t>.</w:t>
      </w:r>
    </w:p>
  </w:footnote>
  <w:footnote w:id="20">
    <w:p w:rsidR="00F23F1E" w:rsidRPr="00A77A33" w:rsidRDefault="00F23F1E" w:rsidP="00E355D6">
      <w:pPr>
        <w:pStyle w:val="FootnoteText"/>
        <w:rPr>
          <w:color w:val="000000" w:themeColor="text1"/>
        </w:rPr>
      </w:pPr>
      <w:r w:rsidRPr="00A77A33">
        <w:rPr>
          <w:rStyle w:val="FootnoteReference"/>
          <w:color w:val="000000" w:themeColor="text1"/>
        </w:rPr>
        <w:footnoteRef/>
      </w:r>
      <w:r w:rsidRPr="00A77A33">
        <w:rPr>
          <w:color w:val="000000" w:themeColor="text1"/>
        </w:rPr>
        <w:t xml:space="preserve"> </w:t>
      </w:r>
      <w:r w:rsidRPr="00A77A33">
        <w:rPr>
          <w:i/>
          <w:color w:val="000000" w:themeColor="text1"/>
        </w:rPr>
        <w:t>See</w:t>
      </w:r>
      <w:r w:rsidRPr="00A77A33">
        <w:rPr>
          <w:color w:val="000000" w:themeColor="text1"/>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7D" w:rsidRDefault="00D74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14:anchorId="1F5C2A7D" wp14:editId="2DD6CFE8">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B8D79A"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A03832">
      <w:t>DA 16-132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24F2D099" wp14:editId="123944D8">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D4E33"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A03832">
      <w:t>DA 16-132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0"/>
    <w:lvlOverride w:ilvl="0">
      <w:lvl w:ilvl="0">
        <w:numFmt w:val="bullet"/>
        <w:pStyle w:val="par1"/>
        <w:lvlText w:val=""/>
        <w:legacy w:legacy="1" w:legacySpace="0" w:legacyIndent="360"/>
        <w:lvlJc w:val="left"/>
        <w:rPr>
          <w:rFonts w:ascii="Symbol" w:hAnsi="Symbol" w:hint="default"/>
        </w:rPr>
      </w:lvl>
    </w:lvlOverride>
  </w:num>
  <w:num w:numId="4">
    <w:abstractNumId w:val="6"/>
  </w:num>
  <w:num w:numId="5">
    <w:abstractNumId w:val="2"/>
  </w:num>
  <w:num w:numId="6">
    <w:abstractNumId w:val="5"/>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4462"/>
    <w:rsid w:val="000145C6"/>
    <w:rsid w:val="000174F9"/>
    <w:rsid w:val="00023089"/>
    <w:rsid w:val="00025B57"/>
    <w:rsid w:val="000264B4"/>
    <w:rsid w:val="00031AE8"/>
    <w:rsid w:val="00036D58"/>
    <w:rsid w:val="00042282"/>
    <w:rsid w:val="00043C9B"/>
    <w:rsid w:val="00046801"/>
    <w:rsid w:val="00053697"/>
    <w:rsid w:val="000604EB"/>
    <w:rsid w:val="00062C44"/>
    <w:rsid w:val="000649FE"/>
    <w:rsid w:val="00071E3F"/>
    <w:rsid w:val="00072D7D"/>
    <w:rsid w:val="00074717"/>
    <w:rsid w:val="0007571D"/>
    <w:rsid w:val="00080535"/>
    <w:rsid w:val="00085024"/>
    <w:rsid w:val="000853AD"/>
    <w:rsid w:val="00086824"/>
    <w:rsid w:val="00091AE4"/>
    <w:rsid w:val="00092506"/>
    <w:rsid w:val="000962DF"/>
    <w:rsid w:val="00097F82"/>
    <w:rsid w:val="000A3E68"/>
    <w:rsid w:val="000A4776"/>
    <w:rsid w:val="000B14C3"/>
    <w:rsid w:val="000B1C2B"/>
    <w:rsid w:val="000B29ED"/>
    <w:rsid w:val="000B7657"/>
    <w:rsid w:val="000C092B"/>
    <w:rsid w:val="000C3732"/>
    <w:rsid w:val="000C6050"/>
    <w:rsid w:val="000D03AE"/>
    <w:rsid w:val="000D1391"/>
    <w:rsid w:val="000E1951"/>
    <w:rsid w:val="000E2707"/>
    <w:rsid w:val="000F1155"/>
    <w:rsid w:val="000F2C1F"/>
    <w:rsid w:val="00100646"/>
    <w:rsid w:val="00101CD4"/>
    <w:rsid w:val="001050D1"/>
    <w:rsid w:val="00105A35"/>
    <w:rsid w:val="001067B6"/>
    <w:rsid w:val="00110DF6"/>
    <w:rsid w:val="0011337B"/>
    <w:rsid w:val="0011687C"/>
    <w:rsid w:val="001205FE"/>
    <w:rsid w:val="00120ECD"/>
    <w:rsid w:val="0012427E"/>
    <w:rsid w:val="00126C88"/>
    <w:rsid w:val="00135F7F"/>
    <w:rsid w:val="00136476"/>
    <w:rsid w:val="00140ABB"/>
    <w:rsid w:val="001426F0"/>
    <w:rsid w:val="00145E08"/>
    <w:rsid w:val="00146912"/>
    <w:rsid w:val="00147460"/>
    <w:rsid w:val="001532B1"/>
    <w:rsid w:val="00153904"/>
    <w:rsid w:val="00153CE0"/>
    <w:rsid w:val="00154A5C"/>
    <w:rsid w:val="00162161"/>
    <w:rsid w:val="00164D9B"/>
    <w:rsid w:val="001715BD"/>
    <w:rsid w:val="00172581"/>
    <w:rsid w:val="001740BB"/>
    <w:rsid w:val="00180026"/>
    <w:rsid w:val="001819AF"/>
    <w:rsid w:val="00195525"/>
    <w:rsid w:val="00196E93"/>
    <w:rsid w:val="001A16A9"/>
    <w:rsid w:val="001A29EF"/>
    <w:rsid w:val="001A2F40"/>
    <w:rsid w:val="001A69BA"/>
    <w:rsid w:val="001A79FB"/>
    <w:rsid w:val="001B048F"/>
    <w:rsid w:val="001B6C8C"/>
    <w:rsid w:val="001C3156"/>
    <w:rsid w:val="001C3B35"/>
    <w:rsid w:val="001C42B3"/>
    <w:rsid w:val="001D139B"/>
    <w:rsid w:val="001D1CEF"/>
    <w:rsid w:val="001D41D4"/>
    <w:rsid w:val="001E135C"/>
    <w:rsid w:val="001E1906"/>
    <w:rsid w:val="001E401B"/>
    <w:rsid w:val="001E5F74"/>
    <w:rsid w:val="001F2B76"/>
    <w:rsid w:val="001F5AA4"/>
    <w:rsid w:val="001F7EE0"/>
    <w:rsid w:val="002037C2"/>
    <w:rsid w:val="0021315C"/>
    <w:rsid w:val="002146E2"/>
    <w:rsid w:val="00215EE5"/>
    <w:rsid w:val="002162B5"/>
    <w:rsid w:val="00217613"/>
    <w:rsid w:val="0022288D"/>
    <w:rsid w:val="00223173"/>
    <w:rsid w:val="00225854"/>
    <w:rsid w:val="00226191"/>
    <w:rsid w:val="0022665A"/>
    <w:rsid w:val="0023263F"/>
    <w:rsid w:val="002356BA"/>
    <w:rsid w:val="00236820"/>
    <w:rsid w:val="00246222"/>
    <w:rsid w:val="00246E35"/>
    <w:rsid w:val="00250EDF"/>
    <w:rsid w:val="002523B2"/>
    <w:rsid w:val="00252799"/>
    <w:rsid w:val="00256904"/>
    <w:rsid w:val="00256B42"/>
    <w:rsid w:val="002659F3"/>
    <w:rsid w:val="00265FC9"/>
    <w:rsid w:val="00270CD1"/>
    <w:rsid w:val="002710C5"/>
    <w:rsid w:val="002718D7"/>
    <w:rsid w:val="00280AE8"/>
    <w:rsid w:val="00283E59"/>
    <w:rsid w:val="00287564"/>
    <w:rsid w:val="00293ACC"/>
    <w:rsid w:val="002966A1"/>
    <w:rsid w:val="00297424"/>
    <w:rsid w:val="002A1963"/>
    <w:rsid w:val="002A7224"/>
    <w:rsid w:val="002B17E2"/>
    <w:rsid w:val="002B7493"/>
    <w:rsid w:val="002C079C"/>
    <w:rsid w:val="002C12AD"/>
    <w:rsid w:val="002C66A2"/>
    <w:rsid w:val="002D353F"/>
    <w:rsid w:val="002D3A88"/>
    <w:rsid w:val="002D4CD9"/>
    <w:rsid w:val="002D6A81"/>
    <w:rsid w:val="002D74C4"/>
    <w:rsid w:val="002E046E"/>
    <w:rsid w:val="002E1671"/>
    <w:rsid w:val="002E43B6"/>
    <w:rsid w:val="002E54FE"/>
    <w:rsid w:val="002E6027"/>
    <w:rsid w:val="002F2ACB"/>
    <w:rsid w:val="00306C34"/>
    <w:rsid w:val="00306C50"/>
    <w:rsid w:val="00307EF6"/>
    <w:rsid w:val="0032053D"/>
    <w:rsid w:val="0032244D"/>
    <w:rsid w:val="00325463"/>
    <w:rsid w:val="00331B47"/>
    <w:rsid w:val="00331D4E"/>
    <w:rsid w:val="003343CA"/>
    <w:rsid w:val="00334AEC"/>
    <w:rsid w:val="00335814"/>
    <w:rsid w:val="003368A3"/>
    <w:rsid w:val="003368E2"/>
    <w:rsid w:val="003400E9"/>
    <w:rsid w:val="00340246"/>
    <w:rsid w:val="00341A39"/>
    <w:rsid w:val="00344871"/>
    <w:rsid w:val="00344C0B"/>
    <w:rsid w:val="00345F40"/>
    <w:rsid w:val="00346C64"/>
    <w:rsid w:val="00346DCB"/>
    <w:rsid w:val="003472A7"/>
    <w:rsid w:val="00347397"/>
    <w:rsid w:val="00353C76"/>
    <w:rsid w:val="00353E9D"/>
    <w:rsid w:val="003563C1"/>
    <w:rsid w:val="00361B43"/>
    <w:rsid w:val="003623B1"/>
    <w:rsid w:val="0038136A"/>
    <w:rsid w:val="0039768C"/>
    <w:rsid w:val="003A07BF"/>
    <w:rsid w:val="003A4346"/>
    <w:rsid w:val="003A4767"/>
    <w:rsid w:val="003A5530"/>
    <w:rsid w:val="003A6F0A"/>
    <w:rsid w:val="003B4544"/>
    <w:rsid w:val="003B5341"/>
    <w:rsid w:val="003B5EF6"/>
    <w:rsid w:val="003B6421"/>
    <w:rsid w:val="003B6F75"/>
    <w:rsid w:val="003C0BCF"/>
    <w:rsid w:val="003C5EF1"/>
    <w:rsid w:val="003C6559"/>
    <w:rsid w:val="003D1963"/>
    <w:rsid w:val="003D3D4B"/>
    <w:rsid w:val="003D5B63"/>
    <w:rsid w:val="003D5BD6"/>
    <w:rsid w:val="003E36EC"/>
    <w:rsid w:val="003E4BA1"/>
    <w:rsid w:val="003E5CB1"/>
    <w:rsid w:val="003E7003"/>
    <w:rsid w:val="003F2F66"/>
    <w:rsid w:val="004016AD"/>
    <w:rsid w:val="004025A8"/>
    <w:rsid w:val="004031BA"/>
    <w:rsid w:val="00403291"/>
    <w:rsid w:val="00403B86"/>
    <w:rsid w:val="004042AA"/>
    <w:rsid w:val="00405D58"/>
    <w:rsid w:val="00416F51"/>
    <w:rsid w:val="004200CE"/>
    <w:rsid w:val="0042056B"/>
    <w:rsid w:val="00422D0B"/>
    <w:rsid w:val="00431572"/>
    <w:rsid w:val="00432014"/>
    <w:rsid w:val="00436A9E"/>
    <w:rsid w:val="00441CED"/>
    <w:rsid w:val="0045057D"/>
    <w:rsid w:val="00452C14"/>
    <w:rsid w:val="00454EFD"/>
    <w:rsid w:val="00457AE7"/>
    <w:rsid w:val="00466CC6"/>
    <w:rsid w:val="004736A1"/>
    <w:rsid w:val="004755A2"/>
    <w:rsid w:val="004828B8"/>
    <w:rsid w:val="004912E1"/>
    <w:rsid w:val="00493B9B"/>
    <w:rsid w:val="00493EB0"/>
    <w:rsid w:val="004A471C"/>
    <w:rsid w:val="004B4CC6"/>
    <w:rsid w:val="004C0831"/>
    <w:rsid w:val="004C1903"/>
    <w:rsid w:val="004C3EDB"/>
    <w:rsid w:val="004C4957"/>
    <w:rsid w:val="004C7C5C"/>
    <w:rsid w:val="004D2E89"/>
    <w:rsid w:val="004E218D"/>
    <w:rsid w:val="004E4FD9"/>
    <w:rsid w:val="004E5D01"/>
    <w:rsid w:val="004F0990"/>
    <w:rsid w:val="00505616"/>
    <w:rsid w:val="00512A5C"/>
    <w:rsid w:val="00514466"/>
    <w:rsid w:val="00514B5F"/>
    <w:rsid w:val="005214C9"/>
    <w:rsid w:val="00522727"/>
    <w:rsid w:val="00526086"/>
    <w:rsid w:val="00526174"/>
    <w:rsid w:val="00527191"/>
    <w:rsid w:val="00535D18"/>
    <w:rsid w:val="00537EE6"/>
    <w:rsid w:val="005415C8"/>
    <w:rsid w:val="0054220C"/>
    <w:rsid w:val="005440C1"/>
    <w:rsid w:val="00545EF8"/>
    <w:rsid w:val="00547654"/>
    <w:rsid w:val="00552923"/>
    <w:rsid w:val="00555D6F"/>
    <w:rsid w:val="00557BF1"/>
    <w:rsid w:val="00560703"/>
    <w:rsid w:val="00566FCD"/>
    <w:rsid w:val="0056704D"/>
    <w:rsid w:val="00567C95"/>
    <w:rsid w:val="00567D8D"/>
    <w:rsid w:val="0057135B"/>
    <w:rsid w:val="0059732E"/>
    <w:rsid w:val="005A0706"/>
    <w:rsid w:val="005A52AE"/>
    <w:rsid w:val="005A72DD"/>
    <w:rsid w:val="005B3158"/>
    <w:rsid w:val="005B4CEA"/>
    <w:rsid w:val="005B67ED"/>
    <w:rsid w:val="005B74F5"/>
    <w:rsid w:val="005C2A5A"/>
    <w:rsid w:val="005C30D4"/>
    <w:rsid w:val="005D250F"/>
    <w:rsid w:val="005D364B"/>
    <w:rsid w:val="005D4F7D"/>
    <w:rsid w:val="005E3D9F"/>
    <w:rsid w:val="006020E8"/>
    <w:rsid w:val="00603106"/>
    <w:rsid w:val="006168A4"/>
    <w:rsid w:val="00622396"/>
    <w:rsid w:val="00624EEA"/>
    <w:rsid w:val="00626B52"/>
    <w:rsid w:val="0063038A"/>
    <w:rsid w:val="00634F84"/>
    <w:rsid w:val="00637D3F"/>
    <w:rsid w:val="00640EAA"/>
    <w:rsid w:val="00644983"/>
    <w:rsid w:val="0064498D"/>
    <w:rsid w:val="006472F4"/>
    <w:rsid w:val="00650C92"/>
    <w:rsid w:val="00652860"/>
    <w:rsid w:val="00653DFB"/>
    <w:rsid w:val="006557D7"/>
    <w:rsid w:val="00655B5D"/>
    <w:rsid w:val="0065677C"/>
    <w:rsid w:val="006606A3"/>
    <w:rsid w:val="00661DE5"/>
    <w:rsid w:val="0066537F"/>
    <w:rsid w:val="00671666"/>
    <w:rsid w:val="00671D28"/>
    <w:rsid w:val="00672014"/>
    <w:rsid w:val="006733A8"/>
    <w:rsid w:val="00673674"/>
    <w:rsid w:val="006746BF"/>
    <w:rsid w:val="00674B18"/>
    <w:rsid w:val="00683E53"/>
    <w:rsid w:val="00686968"/>
    <w:rsid w:val="006877E7"/>
    <w:rsid w:val="00694A6E"/>
    <w:rsid w:val="00695FDF"/>
    <w:rsid w:val="006A3B8F"/>
    <w:rsid w:val="006A6FD0"/>
    <w:rsid w:val="006B080E"/>
    <w:rsid w:val="006B685D"/>
    <w:rsid w:val="006C26CF"/>
    <w:rsid w:val="006D2212"/>
    <w:rsid w:val="006D49C0"/>
    <w:rsid w:val="006D550A"/>
    <w:rsid w:val="006D7FF3"/>
    <w:rsid w:val="006E3B0D"/>
    <w:rsid w:val="006E4883"/>
    <w:rsid w:val="006E6868"/>
    <w:rsid w:val="006E728E"/>
    <w:rsid w:val="006F04A7"/>
    <w:rsid w:val="006F4111"/>
    <w:rsid w:val="00704843"/>
    <w:rsid w:val="007112FE"/>
    <w:rsid w:val="007115F7"/>
    <w:rsid w:val="00714FD7"/>
    <w:rsid w:val="00715666"/>
    <w:rsid w:val="0072776E"/>
    <w:rsid w:val="00731211"/>
    <w:rsid w:val="007325C3"/>
    <w:rsid w:val="0073326F"/>
    <w:rsid w:val="00743885"/>
    <w:rsid w:val="00743CDB"/>
    <w:rsid w:val="00745AB4"/>
    <w:rsid w:val="007470E1"/>
    <w:rsid w:val="007479D6"/>
    <w:rsid w:val="00752D0E"/>
    <w:rsid w:val="00755564"/>
    <w:rsid w:val="00757E63"/>
    <w:rsid w:val="00765619"/>
    <w:rsid w:val="0077103F"/>
    <w:rsid w:val="00775FD5"/>
    <w:rsid w:val="00776433"/>
    <w:rsid w:val="00781BFC"/>
    <w:rsid w:val="00782257"/>
    <w:rsid w:val="00785772"/>
    <w:rsid w:val="0078649E"/>
    <w:rsid w:val="00786EED"/>
    <w:rsid w:val="00787DBC"/>
    <w:rsid w:val="00790B4B"/>
    <w:rsid w:val="00791577"/>
    <w:rsid w:val="00792AD9"/>
    <w:rsid w:val="0079689E"/>
    <w:rsid w:val="007A2AF2"/>
    <w:rsid w:val="007A400F"/>
    <w:rsid w:val="007B1B20"/>
    <w:rsid w:val="007B25BE"/>
    <w:rsid w:val="007C197B"/>
    <w:rsid w:val="007C3802"/>
    <w:rsid w:val="007C3FB4"/>
    <w:rsid w:val="007C416C"/>
    <w:rsid w:val="007C59CE"/>
    <w:rsid w:val="007D1838"/>
    <w:rsid w:val="007D4374"/>
    <w:rsid w:val="007D5BA0"/>
    <w:rsid w:val="007E10B6"/>
    <w:rsid w:val="007E39BB"/>
    <w:rsid w:val="007F29BF"/>
    <w:rsid w:val="007F34FF"/>
    <w:rsid w:val="007F3C22"/>
    <w:rsid w:val="0080144D"/>
    <w:rsid w:val="00804932"/>
    <w:rsid w:val="00804AA7"/>
    <w:rsid w:val="00806AEF"/>
    <w:rsid w:val="00810432"/>
    <w:rsid w:val="00812515"/>
    <w:rsid w:val="00813F43"/>
    <w:rsid w:val="00817123"/>
    <w:rsid w:val="0082121C"/>
    <w:rsid w:val="008218CC"/>
    <w:rsid w:val="00823395"/>
    <w:rsid w:val="00836DF6"/>
    <w:rsid w:val="00842C0A"/>
    <w:rsid w:val="008436C3"/>
    <w:rsid w:val="00844A42"/>
    <w:rsid w:val="00854197"/>
    <w:rsid w:val="0085610B"/>
    <w:rsid w:val="0086145E"/>
    <w:rsid w:val="008616FD"/>
    <w:rsid w:val="00862B6D"/>
    <w:rsid w:val="008635E6"/>
    <w:rsid w:val="008666BC"/>
    <w:rsid w:val="00867A33"/>
    <w:rsid w:val="008742A5"/>
    <w:rsid w:val="00874CFC"/>
    <w:rsid w:val="00890DC3"/>
    <w:rsid w:val="00890F7C"/>
    <w:rsid w:val="00891F60"/>
    <w:rsid w:val="008A0B16"/>
    <w:rsid w:val="008A1A2C"/>
    <w:rsid w:val="008B1964"/>
    <w:rsid w:val="008B379C"/>
    <w:rsid w:val="008C29A7"/>
    <w:rsid w:val="008D1BE7"/>
    <w:rsid w:val="008D6AFE"/>
    <w:rsid w:val="008E0D87"/>
    <w:rsid w:val="008E49D8"/>
    <w:rsid w:val="008E69B3"/>
    <w:rsid w:val="008F0F79"/>
    <w:rsid w:val="008F6695"/>
    <w:rsid w:val="009012DC"/>
    <w:rsid w:val="00901EA9"/>
    <w:rsid w:val="00905C8D"/>
    <w:rsid w:val="00907428"/>
    <w:rsid w:val="00910008"/>
    <w:rsid w:val="009120F8"/>
    <w:rsid w:val="0091276A"/>
    <w:rsid w:val="00913674"/>
    <w:rsid w:val="009150E9"/>
    <w:rsid w:val="00920FB9"/>
    <w:rsid w:val="00922BC7"/>
    <w:rsid w:val="00924198"/>
    <w:rsid w:val="009244F0"/>
    <w:rsid w:val="00932FF9"/>
    <w:rsid w:val="0093638C"/>
    <w:rsid w:val="00937A4E"/>
    <w:rsid w:val="00955661"/>
    <w:rsid w:val="009574DE"/>
    <w:rsid w:val="00957948"/>
    <w:rsid w:val="00964E1E"/>
    <w:rsid w:val="00966093"/>
    <w:rsid w:val="00966328"/>
    <w:rsid w:val="009708B5"/>
    <w:rsid w:val="009714F0"/>
    <w:rsid w:val="00971CD5"/>
    <w:rsid w:val="00972CB2"/>
    <w:rsid w:val="00974A8A"/>
    <w:rsid w:val="0097633D"/>
    <w:rsid w:val="00980AA0"/>
    <w:rsid w:val="00981A39"/>
    <w:rsid w:val="009847FB"/>
    <w:rsid w:val="00985084"/>
    <w:rsid w:val="00990196"/>
    <w:rsid w:val="0099235E"/>
    <w:rsid w:val="00992A29"/>
    <w:rsid w:val="009A09C6"/>
    <w:rsid w:val="009A2403"/>
    <w:rsid w:val="009A323D"/>
    <w:rsid w:val="009A3AE5"/>
    <w:rsid w:val="009A4C09"/>
    <w:rsid w:val="009A73C4"/>
    <w:rsid w:val="009B0223"/>
    <w:rsid w:val="009B1061"/>
    <w:rsid w:val="009B2C59"/>
    <w:rsid w:val="009B3E58"/>
    <w:rsid w:val="009B6F55"/>
    <w:rsid w:val="009C18A1"/>
    <w:rsid w:val="009C2411"/>
    <w:rsid w:val="009C3321"/>
    <w:rsid w:val="009C46AB"/>
    <w:rsid w:val="009C6AD9"/>
    <w:rsid w:val="009D0C63"/>
    <w:rsid w:val="009D5355"/>
    <w:rsid w:val="009E44EE"/>
    <w:rsid w:val="009E708F"/>
    <w:rsid w:val="00A002F4"/>
    <w:rsid w:val="00A00AE0"/>
    <w:rsid w:val="00A01D1A"/>
    <w:rsid w:val="00A020A9"/>
    <w:rsid w:val="00A02148"/>
    <w:rsid w:val="00A03832"/>
    <w:rsid w:val="00A047AF"/>
    <w:rsid w:val="00A0567A"/>
    <w:rsid w:val="00A10460"/>
    <w:rsid w:val="00A14E35"/>
    <w:rsid w:val="00A174D4"/>
    <w:rsid w:val="00A204BA"/>
    <w:rsid w:val="00A20570"/>
    <w:rsid w:val="00A223C9"/>
    <w:rsid w:val="00A230E1"/>
    <w:rsid w:val="00A24336"/>
    <w:rsid w:val="00A24CD1"/>
    <w:rsid w:val="00A26C54"/>
    <w:rsid w:val="00A35EDC"/>
    <w:rsid w:val="00A3796D"/>
    <w:rsid w:val="00A408AA"/>
    <w:rsid w:val="00A41565"/>
    <w:rsid w:val="00A42341"/>
    <w:rsid w:val="00A45420"/>
    <w:rsid w:val="00A52CEE"/>
    <w:rsid w:val="00A77A33"/>
    <w:rsid w:val="00A8761F"/>
    <w:rsid w:val="00A95983"/>
    <w:rsid w:val="00AA19E7"/>
    <w:rsid w:val="00AA1C42"/>
    <w:rsid w:val="00AA614F"/>
    <w:rsid w:val="00AB2A81"/>
    <w:rsid w:val="00AB3FF0"/>
    <w:rsid w:val="00AC08EF"/>
    <w:rsid w:val="00AC0A30"/>
    <w:rsid w:val="00AC7682"/>
    <w:rsid w:val="00AC7905"/>
    <w:rsid w:val="00AD0E22"/>
    <w:rsid w:val="00AD35D3"/>
    <w:rsid w:val="00AD525D"/>
    <w:rsid w:val="00AD6FE1"/>
    <w:rsid w:val="00AE4E71"/>
    <w:rsid w:val="00AE6CDF"/>
    <w:rsid w:val="00AF0A67"/>
    <w:rsid w:val="00AF2483"/>
    <w:rsid w:val="00AF6122"/>
    <w:rsid w:val="00B0328F"/>
    <w:rsid w:val="00B046DF"/>
    <w:rsid w:val="00B0601B"/>
    <w:rsid w:val="00B102D9"/>
    <w:rsid w:val="00B106C6"/>
    <w:rsid w:val="00B20811"/>
    <w:rsid w:val="00B21753"/>
    <w:rsid w:val="00B246DD"/>
    <w:rsid w:val="00B26603"/>
    <w:rsid w:val="00B307A4"/>
    <w:rsid w:val="00B50532"/>
    <w:rsid w:val="00B5182F"/>
    <w:rsid w:val="00B52F5E"/>
    <w:rsid w:val="00B661C1"/>
    <w:rsid w:val="00B707A0"/>
    <w:rsid w:val="00B70A0B"/>
    <w:rsid w:val="00B7385F"/>
    <w:rsid w:val="00B84DAA"/>
    <w:rsid w:val="00B86AE7"/>
    <w:rsid w:val="00B86B94"/>
    <w:rsid w:val="00B97BA0"/>
    <w:rsid w:val="00BA0DEA"/>
    <w:rsid w:val="00BB18C9"/>
    <w:rsid w:val="00BB2B10"/>
    <w:rsid w:val="00BB4888"/>
    <w:rsid w:val="00BB6D6F"/>
    <w:rsid w:val="00BC3C88"/>
    <w:rsid w:val="00BC3FB6"/>
    <w:rsid w:val="00BD5C10"/>
    <w:rsid w:val="00BD747D"/>
    <w:rsid w:val="00BF0CB5"/>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46C7F"/>
    <w:rsid w:val="00C5183C"/>
    <w:rsid w:val="00C5575E"/>
    <w:rsid w:val="00C61CBA"/>
    <w:rsid w:val="00C627F2"/>
    <w:rsid w:val="00C63B0D"/>
    <w:rsid w:val="00C676D3"/>
    <w:rsid w:val="00C67ADA"/>
    <w:rsid w:val="00C70A5E"/>
    <w:rsid w:val="00C710A4"/>
    <w:rsid w:val="00C7583B"/>
    <w:rsid w:val="00C7593B"/>
    <w:rsid w:val="00C771F0"/>
    <w:rsid w:val="00C80AB7"/>
    <w:rsid w:val="00C81248"/>
    <w:rsid w:val="00C81DFC"/>
    <w:rsid w:val="00C82A24"/>
    <w:rsid w:val="00C835A2"/>
    <w:rsid w:val="00C855E5"/>
    <w:rsid w:val="00C90207"/>
    <w:rsid w:val="00C9074F"/>
    <w:rsid w:val="00C9559E"/>
    <w:rsid w:val="00C962DD"/>
    <w:rsid w:val="00C9673A"/>
    <w:rsid w:val="00C97F25"/>
    <w:rsid w:val="00CA02C3"/>
    <w:rsid w:val="00CA60E2"/>
    <w:rsid w:val="00CA74A0"/>
    <w:rsid w:val="00CB00BB"/>
    <w:rsid w:val="00CB3AC4"/>
    <w:rsid w:val="00CB6E37"/>
    <w:rsid w:val="00CC3E7E"/>
    <w:rsid w:val="00CC44D6"/>
    <w:rsid w:val="00CC48B6"/>
    <w:rsid w:val="00CC660D"/>
    <w:rsid w:val="00CC6B2D"/>
    <w:rsid w:val="00CD01AA"/>
    <w:rsid w:val="00CD48EE"/>
    <w:rsid w:val="00CD7A1B"/>
    <w:rsid w:val="00CE57A9"/>
    <w:rsid w:val="00CF0BCD"/>
    <w:rsid w:val="00CF2340"/>
    <w:rsid w:val="00CF537E"/>
    <w:rsid w:val="00CF6B67"/>
    <w:rsid w:val="00D137D5"/>
    <w:rsid w:val="00D15C2F"/>
    <w:rsid w:val="00D162B4"/>
    <w:rsid w:val="00D23943"/>
    <w:rsid w:val="00D249F3"/>
    <w:rsid w:val="00D417DA"/>
    <w:rsid w:val="00D55192"/>
    <w:rsid w:val="00D60550"/>
    <w:rsid w:val="00D70FC6"/>
    <w:rsid w:val="00D74E7D"/>
    <w:rsid w:val="00D75D1C"/>
    <w:rsid w:val="00D77881"/>
    <w:rsid w:val="00D86D17"/>
    <w:rsid w:val="00DA4A80"/>
    <w:rsid w:val="00DA67BE"/>
    <w:rsid w:val="00DB04B0"/>
    <w:rsid w:val="00DB110F"/>
    <w:rsid w:val="00DB209B"/>
    <w:rsid w:val="00DC68F5"/>
    <w:rsid w:val="00DD066D"/>
    <w:rsid w:val="00DD17B4"/>
    <w:rsid w:val="00DD355E"/>
    <w:rsid w:val="00DD7B34"/>
    <w:rsid w:val="00DF2FC3"/>
    <w:rsid w:val="00DF3333"/>
    <w:rsid w:val="00DF49C5"/>
    <w:rsid w:val="00DF7C28"/>
    <w:rsid w:val="00E03C5E"/>
    <w:rsid w:val="00E03D76"/>
    <w:rsid w:val="00E0401A"/>
    <w:rsid w:val="00E077BE"/>
    <w:rsid w:val="00E136B4"/>
    <w:rsid w:val="00E20614"/>
    <w:rsid w:val="00E216B3"/>
    <w:rsid w:val="00E273E3"/>
    <w:rsid w:val="00E309DA"/>
    <w:rsid w:val="00E31D71"/>
    <w:rsid w:val="00E32B89"/>
    <w:rsid w:val="00E33E1D"/>
    <w:rsid w:val="00E355D6"/>
    <w:rsid w:val="00E40344"/>
    <w:rsid w:val="00E41348"/>
    <w:rsid w:val="00E43F93"/>
    <w:rsid w:val="00E44BA5"/>
    <w:rsid w:val="00E51553"/>
    <w:rsid w:val="00E51F9F"/>
    <w:rsid w:val="00E57ED1"/>
    <w:rsid w:val="00E6009E"/>
    <w:rsid w:val="00E61780"/>
    <w:rsid w:val="00E650AE"/>
    <w:rsid w:val="00E6792A"/>
    <w:rsid w:val="00E7391D"/>
    <w:rsid w:val="00E74600"/>
    <w:rsid w:val="00E7660D"/>
    <w:rsid w:val="00E8023B"/>
    <w:rsid w:val="00E85E97"/>
    <w:rsid w:val="00E9402D"/>
    <w:rsid w:val="00E95342"/>
    <w:rsid w:val="00EA1318"/>
    <w:rsid w:val="00EA7BC5"/>
    <w:rsid w:val="00EB5C8E"/>
    <w:rsid w:val="00EC01C8"/>
    <w:rsid w:val="00EC389E"/>
    <w:rsid w:val="00EC59F7"/>
    <w:rsid w:val="00EC6192"/>
    <w:rsid w:val="00ED001A"/>
    <w:rsid w:val="00ED50F4"/>
    <w:rsid w:val="00ED7F11"/>
    <w:rsid w:val="00EE05DB"/>
    <w:rsid w:val="00EE194C"/>
    <w:rsid w:val="00EE7218"/>
    <w:rsid w:val="00EF23E9"/>
    <w:rsid w:val="00EF2D22"/>
    <w:rsid w:val="00EF3412"/>
    <w:rsid w:val="00EF49F0"/>
    <w:rsid w:val="00EF5B91"/>
    <w:rsid w:val="00F0262C"/>
    <w:rsid w:val="00F03DF9"/>
    <w:rsid w:val="00F07C8E"/>
    <w:rsid w:val="00F122FD"/>
    <w:rsid w:val="00F156C3"/>
    <w:rsid w:val="00F15E74"/>
    <w:rsid w:val="00F16485"/>
    <w:rsid w:val="00F1740D"/>
    <w:rsid w:val="00F210F9"/>
    <w:rsid w:val="00F21DEF"/>
    <w:rsid w:val="00F23F1E"/>
    <w:rsid w:val="00F34168"/>
    <w:rsid w:val="00F35991"/>
    <w:rsid w:val="00F368C8"/>
    <w:rsid w:val="00F44921"/>
    <w:rsid w:val="00F51AF3"/>
    <w:rsid w:val="00F75ED8"/>
    <w:rsid w:val="00F80BCB"/>
    <w:rsid w:val="00F83951"/>
    <w:rsid w:val="00F84343"/>
    <w:rsid w:val="00F8613C"/>
    <w:rsid w:val="00F90362"/>
    <w:rsid w:val="00F93126"/>
    <w:rsid w:val="00F9326A"/>
    <w:rsid w:val="00F968BB"/>
    <w:rsid w:val="00FA2BC9"/>
    <w:rsid w:val="00FA3463"/>
    <w:rsid w:val="00FA581C"/>
    <w:rsid w:val="00FB450C"/>
    <w:rsid w:val="00FC1C58"/>
    <w:rsid w:val="00FD2585"/>
    <w:rsid w:val="00FD5E5D"/>
    <w:rsid w:val="00FE74AF"/>
    <w:rsid w:val="00FF0865"/>
    <w:rsid w:val="00FF10F5"/>
    <w:rsid w:val="00FF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4921"/>
    <w:pPr>
      <w:widowControl w:val="0"/>
    </w:pPr>
    <w:rPr>
      <w:snapToGrid w:val="0"/>
      <w:kern w:val="28"/>
      <w:szCs w:val="20"/>
    </w:rPr>
  </w:style>
  <w:style w:type="paragraph" w:styleId="Heading1">
    <w:name w:val="heading 1"/>
    <w:basedOn w:val="Normal"/>
    <w:next w:val="ParaNum"/>
    <w:link w:val="Heading1Char"/>
    <w:qFormat/>
    <w:rsid w:val="00F4492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44921"/>
    <w:pPr>
      <w:keepNext/>
      <w:numPr>
        <w:ilvl w:val="1"/>
        <w:numId w:val="2"/>
      </w:numPr>
      <w:spacing w:after="120"/>
      <w:outlineLvl w:val="1"/>
    </w:pPr>
    <w:rPr>
      <w:b/>
    </w:rPr>
  </w:style>
  <w:style w:type="paragraph" w:styleId="Heading3">
    <w:name w:val="heading 3"/>
    <w:basedOn w:val="Normal"/>
    <w:next w:val="ParaNum"/>
    <w:link w:val="Heading3Char"/>
    <w:qFormat/>
    <w:rsid w:val="00F4492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4492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4492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4492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4492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4492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4492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49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921"/>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C61CBA"/>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F44921"/>
    <w:pPr>
      <w:numPr>
        <w:numId w:val="1"/>
      </w:numPr>
      <w:tabs>
        <w:tab w:val="clear" w:pos="1080"/>
        <w:tab w:val="num" w:pos="1440"/>
      </w:tabs>
      <w:spacing w:after="120"/>
    </w:pPr>
  </w:style>
  <w:style w:type="paragraph" w:styleId="EndnoteText">
    <w:name w:val="endnote text"/>
    <w:basedOn w:val="Normal"/>
    <w:link w:val="EndnoteTextChar"/>
    <w:semiHidden/>
    <w:rsid w:val="00F44921"/>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F44921"/>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F44921"/>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F44921"/>
    <w:rPr>
      <w:rFonts w:ascii="Times New Roman" w:hAnsi="Times New Roman"/>
      <w:dstrike w:val="0"/>
      <w:color w:val="auto"/>
      <w:sz w:val="20"/>
      <w:vertAlign w:val="superscript"/>
    </w:rPr>
  </w:style>
  <w:style w:type="paragraph" w:styleId="TOC1">
    <w:name w:val="toc 1"/>
    <w:basedOn w:val="Normal"/>
    <w:next w:val="Normal"/>
    <w:rsid w:val="00F449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4921"/>
    <w:pPr>
      <w:tabs>
        <w:tab w:val="left" w:pos="720"/>
        <w:tab w:val="right" w:leader="dot" w:pos="9360"/>
      </w:tabs>
      <w:suppressAutoHyphens/>
      <w:ind w:left="720" w:right="720" w:hanging="360"/>
    </w:pPr>
    <w:rPr>
      <w:noProof/>
    </w:rPr>
  </w:style>
  <w:style w:type="paragraph" w:styleId="TOC3">
    <w:name w:val="toc 3"/>
    <w:basedOn w:val="Normal"/>
    <w:next w:val="Normal"/>
    <w:semiHidden/>
    <w:rsid w:val="00F449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49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49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49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49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49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49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4921"/>
    <w:pPr>
      <w:tabs>
        <w:tab w:val="right" w:pos="9360"/>
      </w:tabs>
      <w:suppressAutoHyphens/>
    </w:pPr>
  </w:style>
  <w:style w:type="character" w:customStyle="1" w:styleId="EquationCaption">
    <w:name w:val="_Equation Caption"/>
    <w:rsid w:val="00F44921"/>
  </w:style>
  <w:style w:type="paragraph" w:styleId="Header">
    <w:name w:val="header"/>
    <w:basedOn w:val="Normal"/>
    <w:link w:val="HeaderChar"/>
    <w:autoRedefine/>
    <w:rsid w:val="00F44921"/>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F44921"/>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F44921"/>
  </w:style>
  <w:style w:type="paragraph" w:styleId="BlockText">
    <w:name w:val="Block Text"/>
    <w:basedOn w:val="Normal"/>
    <w:rsid w:val="00F44921"/>
    <w:pPr>
      <w:spacing w:after="240"/>
      <w:ind w:left="1440" w:right="1440"/>
    </w:pPr>
  </w:style>
  <w:style w:type="paragraph" w:customStyle="1" w:styleId="Paratitle">
    <w:name w:val="Para title"/>
    <w:basedOn w:val="Normal"/>
    <w:rsid w:val="00F44921"/>
    <w:pPr>
      <w:tabs>
        <w:tab w:val="center" w:pos="9270"/>
      </w:tabs>
      <w:spacing w:after="240"/>
    </w:pPr>
    <w:rPr>
      <w:spacing w:val="-2"/>
    </w:rPr>
  </w:style>
  <w:style w:type="paragraph" w:customStyle="1" w:styleId="Bullet">
    <w:name w:val="Bullet"/>
    <w:basedOn w:val="Normal"/>
    <w:rsid w:val="00F44921"/>
    <w:pPr>
      <w:tabs>
        <w:tab w:val="left" w:pos="2160"/>
      </w:tabs>
      <w:spacing w:after="220"/>
      <w:ind w:left="2160" w:hanging="720"/>
    </w:pPr>
  </w:style>
  <w:style w:type="paragraph" w:customStyle="1" w:styleId="TableFormat">
    <w:name w:val="TableFormat"/>
    <w:basedOn w:val="Bullet"/>
    <w:rsid w:val="00F44921"/>
    <w:pPr>
      <w:tabs>
        <w:tab w:val="clear" w:pos="2160"/>
        <w:tab w:val="left" w:pos="5040"/>
      </w:tabs>
      <w:ind w:left="5040" w:hanging="3600"/>
    </w:pPr>
  </w:style>
  <w:style w:type="paragraph" w:customStyle="1" w:styleId="TOCTitle">
    <w:name w:val="TOC Title"/>
    <w:basedOn w:val="Normal"/>
    <w:rsid w:val="00F449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4921"/>
    <w:pPr>
      <w:jc w:val="center"/>
    </w:pPr>
    <w:rPr>
      <w:rFonts w:ascii="Times New Roman Bold" w:hAnsi="Times New Roman Bold"/>
      <w:b/>
      <w:bCs/>
      <w:caps/>
      <w:szCs w:val="22"/>
    </w:rPr>
  </w:style>
  <w:style w:type="character" w:styleId="Hyperlink">
    <w:name w:val="Hyperlink"/>
    <w:rsid w:val="00F44921"/>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style>
  <w:style w:type="paragraph" w:customStyle="1" w:styleId="par1">
    <w:name w:val="par1"/>
    <w:basedOn w:val="Normal"/>
    <w:link w:val="par1Char"/>
    <w:uiPriority w:val="99"/>
    <w:rsid w:val="003343CA"/>
    <w:pPr>
      <w:numPr>
        <w:numId w:val="3"/>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customStyle="1" w:styleId="apple-converted-space">
    <w:name w:val="apple-converted-space"/>
    <w:basedOn w:val="DefaultParagraphFont"/>
    <w:rsid w:val="009A73C4"/>
  </w:style>
  <w:style w:type="character" w:styleId="Emphasis">
    <w:name w:val="Emphasis"/>
    <w:basedOn w:val="DefaultParagraphFont"/>
    <w:uiPriority w:val="20"/>
    <w:qFormat/>
    <w:locked/>
    <w:rsid w:val="009A73C4"/>
    <w:rPr>
      <w:i/>
      <w:iCs/>
    </w:rPr>
  </w:style>
  <w:style w:type="character" w:customStyle="1" w:styleId="FootnoteCharacters">
    <w:name w:val="Footnote Characters"/>
    <w:rsid w:val="00E33E1D"/>
    <w:rPr>
      <w:rFonts w:ascii="Times New Roman" w:hAnsi="Times New Roman"/>
      <w:strike w:val="0"/>
      <w:dstrike w:val="0"/>
      <w:color w:val="auto"/>
      <w:sz w:val="20"/>
      <w:vertAlign w:val="superscript"/>
    </w:rPr>
  </w:style>
  <w:style w:type="character" w:customStyle="1" w:styleId="Footnote">
    <w:name w:val="Footnote"/>
    <w:rsid w:val="00E33E1D"/>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4921"/>
    <w:pPr>
      <w:widowControl w:val="0"/>
    </w:pPr>
    <w:rPr>
      <w:snapToGrid w:val="0"/>
      <w:kern w:val="28"/>
      <w:szCs w:val="20"/>
    </w:rPr>
  </w:style>
  <w:style w:type="paragraph" w:styleId="Heading1">
    <w:name w:val="heading 1"/>
    <w:basedOn w:val="Normal"/>
    <w:next w:val="ParaNum"/>
    <w:link w:val="Heading1Char"/>
    <w:qFormat/>
    <w:rsid w:val="00F4492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44921"/>
    <w:pPr>
      <w:keepNext/>
      <w:numPr>
        <w:ilvl w:val="1"/>
        <w:numId w:val="2"/>
      </w:numPr>
      <w:spacing w:after="120"/>
      <w:outlineLvl w:val="1"/>
    </w:pPr>
    <w:rPr>
      <w:b/>
    </w:rPr>
  </w:style>
  <w:style w:type="paragraph" w:styleId="Heading3">
    <w:name w:val="heading 3"/>
    <w:basedOn w:val="Normal"/>
    <w:next w:val="ParaNum"/>
    <w:link w:val="Heading3Char"/>
    <w:qFormat/>
    <w:rsid w:val="00F4492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4492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4492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4492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4492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4492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4492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49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921"/>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C61CBA"/>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F44921"/>
    <w:pPr>
      <w:numPr>
        <w:numId w:val="1"/>
      </w:numPr>
      <w:tabs>
        <w:tab w:val="clear" w:pos="1080"/>
        <w:tab w:val="num" w:pos="1440"/>
      </w:tabs>
      <w:spacing w:after="120"/>
    </w:pPr>
  </w:style>
  <w:style w:type="paragraph" w:styleId="EndnoteText">
    <w:name w:val="endnote text"/>
    <w:basedOn w:val="Normal"/>
    <w:link w:val="EndnoteTextChar"/>
    <w:semiHidden/>
    <w:rsid w:val="00F44921"/>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F44921"/>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F44921"/>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F44921"/>
    <w:rPr>
      <w:rFonts w:ascii="Times New Roman" w:hAnsi="Times New Roman"/>
      <w:dstrike w:val="0"/>
      <w:color w:val="auto"/>
      <w:sz w:val="20"/>
      <w:vertAlign w:val="superscript"/>
    </w:rPr>
  </w:style>
  <w:style w:type="paragraph" w:styleId="TOC1">
    <w:name w:val="toc 1"/>
    <w:basedOn w:val="Normal"/>
    <w:next w:val="Normal"/>
    <w:rsid w:val="00F449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4921"/>
    <w:pPr>
      <w:tabs>
        <w:tab w:val="left" w:pos="720"/>
        <w:tab w:val="right" w:leader="dot" w:pos="9360"/>
      </w:tabs>
      <w:suppressAutoHyphens/>
      <w:ind w:left="720" w:right="720" w:hanging="360"/>
    </w:pPr>
    <w:rPr>
      <w:noProof/>
    </w:rPr>
  </w:style>
  <w:style w:type="paragraph" w:styleId="TOC3">
    <w:name w:val="toc 3"/>
    <w:basedOn w:val="Normal"/>
    <w:next w:val="Normal"/>
    <w:semiHidden/>
    <w:rsid w:val="00F449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49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49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49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49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49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49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4921"/>
    <w:pPr>
      <w:tabs>
        <w:tab w:val="right" w:pos="9360"/>
      </w:tabs>
      <w:suppressAutoHyphens/>
    </w:pPr>
  </w:style>
  <w:style w:type="character" w:customStyle="1" w:styleId="EquationCaption">
    <w:name w:val="_Equation Caption"/>
    <w:rsid w:val="00F44921"/>
  </w:style>
  <w:style w:type="paragraph" w:styleId="Header">
    <w:name w:val="header"/>
    <w:basedOn w:val="Normal"/>
    <w:link w:val="HeaderChar"/>
    <w:autoRedefine/>
    <w:rsid w:val="00F44921"/>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F44921"/>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F44921"/>
  </w:style>
  <w:style w:type="paragraph" w:styleId="BlockText">
    <w:name w:val="Block Text"/>
    <w:basedOn w:val="Normal"/>
    <w:rsid w:val="00F44921"/>
    <w:pPr>
      <w:spacing w:after="240"/>
      <w:ind w:left="1440" w:right="1440"/>
    </w:pPr>
  </w:style>
  <w:style w:type="paragraph" w:customStyle="1" w:styleId="Paratitle">
    <w:name w:val="Para title"/>
    <w:basedOn w:val="Normal"/>
    <w:rsid w:val="00F44921"/>
    <w:pPr>
      <w:tabs>
        <w:tab w:val="center" w:pos="9270"/>
      </w:tabs>
      <w:spacing w:after="240"/>
    </w:pPr>
    <w:rPr>
      <w:spacing w:val="-2"/>
    </w:rPr>
  </w:style>
  <w:style w:type="paragraph" w:customStyle="1" w:styleId="Bullet">
    <w:name w:val="Bullet"/>
    <w:basedOn w:val="Normal"/>
    <w:rsid w:val="00F44921"/>
    <w:pPr>
      <w:tabs>
        <w:tab w:val="left" w:pos="2160"/>
      </w:tabs>
      <w:spacing w:after="220"/>
      <w:ind w:left="2160" w:hanging="720"/>
    </w:pPr>
  </w:style>
  <w:style w:type="paragraph" w:customStyle="1" w:styleId="TableFormat">
    <w:name w:val="TableFormat"/>
    <w:basedOn w:val="Bullet"/>
    <w:rsid w:val="00F44921"/>
    <w:pPr>
      <w:tabs>
        <w:tab w:val="clear" w:pos="2160"/>
        <w:tab w:val="left" w:pos="5040"/>
      </w:tabs>
      <w:ind w:left="5040" w:hanging="3600"/>
    </w:pPr>
  </w:style>
  <w:style w:type="paragraph" w:customStyle="1" w:styleId="TOCTitle">
    <w:name w:val="TOC Title"/>
    <w:basedOn w:val="Normal"/>
    <w:rsid w:val="00F449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4921"/>
    <w:pPr>
      <w:jc w:val="center"/>
    </w:pPr>
    <w:rPr>
      <w:rFonts w:ascii="Times New Roman Bold" w:hAnsi="Times New Roman Bold"/>
      <w:b/>
      <w:bCs/>
      <w:caps/>
      <w:szCs w:val="22"/>
    </w:rPr>
  </w:style>
  <w:style w:type="character" w:styleId="Hyperlink">
    <w:name w:val="Hyperlink"/>
    <w:rsid w:val="00F44921"/>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style>
  <w:style w:type="paragraph" w:customStyle="1" w:styleId="par1">
    <w:name w:val="par1"/>
    <w:basedOn w:val="Normal"/>
    <w:link w:val="par1Char"/>
    <w:uiPriority w:val="99"/>
    <w:rsid w:val="003343CA"/>
    <w:pPr>
      <w:numPr>
        <w:numId w:val="3"/>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customStyle="1" w:styleId="apple-converted-space">
    <w:name w:val="apple-converted-space"/>
    <w:basedOn w:val="DefaultParagraphFont"/>
    <w:rsid w:val="009A73C4"/>
  </w:style>
  <w:style w:type="character" w:styleId="Emphasis">
    <w:name w:val="Emphasis"/>
    <w:basedOn w:val="DefaultParagraphFont"/>
    <w:uiPriority w:val="20"/>
    <w:qFormat/>
    <w:locked/>
    <w:rsid w:val="009A73C4"/>
    <w:rPr>
      <w:i/>
      <w:iCs/>
    </w:rPr>
  </w:style>
  <w:style w:type="character" w:customStyle="1" w:styleId="FootnoteCharacters">
    <w:name w:val="Footnote Characters"/>
    <w:rsid w:val="00E33E1D"/>
    <w:rPr>
      <w:rFonts w:ascii="Times New Roman" w:hAnsi="Times New Roman"/>
      <w:strike w:val="0"/>
      <w:dstrike w:val="0"/>
      <w:color w:val="auto"/>
      <w:sz w:val="20"/>
      <w:vertAlign w:val="superscript"/>
    </w:rPr>
  </w:style>
  <w:style w:type="character" w:customStyle="1" w:styleId="Footnote">
    <w:name w:val="Footnote"/>
    <w:rsid w:val="00E33E1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239317961">
      <w:bodyDiv w:val="1"/>
      <w:marLeft w:val="0"/>
      <w:marRight w:val="0"/>
      <w:marTop w:val="0"/>
      <w:marBottom w:val="0"/>
      <w:divBdr>
        <w:top w:val="none" w:sz="0" w:space="0" w:color="auto"/>
        <w:left w:val="none" w:sz="0" w:space="0" w:color="auto"/>
        <w:bottom w:val="none" w:sz="0" w:space="0" w:color="auto"/>
        <w:right w:val="none" w:sz="0" w:space="0" w:color="auto"/>
      </w:divBdr>
      <w:divsChild>
        <w:div w:id="575288155">
          <w:marLeft w:val="0"/>
          <w:marRight w:val="0"/>
          <w:marTop w:val="0"/>
          <w:marBottom w:val="0"/>
          <w:divBdr>
            <w:top w:val="none" w:sz="0" w:space="0" w:color="auto"/>
            <w:left w:val="none" w:sz="0" w:space="0" w:color="auto"/>
            <w:bottom w:val="none" w:sz="0" w:space="0" w:color="auto"/>
            <w:right w:val="none" w:sz="0" w:space="0" w:color="auto"/>
          </w:divBdr>
        </w:div>
      </w:divsChild>
    </w:div>
    <w:div w:id="1575117093">
      <w:bodyDiv w:val="1"/>
      <w:marLeft w:val="0"/>
      <w:marRight w:val="0"/>
      <w:marTop w:val="0"/>
      <w:marBottom w:val="0"/>
      <w:divBdr>
        <w:top w:val="none" w:sz="0" w:space="0" w:color="auto"/>
        <w:left w:val="none" w:sz="0" w:space="0" w:color="auto"/>
        <w:bottom w:val="none" w:sz="0" w:space="0" w:color="auto"/>
        <w:right w:val="none" w:sz="0" w:space="0" w:color="auto"/>
      </w:divBdr>
      <w:divsChild>
        <w:div w:id="1679650035">
          <w:marLeft w:val="0"/>
          <w:marRight w:val="0"/>
          <w:marTop w:val="0"/>
          <w:marBottom w:val="0"/>
          <w:divBdr>
            <w:top w:val="none" w:sz="0" w:space="0" w:color="auto"/>
            <w:left w:val="none" w:sz="0" w:space="0" w:color="auto"/>
            <w:bottom w:val="none" w:sz="0" w:space="0" w:color="auto"/>
            <w:right w:val="none" w:sz="0" w:space="0" w:color="auto"/>
          </w:divBdr>
        </w:div>
      </w:divsChild>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Y&amp;serNum=1966204328&amp;pubNum=0000780&amp;originatingDoc=Ic7ceb2a6752511e5b86bd602cb8781fa&amp;refType=RP&amp;originationContext=document&amp;transitionType=DocumentItem&amp;contextData=(sc.Search)" TargetMode="External"/><Relationship Id="rId2" Type="http://schemas.openxmlformats.org/officeDocument/2006/relationships/hyperlink" Target="https://a.next.westlaw.com/Link/Document/FullText?findType=Y&amp;serNum=1965114957&amp;pubNum=0000350&amp;originatingDoc=Ic7ceb2a6752511e5b86bd602cb8781fa&amp;refType=RP&amp;originationContext=document&amp;transitionType=DocumentItem&amp;contextData=(sc.Search)" TargetMode="External"/><Relationship Id="rId1" Type="http://schemas.openxmlformats.org/officeDocument/2006/relationships/hyperlink" Target="https://a.next.westlaw.com/Link/Document/FullText?findType=Y&amp;serNum=1964077552&amp;pubNum=0001016&amp;originatingDoc=Ic7ceb2a6752511e5b86bd602cb8781fa&amp;refType=CA&amp;fi=co_pp_sp_1016_686&amp;originationContext=document&amp;transitionType=DocumentItem&amp;contextData=(sc.Search)" TargetMode="External"/><Relationship Id="rId5" Type="http://schemas.openxmlformats.org/officeDocument/2006/relationships/hyperlink" Target="https://a.next.westlaw.com/Link/Document/FullText?findType=Y&amp;serNum=2000531036&amp;pubNum=0004493&amp;originatingDoc=Ic7ceb2a6752511e5b86bd602cb8781fa&amp;refType=CA&amp;fi=co_pp_sp_4493_18257&amp;originationContext=document&amp;transitionType=DocumentItem&amp;contextData=(sc.Search)" TargetMode="External"/><Relationship Id="rId4" Type="http://schemas.openxmlformats.org/officeDocument/2006/relationships/hyperlink" Target="https://a.next.westlaw.com/Link/Document/FullText?findType=Y&amp;serNum=2028190576&amp;pubNum=0004493&amp;originatingDoc=Ic7ceb2a6752511e5b86bd602cb8781fa&amp;refType=CA&amp;fi=co_pp_sp_4493_7610&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1125</Words>
  <Characters>6288</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2016-02-08T20:16:00Z</dcterms:created>
  <dcterms:modified xsi:type="dcterms:W3CDTF">2016-02-08T20:16:00Z</dcterms:modified>
  <cp:category> </cp:category>
  <cp:contentStatus> </cp:contentStatus>
</cp:coreProperties>
</file>