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A96C" w14:textId="6DE0DE27" w:rsidR="00D47505" w:rsidRPr="00FB35C7" w:rsidRDefault="00F144F7" w:rsidP="00FB35C7">
      <w:pPr>
        <w:spacing w:before="120"/>
        <w:jc w:val="right"/>
        <w:rPr>
          <w:b/>
        </w:rPr>
      </w:pPr>
      <w:bookmarkStart w:id="0" w:name="_GoBack"/>
      <w:bookmarkEnd w:id="0"/>
      <w:r w:rsidRPr="00FB35C7">
        <w:rPr>
          <w:b/>
        </w:rPr>
        <w:t>DA</w:t>
      </w:r>
      <w:r w:rsidR="00C96E01" w:rsidRPr="00FB35C7">
        <w:rPr>
          <w:b/>
        </w:rPr>
        <w:t xml:space="preserve"> 16</w:t>
      </w:r>
      <w:r w:rsidRPr="00FB35C7">
        <w:rPr>
          <w:b/>
        </w:rPr>
        <w:t>-</w:t>
      </w:r>
      <w:r w:rsidR="00932A76">
        <w:rPr>
          <w:b/>
        </w:rPr>
        <w:t>1264</w:t>
      </w:r>
    </w:p>
    <w:p w14:paraId="60BF5E90" w14:textId="2891B305" w:rsidR="00D47505" w:rsidRPr="00FB35C7" w:rsidRDefault="00B338A9" w:rsidP="00D47505">
      <w:pPr>
        <w:spacing w:before="60"/>
        <w:jc w:val="right"/>
        <w:rPr>
          <w:b/>
        </w:rPr>
      </w:pPr>
      <w:r w:rsidRPr="00FB35C7">
        <w:rPr>
          <w:b/>
        </w:rPr>
        <w:t xml:space="preserve">Released:  </w:t>
      </w:r>
      <w:r w:rsidR="00FB35C7" w:rsidRPr="00FB35C7">
        <w:rPr>
          <w:b/>
        </w:rPr>
        <w:t xml:space="preserve">November </w:t>
      </w:r>
      <w:r w:rsidR="00932A76">
        <w:rPr>
          <w:b/>
        </w:rPr>
        <w:t>8</w:t>
      </w:r>
      <w:r w:rsidR="00F144F7" w:rsidRPr="00FB35C7">
        <w:rPr>
          <w:b/>
        </w:rPr>
        <w:t>, 2016</w:t>
      </w:r>
    </w:p>
    <w:p w14:paraId="289B9B59" w14:textId="77777777" w:rsidR="00D47505" w:rsidRPr="00FB35C7" w:rsidRDefault="00D47505" w:rsidP="00D47505">
      <w:pPr>
        <w:jc w:val="right"/>
      </w:pPr>
    </w:p>
    <w:p w14:paraId="74A3616C" w14:textId="44CE23CA" w:rsidR="00D47505" w:rsidRPr="00FB35C7" w:rsidRDefault="00F144F7" w:rsidP="00FB35C7">
      <w:pPr>
        <w:spacing w:after="120"/>
        <w:jc w:val="center"/>
        <w:rPr>
          <w:b/>
          <w:caps/>
        </w:rPr>
      </w:pPr>
      <w:r w:rsidRPr="00FB35C7">
        <w:rPr>
          <w:b/>
          <w:caps/>
        </w:rPr>
        <w:t xml:space="preserve">Wireline Competition Bureau Approves the </w:t>
      </w:r>
      <w:r w:rsidR="002B710D" w:rsidRPr="00FB35C7">
        <w:rPr>
          <w:b/>
          <w:caps/>
        </w:rPr>
        <w:t xml:space="preserve">amended </w:t>
      </w:r>
      <w:r w:rsidRPr="00FB35C7">
        <w:rPr>
          <w:b/>
          <w:caps/>
        </w:rPr>
        <w:t>Compliance Plan of Terracom</w:t>
      </w:r>
    </w:p>
    <w:p w14:paraId="3ADD6000" w14:textId="42425C24" w:rsidR="00D47505" w:rsidRPr="00FB35C7" w:rsidRDefault="00F144F7" w:rsidP="00D47505">
      <w:pPr>
        <w:jc w:val="center"/>
        <w:rPr>
          <w:b/>
        </w:rPr>
      </w:pPr>
      <w:r w:rsidRPr="00FB35C7">
        <w:rPr>
          <w:b/>
        </w:rPr>
        <w:t>WC Docket No. 11-42</w:t>
      </w:r>
    </w:p>
    <w:p w14:paraId="1CA796D6" w14:textId="1F305B85" w:rsidR="00AC2F2A" w:rsidRPr="00FB35C7" w:rsidRDefault="00AC2F2A" w:rsidP="00AC2F2A">
      <w:pPr>
        <w:spacing w:before="120" w:after="240"/>
        <w:ind w:firstLine="720"/>
        <w:rPr>
          <w:szCs w:val="22"/>
        </w:rPr>
      </w:pPr>
      <w:r w:rsidRPr="00FB35C7">
        <w:rPr>
          <w:szCs w:val="22"/>
        </w:rPr>
        <w:t>The Wireline Competition Bureau (Bureau) approves</w:t>
      </w:r>
      <w:r w:rsidR="006D0CA1" w:rsidRPr="00FB35C7">
        <w:rPr>
          <w:szCs w:val="22"/>
        </w:rPr>
        <w:t xml:space="preserve">, subject to the </w:t>
      </w:r>
      <w:r w:rsidR="00581553" w:rsidRPr="00FB35C7">
        <w:rPr>
          <w:szCs w:val="22"/>
        </w:rPr>
        <w:t>Bureau’s</w:t>
      </w:r>
      <w:r w:rsidR="006D0CA1" w:rsidRPr="00FB35C7">
        <w:rPr>
          <w:szCs w:val="22"/>
        </w:rPr>
        <w:t xml:space="preserve"> approval of TerraCom, Inc.’s (TerraCom) </w:t>
      </w:r>
      <w:r w:rsidR="00581553" w:rsidRPr="00FB35C7">
        <w:rPr>
          <w:szCs w:val="22"/>
        </w:rPr>
        <w:t xml:space="preserve">domestic </w:t>
      </w:r>
      <w:r w:rsidR="006D0CA1" w:rsidRPr="00FB35C7">
        <w:rPr>
          <w:szCs w:val="22"/>
        </w:rPr>
        <w:t xml:space="preserve">section 214 </w:t>
      </w:r>
      <w:r w:rsidR="00581553" w:rsidRPr="00FB35C7">
        <w:rPr>
          <w:szCs w:val="22"/>
        </w:rPr>
        <w:t xml:space="preserve">transfer of control </w:t>
      </w:r>
      <w:r w:rsidR="006D0CA1" w:rsidRPr="00FB35C7">
        <w:rPr>
          <w:szCs w:val="22"/>
        </w:rPr>
        <w:t>application,</w:t>
      </w:r>
      <w:r w:rsidR="00581553" w:rsidRPr="00FB35C7">
        <w:rPr>
          <w:rStyle w:val="FootnoteReference"/>
          <w:sz w:val="22"/>
          <w:szCs w:val="22"/>
        </w:rPr>
        <w:footnoteReference w:id="2"/>
      </w:r>
      <w:r w:rsidRPr="00FB35C7">
        <w:rPr>
          <w:szCs w:val="22"/>
        </w:rPr>
        <w:t xml:space="preserve"> the </w:t>
      </w:r>
      <w:r w:rsidR="00FD047E" w:rsidRPr="00FB35C7">
        <w:rPr>
          <w:szCs w:val="22"/>
        </w:rPr>
        <w:t xml:space="preserve">amended </w:t>
      </w:r>
      <w:r w:rsidRPr="00FB35C7">
        <w:rPr>
          <w:szCs w:val="22"/>
        </w:rPr>
        <w:t>compliance plan</w:t>
      </w:r>
      <w:r w:rsidRPr="00FB35C7">
        <w:rPr>
          <w:szCs w:val="22"/>
          <w:vertAlign w:val="superscript"/>
        </w:rPr>
        <w:footnoteReference w:id="3"/>
      </w:r>
      <w:r w:rsidRPr="00FB35C7">
        <w:rPr>
          <w:szCs w:val="22"/>
        </w:rPr>
        <w:t xml:space="preserve"> of TerraCom</w:t>
      </w:r>
      <w:r w:rsidR="00FD047E" w:rsidRPr="00FB35C7">
        <w:rPr>
          <w:szCs w:val="22"/>
        </w:rPr>
        <w:t xml:space="preserve"> </w:t>
      </w:r>
      <w:r w:rsidRPr="00FB35C7">
        <w:rPr>
          <w:szCs w:val="22"/>
        </w:rPr>
        <w:t xml:space="preserve">filed pursuant to the </w:t>
      </w:r>
      <w:r w:rsidRPr="00FB35C7">
        <w:rPr>
          <w:i/>
          <w:szCs w:val="22"/>
        </w:rPr>
        <w:t>2014 Public Notice Regarding Transfers</w:t>
      </w:r>
      <w:r w:rsidRPr="00FB35C7">
        <w:rPr>
          <w:szCs w:val="22"/>
          <w:vertAlign w:val="superscript"/>
        </w:rPr>
        <w:footnoteReference w:id="4"/>
      </w:r>
      <w:r w:rsidRPr="00FB35C7">
        <w:rPr>
          <w:i/>
          <w:szCs w:val="22"/>
        </w:rPr>
        <w:t xml:space="preserve"> </w:t>
      </w:r>
      <w:r w:rsidRPr="00FB35C7">
        <w:rPr>
          <w:szCs w:val="22"/>
        </w:rPr>
        <w:t xml:space="preserve">and the </w:t>
      </w:r>
      <w:r w:rsidRPr="00FB35C7">
        <w:rPr>
          <w:i/>
          <w:szCs w:val="22"/>
        </w:rPr>
        <w:t>2012</w:t>
      </w:r>
      <w:r w:rsidRPr="00FB35C7">
        <w:rPr>
          <w:szCs w:val="22"/>
        </w:rPr>
        <w:t xml:space="preserve"> </w:t>
      </w:r>
      <w:r w:rsidRPr="00FB35C7">
        <w:rPr>
          <w:i/>
          <w:szCs w:val="22"/>
        </w:rPr>
        <w:t>Lifeline Reform Order</w:t>
      </w:r>
      <w:r w:rsidRPr="00FB35C7">
        <w:rPr>
          <w:szCs w:val="22"/>
        </w:rPr>
        <w:t>,</w:t>
      </w:r>
      <w:r w:rsidRPr="00FB35C7">
        <w:rPr>
          <w:szCs w:val="22"/>
          <w:vertAlign w:val="superscript"/>
        </w:rPr>
        <w:footnoteReference w:id="5"/>
      </w:r>
      <w:r w:rsidRPr="00FB35C7">
        <w:rPr>
          <w:szCs w:val="22"/>
        </w:rPr>
        <w:t xml:space="preserve"> as a condition of </w:t>
      </w:r>
      <w:r w:rsidR="00CF754F" w:rsidRPr="00FB35C7">
        <w:rPr>
          <w:szCs w:val="22"/>
        </w:rPr>
        <w:t>TerraCom continuing to provide Lifeline service under new ownership.</w:t>
      </w:r>
    </w:p>
    <w:p w14:paraId="306D0D98" w14:textId="52047261" w:rsidR="00780C4E" w:rsidRPr="00FB35C7" w:rsidRDefault="00FD047E" w:rsidP="00780C4E">
      <w:pPr>
        <w:spacing w:before="120" w:after="240"/>
        <w:rPr>
          <w:szCs w:val="22"/>
        </w:rPr>
      </w:pPr>
      <w:r w:rsidRPr="00FB35C7">
        <w:rPr>
          <w:szCs w:val="22"/>
        </w:rPr>
        <w:tab/>
        <w:t>TerraCom has been designated as an ETC in 14 states,</w:t>
      </w:r>
      <w:r w:rsidRPr="00FB35C7">
        <w:rPr>
          <w:rStyle w:val="FootnoteReference"/>
          <w:sz w:val="22"/>
          <w:szCs w:val="22"/>
        </w:rPr>
        <w:footnoteReference w:id="6"/>
      </w:r>
      <w:r w:rsidRPr="00FB35C7">
        <w:rPr>
          <w:szCs w:val="22"/>
        </w:rPr>
        <w:t xml:space="preserve"> and it had its compliance plan approved by the Bureau in 2012.</w:t>
      </w:r>
      <w:r w:rsidRPr="00FB35C7">
        <w:rPr>
          <w:rStyle w:val="FootnoteReference"/>
          <w:sz w:val="22"/>
          <w:szCs w:val="22"/>
        </w:rPr>
        <w:footnoteReference w:id="7"/>
      </w:r>
      <w:r w:rsidRPr="00FB35C7">
        <w:rPr>
          <w:szCs w:val="22"/>
        </w:rPr>
        <w:t xml:space="preserve">  In its amended compli</w:t>
      </w:r>
      <w:r w:rsidR="00335CCF" w:rsidRPr="00FB35C7">
        <w:rPr>
          <w:szCs w:val="22"/>
        </w:rPr>
        <w:t xml:space="preserve">ance plan TerraCom states that </w:t>
      </w:r>
      <w:r w:rsidRPr="00FB35C7">
        <w:rPr>
          <w:szCs w:val="22"/>
        </w:rPr>
        <w:t>Global Reconnect, Inc.</w:t>
      </w:r>
      <w:r w:rsidR="00335CCF" w:rsidRPr="00FB35C7">
        <w:rPr>
          <w:szCs w:val="22"/>
        </w:rPr>
        <w:t xml:space="preserve"> (GRI)</w:t>
      </w:r>
      <w:r w:rsidRPr="00FB35C7">
        <w:rPr>
          <w:szCs w:val="22"/>
        </w:rPr>
        <w:t xml:space="preserve"> will become the “new majority investor in TerraCom.”</w:t>
      </w:r>
      <w:r w:rsidRPr="00FB35C7">
        <w:rPr>
          <w:rStyle w:val="FootnoteReference"/>
          <w:sz w:val="22"/>
          <w:szCs w:val="22"/>
        </w:rPr>
        <w:footnoteReference w:id="8"/>
      </w:r>
      <w:r w:rsidR="00A52A23" w:rsidRPr="00FB35C7">
        <w:rPr>
          <w:szCs w:val="22"/>
        </w:rPr>
        <w:t xml:space="preserve">  </w:t>
      </w:r>
      <w:r w:rsidR="00374495" w:rsidRPr="00FB35C7">
        <w:rPr>
          <w:szCs w:val="22"/>
        </w:rPr>
        <w:t xml:space="preserve">In the </w:t>
      </w:r>
      <w:r w:rsidR="00374495" w:rsidRPr="00FB35C7">
        <w:rPr>
          <w:i/>
          <w:szCs w:val="22"/>
        </w:rPr>
        <w:t>2014 Public Notice Regarding Transfers</w:t>
      </w:r>
      <w:r w:rsidR="00374495" w:rsidRPr="00FB35C7">
        <w:rPr>
          <w:szCs w:val="22"/>
        </w:rPr>
        <w:t>, the Bureau reiterated that “any material changes in ownership or control require modification of the compliance plan that must be approved by the Bureau in advance of the changes.”</w:t>
      </w:r>
      <w:r w:rsidR="00374495" w:rsidRPr="00FB35C7">
        <w:rPr>
          <w:szCs w:val="22"/>
          <w:vertAlign w:val="superscript"/>
        </w:rPr>
        <w:footnoteReference w:id="9"/>
      </w:r>
      <w:r w:rsidR="00374495" w:rsidRPr="00FB35C7">
        <w:rPr>
          <w:szCs w:val="22"/>
        </w:rPr>
        <w:t xml:space="preserve">  This </w:t>
      </w:r>
      <w:r w:rsidR="00A52A23" w:rsidRPr="00FB35C7">
        <w:rPr>
          <w:szCs w:val="22"/>
        </w:rPr>
        <w:t>acquisition of TerraCom constitutes a “material change</w:t>
      </w:r>
      <w:r w:rsidR="005B5D5C" w:rsidRPr="00FB35C7">
        <w:rPr>
          <w:szCs w:val="22"/>
        </w:rPr>
        <w:t>[ ]</w:t>
      </w:r>
      <w:r w:rsidR="00A52A23" w:rsidRPr="00FB35C7">
        <w:rPr>
          <w:szCs w:val="22"/>
        </w:rPr>
        <w:t xml:space="preserve"> in ownership or control” which requires Bureau approval of an amended compliance plan. </w:t>
      </w:r>
      <w:r w:rsidR="00335CCF" w:rsidRPr="00FB35C7">
        <w:rPr>
          <w:szCs w:val="22"/>
        </w:rPr>
        <w:t xml:space="preserve"> </w:t>
      </w:r>
      <w:r w:rsidR="00A7522A" w:rsidRPr="00FB35C7">
        <w:rPr>
          <w:szCs w:val="22"/>
        </w:rPr>
        <w:t xml:space="preserve">TerraCom </w:t>
      </w:r>
      <w:r w:rsidR="00A52A23" w:rsidRPr="00FB35C7">
        <w:rPr>
          <w:szCs w:val="22"/>
        </w:rPr>
        <w:t>emphasizes</w:t>
      </w:r>
      <w:r w:rsidR="00A7522A" w:rsidRPr="00FB35C7">
        <w:rPr>
          <w:szCs w:val="22"/>
        </w:rPr>
        <w:t xml:space="preserve"> that</w:t>
      </w:r>
      <w:r w:rsidR="00374495" w:rsidRPr="00FB35C7">
        <w:rPr>
          <w:szCs w:val="22"/>
        </w:rPr>
        <w:t>,</w:t>
      </w:r>
      <w:r w:rsidR="00A7522A" w:rsidRPr="00FB35C7">
        <w:rPr>
          <w:szCs w:val="22"/>
        </w:rPr>
        <w:t xml:space="preserve"> despite the change in ownership,</w:t>
      </w:r>
      <w:r w:rsidR="00A52A23" w:rsidRPr="00FB35C7">
        <w:rPr>
          <w:szCs w:val="22"/>
        </w:rPr>
        <w:t xml:space="preserve"> TerraCom’s management structure will remain the same, and</w:t>
      </w:r>
      <w:r w:rsidR="00A7522A" w:rsidRPr="00FB35C7">
        <w:rPr>
          <w:szCs w:val="22"/>
        </w:rPr>
        <w:t xml:space="preserve"> “TerraCom customers will continue to receive their existing services at the same rates, terms, and conditions currently in effect.”</w:t>
      </w:r>
      <w:r w:rsidR="00A7522A" w:rsidRPr="00FB35C7">
        <w:rPr>
          <w:rStyle w:val="FootnoteReference"/>
          <w:sz w:val="22"/>
          <w:szCs w:val="22"/>
        </w:rPr>
        <w:footnoteReference w:id="10"/>
      </w:r>
      <w:r w:rsidR="00335CCF" w:rsidRPr="00FB35C7">
        <w:rPr>
          <w:szCs w:val="22"/>
        </w:rPr>
        <w:t xml:space="preserve"> </w:t>
      </w:r>
      <w:r w:rsidR="00A7522A" w:rsidRPr="00FB35C7">
        <w:rPr>
          <w:szCs w:val="22"/>
        </w:rPr>
        <w:t xml:space="preserve"> </w:t>
      </w:r>
      <w:r w:rsidR="00780C4E" w:rsidRPr="00FB35C7">
        <w:rPr>
          <w:szCs w:val="22"/>
        </w:rPr>
        <w:t xml:space="preserve">The Bureau has reviewed TerraCom’s compliance plan for conformance with the </w:t>
      </w:r>
      <w:r w:rsidR="00780C4E" w:rsidRPr="00FB35C7">
        <w:rPr>
          <w:i/>
          <w:szCs w:val="22"/>
        </w:rPr>
        <w:t xml:space="preserve">2014 Public Notice Regarding Transfers </w:t>
      </w:r>
      <w:r w:rsidR="00780C4E" w:rsidRPr="00FB35C7">
        <w:rPr>
          <w:szCs w:val="22"/>
        </w:rPr>
        <w:t xml:space="preserve">and the </w:t>
      </w:r>
      <w:r w:rsidR="00780C4E" w:rsidRPr="00FB35C7">
        <w:rPr>
          <w:i/>
          <w:szCs w:val="22"/>
        </w:rPr>
        <w:t>2012 Lifeline Reform Order</w:t>
      </w:r>
      <w:r w:rsidR="00780C4E" w:rsidRPr="00FB35C7">
        <w:rPr>
          <w:szCs w:val="22"/>
        </w:rPr>
        <w:t xml:space="preserve">, and now approves the </w:t>
      </w:r>
      <w:r w:rsidR="00A40CA9" w:rsidRPr="00FB35C7">
        <w:rPr>
          <w:szCs w:val="22"/>
        </w:rPr>
        <w:t xml:space="preserve">amended </w:t>
      </w:r>
      <w:r w:rsidR="00780C4E" w:rsidRPr="00FB35C7">
        <w:rPr>
          <w:szCs w:val="22"/>
        </w:rPr>
        <w:t>compliance plan.</w:t>
      </w:r>
    </w:p>
    <w:p w14:paraId="62AF4873" w14:textId="5EF23F8F" w:rsidR="00780C4E" w:rsidRPr="00FB35C7" w:rsidRDefault="00780C4E" w:rsidP="00A011E7">
      <w:pPr>
        <w:spacing w:before="120" w:after="240"/>
        <w:ind w:firstLine="720"/>
        <w:rPr>
          <w:szCs w:val="22"/>
        </w:rPr>
      </w:pPr>
      <w:r w:rsidRPr="00FB35C7">
        <w:rPr>
          <w:szCs w:val="22"/>
        </w:rPr>
        <w:t>Filings, including the above-discussed compliance plan, and comments</w:t>
      </w:r>
      <w:r w:rsidR="00A011E7" w:rsidRPr="00FB35C7">
        <w:rPr>
          <w:szCs w:val="22"/>
        </w:rPr>
        <w:t>,</w:t>
      </w:r>
      <w:r w:rsidRPr="00FB35C7">
        <w:rPr>
          <w:szCs w:val="22"/>
        </w:rPr>
        <w:t xml:space="preserve"> are available for public </w:t>
      </w:r>
      <w:r w:rsidRPr="00FB35C7">
        <w:rPr>
          <w:szCs w:val="22"/>
        </w:rPr>
        <w:lastRenderedPageBreak/>
        <w:t>inspection and copying during regular business hours at the FCC Reference Information Center, Portals II, 445 12</w:t>
      </w:r>
      <w:r w:rsidRPr="00FB35C7">
        <w:rPr>
          <w:szCs w:val="22"/>
          <w:vertAlign w:val="superscript"/>
        </w:rPr>
        <w:t>th</w:t>
      </w:r>
      <w:r w:rsidRPr="00FB35C7">
        <w:rPr>
          <w:szCs w:val="22"/>
        </w:rPr>
        <w:t xml:space="preserve"> Street, S.W., Room CY-A257, Washington, D.C. 20554.  </w:t>
      </w:r>
      <w:r w:rsidR="00581553" w:rsidRPr="00FB35C7">
        <w:rPr>
          <w:rStyle w:val="apple-converted-space"/>
          <w:rFonts w:ascii="Arial" w:hAnsi="Arial" w:cs="Arial"/>
          <w:szCs w:val="22"/>
        </w:rPr>
        <w:t> </w:t>
      </w:r>
      <w:r w:rsidR="00581553" w:rsidRPr="00FB35C7">
        <w:rPr>
          <w:szCs w:val="22"/>
        </w:rPr>
        <w:t xml:space="preserve">All filings are also available at </w:t>
      </w:r>
      <w:hyperlink r:id="rId8" w:history="1">
        <w:r w:rsidR="00FB35C7" w:rsidRPr="00C32AFD">
          <w:rPr>
            <w:rStyle w:val="Hyperlink"/>
            <w:szCs w:val="22"/>
          </w:rPr>
          <w:t>http://apps.fcc.gov/ecfs/</w:t>
        </w:r>
      </w:hyperlink>
      <w:r w:rsidR="00581553" w:rsidRPr="00FB35C7">
        <w:rPr>
          <w:szCs w:val="22"/>
        </w:rPr>
        <w:t>.</w:t>
      </w:r>
    </w:p>
    <w:p w14:paraId="797B4182" w14:textId="7CEA2A71" w:rsidR="00780C4E" w:rsidRPr="00FB35C7" w:rsidRDefault="00780C4E" w:rsidP="00571246">
      <w:pPr>
        <w:spacing w:before="120" w:after="240"/>
        <w:ind w:firstLine="720"/>
        <w:rPr>
          <w:szCs w:val="22"/>
        </w:rPr>
      </w:pPr>
      <w:r w:rsidRPr="00FB35C7">
        <w:rPr>
          <w:szCs w:val="22"/>
        </w:rPr>
        <w:t xml:space="preserve">People with Disabilities:  To request materials in accessible formats for people with disabilities (Braille, large print, electronic files, audio format), send an email to </w:t>
      </w:r>
      <w:hyperlink r:id="rId9" w:history="1">
        <w:r w:rsidRPr="00FB35C7">
          <w:rPr>
            <w:rStyle w:val="Hyperlink"/>
            <w:szCs w:val="22"/>
          </w:rPr>
          <w:t>fcc504@fcc.gov</w:t>
        </w:r>
      </w:hyperlink>
      <w:r w:rsidRPr="00FB35C7">
        <w:rPr>
          <w:szCs w:val="22"/>
        </w:rPr>
        <w:t xml:space="preserve"> or call the Consumer &amp; Governmental Affairs Bureau at (202) 418-7400 or TTY (202) 418-0484.</w:t>
      </w:r>
    </w:p>
    <w:p w14:paraId="088D2159" w14:textId="77777777" w:rsidR="00780C4E" w:rsidRPr="00FB35C7" w:rsidRDefault="00780C4E" w:rsidP="00571246">
      <w:pPr>
        <w:spacing w:before="120" w:after="240"/>
        <w:ind w:firstLine="720"/>
        <w:rPr>
          <w:szCs w:val="22"/>
        </w:rPr>
      </w:pPr>
      <w:r w:rsidRPr="00FB35C7">
        <w:rPr>
          <w:szCs w:val="22"/>
        </w:rPr>
        <w:t>For further information, please contact Nathan Eagan, Telecommunications Access Policy Division, Wireline Competition Bureau at (202) 418-0991 or TTY (202) 418-0484.</w:t>
      </w:r>
    </w:p>
    <w:p w14:paraId="29451665" w14:textId="77777777" w:rsidR="00780C4E" w:rsidRPr="00FB35C7" w:rsidRDefault="00780C4E" w:rsidP="00780C4E">
      <w:pPr>
        <w:spacing w:before="120" w:after="240"/>
        <w:ind w:left="3600" w:firstLine="720"/>
        <w:rPr>
          <w:b/>
          <w:szCs w:val="22"/>
        </w:rPr>
      </w:pPr>
      <w:r w:rsidRPr="00FB35C7">
        <w:rPr>
          <w:b/>
          <w:szCs w:val="22"/>
        </w:rPr>
        <w:t>- FCC -</w:t>
      </w:r>
    </w:p>
    <w:p w14:paraId="5A78E9F8" w14:textId="77777777" w:rsidR="00780C4E" w:rsidRPr="00FB35C7" w:rsidRDefault="00780C4E" w:rsidP="00D47505">
      <w:pPr>
        <w:spacing w:before="120" w:after="240"/>
        <w:rPr>
          <w:szCs w:val="22"/>
        </w:rPr>
      </w:pPr>
    </w:p>
    <w:sectPr w:rsidR="00780C4E" w:rsidRPr="00FB35C7"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8C19" w14:textId="77777777" w:rsidR="00C9629E" w:rsidRDefault="00C9629E">
      <w:pPr>
        <w:spacing w:line="20" w:lineRule="exact"/>
      </w:pPr>
    </w:p>
  </w:endnote>
  <w:endnote w:type="continuationSeparator" w:id="0">
    <w:p w14:paraId="57A6323E" w14:textId="77777777" w:rsidR="00C9629E" w:rsidRDefault="00C9629E">
      <w:r>
        <w:t xml:space="preserve"> </w:t>
      </w:r>
    </w:p>
  </w:endnote>
  <w:endnote w:type="continuationNotice" w:id="1">
    <w:p w14:paraId="0E0795E9" w14:textId="77777777" w:rsidR="00C9629E" w:rsidRDefault="00C962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17A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B76BC9C" w14:textId="77777777" w:rsidR="00D25FB5" w:rsidRDefault="00D25FB5">
    <w:pPr>
      <w:pStyle w:val="Footer"/>
    </w:pPr>
  </w:p>
  <w:p w14:paraId="352E7D1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C28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47306">
      <w:rPr>
        <w:noProof/>
      </w:rPr>
      <w:t>2</w:t>
    </w:r>
    <w:r>
      <w:fldChar w:fldCharType="end"/>
    </w:r>
  </w:p>
  <w:p w14:paraId="1B95BA9D"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CA49"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00BD1" w14:textId="77777777" w:rsidR="00C9629E" w:rsidRDefault="00C9629E">
      <w:r>
        <w:separator/>
      </w:r>
    </w:p>
  </w:footnote>
  <w:footnote w:type="continuationSeparator" w:id="0">
    <w:p w14:paraId="472C4849" w14:textId="77777777" w:rsidR="00C9629E" w:rsidRDefault="00C9629E" w:rsidP="00C721AC">
      <w:pPr>
        <w:spacing w:before="120"/>
        <w:rPr>
          <w:sz w:val="20"/>
        </w:rPr>
      </w:pPr>
      <w:r>
        <w:rPr>
          <w:sz w:val="20"/>
        </w:rPr>
        <w:t xml:space="preserve">(Continued from previous page)  </w:t>
      </w:r>
      <w:r>
        <w:rPr>
          <w:sz w:val="20"/>
        </w:rPr>
        <w:separator/>
      </w:r>
    </w:p>
  </w:footnote>
  <w:footnote w:type="continuationNotice" w:id="1">
    <w:p w14:paraId="47AFCDB0" w14:textId="77777777" w:rsidR="00C9629E" w:rsidRDefault="00C9629E" w:rsidP="00C721AC">
      <w:pPr>
        <w:jc w:val="right"/>
        <w:rPr>
          <w:sz w:val="20"/>
        </w:rPr>
      </w:pPr>
      <w:r>
        <w:rPr>
          <w:sz w:val="20"/>
        </w:rPr>
        <w:t>(continued….)</w:t>
      </w:r>
    </w:p>
  </w:footnote>
  <w:footnote w:id="2">
    <w:p w14:paraId="346F4A01" w14:textId="4DA1D369" w:rsidR="00581553" w:rsidRDefault="00581553">
      <w:pPr>
        <w:pStyle w:val="FootnoteText"/>
      </w:pPr>
      <w:r>
        <w:rPr>
          <w:rStyle w:val="FootnoteReference"/>
        </w:rPr>
        <w:footnoteRef/>
      </w:r>
      <w:r>
        <w:t xml:space="preserve"> </w:t>
      </w:r>
      <w:r w:rsidRPr="00607EDD">
        <w:rPr>
          <w:i/>
        </w:rPr>
        <w:t>Domestic Section 214 Application Filed for the Transfer of Control of TerraCom, Inc. to Global Reconnect, Inc</w:t>
      </w:r>
      <w:r>
        <w:t xml:space="preserve">., Public Notice, </w:t>
      </w:r>
      <w:r w:rsidR="0059111F">
        <w:t>31 FCC Rcd 9525</w:t>
      </w:r>
      <w:r>
        <w:t xml:space="preserve"> (WCB Aug. 24, 2016).</w:t>
      </w:r>
    </w:p>
  </w:footnote>
  <w:footnote w:id="3">
    <w:p w14:paraId="50E4F31C" w14:textId="77777777" w:rsidR="00AC2F2A" w:rsidRPr="007058A8" w:rsidRDefault="00AC2F2A" w:rsidP="00AC2F2A">
      <w:pPr>
        <w:pStyle w:val="FootnoteText"/>
      </w:pPr>
      <w:r>
        <w:rPr>
          <w:rStyle w:val="FootnoteReference"/>
        </w:rPr>
        <w:footnoteRef/>
      </w:r>
      <w:r>
        <w:t xml:space="preserve"> </w:t>
      </w:r>
      <w:r>
        <w:rPr>
          <w:i/>
        </w:rPr>
        <w:t>See</w:t>
      </w:r>
      <w:r>
        <w:t xml:space="preserve"> Fourth Revised </w:t>
      </w:r>
      <w:r w:rsidRPr="007058A8">
        <w:t>Compliance Plan of</w:t>
      </w:r>
      <w:r>
        <w:t xml:space="preserve"> TerraCom, Inc.</w:t>
      </w:r>
      <w:r w:rsidRPr="007058A8">
        <w:t xml:space="preserve">, WC Docket No. 09-197, 11-42 (filed </w:t>
      </w:r>
      <w:r>
        <w:t>Oct. 3</w:t>
      </w:r>
      <w:r w:rsidRPr="007058A8">
        <w:t>, 201</w:t>
      </w:r>
      <w:r>
        <w:t>6</w:t>
      </w:r>
      <w:r w:rsidRPr="007058A8">
        <w:t>)</w:t>
      </w:r>
      <w:r w:rsidR="00FD047E">
        <w:t xml:space="preserve"> (TerraCom Compliance Plan)</w:t>
      </w:r>
      <w:r>
        <w:t>.</w:t>
      </w:r>
    </w:p>
  </w:footnote>
  <w:footnote w:id="4">
    <w:p w14:paraId="7A4F61B2" w14:textId="77777777" w:rsidR="00AC2F2A" w:rsidRDefault="00AC2F2A" w:rsidP="00AC2F2A">
      <w:pPr>
        <w:pStyle w:val="FootnoteText"/>
      </w:pPr>
      <w:r>
        <w:rPr>
          <w:rStyle w:val="FootnoteReference"/>
        </w:rPr>
        <w:footnoteRef/>
      </w:r>
      <w:r>
        <w:t xml:space="preserve"> </w:t>
      </w:r>
      <w:r w:rsidRPr="00D97CEE">
        <w:rPr>
          <w:i/>
          <w:iCs/>
        </w:rPr>
        <w:t>Wireline Competition Bureau Reminds Carriers of Eligible Telecommunications Carrier Designation &amp; Compliance Plan Approval Requirements for Receipt of Fed. Lifeline Universal Serv. Support</w:t>
      </w:r>
      <w:r w:rsidRPr="00D97CEE">
        <w:t>, 29 F</w:t>
      </w:r>
      <w:r>
        <w:t>CC Rcd</w:t>
      </w:r>
      <w:r w:rsidRPr="00D97CEE">
        <w:t xml:space="preserve"> 9144 (</w:t>
      </w:r>
      <w:r>
        <w:t xml:space="preserve">WCB </w:t>
      </w:r>
      <w:r w:rsidRPr="00D97CEE">
        <w:t>2014)</w:t>
      </w:r>
      <w:r>
        <w:t xml:space="preserve"> (</w:t>
      </w:r>
      <w:r>
        <w:rPr>
          <w:i/>
        </w:rPr>
        <w:t>2014 Public Notice Regarding Transfers</w:t>
      </w:r>
      <w:r>
        <w:t>).</w:t>
      </w:r>
    </w:p>
  </w:footnote>
  <w:footnote w:id="5">
    <w:p w14:paraId="5263D26A" w14:textId="77777777" w:rsidR="00AC2F2A" w:rsidRDefault="00AC2F2A" w:rsidP="00AC2F2A">
      <w:pPr>
        <w:pStyle w:val="FootnoteText"/>
      </w:pPr>
      <w:r>
        <w:rPr>
          <w:rStyle w:val="FootnoteReference"/>
        </w:rPr>
        <w:footnoteRef/>
      </w:r>
      <w:r>
        <w:t xml:space="preserve"> </w:t>
      </w:r>
      <w:r w:rsidRPr="005A3801">
        <w:rPr>
          <w:i/>
          <w:iCs/>
        </w:rPr>
        <w:t>Lifeline and Link Up Reform and Modernization et al</w:t>
      </w:r>
      <w:r w:rsidRPr="005A3801">
        <w:t>, 27 FCC Rcd 6656 (2012) (</w:t>
      </w:r>
      <w:r w:rsidRPr="005A3801">
        <w:rPr>
          <w:i/>
        </w:rPr>
        <w:t>2012</w:t>
      </w:r>
      <w:r w:rsidRPr="005A3801">
        <w:t xml:space="preserve"> </w:t>
      </w:r>
      <w:r w:rsidRPr="005A3801">
        <w:rPr>
          <w:i/>
          <w:iCs/>
        </w:rPr>
        <w:t>Lifeline Reform Order</w:t>
      </w:r>
      <w:r w:rsidRPr="005A3801">
        <w:t>)</w:t>
      </w:r>
      <w:r>
        <w:t>.</w:t>
      </w:r>
    </w:p>
  </w:footnote>
  <w:footnote w:id="6">
    <w:p w14:paraId="48805A24" w14:textId="77777777" w:rsidR="00FD047E" w:rsidRDefault="00FD047E">
      <w:pPr>
        <w:pStyle w:val="FootnoteText"/>
      </w:pPr>
      <w:r>
        <w:rPr>
          <w:rStyle w:val="FootnoteReference"/>
        </w:rPr>
        <w:footnoteRef/>
      </w:r>
      <w:r>
        <w:t xml:space="preserve"> TerraCom Compliance Plan at 3.</w:t>
      </w:r>
    </w:p>
  </w:footnote>
  <w:footnote w:id="7">
    <w:p w14:paraId="7F0F013F" w14:textId="77777777" w:rsidR="00FD047E" w:rsidRPr="00FD047E" w:rsidRDefault="00FD047E" w:rsidP="00FD047E">
      <w:pPr>
        <w:pStyle w:val="FootnoteText"/>
        <w:rPr>
          <w:i/>
          <w:iCs/>
        </w:rPr>
      </w:pPr>
      <w:r>
        <w:rPr>
          <w:rStyle w:val="FootnoteReference"/>
        </w:rPr>
        <w:footnoteRef/>
      </w:r>
      <w:r>
        <w:t xml:space="preserve"> </w:t>
      </w:r>
      <w:r w:rsidRPr="00FD047E">
        <w:rPr>
          <w:i/>
          <w:iCs/>
        </w:rPr>
        <w:t>See Wireline Competition Bureau Approves The Compliance Plans</w:t>
      </w:r>
      <w:r w:rsidR="00335CCF">
        <w:rPr>
          <w:i/>
          <w:iCs/>
        </w:rPr>
        <w:t xml:space="preserve"> </w:t>
      </w:r>
      <w:r w:rsidRPr="00FD047E">
        <w:rPr>
          <w:i/>
          <w:iCs/>
        </w:rPr>
        <w:t>of American Broadband &amp; Telecommunications, Budget Prepay, Consumer Cellular, Global</w:t>
      </w:r>
      <w:r>
        <w:rPr>
          <w:i/>
          <w:iCs/>
        </w:rPr>
        <w:t xml:space="preserve"> </w:t>
      </w:r>
      <w:r w:rsidRPr="00FD047E">
        <w:rPr>
          <w:i/>
          <w:iCs/>
        </w:rPr>
        <w:t>Connection, Terracom and Total Call</w:t>
      </w:r>
      <w:r w:rsidRPr="00FD047E">
        <w:t>, Public Notice, 27 FCC Rcd 5776 (WCB 2012)</w:t>
      </w:r>
      <w:r>
        <w:t>.</w:t>
      </w:r>
    </w:p>
  </w:footnote>
  <w:footnote w:id="8">
    <w:p w14:paraId="7DAFDCD9" w14:textId="77777777" w:rsidR="00FD047E" w:rsidRDefault="00FD047E">
      <w:pPr>
        <w:pStyle w:val="FootnoteText"/>
      </w:pPr>
      <w:r>
        <w:rPr>
          <w:rStyle w:val="FootnoteReference"/>
        </w:rPr>
        <w:footnoteRef/>
      </w:r>
      <w:r>
        <w:t xml:space="preserve"> </w:t>
      </w:r>
      <w:r w:rsidR="00FB529E">
        <w:t xml:space="preserve">TerraCom </w:t>
      </w:r>
      <w:r w:rsidR="00335CCF">
        <w:t>Compliance Plan at iii.</w:t>
      </w:r>
    </w:p>
  </w:footnote>
  <w:footnote w:id="9">
    <w:p w14:paraId="652A3E23" w14:textId="77777777" w:rsidR="00374495" w:rsidRPr="00FD047E" w:rsidRDefault="00374495" w:rsidP="00374495">
      <w:pPr>
        <w:pStyle w:val="FootnoteText"/>
      </w:pPr>
      <w:r>
        <w:rPr>
          <w:rStyle w:val="FootnoteReference"/>
        </w:rPr>
        <w:footnoteRef/>
      </w:r>
      <w:r>
        <w:t xml:space="preserve"> </w:t>
      </w:r>
      <w:r w:rsidRPr="00F144F7">
        <w:rPr>
          <w:i/>
        </w:rPr>
        <w:t>2014 Public Notice Regarding Transfers</w:t>
      </w:r>
      <w:r>
        <w:t>, 29 FCC Rcd at 9145.</w:t>
      </w:r>
    </w:p>
  </w:footnote>
  <w:footnote w:id="10">
    <w:p w14:paraId="5EB8608C" w14:textId="3F078BAE" w:rsidR="00A7522A" w:rsidRPr="00A7522A" w:rsidRDefault="00A7522A">
      <w:pPr>
        <w:pStyle w:val="FootnoteText"/>
      </w:pPr>
      <w:r>
        <w:rPr>
          <w:rStyle w:val="FootnoteReference"/>
        </w:rPr>
        <w:footnoteRef/>
      </w:r>
      <w:r>
        <w:t xml:space="preserve"> </w:t>
      </w:r>
      <w:r w:rsidR="00254D7D" w:rsidRPr="00607EDD">
        <w:t>TerraCom Compliance Plan</w:t>
      </w:r>
      <w:r>
        <w:t xml:space="preserve"> at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1280" w14:textId="77777777" w:rsidR="001C39E2" w:rsidRDefault="001C3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3B44" w14:textId="77777777" w:rsidR="001C39E2" w:rsidRDefault="001C3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C212"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ED04762" wp14:editId="574F5A0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FD1DE" w14:textId="77777777" w:rsidR="00D47505" w:rsidRDefault="00D47505" w:rsidP="00D47505">
                          <w:pPr>
                            <w:rPr>
                              <w:rFonts w:ascii="Arial" w:hAnsi="Arial"/>
                              <w:b/>
                            </w:rPr>
                          </w:pPr>
                          <w:r>
                            <w:rPr>
                              <w:rFonts w:ascii="Arial" w:hAnsi="Arial"/>
                              <w:b/>
                            </w:rPr>
                            <w:t>Federal Communications Commission</w:t>
                          </w:r>
                        </w:p>
                        <w:p w14:paraId="7732F60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9167111"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D04762"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E4FD1DE" w14:textId="77777777" w:rsidR="00D47505" w:rsidRDefault="00D47505" w:rsidP="00D47505">
                    <w:pPr>
                      <w:rPr>
                        <w:rFonts w:ascii="Arial" w:hAnsi="Arial"/>
                        <w:b/>
                      </w:rPr>
                    </w:pPr>
                    <w:r>
                      <w:rPr>
                        <w:rFonts w:ascii="Arial" w:hAnsi="Arial"/>
                        <w:b/>
                      </w:rPr>
                      <w:t>Federal Communications Commission</w:t>
                    </w:r>
                  </w:p>
                  <w:p w14:paraId="7732F60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9167111"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A3EDB07" wp14:editId="78654C6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C810793"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130A903" wp14:editId="22D0CEB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7807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F969779" wp14:editId="0F3DCCC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832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9123F29" w14:textId="7E0C5656"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47306">
                            <w:rPr>
                              <w:rFonts w:ascii="Arial" w:hAnsi="Arial"/>
                              <w:b/>
                              <w:sz w:val="16"/>
                            </w:rPr>
                            <w:instrText>HYPERLINK "https://www.fcc.gov/"</w:instrText>
                          </w:r>
                          <w:r w:rsidR="00A4730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C0DEE3F"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FEB832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9123F29" w14:textId="7E0C5656"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47306">
                      <w:rPr>
                        <w:rFonts w:ascii="Arial" w:hAnsi="Arial"/>
                        <w:b/>
                        <w:sz w:val="16"/>
                      </w:rPr>
                      <w:instrText>HYPERLINK "https://www.fcc.gov/"</w:instrText>
                    </w:r>
                    <w:r w:rsidR="00A4730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C0DEE3F"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2A"/>
    <w:rsid w:val="00036039"/>
    <w:rsid w:val="00037F90"/>
    <w:rsid w:val="0004281D"/>
    <w:rsid w:val="0005459A"/>
    <w:rsid w:val="000875BF"/>
    <w:rsid w:val="00096D8C"/>
    <w:rsid w:val="000C0B65"/>
    <w:rsid w:val="000D57BC"/>
    <w:rsid w:val="000E05FE"/>
    <w:rsid w:val="000E3D42"/>
    <w:rsid w:val="00121610"/>
    <w:rsid w:val="00122BD5"/>
    <w:rsid w:val="00133F79"/>
    <w:rsid w:val="00161F4C"/>
    <w:rsid w:val="00162626"/>
    <w:rsid w:val="00194A66"/>
    <w:rsid w:val="001C39E2"/>
    <w:rsid w:val="001D6BCF"/>
    <w:rsid w:val="001E01CA"/>
    <w:rsid w:val="00254419"/>
    <w:rsid w:val="00254D7D"/>
    <w:rsid w:val="00275CF5"/>
    <w:rsid w:val="0028301F"/>
    <w:rsid w:val="00285017"/>
    <w:rsid w:val="002A2D2E"/>
    <w:rsid w:val="002B710D"/>
    <w:rsid w:val="002C00E8"/>
    <w:rsid w:val="00305C52"/>
    <w:rsid w:val="00335CCF"/>
    <w:rsid w:val="00343749"/>
    <w:rsid w:val="003660ED"/>
    <w:rsid w:val="00374495"/>
    <w:rsid w:val="003B0550"/>
    <w:rsid w:val="003B694F"/>
    <w:rsid w:val="003F171C"/>
    <w:rsid w:val="00412FC5"/>
    <w:rsid w:val="00422276"/>
    <w:rsid w:val="00422379"/>
    <w:rsid w:val="004242F1"/>
    <w:rsid w:val="00445A00"/>
    <w:rsid w:val="00451B0F"/>
    <w:rsid w:val="004C2EE3"/>
    <w:rsid w:val="004D3A21"/>
    <w:rsid w:val="004E4A22"/>
    <w:rsid w:val="00500851"/>
    <w:rsid w:val="00511968"/>
    <w:rsid w:val="0055614C"/>
    <w:rsid w:val="00571246"/>
    <w:rsid w:val="00581553"/>
    <w:rsid w:val="0059111F"/>
    <w:rsid w:val="005B5751"/>
    <w:rsid w:val="005B5D5C"/>
    <w:rsid w:val="005E14C2"/>
    <w:rsid w:val="00607BA5"/>
    <w:rsid w:val="00607EDD"/>
    <w:rsid w:val="0061180A"/>
    <w:rsid w:val="00626EB6"/>
    <w:rsid w:val="00655D03"/>
    <w:rsid w:val="006632CE"/>
    <w:rsid w:val="00683388"/>
    <w:rsid w:val="00683F84"/>
    <w:rsid w:val="006A1F49"/>
    <w:rsid w:val="006A6A81"/>
    <w:rsid w:val="006B1456"/>
    <w:rsid w:val="006D0CA1"/>
    <w:rsid w:val="006F7393"/>
    <w:rsid w:val="0070224F"/>
    <w:rsid w:val="007115F7"/>
    <w:rsid w:val="00740453"/>
    <w:rsid w:val="007413B7"/>
    <w:rsid w:val="00744CEB"/>
    <w:rsid w:val="00780C4E"/>
    <w:rsid w:val="00785689"/>
    <w:rsid w:val="0079754B"/>
    <w:rsid w:val="007A1E6D"/>
    <w:rsid w:val="007B0EB2"/>
    <w:rsid w:val="007B3833"/>
    <w:rsid w:val="007D331F"/>
    <w:rsid w:val="007F413A"/>
    <w:rsid w:val="00810B6F"/>
    <w:rsid w:val="00822CE0"/>
    <w:rsid w:val="00841AB1"/>
    <w:rsid w:val="008468A7"/>
    <w:rsid w:val="008C68F1"/>
    <w:rsid w:val="00921803"/>
    <w:rsid w:val="00926503"/>
    <w:rsid w:val="00932A76"/>
    <w:rsid w:val="00961414"/>
    <w:rsid w:val="009726D8"/>
    <w:rsid w:val="009F76DB"/>
    <w:rsid w:val="00A011E7"/>
    <w:rsid w:val="00A32C3B"/>
    <w:rsid w:val="00A40CA9"/>
    <w:rsid w:val="00A45F4F"/>
    <w:rsid w:val="00A47306"/>
    <w:rsid w:val="00A52A23"/>
    <w:rsid w:val="00A600A9"/>
    <w:rsid w:val="00A7522A"/>
    <w:rsid w:val="00AA55B7"/>
    <w:rsid w:val="00AA5B9E"/>
    <w:rsid w:val="00AB2407"/>
    <w:rsid w:val="00AB53DF"/>
    <w:rsid w:val="00AC2F2A"/>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9629E"/>
    <w:rsid w:val="00C96E01"/>
    <w:rsid w:val="00CA247E"/>
    <w:rsid w:val="00CC72B6"/>
    <w:rsid w:val="00CC776F"/>
    <w:rsid w:val="00CF754F"/>
    <w:rsid w:val="00D0218D"/>
    <w:rsid w:val="00D13D0D"/>
    <w:rsid w:val="00D244E2"/>
    <w:rsid w:val="00D25FB5"/>
    <w:rsid w:val="00D44223"/>
    <w:rsid w:val="00D47505"/>
    <w:rsid w:val="00DA0E8A"/>
    <w:rsid w:val="00DA2529"/>
    <w:rsid w:val="00DA773A"/>
    <w:rsid w:val="00DB130A"/>
    <w:rsid w:val="00DB2EBB"/>
    <w:rsid w:val="00DC10A1"/>
    <w:rsid w:val="00DC655F"/>
    <w:rsid w:val="00DD0B59"/>
    <w:rsid w:val="00DD54F9"/>
    <w:rsid w:val="00DD7EBD"/>
    <w:rsid w:val="00DE4C8D"/>
    <w:rsid w:val="00DF0810"/>
    <w:rsid w:val="00DF62B6"/>
    <w:rsid w:val="00E07225"/>
    <w:rsid w:val="00E5409F"/>
    <w:rsid w:val="00E6405E"/>
    <w:rsid w:val="00EB4ACC"/>
    <w:rsid w:val="00EC182B"/>
    <w:rsid w:val="00EE6488"/>
    <w:rsid w:val="00F021FA"/>
    <w:rsid w:val="00F144F7"/>
    <w:rsid w:val="00F15509"/>
    <w:rsid w:val="00F21474"/>
    <w:rsid w:val="00F62E97"/>
    <w:rsid w:val="00F64209"/>
    <w:rsid w:val="00F8591E"/>
    <w:rsid w:val="00F93BF5"/>
    <w:rsid w:val="00F95238"/>
    <w:rsid w:val="00FB35C7"/>
    <w:rsid w:val="00FB529E"/>
    <w:rsid w:val="00FD047E"/>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25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qFormat/>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D13D0D"/>
    <w:rPr>
      <w:sz w:val="16"/>
      <w:szCs w:val="16"/>
    </w:rPr>
  </w:style>
  <w:style w:type="paragraph" w:styleId="CommentText">
    <w:name w:val="annotation text"/>
    <w:basedOn w:val="Normal"/>
    <w:link w:val="CommentTextChar"/>
    <w:rsid w:val="00D13D0D"/>
    <w:rPr>
      <w:sz w:val="20"/>
    </w:rPr>
  </w:style>
  <w:style w:type="character" w:customStyle="1" w:styleId="CommentTextChar">
    <w:name w:val="Comment Text Char"/>
    <w:basedOn w:val="DefaultParagraphFont"/>
    <w:link w:val="CommentText"/>
    <w:rsid w:val="00D13D0D"/>
    <w:rPr>
      <w:snapToGrid w:val="0"/>
      <w:kern w:val="28"/>
    </w:rPr>
  </w:style>
  <w:style w:type="paragraph" w:styleId="CommentSubject">
    <w:name w:val="annotation subject"/>
    <w:basedOn w:val="CommentText"/>
    <w:next w:val="CommentText"/>
    <w:link w:val="CommentSubjectChar"/>
    <w:rsid w:val="00D13D0D"/>
    <w:rPr>
      <w:b/>
      <w:bCs/>
    </w:rPr>
  </w:style>
  <w:style w:type="character" w:customStyle="1" w:styleId="CommentSubjectChar">
    <w:name w:val="Comment Subject Char"/>
    <w:basedOn w:val="CommentTextChar"/>
    <w:link w:val="CommentSubject"/>
    <w:rsid w:val="00D13D0D"/>
    <w:rPr>
      <w:b/>
      <w:bCs/>
      <w:snapToGrid w:val="0"/>
      <w:kern w:val="28"/>
    </w:rPr>
  </w:style>
  <w:style w:type="character" w:customStyle="1" w:styleId="apple-converted-space">
    <w:name w:val="apple-converted-space"/>
    <w:basedOn w:val="DefaultParagraphFont"/>
    <w:rsid w:val="00581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qFormat/>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D13D0D"/>
    <w:rPr>
      <w:sz w:val="16"/>
      <w:szCs w:val="16"/>
    </w:rPr>
  </w:style>
  <w:style w:type="paragraph" w:styleId="CommentText">
    <w:name w:val="annotation text"/>
    <w:basedOn w:val="Normal"/>
    <w:link w:val="CommentTextChar"/>
    <w:rsid w:val="00D13D0D"/>
    <w:rPr>
      <w:sz w:val="20"/>
    </w:rPr>
  </w:style>
  <w:style w:type="character" w:customStyle="1" w:styleId="CommentTextChar">
    <w:name w:val="Comment Text Char"/>
    <w:basedOn w:val="DefaultParagraphFont"/>
    <w:link w:val="CommentText"/>
    <w:rsid w:val="00D13D0D"/>
    <w:rPr>
      <w:snapToGrid w:val="0"/>
      <w:kern w:val="28"/>
    </w:rPr>
  </w:style>
  <w:style w:type="paragraph" w:styleId="CommentSubject">
    <w:name w:val="annotation subject"/>
    <w:basedOn w:val="CommentText"/>
    <w:next w:val="CommentText"/>
    <w:link w:val="CommentSubjectChar"/>
    <w:rsid w:val="00D13D0D"/>
    <w:rPr>
      <w:b/>
      <w:bCs/>
    </w:rPr>
  </w:style>
  <w:style w:type="character" w:customStyle="1" w:styleId="CommentSubjectChar">
    <w:name w:val="Comment Subject Char"/>
    <w:basedOn w:val="CommentTextChar"/>
    <w:link w:val="CommentSubject"/>
    <w:rsid w:val="00D13D0D"/>
    <w:rPr>
      <w:b/>
      <w:bCs/>
      <w:snapToGrid w:val="0"/>
      <w:kern w:val="28"/>
    </w:rPr>
  </w:style>
  <w:style w:type="character" w:customStyle="1" w:styleId="apple-converted-space">
    <w:name w:val="apple-converted-space"/>
    <w:basedOn w:val="DefaultParagraphFont"/>
    <w:rsid w:val="0058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347</Words>
  <Characters>2039</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2016-10-21T18:15:00Z</cp:lastPrinted>
  <dcterms:created xsi:type="dcterms:W3CDTF">2016-11-08T16:53:00Z</dcterms:created>
  <dcterms:modified xsi:type="dcterms:W3CDTF">2016-11-08T16:53:00Z</dcterms:modified>
  <cp:category> </cp:category>
  <cp:contentStatus> </cp:contentStatus>
</cp:coreProperties>
</file>