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DC" w:rsidRPr="0017136C" w:rsidRDefault="00CE18DC" w:rsidP="00CE18DC">
      <w:pPr>
        <w:tabs>
          <w:tab w:val="left" w:pos="4110"/>
          <w:tab w:val="center" w:pos="4680"/>
        </w:tabs>
        <w:jc w:val="center"/>
        <w:rPr>
          <w:b/>
          <w:color w:val="000000"/>
        </w:rPr>
      </w:pPr>
      <w:bookmarkStart w:id="0" w:name="_GoBack"/>
      <w:bookmarkEnd w:id="0"/>
      <w:r w:rsidRPr="0017136C">
        <w:rPr>
          <w:b/>
          <w:color w:val="000000"/>
        </w:rPr>
        <w:t>Before the</w:t>
      </w:r>
    </w:p>
    <w:p w:rsidR="00CE18DC" w:rsidRPr="0017136C" w:rsidRDefault="00CE18DC" w:rsidP="00CE18DC">
      <w:pPr>
        <w:pStyle w:val="StyleBoldCentered"/>
        <w:rPr>
          <w:rFonts w:ascii="Times New Roman" w:hAnsi="Times New Roman"/>
          <w:color w:val="000000"/>
        </w:rPr>
      </w:pPr>
      <w:r w:rsidRPr="0017136C">
        <w:rPr>
          <w:rFonts w:ascii="Times New Roman" w:hAnsi="Times New Roman"/>
          <w:color w:val="000000"/>
        </w:rPr>
        <w:t>F</w:t>
      </w:r>
      <w:r w:rsidRPr="0017136C">
        <w:rPr>
          <w:rFonts w:ascii="Times New Roman" w:hAnsi="Times New Roman"/>
          <w:caps w:val="0"/>
          <w:color w:val="000000"/>
        </w:rPr>
        <w:t>ederal Communications Commission</w:t>
      </w:r>
    </w:p>
    <w:p w:rsidR="00CE18DC" w:rsidRPr="0017136C" w:rsidRDefault="00CE18DC" w:rsidP="00CE18DC">
      <w:pPr>
        <w:jc w:val="center"/>
        <w:rPr>
          <w:b/>
          <w:color w:val="000000"/>
        </w:rPr>
      </w:pPr>
      <w:r w:rsidRPr="0017136C">
        <w:rPr>
          <w:b/>
          <w:color w:val="000000"/>
        </w:rPr>
        <w:t xml:space="preserve">Washington, DC 20554 </w:t>
      </w:r>
    </w:p>
    <w:tbl>
      <w:tblPr>
        <w:tblW w:w="0" w:type="auto"/>
        <w:tblLayout w:type="fixed"/>
        <w:tblLook w:val="0000" w:firstRow="0" w:lastRow="0" w:firstColumn="0" w:lastColumn="0" w:noHBand="0" w:noVBand="0"/>
      </w:tblPr>
      <w:tblGrid>
        <w:gridCol w:w="4518"/>
        <w:gridCol w:w="630"/>
        <w:gridCol w:w="4248"/>
      </w:tblGrid>
      <w:tr w:rsidR="00CE18DC" w:rsidRPr="0017136C" w:rsidTr="00A67309">
        <w:tc>
          <w:tcPr>
            <w:tcW w:w="4518" w:type="dxa"/>
          </w:tcPr>
          <w:p w:rsidR="00CE18DC" w:rsidRPr="0017136C" w:rsidRDefault="00CE18DC" w:rsidP="00A67309">
            <w:pPr>
              <w:tabs>
                <w:tab w:val="center" w:pos="4680"/>
              </w:tabs>
              <w:suppressAutoHyphens/>
              <w:rPr>
                <w:color w:val="000000"/>
                <w:spacing w:val="-2"/>
              </w:rPr>
            </w:pPr>
          </w:p>
          <w:p w:rsidR="00CE18DC" w:rsidRPr="0017136C" w:rsidRDefault="00CE18DC" w:rsidP="00A67309">
            <w:pPr>
              <w:tabs>
                <w:tab w:val="center" w:pos="4680"/>
              </w:tabs>
              <w:suppressAutoHyphens/>
              <w:rPr>
                <w:color w:val="000000"/>
                <w:spacing w:val="-2"/>
              </w:rPr>
            </w:pPr>
            <w:r w:rsidRPr="0017136C">
              <w:rPr>
                <w:color w:val="000000"/>
                <w:spacing w:val="-2"/>
              </w:rPr>
              <w:t>In the Matter of</w:t>
            </w:r>
          </w:p>
          <w:p w:rsidR="00CE18DC" w:rsidRPr="0017136C" w:rsidRDefault="00CE18DC" w:rsidP="00A67309">
            <w:pPr>
              <w:tabs>
                <w:tab w:val="center" w:pos="4680"/>
              </w:tabs>
              <w:suppressAutoHyphens/>
              <w:rPr>
                <w:color w:val="000000"/>
                <w:spacing w:val="-2"/>
              </w:rPr>
            </w:pPr>
          </w:p>
          <w:p w:rsidR="00CE18DC" w:rsidRPr="0017136C" w:rsidRDefault="00CE18DC" w:rsidP="00A67309">
            <w:pPr>
              <w:tabs>
                <w:tab w:val="center" w:pos="4680"/>
              </w:tabs>
              <w:suppressAutoHyphens/>
              <w:rPr>
                <w:color w:val="000000"/>
                <w:spacing w:val="-2"/>
              </w:rPr>
            </w:pPr>
            <w:r w:rsidRPr="0017136C">
              <w:rPr>
                <w:color w:val="000000"/>
                <w:spacing w:val="-2"/>
              </w:rPr>
              <w:t>LDC Telecommunications, Inc.</w:t>
            </w:r>
          </w:p>
          <w:p w:rsidR="00CE18DC" w:rsidRPr="0017136C" w:rsidRDefault="00CE18DC" w:rsidP="00A67309">
            <w:pPr>
              <w:tabs>
                <w:tab w:val="center" w:pos="4680"/>
              </w:tabs>
              <w:suppressAutoHyphens/>
              <w:rPr>
                <w:color w:val="000000"/>
                <w:spacing w:val="-2"/>
              </w:rPr>
            </w:pPr>
          </w:p>
        </w:tc>
        <w:tc>
          <w:tcPr>
            <w:tcW w:w="630" w:type="dxa"/>
          </w:tcPr>
          <w:p w:rsidR="00CE18DC" w:rsidRPr="0017136C" w:rsidRDefault="00CE18DC" w:rsidP="00A67309">
            <w:pPr>
              <w:tabs>
                <w:tab w:val="center" w:pos="4680"/>
              </w:tabs>
              <w:suppressAutoHyphens/>
              <w:rPr>
                <w:b/>
                <w:color w:val="000000"/>
                <w:spacing w:val="-2"/>
              </w:rPr>
            </w:pPr>
          </w:p>
          <w:p w:rsidR="00CE18DC" w:rsidRPr="0017136C" w:rsidRDefault="00CE18DC" w:rsidP="00A67309">
            <w:pPr>
              <w:tabs>
                <w:tab w:val="center" w:pos="4680"/>
              </w:tabs>
              <w:suppressAutoHyphens/>
              <w:rPr>
                <w:b/>
                <w:color w:val="000000"/>
                <w:spacing w:val="-2"/>
              </w:rPr>
            </w:pPr>
            <w:r w:rsidRPr="0017136C">
              <w:rPr>
                <w:b/>
                <w:color w:val="000000"/>
                <w:spacing w:val="-2"/>
              </w:rPr>
              <w:t xml:space="preserve">  )</w:t>
            </w:r>
          </w:p>
          <w:p w:rsidR="00CE18DC" w:rsidRPr="0017136C" w:rsidRDefault="00CE18DC" w:rsidP="00A67309">
            <w:pPr>
              <w:tabs>
                <w:tab w:val="center" w:pos="4680"/>
              </w:tabs>
              <w:suppressAutoHyphens/>
              <w:rPr>
                <w:b/>
                <w:color w:val="000000"/>
                <w:spacing w:val="-2"/>
              </w:rPr>
            </w:pPr>
            <w:r w:rsidRPr="0017136C">
              <w:rPr>
                <w:b/>
                <w:color w:val="000000"/>
                <w:spacing w:val="-2"/>
              </w:rPr>
              <w:t xml:space="preserve">  )</w:t>
            </w:r>
          </w:p>
          <w:p w:rsidR="00CE18DC" w:rsidRPr="0017136C" w:rsidRDefault="00CE18DC" w:rsidP="00A67309">
            <w:pPr>
              <w:tabs>
                <w:tab w:val="center" w:pos="4680"/>
              </w:tabs>
              <w:suppressAutoHyphens/>
              <w:rPr>
                <w:b/>
                <w:color w:val="000000"/>
                <w:spacing w:val="-2"/>
              </w:rPr>
            </w:pPr>
            <w:r w:rsidRPr="0017136C">
              <w:rPr>
                <w:b/>
                <w:color w:val="000000"/>
                <w:spacing w:val="-2"/>
              </w:rPr>
              <w:t xml:space="preserve">  )</w:t>
            </w:r>
          </w:p>
          <w:p w:rsidR="00CE18DC" w:rsidRPr="0017136C" w:rsidRDefault="00CE18DC" w:rsidP="00A67309">
            <w:pPr>
              <w:tabs>
                <w:tab w:val="center" w:pos="4680"/>
              </w:tabs>
              <w:suppressAutoHyphens/>
              <w:rPr>
                <w:b/>
                <w:color w:val="000000"/>
                <w:spacing w:val="-2"/>
              </w:rPr>
            </w:pPr>
            <w:r w:rsidRPr="0017136C">
              <w:rPr>
                <w:b/>
                <w:color w:val="000000"/>
                <w:spacing w:val="-2"/>
              </w:rPr>
              <w:t xml:space="preserve">  )</w:t>
            </w:r>
          </w:p>
          <w:p w:rsidR="00CE18DC" w:rsidRPr="0017136C" w:rsidRDefault="00CE18DC" w:rsidP="00A67309">
            <w:pPr>
              <w:tabs>
                <w:tab w:val="center" w:pos="4680"/>
              </w:tabs>
              <w:suppressAutoHyphens/>
              <w:rPr>
                <w:b/>
                <w:color w:val="000000"/>
                <w:spacing w:val="-2"/>
              </w:rPr>
            </w:pPr>
            <w:r w:rsidRPr="0017136C">
              <w:rPr>
                <w:b/>
                <w:color w:val="000000"/>
                <w:spacing w:val="-2"/>
              </w:rPr>
              <w:t xml:space="preserve"> </w:t>
            </w:r>
          </w:p>
        </w:tc>
        <w:tc>
          <w:tcPr>
            <w:tcW w:w="4248" w:type="dxa"/>
          </w:tcPr>
          <w:p w:rsidR="00CE18DC" w:rsidRPr="0017136C" w:rsidRDefault="00CE18DC" w:rsidP="00A67309">
            <w:pPr>
              <w:tabs>
                <w:tab w:val="center" w:pos="4680"/>
              </w:tabs>
              <w:suppressAutoHyphens/>
              <w:rPr>
                <w:color w:val="000000"/>
                <w:spacing w:val="-2"/>
              </w:rPr>
            </w:pPr>
          </w:p>
          <w:p w:rsidR="00CE18DC" w:rsidRPr="0017136C" w:rsidRDefault="00CE18DC" w:rsidP="00A67309">
            <w:pPr>
              <w:rPr>
                <w:color w:val="000000"/>
                <w:spacing w:val="-2"/>
              </w:rPr>
            </w:pPr>
            <w:r w:rsidRPr="0017136C">
              <w:rPr>
                <w:color w:val="000000"/>
                <w:spacing w:val="-2"/>
              </w:rPr>
              <w:t xml:space="preserve">                </w:t>
            </w:r>
          </w:p>
          <w:p w:rsidR="00CE18DC" w:rsidRPr="0017136C" w:rsidRDefault="00CE18DC" w:rsidP="00A67309">
            <w:pPr>
              <w:rPr>
                <w:color w:val="000000"/>
                <w:spacing w:val="-2"/>
              </w:rPr>
            </w:pPr>
          </w:p>
          <w:p w:rsidR="00CE18DC" w:rsidRPr="0017136C" w:rsidRDefault="00CE18DC" w:rsidP="00A67309">
            <w:pPr>
              <w:ind w:left="619"/>
              <w:rPr>
                <w:color w:val="000000"/>
                <w:spacing w:val="-2"/>
              </w:rPr>
            </w:pPr>
            <w:r w:rsidRPr="0017136C">
              <w:rPr>
                <w:color w:val="000000"/>
                <w:spacing w:val="-2"/>
              </w:rPr>
              <w:t>File No.:  ITC-214-20080523-00238</w:t>
            </w:r>
          </w:p>
          <w:p w:rsidR="00CE18DC" w:rsidRPr="0017136C" w:rsidRDefault="00CE18DC" w:rsidP="00A67309">
            <w:pPr>
              <w:ind w:left="619"/>
              <w:rPr>
                <w:color w:val="000000"/>
                <w:spacing w:val="-2"/>
              </w:rPr>
            </w:pPr>
            <w:r w:rsidRPr="0017136C">
              <w:rPr>
                <w:color w:val="000000"/>
                <w:spacing w:val="-2"/>
              </w:rPr>
              <w:t>FRN:  0003757390</w:t>
            </w:r>
          </w:p>
          <w:p w:rsidR="00CE18DC" w:rsidRPr="0017136C" w:rsidRDefault="00CE18DC" w:rsidP="00A67309">
            <w:pPr>
              <w:rPr>
                <w:color w:val="000000"/>
              </w:rPr>
            </w:pPr>
            <w:r w:rsidRPr="0017136C">
              <w:rPr>
                <w:color w:val="000000"/>
                <w:spacing w:val="-2"/>
              </w:rPr>
              <w:t xml:space="preserve">             </w:t>
            </w:r>
          </w:p>
        </w:tc>
      </w:tr>
    </w:tbl>
    <w:p w:rsidR="00CE18DC" w:rsidRPr="0017136C" w:rsidRDefault="00CE18DC" w:rsidP="00CE18DC">
      <w:pPr>
        <w:pStyle w:val="StyleBoldCentered"/>
        <w:rPr>
          <w:rFonts w:ascii="Times New Roman" w:hAnsi="Times New Roman"/>
          <w:color w:val="000000"/>
        </w:rPr>
      </w:pPr>
      <w:r>
        <w:rPr>
          <w:rFonts w:ascii="Times New Roman" w:hAnsi="Times New Roman"/>
          <w:color w:val="000000"/>
        </w:rPr>
        <w:t xml:space="preserve">REVOCATION </w:t>
      </w:r>
      <w:r w:rsidRPr="0017136C">
        <w:rPr>
          <w:rFonts w:ascii="Times New Roman" w:hAnsi="Times New Roman"/>
          <w:color w:val="000000"/>
        </w:rPr>
        <w:t xml:space="preserve">ORDER </w:t>
      </w:r>
    </w:p>
    <w:p w:rsidR="00CE18DC" w:rsidRPr="0017136C" w:rsidRDefault="00CE18DC" w:rsidP="00CE18DC">
      <w:pPr>
        <w:pStyle w:val="BodyText"/>
        <w:tabs>
          <w:tab w:val="left" w:pos="4680"/>
        </w:tabs>
        <w:jc w:val="center"/>
        <w:rPr>
          <w:rFonts w:ascii="Times New Roman" w:hAnsi="Times New Roman"/>
          <w:color w:val="000000"/>
          <w:sz w:val="22"/>
          <w:u w:val="none"/>
        </w:rPr>
      </w:pPr>
    </w:p>
    <w:p w:rsidR="00CE18DC" w:rsidRPr="0017136C" w:rsidRDefault="00CE18DC" w:rsidP="00CE18DC">
      <w:pPr>
        <w:tabs>
          <w:tab w:val="left" w:pos="720"/>
          <w:tab w:val="right" w:pos="9360"/>
        </w:tabs>
        <w:suppressAutoHyphens/>
        <w:spacing w:line="228" w:lineRule="auto"/>
        <w:rPr>
          <w:spacing w:val="-2"/>
        </w:rPr>
      </w:pPr>
      <w:r w:rsidRPr="0017136C">
        <w:rPr>
          <w:b/>
          <w:spacing w:val="-2"/>
        </w:rPr>
        <w:t xml:space="preserve">Adopted:  </w:t>
      </w:r>
      <w:r>
        <w:rPr>
          <w:b/>
          <w:spacing w:val="-2"/>
        </w:rPr>
        <w:t>October 14</w:t>
      </w:r>
      <w:r w:rsidRPr="0017136C">
        <w:rPr>
          <w:b/>
          <w:spacing w:val="-2"/>
        </w:rPr>
        <w:t>, 2016</w:t>
      </w:r>
      <w:r w:rsidRPr="0017136C">
        <w:rPr>
          <w:b/>
          <w:spacing w:val="-2"/>
        </w:rPr>
        <w:tab/>
        <w:t xml:space="preserve">Released:  </w:t>
      </w:r>
      <w:r>
        <w:rPr>
          <w:b/>
          <w:spacing w:val="-2"/>
        </w:rPr>
        <w:t>October 14</w:t>
      </w:r>
      <w:r w:rsidRPr="0017136C">
        <w:rPr>
          <w:b/>
          <w:spacing w:val="-2"/>
        </w:rPr>
        <w:t>, 2016</w:t>
      </w:r>
    </w:p>
    <w:p w:rsidR="00CE18DC" w:rsidRPr="0017136C" w:rsidRDefault="00CE18DC" w:rsidP="00CE18DC">
      <w:pPr>
        <w:pStyle w:val="BodyText"/>
        <w:tabs>
          <w:tab w:val="left" w:pos="4680"/>
        </w:tabs>
        <w:jc w:val="center"/>
        <w:rPr>
          <w:rFonts w:ascii="Times New Roman" w:hAnsi="Times New Roman"/>
          <w:color w:val="000000"/>
          <w:sz w:val="22"/>
          <w:u w:val="none"/>
        </w:rPr>
      </w:pPr>
    </w:p>
    <w:p w:rsidR="00CE18DC" w:rsidRPr="0017136C" w:rsidRDefault="00CE18DC" w:rsidP="00CE18DC">
      <w:pPr>
        <w:tabs>
          <w:tab w:val="left" w:pos="720"/>
          <w:tab w:val="left" w:pos="5760"/>
        </w:tabs>
        <w:suppressAutoHyphens/>
        <w:spacing w:line="228" w:lineRule="auto"/>
        <w:rPr>
          <w:spacing w:val="-2"/>
        </w:rPr>
      </w:pPr>
      <w:r w:rsidRPr="0017136C">
        <w:rPr>
          <w:spacing w:val="-2"/>
        </w:rPr>
        <w:t>By the Chief, Telecommunications Consumers Division, Enforcement Bureau; Chief, Telecommunications and Analysis Division, International Bureau; and Chief, Competition Policy Division, Wireline Competition Bureau:</w:t>
      </w:r>
    </w:p>
    <w:p w:rsidR="00CE18DC" w:rsidRPr="0017136C" w:rsidRDefault="00CE18DC" w:rsidP="00CE18DC">
      <w:pPr>
        <w:pStyle w:val="BodyText"/>
        <w:tabs>
          <w:tab w:val="left" w:pos="4680"/>
        </w:tabs>
        <w:rPr>
          <w:rFonts w:ascii="Times New Roman" w:hAnsi="Times New Roman"/>
          <w:b w:val="0"/>
          <w:color w:val="000000"/>
          <w:sz w:val="22"/>
          <w:u w:val="none"/>
        </w:rPr>
      </w:pPr>
    </w:p>
    <w:p w:rsidR="00CE18DC" w:rsidRPr="0017136C" w:rsidRDefault="00CE18DC" w:rsidP="00CE18DC">
      <w:pPr>
        <w:pStyle w:val="Heading1"/>
        <w:spacing w:after="160"/>
        <w:rPr>
          <w:rFonts w:ascii="Times New Roman" w:hAnsi="Times New Roman"/>
          <w:color w:val="000000"/>
        </w:rPr>
      </w:pPr>
      <w:r w:rsidRPr="0017136C">
        <w:rPr>
          <w:rFonts w:ascii="Times New Roman" w:hAnsi="Times New Roman"/>
          <w:color w:val="000000"/>
        </w:rPr>
        <w:t>INTRODUCTION</w:t>
      </w:r>
    </w:p>
    <w:p w:rsidR="00CE18DC" w:rsidRPr="0017136C" w:rsidRDefault="00CE18DC" w:rsidP="00CE18DC">
      <w:pPr>
        <w:pStyle w:val="ParaNum"/>
        <w:spacing w:after="160"/>
        <w:rPr>
          <w:spacing w:val="-2"/>
        </w:rPr>
      </w:pPr>
      <w:r w:rsidRPr="0017136C">
        <w:t xml:space="preserve">By this Order, we revoke authorizations currently held by LDC Telecommunications, Inc. (LDC) for failure to pay delinquent regulatory fees owed to the Federal Communications Commission (FCC or Commission).  </w:t>
      </w:r>
    </w:p>
    <w:p w:rsidR="00CE18DC" w:rsidRPr="0017136C" w:rsidRDefault="00CE18DC" w:rsidP="00CE18DC">
      <w:pPr>
        <w:pStyle w:val="Heading1"/>
        <w:spacing w:after="160"/>
        <w:rPr>
          <w:rFonts w:ascii="Times New Roman" w:hAnsi="Times New Roman"/>
          <w:color w:val="000000"/>
        </w:rPr>
      </w:pPr>
      <w:r w:rsidRPr="0017136C">
        <w:rPr>
          <w:rFonts w:ascii="Times New Roman" w:hAnsi="Times New Roman"/>
          <w:color w:val="000000"/>
        </w:rPr>
        <w:t>BACKGROUND</w:t>
      </w:r>
    </w:p>
    <w:p w:rsidR="00CE18DC" w:rsidRPr="00A0240E" w:rsidRDefault="00CE18DC" w:rsidP="00CE18DC">
      <w:pPr>
        <w:pStyle w:val="ParaNum"/>
        <w:spacing w:after="160"/>
        <w:rPr>
          <w:spacing w:val="-2"/>
        </w:rPr>
      </w:pPr>
      <w:r w:rsidRPr="0017136C">
        <w:t xml:space="preserve">Under Section 9 of the Communications Act of 1934, as amended (Act), and the Commission’s implementing rules (Rules), </w:t>
      </w:r>
      <w:r>
        <w:t xml:space="preserve">the Commission is </w:t>
      </w:r>
      <w:r w:rsidRPr="0017136C">
        <w:t>required to “assess and collect regulatory fees” to recover the costs of certain Commission regulatory activities, and when the required payment is received late or it is incomplete, to assess a penalty equal to “25 percent of the amount of the fee which was not paid in a timely manner.”</w:t>
      </w:r>
      <w:r w:rsidRPr="0017136C">
        <w:rPr>
          <w:rStyle w:val="FootnoteReference"/>
        </w:rPr>
        <w:footnoteReference w:id="2"/>
      </w:r>
      <w:r w:rsidRPr="00AE59BD">
        <w:t xml:space="preserve">  In addition to financial penalties, Section 9(c)(3) of the Act, and Section 1.1164(f) of the Rules grant the FCC the authority to revoke authorizations for failure to pay regulatory fees in a timely fashion.</w:t>
      </w:r>
      <w:r w:rsidRPr="0017136C">
        <w:rPr>
          <w:rStyle w:val="FootnoteReference"/>
        </w:rPr>
        <w:footnoteReference w:id="3"/>
      </w:r>
      <w:r w:rsidRPr="00AE59BD">
        <w:t xml:space="preserve">  </w:t>
      </w:r>
    </w:p>
    <w:p w:rsidR="00CE18DC" w:rsidRPr="00A0240E" w:rsidRDefault="00CE18DC" w:rsidP="00CE18DC">
      <w:pPr>
        <w:pStyle w:val="ParaNum"/>
        <w:widowControl/>
        <w:spacing w:after="160"/>
        <w:rPr>
          <w:spacing w:val="-2"/>
        </w:rPr>
      </w:pPr>
      <w:r w:rsidRPr="00A0240E">
        <w:t>On December 18, 2008, LDC was granted the above-captioned authorization to provide facilities-based and resold international telecommunications services.</w:t>
      </w:r>
      <w:r w:rsidRPr="00A0240E">
        <w:rPr>
          <w:vertAlign w:val="superscript"/>
        </w:rPr>
        <w:footnoteReference w:id="4"/>
      </w:r>
      <w:r w:rsidRPr="00A0240E">
        <w:t xml:space="preserve">  On October 28, 2014, the Commission sent a Demand Letter to LDC for delinquent FY2014 regulatory fees.</w:t>
      </w:r>
      <w:r w:rsidRPr="0017136C">
        <w:rPr>
          <w:rStyle w:val="FootnoteReference"/>
        </w:rPr>
        <w:footnoteReference w:id="5"/>
      </w:r>
      <w:r w:rsidRPr="00A0240E">
        <w:t xml:space="preserve">  LDC did not respond, and thereafter, as required by 31 U.S.C. § 3711(g), 31 CFR §§ 285.12(c) and 901.1, and 47 CFR § 1.1917, the delinquent debt for the FY 2014 regulatory fees was transferred to the Secretary of Treasury for collection.  As of July 1, 2016, the Commission’s records showed that LDC had unpaid regulatory </w:t>
      </w:r>
      <w:r w:rsidRPr="00A0240E">
        <w:lastRenderedPageBreak/>
        <w:t xml:space="preserve">fees of $711.40 for FY 2014 and $3,025.34 for FY 2012, and additional charges continued to accrue on those debts.  </w:t>
      </w:r>
      <w:r>
        <w:t>LDC does not appear to have customers at present.</w:t>
      </w:r>
      <w:r>
        <w:rPr>
          <w:rStyle w:val="FootnoteReference"/>
        </w:rPr>
        <w:footnoteReference w:id="6"/>
      </w:r>
    </w:p>
    <w:p w:rsidR="00CE18DC" w:rsidRPr="0017136C" w:rsidRDefault="00CE18DC" w:rsidP="00CE18DC">
      <w:pPr>
        <w:pStyle w:val="ParaNum"/>
        <w:spacing w:after="160"/>
        <w:rPr>
          <w:spacing w:val="-2"/>
        </w:rPr>
      </w:pPr>
      <w:r>
        <w:t>On July 1, 2016, the Commission issued</w:t>
      </w:r>
      <w:r w:rsidRPr="0017136C">
        <w:t xml:space="preserve"> </w:t>
      </w:r>
      <w:r>
        <w:t xml:space="preserve">LDC an </w:t>
      </w:r>
      <w:r w:rsidRPr="0017136C">
        <w:rPr>
          <w:i/>
        </w:rPr>
        <w:t>Order to Pay or to Show Cause</w:t>
      </w:r>
      <w:r w:rsidRPr="0017136C">
        <w:t xml:space="preserve"> </w:t>
      </w:r>
      <w:r>
        <w:t xml:space="preserve">and it </w:t>
      </w:r>
      <w:r w:rsidRPr="0017136C">
        <w:t>required LDC to file with the Enforcement, International, and Wireline Competition Bureaus documented evidence within sixty (60) calendar days that full payment of all outstanding regulatory fees had been made, plus any associated penalties as calculated by the Commission and the Secretary of Treasury in accordance with Sections 1.1164(a) and 1.1940 of the Rules, or to show cause why the payment was inapplicable or should be waived or deferred</w:t>
      </w:r>
      <w:r w:rsidRPr="00E10E4F">
        <w:t>.</w:t>
      </w:r>
      <w:r w:rsidRPr="00E10E4F">
        <w:rPr>
          <w:rStyle w:val="FootnoteReference"/>
        </w:rPr>
        <w:footnoteReference w:id="7"/>
      </w:r>
      <w:r w:rsidRPr="0017136C">
        <w:t xml:space="preserve">  The </w:t>
      </w:r>
      <w:r w:rsidRPr="0017136C">
        <w:rPr>
          <w:i/>
        </w:rPr>
        <w:t>Order</w:t>
      </w:r>
      <w:r w:rsidRPr="0017136C">
        <w:t xml:space="preserve"> further stated that failure to provide such evidence of payment or to show cause within the time specified could result in revocation of LDC’s domestic and above-captioned international 214 authorizations.</w:t>
      </w:r>
      <w:r w:rsidRPr="0017136C">
        <w:rPr>
          <w:rStyle w:val="FootnoteReference"/>
        </w:rPr>
        <w:footnoteReference w:id="8"/>
      </w:r>
      <w:r w:rsidRPr="0017136C">
        <w:t xml:space="preserve">  </w:t>
      </w:r>
    </w:p>
    <w:p w:rsidR="00CE18DC" w:rsidRPr="0017136C" w:rsidRDefault="00CE18DC" w:rsidP="00CE18DC">
      <w:pPr>
        <w:pStyle w:val="Heading1"/>
        <w:spacing w:after="160"/>
        <w:rPr>
          <w:rFonts w:ascii="Times New Roman" w:hAnsi="Times New Roman"/>
        </w:rPr>
      </w:pPr>
      <w:r w:rsidRPr="0017136C">
        <w:rPr>
          <w:rFonts w:ascii="Times New Roman" w:hAnsi="Times New Roman"/>
        </w:rPr>
        <w:t>DISCUSSION</w:t>
      </w:r>
    </w:p>
    <w:p w:rsidR="00CE18DC" w:rsidRPr="00561ED0" w:rsidRDefault="00CE18DC" w:rsidP="00CE18DC">
      <w:pPr>
        <w:pStyle w:val="ParaNum"/>
        <w:spacing w:after="160"/>
        <w:rPr>
          <w:spacing w:val="-2"/>
        </w:rPr>
      </w:pPr>
      <w:r w:rsidRPr="0017136C">
        <w:t xml:space="preserve">The </w:t>
      </w:r>
      <w:r>
        <w:t xml:space="preserve">Commission issued the </w:t>
      </w:r>
      <w:r w:rsidRPr="0017136C">
        <w:rPr>
          <w:i/>
        </w:rPr>
        <w:t>Order to Pay or to Show Cause</w:t>
      </w:r>
      <w:r w:rsidRPr="0017136C">
        <w:t xml:space="preserve"> on July 1, 2016, and </w:t>
      </w:r>
      <w:r>
        <w:t xml:space="preserve">it </w:t>
      </w:r>
      <w:r w:rsidRPr="0017136C">
        <w:t xml:space="preserve">required </w:t>
      </w:r>
      <w:r>
        <w:t xml:space="preserve">LDC </w:t>
      </w:r>
      <w:r w:rsidRPr="0017136C">
        <w:t>to respond within 60 days.</w:t>
      </w:r>
      <w:r w:rsidRPr="0017136C">
        <w:rPr>
          <w:rStyle w:val="FootnoteReference"/>
        </w:rPr>
        <w:footnoteReference w:id="9"/>
      </w:r>
      <w:r w:rsidRPr="0017136C">
        <w:t xml:space="preserve">  The </w:t>
      </w:r>
      <w:r w:rsidRPr="0017136C">
        <w:rPr>
          <w:i/>
        </w:rPr>
        <w:t xml:space="preserve">Order </w:t>
      </w:r>
      <w:r w:rsidRPr="0017136C">
        <w:t xml:space="preserve">specified that failure to provide evidence of payment or show cause within the time specified could result in revocation of LDC’s </w:t>
      </w:r>
      <w:r>
        <w:t xml:space="preserve">domestic and </w:t>
      </w:r>
      <w:r w:rsidRPr="0017136C">
        <w:t>above-captioned international 214 authorization</w:t>
      </w:r>
      <w:r>
        <w:t>s</w:t>
      </w:r>
      <w:r w:rsidRPr="0017136C">
        <w:t>.</w:t>
      </w:r>
      <w:r w:rsidRPr="0017136C">
        <w:rPr>
          <w:rStyle w:val="FootnoteReference"/>
        </w:rPr>
        <w:footnoteReference w:id="10"/>
      </w:r>
      <w:r w:rsidRPr="0017136C">
        <w:t xml:space="preserve">  LDC did not file evidence of payment of its outstanding regulatory fees or show cause why such payment is inapplicable or should be waived or deferred within the time provided.</w:t>
      </w:r>
      <w:r w:rsidRPr="0017136C">
        <w:rPr>
          <w:rStyle w:val="FootnoteReference"/>
        </w:rPr>
        <w:footnoteReference w:id="11"/>
      </w:r>
      <w:r w:rsidRPr="0017136C">
        <w:t xml:space="preserve">  </w:t>
      </w:r>
      <w:r>
        <w:t xml:space="preserve">In these circumstances, when an entity fails to pay its regulatory fees for multiple years and fails to respond to multiple Commission inquiries into those delinquent debts, revocation is appropriate.  </w:t>
      </w:r>
      <w:r w:rsidRPr="0017136C">
        <w:t>Accordingly, we revoke LDC’s domestic and international 214 authorizations.</w:t>
      </w:r>
      <w:r w:rsidRPr="0017136C">
        <w:rPr>
          <w:rStyle w:val="FootnoteReference"/>
        </w:rPr>
        <w:footnoteReference w:id="12"/>
      </w:r>
      <w:r w:rsidRPr="0017136C">
        <w:t xml:space="preserve">  </w:t>
      </w:r>
    </w:p>
    <w:p w:rsidR="00CE18DC" w:rsidRPr="0017136C" w:rsidRDefault="00CE18DC" w:rsidP="00CE18DC">
      <w:pPr>
        <w:pStyle w:val="ParaNum"/>
        <w:spacing w:after="160"/>
        <w:rPr>
          <w:spacing w:val="-2"/>
        </w:rPr>
      </w:pPr>
      <w:r>
        <w:t xml:space="preserve">This </w:t>
      </w:r>
      <w:r w:rsidRPr="00DF5552">
        <w:rPr>
          <w:i/>
        </w:rPr>
        <w:t>Revocation Order</w:t>
      </w:r>
      <w:r>
        <w:t xml:space="preserve"> does not </w:t>
      </w:r>
      <w:r w:rsidRPr="0017136C">
        <w:t xml:space="preserve">relieve LDC of its obligation to pay any delinquent debt, any regulatory fee, or </w:t>
      </w:r>
      <w:r>
        <w:t xml:space="preserve">any </w:t>
      </w:r>
      <w:r w:rsidRPr="0017136C">
        <w:t>other financial obligation that has or may become due resulting from the authorizations held until revocation</w:t>
      </w:r>
      <w:r>
        <w:t xml:space="preserve">.  </w:t>
      </w:r>
    </w:p>
    <w:p w:rsidR="00CE18DC" w:rsidRPr="0017136C" w:rsidRDefault="00CE18DC" w:rsidP="00CE18DC">
      <w:pPr>
        <w:pStyle w:val="Heading1"/>
        <w:spacing w:after="160"/>
        <w:rPr>
          <w:rFonts w:ascii="Times New Roman" w:hAnsi="Times New Roman"/>
          <w:color w:val="000000"/>
          <w:spacing w:val="-2"/>
        </w:rPr>
      </w:pPr>
      <w:r w:rsidRPr="0017136C">
        <w:rPr>
          <w:rFonts w:ascii="Times New Roman" w:hAnsi="Times New Roman"/>
          <w:color w:val="000000"/>
        </w:rPr>
        <w:t>ORDERING CLAUSES</w:t>
      </w:r>
    </w:p>
    <w:p w:rsidR="00CE18DC" w:rsidRPr="0034603D" w:rsidRDefault="00CE18DC" w:rsidP="00CE18DC">
      <w:pPr>
        <w:pStyle w:val="ParaNum"/>
        <w:widowControl/>
        <w:spacing w:after="160"/>
        <w:rPr>
          <w:spacing w:val="-2"/>
        </w:rPr>
      </w:pPr>
      <w:r w:rsidRPr="0017136C">
        <w:t xml:space="preserve">Accordingly, </w:t>
      </w:r>
      <w:r w:rsidRPr="0017136C">
        <w:rPr>
          <w:b/>
        </w:rPr>
        <w:t>IT IS ORDERED</w:t>
      </w:r>
      <w:r w:rsidRPr="0017136C">
        <w:t xml:space="preserve"> that, pursuant to Section 9(c)(3) of the Act and Sections 0.51, 0.91, 0.111, 0.261, 0.291, 0.311, 1.102(b)(1), and 1.1164(f) of the Rules,</w:t>
      </w:r>
      <w:r w:rsidRPr="0017136C">
        <w:rPr>
          <w:vertAlign w:val="superscript"/>
        </w:rPr>
        <w:footnoteReference w:id="13"/>
      </w:r>
      <w:r w:rsidRPr="0017136C">
        <w:t xml:space="preserve"> the domestic and </w:t>
      </w:r>
      <w:r w:rsidRPr="0017136C">
        <w:lastRenderedPageBreak/>
        <w:t xml:space="preserve">international 214 authorizations issued to LDC Telecommunications, Inc. under File No.  ITC-214-20080523-00238 are hereby </w:t>
      </w:r>
      <w:r w:rsidRPr="0017136C">
        <w:rPr>
          <w:b/>
        </w:rPr>
        <w:t>REVOKED AND DECLARED NULL AND VOID</w:t>
      </w:r>
      <w:r>
        <w:rPr>
          <w:b/>
        </w:rPr>
        <w:t>.</w:t>
      </w:r>
      <w:r w:rsidRPr="0017136C">
        <w:rPr>
          <w:rStyle w:val="FootnoteReference"/>
        </w:rPr>
        <w:footnoteReference w:id="14"/>
      </w:r>
    </w:p>
    <w:p w:rsidR="00CE18DC" w:rsidRPr="0017136C" w:rsidRDefault="00CE18DC" w:rsidP="00CE18DC">
      <w:pPr>
        <w:pStyle w:val="ParaNum"/>
        <w:spacing w:after="160"/>
      </w:pPr>
      <w:r w:rsidRPr="0017136C">
        <w:rPr>
          <w:b/>
        </w:rPr>
        <w:t xml:space="preserve">IT IS FURTHER ORDERED </w:t>
      </w:r>
      <w:r w:rsidRPr="0017136C">
        <w:t xml:space="preserve">that a copy of this Order shall be sent by first class mail and </w:t>
      </w:r>
      <w:r>
        <w:t>registered</w:t>
      </w:r>
      <w:r w:rsidRPr="0017136C">
        <w:t xml:space="preserve"> mail, return receipt requested, to Sean Connors, Acting President, LDC Telecommunications, Inc., 2451 McMullen Booth Road, Suite 200, Clearwater, FL</w:t>
      </w:r>
      <w:r>
        <w:t>,</w:t>
      </w:r>
      <w:r w:rsidRPr="0017136C">
        <w:t xml:space="preserve"> 33759</w:t>
      </w:r>
      <w:r>
        <w:t xml:space="preserve">; and to </w:t>
      </w:r>
      <w:r w:rsidRPr="0017136C">
        <w:t>LDC Telecommunications, Inc.</w:t>
      </w:r>
      <w:r>
        <w:t>, c/o CT Corporation, 1025 Vermont Ave., NW, Washington, DC</w:t>
      </w:r>
      <w:r w:rsidRPr="0017136C">
        <w:t xml:space="preserve">.  </w:t>
      </w:r>
      <w:r w:rsidRPr="0017136C">
        <w:rPr>
          <w:color w:val="000000"/>
        </w:rPr>
        <w:t>In addition, this Order shall be posted in the Commission’s Office of the Secretary.</w:t>
      </w:r>
      <w:r w:rsidRPr="0017136C">
        <w:rPr>
          <w:vertAlign w:val="superscript"/>
        </w:rPr>
        <w:footnoteReference w:id="15"/>
      </w:r>
    </w:p>
    <w:p w:rsidR="00CE18DC" w:rsidRPr="0017136C" w:rsidRDefault="00CE18DC" w:rsidP="00CE18DC">
      <w:pPr>
        <w:keepNext/>
        <w:keepLines/>
        <w:spacing w:before="240"/>
        <w:ind w:left="4320"/>
        <w:rPr>
          <w:color w:val="000000"/>
        </w:rPr>
      </w:pPr>
      <w:r w:rsidRPr="0017136C">
        <w:rPr>
          <w:color w:val="000000"/>
        </w:rPr>
        <w:t>FEDERAL COMMUNICATIONS COMMISSION</w:t>
      </w:r>
    </w:p>
    <w:p w:rsidR="00CE18DC" w:rsidRDefault="00CE18DC" w:rsidP="00CE18DC">
      <w:pPr>
        <w:keepNext/>
        <w:keepLines/>
        <w:ind w:left="4320"/>
        <w:rPr>
          <w:color w:val="000000"/>
        </w:rPr>
      </w:pPr>
    </w:p>
    <w:p w:rsidR="00CE18DC" w:rsidRPr="0017136C" w:rsidRDefault="00CE18DC" w:rsidP="00CE18DC">
      <w:pPr>
        <w:keepNext/>
        <w:keepLines/>
        <w:ind w:left="4320"/>
        <w:rPr>
          <w:color w:val="000000"/>
        </w:rPr>
      </w:pPr>
    </w:p>
    <w:p w:rsidR="00CE18DC" w:rsidRPr="0017136C" w:rsidRDefault="00CE18DC" w:rsidP="00CE18DC">
      <w:pPr>
        <w:keepNext/>
        <w:keepLines/>
        <w:ind w:left="4320"/>
        <w:rPr>
          <w:color w:val="000000"/>
        </w:rPr>
      </w:pPr>
      <w:r w:rsidRPr="0017136C">
        <w:rPr>
          <w:color w:val="000000"/>
        </w:rPr>
        <w:tab/>
      </w:r>
      <w:r w:rsidRPr="0017136C">
        <w:rPr>
          <w:color w:val="000000"/>
        </w:rPr>
        <w:tab/>
      </w:r>
      <w:r w:rsidRPr="0017136C">
        <w:rPr>
          <w:color w:val="000000"/>
        </w:rPr>
        <w:tab/>
      </w:r>
      <w:r w:rsidRPr="0017136C">
        <w:rPr>
          <w:color w:val="000000"/>
        </w:rPr>
        <w:tab/>
      </w:r>
      <w:r w:rsidRPr="0017136C">
        <w:rPr>
          <w:color w:val="000000"/>
        </w:rPr>
        <w:tab/>
      </w:r>
    </w:p>
    <w:p w:rsidR="00CE18DC" w:rsidRPr="0017136C" w:rsidRDefault="00CE18DC" w:rsidP="00CE18DC">
      <w:pPr>
        <w:keepNext/>
        <w:keepLines/>
        <w:ind w:left="4320"/>
      </w:pPr>
      <w:r w:rsidRPr="0017136C">
        <w:t>Richard A. Hindman</w:t>
      </w:r>
    </w:p>
    <w:p w:rsidR="00CE18DC" w:rsidRPr="0017136C" w:rsidRDefault="00CE18DC" w:rsidP="00CE18DC">
      <w:pPr>
        <w:ind w:left="4320"/>
        <w:rPr>
          <w:spacing w:val="-2"/>
        </w:rPr>
      </w:pPr>
      <w:r w:rsidRPr="0017136C">
        <w:rPr>
          <w:spacing w:val="-2"/>
        </w:rPr>
        <w:t>Chief</w:t>
      </w:r>
    </w:p>
    <w:p w:rsidR="00CE18DC" w:rsidRPr="0017136C" w:rsidRDefault="00CE18DC" w:rsidP="00CE18DC">
      <w:pPr>
        <w:ind w:left="4320"/>
        <w:rPr>
          <w:spacing w:val="-2"/>
        </w:rPr>
      </w:pPr>
      <w:r w:rsidRPr="0017136C">
        <w:rPr>
          <w:spacing w:val="-2"/>
        </w:rPr>
        <w:t xml:space="preserve">Telecommunications Consumers Division </w:t>
      </w:r>
    </w:p>
    <w:p w:rsidR="00CE18DC" w:rsidRPr="0017136C" w:rsidRDefault="00CE18DC" w:rsidP="00CE18DC">
      <w:pPr>
        <w:ind w:left="4320"/>
      </w:pPr>
      <w:r w:rsidRPr="0017136C">
        <w:rPr>
          <w:spacing w:val="-2"/>
        </w:rPr>
        <w:t>Enforcement Bureau</w:t>
      </w:r>
      <w:r w:rsidRPr="0017136C">
        <w:t xml:space="preserve"> </w:t>
      </w:r>
    </w:p>
    <w:p w:rsidR="00CE18DC" w:rsidRPr="0017136C" w:rsidRDefault="00CE18DC" w:rsidP="00CE18DC">
      <w:pPr>
        <w:ind w:left="4320"/>
      </w:pPr>
    </w:p>
    <w:p w:rsidR="00CE18DC" w:rsidRDefault="00CE18DC" w:rsidP="00CE18DC">
      <w:pPr>
        <w:ind w:left="4320"/>
      </w:pPr>
    </w:p>
    <w:p w:rsidR="00CE18DC" w:rsidRPr="0017136C" w:rsidRDefault="00CE18DC" w:rsidP="00CE18DC">
      <w:pPr>
        <w:ind w:left="4320"/>
      </w:pPr>
    </w:p>
    <w:p w:rsidR="00CE18DC" w:rsidRPr="0017136C" w:rsidRDefault="00CE18DC" w:rsidP="00CE18DC">
      <w:pPr>
        <w:ind w:left="4320"/>
        <w:rPr>
          <w:color w:val="000000"/>
        </w:rPr>
      </w:pPr>
      <w:r w:rsidRPr="0017136C">
        <w:rPr>
          <w:color w:val="000000"/>
        </w:rPr>
        <w:t>Denise A. Coca</w:t>
      </w:r>
    </w:p>
    <w:p w:rsidR="00CE18DC" w:rsidRPr="0017136C" w:rsidRDefault="00CE18DC" w:rsidP="00CE18DC">
      <w:pPr>
        <w:ind w:left="4320"/>
        <w:rPr>
          <w:color w:val="000000"/>
        </w:rPr>
      </w:pPr>
      <w:r w:rsidRPr="0017136C">
        <w:rPr>
          <w:color w:val="000000"/>
        </w:rPr>
        <w:t>Chief</w:t>
      </w:r>
    </w:p>
    <w:p w:rsidR="00CE18DC" w:rsidRPr="0017136C" w:rsidRDefault="00CE18DC" w:rsidP="00CE18DC">
      <w:pPr>
        <w:ind w:left="4320"/>
        <w:rPr>
          <w:color w:val="000000"/>
        </w:rPr>
      </w:pPr>
      <w:r w:rsidRPr="0017136C">
        <w:rPr>
          <w:color w:val="000000"/>
        </w:rPr>
        <w:t>Telecommunications and Analysis Division</w:t>
      </w:r>
    </w:p>
    <w:p w:rsidR="00CE18DC" w:rsidRPr="0017136C" w:rsidRDefault="00CE18DC" w:rsidP="00CE18DC">
      <w:pPr>
        <w:ind w:left="4320"/>
        <w:rPr>
          <w:color w:val="000000"/>
        </w:rPr>
      </w:pPr>
      <w:r w:rsidRPr="0017136C">
        <w:rPr>
          <w:color w:val="000000"/>
        </w:rPr>
        <w:t>International Bureau</w:t>
      </w:r>
    </w:p>
    <w:p w:rsidR="00CE18DC" w:rsidRPr="0017136C" w:rsidRDefault="00CE18DC" w:rsidP="00CE18DC">
      <w:pPr>
        <w:ind w:left="4320"/>
        <w:rPr>
          <w:color w:val="1F497D"/>
        </w:rPr>
      </w:pPr>
    </w:p>
    <w:p w:rsidR="00CE18DC" w:rsidRPr="0017136C" w:rsidRDefault="00CE18DC" w:rsidP="00CE18DC">
      <w:pPr>
        <w:ind w:left="4320"/>
        <w:rPr>
          <w:color w:val="1F497D"/>
        </w:rPr>
      </w:pPr>
    </w:p>
    <w:p w:rsidR="00CE18DC" w:rsidRPr="0017136C" w:rsidRDefault="00CE18DC" w:rsidP="00CE18DC">
      <w:pPr>
        <w:ind w:left="4320"/>
        <w:rPr>
          <w:color w:val="1F497D"/>
        </w:rPr>
      </w:pPr>
    </w:p>
    <w:p w:rsidR="00CE18DC" w:rsidRPr="0017136C" w:rsidRDefault="00CE18DC" w:rsidP="00CE18DC">
      <w:pPr>
        <w:ind w:left="4320"/>
      </w:pPr>
      <w:r w:rsidRPr="0017136C">
        <w:t>Daniel Kahn</w:t>
      </w:r>
    </w:p>
    <w:p w:rsidR="00CE18DC" w:rsidRPr="0017136C" w:rsidRDefault="00CE18DC" w:rsidP="00CE18DC">
      <w:pPr>
        <w:ind w:left="4320"/>
      </w:pPr>
      <w:r w:rsidRPr="0017136C">
        <w:t>Chief</w:t>
      </w:r>
    </w:p>
    <w:p w:rsidR="00CE18DC" w:rsidRPr="0017136C" w:rsidRDefault="00CE18DC" w:rsidP="00CE18DC">
      <w:pPr>
        <w:ind w:left="4320"/>
      </w:pPr>
      <w:r w:rsidRPr="0017136C">
        <w:t>Competition Policy Division</w:t>
      </w:r>
    </w:p>
    <w:p w:rsidR="00CE18DC" w:rsidRPr="0017136C" w:rsidRDefault="00CE18DC" w:rsidP="00CE18DC">
      <w:pPr>
        <w:ind w:left="4320"/>
      </w:pPr>
      <w:r w:rsidRPr="0017136C">
        <w:t>Wireline Competition Bureau</w:t>
      </w:r>
    </w:p>
    <w:p w:rsidR="002C00E8" w:rsidRPr="00CE18DC" w:rsidRDefault="002C00E8" w:rsidP="00CE18DC"/>
    <w:sectPr w:rsidR="002C00E8" w:rsidRPr="00CE18D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D27" w:rsidRDefault="00790D27">
      <w:pPr>
        <w:spacing w:line="20" w:lineRule="exact"/>
      </w:pPr>
    </w:p>
  </w:endnote>
  <w:endnote w:type="continuationSeparator" w:id="0">
    <w:p w:rsidR="00790D27" w:rsidRDefault="00790D27">
      <w:r>
        <w:t xml:space="preserve"> </w:t>
      </w:r>
    </w:p>
  </w:endnote>
  <w:endnote w:type="continuationNotice" w:id="1">
    <w:p w:rsidR="00790D27" w:rsidRDefault="00790D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56FF7">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D27" w:rsidRDefault="00790D27">
      <w:r>
        <w:separator/>
      </w:r>
    </w:p>
  </w:footnote>
  <w:footnote w:type="continuationSeparator" w:id="0">
    <w:p w:rsidR="00790D27" w:rsidRDefault="00790D27" w:rsidP="00C721AC">
      <w:pPr>
        <w:spacing w:before="120"/>
        <w:rPr>
          <w:sz w:val="20"/>
        </w:rPr>
      </w:pPr>
      <w:r>
        <w:rPr>
          <w:sz w:val="20"/>
        </w:rPr>
        <w:t xml:space="preserve">(Continued from previous page)  </w:t>
      </w:r>
      <w:r>
        <w:rPr>
          <w:sz w:val="20"/>
        </w:rPr>
        <w:separator/>
      </w:r>
    </w:p>
  </w:footnote>
  <w:footnote w:type="continuationNotice" w:id="1">
    <w:p w:rsidR="00790D27" w:rsidRDefault="00790D27" w:rsidP="00C721AC">
      <w:pPr>
        <w:jc w:val="right"/>
        <w:rPr>
          <w:sz w:val="20"/>
        </w:rPr>
      </w:pPr>
      <w:r>
        <w:rPr>
          <w:sz w:val="20"/>
        </w:rPr>
        <w:t>(continued….)</w:t>
      </w:r>
    </w:p>
  </w:footnote>
  <w:footnote w:id="2">
    <w:p w:rsidR="00CE18DC" w:rsidRPr="005E2D50" w:rsidRDefault="00CE18DC" w:rsidP="00CE18DC">
      <w:pPr>
        <w:pStyle w:val="FootnoteText"/>
      </w:pPr>
      <w:r w:rsidRPr="005E2D50">
        <w:rPr>
          <w:rStyle w:val="FootnoteReference"/>
        </w:rPr>
        <w:footnoteRef/>
      </w:r>
      <w:r>
        <w:t xml:space="preserve"> 47 U.S.C. §§ 159(c)(3), (a)(1), (c)(1); 47 CFR §§  1.1151, 1.1157(c)(1), 1.1164</w:t>
      </w:r>
      <w:r w:rsidRPr="005E2D50">
        <w:t>.</w:t>
      </w:r>
    </w:p>
  </w:footnote>
  <w:footnote w:id="3">
    <w:p w:rsidR="00CE18DC" w:rsidRPr="005E2D50" w:rsidRDefault="00CE18DC" w:rsidP="00CE18DC">
      <w:pPr>
        <w:pStyle w:val="FootnoteText"/>
      </w:pPr>
      <w:r w:rsidRPr="005E2D50">
        <w:rPr>
          <w:rStyle w:val="FootnoteReference"/>
        </w:rPr>
        <w:footnoteRef/>
      </w:r>
      <w:r w:rsidRPr="005E2D50">
        <w:t xml:space="preserve"> </w:t>
      </w:r>
      <w:r>
        <w:t xml:space="preserve">47 U.S.C. §§ 159(c)(3); </w:t>
      </w:r>
      <w:r w:rsidRPr="005E2D50">
        <w:t>47 CFR § 1.1164(f).</w:t>
      </w:r>
    </w:p>
  </w:footnote>
  <w:footnote w:id="4">
    <w:p w:rsidR="00CE18DC" w:rsidRDefault="00CE18DC" w:rsidP="00CE18DC">
      <w:pPr>
        <w:pStyle w:val="FootnoteText"/>
      </w:pPr>
      <w:r>
        <w:rPr>
          <w:rStyle w:val="FootnoteReference"/>
        </w:rPr>
        <w:footnoteRef/>
      </w:r>
      <w:r>
        <w:t xml:space="preserve"> </w:t>
      </w:r>
      <w:r w:rsidRPr="00660635">
        <w:rPr>
          <w:i/>
        </w:rPr>
        <w:t>International Authorizations Granted</w:t>
      </w:r>
      <w:r>
        <w:t xml:space="preserve">, ITC-214-20080523-00238, Public Notice, 24 FCC Rcd 16 (IB 2009).  LDC, like all telecommunications carriers, has blanket Section 214 domestic authority.  In 1999, the Commission granted all telecommunications carriers blanket authority under Section 214 to provide domestic interstate services and to construct or operate any domestic transmission line.  </w:t>
      </w:r>
      <w:r w:rsidRPr="00EE7079">
        <w:rPr>
          <w:i/>
        </w:rPr>
        <w:t>Implementation of Section 402(b)(2)(A) of the Telecomm. Act of 1996</w:t>
      </w:r>
      <w:r>
        <w:t xml:space="preserve">, Report and Order in CC Docket No. 97-11, Second Memorandum Opinion and Order in AAD File No. 98-43, 14 FCC Rcd 11364, 11365–66, para. 2 (1999).  </w:t>
      </w:r>
      <w:r>
        <w:rPr>
          <w:i/>
        </w:rPr>
        <w:t>See</w:t>
      </w:r>
      <w:r>
        <w:t xml:space="preserve"> 47 CFR § 63.01.  </w:t>
      </w:r>
    </w:p>
  </w:footnote>
  <w:footnote w:id="5">
    <w:p w:rsidR="00CE18DC" w:rsidRPr="005E2D50" w:rsidRDefault="00CE18DC" w:rsidP="00CE18DC">
      <w:pPr>
        <w:pStyle w:val="FootnoteText"/>
      </w:pPr>
      <w:r w:rsidRPr="005E2D50">
        <w:rPr>
          <w:rStyle w:val="FootnoteReference"/>
        </w:rPr>
        <w:footnoteRef/>
      </w:r>
      <w:r w:rsidRPr="005E2D50">
        <w:t xml:space="preserve"> Demand Letter, FCC, to Sean Connors, LDC Telecommunications, Inc. (Oct. 28, 2014).  </w:t>
      </w:r>
    </w:p>
  </w:footnote>
  <w:footnote w:id="6">
    <w:p w:rsidR="00CE18DC" w:rsidRDefault="00CE18DC" w:rsidP="00CE18DC">
      <w:pPr>
        <w:pStyle w:val="FootnoteText"/>
      </w:pPr>
      <w:r>
        <w:rPr>
          <w:rStyle w:val="FootnoteReference"/>
        </w:rPr>
        <w:footnoteRef/>
      </w:r>
      <w:r>
        <w:t xml:space="preserve"> LDC’s Form 499 (Telecommunications Reporting Worksheet) filing account was no longer active as of June 25, 2013, and was closed due to inactivity for an extended period and because the administrator could not contact LDC.  </w:t>
      </w:r>
    </w:p>
  </w:footnote>
  <w:footnote w:id="7">
    <w:p w:rsidR="00CE18DC" w:rsidRPr="005E2D50" w:rsidRDefault="00CE18DC" w:rsidP="00CE18DC">
      <w:pPr>
        <w:pStyle w:val="FootnoteText"/>
      </w:pPr>
      <w:r w:rsidRPr="005E2D50">
        <w:rPr>
          <w:rStyle w:val="FootnoteReference"/>
        </w:rPr>
        <w:footnoteRef/>
      </w:r>
      <w:r w:rsidRPr="005E2D50">
        <w:t xml:space="preserve"> </w:t>
      </w:r>
      <w:r w:rsidRPr="005E2D50">
        <w:rPr>
          <w:i/>
        </w:rPr>
        <w:t>LDC</w:t>
      </w:r>
      <w:r>
        <w:rPr>
          <w:i/>
        </w:rPr>
        <w:t xml:space="preserve"> Telecommunications, Inc.</w:t>
      </w:r>
      <w:r w:rsidRPr="005E2D50">
        <w:t xml:space="preserve">, Order to Pay or to Show Cause, </w:t>
      </w:r>
      <w:r>
        <w:t>31 FCC Rcd 7228, 7230</w:t>
      </w:r>
      <w:r w:rsidRPr="005E2D50">
        <w:t>, para. 6 (EB</w:t>
      </w:r>
      <w:r>
        <w:t xml:space="preserve"> </w:t>
      </w:r>
      <w:r w:rsidRPr="005E2D50">
        <w:t>2016) (</w:t>
      </w:r>
      <w:r w:rsidRPr="005E2D50">
        <w:rPr>
          <w:i/>
        </w:rPr>
        <w:t>Order to Pay or to Show Cause</w:t>
      </w:r>
      <w:r>
        <w:rPr>
          <w:i/>
        </w:rPr>
        <w:t xml:space="preserve"> </w:t>
      </w:r>
      <w:r w:rsidRPr="00CE18DC">
        <w:t>or</w:t>
      </w:r>
      <w:r>
        <w:rPr>
          <w:i/>
        </w:rPr>
        <w:t xml:space="preserve"> Order</w:t>
      </w:r>
      <w:r w:rsidRPr="005E2D50">
        <w:t xml:space="preserve">).  </w:t>
      </w:r>
      <w:r>
        <w:t xml:space="preserve">The </w:t>
      </w:r>
      <w:r>
        <w:rPr>
          <w:i/>
        </w:rPr>
        <w:t>Order to Pay or to Show Cause</w:t>
      </w:r>
      <w:r>
        <w:t xml:space="preserve"> was served upon LDC.  On July 1, 2016, we sent the </w:t>
      </w:r>
      <w:r>
        <w:rPr>
          <w:i/>
        </w:rPr>
        <w:t>Order</w:t>
      </w:r>
      <w:r>
        <w:t xml:space="preserve"> by certified mail, return receipt requested, to the address LDC provided on its international section 214 application.  However, the Order was returned as undeliverable.  On July 18, 2016, we posted the </w:t>
      </w:r>
      <w:r>
        <w:rPr>
          <w:i/>
        </w:rPr>
        <w:t>Order</w:t>
      </w:r>
      <w:r>
        <w:t xml:space="preserve"> in the Commission’s Office of the Secretary.  On July 19, 2016, we sent the </w:t>
      </w:r>
      <w:r>
        <w:rPr>
          <w:i/>
        </w:rPr>
        <w:t>Order</w:t>
      </w:r>
      <w:r>
        <w:t xml:space="preserve"> by certified mail, return receipt requested, to the address LDC designated for service by mail on LDC’s FCC Form 499 (Telecommunications Reporting Worksheet).  We received confirmation of delivery by certified mail on July 22, 2016.</w:t>
      </w:r>
    </w:p>
  </w:footnote>
  <w:footnote w:id="8">
    <w:p w:rsidR="00CE18DC" w:rsidRPr="005E2D50" w:rsidRDefault="00CE18DC" w:rsidP="00CE18DC">
      <w:pPr>
        <w:pStyle w:val="FootnoteText"/>
      </w:pPr>
      <w:r w:rsidRPr="005E2D50">
        <w:rPr>
          <w:rStyle w:val="FootnoteReference"/>
        </w:rPr>
        <w:footnoteRef/>
      </w:r>
      <w:r w:rsidRPr="005E2D50">
        <w:t xml:space="preserve"> </w:t>
      </w:r>
      <w:r w:rsidRPr="005E2D50">
        <w:rPr>
          <w:i/>
        </w:rPr>
        <w:t>Id.</w:t>
      </w:r>
      <w:r w:rsidRPr="005E2D50">
        <w:t xml:space="preserve"> </w:t>
      </w:r>
      <w:r>
        <w:t>at 7229, para.</w:t>
      </w:r>
      <w:r w:rsidRPr="005E2D50">
        <w:t xml:space="preserve"> 3.  </w:t>
      </w:r>
    </w:p>
  </w:footnote>
  <w:footnote w:id="9">
    <w:p w:rsidR="00CE18DC" w:rsidRPr="005E2D50" w:rsidRDefault="00CE18DC" w:rsidP="00CE18DC">
      <w:pPr>
        <w:pStyle w:val="FootnoteText"/>
      </w:pPr>
      <w:r w:rsidRPr="005E2D50">
        <w:rPr>
          <w:rStyle w:val="FootnoteReference"/>
        </w:rPr>
        <w:footnoteRef/>
      </w:r>
      <w:r w:rsidRPr="005E2D50">
        <w:t xml:space="preserve"> </w:t>
      </w:r>
      <w:r>
        <w:rPr>
          <w:i/>
        </w:rPr>
        <w:t>Id.</w:t>
      </w:r>
      <w:r w:rsidRPr="005E2D50">
        <w:rPr>
          <w:i/>
        </w:rPr>
        <w:t xml:space="preserve"> </w:t>
      </w:r>
      <w:r w:rsidRPr="005E2D50">
        <w:t xml:space="preserve">at </w:t>
      </w:r>
      <w:r>
        <w:t>7230</w:t>
      </w:r>
      <w:r w:rsidRPr="005E2D50">
        <w:t xml:space="preserve">, </w:t>
      </w:r>
      <w:r>
        <w:t>para.</w:t>
      </w:r>
      <w:r w:rsidRPr="005E2D50">
        <w:t xml:space="preserve"> 6.</w:t>
      </w:r>
    </w:p>
  </w:footnote>
  <w:footnote w:id="10">
    <w:p w:rsidR="00CE18DC" w:rsidRPr="005E2D50" w:rsidRDefault="00CE18DC" w:rsidP="00CE18DC">
      <w:pPr>
        <w:pStyle w:val="FootnoteText"/>
      </w:pPr>
      <w:r w:rsidRPr="005E2D50">
        <w:rPr>
          <w:rStyle w:val="FootnoteReference"/>
        </w:rPr>
        <w:footnoteRef/>
      </w:r>
      <w:r w:rsidRPr="005E2D50">
        <w:t xml:space="preserve"> </w:t>
      </w:r>
      <w:r w:rsidRPr="005E2D50">
        <w:rPr>
          <w:i/>
        </w:rPr>
        <w:t>Id</w:t>
      </w:r>
      <w:r w:rsidRPr="005E2D50">
        <w:t xml:space="preserve">. at </w:t>
      </w:r>
      <w:r>
        <w:t>7229</w:t>
      </w:r>
      <w:r w:rsidRPr="005E2D50">
        <w:t xml:space="preserve">, </w:t>
      </w:r>
      <w:r>
        <w:t>para.</w:t>
      </w:r>
      <w:r w:rsidRPr="005E2D50">
        <w:t xml:space="preserve"> 3.</w:t>
      </w:r>
    </w:p>
  </w:footnote>
  <w:footnote w:id="11">
    <w:p w:rsidR="00CE18DC" w:rsidRPr="005E2D50" w:rsidRDefault="00CE18DC" w:rsidP="00CE18DC">
      <w:pPr>
        <w:pStyle w:val="FootnoteText"/>
      </w:pPr>
      <w:r w:rsidRPr="005E2D50">
        <w:rPr>
          <w:rStyle w:val="FootnoteReference"/>
        </w:rPr>
        <w:footnoteRef/>
      </w:r>
      <w:r w:rsidRPr="005E2D50">
        <w:t xml:space="preserve"> As of the date of this </w:t>
      </w:r>
      <w:r w:rsidRPr="00DF5552">
        <w:rPr>
          <w:i/>
        </w:rPr>
        <w:t>Order</w:t>
      </w:r>
      <w:r w:rsidRPr="005E2D50">
        <w:t xml:space="preserve">, LDC still has not </w:t>
      </w:r>
      <w:r w:rsidRPr="005E2D50">
        <w:rPr>
          <w:szCs w:val="24"/>
        </w:rPr>
        <w:t>filed evidence of payment of its outstanding regulatory fees or shown cause why such payment is inapplicable or should be waived or deferred</w:t>
      </w:r>
      <w:r w:rsidRPr="005E2D50">
        <w:t>.</w:t>
      </w:r>
    </w:p>
  </w:footnote>
  <w:footnote w:id="12">
    <w:p w:rsidR="00CE18DC" w:rsidRPr="005E2D50" w:rsidRDefault="00CE18DC" w:rsidP="00CE18DC">
      <w:pPr>
        <w:pStyle w:val="FootnoteText"/>
      </w:pPr>
      <w:r w:rsidRPr="005E2D50">
        <w:rPr>
          <w:rStyle w:val="FootnoteReference"/>
        </w:rPr>
        <w:footnoteRef/>
      </w:r>
      <w:r w:rsidRPr="005E2D50">
        <w:t xml:space="preserve"> We note that LDC may have been or continue </w:t>
      </w:r>
      <w:r>
        <w:t>to be</w:t>
      </w:r>
      <w:r w:rsidRPr="005E2D50">
        <w:t xml:space="preserve"> a respondent in other administrative proceedings.  Action in this proceeding is without prejudice to action in those proceedings, and the existence of those proceedings and matters raised therein are not considered by the Commission in this proceeding.</w:t>
      </w:r>
    </w:p>
  </w:footnote>
  <w:footnote w:id="13">
    <w:p w:rsidR="00CE18DC" w:rsidRPr="005E2D50" w:rsidRDefault="00CE18DC" w:rsidP="00CE18DC">
      <w:pPr>
        <w:pStyle w:val="FootnoteText"/>
        <w:rPr>
          <w:color w:val="000000"/>
        </w:rPr>
      </w:pPr>
      <w:r w:rsidRPr="005E2D50">
        <w:rPr>
          <w:rStyle w:val="FootnoteReference"/>
          <w:color w:val="000000"/>
        </w:rPr>
        <w:footnoteRef/>
      </w:r>
      <w:r w:rsidRPr="005E2D50">
        <w:rPr>
          <w:color w:val="000000"/>
          <w:lang w:val="es-ES"/>
        </w:rPr>
        <w:t xml:space="preserve"> </w:t>
      </w:r>
      <w:r w:rsidRPr="005E2D50">
        <w:t xml:space="preserve">47 U.S.C. § 159(c)(3); </w:t>
      </w:r>
      <w:r w:rsidRPr="005E2D50">
        <w:rPr>
          <w:color w:val="000000"/>
          <w:lang w:val="es-ES"/>
        </w:rPr>
        <w:t xml:space="preserve">47 CFR §§ </w:t>
      </w:r>
      <w:r w:rsidRPr="005E2D50">
        <w:t>0.51, 0.91, 0.111, 0.261, 0.291, 0.311, 1.102(b)(1), 1.1164(f).</w:t>
      </w:r>
    </w:p>
  </w:footnote>
  <w:footnote w:id="14">
    <w:p w:rsidR="00CE18DC" w:rsidRPr="005E2D50" w:rsidRDefault="00CE18DC" w:rsidP="00CE18DC">
      <w:pPr>
        <w:pStyle w:val="FootnoteText"/>
      </w:pPr>
      <w:r w:rsidRPr="005E2D50">
        <w:rPr>
          <w:rStyle w:val="FootnoteReference"/>
        </w:rPr>
        <w:footnoteRef/>
      </w:r>
      <w:r w:rsidRPr="005E2D50">
        <w:t xml:space="preserve"> </w:t>
      </w:r>
      <w:r>
        <w:t xml:space="preserve">This </w:t>
      </w:r>
      <w:r w:rsidRPr="009D6A68">
        <w:rPr>
          <w:i/>
        </w:rPr>
        <w:t>Revocation Order</w:t>
      </w:r>
      <w:r>
        <w:t xml:space="preserve"> is effective upon release.  47 CFR § 1.102(b)(1).  </w:t>
      </w:r>
      <w:r w:rsidRPr="005E2D50">
        <w:t>Accordingly, LDC is no longer authorized to provide domestic or international telecommunications services</w:t>
      </w:r>
      <w:r w:rsidRPr="005E2D50">
        <w:rPr>
          <w:i/>
        </w:rPr>
        <w:t>.</w:t>
      </w:r>
      <w:r>
        <w:t xml:space="preserve">  </w:t>
      </w:r>
    </w:p>
  </w:footnote>
  <w:footnote w:id="15">
    <w:p w:rsidR="00CE18DC" w:rsidRPr="005E2D50" w:rsidRDefault="00CE18DC" w:rsidP="00CE18DC">
      <w:pPr>
        <w:shd w:val="clear" w:color="auto" w:fill="FFFFFF"/>
        <w:rPr>
          <w:sz w:val="24"/>
          <w:szCs w:val="24"/>
        </w:rPr>
      </w:pPr>
      <w:r w:rsidRPr="005E2D50">
        <w:rPr>
          <w:rStyle w:val="FootnoteReference"/>
        </w:rPr>
        <w:footnoteRef/>
      </w:r>
      <w:r w:rsidRPr="005E2D50">
        <w:t xml:space="preserve"> </w:t>
      </w:r>
      <w:r w:rsidRPr="005E2D50">
        <w:rPr>
          <w:i/>
          <w:sz w:val="20"/>
        </w:rPr>
        <w:t xml:space="preserve">See </w:t>
      </w:r>
      <w:r w:rsidRPr="005E2D50">
        <w:rPr>
          <w:sz w:val="20"/>
        </w:rPr>
        <w:t>47 CFR § 1.47(h)</w:t>
      </w:r>
      <w:r>
        <w:rPr>
          <w:sz w:val="20"/>
        </w:rPr>
        <w:t>.</w:t>
      </w:r>
    </w:p>
    <w:p w:rsidR="00CE18DC" w:rsidRPr="005E2D50" w:rsidRDefault="00CE18DC" w:rsidP="00CE18D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11" w:rsidRDefault="00EC3B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CE18DC" w:rsidRPr="0047561C">
      <w:rPr>
        <w:spacing w:val="-2"/>
      </w:rPr>
      <w:t>DA 16-</w:t>
    </w:r>
    <w:r w:rsidR="00CE18DC">
      <w:rPr>
        <w:spacing w:val="-2"/>
      </w:rPr>
      <w:t>1184</w:t>
    </w:r>
  </w:p>
  <w:p w:rsidR="00D25FB5" w:rsidRDefault="00456FF7">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56FF7"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CE18DC" w:rsidRPr="0047561C">
      <w:rPr>
        <w:spacing w:val="-2"/>
      </w:rPr>
      <w:t>DA 16-</w:t>
    </w:r>
    <w:r w:rsidR="00CE18DC">
      <w:rPr>
        <w:spacing w:val="-2"/>
      </w:rPr>
      <w:t>1184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18DC"/>
    <w:rsid w:val="00036039"/>
    <w:rsid w:val="00037F90"/>
    <w:rsid w:val="000875BF"/>
    <w:rsid w:val="00096D8C"/>
    <w:rsid w:val="000C0B65"/>
    <w:rsid w:val="000E05FE"/>
    <w:rsid w:val="000E3D42"/>
    <w:rsid w:val="001202C8"/>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56FF7"/>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0D27"/>
    <w:rsid w:val="0079754B"/>
    <w:rsid w:val="007A1E6D"/>
    <w:rsid w:val="007B0EB2"/>
    <w:rsid w:val="007D71BC"/>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18DC"/>
    <w:rsid w:val="00D012E7"/>
    <w:rsid w:val="00D0218D"/>
    <w:rsid w:val="00D25FB5"/>
    <w:rsid w:val="00D44223"/>
    <w:rsid w:val="00DA2529"/>
    <w:rsid w:val="00DB130A"/>
    <w:rsid w:val="00DB2EBB"/>
    <w:rsid w:val="00DC10A1"/>
    <w:rsid w:val="00DC655F"/>
    <w:rsid w:val="00DD0B59"/>
    <w:rsid w:val="00DD7EBD"/>
    <w:rsid w:val="00DF62B6"/>
    <w:rsid w:val="00E07225"/>
    <w:rsid w:val="00E5409F"/>
    <w:rsid w:val="00EC3B11"/>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FF7"/>
    <w:pPr>
      <w:widowControl w:val="0"/>
    </w:pPr>
    <w:rPr>
      <w:snapToGrid w:val="0"/>
      <w:kern w:val="28"/>
      <w:sz w:val="22"/>
    </w:rPr>
  </w:style>
  <w:style w:type="paragraph" w:styleId="Heading1">
    <w:name w:val="heading 1"/>
    <w:basedOn w:val="Normal"/>
    <w:next w:val="ParaNum"/>
    <w:link w:val="Heading1Char"/>
    <w:qFormat/>
    <w:rsid w:val="00456FF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56FF7"/>
    <w:pPr>
      <w:keepNext/>
      <w:numPr>
        <w:ilvl w:val="1"/>
        <w:numId w:val="3"/>
      </w:numPr>
      <w:spacing w:after="120"/>
      <w:outlineLvl w:val="1"/>
    </w:pPr>
    <w:rPr>
      <w:b/>
    </w:rPr>
  </w:style>
  <w:style w:type="paragraph" w:styleId="Heading3">
    <w:name w:val="heading 3"/>
    <w:basedOn w:val="Normal"/>
    <w:next w:val="ParaNum"/>
    <w:qFormat/>
    <w:rsid w:val="00456FF7"/>
    <w:pPr>
      <w:keepNext/>
      <w:numPr>
        <w:ilvl w:val="2"/>
        <w:numId w:val="3"/>
      </w:numPr>
      <w:tabs>
        <w:tab w:val="left" w:pos="2160"/>
      </w:tabs>
      <w:spacing w:after="120"/>
      <w:outlineLvl w:val="2"/>
    </w:pPr>
    <w:rPr>
      <w:b/>
    </w:rPr>
  </w:style>
  <w:style w:type="paragraph" w:styleId="Heading4">
    <w:name w:val="heading 4"/>
    <w:basedOn w:val="Normal"/>
    <w:next w:val="ParaNum"/>
    <w:qFormat/>
    <w:rsid w:val="00456FF7"/>
    <w:pPr>
      <w:keepNext/>
      <w:numPr>
        <w:ilvl w:val="3"/>
        <w:numId w:val="3"/>
      </w:numPr>
      <w:tabs>
        <w:tab w:val="left" w:pos="2880"/>
      </w:tabs>
      <w:spacing w:after="120"/>
      <w:outlineLvl w:val="3"/>
    </w:pPr>
    <w:rPr>
      <w:b/>
    </w:rPr>
  </w:style>
  <w:style w:type="paragraph" w:styleId="Heading5">
    <w:name w:val="heading 5"/>
    <w:basedOn w:val="Normal"/>
    <w:next w:val="ParaNum"/>
    <w:qFormat/>
    <w:rsid w:val="00456FF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456FF7"/>
    <w:pPr>
      <w:numPr>
        <w:ilvl w:val="5"/>
        <w:numId w:val="3"/>
      </w:numPr>
      <w:tabs>
        <w:tab w:val="left" w:pos="4320"/>
      </w:tabs>
      <w:spacing w:after="120"/>
      <w:outlineLvl w:val="5"/>
    </w:pPr>
    <w:rPr>
      <w:b/>
    </w:rPr>
  </w:style>
  <w:style w:type="paragraph" w:styleId="Heading7">
    <w:name w:val="heading 7"/>
    <w:basedOn w:val="Normal"/>
    <w:next w:val="ParaNum"/>
    <w:qFormat/>
    <w:rsid w:val="00456FF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56FF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456FF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6FF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6FF7"/>
  </w:style>
  <w:style w:type="paragraph" w:customStyle="1" w:styleId="ParaNum">
    <w:name w:val="ParaNum"/>
    <w:basedOn w:val="Normal"/>
    <w:link w:val="ParaNumChar"/>
    <w:rsid w:val="00456FF7"/>
    <w:pPr>
      <w:numPr>
        <w:numId w:val="2"/>
      </w:numPr>
      <w:tabs>
        <w:tab w:val="clear" w:pos="1080"/>
        <w:tab w:val="num" w:pos="1440"/>
      </w:tabs>
      <w:spacing w:after="120"/>
    </w:pPr>
  </w:style>
  <w:style w:type="paragraph" w:styleId="EndnoteText">
    <w:name w:val="endnote text"/>
    <w:basedOn w:val="Normal"/>
    <w:semiHidden/>
    <w:rsid w:val="00456FF7"/>
    <w:rPr>
      <w:sz w:val="20"/>
    </w:rPr>
  </w:style>
  <w:style w:type="character" w:styleId="EndnoteReference">
    <w:name w:val="endnote reference"/>
    <w:semiHidden/>
    <w:rsid w:val="00456FF7"/>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456FF7"/>
    <w:pPr>
      <w:spacing w:after="120"/>
    </w:pPr>
  </w:style>
  <w:style w:type="character" w:styleId="FootnoteReference">
    <w:name w:val="footnote reference"/>
    <w:aliases w:val="Style 4,Appel note de bas de p,Style 12,(NECG) Footnote Reference,Style 124,Style 13,o,fr,Style 3,Footnote Reference1,FR,Style 17,Style 6,Footnote Reference/"/>
    <w:rsid w:val="00456FF7"/>
    <w:rPr>
      <w:rFonts w:ascii="Times New Roman" w:hAnsi="Times New Roman"/>
      <w:dstrike w:val="0"/>
      <w:color w:val="auto"/>
      <w:sz w:val="20"/>
      <w:vertAlign w:val="superscript"/>
    </w:rPr>
  </w:style>
  <w:style w:type="paragraph" w:styleId="TOC1">
    <w:name w:val="toc 1"/>
    <w:basedOn w:val="Normal"/>
    <w:next w:val="Normal"/>
    <w:semiHidden/>
    <w:rsid w:val="00456FF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56FF7"/>
    <w:pPr>
      <w:tabs>
        <w:tab w:val="left" w:pos="720"/>
        <w:tab w:val="right" w:leader="dot" w:pos="9360"/>
      </w:tabs>
      <w:suppressAutoHyphens/>
      <w:ind w:left="720" w:right="720" w:hanging="360"/>
    </w:pPr>
    <w:rPr>
      <w:noProof/>
    </w:rPr>
  </w:style>
  <w:style w:type="paragraph" w:styleId="TOC3">
    <w:name w:val="toc 3"/>
    <w:basedOn w:val="Normal"/>
    <w:next w:val="Normal"/>
    <w:semiHidden/>
    <w:rsid w:val="00456FF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56FF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56FF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56FF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56FF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56FF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56FF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56FF7"/>
    <w:pPr>
      <w:tabs>
        <w:tab w:val="right" w:pos="9360"/>
      </w:tabs>
      <w:suppressAutoHyphens/>
    </w:pPr>
  </w:style>
  <w:style w:type="character" w:customStyle="1" w:styleId="EquationCaption">
    <w:name w:val="_Equation Caption"/>
    <w:rsid w:val="00456FF7"/>
  </w:style>
  <w:style w:type="paragraph" w:styleId="Header">
    <w:name w:val="header"/>
    <w:basedOn w:val="Normal"/>
    <w:autoRedefine/>
    <w:rsid w:val="00456FF7"/>
    <w:pPr>
      <w:tabs>
        <w:tab w:val="center" w:pos="4680"/>
        <w:tab w:val="right" w:pos="9360"/>
      </w:tabs>
    </w:pPr>
    <w:rPr>
      <w:b/>
    </w:rPr>
  </w:style>
  <w:style w:type="paragraph" w:styleId="Footer">
    <w:name w:val="footer"/>
    <w:basedOn w:val="Normal"/>
    <w:rsid w:val="00456FF7"/>
    <w:pPr>
      <w:tabs>
        <w:tab w:val="center" w:pos="4320"/>
        <w:tab w:val="right" w:pos="8640"/>
      </w:tabs>
    </w:pPr>
  </w:style>
  <w:style w:type="character" w:styleId="PageNumber">
    <w:name w:val="page number"/>
    <w:basedOn w:val="DefaultParagraphFont"/>
    <w:rsid w:val="00456FF7"/>
  </w:style>
  <w:style w:type="paragraph" w:styleId="BlockText">
    <w:name w:val="Block Text"/>
    <w:basedOn w:val="Normal"/>
    <w:rsid w:val="00456FF7"/>
    <w:pPr>
      <w:spacing w:after="240"/>
      <w:ind w:left="1440" w:right="1440"/>
    </w:pPr>
  </w:style>
  <w:style w:type="paragraph" w:customStyle="1" w:styleId="Paratitle">
    <w:name w:val="Para title"/>
    <w:basedOn w:val="Normal"/>
    <w:rsid w:val="00456FF7"/>
    <w:pPr>
      <w:tabs>
        <w:tab w:val="center" w:pos="9270"/>
      </w:tabs>
      <w:spacing w:after="240"/>
    </w:pPr>
    <w:rPr>
      <w:spacing w:val="-2"/>
    </w:rPr>
  </w:style>
  <w:style w:type="paragraph" w:customStyle="1" w:styleId="Bullet">
    <w:name w:val="Bullet"/>
    <w:basedOn w:val="Normal"/>
    <w:rsid w:val="00456FF7"/>
    <w:pPr>
      <w:tabs>
        <w:tab w:val="left" w:pos="2160"/>
      </w:tabs>
      <w:spacing w:after="220"/>
      <w:ind w:left="2160" w:hanging="720"/>
    </w:pPr>
  </w:style>
  <w:style w:type="paragraph" w:customStyle="1" w:styleId="TableFormat">
    <w:name w:val="TableFormat"/>
    <w:basedOn w:val="Bullet"/>
    <w:rsid w:val="00456FF7"/>
    <w:pPr>
      <w:tabs>
        <w:tab w:val="clear" w:pos="2160"/>
        <w:tab w:val="left" w:pos="5040"/>
      </w:tabs>
      <w:ind w:left="5040" w:hanging="3600"/>
    </w:pPr>
  </w:style>
  <w:style w:type="paragraph" w:customStyle="1" w:styleId="TOCTitle">
    <w:name w:val="TOC Title"/>
    <w:basedOn w:val="Normal"/>
    <w:rsid w:val="00456FF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56FF7"/>
    <w:pPr>
      <w:jc w:val="center"/>
    </w:pPr>
    <w:rPr>
      <w:rFonts w:ascii="Times New Roman Bold" w:hAnsi="Times New Roman Bold"/>
      <w:b/>
      <w:bCs/>
      <w:caps/>
      <w:szCs w:val="22"/>
    </w:rPr>
  </w:style>
  <w:style w:type="character" w:styleId="Hyperlink">
    <w:name w:val="Hyperlink"/>
    <w:rsid w:val="00456FF7"/>
    <w:rPr>
      <w:color w:val="0000FF"/>
      <w:u w:val="single"/>
    </w:rPr>
  </w:style>
  <w:style w:type="character" w:customStyle="1" w:styleId="Heading1Char">
    <w:name w:val="Heading 1 Char"/>
    <w:link w:val="Heading1"/>
    <w:locked/>
    <w:rsid w:val="00CE18DC"/>
    <w:rPr>
      <w:rFonts w:ascii="Times New Roman Bold" w:hAnsi="Times New Roman Bold"/>
      <w:b/>
      <w:caps/>
      <w:snapToGrid w:val="0"/>
      <w:kern w:val="28"/>
      <w:sz w:val="22"/>
    </w:rPr>
  </w:style>
  <w:style w:type="paragraph" w:styleId="BodyText">
    <w:name w:val="Body Text"/>
    <w:aliases w:val="b"/>
    <w:basedOn w:val="Normal"/>
    <w:link w:val="BodyTextChar"/>
    <w:uiPriority w:val="99"/>
    <w:rsid w:val="00CE18DC"/>
    <w:rPr>
      <w:rFonts w:ascii="Calibri" w:eastAsia="Calibri" w:hAnsi="Calibri"/>
      <w:b/>
      <w:sz w:val="24"/>
      <w:u w:val="single"/>
    </w:rPr>
  </w:style>
  <w:style w:type="character" w:customStyle="1" w:styleId="BodyTextChar">
    <w:name w:val="Body Text Char"/>
    <w:aliases w:val="b Char"/>
    <w:link w:val="BodyText"/>
    <w:uiPriority w:val="99"/>
    <w:rsid w:val="00CE18DC"/>
    <w:rPr>
      <w:rFonts w:ascii="Calibri" w:eastAsia="Calibri" w:hAnsi="Calibri"/>
      <w:b/>
      <w:snapToGrid w:val="0"/>
      <w:sz w:val="24"/>
      <w:szCs w:val="22"/>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CE18DC"/>
  </w:style>
  <w:style w:type="character" w:customStyle="1" w:styleId="ParaNumChar">
    <w:name w:val="ParaNum Char"/>
    <w:link w:val="ParaNum"/>
    <w:locked/>
    <w:rsid w:val="00CE18D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753</Words>
  <Characters>4186</Characters>
  <Application>Microsoft Office Word</Application>
  <DocSecurity>0</DocSecurity>
  <Lines>100</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2016-10-14T17:39:00Z</dcterms:created>
  <dcterms:modified xsi:type="dcterms:W3CDTF">2016-10-14T17:39:00Z</dcterms:modified>
  <cp:category> </cp:category>
  <cp:contentStatus> </cp:contentStatus>
</cp:coreProperties>
</file>