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E221" w14:textId="77777777" w:rsidR="00C8491A" w:rsidRDefault="00C8491A" w:rsidP="00C8491A">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A6FF46F" w14:textId="77777777" w:rsidR="00C8491A" w:rsidRDefault="00C8491A" w:rsidP="00C8491A">
      <w:pPr>
        <w:pStyle w:val="StyleBoldCentered"/>
      </w:pPr>
      <w:r>
        <w:t>F</w:t>
      </w:r>
      <w:r>
        <w:rPr>
          <w:caps w:val="0"/>
        </w:rPr>
        <w:t>ederal Communications Commission</w:t>
      </w:r>
    </w:p>
    <w:p w14:paraId="34014E78" w14:textId="77777777" w:rsidR="00C8491A" w:rsidRDefault="00C8491A" w:rsidP="00C8491A">
      <w:pPr>
        <w:pStyle w:val="StyleBoldCentered"/>
      </w:pPr>
      <w:r>
        <w:rPr>
          <w:caps w:val="0"/>
        </w:rPr>
        <w:t>Washington, DC 20554</w:t>
      </w:r>
    </w:p>
    <w:p w14:paraId="312C2D15" w14:textId="77777777" w:rsidR="00C8491A" w:rsidRDefault="00C8491A" w:rsidP="00C8491A"/>
    <w:p w14:paraId="06CA5028" w14:textId="77777777" w:rsidR="00C8491A" w:rsidRDefault="00C8491A" w:rsidP="00C8491A"/>
    <w:tbl>
      <w:tblPr>
        <w:tblW w:w="0" w:type="auto"/>
        <w:tblLayout w:type="fixed"/>
        <w:tblLook w:val="0000" w:firstRow="0" w:lastRow="0" w:firstColumn="0" w:lastColumn="0" w:noHBand="0" w:noVBand="0"/>
      </w:tblPr>
      <w:tblGrid>
        <w:gridCol w:w="4698"/>
        <w:gridCol w:w="630"/>
        <w:gridCol w:w="4248"/>
      </w:tblGrid>
      <w:tr w:rsidR="00C8491A" w14:paraId="4C016CA6" w14:textId="77777777" w:rsidTr="005A39E9">
        <w:tc>
          <w:tcPr>
            <w:tcW w:w="4698" w:type="dxa"/>
          </w:tcPr>
          <w:p w14:paraId="1A71B3A0" w14:textId="77777777" w:rsidR="00C8491A" w:rsidRDefault="00C8491A" w:rsidP="005A39E9">
            <w:pPr>
              <w:tabs>
                <w:tab w:val="center" w:pos="4680"/>
              </w:tabs>
              <w:suppressAutoHyphens/>
              <w:rPr>
                <w:spacing w:val="-2"/>
              </w:rPr>
            </w:pPr>
            <w:r>
              <w:rPr>
                <w:spacing w:val="-2"/>
              </w:rPr>
              <w:t>In the Matter of</w:t>
            </w:r>
          </w:p>
          <w:p w14:paraId="1704B13B" w14:textId="77777777" w:rsidR="00C8491A" w:rsidRDefault="00C8491A" w:rsidP="005A39E9">
            <w:pPr>
              <w:tabs>
                <w:tab w:val="center" w:pos="4680"/>
              </w:tabs>
              <w:suppressAutoHyphens/>
              <w:rPr>
                <w:spacing w:val="-2"/>
              </w:rPr>
            </w:pPr>
          </w:p>
          <w:p w14:paraId="2A0FEF70" w14:textId="77777777" w:rsidR="00C8491A" w:rsidRPr="007115F7" w:rsidRDefault="00801406" w:rsidP="00B14E6B">
            <w:pPr>
              <w:tabs>
                <w:tab w:val="center" w:pos="4680"/>
              </w:tabs>
              <w:suppressAutoHyphens/>
              <w:rPr>
                <w:spacing w:val="-2"/>
              </w:rPr>
            </w:pPr>
            <w:r w:rsidRPr="00C14162">
              <w:rPr>
                <w:spacing w:val="-2"/>
              </w:rPr>
              <w:t>AT&amp;T</w:t>
            </w:r>
            <w:r w:rsidR="00B14E6B">
              <w:rPr>
                <w:spacing w:val="-2"/>
              </w:rPr>
              <w:t xml:space="preserve"> </w:t>
            </w:r>
            <w:r w:rsidR="00A6385F">
              <w:rPr>
                <w:spacing w:val="-2"/>
              </w:rPr>
              <w:t>Inc., Parent Company of New Cingular Wireless PCS, LLC and AT&amp;T Mobility Puerto Rico, Inc.</w:t>
            </w:r>
          </w:p>
        </w:tc>
        <w:tc>
          <w:tcPr>
            <w:tcW w:w="630" w:type="dxa"/>
          </w:tcPr>
          <w:p w14:paraId="40616EB5" w14:textId="77777777" w:rsidR="00C8491A" w:rsidRDefault="00C8491A" w:rsidP="005A39E9">
            <w:pPr>
              <w:tabs>
                <w:tab w:val="center" w:pos="4680"/>
              </w:tabs>
              <w:suppressAutoHyphens/>
              <w:rPr>
                <w:b/>
                <w:spacing w:val="-2"/>
              </w:rPr>
            </w:pPr>
            <w:r>
              <w:rPr>
                <w:b/>
                <w:spacing w:val="-2"/>
              </w:rPr>
              <w:t>)</w:t>
            </w:r>
          </w:p>
          <w:p w14:paraId="74E0F97B" w14:textId="77777777" w:rsidR="00C8491A" w:rsidRDefault="00C8491A" w:rsidP="005A39E9">
            <w:pPr>
              <w:tabs>
                <w:tab w:val="center" w:pos="4680"/>
              </w:tabs>
              <w:suppressAutoHyphens/>
              <w:rPr>
                <w:b/>
                <w:spacing w:val="-2"/>
              </w:rPr>
            </w:pPr>
            <w:r>
              <w:rPr>
                <w:b/>
                <w:spacing w:val="-2"/>
              </w:rPr>
              <w:t>)</w:t>
            </w:r>
          </w:p>
          <w:p w14:paraId="75CFDAD1" w14:textId="77777777" w:rsidR="00C8491A" w:rsidRDefault="00C8491A" w:rsidP="005A39E9">
            <w:pPr>
              <w:tabs>
                <w:tab w:val="center" w:pos="4680"/>
              </w:tabs>
              <w:suppressAutoHyphens/>
              <w:rPr>
                <w:b/>
                <w:spacing w:val="-2"/>
              </w:rPr>
            </w:pPr>
            <w:r>
              <w:rPr>
                <w:b/>
                <w:spacing w:val="-2"/>
              </w:rPr>
              <w:t>)</w:t>
            </w:r>
          </w:p>
          <w:p w14:paraId="420A7CEF" w14:textId="77777777" w:rsidR="00C8491A" w:rsidRDefault="00C8491A" w:rsidP="005A39E9">
            <w:pPr>
              <w:tabs>
                <w:tab w:val="center" w:pos="4680"/>
              </w:tabs>
              <w:suppressAutoHyphens/>
              <w:rPr>
                <w:b/>
                <w:spacing w:val="-2"/>
              </w:rPr>
            </w:pPr>
            <w:r>
              <w:rPr>
                <w:b/>
                <w:spacing w:val="-2"/>
              </w:rPr>
              <w:t>)</w:t>
            </w:r>
          </w:p>
          <w:p w14:paraId="2767C427" w14:textId="77777777" w:rsidR="00C8491A" w:rsidRDefault="00C8491A" w:rsidP="005A39E9">
            <w:pPr>
              <w:tabs>
                <w:tab w:val="center" w:pos="4680"/>
              </w:tabs>
              <w:suppressAutoHyphens/>
              <w:rPr>
                <w:b/>
                <w:spacing w:val="-2"/>
              </w:rPr>
            </w:pPr>
            <w:r>
              <w:rPr>
                <w:b/>
                <w:spacing w:val="-2"/>
              </w:rPr>
              <w:t>)</w:t>
            </w:r>
          </w:p>
          <w:p w14:paraId="52DCD226" w14:textId="77777777" w:rsidR="00C8491A" w:rsidRDefault="00C8491A" w:rsidP="005A39E9">
            <w:pPr>
              <w:tabs>
                <w:tab w:val="center" w:pos="4680"/>
              </w:tabs>
              <w:suppressAutoHyphens/>
              <w:rPr>
                <w:b/>
                <w:spacing w:val="-2"/>
              </w:rPr>
            </w:pPr>
            <w:r>
              <w:rPr>
                <w:b/>
                <w:spacing w:val="-2"/>
              </w:rPr>
              <w:t>)</w:t>
            </w:r>
          </w:p>
          <w:p w14:paraId="7C76EEAB" w14:textId="77777777" w:rsidR="00C8491A" w:rsidRDefault="00C8491A" w:rsidP="005A39E9">
            <w:pPr>
              <w:tabs>
                <w:tab w:val="center" w:pos="4680"/>
              </w:tabs>
              <w:suppressAutoHyphens/>
              <w:rPr>
                <w:spacing w:val="-2"/>
              </w:rPr>
            </w:pPr>
          </w:p>
        </w:tc>
        <w:tc>
          <w:tcPr>
            <w:tcW w:w="4248" w:type="dxa"/>
          </w:tcPr>
          <w:p w14:paraId="79AF016A" w14:textId="77777777" w:rsidR="00C8491A" w:rsidRPr="00AE7FB1" w:rsidRDefault="00C8491A" w:rsidP="00AE7FB1">
            <w:pPr>
              <w:pStyle w:val="TOAHeading"/>
              <w:widowControl/>
              <w:tabs>
                <w:tab w:val="clear" w:pos="9360"/>
                <w:tab w:val="center" w:pos="4680"/>
              </w:tabs>
              <w:ind w:firstLine="522"/>
              <w:rPr>
                <w:spacing w:val="-2"/>
                <w:szCs w:val="22"/>
                <w:lang w:val="es-ES_tradnl"/>
              </w:rPr>
            </w:pPr>
          </w:p>
          <w:p w14:paraId="49D643E8" w14:textId="77777777" w:rsidR="00C8491A" w:rsidRDefault="00C8491A" w:rsidP="00AE7FB1">
            <w:pPr>
              <w:pStyle w:val="TOAHeading"/>
              <w:widowControl/>
              <w:tabs>
                <w:tab w:val="clear" w:pos="9360"/>
                <w:tab w:val="center" w:pos="4680"/>
              </w:tabs>
              <w:ind w:firstLine="522"/>
              <w:rPr>
                <w:spacing w:val="-2"/>
                <w:szCs w:val="22"/>
                <w:lang w:val="es-ES_tradnl"/>
              </w:rPr>
            </w:pPr>
            <w:r w:rsidRPr="00AE7FB1">
              <w:rPr>
                <w:spacing w:val="-2"/>
                <w:szCs w:val="22"/>
                <w:lang w:val="es-ES_tradnl"/>
              </w:rPr>
              <w:t xml:space="preserve">File No.:  </w:t>
            </w:r>
            <w:r w:rsidR="00801406" w:rsidRPr="0037663A">
              <w:rPr>
                <w:spacing w:val="-2"/>
              </w:rPr>
              <w:t>EB-SED-13-</w:t>
            </w:r>
            <w:r w:rsidR="00801406" w:rsidRPr="0037663A">
              <w:rPr>
                <w:bCs/>
                <w:caps/>
                <w:kern w:val="36"/>
              </w:rPr>
              <w:t>00008891</w:t>
            </w:r>
          </w:p>
          <w:p w14:paraId="3BF7F39F" w14:textId="77777777" w:rsidR="00176959" w:rsidRPr="00176959" w:rsidRDefault="00176959" w:rsidP="00176959">
            <w:pPr>
              <w:rPr>
                <w:lang w:val="es-ES_tradnl"/>
              </w:rPr>
            </w:pPr>
          </w:p>
          <w:p w14:paraId="3249FA85" w14:textId="77777777" w:rsidR="00C8491A" w:rsidRDefault="00C8491A" w:rsidP="00AE7FB1">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Acct. No.: </w:t>
            </w:r>
            <w:r w:rsidR="00801406" w:rsidRPr="0037663A">
              <w:rPr>
                <w:lang w:val="es-ES"/>
              </w:rPr>
              <w:t>201532100002</w:t>
            </w:r>
          </w:p>
          <w:p w14:paraId="5B1C9F66" w14:textId="77777777" w:rsidR="00C8491A" w:rsidRPr="00AE7FB1" w:rsidRDefault="00C8491A" w:rsidP="00AE7FB1">
            <w:pPr>
              <w:pStyle w:val="TOAHeading"/>
              <w:widowControl/>
              <w:tabs>
                <w:tab w:val="clear" w:pos="9360"/>
                <w:tab w:val="center" w:pos="4680"/>
              </w:tabs>
              <w:ind w:firstLine="522"/>
              <w:rPr>
                <w:spacing w:val="-2"/>
                <w:szCs w:val="22"/>
                <w:lang w:val="es-ES_tradnl"/>
              </w:rPr>
            </w:pPr>
          </w:p>
          <w:p w14:paraId="741BF926" w14:textId="77777777" w:rsidR="00AE7FB1" w:rsidRPr="00AE7FB1" w:rsidRDefault="00C8491A" w:rsidP="00AE7FB1">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FRN:  </w:t>
            </w:r>
            <w:r w:rsidR="00801406" w:rsidRPr="0037663A">
              <w:t>0005193701</w:t>
            </w:r>
          </w:p>
          <w:p w14:paraId="703212A0" w14:textId="77777777" w:rsidR="00C8491A" w:rsidRPr="00D45F75" w:rsidRDefault="00C8491A" w:rsidP="00AE7FB1">
            <w:pPr>
              <w:pStyle w:val="TOAHeading"/>
              <w:widowControl/>
              <w:tabs>
                <w:tab w:val="clear" w:pos="9360"/>
                <w:tab w:val="center" w:pos="4680"/>
              </w:tabs>
              <w:ind w:firstLine="522"/>
              <w:rPr>
                <w:spacing w:val="-2"/>
                <w:szCs w:val="22"/>
                <w:lang w:val="es-ES_tradnl"/>
              </w:rPr>
            </w:pPr>
          </w:p>
        </w:tc>
      </w:tr>
    </w:tbl>
    <w:p w14:paraId="6DB20520" w14:textId="77777777" w:rsidR="00C8491A" w:rsidRDefault="00C8491A" w:rsidP="00C8491A">
      <w:pPr>
        <w:pStyle w:val="StyleBoldCentered"/>
      </w:pPr>
      <w:r>
        <w:t>Order</w:t>
      </w:r>
    </w:p>
    <w:p w14:paraId="617BA13F" w14:textId="77777777" w:rsidR="00C8491A" w:rsidRDefault="00C8491A" w:rsidP="00C8491A">
      <w:pPr>
        <w:tabs>
          <w:tab w:val="left" w:pos="-720"/>
        </w:tabs>
        <w:suppressAutoHyphens/>
        <w:spacing w:line="227" w:lineRule="auto"/>
        <w:jc w:val="center"/>
        <w:rPr>
          <w:spacing w:val="-2"/>
        </w:rPr>
      </w:pPr>
    </w:p>
    <w:p w14:paraId="5EE5DB35" w14:textId="40F6FB19" w:rsidR="00C8491A" w:rsidRDefault="00516CE9" w:rsidP="00C8491A">
      <w:pPr>
        <w:tabs>
          <w:tab w:val="left" w:pos="720"/>
          <w:tab w:val="right" w:pos="9360"/>
        </w:tabs>
        <w:suppressAutoHyphens/>
        <w:spacing w:line="227" w:lineRule="auto"/>
        <w:rPr>
          <w:spacing w:val="-2"/>
        </w:rPr>
      </w:pPr>
      <w:r>
        <w:rPr>
          <w:b/>
          <w:spacing w:val="-2"/>
        </w:rPr>
        <w:t xml:space="preserve">Adopted: </w:t>
      </w:r>
      <w:r w:rsidR="00D55BAB">
        <w:rPr>
          <w:b/>
          <w:spacing w:val="-2"/>
        </w:rPr>
        <w:t>September</w:t>
      </w:r>
      <w:r w:rsidR="00801406">
        <w:rPr>
          <w:b/>
          <w:spacing w:val="-2"/>
        </w:rPr>
        <w:t xml:space="preserve"> </w:t>
      </w:r>
      <w:r w:rsidR="007E2263">
        <w:rPr>
          <w:b/>
          <w:spacing w:val="-2"/>
        </w:rPr>
        <w:t>22</w:t>
      </w:r>
      <w:r>
        <w:rPr>
          <w:b/>
          <w:spacing w:val="-2"/>
        </w:rPr>
        <w:t>, 201</w:t>
      </w:r>
      <w:r w:rsidR="00B51411">
        <w:rPr>
          <w:b/>
          <w:spacing w:val="-2"/>
        </w:rPr>
        <w:t>6</w:t>
      </w:r>
      <w:r>
        <w:rPr>
          <w:b/>
          <w:spacing w:val="-2"/>
        </w:rPr>
        <w:tab/>
        <w:t xml:space="preserve">Released:  </w:t>
      </w:r>
      <w:r w:rsidR="00D55BAB">
        <w:rPr>
          <w:b/>
          <w:spacing w:val="-2"/>
        </w:rPr>
        <w:t>September</w:t>
      </w:r>
      <w:r w:rsidR="007E2263">
        <w:rPr>
          <w:b/>
          <w:spacing w:val="-2"/>
        </w:rPr>
        <w:t xml:space="preserve"> 23</w:t>
      </w:r>
      <w:r w:rsidR="00C8491A">
        <w:rPr>
          <w:b/>
          <w:spacing w:val="-2"/>
        </w:rPr>
        <w:t>, 201</w:t>
      </w:r>
      <w:r w:rsidR="00B51411">
        <w:rPr>
          <w:b/>
          <w:spacing w:val="-2"/>
        </w:rPr>
        <w:t>6</w:t>
      </w:r>
    </w:p>
    <w:p w14:paraId="33175A9E" w14:textId="77777777" w:rsidR="00C8491A" w:rsidRDefault="00C8491A" w:rsidP="00C8491A"/>
    <w:p w14:paraId="21FC3B7D" w14:textId="77777777" w:rsidR="009859E5" w:rsidRPr="00DB7880" w:rsidRDefault="00C8491A" w:rsidP="009859E5">
      <w:pPr>
        <w:rPr>
          <w:spacing w:val="-2"/>
        </w:rPr>
      </w:pPr>
      <w:r>
        <w:t xml:space="preserve">By the </w:t>
      </w:r>
      <w:r w:rsidR="009859E5" w:rsidRPr="00DB7880">
        <w:rPr>
          <w:spacing w:val="-2"/>
          <w:szCs w:val="22"/>
        </w:rPr>
        <w:t>Chief, Enforcement Bureau:</w:t>
      </w:r>
    </w:p>
    <w:p w14:paraId="6482E6F3" w14:textId="77777777" w:rsidR="00C8491A" w:rsidRDefault="00C8491A" w:rsidP="00C8491A">
      <w:pPr>
        <w:pStyle w:val="MediumGrid21"/>
      </w:pPr>
    </w:p>
    <w:p w14:paraId="0CE2EF7E" w14:textId="11AD85D6" w:rsidR="00C8124A" w:rsidRPr="00C8124A" w:rsidRDefault="00C8491A" w:rsidP="00A75208">
      <w:pPr>
        <w:pStyle w:val="Paranum0"/>
        <w:tabs>
          <w:tab w:val="clear" w:pos="1080"/>
          <w:tab w:val="num" w:pos="1440"/>
        </w:tabs>
        <w:spacing w:after="120"/>
        <w:jc w:val="left"/>
        <w:rPr>
          <w:szCs w:val="22"/>
        </w:rPr>
      </w:pPr>
      <w:r w:rsidRPr="00C8124A">
        <w:rPr>
          <w:szCs w:val="22"/>
        </w:rPr>
        <w:t xml:space="preserve">The </w:t>
      </w:r>
      <w:r w:rsidRPr="00C8124A">
        <w:rPr>
          <w:bCs/>
          <w:szCs w:val="22"/>
        </w:rPr>
        <w:t xml:space="preserve">Enforcement Bureau (Bureau) </w:t>
      </w:r>
      <w:r w:rsidRPr="00C8124A">
        <w:rPr>
          <w:szCs w:val="22"/>
        </w:rPr>
        <w:t xml:space="preserve">of the Federal Communications Commission (Commission) has entered into a Consent Decree to </w:t>
      </w:r>
      <w:r w:rsidR="00AA216B" w:rsidRPr="00C8124A">
        <w:rPr>
          <w:szCs w:val="22"/>
        </w:rPr>
        <w:t xml:space="preserve">resolve </w:t>
      </w:r>
      <w:r w:rsidRPr="00C8124A">
        <w:rPr>
          <w:szCs w:val="22"/>
        </w:rPr>
        <w:t xml:space="preserve">its investigation into whether </w:t>
      </w:r>
      <w:r w:rsidR="00801406" w:rsidRPr="00C14162">
        <w:rPr>
          <w:szCs w:val="22"/>
        </w:rPr>
        <w:t>AT&amp;T</w:t>
      </w:r>
      <w:r w:rsidR="00063BBA">
        <w:rPr>
          <w:rStyle w:val="FootnoteReference"/>
          <w:szCs w:val="22"/>
        </w:rPr>
        <w:footnoteReference w:id="2"/>
      </w:r>
      <w:r w:rsidR="00801406" w:rsidRPr="00C14162">
        <w:rPr>
          <w:szCs w:val="22"/>
        </w:rPr>
        <w:t xml:space="preserve"> </w:t>
      </w:r>
      <w:r w:rsidR="00DC5E35" w:rsidRPr="00C14162">
        <w:t>operated numerous common carrier fixed point-to-point microwa</w:t>
      </w:r>
      <w:r w:rsidR="00DC5E35">
        <w:t xml:space="preserve">ve stations </w:t>
      </w:r>
      <w:r w:rsidR="001542C3">
        <w:t xml:space="preserve">for several years </w:t>
      </w:r>
      <w:r w:rsidR="00DC5E35">
        <w:t xml:space="preserve">at variance from the stations’ </w:t>
      </w:r>
      <w:r w:rsidR="001542C3">
        <w:t xml:space="preserve">Commission </w:t>
      </w:r>
      <w:r w:rsidR="00DC5E35">
        <w:t xml:space="preserve">authorizations.  </w:t>
      </w:r>
      <w:r w:rsidR="008B4893" w:rsidRPr="00D84548">
        <w:rPr>
          <w:szCs w:val="22"/>
        </w:rPr>
        <w:t>The</w:t>
      </w:r>
      <w:r w:rsidR="002755CB">
        <w:rPr>
          <w:szCs w:val="22"/>
        </w:rPr>
        <w:t xml:space="preserve"> regulations involved </w:t>
      </w:r>
      <w:r w:rsidR="008B4893" w:rsidRPr="00D84548">
        <w:rPr>
          <w:szCs w:val="22"/>
        </w:rPr>
        <w:t xml:space="preserve">ensure that </w:t>
      </w:r>
      <w:r w:rsidR="006B6C8B">
        <w:rPr>
          <w:szCs w:val="22"/>
        </w:rPr>
        <w:t xml:space="preserve">consumers can use their wireless </w:t>
      </w:r>
      <w:r w:rsidR="008B4893" w:rsidRPr="00D84548">
        <w:rPr>
          <w:szCs w:val="22"/>
        </w:rPr>
        <w:t xml:space="preserve">devices </w:t>
      </w:r>
      <w:r w:rsidR="006B6C8B">
        <w:rPr>
          <w:szCs w:val="22"/>
        </w:rPr>
        <w:t>without interference from unauthorized radio operations.</w:t>
      </w:r>
      <w:r w:rsidR="002755CB">
        <w:rPr>
          <w:szCs w:val="22"/>
        </w:rPr>
        <w:t xml:space="preserve"> </w:t>
      </w:r>
      <w:r w:rsidR="00C8124A">
        <w:t>To settle this matter, A</w:t>
      </w:r>
      <w:r w:rsidR="00DC5E35">
        <w:t xml:space="preserve">T&amp;T </w:t>
      </w:r>
      <w:r w:rsidR="00C8124A">
        <w:t xml:space="preserve">admits that it operated </w:t>
      </w:r>
      <w:r w:rsidR="00DC5E35">
        <w:t>numerous fixed microwave stations at variance from their authorizations for periods ranging from approximately three and a half years to over four years</w:t>
      </w:r>
      <w:r w:rsidR="00CA3B5A">
        <w:t>.  A</w:t>
      </w:r>
      <w:r w:rsidR="00DC5E35">
        <w:t xml:space="preserve">T&amp;T </w:t>
      </w:r>
      <w:r w:rsidR="00CA3B5A">
        <w:t>agrees that it</w:t>
      </w:r>
      <w:r w:rsidR="00C8124A">
        <w:t xml:space="preserve"> </w:t>
      </w:r>
      <w:r w:rsidR="00C8124A" w:rsidRPr="00C8124A">
        <w:rPr>
          <w:szCs w:val="22"/>
        </w:rPr>
        <w:t xml:space="preserve">will implement a </w:t>
      </w:r>
      <w:r w:rsidR="00A2042A">
        <w:rPr>
          <w:szCs w:val="22"/>
        </w:rPr>
        <w:t xml:space="preserve">robust </w:t>
      </w:r>
      <w:r w:rsidR="00C8124A" w:rsidRPr="00C8124A">
        <w:rPr>
          <w:szCs w:val="22"/>
        </w:rPr>
        <w:t xml:space="preserve">compliance plan to ensure </w:t>
      </w:r>
      <w:r w:rsidR="00C8124A">
        <w:rPr>
          <w:szCs w:val="22"/>
        </w:rPr>
        <w:t>there is no reoccurrence of these violations</w:t>
      </w:r>
      <w:r w:rsidR="001542C3">
        <w:rPr>
          <w:szCs w:val="22"/>
        </w:rPr>
        <w:t xml:space="preserve"> for future acquired microwave licenses</w:t>
      </w:r>
      <w:r w:rsidR="00C8124A">
        <w:rPr>
          <w:szCs w:val="22"/>
        </w:rPr>
        <w:t xml:space="preserve"> and </w:t>
      </w:r>
      <w:r w:rsidR="00C8124A" w:rsidRPr="00C8124A">
        <w:rPr>
          <w:szCs w:val="22"/>
        </w:rPr>
        <w:t>will pay a $</w:t>
      </w:r>
      <w:r w:rsidR="00DC5E35">
        <w:rPr>
          <w:szCs w:val="22"/>
        </w:rPr>
        <w:t>450,000</w:t>
      </w:r>
      <w:r w:rsidR="00C8124A" w:rsidRPr="00C8124A">
        <w:rPr>
          <w:szCs w:val="22"/>
        </w:rPr>
        <w:t xml:space="preserve"> civil penalty</w:t>
      </w:r>
      <w:r w:rsidR="00C8124A">
        <w:t>.</w:t>
      </w:r>
      <w:r w:rsidR="00C8124A" w:rsidRPr="00C8124A">
        <w:rPr>
          <w:szCs w:val="22"/>
        </w:rPr>
        <w:t xml:space="preserve">  </w:t>
      </w:r>
    </w:p>
    <w:p w14:paraId="790A67DF" w14:textId="77777777" w:rsidR="001E33E7" w:rsidRDefault="00AF4B2B" w:rsidP="006B6C8B">
      <w:pPr>
        <w:pStyle w:val="Paranum0"/>
        <w:tabs>
          <w:tab w:val="clear" w:pos="1080"/>
          <w:tab w:val="num" w:pos="1440"/>
        </w:tabs>
        <w:spacing w:after="120"/>
        <w:jc w:val="left"/>
      </w:pPr>
      <w:r>
        <w:t>As part of</w:t>
      </w:r>
      <w:r w:rsidR="00285EA5">
        <w:t xml:space="preserve"> the compliance plan, AT&amp;T will conduct timely reviews of fixed microwave stations acquired in </w:t>
      </w:r>
      <w:r w:rsidR="001542C3">
        <w:t xml:space="preserve">future </w:t>
      </w:r>
      <w:r w:rsidR="00285EA5">
        <w:t>transactions to ensure that the stations are operating in accordance with their licensed parameters</w:t>
      </w:r>
      <w:r>
        <w:t xml:space="preserve">, file periodic progress reports on its compliance efforts, and </w:t>
      </w:r>
      <w:r w:rsidR="00285EA5">
        <w:t>correct any noncompliance discovered during the review process within 60 days</w:t>
      </w:r>
      <w:r>
        <w:t xml:space="preserve"> of its discovery</w:t>
      </w:r>
      <w:r w:rsidR="00285EA5">
        <w:t xml:space="preserve">.  </w:t>
      </w:r>
    </w:p>
    <w:p w14:paraId="1F3FD192" w14:textId="543DF2E3" w:rsidR="00C8491A" w:rsidRPr="00AE4C72" w:rsidRDefault="00C8491A" w:rsidP="006B6C8B">
      <w:pPr>
        <w:pStyle w:val="Paranum0"/>
        <w:tabs>
          <w:tab w:val="clear" w:pos="1080"/>
          <w:tab w:val="num" w:pos="1440"/>
        </w:tabs>
        <w:spacing w:after="120"/>
        <w:jc w:val="left"/>
        <w:rPr>
          <w:szCs w:val="22"/>
        </w:rPr>
      </w:pPr>
      <w:r w:rsidRPr="00AE4C72">
        <w:rPr>
          <w:szCs w:val="22"/>
        </w:rPr>
        <w:t>After reviewing the terms of the Consent Decree and evaluating the facts before us, we find that the public interest would be served by adopting the Consent Decree and terminating the</w:t>
      </w:r>
      <w:r w:rsidR="00C8124A" w:rsidRPr="00AE4C72">
        <w:rPr>
          <w:szCs w:val="22"/>
        </w:rPr>
        <w:t xml:space="preserve"> referenced</w:t>
      </w:r>
      <w:r w:rsidRPr="00AE4C72">
        <w:rPr>
          <w:szCs w:val="22"/>
        </w:rPr>
        <w:t xml:space="preserve"> investigation </w:t>
      </w:r>
      <w:r w:rsidR="0053506C" w:rsidRPr="00AE4C72">
        <w:rPr>
          <w:szCs w:val="22"/>
        </w:rPr>
        <w:t xml:space="preserve">resolving the Notice of Apparent Liability for Forfeiture </w:t>
      </w:r>
      <w:r w:rsidR="003162CA" w:rsidRPr="00AE4C72">
        <w:rPr>
          <w:szCs w:val="22"/>
        </w:rPr>
        <w:t>(NAL)</w:t>
      </w:r>
      <w:r w:rsidR="0053506C" w:rsidRPr="00AE4C72">
        <w:rPr>
          <w:szCs w:val="22"/>
        </w:rPr>
        <w:t xml:space="preserve"> regarding </w:t>
      </w:r>
      <w:r w:rsidR="00182208" w:rsidRPr="00AE4C72">
        <w:rPr>
          <w:bCs/>
          <w:szCs w:val="22"/>
        </w:rPr>
        <w:t>A</w:t>
      </w:r>
      <w:r w:rsidR="00DC5E35" w:rsidRPr="00AE4C72">
        <w:rPr>
          <w:bCs/>
          <w:szCs w:val="22"/>
        </w:rPr>
        <w:t>T&amp;T’</w:t>
      </w:r>
      <w:r w:rsidR="00182208" w:rsidRPr="00AE4C72">
        <w:rPr>
          <w:bCs/>
          <w:szCs w:val="22"/>
        </w:rPr>
        <w:t xml:space="preserve">s </w:t>
      </w:r>
      <w:r w:rsidR="003162CA">
        <w:t xml:space="preserve">operation of numerous wireless stations without authorization and failure to provide required license modification notices to the Commission, in violation of </w:t>
      </w:r>
      <w:r w:rsidR="007A547E">
        <w:t xml:space="preserve">Section 301 of the </w:t>
      </w:r>
      <w:r w:rsidR="00C8124A">
        <w:t xml:space="preserve">Communications </w:t>
      </w:r>
      <w:r w:rsidR="007A547E">
        <w:t>Act</w:t>
      </w:r>
      <w:r w:rsidR="00C8124A">
        <w:t>, as amended</w:t>
      </w:r>
      <w:r w:rsidR="007A547E">
        <w:t xml:space="preserve"> (Act),</w:t>
      </w:r>
      <w:r w:rsidR="007A547E">
        <w:rPr>
          <w:vertAlign w:val="superscript"/>
        </w:rPr>
        <w:footnoteReference w:id="3"/>
      </w:r>
      <w:r w:rsidR="007A547E">
        <w:t xml:space="preserve"> and Sections 1.903(a)</w:t>
      </w:r>
      <w:r w:rsidR="00DC5E35">
        <w:t xml:space="preserve">, </w:t>
      </w:r>
      <w:r w:rsidR="007A547E">
        <w:t xml:space="preserve">1.947(a) </w:t>
      </w:r>
      <w:r w:rsidR="00DC5E35">
        <w:t xml:space="preserve">and 1.947(b) </w:t>
      </w:r>
      <w:r w:rsidR="007A547E">
        <w:t>of the Commission’s rules.</w:t>
      </w:r>
      <w:r w:rsidR="007A547E">
        <w:rPr>
          <w:vertAlign w:val="superscript"/>
        </w:rPr>
        <w:footnoteReference w:id="4"/>
      </w:r>
      <w:r w:rsidR="007A547E">
        <w:t xml:space="preserve">  </w:t>
      </w:r>
    </w:p>
    <w:p w14:paraId="6E5795BE" w14:textId="77777777" w:rsidR="00C8491A" w:rsidRDefault="00C8491A" w:rsidP="00C8491A">
      <w:pPr>
        <w:pStyle w:val="Paranum0"/>
        <w:tabs>
          <w:tab w:val="clear" w:pos="1080"/>
          <w:tab w:val="num" w:pos="1440"/>
        </w:tabs>
        <w:spacing w:after="120"/>
        <w:jc w:val="left"/>
        <w:rPr>
          <w:szCs w:val="22"/>
        </w:rPr>
      </w:pPr>
      <w:r>
        <w:rPr>
          <w:szCs w:val="22"/>
        </w:rPr>
        <w:t xml:space="preserve">In the absence of material new evidence relating to this matter, we do not set for hearing the question of </w:t>
      </w:r>
      <w:r w:rsidR="007A547E">
        <w:rPr>
          <w:szCs w:val="22"/>
        </w:rPr>
        <w:t>A</w:t>
      </w:r>
      <w:r w:rsidR="00DC5E35">
        <w:rPr>
          <w:szCs w:val="22"/>
        </w:rPr>
        <w:t>T&amp;T’</w:t>
      </w:r>
      <w:r>
        <w:rPr>
          <w:szCs w:val="22"/>
        </w:rPr>
        <w:t>s basic qualifications to hold or obtain any Commission license or authorization.</w:t>
      </w:r>
      <w:r>
        <w:rPr>
          <w:rStyle w:val="FootnoteReference"/>
          <w:szCs w:val="22"/>
        </w:rPr>
        <w:footnoteReference w:id="5"/>
      </w:r>
    </w:p>
    <w:p w14:paraId="311893B5" w14:textId="77777777" w:rsidR="00C8491A" w:rsidRDefault="00C8491A" w:rsidP="00C8491A">
      <w:pPr>
        <w:pStyle w:val="Paranum0"/>
        <w:tabs>
          <w:tab w:val="clear" w:pos="1080"/>
          <w:tab w:val="num" w:pos="1440"/>
        </w:tabs>
        <w:spacing w:after="120"/>
        <w:jc w:val="left"/>
        <w:rPr>
          <w:szCs w:val="22"/>
        </w:rPr>
      </w:pPr>
      <w:r>
        <w:rPr>
          <w:szCs w:val="22"/>
        </w:rPr>
        <w:lastRenderedPageBreak/>
        <w:t xml:space="preserve">Accordingly, </w:t>
      </w:r>
      <w:r>
        <w:rPr>
          <w:b/>
          <w:szCs w:val="22"/>
        </w:rPr>
        <w:t>IT IS ORDERED</w:t>
      </w:r>
      <w:r>
        <w:rPr>
          <w:szCs w:val="22"/>
        </w:rPr>
        <w:t xml:space="preserve"> that, pursuant to Section 4(i) </w:t>
      </w:r>
      <w:r w:rsidR="0053506C">
        <w:rPr>
          <w:szCs w:val="22"/>
        </w:rPr>
        <w:t xml:space="preserve">and 503(b) </w:t>
      </w:r>
      <w:r>
        <w:rPr>
          <w:szCs w:val="22"/>
        </w:rPr>
        <w:t>of the Act,</w:t>
      </w:r>
      <w:r>
        <w:rPr>
          <w:rStyle w:val="FootnoteReference"/>
          <w:szCs w:val="22"/>
        </w:rPr>
        <w:footnoteReference w:id="6"/>
      </w:r>
      <w:r>
        <w:rPr>
          <w:szCs w:val="22"/>
        </w:rPr>
        <w:t xml:space="preserve"> </w:t>
      </w:r>
      <w:r>
        <w:rPr>
          <w:bCs/>
          <w:szCs w:val="22"/>
        </w:rPr>
        <w:t>and</w:t>
      </w:r>
      <w:r w:rsidR="008B4893">
        <w:rPr>
          <w:bCs/>
          <w:szCs w:val="22"/>
        </w:rPr>
        <w:t xml:space="preserve"> the authority delegated by</w:t>
      </w:r>
      <w:r>
        <w:rPr>
          <w:bCs/>
          <w:szCs w:val="22"/>
        </w:rPr>
        <w:t xml:space="preserve"> Sections 0.111 and 0.311 of the </w:t>
      </w:r>
      <w:r w:rsidR="00766539">
        <w:rPr>
          <w:bCs/>
          <w:szCs w:val="22"/>
        </w:rPr>
        <w:t>Commission’s r</w:t>
      </w:r>
      <w:r>
        <w:rPr>
          <w:bCs/>
          <w:szCs w:val="22"/>
        </w:rPr>
        <w:t>ules,</w:t>
      </w:r>
      <w:r>
        <w:rPr>
          <w:rStyle w:val="FootnoteReference"/>
          <w:bCs/>
          <w:szCs w:val="22"/>
        </w:rPr>
        <w:footnoteReference w:id="7"/>
      </w:r>
      <w:r>
        <w:rPr>
          <w:bCs/>
          <w:szCs w:val="22"/>
        </w:rPr>
        <w:t xml:space="preserve"> the</w:t>
      </w:r>
      <w:r>
        <w:rPr>
          <w:szCs w:val="22"/>
        </w:rPr>
        <w:t xml:space="preserve"> </w:t>
      </w:r>
      <w:r w:rsidR="0053506C">
        <w:rPr>
          <w:szCs w:val="22"/>
        </w:rPr>
        <w:t xml:space="preserve">attached </w:t>
      </w:r>
      <w:r>
        <w:rPr>
          <w:szCs w:val="22"/>
        </w:rPr>
        <w:t xml:space="preserve">Consent Decree </w:t>
      </w:r>
      <w:r>
        <w:rPr>
          <w:b/>
          <w:szCs w:val="22"/>
        </w:rPr>
        <w:t xml:space="preserve">IS ADOPTED </w:t>
      </w:r>
      <w:r w:rsidRPr="00120AAD">
        <w:rPr>
          <w:szCs w:val="22"/>
        </w:rPr>
        <w:t>and</w:t>
      </w:r>
      <w:r>
        <w:rPr>
          <w:b/>
          <w:szCs w:val="22"/>
        </w:rPr>
        <w:t xml:space="preserve"> </w:t>
      </w:r>
      <w:r>
        <w:rPr>
          <w:szCs w:val="22"/>
        </w:rPr>
        <w:t>its terms incorporated by reference.</w:t>
      </w:r>
    </w:p>
    <w:p w14:paraId="16E75FFF" w14:textId="77777777" w:rsidR="00772543" w:rsidRPr="00772543" w:rsidRDefault="00766539" w:rsidP="003162CA">
      <w:pPr>
        <w:pStyle w:val="Paranum0"/>
        <w:tabs>
          <w:tab w:val="clear" w:pos="1080"/>
          <w:tab w:val="num" w:pos="1440"/>
        </w:tabs>
        <w:spacing w:after="120"/>
        <w:jc w:val="left"/>
        <w:rPr>
          <w:szCs w:val="22"/>
        </w:rPr>
      </w:pPr>
      <w:r w:rsidRPr="003162CA">
        <w:rPr>
          <w:b/>
          <w:szCs w:val="22"/>
        </w:rPr>
        <w:t>IT IS FURTHER ORDERED</w:t>
      </w:r>
      <w:r w:rsidRPr="003162CA">
        <w:rPr>
          <w:szCs w:val="22"/>
        </w:rPr>
        <w:t xml:space="preserve"> that the above-captioned matter </w:t>
      </w:r>
      <w:r w:rsidRPr="003162CA">
        <w:rPr>
          <w:b/>
          <w:szCs w:val="22"/>
        </w:rPr>
        <w:t>IS TERMINATED</w:t>
      </w:r>
      <w:r w:rsidR="0053506C" w:rsidRPr="003162CA">
        <w:rPr>
          <w:b/>
          <w:szCs w:val="22"/>
        </w:rPr>
        <w:t xml:space="preserve"> </w:t>
      </w:r>
      <w:r w:rsidR="0053506C" w:rsidRPr="00D84548">
        <w:t xml:space="preserve">and the NAL </w:t>
      </w:r>
      <w:r w:rsidR="0053506C" w:rsidRPr="003162CA">
        <w:rPr>
          <w:b/>
        </w:rPr>
        <w:t>IS RESOLVED</w:t>
      </w:r>
      <w:r w:rsidR="0053506C" w:rsidRPr="00397DF7">
        <w:t xml:space="preserve"> </w:t>
      </w:r>
      <w:r w:rsidR="0053506C">
        <w:t>in accordance with the terms of the attached Consent Decree</w:t>
      </w:r>
      <w:r w:rsidR="0053506C" w:rsidRPr="00D84548">
        <w:t>.</w:t>
      </w:r>
    </w:p>
    <w:p w14:paraId="455A79ED" w14:textId="77777777" w:rsidR="00C8491A" w:rsidRPr="00E53D1B" w:rsidRDefault="00C8491A" w:rsidP="00772543">
      <w:pPr>
        <w:pStyle w:val="Paranum0"/>
        <w:tabs>
          <w:tab w:val="clear" w:pos="1080"/>
          <w:tab w:val="num" w:pos="1440"/>
        </w:tabs>
        <w:spacing w:after="120"/>
        <w:jc w:val="left"/>
        <w:rPr>
          <w:szCs w:val="22"/>
        </w:rPr>
      </w:pPr>
      <w:r w:rsidRPr="00E53D1B">
        <w:rPr>
          <w:b/>
          <w:szCs w:val="22"/>
        </w:rPr>
        <w:t xml:space="preserve">IT IS FURTHER ORDERED </w:t>
      </w:r>
      <w:r w:rsidRPr="00E53D1B">
        <w:rPr>
          <w:szCs w:val="22"/>
        </w:rPr>
        <w:t xml:space="preserve">that a copy of this Order and Consent Decree shall be sent by first class mail and certified mail, return receipt requested, to </w:t>
      </w:r>
      <w:r w:rsidR="00772543">
        <w:t xml:space="preserve">Michael P. Goggin, General Attorney, and </w:t>
      </w:r>
      <w:r w:rsidR="00772543" w:rsidRPr="00772543">
        <w:rPr>
          <w:szCs w:val="22"/>
        </w:rPr>
        <w:t xml:space="preserve">Jeanine </w:t>
      </w:r>
      <w:r w:rsidR="00772543">
        <w:rPr>
          <w:szCs w:val="22"/>
        </w:rPr>
        <w:t xml:space="preserve">A. </w:t>
      </w:r>
      <w:r w:rsidR="00772543" w:rsidRPr="00772543">
        <w:rPr>
          <w:szCs w:val="22"/>
        </w:rPr>
        <w:t>Poltronieri</w:t>
      </w:r>
      <w:r w:rsidR="00772543">
        <w:rPr>
          <w:szCs w:val="22"/>
        </w:rPr>
        <w:t xml:space="preserve">, Assistant Vice President – Federal Regulatory, </w:t>
      </w:r>
      <w:r w:rsidR="00772543">
        <w:t>AT&amp;T Services, Inc., 1120 20</w:t>
      </w:r>
      <w:r w:rsidR="00772543">
        <w:rPr>
          <w:vertAlign w:val="superscript"/>
        </w:rPr>
        <w:t>th</w:t>
      </w:r>
      <w:r w:rsidR="00772543">
        <w:t xml:space="preserve"> Street, N.W., Suite 1000, Washington, D.C. 20036</w:t>
      </w:r>
      <w:r w:rsidRPr="00E53D1B">
        <w:rPr>
          <w:szCs w:val="22"/>
        </w:rPr>
        <w:t xml:space="preserve">.  </w:t>
      </w:r>
    </w:p>
    <w:p w14:paraId="3B044D18" w14:textId="77777777" w:rsidR="00C8491A" w:rsidRDefault="00C8491A" w:rsidP="00C8491A">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Pr>
          <w:szCs w:val="22"/>
        </w:rPr>
        <w:tab/>
      </w:r>
    </w:p>
    <w:p w14:paraId="2F0E5CF3" w14:textId="77777777" w:rsidR="00C8491A" w:rsidRDefault="00C8491A" w:rsidP="00C8491A">
      <w:pPr>
        <w:tabs>
          <w:tab w:val="left" w:pos="0"/>
        </w:tabs>
        <w:suppressAutoHyphens/>
        <w:spacing w:line="240" w:lineRule="atLeast"/>
        <w:jc w:val="both"/>
        <w:rPr>
          <w:szCs w:val="22"/>
        </w:rPr>
      </w:pPr>
    </w:p>
    <w:p w14:paraId="551097D7" w14:textId="77777777" w:rsidR="00C8491A" w:rsidRDefault="00C8491A" w:rsidP="00C8491A">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14:paraId="789DEA78" w14:textId="77777777" w:rsidR="00C8491A" w:rsidRDefault="00C8491A" w:rsidP="00C8491A">
      <w:pPr>
        <w:pStyle w:val="MediumGrid21"/>
        <w:rPr>
          <w:sz w:val="22"/>
          <w:szCs w:val="22"/>
        </w:rPr>
      </w:pPr>
    </w:p>
    <w:p w14:paraId="5D38F5DA" w14:textId="77777777" w:rsidR="00C8491A" w:rsidRDefault="00C8491A" w:rsidP="00C8491A">
      <w:pPr>
        <w:pStyle w:val="MediumGrid21"/>
        <w:rPr>
          <w:sz w:val="22"/>
          <w:szCs w:val="22"/>
        </w:rPr>
      </w:pPr>
    </w:p>
    <w:p w14:paraId="6D3C9A90" w14:textId="77777777" w:rsidR="00C8491A" w:rsidRDefault="00C8491A" w:rsidP="00C8491A">
      <w:pPr>
        <w:pStyle w:val="MediumGrid21"/>
        <w:rPr>
          <w:sz w:val="22"/>
          <w:szCs w:val="22"/>
        </w:rPr>
      </w:pPr>
    </w:p>
    <w:p w14:paraId="49027581" w14:textId="77777777" w:rsidR="00C8491A" w:rsidRDefault="00C8491A" w:rsidP="00C8491A">
      <w:pPr>
        <w:pStyle w:val="MediumGrid21"/>
        <w:rPr>
          <w:color w:val="000000"/>
          <w:sz w:val="22"/>
          <w:szCs w:val="22"/>
        </w:rPr>
      </w:pPr>
    </w:p>
    <w:p w14:paraId="7E62C4FA" w14:textId="77777777" w:rsidR="00C8491A" w:rsidRDefault="00C8491A" w:rsidP="00C8491A">
      <w:pPr>
        <w:pStyle w:val="MediumGrid21"/>
        <w:ind w:left="4320"/>
        <w:rPr>
          <w:color w:val="000000"/>
          <w:sz w:val="22"/>
          <w:szCs w:val="22"/>
        </w:rPr>
      </w:pPr>
      <w:smartTag w:uri="urn:schemas-microsoft-com:office:smarttags" w:element="PersonName">
        <w:r>
          <w:rPr>
            <w:color w:val="000000"/>
            <w:sz w:val="22"/>
            <w:szCs w:val="22"/>
          </w:rPr>
          <w:t>Travis LeBlanc</w:t>
        </w:r>
      </w:smartTag>
    </w:p>
    <w:p w14:paraId="2E2BB956" w14:textId="77777777" w:rsidR="00C8491A" w:rsidRDefault="00C8491A" w:rsidP="00C8491A">
      <w:pPr>
        <w:ind w:left="4320"/>
        <w:rPr>
          <w:color w:val="000000"/>
          <w:szCs w:val="22"/>
        </w:rPr>
      </w:pPr>
      <w:r>
        <w:rPr>
          <w:color w:val="000000"/>
          <w:szCs w:val="22"/>
        </w:rPr>
        <w:t>Chief</w:t>
      </w:r>
    </w:p>
    <w:p w14:paraId="5E71DE4C" w14:textId="77777777" w:rsidR="00C8491A" w:rsidRDefault="00C8491A" w:rsidP="00C8491A">
      <w:pPr>
        <w:ind w:left="4320"/>
      </w:pPr>
      <w:r>
        <w:rPr>
          <w:color w:val="000000"/>
          <w:szCs w:val="22"/>
        </w:rPr>
        <w:t>Enforcement</w:t>
      </w:r>
      <w:r>
        <w:rPr>
          <w:color w:val="000000"/>
        </w:rPr>
        <w:t xml:space="preserve"> </w:t>
      </w:r>
      <w:r>
        <w:rPr>
          <w:color w:val="000000"/>
          <w:szCs w:val="22"/>
        </w:rPr>
        <w:t>Bureau</w:t>
      </w:r>
      <w:r>
        <w:t xml:space="preserve"> </w:t>
      </w:r>
    </w:p>
    <w:p w14:paraId="0B69F762" w14:textId="77777777" w:rsidR="00A97DC1" w:rsidRDefault="00A97DC1" w:rsidP="00C8491A">
      <w:pPr>
        <w:ind w:left="4320"/>
      </w:pPr>
    </w:p>
    <w:p w14:paraId="7B44166E" w14:textId="77777777" w:rsidR="00A97DC1" w:rsidRDefault="00A97DC1" w:rsidP="00C8491A">
      <w:pPr>
        <w:ind w:left="4320"/>
      </w:pPr>
    </w:p>
    <w:p w14:paraId="7E1D8420" w14:textId="77777777" w:rsidR="00A97DC1" w:rsidRDefault="00A97DC1" w:rsidP="00C8491A">
      <w:pPr>
        <w:ind w:left="4320"/>
      </w:pPr>
    </w:p>
    <w:p w14:paraId="4D62BDBB" w14:textId="77777777" w:rsidR="00A97DC1" w:rsidRDefault="00A97DC1" w:rsidP="00C8491A">
      <w:pPr>
        <w:ind w:left="4320"/>
      </w:pPr>
    </w:p>
    <w:p w14:paraId="60157D62" w14:textId="77777777" w:rsidR="00A97DC1" w:rsidRDefault="00A97DC1" w:rsidP="00C8491A">
      <w:pPr>
        <w:ind w:left="4320"/>
      </w:pPr>
    </w:p>
    <w:p w14:paraId="3377F943" w14:textId="77777777" w:rsidR="00A97DC1" w:rsidRDefault="00A97DC1" w:rsidP="00C8491A">
      <w:pPr>
        <w:ind w:left="4320"/>
      </w:pPr>
    </w:p>
    <w:p w14:paraId="1CA23EF5" w14:textId="77777777" w:rsidR="00A97DC1" w:rsidRDefault="00A97DC1" w:rsidP="00C8491A">
      <w:pPr>
        <w:ind w:left="4320"/>
      </w:pPr>
    </w:p>
    <w:p w14:paraId="1755F8A6" w14:textId="77777777" w:rsidR="00A97DC1" w:rsidRDefault="00A97DC1" w:rsidP="00C8491A">
      <w:pPr>
        <w:ind w:left="4320"/>
      </w:pPr>
    </w:p>
    <w:p w14:paraId="5830C242" w14:textId="77777777" w:rsidR="00A97DC1" w:rsidRDefault="00A97DC1" w:rsidP="00C8491A">
      <w:pPr>
        <w:ind w:left="4320"/>
      </w:pPr>
    </w:p>
    <w:p w14:paraId="61994287" w14:textId="77777777" w:rsidR="00A97DC1" w:rsidRDefault="00A97DC1" w:rsidP="00C8491A">
      <w:pPr>
        <w:ind w:left="4320"/>
      </w:pPr>
    </w:p>
    <w:p w14:paraId="4F9A2C1A" w14:textId="77777777" w:rsidR="00A97DC1" w:rsidRDefault="00A97DC1" w:rsidP="00C8491A">
      <w:pPr>
        <w:ind w:left="4320"/>
      </w:pPr>
    </w:p>
    <w:p w14:paraId="689AD356" w14:textId="77777777" w:rsidR="00A97DC1" w:rsidRDefault="00A97DC1" w:rsidP="00C8491A">
      <w:pPr>
        <w:ind w:left="4320"/>
      </w:pPr>
    </w:p>
    <w:p w14:paraId="16AA67AE" w14:textId="77777777" w:rsidR="00A97DC1" w:rsidRDefault="00A97DC1" w:rsidP="00C8491A">
      <w:pPr>
        <w:ind w:left="4320"/>
      </w:pPr>
    </w:p>
    <w:p w14:paraId="22584518" w14:textId="77777777" w:rsidR="00A97DC1" w:rsidRDefault="00A97DC1" w:rsidP="00C8491A">
      <w:pPr>
        <w:ind w:left="4320"/>
      </w:pPr>
    </w:p>
    <w:p w14:paraId="2F5F7D1E" w14:textId="77777777" w:rsidR="00A97DC1" w:rsidRDefault="00A97DC1" w:rsidP="00C8491A">
      <w:pPr>
        <w:ind w:left="4320"/>
      </w:pPr>
    </w:p>
    <w:p w14:paraId="33844F96" w14:textId="77777777" w:rsidR="00E8502B" w:rsidRDefault="00E8502B">
      <w:pPr>
        <w:widowControl/>
        <w:sectPr w:rsidR="00E8502B" w:rsidSect="0017094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5BF0193F" w14:textId="77777777" w:rsidR="00A97DC1" w:rsidRPr="00A97DC1" w:rsidRDefault="00A97DC1" w:rsidP="00A97DC1">
      <w:pPr>
        <w:jc w:val="center"/>
        <w:rPr>
          <w:b/>
        </w:rPr>
      </w:pPr>
      <w:r w:rsidRPr="00A97DC1">
        <w:rPr>
          <w:rFonts w:ascii="Times New Roman Bold" w:hAnsi="Times New Roman Bold"/>
          <w:b/>
          <w:kern w:val="0"/>
          <w:szCs w:val="22"/>
        </w:rPr>
        <w:t>Before</w:t>
      </w:r>
      <w:r w:rsidRPr="00A97DC1">
        <w:rPr>
          <w:b/>
        </w:rPr>
        <w:t xml:space="preserve"> the</w:t>
      </w:r>
    </w:p>
    <w:p w14:paraId="250575C2" w14:textId="77777777" w:rsidR="00A97DC1" w:rsidRPr="00A97DC1" w:rsidRDefault="00A97DC1" w:rsidP="00A97DC1">
      <w:pPr>
        <w:jc w:val="center"/>
        <w:rPr>
          <w:rFonts w:ascii="Times New Roman Bold" w:hAnsi="Times New Roman Bold"/>
          <w:b/>
          <w:bCs/>
          <w:caps/>
          <w:szCs w:val="22"/>
        </w:rPr>
      </w:pPr>
      <w:r w:rsidRPr="00A97DC1">
        <w:rPr>
          <w:rFonts w:ascii="Times New Roman Bold" w:hAnsi="Times New Roman Bold"/>
          <w:b/>
          <w:bCs/>
          <w:caps/>
          <w:szCs w:val="22"/>
        </w:rPr>
        <w:t>F</w:t>
      </w:r>
      <w:r w:rsidRPr="00A97DC1">
        <w:rPr>
          <w:rFonts w:ascii="Times New Roman Bold" w:hAnsi="Times New Roman Bold"/>
          <w:b/>
          <w:bCs/>
          <w:szCs w:val="22"/>
        </w:rPr>
        <w:t>ederal Communications Commission</w:t>
      </w:r>
    </w:p>
    <w:p w14:paraId="5D834E38" w14:textId="77777777" w:rsidR="00A97DC1" w:rsidRPr="00A97DC1" w:rsidRDefault="00A97DC1" w:rsidP="00A97DC1">
      <w:pPr>
        <w:jc w:val="center"/>
        <w:rPr>
          <w:rFonts w:ascii="Times New Roman Bold" w:hAnsi="Times New Roman Bold"/>
          <w:b/>
          <w:bCs/>
          <w:caps/>
          <w:szCs w:val="22"/>
        </w:rPr>
      </w:pPr>
      <w:r w:rsidRPr="00A97DC1">
        <w:rPr>
          <w:rFonts w:ascii="Times New Roman Bold" w:hAnsi="Times New Roman Bold"/>
          <w:b/>
          <w:bCs/>
          <w:szCs w:val="22"/>
        </w:rPr>
        <w:t>Washington, DC 20554</w:t>
      </w:r>
    </w:p>
    <w:p w14:paraId="115CA3C5" w14:textId="77777777" w:rsidR="00A97DC1" w:rsidRPr="00A97DC1" w:rsidRDefault="00A97DC1" w:rsidP="00A97DC1"/>
    <w:tbl>
      <w:tblPr>
        <w:tblW w:w="9576" w:type="dxa"/>
        <w:tblLayout w:type="fixed"/>
        <w:tblLook w:val="0000" w:firstRow="0" w:lastRow="0" w:firstColumn="0" w:lastColumn="0" w:noHBand="0" w:noVBand="0"/>
      </w:tblPr>
      <w:tblGrid>
        <w:gridCol w:w="4698"/>
        <w:gridCol w:w="630"/>
        <w:gridCol w:w="4248"/>
      </w:tblGrid>
      <w:tr w:rsidR="00A97DC1" w:rsidRPr="00A97DC1" w14:paraId="24232B6A" w14:textId="77777777" w:rsidTr="00405F50">
        <w:trPr>
          <w:trHeight w:val="2043"/>
        </w:trPr>
        <w:tc>
          <w:tcPr>
            <w:tcW w:w="4698" w:type="dxa"/>
          </w:tcPr>
          <w:p w14:paraId="2A0385D9" w14:textId="77777777" w:rsidR="00A97DC1" w:rsidRPr="00A97DC1" w:rsidRDefault="00A97DC1" w:rsidP="00A97DC1">
            <w:pPr>
              <w:tabs>
                <w:tab w:val="center" w:pos="4680"/>
              </w:tabs>
              <w:suppressAutoHyphens/>
              <w:rPr>
                <w:spacing w:val="-2"/>
              </w:rPr>
            </w:pPr>
            <w:r w:rsidRPr="00A97DC1">
              <w:rPr>
                <w:spacing w:val="-2"/>
              </w:rPr>
              <w:t>In the Matter of</w:t>
            </w:r>
          </w:p>
          <w:p w14:paraId="6432A208" w14:textId="77777777" w:rsidR="00A97DC1" w:rsidRPr="00A97DC1" w:rsidRDefault="00A97DC1" w:rsidP="00A97DC1">
            <w:pPr>
              <w:tabs>
                <w:tab w:val="center" w:pos="4680"/>
              </w:tabs>
              <w:suppressAutoHyphens/>
              <w:rPr>
                <w:spacing w:val="-2"/>
              </w:rPr>
            </w:pPr>
          </w:p>
          <w:p w14:paraId="057F02B3" w14:textId="77777777" w:rsidR="00A97DC1" w:rsidRPr="00A97DC1" w:rsidRDefault="00A97DC1" w:rsidP="00A97DC1">
            <w:pPr>
              <w:widowControl/>
              <w:autoSpaceDE w:val="0"/>
              <w:autoSpaceDN w:val="0"/>
              <w:adjustRightInd w:val="0"/>
            </w:pPr>
            <w:r w:rsidRPr="00A97DC1">
              <w:rPr>
                <w:szCs w:val="22"/>
              </w:rPr>
              <w:t>AT&amp;T Inc.,</w:t>
            </w:r>
            <w:r w:rsidRPr="00A97DC1">
              <w:rPr>
                <w:spacing w:val="-2"/>
              </w:rPr>
              <w:t xml:space="preserve"> Parent Company of </w:t>
            </w:r>
          </w:p>
          <w:p w14:paraId="74972ED1" w14:textId="77777777" w:rsidR="00A97DC1" w:rsidRPr="00A97DC1" w:rsidRDefault="00A97DC1" w:rsidP="00A97DC1">
            <w:pPr>
              <w:widowControl/>
              <w:ind w:right="-18"/>
            </w:pPr>
            <w:r w:rsidRPr="00A97DC1">
              <w:t>New Cingular Wireless PCS, LLC and</w:t>
            </w:r>
          </w:p>
          <w:p w14:paraId="66EC050E" w14:textId="77777777" w:rsidR="00A97DC1" w:rsidRPr="00A97DC1" w:rsidRDefault="00A97DC1" w:rsidP="00A97DC1">
            <w:pPr>
              <w:widowControl/>
              <w:ind w:right="-18"/>
            </w:pPr>
            <w:r w:rsidRPr="00A97DC1">
              <w:t>AT&amp;T Mobility Puerto Rico, Inc.</w:t>
            </w:r>
          </w:p>
          <w:p w14:paraId="078AD11E" w14:textId="77777777" w:rsidR="00A97DC1" w:rsidRPr="00A97DC1" w:rsidRDefault="00A97DC1" w:rsidP="00A97DC1">
            <w:pPr>
              <w:tabs>
                <w:tab w:val="center" w:pos="4680"/>
              </w:tabs>
              <w:suppressAutoHyphens/>
              <w:rPr>
                <w:spacing w:val="-2"/>
              </w:rPr>
            </w:pPr>
          </w:p>
        </w:tc>
        <w:tc>
          <w:tcPr>
            <w:tcW w:w="630" w:type="dxa"/>
          </w:tcPr>
          <w:p w14:paraId="73851601" w14:textId="77777777" w:rsidR="00A97DC1" w:rsidRPr="00A97DC1" w:rsidRDefault="00A97DC1" w:rsidP="00A97DC1">
            <w:pPr>
              <w:tabs>
                <w:tab w:val="center" w:pos="4680"/>
              </w:tabs>
              <w:suppressAutoHyphens/>
              <w:rPr>
                <w:b/>
                <w:spacing w:val="-2"/>
              </w:rPr>
            </w:pPr>
            <w:r w:rsidRPr="00A97DC1">
              <w:rPr>
                <w:b/>
                <w:spacing w:val="-2"/>
              </w:rPr>
              <w:t>)</w:t>
            </w:r>
          </w:p>
          <w:p w14:paraId="53AA27B6" w14:textId="77777777" w:rsidR="00A97DC1" w:rsidRPr="00A97DC1" w:rsidRDefault="00A97DC1" w:rsidP="00A97DC1">
            <w:pPr>
              <w:tabs>
                <w:tab w:val="center" w:pos="4680"/>
              </w:tabs>
              <w:suppressAutoHyphens/>
              <w:rPr>
                <w:b/>
                <w:spacing w:val="-2"/>
              </w:rPr>
            </w:pPr>
            <w:r w:rsidRPr="00A97DC1">
              <w:rPr>
                <w:b/>
                <w:spacing w:val="-2"/>
              </w:rPr>
              <w:t>)</w:t>
            </w:r>
          </w:p>
          <w:p w14:paraId="41C25AFE" w14:textId="77777777" w:rsidR="00A97DC1" w:rsidRPr="00A97DC1" w:rsidRDefault="00A97DC1" w:rsidP="00A97DC1">
            <w:pPr>
              <w:tabs>
                <w:tab w:val="center" w:pos="4680"/>
              </w:tabs>
              <w:suppressAutoHyphens/>
              <w:rPr>
                <w:b/>
                <w:spacing w:val="-2"/>
              </w:rPr>
            </w:pPr>
            <w:r w:rsidRPr="00A97DC1">
              <w:rPr>
                <w:b/>
                <w:spacing w:val="-2"/>
              </w:rPr>
              <w:t>)</w:t>
            </w:r>
          </w:p>
          <w:p w14:paraId="58298F00" w14:textId="77777777" w:rsidR="00A97DC1" w:rsidRPr="00A97DC1" w:rsidRDefault="00A97DC1" w:rsidP="00A97DC1">
            <w:pPr>
              <w:tabs>
                <w:tab w:val="center" w:pos="4680"/>
              </w:tabs>
              <w:suppressAutoHyphens/>
              <w:rPr>
                <w:b/>
                <w:spacing w:val="-2"/>
              </w:rPr>
            </w:pPr>
            <w:r w:rsidRPr="00A97DC1">
              <w:rPr>
                <w:b/>
                <w:spacing w:val="-2"/>
              </w:rPr>
              <w:t>)</w:t>
            </w:r>
          </w:p>
          <w:p w14:paraId="4D5FCCD7" w14:textId="77777777" w:rsidR="00A97DC1" w:rsidRPr="00A97DC1" w:rsidRDefault="00A97DC1" w:rsidP="00A97DC1">
            <w:pPr>
              <w:tabs>
                <w:tab w:val="center" w:pos="4680"/>
              </w:tabs>
              <w:suppressAutoHyphens/>
              <w:rPr>
                <w:b/>
                <w:spacing w:val="-2"/>
              </w:rPr>
            </w:pPr>
            <w:r w:rsidRPr="00A97DC1">
              <w:rPr>
                <w:b/>
                <w:spacing w:val="-2"/>
              </w:rPr>
              <w:t>)</w:t>
            </w:r>
          </w:p>
          <w:p w14:paraId="6F4225C6" w14:textId="77777777" w:rsidR="00A97DC1" w:rsidRPr="00A97DC1" w:rsidRDefault="00A97DC1" w:rsidP="00A97DC1">
            <w:pPr>
              <w:tabs>
                <w:tab w:val="center" w:pos="4680"/>
              </w:tabs>
              <w:suppressAutoHyphens/>
              <w:rPr>
                <w:spacing w:val="-2"/>
              </w:rPr>
            </w:pPr>
          </w:p>
        </w:tc>
        <w:tc>
          <w:tcPr>
            <w:tcW w:w="4248" w:type="dxa"/>
          </w:tcPr>
          <w:p w14:paraId="57B01CAE" w14:textId="77777777" w:rsidR="00A97DC1" w:rsidRPr="00A97DC1" w:rsidRDefault="00A97DC1" w:rsidP="00A97DC1">
            <w:pPr>
              <w:tabs>
                <w:tab w:val="center" w:pos="4680"/>
              </w:tabs>
              <w:suppressAutoHyphens/>
              <w:ind w:left="432"/>
              <w:rPr>
                <w:spacing w:val="-2"/>
                <w:szCs w:val="22"/>
              </w:rPr>
            </w:pPr>
            <w:r w:rsidRPr="00A97DC1">
              <w:rPr>
                <w:spacing w:val="-2"/>
                <w:szCs w:val="22"/>
              </w:rPr>
              <w:t xml:space="preserve">File No.:  </w:t>
            </w:r>
            <w:r w:rsidRPr="00A97DC1">
              <w:rPr>
                <w:bCs/>
                <w:caps/>
                <w:kern w:val="36"/>
              </w:rPr>
              <w:t>EB-SED-13-00008891</w:t>
            </w:r>
            <w:r w:rsidRPr="00A97DC1">
              <w:rPr>
                <w:spacing w:val="-2"/>
                <w:szCs w:val="22"/>
              </w:rPr>
              <w:t xml:space="preserve"> </w:t>
            </w:r>
          </w:p>
          <w:p w14:paraId="1A4933E0" w14:textId="77777777" w:rsidR="00A97DC1" w:rsidRPr="00A97DC1" w:rsidRDefault="00A97DC1" w:rsidP="00A97DC1">
            <w:pPr>
              <w:ind w:left="432"/>
              <w:rPr>
                <w:spacing w:val="-2"/>
                <w:szCs w:val="22"/>
              </w:rPr>
            </w:pPr>
          </w:p>
          <w:p w14:paraId="0557EB1A" w14:textId="77777777" w:rsidR="00A97DC1" w:rsidRPr="00A97DC1" w:rsidRDefault="00A97DC1" w:rsidP="00A97DC1">
            <w:pPr>
              <w:ind w:left="432"/>
              <w:rPr>
                <w:b/>
                <w:spacing w:val="-2"/>
                <w:szCs w:val="22"/>
                <w:highlight w:val="yellow"/>
              </w:rPr>
            </w:pPr>
            <w:r w:rsidRPr="00A97DC1">
              <w:rPr>
                <w:spacing w:val="-2"/>
                <w:szCs w:val="22"/>
              </w:rPr>
              <w:t xml:space="preserve">Acct. No.:  </w:t>
            </w:r>
            <w:r w:rsidRPr="00A97DC1">
              <w:rPr>
                <w:lang w:val="es-ES"/>
              </w:rPr>
              <w:t>201532100002</w:t>
            </w:r>
            <w:r w:rsidRPr="00A97DC1">
              <w:rPr>
                <w:spacing w:val="-2"/>
                <w:szCs w:val="22"/>
              </w:rPr>
              <w:t xml:space="preserve"> </w:t>
            </w:r>
          </w:p>
          <w:p w14:paraId="18E2E5F1" w14:textId="77777777" w:rsidR="00A97DC1" w:rsidRPr="00A97DC1" w:rsidRDefault="00A97DC1" w:rsidP="00A97DC1">
            <w:pPr>
              <w:ind w:left="432"/>
              <w:rPr>
                <w:spacing w:val="-2"/>
                <w:szCs w:val="22"/>
              </w:rPr>
            </w:pPr>
          </w:p>
          <w:p w14:paraId="539C0972" w14:textId="77777777" w:rsidR="00A97DC1" w:rsidRPr="00A97DC1" w:rsidRDefault="00A97DC1" w:rsidP="00A97DC1">
            <w:pPr>
              <w:tabs>
                <w:tab w:val="center" w:pos="4680"/>
              </w:tabs>
              <w:suppressAutoHyphens/>
              <w:ind w:left="432"/>
              <w:rPr>
                <w:spacing w:val="-2"/>
              </w:rPr>
            </w:pPr>
            <w:r w:rsidRPr="00A97DC1">
              <w:rPr>
                <w:szCs w:val="22"/>
              </w:rPr>
              <w:t xml:space="preserve">FRN:  </w:t>
            </w:r>
            <w:r w:rsidRPr="00A97DC1">
              <w:t>0005193701</w:t>
            </w:r>
            <w:r w:rsidRPr="00A97DC1">
              <w:rPr>
                <w:spacing w:val="-2"/>
                <w:szCs w:val="22"/>
              </w:rPr>
              <w:t xml:space="preserve"> </w:t>
            </w:r>
          </w:p>
        </w:tc>
      </w:tr>
    </w:tbl>
    <w:p w14:paraId="7445428B" w14:textId="77777777" w:rsidR="00A97DC1" w:rsidRPr="00A97DC1" w:rsidRDefault="00A97DC1" w:rsidP="00A97DC1">
      <w:pPr>
        <w:jc w:val="center"/>
        <w:rPr>
          <w:rFonts w:ascii="Times New Roman Bold" w:hAnsi="Times New Roman Bold"/>
          <w:b/>
          <w:bCs/>
          <w:caps/>
          <w:szCs w:val="22"/>
        </w:rPr>
      </w:pPr>
      <w:r w:rsidRPr="00A97DC1">
        <w:rPr>
          <w:rFonts w:ascii="Times New Roman Bold" w:hAnsi="Times New Roman Bold"/>
          <w:b/>
          <w:bCs/>
          <w:caps/>
          <w:szCs w:val="22"/>
        </w:rPr>
        <w:t>CONSENT DECREE</w:t>
      </w:r>
    </w:p>
    <w:p w14:paraId="2016C1D0" w14:textId="77777777" w:rsidR="00A97DC1" w:rsidRPr="00A97DC1" w:rsidRDefault="00A97DC1" w:rsidP="00A97DC1">
      <w:pPr>
        <w:jc w:val="center"/>
        <w:rPr>
          <w:rFonts w:ascii="Times New Roman Bold" w:hAnsi="Times New Roman Bold"/>
          <w:b/>
          <w:bCs/>
          <w:caps/>
          <w:szCs w:val="22"/>
        </w:rPr>
      </w:pPr>
    </w:p>
    <w:p w14:paraId="24161105" w14:textId="77777777" w:rsidR="00A97DC1" w:rsidRPr="00A97DC1" w:rsidRDefault="00A97DC1" w:rsidP="00A97DC1">
      <w:pPr>
        <w:widowControl/>
        <w:numPr>
          <w:ilvl w:val="0"/>
          <w:numId w:val="1"/>
        </w:numPr>
        <w:tabs>
          <w:tab w:val="clear" w:pos="1080"/>
          <w:tab w:val="num" w:pos="1440"/>
        </w:tabs>
        <w:spacing w:after="120"/>
      </w:pPr>
      <w:r w:rsidRPr="00A97DC1">
        <w:t>The Enforcement Bureau of the Federal Communications Commission and AT&amp;T Inc. (AT&amp;T), by their authorized representatives, hereby enter into this Consent Decree for the purpose</w:t>
      </w:r>
      <w:r w:rsidRPr="00A97DC1">
        <w:rPr>
          <w:spacing w:val="26"/>
        </w:rPr>
        <w:t xml:space="preserve"> </w:t>
      </w:r>
      <w:r w:rsidRPr="00A97DC1">
        <w:t>of</w:t>
      </w:r>
      <w:r w:rsidRPr="00A97DC1">
        <w:rPr>
          <w:w w:val="97"/>
        </w:rPr>
        <w:t xml:space="preserve"> </w:t>
      </w:r>
      <w:r w:rsidRPr="00A97DC1">
        <w:t>terminating the Enforcement Bureau's investigation into whether AT&amp;T violated Section 301 of</w:t>
      </w:r>
      <w:r w:rsidRPr="00A97DC1">
        <w:rPr>
          <w:spacing w:val="11"/>
        </w:rPr>
        <w:t xml:space="preserve"> </w:t>
      </w:r>
      <w:r w:rsidRPr="00A97DC1">
        <w:t>the</w:t>
      </w:r>
      <w:r w:rsidRPr="00A97DC1">
        <w:rPr>
          <w:w w:val="97"/>
        </w:rPr>
        <w:t xml:space="preserve"> </w:t>
      </w:r>
      <w:r w:rsidRPr="00A97DC1">
        <w:t>Communications Act of 1934, as amended,</w:t>
      </w:r>
      <w:r w:rsidRPr="00A97DC1">
        <w:rPr>
          <w:sz w:val="20"/>
          <w:vertAlign w:val="superscript"/>
        </w:rPr>
        <w:footnoteReference w:id="8"/>
      </w:r>
      <w:r w:rsidRPr="00A97DC1">
        <w:t xml:space="preserve"> and Sections </w:t>
      </w:r>
      <w:r w:rsidRPr="00A97DC1">
        <w:rPr>
          <w:szCs w:val="22"/>
        </w:rPr>
        <w:t>1.</w:t>
      </w:r>
      <w:r w:rsidRPr="00A97DC1">
        <w:t>903(a), 1.947(a), and 1.947(b) of the Commission's rules</w:t>
      </w:r>
      <w:r w:rsidRPr="00A97DC1">
        <w:rPr>
          <w:sz w:val="20"/>
          <w:vertAlign w:val="superscript"/>
        </w:rPr>
        <w:footnoteReference w:id="9"/>
      </w:r>
      <w:r w:rsidRPr="00A97DC1">
        <w:rPr>
          <w:position w:val="7"/>
        </w:rPr>
        <w:t xml:space="preserve"> </w:t>
      </w:r>
      <w:r w:rsidRPr="00A97DC1">
        <w:t xml:space="preserve">in connection with its operation of certain microwave stations it acquired through asset purchase transactions. </w:t>
      </w:r>
    </w:p>
    <w:p w14:paraId="7D97B917" w14:textId="77777777" w:rsidR="00A97DC1" w:rsidRPr="00A97DC1" w:rsidRDefault="00A97DC1" w:rsidP="00A97DC1">
      <w:pPr>
        <w:keepNext/>
        <w:widowControl/>
        <w:numPr>
          <w:ilvl w:val="0"/>
          <w:numId w:val="2"/>
        </w:numPr>
        <w:tabs>
          <w:tab w:val="left" w:pos="720"/>
        </w:tabs>
        <w:suppressAutoHyphens/>
        <w:spacing w:after="120"/>
        <w:outlineLvl w:val="0"/>
        <w:rPr>
          <w:rFonts w:ascii="Times New Roman Bold" w:hAnsi="Times New Roman Bold"/>
          <w:b/>
          <w:caps/>
        </w:rPr>
      </w:pPr>
      <w:r w:rsidRPr="00A97DC1">
        <w:rPr>
          <w:rFonts w:ascii="Times New Roman Bold" w:hAnsi="Times New Roman Bold"/>
          <w:b/>
          <w:caps/>
        </w:rPr>
        <w:t>DEFINITIONS</w:t>
      </w:r>
    </w:p>
    <w:p w14:paraId="40A4A41D" w14:textId="77777777" w:rsidR="00A97DC1" w:rsidRPr="00A97DC1" w:rsidRDefault="00A97DC1" w:rsidP="00A97DC1">
      <w:pPr>
        <w:widowControl/>
        <w:numPr>
          <w:ilvl w:val="0"/>
          <w:numId w:val="1"/>
        </w:numPr>
        <w:tabs>
          <w:tab w:val="clear" w:pos="1080"/>
          <w:tab w:val="num" w:pos="1440"/>
        </w:tabs>
        <w:spacing w:after="120"/>
      </w:pPr>
      <w:r w:rsidRPr="00A97DC1">
        <w:t>For the purposes of this Consent Decree, the following definitions shall apply:</w:t>
      </w:r>
    </w:p>
    <w:p w14:paraId="0738B0A6"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 xml:space="preserve">“Act” </w:t>
      </w:r>
      <w:r w:rsidRPr="00A97DC1">
        <w:t>means</w:t>
      </w:r>
      <w:r w:rsidRPr="00A97DC1">
        <w:rPr>
          <w:szCs w:val="22"/>
        </w:rPr>
        <w:t xml:space="preserve"> the Communications Act of 1934, as amended.</w:t>
      </w:r>
      <w:r w:rsidRPr="00A97DC1">
        <w:rPr>
          <w:sz w:val="20"/>
          <w:szCs w:val="22"/>
          <w:vertAlign w:val="superscript"/>
        </w:rPr>
        <w:footnoteReference w:id="10"/>
      </w:r>
    </w:p>
    <w:p w14:paraId="24DD880E"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Adopting</w:t>
      </w:r>
      <w:r w:rsidRPr="00A97DC1">
        <w:rPr>
          <w:szCs w:val="22"/>
        </w:rPr>
        <w:t xml:space="preserve"> Order” means an order of the Bureau adopting the terms of this Consent Decree without change, addition, deletion, or modification.</w:t>
      </w:r>
    </w:p>
    <w:p w14:paraId="61B939F4"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"AT&amp;T" means, for purposes of settlement only, AT&amp;T Inc., AT&amp;T Mobility LLC, and the subsidiaries, predecessors-in-interest,</w:t>
      </w:r>
      <w:r w:rsidRPr="00A97DC1">
        <w:rPr>
          <w:spacing w:val="9"/>
          <w:szCs w:val="22"/>
        </w:rPr>
        <w:t xml:space="preserve"> </w:t>
      </w:r>
      <w:r w:rsidRPr="00A97DC1">
        <w:rPr>
          <w:szCs w:val="22"/>
        </w:rPr>
        <w:t>and</w:t>
      </w:r>
      <w:r w:rsidRPr="00A97DC1">
        <w:rPr>
          <w:w w:val="96"/>
          <w:szCs w:val="22"/>
        </w:rPr>
        <w:t xml:space="preserve"> </w:t>
      </w:r>
      <w:r w:rsidRPr="00A97DC1">
        <w:rPr>
          <w:szCs w:val="22"/>
        </w:rPr>
        <w:t xml:space="preserve">successors-in-interest of AT&amp;T Mobility LLC.  AT&amp;T Mobility LLC is a 100 percent-owned, indirect subsidiary of AT&amp;T Inc., as are AT&amp;T Mobility of Puerto Rico LLC and New Cingular Wireless PCS LLC. </w:t>
      </w:r>
    </w:p>
    <w:p w14:paraId="19F140AD"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Bureau</w:t>
      </w:r>
      <w:r w:rsidRPr="00A97DC1">
        <w:rPr>
          <w:szCs w:val="22"/>
        </w:rPr>
        <w:t>” means the Enforcement Bureau of the Federal Communications Commission.</w:t>
      </w:r>
    </w:p>
    <w:p w14:paraId="574AEA10"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Commission</w:t>
      </w:r>
      <w:r w:rsidRPr="00A97DC1">
        <w:rPr>
          <w:szCs w:val="22"/>
        </w:rPr>
        <w:t>” and “FCC” mean the Federal Communications Commission and all of its bureaus and offices.</w:t>
      </w:r>
    </w:p>
    <w:p w14:paraId="70025102"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Communications</w:t>
      </w:r>
      <w:r w:rsidRPr="00A97DC1">
        <w:rPr>
          <w:szCs w:val="22"/>
        </w:rPr>
        <w:t xml:space="preserve"> Laws” means collectively, the Act, the Rules, and the published and promulgated orders and decisions of the Commission to which AT&amp;T is subject by virtue of its business activities, including but not limited to the Licensing Rules.</w:t>
      </w:r>
    </w:p>
    <w:p w14:paraId="23EABAD4"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Compliance</w:t>
      </w:r>
      <w:r w:rsidRPr="00A97DC1">
        <w:rPr>
          <w:szCs w:val="22"/>
        </w:rPr>
        <w:t xml:space="preserve"> Plan” means the compliance obligations, program, and procedures described in this Consent Decree at paragraph 11.</w:t>
      </w:r>
    </w:p>
    <w:p w14:paraId="7F0E2FA7" w14:textId="77777777" w:rsidR="00A97DC1" w:rsidRPr="00A97DC1" w:rsidRDefault="00A97DC1" w:rsidP="00A97DC1">
      <w:pPr>
        <w:widowControl/>
        <w:numPr>
          <w:ilvl w:val="0"/>
          <w:numId w:val="5"/>
        </w:numPr>
        <w:tabs>
          <w:tab w:val="clear" w:pos="1224"/>
        </w:tabs>
        <w:spacing w:after="120"/>
        <w:ind w:left="1886"/>
        <w:rPr>
          <w:szCs w:val="22"/>
        </w:rPr>
      </w:pPr>
      <w:r w:rsidRPr="00A97DC1">
        <w:rPr>
          <w:szCs w:val="22"/>
        </w:rPr>
        <w:t>“</w:t>
      </w:r>
      <w:r w:rsidRPr="00A97DC1">
        <w:t>Covered</w:t>
      </w:r>
      <w:r w:rsidRPr="00A97DC1">
        <w:rPr>
          <w:szCs w:val="22"/>
        </w:rPr>
        <w:t xml:space="preserve"> </w:t>
      </w:r>
      <w:r w:rsidRPr="00A97DC1">
        <w:t>Employees</w:t>
      </w:r>
      <w:r w:rsidRPr="00A97DC1">
        <w:rPr>
          <w:szCs w:val="22"/>
        </w:rPr>
        <w:t>” means all employees and agents of AT&amp;T and its affiliates who perform, supervise, oversee, or manage the operation, integration and/or discontinuance of acquired microwave authorizations, including with respect to AT&amp;T’s responsibilities under the Communications Laws, and in particular, the Licensing Rules.</w:t>
      </w:r>
    </w:p>
    <w:p w14:paraId="5E47154C" w14:textId="77777777" w:rsidR="00A97DC1" w:rsidRPr="00A97DC1" w:rsidRDefault="00A97DC1" w:rsidP="00A97DC1">
      <w:pPr>
        <w:widowControl/>
        <w:numPr>
          <w:ilvl w:val="0"/>
          <w:numId w:val="5"/>
        </w:numPr>
        <w:tabs>
          <w:tab w:val="clear" w:pos="1224"/>
        </w:tabs>
        <w:spacing w:after="120"/>
        <w:ind w:left="1886"/>
        <w:rPr>
          <w:szCs w:val="22"/>
        </w:rPr>
      </w:pPr>
      <w:r w:rsidRPr="00A97DC1">
        <w:rPr>
          <w:szCs w:val="22"/>
        </w:rPr>
        <w:t>“Covered Transactions” means any asset purchase transaction entered into after the Effective Date whereby AT&amp;T or an AT&amp;T affiliate acquires one or more Part 101 microwave station authorizations.  A Covered Transaction shall be considered completed as of the closing date indicated by the parties in the FCC Form 603 Notice of Consummation filed with the FCC after the transaction has closed.</w:t>
      </w:r>
    </w:p>
    <w:p w14:paraId="6808F9B8"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Effective</w:t>
      </w:r>
      <w:r w:rsidRPr="00A97DC1">
        <w:rPr>
          <w:szCs w:val="22"/>
        </w:rPr>
        <w:t xml:space="preserve"> Date” means the date by which both the Bureau and AT&amp;T have signed the Consent Decree.</w:t>
      </w:r>
    </w:p>
    <w:p w14:paraId="3B610460"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"Investigation" means the investigation commenced by the Bureau in File No. EB</w:t>
      </w:r>
      <w:r w:rsidRPr="00A97DC1">
        <w:rPr>
          <w:szCs w:val="22"/>
        </w:rPr>
        <w:noBreakHyphen/>
        <w:t>11-SE-107 and later transitioned to File No. EB-SED-13-00008891 regarding whether AT&amp;T violated the Licensing Rules, which culminated in the issuance of the NAL.</w:t>
      </w:r>
    </w:p>
    <w:p w14:paraId="13F1AC5F" w14:textId="77777777" w:rsidR="00A97DC1" w:rsidRPr="00A97DC1" w:rsidRDefault="00A97DC1" w:rsidP="00A97DC1">
      <w:pPr>
        <w:widowControl/>
        <w:numPr>
          <w:ilvl w:val="0"/>
          <w:numId w:val="5"/>
        </w:numPr>
        <w:tabs>
          <w:tab w:val="clear" w:pos="1224"/>
        </w:tabs>
        <w:spacing w:after="120"/>
        <w:ind w:left="1890"/>
        <w:rPr>
          <w:szCs w:val="22"/>
        </w:rPr>
      </w:pPr>
      <w:r w:rsidRPr="00A97DC1">
        <w:rPr>
          <w:spacing w:val="-3"/>
          <w:szCs w:val="22"/>
        </w:rPr>
        <w:t xml:space="preserve">"Licensing </w:t>
      </w:r>
      <w:r w:rsidRPr="00A97DC1">
        <w:rPr>
          <w:szCs w:val="22"/>
        </w:rPr>
        <w:t>Rules" means Section 301 of the Communications Act of 1934,</w:t>
      </w:r>
      <w:r w:rsidRPr="00A97DC1">
        <w:rPr>
          <w:spacing w:val="45"/>
          <w:szCs w:val="22"/>
        </w:rPr>
        <w:t xml:space="preserve"> </w:t>
      </w:r>
      <w:r w:rsidRPr="00A97DC1">
        <w:rPr>
          <w:szCs w:val="22"/>
        </w:rPr>
        <w:t>as</w:t>
      </w:r>
      <w:r w:rsidRPr="00A97DC1">
        <w:rPr>
          <w:w w:val="99"/>
          <w:szCs w:val="22"/>
        </w:rPr>
        <w:t xml:space="preserve"> </w:t>
      </w:r>
      <w:r w:rsidRPr="00A97DC1">
        <w:rPr>
          <w:szCs w:val="22"/>
        </w:rPr>
        <w:t>amended, and Sections 1.903(a), l.947(a), and 1.947(b) of the Commission's rules and</w:t>
      </w:r>
      <w:r w:rsidRPr="00A97DC1">
        <w:rPr>
          <w:spacing w:val="19"/>
          <w:szCs w:val="22"/>
        </w:rPr>
        <w:t xml:space="preserve"> </w:t>
      </w:r>
      <w:r w:rsidRPr="00A97DC1">
        <w:rPr>
          <w:szCs w:val="22"/>
        </w:rPr>
        <w:t>other</w:t>
      </w:r>
      <w:r w:rsidRPr="00A97DC1">
        <w:rPr>
          <w:w w:val="96"/>
          <w:szCs w:val="22"/>
        </w:rPr>
        <w:t xml:space="preserve"> </w:t>
      </w:r>
      <w:r w:rsidRPr="00A97DC1">
        <w:rPr>
          <w:szCs w:val="22"/>
        </w:rPr>
        <w:t>provisions of the Act, the Rules, and Commission orders that prohibit the use</w:t>
      </w:r>
      <w:r w:rsidRPr="00A97DC1">
        <w:rPr>
          <w:spacing w:val="19"/>
          <w:szCs w:val="22"/>
        </w:rPr>
        <w:t xml:space="preserve"> </w:t>
      </w:r>
      <w:r w:rsidRPr="00A97DC1">
        <w:rPr>
          <w:szCs w:val="22"/>
        </w:rPr>
        <w:t>or operation of a wireless radio station in a manner inconsistent with its</w:t>
      </w:r>
      <w:r w:rsidRPr="00A97DC1">
        <w:rPr>
          <w:spacing w:val="9"/>
          <w:szCs w:val="22"/>
        </w:rPr>
        <w:t xml:space="preserve"> </w:t>
      </w:r>
      <w:r w:rsidRPr="00A97DC1">
        <w:rPr>
          <w:szCs w:val="22"/>
        </w:rPr>
        <w:t>licensed</w:t>
      </w:r>
      <w:r w:rsidRPr="00A97DC1">
        <w:rPr>
          <w:w w:val="96"/>
          <w:szCs w:val="22"/>
        </w:rPr>
        <w:t xml:space="preserve"> </w:t>
      </w:r>
      <w:r w:rsidRPr="00A97DC1">
        <w:rPr>
          <w:szCs w:val="22"/>
        </w:rPr>
        <w:t>parameters.</w:t>
      </w:r>
    </w:p>
    <w:p w14:paraId="396E75A7"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“NAL” means the Notice of Apparent Liability for Forfeiture issued to AT&amp;T on January 29, 2015, proposing a six hundred forty thousand dollar ($640,000) forfeiture for apparent violations of the Licensing Rules.</w:t>
      </w:r>
    </w:p>
    <w:p w14:paraId="5DA469E6"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Operating</w:t>
      </w:r>
      <w:r w:rsidRPr="00A97DC1">
        <w:rPr>
          <w:szCs w:val="22"/>
        </w:rPr>
        <w:t xml:space="preserve"> Procedures” means the standard internal operating procedures and compliance policies established by AT&amp;T or its parent company to implement the Compliance Plan.</w:t>
      </w:r>
    </w:p>
    <w:p w14:paraId="077F7B6B"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Parties</w:t>
      </w:r>
      <w:r w:rsidRPr="00A97DC1">
        <w:rPr>
          <w:szCs w:val="22"/>
        </w:rPr>
        <w:t>” means AT&amp;T and the Bureau, each of which is a “Party.”</w:t>
      </w:r>
    </w:p>
    <w:p w14:paraId="40AE69B3" w14:textId="77777777" w:rsidR="00A97DC1" w:rsidRPr="00A97DC1" w:rsidRDefault="00A97DC1" w:rsidP="00A97DC1">
      <w:pPr>
        <w:widowControl/>
        <w:numPr>
          <w:ilvl w:val="0"/>
          <w:numId w:val="5"/>
        </w:numPr>
        <w:tabs>
          <w:tab w:val="clear" w:pos="1224"/>
        </w:tabs>
        <w:spacing w:after="120"/>
        <w:ind w:left="1890"/>
        <w:rPr>
          <w:szCs w:val="22"/>
        </w:rPr>
      </w:pPr>
      <w:r w:rsidRPr="00A97DC1">
        <w:rPr>
          <w:szCs w:val="22"/>
        </w:rPr>
        <w:t>“</w:t>
      </w:r>
      <w:r w:rsidRPr="00A97DC1">
        <w:t>Rules</w:t>
      </w:r>
      <w:r w:rsidRPr="00A97DC1">
        <w:rPr>
          <w:szCs w:val="22"/>
        </w:rPr>
        <w:t xml:space="preserve">” </w:t>
      </w:r>
      <w:r w:rsidRPr="00A97DC1">
        <w:t>means</w:t>
      </w:r>
      <w:r w:rsidRPr="00A97DC1">
        <w:rPr>
          <w:szCs w:val="22"/>
        </w:rPr>
        <w:t xml:space="preserve"> the Commission’s regulations found in Title 47 of the Code of Federal Regulations.</w:t>
      </w:r>
    </w:p>
    <w:p w14:paraId="7E19C9D8" w14:textId="77777777" w:rsidR="00A97DC1" w:rsidRPr="00A97DC1" w:rsidRDefault="00A97DC1" w:rsidP="00A97DC1">
      <w:pPr>
        <w:keepNext/>
        <w:widowControl/>
        <w:numPr>
          <w:ilvl w:val="0"/>
          <w:numId w:val="2"/>
        </w:numPr>
        <w:tabs>
          <w:tab w:val="left" w:pos="720"/>
        </w:tabs>
        <w:suppressAutoHyphens/>
        <w:spacing w:after="120"/>
        <w:outlineLvl w:val="0"/>
        <w:rPr>
          <w:rFonts w:ascii="Times New Roman Bold" w:hAnsi="Times New Roman Bold"/>
          <w:b/>
          <w:caps/>
          <w:szCs w:val="22"/>
        </w:rPr>
      </w:pPr>
      <w:r w:rsidRPr="00A97DC1">
        <w:rPr>
          <w:rFonts w:ascii="Times New Roman Bold" w:hAnsi="Times New Roman Bold"/>
          <w:b/>
          <w:caps/>
        </w:rPr>
        <w:t>BACKGROUND</w:t>
      </w:r>
    </w:p>
    <w:p w14:paraId="3E617129" w14:textId="77777777" w:rsidR="00A97DC1" w:rsidRPr="00A97DC1" w:rsidRDefault="00A97DC1" w:rsidP="00A97DC1">
      <w:pPr>
        <w:widowControl/>
        <w:numPr>
          <w:ilvl w:val="0"/>
          <w:numId w:val="1"/>
        </w:numPr>
        <w:tabs>
          <w:tab w:val="clear" w:pos="1080"/>
          <w:tab w:val="num" w:pos="1440"/>
        </w:tabs>
        <w:spacing w:after="120"/>
      </w:pPr>
      <w:r w:rsidRPr="00A97DC1">
        <w:t>Section 301 of the Act and Section 1.903(a) of the Commission's rules prohibit the use</w:t>
      </w:r>
      <w:r w:rsidRPr="00A97DC1">
        <w:rPr>
          <w:spacing w:val="28"/>
        </w:rPr>
        <w:t xml:space="preserve"> </w:t>
      </w:r>
      <w:r w:rsidRPr="00A97DC1">
        <w:t>or operation of any apparatus for the transmission of energy or communications or signals by radio</w:t>
      </w:r>
      <w:r w:rsidRPr="00A97DC1">
        <w:rPr>
          <w:spacing w:val="28"/>
        </w:rPr>
        <w:t xml:space="preserve"> </w:t>
      </w:r>
      <w:r w:rsidRPr="00A97DC1">
        <w:t>except</w:t>
      </w:r>
      <w:r w:rsidRPr="00A97DC1">
        <w:rPr>
          <w:w w:val="97"/>
        </w:rPr>
        <w:t xml:space="preserve"> </w:t>
      </w:r>
      <w:r w:rsidRPr="00A97DC1">
        <w:t>under, and in accordance with, a Commission-granted authorization.</w:t>
      </w:r>
      <w:r w:rsidRPr="00A97DC1">
        <w:rPr>
          <w:sz w:val="20"/>
          <w:vertAlign w:val="superscript"/>
        </w:rPr>
        <w:footnoteReference w:id="11"/>
      </w:r>
      <w:r w:rsidRPr="00A97DC1">
        <w:t xml:space="preserve"> </w:t>
      </w:r>
      <w:r w:rsidRPr="00A97DC1">
        <w:rPr>
          <w:position w:val="7"/>
        </w:rPr>
        <w:t xml:space="preserve"> </w:t>
      </w:r>
      <w:r w:rsidRPr="00A97DC1">
        <w:t>Section 1.947(a) of</w:t>
      </w:r>
      <w:r w:rsidRPr="00A97DC1">
        <w:rPr>
          <w:spacing w:val="43"/>
        </w:rPr>
        <w:t xml:space="preserve"> </w:t>
      </w:r>
      <w:r w:rsidRPr="00A97DC1">
        <w:t>the</w:t>
      </w:r>
      <w:r w:rsidRPr="00A97DC1">
        <w:rPr>
          <w:w w:val="99"/>
        </w:rPr>
        <w:t xml:space="preserve"> </w:t>
      </w:r>
      <w:r w:rsidRPr="00A97DC1">
        <w:t>Commission's rules states that all “major modifications” to wireless radio service stations require</w:t>
      </w:r>
      <w:r w:rsidRPr="00A97DC1">
        <w:rPr>
          <w:spacing w:val="15"/>
        </w:rPr>
        <w:t xml:space="preserve"> </w:t>
      </w:r>
      <w:r w:rsidRPr="00A97DC1">
        <w:t>prior</w:t>
      </w:r>
      <w:r w:rsidRPr="00A97DC1">
        <w:rPr>
          <w:w w:val="96"/>
        </w:rPr>
        <w:t xml:space="preserve"> </w:t>
      </w:r>
      <w:r w:rsidRPr="00A97DC1">
        <w:t>Commission approval.</w:t>
      </w:r>
      <w:r w:rsidRPr="00A97DC1">
        <w:rPr>
          <w:sz w:val="20"/>
          <w:vertAlign w:val="superscript"/>
        </w:rPr>
        <w:footnoteReference w:id="12"/>
      </w:r>
      <w:r w:rsidRPr="00A97DC1">
        <w:rPr>
          <w:position w:val="8"/>
        </w:rPr>
        <w:t xml:space="preserve">  </w:t>
      </w:r>
      <w:r w:rsidRPr="00A97DC1">
        <w:t>Section 1.929(d) of the Commission's rules sets forth the types of</w:t>
      </w:r>
      <w:r w:rsidRPr="00A97DC1">
        <w:rPr>
          <w:spacing w:val="28"/>
        </w:rPr>
        <w:t xml:space="preserve"> </w:t>
      </w:r>
      <w:r w:rsidRPr="00A97DC1">
        <w:t>modifications</w:t>
      </w:r>
      <w:r w:rsidRPr="00A97DC1">
        <w:rPr>
          <w:w w:val="97"/>
        </w:rPr>
        <w:t xml:space="preserve"> </w:t>
      </w:r>
      <w:r w:rsidRPr="00A97DC1">
        <w:t>that are considered major, such as any substantial change in ownership or control, changes that require frequency coordination, and the addition of a frequency for which a licensee is not currently authorized.</w:t>
      </w:r>
      <w:r w:rsidRPr="00A97DC1">
        <w:rPr>
          <w:sz w:val="20"/>
          <w:vertAlign w:val="superscript"/>
        </w:rPr>
        <w:footnoteReference w:id="13"/>
      </w:r>
      <w:r w:rsidRPr="00A97DC1">
        <w:t xml:space="preserve"> Failure to receive prior Commission approval for major modifications to station operations</w:t>
      </w:r>
      <w:r w:rsidRPr="00A97DC1">
        <w:rPr>
          <w:spacing w:val="32"/>
        </w:rPr>
        <w:t xml:space="preserve"> </w:t>
      </w:r>
      <w:r w:rsidRPr="00A97DC1">
        <w:t>constitutes</w:t>
      </w:r>
      <w:r w:rsidRPr="00A97DC1">
        <w:rPr>
          <w:w w:val="97"/>
        </w:rPr>
        <w:t xml:space="preserve"> </w:t>
      </w:r>
      <w:r w:rsidRPr="00A97DC1">
        <w:t>unauthorized operations under the Act and the Commission's</w:t>
      </w:r>
      <w:r w:rsidRPr="00A97DC1">
        <w:rPr>
          <w:spacing w:val="49"/>
        </w:rPr>
        <w:t xml:space="preserve"> </w:t>
      </w:r>
      <w:r w:rsidRPr="00A97DC1">
        <w:t>rules.</w:t>
      </w:r>
      <w:r w:rsidRPr="00A97DC1">
        <w:rPr>
          <w:sz w:val="20"/>
          <w:vertAlign w:val="superscript"/>
        </w:rPr>
        <w:footnoteReference w:id="14"/>
      </w:r>
      <w:r w:rsidRPr="00A97DC1">
        <w:t xml:space="preserve">  For all other modifications, known as “minor modifications,” Section 1.947(b) of the Commission’s rules requires licensees to notify the Commission by filing corrective information within thirty days of implementing such modifications.</w:t>
      </w:r>
      <w:r w:rsidRPr="00A97DC1">
        <w:rPr>
          <w:sz w:val="20"/>
          <w:vertAlign w:val="superscript"/>
        </w:rPr>
        <w:footnoteReference w:id="15"/>
      </w:r>
      <w:r w:rsidRPr="00A97DC1">
        <w:t xml:space="preserve">  While licensees may make minor modifications to their wireless operations without prior approval, Commission notification ensures the accuracy of the Commission’s Universal Licensing System and supports the efficient administration of the radio spectrum.</w:t>
      </w:r>
      <w:r w:rsidRPr="00A97DC1">
        <w:rPr>
          <w:sz w:val="20"/>
          <w:vertAlign w:val="superscript"/>
        </w:rPr>
        <w:footnoteReference w:id="16"/>
      </w:r>
      <w:r w:rsidRPr="00A97DC1">
        <w:t xml:space="preserve"> </w:t>
      </w:r>
    </w:p>
    <w:p w14:paraId="3B3EF7F4" w14:textId="77777777" w:rsidR="00A97DC1" w:rsidRPr="00A97DC1" w:rsidRDefault="00A97DC1" w:rsidP="00A97DC1">
      <w:pPr>
        <w:widowControl/>
        <w:numPr>
          <w:ilvl w:val="0"/>
          <w:numId w:val="1"/>
        </w:numPr>
        <w:tabs>
          <w:tab w:val="clear" w:pos="1080"/>
          <w:tab w:val="num" w:pos="1440"/>
        </w:tabs>
        <w:spacing w:after="120"/>
      </w:pPr>
      <w:r w:rsidRPr="00A97DC1">
        <w:t>On January 29, 2015, the Commission issued the NAL against AT&amp;T for violating Section 301 of the Act,</w:t>
      </w:r>
      <w:r w:rsidRPr="00A97DC1">
        <w:rPr>
          <w:vertAlign w:val="superscript"/>
        </w:rPr>
        <w:footnoteReference w:id="17"/>
      </w:r>
      <w:r w:rsidRPr="00A97DC1">
        <w:t xml:space="preserve"> and Sections 1.903(a), 1.947(a), and 1.947(b) of the Commission’s rules</w:t>
      </w:r>
      <w:r w:rsidRPr="00A97DC1">
        <w:rPr>
          <w:vertAlign w:val="superscript"/>
        </w:rPr>
        <w:footnoteReference w:id="18"/>
      </w:r>
      <w:r w:rsidRPr="00A97DC1">
        <w:t xml:space="preserve"> for unauthorized operation of 26 microwave stations and for failing to provide required license modification notices to the Commission for eight additional microwave </w:t>
      </w:r>
      <w:r w:rsidRPr="00A97DC1">
        <w:rPr>
          <w:szCs w:val="22"/>
        </w:rPr>
        <w:t>stations.</w:t>
      </w:r>
      <w:r w:rsidRPr="00A97DC1">
        <w:rPr>
          <w:szCs w:val="22"/>
          <w:vertAlign w:val="superscript"/>
        </w:rPr>
        <w:footnoteReference w:id="19"/>
      </w:r>
      <w:r w:rsidRPr="00A97DC1">
        <w:rPr>
          <w:szCs w:val="22"/>
        </w:rPr>
        <w:t xml:space="preserve">  That</w:t>
      </w:r>
      <w:r w:rsidRPr="00A97DC1">
        <w:t xml:space="preserve"> decision capped nearly three years of investigation and disclosures from AT&amp;T that ultimately revealed the violations at issue here.  As of the release date of the NAL, AT&amp;T had yet to file seven modification applications that were reportedly needed to bring the respective stations into compliance.</w:t>
      </w:r>
      <w:r w:rsidRPr="00A97DC1">
        <w:rPr>
          <w:sz w:val="20"/>
          <w:vertAlign w:val="superscript"/>
        </w:rPr>
        <w:footnoteReference w:id="20"/>
      </w:r>
      <w:r w:rsidRPr="00A97DC1">
        <w:t xml:space="preserve">  Since the release of the NAL, AT&amp;T has filed all the necessary modification applications and received approvals.  AT&amp;T filed its response to the NAL on March 2, 2015.  Subsequently, AT&amp;T and the Bureau engaged in settlement negotiations.  The Bureau and AT&amp;T agree to the following terms and conditions of settlement and hereby enter into this Consent Decree as provided herein</w:t>
      </w:r>
      <w:r w:rsidRPr="00A97DC1">
        <w:rPr>
          <w:w w:val="105"/>
        </w:rPr>
        <w:t>.</w:t>
      </w:r>
    </w:p>
    <w:p w14:paraId="79BB1F1C" w14:textId="77777777" w:rsidR="00A97DC1" w:rsidRPr="00A97DC1" w:rsidRDefault="00A97DC1" w:rsidP="00A97DC1">
      <w:pPr>
        <w:keepNext/>
        <w:widowControl/>
        <w:numPr>
          <w:ilvl w:val="0"/>
          <w:numId w:val="2"/>
        </w:numPr>
        <w:tabs>
          <w:tab w:val="left" w:pos="720"/>
        </w:tabs>
        <w:suppressAutoHyphens/>
        <w:spacing w:after="120"/>
        <w:outlineLvl w:val="0"/>
        <w:rPr>
          <w:rFonts w:ascii="Times New Roman Bold" w:hAnsi="Times New Roman Bold"/>
          <w:b/>
          <w:caps/>
        </w:rPr>
      </w:pPr>
      <w:bookmarkStart w:id="1" w:name="FN[FN18]"/>
      <w:bookmarkEnd w:id="1"/>
      <w:r w:rsidRPr="00A97DC1">
        <w:rPr>
          <w:rFonts w:ascii="Times New Roman Bold" w:hAnsi="Times New Roman Bold"/>
          <w:b/>
          <w:caps/>
        </w:rPr>
        <w:t>TERMS OF AGREEMENT</w:t>
      </w:r>
    </w:p>
    <w:p w14:paraId="1AA55C5A"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Adopting Order</w:t>
      </w:r>
      <w:r w:rsidRPr="00A97DC1">
        <w:rPr>
          <w:szCs w:val="22"/>
        </w:rPr>
        <w:t>.  The provisions of this Consent Decree shall be incorporated by the Bureau in an Adopting Order.</w:t>
      </w:r>
    </w:p>
    <w:p w14:paraId="54D4A0D1"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Jurisdiction</w:t>
      </w:r>
      <w:r w:rsidRPr="00A97DC1">
        <w:rPr>
          <w:szCs w:val="22"/>
        </w:rPr>
        <w:t xml:space="preserve">.  AT&amp;T agrees that the Bureau has jurisdiction over it and the matters contained in this Consent Decree and has the </w:t>
      </w:r>
      <w:r w:rsidRPr="00A97DC1">
        <w:t>authority</w:t>
      </w:r>
      <w:r w:rsidRPr="00A97DC1">
        <w:rPr>
          <w:szCs w:val="22"/>
        </w:rPr>
        <w:t xml:space="preserve"> to enter into and adopt this Consent Decree.</w:t>
      </w:r>
    </w:p>
    <w:p w14:paraId="7C2A4DA2"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Effective Date; Violations</w:t>
      </w:r>
      <w:r w:rsidRPr="00A97DC1">
        <w:rPr>
          <w:szCs w:val="22"/>
        </w:rPr>
        <w:t xml:space="preserve">.  The </w:t>
      </w:r>
      <w:r w:rsidRPr="00A97DC1">
        <w:t>Parties</w:t>
      </w:r>
      <w:r w:rsidRPr="00A97DC1">
        <w:rPr>
          <w:szCs w:val="22"/>
        </w:rPr>
        <w:t xml:space="preserve"> agree that this Consent Decree shall become effective on the Effective Date as defined herein.  As of the Effective Date, the Parties agree that this Consent Decree shall have the same force and effect as any other order of the Commission.</w:t>
      </w:r>
    </w:p>
    <w:p w14:paraId="7DF14CA3"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Termination of Investigation</w:t>
      </w:r>
      <w:r w:rsidRPr="00A97DC1">
        <w:rPr>
          <w:szCs w:val="22"/>
        </w:rPr>
        <w:t>.  In express reliance on the covenants and representations in this Consent Decree and to avoid further expenditure of public resources, the Bureau agrees to terminate the Investigation.  In consideration for the termination of the Investigation, AT&amp;T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AT&amp;T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AT&amp;T’s basic qualifications to be a Commission licensee or hold Commission licenses or authorizations.</w:t>
      </w:r>
      <w:r w:rsidRPr="00A97DC1">
        <w:rPr>
          <w:szCs w:val="22"/>
          <w:vertAlign w:val="superscript"/>
        </w:rPr>
        <w:footnoteReference w:id="21"/>
      </w:r>
    </w:p>
    <w:p w14:paraId="2D16151C" w14:textId="77777777" w:rsidR="00A97DC1" w:rsidRPr="00A97DC1" w:rsidRDefault="00A97DC1" w:rsidP="007E2263">
      <w:pPr>
        <w:widowControl/>
        <w:numPr>
          <w:ilvl w:val="0"/>
          <w:numId w:val="1"/>
        </w:numPr>
        <w:tabs>
          <w:tab w:val="clear" w:pos="1080"/>
          <w:tab w:val="num" w:pos="1440"/>
        </w:tabs>
        <w:rPr>
          <w:szCs w:val="22"/>
        </w:rPr>
      </w:pPr>
      <w:r w:rsidRPr="00A97DC1">
        <w:rPr>
          <w:b/>
          <w:szCs w:val="22"/>
          <w:u w:val="single"/>
        </w:rPr>
        <w:t>Admission of Liability</w:t>
      </w:r>
      <w:r w:rsidRPr="00A97DC1">
        <w:rPr>
          <w:szCs w:val="22"/>
        </w:rPr>
        <w:t xml:space="preserve">.  </w:t>
      </w:r>
      <w:r w:rsidRPr="00A97DC1">
        <w:rPr>
          <w:w w:val="105"/>
          <w:szCs w:val="22"/>
        </w:rPr>
        <w:t>AT&amp;T admits, for the purpose of this Consent Decree and for Commission civil enforcement purposes, and in express reliance on the provisions of paragraph 8</w:t>
      </w:r>
      <w:r w:rsidRPr="00A97DC1">
        <w:rPr>
          <w:spacing w:val="32"/>
          <w:w w:val="105"/>
          <w:szCs w:val="22"/>
        </w:rPr>
        <w:t xml:space="preserve"> h</w:t>
      </w:r>
      <w:r w:rsidRPr="00A97DC1">
        <w:rPr>
          <w:w w:val="105"/>
          <w:szCs w:val="22"/>
        </w:rPr>
        <w:t>erein,</w:t>
      </w:r>
      <w:r w:rsidRPr="00A97DC1">
        <w:rPr>
          <w:szCs w:val="22"/>
        </w:rPr>
        <w:t xml:space="preserve"> </w:t>
      </w:r>
      <w:r w:rsidRPr="00A97DC1">
        <w:rPr>
          <w:w w:val="105"/>
          <w:szCs w:val="22"/>
        </w:rPr>
        <w:t>that its actions that were the subject of the NAL violated the Licensing</w:t>
      </w:r>
      <w:r w:rsidRPr="00A97DC1">
        <w:rPr>
          <w:spacing w:val="26"/>
          <w:w w:val="105"/>
          <w:szCs w:val="22"/>
        </w:rPr>
        <w:t xml:space="preserve"> </w:t>
      </w:r>
      <w:r w:rsidRPr="00A97DC1">
        <w:rPr>
          <w:w w:val="105"/>
          <w:szCs w:val="22"/>
        </w:rPr>
        <w:t>Rules.</w:t>
      </w:r>
    </w:p>
    <w:p w14:paraId="43348B71" w14:textId="77777777" w:rsidR="00A97DC1" w:rsidRPr="00A97DC1" w:rsidRDefault="00A97DC1" w:rsidP="007E2263">
      <w:pPr>
        <w:widowControl/>
        <w:numPr>
          <w:ilvl w:val="0"/>
          <w:numId w:val="1"/>
        </w:numPr>
        <w:tabs>
          <w:tab w:val="clear" w:pos="1080"/>
          <w:tab w:val="num" w:pos="1440"/>
        </w:tabs>
        <w:rPr>
          <w:szCs w:val="22"/>
        </w:rPr>
      </w:pPr>
      <w:bookmarkStart w:id="2" w:name="_Ref379202869"/>
      <w:r w:rsidRPr="00A97DC1">
        <w:rPr>
          <w:b/>
          <w:szCs w:val="22"/>
          <w:u w:val="single"/>
        </w:rPr>
        <w:t>Compliance Officer</w:t>
      </w:r>
      <w:r w:rsidRPr="00A97DC1">
        <w:rPr>
          <w:szCs w:val="22"/>
        </w:rPr>
        <w:t xml:space="preserve">.  </w:t>
      </w:r>
      <w:bookmarkEnd w:id="2"/>
      <w:r w:rsidRPr="00A97DC1">
        <w:rPr>
          <w:w w:val="105"/>
          <w:szCs w:val="22"/>
        </w:rPr>
        <w:t>Within thirty (30) calendar days after the Effective Date,</w:t>
      </w:r>
      <w:r w:rsidRPr="00A97DC1">
        <w:rPr>
          <w:spacing w:val="24"/>
          <w:w w:val="105"/>
          <w:szCs w:val="22"/>
        </w:rPr>
        <w:t xml:space="preserve"> </w:t>
      </w:r>
      <w:r w:rsidRPr="00A97DC1">
        <w:rPr>
          <w:w w:val="105"/>
          <w:szCs w:val="22"/>
        </w:rPr>
        <w:t>AT&amp;T</w:t>
      </w:r>
      <w:r w:rsidRPr="00A97DC1">
        <w:rPr>
          <w:w w:val="102"/>
          <w:szCs w:val="22"/>
        </w:rPr>
        <w:t xml:space="preserve"> </w:t>
      </w:r>
      <w:r w:rsidRPr="00A97DC1">
        <w:rPr>
          <w:w w:val="105"/>
          <w:szCs w:val="22"/>
        </w:rPr>
        <w:t>shall designate a senior corporate manager with the requisite corporate and organizational authority</w:t>
      </w:r>
      <w:r w:rsidRPr="00A97DC1">
        <w:rPr>
          <w:spacing w:val="18"/>
          <w:w w:val="105"/>
          <w:szCs w:val="22"/>
        </w:rPr>
        <w:t xml:space="preserve"> </w:t>
      </w:r>
      <w:r w:rsidRPr="00A97DC1">
        <w:rPr>
          <w:w w:val="105"/>
          <w:szCs w:val="22"/>
        </w:rPr>
        <w:t>to</w:t>
      </w:r>
      <w:r w:rsidRPr="00A97DC1">
        <w:rPr>
          <w:w w:val="101"/>
          <w:szCs w:val="22"/>
        </w:rPr>
        <w:t xml:space="preserve"> </w:t>
      </w:r>
      <w:r w:rsidRPr="00A97DC1">
        <w:rPr>
          <w:w w:val="105"/>
          <w:szCs w:val="22"/>
        </w:rPr>
        <w:t>serve as a Compliance Officer and to discharge the duties set forth below.  The person designated as</w:t>
      </w:r>
      <w:r w:rsidRPr="00A97DC1">
        <w:rPr>
          <w:spacing w:val="50"/>
          <w:w w:val="105"/>
          <w:szCs w:val="22"/>
        </w:rPr>
        <w:t xml:space="preserve"> </w:t>
      </w:r>
      <w:r w:rsidRPr="00A97DC1">
        <w:rPr>
          <w:w w:val="105"/>
          <w:szCs w:val="22"/>
        </w:rPr>
        <w:t>the</w:t>
      </w:r>
      <w:r w:rsidRPr="00A97DC1">
        <w:rPr>
          <w:w w:val="104"/>
          <w:szCs w:val="22"/>
        </w:rPr>
        <w:t xml:space="preserve"> </w:t>
      </w:r>
      <w:r w:rsidRPr="00A97DC1">
        <w:rPr>
          <w:w w:val="105"/>
          <w:szCs w:val="22"/>
        </w:rPr>
        <w:t>Compliance Officer shall be responsible for developing, implementing, and administering the</w:t>
      </w:r>
      <w:r w:rsidRPr="00A97DC1">
        <w:rPr>
          <w:spacing w:val="32"/>
          <w:w w:val="105"/>
          <w:szCs w:val="22"/>
        </w:rPr>
        <w:t xml:space="preserve"> </w:t>
      </w:r>
      <w:r w:rsidRPr="00A97DC1">
        <w:rPr>
          <w:w w:val="105"/>
          <w:szCs w:val="22"/>
        </w:rPr>
        <w:t>Compliance</w:t>
      </w:r>
      <w:r w:rsidRPr="00A97DC1">
        <w:rPr>
          <w:w w:val="102"/>
          <w:szCs w:val="22"/>
        </w:rPr>
        <w:t xml:space="preserve"> </w:t>
      </w:r>
      <w:r w:rsidRPr="00A97DC1">
        <w:rPr>
          <w:w w:val="105"/>
          <w:szCs w:val="22"/>
        </w:rPr>
        <w:t>Plan and ensuring that AT&amp;T complies with the terms and conditions of the Compliance Plan and</w:t>
      </w:r>
      <w:r w:rsidRPr="00A97DC1">
        <w:rPr>
          <w:spacing w:val="2"/>
          <w:w w:val="105"/>
          <w:szCs w:val="22"/>
        </w:rPr>
        <w:t xml:space="preserve"> </w:t>
      </w:r>
      <w:r w:rsidRPr="00A97DC1">
        <w:rPr>
          <w:w w:val="105"/>
          <w:szCs w:val="22"/>
        </w:rPr>
        <w:t>this</w:t>
      </w:r>
      <w:r w:rsidRPr="00A97DC1">
        <w:rPr>
          <w:w w:val="103"/>
          <w:szCs w:val="22"/>
        </w:rPr>
        <w:t xml:space="preserve"> </w:t>
      </w:r>
      <w:r w:rsidRPr="00A97DC1">
        <w:rPr>
          <w:w w:val="105"/>
          <w:szCs w:val="22"/>
        </w:rPr>
        <w:t xml:space="preserve">Consent Decree.  </w:t>
      </w:r>
      <w:r w:rsidRPr="00A97DC1">
        <w:rPr>
          <w:spacing w:val="-2"/>
          <w:szCs w:val="22"/>
        </w:rPr>
        <w:t>In</w:t>
      </w:r>
      <w:r w:rsidRPr="00A97DC1">
        <w:rPr>
          <w:szCs w:val="22"/>
        </w:rPr>
        <w:t xml:space="preserve"> </w:t>
      </w:r>
      <w:r w:rsidRPr="00A97DC1">
        <w:rPr>
          <w:spacing w:val="-1"/>
          <w:szCs w:val="22"/>
        </w:rPr>
        <w:t>addition</w:t>
      </w:r>
      <w:r w:rsidRPr="00A97DC1">
        <w:rPr>
          <w:spacing w:val="1"/>
          <w:szCs w:val="22"/>
        </w:rPr>
        <w:t xml:space="preserve"> </w:t>
      </w:r>
      <w:r w:rsidRPr="00A97DC1">
        <w:rPr>
          <w:szCs w:val="22"/>
        </w:rPr>
        <w:t>to</w:t>
      </w:r>
      <w:r w:rsidRPr="00A97DC1">
        <w:rPr>
          <w:spacing w:val="-3"/>
          <w:szCs w:val="22"/>
        </w:rPr>
        <w:t xml:space="preserve"> </w:t>
      </w:r>
      <w:r w:rsidRPr="00A97DC1">
        <w:rPr>
          <w:szCs w:val="22"/>
        </w:rPr>
        <w:t xml:space="preserve">the </w:t>
      </w:r>
      <w:r w:rsidRPr="00A97DC1">
        <w:rPr>
          <w:spacing w:val="-1"/>
          <w:szCs w:val="22"/>
        </w:rPr>
        <w:t>general</w:t>
      </w:r>
      <w:r w:rsidRPr="00A97DC1">
        <w:rPr>
          <w:spacing w:val="1"/>
          <w:szCs w:val="22"/>
        </w:rPr>
        <w:t xml:space="preserve"> </w:t>
      </w:r>
      <w:r w:rsidRPr="00A97DC1">
        <w:rPr>
          <w:spacing w:val="-1"/>
          <w:szCs w:val="22"/>
        </w:rPr>
        <w:t>knowledge</w:t>
      </w:r>
      <w:r w:rsidRPr="00A97DC1">
        <w:rPr>
          <w:szCs w:val="22"/>
        </w:rPr>
        <w:t xml:space="preserve"> of</w:t>
      </w:r>
      <w:r w:rsidRPr="00A97DC1">
        <w:rPr>
          <w:spacing w:val="1"/>
          <w:szCs w:val="22"/>
        </w:rPr>
        <w:t xml:space="preserve"> </w:t>
      </w:r>
      <w:r w:rsidRPr="00A97DC1">
        <w:rPr>
          <w:spacing w:val="-1"/>
          <w:szCs w:val="22"/>
        </w:rPr>
        <w:t>the</w:t>
      </w:r>
      <w:r w:rsidRPr="00A97DC1">
        <w:rPr>
          <w:szCs w:val="22"/>
        </w:rPr>
        <w:t xml:space="preserve"> </w:t>
      </w:r>
      <w:r w:rsidRPr="00A97DC1">
        <w:rPr>
          <w:spacing w:val="-1"/>
          <w:szCs w:val="22"/>
        </w:rPr>
        <w:t>Communications</w:t>
      </w:r>
      <w:r w:rsidRPr="00A97DC1">
        <w:rPr>
          <w:szCs w:val="22"/>
        </w:rPr>
        <w:t xml:space="preserve"> </w:t>
      </w:r>
      <w:r w:rsidRPr="00A97DC1">
        <w:rPr>
          <w:spacing w:val="-2"/>
          <w:szCs w:val="22"/>
        </w:rPr>
        <w:t>Laws</w:t>
      </w:r>
      <w:r w:rsidRPr="00A97DC1">
        <w:rPr>
          <w:szCs w:val="22"/>
        </w:rPr>
        <w:t xml:space="preserve"> </w:t>
      </w:r>
      <w:r w:rsidRPr="00A97DC1">
        <w:rPr>
          <w:spacing w:val="-1"/>
          <w:szCs w:val="22"/>
        </w:rPr>
        <w:t>necessary</w:t>
      </w:r>
      <w:r w:rsidRPr="00A97DC1">
        <w:rPr>
          <w:spacing w:val="-3"/>
          <w:szCs w:val="22"/>
        </w:rPr>
        <w:t xml:space="preserve"> </w:t>
      </w:r>
      <w:r w:rsidRPr="00A97DC1">
        <w:rPr>
          <w:szCs w:val="22"/>
        </w:rPr>
        <w:t>to</w:t>
      </w:r>
      <w:r w:rsidRPr="00A97DC1">
        <w:rPr>
          <w:spacing w:val="49"/>
          <w:szCs w:val="22"/>
        </w:rPr>
        <w:t xml:space="preserve"> </w:t>
      </w:r>
      <w:r w:rsidRPr="00A97DC1">
        <w:rPr>
          <w:spacing w:val="-1"/>
          <w:szCs w:val="22"/>
        </w:rPr>
        <w:t>discharge</w:t>
      </w:r>
      <w:r w:rsidRPr="00A97DC1">
        <w:rPr>
          <w:szCs w:val="22"/>
        </w:rPr>
        <w:t xml:space="preserve"> </w:t>
      </w:r>
      <w:r w:rsidRPr="00A97DC1">
        <w:rPr>
          <w:spacing w:val="-1"/>
          <w:szCs w:val="22"/>
        </w:rPr>
        <w:t>his</w:t>
      </w:r>
      <w:r w:rsidRPr="00A97DC1">
        <w:rPr>
          <w:spacing w:val="1"/>
          <w:szCs w:val="22"/>
        </w:rPr>
        <w:t xml:space="preserve"> </w:t>
      </w:r>
      <w:r w:rsidRPr="00A97DC1">
        <w:rPr>
          <w:spacing w:val="-2"/>
          <w:szCs w:val="22"/>
        </w:rPr>
        <w:t>or</w:t>
      </w:r>
      <w:r w:rsidRPr="00A97DC1">
        <w:rPr>
          <w:spacing w:val="1"/>
          <w:szCs w:val="22"/>
        </w:rPr>
        <w:t xml:space="preserve"> </w:t>
      </w:r>
      <w:r w:rsidRPr="00A97DC1">
        <w:rPr>
          <w:spacing w:val="-1"/>
          <w:szCs w:val="22"/>
        </w:rPr>
        <w:t>her</w:t>
      </w:r>
      <w:r w:rsidRPr="00A97DC1">
        <w:rPr>
          <w:szCs w:val="22"/>
        </w:rPr>
        <w:t xml:space="preserve"> </w:t>
      </w:r>
      <w:r w:rsidRPr="00A97DC1">
        <w:rPr>
          <w:spacing w:val="-1"/>
          <w:szCs w:val="22"/>
        </w:rPr>
        <w:t>duties</w:t>
      </w:r>
      <w:r w:rsidRPr="00A97DC1">
        <w:rPr>
          <w:spacing w:val="-2"/>
          <w:szCs w:val="22"/>
        </w:rPr>
        <w:t xml:space="preserve"> </w:t>
      </w:r>
      <w:r w:rsidRPr="00A97DC1">
        <w:rPr>
          <w:szCs w:val="22"/>
        </w:rPr>
        <w:t>under</w:t>
      </w:r>
      <w:r w:rsidRPr="00A97DC1">
        <w:rPr>
          <w:spacing w:val="-2"/>
          <w:szCs w:val="22"/>
        </w:rPr>
        <w:t xml:space="preserve"> </w:t>
      </w:r>
      <w:r w:rsidRPr="00A97DC1">
        <w:rPr>
          <w:spacing w:val="-1"/>
          <w:szCs w:val="22"/>
        </w:rPr>
        <w:t>this</w:t>
      </w:r>
      <w:r w:rsidRPr="00A97DC1">
        <w:rPr>
          <w:szCs w:val="22"/>
        </w:rPr>
        <w:t xml:space="preserve"> </w:t>
      </w:r>
      <w:r w:rsidRPr="00A97DC1">
        <w:rPr>
          <w:spacing w:val="-1"/>
          <w:szCs w:val="22"/>
        </w:rPr>
        <w:t>Consent Decree,</w:t>
      </w:r>
      <w:r w:rsidRPr="00A97DC1">
        <w:rPr>
          <w:spacing w:val="-3"/>
          <w:szCs w:val="22"/>
        </w:rPr>
        <w:t xml:space="preserve"> </w:t>
      </w:r>
      <w:r w:rsidRPr="00A97DC1">
        <w:rPr>
          <w:szCs w:val="22"/>
        </w:rPr>
        <w:t xml:space="preserve">the </w:t>
      </w:r>
      <w:r w:rsidRPr="00A97DC1">
        <w:rPr>
          <w:spacing w:val="-1"/>
          <w:szCs w:val="22"/>
        </w:rPr>
        <w:t>Compliance</w:t>
      </w:r>
      <w:r w:rsidRPr="00A97DC1">
        <w:rPr>
          <w:szCs w:val="22"/>
        </w:rPr>
        <w:t xml:space="preserve"> </w:t>
      </w:r>
      <w:r w:rsidRPr="00A97DC1">
        <w:rPr>
          <w:spacing w:val="-2"/>
          <w:szCs w:val="22"/>
        </w:rPr>
        <w:t>Officer</w:t>
      </w:r>
      <w:r w:rsidRPr="00A97DC1">
        <w:rPr>
          <w:szCs w:val="22"/>
        </w:rPr>
        <w:t xml:space="preserve"> </w:t>
      </w:r>
      <w:r w:rsidRPr="00A97DC1">
        <w:rPr>
          <w:spacing w:val="-1"/>
          <w:szCs w:val="22"/>
        </w:rPr>
        <w:t>shall</w:t>
      </w:r>
      <w:r w:rsidRPr="00A97DC1">
        <w:rPr>
          <w:spacing w:val="1"/>
          <w:szCs w:val="22"/>
        </w:rPr>
        <w:t xml:space="preserve"> </w:t>
      </w:r>
      <w:r w:rsidRPr="00A97DC1">
        <w:rPr>
          <w:spacing w:val="-2"/>
          <w:szCs w:val="22"/>
        </w:rPr>
        <w:t>have</w:t>
      </w:r>
      <w:r w:rsidRPr="00A97DC1">
        <w:rPr>
          <w:szCs w:val="22"/>
        </w:rPr>
        <w:t xml:space="preserve"> specific k</w:t>
      </w:r>
      <w:r w:rsidRPr="00A97DC1">
        <w:rPr>
          <w:spacing w:val="-1"/>
          <w:szCs w:val="22"/>
        </w:rPr>
        <w:t>nowledge</w:t>
      </w:r>
      <w:r w:rsidRPr="00A97DC1">
        <w:rPr>
          <w:szCs w:val="22"/>
        </w:rPr>
        <w:t xml:space="preserve"> of</w:t>
      </w:r>
      <w:r w:rsidRPr="00A97DC1">
        <w:rPr>
          <w:spacing w:val="1"/>
          <w:szCs w:val="22"/>
        </w:rPr>
        <w:t xml:space="preserve"> </w:t>
      </w:r>
      <w:r w:rsidRPr="00A97DC1">
        <w:rPr>
          <w:spacing w:val="-1"/>
          <w:szCs w:val="22"/>
        </w:rPr>
        <w:t>the</w:t>
      </w:r>
      <w:r w:rsidRPr="00A97DC1">
        <w:rPr>
          <w:spacing w:val="1"/>
          <w:szCs w:val="22"/>
        </w:rPr>
        <w:t xml:space="preserve"> </w:t>
      </w:r>
      <w:r w:rsidRPr="00A97DC1">
        <w:rPr>
          <w:spacing w:val="-1"/>
          <w:szCs w:val="22"/>
        </w:rPr>
        <w:t>Licensing</w:t>
      </w:r>
      <w:r w:rsidRPr="00A97DC1">
        <w:rPr>
          <w:spacing w:val="-2"/>
          <w:szCs w:val="22"/>
        </w:rPr>
        <w:t xml:space="preserve"> </w:t>
      </w:r>
      <w:r w:rsidRPr="00A97DC1">
        <w:rPr>
          <w:spacing w:val="-1"/>
          <w:szCs w:val="22"/>
        </w:rPr>
        <w:t>Rules</w:t>
      </w:r>
      <w:r w:rsidRPr="00A97DC1">
        <w:rPr>
          <w:spacing w:val="-2"/>
          <w:szCs w:val="22"/>
        </w:rPr>
        <w:t xml:space="preserve"> </w:t>
      </w:r>
      <w:r w:rsidRPr="00A97DC1">
        <w:rPr>
          <w:spacing w:val="-1"/>
          <w:szCs w:val="22"/>
        </w:rPr>
        <w:t>prior</w:t>
      </w:r>
      <w:r w:rsidRPr="00A97DC1">
        <w:rPr>
          <w:spacing w:val="-2"/>
          <w:szCs w:val="22"/>
        </w:rPr>
        <w:t xml:space="preserve"> </w:t>
      </w:r>
      <w:r w:rsidRPr="00A97DC1">
        <w:rPr>
          <w:szCs w:val="22"/>
        </w:rPr>
        <w:t xml:space="preserve">to </w:t>
      </w:r>
      <w:r w:rsidRPr="00A97DC1">
        <w:rPr>
          <w:spacing w:val="-1"/>
          <w:szCs w:val="22"/>
        </w:rPr>
        <w:t>assuming</w:t>
      </w:r>
      <w:r w:rsidRPr="00A97DC1">
        <w:rPr>
          <w:spacing w:val="-3"/>
          <w:szCs w:val="22"/>
        </w:rPr>
        <w:t xml:space="preserve"> </w:t>
      </w:r>
      <w:r w:rsidRPr="00A97DC1">
        <w:rPr>
          <w:spacing w:val="-1"/>
          <w:szCs w:val="22"/>
        </w:rPr>
        <w:t>his/her</w:t>
      </w:r>
      <w:r w:rsidRPr="00A97DC1">
        <w:rPr>
          <w:szCs w:val="22"/>
        </w:rPr>
        <w:t xml:space="preserve"> </w:t>
      </w:r>
      <w:r w:rsidRPr="00A97DC1">
        <w:rPr>
          <w:spacing w:val="-1"/>
          <w:szCs w:val="22"/>
        </w:rPr>
        <w:t>duties.</w:t>
      </w:r>
      <w:r w:rsidRPr="00A97DC1">
        <w:rPr>
          <w:w w:val="105"/>
          <w:szCs w:val="22"/>
        </w:rPr>
        <w:t xml:space="preserve"> The Compliance Officer may use</w:t>
      </w:r>
      <w:r w:rsidRPr="00A97DC1">
        <w:rPr>
          <w:spacing w:val="4"/>
          <w:w w:val="105"/>
          <w:szCs w:val="22"/>
        </w:rPr>
        <w:t xml:space="preserve"> </w:t>
      </w:r>
      <w:r w:rsidRPr="00A97DC1">
        <w:rPr>
          <w:w w:val="105"/>
          <w:szCs w:val="22"/>
        </w:rPr>
        <w:t>the</w:t>
      </w:r>
      <w:r w:rsidRPr="00A97DC1">
        <w:rPr>
          <w:w w:val="104"/>
          <w:szCs w:val="22"/>
        </w:rPr>
        <w:t xml:space="preserve"> </w:t>
      </w:r>
      <w:r w:rsidRPr="00A97DC1">
        <w:rPr>
          <w:w w:val="105"/>
          <w:szCs w:val="22"/>
        </w:rPr>
        <w:t>resources of legal counsel, consultants and/or other AT&amp;T managers to</w:t>
      </w:r>
      <w:r w:rsidRPr="00A97DC1">
        <w:rPr>
          <w:w w:val="104"/>
          <w:szCs w:val="22"/>
        </w:rPr>
        <w:t xml:space="preserve"> </w:t>
      </w:r>
      <w:r w:rsidRPr="00A97DC1">
        <w:rPr>
          <w:w w:val="105"/>
          <w:szCs w:val="22"/>
        </w:rPr>
        <w:t>aid the Compliance Officer in the discharge of his/her duties under this Consent</w:t>
      </w:r>
      <w:r w:rsidRPr="00A97DC1">
        <w:rPr>
          <w:spacing w:val="40"/>
          <w:w w:val="105"/>
          <w:szCs w:val="22"/>
        </w:rPr>
        <w:t xml:space="preserve"> </w:t>
      </w:r>
      <w:r w:rsidRPr="00A97DC1">
        <w:rPr>
          <w:w w:val="105"/>
          <w:szCs w:val="22"/>
        </w:rPr>
        <w:t>Decree.</w:t>
      </w:r>
    </w:p>
    <w:p w14:paraId="51D657B3" w14:textId="77777777" w:rsidR="00A97DC1" w:rsidRPr="00A97DC1" w:rsidRDefault="00A97DC1" w:rsidP="007E2263">
      <w:pPr>
        <w:widowControl/>
        <w:numPr>
          <w:ilvl w:val="0"/>
          <w:numId w:val="1"/>
        </w:numPr>
        <w:tabs>
          <w:tab w:val="clear" w:pos="1080"/>
          <w:tab w:val="num" w:pos="1440"/>
        </w:tabs>
        <w:rPr>
          <w:szCs w:val="22"/>
        </w:rPr>
      </w:pPr>
      <w:r w:rsidRPr="00A97DC1">
        <w:rPr>
          <w:b/>
          <w:szCs w:val="22"/>
          <w:u w:val="single"/>
        </w:rPr>
        <w:t>Compliance Plan</w:t>
      </w:r>
      <w:r w:rsidRPr="00A97DC1">
        <w:rPr>
          <w:szCs w:val="22"/>
        </w:rPr>
        <w:t xml:space="preserve">.  </w:t>
      </w:r>
      <w:r w:rsidRPr="00A97DC1">
        <w:rPr>
          <w:w w:val="105"/>
        </w:rPr>
        <w:t>For purposes of settling the matters set forth herein, AT&amp;T</w:t>
      </w:r>
      <w:r w:rsidRPr="00A97DC1">
        <w:rPr>
          <w:spacing w:val="32"/>
          <w:w w:val="105"/>
        </w:rPr>
        <w:t xml:space="preserve"> </w:t>
      </w:r>
      <w:r w:rsidRPr="00A97DC1">
        <w:rPr>
          <w:w w:val="105"/>
        </w:rPr>
        <w:t>agrees</w:t>
      </w:r>
      <w:r w:rsidRPr="00A97DC1">
        <w:rPr>
          <w:w w:val="103"/>
        </w:rPr>
        <w:t xml:space="preserve"> to the following steps to ensure compliance with the Licensing Rules for microwave stations acquired in Covered Transactions</w:t>
      </w:r>
      <w:r w:rsidRPr="00A97DC1">
        <w:rPr>
          <w:w w:val="105"/>
        </w:rPr>
        <w:t>.  AT&amp;T shall, within sixty (60) calendar days after the Effective Date, develop and implement</w:t>
      </w:r>
      <w:r w:rsidRPr="00A97DC1">
        <w:rPr>
          <w:spacing w:val="40"/>
          <w:w w:val="105"/>
        </w:rPr>
        <w:t xml:space="preserve"> </w:t>
      </w:r>
      <w:r w:rsidRPr="00A97DC1">
        <w:rPr>
          <w:w w:val="105"/>
        </w:rPr>
        <w:t>a</w:t>
      </w:r>
      <w:r w:rsidRPr="00A97DC1">
        <w:rPr>
          <w:w w:val="109"/>
        </w:rPr>
        <w:t xml:space="preserve"> </w:t>
      </w:r>
      <w:r w:rsidRPr="00A97DC1">
        <w:rPr>
          <w:w w:val="105"/>
        </w:rPr>
        <w:t>Compliance Plan designed to ensure future compliance with the Communications Laws and with</w:t>
      </w:r>
      <w:r w:rsidRPr="00A97DC1">
        <w:rPr>
          <w:spacing w:val="25"/>
          <w:w w:val="105"/>
        </w:rPr>
        <w:t xml:space="preserve"> </w:t>
      </w:r>
      <w:r w:rsidRPr="00A97DC1">
        <w:rPr>
          <w:w w:val="105"/>
        </w:rPr>
        <w:t>the</w:t>
      </w:r>
      <w:r w:rsidRPr="00A97DC1">
        <w:rPr>
          <w:w w:val="104"/>
        </w:rPr>
        <w:t xml:space="preserve"> </w:t>
      </w:r>
      <w:r w:rsidRPr="00A97DC1">
        <w:rPr>
          <w:w w:val="105"/>
        </w:rPr>
        <w:t>terms and conditions of this Consent Decree with respect to Covered Transactions.</w:t>
      </w:r>
      <w:r w:rsidRPr="00A97DC1">
        <w:rPr>
          <w:w w:val="105"/>
          <w:sz w:val="20"/>
          <w:vertAlign w:val="superscript"/>
        </w:rPr>
        <w:footnoteReference w:id="22"/>
      </w:r>
      <w:r w:rsidRPr="00A97DC1">
        <w:rPr>
          <w:w w:val="105"/>
        </w:rPr>
        <w:t xml:space="preserve">  Specifically, within sixty (60) calendar days after the Effective</w:t>
      </w:r>
      <w:r w:rsidRPr="00A97DC1">
        <w:rPr>
          <w:spacing w:val="13"/>
          <w:w w:val="105"/>
        </w:rPr>
        <w:t xml:space="preserve"> </w:t>
      </w:r>
      <w:r w:rsidRPr="00A97DC1">
        <w:rPr>
          <w:w w:val="105"/>
        </w:rPr>
        <w:t>Date,</w:t>
      </w:r>
      <w:r w:rsidRPr="00A97DC1">
        <w:rPr>
          <w:w w:val="101"/>
        </w:rPr>
        <w:t xml:space="preserve"> </w:t>
      </w:r>
      <w:r w:rsidRPr="00A97DC1">
        <w:rPr>
          <w:w w:val="105"/>
        </w:rPr>
        <w:t>AT&amp;T shall establish Operating Procedures that all Covered Employees</w:t>
      </w:r>
      <w:r w:rsidRPr="00A97DC1">
        <w:rPr>
          <w:spacing w:val="4"/>
          <w:w w:val="105"/>
        </w:rPr>
        <w:t xml:space="preserve"> </w:t>
      </w:r>
      <w:r w:rsidRPr="00A97DC1">
        <w:rPr>
          <w:w w:val="105"/>
        </w:rPr>
        <w:t>must</w:t>
      </w:r>
      <w:r w:rsidRPr="00A97DC1">
        <w:rPr>
          <w:w w:val="102"/>
        </w:rPr>
        <w:t xml:space="preserve"> </w:t>
      </w:r>
      <w:r w:rsidRPr="00A97DC1">
        <w:rPr>
          <w:w w:val="105"/>
        </w:rPr>
        <w:t>follow to ensure AT&amp;T's compliance with the Licensing Rules with respect to microwave stations acquired in Covered Transactions.</w:t>
      </w:r>
      <w:r w:rsidRPr="00A97DC1">
        <w:rPr>
          <w:spacing w:val="27"/>
          <w:w w:val="105"/>
        </w:rPr>
        <w:t xml:space="preserve">  </w:t>
      </w:r>
      <w:r w:rsidRPr="00A97DC1">
        <w:rPr>
          <w:w w:val="105"/>
        </w:rPr>
        <w:t>AT&amp;T’s</w:t>
      </w:r>
      <w:r w:rsidRPr="00A97DC1">
        <w:rPr>
          <w:w w:val="106"/>
        </w:rPr>
        <w:t xml:space="preserve"> </w:t>
      </w:r>
      <w:r w:rsidRPr="00A97DC1">
        <w:rPr>
          <w:w w:val="105"/>
        </w:rPr>
        <w:t>Operating Procedures shall include internal procedures and policies</w:t>
      </w:r>
      <w:r w:rsidRPr="00A97DC1">
        <w:rPr>
          <w:spacing w:val="46"/>
          <w:w w:val="105"/>
        </w:rPr>
        <w:t xml:space="preserve"> </w:t>
      </w:r>
      <w:r w:rsidRPr="00A97DC1">
        <w:rPr>
          <w:w w:val="105"/>
        </w:rPr>
        <w:t>specifically</w:t>
      </w:r>
      <w:r w:rsidRPr="00A97DC1">
        <w:rPr>
          <w:w w:val="103"/>
        </w:rPr>
        <w:t xml:space="preserve"> </w:t>
      </w:r>
      <w:r w:rsidRPr="00A97DC1">
        <w:rPr>
          <w:w w:val="105"/>
        </w:rPr>
        <w:t>designed to ensure that it operates microwave stations acquired in Covered Transactions in accordance with</w:t>
      </w:r>
      <w:r w:rsidRPr="00A97DC1">
        <w:rPr>
          <w:spacing w:val="2"/>
          <w:w w:val="105"/>
        </w:rPr>
        <w:t xml:space="preserve"> </w:t>
      </w:r>
      <w:r w:rsidRPr="00A97DC1">
        <w:rPr>
          <w:w w:val="105"/>
        </w:rPr>
        <w:t>their</w:t>
      </w:r>
      <w:r w:rsidRPr="00A97DC1">
        <w:rPr>
          <w:w w:val="103"/>
        </w:rPr>
        <w:t xml:space="preserve"> </w:t>
      </w:r>
      <w:r w:rsidRPr="00A97DC1">
        <w:rPr>
          <w:w w:val="105"/>
        </w:rPr>
        <w:t>authorizations.</w:t>
      </w:r>
      <w:r w:rsidRPr="00A97DC1">
        <w:t xml:space="preserve">  The Operating Procedures shall require, at a minimum, that:</w:t>
      </w:r>
      <w:r w:rsidRPr="00A97DC1">
        <w:rPr>
          <w:b/>
          <w:szCs w:val="22"/>
          <w:highlight w:val="yellow"/>
        </w:rPr>
        <w:t xml:space="preserve"> </w:t>
      </w:r>
    </w:p>
    <w:p w14:paraId="26EF4C37" w14:textId="77777777" w:rsidR="00A97DC1" w:rsidRPr="00A97DC1" w:rsidRDefault="00A97DC1" w:rsidP="00A97DC1">
      <w:pPr>
        <w:widowControl/>
        <w:numPr>
          <w:ilvl w:val="0"/>
          <w:numId w:val="49"/>
        </w:numPr>
        <w:tabs>
          <w:tab w:val="left" w:pos="1583"/>
        </w:tabs>
        <w:spacing w:after="120"/>
        <w:ind w:left="1814" w:right="475"/>
        <w:rPr>
          <w:snapToGrid/>
          <w:kern w:val="0"/>
          <w:szCs w:val="22"/>
        </w:rPr>
      </w:pPr>
      <w:r w:rsidRPr="00A97DC1">
        <w:rPr>
          <w:i/>
          <w:snapToGrid/>
          <w:kern w:val="0"/>
          <w:szCs w:val="22"/>
        </w:rPr>
        <w:t>Analysis and Corrective Filings</w:t>
      </w:r>
      <w:r w:rsidRPr="00A97DC1">
        <w:rPr>
          <w:snapToGrid/>
          <w:kern w:val="0"/>
          <w:szCs w:val="22"/>
        </w:rPr>
        <w:t>.  AT&amp;T will analyze all microwave stations acquired in a Covered Transaction to determine whether the station is being operated consistently with its authorization.  Within 90 days of completing a Covered Transaction, AT&amp;T shall review all compliance documentation obtained from the seller with respect to each acquired microwave authorization to determine whether any information (such as an as-built survey) is needed to complete this analysis (the Gap Analysis).  Subsequent to the Gap Analysis, AT&amp;T shall acquire any necessary surveys or other documentation necessary to determine, with respect to each acquired microwave station, whether it is operating in accordance with its authorization.  In the event that it determines that a station is not operating in accordance with its authorization, AT&amp;T shall submit a corrective filing to the Commission to amend the authorization as needed.  Absent circumstances beyond AT&amp;T’s control, such as the need for cooperation from an uncooperative tower owner, any corrective filing shall be made within 60 days of the time the need for such a filing is determined as a result of AT&amp;T’s analysis, except that if AT&amp;T determines, during the 60 day period, an additional basis for a corrective filing, the corrective filing for the license shall be made within 60 days of such subsequent determination.</w:t>
      </w:r>
    </w:p>
    <w:p w14:paraId="454B99D2" w14:textId="77777777" w:rsidR="00A97DC1" w:rsidRPr="00A97DC1" w:rsidRDefault="00A97DC1" w:rsidP="00A97DC1">
      <w:pPr>
        <w:widowControl/>
        <w:numPr>
          <w:ilvl w:val="0"/>
          <w:numId w:val="49"/>
        </w:numPr>
        <w:tabs>
          <w:tab w:val="left" w:pos="1583"/>
        </w:tabs>
        <w:spacing w:after="120"/>
        <w:ind w:left="1814" w:right="475"/>
        <w:rPr>
          <w:snapToGrid/>
          <w:kern w:val="0"/>
          <w:szCs w:val="22"/>
        </w:rPr>
      </w:pPr>
      <w:r w:rsidRPr="00A97DC1">
        <w:rPr>
          <w:i/>
          <w:snapToGrid/>
          <w:kern w:val="0"/>
          <w:szCs w:val="22"/>
        </w:rPr>
        <w:t>180-Day Compliance Report</w:t>
      </w:r>
      <w:r w:rsidRPr="00A97DC1">
        <w:rPr>
          <w:snapToGrid/>
          <w:kern w:val="0"/>
          <w:szCs w:val="22"/>
        </w:rPr>
        <w:t xml:space="preserve">.  Within 180 days of completing a Covered Transaction, AT&amp;T shall submit a Compliance Report to the Bureau in which, for each acquired microwave station, it indicates: (i) whether it has completed its analysis of the station to determine if it is operating in accordance with its authorization; (ii) if so, whether the station requires a corrective filing and the date this was determined; (iii) for each such station, the nature of the corrective filing required (such as a major or minor modification or a cancellation notice), as well as the reason for the corrective filing (such as that a new survey indicates that the elevation differs from the elevation indicated in the Commission’s records, or that the station is no longer in use); (iv) the total number of such authorizations identified as of the date of the report that require a corrective filing; and (v) the number of authorizations for which corrective filings have been submitted as of the date of the report.  </w:t>
      </w:r>
    </w:p>
    <w:p w14:paraId="0058DDD7" w14:textId="77777777" w:rsidR="00A97DC1" w:rsidRPr="00A97DC1" w:rsidRDefault="00A97DC1" w:rsidP="00A97DC1">
      <w:pPr>
        <w:widowControl/>
        <w:numPr>
          <w:ilvl w:val="0"/>
          <w:numId w:val="49"/>
        </w:numPr>
        <w:tabs>
          <w:tab w:val="left" w:pos="1583"/>
        </w:tabs>
        <w:spacing w:after="120"/>
        <w:ind w:left="1814" w:right="475"/>
        <w:rPr>
          <w:snapToGrid/>
          <w:kern w:val="0"/>
          <w:szCs w:val="22"/>
        </w:rPr>
      </w:pPr>
      <w:r w:rsidRPr="00A97DC1">
        <w:rPr>
          <w:i/>
          <w:snapToGrid/>
          <w:kern w:val="0"/>
          <w:szCs w:val="22"/>
        </w:rPr>
        <w:t>1-year Compliance Report</w:t>
      </w:r>
      <w:r w:rsidRPr="00A97DC1">
        <w:rPr>
          <w:snapToGrid/>
          <w:kern w:val="0"/>
          <w:szCs w:val="22"/>
        </w:rPr>
        <w:t xml:space="preserve">.  Within one year of completing a Covered Transaction, AT&amp;T shall submit a Compliance Report to the Bureau in which for each acquired microwave station, it indicates: (i) whether it has completed its analysis of the station to determine if it is operating in accordance with its authorization; (ii) if so, whether the station requires a corrective filing and the date this was determined; (iii) for each such station, the nature of the corrective filing required (such as a major or minor modification or a cancellation notice), as well as the reason for the corrective filing (such as that a new survey indicates that the elevation differs from the elevation indicated in the Commission’s records, or that the station is no longer in use); (iv) the total number of such authorizations identified as of the date of the report that require a corrective filing; and (v) the number of authorizations for which corrective filings have been submitted as of the date of the report.  Within one year of completing a Covered Transaction involving the acquisition of 150 microwave station authorizations or fewer, AT&amp;T shall submit, as part of its </w:t>
      </w:r>
      <w:r w:rsidRPr="00A97DC1">
        <w:rPr>
          <w:i/>
          <w:snapToGrid/>
          <w:kern w:val="0"/>
          <w:szCs w:val="22"/>
        </w:rPr>
        <w:t>1-year Compliance Report</w:t>
      </w:r>
      <w:r w:rsidRPr="00A97DC1">
        <w:rPr>
          <w:snapToGrid/>
          <w:kern w:val="0"/>
          <w:szCs w:val="22"/>
        </w:rPr>
        <w:t xml:space="preserve">, a certification that it has identified all microwave stations acquired in the Covered Transaction that require a corrective filing and has submitted all such corrective filings. </w:t>
      </w:r>
    </w:p>
    <w:p w14:paraId="6C433EB2" w14:textId="77777777" w:rsidR="00A97DC1" w:rsidRPr="00A97DC1" w:rsidRDefault="00A97DC1" w:rsidP="00A97DC1">
      <w:pPr>
        <w:widowControl/>
        <w:numPr>
          <w:ilvl w:val="0"/>
          <w:numId w:val="49"/>
        </w:numPr>
        <w:tabs>
          <w:tab w:val="left" w:pos="1583"/>
        </w:tabs>
        <w:ind w:left="1814" w:right="475"/>
        <w:contextualSpacing/>
        <w:rPr>
          <w:snapToGrid/>
          <w:kern w:val="0"/>
          <w:szCs w:val="22"/>
        </w:rPr>
      </w:pPr>
      <w:r w:rsidRPr="00A97DC1">
        <w:rPr>
          <w:i/>
          <w:snapToGrid/>
          <w:kern w:val="0"/>
          <w:szCs w:val="22"/>
        </w:rPr>
        <w:t>2-year Compliance Report</w:t>
      </w:r>
      <w:r w:rsidRPr="00A97DC1">
        <w:rPr>
          <w:snapToGrid/>
          <w:kern w:val="0"/>
          <w:szCs w:val="22"/>
        </w:rPr>
        <w:t>.  Within two years of completing a Covered Transaction involving the acquisition of more than 150 microwave station authorizations, AT&amp;T shall submit a Compliance Report to the Bureau in which for each acquired microwave station, it indicates: (i) whether it has completed its analysis of the station to determine if it is operating in accordance with its authorization; (ii) if so, whether the station requires a corrective filing and the date this was determined; (iii) for each such station, the nature of the corrective filing required (such as a major or minor modification or a cancellation notice), as well as the reason for the corrective filing (such as that a new survey indicates that the elevation differs from the elevation indicated in the Commission’s records, or that the station is no longer in use); (iv) the total number of such authorizations identified as of the date of the report that require a corrective filing; and (v) the number of authorizations for which corrective filings have been submitted as of the date of the report.  AT&amp;T shall submit, as part of its 2</w:t>
      </w:r>
      <w:r w:rsidRPr="00A97DC1">
        <w:rPr>
          <w:i/>
          <w:snapToGrid/>
          <w:kern w:val="0"/>
          <w:szCs w:val="22"/>
        </w:rPr>
        <w:t>-year Compliance Report</w:t>
      </w:r>
      <w:r w:rsidRPr="00A97DC1">
        <w:rPr>
          <w:snapToGrid/>
          <w:kern w:val="0"/>
          <w:szCs w:val="22"/>
        </w:rPr>
        <w:t xml:space="preserve">, a certification that it has identified all microwave stations acquired in the Covered Transaction that require a corrective filing and has submitted all such corrective filings. </w:t>
      </w:r>
    </w:p>
    <w:p w14:paraId="6AC91857" w14:textId="77777777" w:rsidR="00A97DC1" w:rsidRPr="00A97DC1" w:rsidRDefault="00A97DC1" w:rsidP="00A97DC1">
      <w:pPr>
        <w:widowControl/>
        <w:tabs>
          <w:tab w:val="left" w:pos="1583"/>
        </w:tabs>
        <w:ind w:left="2303" w:right="476"/>
        <w:contextualSpacing/>
        <w:rPr>
          <w:snapToGrid/>
          <w:kern w:val="0"/>
          <w:szCs w:val="22"/>
        </w:rPr>
      </w:pPr>
    </w:p>
    <w:p w14:paraId="3FB7BC90" w14:textId="77777777" w:rsidR="00A97DC1" w:rsidRPr="00A97DC1" w:rsidRDefault="00A97DC1" w:rsidP="00A97DC1">
      <w:pPr>
        <w:widowControl/>
        <w:numPr>
          <w:ilvl w:val="0"/>
          <w:numId w:val="1"/>
        </w:numPr>
        <w:tabs>
          <w:tab w:val="clear" w:pos="1080"/>
          <w:tab w:val="num" w:pos="1440"/>
        </w:tabs>
        <w:spacing w:after="120"/>
        <w:rPr>
          <w:caps/>
          <w:szCs w:val="22"/>
        </w:rPr>
      </w:pPr>
      <w:bookmarkStart w:id="3" w:name="_Ref379202892"/>
      <w:r w:rsidRPr="00A97DC1">
        <w:rPr>
          <w:b/>
          <w:szCs w:val="22"/>
          <w:u w:val="single"/>
        </w:rPr>
        <w:t>Compliance Reports</w:t>
      </w:r>
      <w:r w:rsidRPr="00A97DC1">
        <w:rPr>
          <w:szCs w:val="22"/>
        </w:rPr>
        <w:t xml:space="preserve">.  </w:t>
      </w:r>
      <w:bookmarkEnd w:id="3"/>
      <w:r w:rsidRPr="00A97DC1">
        <w:rPr>
          <w:w w:val="105"/>
          <w:szCs w:val="22"/>
        </w:rPr>
        <w:t>In addition to the information required by paragraph 11, the final Compliance Report submitted in connection with a Covered Transaction (for Covered Transactions involving 150 microwave station authorizations or fewer, the final Compliance Report will be the 1-Year Compliance Report; for Covered Transactions involving more than 150 microwave station authorizations, the final Compliance Report will be the 2-Year Compliance Report unless the 1-year Compliance Report includes all acquired authorizations) shall include</w:t>
      </w:r>
      <w:r w:rsidRPr="00A97DC1">
        <w:rPr>
          <w:w w:val="102"/>
          <w:szCs w:val="22"/>
        </w:rPr>
        <w:t xml:space="preserve"> </w:t>
      </w:r>
      <w:r w:rsidRPr="00A97DC1">
        <w:rPr>
          <w:w w:val="105"/>
          <w:szCs w:val="22"/>
        </w:rPr>
        <w:t>a certification by the Compliance Officer, as an agent of and on behalf of</w:t>
      </w:r>
      <w:r w:rsidRPr="00A97DC1">
        <w:rPr>
          <w:spacing w:val="44"/>
          <w:w w:val="105"/>
          <w:szCs w:val="22"/>
        </w:rPr>
        <w:t xml:space="preserve"> </w:t>
      </w:r>
      <w:r w:rsidRPr="00A97DC1">
        <w:rPr>
          <w:w w:val="105"/>
          <w:szCs w:val="22"/>
        </w:rPr>
        <w:t>AT&amp;T,</w:t>
      </w:r>
      <w:r w:rsidRPr="00A97DC1">
        <w:rPr>
          <w:w w:val="102"/>
          <w:szCs w:val="22"/>
        </w:rPr>
        <w:t xml:space="preserve"> </w:t>
      </w:r>
      <w:r w:rsidRPr="00A97DC1">
        <w:rPr>
          <w:w w:val="105"/>
          <w:szCs w:val="22"/>
        </w:rPr>
        <w:t>stating that the Compliance Officer has personal knowledge that AT&amp;T: (i)</w:t>
      </w:r>
      <w:r w:rsidRPr="00A97DC1">
        <w:rPr>
          <w:spacing w:val="7"/>
          <w:w w:val="105"/>
          <w:szCs w:val="22"/>
        </w:rPr>
        <w:t xml:space="preserve"> </w:t>
      </w:r>
      <w:r w:rsidRPr="00A97DC1">
        <w:rPr>
          <w:w w:val="105"/>
          <w:szCs w:val="22"/>
        </w:rPr>
        <w:t>has</w:t>
      </w:r>
      <w:r w:rsidRPr="00A97DC1">
        <w:rPr>
          <w:w w:val="101"/>
          <w:szCs w:val="22"/>
        </w:rPr>
        <w:t xml:space="preserve"> </w:t>
      </w:r>
      <w:r w:rsidRPr="00A97DC1">
        <w:rPr>
          <w:w w:val="105"/>
          <w:szCs w:val="22"/>
        </w:rPr>
        <w:t>established and implemented the Compliance Plan; (ii) has performed the Gap Analysis in connection with the Covered Transaction, (iii) has identified all necessary corrective filings, and; (iv) is not</w:t>
      </w:r>
      <w:r w:rsidRPr="00A97DC1">
        <w:rPr>
          <w:spacing w:val="5"/>
          <w:w w:val="105"/>
          <w:szCs w:val="22"/>
        </w:rPr>
        <w:t xml:space="preserve"> </w:t>
      </w:r>
      <w:r w:rsidRPr="00A97DC1">
        <w:rPr>
          <w:w w:val="105"/>
          <w:szCs w:val="22"/>
        </w:rPr>
        <w:t>aware</w:t>
      </w:r>
      <w:r w:rsidRPr="00A97DC1">
        <w:rPr>
          <w:w w:val="102"/>
          <w:szCs w:val="22"/>
        </w:rPr>
        <w:t xml:space="preserve"> </w:t>
      </w:r>
      <w:r w:rsidRPr="00A97DC1">
        <w:rPr>
          <w:w w:val="105"/>
          <w:szCs w:val="22"/>
        </w:rPr>
        <w:t>of any instances of noncompliance with the terms and conditions of this</w:t>
      </w:r>
      <w:r w:rsidRPr="00A97DC1">
        <w:rPr>
          <w:spacing w:val="11"/>
          <w:w w:val="105"/>
          <w:szCs w:val="22"/>
        </w:rPr>
        <w:t xml:space="preserve"> </w:t>
      </w:r>
      <w:r w:rsidRPr="00A97DC1">
        <w:rPr>
          <w:w w:val="105"/>
          <w:szCs w:val="22"/>
        </w:rPr>
        <w:t>Consent</w:t>
      </w:r>
      <w:r w:rsidRPr="00A97DC1">
        <w:rPr>
          <w:w w:val="102"/>
          <w:szCs w:val="22"/>
        </w:rPr>
        <w:t xml:space="preserve"> </w:t>
      </w:r>
      <w:r w:rsidRPr="00A97DC1">
        <w:rPr>
          <w:w w:val="105"/>
          <w:szCs w:val="22"/>
        </w:rPr>
        <w:t>Decree, including the reporting obligations set forth in paragraph 11 of this Consent</w:t>
      </w:r>
      <w:r w:rsidRPr="00A97DC1">
        <w:rPr>
          <w:w w:val="102"/>
          <w:szCs w:val="22"/>
        </w:rPr>
        <w:t xml:space="preserve"> </w:t>
      </w:r>
      <w:r w:rsidRPr="00A97DC1">
        <w:rPr>
          <w:w w:val="105"/>
          <w:szCs w:val="22"/>
        </w:rPr>
        <w:t>Decree.</w:t>
      </w:r>
    </w:p>
    <w:p w14:paraId="06C9BD01" w14:textId="77777777" w:rsidR="00A97DC1" w:rsidRPr="00A97DC1" w:rsidRDefault="00A97DC1" w:rsidP="00A97DC1">
      <w:pPr>
        <w:widowControl/>
        <w:numPr>
          <w:ilvl w:val="0"/>
          <w:numId w:val="50"/>
        </w:numPr>
        <w:spacing w:before="120"/>
        <w:ind w:left="1814" w:right="344"/>
        <w:rPr>
          <w:snapToGrid/>
          <w:kern w:val="0"/>
          <w:szCs w:val="22"/>
        </w:rPr>
      </w:pPr>
      <w:r w:rsidRPr="00A97DC1">
        <w:rPr>
          <w:snapToGrid/>
          <w:w w:val="105"/>
          <w:kern w:val="0"/>
          <w:szCs w:val="22"/>
        </w:rPr>
        <w:t>The Compliance Officer's certification shall be accompanied by a</w:t>
      </w:r>
      <w:r w:rsidRPr="00A97DC1">
        <w:rPr>
          <w:snapToGrid/>
          <w:spacing w:val="37"/>
          <w:w w:val="105"/>
          <w:kern w:val="0"/>
          <w:szCs w:val="22"/>
        </w:rPr>
        <w:t xml:space="preserve"> </w:t>
      </w:r>
      <w:r w:rsidRPr="00A97DC1">
        <w:rPr>
          <w:snapToGrid/>
          <w:w w:val="105"/>
          <w:kern w:val="0"/>
          <w:szCs w:val="22"/>
        </w:rPr>
        <w:t>statement</w:t>
      </w:r>
      <w:r w:rsidRPr="00A97DC1">
        <w:rPr>
          <w:snapToGrid/>
          <w:w w:val="103"/>
          <w:kern w:val="0"/>
          <w:szCs w:val="22"/>
        </w:rPr>
        <w:t xml:space="preserve"> </w:t>
      </w:r>
      <w:r w:rsidRPr="00A97DC1">
        <w:rPr>
          <w:snapToGrid/>
          <w:w w:val="105"/>
          <w:kern w:val="0"/>
          <w:szCs w:val="22"/>
        </w:rPr>
        <w:t>explaining the basis for such certification and shall comply with Section 1.16 of</w:t>
      </w:r>
      <w:r w:rsidRPr="00A97DC1">
        <w:rPr>
          <w:snapToGrid/>
          <w:spacing w:val="48"/>
          <w:w w:val="105"/>
          <w:kern w:val="0"/>
          <w:szCs w:val="22"/>
        </w:rPr>
        <w:t xml:space="preserve"> </w:t>
      </w:r>
      <w:r w:rsidRPr="00A97DC1">
        <w:rPr>
          <w:snapToGrid/>
          <w:w w:val="105"/>
          <w:kern w:val="0"/>
          <w:szCs w:val="22"/>
        </w:rPr>
        <w:t>the</w:t>
      </w:r>
      <w:r w:rsidRPr="00A97DC1">
        <w:rPr>
          <w:snapToGrid/>
          <w:w w:val="104"/>
          <w:kern w:val="0"/>
          <w:szCs w:val="22"/>
        </w:rPr>
        <w:t xml:space="preserve"> </w:t>
      </w:r>
      <w:r w:rsidRPr="00A97DC1">
        <w:rPr>
          <w:snapToGrid/>
          <w:w w:val="105"/>
          <w:kern w:val="0"/>
          <w:szCs w:val="22"/>
        </w:rPr>
        <w:t>Rules and be subscribed to as true under penalty of perjury in substantially the</w:t>
      </w:r>
      <w:r w:rsidRPr="00A97DC1">
        <w:rPr>
          <w:snapToGrid/>
          <w:spacing w:val="44"/>
          <w:w w:val="105"/>
          <w:kern w:val="0"/>
          <w:szCs w:val="22"/>
        </w:rPr>
        <w:t xml:space="preserve"> </w:t>
      </w:r>
      <w:r w:rsidRPr="00A97DC1">
        <w:rPr>
          <w:snapToGrid/>
          <w:w w:val="105"/>
          <w:kern w:val="0"/>
          <w:szCs w:val="22"/>
        </w:rPr>
        <w:t>form</w:t>
      </w:r>
      <w:r w:rsidRPr="00A97DC1">
        <w:rPr>
          <w:snapToGrid/>
          <w:kern w:val="0"/>
          <w:szCs w:val="22"/>
        </w:rPr>
        <w:t xml:space="preserve"> </w:t>
      </w:r>
      <w:r w:rsidRPr="00A97DC1">
        <w:rPr>
          <w:snapToGrid/>
          <w:w w:val="105"/>
          <w:kern w:val="0"/>
          <w:szCs w:val="22"/>
        </w:rPr>
        <w:t>set forth</w:t>
      </w:r>
      <w:r w:rsidRPr="00A97DC1">
        <w:rPr>
          <w:snapToGrid/>
          <w:spacing w:val="-6"/>
          <w:w w:val="105"/>
          <w:kern w:val="0"/>
          <w:szCs w:val="22"/>
        </w:rPr>
        <w:t xml:space="preserve"> </w:t>
      </w:r>
      <w:r w:rsidRPr="00A97DC1">
        <w:rPr>
          <w:snapToGrid/>
          <w:w w:val="105"/>
          <w:kern w:val="0"/>
          <w:szCs w:val="22"/>
        </w:rPr>
        <w:t>therein.</w:t>
      </w:r>
      <w:r w:rsidRPr="00A97DC1">
        <w:rPr>
          <w:snapToGrid/>
          <w:w w:val="105"/>
          <w:kern w:val="0"/>
          <w:szCs w:val="22"/>
          <w:vertAlign w:val="superscript"/>
        </w:rPr>
        <w:footnoteReference w:id="23"/>
      </w:r>
    </w:p>
    <w:p w14:paraId="046476EE" w14:textId="77777777" w:rsidR="00A97DC1" w:rsidRPr="00A97DC1" w:rsidRDefault="00A97DC1" w:rsidP="00A97DC1">
      <w:pPr>
        <w:widowControl/>
        <w:numPr>
          <w:ilvl w:val="0"/>
          <w:numId w:val="50"/>
        </w:numPr>
        <w:spacing w:before="120"/>
        <w:ind w:left="1814" w:right="344"/>
        <w:rPr>
          <w:snapToGrid/>
          <w:kern w:val="0"/>
          <w:szCs w:val="22"/>
        </w:rPr>
      </w:pPr>
      <w:r w:rsidRPr="00A97DC1">
        <w:rPr>
          <w:snapToGrid/>
          <w:spacing w:val="2"/>
          <w:w w:val="105"/>
          <w:kern w:val="0"/>
          <w:szCs w:val="22"/>
        </w:rPr>
        <w:t xml:space="preserve">If the </w:t>
      </w:r>
      <w:r w:rsidRPr="00A97DC1">
        <w:rPr>
          <w:snapToGrid/>
          <w:w w:val="105"/>
          <w:kern w:val="0"/>
          <w:szCs w:val="22"/>
        </w:rPr>
        <w:t>Compliance Officer cannot provide the requisite certification, the</w:t>
      </w:r>
      <w:r w:rsidRPr="00A97DC1">
        <w:rPr>
          <w:snapToGrid/>
          <w:spacing w:val="43"/>
          <w:w w:val="105"/>
          <w:kern w:val="0"/>
          <w:szCs w:val="22"/>
        </w:rPr>
        <w:t xml:space="preserve"> </w:t>
      </w:r>
      <w:r w:rsidRPr="00A97DC1">
        <w:rPr>
          <w:snapToGrid/>
          <w:w w:val="105"/>
          <w:kern w:val="0"/>
          <w:szCs w:val="22"/>
        </w:rPr>
        <w:t>Compliance</w:t>
      </w:r>
      <w:r w:rsidRPr="00A97DC1">
        <w:rPr>
          <w:snapToGrid/>
          <w:w w:val="102"/>
          <w:kern w:val="0"/>
          <w:szCs w:val="22"/>
        </w:rPr>
        <w:t xml:space="preserve"> </w:t>
      </w:r>
      <w:r w:rsidRPr="00A97DC1">
        <w:rPr>
          <w:snapToGrid/>
          <w:w w:val="105"/>
          <w:kern w:val="0"/>
          <w:szCs w:val="22"/>
        </w:rPr>
        <w:t>Officer, as an agent of and on behalf of AT&amp;T, shall provide the</w:t>
      </w:r>
      <w:r w:rsidRPr="00A97DC1">
        <w:rPr>
          <w:snapToGrid/>
          <w:spacing w:val="8"/>
          <w:w w:val="105"/>
          <w:kern w:val="0"/>
          <w:szCs w:val="22"/>
        </w:rPr>
        <w:t xml:space="preserve"> </w:t>
      </w:r>
      <w:r w:rsidRPr="00A97DC1">
        <w:rPr>
          <w:snapToGrid/>
          <w:w w:val="105"/>
          <w:kern w:val="0"/>
          <w:szCs w:val="22"/>
        </w:rPr>
        <w:t>Commission</w:t>
      </w:r>
      <w:r w:rsidRPr="00A97DC1">
        <w:rPr>
          <w:snapToGrid/>
          <w:w w:val="102"/>
          <w:kern w:val="0"/>
          <w:szCs w:val="22"/>
        </w:rPr>
        <w:t xml:space="preserve"> </w:t>
      </w:r>
      <w:r w:rsidRPr="00A97DC1">
        <w:rPr>
          <w:snapToGrid/>
          <w:w w:val="105"/>
          <w:kern w:val="0"/>
          <w:szCs w:val="22"/>
        </w:rPr>
        <w:t>with a detailed explanation of the reason(s) why and describe fully: (i) each</w:t>
      </w:r>
      <w:r w:rsidRPr="00A97DC1">
        <w:rPr>
          <w:snapToGrid/>
          <w:w w:val="102"/>
          <w:kern w:val="0"/>
          <w:szCs w:val="22"/>
        </w:rPr>
        <w:t xml:space="preserve"> </w:t>
      </w:r>
      <w:r w:rsidRPr="00A97DC1">
        <w:rPr>
          <w:snapToGrid/>
          <w:w w:val="105"/>
          <w:kern w:val="0"/>
          <w:szCs w:val="22"/>
        </w:rPr>
        <w:t>instance of noncompliance; (ii) the steps that AT&amp;T has taken or will take</w:t>
      </w:r>
      <w:r w:rsidRPr="00A97DC1">
        <w:rPr>
          <w:snapToGrid/>
          <w:spacing w:val="8"/>
          <w:w w:val="105"/>
          <w:kern w:val="0"/>
          <w:szCs w:val="22"/>
        </w:rPr>
        <w:t xml:space="preserve"> </w:t>
      </w:r>
      <w:r w:rsidRPr="00A97DC1">
        <w:rPr>
          <w:snapToGrid/>
          <w:w w:val="105"/>
          <w:kern w:val="0"/>
          <w:szCs w:val="22"/>
        </w:rPr>
        <w:t>to remedy such noncompliance, including the schedule on which proposed</w:t>
      </w:r>
      <w:r w:rsidRPr="00A97DC1">
        <w:rPr>
          <w:snapToGrid/>
          <w:spacing w:val="2"/>
          <w:w w:val="105"/>
          <w:kern w:val="0"/>
          <w:szCs w:val="22"/>
        </w:rPr>
        <w:t xml:space="preserve"> </w:t>
      </w:r>
      <w:r w:rsidRPr="00A97DC1">
        <w:rPr>
          <w:snapToGrid/>
          <w:w w:val="105"/>
          <w:kern w:val="0"/>
          <w:szCs w:val="22"/>
        </w:rPr>
        <w:t>remedial</w:t>
      </w:r>
      <w:r w:rsidRPr="00A97DC1">
        <w:rPr>
          <w:snapToGrid/>
          <w:w w:val="101"/>
          <w:kern w:val="0"/>
          <w:szCs w:val="22"/>
        </w:rPr>
        <w:t xml:space="preserve"> </w:t>
      </w:r>
      <w:r w:rsidRPr="00A97DC1">
        <w:rPr>
          <w:snapToGrid/>
          <w:w w:val="105"/>
          <w:kern w:val="0"/>
          <w:szCs w:val="22"/>
        </w:rPr>
        <w:t>actions will be taken; and (iii) the steps that AT&amp;T has taken or will take</w:t>
      </w:r>
      <w:r w:rsidRPr="00A97DC1">
        <w:rPr>
          <w:snapToGrid/>
          <w:spacing w:val="14"/>
          <w:w w:val="105"/>
          <w:kern w:val="0"/>
          <w:szCs w:val="22"/>
        </w:rPr>
        <w:t xml:space="preserve"> </w:t>
      </w:r>
      <w:r w:rsidRPr="00A97DC1">
        <w:rPr>
          <w:snapToGrid/>
          <w:w w:val="105"/>
          <w:kern w:val="0"/>
          <w:szCs w:val="22"/>
        </w:rPr>
        <w:t>to prevent the recurrence of any such noncompliance, including the schedule on</w:t>
      </w:r>
      <w:r w:rsidRPr="00A97DC1">
        <w:rPr>
          <w:snapToGrid/>
          <w:spacing w:val="30"/>
          <w:w w:val="105"/>
          <w:kern w:val="0"/>
          <w:szCs w:val="22"/>
        </w:rPr>
        <w:t xml:space="preserve"> </w:t>
      </w:r>
      <w:r w:rsidRPr="00A97DC1">
        <w:rPr>
          <w:snapToGrid/>
          <w:w w:val="105"/>
          <w:kern w:val="0"/>
          <w:szCs w:val="22"/>
        </w:rPr>
        <w:t>which</w:t>
      </w:r>
      <w:r w:rsidRPr="00A97DC1">
        <w:rPr>
          <w:snapToGrid/>
          <w:w w:val="101"/>
          <w:kern w:val="0"/>
          <w:szCs w:val="22"/>
        </w:rPr>
        <w:t xml:space="preserve"> </w:t>
      </w:r>
      <w:r w:rsidRPr="00A97DC1">
        <w:rPr>
          <w:snapToGrid/>
          <w:w w:val="105"/>
          <w:kern w:val="0"/>
          <w:szCs w:val="22"/>
        </w:rPr>
        <w:t>such preventive action will be</w:t>
      </w:r>
      <w:r w:rsidRPr="00A97DC1">
        <w:rPr>
          <w:snapToGrid/>
          <w:spacing w:val="11"/>
          <w:w w:val="105"/>
          <w:kern w:val="0"/>
          <w:szCs w:val="22"/>
        </w:rPr>
        <w:t xml:space="preserve"> </w:t>
      </w:r>
      <w:r w:rsidRPr="00A97DC1">
        <w:rPr>
          <w:snapToGrid/>
          <w:w w:val="105"/>
          <w:kern w:val="0"/>
          <w:szCs w:val="22"/>
        </w:rPr>
        <w:t>taken.</w:t>
      </w:r>
    </w:p>
    <w:p w14:paraId="1D333858" w14:textId="0A4BB137" w:rsidR="00A97DC1" w:rsidRPr="00A97DC1" w:rsidRDefault="00A97DC1" w:rsidP="00A97DC1">
      <w:pPr>
        <w:widowControl/>
        <w:numPr>
          <w:ilvl w:val="0"/>
          <w:numId w:val="50"/>
        </w:numPr>
        <w:spacing w:before="120"/>
        <w:ind w:left="1814" w:right="344"/>
        <w:rPr>
          <w:snapToGrid/>
          <w:kern w:val="0"/>
          <w:szCs w:val="22"/>
        </w:rPr>
      </w:pPr>
      <w:r w:rsidRPr="00A97DC1">
        <w:rPr>
          <w:snapToGrid/>
          <w:w w:val="105"/>
          <w:kern w:val="0"/>
          <w:szCs w:val="22"/>
        </w:rPr>
        <w:t>All Compliance Reports, including any associated Compliance Officer certifications or noncompliance reports required by Paragraphs 12(a)</w:t>
      </w:r>
      <w:r w:rsidRPr="00A97DC1">
        <w:rPr>
          <w:snapToGrid/>
          <w:w w:val="105"/>
          <w:kern w:val="0"/>
          <w:szCs w:val="22"/>
        </w:rPr>
        <w:noBreakHyphen/>
        <w:t>(b), above,  shall be submitted to the Chief, Spectrum</w:t>
      </w:r>
      <w:r w:rsidRPr="00A97DC1">
        <w:rPr>
          <w:snapToGrid/>
          <w:spacing w:val="29"/>
          <w:w w:val="105"/>
          <w:kern w:val="0"/>
          <w:szCs w:val="22"/>
        </w:rPr>
        <w:t xml:space="preserve"> </w:t>
      </w:r>
      <w:r w:rsidRPr="00A97DC1">
        <w:rPr>
          <w:snapToGrid/>
          <w:w w:val="105"/>
          <w:kern w:val="0"/>
          <w:szCs w:val="22"/>
        </w:rPr>
        <w:t>Enforcement</w:t>
      </w:r>
      <w:r w:rsidRPr="00A97DC1">
        <w:rPr>
          <w:snapToGrid/>
          <w:w w:val="102"/>
          <w:kern w:val="0"/>
          <w:szCs w:val="22"/>
        </w:rPr>
        <w:t xml:space="preserve"> </w:t>
      </w:r>
      <w:r w:rsidRPr="00A97DC1">
        <w:rPr>
          <w:snapToGrid/>
          <w:w w:val="105"/>
          <w:kern w:val="0"/>
          <w:szCs w:val="22"/>
        </w:rPr>
        <w:t>Division, Enforcement Bureau, Federal Communications Commission, 445 12th</w:t>
      </w:r>
      <w:r w:rsidRPr="00A97DC1">
        <w:rPr>
          <w:snapToGrid/>
          <w:w w:val="87"/>
          <w:kern w:val="0"/>
          <w:szCs w:val="22"/>
        </w:rPr>
        <w:t xml:space="preserve"> </w:t>
      </w:r>
      <w:r w:rsidRPr="00A97DC1">
        <w:rPr>
          <w:snapToGrid/>
          <w:w w:val="105"/>
          <w:kern w:val="0"/>
          <w:szCs w:val="22"/>
        </w:rPr>
        <w:t>Street, SW, Rm. 4C-224, Washington, DC 20554, with copies</w:t>
      </w:r>
      <w:r w:rsidRPr="00A97DC1">
        <w:rPr>
          <w:snapToGrid/>
          <w:spacing w:val="2"/>
          <w:w w:val="105"/>
          <w:kern w:val="0"/>
          <w:szCs w:val="22"/>
        </w:rPr>
        <w:t xml:space="preserve"> </w:t>
      </w:r>
      <w:r w:rsidRPr="00A97DC1">
        <w:rPr>
          <w:snapToGrid/>
          <w:w w:val="105"/>
          <w:kern w:val="0"/>
          <w:szCs w:val="22"/>
        </w:rPr>
        <w:t>submitted</w:t>
      </w:r>
      <w:r w:rsidRPr="00A97DC1">
        <w:rPr>
          <w:snapToGrid/>
          <w:w w:val="102"/>
          <w:kern w:val="0"/>
          <w:szCs w:val="22"/>
        </w:rPr>
        <w:t xml:space="preserve"> </w:t>
      </w:r>
      <w:r w:rsidRPr="00A97DC1">
        <w:rPr>
          <w:snapToGrid/>
          <w:w w:val="105"/>
          <w:kern w:val="0"/>
          <w:szCs w:val="22"/>
        </w:rPr>
        <w:t xml:space="preserve">electronically to Paul Noone at </w:t>
      </w:r>
      <w:hyperlink r:id="rId14">
        <w:r w:rsidRPr="00A97DC1">
          <w:rPr>
            <w:snapToGrid/>
            <w:w w:val="105"/>
            <w:kern w:val="0"/>
            <w:szCs w:val="22"/>
          </w:rPr>
          <w:t>Paul.Noone@fcc.gov</w:t>
        </w:r>
      </w:hyperlink>
      <w:r w:rsidRPr="00A97DC1">
        <w:rPr>
          <w:snapToGrid/>
          <w:w w:val="105"/>
          <w:kern w:val="0"/>
          <w:szCs w:val="22"/>
        </w:rPr>
        <w:t xml:space="preserve"> and Pamera Hairston at Pamera.Hairston@fcc.gov.</w:t>
      </w:r>
    </w:p>
    <w:p w14:paraId="51053E11" w14:textId="77777777" w:rsidR="00A97DC1" w:rsidRPr="00A97DC1" w:rsidRDefault="00A97DC1" w:rsidP="00912875">
      <w:pPr>
        <w:widowControl/>
        <w:numPr>
          <w:ilvl w:val="0"/>
          <w:numId w:val="1"/>
        </w:numPr>
        <w:tabs>
          <w:tab w:val="clear" w:pos="1080"/>
          <w:tab w:val="num" w:pos="1440"/>
        </w:tabs>
        <w:spacing w:before="120"/>
        <w:rPr>
          <w:szCs w:val="22"/>
        </w:rPr>
      </w:pPr>
      <w:r w:rsidRPr="00A97DC1">
        <w:rPr>
          <w:b/>
          <w:szCs w:val="22"/>
          <w:u w:val="single"/>
        </w:rPr>
        <w:t>Termination Date</w:t>
      </w:r>
      <w:r w:rsidRPr="00A97DC1">
        <w:rPr>
          <w:szCs w:val="22"/>
        </w:rPr>
        <w:t xml:space="preserve">. </w:t>
      </w:r>
      <w:r w:rsidRPr="00A97DC1">
        <w:rPr>
          <w:b/>
          <w:szCs w:val="22"/>
        </w:rPr>
        <w:t xml:space="preserve"> </w:t>
      </w:r>
      <w:r w:rsidRPr="00A97DC1">
        <w:rPr>
          <w:szCs w:val="22"/>
        </w:rPr>
        <w:t xml:space="preserve">Unless stated otherwise, the </w:t>
      </w:r>
      <w:r w:rsidRPr="00A97DC1">
        <w:t>requirements</w:t>
      </w:r>
      <w:r w:rsidRPr="00A97DC1">
        <w:rPr>
          <w:szCs w:val="22"/>
        </w:rPr>
        <w:t xml:space="preserve"> set forth in paragraphs 10 through 12 of this Consent Decree shall expire thirty-six (36) months after the Effective Date.  For the avoidance of doubt, this Consent Decree shall not apply to transactions completed more than 36 months after the Effective Date, but the reporting obligations in Paragraphs 10 through 12 of this Consent Decree shall continue to apply after the Termination Date with respect to any Covered Transaction completed less than 36 months after the Effective Date.</w:t>
      </w:r>
    </w:p>
    <w:p w14:paraId="512AF18F" w14:textId="77777777" w:rsidR="00A97DC1" w:rsidRPr="00A97DC1" w:rsidRDefault="00A97DC1" w:rsidP="00912875">
      <w:pPr>
        <w:widowControl/>
        <w:numPr>
          <w:ilvl w:val="0"/>
          <w:numId w:val="1"/>
        </w:numPr>
        <w:tabs>
          <w:tab w:val="clear" w:pos="1080"/>
          <w:tab w:val="num" w:pos="1440"/>
        </w:tabs>
      </w:pPr>
      <w:r w:rsidRPr="00A97DC1">
        <w:rPr>
          <w:b/>
          <w:u w:val="single"/>
        </w:rPr>
        <w:t>Section 208 Complaints; Subsequent Investigations</w:t>
      </w:r>
      <w:r w:rsidRPr="00A97DC1">
        <w:t xml:space="preserve">. </w:t>
      </w:r>
      <w:r w:rsidRPr="00A97DC1">
        <w:rPr>
          <w:i/>
        </w:rPr>
        <w:t xml:space="preserve"> </w:t>
      </w:r>
      <w:r w:rsidRPr="00A97DC1">
        <w:t>Nothing in this Consent Decree shall prevent the Commission or its delegated authority from adjudicating complaints filed pursuant to Section 208 of the Act</w:t>
      </w:r>
      <w:r w:rsidRPr="00A97DC1">
        <w:rPr>
          <w:vertAlign w:val="superscript"/>
        </w:rPr>
        <w:footnoteReference w:id="24"/>
      </w:r>
      <w:r w:rsidRPr="00A97DC1">
        <w:t xml:space="preserve"> against AT&amp;T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AT&amp;T with the Communications</w:t>
      </w:r>
      <w:r w:rsidRPr="00A97DC1">
        <w:rPr>
          <w:i/>
        </w:rPr>
        <w:t xml:space="preserve"> </w:t>
      </w:r>
      <w:r w:rsidRPr="00A97DC1">
        <w:t>Laws.</w:t>
      </w:r>
    </w:p>
    <w:p w14:paraId="59C38618" w14:textId="77777777" w:rsidR="0092562B" w:rsidRDefault="00A97DC1" w:rsidP="00912875">
      <w:pPr>
        <w:widowControl/>
        <w:numPr>
          <w:ilvl w:val="0"/>
          <w:numId w:val="1"/>
        </w:numPr>
        <w:tabs>
          <w:tab w:val="clear" w:pos="1080"/>
          <w:tab w:val="num" w:pos="1440"/>
        </w:tabs>
        <w:sectPr w:rsidR="0092562B" w:rsidSect="0017094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bookmarkStart w:id="4" w:name="_Ref357521957"/>
      <w:r w:rsidRPr="00A97DC1">
        <w:rPr>
          <w:b/>
          <w:u w:val="single"/>
        </w:rPr>
        <w:t>Civil Penalty</w:t>
      </w:r>
      <w:r w:rsidRPr="00A97DC1">
        <w:t xml:space="preserve">.  AT&amp;T will pay a civil penalty to the United States Treasury in the amount of four-hundred and fifty thousand dollars ($450,000.00) within thirty (30) calendar days of the Effective Date.  AT&amp;T shall send electronic notification of payment to Paul Noone at Paul.Noone@fcc.gov, Pamera Hairston at Pamera.Hairston@fcc.gov, and Samantha Peoples at Sam.Peoples@fcc.gov on the date said payment is made.  The payment must be made by check or similar instrument, wire transfer, or credit card, and must include the Account Number and FRN referenced in the caption of the Adopting Order.  Regardless of the form of payment, a completed FCC Form 159 (Remittance Advice) must be submitted.  When completing the FCC Form 159, enter the Account </w:t>
      </w:r>
    </w:p>
    <w:p w14:paraId="7781DD8D" w14:textId="30EB9BC4" w:rsidR="00A97DC1" w:rsidRPr="00A97DC1" w:rsidRDefault="00A97DC1" w:rsidP="0092562B">
      <w:pPr>
        <w:widowControl/>
        <w:spacing w:after="120"/>
      </w:pPr>
      <w:r w:rsidRPr="00A97DC1">
        <w:t>Number in block number 23A (call sign/other ID) and enter the letters "FORF" in block number 24A (payment type code).  Below are additional instructions that should be followed based on the form of payment selected:</w:t>
      </w:r>
    </w:p>
    <w:p w14:paraId="4C1D6BEC" w14:textId="77777777" w:rsidR="00A97DC1" w:rsidRPr="00A97DC1" w:rsidRDefault="00A97DC1" w:rsidP="00A97DC1">
      <w:pPr>
        <w:widowControl/>
        <w:numPr>
          <w:ilvl w:val="0"/>
          <w:numId w:val="9"/>
        </w:numPr>
        <w:spacing w:after="120"/>
        <w:rPr>
          <w:szCs w:val="22"/>
        </w:rPr>
      </w:pPr>
      <w:r w:rsidRPr="00A97DC1">
        <w:rPr>
          <w:w w:val="104"/>
          <w:szCs w:val="22"/>
        </w:rPr>
        <w:t>Payment</w:t>
      </w:r>
      <w:r w:rsidRPr="00A97DC1">
        <w:rPr>
          <w:spacing w:val="15"/>
          <w:szCs w:val="22"/>
        </w:rPr>
        <w:t xml:space="preserve"> </w:t>
      </w:r>
      <w:r w:rsidRPr="00A97DC1">
        <w:rPr>
          <w:w w:val="101"/>
          <w:szCs w:val="22"/>
        </w:rPr>
        <w:t>by</w:t>
      </w:r>
      <w:r w:rsidRPr="00A97DC1">
        <w:rPr>
          <w:spacing w:val="16"/>
          <w:szCs w:val="22"/>
        </w:rPr>
        <w:t xml:space="preserve"> </w:t>
      </w:r>
      <w:r w:rsidRPr="00A97DC1">
        <w:rPr>
          <w:w w:val="104"/>
          <w:szCs w:val="22"/>
        </w:rPr>
        <w:t>check</w:t>
      </w:r>
      <w:r w:rsidRPr="00A97DC1">
        <w:rPr>
          <w:spacing w:val="11"/>
          <w:szCs w:val="22"/>
        </w:rPr>
        <w:t xml:space="preserve"> </w:t>
      </w:r>
      <w:r w:rsidRPr="00A97DC1">
        <w:rPr>
          <w:w w:val="105"/>
          <w:szCs w:val="22"/>
        </w:rPr>
        <w:t>or</w:t>
      </w:r>
      <w:r w:rsidRPr="00A97DC1">
        <w:rPr>
          <w:spacing w:val="4"/>
          <w:szCs w:val="22"/>
        </w:rPr>
        <w:t xml:space="preserve"> </w:t>
      </w:r>
      <w:r w:rsidRPr="00A97DC1">
        <w:rPr>
          <w:w w:val="101"/>
          <w:szCs w:val="22"/>
        </w:rPr>
        <w:t>money</w:t>
      </w:r>
      <w:r w:rsidRPr="00A97DC1">
        <w:rPr>
          <w:szCs w:val="22"/>
        </w:rPr>
        <w:t xml:space="preserve"> </w:t>
      </w:r>
      <w:r w:rsidRPr="00A97DC1">
        <w:rPr>
          <w:w w:val="104"/>
          <w:szCs w:val="22"/>
        </w:rPr>
        <w:t>order</w:t>
      </w:r>
      <w:r w:rsidRPr="00A97DC1">
        <w:rPr>
          <w:spacing w:val="9"/>
          <w:szCs w:val="22"/>
        </w:rPr>
        <w:t xml:space="preserve"> </w:t>
      </w:r>
      <w:r w:rsidRPr="00A97DC1">
        <w:rPr>
          <w:w w:val="102"/>
          <w:szCs w:val="22"/>
        </w:rPr>
        <w:t>must</w:t>
      </w:r>
      <w:r w:rsidRPr="00A97DC1">
        <w:rPr>
          <w:spacing w:val="9"/>
          <w:szCs w:val="22"/>
        </w:rPr>
        <w:t xml:space="preserve"> </w:t>
      </w:r>
      <w:r w:rsidRPr="00A97DC1">
        <w:rPr>
          <w:w w:val="101"/>
          <w:szCs w:val="22"/>
        </w:rPr>
        <w:t>be</w:t>
      </w:r>
      <w:r w:rsidRPr="00A97DC1">
        <w:rPr>
          <w:spacing w:val="11"/>
          <w:szCs w:val="22"/>
        </w:rPr>
        <w:t xml:space="preserve"> </w:t>
      </w:r>
      <w:r w:rsidRPr="00A97DC1">
        <w:rPr>
          <w:w w:val="103"/>
          <w:szCs w:val="22"/>
        </w:rPr>
        <w:t>made</w:t>
      </w:r>
      <w:r w:rsidRPr="00A97DC1">
        <w:rPr>
          <w:spacing w:val="7"/>
          <w:szCs w:val="22"/>
        </w:rPr>
        <w:t xml:space="preserve"> </w:t>
      </w:r>
      <w:r w:rsidRPr="00A97DC1">
        <w:rPr>
          <w:w w:val="103"/>
          <w:szCs w:val="22"/>
        </w:rPr>
        <w:t>payable</w:t>
      </w:r>
      <w:r w:rsidRPr="00A97DC1">
        <w:rPr>
          <w:spacing w:val="12"/>
          <w:szCs w:val="22"/>
        </w:rPr>
        <w:t xml:space="preserve"> </w:t>
      </w:r>
      <w:r w:rsidRPr="00A97DC1">
        <w:rPr>
          <w:w w:val="108"/>
          <w:szCs w:val="22"/>
        </w:rPr>
        <w:t>to</w:t>
      </w:r>
      <w:r w:rsidRPr="00A97DC1">
        <w:rPr>
          <w:szCs w:val="22"/>
        </w:rPr>
        <w:t xml:space="preserve"> </w:t>
      </w:r>
      <w:r w:rsidRPr="00A97DC1">
        <w:rPr>
          <w:w w:val="106"/>
          <w:szCs w:val="22"/>
        </w:rPr>
        <w:t>the</w:t>
      </w:r>
      <w:r w:rsidRPr="00A97DC1">
        <w:rPr>
          <w:spacing w:val="9"/>
          <w:szCs w:val="22"/>
        </w:rPr>
        <w:t xml:space="preserve"> </w:t>
      </w:r>
      <w:r w:rsidRPr="00A97DC1">
        <w:rPr>
          <w:w w:val="104"/>
          <w:szCs w:val="22"/>
        </w:rPr>
        <w:t>order</w:t>
      </w:r>
      <w:r w:rsidRPr="00A97DC1">
        <w:rPr>
          <w:spacing w:val="9"/>
          <w:szCs w:val="22"/>
        </w:rPr>
        <w:t xml:space="preserve"> </w:t>
      </w:r>
      <w:r w:rsidRPr="00A97DC1">
        <w:rPr>
          <w:w w:val="104"/>
          <w:szCs w:val="22"/>
        </w:rPr>
        <w:t>of</w:t>
      </w:r>
      <w:r w:rsidRPr="00A97DC1">
        <w:rPr>
          <w:spacing w:val="-3"/>
          <w:szCs w:val="22"/>
        </w:rPr>
        <w:t xml:space="preserve"> </w:t>
      </w:r>
      <w:r w:rsidRPr="00A97DC1">
        <w:rPr>
          <w:w w:val="104"/>
          <w:szCs w:val="22"/>
        </w:rPr>
        <w:t>the</w:t>
      </w:r>
      <w:r w:rsidRPr="00A97DC1">
        <w:rPr>
          <w:spacing w:val="9"/>
          <w:szCs w:val="22"/>
        </w:rPr>
        <w:t xml:space="preserve"> </w:t>
      </w:r>
      <w:r w:rsidRPr="00A97DC1">
        <w:rPr>
          <w:w w:val="101"/>
          <w:szCs w:val="22"/>
        </w:rPr>
        <w:t xml:space="preserve">Federal </w:t>
      </w:r>
      <w:r w:rsidRPr="00A97DC1">
        <w:rPr>
          <w:w w:val="104"/>
          <w:szCs w:val="22"/>
        </w:rPr>
        <w:t>Communications</w:t>
      </w:r>
      <w:r w:rsidRPr="00A97DC1">
        <w:rPr>
          <w:szCs w:val="22"/>
        </w:rPr>
        <w:t xml:space="preserve"> </w:t>
      </w:r>
      <w:r w:rsidRPr="00A97DC1">
        <w:rPr>
          <w:w w:val="104"/>
          <w:szCs w:val="22"/>
        </w:rPr>
        <w:t>Commission.</w:t>
      </w:r>
      <w:r w:rsidRPr="00A97DC1">
        <w:rPr>
          <w:szCs w:val="22"/>
        </w:rPr>
        <w:t xml:space="preserve">  </w:t>
      </w:r>
      <w:r w:rsidRPr="00A97DC1">
        <w:rPr>
          <w:w w:val="104"/>
          <w:szCs w:val="22"/>
        </w:rPr>
        <w:t>Such</w:t>
      </w:r>
      <w:r w:rsidRPr="00A97DC1">
        <w:rPr>
          <w:spacing w:val="4"/>
          <w:szCs w:val="22"/>
        </w:rPr>
        <w:t xml:space="preserve"> </w:t>
      </w:r>
      <w:r w:rsidRPr="00A97DC1">
        <w:rPr>
          <w:w w:val="101"/>
          <w:szCs w:val="22"/>
        </w:rPr>
        <w:t>payments</w:t>
      </w:r>
      <w:r w:rsidRPr="00A97DC1">
        <w:rPr>
          <w:szCs w:val="22"/>
        </w:rPr>
        <w:t xml:space="preserve"> </w:t>
      </w:r>
      <w:r w:rsidRPr="00A97DC1">
        <w:rPr>
          <w:w w:val="106"/>
          <w:szCs w:val="22"/>
        </w:rPr>
        <w:t>(</w:t>
      </w:r>
      <w:r w:rsidRPr="00A97DC1">
        <w:rPr>
          <w:w w:val="105"/>
          <w:szCs w:val="22"/>
        </w:rPr>
        <w:t>along</w:t>
      </w:r>
      <w:r w:rsidRPr="00A97DC1">
        <w:rPr>
          <w:spacing w:val="-3"/>
          <w:szCs w:val="22"/>
        </w:rPr>
        <w:t xml:space="preserve"> </w:t>
      </w:r>
      <w:r w:rsidRPr="00A97DC1">
        <w:rPr>
          <w:w w:val="104"/>
          <w:szCs w:val="22"/>
        </w:rPr>
        <w:t>with</w:t>
      </w:r>
      <w:r w:rsidRPr="00A97DC1">
        <w:rPr>
          <w:spacing w:val="8"/>
          <w:szCs w:val="22"/>
        </w:rPr>
        <w:t xml:space="preserve"> </w:t>
      </w:r>
      <w:r w:rsidRPr="00A97DC1">
        <w:rPr>
          <w:w w:val="106"/>
          <w:szCs w:val="22"/>
        </w:rPr>
        <w:t>the</w:t>
      </w:r>
      <w:r w:rsidRPr="00A97DC1">
        <w:rPr>
          <w:spacing w:val="9"/>
          <w:szCs w:val="22"/>
        </w:rPr>
        <w:t xml:space="preserve"> </w:t>
      </w:r>
      <w:r w:rsidRPr="00A97DC1">
        <w:rPr>
          <w:w w:val="103"/>
          <w:szCs w:val="22"/>
        </w:rPr>
        <w:t>completed</w:t>
      </w:r>
      <w:r w:rsidRPr="00A97DC1">
        <w:rPr>
          <w:spacing w:val="18"/>
          <w:szCs w:val="22"/>
        </w:rPr>
        <w:t xml:space="preserve"> </w:t>
      </w:r>
      <w:r w:rsidRPr="00A97DC1">
        <w:rPr>
          <w:w w:val="101"/>
          <w:szCs w:val="22"/>
        </w:rPr>
        <w:t>Form</w:t>
      </w:r>
      <w:r w:rsidRPr="00A97DC1">
        <w:rPr>
          <w:spacing w:val="-16"/>
          <w:szCs w:val="22"/>
        </w:rPr>
        <w:t xml:space="preserve"> </w:t>
      </w:r>
      <w:r w:rsidRPr="00A97DC1">
        <w:rPr>
          <w:w w:val="104"/>
          <w:szCs w:val="22"/>
        </w:rPr>
        <w:t>159)</w:t>
      </w:r>
      <w:r w:rsidRPr="00A97DC1">
        <w:rPr>
          <w:spacing w:val="-10"/>
          <w:szCs w:val="22"/>
        </w:rPr>
        <w:t xml:space="preserve"> </w:t>
      </w:r>
      <w:r w:rsidRPr="00A97DC1">
        <w:rPr>
          <w:w w:val="101"/>
          <w:szCs w:val="22"/>
        </w:rPr>
        <w:t>must</w:t>
      </w:r>
      <w:r w:rsidRPr="00A97DC1">
        <w:rPr>
          <w:spacing w:val="13"/>
          <w:szCs w:val="22"/>
        </w:rPr>
        <w:t xml:space="preserve"> </w:t>
      </w:r>
      <w:r w:rsidRPr="00A97DC1">
        <w:rPr>
          <w:w w:val="99"/>
          <w:szCs w:val="22"/>
        </w:rPr>
        <w:t xml:space="preserve">be </w:t>
      </w:r>
      <w:r w:rsidRPr="00A97DC1">
        <w:rPr>
          <w:w w:val="103"/>
          <w:szCs w:val="22"/>
        </w:rPr>
        <w:t>mailed</w:t>
      </w:r>
      <w:r w:rsidRPr="00A97DC1">
        <w:rPr>
          <w:spacing w:val="21"/>
          <w:szCs w:val="22"/>
        </w:rPr>
        <w:t xml:space="preserve"> </w:t>
      </w:r>
      <w:r w:rsidRPr="00A97DC1">
        <w:rPr>
          <w:w w:val="105"/>
          <w:szCs w:val="22"/>
        </w:rPr>
        <w:t>to</w:t>
      </w:r>
      <w:r w:rsidRPr="00A97DC1">
        <w:rPr>
          <w:spacing w:val="5"/>
          <w:szCs w:val="22"/>
        </w:rPr>
        <w:t xml:space="preserve"> </w:t>
      </w:r>
      <w:r w:rsidRPr="00A97DC1">
        <w:rPr>
          <w:w w:val="103"/>
          <w:szCs w:val="22"/>
        </w:rPr>
        <w:t>Federal</w:t>
      </w:r>
      <w:r w:rsidRPr="00A97DC1">
        <w:rPr>
          <w:spacing w:val="21"/>
          <w:szCs w:val="22"/>
        </w:rPr>
        <w:t xml:space="preserve"> </w:t>
      </w:r>
      <w:r w:rsidRPr="00A97DC1">
        <w:rPr>
          <w:w w:val="104"/>
          <w:szCs w:val="22"/>
        </w:rPr>
        <w:t>Communications</w:t>
      </w:r>
      <w:r w:rsidRPr="00A97DC1">
        <w:rPr>
          <w:szCs w:val="22"/>
        </w:rPr>
        <w:t xml:space="preserve"> </w:t>
      </w:r>
      <w:r w:rsidRPr="00A97DC1">
        <w:rPr>
          <w:spacing w:val="-21"/>
          <w:szCs w:val="22"/>
        </w:rPr>
        <w:t xml:space="preserve"> </w:t>
      </w:r>
      <w:r w:rsidRPr="00A97DC1">
        <w:rPr>
          <w:w w:val="103"/>
          <w:szCs w:val="22"/>
        </w:rPr>
        <w:t>Commission,</w:t>
      </w:r>
      <w:r w:rsidRPr="00A97DC1">
        <w:rPr>
          <w:spacing w:val="10"/>
          <w:szCs w:val="22"/>
        </w:rPr>
        <w:t xml:space="preserve"> </w:t>
      </w:r>
      <w:r w:rsidRPr="00A97DC1">
        <w:rPr>
          <w:w w:val="104"/>
          <w:szCs w:val="22"/>
        </w:rPr>
        <w:t>P.O.</w:t>
      </w:r>
      <w:r w:rsidRPr="00A97DC1">
        <w:rPr>
          <w:spacing w:val="11"/>
          <w:szCs w:val="22"/>
        </w:rPr>
        <w:t xml:space="preserve"> </w:t>
      </w:r>
      <w:r w:rsidRPr="00A97DC1">
        <w:rPr>
          <w:w w:val="104"/>
          <w:szCs w:val="22"/>
        </w:rPr>
        <w:t>Box</w:t>
      </w:r>
      <w:r w:rsidRPr="00A97DC1">
        <w:rPr>
          <w:spacing w:val="11"/>
          <w:szCs w:val="22"/>
        </w:rPr>
        <w:t xml:space="preserve"> </w:t>
      </w:r>
      <w:r w:rsidRPr="00A97DC1">
        <w:rPr>
          <w:w w:val="105"/>
          <w:szCs w:val="22"/>
        </w:rPr>
        <w:t>979088,</w:t>
      </w:r>
      <w:r w:rsidRPr="00A97DC1">
        <w:rPr>
          <w:spacing w:val="19"/>
          <w:szCs w:val="22"/>
        </w:rPr>
        <w:t xml:space="preserve"> </w:t>
      </w:r>
      <w:r w:rsidRPr="00A97DC1">
        <w:rPr>
          <w:w w:val="105"/>
          <w:szCs w:val="22"/>
        </w:rPr>
        <w:t>St.</w:t>
      </w:r>
      <w:r w:rsidRPr="00A97DC1">
        <w:rPr>
          <w:spacing w:val="-7"/>
          <w:szCs w:val="22"/>
        </w:rPr>
        <w:t xml:space="preserve"> </w:t>
      </w:r>
      <w:r w:rsidRPr="00A97DC1">
        <w:rPr>
          <w:w w:val="103"/>
          <w:szCs w:val="22"/>
        </w:rPr>
        <w:t>Louis,</w:t>
      </w:r>
      <w:r w:rsidRPr="00A97DC1">
        <w:rPr>
          <w:spacing w:val="8"/>
          <w:szCs w:val="22"/>
        </w:rPr>
        <w:t xml:space="preserve"> </w:t>
      </w:r>
      <w:r w:rsidRPr="00A97DC1">
        <w:rPr>
          <w:w w:val="106"/>
          <w:szCs w:val="22"/>
        </w:rPr>
        <w:t>MO</w:t>
      </w:r>
      <w:r w:rsidRPr="00A97DC1">
        <w:rPr>
          <w:spacing w:val="1"/>
          <w:szCs w:val="22"/>
        </w:rPr>
        <w:t xml:space="preserve"> </w:t>
      </w:r>
      <w:r w:rsidRPr="00A97DC1">
        <w:rPr>
          <w:w w:val="103"/>
          <w:szCs w:val="22"/>
        </w:rPr>
        <w:t xml:space="preserve">63197- </w:t>
      </w:r>
      <w:r w:rsidRPr="00A97DC1">
        <w:rPr>
          <w:w w:val="106"/>
          <w:szCs w:val="22"/>
        </w:rPr>
        <w:t>9000,</w:t>
      </w:r>
      <w:r w:rsidRPr="00A97DC1">
        <w:rPr>
          <w:spacing w:val="9"/>
          <w:szCs w:val="22"/>
        </w:rPr>
        <w:t xml:space="preserve"> </w:t>
      </w:r>
      <w:r w:rsidRPr="00A97DC1">
        <w:rPr>
          <w:w w:val="105"/>
          <w:szCs w:val="22"/>
        </w:rPr>
        <w:t>or</w:t>
      </w:r>
      <w:r w:rsidRPr="00A97DC1">
        <w:rPr>
          <w:spacing w:val="4"/>
          <w:szCs w:val="22"/>
        </w:rPr>
        <w:t xml:space="preserve"> </w:t>
      </w:r>
      <w:r w:rsidRPr="00A97DC1">
        <w:rPr>
          <w:w w:val="104"/>
          <w:szCs w:val="22"/>
        </w:rPr>
        <w:t>sent</w:t>
      </w:r>
      <w:r w:rsidRPr="00A97DC1">
        <w:rPr>
          <w:spacing w:val="4"/>
          <w:szCs w:val="22"/>
        </w:rPr>
        <w:t xml:space="preserve"> </w:t>
      </w:r>
      <w:r w:rsidRPr="00A97DC1">
        <w:rPr>
          <w:w w:val="104"/>
          <w:szCs w:val="22"/>
        </w:rPr>
        <w:t>via</w:t>
      </w:r>
      <w:r w:rsidRPr="00A97DC1">
        <w:rPr>
          <w:spacing w:val="9"/>
          <w:szCs w:val="22"/>
        </w:rPr>
        <w:t xml:space="preserve"> </w:t>
      </w:r>
      <w:r w:rsidRPr="00A97DC1">
        <w:rPr>
          <w:w w:val="104"/>
          <w:szCs w:val="22"/>
        </w:rPr>
        <w:t>overnight</w:t>
      </w:r>
      <w:r w:rsidRPr="00A97DC1">
        <w:rPr>
          <w:spacing w:val="7"/>
          <w:szCs w:val="22"/>
        </w:rPr>
        <w:t xml:space="preserve"> </w:t>
      </w:r>
      <w:r w:rsidRPr="00A97DC1">
        <w:rPr>
          <w:w w:val="103"/>
          <w:szCs w:val="22"/>
        </w:rPr>
        <w:t>mail</w:t>
      </w:r>
      <w:r w:rsidRPr="00A97DC1">
        <w:rPr>
          <w:spacing w:val="12"/>
          <w:szCs w:val="22"/>
        </w:rPr>
        <w:t xml:space="preserve"> </w:t>
      </w:r>
      <w:r w:rsidRPr="00A97DC1">
        <w:rPr>
          <w:w w:val="108"/>
          <w:szCs w:val="22"/>
        </w:rPr>
        <w:t>to</w:t>
      </w:r>
      <w:r w:rsidRPr="00A97DC1">
        <w:rPr>
          <w:spacing w:val="5"/>
          <w:szCs w:val="22"/>
        </w:rPr>
        <w:t xml:space="preserve"> </w:t>
      </w:r>
      <w:r w:rsidRPr="00A97DC1">
        <w:rPr>
          <w:w w:val="104"/>
          <w:szCs w:val="22"/>
        </w:rPr>
        <w:t>U.S.</w:t>
      </w:r>
      <w:r w:rsidRPr="00A97DC1">
        <w:rPr>
          <w:spacing w:val="6"/>
          <w:szCs w:val="22"/>
        </w:rPr>
        <w:t xml:space="preserve"> </w:t>
      </w:r>
      <w:r w:rsidRPr="00A97DC1">
        <w:rPr>
          <w:w w:val="102"/>
          <w:szCs w:val="22"/>
        </w:rPr>
        <w:t>Bank</w:t>
      </w:r>
      <w:r w:rsidRPr="00A97DC1">
        <w:rPr>
          <w:spacing w:val="4"/>
          <w:szCs w:val="22"/>
        </w:rPr>
        <w:t xml:space="preserve"> </w:t>
      </w:r>
      <w:r w:rsidRPr="00A97DC1">
        <w:rPr>
          <w:spacing w:val="11"/>
          <w:w w:val="235"/>
          <w:szCs w:val="22"/>
        </w:rPr>
        <w:t>-</w:t>
      </w:r>
      <w:r w:rsidRPr="00A97DC1">
        <w:rPr>
          <w:w w:val="103"/>
          <w:szCs w:val="22"/>
        </w:rPr>
        <w:t>Government</w:t>
      </w:r>
      <w:r w:rsidRPr="00A97DC1">
        <w:rPr>
          <w:spacing w:val="22"/>
          <w:szCs w:val="22"/>
        </w:rPr>
        <w:t xml:space="preserve"> </w:t>
      </w:r>
      <w:r w:rsidRPr="00A97DC1">
        <w:rPr>
          <w:w w:val="104"/>
          <w:szCs w:val="22"/>
        </w:rPr>
        <w:t>Lockbox</w:t>
      </w:r>
      <w:r w:rsidRPr="00A97DC1">
        <w:rPr>
          <w:spacing w:val="13"/>
          <w:szCs w:val="22"/>
        </w:rPr>
        <w:t xml:space="preserve"> </w:t>
      </w:r>
      <w:r w:rsidRPr="00A97DC1">
        <w:rPr>
          <w:w w:val="105"/>
          <w:szCs w:val="22"/>
        </w:rPr>
        <w:t>#979088, SL-MO-C2-GL, 1005 Convention Plaza, St. Louis, MO</w:t>
      </w:r>
      <w:r w:rsidRPr="00A97DC1">
        <w:rPr>
          <w:spacing w:val="-2"/>
          <w:w w:val="105"/>
          <w:szCs w:val="22"/>
        </w:rPr>
        <w:t xml:space="preserve"> </w:t>
      </w:r>
      <w:r w:rsidRPr="00A97DC1">
        <w:rPr>
          <w:w w:val="105"/>
          <w:szCs w:val="22"/>
        </w:rPr>
        <w:t>63101.</w:t>
      </w:r>
    </w:p>
    <w:p w14:paraId="1FC226C3" w14:textId="77777777" w:rsidR="00A97DC1" w:rsidRPr="00A97DC1" w:rsidRDefault="00A97DC1" w:rsidP="00A97DC1">
      <w:pPr>
        <w:widowControl/>
        <w:numPr>
          <w:ilvl w:val="0"/>
          <w:numId w:val="9"/>
        </w:numPr>
        <w:spacing w:after="120"/>
        <w:rPr>
          <w:rFonts w:eastAsia="MS Mincho"/>
          <w:szCs w:val="22"/>
        </w:rPr>
      </w:pPr>
      <w:r w:rsidRPr="00A97DC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655BB23" w14:textId="77777777" w:rsidR="00A97DC1" w:rsidRPr="00A97DC1" w:rsidRDefault="00A97DC1" w:rsidP="00A97DC1">
      <w:pPr>
        <w:widowControl/>
        <w:numPr>
          <w:ilvl w:val="0"/>
          <w:numId w:val="9"/>
        </w:numPr>
        <w:spacing w:after="120"/>
        <w:rPr>
          <w:rFonts w:eastAsia="MS Mincho"/>
          <w:szCs w:val="22"/>
        </w:rPr>
      </w:pPr>
      <w:r w:rsidRPr="00A97DC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1F925AD" w14:textId="77777777" w:rsidR="00A97DC1" w:rsidRPr="00A97DC1" w:rsidRDefault="00A97DC1" w:rsidP="00A97DC1">
      <w:pPr>
        <w:widowControl/>
        <w:spacing w:after="120"/>
        <w:ind w:firstLine="720"/>
      </w:pPr>
      <w:r w:rsidRPr="00A97DC1">
        <w:rPr>
          <w:rFonts w:eastAsia="MS Mincho"/>
        </w:rPr>
        <w:t>Questions regarding payment procedures should be addressed to the Financial Operations Group Help Desk by phone, 1-877-480-3201, or by e-mail, ARINQUIRIES@fcc.gov.</w:t>
      </w:r>
    </w:p>
    <w:bookmarkEnd w:id="4"/>
    <w:p w14:paraId="5E273058" w14:textId="77777777" w:rsidR="00A97DC1" w:rsidRPr="00A97DC1" w:rsidRDefault="00A97DC1" w:rsidP="00A97DC1">
      <w:pPr>
        <w:widowControl/>
        <w:numPr>
          <w:ilvl w:val="0"/>
          <w:numId w:val="1"/>
        </w:numPr>
        <w:tabs>
          <w:tab w:val="clear" w:pos="1080"/>
          <w:tab w:val="num" w:pos="1440"/>
        </w:tabs>
        <w:spacing w:after="120"/>
      </w:pPr>
      <w:r w:rsidRPr="00A97DC1">
        <w:rPr>
          <w:b/>
          <w:u w:val="single"/>
        </w:rPr>
        <w:t>Waivers</w:t>
      </w:r>
      <w:r w:rsidRPr="00A97DC1">
        <w:t xml:space="preserve">.  As of the Effective Date, AT&amp;T waives any and all rights it may have to seek administrative or judicial reconsideration, review, appeal or stay, or to otherwise challenge or contest the validity of this Consent Decree and the Adopting Order.  AT&amp;T shall retain the right to challenge Commission interpretation of the Consent Decree or any terms contained herein.  If either Party (or the United States on behalf of the Commission) brings a judicial action to enforce the terms of the Consent Decree or the Adopting Order, neither AT&amp;T nor the Commission shall contest the validity of the Consent Decree or the Adopting Order, and AT&amp;T shall waive any statutory right to a trial </w:t>
      </w:r>
      <w:r w:rsidRPr="00A97DC1">
        <w:rPr>
          <w:i/>
        </w:rPr>
        <w:t>de novo</w:t>
      </w:r>
      <w:r w:rsidRPr="00A97DC1">
        <w:t>.  AT&amp;T hereby agrees to waive any claims it may otherwise have under the Equal Access to Justice Act</w:t>
      </w:r>
      <w:r w:rsidRPr="00A97DC1">
        <w:rPr>
          <w:sz w:val="20"/>
          <w:szCs w:val="22"/>
          <w:vertAlign w:val="superscript"/>
        </w:rPr>
        <w:footnoteReference w:id="25"/>
      </w:r>
      <w:r w:rsidRPr="00A97DC1">
        <w:t xml:space="preserve"> relating to the matters addressed in this Consent Decree.</w:t>
      </w:r>
    </w:p>
    <w:p w14:paraId="20767949"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Severability</w:t>
      </w:r>
      <w:r w:rsidRPr="00A97DC1">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C17ACC6"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Invalidity</w:t>
      </w:r>
      <w:r w:rsidRPr="00A97DC1">
        <w:rPr>
          <w:szCs w:val="22"/>
        </w:rPr>
        <w:t>.  In the event that this Consent Decree in its entirety is rendered invalid by any court of competent jurisdiction, it shall become null and void and may not be used in any manner in any legal proceeding.</w:t>
      </w:r>
    </w:p>
    <w:p w14:paraId="334C1E2B" w14:textId="77777777" w:rsidR="00A97DC1" w:rsidRPr="00A97DC1" w:rsidRDefault="00A97DC1" w:rsidP="00A97DC1">
      <w:pPr>
        <w:widowControl/>
        <w:numPr>
          <w:ilvl w:val="0"/>
          <w:numId w:val="1"/>
        </w:numPr>
        <w:tabs>
          <w:tab w:val="clear" w:pos="1080"/>
          <w:tab w:val="num" w:pos="1440"/>
        </w:tabs>
        <w:spacing w:after="120"/>
      </w:pPr>
      <w:r w:rsidRPr="00A97DC1">
        <w:rPr>
          <w:b/>
          <w:u w:val="single"/>
        </w:rPr>
        <w:t>Subsequent Rule or Order</w:t>
      </w:r>
      <w:r w:rsidRPr="00A97DC1">
        <w:t>.  The Parties agree that if any provision of the Consent Decree conflicts with any subsequent Rule or Order adopted by the Commission (except an Order specifically intended to revise the terms of this Consent Decree to which A</w:t>
      </w:r>
      <w:r w:rsidRPr="00A97DC1">
        <w:rPr>
          <w:szCs w:val="22"/>
        </w:rPr>
        <w:t xml:space="preserve">T&amp;T </w:t>
      </w:r>
      <w:r w:rsidRPr="00A97DC1">
        <w:t>does not expressly consent) that provision will be superseded by such Rule or Order.</w:t>
      </w:r>
    </w:p>
    <w:p w14:paraId="0A2E2361" w14:textId="77777777" w:rsidR="00A97DC1" w:rsidRPr="00A97DC1" w:rsidRDefault="00A97DC1" w:rsidP="00A97DC1">
      <w:pPr>
        <w:widowControl/>
        <w:numPr>
          <w:ilvl w:val="0"/>
          <w:numId w:val="1"/>
        </w:numPr>
        <w:tabs>
          <w:tab w:val="clear" w:pos="1080"/>
          <w:tab w:val="num" w:pos="1440"/>
        </w:tabs>
        <w:spacing w:after="120"/>
      </w:pPr>
      <w:r w:rsidRPr="00A97DC1">
        <w:rPr>
          <w:b/>
          <w:u w:val="single"/>
        </w:rPr>
        <w:t>Successors and Assigns</w:t>
      </w:r>
      <w:r w:rsidRPr="00A97DC1">
        <w:t>.  AT&amp;T agrees that the provisions of this Consent Decree shall be binding on its successors, assigns, and transferees and any AT&amp;T affiliate that acquires Commission microwave licenses.</w:t>
      </w:r>
    </w:p>
    <w:p w14:paraId="270FE5DB"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Final Settlement</w:t>
      </w:r>
      <w:r w:rsidRPr="00A97DC1">
        <w:rPr>
          <w:szCs w:val="22"/>
        </w:rPr>
        <w:t>.  The Parties agree and acknowledge that this Consent Decree shall constitute a final settlement between the Parties with respect to the Investigation.  </w:t>
      </w:r>
    </w:p>
    <w:p w14:paraId="27F1BD14"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Modifications</w:t>
      </w:r>
      <w:r w:rsidRPr="00A97DC1">
        <w:rPr>
          <w:szCs w:val="22"/>
        </w:rPr>
        <w:t xml:space="preserve">.  This Consent Decree cannot </w:t>
      </w:r>
      <w:r w:rsidRPr="00A97DC1">
        <w:t>be</w:t>
      </w:r>
      <w:r w:rsidRPr="00A97DC1">
        <w:rPr>
          <w:szCs w:val="22"/>
        </w:rPr>
        <w:t xml:space="preserve"> modified without the advance written consent of both Parties.</w:t>
      </w:r>
    </w:p>
    <w:p w14:paraId="7FEF7CC8"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Paragraph Headings</w:t>
      </w:r>
      <w:r w:rsidRPr="00A97DC1">
        <w:rPr>
          <w:szCs w:val="22"/>
        </w:rPr>
        <w:t xml:space="preserve">.  The headings of the </w:t>
      </w:r>
      <w:r w:rsidRPr="00A97DC1">
        <w:t>paragraphs</w:t>
      </w:r>
      <w:r w:rsidRPr="00A97DC1">
        <w:rPr>
          <w:szCs w:val="22"/>
        </w:rPr>
        <w:t xml:space="preserve"> in this Consent Decree are inserted for convenience only and are not intended to affect the meaning or interpretation of this Consent Decree.</w:t>
      </w:r>
    </w:p>
    <w:p w14:paraId="219300AA"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szCs w:val="22"/>
          <w:u w:val="single"/>
        </w:rPr>
        <w:t>Authorized Representative</w:t>
      </w:r>
      <w:r w:rsidRPr="00A97DC1">
        <w:rPr>
          <w:szCs w:val="22"/>
        </w:rPr>
        <w:t xml:space="preserve">.  Each Party </w:t>
      </w:r>
      <w:r w:rsidRPr="00A97DC1">
        <w:t>represents</w:t>
      </w:r>
      <w:r w:rsidRPr="00A97DC1">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1F8D44EA" w14:textId="77777777" w:rsidR="00A97DC1" w:rsidRPr="00A97DC1" w:rsidRDefault="00A97DC1" w:rsidP="00A97DC1">
      <w:pPr>
        <w:widowControl/>
        <w:numPr>
          <w:ilvl w:val="0"/>
          <w:numId w:val="1"/>
        </w:numPr>
        <w:tabs>
          <w:tab w:val="clear" w:pos="1080"/>
          <w:tab w:val="num" w:pos="1440"/>
        </w:tabs>
        <w:spacing w:after="120"/>
        <w:rPr>
          <w:szCs w:val="22"/>
        </w:rPr>
      </w:pPr>
      <w:r w:rsidRPr="00A97DC1">
        <w:rPr>
          <w:b/>
          <w:u w:val="single"/>
        </w:rPr>
        <w:t>Counterparts</w:t>
      </w:r>
      <w:r w:rsidRPr="00A97DC1">
        <w:rPr>
          <w:szCs w:val="22"/>
        </w:rPr>
        <w:t xml:space="preserve">.  This Consent Decree may be </w:t>
      </w:r>
      <w:r w:rsidRPr="00A97DC1">
        <w:t>signed</w:t>
      </w:r>
      <w:r w:rsidRPr="00A97DC1">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09997F9B" w14:textId="77777777" w:rsidR="00A97DC1" w:rsidRPr="00A97DC1" w:rsidRDefault="00A97DC1" w:rsidP="00A97DC1">
      <w:pPr>
        <w:keepNext/>
        <w:keepLines/>
        <w:widowControl/>
      </w:pPr>
    </w:p>
    <w:p w14:paraId="60C1126E" w14:textId="77777777" w:rsidR="00A97DC1" w:rsidRPr="00A97DC1" w:rsidRDefault="00A97DC1" w:rsidP="00A97DC1">
      <w:pPr>
        <w:keepNext/>
        <w:keepLines/>
        <w:widowControl/>
      </w:pPr>
    </w:p>
    <w:p w14:paraId="69ECFDD8" w14:textId="77777777" w:rsidR="00A97DC1" w:rsidRPr="00A97DC1" w:rsidRDefault="00A97DC1" w:rsidP="00A97DC1">
      <w:pPr>
        <w:keepNext/>
        <w:keepLines/>
        <w:widowControl/>
      </w:pPr>
      <w:r w:rsidRPr="00A97DC1">
        <w:t>________________________________</w:t>
      </w:r>
    </w:p>
    <w:p w14:paraId="43D33949" w14:textId="77777777" w:rsidR="00A97DC1" w:rsidRPr="00A97DC1" w:rsidRDefault="00A97DC1" w:rsidP="00A97DC1">
      <w:pPr>
        <w:keepNext/>
        <w:keepLines/>
        <w:widowControl/>
      </w:pPr>
      <w:r w:rsidRPr="00A97DC1">
        <w:t>Travis LeBlanc</w:t>
      </w:r>
    </w:p>
    <w:p w14:paraId="19497BFD" w14:textId="77777777" w:rsidR="00A97DC1" w:rsidRPr="00A97DC1" w:rsidRDefault="00A97DC1" w:rsidP="00A97DC1">
      <w:pPr>
        <w:keepNext/>
        <w:keepLines/>
        <w:widowControl/>
      </w:pPr>
      <w:r w:rsidRPr="00A97DC1">
        <w:t>Chief</w:t>
      </w:r>
    </w:p>
    <w:p w14:paraId="332663EA" w14:textId="77777777" w:rsidR="00A97DC1" w:rsidRPr="00A97DC1" w:rsidRDefault="00A97DC1" w:rsidP="00A97DC1">
      <w:pPr>
        <w:keepNext/>
        <w:keepLines/>
        <w:widowControl/>
      </w:pPr>
      <w:r w:rsidRPr="00A97DC1">
        <w:t>Enforcement Bureau</w:t>
      </w:r>
    </w:p>
    <w:p w14:paraId="62D3DB07" w14:textId="77777777" w:rsidR="00A97DC1" w:rsidRPr="00A97DC1" w:rsidRDefault="00A97DC1" w:rsidP="00A97DC1">
      <w:pPr>
        <w:keepNext/>
        <w:keepLines/>
        <w:widowControl/>
      </w:pPr>
    </w:p>
    <w:p w14:paraId="74867F45" w14:textId="77777777" w:rsidR="00A97DC1" w:rsidRPr="00A97DC1" w:rsidRDefault="00A97DC1" w:rsidP="00A97DC1">
      <w:pPr>
        <w:keepNext/>
        <w:keepLines/>
        <w:widowControl/>
      </w:pPr>
    </w:p>
    <w:p w14:paraId="66CD7133" w14:textId="77777777" w:rsidR="00A97DC1" w:rsidRPr="00A97DC1" w:rsidRDefault="00A97DC1" w:rsidP="00A97DC1">
      <w:pPr>
        <w:keepNext/>
        <w:keepLines/>
        <w:widowControl/>
      </w:pPr>
      <w:r w:rsidRPr="00A97DC1">
        <w:t>________________________________</w:t>
      </w:r>
    </w:p>
    <w:p w14:paraId="727CAA89" w14:textId="77777777" w:rsidR="00A97DC1" w:rsidRPr="00A97DC1" w:rsidRDefault="00A97DC1" w:rsidP="00A97DC1">
      <w:pPr>
        <w:keepNext/>
        <w:keepLines/>
        <w:widowControl/>
      </w:pPr>
      <w:r w:rsidRPr="00A97DC1">
        <w:t>Date</w:t>
      </w:r>
    </w:p>
    <w:p w14:paraId="33A73106" w14:textId="77777777" w:rsidR="00A97DC1" w:rsidRPr="00A97DC1" w:rsidRDefault="00A97DC1" w:rsidP="00A97DC1">
      <w:pPr>
        <w:keepNext/>
        <w:keepLines/>
        <w:widowControl/>
      </w:pPr>
    </w:p>
    <w:p w14:paraId="30107258" w14:textId="77777777" w:rsidR="00A97DC1" w:rsidRPr="00A97DC1" w:rsidRDefault="00A97DC1" w:rsidP="00A97DC1">
      <w:pPr>
        <w:keepLines/>
        <w:widowControl/>
      </w:pPr>
    </w:p>
    <w:p w14:paraId="01FF7888" w14:textId="77777777" w:rsidR="00A97DC1" w:rsidRPr="00A97DC1" w:rsidRDefault="00A97DC1" w:rsidP="00A97DC1">
      <w:pPr>
        <w:keepLines/>
        <w:widowControl/>
      </w:pPr>
    </w:p>
    <w:p w14:paraId="40BFB5B9" w14:textId="77777777" w:rsidR="00A97DC1" w:rsidRPr="00A97DC1" w:rsidRDefault="00A97DC1" w:rsidP="00A97DC1">
      <w:pPr>
        <w:keepLines/>
        <w:widowControl/>
      </w:pPr>
      <w:r w:rsidRPr="00A97DC1">
        <w:t>________________________________</w:t>
      </w:r>
    </w:p>
    <w:p w14:paraId="15AB5C85" w14:textId="77777777" w:rsidR="00A97DC1" w:rsidRPr="00A97DC1" w:rsidRDefault="00A97DC1" w:rsidP="00A97DC1">
      <w:pPr>
        <w:keepLines/>
        <w:widowControl/>
      </w:pPr>
      <w:r w:rsidRPr="00A97DC1">
        <w:t>John Monday</w:t>
      </w:r>
    </w:p>
    <w:p w14:paraId="6A090A6B" w14:textId="77777777" w:rsidR="00A97DC1" w:rsidRPr="00A97DC1" w:rsidRDefault="00A97DC1" w:rsidP="00A97DC1">
      <w:pPr>
        <w:keepLines/>
        <w:widowControl/>
      </w:pPr>
      <w:r w:rsidRPr="00A97DC1">
        <w:t xml:space="preserve">Vice President </w:t>
      </w:r>
    </w:p>
    <w:p w14:paraId="77E19C3C" w14:textId="77777777" w:rsidR="00A97DC1" w:rsidRPr="00A97DC1" w:rsidRDefault="00A97DC1" w:rsidP="00A97DC1">
      <w:pPr>
        <w:keepLines/>
        <w:widowControl/>
      </w:pPr>
      <w:r w:rsidRPr="00A97DC1">
        <w:t>AT&amp;T Inc.</w:t>
      </w:r>
    </w:p>
    <w:p w14:paraId="2533A32F" w14:textId="77777777" w:rsidR="00A97DC1" w:rsidRPr="00A97DC1" w:rsidRDefault="00A97DC1" w:rsidP="00A97DC1">
      <w:pPr>
        <w:keepLines/>
        <w:widowControl/>
      </w:pPr>
    </w:p>
    <w:p w14:paraId="4907FF71" w14:textId="77777777" w:rsidR="00A97DC1" w:rsidRPr="00A97DC1" w:rsidRDefault="00A97DC1" w:rsidP="00A97DC1">
      <w:pPr>
        <w:keepLines/>
        <w:widowControl/>
      </w:pPr>
    </w:p>
    <w:p w14:paraId="52DF62D3" w14:textId="77777777" w:rsidR="00A97DC1" w:rsidRPr="00A97DC1" w:rsidRDefault="00A97DC1" w:rsidP="00A97DC1">
      <w:pPr>
        <w:keepLines/>
        <w:widowControl/>
      </w:pPr>
      <w:r w:rsidRPr="00A97DC1">
        <w:t>________________________________</w:t>
      </w:r>
    </w:p>
    <w:p w14:paraId="5EDF0B26" w14:textId="77777777" w:rsidR="00A97DC1" w:rsidRPr="00A97DC1" w:rsidRDefault="00A97DC1" w:rsidP="00A97DC1">
      <w:pPr>
        <w:keepLines/>
        <w:widowControl/>
      </w:pPr>
      <w:r w:rsidRPr="00A97DC1">
        <w:t>Date</w:t>
      </w:r>
    </w:p>
    <w:p w14:paraId="690C9407" w14:textId="77777777" w:rsidR="00A97DC1" w:rsidRDefault="00A97DC1" w:rsidP="00C8491A">
      <w:pPr>
        <w:ind w:left="4320"/>
      </w:pPr>
    </w:p>
    <w:sectPr w:rsidR="00A97DC1" w:rsidSect="0017094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779E8" w14:textId="77777777" w:rsidR="00A10115" w:rsidRDefault="00A10115">
      <w:pPr>
        <w:spacing w:line="20" w:lineRule="exact"/>
      </w:pPr>
    </w:p>
  </w:endnote>
  <w:endnote w:type="continuationSeparator" w:id="0">
    <w:p w14:paraId="624E5532" w14:textId="77777777" w:rsidR="00A10115" w:rsidRDefault="00A10115">
      <w:r>
        <w:t xml:space="preserve"> </w:t>
      </w:r>
    </w:p>
  </w:endnote>
  <w:endnote w:type="continuationNotice" w:id="1">
    <w:p w14:paraId="66A00313" w14:textId="77777777" w:rsidR="00A10115" w:rsidRDefault="00A101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166D" w14:textId="77777777" w:rsidR="00FA293D" w:rsidRDefault="00FA2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575C6F79" w14:textId="157D1082" w:rsidR="00EC65AF" w:rsidRDefault="00E8502B" w:rsidP="00453A9E">
        <w:pPr>
          <w:pStyle w:val="Footer"/>
          <w:jc w:val="center"/>
        </w:pPr>
        <w:r>
          <w:fldChar w:fldCharType="begin"/>
        </w:r>
        <w:r>
          <w:instrText xml:space="preserve"> PAGE  \* Arabic  \* MERGEFORMAT </w:instrText>
        </w:r>
        <w:r>
          <w:fldChar w:fldCharType="separate"/>
        </w:r>
        <w:r w:rsidR="00912875">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5606" w14:textId="77777777" w:rsidR="00EC65AF" w:rsidRDefault="00EC65A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7F26" w14:textId="77777777" w:rsidR="00A10115" w:rsidRDefault="00A10115">
      <w:r>
        <w:separator/>
      </w:r>
    </w:p>
  </w:footnote>
  <w:footnote w:type="continuationSeparator" w:id="0">
    <w:p w14:paraId="4253476F" w14:textId="77777777" w:rsidR="00A10115" w:rsidRDefault="00A10115" w:rsidP="00C721AC">
      <w:pPr>
        <w:spacing w:before="120"/>
        <w:rPr>
          <w:sz w:val="20"/>
        </w:rPr>
      </w:pPr>
      <w:r>
        <w:rPr>
          <w:sz w:val="20"/>
        </w:rPr>
        <w:t xml:space="preserve">(Continued from previous page)  </w:t>
      </w:r>
      <w:r>
        <w:rPr>
          <w:sz w:val="20"/>
        </w:rPr>
        <w:separator/>
      </w:r>
    </w:p>
  </w:footnote>
  <w:footnote w:type="continuationNotice" w:id="1">
    <w:p w14:paraId="5AEB1FDB" w14:textId="77777777" w:rsidR="00A10115" w:rsidRDefault="00A10115" w:rsidP="00C721AC">
      <w:pPr>
        <w:jc w:val="right"/>
        <w:rPr>
          <w:sz w:val="20"/>
        </w:rPr>
      </w:pPr>
      <w:r>
        <w:rPr>
          <w:sz w:val="20"/>
        </w:rPr>
        <w:t>(continued….)</w:t>
      </w:r>
    </w:p>
  </w:footnote>
  <w:footnote w:id="2">
    <w:p w14:paraId="3704A554" w14:textId="57F03D5C" w:rsidR="00063BBA" w:rsidRDefault="00063BBA">
      <w:pPr>
        <w:pStyle w:val="FootnoteText"/>
      </w:pPr>
      <w:r>
        <w:rPr>
          <w:rStyle w:val="FootnoteReference"/>
        </w:rPr>
        <w:footnoteRef/>
      </w:r>
      <w:r>
        <w:t xml:space="preserve"> For purposes of this Order, we use the term “AT&amp;T” as that term is defined in the Consent Decree.  Consent Decree at para. 2(c) (“‘AT&amp;T’ means, for purposes of settlement only, AT&amp;T Inc., AT&amp;T Mobility LLC</w:t>
      </w:r>
      <w:r w:rsidR="00D55BAB">
        <w:t>,</w:t>
      </w:r>
      <w:r>
        <w:t xml:space="preserve"> and </w:t>
      </w:r>
      <w:r w:rsidR="00D55BAB">
        <w:t>the</w:t>
      </w:r>
      <w:r w:rsidR="006B6C8B">
        <w:t xml:space="preserve"> </w:t>
      </w:r>
      <w:r>
        <w:t>subsidiaries, predecessors-in-interest, and successors-in-interest</w:t>
      </w:r>
      <w:r w:rsidR="00D55BAB">
        <w:t xml:space="preserve"> of AT&amp;T Mobility LLC</w:t>
      </w:r>
      <w:r>
        <w:t>.  AT&amp;T Mobility LLC is a 100 percent-owned, indirect subsidiary of AT&amp;T Inc., as are AT&amp;T Mobility of Puerto Rico LLC and New Cingular Wireless PCS LLC.”).</w:t>
      </w:r>
      <w:r w:rsidR="001D7FCC">
        <w:t xml:space="preserve"> </w:t>
      </w:r>
    </w:p>
  </w:footnote>
  <w:footnote w:id="3">
    <w:p w14:paraId="3B4DE195" w14:textId="77777777" w:rsidR="007A547E" w:rsidRDefault="007A547E" w:rsidP="007A547E">
      <w:pPr>
        <w:pStyle w:val="FootnoteText"/>
      </w:pPr>
      <w:r>
        <w:rPr>
          <w:rStyle w:val="FootnoteReference"/>
        </w:rPr>
        <w:footnoteRef/>
      </w:r>
      <w:r>
        <w:t xml:space="preserve"> 47 U.S.C. § 301.</w:t>
      </w:r>
    </w:p>
  </w:footnote>
  <w:footnote w:id="4">
    <w:p w14:paraId="35D3EA85" w14:textId="77777777" w:rsidR="007A547E" w:rsidRDefault="007A547E" w:rsidP="007A547E">
      <w:pPr>
        <w:pStyle w:val="FootnoteText"/>
      </w:pPr>
      <w:r>
        <w:rPr>
          <w:rStyle w:val="FootnoteReference"/>
        </w:rPr>
        <w:footnoteRef/>
      </w:r>
      <w:r>
        <w:t xml:space="preserve"> 47 C.F.R. §§ 1.903(a), 1.947(a)</w:t>
      </w:r>
      <w:r w:rsidR="00DC5E35">
        <w:t>-(b)</w:t>
      </w:r>
      <w:r>
        <w:t xml:space="preserve">. </w:t>
      </w:r>
    </w:p>
  </w:footnote>
  <w:footnote w:id="5">
    <w:p w14:paraId="1DD8BE8B" w14:textId="77777777" w:rsidR="00C8491A" w:rsidRPr="00A36B3E" w:rsidRDefault="00C8491A" w:rsidP="00C8491A">
      <w:pPr>
        <w:pStyle w:val="FootnoteText"/>
      </w:pPr>
      <w:r>
        <w:rPr>
          <w:rStyle w:val="FootnoteReference"/>
        </w:rPr>
        <w:footnoteRef/>
      </w:r>
      <w:r>
        <w:t xml:space="preserve"> </w:t>
      </w:r>
      <w:r>
        <w:rPr>
          <w:i/>
        </w:rPr>
        <w:t xml:space="preserve">See </w:t>
      </w:r>
      <w:r>
        <w:t xml:space="preserve">47 C.F.R. </w:t>
      </w:r>
      <w:r w:rsidRPr="007E734D">
        <w:t>§</w:t>
      </w:r>
      <w:r>
        <w:t xml:space="preserve"> 1.93(b).</w:t>
      </w:r>
    </w:p>
  </w:footnote>
  <w:footnote w:id="6">
    <w:p w14:paraId="1F12A640" w14:textId="77777777" w:rsidR="00C8491A" w:rsidRDefault="00C8491A" w:rsidP="00C8491A">
      <w:pPr>
        <w:pStyle w:val="FootnoteText"/>
      </w:pPr>
      <w:r>
        <w:rPr>
          <w:rStyle w:val="FootnoteReference"/>
        </w:rPr>
        <w:footnoteRef/>
      </w:r>
      <w:r>
        <w:t xml:space="preserve"> 47 U.S.C. §</w:t>
      </w:r>
      <w:r w:rsidR="0053506C">
        <w:t>§</w:t>
      </w:r>
      <w:r>
        <w:t xml:space="preserve"> 154(i)</w:t>
      </w:r>
      <w:r w:rsidR="0053506C">
        <w:t xml:space="preserve"> 503(b)</w:t>
      </w:r>
      <w:r>
        <w:t>.</w:t>
      </w:r>
    </w:p>
  </w:footnote>
  <w:footnote w:id="7">
    <w:p w14:paraId="2980B13B" w14:textId="77777777" w:rsidR="00C8491A" w:rsidRDefault="00C8491A" w:rsidP="00C8491A">
      <w:pPr>
        <w:pStyle w:val="FootnoteText"/>
      </w:pPr>
      <w:r>
        <w:rPr>
          <w:rStyle w:val="FootnoteReference"/>
          <w:bCs/>
        </w:rPr>
        <w:footnoteRef/>
      </w:r>
      <w:r>
        <w:t xml:space="preserve"> 47 C.F.R. §§ 0.111, 0.311.</w:t>
      </w:r>
    </w:p>
  </w:footnote>
  <w:footnote w:id="8">
    <w:p w14:paraId="2DBB8A1F" w14:textId="77777777" w:rsidR="00A97DC1" w:rsidRPr="00FF63E5" w:rsidRDefault="00A97DC1" w:rsidP="00A97DC1">
      <w:pPr>
        <w:pStyle w:val="FootnoteText"/>
      </w:pPr>
      <w:r w:rsidRPr="00FF63E5">
        <w:rPr>
          <w:rStyle w:val="FootnoteReference"/>
        </w:rPr>
        <w:footnoteRef/>
      </w:r>
      <w:r w:rsidRPr="00FF63E5">
        <w:t xml:space="preserve"> 47 U.S.C.</w:t>
      </w:r>
      <w:r>
        <w:t xml:space="preserve"> §</w:t>
      </w:r>
      <w:r w:rsidRPr="00FF63E5">
        <w:t xml:space="preserve"> 301.</w:t>
      </w:r>
    </w:p>
  </w:footnote>
  <w:footnote w:id="9">
    <w:p w14:paraId="0EAE8E86" w14:textId="77777777" w:rsidR="00A97DC1" w:rsidRPr="00FF63E5" w:rsidRDefault="00A97DC1" w:rsidP="00A97DC1">
      <w:pPr>
        <w:pStyle w:val="FootnoteText"/>
      </w:pPr>
      <w:r w:rsidRPr="00FF63E5">
        <w:rPr>
          <w:rStyle w:val="FootnoteReference"/>
        </w:rPr>
        <w:footnoteRef/>
      </w:r>
      <w:r w:rsidRPr="00FF63E5">
        <w:t xml:space="preserve"> </w:t>
      </w:r>
      <w:r w:rsidRPr="00FF63E5">
        <w:rPr>
          <w:w w:val="95"/>
        </w:rPr>
        <w:t>47 CFR §§ 1.903(a),</w:t>
      </w:r>
      <w:r w:rsidRPr="00FF63E5">
        <w:rPr>
          <w:spacing w:val="-32"/>
          <w:w w:val="95"/>
        </w:rPr>
        <w:t xml:space="preserve"> </w:t>
      </w:r>
      <w:r w:rsidRPr="00FF63E5">
        <w:rPr>
          <w:w w:val="95"/>
        </w:rPr>
        <w:t>1.947(a)</w:t>
      </w:r>
      <w:r>
        <w:rPr>
          <w:w w:val="95"/>
        </w:rPr>
        <w:t>-(b)</w:t>
      </w:r>
      <w:r w:rsidRPr="00FF63E5">
        <w:rPr>
          <w:w w:val="95"/>
        </w:rPr>
        <w:t>.</w:t>
      </w:r>
    </w:p>
  </w:footnote>
  <w:footnote w:id="10">
    <w:p w14:paraId="599E5430" w14:textId="77777777" w:rsidR="00A97DC1" w:rsidRPr="00FC2877" w:rsidRDefault="00A97DC1" w:rsidP="00A97DC1">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14:paraId="2A10A768" w14:textId="77777777" w:rsidR="00A97DC1" w:rsidRPr="00FF63E5" w:rsidRDefault="00A97DC1" w:rsidP="00A97DC1">
      <w:pPr>
        <w:spacing w:before="97" w:after="120"/>
        <w:ind w:right="331"/>
        <w:rPr>
          <w:sz w:val="20"/>
        </w:rPr>
      </w:pPr>
      <w:r w:rsidRPr="00FF63E5">
        <w:rPr>
          <w:rStyle w:val="FootnoteReference"/>
        </w:rPr>
        <w:footnoteRef/>
      </w:r>
      <w:r w:rsidRPr="00FF63E5">
        <w:rPr>
          <w:sz w:val="20"/>
        </w:rPr>
        <w:t xml:space="preserve"> </w:t>
      </w:r>
      <w:r w:rsidRPr="00FF63E5">
        <w:rPr>
          <w:w w:val="105"/>
          <w:sz w:val="20"/>
        </w:rPr>
        <w:t>47 U.S.C. § 301; 47 CFR §</w:t>
      </w:r>
      <w:r w:rsidRPr="00FF63E5">
        <w:rPr>
          <w:spacing w:val="-2"/>
          <w:w w:val="105"/>
          <w:sz w:val="20"/>
        </w:rPr>
        <w:t xml:space="preserve"> </w:t>
      </w:r>
      <w:r w:rsidRPr="00FF63E5">
        <w:rPr>
          <w:w w:val="105"/>
          <w:sz w:val="20"/>
        </w:rPr>
        <w:t>1.903(a).</w:t>
      </w:r>
    </w:p>
  </w:footnote>
  <w:footnote w:id="12">
    <w:p w14:paraId="5BF2FED2" w14:textId="77777777" w:rsidR="00A97DC1" w:rsidRPr="00FF63E5" w:rsidRDefault="00A97DC1" w:rsidP="00A97DC1">
      <w:pPr>
        <w:pStyle w:val="FootnoteText"/>
      </w:pPr>
      <w:r w:rsidRPr="00FF63E5">
        <w:rPr>
          <w:rStyle w:val="FootnoteReference"/>
        </w:rPr>
        <w:footnoteRef/>
      </w:r>
      <w:r w:rsidRPr="00FF63E5">
        <w:t xml:space="preserve"> </w:t>
      </w:r>
      <w:r w:rsidRPr="00FF63E5">
        <w:rPr>
          <w:w w:val="105"/>
        </w:rPr>
        <w:t>47 CFR §</w:t>
      </w:r>
      <w:r w:rsidRPr="00FF63E5">
        <w:rPr>
          <w:spacing w:val="13"/>
          <w:w w:val="105"/>
        </w:rPr>
        <w:t xml:space="preserve"> </w:t>
      </w:r>
      <w:r w:rsidRPr="00FF63E5">
        <w:rPr>
          <w:w w:val="105"/>
        </w:rPr>
        <w:t>1.947(a).</w:t>
      </w:r>
      <w:r>
        <w:rPr>
          <w:w w:val="105"/>
        </w:rPr>
        <w:t xml:space="preserve">   </w:t>
      </w:r>
    </w:p>
  </w:footnote>
  <w:footnote w:id="13">
    <w:p w14:paraId="1426A76B" w14:textId="77777777" w:rsidR="00A97DC1" w:rsidRDefault="00A97DC1" w:rsidP="00A97DC1">
      <w:pPr>
        <w:pStyle w:val="FootnoteText"/>
      </w:pPr>
      <w:r>
        <w:rPr>
          <w:rStyle w:val="FootnoteReference"/>
        </w:rPr>
        <w:footnoteRef/>
      </w:r>
      <w:r>
        <w:t xml:space="preserve"> 47 CFR § 1.929(d).</w:t>
      </w:r>
    </w:p>
  </w:footnote>
  <w:footnote w:id="14">
    <w:p w14:paraId="29F16148" w14:textId="77777777" w:rsidR="00A97DC1" w:rsidRPr="00FF63E5" w:rsidRDefault="00A97DC1" w:rsidP="00A97DC1">
      <w:pPr>
        <w:pStyle w:val="FootnoteText"/>
      </w:pPr>
      <w:r w:rsidRPr="00FF63E5">
        <w:rPr>
          <w:rStyle w:val="FootnoteReference"/>
        </w:rPr>
        <w:footnoteRef/>
      </w:r>
      <w:r w:rsidRPr="00FF63E5">
        <w:t xml:space="preserve"> </w:t>
      </w:r>
      <w:r w:rsidRPr="00FF63E5">
        <w:rPr>
          <w:w w:val="105"/>
        </w:rPr>
        <w:t>47 U.S.C. § 301; 47 CFR § l</w:t>
      </w:r>
      <w:r w:rsidRPr="00FF63E5">
        <w:rPr>
          <w:spacing w:val="-16"/>
          <w:w w:val="105"/>
        </w:rPr>
        <w:t xml:space="preserve"> </w:t>
      </w:r>
      <w:r w:rsidRPr="00FF63E5">
        <w:rPr>
          <w:w w:val="105"/>
        </w:rPr>
        <w:t>.903(a).</w:t>
      </w:r>
    </w:p>
  </w:footnote>
  <w:footnote w:id="15">
    <w:p w14:paraId="2C2DBD7B" w14:textId="77777777" w:rsidR="00A97DC1" w:rsidRPr="00FC2877" w:rsidRDefault="00A97DC1" w:rsidP="00A97DC1">
      <w:pPr>
        <w:pStyle w:val="FootnoteText"/>
      </w:pPr>
      <w:r w:rsidRPr="00065A95">
        <w:rPr>
          <w:rStyle w:val="FootnoteReference"/>
        </w:rPr>
        <w:footnoteRef/>
      </w:r>
      <w:r w:rsidRPr="00065A95">
        <w:t xml:space="preserve"> </w:t>
      </w:r>
      <w:r w:rsidRPr="00243538">
        <w:t>47 CFR § 1.947(b</w:t>
      </w:r>
      <w:r w:rsidRPr="00065A95">
        <w:t>)</w:t>
      </w:r>
      <w:r w:rsidRPr="00065A95">
        <w:rPr>
          <w:i/>
        </w:rPr>
        <w:t>.</w:t>
      </w:r>
    </w:p>
  </w:footnote>
  <w:footnote w:id="16">
    <w:p w14:paraId="71CAE59B" w14:textId="77777777" w:rsidR="00A97DC1" w:rsidRPr="00065A95" w:rsidRDefault="00A97DC1" w:rsidP="00A97DC1">
      <w:pPr>
        <w:pStyle w:val="FootnoteText"/>
        <w:rPr>
          <w:i/>
        </w:rPr>
      </w:pPr>
      <w:r w:rsidRPr="00065A95">
        <w:rPr>
          <w:rStyle w:val="FootnoteReference"/>
        </w:rPr>
        <w:footnoteRef/>
      </w:r>
      <w:r w:rsidRPr="00065A95">
        <w:t xml:space="preserve"> </w:t>
      </w:r>
      <w:r w:rsidRPr="00243538">
        <w:rPr>
          <w:i/>
        </w:rPr>
        <w:t>Id.  See Biennial Regulatory Review – Amendment of Parts 0, 1, 13, 22, 24, 26, 27, 80, 87, 90, 95, 97, and 101 of the Commission’s Rules to Facilitate the Development and Use of the Universal Licensing System in the Wireless Telecommunications Services</w:t>
      </w:r>
      <w:r w:rsidRPr="00243538">
        <w:t>, Report and Order, 13 FCC Rcd 21027, 21060–61, paras. 72–73 (1998)</w:t>
      </w:r>
      <w:r>
        <w:t>.</w:t>
      </w:r>
    </w:p>
  </w:footnote>
  <w:footnote w:id="17">
    <w:p w14:paraId="0FD767EB" w14:textId="77777777" w:rsidR="00A97DC1" w:rsidRPr="00312FD6" w:rsidRDefault="00A97DC1" w:rsidP="00A97DC1">
      <w:pPr>
        <w:pStyle w:val="FootnoteText"/>
      </w:pPr>
      <w:r w:rsidRPr="00312FD6">
        <w:rPr>
          <w:rStyle w:val="FootnoteReference"/>
        </w:rPr>
        <w:footnoteRef/>
      </w:r>
      <w:r w:rsidRPr="00312FD6">
        <w:t xml:space="preserve"> 47 U.S.C. § 301.</w:t>
      </w:r>
    </w:p>
  </w:footnote>
  <w:footnote w:id="18">
    <w:p w14:paraId="55BA588B" w14:textId="77777777" w:rsidR="00A97DC1" w:rsidRPr="00312FD6" w:rsidRDefault="00A97DC1" w:rsidP="00A97DC1">
      <w:pPr>
        <w:pStyle w:val="FootnoteText"/>
      </w:pPr>
      <w:r w:rsidRPr="00312FD6">
        <w:rPr>
          <w:rStyle w:val="FootnoteReference"/>
        </w:rPr>
        <w:footnoteRef/>
      </w:r>
      <w:r w:rsidRPr="00312FD6">
        <w:t xml:space="preserve"> 47 CFR §§ 1.903(a), 1.947(a), 1.947(b).</w:t>
      </w:r>
    </w:p>
  </w:footnote>
  <w:footnote w:id="19">
    <w:p w14:paraId="68E3B2D9" w14:textId="77777777" w:rsidR="00A97DC1" w:rsidRPr="00312FD6" w:rsidRDefault="00A97DC1" w:rsidP="00A97DC1">
      <w:pPr>
        <w:pStyle w:val="FootnoteText"/>
        <w:rPr>
          <w:i/>
        </w:rPr>
      </w:pPr>
      <w:r w:rsidRPr="00312FD6">
        <w:rPr>
          <w:rStyle w:val="FootnoteReference"/>
        </w:rPr>
        <w:footnoteRef/>
      </w:r>
      <w:r w:rsidRPr="00312FD6">
        <w:t xml:space="preserve"> </w:t>
      </w:r>
      <w:r w:rsidRPr="00312FD6">
        <w:rPr>
          <w:i/>
        </w:rPr>
        <w:t>AT&amp;T Inc., Parent Company of New Cingular Wireless PCS, LLC and AT&amp;T Mobility Puerto Rico, Inc.</w:t>
      </w:r>
      <w:r w:rsidRPr="00312FD6">
        <w:t>, Notice of Apparent Liability for Forfeiture, 30 FCC Rcd 856, 863, para. 16 (2015) (</w:t>
      </w:r>
      <w:r w:rsidRPr="006D4359">
        <w:t>NAL</w:t>
      </w:r>
      <w:r w:rsidRPr="00312FD6">
        <w:t>).</w:t>
      </w:r>
      <w:r w:rsidRPr="00312FD6">
        <w:rPr>
          <w:i/>
        </w:rPr>
        <w:t xml:space="preserve">  </w:t>
      </w:r>
      <w:r w:rsidRPr="00312FD6">
        <w:t xml:space="preserve">The </w:t>
      </w:r>
      <w:r w:rsidRPr="006D4359">
        <w:t>NAL</w:t>
      </w:r>
      <w:r w:rsidRPr="00312FD6">
        <w:rPr>
          <w:i/>
        </w:rPr>
        <w:t xml:space="preserve"> </w:t>
      </w:r>
      <w:r w:rsidRPr="00312FD6">
        <w:t xml:space="preserve">includes a more complete discussion of the facts and history of this case and </w:t>
      </w:r>
      <w:r>
        <w:t xml:space="preserve">the NAL, as well as AT&amp;T’s response, </w:t>
      </w:r>
      <w:r w:rsidRPr="00312FD6">
        <w:t>is incorporated herein by reference.</w:t>
      </w:r>
    </w:p>
  </w:footnote>
  <w:footnote w:id="20">
    <w:p w14:paraId="02510D52" w14:textId="77777777" w:rsidR="00A97DC1" w:rsidRDefault="00A97DC1" w:rsidP="00A97DC1">
      <w:pPr>
        <w:pStyle w:val="FootnoteText"/>
      </w:pPr>
      <w:r>
        <w:rPr>
          <w:rStyle w:val="FootnoteReference"/>
        </w:rPr>
        <w:footnoteRef/>
      </w:r>
      <w:r>
        <w:t xml:space="preserve"> Modifications were needed for stations WMN554, WPNL652, WPOP550, WPOS887, WQLR316, WPUS598, and WQJM490.  </w:t>
      </w:r>
      <w:r>
        <w:rPr>
          <w:i/>
        </w:rPr>
        <w:t xml:space="preserve">See </w:t>
      </w:r>
      <w:r>
        <w:t>Letter from Jacquelyne Flemming, Assistant Vice President – External Affairs/Regulatory, AT&amp;T Services, Inc., to John Poutasse, Division Chief, Spectrum Enforcement Division, FCC Enforcement Bureau (Aug. 5, 2014) (on file in EB-SED-</w:t>
      </w:r>
      <w:r>
        <w:rPr>
          <w:bCs/>
          <w:caps/>
          <w:kern w:val="36"/>
        </w:rPr>
        <w:t>13-00008891</w:t>
      </w:r>
      <w:r>
        <w:t>) at Attachment 1.</w:t>
      </w:r>
    </w:p>
  </w:footnote>
  <w:footnote w:id="21">
    <w:p w14:paraId="7A78B823" w14:textId="77777777" w:rsidR="00A97DC1" w:rsidRDefault="00A97DC1" w:rsidP="00A97DC1">
      <w:pPr>
        <w:pStyle w:val="FootnoteText"/>
      </w:pPr>
      <w:r>
        <w:rPr>
          <w:rStyle w:val="FootnoteReference"/>
        </w:rPr>
        <w:footnoteRef/>
      </w:r>
      <w:r>
        <w:t xml:space="preserve"> </w:t>
      </w:r>
      <w:r w:rsidRPr="00C566EC">
        <w:rPr>
          <w:i/>
        </w:rPr>
        <w:t>See</w:t>
      </w:r>
      <w:r>
        <w:t xml:space="preserve"> 47 CFR § 1.93(b).</w:t>
      </w:r>
    </w:p>
  </w:footnote>
  <w:footnote w:id="22">
    <w:p w14:paraId="043CFD26" w14:textId="77777777" w:rsidR="00A97DC1" w:rsidRDefault="00A97DC1" w:rsidP="00A97DC1">
      <w:pPr>
        <w:spacing w:before="114" w:line="242" w:lineRule="auto"/>
        <w:ind w:right="279"/>
      </w:pPr>
      <w:r w:rsidRPr="00FF63E5">
        <w:rPr>
          <w:rStyle w:val="FootnoteReference"/>
        </w:rPr>
        <w:footnoteRef/>
      </w:r>
      <w:r w:rsidRPr="00FF63E5">
        <w:rPr>
          <w:sz w:val="20"/>
        </w:rPr>
        <w:t xml:space="preserve"> AT&amp;T represents that it has comprehensive organizational structures, plans, and procedures in place that</w:t>
      </w:r>
      <w:r w:rsidRPr="00FF63E5">
        <w:rPr>
          <w:spacing w:val="10"/>
          <w:sz w:val="20"/>
        </w:rPr>
        <w:t xml:space="preserve"> </w:t>
      </w:r>
      <w:r w:rsidRPr="00FF63E5">
        <w:rPr>
          <w:sz w:val="20"/>
        </w:rPr>
        <w:t>are</w:t>
      </w:r>
      <w:r w:rsidRPr="00FF63E5">
        <w:rPr>
          <w:w w:val="99"/>
          <w:sz w:val="20"/>
        </w:rPr>
        <w:t xml:space="preserve"> </w:t>
      </w:r>
      <w:r w:rsidRPr="00FF63E5">
        <w:rPr>
          <w:sz w:val="20"/>
        </w:rPr>
        <w:t xml:space="preserve">intended to ensure compliance with the Communications Laws. </w:t>
      </w:r>
      <w:r>
        <w:rPr>
          <w:sz w:val="20"/>
        </w:rPr>
        <w:t xml:space="preserve"> </w:t>
      </w:r>
      <w:r w:rsidRPr="00FF63E5">
        <w:rPr>
          <w:sz w:val="20"/>
        </w:rPr>
        <w:t>This Consent Decree does not require</w:t>
      </w:r>
      <w:r w:rsidRPr="00FF63E5">
        <w:rPr>
          <w:spacing w:val="12"/>
          <w:sz w:val="20"/>
        </w:rPr>
        <w:t xml:space="preserve"> </w:t>
      </w:r>
      <w:r w:rsidRPr="00FF63E5">
        <w:rPr>
          <w:sz w:val="20"/>
        </w:rPr>
        <w:t>new</w:t>
      </w:r>
      <w:r w:rsidRPr="00FF63E5">
        <w:rPr>
          <w:w w:val="98"/>
          <w:sz w:val="20"/>
        </w:rPr>
        <w:t xml:space="preserve"> </w:t>
      </w:r>
      <w:r w:rsidRPr="00FF63E5">
        <w:rPr>
          <w:sz w:val="20"/>
        </w:rPr>
        <w:t>organizational structures, plans, or procedures except as necessary to implement paragraphs 1</w:t>
      </w:r>
      <w:r>
        <w:rPr>
          <w:sz w:val="20"/>
        </w:rPr>
        <w:t>0-12</w:t>
      </w:r>
      <w:r w:rsidRPr="00FF63E5">
        <w:rPr>
          <w:sz w:val="20"/>
        </w:rPr>
        <w:t xml:space="preserve"> of this</w:t>
      </w:r>
      <w:r w:rsidRPr="00FF63E5">
        <w:rPr>
          <w:spacing w:val="44"/>
          <w:sz w:val="20"/>
        </w:rPr>
        <w:t xml:space="preserve"> </w:t>
      </w:r>
      <w:r w:rsidRPr="00FF63E5">
        <w:rPr>
          <w:sz w:val="20"/>
        </w:rPr>
        <w:t>Consent</w:t>
      </w:r>
      <w:r w:rsidRPr="00FF63E5">
        <w:rPr>
          <w:w w:val="98"/>
          <w:sz w:val="20"/>
        </w:rPr>
        <w:t xml:space="preserve"> </w:t>
      </w:r>
      <w:r w:rsidRPr="00FF63E5">
        <w:rPr>
          <w:sz w:val="20"/>
        </w:rPr>
        <w:t>Decree, nor does it require application of the Compliance Plan to Covered Employees with no responsibilities</w:t>
      </w:r>
      <w:r w:rsidRPr="00FF63E5">
        <w:rPr>
          <w:spacing w:val="4"/>
          <w:sz w:val="20"/>
        </w:rPr>
        <w:t xml:space="preserve"> </w:t>
      </w:r>
      <w:r w:rsidRPr="00FF63E5">
        <w:rPr>
          <w:sz w:val="20"/>
        </w:rPr>
        <w:t>for compliance with the Licensing</w:t>
      </w:r>
      <w:r w:rsidRPr="00FF63E5">
        <w:rPr>
          <w:spacing w:val="24"/>
          <w:sz w:val="20"/>
        </w:rPr>
        <w:t xml:space="preserve"> </w:t>
      </w:r>
      <w:r w:rsidRPr="00FF63E5">
        <w:rPr>
          <w:sz w:val="20"/>
        </w:rPr>
        <w:t>Rules.</w:t>
      </w:r>
    </w:p>
  </w:footnote>
  <w:footnote w:id="23">
    <w:p w14:paraId="32C84A89" w14:textId="77777777" w:rsidR="00A97DC1" w:rsidRDefault="00A97DC1" w:rsidP="00A97DC1">
      <w:pPr>
        <w:spacing w:after="120"/>
        <w:ind w:right="360"/>
      </w:pPr>
      <w:r w:rsidRPr="00FF63E5">
        <w:rPr>
          <w:rStyle w:val="FootnoteReference"/>
        </w:rPr>
        <w:footnoteRef/>
      </w:r>
      <w:r w:rsidRPr="00FF63E5">
        <w:rPr>
          <w:sz w:val="20"/>
        </w:rPr>
        <w:t xml:space="preserve"> 47 CFR </w:t>
      </w:r>
      <w:r>
        <w:rPr>
          <w:sz w:val="20"/>
        </w:rPr>
        <w:t>§</w:t>
      </w:r>
      <w:r w:rsidRPr="00FF63E5">
        <w:rPr>
          <w:i/>
          <w:sz w:val="20"/>
        </w:rPr>
        <w:t xml:space="preserve"> </w:t>
      </w:r>
      <w:r w:rsidRPr="00FF63E5">
        <w:rPr>
          <w:sz w:val="20"/>
        </w:rPr>
        <w:t>1.16.</w:t>
      </w:r>
    </w:p>
  </w:footnote>
  <w:footnote w:id="24">
    <w:p w14:paraId="48E0384B" w14:textId="77777777" w:rsidR="00A97DC1" w:rsidRPr="00FF63E5" w:rsidRDefault="00A97DC1" w:rsidP="00A97DC1">
      <w:pPr>
        <w:pStyle w:val="FootnoteText"/>
      </w:pPr>
      <w:r w:rsidRPr="00FF63E5">
        <w:rPr>
          <w:rStyle w:val="FootnoteReference"/>
        </w:rPr>
        <w:footnoteRef/>
      </w:r>
      <w:r w:rsidRPr="00FF63E5">
        <w:t xml:space="preserve">  47 U.S.C. </w:t>
      </w:r>
      <w:r>
        <w:t xml:space="preserve">§ </w:t>
      </w:r>
      <w:r w:rsidRPr="00FF63E5">
        <w:t>208.</w:t>
      </w:r>
    </w:p>
  </w:footnote>
  <w:footnote w:id="25">
    <w:p w14:paraId="5CDC7CDF" w14:textId="77777777" w:rsidR="00A97DC1" w:rsidRDefault="00A97DC1" w:rsidP="00A97DC1">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0DCF" w14:textId="77777777" w:rsidR="00FA293D" w:rsidRDefault="00FA2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201B" w14:textId="77777777" w:rsidR="00EC65AF" w:rsidRDefault="00EC65AF" w:rsidP="00FB7B04">
    <w:pPr>
      <w:pStyle w:val="Header"/>
    </w:pPr>
  </w:p>
  <w:p w14:paraId="3F9070D1" w14:textId="28C4C879" w:rsidR="00EC65AF" w:rsidRDefault="00EC65AF" w:rsidP="00153AAA">
    <w:pPr>
      <w:pStyle w:val="Header"/>
      <w:rPr>
        <w:spacing w:val="-2"/>
      </w:rPr>
    </w:pPr>
    <w:r w:rsidRPr="00843A5F">
      <w:rPr>
        <w:noProof/>
      </w:rPr>
      <mc:AlternateContent>
        <mc:Choice Requires="wps">
          <w:drawing>
            <wp:anchor distT="0" distB="0" distL="114300" distR="114300" simplePos="0" relativeHeight="251658241" behindDoc="1" locked="0" layoutInCell="0" allowOverlap="1" wp14:anchorId="19BF4825" wp14:editId="5A3F76F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1AFC8"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w:t>
    </w:r>
    <w:r w:rsidR="007F3830">
      <w:rPr>
        <w:spacing w:val="-2"/>
      </w:rPr>
      <w:t>6</w:t>
    </w:r>
    <w:r w:rsidRPr="002755D1">
      <w:rPr>
        <w:spacing w:val="-2"/>
      </w:rPr>
      <w:t>-</w:t>
    </w:r>
    <w:r w:rsidR="003F5759">
      <w:rPr>
        <w:spacing w:val="-2"/>
      </w:rPr>
      <w:t>10</w:t>
    </w:r>
    <w:r w:rsidR="009C476E">
      <w:rPr>
        <w:spacing w:val="-2"/>
      </w:rPr>
      <w:t>3</w:t>
    </w:r>
    <w:r w:rsidR="003F5759">
      <w:rPr>
        <w:spacing w:val="-2"/>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4EFB2" w14:textId="77777777" w:rsidR="00EC65AF" w:rsidRDefault="00EC65AF" w:rsidP="007C4242">
    <w:pPr>
      <w:pStyle w:val="Header"/>
    </w:pPr>
  </w:p>
  <w:p w14:paraId="5C3C4A84" w14:textId="1521AEFB" w:rsidR="00EC65AF" w:rsidRDefault="00EC65AF" w:rsidP="00153AAA">
    <w:pPr>
      <w:pStyle w:val="Header"/>
      <w:rPr>
        <w:b w:val="0"/>
      </w:rPr>
    </w:pPr>
    <w:r w:rsidRPr="00843A5F">
      <w:rPr>
        <w:noProof/>
      </w:rPr>
      <mc:AlternateContent>
        <mc:Choice Requires="wps">
          <w:drawing>
            <wp:anchor distT="0" distB="0" distL="114300" distR="114300" simplePos="0" relativeHeight="251658240" behindDoc="1" locked="0" layoutInCell="0" allowOverlap="1" wp14:anchorId="4FC33B5E" wp14:editId="0FC95EF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E96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9859E5">
      <w:t>DA</w:t>
    </w:r>
    <w:r w:rsidRPr="002755D1">
      <w:rPr>
        <w:spacing w:val="-2"/>
      </w:rPr>
      <w:t xml:space="preserve"> </w:t>
    </w:r>
    <w:r>
      <w:rPr>
        <w:spacing w:val="-2"/>
      </w:rPr>
      <w:t>1</w:t>
    </w:r>
    <w:r w:rsidR="007F3830">
      <w:rPr>
        <w:spacing w:val="-2"/>
      </w:rPr>
      <w:t>6</w:t>
    </w:r>
    <w:r w:rsidRPr="002755D1">
      <w:rPr>
        <w:spacing w:val="-2"/>
      </w:rPr>
      <w:t>-</w:t>
    </w:r>
    <w:r w:rsidR="003F5759">
      <w:rPr>
        <w:spacing w:val="-2"/>
      </w:rPr>
      <w:t>1032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5A46892E"/>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5C30BD"/>
    <w:multiLevelType w:val="hybridMultilevel"/>
    <w:tmpl w:val="8C0C53E2"/>
    <w:lvl w:ilvl="0" w:tplc="B518079C">
      <w:start w:val="1"/>
      <w:numFmt w:val="lowerLetter"/>
      <w:lvlText w:val="(%1)"/>
      <w:lvlJc w:val="left"/>
      <w:pPr>
        <w:ind w:left="2303" w:hanging="360"/>
      </w:pPr>
      <w:rPr>
        <w:rFonts w:cs="Times New Roman" w:hint="default"/>
        <w:b w:val="0"/>
        <w:i w:val="0"/>
        <w:sz w:val="22"/>
        <w:szCs w:val="22"/>
      </w:rPr>
    </w:lvl>
    <w:lvl w:ilvl="1" w:tplc="920EC6EA">
      <w:start w:val="1"/>
      <w:numFmt w:val="lowerRoman"/>
      <w:lvlText w:val="%2."/>
      <w:lvlJc w:val="left"/>
      <w:pPr>
        <w:ind w:left="3023" w:hanging="360"/>
      </w:pPr>
      <w:rPr>
        <w:rFonts w:ascii="Times New Roman" w:eastAsiaTheme="minorHAnsi" w:hAnsi="Times New Roman" w:cs="Times New Roman"/>
      </w:rPr>
    </w:lvl>
    <w:lvl w:ilvl="2" w:tplc="0409001B">
      <w:start w:val="1"/>
      <w:numFmt w:val="lowerRoman"/>
      <w:lvlText w:val="%3."/>
      <w:lvlJc w:val="right"/>
      <w:pPr>
        <w:ind w:left="3743" w:hanging="180"/>
      </w:pPr>
    </w:lvl>
    <w:lvl w:ilvl="3" w:tplc="0409000F">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058D3"/>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77C7075"/>
    <w:multiLevelType w:val="hybridMultilevel"/>
    <w:tmpl w:val="EB9C5514"/>
    <w:lvl w:ilvl="0" w:tplc="B518079C">
      <w:start w:val="1"/>
      <w:numFmt w:val="lowerLetter"/>
      <w:lvlText w:val="(%1)"/>
      <w:lvlJc w:val="left"/>
      <w:pPr>
        <w:ind w:left="2303" w:hanging="360"/>
      </w:pPr>
      <w:rPr>
        <w:rFonts w:cs="Times New Roman" w:hint="default"/>
        <w:b w:val="0"/>
        <w:i w:val="0"/>
        <w:sz w:val="22"/>
        <w:szCs w:val="22"/>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abstractNum w:abstractNumId="13">
    <w:nsid w:val="5A024E51"/>
    <w:multiLevelType w:val="hybridMultilevel"/>
    <w:tmpl w:val="95E28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70620094"/>
    <w:lvl w:ilvl="0" w:tplc="78B41958">
      <w:start w:val="1"/>
      <w:numFmt w:val="lowerLetter"/>
      <w:lvlText w:val="(%1)"/>
      <w:lvlJc w:val="left"/>
      <w:pPr>
        <w:tabs>
          <w:tab w:val="num" w:pos="5976"/>
        </w:tabs>
        <w:ind w:left="5976" w:hanging="432"/>
      </w:pPr>
      <w:rPr>
        <w:rFonts w:cs="Times New Roman" w:hint="default"/>
        <w:b w:val="0"/>
        <w:i w:val="0"/>
        <w:sz w:val="22"/>
        <w:szCs w:val="22"/>
      </w:rPr>
    </w:lvl>
    <w:lvl w:ilvl="1" w:tplc="04090019">
      <w:start w:val="1"/>
      <w:numFmt w:val="lowerLetter"/>
      <w:lvlText w:val="%2."/>
      <w:lvlJc w:val="left"/>
      <w:pPr>
        <w:tabs>
          <w:tab w:val="num" w:pos="6192"/>
        </w:tabs>
        <w:ind w:left="6192" w:hanging="360"/>
      </w:pPr>
    </w:lvl>
    <w:lvl w:ilvl="2" w:tplc="0409001B">
      <w:start w:val="1"/>
      <w:numFmt w:val="lowerRoman"/>
      <w:lvlText w:val="%3."/>
      <w:lvlJc w:val="right"/>
      <w:pPr>
        <w:tabs>
          <w:tab w:val="num" w:pos="6912"/>
        </w:tabs>
        <w:ind w:left="6912" w:hanging="180"/>
      </w:pPr>
      <w:rPr>
        <w:rFonts w:cs="Times New Roman"/>
      </w:rPr>
    </w:lvl>
    <w:lvl w:ilvl="3" w:tplc="0409000F">
      <w:start w:val="1"/>
      <w:numFmt w:val="decimal"/>
      <w:lvlText w:val="%4."/>
      <w:lvlJc w:val="left"/>
      <w:pPr>
        <w:tabs>
          <w:tab w:val="num" w:pos="7632"/>
        </w:tabs>
        <w:ind w:left="7632" w:hanging="360"/>
      </w:pPr>
      <w:rPr>
        <w:rFonts w:cs="Times New Roman"/>
      </w:rPr>
    </w:lvl>
    <w:lvl w:ilvl="4" w:tplc="04090019" w:tentative="1">
      <w:start w:val="1"/>
      <w:numFmt w:val="lowerLetter"/>
      <w:lvlText w:val="%5."/>
      <w:lvlJc w:val="left"/>
      <w:pPr>
        <w:tabs>
          <w:tab w:val="num" w:pos="8352"/>
        </w:tabs>
        <w:ind w:left="8352" w:hanging="360"/>
      </w:pPr>
      <w:rPr>
        <w:rFonts w:cs="Times New Roman"/>
      </w:rPr>
    </w:lvl>
    <w:lvl w:ilvl="5" w:tplc="0409001B" w:tentative="1">
      <w:start w:val="1"/>
      <w:numFmt w:val="lowerRoman"/>
      <w:lvlText w:val="%6."/>
      <w:lvlJc w:val="right"/>
      <w:pPr>
        <w:tabs>
          <w:tab w:val="num" w:pos="9072"/>
        </w:tabs>
        <w:ind w:left="9072" w:hanging="180"/>
      </w:pPr>
      <w:rPr>
        <w:rFonts w:cs="Times New Roman"/>
      </w:rPr>
    </w:lvl>
    <w:lvl w:ilvl="6" w:tplc="0409000F" w:tentative="1">
      <w:start w:val="1"/>
      <w:numFmt w:val="decimal"/>
      <w:lvlText w:val="%7."/>
      <w:lvlJc w:val="left"/>
      <w:pPr>
        <w:tabs>
          <w:tab w:val="num" w:pos="9792"/>
        </w:tabs>
        <w:ind w:left="9792" w:hanging="360"/>
      </w:pPr>
      <w:rPr>
        <w:rFonts w:cs="Times New Roman"/>
      </w:rPr>
    </w:lvl>
    <w:lvl w:ilvl="7" w:tplc="04090019" w:tentative="1">
      <w:start w:val="1"/>
      <w:numFmt w:val="lowerLetter"/>
      <w:lvlText w:val="%8."/>
      <w:lvlJc w:val="left"/>
      <w:pPr>
        <w:tabs>
          <w:tab w:val="num" w:pos="10512"/>
        </w:tabs>
        <w:ind w:left="10512" w:hanging="360"/>
      </w:pPr>
      <w:rPr>
        <w:rFonts w:cs="Times New Roman"/>
      </w:rPr>
    </w:lvl>
    <w:lvl w:ilvl="8" w:tplc="0409001B" w:tentative="1">
      <w:start w:val="1"/>
      <w:numFmt w:val="lowerRoman"/>
      <w:lvlText w:val="%9."/>
      <w:lvlJc w:val="right"/>
      <w:pPr>
        <w:tabs>
          <w:tab w:val="num" w:pos="11232"/>
        </w:tabs>
        <w:ind w:left="11232" w:hanging="180"/>
      </w:pPr>
      <w:rPr>
        <w:rFonts w:cs="Times New Roman"/>
      </w:rPr>
    </w:lvl>
  </w:abstractNum>
  <w:num w:numId="1">
    <w:abstractNumId w:val="14"/>
  </w:num>
  <w:num w:numId="2">
    <w:abstractNumId w:val="7"/>
  </w:num>
  <w:num w:numId="3">
    <w:abstractNumId w:val="16"/>
  </w:num>
  <w:num w:numId="4">
    <w:abstractNumId w:val="15"/>
  </w:num>
  <w:num w:numId="5">
    <w:abstractNumId w:val="2"/>
  </w:num>
  <w:num w:numId="6">
    <w:abstractNumId w:val="17"/>
  </w:num>
  <w:num w:numId="7">
    <w:abstractNumId w:val="1"/>
  </w:num>
  <w:num w:numId="8">
    <w:abstractNumId w:val="14"/>
    <w:lvlOverride w:ilvl="0">
      <w:startOverride w:val="1"/>
    </w:lvlOverride>
  </w:num>
  <w:num w:numId="9">
    <w:abstractNumId w:val="8"/>
  </w:num>
  <w:num w:numId="10">
    <w:abstractNumId w:val="5"/>
  </w:num>
  <w:num w:numId="11">
    <w:abstractNumId w:val="11"/>
  </w:num>
  <w:num w:numId="12">
    <w:abstractNumId w:val="6"/>
  </w:num>
  <w:num w:numId="13">
    <w:abstractNumId w:val="0"/>
  </w:num>
  <w:num w:numId="14">
    <w:abstractNumId w:val="3"/>
  </w:num>
  <w:num w:numId="15">
    <w:abstractNumId w:val="14"/>
    <w:lvlOverride w:ilvl="0">
      <w:startOverride w:val="4"/>
    </w:lvlOverride>
  </w:num>
  <w:num w:numId="16">
    <w:abstractNumId w:val="14"/>
    <w:lvlOverride w:ilvl="0">
      <w:startOverride w:val="22"/>
    </w:lvlOverride>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3"/>
  </w:num>
  <w:num w:numId="40">
    <w:abstractNumId w:val="16"/>
  </w:num>
  <w:num w:numId="41">
    <w:abstractNumId w:val="16"/>
  </w:num>
  <w:num w:numId="42">
    <w:abstractNumId w:val="16"/>
  </w:num>
  <w:num w:numId="43">
    <w:abstractNumId w:val="16"/>
  </w:num>
  <w:num w:numId="44">
    <w:abstractNumId w:val="10"/>
  </w:num>
  <w:num w:numId="45">
    <w:abstractNumId w:val="16"/>
  </w:num>
  <w:num w:numId="46">
    <w:abstractNumId w:val="16"/>
  </w:num>
  <w:num w:numId="47">
    <w:abstractNumId w:val="16"/>
  </w:num>
  <w:num w:numId="48">
    <w:abstractNumId w:val="16"/>
  </w:num>
  <w:num w:numId="49">
    <w:abstractNumId w:val="12"/>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071B"/>
    <w:rsid w:val="00014484"/>
    <w:rsid w:val="000216AD"/>
    <w:rsid w:val="00023FF6"/>
    <w:rsid w:val="00024902"/>
    <w:rsid w:val="000251D3"/>
    <w:rsid w:val="000262C0"/>
    <w:rsid w:val="00026D75"/>
    <w:rsid w:val="00026D97"/>
    <w:rsid w:val="00027E97"/>
    <w:rsid w:val="000302D0"/>
    <w:rsid w:val="00033708"/>
    <w:rsid w:val="00036039"/>
    <w:rsid w:val="00036B37"/>
    <w:rsid w:val="00037F90"/>
    <w:rsid w:val="00040BB5"/>
    <w:rsid w:val="0004154A"/>
    <w:rsid w:val="0004267E"/>
    <w:rsid w:val="00042D71"/>
    <w:rsid w:val="00046153"/>
    <w:rsid w:val="00047F1C"/>
    <w:rsid w:val="000514F1"/>
    <w:rsid w:val="00051558"/>
    <w:rsid w:val="00056532"/>
    <w:rsid w:val="00061A57"/>
    <w:rsid w:val="00063BBA"/>
    <w:rsid w:val="00064ADC"/>
    <w:rsid w:val="000668DA"/>
    <w:rsid w:val="0007059D"/>
    <w:rsid w:val="000728FF"/>
    <w:rsid w:val="00073450"/>
    <w:rsid w:val="00073561"/>
    <w:rsid w:val="00074D25"/>
    <w:rsid w:val="00075906"/>
    <w:rsid w:val="00076C13"/>
    <w:rsid w:val="00076DF5"/>
    <w:rsid w:val="0008718F"/>
    <w:rsid w:val="000875BF"/>
    <w:rsid w:val="00090E63"/>
    <w:rsid w:val="00096D8C"/>
    <w:rsid w:val="000971AC"/>
    <w:rsid w:val="000A5F07"/>
    <w:rsid w:val="000B00E8"/>
    <w:rsid w:val="000B17A6"/>
    <w:rsid w:val="000B1A38"/>
    <w:rsid w:val="000B3970"/>
    <w:rsid w:val="000B622D"/>
    <w:rsid w:val="000B6DAE"/>
    <w:rsid w:val="000C0B65"/>
    <w:rsid w:val="000D5798"/>
    <w:rsid w:val="000D6A4A"/>
    <w:rsid w:val="000E05FE"/>
    <w:rsid w:val="000E3D42"/>
    <w:rsid w:val="000E4E42"/>
    <w:rsid w:val="000E655A"/>
    <w:rsid w:val="000E6874"/>
    <w:rsid w:val="000E7521"/>
    <w:rsid w:val="00104BEE"/>
    <w:rsid w:val="0011427B"/>
    <w:rsid w:val="00117BD4"/>
    <w:rsid w:val="001208E8"/>
    <w:rsid w:val="00122296"/>
    <w:rsid w:val="0012234C"/>
    <w:rsid w:val="00122BD5"/>
    <w:rsid w:val="00124341"/>
    <w:rsid w:val="00126CA2"/>
    <w:rsid w:val="001278CC"/>
    <w:rsid w:val="001314FC"/>
    <w:rsid w:val="00131E10"/>
    <w:rsid w:val="0013249B"/>
    <w:rsid w:val="00133F79"/>
    <w:rsid w:val="001438DA"/>
    <w:rsid w:val="00144719"/>
    <w:rsid w:val="0014677E"/>
    <w:rsid w:val="00146A80"/>
    <w:rsid w:val="0015122B"/>
    <w:rsid w:val="0015224A"/>
    <w:rsid w:val="00153746"/>
    <w:rsid w:val="00153AAA"/>
    <w:rsid w:val="001542C3"/>
    <w:rsid w:val="00154477"/>
    <w:rsid w:val="00155C0B"/>
    <w:rsid w:val="00161D89"/>
    <w:rsid w:val="00170940"/>
    <w:rsid w:val="00171046"/>
    <w:rsid w:val="001711DC"/>
    <w:rsid w:val="00176594"/>
    <w:rsid w:val="00176959"/>
    <w:rsid w:val="00182208"/>
    <w:rsid w:val="00182304"/>
    <w:rsid w:val="00186182"/>
    <w:rsid w:val="00190C82"/>
    <w:rsid w:val="0019214A"/>
    <w:rsid w:val="001933D7"/>
    <w:rsid w:val="00194A66"/>
    <w:rsid w:val="001A049B"/>
    <w:rsid w:val="001A5288"/>
    <w:rsid w:val="001A7299"/>
    <w:rsid w:val="001B2424"/>
    <w:rsid w:val="001B74D4"/>
    <w:rsid w:val="001B7993"/>
    <w:rsid w:val="001C1346"/>
    <w:rsid w:val="001C4926"/>
    <w:rsid w:val="001C71E0"/>
    <w:rsid w:val="001D37A4"/>
    <w:rsid w:val="001D41E6"/>
    <w:rsid w:val="001D4CD4"/>
    <w:rsid w:val="001D60BE"/>
    <w:rsid w:val="001D6BCF"/>
    <w:rsid w:val="001D7FCC"/>
    <w:rsid w:val="001E01CA"/>
    <w:rsid w:val="001E33E7"/>
    <w:rsid w:val="001F1D5B"/>
    <w:rsid w:val="001F2665"/>
    <w:rsid w:val="001F2C97"/>
    <w:rsid w:val="001F2CA4"/>
    <w:rsid w:val="001F7862"/>
    <w:rsid w:val="00200072"/>
    <w:rsid w:val="00206025"/>
    <w:rsid w:val="00207E47"/>
    <w:rsid w:val="002172CD"/>
    <w:rsid w:val="00220A10"/>
    <w:rsid w:val="00222F02"/>
    <w:rsid w:val="00227BF4"/>
    <w:rsid w:val="00233756"/>
    <w:rsid w:val="0023470C"/>
    <w:rsid w:val="002436B5"/>
    <w:rsid w:val="00246786"/>
    <w:rsid w:val="00257744"/>
    <w:rsid w:val="00257763"/>
    <w:rsid w:val="00260189"/>
    <w:rsid w:val="00261972"/>
    <w:rsid w:val="00262413"/>
    <w:rsid w:val="00262C95"/>
    <w:rsid w:val="00263706"/>
    <w:rsid w:val="002673F5"/>
    <w:rsid w:val="002755CB"/>
    <w:rsid w:val="002755D1"/>
    <w:rsid w:val="00275CF5"/>
    <w:rsid w:val="00276774"/>
    <w:rsid w:val="00276A71"/>
    <w:rsid w:val="002775B3"/>
    <w:rsid w:val="0028301F"/>
    <w:rsid w:val="00285017"/>
    <w:rsid w:val="00285EA5"/>
    <w:rsid w:val="00286347"/>
    <w:rsid w:val="00291D68"/>
    <w:rsid w:val="00296428"/>
    <w:rsid w:val="002A2D2E"/>
    <w:rsid w:val="002B1765"/>
    <w:rsid w:val="002B41D6"/>
    <w:rsid w:val="002B5AA5"/>
    <w:rsid w:val="002B6A2E"/>
    <w:rsid w:val="002C00E8"/>
    <w:rsid w:val="002C14B4"/>
    <w:rsid w:val="002C1AC5"/>
    <w:rsid w:val="002C1DDB"/>
    <w:rsid w:val="002C1FAD"/>
    <w:rsid w:val="002D777C"/>
    <w:rsid w:val="002E46B8"/>
    <w:rsid w:val="002E4E09"/>
    <w:rsid w:val="002E5F35"/>
    <w:rsid w:val="002F0A22"/>
    <w:rsid w:val="002F585C"/>
    <w:rsid w:val="002F7012"/>
    <w:rsid w:val="002F7ABB"/>
    <w:rsid w:val="003010FA"/>
    <w:rsid w:val="003027C5"/>
    <w:rsid w:val="00302835"/>
    <w:rsid w:val="00302AC4"/>
    <w:rsid w:val="00302C38"/>
    <w:rsid w:val="00302DFF"/>
    <w:rsid w:val="00306CC1"/>
    <w:rsid w:val="00307102"/>
    <w:rsid w:val="00307AE4"/>
    <w:rsid w:val="003162CA"/>
    <w:rsid w:val="00322FE8"/>
    <w:rsid w:val="00327FAD"/>
    <w:rsid w:val="00331EC0"/>
    <w:rsid w:val="003329C5"/>
    <w:rsid w:val="00340066"/>
    <w:rsid w:val="00343749"/>
    <w:rsid w:val="00344C16"/>
    <w:rsid w:val="003462F5"/>
    <w:rsid w:val="003533DC"/>
    <w:rsid w:val="00353791"/>
    <w:rsid w:val="00356081"/>
    <w:rsid w:val="00357C0A"/>
    <w:rsid w:val="00360884"/>
    <w:rsid w:val="00365194"/>
    <w:rsid w:val="003660ED"/>
    <w:rsid w:val="00366782"/>
    <w:rsid w:val="00375E8E"/>
    <w:rsid w:val="00381D93"/>
    <w:rsid w:val="003909A2"/>
    <w:rsid w:val="00394828"/>
    <w:rsid w:val="003A3C0A"/>
    <w:rsid w:val="003B0550"/>
    <w:rsid w:val="003B4047"/>
    <w:rsid w:val="003B59AC"/>
    <w:rsid w:val="003B694F"/>
    <w:rsid w:val="003C4A20"/>
    <w:rsid w:val="003C4BCC"/>
    <w:rsid w:val="003D2584"/>
    <w:rsid w:val="003D2655"/>
    <w:rsid w:val="003D41F8"/>
    <w:rsid w:val="003D5FB2"/>
    <w:rsid w:val="003D7A7D"/>
    <w:rsid w:val="003F171C"/>
    <w:rsid w:val="003F5159"/>
    <w:rsid w:val="003F5759"/>
    <w:rsid w:val="003F5CF7"/>
    <w:rsid w:val="003F664A"/>
    <w:rsid w:val="004036DC"/>
    <w:rsid w:val="00403DE2"/>
    <w:rsid w:val="00412FC5"/>
    <w:rsid w:val="00422276"/>
    <w:rsid w:val="00422B22"/>
    <w:rsid w:val="004242F1"/>
    <w:rsid w:val="004261F8"/>
    <w:rsid w:val="00426D94"/>
    <w:rsid w:val="004305E9"/>
    <w:rsid w:val="00434A09"/>
    <w:rsid w:val="004365B3"/>
    <w:rsid w:val="00440A39"/>
    <w:rsid w:val="004419DD"/>
    <w:rsid w:val="00441B6B"/>
    <w:rsid w:val="0044203A"/>
    <w:rsid w:val="0044331D"/>
    <w:rsid w:val="004446A4"/>
    <w:rsid w:val="00445A00"/>
    <w:rsid w:val="00446A6B"/>
    <w:rsid w:val="00451B0F"/>
    <w:rsid w:val="00453A9E"/>
    <w:rsid w:val="004620CB"/>
    <w:rsid w:val="00462BA2"/>
    <w:rsid w:val="004676BE"/>
    <w:rsid w:val="00474491"/>
    <w:rsid w:val="00474905"/>
    <w:rsid w:val="00477704"/>
    <w:rsid w:val="00481264"/>
    <w:rsid w:val="00483717"/>
    <w:rsid w:val="00484ABC"/>
    <w:rsid w:val="00485C9F"/>
    <w:rsid w:val="00486AAF"/>
    <w:rsid w:val="00487DA4"/>
    <w:rsid w:val="0049668B"/>
    <w:rsid w:val="004A0802"/>
    <w:rsid w:val="004A5FBA"/>
    <w:rsid w:val="004A7483"/>
    <w:rsid w:val="004A7F18"/>
    <w:rsid w:val="004C10C0"/>
    <w:rsid w:val="004C2EE3"/>
    <w:rsid w:val="004C303F"/>
    <w:rsid w:val="004C75DB"/>
    <w:rsid w:val="004E4273"/>
    <w:rsid w:val="004E4A22"/>
    <w:rsid w:val="004E4F32"/>
    <w:rsid w:val="004E5ED4"/>
    <w:rsid w:val="004F088C"/>
    <w:rsid w:val="00502FAF"/>
    <w:rsid w:val="00504214"/>
    <w:rsid w:val="00511968"/>
    <w:rsid w:val="00516CE9"/>
    <w:rsid w:val="0051761D"/>
    <w:rsid w:val="0052112B"/>
    <w:rsid w:val="00531B71"/>
    <w:rsid w:val="0053409B"/>
    <w:rsid w:val="0053506C"/>
    <w:rsid w:val="00535D4B"/>
    <w:rsid w:val="0055035F"/>
    <w:rsid w:val="00552E46"/>
    <w:rsid w:val="00554498"/>
    <w:rsid w:val="00555C8A"/>
    <w:rsid w:val="0055614C"/>
    <w:rsid w:val="00560DA5"/>
    <w:rsid w:val="00562DFF"/>
    <w:rsid w:val="00565042"/>
    <w:rsid w:val="00566E9B"/>
    <w:rsid w:val="005675C2"/>
    <w:rsid w:val="00572509"/>
    <w:rsid w:val="00572F28"/>
    <w:rsid w:val="00576C55"/>
    <w:rsid w:val="00582BA0"/>
    <w:rsid w:val="005902EF"/>
    <w:rsid w:val="0059356E"/>
    <w:rsid w:val="00593EAD"/>
    <w:rsid w:val="005A3900"/>
    <w:rsid w:val="005A5FC7"/>
    <w:rsid w:val="005B4F0E"/>
    <w:rsid w:val="005B50B0"/>
    <w:rsid w:val="005C3377"/>
    <w:rsid w:val="005D22D4"/>
    <w:rsid w:val="005D2C62"/>
    <w:rsid w:val="005D5341"/>
    <w:rsid w:val="005D58F4"/>
    <w:rsid w:val="005D6043"/>
    <w:rsid w:val="005E10F1"/>
    <w:rsid w:val="005E14C2"/>
    <w:rsid w:val="005E3B92"/>
    <w:rsid w:val="005E6193"/>
    <w:rsid w:val="005E6E1E"/>
    <w:rsid w:val="005F13A3"/>
    <w:rsid w:val="005F64AA"/>
    <w:rsid w:val="00604272"/>
    <w:rsid w:val="00605F22"/>
    <w:rsid w:val="0060622A"/>
    <w:rsid w:val="00607BA5"/>
    <w:rsid w:val="00610208"/>
    <w:rsid w:val="0061180A"/>
    <w:rsid w:val="00614340"/>
    <w:rsid w:val="00623967"/>
    <w:rsid w:val="00626EB6"/>
    <w:rsid w:val="00635401"/>
    <w:rsid w:val="00641498"/>
    <w:rsid w:val="00642CD9"/>
    <w:rsid w:val="006459B1"/>
    <w:rsid w:val="006464E5"/>
    <w:rsid w:val="006469E7"/>
    <w:rsid w:val="00646C36"/>
    <w:rsid w:val="00652649"/>
    <w:rsid w:val="0065270B"/>
    <w:rsid w:val="006534CA"/>
    <w:rsid w:val="00655D03"/>
    <w:rsid w:val="00657732"/>
    <w:rsid w:val="00662107"/>
    <w:rsid w:val="006649AF"/>
    <w:rsid w:val="00665547"/>
    <w:rsid w:val="006658A4"/>
    <w:rsid w:val="006748B8"/>
    <w:rsid w:val="00683388"/>
    <w:rsid w:val="0068394B"/>
    <w:rsid w:val="00683B2D"/>
    <w:rsid w:val="00683F1F"/>
    <w:rsid w:val="00683F84"/>
    <w:rsid w:val="006918C5"/>
    <w:rsid w:val="0069341E"/>
    <w:rsid w:val="00696150"/>
    <w:rsid w:val="006A0CCD"/>
    <w:rsid w:val="006A16B3"/>
    <w:rsid w:val="006A1800"/>
    <w:rsid w:val="006A26C5"/>
    <w:rsid w:val="006A4025"/>
    <w:rsid w:val="006A5073"/>
    <w:rsid w:val="006A551D"/>
    <w:rsid w:val="006A6A81"/>
    <w:rsid w:val="006B3C40"/>
    <w:rsid w:val="006B6C8B"/>
    <w:rsid w:val="006C3132"/>
    <w:rsid w:val="006C3459"/>
    <w:rsid w:val="006C7801"/>
    <w:rsid w:val="006D0F5A"/>
    <w:rsid w:val="006D133D"/>
    <w:rsid w:val="006D418F"/>
    <w:rsid w:val="006E207C"/>
    <w:rsid w:val="006E271D"/>
    <w:rsid w:val="006E2C64"/>
    <w:rsid w:val="006E4152"/>
    <w:rsid w:val="006E4E12"/>
    <w:rsid w:val="006F0782"/>
    <w:rsid w:val="006F7147"/>
    <w:rsid w:val="006F7393"/>
    <w:rsid w:val="006F7639"/>
    <w:rsid w:val="00700D95"/>
    <w:rsid w:val="0070112A"/>
    <w:rsid w:val="0070224F"/>
    <w:rsid w:val="00703BD1"/>
    <w:rsid w:val="007068B5"/>
    <w:rsid w:val="00710CC1"/>
    <w:rsid w:val="007115F7"/>
    <w:rsid w:val="00712B39"/>
    <w:rsid w:val="00712FE9"/>
    <w:rsid w:val="00717A9B"/>
    <w:rsid w:val="00722519"/>
    <w:rsid w:val="00726171"/>
    <w:rsid w:val="007307CE"/>
    <w:rsid w:val="00731BBE"/>
    <w:rsid w:val="007356A4"/>
    <w:rsid w:val="00740567"/>
    <w:rsid w:val="00743294"/>
    <w:rsid w:val="00744FE3"/>
    <w:rsid w:val="0075403B"/>
    <w:rsid w:val="007563C6"/>
    <w:rsid w:val="00766539"/>
    <w:rsid w:val="00770B53"/>
    <w:rsid w:val="007717E9"/>
    <w:rsid w:val="00772543"/>
    <w:rsid w:val="007752D7"/>
    <w:rsid w:val="0077779F"/>
    <w:rsid w:val="0078084A"/>
    <w:rsid w:val="00782F47"/>
    <w:rsid w:val="007840B7"/>
    <w:rsid w:val="00785689"/>
    <w:rsid w:val="0078789C"/>
    <w:rsid w:val="00787AB6"/>
    <w:rsid w:val="0079280A"/>
    <w:rsid w:val="0079754B"/>
    <w:rsid w:val="007A09D5"/>
    <w:rsid w:val="007A1E6D"/>
    <w:rsid w:val="007A2DC0"/>
    <w:rsid w:val="007A47C4"/>
    <w:rsid w:val="007A4C81"/>
    <w:rsid w:val="007A541A"/>
    <w:rsid w:val="007A547E"/>
    <w:rsid w:val="007A7349"/>
    <w:rsid w:val="007B0D37"/>
    <w:rsid w:val="007B0D77"/>
    <w:rsid w:val="007B0E95"/>
    <w:rsid w:val="007B0EB2"/>
    <w:rsid w:val="007B5620"/>
    <w:rsid w:val="007B78FD"/>
    <w:rsid w:val="007C0685"/>
    <w:rsid w:val="007C09F1"/>
    <w:rsid w:val="007C0B2B"/>
    <w:rsid w:val="007C0B39"/>
    <w:rsid w:val="007C4242"/>
    <w:rsid w:val="007C473D"/>
    <w:rsid w:val="007D19A5"/>
    <w:rsid w:val="007D2615"/>
    <w:rsid w:val="007D7BED"/>
    <w:rsid w:val="007E21DB"/>
    <w:rsid w:val="007E2263"/>
    <w:rsid w:val="007E2EBD"/>
    <w:rsid w:val="007E467D"/>
    <w:rsid w:val="007E4AF8"/>
    <w:rsid w:val="007F2132"/>
    <w:rsid w:val="007F327A"/>
    <w:rsid w:val="007F3830"/>
    <w:rsid w:val="007F766D"/>
    <w:rsid w:val="00801406"/>
    <w:rsid w:val="0080329E"/>
    <w:rsid w:val="00805BF5"/>
    <w:rsid w:val="00806024"/>
    <w:rsid w:val="008061DE"/>
    <w:rsid w:val="008062B4"/>
    <w:rsid w:val="0080718C"/>
    <w:rsid w:val="00810B6F"/>
    <w:rsid w:val="00811C67"/>
    <w:rsid w:val="008155A1"/>
    <w:rsid w:val="008162C7"/>
    <w:rsid w:val="0081645F"/>
    <w:rsid w:val="00816B12"/>
    <w:rsid w:val="00822CE0"/>
    <w:rsid w:val="008232AD"/>
    <w:rsid w:val="008257A7"/>
    <w:rsid w:val="00830A41"/>
    <w:rsid w:val="00832DE8"/>
    <w:rsid w:val="00832FC2"/>
    <w:rsid w:val="008335CC"/>
    <w:rsid w:val="0083587E"/>
    <w:rsid w:val="008376ED"/>
    <w:rsid w:val="00841AB1"/>
    <w:rsid w:val="00842EF2"/>
    <w:rsid w:val="00843A5F"/>
    <w:rsid w:val="0085048F"/>
    <w:rsid w:val="00851A45"/>
    <w:rsid w:val="00852593"/>
    <w:rsid w:val="00854030"/>
    <w:rsid w:val="00855D02"/>
    <w:rsid w:val="0086264E"/>
    <w:rsid w:val="00864879"/>
    <w:rsid w:val="00867F7A"/>
    <w:rsid w:val="00877779"/>
    <w:rsid w:val="00877977"/>
    <w:rsid w:val="00881AE1"/>
    <w:rsid w:val="00881D80"/>
    <w:rsid w:val="00883524"/>
    <w:rsid w:val="00885919"/>
    <w:rsid w:val="00893DC7"/>
    <w:rsid w:val="00896520"/>
    <w:rsid w:val="00896CFD"/>
    <w:rsid w:val="00897878"/>
    <w:rsid w:val="00897A81"/>
    <w:rsid w:val="008A1C76"/>
    <w:rsid w:val="008A2AD9"/>
    <w:rsid w:val="008A3BFE"/>
    <w:rsid w:val="008A40AE"/>
    <w:rsid w:val="008A5D15"/>
    <w:rsid w:val="008A7975"/>
    <w:rsid w:val="008A7AD7"/>
    <w:rsid w:val="008A7F23"/>
    <w:rsid w:val="008B4893"/>
    <w:rsid w:val="008B628C"/>
    <w:rsid w:val="008C06ED"/>
    <w:rsid w:val="008C2889"/>
    <w:rsid w:val="008C3BDF"/>
    <w:rsid w:val="008C68F1"/>
    <w:rsid w:val="008D3C3F"/>
    <w:rsid w:val="008D422C"/>
    <w:rsid w:val="008D64F8"/>
    <w:rsid w:val="008D6611"/>
    <w:rsid w:val="008D79FA"/>
    <w:rsid w:val="008E1C6A"/>
    <w:rsid w:val="008E3790"/>
    <w:rsid w:val="008E5A04"/>
    <w:rsid w:val="008F12DE"/>
    <w:rsid w:val="008F1562"/>
    <w:rsid w:val="008F2DBF"/>
    <w:rsid w:val="008F77C4"/>
    <w:rsid w:val="00901E14"/>
    <w:rsid w:val="00901E3F"/>
    <w:rsid w:val="009041E4"/>
    <w:rsid w:val="009051FC"/>
    <w:rsid w:val="00905548"/>
    <w:rsid w:val="009068C2"/>
    <w:rsid w:val="009109DD"/>
    <w:rsid w:val="00912875"/>
    <w:rsid w:val="00912E71"/>
    <w:rsid w:val="00913231"/>
    <w:rsid w:val="00914AC0"/>
    <w:rsid w:val="009150AB"/>
    <w:rsid w:val="00921803"/>
    <w:rsid w:val="0092562B"/>
    <w:rsid w:val="00926503"/>
    <w:rsid w:val="00926FC4"/>
    <w:rsid w:val="009279FD"/>
    <w:rsid w:val="00927B1B"/>
    <w:rsid w:val="0093006C"/>
    <w:rsid w:val="009309E5"/>
    <w:rsid w:val="009341CC"/>
    <w:rsid w:val="00936B23"/>
    <w:rsid w:val="00940028"/>
    <w:rsid w:val="00945DB8"/>
    <w:rsid w:val="009476B1"/>
    <w:rsid w:val="00947DEB"/>
    <w:rsid w:val="00956E2C"/>
    <w:rsid w:val="00957B6E"/>
    <w:rsid w:val="009609E4"/>
    <w:rsid w:val="00961A96"/>
    <w:rsid w:val="0096758E"/>
    <w:rsid w:val="00971733"/>
    <w:rsid w:val="009726D8"/>
    <w:rsid w:val="009734D3"/>
    <w:rsid w:val="00975937"/>
    <w:rsid w:val="00980648"/>
    <w:rsid w:val="00982541"/>
    <w:rsid w:val="009850EA"/>
    <w:rsid w:val="009859E5"/>
    <w:rsid w:val="009901DE"/>
    <w:rsid w:val="00993743"/>
    <w:rsid w:val="00994B6A"/>
    <w:rsid w:val="009A17A5"/>
    <w:rsid w:val="009B050F"/>
    <w:rsid w:val="009B31C8"/>
    <w:rsid w:val="009C46DE"/>
    <w:rsid w:val="009C476E"/>
    <w:rsid w:val="009C6343"/>
    <w:rsid w:val="009D1D98"/>
    <w:rsid w:val="009D438C"/>
    <w:rsid w:val="009D7FB5"/>
    <w:rsid w:val="009E1DE8"/>
    <w:rsid w:val="009E201B"/>
    <w:rsid w:val="009E2673"/>
    <w:rsid w:val="009E51C5"/>
    <w:rsid w:val="009E78EC"/>
    <w:rsid w:val="009F1750"/>
    <w:rsid w:val="009F27F6"/>
    <w:rsid w:val="009F76DB"/>
    <w:rsid w:val="00A05BD4"/>
    <w:rsid w:val="00A10115"/>
    <w:rsid w:val="00A13790"/>
    <w:rsid w:val="00A13EEC"/>
    <w:rsid w:val="00A165A1"/>
    <w:rsid w:val="00A17DF1"/>
    <w:rsid w:val="00A2042A"/>
    <w:rsid w:val="00A24346"/>
    <w:rsid w:val="00A30081"/>
    <w:rsid w:val="00A32C3B"/>
    <w:rsid w:val="00A34BAD"/>
    <w:rsid w:val="00A35800"/>
    <w:rsid w:val="00A45B71"/>
    <w:rsid w:val="00A45F4F"/>
    <w:rsid w:val="00A475EF"/>
    <w:rsid w:val="00A51F7B"/>
    <w:rsid w:val="00A547F8"/>
    <w:rsid w:val="00A55DE2"/>
    <w:rsid w:val="00A5613E"/>
    <w:rsid w:val="00A600A9"/>
    <w:rsid w:val="00A6385F"/>
    <w:rsid w:val="00A66B78"/>
    <w:rsid w:val="00A7214F"/>
    <w:rsid w:val="00A7366F"/>
    <w:rsid w:val="00A75FE5"/>
    <w:rsid w:val="00A8149F"/>
    <w:rsid w:val="00A81F1D"/>
    <w:rsid w:val="00A905CB"/>
    <w:rsid w:val="00A944DB"/>
    <w:rsid w:val="00A97DC1"/>
    <w:rsid w:val="00AA1A67"/>
    <w:rsid w:val="00AA1D8C"/>
    <w:rsid w:val="00AA216B"/>
    <w:rsid w:val="00AA2529"/>
    <w:rsid w:val="00AA55B7"/>
    <w:rsid w:val="00AA5B9E"/>
    <w:rsid w:val="00AB2407"/>
    <w:rsid w:val="00AB43B3"/>
    <w:rsid w:val="00AB53DF"/>
    <w:rsid w:val="00AB6A82"/>
    <w:rsid w:val="00AB6ADC"/>
    <w:rsid w:val="00AC2427"/>
    <w:rsid w:val="00AC2FE7"/>
    <w:rsid w:val="00AC4101"/>
    <w:rsid w:val="00AC45E4"/>
    <w:rsid w:val="00AC67DE"/>
    <w:rsid w:val="00AC7DEE"/>
    <w:rsid w:val="00AD0401"/>
    <w:rsid w:val="00AD552D"/>
    <w:rsid w:val="00AD6A7F"/>
    <w:rsid w:val="00AD6D76"/>
    <w:rsid w:val="00AD778B"/>
    <w:rsid w:val="00AE01C2"/>
    <w:rsid w:val="00AE24D5"/>
    <w:rsid w:val="00AE2D0A"/>
    <w:rsid w:val="00AE4C72"/>
    <w:rsid w:val="00AE7FB1"/>
    <w:rsid w:val="00AF4B2B"/>
    <w:rsid w:val="00B0044E"/>
    <w:rsid w:val="00B023FF"/>
    <w:rsid w:val="00B03AB1"/>
    <w:rsid w:val="00B067FE"/>
    <w:rsid w:val="00B07974"/>
    <w:rsid w:val="00B07E5C"/>
    <w:rsid w:val="00B11046"/>
    <w:rsid w:val="00B13A11"/>
    <w:rsid w:val="00B1444F"/>
    <w:rsid w:val="00B14E6B"/>
    <w:rsid w:val="00B1744C"/>
    <w:rsid w:val="00B213CA"/>
    <w:rsid w:val="00B2349B"/>
    <w:rsid w:val="00B2646D"/>
    <w:rsid w:val="00B26748"/>
    <w:rsid w:val="00B36CDF"/>
    <w:rsid w:val="00B4239E"/>
    <w:rsid w:val="00B42728"/>
    <w:rsid w:val="00B42788"/>
    <w:rsid w:val="00B43958"/>
    <w:rsid w:val="00B43FC1"/>
    <w:rsid w:val="00B4634E"/>
    <w:rsid w:val="00B504D8"/>
    <w:rsid w:val="00B51411"/>
    <w:rsid w:val="00B51B28"/>
    <w:rsid w:val="00B53BF6"/>
    <w:rsid w:val="00B54052"/>
    <w:rsid w:val="00B709FD"/>
    <w:rsid w:val="00B7146B"/>
    <w:rsid w:val="00B73A30"/>
    <w:rsid w:val="00B75863"/>
    <w:rsid w:val="00B75B87"/>
    <w:rsid w:val="00B76F47"/>
    <w:rsid w:val="00B810D1"/>
    <w:rsid w:val="00B811F7"/>
    <w:rsid w:val="00B82701"/>
    <w:rsid w:val="00B8387C"/>
    <w:rsid w:val="00B8391A"/>
    <w:rsid w:val="00B8537D"/>
    <w:rsid w:val="00B905A7"/>
    <w:rsid w:val="00B92FA2"/>
    <w:rsid w:val="00B94251"/>
    <w:rsid w:val="00B94930"/>
    <w:rsid w:val="00BA02ED"/>
    <w:rsid w:val="00BA5DC6"/>
    <w:rsid w:val="00BA612B"/>
    <w:rsid w:val="00BA6196"/>
    <w:rsid w:val="00BB440F"/>
    <w:rsid w:val="00BC67CB"/>
    <w:rsid w:val="00BC6D8C"/>
    <w:rsid w:val="00BC7594"/>
    <w:rsid w:val="00BC7821"/>
    <w:rsid w:val="00BC7F0E"/>
    <w:rsid w:val="00BD08D2"/>
    <w:rsid w:val="00BD4EBC"/>
    <w:rsid w:val="00BD5BEC"/>
    <w:rsid w:val="00BD779B"/>
    <w:rsid w:val="00BE103C"/>
    <w:rsid w:val="00BE6CC9"/>
    <w:rsid w:val="00BE7E75"/>
    <w:rsid w:val="00BF2C49"/>
    <w:rsid w:val="00BF5002"/>
    <w:rsid w:val="00BF684A"/>
    <w:rsid w:val="00C014DA"/>
    <w:rsid w:val="00C01E1F"/>
    <w:rsid w:val="00C04651"/>
    <w:rsid w:val="00C0778A"/>
    <w:rsid w:val="00C135FD"/>
    <w:rsid w:val="00C14162"/>
    <w:rsid w:val="00C236AC"/>
    <w:rsid w:val="00C24CA8"/>
    <w:rsid w:val="00C277CC"/>
    <w:rsid w:val="00C27BF9"/>
    <w:rsid w:val="00C32B1E"/>
    <w:rsid w:val="00C3309D"/>
    <w:rsid w:val="00C34006"/>
    <w:rsid w:val="00C353B8"/>
    <w:rsid w:val="00C3652C"/>
    <w:rsid w:val="00C426B1"/>
    <w:rsid w:val="00C43E4A"/>
    <w:rsid w:val="00C47B66"/>
    <w:rsid w:val="00C55ABA"/>
    <w:rsid w:val="00C55F20"/>
    <w:rsid w:val="00C575BD"/>
    <w:rsid w:val="00C579A0"/>
    <w:rsid w:val="00C6383F"/>
    <w:rsid w:val="00C66160"/>
    <w:rsid w:val="00C67FC4"/>
    <w:rsid w:val="00C7140C"/>
    <w:rsid w:val="00C71ADC"/>
    <w:rsid w:val="00C721AC"/>
    <w:rsid w:val="00C8124A"/>
    <w:rsid w:val="00C83F7E"/>
    <w:rsid w:val="00C841D5"/>
    <w:rsid w:val="00C8491A"/>
    <w:rsid w:val="00C90038"/>
    <w:rsid w:val="00C907ED"/>
    <w:rsid w:val="00C90D6A"/>
    <w:rsid w:val="00C9150F"/>
    <w:rsid w:val="00CA08CD"/>
    <w:rsid w:val="00CA247E"/>
    <w:rsid w:val="00CA3B5A"/>
    <w:rsid w:val="00CA519B"/>
    <w:rsid w:val="00CB43A5"/>
    <w:rsid w:val="00CB4AB1"/>
    <w:rsid w:val="00CC72B6"/>
    <w:rsid w:val="00CD2A81"/>
    <w:rsid w:val="00CD3870"/>
    <w:rsid w:val="00CE68FE"/>
    <w:rsid w:val="00CE79A0"/>
    <w:rsid w:val="00CE7D37"/>
    <w:rsid w:val="00CF055D"/>
    <w:rsid w:val="00CF0F21"/>
    <w:rsid w:val="00CF1B2D"/>
    <w:rsid w:val="00CF1C7F"/>
    <w:rsid w:val="00CF210F"/>
    <w:rsid w:val="00CF64AE"/>
    <w:rsid w:val="00D012C8"/>
    <w:rsid w:val="00D0218D"/>
    <w:rsid w:val="00D076CD"/>
    <w:rsid w:val="00D1156A"/>
    <w:rsid w:val="00D14F53"/>
    <w:rsid w:val="00D15E94"/>
    <w:rsid w:val="00D24CB0"/>
    <w:rsid w:val="00D25FB5"/>
    <w:rsid w:val="00D27F49"/>
    <w:rsid w:val="00D308CF"/>
    <w:rsid w:val="00D341FE"/>
    <w:rsid w:val="00D379F0"/>
    <w:rsid w:val="00D433E6"/>
    <w:rsid w:val="00D44223"/>
    <w:rsid w:val="00D4452F"/>
    <w:rsid w:val="00D45A54"/>
    <w:rsid w:val="00D47D91"/>
    <w:rsid w:val="00D503BA"/>
    <w:rsid w:val="00D558A4"/>
    <w:rsid w:val="00D55BAB"/>
    <w:rsid w:val="00D560CD"/>
    <w:rsid w:val="00D56A4B"/>
    <w:rsid w:val="00D612FE"/>
    <w:rsid w:val="00D6260F"/>
    <w:rsid w:val="00D627A6"/>
    <w:rsid w:val="00D63CA8"/>
    <w:rsid w:val="00D65117"/>
    <w:rsid w:val="00D66953"/>
    <w:rsid w:val="00D6706E"/>
    <w:rsid w:val="00D71441"/>
    <w:rsid w:val="00D7242F"/>
    <w:rsid w:val="00D72872"/>
    <w:rsid w:val="00D80103"/>
    <w:rsid w:val="00D80B30"/>
    <w:rsid w:val="00D817B3"/>
    <w:rsid w:val="00D81F89"/>
    <w:rsid w:val="00D83696"/>
    <w:rsid w:val="00D84F78"/>
    <w:rsid w:val="00D85F19"/>
    <w:rsid w:val="00D9021A"/>
    <w:rsid w:val="00D90F07"/>
    <w:rsid w:val="00D9506D"/>
    <w:rsid w:val="00DA0110"/>
    <w:rsid w:val="00DA1426"/>
    <w:rsid w:val="00DA176A"/>
    <w:rsid w:val="00DA2529"/>
    <w:rsid w:val="00DA3C08"/>
    <w:rsid w:val="00DB0955"/>
    <w:rsid w:val="00DB0C03"/>
    <w:rsid w:val="00DB130A"/>
    <w:rsid w:val="00DB178E"/>
    <w:rsid w:val="00DB2EBB"/>
    <w:rsid w:val="00DB4C4F"/>
    <w:rsid w:val="00DB6620"/>
    <w:rsid w:val="00DC10A1"/>
    <w:rsid w:val="00DC2111"/>
    <w:rsid w:val="00DC4CEB"/>
    <w:rsid w:val="00DC5E35"/>
    <w:rsid w:val="00DC655F"/>
    <w:rsid w:val="00DD0B59"/>
    <w:rsid w:val="00DD1F61"/>
    <w:rsid w:val="00DD42FB"/>
    <w:rsid w:val="00DD4456"/>
    <w:rsid w:val="00DD4F34"/>
    <w:rsid w:val="00DD7EBD"/>
    <w:rsid w:val="00DE1379"/>
    <w:rsid w:val="00DE3862"/>
    <w:rsid w:val="00DE55B1"/>
    <w:rsid w:val="00DF2595"/>
    <w:rsid w:val="00DF62B6"/>
    <w:rsid w:val="00DF747E"/>
    <w:rsid w:val="00E0195B"/>
    <w:rsid w:val="00E01E06"/>
    <w:rsid w:val="00E02214"/>
    <w:rsid w:val="00E02D1D"/>
    <w:rsid w:val="00E03587"/>
    <w:rsid w:val="00E067E9"/>
    <w:rsid w:val="00E07225"/>
    <w:rsid w:val="00E1090A"/>
    <w:rsid w:val="00E1401A"/>
    <w:rsid w:val="00E17E55"/>
    <w:rsid w:val="00E22383"/>
    <w:rsid w:val="00E22653"/>
    <w:rsid w:val="00E24E9F"/>
    <w:rsid w:val="00E25AC5"/>
    <w:rsid w:val="00E3009C"/>
    <w:rsid w:val="00E32B72"/>
    <w:rsid w:val="00E33AB8"/>
    <w:rsid w:val="00E40F40"/>
    <w:rsid w:val="00E413C5"/>
    <w:rsid w:val="00E43C74"/>
    <w:rsid w:val="00E44024"/>
    <w:rsid w:val="00E4501C"/>
    <w:rsid w:val="00E4743F"/>
    <w:rsid w:val="00E5409F"/>
    <w:rsid w:val="00E543BE"/>
    <w:rsid w:val="00E54494"/>
    <w:rsid w:val="00E55D00"/>
    <w:rsid w:val="00E5745E"/>
    <w:rsid w:val="00E66F37"/>
    <w:rsid w:val="00E71CD2"/>
    <w:rsid w:val="00E75E63"/>
    <w:rsid w:val="00E8027E"/>
    <w:rsid w:val="00E84313"/>
    <w:rsid w:val="00E8502B"/>
    <w:rsid w:val="00E861B3"/>
    <w:rsid w:val="00E8630A"/>
    <w:rsid w:val="00EA12C6"/>
    <w:rsid w:val="00EB20A8"/>
    <w:rsid w:val="00EC267E"/>
    <w:rsid w:val="00EC331E"/>
    <w:rsid w:val="00EC4DD5"/>
    <w:rsid w:val="00EC5472"/>
    <w:rsid w:val="00EC65AF"/>
    <w:rsid w:val="00ED419F"/>
    <w:rsid w:val="00EE1107"/>
    <w:rsid w:val="00EE1291"/>
    <w:rsid w:val="00EE6488"/>
    <w:rsid w:val="00EF1B1B"/>
    <w:rsid w:val="00EF30D3"/>
    <w:rsid w:val="00EF43C2"/>
    <w:rsid w:val="00EF5FE2"/>
    <w:rsid w:val="00F021FA"/>
    <w:rsid w:val="00F02B8E"/>
    <w:rsid w:val="00F070F5"/>
    <w:rsid w:val="00F071DB"/>
    <w:rsid w:val="00F14CA6"/>
    <w:rsid w:val="00F15744"/>
    <w:rsid w:val="00F16CFE"/>
    <w:rsid w:val="00F21F87"/>
    <w:rsid w:val="00F22F22"/>
    <w:rsid w:val="00F22FBF"/>
    <w:rsid w:val="00F23B6A"/>
    <w:rsid w:val="00F23B80"/>
    <w:rsid w:val="00F26C20"/>
    <w:rsid w:val="00F32845"/>
    <w:rsid w:val="00F53020"/>
    <w:rsid w:val="00F56A65"/>
    <w:rsid w:val="00F60217"/>
    <w:rsid w:val="00F60D87"/>
    <w:rsid w:val="00F629DB"/>
    <w:rsid w:val="00F62E97"/>
    <w:rsid w:val="00F64209"/>
    <w:rsid w:val="00F660CB"/>
    <w:rsid w:val="00F7063C"/>
    <w:rsid w:val="00F738CF"/>
    <w:rsid w:val="00F764C3"/>
    <w:rsid w:val="00F80F88"/>
    <w:rsid w:val="00F8143D"/>
    <w:rsid w:val="00F8503B"/>
    <w:rsid w:val="00F8625E"/>
    <w:rsid w:val="00F8748A"/>
    <w:rsid w:val="00F93BF5"/>
    <w:rsid w:val="00FA293D"/>
    <w:rsid w:val="00FA54B6"/>
    <w:rsid w:val="00FA5B59"/>
    <w:rsid w:val="00FB3458"/>
    <w:rsid w:val="00FB39CB"/>
    <w:rsid w:val="00FB4615"/>
    <w:rsid w:val="00FB68A0"/>
    <w:rsid w:val="00FB7B04"/>
    <w:rsid w:val="00FC110A"/>
    <w:rsid w:val="00FC469D"/>
    <w:rsid w:val="00FC4FA1"/>
    <w:rsid w:val="00FC758F"/>
    <w:rsid w:val="00FD0E89"/>
    <w:rsid w:val="00FD0F9C"/>
    <w:rsid w:val="00FD0FDD"/>
    <w:rsid w:val="00FD2391"/>
    <w:rsid w:val="00FD7A92"/>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6CC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27"/>
    <w:pPr>
      <w:widowControl w:val="0"/>
    </w:pPr>
    <w:rPr>
      <w:snapToGrid w:val="0"/>
      <w:kern w:val="28"/>
      <w:sz w:val="22"/>
    </w:rPr>
  </w:style>
  <w:style w:type="paragraph" w:styleId="Heading1">
    <w:name w:val="heading 1"/>
    <w:basedOn w:val="Normal"/>
    <w:next w:val="ParaNum"/>
    <w:link w:val="Heading1Char"/>
    <w:qFormat/>
    <w:rsid w:val="00AC242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2427"/>
    <w:pPr>
      <w:keepNext/>
      <w:numPr>
        <w:ilvl w:val="1"/>
        <w:numId w:val="2"/>
      </w:numPr>
      <w:spacing w:after="120"/>
      <w:outlineLvl w:val="1"/>
    </w:pPr>
    <w:rPr>
      <w:b/>
    </w:rPr>
  </w:style>
  <w:style w:type="paragraph" w:styleId="Heading3">
    <w:name w:val="heading 3"/>
    <w:basedOn w:val="Normal"/>
    <w:next w:val="ParaNum"/>
    <w:qFormat/>
    <w:rsid w:val="00AC2427"/>
    <w:pPr>
      <w:keepNext/>
      <w:numPr>
        <w:ilvl w:val="2"/>
        <w:numId w:val="2"/>
      </w:numPr>
      <w:tabs>
        <w:tab w:val="left" w:pos="2160"/>
      </w:tabs>
      <w:spacing w:after="120"/>
      <w:outlineLvl w:val="2"/>
    </w:pPr>
    <w:rPr>
      <w:b/>
    </w:rPr>
  </w:style>
  <w:style w:type="paragraph" w:styleId="Heading4">
    <w:name w:val="heading 4"/>
    <w:basedOn w:val="Normal"/>
    <w:next w:val="ParaNum"/>
    <w:qFormat/>
    <w:rsid w:val="00AC2427"/>
    <w:pPr>
      <w:keepNext/>
      <w:numPr>
        <w:ilvl w:val="3"/>
        <w:numId w:val="2"/>
      </w:numPr>
      <w:tabs>
        <w:tab w:val="left" w:pos="2880"/>
      </w:tabs>
      <w:spacing w:after="120"/>
      <w:outlineLvl w:val="3"/>
    </w:pPr>
    <w:rPr>
      <w:b/>
    </w:rPr>
  </w:style>
  <w:style w:type="paragraph" w:styleId="Heading5">
    <w:name w:val="heading 5"/>
    <w:basedOn w:val="Normal"/>
    <w:next w:val="ParaNum"/>
    <w:qFormat/>
    <w:rsid w:val="00AC242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C2427"/>
    <w:pPr>
      <w:numPr>
        <w:ilvl w:val="5"/>
        <w:numId w:val="2"/>
      </w:numPr>
      <w:tabs>
        <w:tab w:val="left" w:pos="4320"/>
      </w:tabs>
      <w:spacing w:after="120"/>
      <w:outlineLvl w:val="5"/>
    </w:pPr>
    <w:rPr>
      <w:b/>
    </w:rPr>
  </w:style>
  <w:style w:type="paragraph" w:styleId="Heading7">
    <w:name w:val="heading 7"/>
    <w:basedOn w:val="Normal"/>
    <w:next w:val="ParaNum"/>
    <w:qFormat/>
    <w:rsid w:val="00AC242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C242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C242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2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427"/>
  </w:style>
  <w:style w:type="paragraph" w:customStyle="1" w:styleId="ParaNum">
    <w:name w:val="ParaNum"/>
    <w:basedOn w:val="Normal"/>
    <w:link w:val="ParaNumChar"/>
    <w:rsid w:val="00AC2427"/>
    <w:pPr>
      <w:numPr>
        <w:numId w:val="1"/>
      </w:numPr>
      <w:tabs>
        <w:tab w:val="clear" w:pos="1080"/>
        <w:tab w:val="num" w:pos="1440"/>
      </w:tabs>
      <w:spacing w:after="120"/>
    </w:pPr>
  </w:style>
  <w:style w:type="paragraph" w:styleId="EndnoteText">
    <w:name w:val="endnote text"/>
    <w:basedOn w:val="Normal"/>
    <w:semiHidden/>
    <w:rsid w:val="00AC2427"/>
    <w:rPr>
      <w:sz w:val="20"/>
    </w:rPr>
  </w:style>
  <w:style w:type="character" w:styleId="EndnoteReference">
    <w:name w:val="endnote reference"/>
    <w:semiHidden/>
    <w:rsid w:val="00AC242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C242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C2427"/>
    <w:rPr>
      <w:rFonts w:ascii="Times New Roman" w:hAnsi="Times New Roman"/>
      <w:dstrike w:val="0"/>
      <w:color w:val="auto"/>
      <w:sz w:val="20"/>
      <w:vertAlign w:val="superscript"/>
    </w:rPr>
  </w:style>
  <w:style w:type="paragraph" w:styleId="TOC1">
    <w:name w:val="toc 1"/>
    <w:basedOn w:val="Normal"/>
    <w:next w:val="Normal"/>
    <w:semiHidden/>
    <w:rsid w:val="00AC24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2427"/>
    <w:pPr>
      <w:tabs>
        <w:tab w:val="left" w:pos="720"/>
        <w:tab w:val="right" w:leader="dot" w:pos="9360"/>
      </w:tabs>
      <w:suppressAutoHyphens/>
      <w:ind w:left="720" w:right="720" w:hanging="360"/>
    </w:pPr>
    <w:rPr>
      <w:noProof/>
    </w:rPr>
  </w:style>
  <w:style w:type="paragraph" w:styleId="TOC3">
    <w:name w:val="toc 3"/>
    <w:basedOn w:val="Normal"/>
    <w:next w:val="Normal"/>
    <w:semiHidden/>
    <w:rsid w:val="00AC24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24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24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24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24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24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24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2427"/>
    <w:pPr>
      <w:tabs>
        <w:tab w:val="right" w:pos="9360"/>
      </w:tabs>
      <w:suppressAutoHyphens/>
    </w:pPr>
  </w:style>
  <w:style w:type="character" w:customStyle="1" w:styleId="EquationCaption">
    <w:name w:val="_Equation Caption"/>
    <w:rsid w:val="00AC2427"/>
  </w:style>
  <w:style w:type="paragraph" w:styleId="Header">
    <w:name w:val="header"/>
    <w:basedOn w:val="Normal"/>
    <w:link w:val="HeaderChar"/>
    <w:autoRedefine/>
    <w:rsid w:val="00AC2427"/>
    <w:pPr>
      <w:tabs>
        <w:tab w:val="center" w:pos="4680"/>
        <w:tab w:val="right" w:pos="9360"/>
      </w:tabs>
    </w:pPr>
    <w:rPr>
      <w:b/>
    </w:rPr>
  </w:style>
  <w:style w:type="paragraph" w:styleId="Footer">
    <w:name w:val="footer"/>
    <w:basedOn w:val="Normal"/>
    <w:link w:val="FooterChar"/>
    <w:rsid w:val="00AC2427"/>
    <w:pPr>
      <w:tabs>
        <w:tab w:val="center" w:pos="4320"/>
        <w:tab w:val="right" w:pos="8640"/>
      </w:tabs>
    </w:pPr>
  </w:style>
  <w:style w:type="character" w:styleId="PageNumber">
    <w:name w:val="page number"/>
    <w:basedOn w:val="DefaultParagraphFont"/>
    <w:rsid w:val="00AC2427"/>
  </w:style>
  <w:style w:type="paragraph" w:styleId="BlockText">
    <w:name w:val="Block Text"/>
    <w:basedOn w:val="Normal"/>
    <w:rsid w:val="00AC2427"/>
    <w:pPr>
      <w:spacing w:after="240"/>
      <w:ind w:left="1440" w:right="1440"/>
    </w:pPr>
  </w:style>
  <w:style w:type="paragraph" w:customStyle="1" w:styleId="Paratitle">
    <w:name w:val="Para title"/>
    <w:basedOn w:val="Normal"/>
    <w:rsid w:val="00AC2427"/>
    <w:pPr>
      <w:tabs>
        <w:tab w:val="center" w:pos="9270"/>
      </w:tabs>
      <w:spacing w:after="240"/>
    </w:pPr>
    <w:rPr>
      <w:spacing w:val="-2"/>
    </w:rPr>
  </w:style>
  <w:style w:type="paragraph" w:customStyle="1" w:styleId="Bullet">
    <w:name w:val="Bullet"/>
    <w:basedOn w:val="Normal"/>
    <w:rsid w:val="00AC2427"/>
    <w:pPr>
      <w:tabs>
        <w:tab w:val="left" w:pos="2160"/>
      </w:tabs>
      <w:spacing w:after="220"/>
      <w:ind w:left="2160" w:hanging="720"/>
    </w:pPr>
  </w:style>
  <w:style w:type="paragraph" w:customStyle="1" w:styleId="TableFormat">
    <w:name w:val="TableFormat"/>
    <w:basedOn w:val="Bullet"/>
    <w:rsid w:val="00AC2427"/>
    <w:pPr>
      <w:tabs>
        <w:tab w:val="clear" w:pos="2160"/>
        <w:tab w:val="left" w:pos="5040"/>
      </w:tabs>
      <w:ind w:left="5040" w:hanging="3600"/>
    </w:pPr>
  </w:style>
  <w:style w:type="paragraph" w:customStyle="1" w:styleId="TOCTitle">
    <w:name w:val="TOC Title"/>
    <w:basedOn w:val="Normal"/>
    <w:rsid w:val="00AC24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2427"/>
    <w:pPr>
      <w:jc w:val="center"/>
    </w:pPr>
    <w:rPr>
      <w:rFonts w:ascii="Times New Roman Bold" w:hAnsi="Times New Roman Bold"/>
      <w:b/>
      <w:bCs/>
      <w:caps/>
      <w:szCs w:val="22"/>
    </w:rPr>
  </w:style>
  <w:style w:type="character" w:styleId="Hyperlink">
    <w:name w:val="Hyperlink"/>
    <w:rsid w:val="00AC242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40"/>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27"/>
    <w:pPr>
      <w:widowControl w:val="0"/>
    </w:pPr>
    <w:rPr>
      <w:snapToGrid w:val="0"/>
      <w:kern w:val="28"/>
      <w:sz w:val="22"/>
    </w:rPr>
  </w:style>
  <w:style w:type="paragraph" w:styleId="Heading1">
    <w:name w:val="heading 1"/>
    <w:basedOn w:val="Normal"/>
    <w:next w:val="ParaNum"/>
    <w:link w:val="Heading1Char"/>
    <w:qFormat/>
    <w:rsid w:val="00AC242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2427"/>
    <w:pPr>
      <w:keepNext/>
      <w:numPr>
        <w:ilvl w:val="1"/>
        <w:numId w:val="2"/>
      </w:numPr>
      <w:spacing w:after="120"/>
      <w:outlineLvl w:val="1"/>
    </w:pPr>
    <w:rPr>
      <w:b/>
    </w:rPr>
  </w:style>
  <w:style w:type="paragraph" w:styleId="Heading3">
    <w:name w:val="heading 3"/>
    <w:basedOn w:val="Normal"/>
    <w:next w:val="ParaNum"/>
    <w:qFormat/>
    <w:rsid w:val="00AC2427"/>
    <w:pPr>
      <w:keepNext/>
      <w:numPr>
        <w:ilvl w:val="2"/>
        <w:numId w:val="2"/>
      </w:numPr>
      <w:tabs>
        <w:tab w:val="left" w:pos="2160"/>
      </w:tabs>
      <w:spacing w:after="120"/>
      <w:outlineLvl w:val="2"/>
    </w:pPr>
    <w:rPr>
      <w:b/>
    </w:rPr>
  </w:style>
  <w:style w:type="paragraph" w:styleId="Heading4">
    <w:name w:val="heading 4"/>
    <w:basedOn w:val="Normal"/>
    <w:next w:val="ParaNum"/>
    <w:qFormat/>
    <w:rsid w:val="00AC2427"/>
    <w:pPr>
      <w:keepNext/>
      <w:numPr>
        <w:ilvl w:val="3"/>
        <w:numId w:val="2"/>
      </w:numPr>
      <w:tabs>
        <w:tab w:val="left" w:pos="2880"/>
      </w:tabs>
      <w:spacing w:after="120"/>
      <w:outlineLvl w:val="3"/>
    </w:pPr>
    <w:rPr>
      <w:b/>
    </w:rPr>
  </w:style>
  <w:style w:type="paragraph" w:styleId="Heading5">
    <w:name w:val="heading 5"/>
    <w:basedOn w:val="Normal"/>
    <w:next w:val="ParaNum"/>
    <w:qFormat/>
    <w:rsid w:val="00AC242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C2427"/>
    <w:pPr>
      <w:numPr>
        <w:ilvl w:val="5"/>
        <w:numId w:val="2"/>
      </w:numPr>
      <w:tabs>
        <w:tab w:val="left" w:pos="4320"/>
      </w:tabs>
      <w:spacing w:after="120"/>
      <w:outlineLvl w:val="5"/>
    </w:pPr>
    <w:rPr>
      <w:b/>
    </w:rPr>
  </w:style>
  <w:style w:type="paragraph" w:styleId="Heading7">
    <w:name w:val="heading 7"/>
    <w:basedOn w:val="Normal"/>
    <w:next w:val="ParaNum"/>
    <w:qFormat/>
    <w:rsid w:val="00AC242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C242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C242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24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427"/>
  </w:style>
  <w:style w:type="paragraph" w:customStyle="1" w:styleId="ParaNum">
    <w:name w:val="ParaNum"/>
    <w:basedOn w:val="Normal"/>
    <w:link w:val="ParaNumChar"/>
    <w:rsid w:val="00AC2427"/>
    <w:pPr>
      <w:numPr>
        <w:numId w:val="1"/>
      </w:numPr>
      <w:tabs>
        <w:tab w:val="clear" w:pos="1080"/>
        <w:tab w:val="num" w:pos="1440"/>
      </w:tabs>
      <w:spacing w:after="120"/>
    </w:pPr>
  </w:style>
  <w:style w:type="paragraph" w:styleId="EndnoteText">
    <w:name w:val="endnote text"/>
    <w:basedOn w:val="Normal"/>
    <w:semiHidden/>
    <w:rsid w:val="00AC2427"/>
    <w:rPr>
      <w:sz w:val="20"/>
    </w:rPr>
  </w:style>
  <w:style w:type="character" w:styleId="EndnoteReference">
    <w:name w:val="endnote reference"/>
    <w:semiHidden/>
    <w:rsid w:val="00AC242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C242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C2427"/>
    <w:rPr>
      <w:rFonts w:ascii="Times New Roman" w:hAnsi="Times New Roman"/>
      <w:dstrike w:val="0"/>
      <w:color w:val="auto"/>
      <w:sz w:val="20"/>
      <w:vertAlign w:val="superscript"/>
    </w:rPr>
  </w:style>
  <w:style w:type="paragraph" w:styleId="TOC1">
    <w:name w:val="toc 1"/>
    <w:basedOn w:val="Normal"/>
    <w:next w:val="Normal"/>
    <w:semiHidden/>
    <w:rsid w:val="00AC24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2427"/>
    <w:pPr>
      <w:tabs>
        <w:tab w:val="left" w:pos="720"/>
        <w:tab w:val="right" w:leader="dot" w:pos="9360"/>
      </w:tabs>
      <w:suppressAutoHyphens/>
      <w:ind w:left="720" w:right="720" w:hanging="360"/>
    </w:pPr>
    <w:rPr>
      <w:noProof/>
    </w:rPr>
  </w:style>
  <w:style w:type="paragraph" w:styleId="TOC3">
    <w:name w:val="toc 3"/>
    <w:basedOn w:val="Normal"/>
    <w:next w:val="Normal"/>
    <w:semiHidden/>
    <w:rsid w:val="00AC24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24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24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24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24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24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24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2427"/>
    <w:pPr>
      <w:tabs>
        <w:tab w:val="right" w:pos="9360"/>
      </w:tabs>
      <w:suppressAutoHyphens/>
    </w:pPr>
  </w:style>
  <w:style w:type="character" w:customStyle="1" w:styleId="EquationCaption">
    <w:name w:val="_Equation Caption"/>
    <w:rsid w:val="00AC2427"/>
  </w:style>
  <w:style w:type="paragraph" w:styleId="Header">
    <w:name w:val="header"/>
    <w:basedOn w:val="Normal"/>
    <w:link w:val="HeaderChar"/>
    <w:autoRedefine/>
    <w:rsid w:val="00AC2427"/>
    <w:pPr>
      <w:tabs>
        <w:tab w:val="center" w:pos="4680"/>
        <w:tab w:val="right" w:pos="9360"/>
      </w:tabs>
    </w:pPr>
    <w:rPr>
      <w:b/>
    </w:rPr>
  </w:style>
  <w:style w:type="paragraph" w:styleId="Footer">
    <w:name w:val="footer"/>
    <w:basedOn w:val="Normal"/>
    <w:link w:val="FooterChar"/>
    <w:rsid w:val="00AC2427"/>
    <w:pPr>
      <w:tabs>
        <w:tab w:val="center" w:pos="4320"/>
        <w:tab w:val="right" w:pos="8640"/>
      </w:tabs>
    </w:pPr>
  </w:style>
  <w:style w:type="character" w:styleId="PageNumber">
    <w:name w:val="page number"/>
    <w:basedOn w:val="DefaultParagraphFont"/>
    <w:rsid w:val="00AC2427"/>
  </w:style>
  <w:style w:type="paragraph" w:styleId="BlockText">
    <w:name w:val="Block Text"/>
    <w:basedOn w:val="Normal"/>
    <w:rsid w:val="00AC2427"/>
    <w:pPr>
      <w:spacing w:after="240"/>
      <w:ind w:left="1440" w:right="1440"/>
    </w:pPr>
  </w:style>
  <w:style w:type="paragraph" w:customStyle="1" w:styleId="Paratitle">
    <w:name w:val="Para title"/>
    <w:basedOn w:val="Normal"/>
    <w:rsid w:val="00AC2427"/>
    <w:pPr>
      <w:tabs>
        <w:tab w:val="center" w:pos="9270"/>
      </w:tabs>
      <w:spacing w:after="240"/>
    </w:pPr>
    <w:rPr>
      <w:spacing w:val="-2"/>
    </w:rPr>
  </w:style>
  <w:style w:type="paragraph" w:customStyle="1" w:styleId="Bullet">
    <w:name w:val="Bullet"/>
    <w:basedOn w:val="Normal"/>
    <w:rsid w:val="00AC2427"/>
    <w:pPr>
      <w:tabs>
        <w:tab w:val="left" w:pos="2160"/>
      </w:tabs>
      <w:spacing w:after="220"/>
      <w:ind w:left="2160" w:hanging="720"/>
    </w:pPr>
  </w:style>
  <w:style w:type="paragraph" w:customStyle="1" w:styleId="TableFormat">
    <w:name w:val="TableFormat"/>
    <w:basedOn w:val="Bullet"/>
    <w:rsid w:val="00AC2427"/>
    <w:pPr>
      <w:tabs>
        <w:tab w:val="clear" w:pos="2160"/>
        <w:tab w:val="left" w:pos="5040"/>
      </w:tabs>
      <w:ind w:left="5040" w:hanging="3600"/>
    </w:pPr>
  </w:style>
  <w:style w:type="paragraph" w:customStyle="1" w:styleId="TOCTitle">
    <w:name w:val="TOC Title"/>
    <w:basedOn w:val="Normal"/>
    <w:rsid w:val="00AC24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2427"/>
    <w:pPr>
      <w:jc w:val="center"/>
    </w:pPr>
    <w:rPr>
      <w:rFonts w:ascii="Times New Roman Bold" w:hAnsi="Times New Roman Bold"/>
      <w:b/>
      <w:bCs/>
      <w:caps/>
      <w:szCs w:val="22"/>
    </w:rPr>
  </w:style>
  <w:style w:type="character" w:styleId="Hyperlink">
    <w:name w:val="Hyperlink"/>
    <w:rsid w:val="00AC242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40"/>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1785077083">
      <w:bodyDiv w:val="1"/>
      <w:marLeft w:val="0"/>
      <w:marRight w:val="0"/>
      <w:marTop w:val="0"/>
      <w:marBottom w:val="0"/>
      <w:divBdr>
        <w:top w:val="none" w:sz="0" w:space="0" w:color="auto"/>
        <w:left w:val="none" w:sz="0" w:space="0" w:color="auto"/>
        <w:bottom w:val="none" w:sz="0" w:space="0" w:color="auto"/>
        <w:right w:val="none" w:sz="0" w:space="0" w:color="auto"/>
      </w:divBdr>
    </w:div>
    <w:div w:id="207927920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Noone@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4281</Words>
  <Characters>23696</Characters>
  <Application>Microsoft Office Word</Application>
  <DocSecurity>0</DocSecurity>
  <Lines>435</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2016-09-22T15:39:00Z</dcterms:created>
  <dcterms:modified xsi:type="dcterms:W3CDTF">2016-09-22T15:39:00Z</dcterms:modified>
  <cp:category> </cp:category>
  <cp:contentStatus> </cp:contentStatus>
</cp:coreProperties>
</file>