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6DC65" w14:textId="77777777" w:rsidR="00AD540A" w:rsidRPr="00F36716" w:rsidRDefault="00AD540A" w:rsidP="00F36716">
      <w:pPr>
        <w:sectPr w:rsidR="00AD540A" w:rsidRPr="00F367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14:paraId="71F2F3C0" w14:textId="288B2DC9" w:rsidR="00AD540A" w:rsidRPr="00EF2146" w:rsidRDefault="00AD540A" w:rsidP="00F36716">
      <w:pPr>
        <w:spacing w:after="120"/>
        <w:jc w:val="right"/>
        <w:rPr>
          <w:b/>
          <w:szCs w:val="22"/>
        </w:rPr>
      </w:pPr>
      <w:r>
        <w:rPr>
          <w:b/>
          <w:szCs w:val="22"/>
        </w:rPr>
        <w:lastRenderedPageBreak/>
        <w:t xml:space="preserve">DA </w:t>
      </w:r>
      <w:r w:rsidR="00C3566C">
        <w:rPr>
          <w:b/>
          <w:szCs w:val="22"/>
        </w:rPr>
        <w:t>1</w:t>
      </w:r>
      <w:r w:rsidR="00EF2146">
        <w:rPr>
          <w:b/>
          <w:szCs w:val="22"/>
        </w:rPr>
        <w:t>5</w:t>
      </w:r>
      <w:r>
        <w:rPr>
          <w:b/>
          <w:szCs w:val="22"/>
        </w:rPr>
        <w:t>-</w:t>
      </w:r>
      <w:r w:rsidR="009457B7">
        <w:rPr>
          <w:b/>
          <w:szCs w:val="22"/>
        </w:rPr>
        <w:t>868</w:t>
      </w:r>
    </w:p>
    <w:p w14:paraId="107E0F34" w14:textId="196539AC" w:rsidR="00AD540A" w:rsidRDefault="00787698" w:rsidP="00787698">
      <w:pPr>
        <w:tabs>
          <w:tab w:val="center" w:pos="4680"/>
          <w:tab w:val="right" w:pos="9360"/>
        </w:tabs>
        <w:rPr>
          <w:b/>
          <w:szCs w:val="22"/>
        </w:rPr>
      </w:pPr>
      <w:r>
        <w:rPr>
          <w:b/>
          <w:szCs w:val="22"/>
        </w:rPr>
        <w:tab/>
      </w:r>
      <w:r>
        <w:rPr>
          <w:b/>
          <w:szCs w:val="22"/>
        </w:rPr>
        <w:tab/>
      </w:r>
      <w:r w:rsidR="00AD540A">
        <w:rPr>
          <w:b/>
          <w:szCs w:val="22"/>
        </w:rPr>
        <w:t xml:space="preserve">Released:  </w:t>
      </w:r>
      <w:r w:rsidR="00EF51E0">
        <w:rPr>
          <w:b/>
          <w:szCs w:val="22"/>
        </w:rPr>
        <w:t>July 29</w:t>
      </w:r>
      <w:r w:rsidR="00EF2146">
        <w:rPr>
          <w:b/>
          <w:szCs w:val="22"/>
        </w:rPr>
        <w:t>, 2015</w:t>
      </w:r>
    </w:p>
    <w:p w14:paraId="4F19FA82" w14:textId="77777777" w:rsidR="00AD540A" w:rsidRDefault="00AD540A">
      <w:pPr>
        <w:rPr>
          <w:b/>
          <w:szCs w:val="22"/>
        </w:rPr>
      </w:pPr>
    </w:p>
    <w:p w14:paraId="32AC250B" w14:textId="77777777" w:rsidR="00AD540A" w:rsidRPr="00BD68F9" w:rsidRDefault="009A4C43" w:rsidP="009A4C43">
      <w:pPr>
        <w:jc w:val="center"/>
        <w:rPr>
          <w:b/>
          <w:szCs w:val="22"/>
        </w:rPr>
      </w:pPr>
      <w:r>
        <w:rPr>
          <w:b/>
          <w:szCs w:val="22"/>
        </w:rPr>
        <w:t xml:space="preserve">WIRELINE COMPETITION BUREAU </w:t>
      </w:r>
      <w:r w:rsidR="00B67967">
        <w:rPr>
          <w:b/>
          <w:szCs w:val="22"/>
        </w:rPr>
        <w:t>PUBLISHES</w:t>
      </w:r>
      <w:r>
        <w:rPr>
          <w:b/>
          <w:szCs w:val="22"/>
        </w:rPr>
        <w:br/>
      </w:r>
      <w:r w:rsidR="00CF76AF">
        <w:rPr>
          <w:b/>
          <w:szCs w:val="22"/>
        </w:rPr>
        <w:t>PRELIMINARY DETERMINATION OF</w:t>
      </w:r>
      <w:r w:rsidR="00EF2146">
        <w:rPr>
          <w:b/>
          <w:szCs w:val="22"/>
        </w:rPr>
        <w:t xml:space="preserve"> </w:t>
      </w:r>
      <w:r w:rsidR="00CF76AF">
        <w:rPr>
          <w:b/>
          <w:szCs w:val="22"/>
        </w:rPr>
        <w:t xml:space="preserve">RATE-OF-RETURN STUDY AREAS </w:t>
      </w:r>
      <w:r>
        <w:rPr>
          <w:b/>
          <w:szCs w:val="22"/>
        </w:rPr>
        <w:br/>
      </w:r>
      <w:r w:rsidR="00CA787F">
        <w:rPr>
          <w:b/>
          <w:szCs w:val="22"/>
        </w:rPr>
        <w:t>100 PERCENT OVERLAP</w:t>
      </w:r>
      <w:r>
        <w:rPr>
          <w:b/>
          <w:szCs w:val="22"/>
        </w:rPr>
        <w:t>PED</w:t>
      </w:r>
      <w:r w:rsidR="00CA787F">
        <w:rPr>
          <w:b/>
          <w:szCs w:val="22"/>
        </w:rPr>
        <w:t xml:space="preserve"> BY UNSUBSIDIZED COMPETITORS  </w:t>
      </w:r>
    </w:p>
    <w:p w14:paraId="1115EC58" w14:textId="77777777" w:rsidR="00AD540A" w:rsidRPr="00BD68F9" w:rsidRDefault="00AD540A">
      <w:pPr>
        <w:jc w:val="center"/>
        <w:rPr>
          <w:b/>
          <w:szCs w:val="22"/>
        </w:rPr>
      </w:pPr>
    </w:p>
    <w:p w14:paraId="11189B2D" w14:textId="77777777" w:rsidR="00AD540A" w:rsidRDefault="00AD540A">
      <w:pPr>
        <w:jc w:val="center"/>
        <w:rPr>
          <w:b/>
          <w:szCs w:val="22"/>
        </w:rPr>
      </w:pPr>
      <w:r w:rsidRPr="00BD68F9">
        <w:rPr>
          <w:b/>
          <w:szCs w:val="22"/>
        </w:rPr>
        <w:t xml:space="preserve">WC Docket No. </w:t>
      </w:r>
      <w:r w:rsidR="00EF2146">
        <w:rPr>
          <w:b/>
          <w:szCs w:val="22"/>
        </w:rPr>
        <w:t>10-90</w:t>
      </w:r>
    </w:p>
    <w:p w14:paraId="7805D174" w14:textId="77777777" w:rsidR="00EF2146" w:rsidRDefault="00EF2146">
      <w:pPr>
        <w:jc w:val="center"/>
        <w:rPr>
          <w:b/>
          <w:szCs w:val="22"/>
        </w:rPr>
      </w:pPr>
    </w:p>
    <w:p w14:paraId="1241539E" w14:textId="0F56F6B9" w:rsidR="00EF2146" w:rsidRDefault="00EF2146" w:rsidP="00EF2146">
      <w:pPr>
        <w:rPr>
          <w:b/>
          <w:szCs w:val="22"/>
        </w:rPr>
      </w:pPr>
      <w:r>
        <w:rPr>
          <w:b/>
          <w:szCs w:val="22"/>
        </w:rPr>
        <w:t>Comments Due:</w:t>
      </w:r>
      <w:r w:rsidR="009F38EE">
        <w:rPr>
          <w:b/>
          <w:szCs w:val="22"/>
        </w:rPr>
        <w:t xml:space="preserve">  </w:t>
      </w:r>
      <w:r w:rsidR="00EF51E0">
        <w:rPr>
          <w:b/>
          <w:szCs w:val="22"/>
        </w:rPr>
        <w:t>August 28, 2015</w:t>
      </w:r>
    </w:p>
    <w:p w14:paraId="6F318D44" w14:textId="6F0AE097" w:rsidR="00EF2146" w:rsidRDefault="00EF2146" w:rsidP="00EF2146">
      <w:pPr>
        <w:rPr>
          <w:b/>
          <w:szCs w:val="22"/>
        </w:rPr>
      </w:pPr>
      <w:r>
        <w:rPr>
          <w:b/>
          <w:szCs w:val="22"/>
        </w:rPr>
        <w:t>Reply Comments Due:</w:t>
      </w:r>
      <w:r w:rsidR="00EF51E0">
        <w:rPr>
          <w:b/>
          <w:szCs w:val="22"/>
        </w:rPr>
        <w:t xml:space="preserve">  September 28, 2015 </w:t>
      </w:r>
    </w:p>
    <w:p w14:paraId="5B0564BC" w14:textId="77777777" w:rsidR="00EF2146" w:rsidRPr="00BD68F9" w:rsidRDefault="00EF2146" w:rsidP="00EF2146">
      <w:pPr>
        <w:rPr>
          <w:b/>
          <w:szCs w:val="22"/>
        </w:rPr>
      </w:pPr>
    </w:p>
    <w:p w14:paraId="78F663E0" w14:textId="77777777" w:rsidR="00625652" w:rsidRPr="00B64A94" w:rsidRDefault="00625652" w:rsidP="001C764F">
      <w:pPr>
        <w:pStyle w:val="StyleParanumLeft"/>
        <w:rPr>
          <w:b/>
        </w:rPr>
      </w:pPr>
      <w:r>
        <w:t xml:space="preserve">In this Public Notice, the Wireline Competition Bureau (Bureau) </w:t>
      </w:r>
      <w:r w:rsidR="00686D7C">
        <w:t xml:space="preserve">adopts </w:t>
      </w:r>
      <w:r>
        <w:t xml:space="preserve">the methodology used to determine rate-of-return carrier study areas subject to 100 percent overlap and publishes a preliminary list of </w:t>
      </w:r>
      <w:r w:rsidR="00E43485">
        <w:t>such</w:t>
      </w:r>
      <w:r>
        <w:t xml:space="preserve"> study areas using the adopted methodology.  </w:t>
      </w:r>
      <w:r w:rsidR="004D546E">
        <w:t xml:space="preserve">Pursuant to the Commission’s direction in the </w:t>
      </w:r>
      <w:r w:rsidR="004D546E">
        <w:rPr>
          <w:i/>
        </w:rPr>
        <w:t xml:space="preserve">December 2014 Connect America Fund </w:t>
      </w:r>
      <w:r w:rsidR="004D546E" w:rsidRPr="004D546E">
        <w:rPr>
          <w:i/>
        </w:rPr>
        <w:t>Order</w:t>
      </w:r>
      <w:r w:rsidR="004D546E">
        <w:t>, w</w:t>
      </w:r>
      <w:r w:rsidRPr="004D546E">
        <w:t>e</w:t>
      </w:r>
      <w:r>
        <w:t xml:space="preserve"> seek comment on this preliminary determination.</w:t>
      </w:r>
      <w:r w:rsidR="004D546E">
        <w:rPr>
          <w:rStyle w:val="FootnoteReference"/>
        </w:rPr>
        <w:footnoteReference w:id="2"/>
      </w:r>
      <w:r>
        <w:t xml:space="preserve">  Once the comment cycle is complete, we will publish a final determination of the study areas subject to a 100 percent overlap.</w:t>
      </w:r>
      <w:r w:rsidR="00F540D4">
        <w:t xml:space="preserve">  Pursuant to Commission rule, </w:t>
      </w:r>
      <w:r w:rsidR="00E43485">
        <w:t xml:space="preserve">high-cost universal service </w:t>
      </w:r>
      <w:r w:rsidR="00F540D4">
        <w:t xml:space="preserve">support for the </w:t>
      </w:r>
      <w:r w:rsidR="00F07A28">
        <w:t xml:space="preserve">study areas on the final list will be frozen </w:t>
      </w:r>
      <w:r w:rsidR="00D118B5">
        <w:t xml:space="preserve">at the amount disbursed in the prior calendar year, and the </w:t>
      </w:r>
      <w:r w:rsidR="00F540D4">
        <w:t>phase-down</w:t>
      </w:r>
      <w:r w:rsidR="00D118B5">
        <w:t xml:space="preserve"> in support will commence.</w:t>
      </w:r>
      <w:r w:rsidR="00701CDA">
        <w:rPr>
          <w:rStyle w:val="FootnoteReference"/>
          <w:szCs w:val="22"/>
        </w:rPr>
        <w:footnoteReference w:id="3"/>
      </w:r>
    </w:p>
    <w:p w14:paraId="1F627194" w14:textId="77777777" w:rsidR="00625652" w:rsidRPr="00625652" w:rsidRDefault="00625652" w:rsidP="00B779D1">
      <w:pPr>
        <w:pStyle w:val="Heading2"/>
        <w:spacing w:after="120"/>
      </w:pPr>
      <w:r>
        <w:t>Background</w:t>
      </w:r>
    </w:p>
    <w:p w14:paraId="1EABEF25" w14:textId="77777777" w:rsidR="00FE69C1" w:rsidRPr="00B64A94" w:rsidRDefault="00072ED7" w:rsidP="00B779D1">
      <w:pPr>
        <w:pStyle w:val="StyleParanumLeft"/>
        <w:widowControl/>
        <w:spacing w:after="120"/>
        <w:rPr>
          <w:b/>
        </w:rPr>
      </w:pPr>
      <w:r>
        <w:t xml:space="preserve">In the 2011 </w:t>
      </w:r>
      <w:r w:rsidRPr="00072ED7">
        <w:rPr>
          <w:i/>
        </w:rPr>
        <w:t>USF/ICC Transformation Order</w:t>
      </w:r>
      <w:r>
        <w:t xml:space="preserve">, the </w:t>
      </w:r>
      <w:r w:rsidR="001E206A" w:rsidRPr="001E206A">
        <w:t>Federal Communications Commission</w:t>
      </w:r>
      <w:r w:rsidR="001E206A">
        <w:t xml:space="preserve"> (</w:t>
      </w:r>
      <w:r>
        <w:t>Commission</w:t>
      </w:r>
      <w:r w:rsidR="001E206A">
        <w:t>)</w:t>
      </w:r>
      <w:r>
        <w:t xml:space="preserve"> adopted a rule to eliminate high-cost universal service support in incumbent local exchange carrier (ILEC) study areas where an unsubsidized competitor or a combination of unsubsidized competitors offers voice and broadband service</w:t>
      </w:r>
      <w:r w:rsidR="009A4C43">
        <w:t>s</w:t>
      </w:r>
      <w:r>
        <w:t xml:space="preserve"> that meet the Commission’s service obligations throughout the study area.</w:t>
      </w:r>
      <w:r>
        <w:rPr>
          <w:rStyle w:val="FootnoteReference"/>
          <w:szCs w:val="22"/>
        </w:rPr>
        <w:footnoteReference w:id="4"/>
      </w:r>
      <w:r>
        <w:t xml:space="preserve">  </w:t>
      </w:r>
      <w:r w:rsidR="00E507C5">
        <w:t xml:space="preserve">It defined an unsubsidized competitor as “a facilities-based provider of </w:t>
      </w:r>
      <w:r w:rsidR="00E507C5">
        <w:lastRenderedPageBreak/>
        <w:t>residential fixed voice and broadband service</w:t>
      </w:r>
      <w:r w:rsidR="0086040B">
        <w:t xml:space="preserve"> that does not receive high-cost support</w:t>
      </w:r>
      <w:r w:rsidR="00E507C5">
        <w:t>.”</w:t>
      </w:r>
      <w:r w:rsidR="00E507C5">
        <w:rPr>
          <w:rStyle w:val="FootnoteReference"/>
        </w:rPr>
        <w:footnoteReference w:id="5"/>
      </w:r>
      <w:r w:rsidR="00E507C5">
        <w:t xml:space="preserve">  </w:t>
      </w:r>
      <w:r w:rsidR="00FE69C1">
        <w:t xml:space="preserve">At that time, the Commission sought comment on </w:t>
      </w:r>
      <w:r w:rsidR="004B6A10">
        <w:t>a proposed</w:t>
      </w:r>
      <w:r w:rsidR="00FE69C1">
        <w:t xml:space="preserve"> methodology</w:t>
      </w:r>
      <w:r w:rsidR="004B6A10">
        <w:t xml:space="preserve"> for determining whether a study area is 100 percent overlapped by an unsubsidized competitor</w:t>
      </w:r>
      <w:r w:rsidR="00625652">
        <w:t xml:space="preserve"> and </w:t>
      </w:r>
      <w:r w:rsidR="009A1E94">
        <w:t>directed</w:t>
      </w:r>
      <w:r w:rsidR="00625652">
        <w:t xml:space="preserve"> the Bureau </w:t>
      </w:r>
      <w:r w:rsidR="00701CDA">
        <w:t>“to</w:t>
      </w:r>
      <w:r w:rsidR="009A1E94">
        <w:t xml:space="preserve"> </w:t>
      </w:r>
      <w:r w:rsidR="00625652">
        <w:t xml:space="preserve">publish a finalized methodology </w:t>
      </w:r>
      <w:r w:rsidR="00701CDA">
        <w:t xml:space="preserve">for determining areas of overlap </w:t>
      </w:r>
      <w:r w:rsidR="00625652">
        <w:t xml:space="preserve">and </w:t>
      </w:r>
      <w:r w:rsidR="00701CDA">
        <w:t xml:space="preserve">a </w:t>
      </w:r>
      <w:r w:rsidR="00625652">
        <w:t xml:space="preserve">list of companies </w:t>
      </w:r>
      <w:r w:rsidR="00B62AC5">
        <w:t>for which there is</w:t>
      </w:r>
      <w:r w:rsidR="00E43485">
        <w:t xml:space="preserve"> a</w:t>
      </w:r>
      <w:r w:rsidR="00625652">
        <w:t xml:space="preserve"> 100 percent overlap</w:t>
      </w:r>
      <w:r w:rsidR="000C62C0">
        <w:t>.</w:t>
      </w:r>
      <w:r w:rsidR="00701CDA">
        <w:t>”</w:t>
      </w:r>
      <w:r w:rsidR="00701CDA">
        <w:rPr>
          <w:rStyle w:val="FootnoteReference"/>
          <w:szCs w:val="22"/>
        </w:rPr>
        <w:footnoteReference w:id="6"/>
      </w:r>
      <w:r w:rsidR="002B3BE2">
        <w:t xml:space="preserve"> </w:t>
      </w:r>
      <w:r w:rsidR="000C62C0">
        <w:t xml:space="preserve"> </w:t>
      </w:r>
      <w:r w:rsidR="002B3BE2">
        <w:t>T</w:t>
      </w:r>
      <w:r w:rsidR="002B3BE2" w:rsidRPr="00D118B5">
        <w:t xml:space="preserve">he Commission </w:t>
      </w:r>
      <w:r w:rsidR="00701CDA">
        <w:t xml:space="preserve">subsequently </w:t>
      </w:r>
      <w:r w:rsidR="002B3BE2" w:rsidRPr="00D118B5">
        <w:t>codified the 100 percent overlap rule</w:t>
      </w:r>
      <w:r w:rsidR="002B3BE2">
        <w:t xml:space="preserve"> in April 2014</w:t>
      </w:r>
      <w:r w:rsidR="002B3BE2" w:rsidRPr="00D118B5">
        <w:t>.</w:t>
      </w:r>
      <w:r w:rsidR="002B3BE2">
        <w:rPr>
          <w:rStyle w:val="FootnoteReference"/>
          <w:szCs w:val="22"/>
        </w:rPr>
        <w:footnoteReference w:id="7"/>
      </w:r>
      <w:r w:rsidR="002B3BE2" w:rsidRPr="00D118B5">
        <w:t xml:space="preserve">  </w:t>
      </w:r>
    </w:p>
    <w:p w14:paraId="450210A5" w14:textId="77777777" w:rsidR="00625652" w:rsidRPr="00257C5C" w:rsidRDefault="00FF36FB" w:rsidP="00B779D1">
      <w:pPr>
        <w:pStyle w:val="StyleParanumLeft"/>
        <w:spacing w:after="120"/>
        <w:rPr>
          <w:b/>
        </w:rPr>
      </w:pPr>
      <w:r>
        <w:t>T</w:t>
      </w:r>
      <w:r w:rsidR="00E43485">
        <w:t>o conduct the 100 percent overlap analysis, the Bureau needed</w:t>
      </w:r>
      <w:r w:rsidR="00F86E00">
        <w:t xml:space="preserve"> a complete and accurate set of ILEC </w:t>
      </w:r>
      <w:r w:rsidR="00E43485">
        <w:t xml:space="preserve">study area boundaries. </w:t>
      </w:r>
      <w:r w:rsidR="00701CDA">
        <w:t xml:space="preserve"> </w:t>
      </w:r>
      <w:r w:rsidR="00E43485">
        <w:t xml:space="preserve">In November 2012, the Bureau </w:t>
      </w:r>
      <w:r w:rsidR="006461E2">
        <w:t xml:space="preserve">adopted </w:t>
      </w:r>
      <w:r w:rsidR="00C40128">
        <w:t>a program</w:t>
      </w:r>
      <w:r w:rsidR="0015221B">
        <w:t xml:space="preserve"> </w:t>
      </w:r>
      <w:r w:rsidR="006461E2">
        <w:t>for the collection of study area boundary data to implement this and other universal service reforms.</w:t>
      </w:r>
      <w:r w:rsidR="005B2F12">
        <w:rPr>
          <w:rStyle w:val="FootnoteReference"/>
          <w:szCs w:val="22"/>
        </w:rPr>
        <w:footnoteReference w:id="8"/>
      </w:r>
      <w:r w:rsidR="006461E2">
        <w:t xml:space="preserve">  The initial set of study area boundaries w</w:t>
      </w:r>
      <w:r w:rsidR="00B62AC5">
        <w:t>as</w:t>
      </w:r>
      <w:r w:rsidR="006461E2">
        <w:t xml:space="preserve"> collected in May 2013.</w:t>
      </w:r>
      <w:r w:rsidR="005B2F12">
        <w:rPr>
          <w:rStyle w:val="FootnoteReference"/>
          <w:szCs w:val="22"/>
        </w:rPr>
        <w:footnoteReference w:id="9"/>
      </w:r>
      <w:r w:rsidR="006461E2">
        <w:t xml:space="preserve">  Because these boundaries included multiple overlaps among ILECs, the Bureau established a process for carriers to reconcile the overlaps and submit updated boundary data by March 2014.</w:t>
      </w:r>
      <w:r w:rsidR="005B2F12">
        <w:rPr>
          <w:rStyle w:val="FootnoteReference"/>
          <w:szCs w:val="22"/>
        </w:rPr>
        <w:footnoteReference w:id="10"/>
      </w:r>
      <w:r w:rsidR="006461E2">
        <w:t xml:space="preserve">  </w:t>
      </w:r>
    </w:p>
    <w:p w14:paraId="7B45583D" w14:textId="77777777" w:rsidR="0070474F" w:rsidRPr="00257C5C" w:rsidRDefault="009A4C43" w:rsidP="001C764F">
      <w:pPr>
        <w:pStyle w:val="StyleParanumLeft"/>
        <w:rPr>
          <w:b/>
        </w:rPr>
      </w:pPr>
      <w:r w:rsidRPr="00D118B5">
        <w:t xml:space="preserve">In December 2014, the Commission directed the Bureau to “publish its preliminary determination of those areas subject to 100 percent overlap and then provide an opportunity for comment on those preliminary </w:t>
      </w:r>
      <w:r w:rsidR="00F540D4" w:rsidRPr="00D118B5">
        <w:t>determinations</w:t>
      </w:r>
      <w:r w:rsidRPr="00D118B5">
        <w:t>.”</w:t>
      </w:r>
      <w:r w:rsidR="00B67967" w:rsidRPr="007F7CE7">
        <w:rPr>
          <w:rStyle w:val="FootnoteReference"/>
          <w:szCs w:val="22"/>
        </w:rPr>
        <w:footnoteReference w:id="11"/>
      </w:r>
      <w:r w:rsidRPr="00D118B5">
        <w:t xml:space="preserve">  </w:t>
      </w:r>
      <w:r w:rsidR="00C37C36" w:rsidRPr="00D118B5">
        <w:t>The Commission stated that it expected the Bureau to review data from the study area boundary data collection, FCC Form 477 (Form 477), and the State Broadband Initiative/National Broadband Map (SBI/NBM) when determining whether and where 100 percent overlaps exist.</w:t>
      </w:r>
      <w:r w:rsidR="00C37C36" w:rsidRPr="007F7CE7">
        <w:rPr>
          <w:rStyle w:val="FootnoteReference"/>
          <w:szCs w:val="22"/>
        </w:rPr>
        <w:footnoteReference w:id="12"/>
      </w:r>
      <w:r w:rsidR="00C37C36" w:rsidRPr="00D118B5">
        <w:t xml:space="preserve">  </w:t>
      </w:r>
    </w:p>
    <w:p w14:paraId="2E57153F" w14:textId="77777777" w:rsidR="00B67967" w:rsidRDefault="00B67967" w:rsidP="00B779D1">
      <w:pPr>
        <w:pStyle w:val="Heading2"/>
        <w:spacing w:after="120"/>
      </w:pPr>
      <w:r>
        <w:t>Results of the Preliminary 100 Percent Overlap Determination</w:t>
      </w:r>
    </w:p>
    <w:p w14:paraId="5DD6D9BE" w14:textId="278BAE79" w:rsidR="00B67967" w:rsidRDefault="00686D7C" w:rsidP="00B779D1">
      <w:pPr>
        <w:pStyle w:val="StyleParanumLeft"/>
        <w:spacing w:after="120"/>
      </w:pPr>
      <w:r>
        <w:t>Based on the methodology we adopt today, w</w:t>
      </w:r>
      <w:r w:rsidR="00B07F8A">
        <w:t xml:space="preserve">e </w:t>
      </w:r>
      <w:r>
        <w:t xml:space="preserve">preliminarily </w:t>
      </w:r>
      <w:r w:rsidR="00B07F8A">
        <w:t>find the</w:t>
      </w:r>
      <w:r w:rsidR="00B67967">
        <w:t xml:space="preserve"> </w:t>
      </w:r>
      <w:r w:rsidR="003413A5">
        <w:t>1</w:t>
      </w:r>
      <w:r w:rsidR="002D1918">
        <w:t>5</w:t>
      </w:r>
      <w:r w:rsidR="00B84BA1">
        <w:t xml:space="preserve"> </w:t>
      </w:r>
      <w:r w:rsidR="00B67967">
        <w:t xml:space="preserve">rate-of-return study areas listed </w:t>
      </w:r>
      <w:r w:rsidR="00956D5B">
        <w:t xml:space="preserve">in the table </w:t>
      </w:r>
      <w:r w:rsidR="00B67967">
        <w:t xml:space="preserve">below </w:t>
      </w:r>
      <w:r w:rsidR="00B07F8A">
        <w:t>to be</w:t>
      </w:r>
      <w:r w:rsidR="00B67967">
        <w:t xml:space="preserve"> 100 percent overlap</w:t>
      </w:r>
      <w:r w:rsidR="00956D5B">
        <w:t>ped</w:t>
      </w:r>
      <w:r w:rsidR="00B67967">
        <w:t xml:space="preserve"> by an unsubsidized competitor or combination of </w:t>
      </w:r>
      <w:r w:rsidR="00B07F8A">
        <w:t xml:space="preserve">unsubsidized </w:t>
      </w:r>
      <w:r w:rsidR="00B67967">
        <w:t>competitors</w:t>
      </w:r>
      <w:r w:rsidR="00956D5B">
        <w:t xml:space="preserve">.  </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720"/>
        <w:gridCol w:w="3746"/>
        <w:gridCol w:w="3488"/>
      </w:tblGrid>
      <w:tr w:rsidR="003413A5" w14:paraId="4F5EAE27" w14:textId="77777777" w:rsidTr="00F36716">
        <w:trPr>
          <w:trHeight w:val="425"/>
          <w:jc w:val="center"/>
        </w:trPr>
        <w:tc>
          <w:tcPr>
            <w:tcW w:w="8869" w:type="dxa"/>
            <w:gridSpan w:val="4"/>
            <w:shd w:val="clear" w:color="auto" w:fill="auto"/>
            <w:tcMar>
              <w:top w:w="15" w:type="dxa"/>
              <w:left w:w="15" w:type="dxa"/>
              <w:bottom w:w="0" w:type="dxa"/>
              <w:right w:w="15" w:type="dxa"/>
            </w:tcMar>
          </w:tcPr>
          <w:p w14:paraId="166C2F49" w14:textId="77777777" w:rsidR="003413A5" w:rsidRPr="003413A5" w:rsidRDefault="003413A5" w:rsidP="003413A5">
            <w:pPr>
              <w:jc w:val="center"/>
              <w:rPr>
                <w:b/>
                <w:color w:val="000000"/>
                <w:sz w:val="20"/>
              </w:rPr>
            </w:pPr>
            <w:r>
              <w:rPr>
                <w:b/>
                <w:color w:val="000000"/>
                <w:sz w:val="20"/>
              </w:rPr>
              <w:t xml:space="preserve">Preliminary Determination of Rate-of-Return Study Areas Subject to a 100 Percent Overlap </w:t>
            </w:r>
            <w:r>
              <w:rPr>
                <w:b/>
                <w:color w:val="000000"/>
                <w:sz w:val="20"/>
              </w:rPr>
              <w:br/>
              <w:t>by an Unsubsidized Competitor or Combination or Unsubsidized Competitors</w:t>
            </w:r>
          </w:p>
        </w:tc>
      </w:tr>
      <w:tr w:rsidR="00E67B58" w14:paraId="15E43603" w14:textId="77777777" w:rsidTr="003413A5">
        <w:trPr>
          <w:trHeight w:val="425"/>
          <w:jc w:val="center"/>
        </w:trPr>
        <w:tc>
          <w:tcPr>
            <w:tcW w:w="915" w:type="dxa"/>
            <w:shd w:val="clear" w:color="auto" w:fill="auto"/>
            <w:tcMar>
              <w:top w:w="15" w:type="dxa"/>
              <w:left w:w="15" w:type="dxa"/>
              <w:bottom w:w="0" w:type="dxa"/>
              <w:right w:w="15" w:type="dxa"/>
            </w:tcMar>
            <w:vAlign w:val="center"/>
            <w:hideMark/>
          </w:tcPr>
          <w:p w14:paraId="7E4BF591" w14:textId="77777777" w:rsidR="00E67B58" w:rsidRPr="003413A5" w:rsidRDefault="00E67B58" w:rsidP="003413A5">
            <w:pPr>
              <w:rPr>
                <w:b/>
                <w:color w:val="000000"/>
                <w:sz w:val="20"/>
              </w:rPr>
            </w:pPr>
            <w:r w:rsidRPr="003413A5">
              <w:rPr>
                <w:b/>
                <w:color w:val="000000"/>
                <w:sz w:val="20"/>
              </w:rPr>
              <w:t>SAC</w:t>
            </w:r>
          </w:p>
        </w:tc>
        <w:tc>
          <w:tcPr>
            <w:tcW w:w="720" w:type="dxa"/>
            <w:shd w:val="clear" w:color="auto" w:fill="auto"/>
            <w:tcMar>
              <w:top w:w="15" w:type="dxa"/>
              <w:left w:w="15" w:type="dxa"/>
              <w:bottom w:w="0" w:type="dxa"/>
              <w:right w:w="15" w:type="dxa"/>
            </w:tcMar>
            <w:vAlign w:val="center"/>
            <w:hideMark/>
          </w:tcPr>
          <w:p w14:paraId="4318AEFE" w14:textId="77777777" w:rsidR="00E67B58" w:rsidRPr="003413A5" w:rsidRDefault="00E67B58" w:rsidP="003413A5">
            <w:pPr>
              <w:rPr>
                <w:b/>
                <w:color w:val="000000"/>
                <w:sz w:val="20"/>
              </w:rPr>
            </w:pPr>
            <w:r w:rsidRPr="003413A5">
              <w:rPr>
                <w:b/>
                <w:color w:val="000000"/>
                <w:sz w:val="20"/>
              </w:rPr>
              <w:t xml:space="preserve">State </w:t>
            </w:r>
          </w:p>
        </w:tc>
        <w:tc>
          <w:tcPr>
            <w:tcW w:w="3746" w:type="dxa"/>
            <w:shd w:val="clear" w:color="auto" w:fill="auto"/>
            <w:noWrap/>
            <w:tcMar>
              <w:top w:w="15" w:type="dxa"/>
              <w:left w:w="15" w:type="dxa"/>
              <w:bottom w:w="0" w:type="dxa"/>
              <w:right w:w="15" w:type="dxa"/>
            </w:tcMar>
            <w:vAlign w:val="center"/>
            <w:hideMark/>
          </w:tcPr>
          <w:p w14:paraId="24FE0EBB" w14:textId="77777777" w:rsidR="00E67B58" w:rsidRPr="003413A5" w:rsidRDefault="00E67B58" w:rsidP="003413A5">
            <w:pPr>
              <w:rPr>
                <w:b/>
                <w:color w:val="000000"/>
                <w:sz w:val="20"/>
              </w:rPr>
            </w:pPr>
            <w:r w:rsidRPr="003413A5">
              <w:rPr>
                <w:b/>
                <w:color w:val="000000"/>
                <w:sz w:val="20"/>
              </w:rPr>
              <w:t>Study Area</w:t>
            </w:r>
          </w:p>
        </w:tc>
        <w:tc>
          <w:tcPr>
            <w:tcW w:w="3488" w:type="dxa"/>
            <w:shd w:val="clear" w:color="auto" w:fill="auto"/>
            <w:noWrap/>
            <w:tcMar>
              <w:top w:w="15" w:type="dxa"/>
              <w:left w:w="15" w:type="dxa"/>
              <w:bottom w:w="0" w:type="dxa"/>
              <w:right w:w="15" w:type="dxa"/>
            </w:tcMar>
            <w:vAlign w:val="center"/>
            <w:hideMark/>
          </w:tcPr>
          <w:p w14:paraId="4187E836" w14:textId="77777777" w:rsidR="00E67B58" w:rsidRPr="003413A5" w:rsidRDefault="00E67B58" w:rsidP="003413A5">
            <w:pPr>
              <w:rPr>
                <w:b/>
                <w:color w:val="000000"/>
                <w:sz w:val="20"/>
              </w:rPr>
            </w:pPr>
            <w:r w:rsidRPr="003413A5">
              <w:rPr>
                <w:b/>
                <w:color w:val="000000"/>
                <w:sz w:val="20"/>
              </w:rPr>
              <w:t>Competitive Provider(s)</w:t>
            </w:r>
          </w:p>
        </w:tc>
      </w:tr>
      <w:tr w:rsidR="00E67B58" w14:paraId="6A437683" w14:textId="77777777" w:rsidTr="003413A5">
        <w:trPr>
          <w:trHeight w:val="300"/>
          <w:jc w:val="center"/>
        </w:trPr>
        <w:tc>
          <w:tcPr>
            <w:tcW w:w="915" w:type="dxa"/>
            <w:shd w:val="clear" w:color="auto" w:fill="auto"/>
            <w:noWrap/>
            <w:tcMar>
              <w:top w:w="15" w:type="dxa"/>
              <w:left w:w="15" w:type="dxa"/>
              <w:bottom w:w="0" w:type="dxa"/>
              <w:right w:w="15" w:type="dxa"/>
            </w:tcMar>
            <w:hideMark/>
          </w:tcPr>
          <w:p w14:paraId="6EF8D51F" w14:textId="77777777" w:rsidR="00E67B58" w:rsidRPr="003413A5" w:rsidRDefault="00E67B58" w:rsidP="003413A5">
            <w:pPr>
              <w:rPr>
                <w:color w:val="000000"/>
                <w:sz w:val="20"/>
              </w:rPr>
            </w:pPr>
            <w:r w:rsidRPr="003413A5">
              <w:rPr>
                <w:color w:val="000000"/>
                <w:sz w:val="20"/>
              </w:rPr>
              <w:t>100020</w:t>
            </w:r>
          </w:p>
        </w:tc>
        <w:tc>
          <w:tcPr>
            <w:tcW w:w="720" w:type="dxa"/>
            <w:shd w:val="clear" w:color="auto" w:fill="auto"/>
            <w:noWrap/>
            <w:tcMar>
              <w:top w:w="15" w:type="dxa"/>
              <w:left w:w="15" w:type="dxa"/>
              <w:bottom w:w="0" w:type="dxa"/>
              <w:right w:w="15" w:type="dxa"/>
            </w:tcMar>
            <w:hideMark/>
          </w:tcPr>
          <w:p w14:paraId="5B1503C4" w14:textId="77777777" w:rsidR="00E67B58" w:rsidRPr="003413A5" w:rsidRDefault="00E67B58" w:rsidP="003413A5">
            <w:pPr>
              <w:rPr>
                <w:color w:val="000000"/>
                <w:sz w:val="20"/>
              </w:rPr>
            </w:pPr>
            <w:r w:rsidRPr="003413A5">
              <w:rPr>
                <w:color w:val="000000"/>
                <w:sz w:val="20"/>
              </w:rPr>
              <w:t>ME</w:t>
            </w:r>
          </w:p>
        </w:tc>
        <w:tc>
          <w:tcPr>
            <w:tcW w:w="3746" w:type="dxa"/>
            <w:shd w:val="clear" w:color="auto" w:fill="auto"/>
            <w:noWrap/>
            <w:tcMar>
              <w:top w:w="15" w:type="dxa"/>
              <w:left w:w="15" w:type="dxa"/>
              <w:bottom w:w="0" w:type="dxa"/>
              <w:right w:w="15" w:type="dxa"/>
            </w:tcMar>
            <w:hideMark/>
          </w:tcPr>
          <w:p w14:paraId="503E59A2" w14:textId="77777777" w:rsidR="00E67B58" w:rsidRPr="003413A5" w:rsidRDefault="00E67B58" w:rsidP="003413A5">
            <w:pPr>
              <w:rPr>
                <w:color w:val="000000"/>
                <w:sz w:val="20"/>
              </w:rPr>
            </w:pPr>
            <w:r w:rsidRPr="003413A5">
              <w:rPr>
                <w:color w:val="000000"/>
                <w:sz w:val="20"/>
              </w:rPr>
              <w:t>PINE TREE TEL &amp; TEL</w:t>
            </w:r>
          </w:p>
        </w:tc>
        <w:tc>
          <w:tcPr>
            <w:tcW w:w="3488" w:type="dxa"/>
            <w:shd w:val="clear" w:color="auto" w:fill="auto"/>
            <w:noWrap/>
            <w:tcMar>
              <w:top w:w="15" w:type="dxa"/>
              <w:left w:w="15" w:type="dxa"/>
              <w:bottom w:w="0" w:type="dxa"/>
              <w:right w:w="15" w:type="dxa"/>
            </w:tcMar>
            <w:hideMark/>
          </w:tcPr>
          <w:p w14:paraId="0301771E" w14:textId="77777777" w:rsidR="00E67B58" w:rsidRPr="003413A5" w:rsidRDefault="00E67B58" w:rsidP="003413A5">
            <w:pPr>
              <w:rPr>
                <w:color w:val="000000"/>
                <w:sz w:val="20"/>
              </w:rPr>
            </w:pPr>
            <w:r w:rsidRPr="003413A5">
              <w:rPr>
                <w:color w:val="000000"/>
                <w:sz w:val="20"/>
              </w:rPr>
              <w:t>Time Warner, Comcast</w:t>
            </w:r>
          </w:p>
        </w:tc>
      </w:tr>
      <w:tr w:rsidR="00E67B58" w14:paraId="6E9AC7B6" w14:textId="77777777" w:rsidTr="003413A5">
        <w:trPr>
          <w:trHeight w:val="300"/>
          <w:jc w:val="center"/>
        </w:trPr>
        <w:tc>
          <w:tcPr>
            <w:tcW w:w="915" w:type="dxa"/>
            <w:shd w:val="clear" w:color="auto" w:fill="auto"/>
            <w:noWrap/>
            <w:tcMar>
              <w:top w:w="15" w:type="dxa"/>
              <w:left w:w="15" w:type="dxa"/>
              <w:bottom w:w="0" w:type="dxa"/>
              <w:right w:w="15" w:type="dxa"/>
            </w:tcMar>
            <w:hideMark/>
          </w:tcPr>
          <w:p w14:paraId="39267DC6" w14:textId="77777777" w:rsidR="00E67B58" w:rsidRPr="003413A5" w:rsidRDefault="00E67B58" w:rsidP="003413A5">
            <w:pPr>
              <w:rPr>
                <w:color w:val="000000"/>
                <w:sz w:val="20"/>
              </w:rPr>
            </w:pPr>
            <w:r w:rsidRPr="003413A5">
              <w:rPr>
                <w:color w:val="000000"/>
                <w:sz w:val="20"/>
              </w:rPr>
              <w:lastRenderedPageBreak/>
              <w:t>160135</w:t>
            </w:r>
          </w:p>
        </w:tc>
        <w:tc>
          <w:tcPr>
            <w:tcW w:w="720" w:type="dxa"/>
            <w:shd w:val="clear" w:color="auto" w:fill="auto"/>
            <w:noWrap/>
            <w:tcMar>
              <w:top w:w="15" w:type="dxa"/>
              <w:left w:w="15" w:type="dxa"/>
              <w:bottom w:w="0" w:type="dxa"/>
              <w:right w:w="15" w:type="dxa"/>
            </w:tcMar>
            <w:hideMark/>
          </w:tcPr>
          <w:p w14:paraId="14B3DAEA" w14:textId="77777777" w:rsidR="00E67B58" w:rsidRPr="003413A5" w:rsidRDefault="00E67B58" w:rsidP="003413A5">
            <w:pPr>
              <w:rPr>
                <w:color w:val="000000"/>
                <w:sz w:val="20"/>
              </w:rPr>
            </w:pPr>
            <w:r w:rsidRPr="003413A5">
              <w:rPr>
                <w:color w:val="000000"/>
                <w:sz w:val="20"/>
              </w:rPr>
              <w:t>NJ</w:t>
            </w:r>
          </w:p>
        </w:tc>
        <w:tc>
          <w:tcPr>
            <w:tcW w:w="3746" w:type="dxa"/>
            <w:shd w:val="clear" w:color="auto" w:fill="auto"/>
            <w:noWrap/>
            <w:tcMar>
              <w:top w:w="15" w:type="dxa"/>
              <w:left w:w="15" w:type="dxa"/>
              <w:bottom w:w="0" w:type="dxa"/>
              <w:right w:w="15" w:type="dxa"/>
            </w:tcMar>
            <w:hideMark/>
          </w:tcPr>
          <w:p w14:paraId="52E20F82" w14:textId="77777777" w:rsidR="00E67B58" w:rsidRPr="003413A5" w:rsidRDefault="00E67B58" w:rsidP="003413A5">
            <w:pPr>
              <w:rPr>
                <w:color w:val="000000"/>
                <w:sz w:val="20"/>
              </w:rPr>
            </w:pPr>
            <w:r w:rsidRPr="003413A5">
              <w:rPr>
                <w:color w:val="000000"/>
                <w:sz w:val="20"/>
              </w:rPr>
              <w:t>WARWICK VALLEY-NJ</w:t>
            </w:r>
          </w:p>
        </w:tc>
        <w:tc>
          <w:tcPr>
            <w:tcW w:w="3488" w:type="dxa"/>
            <w:shd w:val="clear" w:color="auto" w:fill="auto"/>
            <w:noWrap/>
            <w:tcMar>
              <w:top w:w="15" w:type="dxa"/>
              <w:left w:w="15" w:type="dxa"/>
              <w:bottom w:w="0" w:type="dxa"/>
              <w:right w:w="15" w:type="dxa"/>
            </w:tcMar>
            <w:hideMark/>
          </w:tcPr>
          <w:p w14:paraId="4579D986" w14:textId="77777777" w:rsidR="00E67B58" w:rsidRPr="003413A5" w:rsidRDefault="00E67B58" w:rsidP="003413A5">
            <w:pPr>
              <w:rPr>
                <w:color w:val="000000"/>
                <w:sz w:val="20"/>
              </w:rPr>
            </w:pPr>
            <w:r w:rsidRPr="003413A5">
              <w:rPr>
                <w:color w:val="000000"/>
                <w:sz w:val="20"/>
              </w:rPr>
              <w:t>Service Electric Cable, CSC Holdings</w:t>
            </w:r>
          </w:p>
        </w:tc>
      </w:tr>
      <w:tr w:rsidR="00E67B58" w14:paraId="69FD45E5" w14:textId="77777777" w:rsidTr="003413A5">
        <w:trPr>
          <w:trHeight w:val="300"/>
          <w:jc w:val="center"/>
        </w:trPr>
        <w:tc>
          <w:tcPr>
            <w:tcW w:w="915" w:type="dxa"/>
            <w:shd w:val="clear" w:color="auto" w:fill="auto"/>
            <w:noWrap/>
            <w:tcMar>
              <w:top w:w="15" w:type="dxa"/>
              <w:left w:w="15" w:type="dxa"/>
              <w:bottom w:w="0" w:type="dxa"/>
              <w:right w:w="15" w:type="dxa"/>
            </w:tcMar>
            <w:hideMark/>
          </w:tcPr>
          <w:p w14:paraId="42EC8FBF" w14:textId="77777777" w:rsidR="00E67B58" w:rsidRPr="003413A5" w:rsidRDefault="00E67B58" w:rsidP="003413A5">
            <w:pPr>
              <w:rPr>
                <w:color w:val="000000"/>
                <w:sz w:val="20"/>
              </w:rPr>
            </w:pPr>
            <w:r w:rsidRPr="003413A5">
              <w:rPr>
                <w:color w:val="000000"/>
                <w:sz w:val="20"/>
              </w:rPr>
              <w:t>170175</w:t>
            </w:r>
          </w:p>
        </w:tc>
        <w:tc>
          <w:tcPr>
            <w:tcW w:w="720" w:type="dxa"/>
            <w:shd w:val="clear" w:color="auto" w:fill="auto"/>
            <w:noWrap/>
            <w:tcMar>
              <w:top w:w="15" w:type="dxa"/>
              <w:left w:w="15" w:type="dxa"/>
              <w:bottom w:w="0" w:type="dxa"/>
              <w:right w:w="15" w:type="dxa"/>
            </w:tcMar>
            <w:hideMark/>
          </w:tcPr>
          <w:p w14:paraId="08536B2E" w14:textId="77777777" w:rsidR="00E67B58" w:rsidRPr="003413A5" w:rsidRDefault="00E67B58" w:rsidP="003413A5">
            <w:pPr>
              <w:rPr>
                <w:color w:val="000000"/>
                <w:sz w:val="20"/>
              </w:rPr>
            </w:pPr>
            <w:r w:rsidRPr="003413A5">
              <w:rPr>
                <w:color w:val="000000"/>
                <w:sz w:val="20"/>
              </w:rPr>
              <w:t>PA</w:t>
            </w:r>
          </w:p>
        </w:tc>
        <w:tc>
          <w:tcPr>
            <w:tcW w:w="3746" w:type="dxa"/>
            <w:shd w:val="clear" w:color="auto" w:fill="auto"/>
            <w:noWrap/>
            <w:tcMar>
              <w:top w:w="15" w:type="dxa"/>
              <w:left w:w="15" w:type="dxa"/>
              <w:bottom w:w="0" w:type="dxa"/>
              <w:right w:w="15" w:type="dxa"/>
            </w:tcMar>
            <w:hideMark/>
          </w:tcPr>
          <w:p w14:paraId="0343808F" w14:textId="77777777" w:rsidR="00E67B58" w:rsidRPr="003413A5" w:rsidRDefault="00E67B58" w:rsidP="003413A5">
            <w:pPr>
              <w:rPr>
                <w:color w:val="000000"/>
                <w:sz w:val="20"/>
              </w:rPr>
            </w:pPr>
            <w:r w:rsidRPr="003413A5">
              <w:rPr>
                <w:color w:val="000000"/>
                <w:sz w:val="20"/>
              </w:rPr>
              <w:t>IRONTON TEL CO</w:t>
            </w:r>
          </w:p>
        </w:tc>
        <w:tc>
          <w:tcPr>
            <w:tcW w:w="3488" w:type="dxa"/>
            <w:shd w:val="clear" w:color="auto" w:fill="auto"/>
            <w:noWrap/>
            <w:tcMar>
              <w:top w:w="15" w:type="dxa"/>
              <w:left w:w="15" w:type="dxa"/>
              <w:bottom w:w="0" w:type="dxa"/>
              <w:right w:w="15" w:type="dxa"/>
            </w:tcMar>
            <w:hideMark/>
          </w:tcPr>
          <w:p w14:paraId="4FA78DF1" w14:textId="77777777" w:rsidR="00E67B58" w:rsidRPr="003413A5" w:rsidRDefault="00E67B58" w:rsidP="003413A5">
            <w:pPr>
              <w:rPr>
                <w:color w:val="000000"/>
                <w:sz w:val="20"/>
              </w:rPr>
            </w:pPr>
            <w:r w:rsidRPr="003413A5">
              <w:rPr>
                <w:color w:val="000000"/>
                <w:sz w:val="20"/>
              </w:rPr>
              <w:t>Service Electric Cable, RCN</w:t>
            </w:r>
          </w:p>
        </w:tc>
      </w:tr>
      <w:tr w:rsidR="00E67B58" w14:paraId="51CA7A03" w14:textId="77777777" w:rsidTr="003413A5">
        <w:trPr>
          <w:trHeight w:val="300"/>
          <w:jc w:val="center"/>
        </w:trPr>
        <w:tc>
          <w:tcPr>
            <w:tcW w:w="915" w:type="dxa"/>
            <w:shd w:val="clear" w:color="auto" w:fill="auto"/>
            <w:noWrap/>
            <w:tcMar>
              <w:top w:w="15" w:type="dxa"/>
              <w:left w:w="15" w:type="dxa"/>
              <w:bottom w:w="0" w:type="dxa"/>
              <w:right w:w="15" w:type="dxa"/>
            </w:tcMar>
            <w:hideMark/>
          </w:tcPr>
          <w:p w14:paraId="346F4FE3" w14:textId="77777777" w:rsidR="00E67B58" w:rsidRPr="003413A5" w:rsidRDefault="00E67B58" w:rsidP="003413A5">
            <w:pPr>
              <w:rPr>
                <w:color w:val="000000"/>
                <w:sz w:val="20"/>
              </w:rPr>
            </w:pPr>
            <w:r w:rsidRPr="003413A5">
              <w:rPr>
                <w:color w:val="000000"/>
                <w:sz w:val="20"/>
              </w:rPr>
              <w:t>210330</w:t>
            </w:r>
          </w:p>
        </w:tc>
        <w:tc>
          <w:tcPr>
            <w:tcW w:w="720" w:type="dxa"/>
            <w:shd w:val="clear" w:color="auto" w:fill="auto"/>
            <w:noWrap/>
            <w:tcMar>
              <w:top w:w="15" w:type="dxa"/>
              <w:left w:w="15" w:type="dxa"/>
              <w:bottom w:w="0" w:type="dxa"/>
              <w:right w:w="15" w:type="dxa"/>
            </w:tcMar>
            <w:hideMark/>
          </w:tcPr>
          <w:p w14:paraId="2D588E4F" w14:textId="77777777" w:rsidR="00E67B58" w:rsidRPr="003413A5" w:rsidRDefault="00E67B58" w:rsidP="003413A5">
            <w:pPr>
              <w:rPr>
                <w:color w:val="000000"/>
                <w:sz w:val="20"/>
              </w:rPr>
            </w:pPr>
            <w:r w:rsidRPr="003413A5">
              <w:rPr>
                <w:color w:val="000000"/>
                <w:sz w:val="20"/>
              </w:rPr>
              <w:t>FL</w:t>
            </w:r>
          </w:p>
        </w:tc>
        <w:tc>
          <w:tcPr>
            <w:tcW w:w="3746" w:type="dxa"/>
            <w:shd w:val="clear" w:color="auto" w:fill="auto"/>
            <w:noWrap/>
            <w:tcMar>
              <w:top w:w="15" w:type="dxa"/>
              <w:left w:w="15" w:type="dxa"/>
              <w:bottom w:w="0" w:type="dxa"/>
              <w:right w:w="15" w:type="dxa"/>
            </w:tcMar>
            <w:hideMark/>
          </w:tcPr>
          <w:p w14:paraId="3958342E" w14:textId="77777777" w:rsidR="00E67B58" w:rsidRPr="003413A5" w:rsidRDefault="00E67B58" w:rsidP="003413A5">
            <w:pPr>
              <w:rPr>
                <w:color w:val="000000"/>
                <w:sz w:val="20"/>
              </w:rPr>
            </w:pPr>
            <w:r w:rsidRPr="003413A5">
              <w:rPr>
                <w:color w:val="000000"/>
                <w:sz w:val="20"/>
              </w:rPr>
              <w:t>SMART CITY TEL LLC</w:t>
            </w:r>
          </w:p>
        </w:tc>
        <w:tc>
          <w:tcPr>
            <w:tcW w:w="3488" w:type="dxa"/>
            <w:shd w:val="clear" w:color="auto" w:fill="auto"/>
            <w:noWrap/>
            <w:tcMar>
              <w:top w:w="15" w:type="dxa"/>
              <w:left w:w="15" w:type="dxa"/>
              <w:bottom w:w="0" w:type="dxa"/>
              <w:right w:w="15" w:type="dxa"/>
            </w:tcMar>
            <w:hideMark/>
          </w:tcPr>
          <w:p w14:paraId="07D6AD7E" w14:textId="77777777" w:rsidR="00E67B58" w:rsidRPr="003413A5" w:rsidRDefault="00E67B58" w:rsidP="003413A5">
            <w:pPr>
              <w:rPr>
                <w:color w:val="000000"/>
                <w:sz w:val="20"/>
              </w:rPr>
            </w:pPr>
            <w:r w:rsidRPr="003413A5">
              <w:rPr>
                <w:color w:val="000000"/>
                <w:sz w:val="20"/>
              </w:rPr>
              <w:t>Orlando Telephone, Brevard Wireless, Bright House, Comcast</w:t>
            </w:r>
          </w:p>
        </w:tc>
      </w:tr>
      <w:tr w:rsidR="00E67B58" w14:paraId="54F20E91" w14:textId="77777777" w:rsidTr="003413A5">
        <w:trPr>
          <w:trHeight w:val="300"/>
          <w:jc w:val="center"/>
        </w:trPr>
        <w:tc>
          <w:tcPr>
            <w:tcW w:w="915" w:type="dxa"/>
            <w:shd w:val="clear" w:color="auto" w:fill="auto"/>
            <w:noWrap/>
            <w:tcMar>
              <w:top w:w="15" w:type="dxa"/>
              <w:left w:w="15" w:type="dxa"/>
              <w:bottom w:w="0" w:type="dxa"/>
              <w:right w:w="15" w:type="dxa"/>
            </w:tcMar>
            <w:hideMark/>
          </w:tcPr>
          <w:p w14:paraId="5FB7AA9E" w14:textId="77777777" w:rsidR="00E67B58" w:rsidRPr="003413A5" w:rsidRDefault="00E67B58" w:rsidP="003413A5">
            <w:pPr>
              <w:rPr>
                <w:color w:val="000000"/>
                <w:sz w:val="20"/>
              </w:rPr>
            </w:pPr>
            <w:r w:rsidRPr="003413A5">
              <w:rPr>
                <w:color w:val="000000"/>
                <w:sz w:val="20"/>
              </w:rPr>
              <w:t>230494</w:t>
            </w:r>
          </w:p>
        </w:tc>
        <w:tc>
          <w:tcPr>
            <w:tcW w:w="720" w:type="dxa"/>
            <w:shd w:val="clear" w:color="auto" w:fill="auto"/>
            <w:noWrap/>
            <w:tcMar>
              <w:top w:w="15" w:type="dxa"/>
              <w:left w:w="15" w:type="dxa"/>
              <w:bottom w:w="0" w:type="dxa"/>
              <w:right w:w="15" w:type="dxa"/>
            </w:tcMar>
            <w:hideMark/>
          </w:tcPr>
          <w:p w14:paraId="24194DF6" w14:textId="77777777" w:rsidR="00E67B58" w:rsidRPr="003413A5" w:rsidRDefault="00E67B58" w:rsidP="003413A5">
            <w:pPr>
              <w:rPr>
                <w:color w:val="000000"/>
                <w:sz w:val="20"/>
              </w:rPr>
            </w:pPr>
            <w:r w:rsidRPr="003413A5">
              <w:rPr>
                <w:color w:val="000000"/>
                <w:sz w:val="20"/>
              </w:rPr>
              <w:t>NC</w:t>
            </w:r>
          </w:p>
        </w:tc>
        <w:tc>
          <w:tcPr>
            <w:tcW w:w="3746" w:type="dxa"/>
            <w:shd w:val="clear" w:color="auto" w:fill="auto"/>
            <w:noWrap/>
            <w:tcMar>
              <w:top w:w="15" w:type="dxa"/>
              <w:left w:w="15" w:type="dxa"/>
              <w:bottom w:w="0" w:type="dxa"/>
              <w:right w:w="15" w:type="dxa"/>
            </w:tcMar>
            <w:hideMark/>
          </w:tcPr>
          <w:p w14:paraId="79D092AE" w14:textId="77777777" w:rsidR="00E67B58" w:rsidRPr="003413A5" w:rsidRDefault="00E67B58" w:rsidP="003413A5">
            <w:pPr>
              <w:rPr>
                <w:color w:val="000000"/>
                <w:sz w:val="20"/>
              </w:rPr>
            </w:pPr>
            <w:r w:rsidRPr="003413A5">
              <w:rPr>
                <w:color w:val="000000"/>
                <w:sz w:val="20"/>
              </w:rPr>
              <w:t>PINEVILLE TEL CO</w:t>
            </w:r>
          </w:p>
        </w:tc>
        <w:tc>
          <w:tcPr>
            <w:tcW w:w="3488" w:type="dxa"/>
            <w:shd w:val="clear" w:color="auto" w:fill="auto"/>
            <w:noWrap/>
            <w:tcMar>
              <w:top w:w="15" w:type="dxa"/>
              <w:left w:w="15" w:type="dxa"/>
              <w:bottom w:w="0" w:type="dxa"/>
              <w:right w:w="15" w:type="dxa"/>
            </w:tcMar>
            <w:hideMark/>
          </w:tcPr>
          <w:p w14:paraId="519825E1" w14:textId="77777777" w:rsidR="00E67B58" w:rsidRPr="003413A5" w:rsidRDefault="00E67B58" w:rsidP="003413A5">
            <w:pPr>
              <w:rPr>
                <w:color w:val="000000"/>
                <w:sz w:val="20"/>
              </w:rPr>
            </w:pPr>
            <w:r w:rsidRPr="003413A5">
              <w:rPr>
                <w:color w:val="000000"/>
                <w:sz w:val="20"/>
              </w:rPr>
              <w:t>Time Warner</w:t>
            </w:r>
          </w:p>
        </w:tc>
      </w:tr>
      <w:tr w:rsidR="00E67B58" w14:paraId="4FCED90D" w14:textId="77777777" w:rsidTr="003413A5">
        <w:trPr>
          <w:trHeight w:val="300"/>
          <w:jc w:val="center"/>
        </w:trPr>
        <w:tc>
          <w:tcPr>
            <w:tcW w:w="915" w:type="dxa"/>
            <w:shd w:val="clear" w:color="auto" w:fill="auto"/>
            <w:noWrap/>
            <w:tcMar>
              <w:top w:w="15" w:type="dxa"/>
              <w:left w:w="15" w:type="dxa"/>
              <w:bottom w:w="0" w:type="dxa"/>
              <w:right w:w="15" w:type="dxa"/>
            </w:tcMar>
            <w:hideMark/>
          </w:tcPr>
          <w:p w14:paraId="6525A4BE" w14:textId="77777777" w:rsidR="00E67B58" w:rsidRPr="003413A5" w:rsidRDefault="00E67B58" w:rsidP="003413A5">
            <w:pPr>
              <w:rPr>
                <w:color w:val="000000"/>
                <w:sz w:val="20"/>
              </w:rPr>
            </w:pPr>
            <w:r w:rsidRPr="003413A5">
              <w:rPr>
                <w:color w:val="000000"/>
                <w:sz w:val="20"/>
              </w:rPr>
              <w:t>310737</w:t>
            </w:r>
          </w:p>
        </w:tc>
        <w:tc>
          <w:tcPr>
            <w:tcW w:w="720" w:type="dxa"/>
            <w:shd w:val="clear" w:color="auto" w:fill="auto"/>
            <w:noWrap/>
            <w:tcMar>
              <w:top w:w="15" w:type="dxa"/>
              <w:left w:w="15" w:type="dxa"/>
              <w:bottom w:w="0" w:type="dxa"/>
              <w:right w:w="15" w:type="dxa"/>
            </w:tcMar>
            <w:hideMark/>
          </w:tcPr>
          <w:p w14:paraId="702E0595" w14:textId="77777777" w:rsidR="00E67B58" w:rsidRPr="003413A5" w:rsidRDefault="00E67B58" w:rsidP="003413A5">
            <w:pPr>
              <w:rPr>
                <w:color w:val="000000"/>
                <w:sz w:val="20"/>
              </w:rPr>
            </w:pPr>
            <w:r w:rsidRPr="003413A5">
              <w:rPr>
                <w:color w:val="000000"/>
                <w:sz w:val="20"/>
              </w:rPr>
              <w:t>MI</w:t>
            </w:r>
          </w:p>
        </w:tc>
        <w:tc>
          <w:tcPr>
            <w:tcW w:w="3746" w:type="dxa"/>
            <w:shd w:val="clear" w:color="auto" w:fill="auto"/>
            <w:noWrap/>
            <w:tcMar>
              <w:top w:w="15" w:type="dxa"/>
              <w:left w:w="15" w:type="dxa"/>
              <w:bottom w:w="0" w:type="dxa"/>
              <w:right w:w="15" w:type="dxa"/>
            </w:tcMar>
            <w:hideMark/>
          </w:tcPr>
          <w:p w14:paraId="309908EF" w14:textId="77777777" w:rsidR="00E67B58" w:rsidRPr="003413A5" w:rsidRDefault="00E67B58" w:rsidP="003413A5">
            <w:pPr>
              <w:rPr>
                <w:color w:val="000000"/>
                <w:sz w:val="20"/>
              </w:rPr>
            </w:pPr>
            <w:r w:rsidRPr="003413A5">
              <w:rPr>
                <w:color w:val="000000"/>
                <w:sz w:val="20"/>
              </w:rPr>
              <w:t>WINN TEL CO</w:t>
            </w:r>
          </w:p>
        </w:tc>
        <w:tc>
          <w:tcPr>
            <w:tcW w:w="3488" w:type="dxa"/>
            <w:shd w:val="clear" w:color="auto" w:fill="auto"/>
            <w:noWrap/>
            <w:tcMar>
              <w:top w:w="15" w:type="dxa"/>
              <w:left w:w="15" w:type="dxa"/>
              <w:bottom w:w="0" w:type="dxa"/>
              <w:right w:w="15" w:type="dxa"/>
            </w:tcMar>
            <w:hideMark/>
          </w:tcPr>
          <w:p w14:paraId="79F89090" w14:textId="77777777" w:rsidR="00E67B58" w:rsidRPr="003413A5" w:rsidRDefault="00E67B58" w:rsidP="003413A5">
            <w:pPr>
              <w:rPr>
                <w:color w:val="000000"/>
                <w:sz w:val="20"/>
              </w:rPr>
            </w:pPr>
            <w:r w:rsidRPr="003413A5">
              <w:rPr>
                <w:color w:val="000000"/>
                <w:sz w:val="20"/>
              </w:rPr>
              <w:t>CMSInter.Net</w:t>
            </w:r>
          </w:p>
        </w:tc>
      </w:tr>
      <w:tr w:rsidR="00E67B58" w14:paraId="69DFC181" w14:textId="77777777" w:rsidTr="003413A5">
        <w:trPr>
          <w:trHeight w:val="300"/>
          <w:jc w:val="center"/>
        </w:trPr>
        <w:tc>
          <w:tcPr>
            <w:tcW w:w="915" w:type="dxa"/>
            <w:shd w:val="clear" w:color="auto" w:fill="auto"/>
            <w:noWrap/>
            <w:tcMar>
              <w:top w:w="15" w:type="dxa"/>
              <w:left w:w="15" w:type="dxa"/>
              <w:bottom w:w="0" w:type="dxa"/>
              <w:right w:w="15" w:type="dxa"/>
            </w:tcMar>
            <w:hideMark/>
          </w:tcPr>
          <w:p w14:paraId="4D69A169" w14:textId="77777777" w:rsidR="00E67B58" w:rsidRPr="003413A5" w:rsidRDefault="00E67B58" w:rsidP="003413A5">
            <w:pPr>
              <w:rPr>
                <w:color w:val="000000"/>
                <w:sz w:val="20"/>
              </w:rPr>
            </w:pPr>
            <w:r w:rsidRPr="003413A5">
              <w:rPr>
                <w:color w:val="000000"/>
                <w:sz w:val="20"/>
              </w:rPr>
              <w:t>310777</w:t>
            </w:r>
          </w:p>
        </w:tc>
        <w:tc>
          <w:tcPr>
            <w:tcW w:w="720" w:type="dxa"/>
            <w:shd w:val="clear" w:color="auto" w:fill="auto"/>
            <w:noWrap/>
            <w:tcMar>
              <w:top w:w="15" w:type="dxa"/>
              <w:left w:w="15" w:type="dxa"/>
              <w:bottom w:w="0" w:type="dxa"/>
              <w:right w:w="15" w:type="dxa"/>
            </w:tcMar>
            <w:hideMark/>
          </w:tcPr>
          <w:p w14:paraId="6862233E" w14:textId="77777777" w:rsidR="00E67B58" w:rsidRPr="003413A5" w:rsidRDefault="00E67B58" w:rsidP="003413A5">
            <w:pPr>
              <w:rPr>
                <w:color w:val="000000"/>
                <w:sz w:val="20"/>
              </w:rPr>
            </w:pPr>
            <w:r w:rsidRPr="003413A5">
              <w:rPr>
                <w:color w:val="000000"/>
                <w:sz w:val="20"/>
              </w:rPr>
              <w:t>MI</w:t>
            </w:r>
          </w:p>
        </w:tc>
        <w:tc>
          <w:tcPr>
            <w:tcW w:w="3746" w:type="dxa"/>
            <w:shd w:val="clear" w:color="auto" w:fill="auto"/>
            <w:noWrap/>
            <w:tcMar>
              <w:top w:w="15" w:type="dxa"/>
              <w:left w:w="15" w:type="dxa"/>
              <w:bottom w:w="0" w:type="dxa"/>
              <w:right w:w="15" w:type="dxa"/>
            </w:tcMar>
            <w:hideMark/>
          </w:tcPr>
          <w:p w14:paraId="17EEE328" w14:textId="77777777" w:rsidR="00E67B58" w:rsidRDefault="00E67B58" w:rsidP="003413A5">
            <w:pPr>
              <w:rPr>
                <w:color w:val="000000"/>
                <w:sz w:val="20"/>
              </w:rPr>
            </w:pPr>
            <w:r w:rsidRPr="003413A5">
              <w:rPr>
                <w:color w:val="000000"/>
                <w:sz w:val="20"/>
              </w:rPr>
              <w:t xml:space="preserve">ACE TELEPHONE CO. OF MI, INC. </w:t>
            </w:r>
          </w:p>
          <w:p w14:paraId="428D4302" w14:textId="77777777" w:rsidR="00E67B58" w:rsidRPr="003413A5" w:rsidRDefault="00E67B58" w:rsidP="003413A5">
            <w:pPr>
              <w:rPr>
                <w:color w:val="000000"/>
                <w:sz w:val="20"/>
              </w:rPr>
            </w:pPr>
            <w:r w:rsidRPr="003413A5">
              <w:rPr>
                <w:color w:val="000000"/>
                <w:sz w:val="20"/>
              </w:rPr>
              <w:t>(OLD MISSION)</w:t>
            </w:r>
          </w:p>
        </w:tc>
        <w:tc>
          <w:tcPr>
            <w:tcW w:w="3488" w:type="dxa"/>
            <w:shd w:val="clear" w:color="auto" w:fill="auto"/>
            <w:noWrap/>
            <w:tcMar>
              <w:top w:w="15" w:type="dxa"/>
              <w:left w:w="15" w:type="dxa"/>
              <w:bottom w:w="0" w:type="dxa"/>
              <w:right w:w="15" w:type="dxa"/>
            </w:tcMar>
            <w:hideMark/>
          </w:tcPr>
          <w:p w14:paraId="40507686" w14:textId="77777777" w:rsidR="00E67B58" w:rsidRPr="003413A5" w:rsidRDefault="00E67B58" w:rsidP="003413A5">
            <w:pPr>
              <w:rPr>
                <w:color w:val="000000"/>
                <w:sz w:val="20"/>
              </w:rPr>
            </w:pPr>
            <w:r w:rsidRPr="003413A5">
              <w:rPr>
                <w:color w:val="000000"/>
                <w:sz w:val="20"/>
              </w:rPr>
              <w:t>COLI, Cherry Capital Connection</w:t>
            </w:r>
          </w:p>
        </w:tc>
      </w:tr>
      <w:tr w:rsidR="00E67B58" w14:paraId="706B8CE2" w14:textId="77777777" w:rsidTr="003413A5">
        <w:trPr>
          <w:trHeight w:val="300"/>
          <w:jc w:val="center"/>
        </w:trPr>
        <w:tc>
          <w:tcPr>
            <w:tcW w:w="915" w:type="dxa"/>
            <w:shd w:val="clear" w:color="auto" w:fill="auto"/>
            <w:noWrap/>
            <w:tcMar>
              <w:top w:w="15" w:type="dxa"/>
              <w:left w:w="15" w:type="dxa"/>
              <w:bottom w:w="0" w:type="dxa"/>
              <w:right w:w="15" w:type="dxa"/>
            </w:tcMar>
            <w:hideMark/>
          </w:tcPr>
          <w:p w14:paraId="480F4F00" w14:textId="77777777" w:rsidR="00E67B58" w:rsidRPr="003413A5" w:rsidRDefault="00E67B58" w:rsidP="003413A5">
            <w:pPr>
              <w:rPr>
                <w:color w:val="000000"/>
                <w:sz w:val="20"/>
              </w:rPr>
            </w:pPr>
            <w:r w:rsidRPr="003413A5">
              <w:rPr>
                <w:color w:val="000000"/>
                <w:sz w:val="20"/>
              </w:rPr>
              <w:t>320790</w:t>
            </w:r>
          </w:p>
        </w:tc>
        <w:tc>
          <w:tcPr>
            <w:tcW w:w="720" w:type="dxa"/>
            <w:shd w:val="clear" w:color="auto" w:fill="auto"/>
            <w:noWrap/>
            <w:tcMar>
              <w:top w:w="15" w:type="dxa"/>
              <w:left w:w="15" w:type="dxa"/>
              <w:bottom w:w="0" w:type="dxa"/>
              <w:right w:w="15" w:type="dxa"/>
            </w:tcMar>
            <w:hideMark/>
          </w:tcPr>
          <w:p w14:paraId="0E568460" w14:textId="77777777" w:rsidR="00E67B58" w:rsidRPr="003413A5" w:rsidRDefault="00E67B58" w:rsidP="003413A5">
            <w:pPr>
              <w:rPr>
                <w:color w:val="000000"/>
                <w:sz w:val="20"/>
              </w:rPr>
            </w:pPr>
            <w:r w:rsidRPr="003413A5">
              <w:rPr>
                <w:color w:val="000000"/>
                <w:sz w:val="20"/>
              </w:rPr>
              <w:t>IN</w:t>
            </w:r>
          </w:p>
        </w:tc>
        <w:tc>
          <w:tcPr>
            <w:tcW w:w="3746" w:type="dxa"/>
            <w:shd w:val="clear" w:color="auto" w:fill="auto"/>
            <w:noWrap/>
            <w:tcMar>
              <w:top w:w="15" w:type="dxa"/>
              <w:left w:w="15" w:type="dxa"/>
              <w:bottom w:w="0" w:type="dxa"/>
              <w:right w:w="15" w:type="dxa"/>
            </w:tcMar>
            <w:hideMark/>
          </w:tcPr>
          <w:p w14:paraId="28211465" w14:textId="77777777" w:rsidR="00E67B58" w:rsidRPr="003413A5" w:rsidRDefault="00E67B58" w:rsidP="003413A5">
            <w:pPr>
              <w:rPr>
                <w:color w:val="000000"/>
                <w:sz w:val="20"/>
              </w:rPr>
            </w:pPr>
            <w:r w:rsidRPr="003413A5">
              <w:rPr>
                <w:color w:val="000000"/>
                <w:sz w:val="20"/>
              </w:rPr>
              <w:t>MONON TEL CO</w:t>
            </w:r>
          </w:p>
        </w:tc>
        <w:tc>
          <w:tcPr>
            <w:tcW w:w="3488" w:type="dxa"/>
            <w:shd w:val="clear" w:color="auto" w:fill="auto"/>
            <w:noWrap/>
            <w:tcMar>
              <w:top w:w="15" w:type="dxa"/>
              <w:left w:w="15" w:type="dxa"/>
              <w:bottom w:w="0" w:type="dxa"/>
              <w:right w:w="15" w:type="dxa"/>
            </w:tcMar>
            <w:hideMark/>
          </w:tcPr>
          <w:p w14:paraId="18181F0A" w14:textId="77777777" w:rsidR="00E67B58" w:rsidRPr="003413A5" w:rsidRDefault="00E67B58" w:rsidP="003413A5">
            <w:pPr>
              <w:rPr>
                <w:color w:val="000000"/>
                <w:sz w:val="20"/>
              </w:rPr>
            </w:pPr>
            <w:r w:rsidRPr="003413A5">
              <w:rPr>
                <w:color w:val="000000"/>
                <w:sz w:val="20"/>
              </w:rPr>
              <w:t>Comcast, TRANSWORLD</w:t>
            </w:r>
          </w:p>
        </w:tc>
      </w:tr>
      <w:tr w:rsidR="00E67B58" w14:paraId="380C507C" w14:textId="77777777" w:rsidTr="003413A5">
        <w:trPr>
          <w:trHeight w:val="300"/>
          <w:jc w:val="center"/>
        </w:trPr>
        <w:tc>
          <w:tcPr>
            <w:tcW w:w="915" w:type="dxa"/>
            <w:shd w:val="clear" w:color="auto" w:fill="auto"/>
            <w:noWrap/>
            <w:tcMar>
              <w:top w:w="15" w:type="dxa"/>
              <w:left w:w="15" w:type="dxa"/>
              <w:bottom w:w="0" w:type="dxa"/>
              <w:right w:w="15" w:type="dxa"/>
            </w:tcMar>
            <w:hideMark/>
          </w:tcPr>
          <w:p w14:paraId="6908BA87" w14:textId="77777777" w:rsidR="00E67B58" w:rsidRPr="003413A5" w:rsidRDefault="00E67B58" w:rsidP="003413A5">
            <w:pPr>
              <w:rPr>
                <w:color w:val="000000"/>
                <w:sz w:val="20"/>
              </w:rPr>
            </w:pPr>
            <w:r w:rsidRPr="003413A5">
              <w:rPr>
                <w:color w:val="000000"/>
                <w:sz w:val="20"/>
              </w:rPr>
              <w:t>330896</w:t>
            </w:r>
          </w:p>
        </w:tc>
        <w:tc>
          <w:tcPr>
            <w:tcW w:w="720" w:type="dxa"/>
            <w:shd w:val="clear" w:color="auto" w:fill="auto"/>
            <w:noWrap/>
            <w:tcMar>
              <w:top w:w="15" w:type="dxa"/>
              <w:left w:w="15" w:type="dxa"/>
              <w:bottom w:w="0" w:type="dxa"/>
              <w:right w:w="15" w:type="dxa"/>
            </w:tcMar>
            <w:hideMark/>
          </w:tcPr>
          <w:p w14:paraId="0EE8B3A0" w14:textId="77777777" w:rsidR="00E67B58" w:rsidRPr="003413A5" w:rsidRDefault="00E67B58" w:rsidP="003413A5">
            <w:pPr>
              <w:rPr>
                <w:color w:val="000000"/>
                <w:sz w:val="20"/>
              </w:rPr>
            </w:pPr>
            <w:r w:rsidRPr="003413A5">
              <w:rPr>
                <w:color w:val="000000"/>
                <w:sz w:val="20"/>
              </w:rPr>
              <w:t>WI</w:t>
            </w:r>
          </w:p>
        </w:tc>
        <w:tc>
          <w:tcPr>
            <w:tcW w:w="3746" w:type="dxa"/>
            <w:shd w:val="clear" w:color="auto" w:fill="auto"/>
            <w:noWrap/>
            <w:tcMar>
              <w:top w:w="15" w:type="dxa"/>
              <w:left w:w="15" w:type="dxa"/>
              <w:bottom w:w="0" w:type="dxa"/>
              <w:right w:w="15" w:type="dxa"/>
            </w:tcMar>
            <w:hideMark/>
          </w:tcPr>
          <w:p w14:paraId="103FA7CB" w14:textId="77777777" w:rsidR="00E67B58" w:rsidRPr="003413A5" w:rsidRDefault="00E67B58" w:rsidP="003413A5">
            <w:pPr>
              <w:rPr>
                <w:color w:val="000000"/>
                <w:sz w:val="20"/>
              </w:rPr>
            </w:pPr>
            <w:r w:rsidRPr="003413A5">
              <w:rPr>
                <w:color w:val="000000"/>
                <w:sz w:val="20"/>
              </w:rPr>
              <w:t>LAKEFIELD TEL CO</w:t>
            </w:r>
          </w:p>
        </w:tc>
        <w:tc>
          <w:tcPr>
            <w:tcW w:w="3488" w:type="dxa"/>
            <w:shd w:val="clear" w:color="auto" w:fill="auto"/>
            <w:noWrap/>
            <w:tcMar>
              <w:top w:w="15" w:type="dxa"/>
              <w:left w:w="15" w:type="dxa"/>
              <w:bottom w:w="0" w:type="dxa"/>
              <w:right w:w="15" w:type="dxa"/>
            </w:tcMar>
            <w:hideMark/>
          </w:tcPr>
          <w:p w14:paraId="7514BFBB" w14:textId="77777777" w:rsidR="00E67B58" w:rsidRPr="003413A5" w:rsidRDefault="00E67B58" w:rsidP="003413A5">
            <w:pPr>
              <w:rPr>
                <w:color w:val="000000"/>
                <w:sz w:val="20"/>
              </w:rPr>
            </w:pPr>
            <w:r w:rsidRPr="003413A5">
              <w:rPr>
                <w:color w:val="000000"/>
                <w:sz w:val="20"/>
              </w:rPr>
              <w:t>Mercury Network, Time Warner, Comcast</w:t>
            </w:r>
          </w:p>
        </w:tc>
      </w:tr>
      <w:tr w:rsidR="00E67B58" w14:paraId="2B6D0231" w14:textId="77777777" w:rsidTr="003413A5">
        <w:trPr>
          <w:trHeight w:val="300"/>
          <w:jc w:val="center"/>
        </w:trPr>
        <w:tc>
          <w:tcPr>
            <w:tcW w:w="915" w:type="dxa"/>
            <w:shd w:val="clear" w:color="auto" w:fill="auto"/>
            <w:noWrap/>
            <w:tcMar>
              <w:top w:w="15" w:type="dxa"/>
              <w:left w:w="15" w:type="dxa"/>
              <w:bottom w:w="0" w:type="dxa"/>
              <w:right w:w="15" w:type="dxa"/>
            </w:tcMar>
            <w:hideMark/>
          </w:tcPr>
          <w:p w14:paraId="4B787FEF" w14:textId="77777777" w:rsidR="00E67B58" w:rsidRPr="003413A5" w:rsidRDefault="00E67B58" w:rsidP="003413A5">
            <w:pPr>
              <w:rPr>
                <w:color w:val="000000"/>
                <w:sz w:val="20"/>
              </w:rPr>
            </w:pPr>
            <w:r w:rsidRPr="003413A5">
              <w:rPr>
                <w:color w:val="000000"/>
                <w:sz w:val="20"/>
              </w:rPr>
              <w:t>411791</w:t>
            </w:r>
          </w:p>
        </w:tc>
        <w:tc>
          <w:tcPr>
            <w:tcW w:w="720" w:type="dxa"/>
            <w:shd w:val="clear" w:color="auto" w:fill="auto"/>
            <w:noWrap/>
            <w:tcMar>
              <w:top w:w="15" w:type="dxa"/>
              <w:left w:w="15" w:type="dxa"/>
              <w:bottom w:w="0" w:type="dxa"/>
              <w:right w:w="15" w:type="dxa"/>
            </w:tcMar>
            <w:hideMark/>
          </w:tcPr>
          <w:p w14:paraId="68D0DA53" w14:textId="77777777" w:rsidR="00E67B58" w:rsidRPr="003413A5" w:rsidRDefault="00E67B58" w:rsidP="003413A5">
            <w:pPr>
              <w:rPr>
                <w:color w:val="000000"/>
                <w:sz w:val="20"/>
              </w:rPr>
            </w:pPr>
            <w:r w:rsidRPr="003413A5">
              <w:rPr>
                <w:color w:val="000000"/>
                <w:sz w:val="20"/>
              </w:rPr>
              <w:t>KS</w:t>
            </w:r>
          </w:p>
        </w:tc>
        <w:tc>
          <w:tcPr>
            <w:tcW w:w="3746" w:type="dxa"/>
            <w:shd w:val="clear" w:color="auto" w:fill="auto"/>
            <w:noWrap/>
            <w:tcMar>
              <w:top w:w="15" w:type="dxa"/>
              <w:left w:w="15" w:type="dxa"/>
              <w:bottom w:w="0" w:type="dxa"/>
              <w:right w:w="15" w:type="dxa"/>
            </w:tcMar>
            <w:hideMark/>
          </w:tcPr>
          <w:p w14:paraId="2F548E93" w14:textId="77777777" w:rsidR="00E67B58" w:rsidRPr="003413A5" w:rsidRDefault="00E67B58" w:rsidP="003413A5">
            <w:pPr>
              <w:rPr>
                <w:color w:val="000000"/>
                <w:sz w:val="20"/>
              </w:rPr>
            </w:pPr>
            <w:r w:rsidRPr="003413A5">
              <w:rPr>
                <w:color w:val="000000"/>
                <w:sz w:val="20"/>
              </w:rPr>
              <w:t>LA HARPE TEL CO INC</w:t>
            </w:r>
          </w:p>
        </w:tc>
        <w:tc>
          <w:tcPr>
            <w:tcW w:w="3488" w:type="dxa"/>
            <w:shd w:val="clear" w:color="auto" w:fill="auto"/>
            <w:noWrap/>
            <w:tcMar>
              <w:top w:w="15" w:type="dxa"/>
              <w:left w:w="15" w:type="dxa"/>
              <w:bottom w:w="0" w:type="dxa"/>
              <w:right w:w="15" w:type="dxa"/>
            </w:tcMar>
            <w:hideMark/>
          </w:tcPr>
          <w:p w14:paraId="59EE70DF" w14:textId="77777777" w:rsidR="00E67B58" w:rsidRPr="003413A5" w:rsidRDefault="00E67B58" w:rsidP="003413A5">
            <w:pPr>
              <w:rPr>
                <w:color w:val="000000"/>
                <w:sz w:val="20"/>
              </w:rPr>
            </w:pPr>
            <w:r w:rsidRPr="003413A5">
              <w:rPr>
                <w:color w:val="000000"/>
                <w:sz w:val="20"/>
              </w:rPr>
              <w:t>JMZ, Cox</w:t>
            </w:r>
          </w:p>
        </w:tc>
      </w:tr>
      <w:tr w:rsidR="00E67B58" w14:paraId="3251402C" w14:textId="77777777" w:rsidTr="003413A5">
        <w:trPr>
          <w:trHeight w:val="300"/>
          <w:jc w:val="center"/>
        </w:trPr>
        <w:tc>
          <w:tcPr>
            <w:tcW w:w="915" w:type="dxa"/>
            <w:shd w:val="clear" w:color="auto" w:fill="auto"/>
            <w:noWrap/>
            <w:tcMar>
              <w:top w:w="15" w:type="dxa"/>
              <w:left w:w="15" w:type="dxa"/>
              <w:bottom w:w="0" w:type="dxa"/>
              <w:right w:w="15" w:type="dxa"/>
            </w:tcMar>
            <w:hideMark/>
          </w:tcPr>
          <w:p w14:paraId="0FF9C9DA" w14:textId="77777777" w:rsidR="00E67B58" w:rsidRPr="003413A5" w:rsidRDefault="00E67B58" w:rsidP="003413A5">
            <w:pPr>
              <w:rPr>
                <w:color w:val="000000"/>
                <w:sz w:val="20"/>
              </w:rPr>
            </w:pPr>
            <w:r w:rsidRPr="003413A5">
              <w:rPr>
                <w:color w:val="000000"/>
                <w:sz w:val="20"/>
              </w:rPr>
              <w:t>452200</w:t>
            </w:r>
          </w:p>
        </w:tc>
        <w:tc>
          <w:tcPr>
            <w:tcW w:w="720" w:type="dxa"/>
            <w:shd w:val="clear" w:color="auto" w:fill="auto"/>
            <w:noWrap/>
            <w:tcMar>
              <w:top w:w="15" w:type="dxa"/>
              <w:left w:w="15" w:type="dxa"/>
              <w:bottom w:w="0" w:type="dxa"/>
              <w:right w:w="15" w:type="dxa"/>
            </w:tcMar>
            <w:hideMark/>
          </w:tcPr>
          <w:p w14:paraId="7CC15E93" w14:textId="77777777" w:rsidR="00E67B58" w:rsidRPr="003413A5" w:rsidRDefault="00E67B58" w:rsidP="003413A5">
            <w:pPr>
              <w:rPr>
                <w:color w:val="000000"/>
                <w:sz w:val="20"/>
              </w:rPr>
            </w:pPr>
            <w:r w:rsidRPr="003413A5">
              <w:rPr>
                <w:color w:val="000000"/>
                <w:sz w:val="20"/>
              </w:rPr>
              <w:t>AZ</w:t>
            </w:r>
          </w:p>
        </w:tc>
        <w:tc>
          <w:tcPr>
            <w:tcW w:w="3746" w:type="dxa"/>
            <w:shd w:val="clear" w:color="auto" w:fill="auto"/>
            <w:noWrap/>
            <w:tcMar>
              <w:top w:w="15" w:type="dxa"/>
              <w:left w:w="15" w:type="dxa"/>
              <w:bottom w:w="0" w:type="dxa"/>
              <w:right w:w="15" w:type="dxa"/>
            </w:tcMar>
            <w:hideMark/>
          </w:tcPr>
          <w:p w14:paraId="215617F4" w14:textId="77777777" w:rsidR="00E67B58" w:rsidRPr="003413A5" w:rsidRDefault="00E67B58" w:rsidP="003413A5">
            <w:pPr>
              <w:rPr>
                <w:color w:val="000000"/>
                <w:sz w:val="20"/>
              </w:rPr>
            </w:pPr>
            <w:r w:rsidRPr="003413A5">
              <w:rPr>
                <w:color w:val="000000"/>
                <w:sz w:val="20"/>
              </w:rPr>
              <w:t>FORT MOJAVE TEL, INC</w:t>
            </w:r>
          </w:p>
        </w:tc>
        <w:tc>
          <w:tcPr>
            <w:tcW w:w="3488" w:type="dxa"/>
            <w:shd w:val="clear" w:color="auto" w:fill="auto"/>
            <w:noWrap/>
            <w:tcMar>
              <w:top w:w="15" w:type="dxa"/>
              <w:left w:w="15" w:type="dxa"/>
              <w:bottom w:w="0" w:type="dxa"/>
              <w:right w:w="15" w:type="dxa"/>
            </w:tcMar>
            <w:hideMark/>
          </w:tcPr>
          <w:p w14:paraId="7EE1AA5A" w14:textId="77777777" w:rsidR="00E67B58" w:rsidRPr="003413A5" w:rsidRDefault="00E67B58" w:rsidP="003413A5">
            <w:pPr>
              <w:rPr>
                <w:color w:val="000000"/>
                <w:sz w:val="20"/>
              </w:rPr>
            </w:pPr>
            <w:r w:rsidRPr="003413A5">
              <w:rPr>
                <w:color w:val="000000"/>
                <w:sz w:val="20"/>
              </w:rPr>
              <w:t>TRANSWORLD, Suddenlink</w:t>
            </w:r>
          </w:p>
        </w:tc>
      </w:tr>
      <w:tr w:rsidR="00E67B58" w14:paraId="11E28959" w14:textId="77777777" w:rsidTr="003413A5">
        <w:trPr>
          <w:trHeight w:val="300"/>
          <w:jc w:val="center"/>
        </w:trPr>
        <w:tc>
          <w:tcPr>
            <w:tcW w:w="915" w:type="dxa"/>
            <w:shd w:val="clear" w:color="auto" w:fill="auto"/>
            <w:noWrap/>
            <w:tcMar>
              <w:top w:w="15" w:type="dxa"/>
              <w:left w:w="15" w:type="dxa"/>
              <w:bottom w:w="0" w:type="dxa"/>
              <w:right w:w="15" w:type="dxa"/>
            </w:tcMar>
            <w:hideMark/>
          </w:tcPr>
          <w:p w14:paraId="7217AD06" w14:textId="77777777" w:rsidR="00E67B58" w:rsidRPr="003413A5" w:rsidRDefault="00E67B58" w:rsidP="003413A5">
            <w:pPr>
              <w:rPr>
                <w:color w:val="000000"/>
                <w:sz w:val="20"/>
              </w:rPr>
            </w:pPr>
            <w:r w:rsidRPr="003413A5">
              <w:rPr>
                <w:color w:val="000000"/>
                <w:sz w:val="20"/>
              </w:rPr>
              <w:t>462178</w:t>
            </w:r>
          </w:p>
        </w:tc>
        <w:tc>
          <w:tcPr>
            <w:tcW w:w="720" w:type="dxa"/>
            <w:shd w:val="clear" w:color="auto" w:fill="auto"/>
            <w:noWrap/>
            <w:tcMar>
              <w:top w:w="15" w:type="dxa"/>
              <w:left w:w="15" w:type="dxa"/>
              <w:bottom w:w="0" w:type="dxa"/>
              <w:right w:w="15" w:type="dxa"/>
            </w:tcMar>
            <w:hideMark/>
          </w:tcPr>
          <w:p w14:paraId="1155C59B" w14:textId="77777777" w:rsidR="00E67B58" w:rsidRPr="003413A5" w:rsidRDefault="00E67B58" w:rsidP="003413A5">
            <w:pPr>
              <w:rPr>
                <w:color w:val="000000"/>
                <w:sz w:val="20"/>
              </w:rPr>
            </w:pPr>
            <w:r w:rsidRPr="003413A5">
              <w:rPr>
                <w:color w:val="000000"/>
                <w:sz w:val="20"/>
              </w:rPr>
              <w:t>CO</w:t>
            </w:r>
          </w:p>
        </w:tc>
        <w:tc>
          <w:tcPr>
            <w:tcW w:w="3746" w:type="dxa"/>
            <w:shd w:val="clear" w:color="auto" w:fill="auto"/>
            <w:noWrap/>
            <w:tcMar>
              <w:top w:w="15" w:type="dxa"/>
              <w:left w:w="15" w:type="dxa"/>
              <w:bottom w:w="0" w:type="dxa"/>
              <w:right w:w="15" w:type="dxa"/>
            </w:tcMar>
            <w:hideMark/>
          </w:tcPr>
          <w:p w14:paraId="228A798B" w14:textId="77777777" w:rsidR="00E67B58" w:rsidRPr="003413A5" w:rsidRDefault="00E67B58" w:rsidP="003413A5">
            <w:pPr>
              <w:rPr>
                <w:color w:val="000000"/>
                <w:sz w:val="20"/>
              </w:rPr>
            </w:pPr>
            <w:r w:rsidRPr="003413A5">
              <w:rPr>
                <w:color w:val="000000"/>
                <w:sz w:val="20"/>
              </w:rPr>
              <w:t>AGATE MUTUAL TEL CO</w:t>
            </w:r>
          </w:p>
        </w:tc>
        <w:tc>
          <w:tcPr>
            <w:tcW w:w="3488" w:type="dxa"/>
            <w:shd w:val="clear" w:color="auto" w:fill="auto"/>
            <w:noWrap/>
            <w:tcMar>
              <w:top w:w="15" w:type="dxa"/>
              <w:left w:w="15" w:type="dxa"/>
              <w:bottom w:w="0" w:type="dxa"/>
              <w:right w:w="15" w:type="dxa"/>
            </w:tcMar>
            <w:hideMark/>
          </w:tcPr>
          <w:p w14:paraId="35657FBF" w14:textId="77777777" w:rsidR="00E67B58" w:rsidRPr="003413A5" w:rsidRDefault="00E67B58" w:rsidP="003413A5">
            <w:pPr>
              <w:rPr>
                <w:color w:val="000000"/>
                <w:sz w:val="20"/>
              </w:rPr>
            </w:pPr>
            <w:r w:rsidRPr="003413A5">
              <w:rPr>
                <w:color w:val="000000"/>
                <w:sz w:val="20"/>
              </w:rPr>
              <w:t>Kellin</w:t>
            </w:r>
          </w:p>
        </w:tc>
      </w:tr>
      <w:tr w:rsidR="00E67B58" w14:paraId="7BA35259" w14:textId="77777777" w:rsidTr="003413A5">
        <w:trPr>
          <w:trHeight w:val="300"/>
          <w:jc w:val="center"/>
        </w:trPr>
        <w:tc>
          <w:tcPr>
            <w:tcW w:w="915" w:type="dxa"/>
            <w:shd w:val="clear" w:color="auto" w:fill="auto"/>
            <w:noWrap/>
            <w:tcMar>
              <w:top w:w="15" w:type="dxa"/>
              <w:left w:w="15" w:type="dxa"/>
              <w:bottom w:w="0" w:type="dxa"/>
              <w:right w:w="15" w:type="dxa"/>
            </w:tcMar>
            <w:hideMark/>
          </w:tcPr>
          <w:p w14:paraId="3ABBCF55" w14:textId="77777777" w:rsidR="00E67B58" w:rsidRPr="003413A5" w:rsidRDefault="00E67B58" w:rsidP="003413A5">
            <w:pPr>
              <w:rPr>
                <w:color w:val="000000"/>
                <w:sz w:val="20"/>
              </w:rPr>
            </w:pPr>
            <w:r w:rsidRPr="003413A5">
              <w:rPr>
                <w:color w:val="000000"/>
                <w:sz w:val="20"/>
              </w:rPr>
              <w:t>532373</w:t>
            </w:r>
          </w:p>
        </w:tc>
        <w:tc>
          <w:tcPr>
            <w:tcW w:w="720" w:type="dxa"/>
            <w:shd w:val="clear" w:color="auto" w:fill="auto"/>
            <w:noWrap/>
            <w:tcMar>
              <w:top w:w="15" w:type="dxa"/>
              <w:left w:w="15" w:type="dxa"/>
              <w:bottom w:w="0" w:type="dxa"/>
              <w:right w:w="15" w:type="dxa"/>
            </w:tcMar>
            <w:hideMark/>
          </w:tcPr>
          <w:p w14:paraId="520DCBF7" w14:textId="77777777" w:rsidR="00E67B58" w:rsidRPr="003413A5" w:rsidRDefault="00E67B58" w:rsidP="003413A5">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7656A5A2" w14:textId="77777777" w:rsidR="00E67B58" w:rsidRPr="003413A5" w:rsidRDefault="00E67B58" w:rsidP="003413A5">
            <w:pPr>
              <w:rPr>
                <w:color w:val="000000"/>
                <w:sz w:val="20"/>
              </w:rPr>
            </w:pPr>
            <w:r w:rsidRPr="003413A5">
              <w:rPr>
                <w:color w:val="000000"/>
                <w:sz w:val="20"/>
              </w:rPr>
              <w:t>GERVAIS TELEPHONE CO</w:t>
            </w:r>
          </w:p>
        </w:tc>
        <w:tc>
          <w:tcPr>
            <w:tcW w:w="3488" w:type="dxa"/>
            <w:shd w:val="clear" w:color="auto" w:fill="auto"/>
            <w:noWrap/>
            <w:tcMar>
              <w:top w:w="15" w:type="dxa"/>
              <w:left w:w="15" w:type="dxa"/>
              <w:bottom w:w="0" w:type="dxa"/>
              <w:right w:w="15" w:type="dxa"/>
            </w:tcMar>
            <w:hideMark/>
          </w:tcPr>
          <w:p w14:paraId="751D2F0F" w14:textId="77777777" w:rsidR="00E67B58" w:rsidRPr="003413A5" w:rsidRDefault="00E67B58" w:rsidP="003413A5">
            <w:pPr>
              <w:rPr>
                <w:color w:val="000000"/>
                <w:sz w:val="20"/>
              </w:rPr>
            </w:pPr>
            <w:r w:rsidRPr="003413A5">
              <w:rPr>
                <w:color w:val="000000"/>
                <w:sz w:val="20"/>
              </w:rPr>
              <w:t>McMinnville Access, WaveDivision</w:t>
            </w:r>
          </w:p>
        </w:tc>
      </w:tr>
      <w:tr w:rsidR="00E67B58" w14:paraId="4118398E" w14:textId="77777777" w:rsidTr="003413A5">
        <w:trPr>
          <w:trHeight w:val="300"/>
          <w:jc w:val="center"/>
        </w:trPr>
        <w:tc>
          <w:tcPr>
            <w:tcW w:w="915" w:type="dxa"/>
            <w:shd w:val="clear" w:color="auto" w:fill="auto"/>
            <w:noWrap/>
            <w:tcMar>
              <w:top w:w="15" w:type="dxa"/>
              <w:left w:w="15" w:type="dxa"/>
              <w:bottom w:w="0" w:type="dxa"/>
              <w:right w:w="15" w:type="dxa"/>
            </w:tcMar>
            <w:hideMark/>
          </w:tcPr>
          <w:p w14:paraId="439B22EF" w14:textId="77777777" w:rsidR="00E67B58" w:rsidRPr="003413A5" w:rsidRDefault="00E67B58" w:rsidP="003413A5">
            <w:pPr>
              <w:rPr>
                <w:color w:val="000000"/>
                <w:sz w:val="20"/>
              </w:rPr>
            </w:pPr>
            <w:r w:rsidRPr="003413A5">
              <w:rPr>
                <w:color w:val="000000"/>
                <w:sz w:val="20"/>
              </w:rPr>
              <w:t>532386</w:t>
            </w:r>
          </w:p>
        </w:tc>
        <w:tc>
          <w:tcPr>
            <w:tcW w:w="720" w:type="dxa"/>
            <w:shd w:val="clear" w:color="auto" w:fill="auto"/>
            <w:noWrap/>
            <w:tcMar>
              <w:top w:w="15" w:type="dxa"/>
              <w:left w:w="15" w:type="dxa"/>
              <w:bottom w:w="0" w:type="dxa"/>
              <w:right w:w="15" w:type="dxa"/>
            </w:tcMar>
            <w:hideMark/>
          </w:tcPr>
          <w:p w14:paraId="3197F561" w14:textId="77777777" w:rsidR="00E67B58" w:rsidRPr="003413A5" w:rsidRDefault="00E67B58" w:rsidP="003413A5">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2DAD59D0" w14:textId="77777777" w:rsidR="00E67B58" w:rsidRPr="003413A5" w:rsidRDefault="00E67B58" w:rsidP="003413A5">
            <w:pPr>
              <w:rPr>
                <w:color w:val="000000"/>
                <w:sz w:val="20"/>
              </w:rPr>
            </w:pPr>
            <w:r w:rsidRPr="003413A5">
              <w:rPr>
                <w:color w:val="000000"/>
                <w:sz w:val="20"/>
              </w:rPr>
              <w:t>MT. ANGEL TEL CO.</w:t>
            </w:r>
          </w:p>
        </w:tc>
        <w:tc>
          <w:tcPr>
            <w:tcW w:w="3488" w:type="dxa"/>
            <w:shd w:val="clear" w:color="auto" w:fill="auto"/>
            <w:noWrap/>
            <w:tcMar>
              <w:top w:w="15" w:type="dxa"/>
              <w:left w:w="15" w:type="dxa"/>
              <w:bottom w:w="0" w:type="dxa"/>
              <w:right w:w="15" w:type="dxa"/>
            </w:tcMar>
            <w:hideMark/>
          </w:tcPr>
          <w:p w14:paraId="6E5B56A7" w14:textId="77777777" w:rsidR="00E67B58" w:rsidRPr="003413A5" w:rsidRDefault="00E67B58" w:rsidP="003413A5">
            <w:pPr>
              <w:rPr>
                <w:color w:val="000000"/>
                <w:sz w:val="20"/>
              </w:rPr>
            </w:pPr>
            <w:r w:rsidRPr="003413A5">
              <w:rPr>
                <w:color w:val="000000"/>
                <w:sz w:val="20"/>
              </w:rPr>
              <w:t>McMinnville Access, WaveDivision</w:t>
            </w:r>
          </w:p>
        </w:tc>
      </w:tr>
      <w:tr w:rsidR="00E67B58" w14:paraId="2DA80495" w14:textId="77777777" w:rsidTr="003413A5">
        <w:trPr>
          <w:trHeight w:val="300"/>
          <w:jc w:val="center"/>
        </w:trPr>
        <w:tc>
          <w:tcPr>
            <w:tcW w:w="915" w:type="dxa"/>
            <w:shd w:val="clear" w:color="auto" w:fill="auto"/>
            <w:noWrap/>
            <w:tcMar>
              <w:top w:w="15" w:type="dxa"/>
              <w:left w:w="15" w:type="dxa"/>
              <w:bottom w:w="0" w:type="dxa"/>
              <w:right w:w="15" w:type="dxa"/>
            </w:tcMar>
            <w:hideMark/>
          </w:tcPr>
          <w:p w14:paraId="5964E436" w14:textId="77777777" w:rsidR="00E67B58" w:rsidRPr="003413A5" w:rsidRDefault="00E67B58" w:rsidP="003413A5">
            <w:pPr>
              <w:rPr>
                <w:color w:val="000000"/>
                <w:sz w:val="20"/>
              </w:rPr>
            </w:pPr>
            <w:r w:rsidRPr="003413A5">
              <w:rPr>
                <w:color w:val="000000"/>
                <w:sz w:val="20"/>
              </w:rPr>
              <w:t>532396</w:t>
            </w:r>
          </w:p>
        </w:tc>
        <w:tc>
          <w:tcPr>
            <w:tcW w:w="720" w:type="dxa"/>
            <w:shd w:val="clear" w:color="auto" w:fill="auto"/>
            <w:noWrap/>
            <w:tcMar>
              <w:top w:w="15" w:type="dxa"/>
              <w:left w:w="15" w:type="dxa"/>
              <w:bottom w:w="0" w:type="dxa"/>
              <w:right w:w="15" w:type="dxa"/>
            </w:tcMar>
            <w:hideMark/>
          </w:tcPr>
          <w:p w14:paraId="0E93CD7A" w14:textId="77777777" w:rsidR="00E67B58" w:rsidRPr="003413A5" w:rsidRDefault="00E67B58" w:rsidP="003413A5">
            <w:pPr>
              <w:rPr>
                <w:color w:val="000000"/>
                <w:sz w:val="20"/>
              </w:rPr>
            </w:pPr>
            <w:r w:rsidRPr="003413A5">
              <w:rPr>
                <w:color w:val="000000"/>
                <w:sz w:val="20"/>
              </w:rPr>
              <w:t>OR</w:t>
            </w:r>
          </w:p>
        </w:tc>
        <w:tc>
          <w:tcPr>
            <w:tcW w:w="3746" w:type="dxa"/>
            <w:shd w:val="clear" w:color="auto" w:fill="auto"/>
            <w:noWrap/>
            <w:tcMar>
              <w:top w:w="15" w:type="dxa"/>
              <w:left w:w="15" w:type="dxa"/>
              <w:bottom w:w="0" w:type="dxa"/>
              <w:right w:w="15" w:type="dxa"/>
            </w:tcMar>
            <w:hideMark/>
          </w:tcPr>
          <w:p w14:paraId="573E7D56" w14:textId="77777777" w:rsidR="00E67B58" w:rsidRPr="003413A5" w:rsidRDefault="00E67B58" w:rsidP="003413A5">
            <w:pPr>
              <w:rPr>
                <w:color w:val="000000"/>
                <w:sz w:val="20"/>
              </w:rPr>
            </w:pPr>
            <w:r w:rsidRPr="003413A5">
              <w:rPr>
                <w:color w:val="000000"/>
                <w:sz w:val="20"/>
              </w:rPr>
              <w:t>ST PAUL COOP ASSN</w:t>
            </w:r>
          </w:p>
        </w:tc>
        <w:tc>
          <w:tcPr>
            <w:tcW w:w="3488" w:type="dxa"/>
            <w:shd w:val="clear" w:color="auto" w:fill="auto"/>
            <w:noWrap/>
            <w:tcMar>
              <w:top w:w="15" w:type="dxa"/>
              <w:left w:w="15" w:type="dxa"/>
              <w:bottom w:w="0" w:type="dxa"/>
              <w:right w:w="15" w:type="dxa"/>
            </w:tcMar>
            <w:hideMark/>
          </w:tcPr>
          <w:p w14:paraId="135B390B" w14:textId="77777777" w:rsidR="00E67B58" w:rsidRPr="003413A5" w:rsidRDefault="00E67B58" w:rsidP="003413A5">
            <w:pPr>
              <w:rPr>
                <w:color w:val="000000"/>
                <w:sz w:val="20"/>
              </w:rPr>
            </w:pPr>
            <w:r w:rsidRPr="003413A5">
              <w:rPr>
                <w:color w:val="000000"/>
                <w:sz w:val="20"/>
              </w:rPr>
              <w:t>McMinnville Access, DataVision</w:t>
            </w:r>
          </w:p>
        </w:tc>
      </w:tr>
    </w:tbl>
    <w:p w14:paraId="21C49AB4" w14:textId="77777777" w:rsidR="00B67967" w:rsidRDefault="00B67967" w:rsidP="000C28F6">
      <w:pPr>
        <w:pStyle w:val="Paranum"/>
        <w:widowControl/>
        <w:numPr>
          <w:ilvl w:val="0"/>
          <w:numId w:val="0"/>
        </w:numPr>
        <w:spacing w:after="0"/>
        <w:jc w:val="left"/>
        <w:rPr>
          <w:szCs w:val="22"/>
        </w:rPr>
      </w:pPr>
    </w:p>
    <w:p w14:paraId="0E6FA550" w14:textId="3ED1A257" w:rsidR="00EF2146" w:rsidRPr="00956D5B" w:rsidRDefault="00B67967" w:rsidP="001C764F">
      <w:pPr>
        <w:pStyle w:val="StyleParanumLeft"/>
      </w:pPr>
      <w:r w:rsidRPr="007226DC">
        <w:t xml:space="preserve">The Appendix to this Public Notice </w:t>
      </w:r>
      <w:r w:rsidR="00686D7C">
        <w:t xml:space="preserve">provides more detailed information regarding </w:t>
      </w:r>
      <w:r w:rsidR="00E5125F">
        <w:t xml:space="preserve">each study area that is 100 percent overlapped </w:t>
      </w:r>
      <w:r w:rsidR="0070474F">
        <w:t>according to FCC Form 477 data</w:t>
      </w:r>
      <w:r w:rsidRPr="007226DC">
        <w:t xml:space="preserve">.  </w:t>
      </w:r>
      <w:r w:rsidR="00E37F75">
        <w:t xml:space="preserve">In addition, </w:t>
      </w:r>
      <w:r w:rsidR="00F911DE">
        <w:t xml:space="preserve">we have posted online at </w:t>
      </w:r>
      <w:hyperlink r:id="rId14" w:history="1">
        <w:r w:rsidR="00EF51E0">
          <w:rPr>
            <w:rStyle w:val="Hyperlink"/>
          </w:rPr>
          <w:t>https://www.fcc.gov/maps/100pct-overlap-map</w:t>
        </w:r>
      </w:hyperlink>
      <w:r w:rsidR="00190F59">
        <w:t xml:space="preserve"> both </w:t>
      </w:r>
      <w:r w:rsidR="00E37F75">
        <w:t>a map that depict</w:t>
      </w:r>
      <w:r w:rsidR="00190F59">
        <w:t>ing</w:t>
      </w:r>
      <w:r w:rsidR="00E37F75">
        <w:t xml:space="preserve"> the overlapped study areas and</w:t>
      </w:r>
      <w:r w:rsidR="00190F59">
        <w:t xml:space="preserve"> a spreadsheet listing the unsubsidized competitors in each census block of those study areas based on Form 477 data</w:t>
      </w:r>
      <w:r w:rsidR="00E37F75">
        <w:t>.</w:t>
      </w:r>
      <w:r w:rsidR="00190F59">
        <w:rPr>
          <w:rStyle w:val="FootnoteReference"/>
        </w:rPr>
        <w:footnoteReference w:id="13"/>
      </w:r>
      <w:r w:rsidR="00E37F75">
        <w:t xml:space="preserve"> </w:t>
      </w:r>
    </w:p>
    <w:p w14:paraId="6C25B132" w14:textId="77777777" w:rsidR="00271B44" w:rsidRPr="00271B44" w:rsidRDefault="008B4CC7" w:rsidP="00B779D1">
      <w:pPr>
        <w:pStyle w:val="Heading2"/>
        <w:widowControl/>
        <w:spacing w:after="120"/>
        <w:rPr>
          <w:szCs w:val="22"/>
        </w:rPr>
      </w:pPr>
      <w:r>
        <w:rPr>
          <w:szCs w:val="22"/>
        </w:rPr>
        <w:t xml:space="preserve">Methodology for </w:t>
      </w:r>
      <w:r w:rsidR="00900385">
        <w:rPr>
          <w:szCs w:val="22"/>
        </w:rPr>
        <w:t xml:space="preserve">the </w:t>
      </w:r>
      <w:r w:rsidR="00271B44">
        <w:rPr>
          <w:szCs w:val="22"/>
        </w:rPr>
        <w:t xml:space="preserve">Preliminary </w:t>
      </w:r>
      <w:r>
        <w:rPr>
          <w:szCs w:val="22"/>
        </w:rPr>
        <w:t>100 Percent Overlap Determina</w:t>
      </w:r>
      <w:r w:rsidR="00271B44">
        <w:rPr>
          <w:szCs w:val="22"/>
        </w:rPr>
        <w:t>tion</w:t>
      </w:r>
    </w:p>
    <w:p w14:paraId="7D0BC1C6" w14:textId="77777777" w:rsidR="00EF2146" w:rsidRPr="007F7CE7" w:rsidRDefault="00780EB0" w:rsidP="00B779D1">
      <w:pPr>
        <w:pStyle w:val="Heading3"/>
        <w:spacing w:after="120"/>
      </w:pPr>
      <w:r>
        <w:t xml:space="preserve">Determining </w:t>
      </w:r>
      <w:r w:rsidR="006F5A3B">
        <w:t xml:space="preserve">Census Blocks within Study Areas </w:t>
      </w:r>
    </w:p>
    <w:p w14:paraId="4715B773" w14:textId="77777777" w:rsidR="00EF2146" w:rsidRPr="00822BAE" w:rsidRDefault="00E42616" w:rsidP="00B779D1">
      <w:pPr>
        <w:pStyle w:val="StyleParanumLeft"/>
        <w:spacing w:after="120"/>
      </w:pPr>
      <w:r>
        <w:t>T</w:t>
      </w:r>
      <w:r w:rsidR="006B6C7B">
        <w:t>o determine which</w:t>
      </w:r>
      <w:r w:rsidR="00271B44">
        <w:t xml:space="preserve"> fixed</w:t>
      </w:r>
      <w:r w:rsidR="006B6C7B">
        <w:t xml:space="preserve"> broadband providers </w:t>
      </w:r>
      <w:r w:rsidR="00CD54A3">
        <w:t xml:space="preserve">are unsubsidized competitors in </w:t>
      </w:r>
      <w:r w:rsidR="006B6C7B">
        <w:t>rate-of-return study area</w:t>
      </w:r>
      <w:r w:rsidR="00CD54A3">
        <w:t>s</w:t>
      </w:r>
      <w:r w:rsidR="006B6C7B">
        <w:t>, we rel</w:t>
      </w:r>
      <w:r w:rsidR="00BB625D">
        <w:t>ied</w:t>
      </w:r>
      <w:r w:rsidR="006B6C7B">
        <w:t xml:space="preserve"> on </w:t>
      </w:r>
      <w:r w:rsidR="00271B44">
        <w:t xml:space="preserve">the </w:t>
      </w:r>
      <w:r w:rsidR="006B6C7B">
        <w:t xml:space="preserve">Form 477 </w:t>
      </w:r>
      <w:r w:rsidR="00C0549B">
        <w:t xml:space="preserve">deployment </w:t>
      </w:r>
      <w:r w:rsidR="006B6C7B">
        <w:t>data</w:t>
      </w:r>
      <w:r w:rsidR="00271B44">
        <w:t>, as described in detail below</w:t>
      </w:r>
      <w:r w:rsidR="006B6C7B">
        <w:t>.</w:t>
      </w:r>
      <w:r w:rsidR="00C0549B">
        <w:rPr>
          <w:rStyle w:val="FootnoteReference"/>
          <w:szCs w:val="22"/>
        </w:rPr>
        <w:footnoteReference w:id="14"/>
      </w:r>
      <w:r w:rsidR="006B6C7B">
        <w:t xml:space="preserve">  </w:t>
      </w:r>
      <w:r w:rsidR="00B32C86">
        <w:t>B</w:t>
      </w:r>
      <w:r w:rsidR="00C0549B">
        <w:t xml:space="preserve">ecause </w:t>
      </w:r>
      <w:r w:rsidR="00271B44">
        <w:t>these data are reported</w:t>
      </w:r>
      <w:r w:rsidR="006B6C7B">
        <w:t xml:space="preserve"> </w:t>
      </w:r>
      <w:r w:rsidR="00FA1820">
        <w:t>by census block</w:t>
      </w:r>
      <w:r w:rsidR="00C0549B">
        <w:rPr>
          <w:rStyle w:val="FootnoteReference"/>
          <w:szCs w:val="22"/>
        </w:rPr>
        <w:footnoteReference w:id="15"/>
      </w:r>
      <w:r w:rsidR="00C0549B">
        <w:t xml:space="preserve"> –</w:t>
      </w:r>
      <w:r w:rsidR="006B6C7B">
        <w:t xml:space="preserve"> </w:t>
      </w:r>
      <w:r w:rsidR="00FA1820">
        <w:t xml:space="preserve">the boundaries of which </w:t>
      </w:r>
      <w:r w:rsidR="00B32C86">
        <w:t xml:space="preserve">are not </w:t>
      </w:r>
      <w:r w:rsidR="00E5125F">
        <w:t xml:space="preserve">necessarily </w:t>
      </w:r>
      <w:r w:rsidR="00B32C86">
        <w:t>coterminous with study area boundaries</w:t>
      </w:r>
      <w:r w:rsidR="00C0549B">
        <w:t xml:space="preserve"> </w:t>
      </w:r>
      <w:r w:rsidR="00C0549B">
        <w:softHyphen/>
        <w:t>–</w:t>
      </w:r>
      <w:r w:rsidR="00B32C86">
        <w:t xml:space="preserve"> we </w:t>
      </w:r>
      <w:r w:rsidR="00BB625D">
        <w:t xml:space="preserve">first had to </w:t>
      </w:r>
      <w:r w:rsidR="00B32C86">
        <w:t>determine which census blocks overlap a study area.</w:t>
      </w:r>
      <w:r w:rsidR="009A1E94">
        <w:rPr>
          <w:rStyle w:val="FootnoteReference"/>
          <w:szCs w:val="22"/>
        </w:rPr>
        <w:footnoteReference w:id="16"/>
      </w:r>
      <w:r w:rsidR="00B32C86">
        <w:t xml:space="preserve">  </w:t>
      </w:r>
      <w:r w:rsidR="00F979C7">
        <w:t>To do this, w</w:t>
      </w:r>
      <w:r w:rsidR="00B32C86">
        <w:t xml:space="preserve">e </w:t>
      </w:r>
      <w:r w:rsidR="00BB625D">
        <w:t xml:space="preserve">identified all </w:t>
      </w:r>
      <w:r w:rsidR="00B0128C">
        <w:t>census</w:t>
      </w:r>
      <w:r w:rsidR="00B32C86">
        <w:t xml:space="preserve"> block</w:t>
      </w:r>
      <w:r w:rsidR="004F3C4B">
        <w:t>s</w:t>
      </w:r>
      <w:r w:rsidR="00B32C86">
        <w:t xml:space="preserve"> that </w:t>
      </w:r>
      <w:r w:rsidR="004F3C4B">
        <w:t>have any level of overlap with a</w:t>
      </w:r>
      <w:r w:rsidR="00B32C86">
        <w:t xml:space="preserve"> study area</w:t>
      </w:r>
      <w:r w:rsidR="00F979C7">
        <w:t xml:space="preserve">, </w:t>
      </w:r>
      <w:r w:rsidR="00B0128C">
        <w:t>no matter how small</w:t>
      </w:r>
      <w:r w:rsidR="001E2E02">
        <w:t xml:space="preserve"> and</w:t>
      </w:r>
      <w:r w:rsidR="00F979C7">
        <w:t xml:space="preserve"> considered those blocks </w:t>
      </w:r>
      <w:r w:rsidR="00B0128C">
        <w:t>to be</w:t>
      </w:r>
      <w:r w:rsidR="00822BAE">
        <w:t xml:space="preserve"> overlapping</w:t>
      </w:r>
      <w:r w:rsidR="00780EB0">
        <w:t xml:space="preserve"> the study area</w:t>
      </w:r>
      <w:r w:rsidR="001E2E02">
        <w:t>.</w:t>
      </w:r>
      <w:r w:rsidR="004E45E9" w:rsidRPr="00822BAE">
        <w:t xml:space="preserve">  </w:t>
      </w:r>
      <w:r w:rsidR="00BB625D">
        <w:t>T</w:t>
      </w:r>
      <w:r w:rsidR="00822BAE" w:rsidRPr="00822BAE">
        <w:t xml:space="preserve">his method </w:t>
      </w:r>
      <w:r w:rsidR="00822BAE">
        <w:t>of determining which blocks overlap a study</w:t>
      </w:r>
      <w:r w:rsidR="003A3ABF">
        <w:t xml:space="preserve"> area</w:t>
      </w:r>
      <w:r w:rsidR="00822BAE">
        <w:t xml:space="preserve"> </w:t>
      </w:r>
      <w:r w:rsidR="00F90471">
        <w:t>is</w:t>
      </w:r>
      <w:r w:rsidR="00822BAE" w:rsidRPr="00822BAE">
        <w:t xml:space="preserve"> the most inclusive</w:t>
      </w:r>
      <w:r w:rsidR="00F979C7">
        <w:t xml:space="preserve"> </w:t>
      </w:r>
      <w:r w:rsidR="00C912D1">
        <w:t>and ensure</w:t>
      </w:r>
      <w:r w:rsidR="00701CDA">
        <w:t>d</w:t>
      </w:r>
      <w:r w:rsidR="00C912D1">
        <w:t xml:space="preserve"> that we capture all locations served by rate-of-return carriers</w:t>
      </w:r>
      <w:r w:rsidR="007E345B">
        <w:t>.</w:t>
      </w:r>
    </w:p>
    <w:p w14:paraId="272B8D9F" w14:textId="77777777" w:rsidR="004F3C4B" w:rsidRPr="00CA59FB" w:rsidRDefault="00B84BA1" w:rsidP="001C764F">
      <w:pPr>
        <w:pStyle w:val="StyleParanumLeft"/>
      </w:pPr>
      <w:bookmarkStart w:id="2" w:name="_Ref421197300"/>
      <w:r>
        <w:t>W</w:t>
      </w:r>
      <w:r w:rsidR="00F90471" w:rsidRPr="00CA59FB">
        <w:t xml:space="preserve">e excluded </w:t>
      </w:r>
      <w:r w:rsidR="00F979C7" w:rsidRPr="00CA59FB">
        <w:t xml:space="preserve">from the analysis </w:t>
      </w:r>
      <w:r w:rsidR="006F5A3B" w:rsidRPr="00CA59FB">
        <w:t>census blocks</w:t>
      </w:r>
      <w:r w:rsidR="00F979C7" w:rsidRPr="00CA59FB">
        <w:t xml:space="preserve"> with no housing units</w:t>
      </w:r>
      <w:r w:rsidR="006F5A3B" w:rsidRPr="00CA59FB">
        <w:t xml:space="preserve">.  </w:t>
      </w:r>
      <w:r w:rsidR="004B6A10" w:rsidRPr="00CA59FB">
        <w:t xml:space="preserve">We </w:t>
      </w:r>
      <w:r w:rsidR="00F90471" w:rsidRPr="00CA59FB">
        <w:t>conclude</w:t>
      </w:r>
      <w:r w:rsidR="004B6A10" w:rsidRPr="00CA59FB">
        <w:t xml:space="preserve"> that if th</w:t>
      </w:r>
      <w:r w:rsidR="00CA59FB" w:rsidRPr="00CA59FB">
        <w:t>e portions of a study area that contain housing units</w:t>
      </w:r>
      <w:r w:rsidR="004B6A10" w:rsidRPr="00CA59FB">
        <w:t xml:space="preserve"> are served by an unsubsidized competitor(s), then the study area should be considered 100 percent overlapped.  </w:t>
      </w:r>
      <w:r w:rsidR="00767D16" w:rsidRPr="00CA59FB">
        <w:t>W</w:t>
      </w:r>
      <w:r w:rsidR="00E60335" w:rsidRPr="00CA59FB">
        <w:t xml:space="preserve">e </w:t>
      </w:r>
      <w:r w:rsidR="00CA59FB">
        <w:t>relied on</w:t>
      </w:r>
      <w:r w:rsidR="00FE69C1" w:rsidRPr="00CA59FB">
        <w:t xml:space="preserve"> </w:t>
      </w:r>
      <w:r w:rsidR="00C20C8B" w:rsidRPr="00CA59FB">
        <w:t>the 2010 Census</w:t>
      </w:r>
      <w:r w:rsidR="000102D6" w:rsidRPr="00CA59FB">
        <w:t xml:space="preserve"> </w:t>
      </w:r>
      <w:r w:rsidR="00C20C8B" w:rsidRPr="00CA59FB">
        <w:t xml:space="preserve">as the basis for determining </w:t>
      </w:r>
      <w:r w:rsidR="00EB21F4" w:rsidRPr="00CA59FB">
        <w:t>whether</w:t>
      </w:r>
      <w:r w:rsidR="00CA59FB">
        <w:t xml:space="preserve"> a block contains no housing units</w:t>
      </w:r>
      <w:r w:rsidR="00C20C8B" w:rsidRPr="00CA59FB">
        <w:t xml:space="preserve">.  </w:t>
      </w:r>
      <w:r w:rsidR="00FE69C1" w:rsidRPr="00CA59FB">
        <w:t>The 2010 Census</w:t>
      </w:r>
      <w:r w:rsidR="00C20C8B" w:rsidRPr="00CA59FB">
        <w:t xml:space="preserve"> data are available to the public at no cost</w:t>
      </w:r>
      <w:r w:rsidR="001E1B65" w:rsidRPr="00CA59FB">
        <w:t>.</w:t>
      </w:r>
      <w:r w:rsidR="004B6A10">
        <w:rPr>
          <w:rStyle w:val="FootnoteReference"/>
          <w:szCs w:val="22"/>
        </w:rPr>
        <w:footnoteReference w:id="17"/>
      </w:r>
      <w:bookmarkEnd w:id="2"/>
      <w:r w:rsidR="004B6A10" w:rsidRPr="00CA59FB">
        <w:t xml:space="preserve">  </w:t>
      </w:r>
    </w:p>
    <w:p w14:paraId="4CE4D43E" w14:textId="77777777" w:rsidR="002A4082" w:rsidRPr="002A4082" w:rsidRDefault="00780EB0" w:rsidP="00B779D1">
      <w:pPr>
        <w:pStyle w:val="Heading3"/>
        <w:spacing w:after="120"/>
      </w:pPr>
      <w:r>
        <w:t xml:space="preserve">Addressing </w:t>
      </w:r>
      <w:r w:rsidR="009E4222">
        <w:t xml:space="preserve">Overlaps between </w:t>
      </w:r>
      <w:r w:rsidR="002A4082">
        <w:t>Study Area Boundar</w:t>
      </w:r>
      <w:r w:rsidR="009E4222">
        <w:t>ies</w:t>
      </w:r>
      <w:r w:rsidR="002A4082">
        <w:t xml:space="preserve"> </w:t>
      </w:r>
    </w:p>
    <w:p w14:paraId="01AF334E" w14:textId="77777777" w:rsidR="00EF2146" w:rsidRPr="000102D6" w:rsidRDefault="000102D6" w:rsidP="001C764F">
      <w:pPr>
        <w:pStyle w:val="StyleParanumLeft"/>
      </w:pPr>
      <w:r w:rsidRPr="000102D6">
        <w:t>W</w:t>
      </w:r>
      <w:r w:rsidR="004F3C4B" w:rsidRPr="000102D6">
        <w:t>e use</w:t>
      </w:r>
      <w:r w:rsidRPr="000102D6">
        <w:t>d</w:t>
      </w:r>
      <w:r w:rsidR="004F3C4B" w:rsidRPr="000102D6">
        <w:t xml:space="preserve"> the most recently certified study area boundary data collected by the Commission</w:t>
      </w:r>
      <w:r w:rsidR="009A1E94">
        <w:t>.  These data are as of May 26, 2015</w:t>
      </w:r>
      <w:r w:rsidR="00F1134F" w:rsidRPr="000102D6">
        <w:t xml:space="preserve"> and </w:t>
      </w:r>
      <w:r w:rsidR="009A1E94">
        <w:t xml:space="preserve">are </w:t>
      </w:r>
      <w:r w:rsidR="00F1134F" w:rsidRPr="000102D6">
        <w:t xml:space="preserve">published on </w:t>
      </w:r>
      <w:r w:rsidR="009A1E94">
        <w:t>the Commission’s</w:t>
      </w:r>
      <w:r w:rsidR="00F1134F" w:rsidRPr="000102D6">
        <w:t xml:space="preserve"> website</w:t>
      </w:r>
      <w:r w:rsidR="004F3C4B" w:rsidRPr="000102D6">
        <w:t>.</w:t>
      </w:r>
      <w:bookmarkStart w:id="3" w:name="_Ref421196870"/>
      <w:r w:rsidR="00F1134F">
        <w:rPr>
          <w:rStyle w:val="FootnoteReference"/>
          <w:szCs w:val="22"/>
        </w:rPr>
        <w:footnoteReference w:id="18"/>
      </w:r>
      <w:bookmarkEnd w:id="3"/>
      <w:r w:rsidR="00F1134F" w:rsidRPr="000102D6">
        <w:t xml:space="preserve">  While many of the overlaps between study area boundaries in the original </w:t>
      </w:r>
      <w:r w:rsidR="00E60335" w:rsidRPr="000102D6">
        <w:t xml:space="preserve">data </w:t>
      </w:r>
      <w:r w:rsidR="00F1134F" w:rsidRPr="000102D6">
        <w:t xml:space="preserve">collection have been resolved, </w:t>
      </w:r>
      <w:r w:rsidR="00767D16" w:rsidRPr="000102D6">
        <w:t>certa</w:t>
      </w:r>
      <w:r w:rsidR="001D04D2" w:rsidRPr="000102D6">
        <w:t>in overlaps remain</w:t>
      </w:r>
      <w:r w:rsidR="00F1134F" w:rsidRPr="000102D6">
        <w:t>.  Most of the overlaps currently shown on the online study area boundary map are between rate-of-return and price cap carriers.</w:t>
      </w:r>
      <w:r w:rsidR="00E60335">
        <w:rPr>
          <w:rStyle w:val="FootnoteReference"/>
          <w:szCs w:val="22"/>
        </w:rPr>
        <w:footnoteReference w:id="19"/>
      </w:r>
      <w:r w:rsidR="00F1134F" w:rsidRPr="000102D6">
        <w:t xml:space="preserve">  In these cases, we </w:t>
      </w:r>
      <w:r w:rsidR="002F39D6" w:rsidRPr="000102D6">
        <w:t>made</w:t>
      </w:r>
      <w:r w:rsidR="00F1134F" w:rsidRPr="000102D6">
        <w:t xml:space="preserve"> no modifications to the rate-of-return carrier’s boundary and </w:t>
      </w:r>
      <w:r w:rsidR="002F39D6" w:rsidRPr="000102D6">
        <w:t>assumed</w:t>
      </w:r>
      <w:r w:rsidR="00F1134F" w:rsidRPr="000102D6">
        <w:t xml:space="preserve"> the overlap belongs in its study area.  </w:t>
      </w:r>
      <w:r w:rsidR="002A4082" w:rsidRPr="000102D6">
        <w:t>Regarding the</w:t>
      </w:r>
      <w:r w:rsidR="00F1134F" w:rsidRPr="000102D6">
        <w:t xml:space="preserve"> overlaps between rate-of-return carrier</w:t>
      </w:r>
      <w:r w:rsidR="002A4082" w:rsidRPr="000102D6">
        <w:t>s</w:t>
      </w:r>
      <w:r w:rsidR="00AE0390" w:rsidRPr="000102D6">
        <w:t xml:space="preserve">, </w:t>
      </w:r>
      <w:r w:rsidR="002A4082" w:rsidRPr="000102D6">
        <w:t xml:space="preserve">we </w:t>
      </w:r>
      <w:r w:rsidR="002F39D6" w:rsidRPr="000102D6">
        <w:t>accepted</w:t>
      </w:r>
      <w:r w:rsidR="002A4082" w:rsidRPr="000102D6">
        <w:t xml:space="preserve"> these overlaps and </w:t>
      </w:r>
      <w:r w:rsidR="002F39D6" w:rsidRPr="000102D6">
        <w:t>included</w:t>
      </w:r>
      <w:r w:rsidR="002A4082" w:rsidRPr="000102D6">
        <w:t xml:space="preserve"> </w:t>
      </w:r>
      <w:r w:rsidR="00E60335" w:rsidRPr="000102D6">
        <w:t xml:space="preserve">the area of an overlap in each rate-of-return carrier’s study area when conducting the </w:t>
      </w:r>
      <w:r w:rsidR="002F39D6" w:rsidRPr="000102D6">
        <w:t xml:space="preserve">preliminary </w:t>
      </w:r>
      <w:r w:rsidR="00E60335" w:rsidRPr="000102D6">
        <w:t>100 percent overlap analysis.</w:t>
      </w:r>
      <w:r w:rsidR="00886D35">
        <w:t xml:space="preserve">  This method is the most inclusive and ensure</w:t>
      </w:r>
      <w:r w:rsidR="00543E41">
        <w:t>d</w:t>
      </w:r>
      <w:r w:rsidR="00886D35">
        <w:t xml:space="preserve"> that the housing units in these areas are </w:t>
      </w:r>
      <w:r w:rsidR="00B84BA1">
        <w:t>included in our analysis</w:t>
      </w:r>
      <w:r w:rsidR="00886D35">
        <w:t>.</w:t>
      </w:r>
    </w:p>
    <w:p w14:paraId="394FF693" w14:textId="77777777" w:rsidR="00780EB0" w:rsidRPr="002A4082" w:rsidRDefault="00780EB0" w:rsidP="00B779D1">
      <w:pPr>
        <w:pStyle w:val="Heading3"/>
        <w:spacing w:after="120"/>
      </w:pPr>
      <w:r>
        <w:t>De</w:t>
      </w:r>
      <w:r w:rsidR="00A05D9F">
        <w:t>termining</w:t>
      </w:r>
      <w:r w:rsidR="00CC0A6F">
        <w:t xml:space="preserve"> Which Providers Are</w:t>
      </w:r>
      <w:r>
        <w:t xml:space="preserve"> Unsubsidized Competitors </w:t>
      </w:r>
    </w:p>
    <w:p w14:paraId="4BB34AEF" w14:textId="77777777" w:rsidR="00BF1AB1" w:rsidRDefault="0031614B" w:rsidP="00B779D1">
      <w:pPr>
        <w:pStyle w:val="StyleParanumLeft"/>
        <w:spacing w:after="120"/>
      </w:pPr>
      <w:r>
        <w:t>T</w:t>
      </w:r>
      <w:r w:rsidR="009E4222">
        <w:t xml:space="preserve">o conduct the 100 percent overlap analysis, </w:t>
      </w:r>
      <w:r w:rsidR="002F39D6">
        <w:t xml:space="preserve">we </w:t>
      </w:r>
      <w:r w:rsidR="009E4222">
        <w:t>determine</w:t>
      </w:r>
      <w:r>
        <w:t>d</w:t>
      </w:r>
      <w:r w:rsidR="009E4222">
        <w:t xml:space="preserve"> which </w:t>
      </w:r>
      <w:r w:rsidR="0036526C">
        <w:t xml:space="preserve">fixed </w:t>
      </w:r>
      <w:r w:rsidR="009E4222">
        <w:t xml:space="preserve">broadband and voice providers </w:t>
      </w:r>
      <w:r w:rsidR="002F39D6">
        <w:t>are</w:t>
      </w:r>
      <w:r w:rsidR="009E4222">
        <w:t xml:space="preserve"> unsubsidized competitors.</w:t>
      </w:r>
      <w:r w:rsidR="00780EB0">
        <w:t xml:space="preserve">  The first step in this process </w:t>
      </w:r>
      <w:r w:rsidR="00D118B5">
        <w:t>wa</w:t>
      </w:r>
      <w:r w:rsidR="00780EB0">
        <w:t xml:space="preserve">s to </w:t>
      </w:r>
      <w:r w:rsidR="002243D2">
        <w:t>select</w:t>
      </w:r>
      <w:r w:rsidR="00780EB0">
        <w:t xml:space="preserve"> </w:t>
      </w:r>
      <w:r w:rsidR="002243D2">
        <w:t>the appropriate</w:t>
      </w:r>
      <w:r w:rsidR="00780EB0">
        <w:t xml:space="preserve"> </w:t>
      </w:r>
      <w:r w:rsidR="00CA7AE1">
        <w:t xml:space="preserve">source of </w:t>
      </w:r>
      <w:r w:rsidR="00BE7DCE">
        <w:t xml:space="preserve">data </w:t>
      </w:r>
      <w:r w:rsidR="00CA7AE1">
        <w:t>on</w:t>
      </w:r>
      <w:r w:rsidR="00780EB0">
        <w:t xml:space="preserve"> which entities provide </w:t>
      </w:r>
      <w:r w:rsidR="0036526C">
        <w:t xml:space="preserve">fixed </w:t>
      </w:r>
      <w:r w:rsidR="00BE7DCE">
        <w:t xml:space="preserve">broadband and voice </w:t>
      </w:r>
      <w:r w:rsidR="00780EB0">
        <w:t>service</w:t>
      </w:r>
      <w:r w:rsidR="00CA7AE1">
        <w:t>s</w:t>
      </w:r>
      <w:r w:rsidR="00780EB0">
        <w:t xml:space="preserve"> within </w:t>
      </w:r>
      <w:r w:rsidR="00BE7DCE">
        <w:t>a study area</w:t>
      </w:r>
      <w:r w:rsidR="002243D2">
        <w:t>.</w:t>
      </w:r>
      <w:r w:rsidR="003D30D5">
        <w:rPr>
          <w:rStyle w:val="FootnoteReference"/>
          <w:szCs w:val="22"/>
        </w:rPr>
        <w:footnoteReference w:id="20"/>
      </w:r>
      <w:r w:rsidR="002243D2">
        <w:t xml:space="preserve"> </w:t>
      </w:r>
      <w:r w:rsidR="003D30D5">
        <w:t xml:space="preserve"> </w:t>
      </w:r>
      <w:r w:rsidR="002243D2">
        <w:t xml:space="preserve"> </w:t>
      </w:r>
      <w:r w:rsidR="00BF1AB1">
        <w:t xml:space="preserve"> </w:t>
      </w:r>
      <w:r w:rsidR="00893AA3">
        <w:t xml:space="preserve"> </w:t>
      </w:r>
    </w:p>
    <w:p w14:paraId="384E8206" w14:textId="77777777" w:rsidR="00E60335" w:rsidRDefault="00543E41" w:rsidP="00B779D1">
      <w:pPr>
        <w:pStyle w:val="StyleParanumLeft"/>
        <w:spacing w:after="120"/>
      </w:pPr>
      <w:bookmarkStart w:id="4" w:name="_Ref421196938"/>
      <w:r>
        <w:t>W</w:t>
      </w:r>
      <w:r w:rsidR="00BE7DCE">
        <w:t>e rel</w:t>
      </w:r>
      <w:r w:rsidR="00D118B5">
        <w:t>ied</w:t>
      </w:r>
      <w:r w:rsidR="00BE7DCE">
        <w:t xml:space="preserve"> on the </w:t>
      </w:r>
      <w:r w:rsidR="001D04D2">
        <w:t xml:space="preserve">Form 477 </w:t>
      </w:r>
      <w:r w:rsidR="00546756">
        <w:t xml:space="preserve">broadband </w:t>
      </w:r>
      <w:r w:rsidR="001D04D2">
        <w:t>deployment</w:t>
      </w:r>
      <w:r w:rsidR="00A36304">
        <w:t xml:space="preserve"> data</w:t>
      </w:r>
      <w:r w:rsidR="00546756">
        <w:t xml:space="preserve"> </w:t>
      </w:r>
      <w:r w:rsidR="00C36C0B">
        <w:t xml:space="preserve">to </w:t>
      </w:r>
      <w:r w:rsidR="00D118B5">
        <w:t xml:space="preserve">make our preliminary </w:t>
      </w:r>
      <w:r w:rsidR="00C36C0B">
        <w:t>determin</w:t>
      </w:r>
      <w:r w:rsidR="00D118B5">
        <w:t>ation</w:t>
      </w:r>
      <w:r w:rsidR="005E76AF">
        <w:t xml:space="preserve"> </w:t>
      </w:r>
      <w:r w:rsidR="00EB5E8A">
        <w:t xml:space="preserve">of </w:t>
      </w:r>
      <w:r w:rsidR="005E76AF">
        <w:t>which providers offer broadband service in a study area</w:t>
      </w:r>
      <w:r w:rsidR="00546756">
        <w:t xml:space="preserve">.  </w:t>
      </w:r>
      <w:r w:rsidR="00A36304">
        <w:t xml:space="preserve">Form 477 offers several advantages over the SBI/NBM data.  </w:t>
      </w:r>
      <w:r w:rsidR="00F3574B">
        <w:t xml:space="preserve">First, </w:t>
      </w:r>
      <w:r w:rsidR="005E76AF">
        <w:t>the Form 4</w:t>
      </w:r>
      <w:r w:rsidR="00A36304">
        <w:t>77 data collection is mandatory,</w:t>
      </w:r>
      <w:r w:rsidR="005E76AF">
        <w:t xml:space="preserve"> and Form 477 filers must certify to the accuracy of their data.</w:t>
      </w:r>
      <w:r w:rsidR="0059088C">
        <w:rPr>
          <w:rStyle w:val="FootnoteReference"/>
        </w:rPr>
        <w:footnoteReference w:id="21"/>
      </w:r>
      <w:r w:rsidR="005E76AF">
        <w:t xml:space="preserve">  Certain commenters opposed the use of SBI/NBM data in the </w:t>
      </w:r>
      <w:r w:rsidR="008B0F33">
        <w:t xml:space="preserve">overlap </w:t>
      </w:r>
      <w:r w:rsidR="005E76AF">
        <w:t>analysis due to concerns over the reliability of the data</w:t>
      </w:r>
      <w:r w:rsidR="001C6ABE">
        <w:t>,</w:t>
      </w:r>
      <w:r w:rsidR="00C01CA8">
        <w:rPr>
          <w:rStyle w:val="FootnoteReference"/>
          <w:szCs w:val="22"/>
        </w:rPr>
        <w:footnoteReference w:id="22"/>
      </w:r>
      <w:r w:rsidR="005E76AF">
        <w:t xml:space="preserve"> </w:t>
      </w:r>
      <w:r w:rsidR="001C6ABE">
        <w:t xml:space="preserve">and we </w:t>
      </w:r>
      <w:r>
        <w:t xml:space="preserve">therefore </w:t>
      </w:r>
      <w:r w:rsidR="00141464">
        <w:t>conclude</w:t>
      </w:r>
      <w:r w:rsidR="001C6ABE">
        <w:t xml:space="preserve"> </w:t>
      </w:r>
      <w:r w:rsidR="008B0F33">
        <w:t xml:space="preserve">that </w:t>
      </w:r>
      <w:r w:rsidR="005E76AF">
        <w:t xml:space="preserve">using </w:t>
      </w:r>
      <w:r w:rsidR="001C6ABE">
        <w:t xml:space="preserve">the Form 477 data </w:t>
      </w:r>
      <w:r w:rsidR="004037D7">
        <w:t>is preferable.</w:t>
      </w:r>
      <w:r>
        <w:t xml:space="preserve"> </w:t>
      </w:r>
      <w:r w:rsidR="00C467C4">
        <w:t xml:space="preserve"> Second, Form 477 does not collect bandwidth data in pre-determined tiers as the SBI/NBM data collection did</w:t>
      </w:r>
      <w:r w:rsidR="001C6ABE">
        <w:t>,</w:t>
      </w:r>
      <w:r w:rsidR="00410DBC">
        <w:t xml:space="preserve"> but instead requires providers to report the maximum advertised upload and download speeds </w:t>
      </w:r>
      <w:r w:rsidR="001C6ABE">
        <w:t>they offer</w:t>
      </w:r>
      <w:r w:rsidR="00410DBC">
        <w:t xml:space="preserve"> in a census block</w:t>
      </w:r>
      <w:r w:rsidR="00C467C4">
        <w:t>.</w:t>
      </w:r>
      <w:r w:rsidR="00C36C0B">
        <w:rPr>
          <w:rStyle w:val="FootnoteReference"/>
        </w:rPr>
        <w:footnoteReference w:id="23"/>
      </w:r>
      <w:r w:rsidR="00C467C4">
        <w:t xml:space="preserve">  Therefore, </w:t>
      </w:r>
      <w:r w:rsidR="00C01CA8">
        <w:t>when</w:t>
      </w:r>
      <w:r w:rsidR="00C859E1">
        <w:t xml:space="preserve"> select</w:t>
      </w:r>
      <w:r w:rsidR="00C01CA8">
        <w:t>ing</w:t>
      </w:r>
      <w:r w:rsidR="00C859E1">
        <w:t xml:space="preserve"> the appropriate </w:t>
      </w:r>
      <w:r w:rsidR="00C36C0B">
        <w:t>speed</w:t>
      </w:r>
      <w:r w:rsidR="00C01CA8">
        <w:t xml:space="preserve"> </w:t>
      </w:r>
      <w:r w:rsidR="001C6ABE">
        <w:t xml:space="preserve">that a </w:t>
      </w:r>
      <w:r w:rsidR="00C36C0B">
        <w:t>provider</w:t>
      </w:r>
      <w:r w:rsidR="001C6ABE">
        <w:t xml:space="preserve"> must offer in order to be considered an unsubsidized</w:t>
      </w:r>
      <w:r w:rsidR="00C01CA8">
        <w:t xml:space="preserve"> </w:t>
      </w:r>
      <w:r w:rsidR="001C6ABE">
        <w:t xml:space="preserve">competitor, we </w:t>
      </w:r>
      <w:r w:rsidR="00C36C0B">
        <w:t xml:space="preserve">do not </w:t>
      </w:r>
      <w:r w:rsidR="00A36304">
        <w:t xml:space="preserve">need </w:t>
      </w:r>
      <w:r w:rsidR="00C36C0B">
        <w:t>to</w:t>
      </w:r>
      <w:r w:rsidR="001C6ABE">
        <w:t xml:space="preserve"> use</w:t>
      </w:r>
      <w:r w:rsidR="00410DBC">
        <w:t xml:space="preserve"> a </w:t>
      </w:r>
      <w:r w:rsidR="001C6ABE">
        <w:t xml:space="preserve">pre-set </w:t>
      </w:r>
      <w:r w:rsidR="00C36C0B">
        <w:t>speed tier</w:t>
      </w:r>
      <w:r w:rsidR="001C6ABE">
        <w:t xml:space="preserve"> as a proxy for that appropriate </w:t>
      </w:r>
      <w:r w:rsidR="00C36C0B">
        <w:t>speed</w:t>
      </w:r>
      <w:r w:rsidR="00410DBC">
        <w:t>.</w:t>
      </w:r>
      <w:r w:rsidR="008B0F33">
        <w:rPr>
          <w:rStyle w:val="FootnoteReference"/>
          <w:szCs w:val="22"/>
        </w:rPr>
        <w:footnoteReference w:id="24"/>
      </w:r>
      <w:r w:rsidR="00410DBC">
        <w:t xml:space="preserve">  </w:t>
      </w:r>
      <w:r w:rsidR="001C6ABE">
        <w:t xml:space="preserve">Third, </w:t>
      </w:r>
      <w:r w:rsidR="00DF4187">
        <w:t xml:space="preserve">as discussed below, </w:t>
      </w:r>
      <w:r w:rsidR="004224D8">
        <w:t>use of</w:t>
      </w:r>
      <w:r w:rsidR="00C36C0B">
        <w:t xml:space="preserve"> </w:t>
      </w:r>
      <w:r w:rsidR="00E111F9">
        <w:t xml:space="preserve">the Form 477 data </w:t>
      </w:r>
      <w:r w:rsidR="00E61EC6">
        <w:t>ensure</w:t>
      </w:r>
      <w:r w:rsidR="00C36C0B">
        <w:t>s</w:t>
      </w:r>
      <w:r w:rsidR="00E111F9">
        <w:t xml:space="preserve"> </w:t>
      </w:r>
      <w:r w:rsidR="00E61EC6">
        <w:t>consistency in the data</w:t>
      </w:r>
      <w:r w:rsidR="004F60B6">
        <w:t xml:space="preserve"> </w:t>
      </w:r>
      <w:r w:rsidR="00E61EC6">
        <w:t xml:space="preserve">used to </w:t>
      </w:r>
      <w:r w:rsidR="00C36C0B">
        <w:t>determine</w:t>
      </w:r>
      <w:r w:rsidR="00E61EC6">
        <w:t xml:space="preserve"> both broadband and voice </w:t>
      </w:r>
      <w:r w:rsidR="00C36C0B">
        <w:t>competitors</w:t>
      </w:r>
      <w:r w:rsidR="00E61EC6">
        <w:t>.</w:t>
      </w:r>
      <w:r w:rsidR="000D44A1">
        <w:rPr>
          <w:rStyle w:val="FootnoteReference"/>
          <w:szCs w:val="22"/>
        </w:rPr>
        <w:footnoteReference w:id="25"/>
      </w:r>
      <w:r w:rsidR="00410DBC">
        <w:t xml:space="preserve"> </w:t>
      </w:r>
      <w:r w:rsidR="00DF4187">
        <w:t xml:space="preserve"> Finally, while </w:t>
      </w:r>
      <w:r w:rsidR="00C36C0B">
        <w:t>both</w:t>
      </w:r>
      <w:r w:rsidR="00DF4187">
        <w:t xml:space="preserve"> SBI/N</w:t>
      </w:r>
      <w:r w:rsidR="00C36C0B">
        <w:t>BM</w:t>
      </w:r>
      <w:r w:rsidR="00DF4187">
        <w:t xml:space="preserve"> </w:t>
      </w:r>
      <w:r w:rsidR="00FB22C7">
        <w:t xml:space="preserve">and Form 477 </w:t>
      </w:r>
      <w:r w:rsidR="00DF4187">
        <w:t xml:space="preserve">data </w:t>
      </w:r>
      <w:r w:rsidR="00141464">
        <w:t xml:space="preserve">historically </w:t>
      </w:r>
      <w:r w:rsidR="00FB22C7">
        <w:t xml:space="preserve">could be used to analyze broadband availability, only Form 477 data will be available </w:t>
      </w:r>
      <w:r w:rsidR="00141464">
        <w:t>going forward.</w:t>
      </w:r>
      <w:r w:rsidR="00DF4187">
        <w:t xml:space="preserve"> </w:t>
      </w:r>
      <w:r w:rsidR="00FB22C7">
        <w:t xml:space="preserve"> </w:t>
      </w:r>
      <w:r w:rsidR="0065417E">
        <w:t xml:space="preserve">We performed our analysis using Form 477 data as of </w:t>
      </w:r>
      <w:r w:rsidR="00F673C4">
        <w:t xml:space="preserve">December </w:t>
      </w:r>
      <w:r w:rsidR="008B0F33">
        <w:t>3</w:t>
      </w:r>
      <w:r w:rsidR="00F673C4">
        <w:t>1</w:t>
      </w:r>
      <w:r w:rsidR="008B0F33">
        <w:t xml:space="preserve">, </w:t>
      </w:r>
      <w:r w:rsidR="0065417E">
        <w:t>2014.</w:t>
      </w:r>
      <w:bookmarkEnd w:id="4"/>
    </w:p>
    <w:p w14:paraId="36DEF9CB" w14:textId="77777777" w:rsidR="004224D8" w:rsidRDefault="008E4844" w:rsidP="00B779D1">
      <w:pPr>
        <w:pStyle w:val="StyleParanumLeft"/>
        <w:spacing w:after="120"/>
      </w:pPr>
      <w:r>
        <w:t>T</w:t>
      </w:r>
      <w:r w:rsidR="000D5F08">
        <w:t xml:space="preserve">o be considered an unsubsidized competitor for purposes of the 100 percent overlap analysis, a </w:t>
      </w:r>
      <w:r w:rsidR="0036526C">
        <w:t xml:space="preserve">fixed </w:t>
      </w:r>
      <w:r w:rsidR="000D5F08">
        <w:t>broadband provider must offer service in accordance with the Commission’s service obligations</w:t>
      </w:r>
      <w:r w:rsidR="009A5624">
        <w:t xml:space="preserve"> on</w:t>
      </w:r>
      <w:r w:rsidR="009A5624" w:rsidRPr="009A5624">
        <w:t xml:space="preserve"> </w:t>
      </w:r>
      <w:r w:rsidR="009A5624">
        <w:t xml:space="preserve">speed, latency, </w:t>
      </w:r>
      <w:r w:rsidR="00B92D97">
        <w:t xml:space="preserve">and </w:t>
      </w:r>
      <w:r w:rsidR="009A5624">
        <w:t xml:space="preserve">usage </w:t>
      </w:r>
      <w:r w:rsidR="00A12B43">
        <w:t>allowances</w:t>
      </w:r>
      <w:r w:rsidR="000D5F08">
        <w:t>.</w:t>
      </w:r>
      <w:r w:rsidR="00D12CEA">
        <w:rPr>
          <w:rStyle w:val="FootnoteReference"/>
          <w:szCs w:val="22"/>
        </w:rPr>
        <w:footnoteReference w:id="26"/>
      </w:r>
      <w:r w:rsidR="000D5F08">
        <w:t xml:space="preserve">  </w:t>
      </w:r>
      <w:r w:rsidR="00B17978">
        <w:t>In December 2014, the Commission adopted</w:t>
      </w:r>
      <w:r w:rsidR="00B17978" w:rsidRPr="00832F63">
        <w:t xml:space="preserve"> a new minimum speed standard</w:t>
      </w:r>
      <w:r w:rsidR="004224D8">
        <w:t xml:space="preserve"> for</w:t>
      </w:r>
      <w:r w:rsidR="00D12CEA">
        <w:t xml:space="preserve"> carriers receiving high-cost support</w:t>
      </w:r>
      <w:r w:rsidR="004224D8">
        <w:t>: they</w:t>
      </w:r>
      <w:r w:rsidR="00D12CEA">
        <w:t xml:space="preserve"> must offer actual speeds of at least </w:t>
      </w:r>
      <w:r w:rsidR="00B17978" w:rsidRPr="00832F63">
        <w:t>10 Mbps downstream and 1 Mbps upstream (10/1 Mbps)</w:t>
      </w:r>
      <w:r w:rsidR="00B17978">
        <w:t>.</w:t>
      </w:r>
      <w:r w:rsidR="00B17978">
        <w:rPr>
          <w:rStyle w:val="FootnoteReference"/>
        </w:rPr>
        <w:footnoteReference w:id="27"/>
      </w:r>
      <w:r w:rsidR="00B17978">
        <w:t xml:space="preserve">  </w:t>
      </w:r>
      <w:r w:rsidR="00D12CEA">
        <w:t xml:space="preserve">Therefore, we </w:t>
      </w:r>
      <w:r w:rsidR="004E27EE">
        <w:t>use</w:t>
      </w:r>
      <w:r w:rsidR="0065417E">
        <w:t>d</w:t>
      </w:r>
      <w:r w:rsidR="00B17978">
        <w:t xml:space="preserve"> 10/1 Mbps as the </w:t>
      </w:r>
      <w:r w:rsidR="00D12CEA">
        <w:t xml:space="preserve">speed threshold in the preliminary 100 percent overlap analysis.  </w:t>
      </w:r>
      <w:r w:rsidR="004E27EE">
        <w:t>Because Form 477 collect</w:t>
      </w:r>
      <w:r w:rsidR="009A5624">
        <w:t>s</w:t>
      </w:r>
      <w:r w:rsidR="004E27EE">
        <w:t xml:space="preserve"> data on advertised rather than actual </w:t>
      </w:r>
      <w:r w:rsidR="001F4B12">
        <w:t>broadband speeds, we use</w:t>
      </w:r>
      <w:r w:rsidR="0065417E">
        <w:t>d</w:t>
      </w:r>
      <w:r w:rsidR="001F4B12">
        <w:t xml:space="preserve"> advertised as a proxy for actual speed.</w:t>
      </w:r>
      <w:r w:rsidR="0060374A" w:rsidRPr="0060374A">
        <w:t xml:space="preserve"> </w:t>
      </w:r>
      <w:r w:rsidR="0060374A">
        <w:t xml:space="preserve"> </w:t>
      </w:r>
    </w:p>
    <w:p w14:paraId="2321C3E1" w14:textId="77777777" w:rsidR="00C40128" w:rsidRDefault="0060374A" w:rsidP="00B779D1">
      <w:pPr>
        <w:pStyle w:val="StyleParanumLeft"/>
        <w:spacing w:after="120"/>
      </w:pPr>
      <w:bookmarkStart w:id="5" w:name="_Ref421197109"/>
      <w:r w:rsidRPr="00CF149F">
        <w:t xml:space="preserve">The </w:t>
      </w:r>
      <w:r w:rsidR="008B4CC7" w:rsidRPr="00CF149F">
        <w:t xml:space="preserve">Commission </w:t>
      </w:r>
      <w:r w:rsidR="000D44A1" w:rsidRPr="00CF149F">
        <w:t xml:space="preserve">currently </w:t>
      </w:r>
      <w:r w:rsidR="008B4CC7" w:rsidRPr="00CF149F">
        <w:t>does not</w:t>
      </w:r>
      <w:r w:rsidRPr="00CF149F">
        <w:t xml:space="preserve"> </w:t>
      </w:r>
      <w:r w:rsidR="008B4CC7" w:rsidRPr="00CF149F">
        <w:t xml:space="preserve">collect comprehensive, block-level data on </w:t>
      </w:r>
      <w:r w:rsidR="000D44A1" w:rsidRPr="00CF149F">
        <w:t xml:space="preserve">broadband </w:t>
      </w:r>
      <w:r w:rsidRPr="00CF149F">
        <w:t xml:space="preserve">latency or monthly usage </w:t>
      </w:r>
      <w:r w:rsidR="00543E41" w:rsidRPr="00CF149F">
        <w:t>allowances</w:t>
      </w:r>
      <w:r w:rsidR="000D44A1" w:rsidRPr="00CF149F">
        <w:t>, as it does for broadband speed</w:t>
      </w:r>
      <w:r w:rsidRPr="00CF149F">
        <w:t>.</w:t>
      </w:r>
      <w:r w:rsidRPr="00832F63">
        <w:rPr>
          <w:rStyle w:val="FootnoteReference"/>
        </w:rPr>
        <w:footnoteReference w:id="28"/>
      </w:r>
      <w:r w:rsidRPr="00CF149F">
        <w:t xml:space="preserve">  </w:t>
      </w:r>
      <w:r w:rsidR="00A12B43">
        <w:t xml:space="preserve">However, data collected by the Commission through the Measuring Broadband America program suggest that </w:t>
      </w:r>
      <w:r w:rsidR="009473C8">
        <w:t xml:space="preserve">the latencies associated with </w:t>
      </w:r>
      <w:r w:rsidR="00A12B43">
        <w:t xml:space="preserve">most fixed broadband services </w:t>
      </w:r>
      <w:r w:rsidR="009473C8">
        <w:t>are low enough to allow</w:t>
      </w:r>
      <w:r w:rsidR="00A12B43">
        <w:t xml:space="preserve"> for real time applications, including Voice over Internet Protocol.</w:t>
      </w:r>
      <w:r w:rsidR="009473C8">
        <w:rPr>
          <w:rStyle w:val="FootnoteReference"/>
        </w:rPr>
        <w:footnoteReference w:id="29"/>
      </w:r>
      <w:r w:rsidR="00A12B43">
        <w:t xml:space="preserve">  In addition, data from the Commission’s urban rate survey indicate that many</w:t>
      </w:r>
      <w:r w:rsidR="009473C8">
        <w:t xml:space="preserve"> fixed broadband providers offer unlimited </w:t>
      </w:r>
      <w:r w:rsidR="005058DF">
        <w:t xml:space="preserve">data </w:t>
      </w:r>
      <w:r w:rsidR="009473C8">
        <w:t>usage or usage allowances greater than 100 gigabytes per month.</w:t>
      </w:r>
      <w:r w:rsidR="00604E1E">
        <w:rPr>
          <w:rStyle w:val="FootnoteReference"/>
        </w:rPr>
        <w:footnoteReference w:id="30"/>
      </w:r>
      <w:r w:rsidR="00A12B43">
        <w:t xml:space="preserve"> </w:t>
      </w:r>
      <w:r w:rsidR="00604E1E">
        <w:t xml:space="preserve"> </w:t>
      </w:r>
      <w:r w:rsidRPr="00CF149F">
        <w:t xml:space="preserve">Therefore, we </w:t>
      </w:r>
      <w:r w:rsidR="00EE0EE3" w:rsidRPr="00CF149F">
        <w:t>assume</w:t>
      </w:r>
      <w:r w:rsidR="0065417E" w:rsidRPr="00CF149F">
        <w:t>d</w:t>
      </w:r>
      <w:r w:rsidR="00EE0EE3" w:rsidRPr="00CF149F">
        <w:t xml:space="preserve"> that provider</w:t>
      </w:r>
      <w:r w:rsidR="004224D8" w:rsidRPr="00CF149F">
        <w:t>s</w:t>
      </w:r>
      <w:r w:rsidR="00EE0EE3" w:rsidRPr="00CF149F">
        <w:t xml:space="preserve"> </w:t>
      </w:r>
      <w:r w:rsidR="004224D8" w:rsidRPr="00CF149F">
        <w:t>meeting</w:t>
      </w:r>
      <w:r w:rsidR="00EE0EE3" w:rsidRPr="00CF149F">
        <w:t xml:space="preserve"> the speed criteria also meet the non-speed criteria.  </w:t>
      </w:r>
    </w:p>
    <w:p w14:paraId="61644E20" w14:textId="77777777" w:rsidR="00C40128" w:rsidRDefault="009042D1" w:rsidP="00B779D1">
      <w:pPr>
        <w:pStyle w:val="StyleParanumLeft"/>
        <w:spacing w:after="120"/>
      </w:pPr>
      <w:r w:rsidRPr="00CF149F">
        <w:t>Th</w:t>
      </w:r>
      <w:r w:rsidR="0065417E" w:rsidRPr="00CF149F">
        <w:t xml:space="preserve">is is </w:t>
      </w:r>
      <w:r w:rsidR="00702F67" w:rsidRPr="00CF149F">
        <w:t xml:space="preserve">similar </w:t>
      </w:r>
      <w:r w:rsidR="0065417E" w:rsidRPr="00CF149F">
        <w:t xml:space="preserve">to the approach taken by the Bureau in </w:t>
      </w:r>
      <w:r w:rsidR="00F75E81" w:rsidRPr="00CF149F">
        <w:t xml:space="preserve">the </w:t>
      </w:r>
      <w:r w:rsidRPr="00CF149F">
        <w:t xml:space="preserve">Connect America Fund Phase II </w:t>
      </w:r>
      <w:r w:rsidR="00543E41" w:rsidRPr="00CF149F">
        <w:t>c</w:t>
      </w:r>
      <w:r w:rsidRPr="00CF149F">
        <w:t xml:space="preserve">hallenge </w:t>
      </w:r>
      <w:r w:rsidR="00543E41" w:rsidRPr="00CF149F">
        <w:t>p</w:t>
      </w:r>
      <w:r w:rsidRPr="00CF149F">
        <w:t>rocess</w:t>
      </w:r>
      <w:r w:rsidR="00B92D97" w:rsidRPr="00CF149F">
        <w:t>.</w:t>
      </w:r>
      <w:r>
        <w:rPr>
          <w:rStyle w:val="FootnoteReference"/>
          <w:szCs w:val="22"/>
        </w:rPr>
        <w:footnoteReference w:id="31"/>
      </w:r>
      <w:r w:rsidRPr="00CF149F">
        <w:t xml:space="preserve"> </w:t>
      </w:r>
      <w:r w:rsidR="00543E41" w:rsidRPr="00CF149F">
        <w:t xml:space="preserve"> One of the lessons learned from the Phase II challenge process was that </w:t>
      </w:r>
      <w:r w:rsidR="00CF149F" w:rsidRPr="00CF149F">
        <w:t>no part</w:t>
      </w:r>
      <w:r w:rsidR="009473C8">
        <w:t>y</w:t>
      </w:r>
      <w:r w:rsidR="00CF149F" w:rsidRPr="00CF149F">
        <w:t xml:space="preserve"> </w:t>
      </w:r>
      <w:r w:rsidR="00DB66D8">
        <w:t>w</w:t>
      </w:r>
      <w:r w:rsidR="009473C8">
        <w:t>as</w:t>
      </w:r>
      <w:r w:rsidR="00DB66D8">
        <w:t xml:space="preserve"> able to demonstrate high latency by</w:t>
      </w:r>
      <w:r w:rsidR="00DB66D8" w:rsidRPr="00CF149F">
        <w:t xml:space="preserve"> </w:t>
      </w:r>
      <w:r w:rsidR="00CF149F" w:rsidRPr="00CF149F">
        <w:t xml:space="preserve">competitors, and very few </w:t>
      </w:r>
      <w:r w:rsidR="00543E41" w:rsidRPr="00CF149F">
        <w:t xml:space="preserve">providers </w:t>
      </w:r>
      <w:r w:rsidR="00CF149F" w:rsidRPr="00CF149F">
        <w:t xml:space="preserve">prevailed in a challenge </w:t>
      </w:r>
      <w:r w:rsidR="00DB66D8">
        <w:t xml:space="preserve">exclusively </w:t>
      </w:r>
      <w:r w:rsidR="00C40128">
        <w:t xml:space="preserve">focused on </w:t>
      </w:r>
      <w:r w:rsidR="00CF149F" w:rsidRPr="00CF149F">
        <w:t>a competitor’s usage/price.  This provides us with confidence that</w:t>
      </w:r>
      <w:r w:rsidR="005A1AC0">
        <w:t>,</w:t>
      </w:r>
      <w:r w:rsidR="00CF149F" w:rsidRPr="00CF149F">
        <w:t xml:space="preserve"> </w:t>
      </w:r>
      <w:r w:rsidR="004037D7">
        <w:t>as a general matter, it is reas</w:t>
      </w:r>
      <w:r w:rsidR="00CF149F">
        <w:t>onable to assume that a provider th</w:t>
      </w:r>
      <w:r w:rsidR="00CF149F" w:rsidRPr="00CF149F">
        <w:t xml:space="preserve">at in fact </w:t>
      </w:r>
      <w:r w:rsidR="00CF149F">
        <w:t xml:space="preserve">is </w:t>
      </w:r>
      <w:r w:rsidR="00CF149F" w:rsidRPr="00CF149F">
        <w:t xml:space="preserve">in the area providing the requisite speed </w:t>
      </w:r>
      <w:r w:rsidR="00CF149F">
        <w:t xml:space="preserve">is </w:t>
      </w:r>
      <w:r w:rsidR="00CF149F" w:rsidRPr="00CF149F">
        <w:t xml:space="preserve">also meeting the latency and usage requirements.  </w:t>
      </w:r>
    </w:p>
    <w:p w14:paraId="60161516" w14:textId="77777777" w:rsidR="00E61EC6" w:rsidRPr="00CF149F" w:rsidRDefault="009C7A05" w:rsidP="00B779D1">
      <w:pPr>
        <w:pStyle w:val="StyleParanumLeft"/>
        <w:spacing w:after="120"/>
      </w:pPr>
      <w:r w:rsidRPr="00CF149F">
        <w:t xml:space="preserve">To be considered unsubsidized competitors, providers </w:t>
      </w:r>
      <w:r w:rsidR="00FB22C7" w:rsidRPr="00CF149F">
        <w:t xml:space="preserve">must offer both </w:t>
      </w:r>
      <w:r w:rsidR="0036526C" w:rsidRPr="00CF149F">
        <w:t xml:space="preserve">fixed </w:t>
      </w:r>
      <w:r w:rsidR="004224D8" w:rsidRPr="00CF149F">
        <w:t xml:space="preserve">broadband and </w:t>
      </w:r>
      <w:r w:rsidR="008B0F33" w:rsidRPr="00CF149F">
        <w:t xml:space="preserve">fixed </w:t>
      </w:r>
      <w:r w:rsidR="004224D8" w:rsidRPr="00CF149F">
        <w:t>voice service in a</w:t>
      </w:r>
      <w:r w:rsidR="00FB22C7" w:rsidRPr="00CF149F">
        <w:t xml:space="preserve"> study area.</w:t>
      </w:r>
      <w:r w:rsidR="000D74E1">
        <w:rPr>
          <w:rStyle w:val="FootnoteReference"/>
          <w:szCs w:val="22"/>
        </w:rPr>
        <w:footnoteReference w:id="32"/>
      </w:r>
      <w:r w:rsidR="00FB22C7" w:rsidRPr="00CF149F">
        <w:t xml:space="preserve">  </w:t>
      </w:r>
      <w:r w:rsidR="0065417E" w:rsidRPr="00CF149F">
        <w:t xml:space="preserve">Form 477 provides the best data available on whether broadband providers also offer fixed voice service.  </w:t>
      </w:r>
      <w:r w:rsidR="00CC0A6F" w:rsidRPr="00CF149F">
        <w:t>To</w:t>
      </w:r>
      <w:r w:rsidR="00FB22C7" w:rsidRPr="00CF149F">
        <w:t xml:space="preserve"> </w:t>
      </w:r>
      <w:r w:rsidR="00DF4187" w:rsidRPr="00CF149F">
        <w:t xml:space="preserve">determine whether </w:t>
      </w:r>
      <w:r w:rsidR="000D5F08" w:rsidRPr="00CF149F">
        <w:t xml:space="preserve">a broadband provider </w:t>
      </w:r>
      <w:r w:rsidR="0020130C" w:rsidRPr="00CF149F">
        <w:t xml:space="preserve">also </w:t>
      </w:r>
      <w:r w:rsidR="009042D1" w:rsidRPr="00CF149F">
        <w:t xml:space="preserve">offers </w:t>
      </w:r>
      <w:r w:rsidR="000D5F08" w:rsidRPr="00F2443B">
        <w:t xml:space="preserve">voice </w:t>
      </w:r>
      <w:r w:rsidR="0020130C" w:rsidRPr="003A12BF">
        <w:t>service</w:t>
      </w:r>
      <w:r w:rsidR="000D74E1" w:rsidRPr="000A19BD">
        <w:t>,</w:t>
      </w:r>
      <w:r w:rsidR="00CC0A6F" w:rsidRPr="00B20D27">
        <w:t xml:space="preserve"> we assume</w:t>
      </w:r>
      <w:r w:rsidR="0065417E" w:rsidRPr="00B20D27">
        <w:t>d</w:t>
      </w:r>
      <w:r w:rsidR="00CC0A6F" w:rsidRPr="009A1E94">
        <w:t xml:space="preserve"> that</w:t>
      </w:r>
      <w:r w:rsidR="0036526C" w:rsidRPr="009A1E94">
        <w:t>,</w:t>
      </w:r>
      <w:r w:rsidR="00CC0A6F" w:rsidRPr="009A1E94">
        <w:t xml:space="preserve"> if a broadband provider</w:t>
      </w:r>
      <w:r w:rsidR="00012213" w:rsidRPr="009A1E94">
        <w:t xml:space="preserve"> </w:t>
      </w:r>
      <w:r w:rsidR="0020130C" w:rsidRPr="009A1E94">
        <w:t>reported</w:t>
      </w:r>
      <w:r w:rsidR="00012213" w:rsidRPr="004037D7">
        <w:t xml:space="preserve"> any fixed voice </w:t>
      </w:r>
      <w:r w:rsidR="0020130C" w:rsidRPr="004037D7">
        <w:t>connections</w:t>
      </w:r>
      <w:r w:rsidR="00012213" w:rsidRPr="004037D7">
        <w:t xml:space="preserve"> in a state </w:t>
      </w:r>
      <w:r w:rsidR="0020130C" w:rsidRPr="004037D7">
        <w:t>in</w:t>
      </w:r>
      <w:r w:rsidR="00012213" w:rsidRPr="004037D7">
        <w:t xml:space="preserve"> its Form 477 filing, then it offer</w:t>
      </w:r>
      <w:r w:rsidR="008B0F33" w:rsidRPr="004037D7">
        <w:t>ed</w:t>
      </w:r>
      <w:r w:rsidR="00012213" w:rsidRPr="004037D7">
        <w:t xml:space="preserve"> voice service throughout its entire broadband service area in that state.  </w:t>
      </w:r>
      <w:r w:rsidR="008B0F33" w:rsidRPr="004037D7">
        <w:t xml:space="preserve">The Bureau used the same </w:t>
      </w:r>
      <w:r w:rsidR="00580755">
        <w:t xml:space="preserve">approach to identifying voice providers </w:t>
      </w:r>
      <w:r w:rsidR="008B0F33" w:rsidRPr="004037D7">
        <w:t xml:space="preserve">in </w:t>
      </w:r>
      <w:r w:rsidR="00543E41" w:rsidRPr="004037D7">
        <w:t xml:space="preserve">developing the model adopted for the offer of Phase II support to price cap carriers and also in </w:t>
      </w:r>
      <w:r w:rsidR="008B0F33" w:rsidRPr="004037D7">
        <w:t xml:space="preserve">the Connect America Fund Phase II </w:t>
      </w:r>
      <w:r w:rsidR="00563ED7" w:rsidRPr="004037D7">
        <w:t xml:space="preserve">challenge </w:t>
      </w:r>
      <w:r w:rsidR="008B0F33" w:rsidRPr="004037D7">
        <w:t>process.</w:t>
      </w:r>
      <w:r w:rsidR="008B0F33">
        <w:rPr>
          <w:rStyle w:val="FootnoteReference"/>
          <w:szCs w:val="22"/>
        </w:rPr>
        <w:footnoteReference w:id="33"/>
      </w:r>
      <w:bookmarkEnd w:id="5"/>
    </w:p>
    <w:p w14:paraId="4A33E9AC" w14:textId="045C647D" w:rsidR="009A27A2" w:rsidRPr="007F7CE7" w:rsidRDefault="0036526C" w:rsidP="001C764F">
      <w:pPr>
        <w:pStyle w:val="StyleParanumLeft"/>
      </w:pPr>
      <w:r>
        <w:t xml:space="preserve">Finally, we </w:t>
      </w:r>
      <w:r w:rsidR="0065417E">
        <w:t xml:space="preserve">excluded </w:t>
      </w:r>
      <w:r w:rsidR="006127BE">
        <w:t>competitive Eligible Telecommunications Carriers (</w:t>
      </w:r>
      <w:r w:rsidR="003A3ABF">
        <w:t>CETCs</w:t>
      </w:r>
      <w:r w:rsidR="006127BE">
        <w:t>)</w:t>
      </w:r>
      <w:r>
        <w:t xml:space="preserve"> receiving </w:t>
      </w:r>
      <w:r w:rsidR="00F1317E">
        <w:t>universal service</w:t>
      </w:r>
      <w:r>
        <w:t xml:space="preserve"> support, as well as </w:t>
      </w:r>
      <w:r w:rsidR="00E4779E">
        <w:t>certain</w:t>
      </w:r>
      <w:r w:rsidR="00FF6791">
        <w:t xml:space="preserve"> </w:t>
      </w:r>
      <w:r>
        <w:t xml:space="preserve">affiliates of ILECs, </w:t>
      </w:r>
      <w:r w:rsidR="0065417E">
        <w:t>from</w:t>
      </w:r>
      <w:r>
        <w:t xml:space="preserve"> the 100 percent overlap analysis.  </w:t>
      </w:r>
      <w:r w:rsidR="004224D8">
        <w:t xml:space="preserve">We did not </w:t>
      </w:r>
      <w:r w:rsidR="00965A46">
        <w:t>include</w:t>
      </w:r>
      <w:r w:rsidR="00F1317E">
        <w:t xml:space="preserve"> </w:t>
      </w:r>
      <w:r w:rsidR="003E1DBF">
        <w:t xml:space="preserve">CETCs </w:t>
      </w:r>
      <w:r w:rsidR="00F1317E">
        <w:t xml:space="preserve">that </w:t>
      </w:r>
      <w:r w:rsidR="003E1DBF">
        <w:t>receiv</w:t>
      </w:r>
      <w:r w:rsidR="00F1317E">
        <w:t>ed</w:t>
      </w:r>
      <w:r w:rsidR="003E1DBF">
        <w:t xml:space="preserve"> </w:t>
      </w:r>
      <w:r w:rsidR="00965A46">
        <w:t xml:space="preserve">universal service </w:t>
      </w:r>
      <w:r w:rsidR="003E1DBF">
        <w:t xml:space="preserve">support </w:t>
      </w:r>
      <w:r w:rsidR="00F673C4">
        <w:t xml:space="preserve">in the study area’s state </w:t>
      </w:r>
      <w:r w:rsidR="004224D8">
        <w:t xml:space="preserve">at any time </w:t>
      </w:r>
      <w:r w:rsidR="00F1317E">
        <w:t xml:space="preserve">during the </w:t>
      </w:r>
      <w:r w:rsidR="00F673C4">
        <w:t xml:space="preserve">first quarter </w:t>
      </w:r>
      <w:r w:rsidR="00F1317E">
        <w:t xml:space="preserve">of </w:t>
      </w:r>
      <w:r w:rsidR="00F673C4">
        <w:t xml:space="preserve">2015 </w:t>
      </w:r>
      <w:r w:rsidR="004224D8">
        <w:t>in our preliminary determination because</w:t>
      </w:r>
      <w:r w:rsidR="00965A46">
        <w:t xml:space="preserve"> these providers are not “unsubsidized</w:t>
      </w:r>
      <w:r w:rsidR="00785A74">
        <w:t>.</w:t>
      </w:r>
      <w:r w:rsidR="00965A46">
        <w:t>”</w:t>
      </w:r>
      <w:r w:rsidR="003E1DBF">
        <w:t xml:space="preserve">  </w:t>
      </w:r>
      <w:r w:rsidR="0065417E">
        <w:t>We also conclude</w:t>
      </w:r>
      <w:r w:rsidR="005959A1">
        <w:t>, for purposes of implementing the 100 percent overlap rule,</w:t>
      </w:r>
      <w:r w:rsidR="001C411E">
        <w:t xml:space="preserve"> </w:t>
      </w:r>
      <w:r w:rsidR="0065417E">
        <w:t xml:space="preserve">that </w:t>
      </w:r>
      <w:r w:rsidR="006D1CF0">
        <w:t>a</w:t>
      </w:r>
      <w:r w:rsidR="006C3868">
        <w:t xml:space="preserve">n </w:t>
      </w:r>
      <w:r w:rsidR="00D110BE">
        <w:t xml:space="preserve">affiliate </w:t>
      </w:r>
      <w:r w:rsidR="00FF6791">
        <w:t xml:space="preserve">that </w:t>
      </w:r>
      <w:r w:rsidR="00D110BE">
        <w:t xml:space="preserve">an ILEC </w:t>
      </w:r>
      <w:r w:rsidR="00FF6791">
        <w:t xml:space="preserve">is using to meet its broadband public interest obligation </w:t>
      </w:r>
      <w:r w:rsidR="00D110BE">
        <w:t xml:space="preserve">in </w:t>
      </w:r>
      <w:r w:rsidR="00FF6791">
        <w:t>its</w:t>
      </w:r>
      <w:r w:rsidR="00D110BE">
        <w:t xml:space="preserve"> study area</w:t>
      </w:r>
      <w:r w:rsidR="006F0001">
        <w:t xml:space="preserve"> </w:t>
      </w:r>
      <w:r w:rsidR="006C3868">
        <w:t>is outside the scope of the rule</w:t>
      </w:r>
      <w:r w:rsidR="00FF6791">
        <w:t>.</w:t>
      </w:r>
      <w:r w:rsidR="006D1CF0">
        <w:rPr>
          <w:rStyle w:val="FootnoteReference"/>
        </w:rPr>
        <w:footnoteReference w:id="34"/>
      </w:r>
      <w:r w:rsidR="00F07A28">
        <w:t xml:space="preserve"> </w:t>
      </w:r>
      <w:r w:rsidR="00FF6791">
        <w:t xml:space="preserve"> </w:t>
      </w:r>
      <w:r w:rsidR="006C3868">
        <w:t xml:space="preserve">If we were to conclude otherwise, a rate-of-return carrier would automatically be subject to competitive overlap wherever its affiliate is offering broadband and voice service as a condition of receiving high-cost support.  </w:t>
      </w:r>
      <w:r w:rsidR="00FF6791">
        <w:t xml:space="preserve">However, </w:t>
      </w:r>
      <w:r w:rsidR="006C3868">
        <w:t>we are aware that in so</w:t>
      </w:r>
      <w:r w:rsidR="001C411E">
        <w:t>me instances</w:t>
      </w:r>
      <w:r w:rsidR="00FF6791">
        <w:t xml:space="preserve"> ILEC</w:t>
      </w:r>
      <w:r w:rsidR="006C3868">
        <w:t>s</w:t>
      </w:r>
      <w:r w:rsidR="00FF6791">
        <w:t xml:space="preserve"> </w:t>
      </w:r>
      <w:r w:rsidR="006C3868">
        <w:t xml:space="preserve">have acquired cable operators in their incumbent territory, and such entities have separate facilities from the incumbent’s network.  If such entities were </w:t>
      </w:r>
      <w:r w:rsidR="001C411E">
        <w:t>providing</w:t>
      </w:r>
      <w:r w:rsidR="008E086B">
        <w:t xml:space="preserve"> both broadband and voice services </w:t>
      </w:r>
      <w:r w:rsidR="006C3868">
        <w:t xml:space="preserve">to consumers in a given geography, we </w:t>
      </w:r>
      <w:r w:rsidR="00E4779E">
        <w:t>would</w:t>
      </w:r>
      <w:r w:rsidR="008E086B">
        <w:t xml:space="preserve"> conside</w:t>
      </w:r>
      <w:r w:rsidR="006D1CF0">
        <w:t>r</w:t>
      </w:r>
      <w:r w:rsidR="006C3868">
        <w:t xml:space="preserve"> them to be entities meeting th</w:t>
      </w:r>
      <w:r w:rsidR="00E4779E">
        <w:t>e</w:t>
      </w:r>
      <w:r w:rsidR="006C3868">
        <w:t xml:space="preserve"> definition </w:t>
      </w:r>
      <w:r w:rsidR="00E4779E">
        <w:t xml:space="preserve">of </w:t>
      </w:r>
      <w:r w:rsidR="00D76C0C">
        <w:t xml:space="preserve">an unsubsidized competitor </w:t>
      </w:r>
      <w:r w:rsidR="00E4779E">
        <w:t>that the Commission</w:t>
      </w:r>
      <w:r w:rsidR="001C411E">
        <w:t xml:space="preserve"> adopted in 2011, specifically,</w:t>
      </w:r>
      <w:r w:rsidR="00D76C0C">
        <w:t xml:space="preserve"> “a facilities-based provider of residential fixed voice and broadband service that does not receive high-cost support.”</w:t>
      </w:r>
      <w:r w:rsidR="00A241D4">
        <w:rPr>
          <w:rStyle w:val="FootnoteReference"/>
        </w:rPr>
        <w:footnoteReference w:id="35"/>
      </w:r>
    </w:p>
    <w:p w14:paraId="44984EEA" w14:textId="77777777" w:rsidR="009112BC" w:rsidRDefault="000B2F3C" w:rsidP="00B779D1">
      <w:pPr>
        <w:pStyle w:val="Heading3"/>
        <w:spacing w:after="120"/>
      </w:pPr>
      <w:bookmarkStart w:id="6" w:name="_Toc342573433"/>
      <w:bookmarkStart w:id="7" w:name="_Toc342907184"/>
      <w:bookmarkStart w:id="8" w:name="_Toc342992804"/>
      <w:bookmarkStart w:id="9" w:name="_Toc343183050"/>
      <w:bookmarkStart w:id="10" w:name="_Toc343584118"/>
      <w:bookmarkStart w:id="11" w:name="_Toc343612385"/>
      <w:bookmarkStart w:id="12" w:name="_Toc345326622"/>
      <w:bookmarkStart w:id="13" w:name="_Toc345336938"/>
      <w:bookmarkStart w:id="14" w:name="_Toc345508090"/>
      <w:bookmarkStart w:id="15" w:name="_Toc345513335"/>
      <w:bookmarkStart w:id="16" w:name="_Toc346008777"/>
      <w:bookmarkStart w:id="17" w:name="_Toc346188336"/>
      <w:r>
        <w:t>Defining a 100 Percent Overlap</w:t>
      </w:r>
    </w:p>
    <w:p w14:paraId="22184246" w14:textId="77777777" w:rsidR="00355A04" w:rsidRDefault="001E2E02" w:rsidP="00B779D1">
      <w:pPr>
        <w:pStyle w:val="StyleParanumLeft"/>
        <w:spacing w:after="120"/>
      </w:pPr>
      <w:r>
        <w:t>Only study areas in which 100 percent of the overlapping census blocks are served by an unsubsidized competitor are included in the preliminary determination.</w:t>
      </w:r>
      <w:r>
        <w:rPr>
          <w:rStyle w:val="FootnoteReference"/>
          <w:szCs w:val="22"/>
        </w:rPr>
        <w:footnoteReference w:id="36"/>
      </w:r>
      <w:r>
        <w:t xml:space="preserve">  This approach was supported by s</w:t>
      </w:r>
      <w:r w:rsidR="006F0001">
        <w:t xml:space="preserve">everal commenters </w:t>
      </w:r>
      <w:r>
        <w:t xml:space="preserve">who </w:t>
      </w:r>
      <w:r w:rsidR="006F0001">
        <w:t xml:space="preserve">opposed </w:t>
      </w:r>
      <w:r w:rsidR="00841621">
        <w:t xml:space="preserve">defining 100 percent as </w:t>
      </w:r>
      <w:r w:rsidR="006F0001">
        <w:t>anything less than 100 percent</w:t>
      </w:r>
      <w:r>
        <w:t>.</w:t>
      </w:r>
      <w:r w:rsidR="006F0001">
        <w:rPr>
          <w:rStyle w:val="FootnoteReference"/>
          <w:szCs w:val="22"/>
        </w:rPr>
        <w:footnoteReference w:id="37"/>
      </w:r>
      <w:r w:rsidR="00841621">
        <w:t xml:space="preserve"> </w:t>
      </w:r>
      <w:r>
        <w:t xml:space="preserve"> </w:t>
      </w:r>
      <w:r w:rsidR="001829C6">
        <w:t>For informational purposes, we also have identified</w:t>
      </w:r>
      <w:r w:rsidR="00EC4AEE">
        <w:t>, in the table below,</w:t>
      </w:r>
      <w:r w:rsidR="001829C6">
        <w:t xml:space="preserve"> </w:t>
      </w:r>
      <w:r w:rsidR="001B169B">
        <w:t>study areas with a</w:t>
      </w:r>
      <w:r w:rsidR="001829C6">
        <w:t>n overlap of</w:t>
      </w:r>
      <w:r w:rsidR="001B169B">
        <w:t xml:space="preserve"> </w:t>
      </w:r>
      <w:r>
        <w:t xml:space="preserve">99 percent </w:t>
      </w:r>
      <w:r w:rsidR="001B169B">
        <w:t>or greater</w:t>
      </w:r>
      <w:r w:rsidR="001829C6">
        <w:t>,</w:t>
      </w:r>
      <w:r w:rsidR="001B169B">
        <w:t xml:space="preserve"> </w:t>
      </w:r>
      <w:r w:rsidR="001829C6">
        <w:t>but less than 100 percent,</w:t>
      </w:r>
      <w:r w:rsidR="001B169B">
        <w:t xml:space="preserve"> by an u</w:t>
      </w:r>
      <w:bookmarkStart w:id="18" w:name="_Ref421197053"/>
      <w:r w:rsidR="00BA1787">
        <w:t>nsubsidized competitor</w:t>
      </w:r>
      <w:r w:rsidR="001829C6">
        <w:t xml:space="preserve"> or combination of competitors</w:t>
      </w:r>
      <w:r w:rsidR="00BA1787">
        <w:t>.</w:t>
      </w:r>
      <w:r w:rsidR="001B169B">
        <w:rPr>
          <w:rStyle w:val="FootnoteReference"/>
        </w:rPr>
        <w:footnoteReference w:id="38"/>
      </w:r>
      <w:r w:rsidR="00BA1787">
        <w:t xml:space="preserve">  </w:t>
      </w:r>
      <w:r w:rsidR="001829C6">
        <w:t>We invite commenters to provide any relevant information about whether these study areas are in fact</w:t>
      </w:r>
      <w:r w:rsidR="001829C6" w:rsidRPr="001829C6">
        <w:t xml:space="preserve"> 100 percent overlapped</w:t>
      </w:r>
      <w:r w:rsidR="001829C6">
        <w:t>.</w:t>
      </w:r>
    </w:p>
    <w:tbl>
      <w:tblPr>
        <w:tblW w:w="8692" w:type="dxa"/>
        <w:jc w:val="center"/>
        <w:tblLook w:val="04A0" w:firstRow="1" w:lastRow="0" w:firstColumn="1" w:lastColumn="0" w:noHBand="0" w:noVBand="1"/>
      </w:tblPr>
      <w:tblGrid>
        <w:gridCol w:w="886"/>
        <w:gridCol w:w="650"/>
        <w:gridCol w:w="3586"/>
        <w:gridCol w:w="3570"/>
      </w:tblGrid>
      <w:tr w:rsidR="00EC4AEE" w:rsidRPr="00EC4AEE" w14:paraId="50E0882D" w14:textId="77777777" w:rsidTr="00F36716">
        <w:trPr>
          <w:trHeight w:val="315"/>
          <w:jc w:val="center"/>
        </w:trPr>
        <w:tc>
          <w:tcPr>
            <w:tcW w:w="8692" w:type="dxa"/>
            <w:gridSpan w:val="4"/>
            <w:tcBorders>
              <w:top w:val="single" w:sz="4" w:space="0" w:color="auto"/>
              <w:left w:val="single" w:sz="4" w:space="0" w:color="auto"/>
              <w:bottom w:val="single" w:sz="4" w:space="0" w:color="auto"/>
              <w:right w:val="single" w:sz="4" w:space="0" w:color="auto"/>
            </w:tcBorders>
            <w:shd w:val="clear" w:color="auto" w:fill="auto"/>
            <w:noWrap/>
          </w:tcPr>
          <w:p w14:paraId="17B3340D" w14:textId="77777777" w:rsidR="00EC4AEE" w:rsidRPr="00EC4AEE" w:rsidRDefault="00EC4AEE" w:rsidP="002D1918">
            <w:pPr>
              <w:jc w:val="center"/>
              <w:rPr>
                <w:color w:val="000000"/>
                <w:sz w:val="20"/>
              </w:rPr>
            </w:pPr>
            <w:r>
              <w:rPr>
                <w:b/>
                <w:color w:val="000000"/>
                <w:sz w:val="20"/>
              </w:rPr>
              <w:t>Rate-of-Return Study Areas with an Overlap Between 99 and 100 Percent</w:t>
            </w:r>
            <w:r>
              <w:rPr>
                <w:b/>
                <w:color w:val="000000"/>
                <w:sz w:val="20"/>
              </w:rPr>
              <w:br/>
              <w:t>by an Unsubsidized Competitor or Combination or Unsubsidized Competitors</w:t>
            </w:r>
          </w:p>
        </w:tc>
      </w:tr>
      <w:tr w:rsidR="002D1918" w:rsidRPr="002D1918" w14:paraId="619A4BBE" w14:textId="77777777" w:rsidTr="00F36716">
        <w:trPr>
          <w:trHeight w:val="315"/>
          <w:jc w:val="center"/>
        </w:trPr>
        <w:tc>
          <w:tcPr>
            <w:tcW w:w="886" w:type="dxa"/>
            <w:tcBorders>
              <w:top w:val="nil"/>
              <w:left w:val="single" w:sz="4" w:space="0" w:color="auto"/>
              <w:bottom w:val="single" w:sz="4" w:space="0" w:color="auto"/>
              <w:right w:val="single" w:sz="4" w:space="0" w:color="auto"/>
            </w:tcBorders>
            <w:noWrap/>
            <w:vAlign w:val="center"/>
          </w:tcPr>
          <w:p w14:paraId="50D4FBB1" w14:textId="77777777" w:rsidR="002D1918" w:rsidRPr="002D1918" w:rsidRDefault="002D1918" w:rsidP="00EC4AEE">
            <w:pPr>
              <w:rPr>
                <w:b/>
                <w:color w:val="000000"/>
                <w:sz w:val="20"/>
              </w:rPr>
            </w:pPr>
            <w:r w:rsidRPr="002D1918">
              <w:rPr>
                <w:b/>
                <w:color w:val="000000"/>
                <w:sz w:val="20"/>
              </w:rPr>
              <w:t>SAC</w:t>
            </w:r>
          </w:p>
        </w:tc>
        <w:tc>
          <w:tcPr>
            <w:tcW w:w="650" w:type="dxa"/>
            <w:tcBorders>
              <w:top w:val="nil"/>
              <w:left w:val="single" w:sz="4" w:space="0" w:color="auto"/>
              <w:bottom w:val="single" w:sz="4" w:space="0" w:color="auto"/>
              <w:right w:val="single" w:sz="4" w:space="0" w:color="auto"/>
            </w:tcBorders>
            <w:vAlign w:val="center"/>
          </w:tcPr>
          <w:p w14:paraId="15C88ADF" w14:textId="77777777" w:rsidR="002D1918" w:rsidRPr="002D1918" w:rsidRDefault="002D1918" w:rsidP="002D1918">
            <w:pPr>
              <w:rPr>
                <w:b/>
                <w:color w:val="000000"/>
                <w:sz w:val="20"/>
              </w:rPr>
            </w:pPr>
            <w:r w:rsidRPr="002D1918">
              <w:rPr>
                <w:b/>
                <w:color w:val="000000"/>
                <w:sz w:val="20"/>
              </w:rPr>
              <w:t xml:space="preserve">State </w:t>
            </w:r>
          </w:p>
        </w:tc>
        <w:tc>
          <w:tcPr>
            <w:tcW w:w="3586" w:type="dxa"/>
            <w:tcBorders>
              <w:top w:val="nil"/>
              <w:left w:val="single" w:sz="4" w:space="0" w:color="auto"/>
              <w:bottom w:val="single" w:sz="4" w:space="0" w:color="auto"/>
              <w:right w:val="single" w:sz="4" w:space="0" w:color="auto"/>
            </w:tcBorders>
            <w:vAlign w:val="center"/>
          </w:tcPr>
          <w:p w14:paraId="4984511F" w14:textId="77777777" w:rsidR="002D1918" w:rsidRPr="002D1918" w:rsidRDefault="002D1918" w:rsidP="002D1918">
            <w:pPr>
              <w:rPr>
                <w:b/>
                <w:color w:val="000000"/>
                <w:sz w:val="20"/>
              </w:rPr>
            </w:pPr>
            <w:r w:rsidRPr="002D1918">
              <w:rPr>
                <w:b/>
                <w:color w:val="000000"/>
                <w:sz w:val="20"/>
              </w:rPr>
              <w:t>Study Area</w:t>
            </w:r>
          </w:p>
        </w:tc>
        <w:tc>
          <w:tcPr>
            <w:tcW w:w="3570" w:type="dxa"/>
            <w:tcBorders>
              <w:top w:val="nil"/>
              <w:left w:val="single" w:sz="4" w:space="0" w:color="auto"/>
              <w:bottom w:val="single" w:sz="4" w:space="0" w:color="auto"/>
              <w:right w:val="single" w:sz="4" w:space="0" w:color="auto"/>
            </w:tcBorders>
            <w:vAlign w:val="center"/>
          </w:tcPr>
          <w:p w14:paraId="7428F05E" w14:textId="77777777" w:rsidR="002D1918" w:rsidRPr="002D1918" w:rsidRDefault="002D1918" w:rsidP="002D1918">
            <w:pPr>
              <w:rPr>
                <w:b/>
                <w:color w:val="000000"/>
                <w:sz w:val="20"/>
              </w:rPr>
            </w:pPr>
            <w:r w:rsidRPr="002D1918">
              <w:rPr>
                <w:b/>
                <w:color w:val="000000"/>
                <w:sz w:val="20"/>
              </w:rPr>
              <w:t>Competitive Provider(s)</w:t>
            </w:r>
          </w:p>
        </w:tc>
      </w:tr>
      <w:tr w:rsidR="002D1918" w:rsidRPr="00EC4AEE" w14:paraId="1368D6F6"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7758B321" w14:textId="77777777" w:rsidR="002D1918" w:rsidRPr="002D1918" w:rsidRDefault="002D1918" w:rsidP="00EC4AEE">
            <w:pPr>
              <w:rPr>
                <w:color w:val="000000"/>
                <w:sz w:val="20"/>
              </w:rPr>
            </w:pPr>
            <w:r w:rsidRPr="002D1918">
              <w:rPr>
                <w:color w:val="000000"/>
                <w:sz w:val="20"/>
              </w:rPr>
              <w:t>100005</w:t>
            </w:r>
          </w:p>
        </w:tc>
        <w:tc>
          <w:tcPr>
            <w:tcW w:w="650" w:type="dxa"/>
            <w:tcBorders>
              <w:top w:val="nil"/>
              <w:left w:val="single" w:sz="4" w:space="0" w:color="auto"/>
              <w:bottom w:val="single" w:sz="4" w:space="0" w:color="auto"/>
              <w:right w:val="single" w:sz="4" w:space="0" w:color="auto"/>
            </w:tcBorders>
          </w:tcPr>
          <w:p w14:paraId="20DCE38A" w14:textId="77777777" w:rsidR="002D1918" w:rsidRPr="002D1918" w:rsidRDefault="002D1918" w:rsidP="002D1918">
            <w:pPr>
              <w:rPr>
                <w:color w:val="000000"/>
                <w:sz w:val="20"/>
              </w:rPr>
            </w:pPr>
            <w:r w:rsidRPr="002D1918">
              <w:rPr>
                <w:color w:val="000000"/>
                <w:sz w:val="20"/>
              </w:rPr>
              <w:t>ME</w:t>
            </w:r>
          </w:p>
        </w:tc>
        <w:tc>
          <w:tcPr>
            <w:tcW w:w="3586" w:type="dxa"/>
            <w:tcBorders>
              <w:top w:val="nil"/>
              <w:left w:val="single" w:sz="4" w:space="0" w:color="auto"/>
              <w:bottom w:val="single" w:sz="4" w:space="0" w:color="auto"/>
              <w:right w:val="single" w:sz="4" w:space="0" w:color="auto"/>
            </w:tcBorders>
          </w:tcPr>
          <w:p w14:paraId="5511E3D9" w14:textId="77777777" w:rsidR="002D1918" w:rsidRPr="002D1918" w:rsidRDefault="002D1918" w:rsidP="002D1918">
            <w:pPr>
              <w:rPr>
                <w:color w:val="000000"/>
                <w:sz w:val="20"/>
              </w:rPr>
            </w:pPr>
            <w:r w:rsidRPr="002D1918">
              <w:rPr>
                <w:color w:val="000000"/>
                <w:sz w:val="20"/>
              </w:rPr>
              <w:t>COBBOSSEECONTEE TEL</w:t>
            </w:r>
          </w:p>
        </w:tc>
        <w:tc>
          <w:tcPr>
            <w:tcW w:w="3570" w:type="dxa"/>
            <w:tcBorders>
              <w:top w:val="nil"/>
              <w:left w:val="single" w:sz="4" w:space="0" w:color="auto"/>
              <w:bottom w:val="single" w:sz="4" w:space="0" w:color="auto"/>
              <w:right w:val="single" w:sz="4" w:space="0" w:color="auto"/>
            </w:tcBorders>
          </w:tcPr>
          <w:p w14:paraId="2A5ED6F2" w14:textId="77777777" w:rsidR="002D1918" w:rsidRPr="002D1918" w:rsidRDefault="002D1918" w:rsidP="002D1918">
            <w:pPr>
              <w:rPr>
                <w:color w:val="000000"/>
                <w:sz w:val="20"/>
              </w:rPr>
            </w:pPr>
            <w:r w:rsidRPr="002D1918">
              <w:rPr>
                <w:color w:val="000000"/>
                <w:sz w:val="20"/>
              </w:rPr>
              <w:t>Time Warner</w:t>
            </w:r>
          </w:p>
        </w:tc>
      </w:tr>
      <w:tr w:rsidR="002D1918" w:rsidRPr="00EC4AEE" w14:paraId="1B6E68BF"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380B5510" w14:textId="77777777" w:rsidR="002D1918" w:rsidRPr="002D1918" w:rsidRDefault="002D1918" w:rsidP="00EC4AEE">
            <w:pPr>
              <w:rPr>
                <w:color w:val="000000"/>
                <w:sz w:val="20"/>
              </w:rPr>
            </w:pPr>
            <w:r w:rsidRPr="002D1918">
              <w:rPr>
                <w:color w:val="000000"/>
                <w:sz w:val="20"/>
              </w:rPr>
              <w:t>100022</w:t>
            </w:r>
          </w:p>
        </w:tc>
        <w:tc>
          <w:tcPr>
            <w:tcW w:w="650" w:type="dxa"/>
            <w:tcBorders>
              <w:top w:val="nil"/>
              <w:left w:val="single" w:sz="4" w:space="0" w:color="auto"/>
              <w:bottom w:val="single" w:sz="4" w:space="0" w:color="auto"/>
              <w:right w:val="single" w:sz="4" w:space="0" w:color="auto"/>
            </w:tcBorders>
          </w:tcPr>
          <w:p w14:paraId="25CB1B69" w14:textId="77777777" w:rsidR="002D1918" w:rsidRPr="002D1918" w:rsidRDefault="002D1918" w:rsidP="002D1918">
            <w:pPr>
              <w:rPr>
                <w:color w:val="000000"/>
                <w:sz w:val="20"/>
              </w:rPr>
            </w:pPr>
            <w:r w:rsidRPr="002D1918">
              <w:rPr>
                <w:color w:val="000000"/>
                <w:sz w:val="20"/>
              </w:rPr>
              <w:t>ME</w:t>
            </w:r>
          </w:p>
        </w:tc>
        <w:tc>
          <w:tcPr>
            <w:tcW w:w="3586" w:type="dxa"/>
            <w:tcBorders>
              <w:top w:val="nil"/>
              <w:left w:val="single" w:sz="4" w:space="0" w:color="auto"/>
              <w:bottom w:val="single" w:sz="4" w:space="0" w:color="auto"/>
              <w:right w:val="single" w:sz="4" w:space="0" w:color="auto"/>
            </w:tcBorders>
          </w:tcPr>
          <w:p w14:paraId="7BE74164" w14:textId="77777777" w:rsidR="002D1918" w:rsidRPr="002D1918" w:rsidRDefault="002D1918" w:rsidP="002D1918">
            <w:pPr>
              <w:rPr>
                <w:color w:val="000000"/>
                <w:sz w:val="20"/>
              </w:rPr>
            </w:pPr>
            <w:r w:rsidRPr="002D1918">
              <w:rPr>
                <w:color w:val="000000"/>
                <w:sz w:val="20"/>
              </w:rPr>
              <w:t>SACO RIVER TEL &amp; TEL</w:t>
            </w:r>
          </w:p>
        </w:tc>
        <w:tc>
          <w:tcPr>
            <w:tcW w:w="3570" w:type="dxa"/>
            <w:tcBorders>
              <w:top w:val="nil"/>
              <w:left w:val="single" w:sz="4" w:space="0" w:color="auto"/>
              <w:bottom w:val="single" w:sz="4" w:space="0" w:color="auto"/>
              <w:right w:val="single" w:sz="4" w:space="0" w:color="auto"/>
            </w:tcBorders>
          </w:tcPr>
          <w:p w14:paraId="71C486A5" w14:textId="77777777" w:rsidR="002D1918" w:rsidRPr="002D1918" w:rsidRDefault="002D1918" w:rsidP="002D1918">
            <w:pPr>
              <w:rPr>
                <w:color w:val="000000"/>
                <w:sz w:val="20"/>
              </w:rPr>
            </w:pPr>
            <w:r w:rsidRPr="002D1918">
              <w:rPr>
                <w:color w:val="000000"/>
                <w:sz w:val="20"/>
              </w:rPr>
              <w:t>Time Warner, MetroCast Cablevision, Biddeford</w:t>
            </w:r>
          </w:p>
        </w:tc>
      </w:tr>
      <w:tr w:rsidR="002D1918" w:rsidRPr="00EC4AEE" w14:paraId="4F0679E1"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75B52427" w14:textId="77777777" w:rsidR="002D1918" w:rsidRPr="002D1918" w:rsidRDefault="002D1918" w:rsidP="00EC4AEE">
            <w:pPr>
              <w:rPr>
                <w:color w:val="000000"/>
                <w:sz w:val="20"/>
              </w:rPr>
            </w:pPr>
            <w:r w:rsidRPr="002D1918">
              <w:rPr>
                <w:color w:val="000000"/>
                <w:sz w:val="20"/>
              </w:rPr>
              <w:t>100031</w:t>
            </w:r>
          </w:p>
        </w:tc>
        <w:tc>
          <w:tcPr>
            <w:tcW w:w="650" w:type="dxa"/>
            <w:tcBorders>
              <w:top w:val="nil"/>
              <w:left w:val="single" w:sz="4" w:space="0" w:color="auto"/>
              <w:bottom w:val="single" w:sz="4" w:space="0" w:color="auto"/>
              <w:right w:val="single" w:sz="4" w:space="0" w:color="auto"/>
            </w:tcBorders>
          </w:tcPr>
          <w:p w14:paraId="4138D1EC" w14:textId="77777777" w:rsidR="002D1918" w:rsidRPr="002D1918" w:rsidRDefault="002D1918" w:rsidP="002D1918">
            <w:pPr>
              <w:rPr>
                <w:color w:val="000000"/>
                <w:sz w:val="20"/>
              </w:rPr>
            </w:pPr>
            <w:r w:rsidRPr="002D1918">
              <w:rPr>
                <w:color w:val="000000"/>
                <w:sz w:val="20"/>
              </w:rPr>
              <w:t>ME</w:t>
            </w:r>
          </w:p>
        </w:tc>
        <w:tc>
          <w:tcPr>
            <w:tcW w:w="3586" w:type="dxa"/>
            <w:tcBorders>
              <w:top w:val="nil"/>
              <w:left w:val="single" w:sz="4" w:space="0" w:color="auto"/>
              <w:bottom w:val="single" w:sz="4" w:space="0" w:color="auto"/>
              <w:right w:val="single" w:sz="4" w:space="0" w:color="auto"/>
            </w:tcBorders>
          </w:tcPr>
          <w:p w14:paraId="3BDA17D6" w14:textId="77777777" w:rsidR="002D1918" w:rsidRPr="002D1918" w:rsidRDefault="002D1918" w:rsidP="002D1918">
            <w:pPr>
              <w:rPr>
                <w:color w:val="000000"/>
                <w:sz w:val="20"/>
              </w:rPr>
            </w:pPr>
            <w:r w:rsidRPr="002D1918">
              <w:rPr>
                <w:color w:val="000000"/>
                <w:sz w:val="20"/>
              </w:rPr>
              <w:t>WARREN TEL CO</w:t>
            </w:r>
          </w:p>
        </w:tc>
        <w:tc>
          <w:tcPr>
            <w:tcW w:w="3570" w:type="dxa"/>
            <w:tcBorders>
              <w:top w:val="nil"/>
              <w:left w:val="single" w:sz="4" w:space="0" w:color="auto"/>
              <w:bottom w:val="single" w:sz="4" w:space="0" w:color="auto"/>
              <w:right w:val="single" w:sz="4" w:space="0" w:color="auto"/>
            </w:tcBorders>
          </w:tcPr>
          <w:p w14:paraId="38D1430F" w14:textId="77777777" w:rsidR="002D1918" w:rsidRPr="002D1918" w:rsidRDefault="002D1918" w:rsidP="002D1918">
            <w:pPr>
              <w:rPr>
                <w:color w:val="000000"/>
                <w:sz w:val="20"/>
              </w:rPr>
            </w:pPr>
            <w:r w:rsidRPr="002D1918">
              <w:rPr>
                <w:color w:val="000000"/>
                <w:sz w:val="20"/>
              </w:rPr>
              <w:t>Time Warner, Biddeford</w:t>
            </w:r>
          </w:p>
        </w:tc>
      </w:tr>
      <w:tr w:rsidR="002D1918" w:rsidRPr="00EC4AEE" w14:paraId="1035B58A"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467E8800" w14:textId="77777777" w:rsidR="002D1918" w:rsidRPr="002D1918" w:rsidRDefault="002D1918" w:rsidP="00EC4AEE">
            <w:pPr>
              <w:rPr>
                <w:color w:val="000000"/>
                <w:sz w:val="20"/>
              </w:rPr>
            </w:pPr>
            <w:r w:rsidRPr="002D1918">
              <w:rPr>
                <w:color w:val="000000"/>
                <w:sz w:val="20"/>
              </w:rPr>
              <w:t>110037</w:t>
            </w:r>
          </w:p>
        </w:tc>
        <w:tc>
          <w:tcPr>
            <w:tcW w:w="650" w:type="dxa"/>
            <w:tcBorders>
              <w:top w:val="nil"/>
              <w:left w:val="single" w:sz="4" w:space="0" w:color="auto"/>
              <w:bottom w:val="single" w:sz="4" w:space="0" w:color="auto"/>
              <w:right w:val="single" w:sz="4" w:space="0" w:color="auto"/>
            </w:tcBorders>
          </w:tcPr>
          <w:p w14:paraId="7F344AFA" w14:textId="77777777" w:rsidR="002D1918" w:rsidRPr="002D1918" w:rsidRDefault="002D1918" w:rsidP="002D1918">
            <w:pPr>
              <w:rPr>
                <w:color w:val="000000"/>
                <w:sz w:val="20"/>
              </w:rPr>
            </w:pPr>
            <w:r w:rsidRPr="002D1918">
              <w:rPr>
                <w:color w:val="000000"/>
                <w:sz w:val="20"/>
              </w:rPr>
              <w:t>MA</w:t>
            </w:r>
          </w:p>
        </w:tc>
        <w:tc>
          <w:tcPr>
            <w:tcW w:w="3586" w:type="dxa"/>
            <w:tcBorders>
              <w:top w:val="nil"/>
              <w:left w:val="single" w:sz="4" w:space="0" w:color="auto"/>
              <w:bottom w:val="single" w:sz="4" w:space="0" w:color="auto"/>
              <w:right w:val="single" w:sz="4" w:space="0" w:color="auto"/>
            </w:tcBorders>
          </w:tcPr>
          <w:p w14:paraId="142D5701" w14:textId="77777777" w:rsidR="002D1918" w:rsidRPr="002D1918" w:rsidRDefault="002D1918" w:rsidP="002D1918">
            <w:pPr>
              <w:rPr>
                <w:color w:val="000000"/>
                <w:sz w:val="20"/>
              </w:rPr>
            </w:pPr>
            <w:r w:rsidRPr="002D1918">
              <w:rPr>
                <w:color w:val="000000"/>
                <w:sz w:val="20"/>
              </w:rPr>
              <w:t>RICHMOND TEL CO</w:t>
            </w:r>
          </w:p>
        </w:tc>
        <w:tc>
          <w:tcPr>
            <w:tcW w:w="3570" w:type="dxa"/>
            <w:tcBorders>
              <w:top w:val="nil"/>
              <w:left w:val="single" w:sz="4" w:space="0" w:color="auto"/>
              <w:bottom w:val="single" w:sz="4" w:space="0" w:color="auto"/>
              <w:right w:val="single" w:sz="4" w:space="0" w:color="auto"/>
            </w:tcBorders>
          </w:tcPr>
          <w:p w14:paraId="2A6F7058" w14:textId="77777777" w:rsidR="002D1918" w:rsidRPr="002D1918" w:rsidRDefault="002D1918" w:rsidP="002D1918">
            <w:pPr>
              <w:rPr>
                <w:color w:val="000000"/>
                <w:sz w:val="20"/>
              </w:rPr>
            </w:pPr>
            <w:r w:rsidRPr="002D1918">
              <w:rPr>
                <w:color w:val="000000"/>
                <w:sz w:val="20"/>
              </w:rPr>
              <w:t>Time Warner</w:t>
            </w:r>
          </w:p>
        </w:tc>
      </w:tr>
      <w:tr w:rsidR="002D1918" w:rsidRPr="00EC4AEE" w14:paraId="0E7A17FA"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7782333D" w14:textId="77777777" w:rsidR="002D1918" w:rsidRPr="002D1918" w:rsidRDefault="002D1918" w:rsidP="00EC4AEE">
            <w:pPr>
              <w:rPr>
                <w:color w:val="000000"/>
                <w:sz w:val="20"/>
              </w:rPr>
            </w:pPr>
            <w:r w:rsidRPr="002D1918">
              <w:rPr>
                <w:color w:val="000000"/>
                <w:sz w:val="20"/>
              </w:rPr>
              <w:t>150135</w:t>
            </w:r>
          </w:p>
        </w:tc>
        <w:tc>
          <w:tcPr>
            <w:tcW w:w="650" w:type="dxa"/>
            <w:tcBorders>
              <w:top w:val="nil"/>
              <w:left w:val="single" w:sz="4" w:space="0" w:color="auto"/>
              <w:bottom w:val="single" w:sz="4" w:space="0" w:color="auto"/>
              <w:right w:val="single" w:sz="4" w:space="0" w:color="auto"/>
            </w:tcBorders>
          </w:tcPr>
          <w:p w14:paraId="58F4AFA2" w14:textId="77777777" w:rsidR="002D1918" w:rsidRPr="002D1918" w:rsidRDefault="002D1918" w:rsidP="002D1918">
            <w:pPr>
              <w:rPr>
                <w:color w:val="000000"/>
                <w:sz w:val="20"/>
              </w:rPr>
            </w:pPr>
            <w:r w:rsidRPr="002D1918">
              <w:rPr>
                <w:color w:val="000000"/>
                <w:sz w:val="20"/>
              </w:rPr>
              <w:t>NY</w:t>
            </w:r>
          </w:p>
        </w:tc>
        <w:tc>
          <w:tcPr>
            <w:tcW w:w="3586" w:type="dxa"/>
            <w:tcBorders>
              <w:top w:val="nil"/>
              <w:left w:val="single" w:sz="4" w:space="0" w:color="auto"/>
              <w:bottom w:val="single" w:sz="4" w:space="0" w:color="auto"/>
              <w:right w:val="single" w:sz="4" w:space="0" w:color="auto"/>
            </w:tcBorders>
          </w:tcPr>
          <w:p w14:paraId="3E02B916" w14:textId="77777777" w:rsidR="002D1918" w:rsidRPr="002D1918" w:rsidRDefault="002D1918" w:rsidP="002D1918">
            <w:pPr>
              <w:rPr>
                <w:color w:val="000000"/>
                <w:sz w:val="20"/>
              </w:rPr>
            </w:pPr>
            <w:r w:rsidRPr="002D1918">
              <w:rPr>
                <w:color w:val="000000"/>
                <w:sz w:val="20"/>
              </w:rPr>
              <w:t>WARWICK VALLEY-NY</w:t>
            </w:r>
          </w:p>
        </w:tc>
        <w:tc>
          <w:tcPr>
            <w:tcW w:w="3570" w:type="dxa"/>
            <w:tcBorders>
              <w:top w:val="nil"/>
              <w:left w:val="single" w:sz="4" w:space="0" w:color="auto"/>
              <w:bottom w:val="single" w:sz="4" w:space="0" w:color="auto"/>
              <w:right w:val="single" w:sz="4" w:space="0" w:color="auto"/>
            </w:tcBorders>
          </w:tcPr>
          <w:p w14:paraId="098355AA" w14:textId="77777777" w:rsidR="002D1918" w:rsidRPr="002D1918" w:rsidRDefault="002D1918" w:rsidP="002D1918">
            <w:pPr>
              <w:rPr>
                <w:color w:val="000000"/>
                <w:sz w:val="20"/>
              </w:rPr>
            </w:pPr>
            <w:r w:rsidRPr="002D1918">
              <w:rPr>
                <w:color w:val="000000"/>
                <w:sz w:val="20"/>
              </w:rPr>
              <w:t>CSC Holdings, XCHANGE, Time Warner</w:t>
            </w:r>
          </w:p>
        </w:tc>
      </w:tr>
      <w:tr w:rsidR="002D1918" w:rsidRPr="00EC4AEE" w14:paraId="01CB9649"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7CF694A7" w14:textId="77777777" w:rsidR="002D1918" w:rsidRPr="003413A5" w:rsidRDefault="002D1918" w:rsidP="00102045">
            <w:pPr>
              <w:rPr>
                <w:color w:val="000000"/>
                <w:sz w:val="20"/>
              </w:rPr>
            </w:pPr>
            <w:r w:rsidRPr="003413A5">
              <w:rPr>
                <w:color w:val="000000"/>
                <w:sz w:val="20"/>
              </w:rPr>
              <w:t>320744</w:t>
            </w:r>
          </w:p>
        </w:tc>
        <w:tc>
          <w:tcPr>
            <w:tcW w:w="650" w:type="dxa"/>
            <w:tcBorders>
              <w:top w:val="nil"/>
              <w:left w:val="single" w:sz="4" w:space="0" w:color="auto"/>
              <w:bottom w:val="single" w:sz="4" w:space="0" w:color="auto"/>
              <w:right w:val="single" w:sz="4" w:space="0" w:color="auto"/>
            </w:tcBorders>
          </w:tcPr>
          <w:p w14:paraId="1AB1CBC6" w14:textId="77777777" w:rsidR="002D1918" w:rsidRPr="003413A5" w:rsidRDefault="002D1918" w:rsidP="00102045">
            <w:pPr>
              <w:rPr>
                <w:color w:val="000000"/>
                <w:sz w:val="20"/>
              </w:rPr>
            </w:pPr>
            <w:r w:rsidRPr="003413A5">
              <w:rPr>
                <w:color w:val="000000"/>
                <w:sz w:val="20"/>
              </w:rPr>
              <w:t>IN</w:t>
            </w:r>
          </w:p>
        </w:tc>
        <w:tc>
          <w:tcPr>
            <w:tcW w:w="3586" w:type="dxa"/>
            <w:tcBorders>
              <w:top w:val="nil"/>
              <w:left w:val="single" w:sz="4" w:space="0" w:color="auto"/>
              <w:bottom w:val="single" w:sz="4" w:space="0" w:color="auto"/>
              <w:right w:val="single" w:sz="4" w:space="0" w:color="auto"/>
            </w:tcBorders>
          </w:tcPr>
          <w:p w14:paraId="31E31D35" w14:textId="77777777" w:rsidR="002D1918" w:rsidRPr="003413A5" w:rsidRDefault="002D1918" w:rsidP="00102045">
            <w:pPr>
              <w:rPr>
                <w:color w:val="000000"/>
                <w:sz w:val="20"/>
              </w:rPr>
            </w:pPr>
            <w:r w:rsidRPr="003413A5">
              <w:rPr>
                <w:color w:val="000000"/>
                <w:sz w:val="20"/>
              </w:rPr>
              <w:t>CAMDEN TEL CO - IN</w:t>
            </w:r>
          </w:p>
        </w:tc>
        <w:tc>
          <w:tcPr>
            <w:tcW w:w="3570" w:type="dxa"/>
            <w:tcBorders>
              <w:top w:val="nil"/>
              <w:left w:val="single" w:sz="4" w:space="0" w:color="auto"/>
              <w:bottom w:val="single" w:sz="4" w:space="0" w:color="auto"/>
              <w:right w:val="single" w:sz="4" w:space="0" w:color="auto"/>
            </w:tcBorders>
          </w:tcPr>
          <w:p w14:paraId="70E44F85" w14:textId="77777777" w:rsidR="002D1918" w:rsidRPr="003413A5" w:rsidRDefault="002D1918" w:rsidP="00102045">
            <w:pPr>
              <w:rPr>
                <w:color w:val="000000"/>
                <w:sz w:val="20"/>
              </w:rPr>
            </w:pPr>
            <w:r w:rsidRPr="003413A5">
              <w:rPr>
                <w:color w:val="000000"/>
                <w:sz w:val="20"/>
              </w:rPr>
              <w:t>Comcast, New Wave, TRANSWORLD</w:t>
            </w:r>
          </w:p>
        </w:tc>
      </w:tr>
      <w:tr w:rsidR="002D1918" w:rsidRPr="00EC4AEE" w14:paraId="09C45F15"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7A511075" w14:textId="77777777" w:rsidR="002D1918" w:rsidRPr="002D1918" w:rsidRDefault="002D1918" w:rsidP="00EC4AEE">
            <w:pPr>
              <w:rPr>
                <w:color w:val="000000"/>
                <w:sz w:val="20"/>
              </w:rPr>
            </w:pPr>
            <w:r w:rsidRPr="002D1918">
              <w:rPr>
                <w:color w:val="000000"/>
                <w:sz w:val="20"/>
              </w:rPr>
              <w:t>320813</w:t>
            </w:r>
          </w:p>
        </w:tc>
        <w:tc>
          <w:tcPr>
            <w:tcW w:w="650" w:type="dxa"/>
            <w:tcBorders>
              <w:top w:val="nil"/>
              <w:left w:val="single" w:sz="4" w:space="0" w:color="auto"/>
              <w:bottom w:val="single" w:sz="4" w:space="0" w:color="auto"/>
              <w:right w:val="single" w:sz="4" w:space="0" w:color="auto"/>
            </w:tcBorders>
          </w:tcPr>
          <w:p w14:paraId="12F16394" w14:textId="77777777" w:rsidR="002D1918" w:rsidRPr="002D1918" w:rsidRDefault="002D1918" w:rsidP="002D1918">
            <w:pPr>
              <w:rPr>
                <w:color w:val="000000"/>
                <w:sz w:val="20"/>
              </w:rPr>
            </w:pPr>
            <w:r w:rsidRPr="002D1918">
              <w:rPr>
                <w:color w:val="000000"/>
                <w:sz w:val="20"/>
              </w:rPr>
              <w:t>IN</w:t>
            </w:r>
          </w:p>
        </w:tc>
        <w:tc>
          <w:tcPr>
            <w:tcW w:w="3586" w:type="dxa"/>
            <w:tcBorders>
              <w:top w:val="nil"/>
              <w:left w:val="single" w:sz="4" w:space="0" w:color="auto"/>
              <w:bottom w:val="single" w:sz="4" w:space="0" w:color="auto"/>
              <w:right w:val="single" w:sz="4" w:space="0" w:color="auto"/>
            </w:tcBorders>
          </w:tcPr>
          <w:p w14:paraId="5185CD9A" w14:textId="77777777" w:rsidR="002D1918" w:rsidRPr="002D1918" w:rsidRDefault="002D1918" w:rsidP="002D1918">
            <w:pPr>
              <w:rPr>
                <w:color w:val="000000"/>
                <w:sz w:val="20"/>
              </w:rPr>
            </w:pPr>
            <w:r w:rsidRPr="002D1918">
              <w:rPr>
                <w:color w:val="000000"/>
                <w:sz w:val="20"/>
              </w:rPr>
              <w:t>PULASKI-WHITE RURAL</w:t>
            </w:r>
          </w:p>
        </w:tc>
        <w:tc>
          <w:tcPr>
            <w:tcW w:w="3570" w:type="dxa"/>
            <w:tcBorders>
              <w:top w:val="nil"/>
              <w:left w:val="single" w:sz="4" w:space="0" w:color="auto"/>
              <w:bottom w:val="single" w:sz="4" w:space="0" w:color="auto"/>
              <w:right w:val="single" w:sz="4" w:space="0" w:color="auto"/>
            </w:tcBorders>
          </w:tcPr>
          <w:p w14:paraId="152D6690" w14:textId="77777777" w:rsidR="002D1918" w:rsidRPr="002D1918" w:rsidRDefault="002D1918" w:rsidP="002D1918">
            <w:pPr>
              <w:rPr>
                <w:color w:val="000000"/>
                <w:sz w:val="20"/>
              </w:rPr>
            </w:pPr>
            <w:r w:rsidRPr="002D1918">
              <w:rPr>
                <w:color w:val="000000"/>
                <w:sz w:val="20"/>
              </w:rPr>
              <w:t>Comcast, TRANSWORLD, RTC</w:t>
            </w:r>
          </w:p>
        </w:tc>
      </w:tr>
      <w:tr w:rsidR="008D4F2D" w:rsidRPr="00EC4AEE" w14:paraId="78DA312F" w14:textId="77777777" w:rsidTr="00D540B9">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tcPr>
          <w:p w14:paraId="32CE35AB" w14:textId="659DDF51" w:rsidR="008D4F2D" w:rsidRPr="002D1918" w:rsidRDefault="008D4F2D" w:rsidP="00EC4AEE">
            <w:pPr>
              <w:rPr>
                <w:color w:val="000000"/>
                <w:sz w:val="20"/>
              </w:rPr>
            </w:pPr>
            <w:r>
              <w:rPr>
                <w:color w:val="000000"/>
                <w:sz w:val="20"/>
              </w:rPr>
              <w:t>320839</w:t>
            </w:r>
          </w:p>
        </w:tc>
        <w:tc>
          <w:tcPr>
            <w:tcW w:w="650" w:type="dxa"/>
            <w:tcBorders>
              <w:top w:val="nil"/>
              <w:left w:val="single" w:sz="4" w:space="0" w:color="auto"/>
              <w:bottom w:val="single" w:sz="4" w:space="0" w:color="auto"/>
              <w:right w:val="single" w:sz="4" w:space="0" w:color="auto"/>
            </w:tcBorders>
            <w:shd w:val="clear" w:color="auto" w:fill="auto"/>
          </w:tcPr>
          <w:p w14:paraId="2BEDBA83" w14:textId="5E0AC9F0" w:rsidR="008D4F2D" w:rsidRPr="002D1918" w:rsidRDefault="008D4F2D" w:rsidP="002D1918">
            <w:pPr>
              <w:rPr>
                <w:color w:val="000000"/>
                <w:sz w:val="20"/>
              </w:rPr>
            </w:pPr>
            <w:r>
              <w:rPr>
                <w:color w:val="000000"/>
                <w:sz w:val="20"/>
              </w:rPr>
              <w:t>IN</w:t>
            </w:r>
          </w:p>
        </w:tc>
        <w:tc>
          <w:tcPr>
            <w:tcW w:w="3586" w:type="dxa"/>
            <w:tcBorders>
              <w:top w:val="nil"/>
              <w:left w:val="single" w:sz="4" w:space="0" w:color="auto"/>
              <w:bottom w:val="single" w:sz="4" w:space="0" w:color="auto"/>
              <w:right w:val="single" w:sz="4" w:space="0" w:color="auto"/>
            </w:tcBorders>
            <w:shd w:val="clear" w:color="auto" w:fill="auto"/>
          </w:tcPr>
          <w:p w14:paraId="5A1901D0" w14:textId="748D2161" w:rsidR="008D4F2D" w:rsidRPr="002D1918" w:rsidRDefault="008D4F2D" w:rsidP="002D1918">
            <w:pPr>
              <w:rPr>
                <w:color w:val="000000"/>
                <w:sz w:val="20"/>
              </w:rPr>
            </w:pPr>
            <w:r>
              <w:rPr>
                <w:color w:val="000000"/>
                <w:sz w:val="20"/>
              </w:rPr>
              <w:t>YEOMAN TEL CO, INC</w:t>
            </w:r>
          </w:p>
        </w:tc>
        <w:tc>
          <w:tcPr>
            <w:tcW w:w="3570" w:type="dxa"/>
            <w:tcBorders>
              <w:top w:val="nil"/>
              <w:left w:val="single" w:sz="4" w:space="0" w:color="auto"/>
              <w:bottom w:val="single" w:sz="4" w:space="0" w:color="auto"/>
              <w:right w:val="single" w:sz="4" w:space="0" w:color="auto"/>
            </w:tcBorders>
            <w:shd w:val="clear" w:color="auto" w:fill="auto"/>
          </w:tcPr>
          <w:p w14:paraId="0C677AAF" w14:textId="65468936" w:rsidR="008D4F2D" w:rsidRPr="002D1918" w:rsidRDefault="008D4F2D" w:rsidP="002D1918">
            <w:pPr>
              <w:rPr>
                <w:color w:val="000000"/>
                <w:sz w:val="20"/>
              </w:rPr>
            </w:pPr>
            <w:r>
              <w:rPr>
                <w:color w:val="000000"/>
                <w:sz w:val="20"/>
              </w:rPr>
              <w:t>Comcast, TRANSWORLD</w:t>
            </w:r>
          </w:p>
        </w:tc>
      </w:tr>
      <w:tr w:rsidR="002D1918" w:rsidRPr="00EC4AEE" w14:paraId="41F42169"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4D806805" w14:textId="77777777" w:rsidR="002D1918" w:rsidRPr="002D1918" w:rsidRDefault="002D1918" w:rsidP="00EC4AEE">
            <w:pPr>
              <w:rPr>
                <w:color w:val="000000"/>
                <w:sz w:val="20"/>
              </w:rPr>
            </w:pPr>
            <w:r w:rsidRPr="002D1918">
              <w:rPr>
                <w:color w:val="000000"/>
                <w:sz w:val="20"/>
              </w:rPr>
              <w:t>330952</w:t>
            </w:r>
          </w:p>
        </w:tc>
        <w:tc>
          <w:tcPr>
            <w:tcW w:w="650" w:type="dxa"/>
            <w:tcBorders>
              <w:top w:val="nil"/>
              <w:left w:val="single" w:sz="4" w:space="0" w:color="auto"/>
              <w:bottom w:val="single" w:sz="4" w:space="0" w:color="auto"/>
              <w:right w:val="single" w:sz="4" w:space="0" w:color="auto"/>
            </w:tcBorders>
          </w:tcPr>
          <w:p w14:paraId="522354EB" w14:textId="77777777" w:rsidR="002D1918" w:rsidRPr="002D1918" w:rsidRDefault="002D1918" w:rsidP="002D1918">
            <w:pPr>
              <w:rPr>
                <w:color w:val="000000"/>
                <w:sz w:val="20"/>
              </w:rPr>
            </w:pPr>
            <w:r w:rsidRPr="002D1918">
              <w:rPr>
                <w:color w:val="000000"/>
                <w:sz w:val="20"/>
              </w:rPr>
              <w:t>WI</w:t>
            </w:r>
          </w:p>
        </w:tc>
        <w:tc>
          <w:tcPr>
            <w:tcW w:w="3586" w:type="dxa"/>
            <w:tcBorders>
              <w:top w:val="nil"/>
              <w:left w:val="single" w:sz="4" w:space="0" w:color="auto"/>
              <w:bottom w:val="single" w:sz="4" w:space="0" w:color="auto"/>
              <w:right w:val="single" w:sz="4" w:space="0" w:color="auto"/>
            </w:tcBorders>
          </w:tcPr>
          <w:p w14:paraId="307D91B1" w14:textId="77777777" w:rsidR="002D1918" w:rsidRPr="002D1918" w:rsidRDefault="002D1918" w:rsidP="002D1918">
            <w:pPr>
              <w:rPr>
                <w:color w:val="000000"/>
                <w:sz w:val="20"/>
              </w:rPr>
            </w:pPr>
            <w:r w:rsidRPr="002D1918">
              <w:rPr>
                <w:color w:val="000000"/>
                <w:sz w:val="20"/>
              </w:rPr>
              <w:t>SE TEL OF WISCONSIN</w:t>
            </w:r>
          </w:p>
        </w:tc>
        <w:tc>
          <w:tcPr>
            <w:tcW w:w="3570" w:type="dxa"/>
            <w:tcBorders>
              <w:top w:val="nil"/>
              <w:left w:val="single" w:sz="4" w:space="0" w:color="auto"/>
              <w:bottom w:val="single" w:sz="4" w:space="0" w:color="auto"/>
              <w:right w:val="single" w:sz="4" w:space="0" w:color="auto"/>
            </w:tcBorders>
          </w:tcPr>
          <w:p w14:paraId="5C4AF05E" w14:textId="77777777" w:rsidR="002D1918" w:rsidRPr="002D1918" w:rsidRDefault="002D1918" w:rsidP="002D1918">
            <w:pPr>
              <w:rPr>
                <w:color w:val="000000"/>
                <w:sz w:val="20"/>
              </w:rPr>
            </w:pPr>
            <w:r w:rsidRPr="002D1918">
              <w:rPr>
                <w:color w:val="000000"/>
                <w:sz w:val="20"/>
              </w:rPr>
              <w:t>Time Warner, E-Vergent.Com</w:t>
            </w:r>
          </w:p>
        </w:tc>
      </w:tr>
      <w:tr w:rsidR="002D1918" w:rsidRPr="00EC4AEE" w14:paraId="0E685574" w14:textId="77777777" w:rsidTr="00F36716">
        <w:trPr>
          <w:trHeight w:val="315"/>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4DB29C20" w14:textId="77777777" w:rsidR="002D1918" w:rsidRPr="002D1918" w:rsidRDefault="002D1918" w:rsidP="00EC4AEE">
            <w:pPr>
              <w:rPr>
                <w:color w:val="000000"/>
                <w:sz w:val="20"/>
              </w:rPr>
            </w:pPr>
            <w:r w:rsidRPr="002D1918">
              <w:rPr>
                <w:color w:val="000000"/>
                <w:sz w:val="20"/>
              </w:rPr>
              <w:t>500758</w:t>
            </w:r>
          </w:p>
        </w:tc>
        <w:tc>
          <w:tcPr>
            <w:tcW w:w="650" w:type="dxa"/>
            <w:tcBorders>
              <w:top w:val="nil"/>
              <w:left w:val="single" w:sz="4" w:space="0" w:color="auto"/>
              <w:bottom w:val="single" w:sz="4" w:space="0" w:color="auto"/>
              <w:right w:val="single" w:sz="4" w:space="0" w:color="auto"/>
            </w:tcBorders>
          </w:tcPr>
          <w:p w14:paraId="581C4F71" w14:textId="77777777" w:rsidR="002D1918" w:rsidRPr="002D1918" w:rsidRDefault="002D1918" w:rsidP="002D1918">
            <w:pPr>
              <w:rPr>
                <w:color w:val="000000"/>
                <w:sz w:val="20"/>
              </w:rPr>
            </w:pPr>
            <w:r w:rsidRPr="002D1918">
              <w:rPr>
                <w:color w:val="000000"/>
                <w:sz w:val="20"/>
              </w:rPr>
              <w:t>UT</w:t>
            </w:r>
          </w:p>
        </w:tc>
        <w:tc>
          <w:tcPr>
            <w:tcW w:w="3586" w:type="dxa"/>
            <w:tcBorders>
              <w:top w:val="nil"/>
              <w:left w:val="single" w:sz="4" w:space="0" w:color="auto"/>
              <w:bottom w:val="single" w:sz="4" w:space="0" w:color="auto"/>
              <w:right w:val="single" w:sz="4" w:space="0" w:color="auto"/>
            </w:tcBorders>
          </w:tcPr>
          <w:p w14:paraId="51207765" w14:textId="77777777" w:rsidR="002D1918" w:rsidRPr="002D1918" w:rsidRDefault="002D1918" w:rsidP="002D1918">
            <w:pPr>
              <w:rPr>
                <w:color w:val="000000"/>
                <w:sz w:val="20"/>
              </w:rPr>
            </w:pPr>
            <w:r w:rsidRPr="002D1918">
              <w:rPr>
                <w:color w:val="000000"/>
                <w:sz w:val="20"/>
              </w:rPr>
              <w:t>DIRECT COMMUNICATIONS CEDAR VALLEY, LLC</w:t>
            </w:r>
          </w:p>
        </w:tc>
        <w:tc>
          <w:tcPr>
            <w:tcW w:w="3570" w:type="dxa"/>
            <w:tcBorders>
              <w:top w:val="nil"/>
              <w:left w:val="single" w:sz="4" w:space="0" w:color="auto"/>
              <w:bottom w:val="single" w:sz="4" w:space="0" w:color="auto"/>
              <w:right w:val="single" w:sz="4" w:space="0" w:color="auto"/>
            </w:tcBorders>
          </w:tcPr>
          <w:p w14:paraId="65913342" w14:textId="77777777" w:rsidR="002D1918" w:rsidRPr="002D1918" w:rsidRDefault="002D1918" w:rsidP="002D1918">
            <w:pPr>
              <w:rPr>
                <w:color w:val="000000"/>
                <w:sz w:val="20"/>
              </w:rPr>
            </w:pPr>
            <w:r w:rsidRPr="002D1918">
              <w:rPr>
                <w:color w:val="000000"/>
                <w:sz w:val="20"/>
              </w:rPr>
              <w:t>InnovativeAir, Digis</w:t>
            </w:r>
          </w:p>
        </w:tc>
      </w:tr>
      <w:tr w:rsidR="002D1918" w:rsidRPr="00EC4AEE" w14:paraId="66292BCC" w14:textId="77777777" w:rsidTr="00F36716">
        <w:trPr>
          <w:trHeight w:val="300"/>
          <w:jc w:val="center"/>
        </w:trPr>
        <w:tc>
          <w:tcPr>
            <w:tcW w:w="886" w:type="dxa"/>
            <w:tcBorders>
              <w:top w:val="nil"/>
              <w:left w:val="single" w:sz="4" w:space="0" w:color="auto"/>
              <w:bottom w:val="single" w:sz="4" w:space="0" w:color="auto"/>
              <w:right w:val="single" w:sz="4" w:space="0" w:color="auto"/>
            </w:tcBorders>
            <w:shd w:val="clear" w:color="auto" w:fill="auto"/>
            <w:noWrap/>
            <w:hideMark/>
          </w:tcPr>
          <w:p w14:paraId="53A2FAE3" w14:textId="77777777" w:rsidR="002D1918" w:rsidRPr="002D1918" w:rsidRDefault="002D1918" w:rsidP="00EC4AEE">
            <w:pPr>
              <w:rPr>
                <w:color w:val="000000"/>
                <w:sz w:val="20"/>
              </w:rPr>
            </w:pPr>
            <w:r w:rsidRPr="002D1918">
              <w:rPr>
                <w:color w:val="000000"/>
                <w:sz w:val="20"/>
              </w:rPr>
              <w:t>532384</w:t>
            </w:r>
          </w:p>
        </w:tc>
        <w:tc>
          <w:tcPr>
            <w:tcW w:w="650" w:type="dxa"/>
            <w:tcBorders>
              <w:top w:val="nil"/>
              <w:left w:val="single" w:sz="4" w:space="0" w:color="auto"/>
              <w:bottom w:val="single" w:sz="4" w:space="0" w:color="auto"/>
              <w:right w:val="single" w:sz="4" w:space="0" w:color="auto"/>
            </w:tcBorders>
          </w:tcPr>
          <w:p w14:paraId="2E7FB5B3" w14:textId="77777777" w:rsidR="002D1918" w:rsidRPr="002D1918" w:rsidRDefault="002D1918" w:rsidP="002D1918">
            <w:pPr>
              <w:rPr>
                <w:color w:val="000000"/>
                <w:sz w:val="20"/>
              </w:rPr>
            </w:pPr>
            <w:r w:rsidRPr="002D1918">
              <w:rPr>
                <w:color w:val="000000"/>
                <w:sz w:val="20"/>
              </w:rPr>
              <w:t>OR</w:t>
            </w:r>
          </w:p>
        </w:tc>
        <w:tc>
          <w:tcPr>
            <w:tcW w:w="3586" w:type="dxa"/>
            <w:tcBorders>
              <w:top w:val="nil"/>
              <w:left w:val="single" w:sz="4" w:space="0" w:color="auto"/>
              <w:bottom w:val="single" w:sz="4" w:space="0" w:color="auto"/>
              <w:right w:val="single" w:sz="4" w:space="0" w:color="auto"/>
            </w:tcBorders>
          </w:tcPr>
          <w:p w14:paraId="746A68B2" w14:textId="77777777" w:rsidR="002D1918" w:rsidRPr="002D1918" w:rsidRDefault="002D1918" w:rsidP="002D1918">
            <w:pPr>
              <w:rPr>
                <w:color w:val="000000"/>
                <w:sz w:val="20"/>
              </w:rPr>
            </w:pPr>
            <w:r w:rsidRPr="002D1918">
              <w:rPr>
                <w:color w:val="000000"/>
                <w:sz w:val="20"/>
              </w:rPr>
              <w:t>MONITOR COOP TEL</w:t>
            </w:r>
          </w:p>
        </w:tc>
        <w:tc>
          <w:tcPr>
            <w:tcW w:w="3570" w:type="dxa"/>
            <w:tcBorders>
              <w:top w:val="nil"/>
              <w:left w:val="single" w:sz="4" w:space="0" w:color="auto"/>
              <w:bottom w:val="single" w:sz="4" w:space="0" w:color="auto"/>
              <w:right w:val="single" w:sz="4" w:space="0" w:color="auto"/>
            </w:tcBorders>
          </w:tcPr>
          <w:p w14:paraId="313F583F" w14:textId="77777777" w:rsidR="002D1918" w:rsidRPr="002D1918" w:rsidRDefault="002D1918" w:rsidP="002D1918">
            <w:pPr>
              <w:rPr>
                <w:color w:val="000000"/>
                <w:sz w:val="20"/>
              </w:rPr>
            </w:pPr>
            <w:r w:rsidRPr="002D1918">
              <w:rPr>
                <w:color w:val="000000"/>
                <w:sz w:val="20"/>
              </w:rPr>
              <w:t>WaveDivision, McMinnville Access, DataVision</w:t>
            </w:r>
          </w:p>
        </w:tc>
      </w:tr>
      <w:bookmarkEnd w:id="18"/>
    </w:tbl>
    <w:p w14:paraId="548212D1" w14:textId="77777777" w:rsidR="000B2F3C" w:rsidRPr="000B2F3C" w:rsidRDefault="000B2F3C" w:rsidP="000C28F6">
      <w:pPr>
        <w:pStyle w:val="StyleParanumLeft"/>
        <w:numPr>
          <w:ilvl w:val="0"/>
          <w:numId w:val="0"/>
        </w:numPr>
        <w:spacing w:after="0"/>
        <w:ind w:left="720"/>
      </w:pPr>
    </w:p>
    <w:p w14:paraId="1D18B05F" w14:textId="77777777" w:rsidR="000B2F3C" w:rsidRDefault="00F07A28" w:rsidP="00B779D1">
      <w:pPr>
        <w:pStyle w:val="Heading2"/>
        <w:widowControl/>
        <w:tabs>
          <w:tab w:val="num" w:pos="1530"/>
        </w:tabs>
        <w:spacing w:after="120"/>
        <w:rPr>
          <w:szCs w:val="22"/>
        </w:rPr>
      </w:pPr>
      <w:r>
        <w:rPr>
          <w:szCs w:val="22"/>
        </w:rPr>
        <w:t>Public Comment on the Preliminary Determination</w:t>
      </w:r>
    </w:p>
    <w:p w14:paraId="5732FB2F" w14:textId="28C06C8E" w:rsidR="00074A3E" w:rsidRDefault="00074A3E" w:rsidP="00B779D1">
      <w:pPr>
        <w:pStyle w:val="StyleParanumLeft"/>
        <w:spacing w:after="120"/>
      </w:pPr>
      <w:r w:rsidRPr="00074A3E">
        <w:t xml:space="preserve">After reviewing the comments received in response to the preliminary 100 percent overlap determination, we will publish the final determination.  </w:t>
      </w:r>
      <w:r w:rsidR="00F07A28">
        <w:t>T</w:t>
      </w:r>
      <w:r w:rsidRPr="00074A3E">
        <w:t xml:space="preserve">he companies operating in the affected study areas, both the ILECs and the unsubsidized competitors, </w:t>
      </w:r>
      <w:r w:rsidR="0070474F">
        <w:t xml:space="preserve">are invited </w:t>
      </w:r>
      <w:r w:rsidRPr="00074A3E">
        <w:t xml:space="preserve">to review and, if necessary, confirm or refute the results of </w:t>
      </w:r>
      <w:r w:rsidR="0070474F">
        <w:t xml:space="preserve">our preliminary </w:t>
      </w:r>
      <w:r w:rsidRPr="00074A3E">
        <w:t>analysis.</w:t>
      </w:r>
      <w:r w:rsidR="00501434">
        <w:t xml:space="preserve">  We encourage companies to access the online map posted at </w:t>
      </w:r>
      <w:hyperlink r:id="rId15" w:history="1">
        <w:r w:rsidR="00EF51E0">
          <w:rPr>
            <w:rStyle w:val="Hyperlink"/>
          </w:rPr>
          <w:t>https://www.fcc.gov/maps/100pct-overlap-map</w:t>
        </w:r>
      </w:hyperlink>
      <w:r w:rsidR="00F911DE">
        <w:t xml:space="preserve"> </w:t>
      </w:r>
      <w:r w:rsidR="00501434">
        <w:t>for more information on and a geographical depiction of the results of the preliminary analysis.</w:t>
      </w:r>
      <w:r w:rsidR="008E086B">
        <w:t xml:space="preserve">  Interested parties can use the mouseover feature to see which competitors offer service</w:t>
      </w:r>
      <w:r w:rsidR="005A524E">
        <w:t>, based on December 2014 Form 477 data,</w:t>
      </w:r>
      <w:r w:rsidR="008E086B">
        <w:t xml:space="preserve"> in the census blocks th</w:t>
      </w:r>
      <w:r w:rsidR="005A524E">
        <w:t>at overlap the identified study areas.  Each census block is color coded according to which competitors are serving the block.</w:t>
      </w:r>
    </w:p>
    <w:p w14:paraId="59DB2FA3" w14:textId="77777777" w:rsidR="00074A3E" w:rsidRPr="00074A3E" w:rsidRDefault="00074A3E" w:rsidP="00B779D1">
      <w:pPr>
        <w:pStyle w:val="StyleParanumLeft"/>
        <w:spacing w:after="120"/>
      </w:pPr>
      <w:r w:rsidRPr="00074A3E">
        <w:t xml:space="preserve">In December 2014, the Commission directed the Bureau to </w:t>
      </w:r>
      <w:r w:rsidR="00D118B5">
        <w:t xml:space="preserve">“publish its preliminary determination of those areas subject to 100 percent overlap and then provide an opportunity for comment on these preliminary determinations, building </w:t>
      </w:r>
      <w:r w:rsidRPr="00074A3E">
        <w:t>on experience gained in conducting the Phase II challenge process in price cap areas</w:t>
      </w:r>
      <w:r w:rsidR="00D118B5">
        <w:t>.</w:t>
      </w:r>
      <w:r w:rsidRPr="00074A3E">
        <w:t>”</w:t>
      </w:r>
      <w:r>
        <w:rPr>
          <w:rStyle w:val="FootnoteReference"/>
        </w:rPr>
        <w:footnoteReference w:id="39"/>
      </w:r>
      <w:r w:rsidRPr="00074A3E">
        <w:t xml:space="preserve">  Based on th</w:t>
      </w:r>
      <w:r w:rsidR="00D118B5">
        <w:t>e</w:t>
      </w:r>
      <w:r w:rsidRPr="00074A3E">
        <w:t xml:space="preserve"> </w:t>
      </w:r>
      <w:r w:rsidR="00D118B5">
        <w:t xml:space="preserve">Phase II challenge </w:t>
      </w:r>
      <w:r w:rsidRPr="00074A3E">
        <w:t xml:space="preserve">experience, we </w:t>
      </w:r>
      <w:r w:rsidR="00D118B5">
        <w:t>have learned that it is extremely difficult for an incumbent</w:t>
      </w:r>
      <w:r w:rsidR="001A71BF">
        <w:t xml:space="preserve"> provider to prove a negative –</w:t>
      </w:r>
      <w:r w:rsidR="00D118B5">
        <w:t xml:space="preserve"> that a competitor is not serving an area</w:t>
      </w:r>
      <w:r w:rsidR="0070474F">
        <w:t xml:space="preserve">.  Rather, </w:t>
      </w:r>
      <w:r w:rsidR="006E5D14">
        <w:t>the purported competitor is in a much better position to confirm that it is offering service in a given area</w:t>
      </w:r>
      <w:r w:rsidR="00D118B5">
        <w:t>.  We also are mindful of the fact that</w:t>
      </w:r>
      <w:r w:rsidR="005A4E65">
        <w:t>,</w:t>
      </w:r>
      <w:r w:rsidR="00D118B5">
        <w:t xml:space="preserve"> while a Form 477 filer may truthfully certify that </w:t>
      </w:r>
      <w:r w:rsidR="005A4E65">
        <w:t>it offers service in</w:t>
      </w:r>
      <w:r w:rsidR="00D118B5">
        <w:t xml:space="preserve"> a particular census bl</w:t>
      </w:r>
      <w:r w:rsidR="00315338">
        <w:t xml:space="preserve">ock, </w:t>
      </w:r>
      <w:r w:rsidR="005A4E65">
        <w:t>the filer may not offer</w:t>
      </w:r>
      <w:r w:rsidR="00526B4A">
        <w:t xml:space="preserve"> service to</w:t>
      </w:r>
      <w:r w:rsidR="00315338">
        <w:t xml:space="preserve"> </w:t>
      </w:r>
      <w:r w:rsidR="00315338" w:rsidRPr="006E5D14">
        <w:t>all</w:t>
      </w:r>
      <w:r w:rsidR="00315338" w:rsidRPr="00827923">
        <w:rPr>
          <w:i/>
        </w:rPr>
        <w:t xml:space="preserve"> </w:t>
      </w:r>
      <w:r w:rsidR="00315338">
        <w:t xml:space="preserve">locations in </w:t>
      </w:r>
      <w:r w:rsidR="007200CA">
        <w:t>that</w:t>
      </w:r>
      <w:r w:rsidR="00315338">
        <w:t xml:space="preserve"> census block</w:t>
      </w:r>
      <w:r w:rsidR="006E5D14">
        <w:t>; a</w:t>
      </w:r>
      <w:r w:rsidR="005959A1">
        <w:t xml:space="preserve"> Form 477 filer is required to </w:t>
      </w:r>
      <w:r w:rsidR="006E5D14">
        <w:t>report</w:t>
      </w:r>
      <w:r w:rsidR="005959A1">
        <w:t xml:space="preserve"> </w:t>
      </w:r>
      <w:r w:rsidR="006E5D14">
        <w:t xml:space="preserve">service in a given block where it </w:t>
      </w:r>
      <w:r w:rsidR="007200CA">
        <w:t>offers service to only</w:t>
      </w:r>
      <w:r w:rsidR="006E5D14">
        <w:t xml:space="preserve"> a fraction of the </w:t>
      </w:r>
      <w:r w:rsidR="0075709F">
        <w:t xml:space="preserve">residential and business </w:t>
      </w:r>
      <w:r w:rsidR="006E5D14">
        <w:t>locations</w:t>
      </w:r>
      <w:r w:rsidR="00315338">
        <w:t xml:space="preserve">.  Given those considerations, we conclude that </w:t>
      </w:r>
      <w:r w:rsidR="005959A1">
        <w:t>we cannot finalize the list – which triggers the phase-down in support mandated by the Commissio</w:t>
      </w:r>
      <w:r w:rsidR="001C7CD0">
        <w:t>n – without knowing whether the</w:t>
      </w:r>
      <w:r w:rsidRPr="00074A3E">
        <w:t xml:space="preserve"> unsubsidized competitor </w:t>
      </w:r>
      <w:r w:rsidR="005959A1">
        <w:t xml:space="preserve">is </w:t>
      </w:r>
      <w:r w:rsidR="00315338">
        <w:t xml:space="preserve">offering </w:t>
      </w:r>
      <w:r w:rsidRPr="00074A3E">
        <w:t>fixed broadband and voice service in accordance with the Commission’s service obligations for universal service</w:t>
      </w:r>
      <w:r w:rsidR="00315338">
        <w:t xml:space="preserve"> to </w:t>
      </w:r>
      <w:r w:rsidR="00315338" w:rsidRPr="00827923">
        <w:rPr>
          <w:u w:val="single"/>
        </w:rPr>
        <w:t>all</w:t>
      </w:r>
      <w:r w:rsidR="00315338">
        <w:t xml:space="preserve"> locations within the </w:t>
      </w:r>
      <w:r w:rsidR="001C7CD0">
        <w:t xml:space="preserve">blocks reported on Form 477 and </w:t>
      </w:r>
      <w:r w:rsidR="00C61EC0">
        <w:t xml:space="preserve">which </w:t>
      </w:r>
      <w:r w:rsidR="001C7CD0">
        <w:t xml:space="preserve">overlap the </w:t>
      </w:r>
      <w:r w:rsidR="005959A1">
        <w:t>study area</w:t>
      </w:r>
      <w:r w:rsidR="00526B4A">
        <w:t>.</w:t>
      </w:r>
      <w:r w:rsidRPr="00074A3E">
        <w:t xml:space="preserve">  </w:t>
      </w:r>
    </w:p>
    <w:p w14:paraId="48BF59D4" w14:textId="3B0485DF" w:rsidR="00313B14" w:rsidRDefault="00910C6C" w:rsidP="00B779D1">
      <w:pPr>
        <w:pStyle w:val="StyleParanumLeft"/>
        <w:spacing w:after="120"/>
      </w:pPr>
      <w:bookmarkStart w:id="19" w:name="_Ref421197158"/>
      <w:r>
        <w:t xml:space="preserve">In particular, </w:t>
      </w:r>
      <w:r w:rsidR="005959A1">
        <w:t xml:space="preserve">we encourage </w:t>
      </w:r>
      <w:r>
        <w:t xml:space="preserve">competitors </w:t>
      </w:r>
      <w:r w:rsidR="005959A1">
        <w:t xml:space="preserve">to </w:t>
      </w:r>
      <w:r>
        <w:t xml:space="preserve">address in their comments whether they </w:t>
      </w:r>
      <w:r w:rsidR="006E5D14">
        <w:t xml:space="preserve">currently </w:t>
      </w:r>
      <w:r w:rsidR="004552BB">
        <w:t>offer</w:t>
      </w:r>
      <w:r w:rsidR="007200CA">
        <w:t xml:space="preserve">, </w:t>
      </w:r>
      <w:r>
        <w:t xml:space="preserve">to all locations </w:t>
      </w:r>
      <w:r w:rsidR="001C7CD0">
        <w:t>with</w:t>
      </w:r>
      <w:r>
        <w:t>in the</w:t>
      </w:r>
      <w:r w:rsidR="001C7CD0">
        <w:t xml:space="preserve"> blocks reported on Form 477 and which overlap</w:t>
      </w:r>
      <w:r w:rsidR="00C61EC0">
        <w:t xml:space="preserve"> the</w:t>
      </w:r>
      <w:r>
        <w:t xml:space="preserve"> </w:t>
      </w:r>
      <w:r w:rsidR="005959A1">
        <w:t>incumbent’s study area</w:t>
      </w:r>
      <w:r w:rsidR="007200CA">
        <w:t>,</w:t>
      </w:r>
      <w:r>
        <w:t xml:space="preserve"> </w:t>
      </w:r>
      <w:r w:rsidR="006E5D14">
        <w:t xml:space="preserve">(1) </w:t>
      </w:r>
      <w:r w:rsidR="007200CA">
        <w:t xml:space="preserve">fixed </w:t>
      </w:r>
      <w:r>
        <w:t xml:space="preserve">voice service at rates under the </w:t>
      </w:r>
      <w:r w:rsidR="001C7CD0">
        <w:t xml:space="preserve">2015 </w:t>
      </w:r>
      <w:r>
        <w:t xml:space="preserve">reasonable comparability benchmark </w:t>
      </w:r>
      <w:r w:rsidR="001C7CD0">
        <w:t>of $47.48</w:t>
      </w:r>
      <w:r w:rsidR="006E5D14">
        <w:t>,</w:t>
      </w:r>
      <w:r w:rsidR="006E5D14">
        <w:rPr>
          <w:rStyle w:val="FootnoteReference"/>
          <w:szCs w:val="22"/>
        </w:rPr>
        <w:footnoteReference w:id="40"/>
      </w:r>
      <w:r>
        <w:t xml:space="preserve"> and </w:t>
      </w:r>
      <w:r w:rsidR="006E5D14">
        <w:t xml:space="preserve">(2) </w:t>
      </w:r>
      <w:r w:rsidR="007241AE">
        <w:t>fixed</w:t>
      </w:r>
      <w:r w:rsidR="000215DD">
        <w:t xml:space="preserve"> broadband </w:t>
      </w:r>
      <w:r w:rsidR="007200CA">
        <w:t xml:space="preserve">service </w:t>
      </w:r>
      <w:r>
        <w:t xml:space="preserve">at </w:t>
      </w:r>
      <w:r w:rsidR="004552BB">
        <w:t>actual downstream speed of at least 10 Mbps and actual upload speed of at least 1 Mbps</w:t>
      </w:r>
      <w:r w:rsidR="007200CA">
        <w:t>;</w:t>
      </w:r>
      <w:r w:rsidR="004552BB">
        <w:t xml:space="preserve"> </w:t>
      </w:r>
      <w:r>
        <w:t xml:space="preserve">with </w:t>
      </w:r>
      <w:r w:rsidR="004E2DB5">
        <w:t xml:space="preserve">latency </w:t>
      </w:r>
      <w:r>
        <w:t>suitable for real time applications, including Voice over Internet Protocol</w:t>
      </w:r>
      <w:r w:rsidR="007200CA">
        <w:t>;</w:t>
      </w:r>
      <w:r>
        <w:t xml:space="preserve"> </w:t>
      </w:r>
      <w:r w:rsidR="007200CA">
        <w:t xml:space="preserve">with </w:t>
      </w:r>
      <w:r>
        <w:t>u</w:t>
      </w:r>
      <w:r w:rsidR="007200CA">
        <w:t>sage capacity that is reasonably</w:t>
      </w:r>
      <w:r>
        <w:t xml:space="preserve"> comparable to offerings in urban areas</w:t>
      </w:r>
      <w:r w:rsidR="007200CA">
        <w:t xml:space="preserve">; and </w:t>
      </w:r>
      <w:r>
        <w:t xml:space="preserve">at rates that </w:t>
      </w:r>
      <w:r w:rsidR="007C2D0C">
        <w:t xml:space="preserve">are </w:t>
      </w:r>
      <w:r w:rsidR="004E2DB5">
        <w:t xml:space="preserve">reasonably comparable to </w:t>
      </w:r>
      <w:r w:rsidR="007200CA">
        <w:t>those</w:t>
      </w:r>
      <w:r w:rsidR="004E2DB5">
        <w:t xml:space="preserve"> in urban areas.</w:t>
      </w:r>
      <w:r w:rsidR="004E2DB5">
        <w:rPr>
          <w:rStyle w:val="FootnoteReference"/>
          <w:szCs w:val="22"/>
        </w:rPr>
        <w:footnoteReference w:id="41"/>
      </w:r>
      <w:r w:rsidR="008E1CD6">
        <w:t xml:space="preserve">  </w:t>
      </w:r>
      <w:r w:rsidR="007C2D0C">
        <w:t>For example, a competitor offering broadband service at 10 Mbps downstream and 1 Mbps upstream, with unlimited usage, would be subject to a benchmark of $77.81</w:t>
      </w:r>
      <w:r w:rsidR="00580755">
        <w:t xml:space="preserve"> for its broadband service</w:t>
      </w:r>
      <w:r w:rsidR="007C2D0C">
        <w:t>.</w:t>
      </w:r>
      <w:r w:rsidR="007C2D0C">
        <w:rPr>
          <w:rStyle w:val="FootnoteReference"/>
          <w:szCs w:val="22"/>
        </w:rPr>
        <w:footnoteReference w:id="42"/>
      </w:r>
      <w:r w:rsidR="007C2D0C">
        <w:t xml:space="preserve">  </w:t>
      </w:r>
      <w:r w:rsidR="00F2443B">
        <w:t xml:space="preserve">Relevant information </w:t>
      </w:r>
      <w:r w:rsidR="003A12BF">
        <w:t>c</w:t>
      </w:r>
      <w:r w:rsidR="00F2443B">
        <w:t xml:space="preserve">ould include whether the provider has </w:t>
      </w:r>
      <w:r w:rsidR="00DB66D8">
        <w:t xml:space="preserve">voice and broadband-capable </w:t>
      </w:r>
      <w:r w:rsidR="00F2443B">
        <w:t>physical assets in or adjacent to the relevant area</w:t>
      </w:r>
      <w:r w:rsidR="003A12BF">
        <w:t>, holds itself out to the public as offering service,</w:t>
      </w:r>
      <w:r w:rsidR="00F2443B">
        <w:t xml:space="preserve"> and </w:t>
      </w:r>
      <w:r w:rsidR="00DB66D8">
        <w:t xml:space="preserve">is </w:t>
      </w:r>
      <w:r w:rsidR="00F2443B">
        <w:t>will</w:t>
      </w:r>
      <w:r w:rsidR="00DB66D8">
        <w:t>ing and able</w:t>
      </w:r>
      <w:r w:rsidR="00F2443B">
        <w:t xml:space="preserve"> </w:t>
      </w:r>
      <w:r w:rsidR="00DB66D8">
        <w:t xml:space="preserve">to </w:t>
      </w:r>
      <w:r w:rsidR="00F2443B">
        <w:t>provide service to a requestin</w:t>
      </w:r>
      <w:r w:rsidR="00E7167B">
        <w:t xml:space="preserve">g customer </w:t>
      </w:r>
      <w:r w:rsidR="00F2443B">
        <w:t xml:space="preserve">within </w:t>
      </w:r>
      <w:r w:rsidR="003A12BF">
        <w:t>seven to ten business days</w:t>
      </w:r>
      <w:r w:rsidR="004D66AE">
        <w:t xml:space="preserve"> without an extraordinary commitment of resources</w:t>
      </w:r>
      <w:r w:rsidR="003A12BF">
        <w:t>.</w:t>
      </w:r>
      <w:r w:rsidR="00A86A39">
        <w:rPr>
          <w:rStyle w:val="FootnoteReference"/>
        </w:rPr>
        <w:footnoteReference w:id="43"/>
      </w:r>
      <w:r w:rsidR="003A12BF">
        <w:t xml:space="preserve"> </w:t>
      </w:r>
      <w:r w:rsidR="00F2443B">
        <w:t xml:space="preserve"> W</w:t>
      </w:r>
      <w:r w:rsidR="00A851FA">
        <w:t xml:space="preserve">e would treat a declaration by </w:t>
      </w:r>
      <w:r w:rsidR="00F2443B">
        <w:t>a</w:t>
      </w:r>
      <w:r w:rsidR="00A851FA">
        <w:t xml:space="preserve"> competitor that it is offering service as specified </w:t>
      </w:r>
      <w:r w:rsidR="006D0CC1">
        <w:t xml:space="preserve">above </w:t>
      </w:r>
      <w:r w:rsidR="00A851FA">
        <w:t xml:space="preserve">throughout the </w:t>
      </w:r>
      <w:r w:rsidR="00C61EC0">
        <w:t xml:space="preserve">blocks reported on Form 477 and within the </w:t>
      </w:r>
      <w:r w:rsidR="00A851FA">
        <w:t>study area as persuasive evidence that we would consider in our final determination.</w:t>
      </w:r>
      <w:r w:rsidR="00CF149F">
        <w:rPr>
          <w:rStyle w:val="FootnoteReference"/>
          <w:szCs w:val="22"/>
        </w:rPr>
        <w:footnoteReference w:id="44"/>
      </w:r>
      <w:r w:rsidR="00A851FA">
        <w:t xml:space="preserve">  </w:t>
      </w:r>
      <w:r w:rsidR="006E5D14">
        <w:t xml:space="preserve">Absent </w:t>
      </w:r>
      <w:r w:rsidR="00A851FA">
        <w:t>such a submission</w:t>
      </w:r>
      <w:r w:rsidR="00F218C6">
        <w:t xml:space="preserve"> from the competitor</w:t>
      </w:r>
      <w:r w:rsidR="006E5D14">
        <w:t>, we w</w:t>
      </w:r>
      <w:r w:rsidR="006D0CC1">
        <w:t>ould</w:t>
      </w:r>
      <w:r w:rsidR="00F218C6">
        <w:t xml:space="preserve"> not be in a position to </w:t>
      </w:r>
      <w:r w:rsidR="006E5D14">
        <w:t xml:space="preserve">make a final </w:t>
      </w:r>
      <w:r w:rsidR="001A71BF">
        <w:t xml:space="preserve">100 percent overlap </w:t>
      </w:r>
      <w:r w:rsidR="006E5D14">
        <w:t>determination for the affected rate-of-return carrier</w:t>
      </w:r>
      <w:r w:rsidR="0075709F">
        <w:t xml:space="preserve"> because we will not know whether all locations in fact are served</w:t>
      </w:r>
      <w:r w:rsidR="006E5D14">
        <w:t>.</w:t>
      </w:r>
      <w:bookmarkEnd w:id="19"/>
      <w:r w:rsidR="00EF4F44">
        <w:t xml:space="preserve">  </w:t>
      </w:r>
    </w:p>
    <w:p w14:paraId="6FE5FD25" w14:textId="5D805D80" w:rsidR="00930944" w:rsidRDefault="00DE522D" w:rsidP="00B779D1">
      <w:pPr>
        <w:pStyle w:val="StyleParanumLeft"/>
        <w:widowControl/>
        <w:spacing w:after="120"/>
      </w:pPr>
      <w:r>
        <w:t xml:space="preserve">We note </w:t>
      </w:r>
      <w:r w:rsidR="000B07AB">
        <w:t>this approach is largely consistent with that proposed by several parties</w:t>
      </w:r>
      <w:r w:rsidR="00B24D8F">
        <w:t xml:space="preserve"> for purposes of implementing the 100 percent overlap rule</w:t>
      </w:r>
      <w:r w:rsidR="00EF4F44">
        <w:t>.</w:t>
      </w:r>
      <w:r w:rsidR="00EF4F44">
        <w:rPr>
          <w:rStyle w:val="FootnoteReference"/>
        </w:rPr>
        <w:footnoteReference w:id="45"/>
      </w:r>
      <w:r w:rsidR="00F64944">
        <w:t xml:space="preserve"> </w:t>
      </w:r>
      <w:r w:rsidR="00745AFD">
        <w:t xml:space="preserve">  </w:t>
      </w:r>
      <w:r w:rsidR="00313B14">
        <w:t>We are not persuaded</w:t>
      </w:r>
      <w:r w:rsidR="00C308A8">
        <w:t>, however,</w:t>
      </w:r>
      <w:r w:rsidR="00313B14">
        <w:t xml:space="preserve"> that we should require the competitor to demonstrate that it is not using cross-subsidies of any kind to provide service in the relevant area; such a requirement would go beyond the framework established by the Commission for implementation of this rule.  In adopting the rule, the Commission specifically focused on the receipt of high-cost support; it did not define an unsubsidized competitor as an entity that d</w:t>
      </w:r>
      <w:r w:rsidR="00A87E2B">
        <w:t xml:space="preserve">oes </w:t>
      </w:r>
      <w:r w:rsidR="00313B14">
        <w:t>not receive any form of universal service support.</w:t>
      </w:r>
      <w:r w:rsidR="00C308A8">
        <w:t xml:space="preserve"> </w:t>
      </w:r>
      <w:r w:rsidR="00C308A8" w:rsidRPr="00C308A8">
        <w:t xml:space="preserve"> </w:t>
      </w:r>
      <w:r w:rsidR="00D76C0C">
        <w:t>Also, as noted above, we exclude</w:t>
      </w:r>
      <w:r w:rsidR="00C308A8">
        <w:t xml:space="preserve"> from our analysis affiliates </w:t>
      </w:r>
      <w:r w:rsidR="00F64944">
        <w:t xml:space="preserve">offering voice and broadband via fiber or DSL technologies, as we assume </w:t>
      </w:r>
      <w:r w:rsidR="00C308A8">
        <w:t xml:space="preserve">that </w:t>
      </w:r>
      <w:r w:rsidR="00F64944">
        <w:t xml:space="preserve">those entities are the ones that </w:t>
      </w:r>
      <w:r w:rsidR="00C308A8">
        <w:t>the ILEC</w:t>
      </w:r>
      <w:r w:rsidR="00D76C0C">
        <w:t xml:space="preserve"> uses to meet its public interest obligation </w:t>
      </w:r>
      <w:r w:rsidR="00F64944">
        <w:t xml:space="preserve">to provide broadband as a condition of receiving high-cost support, </w:t>
      </w:r>
      <w:r w:rsidR="00D76C0C">
        <w:t xml:space="preserve">but </w:t>
      </w:r>
      <w:r w:rsidR="00F64944">
        <w:t xml:space="preserve">we would </w:t>
      </w:r>
      <w:r w:rsidR="00D76C0C">
        <w:t xml:space="preserve">include </w:t>
      </w:r>
      <w:r w:rsidR="00F64944">
        <w:t xml:space="preserve">cable </w:t>
      </w:r>
      <w:r w:rsidR="00D76C0C">
        <w:t xml:space="preserve">affiliates </w:t>
      </w:r>
      <w:r w:rsidR="001C411E">
        <w:t xml:space="preserve">that </w:t>
      </w:r>
      <w:r w:rsidR="00D76C0C">
        <w:t>provide both voice and broadband services</w:t>
      </w:r>
      <w:r w:rsidR="000A7CAF">
        <w:t xml:space="preserve"> over facilities that are separate from regulated incumbent network</w:t>
      </w:r>
      <w:r w:rsidR="00D76C0C">
        <w:t>.</w:t>
      </w:r>
      <w:r w:rsidR="00A241D4">
        <w:rPr>
          <w:rStyle w:val="FootnoteReference"/>
        </w:rPr>
        <w:footnoteReference w:id="46"/>
      </w:r>
      <w:r w:rsidR="00C308A8">
        <w:t xml:space="preserve">    </w:t>
      </w:r>
    </w:p>
    <w:p w14:paraId="652D5A31" w14:textId="77777777" w:rsidR="00FB00F4" w:rsidRDefault="006E5D14" w:rsidP="001C764F">
      <w:pPr>
        <w:pStyle w:val="StyleParanumLeft"/>
      </w:pPr>
      <w:r>
        <w:t xml:space="preserve">Rate-of-return carriers identified on the preliminary list of </w:t>
      </w:r>
      <w:r w:rsidR="00FB00F4">
        <w:t xml:space="preserve">100 percent overlapped study areas </w:t>
      </w:r>
      <w:r>
        <w:t xml:space="preserve">also are free </w:t>
      </w:r>
      <w:r w:rsidR="00FB00F4">
        <w:t>to submit evidence that an unsubsidized competitor doe</w:t>
      </w:r>
      <w:r w:rsidR="0018633C">
        <w:t xml:space="preserve">s not offer service </w:t>
      </w:r>
      <w:r w:rsidR="004552BB">
        <w:t xml:space="preserve">to all locations </w:t>
      </w:r>
      <w:r w:rsidR="0018633C">
        <w:t xml:space="preserve">in </w:t>
      </w:r>
      <w:r w:rsidR="00FB00F4">
        <w:t xml:space="preserve">the census blocks </w:t>
      </w:r>
      <w:r w:rsidR="0018633C">
        <w:t>specified</w:t>
      </w:r>
      <w:r w:rsidR="00FB00F4">
        <w:t xml:space="preserve"> in the </w:t>
      </w:r>
      <w:r>
        <w:t>appendix</w:t>
      </w:r>
      <w:r w:rsidR="000C62C0">
        <w:t xml:space="preserve"> </w:t>
      </w:r>
      <w:r w:rsidR="00A60685">
        <w:t xml:space="preserve">and/or that </w:t>
      </w:r>
      <w:r w:rsidR="00F218C6">
        <w:t xml:space="preserve">the competitor is not offering service to </w:t>
      </w:r>
      <w:r>
        <w:t>all locations</w:t>
      </w:r>
      <w:r w:rsidR="00C61EC0">
        <w:t xml:space="preserve"> within those blocks</w:t>
      </w:r>
      <w:r w:rsidR="00F218C6">
        <w:t xml:space="preserve">.  </w:t>
      </w:r>
      <w:r w:rsidR="0075709F">
        <w:t>We note that t</w:t>
      </w:r>
      <w:r w:rsidR="00F218C6">
        <w:t>he type of evidence that we found persuasive in the Phase I and Phase II challenge process</w:t>
      </w:r>
      <w:r w:rsidR="005A1B35">
        <w:t xml:space="preserve"> </w:t>
      </w:r>
      <w:r w:rsidR="003A12BF">
        <w:t xml:space="preserve">to establish that service was not being offered in an area </w:t>
      </w:r>
      <w:r w:rsidR="00F218C6">
        <w:t xml:space="preserve">was evidence that a </w:t>
      </w:r>
      <w:r w:rsidR="005A1B35">
        <w:t>provider’s online service availability tool showed “no service available” for particular addresses</w:t>
      </w:r>
      <w:r w:rsidR="0075709F">
        <w:t xml:space="preserve"> in the relevant area</w:t>
      </w:r>
      <w:r w:rsidR="005A1B35">
        <w:t>.</w:t>
      </w:r>
      <w:r w:rsidR="005A1B35">
        <w:rPr>
          <w:rStyle w:val="FootnoteReference"/>
          <w:szCs w:val="22"/>
        </w:rPr>
        <w:footnoteReference w:id="47"/>
      </w:r>
      <w:r w:rsidR="005A1B35">
        <w:t xml:space="preserve">  </w:t>
      </w:r>
      <w:r w:rsidR="00A60685">
        <w:t>I</w:t>
      </w:r>
      <w:r w:rsidR="0075709F">
        <w:t>n this context</w:t>
      </w:r>
      <w:r w:rsidR="00FC0CCB">
        <w:t>,</w:t>
      </w:r>
      <w:r w:rsidR="0075709F">
        <w:t xml:space="preserve"> such information would </w:t>
      </w:r>
      <w:r w:rsidR="00593D20">
        <w:t xml:space="preserve">be </w:t>
      </w:r>
      <w:r w:rsidR="0075709F">
        <w:t>relevant to our final determination.</w:t>
      </w:r>
      <w:r w:rsidR="00A851FA">
        <w:t xml:space="preserve">  </w:t>
      </w:r>
    </w:p>
    <w:p w14:paraId="17E9FD45" w14:textId="77777777" w:rsidR="00E60335" w:rsidRPr="00E60335" w:rsidRDefault="00EF2146" w:rsidP="00B779D1">
      <w:pPr>
        <w:pStyle w:val="Heading2"/>
        <w:widowControl/>
        <w:tabs>
          <w:tab w:val="num" w:pos="1530"/>
        </w:tabs>
        <w:spacing w:after="120"/>
        <w:rPr>
          <w:szCs w:val="22"/>
        </w:rPr>
      </w:pPr>
      <w:r>
        <w:rPr>
          <w:szCs w:val="22"/>
        </w:rPr>
        <w:t>Filing Requirements</w:t>
      </w:r>
    </w:p>
    <w:bookmarkEnd w:id="6"/>
    <w:bookmarkEnd w:id="7"/>
    <w:bookmarkEnd w:id="8"/>
    <w:bookmarkEnd w:id="9"/>
    <w:bookmarkEnd w:id="10"/>
    <w:bookmarkEnd w:id="11"/>
    <w:bookmarkEnd w:id="12"/>
    <w:bookmarkEnd w:id="13"/>
    <w:bookmarkEnd w:id="14"/>
    <w:bookmarkEnd w:id="15"/>
    <w:bookmarkEnd w:id="16"/>
    <w:bookmarkEnd w:id="17"/>
    <w:p w14:paraId="06A5F006" w14:textId="77777777" w:rsidR="00EF2146" w:rsidRPr="007F7CE7" w:rsidRDefault="00EF2146" w:rsidP="00B779D1">
      <w:pPr>
        <w:pStyle w:val="StyleParanumLeft"/>
        <w:spacing w:after="120"/>
      </w:pPr>
      <w:r w:rsidRPr="007F7CE7">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F7CE7">
        <w:rPr>
          <w:i/>
        </w:rPr>
        <w:t>See Electronic Filing of Documents in Rulemaking Proceedings</w:t>
      </w:r>
      <w:r w:rsidRPr="007F7CE7">
        <w:t>, 63 FR 24121 (1998).</w:t>
      </w:r>
    </w:p>
    <w:p w14:paraId="26F5D340" w14:textId="1786E0FA" w:rsidR="00EF2146" w:rsidRPr="007F7CE7" w:rsidRDefault="00EF2146" w:rsidP="00EF2146">
      <w:pPr>
        <w:numPr>
          <w:ilvl w:val="0"/>
          <w:numId w:val="16"/>
        </w:numPr>
        <w:tabs>
          <w:tab w:val="clear" w:pos="720"/>
        </w:tabs>
        <w:rPr>
          <w:szCs w:val="22"/>
        </w:rPr>
      </w:pPr>
      <w:r w:rsidRPr="007F7CE7">
        <w:rPr>
          <w:szCs w:val="22"/>
        </w:rPr>
        <w:t xml:space="preserve">Electronic Filers:  Comments may be filed electronically using the Internet by accessing the ECFS: </w:t>
      </w:r>
      <w:r w:rsidR="00BB2329">
        <w:rPr>
          <w:szCs w:val="22"/>
        </w:rPr>
        <w:t xml:space="preserve"> </w:t>
      </w:r>
      <w:hyperlink r:id="rId16" w:history="1">
        <w:r w:rsidR="00BB2329" w:rsidRPr="00BB2329">
          <w:rPr>
            <w:rStyle w:val="Hyperlink"/>
            <w:szCs w:val="22"/>
          </w:rPr>
          <w:t>http://apps.fcc.gov/ecfs</w:t>
        </w:r>
      </w:hyperlink>
      <w:r w:rsidR="00BB2329">
        <w:rPr>
          <w:szCs w:val="22"/>
        </w:rPr>
        <w:t xml:space="preserve">. </w:t>
      </w:r>
    </w:p>
    <w:p w14:paraId="3FB5F326" w14:textId="77777777" w:rsidR="00EF2146" w:rsidRPr="007F7CE7" w:rsidRDefault="00EF2146" w:rsidP="00EF2146">
      <w:pPr>
        <w:ind w:left="720"/>
        <w:rPr>
          <w:szCs w:val="22"/>
        </w:rPr>
      </w:pPr>
    </w:p>
    <w:p w14:paraId="5A2585D6" w14:textId="4E427037" w:rsidR="00EF2146" w:rsidRPr="00B779D1" w:rsidRDefault="00EF2146" w:rsidP="00B779D1">
      <w:pPr>
        <w:numPr>
          <w:ilvl w:val="0"/>
          <w:numId w:val="16"/>
        </w:numPr>
        <w:spacing w:after="120"/>
        <w:rPr>
          <w:szCs w:val="22"/>
        </w:rPr>
      </w:pPr>
      <w:r w:rsidRPr="007F7CE7">
        <w:rPr>
          <w:szCs w:val="22"/>
        </w:rPr>
        <w:t>Paper Filers:  Parties who choose to file by p</w:t>
      </w:r>
      <w:r w:rsidR="00BF1AB1">
        <w:rPr>
          <w:szCs w:val="22"/>
        </w:rPr>
        <w:t xml:space="preserve">aper must file an original and </w:t>
      </w:r>
      <w:r w:rsidRPr="007F7CE7">
        <w:rPr>
          <w:szCs w:val="22"/>
        </w:rPr>
        <w:t>one copy of each filing.  If more than one docket or rulemaking number appears in the caption of this proceeding, filers must submit two additional copies for each additional docket or rulemaking number.</w:t>
      </w:r>
    </w:p>
    <w:p w14:paraId="5A50798F" w14:textId="65D7D2D5" w:rsidR="00EF2146" w:rsidRPr="007F7CE7" w:rsidRDefault="00EF2146" w:rsidP="00B779D1">
      <w:pPr>
        <w:tabs>
          <w:tab w:val="left" w:pos="720"/>
        </w:tabs>
        <w:spacing w:after="120"/>
        <w:rPr>
          <w:szCs w:val="22"/>
        </w:rPr>
      </w:pPr>
      <w:r w:rsidRPr="007F7CE7">
        <w:rPr>
          <w:szCs w:val="22"/>
        </w:rPr>
        <w:tab/>
        <w:t>Filings can be sent by hand or messenger delivery, by commercial overnight courier, or by first-class or overnight U.S. Postal Service mail.  All filings must be addressed to the Commission’s Secretary, Office of the Secretary, Federal Communications Commission.</w:t>
      </w:r>
    </w:p>
    <w:p w14:paraId="5C544D6C" w14:textId="77777777" w:rsidR="00EF2146" w:rsidRPr="007F7CE7" w:rsidRDefault="00EF2146" w:rsidP="00EF2146">
      <w:pPr>
        <w:numPr>
          <w:ilvl w:val="1"/>
          <w:numId w:val="16"/>
        </w:numPr>
        <w:rPr>
          <w:szCs w:val="22"/>
        </w:rPr>
      </w:pPr>
      <w:r w:rsidRPr="007F7CE7">
        <w:rPr>
          <w:szCs w:val="22"/>
        </w:rPr>
        <w:t>All hand-delivered or messenger-delivered paper filings for the Commission’s Secretary must be delivered to FCC Headquarters at 445 12</w:t>
      </w:r>
      <w:r w:rsidRPr="007F7CE7">
        <w:rPr>
          <w:szCs w:val="22"/>
          <w:vertAlign w:val="superscript"/>
        </w:rPr>
        <w:t>th</w:t>
      </w:r>
      <w:r w:rsidRPr="007F7CE7">
        <w:rPr>
          <w:szCs w:val="22"/>
        </w:rPr>
        <w:t xml:space="preserve"> St., SW, Room TW-A325, Washington, DC 20554.  The filing hours are 8:00 a.m. to 7:00 p.m.  All hand deliveries must be held together with rubber bands or fasteners.  Any envelopes and boxes must be disposed of</w:t>
      </w:r>
      <w:r w:rsidRPr="003B7FD7">
        <w:rPr>
          <w:szCs w:val="22"/>
        </w:rPr>
        <w:t xml:space="preserve"> </w:t>
      </w:r>
      <w:r w:rsidRPr="007F7CE7">
        <w:rPr>
          <w:szCs w:val="22"/>
          <w:u w:val="single"/>
        </w:rPr>
        <w:t>before</w:t>
      </w:r>
      <w:r w:rsidRPr="007F7CE7">
        <w:rPr>
          <w:szCs w:val="22"/>
        </w:rPr>
        <w:t xml:space="preserve"> entering the building.  </w:t>
      </w:r>
    </w:p>
    <w:p w14:paraId="292B0659" w14:textId="77777777" w:rsidR="00EF2146" w:rsidRPr="007F7CE7" w:rsidRDefault="00EF2146" w:rsidP="00EF2146">
      <w:pPr>
        <w:ind w:left="720"/>
        <w:rPr>
          <w:szCs w:val="22"/>
        </w:rPr>
      </w:pPr>
    </w:p>
    <w:p w14:paraId="729F3D33" w14:textId="77777777" w:rsidR="00EF2146" w:rsidRPr="007F7CE7" w:rsidRDefault="00EF2146" w:rsidP="00EF2146">
      <w:pPr>
        <w:numPr>
          <w:ilvl w:val="1"/>
          <w:numId w:val="16"/>
        </w:numPr>
        <w:rPr>
          <w:szCs w:val="22"/>
        </w:rPr>
      </w:pPr>
      <w:r w:rsidRPr="007F7CE7">
        <w:rPr>
          <w:szCs w:val="22"/>
        </w:rPr>
        <w:t>Commercial overnight mail (other than U.S. Postal Service Express Mail and Priority Mail) must be sent to 9300 East Hampton Drive, Capitol Heights, MD 20743.</w:t>
      </w:r>
    </w:p>
    <w:p w14:paraId="61FBC88F" w14:textId="77777777" w:rsidR="00EF2146" w:rsidRPr="007F7CE7" w:rsidRDefault="00EF2146" w:rsidP="00EF2146">
      <w:pPr>
        <w:ind w:left="720"/>
        <w:rPr>
          <w:szCs w:val="22"/>
        </w:rPr>
      </w:pPr>
    </w:p>
    <w:p w14:paraId="17F6993F" w14:textId="45448289" w:rsidR="00EF2146" w:rsidRPr="00B779D1" w:rsidRDefault="00EF2146" w:rsidP="00B779D1">
      <w:pPr>
        <w:numPr>
          <w:ilvl w:val="1"/>
          <w:numId w:val="16"/>
        </w:numPr>
        <w:spacing w:after="120"/>
        <w:rPr>
          <w:szCs w:val="22"/>
        </w:rPr>
      </w:pPr>
      <w:r w:rsidRPr="007F7CE7">
        <w:rPr>
          <w:szCs w:val="22"/>
        </w:rPr>
        <w:t>U.S. Postal Service first-class, Express, and Priority mail must be addressed to 445 12</w:t>
      </w:r>
      <w:r w:rsidRPr="007F7CE7">
        <w:rPr>
          <w:szCs w:val="22"/>
          <w:vertAlign w:val="superscript"/>
        </w:rPr>
        <w:t>th</w:t>
      </w:r>
      <w:r w:rsidRPr="007F7CE7">
        <w:rPr>
          <w:szCs w:val="22"/>
        </w:rPr>
        <w:t xml:space="preserve"> Street, SW, Washington, DC  20554.</w:t>
      </w:r>
    </w:p>
    <w:p w14:paraId="6A61BA42" w14:textId="77777777" w:rsidR="00EF2146" w:rsidRPr="007F7CE7" w:rsidRDefault="00EF2146" w:rsidP="00B779D1">
      <w:pPr>
        <w:pStyle w:val="Paranum"/>
        <w:widowControl/>
        <w:numPr>
          <w:ilvl w:val="0"/>
          <w:numId w:val="0"/>
        </w:numPr>
        <w:spacing w:after="120"/>
        <w:ind w:firstLine="720"/>
        <w:jc w:val="left"/>
        <w:rPr>
          <w:szCs w:val="22"/>
        </w:rPr>
      </w:pPr>
      <w:r w:rsidRPr="007F7CE7">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423374E8" w14:textId="77777777" w:rsidR="00EF2146" w:rsidRPr="007F7CE7" w:rsidRDefault="00EF2146" w:rsidP="00B779D1">
      <w:pPr>
        <w:pStyle w:val="Paranum"/>
        <w:widowControl/>
        <w:numPr>
          <w:ilvl w:val="0"/>
          <w:numId w:val="0"/>
        </w:numPr>
        <w:spacing w:after="120"/>
        <w:ind w:firstLine="720"/>
        <w:jc w:val="left"/>
        <w:rPr>
          <w:szCs w:val="22"/>
        </w:rPr>
      </w:pPr>
      <w:r w:rsidRPr="007F7CE7">
        <w:rPr>
          <w:szCs w:val="22"/>
        </w:rPr>
        <w:t xml:space="preserve">This matter shall be treated as a “permit-but-disclose” proceeding in accordance with the Commission’s </w:t>
      </w:r>
      <w:r w:rsidRPr="007F7CE7">
        <w:rPr>
          <w:i/>
          <w:iCs/>
          <w:szCs w:val="22"/>
        </w:rPr>
        <w:t xml:space="preserve">ex parte </w:t>
      </w:r>
      <w:r w:rsidRPr="007F7CE7">
        <w:rPr>
          <w:szCs w:val="22"/>
        </w:rPr>
        <w:t>rules.</w:t>
      </w:r>
      <w:r w:rsidRPr="007F7CE7">
        <w:rPr>
          <w:rStyle w:val="FootnoteReference"/>
          <w:szCs w:val="22"/>
        </w:rPr>
        <w:footnoteReference w:id="48"/>
      </w:r>
      <w:r w:rsidRPr="007F7CE7">
        <w:rPr>
          <w:szCs w:val="22"/>
        </w:rPr>
        <w:t xml:space="preserve">  Persons making </w:t>
      </w:r>
      <w:r w:rsidRPr="007F7CE7">
        <w:rPr>
          <w:i/>
          <w:szCs w:val="22"/>
        </w:rPr>
        <w:t xml:space="preserve">ex parte </w:t>
      </w:r>
      <w:r w:rsidRPr="007F7CE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F7CE7">
        <w:rPr>
          <w:i/>
          <w:iCs/>
          <w:szCs w:val="22"/>
        </w:rPr>
        <w:t xml:space="preserve">ex parte </w:t>
      </w:r>
      <w:r w:rsidRPr="007F7CE7">
        <w:rPr>
          <w:szCs w:val="22"/>
        </w:rPr>
        <w:t xml:space="preserve">presentations are reminded that memoranda summarizing the presentation must (1) list all persons attending or otherwise participating in the meeting at which the </w:t>
      </w:r>
      <w:r w:rsidRPr="007F7CE7">
        <w:rPr>
          <w:i/>
          <w:iCs/>
          <w:szCs w:val="22"/>
        </w:rPr>
        <w:t xml:space="preserve">ex parte </w:t>
      </w:r>
      <w:r w:rsidRPr="007F7CE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7CE7">
        <w:rPr>
          <w:i/>
          <w:iCs/>
          <w:szCs w:val="22"/>
        </w:rPr>
        <w:t xml:space="preserve">ex parte </w:t>
      </w:r>
      <w:r w:rsidRPr="007F7CE7">
        <w:rPr>
          <w:szCs w:val="22"/>
        </w:rPr>
        <w:t xml:space="preserve">meetings are deemed to be written </w:t>
      </w:r>
      <w:r w:rsidRPr="007F7CE7">
        <w:rPr>
          <w:i/>
          <w:iCs/>
          <w:szCs w:val="22"/>
        </w:rPr>
        <w:t>ex parte</w:t>
      </w:r>
      <w:r w:rsidRPr="007F7CE7">
        <w:rPr>
          <w:szCs w:val="22"/>
        </w:rPr>
        <w:t xml:space="preserve"> presentations and must be filed consistent with rule 1.1206(b).  In proceedings governed by rule 1.49(f) or for which the Commission has made available a method of electronic filing, written </w:t>
      </w:r>
      <w:r w:rsidRPr="007F7CE7">
        <w:rPr>
          <w:i/>
          <w:iCs/>
          <w:szCs w:val="22"/>
        </w:rPr>
        <w:t xml:space="preserve">ex parte </w:t>
      </w:r>
      <w:r w:rsidRPr="007F7CE7">
        <w:rPr>
          <w:szCs w:val="22"/>
        </w:rPr>
        <w:t xml:space="preserve">presentations and memoranda summarizing oral </w:t>
      </w:r>
      <w:r w:rsidRPr="007F7CE7">
        <w:rPr>
          <w:i/>
          <w:iCs/>
          <w:szCs w:val="22"/>
        </w:rPr>
        <w:t xml:space="preserve">ex parte </w:t>
      </w:r>
      <w:r w:rsidRPr="007F7CE7">
        <w:rPr>
          <w:szCs w:val="22"/>
        </w:rPr>
        <w:t>presentations, and all attachments thereto, must be filed through the electronic comment filing system available for that proceeding, and must be filed in their native format (</w:t>
      </w:r>
      <w:r w:rsidRPr="007F7CE7">
        <w:rPr>
          <w:i/>
          <w:iCs/>
          <w:szCs w:val="22"/>
        </w:rPr>
        <w:t>e.g.</w:t>
      </w:r>
      <w:r w:rsidRPr="007F7CE7">
        <w:rPr>
          <w:szCs w:val="22"/>
        </w:rPr>
        <w:t xml:space="preserve">, .doc, .xml, .ppt, searchable .pdf).  Participants in this proceeding should familiarize themselves with the Commission’s </w:t>
      </w:r>
      <w:r w:rsidRPr="007F7CE7">
        <w:rPr>
          <w:i/>
          <w:iCs/>
          <w:szCs w:val="22"/>
        </w:rPr>
        <w:t xml:space="preserve">ex parte </w:t>
      </w:r>
      <w:r w:rsidRPr="007F7CE7">
        <w:rPr>
          <w:szCs w:val="22"/>
        </w:rPr>
        <w:t>rules.</w:t>
      </w:r>
    </w:p>
    <w:p w14:paraId="4B18B695" w14:textId="77777777" w:rsidR="00EF2146" w:rsidRPr="00F1317E" w:rsidRDefault="00EF2146" w:rsidP="00F1317E">
      <w:pPr>
        <w:pStyle w:val="paranum1"/>
        <w:tabs>
          <w:tab w:val="num" w:pos="720"/>
        </w:tabs>
        <w:spacing w:after="120"/>
        <w:jc w:val="left"/>
      </w:pPr>
      <w:r w:rsidRPr="007F7CE7">
        <w:tab/>
        <w:t xml:space="preserve">For further information, please contact </w:t>
      </w:r>
      <w:r w:rsidR="00BB2329">
        <w:t>Chelsea Fallon</w:t>
      </w:r>
      <w:r w:rsidRPr="007F7CE7">
        <w:t xml:space="preserve">, </w:t>
      </w:r>
      <w:r w:rsidR="00BB2329">
        <w:t>Industry Analysis &amp; Technology Division</w:t>
      </w:r>
      <w:r w:rsidRPr="007F7CE7">
        <w:t>, Wireline Competition Bureau at 202-418-</w:t>
      </w:r>
      <w:r w:rsidR="00BB2329">
        <w:t>7991 or Chelsea.Fallon@fcc.gov</w:t>
      </w:r>
      <w:r w:rsidRPr="007F7CE7">
        <w:t xml:space="preserve">, or </w:t>
      </w:r>
      <w:r w:rsidR="00BB2329">
        <w:t>Suzanne Yelen</w:t>
      </w:r>
      <w:r w:rsidRPr="007F7CE7">
        <w:t xml:space="preserve">, </w:t>
      </w:r>
      <w:r w:rsidR="00BB2329">
        <w:t>Industry Analysis &amp; Technology Division</w:t>
      </w:r>
      <w:r w:rsidR="00BB2329" w:rsidRPr="007F7CE7">
        <w:t>, Wireline Competition Bureau</w:t>
      </w:r>
      <w:r w:rsidRPr="007F7CE7">
        <w:t xml:space="preserve"> at 202-418-</w:t>
      </w:r>
      <w:r w:rsidR="00BB2329">
        <w:t>0626 or Suzanne.Yelen@fcc.gov</w:t>
      </w:r>
      <w:r w:rsidRPr="007F7CE7">
        <w:t>.</w:t>
      </w:r>
      <w:r w:rsidRPr="007F7CE7" w:rsidDel="00DE16CA">
        <w:rPr>
          <w:highlight w:val="yellow"/>
        </w:rPr>
        <w:t xml:space="preserve"> </w:t>
      </w:r>
    </w:p>
    <w:p w14:paraId="0E2144DA" w14:textId="77777777" w:rsidR="00AD540A" w:rsidRDefault="00EF2146" w:rsidP="00EF2146">
      <w:pPr>
        <w:spacing w:before="240"/>
        <w:jc w:val="center"/>
        <w:rPr>
          <w:b/>
          <w:szCs w:val="22"/>
        </w:rPr>
      </w:pPr>
      <w:r w:rsidRPr="007F7CE7">
        <w:rPr>
          <w:b/>
          <w:szCs w:val="22"/>
        </w:rPr>
        <w:t>- FCC -</w:t>
      </w:r>
      <w:r w:rsidR="00AD540A">
        <w:rPr>
          <w:b/>
          <w:szCs w:val="22"/>
        </w:rPr>
        <w:br/>
      </w:r>
    </w:p>
    <w:p w14:paraId="2D5B270E" w14:textId="77777777" w:rsidR="00AD540A" w:rsidRDefault="00AD540A">
      <w:pPr>
        <w:jc w:val="center"/>
        <w:rPr>
          <w:b/>
          <w:szCs w:val="22"/>
        </w:rPr>
      </w:pPr>
    </w:p>
    <w:sectPr w:rsidR="00AD540A">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0F062" w14:textId="77777777" w:rsidR="00697EB8" w:rsidRDefault="00697EB8">
      <w:r>
        <w:separator/>
      </w:r>
    </w:p>
  </w:endnote>
  <w:endnote w:type="continuationSeparator" w:id="0">
    <w:p w14:paraId="080F0876" w14:textId="77777777" w:rsidR="00697EB8" w:rsidRDefault="00697EB8">
      <w:r>
        <w:continuationSeparator/>
      </w:r>
    </w:p>
  </w:endnote>
  <w:endnote w:type="continuationNotice" w:id="1">
    <w:p w14:paraId="5EA3C9C6" w14:textId="77777777" w:rsidR="00697EB8" w:rsidRDefault="0069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20BF" w14:textId="77777777"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8724B0" w14:textId="77777777" w:rsidR="00AD540A" w:rsidRDefault="00AD5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76C2" w14:textId="77777777"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F2D8A1" w14:textId="77777777" w:rsidR="00AD540A" w:rsidRDefault="00AD5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1219" w14:textId="77777777" w:rsidR="007D33EF" w:rsidRDefault="007D33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578C" w14:textId="77777777"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466DAE" w14:textId="77777777" w:rsidR="00AD540A" w:rsidRDefault="00AD54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3C5E" w14:textId="77777777" w:rsidR="00AD540A" w:rsidRDefault="00AD5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574">
      <w:rPr>
        <w:rStyle w:val="PageNumber"/>
        <w:noProof/>
      </w:rPr>
      <w:t>2</w:t>
    </w:r>
    <w:r>
      <w:rPr>
        <w:rStyle w:val="PageNumber"/>
      </w:rPr>
      <w:fldChar w:fldCharType="end"/>
    </w:r>
  </w:p>
  <w:p w14:paraId="544DCC9F" w14:textId="77777777" w:rsidR="00AD540A" w:rsidRDefault="00AD540A">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7EDB" w14:textId="77777777" w:rsidR="00697EB8" w:rsidRDefault="00697EB8">
      <w:r>
        <w:separator/>
      </w:r>
    </w:p>
  </w:footnote>
  <w:footnote w:type="continuationSeparator" w:id="0">
    <w:p w14:paraId="318F48D6" w14:textId="77777777" w:rsidR="00697EB8" w:rsidRDefault="00697EB8">
      <w:r>
        <w:continuationSeparator/>
      </w:r>
    </w:p>
  </w:footnote>
  <w:footnote w:type="continuationNotice" w:id="1">
    <w:p w14:paraId="0C0CEEB0" w14:textId="77777777" w:rsidR="00697EB8" w:rsidRDefault="00697EB8"/>
  </w:footnote>
  <w:footnote w:id="2">
    <w:p w14:paraId="1CF5FEFB" w14:textId="77777777" w:rsidR="004D546E" w:rsidRDefault="004D546E">
      <w:pPr>
        <w:pStyle w:val="FootnoteText"/>
      </w:pPr>
      <w:r>
        <w:rPr>
          <w:rStyle w:val="FootnoteReference"/>
        </w:rPr>
        <w:footnoteRef/>
      </w:r>
      <w:r>
        <w:t xml:space="preserve"> </w:t>
      </w:r>
      <w:r w:rsidR="00E37F75" w:rsidRPr="00514EC1">
        <w:rPr>
          <w:i/>
        </w:rPr>
        <w:t>Connect America Fund et al.</w:t>
      </w:r>
      <w:r w:rsidR="00E37F75" w:rsidRPr="009C7A05">
        <w:t>,</w:t>
      </w:r>
      <w:r w:rsidR="00E37F75" w:rsidRPr="00514EC1">
        <w:t xml:space="preserve"> WC Docket Nos. 10-90 </w:t>
      </w:r>
      <w:r w:rsidR="00E37F75" w:rsidRPr="00C03781">
        <w:t>et al.</w:t>
      </w:r>
      <w:r w:rsidR="00E37F75" w:rsidRPr="00514EC1">
        <w:t>, Report and Order</w:t>
      </w:r>
      <w:r w:rsidR="00E37F75">
        <w:t>, 29 FCC Rcd 15644, 15685, para. 116</w:t>
      </w:r>
      <w:r w:rsidR="00E37F75" w:rsidRPr="00514EC1">
        <w:t xml:space="preserve"> </w:t>
      </w:r>
      <w:r w:rsidR="00E37F75">
        <w:t>(2014) (</w:t>
      </w:r>
      <w:r w:rsidR="00E37F75" w:rsidRPr="00514EC1">
        <w:rPr>
          <w:i/>
        </w:rPr>
        <w:t>December 2014 Connect America Fund Order</w:t>
      </w:r>
      <w:r w:rsidR="00E37F75">
        <w:t>).</w:t>
      </w:r>
    </w:p>
  </w:footnote>
  <w:footnote w:id="3">
    <w:p w14:paraId="2443B42F" w14:textId="451D127D" w:rsidR="00701CDA" w:rsidRDefault="00701CDA" w:rsidP="00F36716">
      <w:pPr>
        <w:pStyle w:val="FootnoteText"/>
      </w:pPr>
      <w:r>
        <w:rPr>
          <w:rStyle w:val="FootnoteReference"/>
        </w:rPr>
        <w:footnoteRef/>
      </w:r>
      <w:r>
        <w:t xml:space="preserve"> </w:t>
      </w:r>
      <w:r w:rsidR="003374A0">
        <w:t xml:space="preserve">Under the Commission’s rules, the study areas on the final list will receive two-thirds of the frozen baseline amount in the first year, and one-third of the frozen baseline amount in the second year.  </w:t>
      </w:r>
      <w:r>
        <w:t>47 C.F.R § 54.319</w:t>
      </w:r>
      <w:r w:rsidR="00832EEB">
        <w:t xml:space="preserve">; </w:t>
      </w:r>
      <w:r w:rsidR="00832EEB" w:rsidRPr="00EB0828">
        <w:rPr>
          <w:i/>
        </w:rPr>
        <w:t>see also</w:t>
      </w:r>
      <w:r w:rsidR="00BC73BA">
        <w:t xml:space="preserve"> </w:t>
      </w:r>
      <w:r w:rsidR="0079325D" w:rsidRPr="00514EC1">
        <w:rPr>
          <w:i/>
        </w:rPr>
        <w:t>December 2014 Connect America Fund Order</w:t>
      </w:r>
      <w:r w:rsidR="0079325D" w:rsidRPr="000C28F6">
        <w:t>,</w:t>
      </w:r>
      <w:r w:rsidR="0079325D">
        <w:t xml:space="preserve"> </w:t>
      </w:r>
      <w:r w:rsidR="00BC73BA">
        <w:t xml:space="preserve">29 FCC Rcd </w:t>
      </w:r>
      <w:r w:rsidR="0079325D">
        <w:t>at</w:t>
      </w:r>
      <w:r w:rsidR="00BC73BA">
        <w:t xml:space="preserve"> 15685, para.</w:t>
      </w:r>
      <w:r w:rsidR="00832EEB">
        <w:t xml:space="preserve"> 116 (adopting </w:t>
      </w:r>
      <w:r w:rsidR="00BC73BA">
        <w:t xml:space="preserve">April 2014 </w:t>
      </w:r>
      <w:r w:rsidR="00F36716">
        <w:t xml:space="preserve">proposal to </w:t>
      </w:r>
      <w:r w:rsidR="00306A5D">
        <w:t>make “the baseline for support reductions to be the amount of support received in the immediately preceding year before a determination is made that there is a 100 percent overlap</w:t>
      </w:r>
      <w:r w:rsidR="00BC73BA">
        <w:t>,</w:t>
      </w:r>
      <w:r w:rsidR="00306A5D">
        <w:t xml:space="preserve">” </w:t>
      </w:r>
      <w:r w:rsidR="00BC73BA" w:rsidRPr="00EB0828">
        <w:rPr>
          <w:i/>
        </w:rPr>
        <w:t>Connect America Fund et al</w:t>
      </w:r>
      <w:r w:rsidR="00BC73BA">
        <w:t>., WC Docket No. 10-90 et al., Report and Order et al., 29 FCC Rcd 7051, 7136, para. 266 (2014)</w:t>
      </w:r>
      <w:r w:rsidR="000C28F6">
        <w:t>)</w:t>
      </w:r>
      <w:r w:rsidR="00686D7C">
        <w:t xml:space="preserve">.  </w:t>
      </w:r>
    </w:p>
  </w:footnote>
  <w:footnote w:id="4">
    <w:p w14:paraId="5464301C" w14:textId="77777777" w:rsidR="00072ED7" w:rsidRDefault="00072ED7">
      <w:pPr>
        <w:pStyle w:val="FootnoteText"/>
      </w:pPr>
      <w:r>
        <w:rPr>
          <w:rStyle w:val="FootnoteReference"/>
        </w:rPr>
        <w:footnoteRef/>
      </w:r>
      <w:r>
        <w:t xml:space="preserve"> </w:t>
      </w:r>
      <w:r w:rsidR="00410DBC">
        <w:rPr>
          <w:i/>
        </w:rPr>
        <w:t>Connect America Fund et al</w:t>
      </w:r>
      <w:r w:rsidR="00C03781">
        <w:rPr>
          <w:i/>
        </w:rPr>
        <w:t>.</w:t>
      </w:r>
      <w:r w:rsidR="009C7A05" w:rsidRPr="009C7A05">
        <w:t>,</w:t>
      </w:r>
      <w:r w:rsidR="00410DBC">
        <w:t xml:space="preserve"> WC Docket Nos. 10-90 </w:t>
      </w:r>
      <w:r w:rsidR="00410DBC" w:rsidRPr="00C03781">
        <w:t>et al</w:t>
      </w:r>
      <w:r w:rsidR="00C03781">
        <w:t>.</w:t>
      </w:r>
      <w:r w:rsidRPr="00514EC1">
        <w:t>, Report and Order</w:t>
      </w:r>
      <w:r>
        <w:t xml:space="preserve"> </w:t>
      </w:r>
      <w:r w:rsidRPr="00C03781">
        <w:t>et al</w:t>
      </w:r>
      <w:r w:rsidR="00C03781" w:rsidRPr="00C03781">
        <w:t>.</w:t>
      </w:r>
      <w:r w:rsidR="001969CC">
        <w:t>, 26 FCC Rcd 17663</w:t>
      </w:r>
      <w:r>
        <w:t>, 17766-68, paras. 280-84</w:t>
      </w:r>
      <w:r w:rsidRPr="00514EC1">
        <w:t xml:space="preserve"> </w:t>
      </w:r>
      <w:r>
        <w:t>(2011) (</w:t>
      </w:r>
      <w:r>
        <w:rPr>
          <w:i/>
        </w:rPr>
        <w:t>USF/ICC Transformation</w:t>
      </w:r>
      <w:r w:rsidRPr="00514EC1">
        <w:rPr>
          <w:i/>
        </w:rPr>
        <w:t xml:space="preserve"> Order</w:t>
      </w:r>
      <w:r>
        <w:t>)</w:t>
      </w:r>
      <w:r w:rsidR="00701CDA">
        <w:t xml:space="preserve">, </w:t>
      </w:r>
      <w:r w:rsidR="00701CDA" w:rsidRPr="00BA0EE8">
        <w:rPr>
          <w:i/>
        </w:rPr>
        <w:t>aff’d sub nom., In re: FCC 11-161</w:t>
      </w:r>
      <w:r w:rsidR="00701CDA" w:rsidRPr="00BA0EE8">
        <w:t>, 753 F.3d 1015 (10th Cir. 2014).</w:t>
      </w:r>
    </w:p>
  </w:footnote>
  <w:footnote w:id="5">
    <w:p w14:paraId="2296957D" w14:textId="77777777" w:rsidR="00E507C5" w:rsidRDefault="00E507C5">
      <w:pPr>
        <w:pStyle w:val="FootnoteText"/>
      </w:pPr>
      <w:r>
        <w:rPr>
          <w:rStyle w:val="FootnoteReference"/>
        </w:rPr>
        <w:footnoteRef/>
      </w:r>
      <w:r>
        <w:t xml:space="preserve"> </w:t>
      </w:r>
      <w:r w:rsidRPr="007D2EB0">
        <w:rPr>
          <w:i/>
        </w:rPr>
        <w:t>Id</w:t>
      </w:r>
      <w:r>
        <w:t xml:space="preserve">. at </w:t>
      </w:r>
      <w:r w:rsidR="007D2EB0">
        <w:t>17701-02</w:t>
      </w:r>
      <w:r>
        <w:t>, para</w:t>
      </w:r>
      <w:r w:rsidR="0086040B">
        <w:t>s</w:t>
      </w:r>
      <w:r>
        <w:t>. 103</w:t>
      </w:r>
      <w:r w:rsidR="0086040B">
        <w:t xml:space="preserve">-104.  </w:t>
      </w:r>
      <w:r w:rsidR="0086040B" w:rsidRPr="007D2EB0">
        <w:rPr>
          <w:i/>
        </w:rPr>
        <w:t>See also</w:t>
      </w:r>
      <w:r w:rsidR="0086040B">
        <w:t xml:space="preserve"> 47 C.F.R. §54.5.</w:t>
      </w:r>
    </w:p>
  </w:footnote>
  <w:footnote w:id="6">
    <w:p w14:paraId="05F1A4CB" w14:textId="77777777" w:rsidR="00701CDA" w:rsidRDefault="00701CDA">
      <w:pPr>
        <w:pStyle w:val="FootnoteText"/>
      </w:pPr>
      <w:r>
        <w:rPr>
          <w:rStyle w:val="FootnoteReference"/>
        </w:rPr>
        <w:footnoteRef/>
      </w:r>
      <w:r>
        <w:t xml:space="preserve"> </w:t>
      </w:r>
      <w:r w:rsidRPr="00E7167B">
        <w:rPr>
          <w:i/>
        </w:rPr>
        <w:t>Id</w:t>
      </w:r>
      <w:r>
        <w:t>. at 17768, para. 284.</w:t>
      </w:r>
    </w:p>
  </w:footnote>
  <w:footnote w:id="7">
    <w:p w14:paraId="224BC50F" w14:textId="77777777" w:rsidR="002B3BE2" w:rsidRDefault="002B3BE2" w:rsidP="002B3BE2">
      <w:pPr>
        <w:pStyle w:val="FootnoteText"/>
      </w:pPr>
      <w:r>
        <w:rPr>
          <w:rStyle w:val="FootnoteReference"/>
        </w:rPr>
        <w:footnoteRef/>
      </w:r>
      <w:r>
        <w:t xml:space="preserve"> </w:t>
      </w:r>
      <w:r>
        <w:rPr>
          <w:i/>
        </w:rPr>
        <w:t>Connect America Fund et al.</w:t>
      </w:r>
      <w:r w:rsidRPr="009C7A05">
        <w:t>,</w:t>
      </w:r>
      <w:r>
        <w:t xml:space="preserve"> WC Docket Nos. 10-90 </w:t>
      </w:r>
      <w:r w:rsidRPr="00C03781">
        <w:t>et al</w:t>
      </w:r>
      <w:r>
        <w:t>.</w:t>
      </w:r>
      <w:r w:rsidRPr="00514EC1">
        <w:t>, Report and Order</w:t>
      </w:r>
      <w:r>
        <w:t xml:space="preserve"> </w:t>
      </w:r>
      <w:r w:rsidRPr="00C03781">
        <w:t>et al.</w:t>
      </w:r>
      <w:r>
        <w:t>, 29 FCC Rcd 7051 (2014); 47 C.F.R. § 54.319.</w:t>
      </w:r>
    </w:p>
  </w:footnote>
  <w:footnote w:id="8">
    <w:p w14:paraId="4FD38499" w14:textId="77777777" w:rsidR="005B2F12" w:rsidRDefault="005B2F12">
      <w:pPr>
        <w:pStyle w:val="FootnoteText"/>
      </w:pPr>
      <w:r>
        <w:rPr>
          <w:rStyle w:val="FootnoteReference"/>
        </w:rPr>
        <w:footnoteRef/>
      </w:r>
      <w:r>
        <w:t xml:space="preserve"> </w:t>
      </w:r>
      <w:r>
        <w:rPr>
          <w:i/>
        </w:rPr>
        <w:t>Connect America Fund et al.</w:t>
      </w:r>
      <w:r w:rsidRPr="009C7A05">
        <w:t>,</w:t>
      </w:r>
      <w:r>
        <w:t xml:space="preserve"> WC Docket Nos. 10-90 </w:t>
      </w:r>
      <w:r w:rsidRPr="00C03781">
        <w:t>et al</w:t>
      </w:r>
      <w:r>
        <w:t>., Report and Order, 27 FCC Rcd 13528 (Wireline Comp. Bur. 2012)</w:t>
      </w:r>
      <w:r w:rsidR="00F86E00">
        <w:t>.</w:t>
      </w:r>
    </w:p>
  </w:footnote>
  <w:footnote w:id="9">
    <w:p w14:paraId="0092CB9C" w14:textId="4F82EA45" w:rsidR="005B2F12" w:rsidRPr="00F86E00" w:rsidRDefault="005B2F12">
      <w:pPr>
        <w:pStyle w:val="FootnoteText"/>
      </w:pPr>
      <w:r>
        <w:rPr>
          <w:rStyle w:val="FootnoteReference"/>
        </w:rPr>
        <w:footnoteRef/>
      </w:r>
      <w:r>
        <w:t xml:space="preserve"> </w:t>
      </w:r>
      <w:r w:rsidR="00CA59FB">
        <w:rPr>
          <w:i/>
        </w:rPr>
        <w:t xml:space="preserve">See infra </w:t>
      </w:r>
      <w:r w:rsidR="00CA59FB">
        <w:t>note</w:t>
      </w:r>
      <w:r w:rsidR="00F87B4E">
        <w:t xml:space="preserve"> </w:t>
      </w:r>
      <w:fldSimple w:instr=" NOTEREF _Ref421196870 ">
        <w:r w:rsidR="00F36716">
          <w:t>17</w:t>
        </w:r>
      </w:fldSimple>
      <w:r w:rsidR="00F86E00">
        <w:t>.</w:t>
      </w:r>
    </w:p>
  </w:footnote>
  <w:footnote w:id="10">
    <w:p w14:paraId="1A99D3F9" w14:textId="77777777" w:rsidR="005B2F12" w:rsidRDefault="005B2F12">
      <w:pPr>
        <w:pStyle w:val="FootnoteText"/>
      </w:pPr>
      <w:r>
        <w:rPr>
          <w:rStyle w:val="FootnoteReference"/>
        </w:rPr>
        <w:footnoteRef/>
      </w:r>
      <w:r>
        <w:t xml:space="preserve"> </w:t>
      </w:r>
      <w:r w:rsidRPr="005B2F12">
        <w:rPr>
          <w:i/>
        </w:rPr>
        <w:t>Wireline Competition Bureau Publishes Online Map of Submitted Study Area Boundaries, Announces Procedures for Filing Revised Data</w:t>
      </w:r>
      <w:r>
        <w:t xml:space="preserve">, Public Notice, 28 FCC Rcd 16315 (Wireline Comp. Bur. 2013); </w:t>
      </w:r>
      <w:r w:rsidRPr="00514EC1">
        <w:rPr>
          <w:i/>
        </w:rPr>
        <w:t>Connect America Fund et al.</w:t>
      </w:r>
      <w:r w:rsidRPr="009C7A05">
        <w:t>,</w:t>
      </w:r>
      <w:r w:rsidRPr="00514EC1">
        <w:t xml:space="preserve"> Order</w:t>
      </w:r>
      <w:r>
        <w:t>, 29 FCC Rcd 171 (Wireline Comp. Bur. 2014).</w:t>
      </w:r>
    </w:p>
  </w:footnote>
  <w:footnote w:id="11">
    <w:p w14:paraId="1A65C90F" w14:textId="77777777" w:rsidR="00B67967" w:rsidRPr="00A25AA8" w:rsidRDefault="00B67967" w:rsidP="00B67967">
      <w:pPr>
        <w:autoSpaceDE w:val="0"/>
        <w:autoSpaceDN w:val="0"/>
        <w:adjustRightInd w:val="0"/>
        <w:spacing w:after="120"/>
        <w:rPr>
          <w:color w:val="010101"/>
          <w:sz w:val="20"/>
        </w:rPr>
      </w:pPr>
      <w:r w:rsidRPr="00A25AA8">
        <w:rPr>
          <w:rStyle w:val="FootnoteReference"/>
          <w:sz w:val="20"/>
        </w:rPr>
        <w:footnoteRef/>
      </w:r>
      <w:r w:rsidRPr="00A25AA8">
        <w:rPr>
          <w:sz w:val="20"/>
        </w:rPr>
        <w:t xml:space="preserve"> </w:t>
      </w:r>
      <w:r w:rsidR="00E37F75" w:rsidRPr="00514EC1">
        <w:rPr>
          <w:i/>
          <w:sz w:val="20"/>
        </w:rPr>
        <w:t>December 2014 Connect America Fund Order</w:t>
      </w:r>
      <w:r w:rsidR="00E37F75" w:rsidRPr="00E37F75">
        <w:rPr>
          <w:sz w:val="20"/>
        </w:rPr>
        <w:t>,</w:t>
      </w:r>
      <w:r w:rsidR="00E37F75">
        <w:rPr>
          <w:sz w:val="20"/>
        </w:rPr>
        <w:t xml:space="preserve"> </w:t>
      </w:r>
      <w:r>
        <w:rPr>
          <w:sz w:val="20"/>
        </w:rPr>
        <w:t xml:space="preserve">29 FCC Rcd </w:t>
      </w:r>
      <w:r w:rsidR="00E37F75">
        <w:rPr>
          <w:sz w:val="20"/>
        </w:rPr>
        <w:t>at</w:t>
      </w:r>
      <w:r>
        <w:rPr>
          <w:sz w:val="20"/>
        </w:rPr>
        <w:t xml:space="preserve"> 15685, para. 116.  </w:t>
      </w:r>
    </w:p>
  </w:footnote>
  <w:footnote w:id="12">
    <w:p w14:paraId="4DDEFC02" w14:textId="27ADD93F" w:rsidR="00C37C36" w:rsidRPr="00A25AA8" w:rsidRDefault="00C37C36" w:rsidP="00C37C36">
      <w:pPr>
        <w:autoSpaceDE w:val="0"/>
        <w:autoSpaceDN w:val="0"/>
        <w:adjustRightInd w:val="0"/>
        <w:spacing w:after="120"/>
        <w:rPr>
          <w:color w:val="010101"/>
          <w:sz w:val="20"/>
        </w:rPr>
      </w:pPr>
      <w:r w:rsidRPr="00A25AA8">
        <w:rPr>
          <w:rStyle w:val="FootnoteReference"/>
          <w:sz w:val="20"/>
        </w:rPr>
        <w:footnoteRef/>
      </w:r>
      <w:r w:rsidRPr="00A25AA8">
        <w:rPr>
          <w:sz w:val="20"/>
        </w:rPr>
        <w:t xml:space="preserve"> </w:t>
      </w:r>
      <w:r w:rsidR="00E37F75">
        <w:rPr>
          <w:i/>
          <w:sz w:val="20"/>
        </w:rPr>
        <w:t>Id</w:t>
      </w:r>
      <w:r>
        <w:rPr>
          <w:sz w:val="20"/>
        </w:rPr>
        <w:t xml:space="preserve">.  More information on the study area boundary data collection can be found at FCC, Study Area Boundary Data Collection, </w:t>
      </w:r>
      <w:hyperlink r:id="rId1" w:history="1">
        <w:r w:rsidRPr="00312677">
          <w:rPr>
            <w:rStyle w:val="Hyperlink"/>
            <w:sz w:val="20"/>
          </w:rPr>
          <w:t>http://www.fcc.gov/encyclopedia/study-area-boundary-data-collection</w:t>
        </w:r>
      </w:hyperlink>
      <w:r>
        <w:rPr>
          <w:sz w:val="20"/>
        </w:rPr>
        <w:t xml:space="preserve">; more information on Form 477 can be found at FCC, Form 477 Resources for Filers, </w:t>
      </w:r>
      <w:hyperlink r:id="rId2" w:history="1">
        <w:r w:rsidRPr="00312677">
          <w:rPr>
            <w:rStyle w:val="Hyperlink"/>
            <w:sz w:val="20"/>
          </w:rPr>
          <w:t>http://www.fcc.gov/encyclopedia/form-477-resources-filers</w:t>
        </w:r>
      </w:hyperlink>
      <w:r>
        <w:rPr>
          <w:sz w:val="20"/>
        </w:rPr>
        <w:t xml:space="preserve">; and more information on the SBI/NBM can be found at NTIA, State Broadband Initiative, </w:t>
      </w:r>
      <w:hyperlink r:id="rId3" w:history="1">
        <w:r w:rsidRPr="004960AA">
          <w:rPr>
            <w:rStyle w:val="Hyperlink"/>
            <w:sz w:val="20"/>
          </w:rPr>
          <w:t>http://www2.ntia.doc.gov/SBDD</w:t>
        </w:r>
      </w:hyperlink>
      <w:r>
        <w:rPr>
          <w:sz w:val="20"/>
        </w:rPr>
        <w:t xml:space="preserve"> and National Broadband Map, </w:t>
      </w:r>
      <w:r w:rsidRPr="00B45B19">
        <w:rPr>
          <w:sz w:val="20"/>
        </w:rPr>
        <w:t>http://www.broadbandmap.gov/</w:t>
      </w:r>
      <w:r>
        <w:rPr>
          <w:sz w:val="20"/>
        </w:rPr>
        <w:t xml:space="preserve">.   </w:t>
      </w:r>
    </w:p>
  </w:footnote>
  <w:footnote w:id="13">
    <w:p w14:paraId="7E76B9B8" w14:textId="18BA89EF" w:rsidR="00190F59" w:rsidRPr="00190F59" w:rsidRDefault="00190F59">
      <w:pPr>
        <w:pStyle w:val="FootnoteText"/>
      </w:pPr>
      <w:r>
        <w:rPr>
          <w:rStyle w:val="FootnoteReference"/>
        </w:rPr>
        <w:footnoteRef/>
      </w:r>
      <w:r>
        <w:t xml:space="preserve"> Only the Form 477 data relevant to the 100 percent overlap analysis is being released in conjunction with this Public Notice.  Additional Form 477 data will be released at a later date.  </w:t>
      </w:r>
      <w:r>
        <w:rPr>
          <w:i/>
        </w:rPr>
        <w:t xml:space="preserve">See infra </w:t>
      </w:r>
      <w:r w:rsidR="000C28F6">
        <w:t>para</w:t>
      </w:r>
      <w:r w:rsidR="00B53096">
        <w:t xml:space="preserve">. </w:t>
      </w:r>
      <w:r>
        <w:t>11 for a further discussion of Form 477 data.</w:t>
      </w:r>
    </w:p>
  </w:footnote>
  <w:footnote w:id="14">
    <w:p w14:paraId="2BBFBA09" w14:textId="77777777" w:rsidR="00C0549B" w:rsidRDefault="00C0549B" w:rsidP="00C0549B">
      <w:pPr>
        <w:pStyle w:val="FootnoteText"/>
      </w:pPr>
      <w:r>
        <w:rPr>
          <w:rStyle w:val="FootnoteReference"/>
        </w:rPr>
        <w:footnoteRef/>
      </w:r>
      <w:r>
        <w:t xml:space="preserve"> </w:t>
      </w:r>
      <w:r w:rsidRPr="00780EB0">
        <w:rPr>
          <w:i/>
        </w:rPr>
        <w:t>See infra</w:t>
      </w:r>
      <w:r>
        <w:t xml:space="preserve"> para</w:t>
      </w:r>
      <w:r w:rsidR="00AC69E3">
        <w:t>.</w:t>
      </w:r>
      <w:r>
        <w:t xml:space="preserve"> </w:t>
      </w:r>
      <w:fldSimple w:instr=" REF _Ref421196938 \r ">
        <w:r w:rsidR="00F36716">
          <w:t>11</w:t>
        </w:r>
      </w:fldSimple>
      <w:r>
        <w:t>.</w:t>
      </w:r>
    </w:p>
  </w:footnote>
  <w:footnote w:id="15">
    <w:p w14:paraId="7550BE36" w14:textId="77777777" w:rsidR="00C0549B" w:rsidRDefault="00C0549B">
      <w:pPr>
        <w:pStyle w:val="FootnoteText"/>
      </w:pPr>
      <w:r>
        <w:rPr>
          <w:rStyle w:val="FootnoteReference"/>
        </w:rPr>
        <w:footnoteRef/>
      </w:r>
      <w:r>
        <w:t xml:space="preserve"> Census blocks are the smallest geography for which the </w:t>
      </w:r>
      <w:r w:rsidR="003C5725">
        <w:t xml:space="preserve">Census Bureau collects population data, and the United States comprises approximately 11 million census blocks.  </w:t>
      </w:r>
      <w:r w:rsidR="003C5725" w:rsidRPr="003C5725">
        <w:rPr>
          <w:i/>
        </w:rPr>
        <w:t>See</w:t>
      </w:r>
      <w:r w:rsidR="003C5725" w:rsidRPr="003C5725">
        <w:t xml:space="preserve"> U.S. Census Bureau, 2010 Census Summary File 1, Technical Documentation, at A-10 and A-12 (Sept. 2012), available at http://www.census.gov/prod/cen2010/doc/sf1.pdf; U.S. Census Bureau, 2010 Census Summary File 1 Urban/Rural Update (Sept. 2012). </w:t>
      </w:r>
      <w:r w:rsidR="003C5725">
        <w:t xml:space="preserve"> </w:t>
      </w:r>
      <w:r w:rsidR="003C5725" w:rsidRPr="003C5725">
        <w:t>According to 2010 Census documentation, census blocks “are statistical areas bounded by visible features, such as streets, roads, streams, and railroad tracks, and by nonvisible boundaries, such as selected property lines and city, township, school district, and county limits and short line-of-sight extensions of streets and roads.</w:t>
      </w:r>
      <w:r w:rsidR="003C5725">
        <w:t>”</w:t>
      </w:r>
    </w:p>
  </w:footnote>
  <w:footnote w:id="16">
    <w:p w14:paraId="359E20BE" w14:textId="77777777" w:rsidR="009A1E94" w:rsidRDefault="009A1E94">
      <w:pPr>
        <w:pStyle w:val="FootnoteText"/>
      </w:pPr>
      <w:r>
        <w:rPr>
          <w:rStyle w:val="FootnoteReference"/>
        </w:rPr>
        <w:footnoteRef/>
      </w:r>
      <w:r>
        <w:t xml:space="preserve"> Census blocks wholly contained within a study area were attributed to the study area.</w:t>
      </w:r>
    </w:p>
  </w:footnote>
  <w:footnote w:id="17">
    <w:p w14:paraId="0E5AEDEC" w14:textId="77777777" w:rsidR="004B6A10" w:rsidRDefault="004B6A10" w:rsidP="004B6A10">
      <w:pPr>
        <w:pStyle w:val="FootnoteText"/>
      </w:pPr>
      <w:r>
        <w:rPr>
          <w:rStyle w:val="FootnoteReference"/>
        </w:rPr>
        <w:footnoteRef/>
      </w:r>
      <w:r>
        <w:t xml:space="preserve"> </w:t>
      </w:r>
      <w:r w:rsidR="000102D6">
        <w:rPr>
          <w:szCs w:val="22"/>
        </w:rPr>
        <w:t xml:space="preserve">This approach addresses the concern of one commenter who opposed the use of third party or proprietary data for which stakeholders would need to pay a fee or for which they would be denied access in assessing the 100 percent overlap decision.  </w:t>
      </w:r>
      <w:r w:rsidRPr="00A25AA8">
        <w:t xml:space="preserve">Comments of </w:t>
      </w:r>
      <w:r>
        <w:t>the National Association of State Utility Consumer Advocates, Maine Office of the Public Advocate, the New Jersey Division of Rate Counsel, and the Utility Reform Network</w:t>
      </w:r>
      <w:r w:rsidRPr="00A25AA8">
        <w:t xml:space="preserve">, WC Docket No 10-90 </w:t>
      </w:r>
      <w:r w:rsidRPr="00A25AA8">
        <w:rPr>
          <w:i/>
        </w:rPr>
        <w:t>et al</w:t>
      </w:r>
      <w:r>
        <w:rPr>
          <w:i/>
        </w:rPr>
        <w:t>.</w:t>
      </w:r>
      <w:r w:rsidRPr="00A25AA8">
        <w:t xml:space="preserve">, at </w:t>
      </w:r>
      <w:r>
        <w:t>42</w:t>
      </w:r>
      <w:r w:rsidRPr="00A25AA8">
        <w:t xml:space="preserve"> (filed Jan. 18, 201</w:t>
      </w:r>
      <w:r>
        <w:t>2</w:t>
      </w:r>
      <w:r w:rsidRPr="00A25AA8">
        <w:t>)</w:t>
      </w:r>
      <w:r>
        <w:t>.</w:t>
      </w:r>
    </w:p>
  </w:footnote>
  <w:footnote w:id="18">
    <w:p w14:paraId="5166227E" w14:textId="450682BE" w:rsidR="00F1134F" w:rsidRDefault="00F1134F">
      <w:pPr>
        <w:pStyle w:val="FootnoteText"/>
      </w:pPr>
      <w:r>
        <w:rPr>
          <w:rStyle w:val="FootnoteReference"/>
        </w:rPr>
        <w:footnoteRef/>
      </w:r>
      <w:r>
        <w:t xml:space="preserve"> </w:t>
      </w:r>
      <w:r w:rsidR="001969CC">
        <w:t>The original study area boundaries were due in May and June of 2013</w:t>
      </w:r>
      <w:r w:rsidR="00EB21F4">
        <w:t xml:space="preserve"> for ILECs and state commissions, respectively</w:t>
      </w:r>
      <w:r w:rsidR="001969CC">
        <w:t xml:space="preserve">.  </w:t>
      </w:r>
      <w:r w:rsidR="001969CC" w:rsidRPr="001969CC">
        <w:rPr>
          <w:i/>
        </w:rPr>
        <w:t>Wireline Competition Bureau Announces Procedures and Deadlines for Submissions of Study Area Boundaries</w:t>
      </w:r>
      <w:r w:rsidR="001969CC">
        <w:t>, Public Notice, 28 FCC Rcd 2</w:t>
      </w:r>
      <w:r w:rsidR="00EB21F4">
        <w:t xml:space="preserve">852 (Wireline Comp. Bur. 2013).  Revisions resulting from the reconciliation of boundary overlaps were due in March 2014.  </w:t>
      </w:r>
      <w:r w:rsidR="001969CC">
        <w:rPr>
          <w:i/>
        </w:rPr>
        <w:t>Connect America Fund</w:t>
      </w:r>
      <w:r w:rsidR="00CA59FB">
        <w:rPr>
          <w:i/>
        </w:rPr>
        <w:t xml:space="preserve"> et al.</w:t>
      </w:r>
      <w:r w:rsidR="001969CC">
        <w:t>, WC Docket Nos. 10-90, 05-337</w:t>
      </w:r>
      <w:r w:rsidR="001969CC" w:rsidRPr="00514EC1">
        <w:t>, Order</w:t>
      </w:r>
      <w:r w:rsidR="001969CC">
        <w:t xml:space="preserve">, 29 FCC Rcd 171 (Wireline Comp. Bur. 2014).  </w:t>
      </w:r>
      <w:r w:rsidR="000C34E2">
        <w:t>Updated boundary data reflecting changes made during 2014 were due March 23, 2015</w:t>
      </w:r>
      <w:r w:rsidR="00D514B5">
        <w:t xml:space="preserve">, and filers </w:t>
      </w:r>
      <w:r w:rsidR="00F86E00">
        <w:t>we</w:t>
      </w:r>
      <w:r w:rsidR="00D514B5">
        <w:t>re required to recertify their boundaries by May 26, 2015</w:t>
      </w:r>
      <w:r w:rsidR="000C34E2">
        <w:t xml:space="preserve">.  </w:t>
      </w:r>
      <w:r w:rsidR="000C34E2" w:rsidRPr="000C34E2">
        <w:rPr>
          <w:i/>
        </w:rPr>
        <w:t>Wireline Competition Bureau Extends the Filing Deadline for Study Area Boundary Changes to March 23, 2015 and Sets Recertification Date of May 26, 2015</w:t>
      </w:r>
      <w:r w:rsidR="000C34E2">
        <w:t xml:space="preserve">, Public Notice, </w:t>
      </w:r>
      <w:r w:rsidR="00D514B5">
        <w:t xml:space="preserve">30 FCC Rcd 2239 (Wireline Comp. Bur. 2015).  </w:t>
      </w:r>
      <w:r w:rsidR="001969CC">
        <w:t xml:space="preserve">The study area boundary data collected by the Commission are available for viewing and download at </w:t>
      </w:r>
      <w:r w:rsidR="00EB21F4">
        <w:t xml:space="preserve">FCC, Study Area Boundary Data as of August 15, 2014, </w:t>
      </w:r>
      <w:hyperlink r:id="rId4" w:history="1">
        <w:r w:rsidR="001969CC" w:rsidRPr="00276916">
          <w:rPr>
            <w:rStyle w:val="Hyperlink"/>
          </w:rPr>
          <w:t>http://apps.fcc.gov/wcb/sabdata/</w:t>
        </w:r>
      </w:hyperlink>
      <w:r w:rsidR="001969CC">
        <w:t>.</w:t>
      </w:r>
    </w:p>
  </w:footnote>
  <w:footnote w:id="19">
    <w:p w14:paraId="5646189C" w14:textId="63391CBA" w:rsidR="00E60335" w:rsidRDefault="00E60335">
      <w:pPr>
        <w:pStyle w:val="FootnoteText"/>
      </w:pPr>
      <w:r>
        <w:rPr>
          <w:rStyle w:val="FootnoteReference"/>
        </w:rPr>
        <w:footnoteRef/>
      </w:r>
      <w:r>
        <w:t xml:space="preserve"> </w:t>
      </w:r>
      <w:r w:rsidR="001969CC" w:rsidRPr="001969CC">
        <w:rPr>
          <w:i/>
        </w:rPr>
        <w:t>See</w:t>
      </w:r>
      <w:r w:rsidR="001969CC">
        <w:t xml:space="preserve"> FCC, Study Area Boundary Data as of August 15, 2014, </w:t>
      </w:r>
      <w:hyperlink r:id="rId5" w:history="1">
        <w:r w:rsidR="001969CC" w:rsidRPr="00276916">
          <w:rPr>
            <w:rStyle w:val="Hyperlink"/>
          </w:rPr>
          <w:t>http://apps.fcc.gov/wcb/sabdata/</w:t>
        </w:r>
      </w:hyperlink>
      <w:r w:rsidR="001969CC">
        <w:t xml:space="preserve">. </w:t>
      </w:r>
    </w:p>
  </w:footnote>
  <w:footnote w:id="20">
    <w:p w14:paraId="5A2AF488" w14:textId="77777777" w:rsidR="003D30D5" w:rsidRDefault="003D30D5" w:rsidP="003D30D5">
      <w:pPr>
        <w:pStyle w:val="FootnoteText"/>
      </w:pPr>
      <w:r>
        <w:rPr>
          <w:rStyle w:val="FootnoteReference"/>
        </w:rPr>
        <w:footnoteRef/>
      </w:r>
      <w:r>
        <w:t xml:space="preserve"> </w:t>
      </w:r>
      <w:r w:rsidR="0070474F">
        <w:t>In response to the 2011 FNPRM, one commenter suggested that providers should submit address-level data on their broadband coverage</w:t>
      </w:r>
      <w:r w:rsidR="00886D35">
        <w:t xml:space="preserve"> </w:t>
      </w:r>
      <w:r w:rsidR="00EB5E8A">
        <w:t>to the Commission</w:t>
      </w:r>
      <w:r w:rsidR="0070474F">
        <w:t xml:space="preserve">.  </w:t>
      </w:r>
      <w:r w:rsidRPr="00A25AA8">
        <w:t xml:space="preserve">Comments of </w:t>
      </w:r>
      <w:r>
        <w:t>Surewest Communications</w:t>
      </w:r>
      <w:r w:rsidRPr="00A25AA8">
        <w:t xml:space="preserve">, WC Docket No 10-90 </w:t>
      </w:r>
      <w:r w:rsidRPr="00A25AA8">
        <w:rPr>
          <w:i/>
        </w:rPr>
        <w:t>et al</w:t>
      </w:r>
      <w:r w:rsidR="008C7002">
        <w:rPr>
          <w:i/>
        </w:rPr>
        <w:t>.</w:t>
      </w:r>
      <w:r w:rsidRPr="00A25AA8">
        <w:t xml:space="preserve">, at </w:t>
      </w:r>
      <w:r w:rsidR="00CA7AE1">
        <w:t>6</w:t>
      </w:r>
      <w:r w:rsidRPr="00A25AA8">
        <w:t xml:space="preserve"> (filed Jan. 18, 201</w:t>
      </w:r>
      <w:r w:rsidR="00CA7AE1">
        <w:t>2</w:t>
      </w:r>
      <w:r w:rsidRPr="00A25AA8">
        <w:t>)</w:t>
      </w:r>
      <w:r w:rsidR="00CA7AE1">
        <w:t xml:space="preserve">. </w:t>
      </w:r>
      <w:r w:rsidR="0095296E">
        <w:t xml:space="preserve"> </w:t>
      </w:r>
      <w:r w:rsidR="0070474F">
        <w:t>However, the Commission subsequently declined to collect broadband availability data at the address level</w:t>
      </w:r>
      <w:r w:rsidR="0095296E">
        <w:t xml:space="preserve"> </w:t>
      </w:r>
      <w:r w:rsidR="00EB5E8A">
        <w:t xml:space="preserve">due to </w:t>
      </w:r>
      <w:r w:rsidR="0095296E">
        <w:t>concern</w:t>
      </w:r>
      <w:r w:rsidR="00EB5E8A">
        <w:t>s</w:t>
      </w:r>
      <w:r w:rsidR="0095296E">
        <w:t xml:space="preserve"> about </w:t>
      </w:r>
      <w:r w:rsidR="00EB5E8A">
        <w:t>the complexity and burden of collecting such data</w:t>
      </w:r>
      <w:r w:rsidR="0070474F">
        <w:t xml:space="preserve">.  </w:t>
      </w:r>
      <w:r w:rsidR="0070474F" w:rsidRPr="0059088C">
        <w:rPr>
          <w:i/>
        </w:rPr>
        <w:t>Modernizing the FCC Form 477 Data Program</w:t>
      </w:r>
      <w:r w:rsidR="0070474F">
        <w:t>, WC Docket No. 11-10, Report and Order, 28 FCC Rcd 9887, 9904-05, para. 35 (2013) (</w:t>
      </w:r>
      <w:r w:rsidR="0070474F" w:rsidRPr="00C36C0B">
        <w:rPr>
          <w:i/>
        </w:rPr>
        <w:t>Form 477 Order</w:t>
      </w:r>
      <w:r w:rsidR="0070474F">
        <w:t>).</w:t>
      </w:r>
    </w:p>
  </w:footnote>
  <w:footnote w:id="21">
    <w:p w14:paraId="3CF3F9C5" w14:textId="77777777" w:rsidR="0059088C" w:rsidRDefault="0059088C" w:rsidP="0059088C">
      <w:pPr>
        <w:pStyle w:val="FootnoteText"/>
      </w:pPr>
      <w:r>
        <w:rPr>
          <w:rStyle w:val="FootnoteReference"/>
        </w:rPr>
        <w:footnoteRef/>
      </w:r>
      <w:r>
        <w:t xml:space="preserve"> </w:t>
      </w:r>
      <w:r w:rsidR="00C36C0B" w:rsidRPr="00C36C0B">
        <w:rPr>
          <w:i/>
        </w:rPr>
        <w:t>Form 477 Order</w:t>
      </w:r>
      <w:r>
        <w:t>, 28 FCC Rcd</w:t>
      </w:r>
      <w:r w:rsidR="00C36C0B">
        <w:t xml:space="preserve"> at</w:t>
      </w:r>
      <w:r>
        <w:t xml:space="preserve"> </w:t>
      </w:r>
      <w:r w:rsidR="00C36C0B">
        <w:t>9897-98</w:t>
      </w:r>
      <w:r>
        <w:t>, para</w:t>
      </w:r>
      <w:r w:rsidR="00C36C0B">
        <w:t>s</w:t>
      </w:r>
      <w:r>
        <w:t xml:space="preserve">. </w:t>
      </w:r>
      <w:r w:rsidR="00C36C0B">
        <w:t>23-24</w:t>
      </w:r>
      <w:r>
        <w:t>.</w:t>
      </w:r>
    </w:p>
  </w:footnote>
  <w:footnote w:id="22">
    <w:p w14:paraId="76C1D7C6" w14:textId="77777777" w:rsidR="00C01CA8" w:rsidRDefault="00C01CA8">
      <w:pPr>
        <w:pStyle w:val="FootnoteText"/>
      </w:pPr>
      <w:r>
        <w:rPr>
          <w:rStyle w:val="FootnoteReference"/>
        </w:rPr>
        <w:footnoteRef/>
      </w:r>
      <w:r>
        <w:t xml:space="preserve"> </w:t>
      </w:r>
      <w:r w:rsidRPr="00A25AA8">
        <w:t xml:space="preserve">Comments of </w:t>
      </w:r>
      <w:r>
        <w:t>Surewest Communications</w:t>
      </w:r>
      <w:r w:rsidRPr="00A25AA8">
        <w:t xml:space="preserve">, WC Docket No 10-90 </w:t>
      </w:r>
      <w:r w:rsidRPr="00A25AA8">
        <w:rPr>
          <w:i/>
        </w:rPr>
        <w:t>et al</w:t>
      </w:r>
      <w:r w:rsidR="008C7002">
        <w:rPr>
          <w:i/>
        </w:rPr>
        <w:t>.</w:t>
      </w:r>
      <w:r w:rsidRPr="00A25AA8">
        <w:t xml:space="preserve">, at </w:t>
      </w:r>
      <w:r w:rsidR="00CA7AE1">
        <w:t>4-5</w:t>
      </w:r>
      <w:r w:rsidRPr="00A25AA8">
        <w:t xml:space="preserve"> (filed Jan. 18, 201</w:t>
      </w:r>
      <w:r w:rsidR="00CA7AE1">
        <w:t>2</w:t>
      </w:r>
      <w:r w:rsidRPr="00A25AA8">
        <w:t>)</w:t>
      </w:r>
      <w:r w:rsidR="00CA7AE1">
        <w:t xml:space="preserve">; </w:t>
      </w:r>
      <w:r w:rsidR="00CA7AE1" w:rsidRPr="00A25AA8">
        <w:t xml:space="preserve">Comments of the National Exchange Carrier Association, Inc.; National Telecommunications Cooperative Association; Organization for the Promotion and Advancement of Small Telecommunications Companies; and the Western Telecommunications Alliance, WC Docket No 10-90 </w:t>
      </w:r>
      <w:r w:rsidR="00CA7AE1" w:rsidRPr="00A25AA8">
        <w:rPr>
          <w:i/>
        </w:rPr>
        <w:t>et al</w:t>
      </w:r>
      <w:r w:rsidR="00CA7AE1" w:rsidRPr="00A25AA8">
        <w:t xml:space="preserve">, at </w:t>
      </w:r>
      <w:r w:rsidR="00CA7AE1">
        <w:t>76-77</w:t>
      </w:r>
      <w:r w:rsidR="00CA7AE1" w:rsidRPr="00A25AA8">
        <w:t xml:space="preserve"> (filed Jan. 18, 2012).</w:t>
      </w:r>
    </w:p>
  </w:footnote>
  <w:footnote w:id="23">
    <w:p w14:paraId="057FC5A3" w14:textId="77777777" w:rsidR="00C36C0B" w:rsidRDefault="00C36C0B" w:rsidP="00C36C0B">
      <w:pPr>
        <w:pStyle w:val="FootnoteText"/>
      </w:pPr>
      <w:r>
        <w:rPr>
          <w:rStyle w:val="FootnoteReference"/>
        </w:rPr>
        <w:footnoteRef/>
      </w:r>
      <w:r>
        <w:t xml:space="preserve"> </w:t>
      </w:r>
      <w:r w:rsidRPr="00C36C0B">
        <w:rPr>
          <w:i/>
        </w:rPr>
        <w:t>Form 477 Order</w:t>
      </w:r>
      <w:r>
        <w:t>, 28 FCC Rcd at 9897, para. 20.</w:t>
      </w:r>
    </w:p>
  </w:footnote>
  <w:footnote w:id="24">
    <w:p w14:paraId="11CDB7B0" w14:textId="77777777" w:rsidR="008B0F33" w:rsidRDefault="008B0F33">
      <w:pPr>
        <w:pStyle w:val="FootnoteText"/>
      </w:pPr>
      <w:r>
        <w:rPr>
          <w:rStyle w:val="FootnoteReference"/>
        </w:rPr>
        <w:footnoteRef/>
      </w:r>
      <w:r>
        <w:t xml:space="preserve"> </w:t>
      </w:r>
      <w:r>
        <w:rPr>
          <w:szCs w:val="22"/>
        </w:rPr>
        <w:t xml:space="preserve">For example, if a broadband provider must offer an upstream speed of at least 1 Mbps in order to be considered a competitor, we did not need to use 768 kbps as a proxy for 1 Mbps with the Form 477 data as would have been necessary with the SBI/NBM data.  </w:t>
      </w:r>
    </w:p>
  </w:footnote>
  <w:footnote w:id="25">
    <w:p w14:paraId="1C0C9AA1" w14:textId="77777777" w:rsidR="000D44A1" w:rsidRPr="00893AA3" w:rsidRDefault="000D44A1" w:rsidP="000D44A1">
      <w:pPr>
        <w:pStyle w:val="FootnoteText"/>
      </w:pPr>
      <w:r>
        <w:rPr>
          <w:rStyle w:val="FootnoteReference"/>
        </w:rPr>
        <w:footnoteRef/>
      </w:r>
      <w:r>
        <w:t xml:space="preserve"> </w:t>
      </w:r>
      <w:r>
        <w:rPr>
          <w:i/>
        </w:rPr>
        <w:t>See infra</w:t>
      </w:r>
      <w:r>
        <w:t xml:space="preserve"> para</w:t>
      </w:r>
      <w:r w:rsidR="00AC69E3">
        <w:t>.</w:t>
      </w:r>
      <w:r w:rsidR="00F87B4E">
        <w:t xml:space="preserve"> </w:t>
      </w:r>
      <w:fldSimple w:instr=" REF _Ref421197109 \r ">
        <w:r w:rsidR="00F36716">
          <w:t>13</w:t>
        </w:r>
      </w:fldSimple>
      <w:r>
        <w:t>.</w:t>
      </w:r>
    </w:p>
  </w:footnote>
  <w:footnote w:id="26">
    <w:p w14:paraId="2A94D51A" w14:textId="0CEEC9B6" w:rsidR="00D12CEA" w:rsidRPr="00A12B43" w:rsidRDefault="00D12CEA">
      <w:pPr>
        <w:pStyle w:val="FootnoteText"/>
      </w:pPr>
      <w:r>
        <w:rPr>
          <w:rStyle w:val="FootnoteReference"/>
        </w:rPr>
        <w:footnoteRef/>
      </w:r>
      <w:r>
        <w:t xml:space="preserve"> </w:t>
      </w:r>
      <w:r>
        <w:rPr>
          <w:i/>
        </w:rPr>
        <w:t>USF/ICC Transformation</w:t>
      </w:r>
      <w:r w:rsidRPr="00514EC1">
        <w:rPr>
          <w:i/>
        </w:rPr>
        <w:t xml:space="preserve"> Order</w:t>
      </w:r>
      <w:r>
        <w:t xml:space="preserve">, 26 FCC Rcd at </w:t>
      </w:r>
      <w:r w:rsidR="000D44A1">
        <w:t>17767-68</w:t>
      </w:r>
      <w:r>
        <w:t xml:space="preserve">, </w:t>
      </w:r>
      <w:r w:rsidR="009A5624">
        <w:t>para. 283.</w:t>
      </w:r>
      <w:r w:rsidR="00CC0A6F">
        <w:t xml:space="preserve">  </w:t>
      </w:r>
      <w:r w:rsidR="00A12B43">
        <w:rPr>
          <w:i/>
        </w:rPr>
        <w:t xml:space="preserve">See infra </w:t>
      </w:r>
      <w:r w:rsidR="00A12B43">
        <w:t>para</w:t>
      </w:r>
      <w:r w:rsidR="00AC69E3">
        <w:t>.</w:t>
      </w:r>
      <w:r w:rsidR="00A12B43">
        <w:t xml:space="preserve"> </w:t>
      </w:r>
      <w:fldSimple w:instr=" REF _Ref421197158 \r ">
        <w:r w:rsidR="00F36716">
          <w:t>20</w:t>
        </w:r>
      </w:fldSimple>
      <w:r w:rsidR="00A12B43">
        <w:t xml:space="preserve"> </w:t>
      </w:r>
      <w:r w:rsidR="00AC69E3">
        <w:t>(providing additional</w:t>
      </w:r>
      <w:r w:rsidR="00F87B4E">
        <w:t xml:space="preserve"> </w:t>
      </w:r>
      <w:r w:rsidR="00A12B43">
        <w:t>information on the latency and usage allowance obligations</w:t>
      </w:r>
      <w:r w:rsidR="00AC69E3">
        <w:t>)</w:t>
      </w:r>
      <w:r w:rsidR="00A12B43">
        <w:t>.</w:t>
      </w:r>
    </w:p>
  </w:footnote>
  <w:footnote w:id="27">
    <w:p w14:paraId="2AC00C48" w14:textId="77777777" w:rsidR="00B17978" w:rsidRPr="00B17978" w:rsidRDefault="00B17978">
      <w:pPr>
        <w:pStyle w:val="FootnoteText"/>
      </w:pPr>
      <w:r>
        <w:rPr>
          <w:rStyle w:val="FootnoteReference"/>
        </w:rPr>
        <w:footnoteRef/>
      </w:r>
      <w:r>
        <w:t xml:space="preserve"> </w:t>
      </w:r>
      <w:r w:rsidRPr="00514EC1">
        <w:rPr>
          <w:i/>
        </w:rPr>
        <w:t>December 2014 Connect America Fund Order</w:t>
      </w:r>
      <w:r w:rsidR="000408CA">
        <w:t>, 29 FCC Rcd at 15649</w:t>
      </w:r>
      <w:r>
        <w:t>, para. 15.</w:t>
      </w:r>
    </w:p>
  </w:footnote>
  <w:footnote w:id="28">
    <w:p w14:paraId="24A3E4B9" w14:textId="3A0E1807" w:rsidR="0060374A" w:rsidRPr="00832F63" w:rsidRDefault="0060374A" w:rsidP="0060374A">
      <w:pPr>
        <w:pStyle w:val="FootnoteText"/>
      </w:pPr>
      <w:r w:rsidRPr="00832F63">
        <w:rPr>
          <w:rStyle w:val="FootnoteReference"/>
        </w:rPr>
        <w:footnoteRef/>
      </w:r>
      <w:r>
        <w:t xml:space="preserve"> </w:t>
      </w:r>
      <w:r w:rsidR="000C5318" w:rsidRPr="00EE0EE3">
        <w:rPr>
          <w:i/>
        </w:rPr>
        <w:t>See</w:t>
      </w:r>
      <w:r w:rsidR="000C5318">
        <w:t xml:space="preserve"> FCC, A Basic Guide to the Connect America Phase II Challenge Process</w:t>
      </w:r>
      <w:r w:rsidR="00AC69E3" w:rsidRPr="00AC69E3">
        <w:t xml:space="preserve"> </w:t>
      </w:r>
      <w:r w:rsidR="00AC69E3">
        <w:t>at 2 (July 31, 2014),</w:t>
      </w:r>
      <w:r w:rsidR="000C5318">
        <w:t xml:space="preserve"> </w:t>
      </w:r>
      <w:hyperlink r:id="rId6" w:history="1">
        <w:r w:rsidR="000C5318" w:rsidRPr="00312677">
          <w:rPr>
            <w:rStyle w:val="Hyperlink"/>
          </w:rPr>
          <w:t>http://www.fcc.gov/wcb/tapd/Challenge_Process/ChallengeProcessGuide7-31-14.docx</w:t>
        </w:r>
      </w:hyperlink>
      <w:r w:rsidR="000C5318">
        <w:t xml:space="preserve">.  </w:t>
      </w:r>
    </w:p>
  </w:footnote>
  <w:footnote w:id="29">
    <w:p w14:paraId="3E8A5A62" w14:textId="511E0D77" w:rsidR="009473C8" w:rsidRDefault="009473C8">
      <w:pPr>
        <w:pStyle w:val="FootnoteText"/>
      </w:pPr>
      <w:r>
        <w:rPr>
          <w:rStyle w:val="FootnoteReference"/>
        </w:rPr>
        <w:footnoteRef/>
      </w:r>
      <w:r>
        <w:t xml:space="preserve"> </w:t>
      </w:r>
      <w:r w:rsidR="006E2F97">
        <w:t xml:space="preserve">According to the 2014 </w:t>
      </w:r>
      <w:r>
        <w:t>Measuring Broadband America Report</w:t>
      </w:r>
      <w:r w:rsidR="006E2F97">
        <w:t xml:space="preserve">, </w:t>
      </w:r>
      <w:r w:rsidR="000E7B1A">
        <w:t xml:space="preserve">round-trip </w:t>
      </w:r>
      <w:r w:rsidR="006E2F97">
        <w:t>latency</w:t>
      </w:r>
      <w:r w:rsidR="000E7B1A">
        <w:t xml:space="preserve"> averaged 34.9 </w:t>
      </w:r>
      <w:r w:rsidR="004D546E">
        <w:t>milli</w:t>
      </w:r>
      <w:r w:rsidR="000E7B1A">
        <w:t xml:space="preserve">seconds across all terrestrial technologies during peak periods.  </w:t>
      </w:r>
      <w:r w:rsidR="00983259">
        <w:rPr>
          <w:i/>
        </w:rPr>
        <w:t xml:space="preserve">See </w:t>
      </w:r>
      <w:r w:rsidR="00983259">
        <w:t xml:space="preserve">FCC Office of Engineering and Technology and Consumer and Governmental Affairs Bureau, </w:t>
      </w:r>
      <w:r w:rsidR="005058DF" w:rsidRPr="00983259">
        <w:rPr>
          <w:i/>
        </w:rPr>
        <w:t>2014 Measuring Broadband America Fixed Broadband Report</w:t>
      </w:r>
      <w:r w:rsidR="00983259" w:rsidRPr="00983259">
        <w:t xml:space="preserve"> </w:t>
      </w:r>
      <w:r w:rsidR="00983259">
        <w:t>at 16</w:t>
      </w:r>
      <w:r w:rsidR="005058DF">
        <w:t xml:space="preserve">, </w:t>
      </w:r>
      <w:hyperlink r:id="rId7" w:history="1">
        <w:r w:rsidR="005058DF" w:rsidRPr="000A78B4">
          <w:rPr>
            <w:rStyle w:val="Hyperlink"/>
          </w:rPr>
          <w:t>http://data.fcc.gov/download/measuring-broadband-america/2014/2014-Fixed-Measuring-Broadband-America-Report.pdf</w:t>
        </w:r>
      </w:hyperlink>
      <w:r w:rsidR="006E2F97">
        <w:t xml:space="preserve">.  In </w:t>
      </w:r>
      <w:r w:rsidR="000E7B1A">
        <w:t>2013, the Bureau required price cap carriers receiving Phase II model-based support to provide broadband service with a round-trip latency of 100 milliseconds or less.</w:t>
      </w:r>
      <w:r w:rsidR="006E2F97">
        <w:t xml:space="preserve">  </w:t>
      </w:r>
      <w:r w:rsidR="006E2F97" w:rsidRPr="00A03C2C">
        <w:rPr>
          <w:i/>
        </w:rPr>
        <w:t>Connect America Fund</w:t>
      </w:r>
      <w:r w:rsidR="006E2F97">
        <w:t>, WC Docket No. 10-90, Report and Order, 28 FCC Rcd 15060</w:t>
      </w:r>
      <w:r w:rsidR="000E7B1A">
        <w:t>, 15068-70</w:t>
      </w:r>
      <w:r w:rsidR="006E2F97">
        <w:t>, para</w:t>
      </w:r>
      <w:r w:rsidR="000E7B1A">
        <w:t>s</w:t>
      </w:r>
      <w:r w:rsidR="006E2F97">
        <w:t xml:space="preserve">. </w:t>
      </w:r>
      <w:r w:rsidR="000E7B1A">
        <w:t>19-22</w:t>
      </w:r>
      <w:r w:rsidR="006E2F97">
        <w:t xml:space="preserve"> (Wireline Comp. Bur. 2013) (</w:t>
      </w:r>
      <w:r w:rsidR="006E2F97" w:rsidRPr="00A03C2C">
        <w:rPr>
          <w:i/>
        </w:rPr>
        <w:t>Phase II Service Obligations Order</w:t>
      </w:r>
      <w:r w:rsidR="006E2F97">
        <w:t>).</w:t>
      </w:r>
    </w:p>
  </w:footnote>
  <w:footnote w:id="30">
    <w:p w14:paraId="5CBA3EE3" w14:textId="77777777" w:rsidR="00604E1E" w:rsidRDefault="00604E1E">
      <w:pPr>
        <w:pStyle w:val="FootnoteText"/>
      </w:pPr>
      <w:r>
        <w:rPr>
          <w:rStyle w:val="FootnoteReference"/>
        </w:rPr>
        <w:footnoteRef/>
      </w:r>
      <w:r>
        <w:t xml:space="preserve"> </w:t>
      </w:r>
      <w:r w:rsidR="005058DF">
        <w:t xml:space="preserve">FCC, Urban Rate Survey Data, </w:t>
      </w:r>
      <w:r w:rsidR="005058DF">
        <w:rPr>
          <w:i/>
        </w:rPr>
        <w:t>2015 Urban Rate Broadband Survey Results</w:t>
      </w:r>
      <w:r w:rsidR="005058DF">
        <w:t xml:space="preserve">, </w:t>
      </w:r>
      <w:r w:rsidR="005058DF" w:rsidRPr="005058DF">
        <w:t>https://www.fcc.gov/encyclopedia/urban-rate-survey-data</w:t>
      </w:r>
      <w:r>
        <w:t xml:space="preserve">.  </w:t>
      </w:r>
      <w:r w:rsidR="006E2F97">
        <w:t>In the Connect America Fund</w:t>
      </w:r>
      <w:r>
        <w:t xml:space="preserve"> Phase II </w:t>
      </w:r>
      <w:r w:rsidR="006E2F97">
        <w:t>context</w:t>
      </w:r>
      <w:r>
        <w:t>, the Bureau concluded that 100 GB was a reasonable initial usage allowance for price cap carriers</w:t>
      </w:r>
      <w:r w:rsidR="006E2F97">
        <w:t xml:space="preserve"> accepting model-based support</w:t>
      </w:r>
      <w:r>
        <w:t xml:space="preserve">. </w:t>
      </w:r>
      <w:r w:rsidR="006E2F97">
        <w:t xml:space="preserve"> </w:t>
      </w:r>
      <w:r w:rsidR="000E7B1A" w:rsidRPr="00A03C2C">
        <w:rPr>
          <w:i/>
        </w:rPr>
        <w:t>Phase II Service Obligations Order</w:t>
      </w:r>
      <w:r w:rsidR="006E2F97">
        <w:t xml:space="preserve">, 28 FCC Rcd </w:t>
      </w:r>
      <w:r w:rsidR="000E7B1A">
        <w:t>at</w:t>
      </w:r>
      <w:r w:rsidR="006E2F97">
        <w:t xml:space="preserve"> 15066, para. 16.</w:t>
      </w:r>
    </w:p>
  </w:footnote>
  <w:footnote w:id="31">
    <w:p w14:paraId="700B69C5" w14:textId="6F3CC142" w:rsidR="009042D1" w:rsidRDefault="009042D1" w:rsidP="009042D1">
      <w:pPr>
        <w:pStyle w:val="FootnoteText"/>
      </w:pPr>
      <w:r>
        <w:rPr>
          <w:rStyle w:val="FootnoteReference"/>
        </w:rPr>
        <w:footnoteRef/>
      </w:r>
      <w:r>
        <w:t xml:space="preserve"> </w:t>
      </w:r>
      <w:r w:rsidR="000E7B1A" w:rsidRPr="00EE0EE3">
        <w:rPr>
          <w:i/>
        </w:rPr>
        <w:t>See</w:t>
      </w:r>
      <w:r w:rsidR="000E7B1A">
        <w:t xml:space="preserve"> </w:t>
      </w:r>
      <w:r w:rsidR="00983259">
        <w:t>FCC, A Basic Guide to the Connect America Phase II Challenge Process</w:t>
      </w:r>
      <w:r w:rsidR="00983259" w:rsidRPr="00AC69E3">
        <w:t xml:space="preserve"> </w:t>
      </w:r>
      <w:r w:rsidR="00983259">
        <w:t xml:space="preserve">at 2 (July 31, 2014), </w:t>
      </w:r>
      <w:hyperlink r:id="rId8" w:history="1">
        <w:r w:rsidR="00983259" w:rsidRPr="00312677">
          <w:rPr>
            <w:rStyle w:val="Hyperlink"/>
          </w:rPr>
          <w:t>http://www.fcc.gov/wcb/tapd/Challenge_Process/ChallengeProcessGuide7-31-14.docx</w:t>
        </w:r>
      </w:hyperlink>
      <w:r w:rsidR="00983259">
        <w:t xml:space="preserve">.  </w:t>
      </w:r>
    </w:p>
  </w:footnote>
  <w:footnote w:id="32">
    <w:p w14:paraId="00E5AC92" w14:textId="77777777" w:rsidR="000D74E1" w:rsidRPr="00D12CEA" w:rsidRDefault="000D74E1" w:rsidP="000D74E1">
      <w:pPr>
        <w:pStyle w:val="FootnoteText"/>
      </w:pPr>
      <w:r>
        <w:rPr>
          <w:rStyle w:val="FootnoteReference"/>
        </w:rPr>
        <w:footnoteRef/>
      </w:r>
      <w:r>
        <w:t xml:space="preserve"> </w:t>
      </w:r>
      <w:r>
        <w:rPr>
          <w:i/>
        </w:rPr>
        <w:t>USF/ICC Transformation</w:t>
      </w:r>
      <w:r w:rsidRPr="00514EC1">
        <w:rPr>
          <w:i/>
        </w:rPr>
        <w:t xml:space="preserve"> Order</w:t>
      </w:r>
      <w:r>
        <w:t xml:space="preserve">, 26 FCC Rcd at </w:t>
      </w:r>
      <w:r w:rsidR="000D44A1">
        <w:t>17767-68</w:t>
      </w:r>
      <w:r>
        <w:t xml:space="preserve">, </w:t>
      </w:r>
      <w:r w:rsidR="001C1B3A">
        <w:t xml:space="preserve">para. </w:t>
      </w:r>
      <w:r w:rsidR="00A836A3">
        <w:t>283.</w:t>
      </w:r>
      <w:r>
        <w:t xml:space="preserve">  </w:t>
      </w:r>
    </w:p>
  </w:footnote>
  <w:footnote w:id="33">
    <w:p w14:paraId="061A1637" w14:textId="77777777" w:rsidR="008B0F33" w:rsidRDefault="008B0F33">
      <w:pPr>
        <w:pStyle w:val="FootnoteText"/>
      </w:pPr>
      <w:r>
        <w:rPr>
          <w:rStyle w:val="FootnoteReference"/>
        </w:rPr>
        <w:footnoteRef/>
      </w:r>
      <w:r>
        <w:t xml:space="preserve"> </w:t>
      </w:r>
      <w:r w:rsidR="00563ED7" w:rsidRPr="00563ED7">
        <w:rPr>
          <w:i/>
        </w:rPr>
        <w:t>Connect America Fund</w:t>
      </w:r>
      <w:r w:rsidR="00563ED7">
        <w:t>, WC Docket No. 10-90, Report and Order, 28 FCC Rcd 7211, 7215-16, paras. 9-11 (Wireline Comp. Bureau 2013).</w:t>
      </w:r>
    </w:p>
  </w:footnote>
  <w:footnote w:id="34">
    <w:p w14:paraId="01E073B6" w14:textId="326136C3" w:rsidR="006D1CF0" w:rsidRDefault="006D1CF0">
      <w:pPr>
        <w:pStyle w:val="FootnoteText"/>
      </w:pPr>
      <w:r>
        <w:rPr>
          <w:rStyle w:val="FootnoteReference"/>
        </w:rPr>
        <w:footnoteRef/>
      </w:r>
      <w:r>
        <w:t xml:space="preserve"> </w:t>
      </w:r>
      <w:r w:rsidR="00B64732">
        <w:t xml:space="preserve">In 2013, the Bureau </w:t>
      </w:r>
      <w:r w:rsidR="0070476B">
        <w:t>recognized that many rate-of-return ILECs would be meeting their broadband public interest obligations through an affiliated Internet service provider</w:t>
      </w:r>
      <w:r w:rsidR="00B64732">
        <w:t xml:space="preserve">.  </w:t>
      </w:r>
      <w:r w:rsidR="00B64732">
        <w:rPr>
          <w:i/>
        </w:rPr>
        <w:t xml:space="preserve">See Connect America Fund, </w:t>
      </w:r>
      <w:r w:rsidR="00B64732">
        <w:t xml:space="preserve">WC Docket No. 10-90, Order, 28 FCC Rcd 7227, 7228-79, para. 6 (Wireline Comp. Bur. 2013) (clarifying that, for purposes of rate-of-return carriers reporting regarding their obligation to provide broadband service to customers upon reasonable request, the relevant “customer” is the end-user customer of the retail broadband Internet access service regardless of whether the customer purchases the service directly from the ETC or from an Internet service provider that purchases the ETC’s wholesale broadband transmission service).  </w:t>
      </w:r>
      <w:r w:rsidR="00E4779E">
        <w:t>T</w:t>
      </w:r>
      <w:r>
        <w:t>wo additional study areas would have been considered 100 percent overlapped in our preliminary determination</w:t>
      </w:r>
      <w:r w:rsidR="00E4779E">
        <w:t xml:space="preserve"> if we had included study areas that were partially overlapped by an affiliated entity </w:t>
      </w:r>
      <w:r w:rsidR="00F64944">
        <w:t>that served</w:t>
      </w:r>
      <w:r w:rsidR="00E4779E">
        <w:t xml:space="preserve"> customers with fiber or DSL</w:t>
      </w:r>
      <w:r w:rsidR="00F64944">
        <w:t>, as reported in Form 477</w:t>
      </w:r>
      <w:r>
        <w:t xml:space="preserve">. </w:t>
      </w:r>
    </w:p>
  </w:footnote>
  <w:footnote w:id="35">
    <w:p w14:paraId="61B954B9" w14:textId="77777777" w:rsidR="00A241D4" w:rsidRDefault="00A241D4">
      <w:pPr>
        <w:pStyle w:val="FootnoteText"/>
      </w:pPr>
      <w:r>
        <w:rPr>
          <w:rStyle w:val="FootnoteReference"/>
        </w:rPr>
        <w:footnoteRef/>
      </w:r>
      <w:r>
        <w:t xml:space="preserve"> 47 C.F.R. § 54.5.</w:t>
      </w:r>
    </w:p>
  </w:footnote>
  <w:footnote w:id="36">
    <w:p w14:paraId="1DF43A3A" w14:textId="39CC1FC5" w:rsidR="001E2E02" w:rsidRPr="005A4E65" w:rsidRDefault="001E2E02" w:rsidP="001E2E02">
      <w:pPr>
        <w:pStyle w:val="FootnoteText"/>
      </w:pPr>
      <w:r>
        <w:rPr>
          <w:rStyle w:val="FootnoteReference"/>
        </w:rPr>
        <w:footnoteRef/>
      </w:r>
      <w:r>
        <w:t xml:space="preserve"> As discussed above, only overlapping census bl</w:t>
      </w:r>
      <w:r w:rsidR="00D906A3">
        <w:t>ocks with housing units were</w:t>
      </w:r>
      <w:r>
        <w:t xml:space="preserve"> included in the analysis.  </w:t>
      </w:r>
      <w:r>
        <w:rPr>
          <w:i/>
        </w:rPr>
        <w:t xml:space="preserve">See supra </w:t>
      </w:r>
      <w:r>
        <w:t xml:space="preserve">para. </w:t>
      </w:r>
      <w:fldSimple w:instr=" REF _Ref421197300 \r ">
        <w:r w:rsidR="00F36716">
          <w:t>8</w:t>
        </w:r>
      </w:fldSimple>
      <w:r>
        <w:t>.</w:t>
      </w:r>
    </w:p>
  </w:footnote>
  <w:footnote w:id="37">
    <w:p w14:paraId="3D6A8C5A" w14:textId="77777777" w:rsidR="006F0001" w:rsidRDefault="006F0001">
      <w:pPr>
        <w:pStyle w:val="FootnoteText"/>
      </w:pPr>
      <w:r>
        <w:rPr>
          <w:rStyle w:val="FootnoteReference"/>
        </w:rPr>
        <w:footnoteRef/>
      </w:r>
      <w:r>
        <w:t xml:space="preserve"> </w:t>
      </w:r>
      <w:r w:rsidRPr="00A25AA8">
        <w:t xml:space="preserve">Comments of </w:t>
      </w:r>
      <w:r>
        <w:t>Accipiter</w:t>
      </w:r>
      <w:r w:rsidRPr="00A25AA8">
        <w:t xml:space="preserve">, WC Docket No 10-90 </w:t>
      </w:r>
      <w:r w:rsidRPr="00A25AA8">
        <w:rPr>
          <w:i/>
        </w:rPr>
        <w:t>et al</w:t>
      </w:r>
      <w:r>
        <w:rPr>
          <w:i/>
        </w:rPr>
        <w:t>.</w:t>
      </w:r>
      <w:r w:rsidRPr="00A25AA8">
        <w:t xml:space="preserve">, at </w:t>
      </w:r>
      <w:r>
        <w:t>14</w:t>
      </w:r>
      <w:r w:rsidRPr="00A25AA8">
        <w:t xml:space="preserve"> (filed Jan. 18, 201</w:t>
      </w:r>
      <w:r>
        <w:t>2</w:t>
      </w:r>
      <w:r w:rsidRPr="00A25AA8">
        <w:t>)</w:t>
      </w:r>
      <w:r>
        <w:t xml:space="preserve">; </w:t>
      </w:r>
      <w:r w:rsidRPr="00A25AA8">
        <w:t xml:space="preserve">Comments of </w:t>
      </w:r>
      <w:r w:rsidR="00841621">
        <w:t>Alaska Rural Commission</w:t>
      </w:r>
      <w:r w:rsidRPr="00A25AA8">
        <w:t xml:space="preserve">, WC Docket No 10-90 </w:t>
      </w:r>
      <w:r w:rsidRPr="00A25AA8">
        <w:rPr>
          <w:i/>
        </w:rPr>
        <w:t>et al</w:t>
      </w:r>
      <w:r>
        <w:rPr>
          <w:i/>
        </w:rPr>
        <w:t>.</w:t>
      </w:r>
      <w:r w:rsidRPr="00A25AA8">
        <w:t xml:space="preserve">, at </w:t>
      </w:r>
      <w:r>
        <w:t>14</w:t>
      </w:r>
      <w:r w:rsidRPr="00A25AA8">
        <w:t xml:space="preserve"> (filed Jan. 18, 201</w:t>
      </w:r>
      <w:r>
        <w:t>2</w:t>
      </w:r>
      <w:r w:rsidRPr="00A25AA8">
        <w:t>)</w:t>
      </w:r>
      <w:r>
        <w:t xml:space="preserve">; </w:t>
      </w:r>
      <w:r w:rsidR="00841621" w:rsidRPr="00A25AA8">
        <w:t xml:space="preserve">Comments of </w:t>
      </w:r>
      <w:r w:rsidR="00841621">
        <w:t>Moss Adams</w:t>
      </w:r>
      <w:r w:rsidR="00841621" w:rsidRPr="00A25AA8">
        <w:t xml:space="preserve">, WC Docket No 10-90 </w:t>
      </w:r>
      <w:r w:rsidR="00841621" w:rsidRPr="00A25AA8">
        <w:rPr>
          <w:i/>
        </w:rPr>
        <w:t>et al</w:t>
      </w:r>
      <w:r w:rsidR="00841621">
        <w:rPr>
          <w:i/>
        </w:rPr>
        <w:t>.</w:t>
      </w:r>
      <w:r w:rsidR="00841621" w:rsidRPr="00A25AA8">
        <w:t xml:space="preserve">, at </w:t>
      </w:r>
      <w:r w:rsidR="00841621">
        <w:t>27</w:t>
      </w:r>
      <w:r w:rsidR="00841621" w:rsidRPr="00A25AA8">
        <w:t xml:space="preserve"> (filed Jan. 18, 201</w:t>
      </w:r>
      <w:r w:rsidR="00841621">
        <w:t>2</w:t>
      </w:r>
      <w:r w:rsidR="00841621" w:rsidRPr="00A25AA8">
        <w:t>)</w:t>
      </w:r>
      <w:r w:rsidR="00841621">
        <w:t xml:space="preserve">; </w:t>
      </w:r>
      <w:r w:rsidRPr="00A25AA8">
        <w:t xml:space="preserve">Comments of the National Exchange Carrier Association, Inc.; National Telecommunications Cooperative Association; Organization for the Promotion and Advancement of Small Telecommunications Companies; and the Western Telecommunications Alliance, WC Docket No 10-90 </w:t>
      </w:r>
      <w:r w:rsidRPr="00A25AA8">
        <w:rPr>
          <w:i/>
        </w:rPr>
        <w:t>et al</w:t>
      </w:r>
      <w:r w:rsidRPr="00A25AA8">
        <w:t xml:space="preserve">, at </w:t>
      </w:r>
      <w:r>
        <w:t>84</w:t>
      </w:r>
      <w:r w:rsidR="00841621">
        <w:t xml:space="preserve"> (filed Jan. 18, 2012); </w:t>
      </w:r>
      <w:r w:rsidR="00841621" w:rsidRPr="00A25AA8">
        <w:t xml:space="preserve">Comments of </w:t>
      </w:r>
      <w:r w:rsidR="00841621">
        <w:t>Section D Rurals</w:t>
      </w:r>
      <w:r w:rsidR="00841621" w:rsidRPr="00A25AA8">
        <w:t xml:space="preserve">, WC Docket No 10-90 </w:t>
      </w:r>
      <w:r w:rsidR="00841621" w:rsidRPr="00A25AA8">
        <w:rPr>
          <w:i/>
        </w:rPr>
        <w:t>et al</w:t>
      </w:r>
      <w:r w:rsidR="00841621">
        <w:rPr>
          <w:i/>
        </w:rPr>
        <w:t>.</w:t>
      </w:r>
      <w:r w:rsidR="00841621" w:rsidRPr="00A25AA8">
        <w:t xml:space="preserve">, at </w:t>
      </w:r>
      <w:r w:rsidR="00841621">
        <w:t>7</w:t>
      </w:r>
      <w:r w:rsidR="00841621" w:rsidRPr="00A25AA8">
        <w:t xml:space="preserve"> (filed Jan. 18, 201</w:t>
      </w:r>
      <w:r w:rsidR="00841621">
        <w:t>2</w:t>
      </w:r>
      <w:r w:rsidR="00841621" w:rsidRPr="00A25AA8">
        <w:t>)</w:t>
      </w:r>
      <w:r w:rsidR="00841621">
        <w:t>.</w:t>
      </w:r>
    </w:p>
  </w:footnote>
  <w:footnote w:id="38">
    <w:p w14:paraId="3B9724E6" w14:textId="77777777" w:rsidR="001B169B" w:rsidRPr="00EC4AEE" w:rsidRDefault="001B169B">
      <w:pPr>
        <w:pStyle w:val="FootnoteText"/>
      </w:pPr>
      <w:r>
        <w:rPr>
          <w:rStyle w:val="FootnoteReference"/>
        </w:rPr>
        <w:footnoteRef/>
      </w:r>
      <w:r>
        <w:t xml:space="preserve"> To calculate the area of the census blocks with an unsubsidized competitor, we included only the portion of the block’s area that is inside the boundary of the study area.</w:t>
      </w:r>
      <w:r w:rsidR="00EC4AEE">
        <w:t xml:space="preserve">  </w:t>
      </w:r>
      <w:r w:rsidR="00EC4AEE">
        <w:rPr>
          <w:i/>
        </w:rPr>
        <w:t xml:space="preserve">See </w:t>
      </w:r>
      <w:r w:rsidR="00EC4AEE">
        <w:t>the Appendix for more detailed information on these study areas.</w:t>
      </w:r>
    </w:p>
  </w:footnote>
  <w:footnote w:id="39">
    <w:p w14:paraId="306F5AFB" w14:textId="77777777" w:rsidR="00074A3E" w:rsidRPr="00B17978" w:rsidRDefault="00074A3E" w:rsidP="00074A3E">
      <w:pPr>
        <w:pStyle w:val="FootnoteText"/>
      </w:pPr>
      <w:r>
        <w:rPr>
          <w:rStyle w:val="FootnoteReference"/>
        </w:rPr>
        <w:footnoteRef/>
      </w:r>
      <w:r>
        <w:t xml:space="preserve"> </w:t>
      </w:r>
      <w:r w:rsidRPr="00514EC1">
        <w:rPr>
          <w:i/>
        </w:rPr>
        <w:t>December 2014 Connect America Fund Order</w:t>
      </w:r>
      <w:r>
        <w:t>, 29 FCC Rcd at 15685, para. 116.</w:t>
      </w:r>
      <w:r w:rsidR="0070474F">
        <w:t xml:space="preserve">  </w:t>
      </w:r>
      <w:r w:rsidR="0070474F" w:rsidRPr="00074A3E">
        <w:rPr>
          <w:szCs w:val="22"/>
        </w:rPr>
        <w:t xml:space="preserve">Several commenters </w:t>
      </w:r>
      <w:r w:rsidR="0070474F">
        <w:rPr>
          <w:szCs w:val="22"/>
        </w:rPr>
        <w:t xml:space="preserve">previously had argued </w:t>
      </w:r>
      <w:r w:rsidR="0070474F" w:rsidRPr="00074A3E">
        <w:rPr>
          <w:szCs w:val="22"/>
        </w:rPr>
        <w:t xml:space="preserve">that </w:t>
      </w:r>
      <w:r w:rsidR="005959A1">
        <w:rPr>
          <w:szCs w:val="22"/>
        </w:rPr>
        <w:t>there</w:t>
      </w:r>
      <w:r w:rsidR="0070474F" w:rsidRPr="00074A3E">
        <w:rPr>
          <w:szCs w:val="22"/>
        </w:rPr>
        <w:t xml:space="preserve"> should </w:t>
      </w:r>
      <w:r w:rsidR="005959A1">
        <w:rPr>
          <w:szCs w:val="22"/>
        </w:rPr>
        <w:t>be</w:t>
      </w:r>
      <w:r w:rsidR="0070474F" w:rsidRPr="00074A3E">
        <w:rPr>
          <w:szCs w:val="22"/>
        </w:rPr>
        <w:t xml:space="preserve"> a challenge or confirmation process for the final 100 percent overlap determination.</w:t>
      </w:r>
      <w:r w:rsidR="0070474F">
        <w:rPr>
          <w:szCs w:val="22"/>
        </w:rPr>
        <w:t xml:space="preserve">  </w:t>
      </w:r>
      <w:r w:rsidR="0070474F" w:rsidRPr="00A25AA8">
        <w:t xml:space="preserve">Comments of </w:t>
      </w:r>
      <w:r w:rsidR="0070474F">
        <w:t>Accipiter</w:t>
      </w:r>
      <w:r w:rsidR="0070474F" w:rsidRPr="00A25AA8">
        <w:t xml:space="preserve">, WC Docket No 10-90 </w:t>
      </w:r>
      <w:r w:rsidR="0070474F" w:rsidRPr="00A25AA8">
        <w:rPr>
          <w:i/>
        </w:rPr>
        <w:t>et al</w:t>
      </w:r>
      <w:r w:rsidR="0070474F">
        <w:rPr>
          <w:i/>
        </w:rPr>
        <w:t>.</w:t>
      </w:r>
      <w:r w:rsidR="0070474F" w:rsidRPr="00A25AA8">
        <w:t xml:space="preserve">, at </w:t>
      </w:r>
      <w:r w:rsidR="0070474F">
        <w:t>15</w:t>
      </w:r>
      <w:r w:rsidR="0070474F" w:rsidRPr="00A25AA8">
        <w:t xml:space="preserve"> (filed Jan. 18, 201</w:t>
      </w:r>
      <w:r w:rsidR="0070474F">
        <w:t>2</w:t>
      </w:r>
      <w:r w:rsidR="0070474F" w:rsidRPr="00A25AA8">
        <w:t>)</w:t>
      </w:r>
      <w:r w:rsidR="0070474F">
        <w:t xml:space="preserve">; Comments of American Cable Association, </w:t>
      </w:r>
      <w:r w:rsidR="0070474F" w:rsidRPr="00A25AA8">
        <w:t xml:space="preserve">WC Docket No 10-90 </w:t>
      </w:r>
      <w:r w:rsidR="0070474F" w:rsidRPr="00A25AA8">
        <w:rPr>
          <w:i/>
        </w:rPr>
        <w:t>et al</w:t>
      </w:r>
      <w:r w:rsidR="0070474F">
        <w:rPr>
          <w:i/>
        </w:rPr>
        <w:t>.</w:t>
      </w:r>
      <w:r w:rsidR="0070474F" w:rsidRPr="00A25AA8">
        <w:t xml:space="preserve">, at </w:t>
      </w:r>
      <w:r w:rsidR="0070474F">
        <w:t>10</w:t>
      </w:r>
      <w:r w:rsidR="0070474F" w:rsidRPr="00A25AA8">
        <w:t xml:space="preserve"> (filed Jan. 18, 201</w:t>
      </w:r>
      <w:r w:rsidR="0070474F">
        <w:t>2</w:t>
      </w:r>
      <w:r w:rsidR="0070474F" w:rsidRPr="00A25AA8">
        <w:t>)</w:t>
      </w:r>
      <w:r w:rsidR="0070474F">
        <w:t xml:space="preserve">; </w:t>
      </w:r>
      <w:r w:rsidR="0070474F" w:rsidRPr="00A25AA8">
        <w:t xml:space="preserve">Comments of the National Exchange Carrier Association, Inc.; National Telecommunications Cooperative Association; Organization for the Promotion and Advancement of Small Telecommunications Companies; and the Western Telecommunications Alliance, WC Docket No 10-90 </w:t>
      </w:r>
      <w:r w:rsidR="0070474F" w:rsidRPr="00A25AA8">
        <w:rPr>
          <w:i/>
        </w:rPr>
        <w:t>et al</w:t>
      </w:r>
      <w:r w:rsidR="0070474F">
        <w:rPr>
          <w:i/>
        </w:rPr>
        <w:t>.</w:t>
      </w:r>
      <w:r w:rsidR="0070474F" w:rsidRPr="00A25AA8">
        <w:t xml:space="preserve">, at </w:t>
      </w:r>
      <w:r w:rsidR="0070474F">
        <w:t xml:space="preserve">84 (filed Jan. 18, 2012); Comments of TCA, </w:t>
      </w:r>
      <w:r w:rsidR="0070474F" w:rsidRPr="00A25AA8">
        <w:t xml:space="preserve">WC Docket No 10-90 </w:t>
      </w:r>
      <w:r w:rsidR="0070474F" w:rsidRPr="00A25AA8">
        <w:rPr>
          <w:i/>
        </w:rPr>
        <w:t>et al</w:t>
      </w:r>
      <w:r w:rsidR="0070474F">
        <w:rPr>
          <w:i/>
        </w:rPr>
        <w:t>.</w:t>
      </w:r>
      <w:r w:rsidR="0070474F" w:rsidRPr="00A25AA8">
        <w:t xml:space="preserve">, at </w:t>
      </w:r>
      <w:r w:rsidR="0070474F">
        <w:t xml:space="preserve">10 (filed Jan. 18, 2012); Comments of US Telecom, </w:t>
      </w:r>
      <w:r w:rsidR="0070474F" w:rsidRPr="00A25AA8">
        <w:t xml:space="preserve">WC Docket No 10-90 </w:t>
      </w:r>
      <w:r w:rsidR="0070474F" w:rsidRPr="00A25AA8">
        <w:rPr>
          <w:i/>
        </w:rPr>
        <w:t>et al</w:t>
      </w:r>
      <w:r w:rsidR="0070474F">
        <w:rPr>
          <w:i/>
        </w:rPr>
        <w:t>.</w:t>
      </w:r>
      <w:r w:rsidR="0070474F" w:rsidRPr="00A25AA8">
        <w:t xml:space="preserve">, at </w:t>
      </w:r>
      <w:r w:rsidR="0070474F">
        <w:t>9 (filed Jan. 18, 2012).</w:t>
      </w:r>
    </w:p>
  </w:footnote>
  <w:footnote w:id="40">
    <w:p w14:paraId="3B021757" w14:textId="77777777" w:rsidR="006E5D14" w:rsidRDefault="006E5D14">
      <w:pPr>
        <w:pStyle w:val="FootnoteText"/>
      </w:pPr>
      <w:r>
        <w:rPr>
          <w:rStyle w:val="FootnoteReference"/>
        </w:rPr>
        <w:footnoteRef/>
      </w:r>
      <w:r>
        <w:t xml:space="preserve"> </w:t>
      </w:r>
      <w:r w:rsidR="00563ED7" w:rsidRPr="00563ED7">
        <w:rPr>
          <w:i/>
        </w:rPr>
        <w:t>Wireline Competition Bureau Announces Results of 2015 Urban Rate Survey for Fixed Voice and Broadband Services and Posting of Survey Data and Explanatory Notes</w:t>
      </w:r>
      <w:r w:rsidR="00563ED7">
        <w:t xml:space="preserve">, WC Docket No. 10-90, </w:t>
      </w:r>
      <w:r w:rsidR="00563ED7" w:rsidRPr="00563ED7">
        <w:t>Public Notice</w:t>
      </w:r>
      <w:r w:rsidR="00563ED7">
        <w:t xml:space="preserve">, </w:t>
      </w:r>
      <w:r w:rsidR="004706C3">
        <w:t xml:space="preserve">30 FCC Rcd 3687 </w:t>
      </w:r>
      <w:r w:rsidR="00563ED7">
        <w:t xml:space="preserve">(Wireline Comp. Bureau 2015).  </w:t>
      </w:r>
    </w:p>
  </w:footnote>
  <w:footnote w:id="41">
    <w:p w14:paraId="5A463B5F" w14:textId="77777777" w:rsidR="004E2DB5" w:rsidRPr="00895951" w:rsidRDefault="004E2DB5" w:rsidP="004E2DB5">
      <w:pPr>
        <w:pStyle w:val="FootnoteText"/>
      </w:pPr>
      <w:r>
        <w:rPr>
          <w:rStyle w:val="FootnoteReference"/>
        </w:rPr>
        <w:footnoteRef/>
      </w:r>
      <w:r>
        <w:t xml:space="preserve"> </w:t>
      </w:r>
      <w:r w:rsidR="00910C6C">
        <w:t xml:space="preserve">47 C.F.R. </w:t>
      </w:r>
      <w:r w:rsidR="00910C6C" w:rsidRPr="00A25AA8">
        <w:t>§</w:t>
      </w:r>
      <w:r w:rsidR="00910C6C">
        <w:t xml:space="preserve"> 54.319(a).</w:t>
      </w:r>
      <w:r w:rsidR="006E5D14">
        <w:t xml:space="preserve">  </w:t>
      </w:r>
      <w:r w:rsidR="00F218C6">
        <w:t>While the Commission has not adopted specific m</w:t>
      </w:r>
      <w:r w:rsidR="001A71BF">
        <w:t>easures for purposes of the 100 percent</w:t>
      </w:r>
      <w:r w:rsidR="00F218C6">
        <w:t xml:space="preserve"> overlap rule for determining what is “latency suitable for real time applications” and “usage reasonably comparable to urban areas</w:t>
      </w:r>
      <w:r w:rsidR="001A71BF">
        <w:t>,”</w:t>
      </w:r>
      <w:r w:rsidR="00F218C6">
        <w:t xml:space="preserve"> commenters may find it helpful to consider the standards adopted for the Phase II challenge process in price cap areas</w:t>
      </w:r>
      <w:r w:rsidR="00FC0CCB">
        <w:t xml:space="preserve"> in formulating their positions</w:t>
      </w:r>
      <w:r w:rsidR="00F218C6">
        <w:t xml:space="preserve">.  </w:t>
      </w:r>
      <w:r w:rsidR="00F218C6" w:rsidRPr="00A03C2C">
        <w:rPr>
          <w:i/>
        </w:rPr>
        <w:t xml:space="preserve">See </w:t>
      </w:r>
      <w:r w:rsidR="000E7B1A" w:rsidRPr="00A03C2C">
        <w:rPr>
          <w:i/>
        </w:rPr>
        <w:t>Phase II Service Obligations Order</w:t>
      </w:r>
      <w:r w:rsidR="00F218C6">
        <w:t xml:space="preserve">, 28 FCC Rcd 15060.  </w:t>
      </w:r>
    </w:p>
  </w:footnote>
  <w:footnote w:id="42">
    <w:p w14:paraId="53609263" w14:textId="77777777" w:rsidR="007C2D0C" w:rsidRPr="00946698" w:rsidRDefault="007C2D0C">
      <w:pPr>
        <w:pStyle w:val="FootnoteText"/>
        <w:rPr>
          <w:i/>
        </w:rPr>
      </w:pPr>
      <w:r>
        <w:rPr>
          <w:rStyle w:val="FootnoteReference"/>
        </w:rPr>
        <w:footnoteRef/>
      </w:r>
      <w:r>
        <w:t xml:space="preserve"> </w:t>
      </w:r>
      <w:r w:rsidR="00A50F6C" w:rsidRPr="00563ED7">
        <w:rPr>
          <w:i/>
        </w:rPr>
        <w:t>Wireline Competition Bureau Announces Results of 2015 Urban Rate Survey for Fixed Voice and Broadband Services and Posting of Survey Data and Explanatory Notes</w:t>
      </w:r>
      <w:r w:rsidR="00A50F6C">
        <w:t xml:space="preserve">, WC Docket No. 10-90, </w:t>
      </w:r>
      <w:r w:rsidR="00A50F6C" w:rsidRPr="00563ED7">
        <w:t>Public Notice</w:t>
      </w:r>
      <w:r w:rsidR="00A50F6C">
        <w:t>, 30 FCC Rcd 3687 (Wireline Comp. Bureau 2015);</w:t>
      </w:r>
      <w:r>
        <w:t xml:space="preserve"> FCC, Reasonable Comparability Benchmark Calculator, </w:t>
      </w:r>
      <w:r w:rsidRPr="007C2D0C">
        <w:t>https://www.fcc.gov/encyclopedia/reasonable-comparability-benchmark-calculator</w:t>
      </w:r>
      <w:r>
        <w:t>.</w:t>
      </w:r>
      <w:r w:rsidR="00A50F6C">
        <w:t xml:space="preserve">  If a competitor offers a broadband product with different bandwidths and/or usage allowances, then a different benchmark would apply</w:t>
      </w:r>
      <w:r w:rsidR="00F013DE">
        <w:t>, and the competitor should consult the benchmark calculator</w:t>
      </w:r>
      <w:r w:rsidR="00A50F6C">
        <w:t xml:space="preserve">.  </w:t>
      </w:r>
      <w:r w:rsidR="00A50F6C">
        <w:rPr>
          <w:i/>
        </w:rPr>
        <w:t>Id.</w:t>
      </w:r>
    </w:p>
  </w:footnote>
  <w:footnote w:id="43">
    <w:p w14:paraId="3ADCC8DD" w14:textId="77777777" w:rsidR="00A86A39" w:rsidRDefault="00A86A39">
      <w:pPr>
        <w:pStyle w:val="FootnoteText"/>
      </w:pPr>
      <w:r>
        <w:rPr>
          <w:rStyle w:val="FootnoteReference"/>
        </w:rPr>
        <w:footnoteRef/>
      </w:r>
      <w:r>
        <w:t xml:space="preserve"> The Bureau used similar criteria in the Phase II challenge process.  </w:t>
      </w:r>
      <w:r>
        <w:rPr>
          <w:i/>
        </w:rPr>
        <w:t xml:space="preserve">See </w:t>
      </w:r>
      <w:r w:rsidRPr="007246F9">
        <w:rPr>
          <w:i/>
        </w:rPr>
        <w:t>Wireline Competition Bureau Provides Guidance Regarding Phase II Challenge Process</w:t>
      </w:r>
      <w:r w:rsidR="00AC69E3">
        <w:t>, WC Docket No</w:t>
      </w:r>
      <w:r>
        <w:t>. 10-90, Public Notice, 29 FCC Rcd 7505, 7507-08, para. 9 (Wireline Comp. Bureau 2014).</w:t>
      </w:r>
    </w:p>
  </w:footnote>
  <w:footnote w:id="44">
    <w:p w14:paraId="4312AB83" w14:textId="77777777" w:rsidR="00CF149F" w:rsidRDefault="00CF149F">
      <w:pPr>
        <w:pStyle w:val="FootnoteText"/>
      </w:pPr>
      <w:r>
        <w:rPr>
          <w:rStyle w:val="FootnoteReference"/>
        </w:rPr>
        <w:footnoteRef/>
      </w:r>
      <w:r>
        <w:t xml:space="preserve"> </w:t>
      </w:r>
      <w:r w:rsidR="00F2443B">
        <w:t>Parties face criminal penalties for knowingly and willingly making materially false, fictitious or fraudulent stateme</w:t>
      </w:r>
      <w:r w:rsidR="00E7167B">
        <w:t>nt</w:t>
      </w:r>
      <w:r w:rsidR="00F2443B">
        <w:t xml:space="preserve">s or representations in official matters before the Commission.  18 U.S.C. § 1001.  </w:t>
      </w:r>
      <w:r w:rsidR="00F2443B" w:rsidRPr="00E7167B">
        <w:rPr>
          <w:i/>
        </w:rPr>
        <w:t>See also</w:t>
      </w:r>
      <w:r w:rsidR="00F2443B">
        <w:t xml:space="preserve"> </w:t>
      </w:r>
      <w:r w:rsidR="00F013DE" w:rsidRPr="004706C3">
        <w:rPr>
          <w:i/>
        </w:rPr>
        <w:t>Connect America Fund et al</w:t>
      </w:r>
      <w:r w:rsidR="00F013DE">
        <w:t>., WC Docket No. 10-90 et al., Order, 30 FCC Rcd 2718, 2730-31, para. 38 &amp; n.93 (Wireline Comp. Bureau 2015).</w:t>
      </w:r>
      <w:r w:rsidR="00610FE8">
        <w:t xml:space="preserve"> </w:t>
      </w:r>
    </w:p>
  </w:footnote>
  <w:footnote w:id="45">
    <w:p w14:paraId="3E4AA9A4" w14:textId="70FE324C" w:rsidR="00EF4F44" w:rsidRDefault="00EF4F44">
      <w:pPr>
        <w:pStyle w:val="FootnoteText"/>
      </w:pPr>
      <w:r>
        <w:rPr>
          <w:rStyle w:val="FootnoteReference"/>
        </w:rPr>
        <w:footnoteRef/>
      </w:r>
      <w:r>
        <w:t xml:space="preserve"> </w:t>
      </w:r>
      <w:r w:rsidR="000C22D5">
        <w:rPr>
          <w:i/>
        </w:rPr>
        <w:t xml:space="preserve">See </w:t>
      </w:r>
      <w:r>
        <w:t xml:space="preserve">Letter </w:t>
      </w:r>
      <w:r w:rsidR="000C22D5">
        <w:t>from Michael R. Romano, Senior Vice President – Policy, NTCA – The Rural Broadband Association, to Marlene H. Dortch, Secretary, Federal Communications Commission, WC Docket No. 10-90 (filed July 16, 2015).</w:t>
      </w:r>
      <w:r w:rsidR="00B24D8F">
        <w:t xml:space="preserve">  </w:t>
      </w:r>
      <w:r w:rsidR="00F64944">
        <w:t>Our decision to utilize this approach for implementation of the 100 percent overlap rule does not prejudge how the Commission may address the issue in other contests, including any changes to the competitive coverage shown in the Alternative Connect America Model (A-CAM).</w:t>
      </w:r>
      <w:r w:rsidR="00DA6C84">
        <w:t xml:space="preserve">  </w:t>
      </w:r>
    </w:p>
  </w:footnote>
  <w:footnote w:id="46">
    <w:p w14:paraId="515AC561" w14:textId="77777777" w:rsidR="00A241D4" w:rsidRPr="00A241D4" w:rsidRDefault="00A241D4">
      <w:pPr>
        <w:pStyle w:val="FootnoteText"/>
      </w:pPr>
      <w:r>
        <w:rPr>
          <w:rStyle w:val="FootnoteReference"/>
        </w:rPr>
        <w:footnoteRef/>
      </w:r>
      <w:r>
        <w:t xml:space="preserve"> </w:t>
      </w:r>
      <w:r>
        <w:rPr>
          <w:i/>
        </w:rPr>
        <w:t xml:space="preserve">See supra </w:t>
      </w:r>
      <w:r>
        <w:t>para. 16.</w:t>
      </w:r>
    </w:p>
  </w:footnote>
  <w:footnote w:id="47">
    <w:p w14:paraId="2252FB0C" w14:textId="5C19D2EF" w:rsidR="005A1B35" w:rsidRDefault="005A1B35">
      <w:pPr>
        <w:pStyle w:val="FootnoteText"/>
      </w:pPr>
      <w:r>
        <w:rPr>
          <w:rStyle w:val="FootnoteReference"/>
        </w:rPr>
        <w:footnoteRef/>
      </w:r>
      <w:r>
        <w:t xml:space="preserve"> </w:t>
      </w:r>
      <w:r w:rsidR="007D2EB0" w:rsidRPr="004706C3">
        <w:rPr>
          <w:i/>
        </w:rPr>
        <w:t>Connect America Fund et al</w:t>
      </w:r>
      <w:r w:rsidR="007D2EB0">
        <w:t>., WC Docket No. 10-90 et al., Order, 30 FCC Rcd 2718, 2731, para. 41 &amp; n.95 (Wireline Comp. Bureau 2015)</w:t>
      </w:r>
      <w:r w:rsidR="004706C3">
        <w:t>.</w:t>
      </w:r>
    </w:p>
  </w:footnote>
  <w:footnote w:id="48">
    <w:p w14:paraId="6475C8E9" w14:textId="77777777" w:rsidR="00EF2146" w:rsidRPr="00A25AA8" w:rsidRDefault="00EF2146" w:rsidP="00EF2146">
      <w:pPr>
        <w:pStyle w:val="FootnoteText"/>
      </w:pPr>
      <w:r w:rsidRPr="00A25AA8">
        <w:rPr>
          <w:rStyle w:val="FootnoteReference"/>
        </w:rPr>
        <w:footnoteRef/>
      </w:r>
      <w:r w:rsidRPr="00A25AA8">
        <w:t xml:space="preserve"> 47 C.F.R. §§ 1.1200 </w:t>
      </w:r>
      <w:r w:rsidRPr="00A25AA8">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A6C7" w14:textId="77777777" w:rsidR="007D33EF" w:rsidRDefault="007D3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CC85" w14:textId="77777777" w:rsidR="007D33EF" w:rsidRDefault="007D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B151" w14:textId="6A6EE33F" w:rsidR="00AD540A" w:rsidRPr="00F36716" w:rsidRDefault="004C1E38" w:rsidP="00F36716">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96128" behindDoc="0" locked="0" layoutInCell="0" allowOverlap="1" wp14:anchorId="1C6E848D" wp14:editId="768A1A33">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kern w:val="28"/>
        <w:sz w:val="96"/>
      </w:rPr>
      <w:t>PUBLIC NOTIC</w:t>
    </w:r>
    <w:r w:rsidR="00F36716">
      <w:rPr>
        <w:rFonts w:ascii="Arial" w:hAnsi="Arial" w:cs="Arial"/>
        <w:b/>
        <w:kern w:val="28"/>
        <w:sz w:val="96"/>
      </w:rPr>
      <w:t>E</w:t>
    </w:r>
  </w:p>
  <w:p w14:paraId="6492C14E" w14:textId="0F63D746" w:rsidR="00AD540A" w:rsidRPr="00F36716" w:rsidRDefault="004C1E38" w:rsidP="00F36716">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37760" behindDoc="0" locked="0" layoutInCell="0" allowOverlap="1" wp14:anchorId="56DFE000" wp14:editId="0C40DB39">
              <wp:simplePos x="0" y="0"/>
              <wp:positionH relativeFrom="column">
                <wp:posOffset>33020</wp:posOffset>
              </wp:positionH>
              <wp:positionV relativeFrom="paragraph">
                <wp:posOffset>3810</wp:posOffset>
              </wp:positionV>
              <wp:extent cx="3108960" cy="640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66E28" w14:textId="77777777" w:rsidR="004C1E38" w:rsidRDefault="004C1E38" w:rsidP="004C1E38">
                          <w:pPr>
                            <w:rPr>
                              <w:rFonts w:ascii="Arial" w:hAnsi="Arial"/>
                              <w:b/>
                              <w:sz w:val="20"/>
                            </w:rPr>
                          </w:pPr>
                          <w:r>
                            <w:rPr>
                              <w:rFonts w:ascii="Arial" w:hAnsi="Arial"/>
                              <w:b/>
                              <w:sz w:val="20"/>
                            </w:rPr>
                            <w:t>Federal Communications Commission</w:t>
                          </w:r>
                        </w:p>
                        <w:p w14:paraId="5C0CD1AA" w14:textId="77777777" w:rsidR="004C1E38" w:rsidRDefault="004C1E38"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72D45E7E" w14:textId="77777777" w:rsidR="004C1E38" w:rsidRDefault="004C1E38" w:rsidP="004C1E38">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DFE000" id="_x0000_t202" coordsize="21600,21600" o:spt="202" path="m,l,21600r21600,l21600,xe">
              <v:stroke joinstyle="miter"/>
              <v:path gradientshapeok="t" o:connecttype="rect"/>
            </v:shapetype>
            <v:shape id="Text Box 11" o:spid="_x0000_s1026" type="#_x0000_t202" style="position:absolute;left:0;text-align:left;margin-left:2.6pt;margin-top:.3pt;width:244.8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rBhAIAABE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" o:allowincell="f" stroked="f">
              <v:textbox>
                <w:txbxContent>
                  <w:p w14:paraId="2E966E28" w14:textId="77777777" w:rsidR="004C1E38" w:rsidRDefault="004C1E38" w:rsidP="004C1E38">
                    <w:pPr>
                      <w:rPr>
                        <w:rFonts w:ascii="Arial" w:hAnsi="Arial"/>
                        <w:b/>
                        <w:sz w:val="20"/>
                      </w:rPr>
                    </w:pPr>
                    <w:r>
                      <w:rPr>
                        <w:rFonts w:ascii="Arial" w:hAnsi="Arial"/>
                        <w:b/>
                        <w:sz w:val="20"/>
                      </w:rPr>
                      <w:t>Federal Communications Commission</w:t>
                    </w:r>
                  </w:p>
                  <w:p w14:paraId="5C0CD1AA" w14:textId="77777777" w:rsidR="004C1E38" w:rsidRDefault="004C1E38"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72D45E7E" w14:textId="77777777" w:rsidR="004C1E38" w:rsidRDefault="004C1E38" w:rsidP="004C1E38">
                    <w:pPr>
                      <w:rPr>
                        <w:rFonts w:ascii="Arial" w:hAnsi="Arial"/>
                        <w:sz w:val="24"/>
                      </w:rPr>
                    </w:pPr>
                    <w:r>
                      <w:rPr>
                        <w:rFonts w:ascii="Arial" w:hAnsi="Arial"/>
                        <w:b/>
                        <w:sz w:val="20"/>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76672" behindDoc="0" locked="0" layoutInCell="1" allowOverlap="1" wp14:anchorId="65A1447A" wp14:editId="7A14A2FB">
              <wp:simplePos x="0" y="0"/>
              <wp:positionH relativeFrom="column">
                <wp:posOffset>3366135</wp:posOffset>
              </wp:positionH>
              <wp:positionV relativeFrom="paragraph">
                <wp:posOffset>76200</wp:posOffset>
              </wp:positionV>
              <wp:extent cx="2640965"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9EBA7" w14:textId="77777777" w:rsidR="004C1E38" w:rsidRDefault="004C1E38" w:rsidP="004C1E38">
                          <w:pPr>
                            <w:spacing w:before="40"/>
                            <w:jc w:val="right"/>
                            <w:rPr>
                              <w:rFonts w:ascii="Arial" w:hAnsi="Arial"/>
                              <w:b/>
                              <w:sz w:val="16"/>
                            </w:rPr>
                          </w:pPr>
                          <w:r>
                            <w:rPr>
                              <w:rFonts w:ascii="Arial" w:hAnsi="Arial"/>
                              <w:b/>
                              <w:sz w:val="16"/>
                            </w:rPr>
                            <w:t>News Media Information 202 / 418-0500</w:t>
                          </w:r>
                        </w:p>
                        <w:p w14:paraId="41124474" w14:textId="77777777" w:rsidR="004C1E38" w:rsidRDefault="004C1E38" w:rsidP="004C1E3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4D8E75C" w14:textId="77777777" w:rsidR="004C1E38" w:rsidRDefault="004C1E38" w:rsidP="004C1E38">
                          <w:pPr>
                            <w:jc w:val="right"/>
                            <w:rPr>
                              <w:rFonts w:ascii="Arial" w:hAnsi="Arial"/>
                              <w:b/>
                              <w:sz w:val="16"/>
                            </w:rPr>
                          </w:pPr>
                          <w:r>
                            <w:rPr>
                              <w:rFonts w:ascii="Arial" w:hAnsi="Arial"/>
                              <w:b/>
                              <w:sz w:val="16"/>
                            </w:rPr>
                            <w:t>TTY: 1-888-835-5322</w:t>
                          </w:r>
                        </w:p>
                        <w:p w14:paraId="4030B0BA" w14:textId="77777777" w:rsidR="004C1E38" w:rsidRDefault="004C1E38" w:rsidP="004C1E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1447A" id="Text Box 10" o:spid="_x0000_s1027" type="#_x0000_t202" style="position:absolute;left:0;text-align:left;margin-left:265.05pt;margin-top:6pt;width:207.9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Hx5kwoEC&#10;AAAQBQAADgAAAAAAAAAAAAAAAAAuAgAAZHJzL2Uyb0RvYy54bWxQSwECLQAUAAYACAAAACEApE/5&#10;390AAAAJAQAADwAAAAAAAAAAAAAAAADbBAAAZHJzL2Rvd25yZXYueG1sUEsFBgAAAAAEAAQA8wAA&#10;AOUFAAAAAA==&#10;" stroked="f">
              <v:textbox inset=",0,,0">
                <w:txbxContent>
                  <w:p w14:paraId="5839EBA7" w14:textId="77777777" w:rsidR="004C1E38" w:rsidRDefault="004C1E38" w:rsidP="004C1E38">
                    <w:pPr>
                      <w:spacing w:before="40"/>
                      <w:jc w:val="right"/>
                      <w:rPr>
                        <w:rFonts w:ascii="Arial" w:hAnsi="Arial"/>
                        <w:b/>
                        <w:sz w:val="16"/>
                      </w:rPr>
                    </w:pPr>
                    <w:r>
                      <w:rPr>
                        <w:rFonts w:ascii="Arial" w:hAnsi="Arial"/>
                        <w:b/>
                        <w:sz w:val="16"/>
                      </w:rPr>
                      <w:t>News Media Information 202 / 418-0500</w:t>
                    </w:r>
                  </w:p>
                  <w:p w14:paraId="41124474" w14:textId="77777777" w:rsidR="004C1E38" w:rsidRDefault="004C1E38" w:rsidP="004C1E3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4D8E75C" w14:textId="77777777" w:rsidR="004C1E38" w:rsidRDefault="004C1E38" w:rsidP="004C1E38">
                    <w:pPr>
                      <w:jc w:val="right"/>
                      <w:rPr>
                        <w:rFonts w:ascii="Arial" w:hAnsi="Arial"/>
                        <w:b/>
                        <w:sz w:val="16"/>
                      </w:rPr>
                    </w:pPr>
                    <w:r>
                      <w:rPr>
                        <w:rFonts w:ascii="Arial" w:hAnsi="Arial"/>
                        <w:b/>
                        <w:sz w:val="16"/>
                      </w:rPr>
                      <w:t>TTY: 1-888-835-5322</w:t>
                    </w:r>
                  </w:p>
                  <w:p w14:paraId="4030B0BA" w14:textId="77777777" w:rsidR="004C1E38" w:rsidRDefault="004C1E38" w:rsidP="004C1E3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6CCEC69" wp14:editId="22A5E6BF">
              <wp:simplePos x="0" y="0"/>
              <wp:positionH relativeFrom="column">
                <wp:posOffset>0</wp:posOffset>
              </wp:positionH>
              <wp:positionV relativeFrom="paragraph">
                <wp:posOffset>697865</wp:posOffset>
              </wp:positionV>
              <wp:extent cx="5943600" cy="254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1BE1C"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y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C33F" w14:textId="24B0B816" w:rsidR="00AD540A" w:rsidRDefault="000A7CAF">
    <w:pPr>
      <w:pStyle w:val="Header"/>
      <w:tabs>
        <w:tab w:val="clear" w:pos="4320"/>
        <w:tab w:val="clear" w:pos="8640"/>
      </w:tabs>
      <w:spacing w:before="40"/>
      <w:ind w:firstLine="1080"/>
      <w:rPr>
        <w:rFonts w:ascii="News Gothic MT" w:hAnsi="News Gothic MT"/>
        <w:b/>
        <w:kern w:val="28"/>
        <w:sz w:val="96"/>
      </w:rPr>
    </w:pPr>
    <w:r w:rsidRPr="00F911DE">
      <w:rPr>
        <w:rFonts w:ascii="News Gothic MT" w:hAnsi="News Gothic MT"/>
        <w:b/>
        <w:noProof/>
        <w:sz w:val="24"/>
      </w:rPr>
      <w:drawing>
        <wp:anchor distT="0" distB="0" distL="114300" distR="114300" simplePos="0" relativeHeight="251661312" behindDoc="0" locked="0" layoutInCell="0" allowOverlap="1" wp14:anchorId="1ED1CF53" wp14:editId="5986B3C0">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911DE">
      <w:rPr>
        <w:rFonts w:ascii="News Gothic MT" w:hAnsi="News Gothic MT"/>
        <w:b/>
        <w:noProof/>
        <w:sz w:val="24"/>
      </w:rPr>
      <mc:AlternateContent>
        <mc:Choice Requires="wps">
          <w:drawing>
            <wp:anchor distT="0" distB="0" distL="114300" distR="114300" simplePos="0" relativeHeight="251658240" behindDoc="0" locked="0" layoutInCell="0" allowOverlap="1" wp14:anchorId="523F4C23" wp14:editId="48B5E7D5">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AF7A8" w14:textId="77777777" w:rsidR="00AD540A" w:rsidRDefault="00AD540A">
                          <w:pPr>
                            <w:rPr>
                              <w:rFonts w:ascii="Arial" w:hAnsi="Arial"/>
                              <w:b/>
                            </w:rPr>
                          </w:pPr>
                          <w:r>
                            <w:rPr>
                              <w:rFonts w:ascii="Arial" w:hAnsi="Arial"/>
                              <w:b/>
                            </w:rPr>
                            <w:t>Federal Communications Commission</w:t>
                          </w:r>
                        </w:p>
                        <w:p w14:paraId="167BC95E" w14:textId="77777777" w:rsidR="00AD540A" w:rsidRDefault="00AD54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E8CCC1" w14:textId="77777777" w:rsidR="00AD540A" w:rsidRDefault="00AD540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3F4C23"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14:paraId="667AF7A8" w14:textId="77777777" w:rsidR="00AD540A" w:rsidRDefault="00AD540A">
                    <w:pPr>
                      <w:rPr>
                        <w:rFonts w:ascii="Arial" w:hAnsi="Arial"/>
                        <w:b/>
                      </w:rPr>
                    </w:pPr>
                    <w:r>
                      <w:rPr>
                        <w:rFonts w:ascii="Arial" w:hAnsi="Arial"/>
                        <w:b/>
                      </w:rPr>
                      <w:t>Federal Communications Commission</w:t>
                    </w:r>
                  </w:p>
                  <w:p w14:paraId="167BC95E" w14:textId="77777777" w:rsidR="00AD540A" w:rsidRDefault="00AD540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E8CCC1" w14:textId="77777777" w:rsidR="00AD540A" w:rsidRDefault="00AD540A">
                    <w:pPr>
                      <w:rPr>
                        <w:rFonts w:ascii="Arial" w:hAnsi="Arial"/>
                        <w:sz w:val="24"/>
                      </w:rPr>
                    </w:pPr>
                    <w:r>
                      <w:rPr>
                        <w:rFonts w:ascii="Arial" w:hAnsi="Arial"/>
                        <w:b/>
                      </w:rPr>
                      <w:t>Washington, D.C. 20554</w:t>
                    </w:r>
                  </w:p>
                </w:txbxContent>
              </v:textbox>
            </v:shape>
          </w:pict>
        </mc:Fallback>
      </mc:AlternateContent>
    </w:r>
    <w:r w:rsidR="00AD540A">
      <w:rPr>
        <w:rFonts w:ascii="News Gothic MT" w:hAnsi="News Gothic MT"/>
        <w:b/>
        <w:kern w:val="28"/>
        <w:sz w:val="96"/>
      </w:rPr>
      <w:t>PUBLIC NOTICE</w:t>
    </w:r>
  </w:p>
  <w:p w14:paraId="60441C8E" w14:textId="57860ADF" w:rsidR="00AD540A" w:rsidRDefault="000A7CAF">
    <w:pPr>
      <w:pStyle w:val="Header"/>
      <w:tabs>
        <w:tab w:val="clear" w:pos="4320"/>
        <w:tab w:val="clear" w:pos="8640"/>
        <w:tab w:val="left" w:pos="1080"/>
      </w:tabs>
      <w:spacing w:line="1120" w:lineRule="exact"/>
      <w:ind w:left="720"/>
      <w:rPr>
        <w:rFonts w:ascii="Arial" w:hAnsi="Arial"/>
        <w:b/>
        <w:sz w:val="28"/>
      </w:rPr>
    </w:pPr>
    <w:r w:rsidRPr="00F911DE">
      <w:rPr>
        <w:rFonts w:ascii="Arial" w:hAnsi="Arial"/>
        <w:b/>
        <w:noProof/>
      </w:rPr>
      <mc:AlternateContent>
        <mc:Choice Requires="wps">
          <w:drawing>
            <wp:anchor distT="0" distB="0" distL="114300" distR="114300" simplePos="0" relativeHeight="251659264" behindDoc="0" locked="0" layoutInCell="0" allowOverlap="1" wp14:anchorId="23A336CB" wp14:editId="171D3BA6">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D0D8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sidRPr="00F911DE">
      <w:rPr>
        <w:rFonts w:ascii="News Gothic MT" w:hAnsi="News Gothic MT"/>
        <w:b/>
        <w:noProof/>
        <w:sz w:val="24"/>
      </w:rPr>
      <mc:AlternateContent>
        <mc:Choice Requires="wps">
          <w:drawing>
            <wp:anchor distT="0" distB="0" distL="114300" distR="114300" simplePos="0" relativeHeight="251660288" behindDoc="0" locked="0" layoutInCell="0" allowOverlap="1" wp14:anchorId="0B9075CB" wp14:editId="7F92A1DB">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A913B" w14:textId="77777777" w:rsidR="00AD540A" w:rsidRDefault="00AD540A">
                          <w:pPr>
                            <w:spacing w:before="40"/>
                            <w:jc w:val="right"/>
                            <w:rPr>
                              <w:rFonts w:ascii="Arial" w:hAnsi="Arial"/>
                              <w:b/>
                              <w:sz w:val="16"/>
                            </w:rPr>
                          </w:pPr>
                          <w:r>
                            <w:rPr>
                              <w:rFonts w:ascii="Arial" w:hAnsi="Arial"/>
                              <w:b/>
                              <w:sz w:val="16"/>
                            </w:rPr>
                            <w:t>News Media Information 202 / 418-0500</w:t>
                          </w:r>
                        </w:p>
                        <w:p w14:paraId="70926FA7" w14:textId="77777777" w:rsidR="00AD540A" w:rsidRDefault="00AD540A">
                          <w:pPr>
                            <w:jc w:val="right"/>
                            <w:rPr>
                              <w:rFonts w:ascii="Arial" w:hAnsi="Arial"/>
                              <w:b/>
                              <w:sz w:val="16"/>
                            </w:rPr>
                          </w:pPr>
                          <w:r>
                            <w:rPr>
                              <w:rFonts w:ascii="Arial" w:hAnsi="Arial"/>
                              <w:b/>
                              <w:sz w:val="16"/>
                            </w:rPr>
                            <w:tab/>
                            <w:t>Internet: http://www.fcc.gov</w:t>
                          </w:r>
                        </w:p>
                        <w:p w14:paraId="3CD2572C" w14:textId="77777777" w:rsidR="00AD540A" w:rsidRDefault="00AD540A">
                          <w:pPr>
                            <w:jc w:val="right"/>
                            <w:rPr>
                              <w:rFonts w:ascii="Arial" w:hAnsi="Arial"/>
                              <w:b/>
                              <w:sz w:val="16"/>
                            </w:rPr>
                          </w:pPr>
                          <w:r>
                            <w:rPr>
                              <w:rFonts w:ascii="Arial" w:hAnsi="Arial"/>
                              <w:b/>
                              <w:sz w:val="16"/>
                            </w:rPr>
                            <w:t>TTY: 1-888-835-5322</w:t>
                          </w:r>
                        </w:p>
                        <w:p w14:paraId="6C671669" w14:textId="77777777" w:rsidR="00AD540A" w:rsidRDefault="00AD540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075CB"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14:paraId="7EAA913B" w14:textId="77777777" w:rsidR="00AD540A" w:rsidRDefault="00AD540A">
                    <w:pPr>
                      <w:spacing w:before="40"/>
                      <w:jc w:val="right"/>
                      <w:rPr>
                        <w:rFonts w:ascii="Arial" w:hAnsi="Arial"/>
                        <w:b/>
                        <w:sz w:val="16"/>
                      </w:rPr>
                    </w:pPr>
                    <w:r>
                      <w:rPr>
                        <w:rFonts w:ascii="Arial" w:hAnsi="Arial"/>
                        <w:b/>
                        <w:sz w:val="16"/>
                      </w:rPr>
                      <w:t>News Media Information 202 / 418-0500</w:t>
                    </w:r>
                  </w:p>
                  <w:p w14:paraId="70926FA7" w14:textId="77777777" w:rsidR="00AD540A" w:rsidRDefault="00AD540A">
                    <w:pPr>
                      <w:jc w:val="right"/>
                      <w:rPr>
                        <w:rFonts w:ascii="Arial" w:hAnsi="Arial"/>
                        <w:b/>
                        <w:sz w:val="16"/>
                      </w:rPr>
                    </w:pPr>
                    <w:r>
                      <w:rPr>
                        <w:rFonts w:ascii="Arial" w:hAnsi="Arial"/>
                        <w:b/>
                        <w:sz w:val="16"/>
                      </w:rPr>
                      <w:tab/>
                      <w:t>Internet: http://www.fcc.gov</w:t>
                    </w:r>
                  </w:p>
                  <w:p w14:paraId="3CD2572C" w14:textId="77777777" w:rsidR="00AD540A" w:rsidRDefault="00AD540A">
                    <w:pPr>
                      <w:jc w:val="right"/>
                      <w:rPr>
                        <w:rFonts w:ascii="Arial" w:hAnsi="Arial"/>
                        <w:b/>
                        <w:sz w:val="16"/>
                      </w:rPr>
                    </w:pPr>
                    <w:r>
                      <w:rPr>
                        <w:rFonts w:ascii="Arial" w:hAnsi="Arial"/>
                        <w:b/>
                        <w:sz w:val="16"/>
                      </w:rPr>
                      <w:t>TTY: 1-888-835-5322</w:t>
                    </w:r>
                  </w:p>
                  <w:p w14:paraId="6C671669" w14:textId="77777777" w:rsidR="00AD540A" w:rsidRDefault="00AD540A">
                    <w:pPr>
                      <w:jc w:val="right"/>
                    </w:pPr>
                  </w:p>
                </w:txbxContent>
              </v:textbox>
            </v:shape>
          </w:pict>
        </mc:Fallback>
      </mc:AlternateContent>
    </w:r>
  </w:p>
  <w:p w14:paraId="3008572B" w14:textId="77777777" w:rsidR="00AD540A" w:rsidRDefault="00AD54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1C9017E2">
      <w:start w:val="1"/>
      <w:numFmt w:val="bullet"/>
      <w:lvlText w:val=""/>
      <w:lvlJc w:val="left"/>
      <w:pPr>
        <w:tabs>
          <w:tab w:val="num" w:pos="720"/>
        </w:tabs>
        <w:ind w:left="720" w:hanging="360"/>
      </w:pPr>
      <w:rPr>
        <w:rFonts w:ascii="Wingdings" w:hAnsi="Wingdings" w:hint="default"/>
      </w:rPr>
    </w:lvl>
    <w:lvl w:ilvl="1" w:tplc="BC04660A">
      <w:start w:val="1"/>
      <w:numFmt w:val="decimal"/>
      <w:lvlText w:val="(%2)"/>
      <w:lvlJc w:val="left"/>
      <w:pPr>
        <w:tabs>
          <w:tab w:val="num" w:pos="1440"/>
        </w:tabs>
        <w:ind w:left="1440" w:hanging="360"/>
      </w:pPr>
      <w:rPr>
        <w:rFonts w:hint="default"/>
      </w:rPr>
    </w:lvl>
    <w:lvl w:ilvl="2" w:tplc="032042BA">
      <w:start w:val="1"/>
      <w:numFmt w:val="lowerRoman"/>
      <w:lvlText w:val="%3."/>
      <w:lvlJc w:val="right"/>
      <w:pPr>
        <w:tabs>
          <w:tab w:val="num" w:pos="2160"/>
        </w:tabs>
        <w:ind w:left="2160" w:hanging="180"/>
      </w:pPr>
    </w:lvl>
    <w:lvl w:ilvl="3" w:tplc="3B2C5E56" w:tentative="1">
      <w:start w:val="1"/>
      <w:numFmt w:val="decimal"/>
      <w:lvlText w:val="%4."/>
      <w:lvlJc w:val="left"/>
      <w:pPr>
        <w:tabs>
          <w:tab w:val="num" w:pos="2880"/>
        </w:tabs>
        <w:ind w:left="2880" w:hanging="360"/>
      </w:pPr>
    </w:lvl>
    <w:lvl w:ilvl="4" w:tplc="87AC5166" w:tentative="1">
      <w:start w:val="1"/>
      <w:numFmt w:val="lowerLetter"/>
      <w:lvlText w:val="%5."/>
      <w:lvlJc w:val="left"/>
      <w:pPr>
        <w:tabs>
          <w:tab w:val="num" w:pos="3600"/>
        </w:tabs>
        <w:ind w:left="3600" w:hanging="360"/>
      </w:pPr>
    </w:lvl>
    <w:lvl w:ilvl="5" w:tplc="2F4CF674" w:tentative="1">
      <w:start w:val="1"/>
      <w:numFmt w:val="lowerRoman"/>
      <w:lvlText w:val="%6."/>
      <w:lvlJc w:val="right"/>
      <w:pPr>
        <w:tabs>
          <w:tab w:val="num" w:pos="4320"/>
        </w:tabs>
        <w:ind w:left="4320" w:hanging="180"/>
      </w:pPr>
    </w:lvl>
    <w:lvl w:ilvl="6" w:tplc="72EA0872" w:tentative="1">
      <w:start w:val="1"/>
      <w:numFmt w:val="decimal"/>
      <w:lvlText w:val="%7."/>
      <w:lvlJc w:val="left"/>
      <w:pPr>
        <w:tabs>
          <w:tab w:val="num" w:pos="5040"/>
        </w:tabs>
        <w:ind w:left="5040" w:hanging="360"/>
      </w:pPr>
    </w:lvl>
    <w:lvl w:ilvl="7" w:tplc="73FE47BC" w:tentative="1">
      <w:start w:val="1"/>
      <w:numFmt w:val="lowerLetter"/>
      <w:lvlText w:val="%8."/>
      <w:lvlJc w:val="left"/>
      <w:pPr>
        <w:tabs>
          <w:tab w:val="num" w:pos="5760"/>
        </w:tabs>
        <w:ind w:left="5760" w:hanging="360"/>
      </w:pPr>
    </w:lvl>
    <w:lvl w:ilvl="8" w:tplc="69AA3A48" w:tentative="1">
      <w:start w:val="1"/>
      <w:numFmt w:val="lowerRoman"/>
      <w:lvlText w:val="%9."/>
      <w:lvlJc w:val="right"/>
      <w:pPr>
        <w:tabs>
          <w:tab w:val="num" w:pos="6480"/>
        </w:tabs>
        <w:ind w:left="6480" w:hanging="180"/>
      </w:pPr>
    </w:lvl>
  </w:abstractNum>
  <w:abstractNum w:abstractNumId="2">
    <w:nsid w:val="12DF1BF7"/>
    <w:multiLevelType w:val="hybridMultilevel"/>
    <w:tmpl w:val="097E8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0E225D9"/>
    <w:multiLevelType w:val="hybridMultilevel"/>
    <w:tmpl w:val="6F56B5B2"/>
    <w:lvl w:ilvl="0" w:tplc="50FAEECC">
      <w:start w:val="1"/>
      <w:numFmt w:val="bullet"/>
      <w:lvlText w:val=""/>
      <w:lvlJc w:val="left"/>
      <w:pPr>
        <w:tabs>
          <w:tab w:val="num" w:pos="720"/>
        </w:tabs>
        <w:ind w:left="720" w:hanging="360"/>
      </w:pPr>
      <w:rPr>
        <w:rFonts w:ascii="Wingdings" w:hAnsi="Wingdings" w:hint="default"/>
      </w:rPr>
    </w:lvl>
    <w:lvl w:ilvl="1" w:tplc="A04045D2">
      <w:start w:val="1"/>
      <w:numFmt w:val="bullet"/>
      <w:lvlText w:val="o"/>
      <w:lvlJc w:val="left"/>
      <w:pPr>
        <w:tabs>
          <w:tab w:val="num" w:pos="720"/>
        </w:tabs>
        <w:ind w:left="720" w:hanging="360"/>
      </w:pPr>
      <w:rPr>
        <w:rFonts w:ascii="Courier New" w:hAnsi="Courier New" w:cs="Arial" w:hint="default"/>
      </w:rPr>
    </w:lvl>
    <w:lvl w:ilvl="2" w:tplc="1DFC9ABA">
      <w:start w:val="1"/>
      <w:numFmt w:val="bullet"/>
      <w:lvlText w:val=""/>
      <w:lvlJc w:val="left"/>
      <w:pPr>
        <w:tabs>
          <w:tab w:val="num" w:pos="1440"/>
        </w:tabs>
        <w:ind w:left="1440" w:hanging="360"/>
      </w:pPr>
      <w:rPr>
        <w:rFonts w:ascii="Wingdings" w:hAnsi="Wingdings" w:hint="default"/>
      </w:rPr>
    </w:lvl>
    <w:lvl w:ilvl="3" w:tplc="6ED8B2CA" w:tentative="1">
      <w:start w:val="1"/>
      <w:numFmt w:val="bullet"/>
      <w:lvlText w:val=""/>
      <w:lvlJc w:val="left"/>
      <w:pPr>
        <w:tabs>
          <w:tab w:val="num" w:pos="2160"/>
        </w:tabs>
        <w:ind w:left="2160" w:hanging="360"/>
      </w:pPr>
      <w:rPr>
        <w:rFonts w:ascii="Symbol" w:hAnsi="Symbol" w:hint="default"/>
      </w:rPr>
    </w:lvl>
    <w:lvl w:ilvl="4" w:tplc="9F60A49E" w:tentative="1">
      <w:start w:val="1"/>
      <w:numFmt w:val="bullet"/>
      <w:lvlText w:val="o"/>
      <w:lvlJc w:val="left"/>
      <w:pPr>
        <w:tabs>
          <w:tab w:val="num" w:pos="2880"/>
        </w:tabs>
        <w:ind w:left="2880" w:hanging="360"/>
      </w:pPr>
      <w:rPr>
        <w:rFonts w:ascii="Courier New" w:hAnsi="Courier New" w:cs="Arial" w:hint="default"/>
      </w:rPr>
    </w:lvl>
    <w:lvl w:ilvl="5" w:tplc="CDC823D6" w:tentative="1">
      <w:start w:val="1"/>
      <w:numFmt w:val="bullet"/>
      <w:lvlText w:val=""/>
      <w:lvlJc w:val="left"/>
      <w:pPr>
        <w:tabs>
          <w:tab w:val="num" w:pos="3600"/>
        </w:tabs>
        <w:ind w:left="3600" w:hanging="360"/>
      </w:pPr>
      <w:rPr>
        <w:rFonts w:ascii="Wingdings" w:hAnsi="Wingdings" w:hint="default"/>
      </w:rPr>
    </w:lvl>
    <w:lvl w:ilvl="6" w:tplc="3C8C4728" w:tentative="1">
      <w:start w:val="1"/>
      <w:numFmt w:val="bullet"/>
      <w:lvlText w:val=""/>
      <w:lvlJc w:val="left"/>
      <w:pPr>
        <w:tabs>
          <w:tab w:val="num" w:pos="4320"/>
        </w:tabs>
        <w:ind w:left="4320" w:hanging="360"/>
      </w:pPr>
      <w:rPr>
        <w:rFonts w:ascii="Symbol" w:hAnsi="Symbol" w:hint="default"/>
      </w:rPr>
    </w:lvl>
    <w:lvl w:ilvl="7" w:tplc="32181B5A" w:tentative="1">
      <w:start w:val="1"/>
      <w:numFmt w:val="bullet"/>
      <w:lvlText w:val="o"/>
      <w:lvlJc w:val="left"/>
      <w:pPr>
        <w:tabs>
          <w:tab w:val="num" w:pos="5040"/>
        </w:tabs>
        <w:ind w:left="5040" w:hanging="360"/>
      </w:pPr>
      <w:rPr>
        <w:rFonts w:ascii="Courier New" w:hAnsi="Courier New" w:cs="Arial" w:hint="default"/>
      </w:rPr>
    </w:lvl>
    <w:lvl w:ilvl="8" w:tplc="CF10401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F72A30"/>
    <w:multiLevelType w:val="hybridMultilevel"/>
    <w:tmpl w:val="5E08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391286"/>
    <w:multiLevelType w:val="hybridMultilevel"/>
    <w:tmpl w:val="A072DFF6"/>
    <w:lvl w:ilvl="0" w:tplc="440AB89E">
      <w:start w:val="1"/>
      <w:numFmt w:val="bullet"/>
      <w:lvlText w:val=""/>
      <w:lvlJc w:val="left"/>
      <w:pPr>
        <w:tabs>
          <w:tab w:val="num" w:pos="720"/>
        </w:tabs>
        <w:ind w:left="720" w:hanging="360"/>
      </w:pPr>
      <w:rPr>
        <w:rFonts w:ascii="Wingdings" w:hAnsi="Wingdings" w:hint="default"/>
      </w:rPr>
    </w:lvl>
    <w:lvl w:ilvl="1" w:tplc="F8EE6A30" w:tentative="1">
      <w:start w:val="1"/>
      <w:numFmt w:val="bullet"/>
      <w:lvlText w:val="o"/>
      <w:lvlJc w:val="left"/>
      <w:pPr>
        <w:tabs>
          <w:tab w:val="num" w:pos="1440"/>
        </w:tabs>
        <w:ind w:left="1440" w:hanging="360"/>
      </w:pPr>
      <w:rPr>
        <w:rFonts w:ascii="Courier New" w:hAnsi="Courier New" w:cs="Arial" w:hint="default"/>
      </w:rPr>
    </w:lvl>
    <w:lvl w:ilvl="2" w:tplc="4DB21DA8" w:tentative="1">
      <w:start w:val="1"/>
      <w:numFmt w:val="bullet"/>
      <w:lvlText w:val=""/>
      <w:lvlJc w:val="left"/>
      <w:pPr>
        <w:tabs>
          <w:tab w:val="num" w:pos="2160"/>
        </w:tabs>
        <w:ind w:left="2160" w:hanging="360"/>
      </w:pPr>
      <w:rPr>
        <w:rFonts w:ascii="Wingdings" w:hAnsi="Wingdings" w:hint="default"/>
      </w:rPr>
    </w:lvl>
    <w:lvl w:ilvl="3" w:tplc="08920342" w:tentative="1">
      <w:start w:val="1"/>
      <w:numFmt w:val="bullet"/>
      <w:lvlText w:val=""/>
      <w:lvlJc w:val="left"/>
      <w:pPr>
        <w:tabs>
          <w:tab w:val="num" w:pos="2880"/>
        </w:tabs>
        <w:ind w:left="2880" w:hanging="360"/>
      </w:pPr>
      <w:rPr>
        <w:rFonts w:ascii="Symbol" w:hAnsi="Symbol" w:hint="default"/>
      </w:rPr>
    </w:lvl>
    <w:lvl w:ilvl="4" w:tplc="3C6095A0" w:tentative="1">
      <w:start w:val="1"/>
      <w:numFmt w:val="bullet"/>
      <w:lvlText w:val="o"/>
      <w:lvlJc w:val="left"/>
      <w:pPr>
        <w:tabs>
          <w:tab w:val="num" w:pos="3600"/>
        </w:tabs>
        <w:ind w:left="3600" w:hanging="360"/>
      </w:pPr>
      <w:rPr>
        <w:rFonts w:ascii="Courier New" w:hAnsi="Courier New" w:cs="Arial" w:hint="default"/>
      </w:rPr>
    </w:lvl>
    <w:lvl w:ilvl="5" w:tplc="892AA65E" w:tentative="1">
      <w:start w:val="1"/>
      <w:numFmt w:val="bullet"/>
      <w:lvlText w:val=""/>
      <w:lvlJc w:val="left"/>
      <w:pPr>
        <w:tabs>
          <w:tab w:val="num" w:pos="4320"/>
        </w:tabs>
        <w:ind w:left="4320" w:hanging="360"/>
      </w:pPr>
      <w:rPr>
        <w:rFonts w:ascii="Wingdings" w:hAnsi="Wingdings" w:hint="default"/>
      </w:rPr>
    </w:lvl>
    <w:lvl w:ilvl="6" w:tplc="04D488BA" w:tentative="1">
      <w:start w:val="1"/>
      <w:numFmt w:val="bullet"/>
      <w:lvlText w:val=""/>
      <w:lvlJc w:val="left"/>
      <w:pPr>
        <w:tabs>
          <w:tab w:val="num" w:pos="5040"/>
        </w:tabs>
        <w:ind w:left="5040" w:hanging="360"/>
      </w:pPr>
      <w:rPr>
        <w:rFonts w:ascii="Symbol" w:hAnsi="Symbol" w:hint="default"/>
      </w:rPr>
    </w:lvl>
    <w:lvl w:ilvl="7" w:tplc="CB0AF5FA" w:tentative="1">
      <w:start w:val="1"/>
      <w:numFmt w:val="bullet"/>
      <w:lvlText w:val="o"/>
      <w:lvlJc w:val="left"/>
      <w:pPr>
        <w:tabs>
          <w:tab w:val="num" w:pos="5760"/>
        </w:tabs>
        <w:ind w:left="5760" w:hanging="360"/>
      </w:pPr>
      <w:rPr>
        <w:rFonts w:ascii="Courier New" w:hAnsi="Courier New" w:cs="Arial" w:hint="default"/>
      </w:rPr>
    </w:lvl>
    <w:lvl w:ilvl="8" w:tplc="FBAEFC7E" w:tentative="1">
      <w:start w:val="1"/>
      <w:numFmt w:val="bullet"/>
      <w:lvlText w:val=""/>
      <w:lvlJc w:val="left"/>
      <w:pPr>
        <w:tabs>
          <w:tab w:val="num" w:pos="6480"/>
        </w:tabs>
        <w:ind w:left="6480" w:hanging="360"/>
      </w:pPr>
      <w:rPr>
        <w:rFonts w:ascii="Wingdings" w:hAnsi="Wingdings" w:hint="default"/>
      </w:rPr>
    </w:lvl>
  </w:abstractNum>
  <w:abstractNum w:abstractNumId="17">
    <w:nsid w:val="7F0406EE"/>
    <w:multiLevelType w:val="hybridMultilevel"/>
    <w:tmpl w:val="749E4CE6"/>
    <w:lvl w:ilvl="0" w:tplc="2BB0582A">
      <w:start w:val="1"/>
      <w:numFmt w:val="bullet"/>
      <w:lvlText w:val=""/>
      <w:lvlJc w:val="left"/>
      <w:pPr>
        <w:tabs>
          <w:tab w:val="num" w:pos="1440"/>
        </w:tabs>
        <w:ind w:left="1440" w:hanging="360"/>
      </w:pPr>
      <w:rPr>
        <w:rFonts w:ascii="Wingdings" w:hAnsi="Wingdings" w:hint="default"/>
      </w:rPr>
    </w:lvl>
    <w:lvl w:ilvl="1" w:tplc="A18AA50C">
      <w:start w:val="1"/>
      <w:numFmt w:val="decimal"/>
      <w:lvlText w:val="(%2)"/>
      <w:lvlJc w:val="left"/>
      <w:pPr>
        <w:tabs>
          <w:tab w:val="num" w:pos="2160"/>
        </w:tabs>
        <w:ind w:left="2160" w:hanging="360"/>
      </w:pPr>
      <w:rPr>
        <w:rFonts w:hint="default"/>
      </w:rPr>
    </w:lvl>
    <w:lvl w:ilvl="2" w:tplc="4D181140">
      <w:start w:val="1"/>
      <w:numFmt w:val="lowerRoman"/>
      <w:lvlText w:val="%3."/>
      <w:lvlJc w:val="right"/>
      <w:pPr>
        <w:tabs>
          <w:tab w:val="num" w:pos="2880"/>
        </w:tabs>
        <w:ind w:left="2880" w:hanging="180"/>
      </w:pPr>
    </w:lvl>
    <w:lvl w:ilvl="3" w:tplc="0CE621DE">
      <w:numFmt w:val="bullet"/>
      <w:lvlText w:val="-"/>
      <w:lvlJc w:val="left"/>
      <w:pPr>
        <w:tabs>
          <w:tab w:val="num" w:pos="1440"/>
        </w:tabs>
        <w:ind w:left="1440" w:hanging="360"/>
      </w:pPr>
      <w:rPr>
        <w:rFonts w:ascii="Times New Roman" w:eastAsia="Times New Roman" w:hAnsi="Times New Roman" w:cs="Times New Roman" w:hint="default"/>
      </w:rPr>
    </w:lvl>
    <w:lvl w:ilvl="4" w:tplc="BF1C49B4">
      <w:start w:val="1"/>
      <w:numFmt w:val="lowerLetter"/>
      <w:lvlText w:val="%5."/>
      <w:lvlJc w:val="left"/>
      <w:pPr>
        <w:tabs>
          <w:tab w:val="num" w:pos="4320"/>
        </w:tabs>
        <w:ind w:left="4320" w:hanging="360"/>
      </w:pPr>
    </w:lvl>
    <w:lvl w:ilvl="5" w:tplc="E68C0832" w:tentative="1">
      <w:start w:val="1"/>
      <w:numFmt w:val="lowerRoman"/>
      <w:lvlText w:val="%6."/>
      <w:lvlJc w:val="right"/>
      <w:pPr>
        <w:tabs>
          <w:tab w:val="num" w:pos="5040"/>
        </w:tabs>
        <w:ind w:left="5040" w:hanging="180"/>
      </w:pPr>
    </w:lvl>
    <w:lvl w:ilvl="6" w:tplc="BA0E516A" w:tentative="1">
      <w:start w:val="1"/>
      <w:numFmt w:val="decimal"/>
      <w:lvlText w:val="%7."/>
      <w:lvlJc w:val="left"/>
      <w:pPr>
        <w:tabs>
          <w:tab w:val="num" w:pos="5760"/>
        </w:tabs>
        <w:ind w:left="5760" w:hanging="360"/>
      </w:pPr>
    </w:lvl>
    <w:lvl w:ilvl="7" w:tplc="A1D86C16" w:tentative="1">
      <w:start w:val="1"/>
      <w:numFmt w:val="lowerLetter"/>
      <w:lvlText w:val="%8."/>
      <w:lvlJc w:val="left"/>
      <w:pPr>
        <w:tabs>
          <w:tab w:val="num" w:pos="6480"/>
        </w:tabs>
        <w:ind w:left="6480" w:hanging="360"/>
      </w:pPr>
    </w:lvl>
    <w:lvl w:ilvl="8" w:tplc="10EA29C0" w:tentative="1">
      <w:start w:val="1"/>
      <w:numFmt w:val="lowerRoman"/>
      <w:lvlText w:val="%9."/>
      <w:lvlJc w:val="right"/>
      <w:pPr>
        <w:tabs>
          <w:tab w:val="num" w:pos="7200"/>
        </w:tabs>
        <w:ind w:left="7200" w:hanging="180"/>
      </w:p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4"/>
  </w:num>
  <w:num w:numId="13">
    <w:abstractNumId w:val="13"/>
  </w:num>
  <w:num w:numId="14">
    <w:abstractNumId w:val="5"/>
  </w:num>
  <w:num w:numId="15">
    <w:abstractNumId w:val="7"/>
  </w:num>
  <w:num w:numId="16">
    <w:abstractNumId w:val="1"/>
  </w:num>
  <w:num w:numId="17">
    <w:abstractNumId w:val="17"/>
  </w:num>
  <w:num w:numId="18">
    <w:abstractNumId w:val="16"/>
  </w:num>
  <w:num w:numId="19">
    <w:abstractNumId w:val="1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2"/>
  </w:num>
  <w:num w:numId="24">
    <w:abstractNumId w:val="1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F"/>
    <w:rsid w:val="00000EEC"/>
    <w:rsid w:val="00002123"/>
    <w:rsid w:val="00007A1D"/>
    <w:rsid w:val="000102D6"/>
    <w:rsid w:val="00011078"/>
    <w:rsid w:val="00012213"/>
    <w:rsid w:val="00013333"/>
    <w:rsid w:val="00016BCE"/>
    <w:rsid w:val="000215DD"/>
    <w:rsid w:val="00037AB3"/>
    <w:rsid w:val="000408CA"/>
    <w:rsid w:val="00043239"/>
    <w:rsid w:val="000511ED"/>
    <w:rsid w:val="000548CF"/>
    <w:rsid w:val="000566A1"/>
    <w:rsid w:val="00061856"/>
    <w:rsid w:val="00072ED7"/>
    <w:rsid w:val="00074A3E"/>
    <w:rsid w:val="0008081B"/>
    <w:rsid w:val="000A19BD"/>
    <w:rsid w:val="000A7CAF"/>
    <w:rsid w:val="000B07AB"/>
    <w:rsid w:val="000B2F3C"/>
    <w:rsid w:val="000B30C0"/>
    <w:rsid w:val="000B4E24"/>
    <w:rsid w:val="000C22D5"/>
    <w:rsid w:val="000C28F6"/>
    <w:rsid w:val="000C34E2"/>
    <w:rsid w:val="000C5318"/>
    <w:rsid w:val="000C5449"/>
    <w:rsid w:val="000C62C0"/>
    <w:rsid w:val="000D44A1"/>
    <w:rsid w:val="000D5F08"/>
    <w:rsid w:val="000D74E1"/>
    <w:rsid w:val="000E040C"/>
    <w:rsid w:val="000E4842"/>
    <w:rsid w:val="000E7B1A"/>
    <w:rsid w:val="000E7F09"/>
    <w:rsid w:val="000F1C56"/>
    <w:rsid w:val="000F3025"/>
    <w:rsid w:val="00102045"/>
    <w:rsid w:val="001026BB"/>
    <w:rsid w:val="001035A5"/>
    <w:rsid w:val="001079BF"/>
    <w:rsid w:val="0011729E"/>
    <w:rsid w:val="00123793"/>
    <w:rsid w:val="00125EF0"/>
    <w:rsid w:val="001346D2"/>
    <w:rsid w:val="001371BE"/>
    <w:rsid w:val="0014119C"/>
    <w:rsid w:val="00141464"/>
    <w:rsid w:val="0015221B"/>
    <w:rsid w:val="00153F20"/>
    <w:rsid w:val="00163F3E"/>
    <w:rsid w:val="00164A8F"/>
    <w:rsid w:val="00171A64"/>
    <w:rsid w:val="00175914"/>
    <w:rsid w:val="001822A8"/>
    <w:rsid w:val="001829C6"/>
    <w:rsid w:val="00182C2A"/>
    <w:rsid w:val="0018633C"/>
    <w:rsid w:val="00190F59"/>
    <w:rsid w:val="001969CC"/>
    <w:rsid w:val="001A71BF"/>
    <w:rsid w:val="001B169B"/>
    <w:rsid w:val="001B2CFB"/>
    <w:rsid w:val="001B50D1"/>
    <w:rsid w:val="001C13D2"/>
    <w:rsid w:val="001C1B3A"/>
    <w:rsid w:val="001C411E"/>
    <w:rsid w:val="001C58D0"/>
    <w:rsid w:val="001C6ABE"/>
    <w:rsid w:val="001C7053"/>
    <w:rsid w:val="001C764F"/>
    <w:rsid w:val="001C7CD0"/>
    <w:rsid w:val="001D04D2"/>
    <w:rsid w:val="001D5B96"/>
    <w:rsid w:val="001D7CF4"/>
    <w:rsid w:val="001E1B65"/>
    <w:rsid w:val="001E206A"/>
    <w:rsid w:val="001E2E02"/>
    <w:rsid w:val="001E6513"/>
    <w:rsid w:val="001F0209"/>
    <w:rsid w:val="001F1D64"/>
    <w:rsid w:val="001F4B12"/>
    <w:rsid w:val="001F7917"/>
    <w:rsid w:val="0020130C"/>
    <w:rsid w:val="0021255E"/>
    <w:rsid w:val="0021628B"/>
    <w:rsid w:val="00221298"/>
    <w:rsid w:val="0022381A"/>
    <w:rsid w:val="002243D2"/>
    <w:rsid w:val="00231A2E"/>
    <w:rsid w:val="0023390E"/>
    <w:rsid w:val="0023515C"/>
    <w:rsid w:val="00240925"/>
    <w:rsid w:val="00241C2A"/>
    <w:rsid w:val="0025274A"/>
    <w:rsid w:val="00253F7D"/>
    <w:rsid w:val="00257C5C"/>
    <w:rsid w:val="00260F21"/>
    <w:rsid w:val="0026235A"/>
    <w:rsid w:val="0026406D"/>
    <w:rsid w:val="00267698"/>
    <w:rsid w:val="00270CAC"/>
    <w:rsid w:val="00271B44"/>
    <w:rsid w:val="00274C9E"/>
    <w:rsid w:val="00275944"/>
    <w:rsid w:val="00284411"/>
    <w:rsid w:val="00291EF7"/>
    <w:rsid w:val="002A07E8"/>
    <w:rsid w:val="002A4082"/>
    <w:rsid w:val="002A45B8"/>
    <w:rsid w:val="002A6D08"/>
    <w:rsid w:val="002B2919"/>
    <w:rsid w:val="002B3BE2"/>
    <w:rsid w:val="002C189C"/>
    <w:rsid w:val="002C5B01"/>
    <w:rsid w:val="002D1918"/>
    <w:rsid w:val="002D79A9"/>
    <w:rsid w:val="002E04B7"/>
    <w:rsid w:val="002E08FF"/>
    <w:rsid w:val="002E2961"/>
    <w:rsid w:val="002F39D6"/>
    <w:rsid w:val="002F593C"/>
    <w:rsid w:val="003001D0"/>
    <w:rsid w:val="00302951"/>
    <w:rsid w:val="00306A5D"/>
    <w:rsid w:val="00312C0A"/>
    <w:rsid w:val="00313B14"/>
    <w:rsid w:val="00315338"/>
    <w:rsid w:val="0031614B"/>
    <w:rsid w:val="00317433"/>
    <w:rsid w:val="00327133"/>
    <w:rsid w:val="00327688"/>
    <w:rsid w:val="003374A0"/>
    <w:rsid w:val="003413A5"/>
    <w:rsid w:val="00344362"/>
    <w:rsid w:val="003447F6"/>
    <w:rsid w:val="003513AB"/>
    <w:rsid w:val="00355A04"/>
    <w:rsid w:val="00357D1F"/>
    <w:rsid w:val="00360039"/>
    <w:rsid w:val="00360A1F"/>
    <w:rsid w:val="0036526C"/>
    <w:rsid w:val="00367E7C"/>
    <w:rsid w:val="003754A4"/>
    <w:rsid w:val="00377E9E"/>
    <w:rsid w:val="00383500"/>
    <w:rsid w:val="003A0F7E"/>
    <w:rsid w:val="003A12BF"/>
    <w:rsid w:val="003A3ABF"/>
    <w:rsid w:val="003B674F"/>
    <w:rsid w:val="003B7FD7"/>
    <w:rsid w:val="003C4AFE"/>
    <w:rsid w:val="003C5725"/>
    <w:rsid w:val="003C6D63"/>
    <w:rsid w:val="003D2DBC"/>
    <w:rsid w:val="003D30D5"/>
    <w:rsid w:val="003D5244"/>
    <w:rsid w:val="003D5376"/>
    <w:rsid w:val="003E1DBF"/>
    <w:rsid w:val="004037D7"/>
    <w:rsid w:val="00407157"/>
    <w:rsid w:val="004103A0"/>
    <w:rsid w:val="00410DBC"/>
    <w:rsid w:val="00412981"/>
    <w:rsid w:val="00420F88"/>
    <w:rsid w:val="004224D8"/>
    <w:rsid w:val="00425574"/>
    <w:rsid w:val="0042737F"/>
    <w:rsid w:val="00432590"/>
    <w:rsid w:val="004327A3"/>
    <w:rsid w:val="00434605"/>
    <w:rsid w:val="00435366"/>
    <w:rsid w:val="004462E9"/>
    <w:rsid w:val="00453018"/>
    <w:rsid w:val="00454FF7"/>
    <w:rsid w:val="004552BB"/>
    <w:rsid w:val="0046463B"/>
    <w:rsid w:val="004706C3"/>
    <w:rsid w:val="00476FC7"/>
    <w:rsid w:val="00477EF6"/>
    <w:rsid w:val="004834EB"/>
    <w:rsid w:val="00485DE9"/>
    <w:rsid w:val="0049007F"/>
    <w:rsid w:val="00492B4D"/>
    <w:rsid w:val="004A11AA"/>
    <w:rsid w:val="004A5843"/>
    <w:rsid w:val="004A7B12"/>
    <w:rsid w:val="004B6A10"/>
    <w:rsid w:val="004C1E38"/>
    <w:rsid w:val="004C42AC"/>
    <w:rsid w:val="004C4FF7"/>
    <w:rsid w:val="004D1CC1"/>
    <w:rsid w:val="004D38DC"/>
    <w:rsid w:val="004D546E"/>
    <w:rsid w:val="004D66AE"/>
    <w:rsid w:val="004E27EE"/>
    <w:rsid w:val="004E2DB5"/>
    <w:rsid w:val="004E45E9"/>
    <w:rsid w:val="004F3C4B"/>
    <w:rsid w:val="004F60B6"/>
    <w:rsid w:val="00501434"/>
    <w:rsid w:val="005022D5"/>
    <w:rsid w:val="005058DF"/>
    <w:rsid w:val="00510BC8"/>
    <w:rsid w:val="005130D4"/>
    <w:rsid w:val="00514046"/>
    <w:rsid w:val="00514EC1"/>
    <w:rsid w:val="00526B4A"/>
    <w:rsid w:val="00530FCF"/>
    <w:rsid w:val="0053155C"/>
    <w:rsid w:val="00532DC9"/>
    <w:rsid w:val="005358D1"/>
    <w:rsid w:val="00541924"/>
    <w:rsid w:val="00543E41"/>
    <w:rsid w:val="00546756"/>
    <w:rsid w:val="0054706E"/>
    <w:rsid w:val="00561A37"/>
    <w:rsid w:val="00563215"/>
    <w:rsid w:val="00563ED7"/>
    <w:rsid w:val="0057106C"/>
    <w:rsid w:val="0057346C"/>
    <w:rsid w:val="00576784"/>
    <w:rsid w:val="00580755"/>
    <w:rsid w:val="00586316"/>
    <w:rsid w:val="0059088C"/>
    <w:rsid w:val="00593D20"/>
    <w:rsid w:val="005959A1"/>
    <w:rsid w:val="00597953"/>
    <w:rsid w:val="00597AB2"/>
    <w:rsid w:val="005A1AC0"/>
    <w:rsid w:val="005A1B35"/>
    <w:rsid w:val="005A2A51"/>
    <w:rsid w:val="005A4E65"/>
    <w:rsid w:val="005A524E"/>
    <w:rsid w:val="005B2F12"/>
    <w:rsid w:val="005C16D2"/>
    <w:rsid w:val="005C76D1"/>
    <w:rsid w:val="005C79EA"/>
    <w:rsid w:val="005E6530"/>
    <w:rsid w:val="005E76AF"/>
    <w:rsid w:val="005F1C04"/>
    <w:rsid w:val="005F674A"/>
    <w:rsid w:val="00600E6B"/>
    <w:rsid w:val="00602852"/>
    <w:rsid w:val="0060374A"/>
    <w:rsid w:val="00604E1E"/>
    <w:rsid w:val="00605571"/>
    <w:rsid w:val="00607A0D"/>
    <w:rsid w:val="00610FE8"/>
    <w:rsid w:val="00611687"/>
    <w:rsid w:val="006127BE"/>
    <w:rsid w:val="00614DBB"/>
    <w:rsid w:val="00616494"/>
    <w:rsid w:val="00617526"/>
    <w:rsid w:val="00621B61"/>
    <w:rsid w:val="00622A70"/>
    <w:rsid w:val="00625652"/>
    <w:rsid w:val="0063239B"/>
    <w:rsid w:val="0063471B"/>
    <w:rsid w:val="006358E8"/>
    <w:rsid w:val="006461E2"/>
    <w:rsid w:val="0065163D"/>
    <w:rsid w:val="0065186D"/>
    <w:rsid w:val="00652A43"/>
    <w:rsid w:val="0065417E"/>
    <w:rsid w:val="00655E4A"/>
    <w:rsid w:val="006578BB"/>
    <w:rsid w:val="00657974"/>
    <w:rsid w:val="0066063D"/>
    <w:rsid w:val="00663248"/>
    <w:rsid w:val="00665B8F"/>
    <w:rsid w:val="00685ED0"/>
    <w:rsid w:val="00686D7C"/>
    <w:rsid w:val="00697EB8"/>
    <w:rsid w:val="006B19FD"/>
    <w:rsid w:val="006B4599"/>
    <w:rsid w:val="006B4F8B"/>
    <w:rsid w:val="006B6C7B"/>
    <w:rsid w:val="006C3868"/>
    <w:rsid w:val="006D0CC1"/>
    <w:rsid w:val="006D0F05"/>
    <w:rsid w:val="006D1CF0"/>
    <w:rsid w:val="006D4F5B"/>
    <w:rsid w:val="006D5652"/>
    <w:rsid w:val="006E0FAF"/>
    <w:rsid w:val="006E2F97"/>
    <w:rsid w:val="006E5D14"/>
    <w:rsid w:val="006F0001"/>
    <w:rsid w:val="006F2315"/>
    <w:rsid w:val="006F5A3B"/>
    <w:rsid w:val="007003CB"/>
    <w:rsid w:val="00701CDA"/>
    <w:rsid w:val="00702F67"/>
    <w:rsid w:val="00703D5F"/>
    <w:rsid w:val="0070474F"/>
    <w:rsid w:val="0070476B"/>
    <w:rsid w:val="0070505F"/>
    <w:rsid w:val="00705F25"/>
    <w:rsid w:val="00710FFB"/>
    <w:rsid w:val="007200CA"/>
    <w:rsid w:val="007226DC"/>
    <w:rsid w:val="007241AE"/>
    <w:rsid w:val="007246F9"/>
    <w:rsid w:val="0074215D"/>
    <w:rsid w:val="00745AFD"/>
    <w:rsid w:val="0075709F"/>
    <w:rsid w:val="007658CC"/>
    <w:rsid w:val="00767D16"/>
    <w:rsid w:val="00780EB0"/>
    <w:rsid w:val="00785754"/>
    <w:rsid w:val="00785A74"/>
    <w:rsid w:val="00787698"/>
    <w:rsid w:val="00792F0A"/>
    <w:rsid w:val="0079325D"/>
    <w:rsid w:val="007A3A56"/>
    <w:rsid w:val="007B145F"/>
    <w:rsid w:val="007C2D0C"/>
    <w:rsid w:val="007D2EB0"/>
    <w:rsid w:val="007D33EF"/>
    <w:rsid w:val="007E07AC"/>
    <w:rsid w:val="007E196D"/>
    <w:rsid w:val="007E345B"/>
    <w:rsid w:val="007E4F99"/>
    <w:rsid w:val="007E77E8"/>
    <w:rsid w:val="007E7FA7"/>
    <w:rsid w:val="007F7BB6"/>
    <w:rsid w:val="00803FFD"/>
    <w:rsid w:val="00822BAE"/>
    <w:rsid w:val="0082711F"/>
    <w:rsid w:val="00827923"/>
    <w:rsid w:val="00832EEB"/>
    <w:rsid w:val="00835322"/>
    <w:rsid w:val="00836534"/>
    <w:rsid w:val="00840930"/>
    <w:rsid w:val="00841621"/>
    <w:rsid w:val="0086040B"/>
    <w:rsid w:val="008626BC"/>
    <w:rsid w:val="00872B0B"/>
    <w:rsid w:val="00884EF7"/>
    <w:rsid w:val="00886D35"/>
    <w:rsid w:val="00892788"/>
    <w:rsid w:val="00893AA3"/>
    <w:rsid w:val="00895D77"/>
    <w:rsid w:val="00897787"/>
    <w:rsid w:val="008B0150"/>
    <w:rsid w:val="008B0F33"/>
    <w:rsid w:val="008B20AC"/>
    <w:rsid w:val="008B4CC7"/>
    <w:rsid w:val="008C0F7A"/>
    <w:rsid w:val="008C0F8C"/>
    <w:rsid w:val="008C7002"/>
    <w:rsid w:val="008D1C27"/>
    <w:rsid w:val="008D4DE9"/>
    <w:rsid w:val="008D4F2D"/>
    <w:rsid w:val="008D4FA2"/>
    <w:rsid w:val="008D6AD2"/>
    <w:rsid w:val="008E086B"/>
    <w:rsid w:val="008E1425"/>
    <w:rsid w:val="008E1CD6"/>
    <w:rsid w:val="008E3CEC"/>
    <w:rsid w:val="008E4844"/>
    <w:rsid w:val="008F07AA"/>
    <w:rsid w:val="008F22FC"/>
    <w:rsid w:val="00900385"/>
    <w:rsid w:val="009042D1"/>
    <w:rsid w:val="00910C6C"/>
    <w:rsid w:val="009112BC"/>
    <w:rsid w:val="009114DA"/>
    <w:rsid w:val="00920F1A"/>
    <w:rsid w:val="00923716"/>
    <w:rsid w:val="0092676F"/>
    <w:rsid w:val="00930866"/>
    <w:rsid w:val="00930944"/>
    <w:rsid w:val="00940034"/>
    <w:rsid w:val="009457B7"/>
    <w:rsid w:val="00946698"/>
    <w:rsid w:val="009473C8"/>
    <w:rsid w:val="0095296E"/>
    <w:rsid w:val="00953355"/>
    <w:rsid w:val="0095382E"/>
    <w:rsid w:val="00956D5B"/>
    <w:rsid w:val="00964B69"/>
    <w:rsid w:val="00965A46"/>
    <w:rsid w:val="009713B3"/>
    <w:rsid w:val="00974FAA"/>
    <w:rsid w:val="00983259"/>
    <w:rsid w:val="009905AE"/>
    <w:rsid w:val="00990824"/>
    <w:rsid w:val="00992306"/>
    <w:rsid w:val="00996B21"/>
    <w:rsid w:val="009A1E94"/>
    <w:rsid w:val="009A27A2"/>
    <w:rsid w:val="009A3585"/>
    <w:rsid w:val="009A4C43"/>
    <w:rsid w:val="009A5624"/>
    <w:rsid w:val="009B3F1A"/>
    <w:rsid w:val="009C79C4"/>
    <w:rsid w:val="009C7A05"/>
    <w:rsid w:val="009D122F"/>
    <w:rsid w:val="009D7D5C"/>
    <w:rsid w:val="009E4222"/>
    <w:rsid w:val="009E4A56"/>
    <w:rsid w:val="009E6304"/>
    <w:rsid w:val="009E7750"/>
    <w:rsid w:val="009F0E72"/>
    <w:rsid w:val="009F1D40"/>
    <w:rsid w:val="009F38EE"/>
    <w:rsid w:val="00A0421A"/>
    <w:rsid w:val="00A05D9F"/>
    <w:rsid w:val="00A061C2"/>
    <w:rsid w:val="00A07E07"/>
    <w:rsid w:val="00A10D4C"/>
    <w:rsid w:val="00A12B43"/>
    <w:rsid w:val="00A17D83"/>
    <w:rsid w:val="00A241D4"/>
    <w:rsid w:val="00A27B85"/>
    <w:rsid w:val="00A303B3"/>
    <w:rsid w:val="00A30E01"/>
    <w:rsid w:val="00A36304"/>
    <w:rsid w:val="00A50F6C"/>
    <w:rsid w:val="00A5365F"/>
    <w:rsid w:val="00A570E2"/>
    <w:rsid w:val="00A60685"/>
    <w:rsid w:val="00A66C0F"/>
    <w:rsid w:val="00A70CFB"/>
    <w:rsid w:val="00A74860"/>
    <w:rsid w:val="00A81B85"/>
    <w:rsid w:val="00A836A3"/>
    <w:rsid w:val="00A851FA"/>
    <w:rsid w:val="00A869DF"/>
    <w:rsid w:val="00A86A39"/>
    <w:rsid w:val="00A8794B"/>
    <w:rsid w:val="00A87E2B"/>
    <w:rsid w:val="00A92A60"/>
    <w:rsid w:val="00A93BD0"/>
    <w:rsid w:val="00A976DC"/>
    <w:rsid w:val="00AA067D"/>
    <w:rsid w:val="00AA3E73"/>
    <w:rsid w:val="00AB36FC"/>
    <w:rsid w:val="00AC2A7F"/>
    <w:rsid w:val="00AC69E3"/>
    <w:rsid w:val="00AD327E"/>
    <w:rsid w:val="00AD540A"/>
    <w:rsid w:val="00AD647E"/>
    <w:rsid w:val="00AE0390"/>
    <w:rsid w:val="00AF6EA5"/>
    <w:rsid w:val="00AF7A29"/>
    <w:rsid w:val="00B00CD0"/>
    <w:rsid w:val="00B0128C"/>
    <w:rsid w:val="00B06BE5"/>
    <w:rsid w:val="00B07F8A"/>
    <w:rsid w:val="00B10806"/>
    <w:rsid w:val="00B10C73"/>
    <w:rsid w:val="00B17978"/>
    <w:rsid w:val="00B2093F"/>
    <w:rsid w:val="00B20D27"/>
    <w:rsid w:val="00B22B98"/>
    <w:rsid w:val="00B248DD"/>
    <w:rsid w:val="00B24D8F"/>
    <w:rsid w:val="00B261D1"/>
    <w:rsid w:val="00B32C86"/>
    <w:rsid w:val="00B45B19"/>
    <w:rsid w:val="00B501D7"/>
    <w:rsid w:val="00B51935"/>
    <w:rsid w:val="00B523F8"/>
    <w:rsid w:val="00B53096"/>
    <w:rsid w:val="00B5410F"/>
    <w:rsid w:val="00B62AC5"/>
    <w:rsid w:val="00B64732"/>
    <w:rsid w:val="00B64A88"/>
    <w:rsid w:val="00B64A94"/>
    <w:rsid w:val="00B669D3"/>
    <w:rsid w:val="00B67967"/>
    <w:rsid w:val="00B67AD9"/>
    <w:rsid w:val="00B779D1"/>
    <w:rsid w:val="00B80F44"/>
    <w:rsid w:val="00B825C1"/>
    <w:rsid w:val="00B84BA1"/>
    <w:rsid w:val="00B92D97"/>
    <w:rsid w:val="00B960FE"/>
    <w:rsid w:val="00BA0CF7"/>
    <w:rsid w:val="00BA1787"/>
    <w:rsid w:val="00BA1F09"/>
    <w:rsid w:val="00BA7049"/>
    <w:rsid w:val="00BB1304"/>
    <w:rsid w:val="00BB2329"/>
    <w:rsid w:val="00BB3C77"/>
    <w:rsid w:val="00BB625D"/>
    <w:rsid w:val="00BC1509"/>
    <w:rsid w:val="00BC73BA"/>
    <w:rsid w:val="00BC7B4D"/>
    <w:rsid w:val="00BD20E6"/>
    <w:rsid w:val="00BD3E52"/>
    <w:rsid w:val="00BD68F9"/>
    <w:rsid w:val="00BE6CCD"/>
    <w:rsid w:val="00BE7DCE"/>
    <w:rsid w:val="00BF1AB1"/>
    <w:rsid w:val="00BF67F9"/>
    <w:rsid w:val="00C01CA8"/>
    <w:rsid w:val="00C0345F"/>
    <w:rsid w:val="00C03781"/>
    <w:rsid w:val="00C03A32"/>
    <w:rsid w:val="00C0420C"/>
    <w:rsid w:val="00C0549B"/>
    <w:rsid w:val="00C075AF"/>
    <w:rsid w:val="00C12F9A"/>
    <w:rsid w:val="00C16C9B"/>
    <w:rsid w:val="00C20C8B"/>
    <w:rsid w:val="00C22826"/>
    <w:rsid w:val="00C24B0E"/>
    <w:rsid w:val="00C2656D"/>
    <w:rsid w:val="00C308A8"/>
    <w:rsid w:val="00C3566C"/>
    <w:rsid w:val="00C36C0B"/>
    <w:rsid w:val="00C37416"/>
    <w:rsid w:val="00C37C36"/>
    <w:rsid w:val="00C40128"/>
    <w:rsid w:val="00C41251"/>
    <w:rsid w:val="00C467C4"/>
    <w:rsid w:val="00C55E27"/>
    <w:rsid w:val="00C560DB"/>
    <w:rsid w:val="00C61EC0"/>
    <w:rsid w:val="00C62821"/>
    <w:rsid w:val="00C663B0"/>
    <w:rsid w:val="00C761E4"/>
    <w:rsid w:val="00C80C40"/>
    <w:rsid w:val="00C859E1"/>
    <w:rsid w:val="00C912D1"/>
    <w:rsid w:val="00C95855"/>
    <w:rsid w:val="00C95A17"/>
    <w:rsid w:val="00CA044F"/>
    <w:rsid w:val="00CA59FB"/>
    <w:rsid w:val="00CA787F"/>
    <w:rsid w:val="00CA7AE1"/>
    <w:rsid w:val="00CC0A6F"/>
    <w:rsid w:val="00CC4B8A"/>
    <w:rsid w:val="00CC4D41"/>
    <w:rsid w:val="00CD1B16"/>
    <w:rsid w:val="00CD26FC"/>
    <w:rsid w:val="00CD54A3"/>
    <w:rsid w:val="00CD615B"/>
    <w:rsid w:val="00CE10C1"/>
    <w:rsid w:val="00CE16E1"/>
    <w:rsid w:val="00CF0DD7"/>
    <w:rsid w:val="00CF149F"/>
    <w:rsid w:val="00CF76AF"/>
    <w:rsid w:val="00D020DF"/>
    <w:rsid w:val="00D110BE"/>
    <w:rsid w:val="00D118B5"/>
    <w:rsid w:val="00D1256F"/>
    <w:rsid w:val="00D12CEA"/>
    <w:rsid w:val="00D270C7"/>
    <w:rsid w:val="00D32AFB"/>
    <w:rsid w:val="00D330A3"/>
    <w:rsid w:val="00D44A9D"/>
    <w:rsid w:val="00D514B5"/>
    <w:rsid w:val="00D540B9"/>
    <w:rsid w:val="00D6256A"/>
    <w:rsid w:val="00D63588"/>
    <w:rsid w:val="00D674EA"/>
    <w:rsid w:val="00D76C0C"/>
    <w:rsid w:val="00D906A3"/>
    <w:rsid w:val="00D91D59"/>
    <w:rsid w:val="00D94A03"/>
    <w:rsid w:val="00D95A1C"/>
    <w:rsid w:val="00D97A34"/>
    <w:rsid w:val="00DA5B7C"/>
    <w:rsid w:val="00DA6C84"/>
    <w:rsid w:val="00DB66D8"/>
    <w:rsid w:val="00DB7596"/>
    <w:rsid w:val="00DC173A"/>
    <w:rsid w:val="00DC5670"/>
    <w:rsid w:val="00DC6574"/>
    <w:rsid w:val="00DD31CB"/>
    <w:rsid w:val="00DE522D"/>
    <w:rsid w:val="00DF4187"/>
    <w:rsid w:val="00DF4EFB"/>
    <w:rsid w:val="00E06CD6"/>
    <w:rsid w:val="00E111F9"/>
    <w:rsid w:val="00E1602A"/>
    <w:rsid w:val="00E21392"/>
    <w:rsid w:val="00E26529"/>
    <w:rsid w:val="00E2779D"/>
    <w:rsid w:val="00E33BED"/>
    <w:rsid w:val="00E37F75"/>
    <w:rsid w:val="00E40C52"/>
    <w:rsid w:val="00E42616"/>
    <w:rsid w:val="00E43485"/>
    <w:rsid w:val="00E44078"/>
    <w:rsid w:val="00E45F68"/>
    <w:rsid w:val="00E4779E"/>
    <w:rsid w:val="00E507C5"/>
    <w:rsid w:val="00E5125F"/>
    <w:rsid w:val="00E530F2"/>
    <w:rsid w:val="00E5489C"/>
    <w:rsid w:val="00E60335"/>
    <w:rsid w:val="00E61EC6"/>
    <w:rsid w:val="00E632AC"/>
    <w:rsid w:val="00E67B58"/>
    <w:rsid w:val="00E7167B"/>
    <w:rsid w:val="00E73B04"/>
    <w:rsid w:val="00E90373"/>
    <w:rsid w:val="00E915B0"/>
    <w:rsid w:val="00E95829"/>
    <w:rsid w:val="00E96330"/>
    <w:rsid w:val="00E97155"/>
    <w:rsid w:val="00EA1657"/>
    <w:rsid w:val="00EA1FAF"/>
    <w:rsid w:val="00EB0828"/>
    <w:rsid w:val="00EB1136"/>
    <w:rsid w:val="00EB21F4"/>
    <w:rsid w:val="00EB5E8A"/>
    <w:rsid w:val="00EB6F35"/>
    <w:rsid w:val="00EC4AEE"/>
    <w:rsid w:val="00EC6BF1"/>
    <w:rsid w:val="00EC7E1A"/>
    <w:rsid w:val="00ED10E7"/>
    <w:rsid w:val="00ED1654"/>
    <w:rsid w:val="00ED5EE8"/>
    <w:rsid w:val="00EE0EBC"/>
    <w:rsid w:val="00EE0EE3"/>
    <w:rsid w:val="00EE5962"/>
    <w:rsid w:val="00EF2146"/>
    <w:rsid w:val="00EF3F8F"/>
    <w:rsid w:val="00EF4F44"/>
    <w:rsid w:val="00EF51E0"/>
    <w:rsid w:val="00F013DE"/>
    <w:rsid w:val="00F0194C"/>
    <w:rsid w:val="00F02DF8"/>
    <w:rsid w:val="00F053EF"/>
    <w:rsid w:val="00F07A28"/>
    <w:rsid w:val="00F07F00"/>
    <w:rsid w:val="00F10A3E"/>
    <w:rsid w:val="00F1134F"/>
    <w:rsid w:val="00F1317E"/>
    <w:rsid w:val="00F15D11"/>
    <w:rsid w:val="00F218C6"/>
    <w:rsid w:val="00F21AEB"/>
    <w:rsid w:val="00F2443B"/>
    <w:rsid w:val="00F30794"/>
    <w:rsid w:val="00F318FC"/>
    <w:rsid w:val="00F3574B"/>
    <w:rsid w:val="00F36716"/>
    <w:rsid w:val="00F36E99"/>
    <w:rsid w:val="00F4185D"/>
    <w:rsid w:val="00F443AB"/>
    <w:rsid w:val="00F540D4"/>
    <w:rsid w:val="00F55A62"/>
    <w:rsid w:val="00F63C3A"/>
    <w:rsid w:val="00F644C2"/>
    <w:rsid w:val="00F64944"/>
    <w:rsid w:val="00F66F5E"/>
    <w:rsid w:val="00F673C4"/>
    <w:rsid w:val="00F70BEE"/>
    <w:rsid w:val="00F75E81"/>
    <w:rsid w:val="00F808CC"/>
    <w:rsid w:val="00F83627"/>
    <w:rsid w:val="00F83D30"/>
    <w:rsid w:val="00F86E00"/>
    <w:rsid w:val="00F87B4E"/>
    <w:rsid w:val="00F87E2B"/>
    <w:rsid w:val="00F90471"/>
    <w:rsid w:val="00F911DE"/>
    <w:rsid w:val="00F9199E"/>
    <w:rsid w:val="00F957C4"/>
    <w:rsid w:val="00F979C7"/>
    <w:rsid w:val="00FA0739"/>
    <w:rsid w:val="00FA1820"/>
    <w:rsid w:val="00FA1AC2"/>
    <w:rsid w:val="00FA5F1C"/>
    <w:rsid w:val="00FA6311"/>
    <w:rsid w:val="00FB00F4"/>
    <w:rsid w:val="00FB0639"/>
    <w:rsid w:val="00FB1082"/>
    <w:rsid w:val="00FB22C7"/>
    <w:rsid w:val="00FB6473"/>
    <w:rsid w:val="00FB6570"/>
    <w:rsid w:val="00FC0CCB"/>
    <w:rsid w:val="00FC15A0"/>
    <w:rsid w:val="00FC539E"/>
    <w:rsid w:val="00FC5F7C"/>
    <w:rsid w:val="00FC60A0"/>
    <w:rsid w:val="00FD7319"/>
    <w:rsid w:val="00FE489F"/>
    <w:rsid w:val="00FE69C1"/>
    <w:rsid w:val="00FE704D"/>
    <w:rsid w:val="00FF2140"/>
    <w:rsid w:val="00FF36FB"/>
    <w:rsid w:val="00FF642F"/>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299">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94346395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470366828">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apps.fcc.gov/ec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maps/100pct-overlap-map"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maps/100pct-overlap-ma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cc.gov/wcb/tapd/Challenge_Process/ChallengeProcessGuide7-31-14.docx" TargetMode="External"/><Relationship Id="rId3" Type="http://schemas.openxmlformats.org/officeDocument/2006/relationships/hyperlink" Target="http://www2.ntia.doc.gov/SBDD" TargetMode="External"/><Relationship Id="rId7" Type="http://schemas.openxmlformats.org/officeDocument/2006/relationships/hyperlink" Target="http://data.fcc.gov/download/measuring-broadband-america/2014/2014-Fixed-Measuring-Broadband-America-Report.pdf" TargetMode="External"/><Relationship Id="rId2" Type="http://schemas.openxmlformats.org/officeDocument/2006/relationships/hyperlink" Target="http://www.fcc.gov/encyclopedia/form-477-resources-filers" TargetMode="External"/><Relationship Id="rId1" Type="http://schemas.openxmlformats.org/officeDocument/2006/relationships/hyperlink" Target="http://www.fcc.gov/encyclopedia/study-area-boundary-data-collection" TargetMode="External"/><Relationship Id="rId6" Type="http://schemas.openxmlformats.org/officeDocument/2006/relationships/hyperlink" Target="http://www.fcc.gov/wcb/tapd/Challenge_Process/ChallengeProcessGuide7-31-14.docx" TargetMode="External"/><Relationship Id="rId5" Type="http://schemas.openxmlformats.org/officeDocument/2006/relationships/hyperlink" Target="http://apps.fcc.gov/wcb/sabdata/" TargetMode="External"/><Relationship Id="rId4" Type="http://schemas.openxmlformats.org/officeDocument/2006/relationships/hyperlink" Target="http://apps.fcc.gov/wcb/sab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3725</Words>
  <Characters>20409</Characters>
  <Application>Microsoft Office Word</Application>
  <DocSecurity>0</DocSecurity>
  <Lines>384</Lines>
  <Paragraphs>163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24117</CharactersWithSpaces>
  <SharedDoc>false</SharedDoc>
  <HyperlinkBase> </HyperlinkBase>
  <HLinks>
    <vt:vector size="54" baseType="variant">
      <vt:variant>
        <vt:i4>589853</vt:i4>
      </vt:variant>
      <vt:variant>
        <vt:i4>0</vt:i4>
      </vt:variant>
      <vt:variant>
        <vt:i4>0</vt:i4>
      </vt:variant>
      <vt:variant>
        <vt:i4>5</vt:i4>
      </vt:variant>
      <vt:variant>
        <vt:lpwstr>http://apps.fcc.gov/ecfs</vt:lpwstr>
      </vt:variant>
      <vt:variant>
        <vt:lpwstr/>
      </vt:variant>
      <vt:variant>
        <vt:i4>1114232</vt:i4>
      </vt:variant>
      <vt:variant>
        <vt:i4>33</vt:i4>
      </vt:variant>
      <vt:variant>
        <vt:i4>0</vt:i4>
      </vt:variant>
      <vt:variant>
        <vt:i4>5</vt:i4>
      </vt:variant>
      <vt:variant>
        <vt:lpwstr>http://www.fcc.gov/wcb/tapd/Challenge_Process/ChallengeProcessGuide7-31-14.docx</vt:lpwstr>
      </vt:variant>
      <vt:variant>
        <vt:lpwstr/>
      </vt:variant>
      <vt:variant>
        <vt:i4>7995435</vt:i4>
      </vt:variant>
      <vt:variant>
        <vt:i4>30</vt:i4>
      </vt:variant>
      <vt:variant>
        <vt:i4>0</vt:i4>
      </vt:variant>
      <vt:variant>
        <vt:i4>5</vt:i4>
      </vt:variant>
      <vt:variant>
        <vt:lpwstr>http://data.fcc.gov/download/measuring-broadband-america/2014/2014-Fixed-Measuring-Broadband-America-Report.pdf</vt:lpwstr>
      </vt:variant>
      <vt:variant>
        <vt:lpwstr/>
      </vt:variant>
      <vt:variant>
        <vt:i4>1114232</vt:i4>
      </vt:variant>
      <vt:variant>
        <vt:i4>27</vt:i4>
      </vt:variant>
      <vt:variant>
        <vt:i4>0</vt:i4>
      </vt:variant>
      <vt:variant>
        <vt:i4>5</vt:i4>
      </vt:variant>
      <vt:variant>
        <vt:lpwstr>http://www.fcc.gov/wcb/tapd/Challenge_Process/ChallengeProcessGuide7-31-14.docx</vt:lpwstr>
      </vt:variant>
      <vt:variant>
        <vt:lpwstr/>
      </vt:variant>
      <vt:variant>
        <vt:i4>720922</vt:i4>
      </vt:variant>
      <vt:variant>
        <vt:i4>18</vt:i4>
      </vt:variant>
      <vt:variant>
        <vt:i4>0</vt:i4>
      </vt:variant>
      <vt:variant>
        <vt:i4>5</vt:i4>
      </vt:variant>
      <vt:variant>
        <vt:lpwstr>http://apps.fcc.gov/wcb/sabdata/</vt:lpwstr>
      </vt:variant>
      <vt:variant>
        <vt:lpwstr/>
      </vt:variant>
      <vt:variant>
        <vt:i4>720922</vt:i4>
      </vt:variant>
      <vt:variant>
        <vt:i4>15</vt:i4>
      </vt:variant>
      <vt:variant>
        <vt:i4>0</vt:i4>
      </vt:variant>
      <vt:variant>
        <vt:i4>5</vt:i4>
      </vt:variant>
      <vt:variant>
        <vt:lpwstr>http://apps.fcc.gov/wcb/sabdata/</vt:lpwstr>
      </vt:variant>
      <vt:variant>
        <vt:lpwstr/>
      </vt:variant>
      <vt:variant>
        <vt:i4>1114118</vt:i4>
      </vt:variant>
      <vt:variant>
        <vt:i4>9</vt:i4>
      </vt:variant>
      <vt:variant>
        <vt:i4>0</vt:i4>
      </vt:variant>
      <vt:variant>
        <vt:i4>5</vt:i4>
      </vt:variant>
      <vt:variant>
        <vt:lpwstr>http://www2.ntia.doc.gov/SBDD</vt:lpwstr>
      </vt:variant>
      <vt:variant>
        <vt:lpwstr/>
      </vt:variant>
      <vt:variant>
        <vt:i4>720972</vt:i4>
      </vt:variant>
      <vt:variant>
        <vt:i4>6</vt:i4>
      </vt:variant>
      <vt:variant>
        <vt:i4>0</vt:i4>
      </vt:variant>
      <vt:variant>
        <vt:i4>5</vt:i4>
      </vt:variant>
      <vt:variant>
        <vt:lpwstr>http://www.fcc.gov/encyclopedia/form-477-resources-filers</vt:lpwstr>
      </vt:variant>
      <vt:variant>
        <vt:lpwstr/>
      </vt:variant>
      <vt:variant>
        <vt:i4>6619176</vt:i4>
      </vt:variant>
      <vt:variant>
        <vt:i4>3</vt:i4>
      </vt:variant>
      <vt:variant>
        <vt:i4>0</vt:i4>
      </vt:variant>
      <vt:variant>
        <vt:i4>5</vt:i4>
      </vt:variant>
      <vt:variant>
        <vt:lpwstr>http://www.fcc.gov/encyclopedia/study-area-boundary-data-collection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2015-07-27T13:59:00Z</cp:lastPrinted>
  <dcterms:created xsi:type="dcterms:W3CDTF">2015-08-06T19:04:00Z</dcterms:created>
  <dcterms:modified xsi:type="dcterms:W3CDTF">2015-08-06T19:04:00Z</dcterms:modified>
  <cp:category> </cp:category>
  <cp:contentStatus> </cp:contentStatus>
</cp:coreProperties>
</file>