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C233" w14:textId="50BB44BC" w:rsidR="006A630E" w:rsidRPr="00776BBA" w:rsidRDefault="00DA76B9" w:rsidP="00870897">
      <w:pPr>
        <w:jc w:val="right"/>
        <w:rPr>
          <w:b/>
          <w:szCs w:val="22"/>
        </w:rPr>
      </w:pPr>
      <w:bookmarkStart w:id="0" w:name="_GoBack"/>
      <w:bookmarkEnd w:id="0"/>
      <w:r w:rsidRPr="00776BBA">
        <w:rPr>
          <w:b/>
          <w:szCs w:val="22"/>
        </w:rPr>
        <w:t>DA</w:t>
      </w:r>
      <w:r w:rsidR="008C044D" w:rsidRPr="00776BBA">
        <w:rPr>
          <w:b/>
          <w:szCs w:val="22"/>
        </w:rPr>
        <w:t xml:space="preserve"> 15</w:t>
      </w:r>
      <w:r w:rsidR="004117FC" w:rsidRPr="00776BBA">
        <w:rPr>
          <w:b/>
          <w:szCs w:val="22"/>
        </w:rPr>
        <w:t>-</w:t>
      </w:r>
      <w:r w:rsidR="00A214CF" w:rsidRPr="00776BBA">
        <w:rPr>
          <w:b/>
          <w:szCs w:val="22"/>
        </w:rPr>
        <w:t>865</w:t>
      </w:r>
    </w:p>
    <w:p w14:paraId="0E4EEA19" w14:textId="1BF738D7" w:rsidR="00DA76B9" w:rsidRPr="00776BBA" w:rsidRDefault="00776BBA" w:rsidP="00870897">
      <w:pPr>
        <w:spacing w:after="240"/>
        <w:jc w:val="right"/>
        <w:rPr>
          <w:b/>
          <w:szCs w:val="22"/>
        </w:rPr>
      </w:pPr>
      <w:r>
        <w:rPr>
          <w:b/>
          <w:szCs w:val="22"/>
        </w:rPr>
        <w:t xml:space="preserve">Released:  </w:t>
      </w:r>
      <w:r w:rsidR="005F6A3C" w:rsidRPr="00776BBA">
        <w:rPr>
          <w:b/>
          <w:szCs w:val="22"/>
        </w:rPr>
        <w:t>July 28, 2015</w:t>
      </w:r>
    </w:p>
    <w:p w14:paraId="37381180" w14:textId="6F137C58" w:rsidR="00DB1255" w:rsidRDefault="00995260" w:rsidP="00DB1255">
      <w:pPr>
        <w:jc w:val="center"/>
        <w:rPr>
          <w:b/>
          <w:szCs w:val="22"/>
        </w:rPr>
      </w:pPr>
      <w:r>
        <w:rPr>
          <w:b/>
          <w:szCs w:val="22"/>
        </w:rPr>
        <w:t xml:space="preserve">WIRELESS TELECOMMUNICATIONS BUREAU SEEKS </w:t>
      </w:r>
      <w:r w:rsidR="00DA76B9" w:rsidRPr="00467380">
        <w:rPr>
          <w:b/>
          <w:szCs w:val="22"/>
        </w:rPr>
        <w:t>COMMENT</w:t>
      </w:r>
    </w:p>
    <w:p w14:paraId="21DBC62E" w14:textId="59961BF3" w:rsidR="00DB1255" w:rsidRDefault="00DA76B9" w:rsidP="00DB1255">
      <w:pPr>
        <w:jc w:val="center"/>
        <w:rPr>
          <w:b/>
          <w:szCs w:val="22"/>
        </w:rPr>
      </w:pPr>
      <w:r w:rsidRPr="00467380">
        <w:rPr>
          <w:b/>
          <w:szCs w:val="22"/>
        </w:rPr>
        <w:t>ON</w:t>
      </w:r>
      <w:r w:rsidR="00467380">
        <w:rPr>
          <w:b/>
          <w:szCs w:val="22"/>
        </w:rPr>
        <w:t xml:space="preserve"> </w:t>
      </w:r>
      <w:r w:rsidR="0046706A">
        <w:rPr>
          <w:b/>
          <w:szCs w:val="22"/>
        </w:rPr>
        <w:t xml:space="preserve">REVISING </w:t>
      </w:r>
      <w:r w:rsidR="00995260">
        <w:rPr>
          <w:b/>
          <w:szCs w:val="22"/>
        </w:rPr>
        <w:t>THE HISTORIC PRESERVATION REVIEW</w:t>
      </w:r>
      <w:r w:rsidR="0046706A">
        <w:rPr>
          <w:b/>
          <w:szCs w:val="22"/>
        </w:rPr>
        <w:t xml:space="preserve"> PROCESS</w:t>
      </w:r>
    </w:p>
    <w:p w14:paraId="7569277F" w14:textId="6EBB2D57" w:rsidR="007749B1" w:rsidRDefault="00995260" w:rsidP="00776BBA">
      <w:pPr>
        <w:spacing w:after="120"/>
        <w:jc w:val="center"/>
        <w:rPr>
          <w:b/>
          <w:bCs/>
        </w:rPr>
      </w:pPr>
      <w:r>
        <w:rPr>
          <w:b/>
          <w:szCs w:val="22"/>
        </w:rPr>
        <w:t xml:space="preserve">FOR </w:t>
      </w:r>
      <w:r w:rsidR="007749B1">
        <w:rPr>
          <w:b/>
          <w:szCs w:val="22"/>
        </w:rPr>
        <w:t>SMALL FACILITY DEPLOYMENTS</w:t>
      </w:r>
    </w:p>
    <w:p w14:paraId="24023689" w14:textId="77777777" w:rsidR="00776BBA" w:rsidRPr="00776BBA" w:rsidRDefault="00776BBA" w:rsidP="00776BBA">
      <w:pPr>
        <w:spacing w:after="240"/>
        <w:jc w:val="center"/>
        <w:rPr>
          <w:b/>
          <w:szCs w:val="22"/>
        </w:rPr>
      </w:pPr>
      <w:r w:rsidRPr="00776BBA">
        <w:rPr>
          <w:b/>
          <w:szCs w:val="22"/>
        </w:rPr>
        <w:t>WT Docket No. 15-180</w:t>
      </w:r>
    </w:p>
    <w:p w14:paraId="5049A33E" w14:textId="56327AC4" w:rsidR="006543BA" w:rsidRPr="00467380" w:rsidRDefault="006543BA" w:rsidP="006543BA">
      <w:pPr>
        <w:spacing w:after="240"/>
        <w:rPr>
          <w:b/>
          <w:szCs w:val="22"/>
        </w:rPr>
      </w:pPr>
      <w:r w:rsidRPr="00467380">
        <w:rPr>
          <w:b/>
          <w:szCs w:val="22"/>
        </w:rPr>
        <w:t xml:space="preserve">Comment Date:  </w:t>
      </w:r>
      <w:r w:rsidR="00620B1E">
        <w:rPr>
          <w:b/>
          <w:szCs w:val="22"/>
        </w:rPr>
        <w:t>Sept</w:t>
      </w:r>
      <w:r w:rsidR="00113DCE">
        <w:rPr>
          <w:b/>
          <w:szCs w:val="22"/>
        </w:rPr>
        <w:t xml:space="preserve">ember </w:t>
      </w:r>
      <w:r w:rsidR="00620B1E">
        <w:rPr>
          <w:b/>
          <w:szCs w:val="22"/>
        </w:rPr>
        <w:t xml:space="preserve">28, </w:t>
      </w:r>
      <w:r w:rsidR="008C044D">
        <w:rPr>
          <w:b/>
          <w:szCs w:val="22"/>
        </w:rPr>
        <w:t>2015</w:t>
      </w:r>
    </w:p>
    <w:p w14:paraId="34087417" w14:textId="519F18DA" w:rsidR="006A630E" w:rsidRPr="006543BA" w:rsidRDefault="00467380" w:rsidP="007F7886">
      <w:pPr>
        <w:rPr>
          <w:szCs w:val="22"/>
        </w:rPr>
      </w:pPr>
      <w:r>
        <w:rPr>
          <w:szCs w:val="22"/>
        </w:rPr>
        <w:t>By this Public Notice, t</w:t>
      </w:r>
      <w:r w:rsidR="0009073B">
        <w:rPr>
          <w:szCs w:val="22"/>
        </w:rPr>
        <w:t>he Wireless Telecommunications Bu</w:t>
      </w:r>
      <w:r w:rsidR="00FA4F5A">
        <w:rPr>
          <w:szCs w:val="22"/>
        </w:rPr>
        <w:t xml:space="preserve">reau (Bureau) </w:t>
      </w:r>
      <w:r w:rsidR="003E7513">
        <w:rPr>
          <w:szCs w:val="22"/>
        </w:rPr>
        <w:t xml:space="preserve">releases a </w:t>
      </w:r>
      <w:r w:rsidR="003136B4">
        <w:rPr>
          <w:szCs w:val="22"/>
        </w:rPr>
        <w:t>s</w:t>
      </w:r>
      <w:r w:rsidR="003E7513">
        <w:rPr>
          <w:szCs w:val="22"/>
        </w:rPr>
        <w:t>coping document</w:t>
      </w:r>
      <w:r w:rsidR="003136B4">
        <w:rPr>
          <w:szCs w:val="22"/>
        </w:rPr>
        <w:t xml:space="preserve"> (the Section 106 Scoping Document)</w:t>
      </w:r>
      <w:r w:rsidR="003E7513">
        <w:rPr>
          <w:szCs w:val="22"/>
        </w:rPr>
        <w:t xml:space="preserve"> and </w:t>
      </w:r>
      <w:r w:rsidR="008D2036" w:rsidRPr="008D2036">
        <w:rPr>
          <w:szCs w:val="22"/>
        </w:rPr>
        <w:t xml:space="preserve">invites </w:t>
      </w:r>
      <w:r w:rsidR="00633CA0">
        <w:rPr>
          <w:szCs w:val="22"/>
        </w:rPr>
        <w:t xml:space="preserve">input on a new program alternative to improve and facilitate the review process </w:t>
      </w:r>
      <w:r w:rsidR="001F6998">
        <w:rPr>
          <w:szCs w:val="22"/>
        </w:rPr>
        <w:t xml:space="preserve">for deployments of small wireless communications facilities, including Distributed Antenna Systems (DAS) and small cell facilities, </w:t>
      </w:r>
      <w:r w:rsidR="00633CA0">
        <w:rPr>
          <w:szCs w:val="22"/>
        </w:rPr>
        <w:t>under Section 106 of the National Historic Preservation Act (NHPA)</w:t>
      </w:r>
      <w:r w:rsidR="001F6998">
        <w:rPr>
          <w:szCs w:val="22"/>
        </w:rPr>
        <w:t>.</w:t>
      </w:r>
      <w:r w:rsidR="005762CD">
        <w:rPr>
          <w:rStyle w:val="FootnoteReference"/>
          <w:szCs w:val="22"/>
        </w:rPr>
        <w:footnoteReference w:id="2"/>
      </w:r>
      <w:r w:rsidR="008D2036">
        <w:rPr>
          <w:szCs w:val="22"/>
        </w:rPr>
        <w:t xml:space="preserve">  </w:t>
      </w:r>
      <w:r w:rsidR="00172D7F">
        <w:rPr>
          <w:szCs w:val="22"/>
        </w:rPr>
        <w:t>In particular, th</w:t>
      </w:r>
      <w:r w:rsidR="00374B29">
        <w:rPr>
          <w:szCs w:val="22"/>
        </w:rPr>
        <w:t>e</w:t>
      </w:r>
      <w:r w:rsidR="00BC718F">
        <w:rPr>
          <w:szCs w:val="22"/>
        </w:rPr>
        <w:t xml:space="preserve"> attached</w:t>
      </w:r>
      <w:r w:rsidR="00374B29">
        <w:rPr>
          <w:szCs w:val="22"/>
        </w:rPr>
        <w:t xml:space="preserve"> </w:t>
      </w:r>
      <w:r w:rsidR="003E7513">
        <w:rPr>
          <w:szCs w:val="22"/>
        </w:rPr>
        <w:t>Section 106 Scoping Document</w:t>
      </w:r>
      <w:r w:rsidR="00BC718F">
        <w:rPr>
          <w:szCs w:val="22"/>
        </w:rPr>
        <w:t xml:space="preserve"> describes options and</w:t>
      </w:r>
      <w:r w:rsidR="00172D7F">
        <w:rPr>
          <w:szCs w:val="22"/>
        </w:rPr>
        <w:t xml:space="preserve"> </w:t>
      </w:r>
      <w:r w:rsidR="00FA4F5A">
        <w:rPr>
          <w:szCs w:val="22"/>
        </w:rPr>
        <w:t>seeks</w:t>
      </w:r>
      <w:r>
        <w:rPr>
          <w:szCs w:val="22"/>
        </w:rPr>
        <w:t xml:space="preserve"> public</w:t>
      </w:r>
      <w:r w:rsidR="00FA4F5A">
        <w:rPr>
          <w:szCs w:val="22"/>
        </w:rPr>
        <w:t xml:space="preserve"> </w:t>
      </w:r>
      <w:r w:rsidR="00A00010">
        <w:rPr>
          <w:szCs w:val="22"/>
        </w:rPr>
        <w:t xml:space="preserve">input </w:t>
      </w:r>
      <w:r w:rsidR="00E45EF5">
        <w:rPr>
          <w:szCs w:val="22"/>
        </w:rPr>
        <w:t>on</w:t>
      </w:r>
      <w:r w:rsidR="00BC718F">
        <w:rPr>
          <w:szCs w:val="22"/>
        </w:rPr>
        <w:t xml:space="preserve"> potentially</w:t>
      </w:r>
      <w:r>
        <w:rPr>
          <w:szCs w:val="22"/>
        </w:rPr>
        <w:t xml:space="preserve"> </w:t>
      </w:r>
      <w:r w:rsidR="00CC1370">
        <w:rPr>
          <w:szCs w:val="22"/>
        </w:rPr>
        <w:t>amend</w:t>
      </w:r>
      <w:r w:rsidR="00374B29">
        <w:rPr>
          <w:szCs w:val="22"/>
        </w:rPr>
        <w:t>ing</w:t>
      </w:r>
      <w:r w:rsidR="00CC1370">
        <w:rPr>
          <w:szCs w:val="22"/>
        </w:rPr>
        <w:t xml:space="preserve"> the </w:t>
      </w:r>
      <w:r w:rsidR="00CC1370">
        <w:rPr>
          <w:i/>
          <w:szCs w:val="22"/>
        </w:rPr>
        <w:t>Nationwide Programmatic Agreement for the Collocation of Wireless Antennas</w:t>
      </w:r>
      <w:r w:rsidR="0022707A">
        <w:rPr>
          <w:i/>
          <w:szCs w:val="22"/>
        </w:rPr>
        <w:t xml:space="preserve"> </w:t>
      </w:r>
      <w:r w:rsidR="0022707A">
        <w:rPr>
          <w:szCs w:val="22"/>
        </w:rPr>
        <w:t>(Collocation Agreement)</w:t>
      </w:r>
      <w:r w:rsidR="0022707A" w:rsidRPr="00CD2B1D">
        <w:rPr>
          <w:rStyle w:val="FootnoteReference"/>
          <w:szCs w:val="22"/>
        </w:rPr>
        <w:footnoteReference w:id="3"/>
      </w:r>
      <w:r w:rsidR="00426DFA">
        <w:rPr>
          <w:szCs w:val="22"/>
        </w:rPr>
        <w:t xml:space="preserve"> to address</w:t>
      </w:r>
      <w:r w:rsidR="00CC1370">
        <w:rPr>
          <w:szCs w:val="22"/>
        </w:rPr>
        <w:t xml:space="preserve"> the </w:t>
      </w:r>
      <w:r w:rsidR="00374B29">
        <w:rPr>
          <w:szCs w:val="22"/>
        </w:rPr>
        <w:t xml:space="preserve">historic preservation </w:t>
      </w:r>
      <w:r>
        <w:rPr>
          <w:szCs w:val="22"/>
        </w:rPr>
        <w:t xml:space="preserve">review of </w:t>
      </w:r>
      <w:r w:rsidR="00F60FE1">
        <w:rPr>
          <w:szCs w:val="22"/>
        </w:rPr>
        <w:t xml:space="preserve">deployments of </w:t>
      </w:r>
      <w:r w:rsidR="00E45EF5">
        <w:rPr>
          <w:szCs w:val="22"/>
        </w:rPr>
        <w:t xml:space="preserve">small </w:t>
      </w:r>
      <w:r w:rsidR="00995260">
        <w:rPr>
          <w:szCs w:val="22"/>
        </w:rPr>
        <w:t xml:space="preserve">wireless </w:t>
      </w:r>
      <w:r w:rsidR="00E45EF5">
        <w:rPr>
          <w:szCs w:val="22"/>
        </w:rPr>
        <w:t>communications facilities</w:t>
      </w:r>
      <w:r w:rsidR="001F6998">
        <w:rPr>
          <w:szCs w:val="22"/>
        </w:rPr>
        <w:t xml:space="preserve"> </w:t>
      </w:r>
      <w:r w:rsidR="00F60FE1">
        <w:rPr>
          <w:szCs w:val="22"/>
        </w:rPr>
        <w:t>u</w:t>
      </w:r>
      <w:r>
        <w:rPr>
          <w:szCs w:val="22"/>
        </w:rPr>
        <w:t>nder</w:t>
      </w:r>
      <w:r w:rsidR="00FA4F5A">
        <w:rPr>
          <w:szCs w:val="22"/>
        </w:rPr>
        <w:t xml:space="preserve"> </w:t>
      </w:r>
      <w:r w:rsidR="0009073B">
        <w:rPr>
          <w:szCs w:val="22"/>
        </w:rPr>
        <w:t>Section 106</w:t>
      </w:r>
      <w:r w:rsidR="001F6998">
        <w:rPr>
          <w:szCs w:val="22"/>
        </w:rPr>
        <w:t>.</w:t>
      </w:r>
      <w:r>
        <w:rPr>
          <w:szCs w:val="22"/>
        </w:rPr>
        <w:t xml:space="preserve">  </w:t>
      </w:r>
      <w:r w:rsidR="00BC718F">
        <w:rPr>
          <w:szCs w:val="22"/>
        </w:rPr>
        <w:t>Copies of the Section 106 Scoping Document are also being sent to</w:t>
      </w:r>
      <w:r w:rsidR="00633CA0" w:rsidRPr="008D2036">
        <w:rPr>
          <w:szCs w:val="22"/>
        </w:rPr>
        <w:t xml:space="preserve"> State Historic Preservation Officers (SHPOs), Tribal</w:t>
      </w:r>
      <w:r w:rsidR="00BC718F">
        <w:rPr>
          <w:szCs w:val="22"/>
        </w:rPr>
        <w:t xml:space="preserve"> and Native Hawaiian cultural preservation officials</w:t>
      </w:r>
      <w:r w:rsidR="00633CA0" w:rsidRPr="008D2036">
        <w:rPr>
          <w:szCs w:val="22"/>
        </w:rPr>
        <w:t xml:space="preserve"> (</w:t>
      </w:r>
      <w:r w:rsidR="00633CA0">
        <w:rPr>
          <w:szCs w:val="22"/>
        </w:rPr>
        <w:t xml:space="preserve">including </w:t>
      </w:r>
      <w:r w:rsidR="00633CA0" w:rsidRPr="008D2036">
        <w:rPr>
          <w:szCs w:val="22"/>
        </w:rPr>
        <w:t xml:space="preserve">Tribal Historic Preservation Officers </w:t>
      </w:r>
      <w:r w:rsidR="00BC6175">
        <w:rPr>
          <w:szCs w:val="22"/>
        </w:rPr>
        <w:t>(THPOs)</w:t>
      </w:r>
      <w:r w:rsidR="00633CA0" w:rsidRPr="008D2036">
        <w:rPr>
          <w:szCs w:val="22"/>
        </w:rPr>
        <w:t>), and other stakeholders</w:t>
      </w:r>
      <w:r w:rsidR="00633CA0">
        <w:rPr>
          <w:szCs w:val="22"/>
        </w:rPr>
        <w:t>.</w:t>
      </w:r>
      <w:r w:rsidR="007F7886">
        <w:rPr>
          <w:szCs w:val="22"/>
        </w:rPr>
        <w:t xml:space="preserve">  By this Public Notice, the Bureau also initiates and invites government-to-government consultation with Federally-recognized Tribal Nations.</w:t>
      </w:r>
      <w:r w:rsidR="008D2036">
        <w:rPr>
          <w:szCs w:val="22"/>
        </w:rPr>
        <w:t xml:space="preserve"> </w:t>
      </w:r>
      <w:r>
        <w:rPr>
          <w:szCs w:val="22"/>
        </w:rPr>
        <w:t xml:space="preserve"> </w:t>
      </w:r>
    </w:p>
    <w:p w14:paraId="435A65C8" w14:textId="77777777" w:rsidR="0009073B" w:rsidRDefault="0009073B" w:rsidP="002245C5">
      <w:pPr>
        <w:ind w:firstLine="720"/>
        <w:rPr>
          <w:szCs w:val="22"/>
        </w:rPr>
      </w:pPr>
    </w:p>
    <w:p w14:paraId="7DFF71CF" w14:textId="0F5941F8" w:rsidR="000A55A8" w:rsidRDefault="00D259D0" w:rsidP="00FB623C">
      <w:pPr>
        <w:ind w:firstLine="720"/>
        <w:rPr>
          <w:szCs w:val="22"/>
        </w:rPr>
      </w:pPr>
      <w:r>
        <w:rPr>
          <w:szCs w:val="22"/>
        </w:rPr>
        <w:t xml:space="preserve">As described more fully in the </w:t>
      </w:r>
      <w:r w:rsidR="004E7D1B">
        <w:rPr>
          <w:szCs w:val="22"/>
        </w:rPr>
        <w:t xml:space="preserve">Section 106 </w:t>
      </w:r>
      <w:r>
        <w:rPr>
          <w:szCs w:val="22"/>
        </w:rPr>
        <w:t xml:space="preserve">Scoping Document, </w:t>
      </w:r>
      <w:r w:rsidR="00B232B2">
        <w:rPr>
          <w:szCs w:val="22"/>
        </w:rPr>
        <w:t xml:space="preserve">new and </w:t>
      </w:r>
      <w:r w:rsidR="003148AA" w:rsidRPr="00765B7B">
        <w:rPr>
          <w:szCs w:val="22"/>
        </w:rPr>
        <w:t>additional infrastructure deployment</w:t>
      </w:r>
      <w:r w:rsidR="003148AA">
        <w:rPr>
          <w:szCs w:val="22"/>
        </w:rPr>
        <w:t>s are necessary to meet</w:t>
      </w:r>
      <w:r w:rsidR="003148AA" w:rsidRPr="00765B7B">
        <w:rPr>
          <w:szCs w:val="22"/>
        </w:rPr>
        <w:t xml:space="preserve"> </w:t>
      </w:r>
      <w:r w:rsidR="00765B7B">
        <w:rPr>
          <w:szCs w:val="22"/>
        </w:rPr>
        <w:t>t</w:t>
      </w:r>
      <w:r w:rsidR="00765B7B" w:rsidRPr="00765B7B">
        <w:rPr>
          <w:szCs w:val="22"/>
        </w:rPr>
        <w:t>he increasing demand for advanced wireless services and greater wireless bandwidth</w:t>
      </w:r>
      <w:r w:rsidR="00B232B2">
        <w:rPr>
          <w:szCs w:val="22"/>
        </w:rPr>
        <w:t>.</w:t>
      </w:r>
      <w:r w:rsidR="00AC4FF5">
        <w:rPr>
          <w:rStyle w:val="FootnoteReference"/>
          <w:szCs w:val="22"/>
        </w:rPr>
        <w:footnoteReference w:id="4"/>
      </w:r>
      <w:r w:rsidR="00765B7B" w:rsidRPr="00765B7B">
        <w:rPr>
          <w:szCs w:val="22"/>
        </w:rPr>
        <w:t xml:space="preserve"> </w:t>
      </w:r>
      <w:r w:rsidR="00AC4FF5">
        <w:rPr>
          <w:szCs w:val="22"/>
        </w:rPr>
        <w:t xml:space="preserve"> </w:t>
      </w:r>
      <w:r w:rsidR="00FA1CDD">
        <w:rPr>
          <w:szCs w:val="22"/>
        </w:rPr>
        <w:t>M</w:t>
      </w:r>
      <w:r w:rsidR="003148AA">
        <w:rPr>
          <w:szCs w:val="22"/>
        </w:rPr>
        <w:t xml:space="preserve">any wireless providers are deploying new infrastructure </w:t>
      </w:r>
      <w:r w:rsidR="007865F8">
        <w:rPr>
          <w:szCs w:val="22"/>
        </w:rPr>
        <w:t xml:space="preserve">technologies, particularly DAS and small cells, </w:t>
      </w:r>
      <w:r w:rsidR="003148AA">
        <w:rPr>
          <w:szCs w:val="22"/>
        </w:rPr>
        <w:t xml:space="preserve">in order </w:t>
      </w:r>
      <w:r w:rsidR="007865F8">
        <w:rPr>
          <w:szCs w:val="22"/>
        </w:rPr>
        <w:t>to increase coverage and capacity in indoor and outdoor environments</w:t>
      </w:r>
      <w:r w:rsidR="003148AA">
        <w:rPr>
          <w:szCs w:val="22"/>
        </w:rPr>
        <w:t>.</w:t>
      </w:r>
      <w:r w:rsidR="00620C0B">
        <w:rPr>
          <w:rStyle w:val="FootnoteReference"/>
          <w:szCs w:val="22"/>
        </w:rPr>
        <w:footnoteReference w:id="5"/>
      </w:r>
      <w:r w:rsidR="003148AA">
        <w:rPr>
          <w:szCs w:val="22"/>
        </w:rPr>
        <w:t xml:space="preserve">  </w:t>
      </w:r>
      <w:r w:rsidR="00FA1CDD" w:rsidRPr="00FA1CDD">
        <w:rPr>
          <w:szCs w:val="22"/>
        </w:rPr>
        <w:t xml:space="preserve">Because </w:t>
      </w:r>
      <w:r w:rsidR="00F60FE1">
        <w:rPr>
          <w:szCs w:val="22"/>
        </w:rPr>
        <w:t xml:space="preserve">DAS </w:t>
      </w:r>
      <w:r w:rsidR="00FB623C">
        <w:rPr>
          <w:szCs w:val="22"/>
        </w:rPr>
        <w:t xml:space="preserve">networks </w:t>
      </w:r>
      <w:r w:rsidR="00F60FE1">
        <w:rPr>
          <w:szCs w:val="22"/>
        </w:rPr>
        <w:t xml:space="preserve">and small cell facilities </w:t>
      </w:r>
      <w:r w:rsidR="00FA1CDD" w:rsidRPr="00FA1CDD">
        <w:rPr>
          <w:szCs w:val="22"/>
        </w:rPr>
        <w:t>use radio spectrum licensed by the</w:t>
      </w:r>
      <w:r w:rsidR="00FA1CDD">
        <w:rPr>
          <w:szCs w:val="22"/>
        </w:rPr>
        <w:t xml:space="preserve"> Commission</w:t>
      </w:r>
      <w:r w:rsidR="000776D2">
        <w:rPr>
          <w:szCs w:val="22"/>
        </w:rPr>
        <w:t xml:space="preserve">, </w:t>
      </w:r>
      <w:r w:rsidR="00FA1CDD">
        <w:rPr>
          <w:szCs w:val="22"/>
        </w:rPr>
        <w:t xml:space="preserve">the installation of these facilities </w:t>
      </w:r>
      <w:r w:rsidR="00FB623C" w:rsidRPr="00FB623C">
        <w:rPr>
          <w:szCs w:val="22"/>
        </w:rPr>
        <w:t>on utility poles, buildings, and other existing structures</w:t>
      </w:r>
      <w:r w:rsidR="00FA1CDD">
        <w:rPr>
          <w:szCs w:val="22"/>
        </w:rPr>
        <w:t xml:space="preserve"> </w:t>
      </w:r>
      <w:r w:rsidR="001C761F">
        <w:rPr>
          <w:szCs w:val="22"/>
        </w:rPr>
        <w:t xml:space="preserve">is </w:t>
      </w:r>
      <w:r w:rsidR="0078699E">
        <w:rPr>
          <w:szCs w:val="22"/>
        </w:rPr>
        <w:t>acknowledg</w:t>
      </w:r>
      <w:r w:rsidR="001C761F">
        <w:rPr>
          <w:szCs w:val="22"/>
        </w:rPr>
        <w:t xml:space="preserve">ed </w:t>
      </w:r>
      <w:r w:rsidR="0078699E">
        <w:rPr>
          <w:szCs w:val="22"/>
        </w:rPr>
        <w:t>as</w:t>
      </w:r>
      <w:r w:rsidR="00FA1CDD" w:rsidRPr="00FA1CDD">
        <w:rPr>
          <w:szCs w:val="22"/>
        </w:rPr>
        <w:t xml:space="preserve"> a</w:t>
      </w:r>
      <w:r w:rsidR="001C761F">
        <w:rPr>
          <w:szCs w:val="22"/>
        </w:rPr>
        <w:t xml:space="preserve"> </w:t>
      </w:r>
      <w:r w:rsidR="001C761F">
        <w:rPr>
          <w:szCs w:val="22"/>
        </w:rPr>
        <w:lastRenderedPageBreak/>
        <w:t>Commission</w:t>
      </w:r>
      <w:r w:rsidR="00FA1CDD" w:rsidRPr="00FA1CDD">
        <w:rPr>
          <w:szCs w:val="22"/>
        </w:rPr>
        <w:t xml:space="preserve"> undertaking</w:t>
      </w:r>
      <w:r w:rsidR="00FA1CDD">
        <w:rPr>
          <w:szCs w:val="22"/>
        </w:rPr>
        <w:t xml:space="preserve"> </w:t>
      </w:r>
      <w:r w:rsidR="00FA1CDD" w:rsidRPr="00FA1CDD">
        <w:rPr>
          <w:szCs w:val="22"/>
        </w:rPr>
        <w:t xml:space="preserve">under </w:t>
      </w:r>
      <w:r w:rsidR="005F3BF3">
        <w:rPr>
          <w:szCs w:val="22"/>
        </w:rPr>
        <w:t xml:space="preserve">Section 106 of </w:t>
      </w:r>
      <w:r w:rsidR="00FA1CDD" w:rsidRPr="00FA1CDD">
        <w:rPr>
          <w:szCs w:val="22"/>
        </w:rPr>
        <w:t xml:space="preserve">the </w:t>
      </w:r>
      <w:r w:rsidR="00FA1CDD">
        <w:rPr>
          <w:szCs w:val="22"/>
        </w:rPr>
        <w:t>NHPA</w:t>
      </w:r>
      <w:r w:rsidR="00FB623C" w:rsidRPr="00FB623C">
        <w:rPr>
          <w:szCs w:val="22"/>
        </w:rPr>
        <w:t>.</w:t>
      </w:r>
      <w:r w:rsidR="00FB623C">
        <w:rPr>
          <w:rStyle w:val="FootnoteReference"/>
          <w:szCs w:val="22"/>
        </w:rPr>
        <w:footnoteReference w:id="6"/>
      </w:r>
      <w:r w:rsidR="00FB623C" w:rsidRPr="00FB623C">
        <w:rPr>
          <w:szCs w:val="22"/>
        </w:rPr>
        <w:t xml:space="preserve">  </w:t>
      </w:r>
      <w:r w:rsidR="00B362DF">
        <w:rPr>
          <w:szCs w:val="22"/>
        </w:rPr>
        <w:t>T</w:t>
      </w:r>
      <w:r w:rsidR="00C170FD">
        <w:rPr>
          <w:szCs w:val="22"/>
        </w:rPr>
        <w:t xml:space="preserve">he Commission’s rules </w:t>
      </w:r>
      <w:r w:rsidR="00377F57" w:rsidRPr="00377F57">
        <w:rPr>
          <w:szCs w:val="22"/>
        </w:rPr>
        <w:t xml:space="preserve">require </w:t>
      </w:r>
      <w:r w:rsidR="00C170FD">
        <w:rPr>
          <w:szCs w:val="22"/>
        </w:rPr>
        <w:t xml:space="preserve">applicants to </w:t>
      </w:r>
      <w:r w:rsidR="00377F57" w:rsidRPr="00377F57">
        <w:rPr>
          <w:szCs w:val="22"/>
        </w:rPr>
        <w:t xml:space="preserve">follow the regulations of the Advisory Council on Historic Preservation (ACHP), as modified by two Nationwide Programmatic Agreements </w:t>
      </w:r>
      <w:r w:rsidR="00B362DF">
        <w:rPr>
          <w:szCs w:val="22"/>
        </w:rPr>
        <w:t xml:space="preserve">(NPAs) </w:t>
      </w:r>
      <w:r w:rsidR="00377F57" w:rsidRPr="00377F57">
        <w:rPr>
          <w:szCs w:val="22"/>
        </w:rPr>
        <w:t>executed by the Commission with the ACHP and the National Conference of State Historic Preservation Officers</w:t>
      </w:r>
      <w:r w:rsidR="004E4D8E">
        <w:rPr>
          <w:szCs w:val="22"/>
        </w:rPr>
        <w:t xml:space="preserve"> (NCSHPO)</w:t>
      </w:r>
      <w:r w:rsidR="002A116E">
        <w:rPr>
          <w:szCs w:val="22"/>
        </w:rPr>
        <w:t>,</w:t>
      </w:r>
      <w:r w:rsidR="00377F57" w:rsidRPr="00377F57">
        <w:rPr>
          <w:szCs w:val="22"/>
          <w:vertAlign w:val="superscript"/>
        </w:rPr>
        <w:footnoteReference w:id="7"/>
      </w:r>
      <w:r w:rsidR="003763F3">
        <w:rPr>
          <w:szCs w:val="22"/>
        </w:rPr>
        <w:t xml:space="preserve"> </w:t>
      </w:r>
      <w:r w:rsidR="00B362DF">
        <w:rPr>
          <w:szCs w:val="22"/>
        </w:rPr>
        <w:t>in order to determine whether undertakings will affect historic properties.</w:t>
      </w:r>
      <w:r w:rsidR="00377F57" w:rsidRPr="00377F57">
        <w:rPr>
          <w:szCs w:val="22"/>
        </w:rPr>
        <w:t xml:space="preserve"> </w:t>
      </w:r>
      <w:r w:rsidR="004450F8">
        <w:rPr>
          <w:szCs w:val="22"/>
        </w:rPr>
        <w:t xml:space="preserve"> </w:t>
      </w:r>
      <w:r w:rsidR="00B362DF">
        <w:rPr>
          <w:szCs w:val="22"/>
        </w:rPr>
        <w:t xml:space="preserve">Such </w:t>
      </w:r>
      <w:r w:rsidR="00FF7E14">
        <w:rPr>
          <w:szCs w:val="22"/>
        </w:rPr>
        <w:t xml:space="preserve">historic preservation </w:t>
      </w:r>
      <w:r w:rsidR="00FB623C" w:rsidRPr="00FB623C">
        <w:rPr>
          <w:szCs w:val="22"/>
        </w:rPr>
        <w:t>review</w:t>
      </w:r>
      <w:r w:rsidR="00B362DF">
        <w:rPr>
          <w:szCs w:val="22"/>
        </w:rPr>
        <w:t>s</w:t>
      </w:r>
      <w:r w:rsidR="00FB623C" w:rsidRPr="00FB623C">
        <w:rPr>
          <w:szCs w:val="22"/>
        </w:rPr>
        <w:t xml:space="preserve"> serve important local and national interests, </w:t>
      </w:r>
      <w:r w:rsidR="00B362DF">
        <w:rPr>
          <w:szCs w:val="22"/>
        </w:rPr>
        <w:t xml:space="preserve">and the NPAs </w:t>
      </w:r>
      <w:r w:rsidR="00FF7E14">
        <w:rPr>
          <w:szCs w:val="22"/>
        </w:rPr>
        <w:t>tailor</w:t>
      </w:r>
      <w:r w:rsidR="00B362DF">
        <w:rPr>
          <w:szCs w:val="22"/>
        </w:rPr>
        <w:t xml:space="preserve"> </w:t>
      </w:r>
      <w:r w:rsidR="00FF7E14">
        <w:rPr>
          <w:szCs w:val="22"/>
        </w:rPr>
        <w:t>the Commission’s p</w:t>
      </w:r>
      <w:r w:rsidR="00B362DF">
        <w:rPr>
          <w:szCs w:val="22"/>
        </w:rPr>
        <w:t xml:space="preserve">rocesses </w:t>
      </w:r>
      <w:r w:rsidR="00783E92">
        <w:rPr>
          <w:szCs w:val="22"/>
        </w:rPr>
        <w:t xml:space="preserve">to </w:t>
      </w:r>
      <w:r w:rsidR="00B362DF">
        <w:rPr>
          <w:szCs w:val="22"/>
        </w:rPr>
        <w:t>maximize efficiency</w:t>
      </w:r>
      <w:r w:rsidR="00707066">
        <w:rPr>
          <w:szCs w:val="22"/>
        </w:rPr>
        <w:t xml:space="preserve"> by</w:t>
      </w:r>
      <w:r w:rsidR="00013867">
        <w:rPr>
          <w:szCs w:val="22"/>
        </w:rPr>
        <w:t xml:space="preserve"> </w:t>
      </w:r>
      <w:r w:rsidR="003763F3">
        <w:rPr>
          <w:szCs w:val="22"/>
        </w:rPr>
        <w:t>eliminating unnecessary procedures</w:t>
      </w:r>
      <w:r w:rsidR="00FF7E14">
        <w:rPr>
          <w:szCs w:val="22"/>
        </w:rPr>
        <w:t xml:space="preserve"> and </w:t>
      </w:r>
      <w:r w:rsidR="00B362DF">
        <w:rPr>
          <w:szCs w:val="22"/>
        </w:rPr>
        <w:t xml:space="preserve">establishing exclusions for </w:t>
      </w:r>
      <w:r w:rsidR="00783E92">
        <w:rPr>
          <w:szCs w:val="22"/>
        </w:rPr>
        <w:t xml:space="preserve">proposed facilities </w:t>
      </w:r>
      <w:r w:rsidR="00B362DF">
        <w:rPr>
          <w:szCs w:val="22"/>
        </w:rPr>
        <w:t xml:space="preserve">that </w:t>
      </w:r>
      <w:r w:rsidR="00FB623C" w:rsidRPr="00FB623C">
        <w:rPr>
          <w:szCs w:val="22"/>
        </w:rPr>
        <w:t xml:space="preserve">do not </w:t>
      </w:r>
      <w:r w:rsidR="0040404E">
        <w:rPr>
          <w:szCs w:val="22"/>
        </w:rPr>
        <w:t xml:space="preserve">have the </w:t>
      </w:r>
      <w:r w:rsidR="00783E92">
        <w:rPr>
          <w:szCs w:val="22"/>
        </w:rPr>
        <w:t xml:space="preserve">potential </w:t>
      </w:r>
      <w:r w:rsidR="0040404E">
        <w:rPr>
          <w:szCs w:val="22"/>
        </w:rPr>
        <w:t xml:space="preserve">to adversely affect </w:t>
      </w:r>
      <w:r w:rsidR="00783E92">
        <w:rPr>
          <w:szCs w:val="22"/>
        </w:rPr>
        <w:t>historic properties</w:t>
      </w:r>
      <w:r w:rsidR="00FB623C" w:rsidRPr="00FB623C">
        <w:rPr>
          <w:szCs w:val="22"/>
        </w:rPr>
        <w:t xml:space="preserve">.   </w:t>
      </w:r>
    </w:p>
    <w:p w14:paraId="4BBE0F54" w14:textId="77777777" w:rsidR="000A55A8" w:rsidRDefault="000A55A8" w:rsidP="000A55A8">
      <w:pPr>
        <w:ind w:firstLine="720"/>
        <w:rPr>
          <w:szCs w:val="22"/>
        </w:rPr>
      </w:pPr>
    </w:p>
    <w:p w14:paraId="555EF08B" w14:textId="7BAA693C" w:rsidR="00D15DB0" w:rsidRDefault="000A55A8" w:rsidP="004419CA">
      <w:pPr>
        <w:ind w:firstLine="720"/>
        <w:rPr>
          <w:szCs w:val="22"/>
        </w:rPr>
      </w:pPr>
      <w:r>
        <w:rPr>
          <w:szCs w:val="22"/>
        </w:rPr>
        <w:t xml:space="preserve">In the </w:t>
      </w:r>
      <w:r w:rsidR="00C30167" w:rsidRPr="00C30167">
        <w:rPr>
          <w:i/>
          <w:szCs w:val="22"/>
        </w:rPr>
        <w:t>Infrastructure Report and Order</w:t>
      </w:r>
      <w:r>
        <w:rPr>
          <w:szCs w:val="22"/>
        </w:rPr>
        <w:t xml:space="preserve">, the Commission recognized that DAS networks and small cell facilities </w:t>
      </w:r>
      <w:r w:rsidRPr="00FB623C">
        <w:rPr>
          <w:szCs w:val="22"/>
        </w:rPr>
        <w:t>use components that are a fraction of the size of</w:t>
      </w:r>
      <w:r w:rsidR="00620C0B">
        <w:rPr>
          <w:szCs w:val="22"/>
        </w:rPr>
        <w:t xml:space="preserve"> traditional cell tower</w:t>
      </w:r>
      <w:r w:rsidRPr="00FB623C">
        <w:rPr>
          <w:szCs w:val="22"/>
        </w:rPr>
        <w:t xml:space="preserve"> deployments and can</w:t>
      </w:r>
      <w:r w:rsidR="00787003">
        <w:rPr>
          <w:szCs w:val="22"/>
        </w:rPr>
        <w:t xml:space="preserve"> often</w:t>
      </w:r>
      <w:r w:rsidRPr="00FB623C">
        <w:rPr>
          <w:szCs w:val="22"/>
        </w:rPr>
        <w:t xml:space="preserve"> be installed</w:t>
      </w:r>
      <w:r w:rsidR="00FA7CEB">
        <w:rPr>
          <w:szCs w:val="22"/>
        </w:rPr>
        <w:t xml:space="preserve"> </w:t>
      </w:r>
      <w:r w:rsidR="00541A16">
        <w:rPr>
          <w:szCs w:val="22"/>
        </w:rPr>
        <w:t xml:space="preserve">on </w:t>
      </w:r>
      <w:r w:rsidRPr="00FB623C">
        <w:rPr>
          <w:szCs w:val="22"/>
        </w:rPr>
        <w:t>utility poles, buildings, and other existing structures</w:t>
      </w:r>
      <w:r w:rsidR="00787003">
        <w:rPr>
          <w:szCs w:val="22"/>
        </w:rPr>
        <w:t xml:space="preserve"> with no potential to cause effects on historic properties</w:t>
      </w:r>
      <w:r w:rsidRPr="00FB623C">
        <w:rPr>
          <w:szCs w:val="22"/>
        </w:rPr>
        <w:t>.</w:t>
      </w:r>
      <w:r w:rsidR="00C170FD">
        <w:rPr>
          <w:rStyle w:val="FootnoteReference"/>
          <w:szCs w:val="22"/>
        </w:rPr>
        <w:footnoteReference w:id="8"/>
      </w:r>
      <w:r>
        <w:rPr>
          <w:szCs w:val="22"/>
        </w:rPr>
        <w:t xml:space="preserve">  Accordingly, </w:t>
      </w:r>
      <w:r w:rsidR="00FB623C">
        <w:rPr>
          <w:szCs w:val="22"/>
        </w:rPr>
        <w:t xml:space="preserve">the </w:t>
      </w:r>
      <w:r w:rsidR="00D15DB0">
        <w:rPr>
          <w:i/>
          <w:szCs w:val="22"/>
        </w:rPr>
        <w:t>Infrastructure Report and O</w:t>
      </w:r>
      <w:r w:rsidR="00D15DB0" w:rsidRPr="001C761F">
        <w:rPr>
          <w:i/>
          <w:szCs w:val="22"/>
        </w:rPr>
        <w:t>rder</w:t>
      </w:r>
      <w:r w:rsidR="00FB623C" w:rsidRPr="00FB623C">
        <w:rPr>
          <w:snapToGrid w:val="0"/>
          <w:kern w:val="28"/>
        </w:rPr>
        <w:t xml:space="preserve"> </w:t>
      </w:r>
      <w:r w:rsidR="00D15DB0">
        <w:rPr>
          <w:snapToGrid w:val="0"/>
          <w:kern w:val="28"/>
        </w:rPr>
        <w:t xml:space="preserve">established </w:t>
      </w:r>
      <w:r w:rsidR="00995260">
        <w:rPr>
          <w:snapToGrid w:val="0"/>
          <w:kern w:val="28"/>
        </w:rPr>
        <w:t>targeted</w:t>
      </w:r>
      <w:r w:rsidR="00D15DB0">
        <w:rPr>
          <w:snapToGrid w:val="0"/>
          <w:kern w:val="28"/>
        </w:rPr>
        <w:t xml:space="preserve"> exceptions from</w:t>
      </w:r>
      <w:r w:rsidR="00CA33CC">
        <w:rPr>
          <w:snapToGrid w:val="0"/>
          <w:kern w:val="28"/>
        </w:rPr>
        <w:t xml:space="preserve"> </w:t>
      </w:r>
      <w:r w:rsidR="00D15DB0">
        <w:rPr>
          <w:szCs w:val="22"/>
        </w:rPr>
        <w:t xml:space="preserve">historic preservation review requirements </w:t>
      </w:r>
      <w:r w:rsidR="00CA33CC">
        <w:rPr>
          <w:szCs w:val="22"/>
        </w:rPr>
        <w:t xml:space="preserve">under Section 106 </w:t>
      </w:r>
      <w:r w:rsidR="00995260">
        <w:rPr>
          <w:szCs w:val="22"/>
        </w:rPr>
        <w:t>in such cases</w:t>
      </w:r>
      <w:r w:rsidR="00BB7D19">
        <w:rPr>
          <w:szCs w:val="22"/>
        </w:rPr>
        <w:t>.</w:t>
      </w:r>
      <w:r w:rsidR="004419CA">
        <w:rPr>
          <w:szCs w:val="22"/>
        </w:rPr>
        <w:t xml:space="preserve">  </w:t>
      </w:r>
      <w:r w:rsidR="00B130C0">
        <w:rPr>
          <w:szCs w:val="22"/>
        </w:rPr>
        <w:t>T</w:t>
      </w:r>
      <w:r w:rsidR="004419CA" w:rsidRPr="004419CA">
        <w:rPr>
          <w:szCs w:val="22"/>
        </w:rPr>
        <w:t>he</w:t>
      </w:r>
      <w:r w:rsidR="004419CA">
        <w:rPr>
          <w:szCs w:val="22"/>
        </w:rPr>
        <w:t xml:space="preserve"> </w:t>
      </w:r>
      <w:r w:rsidR="004419CA" w:rsidRPr="004419CA">
        <w:rPr>
          <w:szCs w:val="22"/>
        </w:rPr>
        <w:t xml:space="preserve">Commission </w:t>
      </w:r>
      <w:r w:rsidR="003501EA">
        <w:rPr>
          <w:szCs w:val="22"/>
        </w:rPr>
        <w:t>stressed that there is room for additional improvement</w:t>
      </w:r>
      <w:r w:rsidR="003763F3">
        <w:rPr>
          <w:szCs w:val="22"/>
        </w:rPr>
        <w:t xml:space="preserve"> to our process</w:t>
      </w:r>
      <w:r w:rsidR="003501EA">
        <w:rPr>
          <w:szCs w:val="22"/>
        </w:rPr>
        <w:t xml:space="preserve"> in this area</w:t>
      </w:r>
      <w:r w:rsidR="00C170FD">
        <w:rPr>
          <w:szCs w:val="22"/>
        </w:rPr>
        <w:t xml:space="preserve">, but </w:t>
      </w:r>
      <w:r w:rsidR="000E0CE9">
        <w:rPr>
          <w:szCs w:val="22"/>
        </w:rPr>
        <w:t xml:space="preserve">added that </w:t>
      </w:r>
      <w:r w:rsidR="003501EA">
        <w:rPr>
          <w:szCs w:val="22"/>
        </w:rPr>
        <w:t xml:space="preserve">any </w:t>
      </w:r>
      <w:r w:rsidR="003763F3">
        <w:rPr>
          <w:szCs w:val="22"/>
        </w:rPr>
        <w:t>more comprehensive measures</w:t>
      </w:r>
      <w:r w:rsidR="003501EA">
        <w:rPr>
          <w:szCs w:val="22"/>
        </w:rPr>
        <w:t xml:space="preserve"> </w:t>
      </w:r>
      <w:r w:rsidR="000E0CE9">
        <w:rPr>
          <w:szCs w:val="22"/>
        </w:rPr>
        <w:t xml:space="preserve">would </w:t>
      </w:r>
      <w:r w:rsidR="003501EA">
        <w:rPr>
          <w:szCs w:val="22"/>
        </w:rPr>
        <w:t xml:space="preserve">require additional </w:t>
      </w:r>
      <w:r w:rsidR="003763F3">
        <w:rPr>
          <w:szCs w:val="22"/>
        </w:rPr>
        <w:t>consideration</w:t>
      </w:r>
      <w:r w:rsidR="003501EA">
        <w:rPr>
          <w:szCs w:val="22"/>
        </w:rPr>
        <w:t xml:space="preserve"> and </w:t>
      </w:r>
      <w:r w:rsidR="003763F3">
        <w:rPr>
          <w:szCs w:val="22"/>
        </w:rPr>
        <w:t>consultation</w:t>
      </w:r>
      <w:r w:rsidR="003501EA">
        <w:rPr>
          <w:szCs w:val="22"/>
        </w:rPr>
        <w:t xml:space="preserve"> and are more appropriately addressed and developed through the program alternative process</w:t>
      </w:r>
      <w:r w:rsidR="00426DFA">
        <w:rPr>
          <w:szCs w:val="22"/>
        </w:rPr>
        <w:t>.</w:t>
      </w:r>
      <w:r w:rsidR="00FA7CEB">
        <w:rPr>
          <w:rStyle w:val="FootnoteReference"/>
          <w:szCs w:val="22"/>
        </w:rPr>
        <w:footnoteReference w:id="9"/>
      </w:r>
      <w:r w:rsidR="00426DFA">
        <w:rPr>
          <w:szCs w:val="22"/>
        </w:rPr>
        <w:t xml:space="preserve">  </w:t>
      </w:r>
    </w:p>
    <w:p w14:paraId="363ED4F8" w14:textId="77777777" w:rsidR="00D15DB0" w:rsidRDefault="00D15DB0" w:rsidP="004419CA">
      <w:pPr>
        <w:ind w:firstLine="720"/>
        <w:rPr>
          <w:szCs w:val="22"/>
        </w:rPr>
      </w:pPr>
    </w:p>
    <w:p w14:paraId="237D0B15" w14:textId="77777777" w:rsidR="000A55A8" w:rsidRDefault="00D54953" w:rsidP="004419CA">
      <w:pPr>
        <w:ind w:firstLine="720"/>
        <w:rPr>
          <w:szCs w:val="22"/>
        </w:rPr>
      </w:pPr>
      <w:r>
        <w:rPr>
          <w:szCs w:val="22"/>
        </w:rPr>
        <w:t>T</w:t>
      </w:r>
      <w:r w:rsidR="00426DFA">
        <w:rPr>
          <w:szCs w:val="22"/>
        </w:rPr>
        <w:t>he</w:t>
      </w:r>
      <w:r w:rsidR="00C1265C">
        <w:rPr>
          <w:szCs w:val="22"/>
        </w:rPr>
        <w:t xml:space="preserve"> Commission </w:t>
      </w:r>
      <w:r w:rsidR="001C761F">
        <w:rPr>
          <w:szCs w:val="22"/>
        </w:rPr>
        <w:t xml:space="preserve">made a </w:t>
      </w:r>
      <w:r>
        <w:rPr>
          <w:szCs w:val="22"/>
        </w:rPr>
        <w:t>commit</w:t>
      </w:r>
      <w:r w:rsidR="001C761F">
        <w:rPr>
          <w:szCs w:val="22"/>
        </w:rPr>
        <w:t>ment</w:t>
      </w:r>
      <w:r>
        <w:rPr>
          <w:szCs w:val="22"/>
        </w:rPr>
        <w:t xml:space="preserve"> to</w:t>
      </w:r>
      <w:r w:rsidR="00426DFA">
        <w:rPr>
          <w:szCs w:val="22"/>
        </w:rPr>
        <w:t xml:space="preserve"> work with ACHP and other stakeholders to develop a program alternative t</w:t>
      </w:r>
      <w:r>
        <w:rPr>
          <w:szCs w:val="22"/>
        </w:rPr>
        <w:t xml:space="preserve">o appropriately </w:t>
      </w:r>
      <w:r w:rsidR="00426DFA">
        <w:rPr>
          <w:szCs w:val="22"/>
        </w:rPr>
        <w:t>promote additional efficiencies in the historic preservation review of DAS and small-cell deployments.</w:t>
      </w:r>
      <w:r w:rsidR="00426DFA">
        <w:rPr>
          <w:rStyle w:val="FootnoteReference"/>
          <w:szCs w:val="22"/>
        </w:rPr>
        <w:footnoteReference w:id="10"/>
      </w:r>
      <w:r w:rsidR="00426DFA">
        <w:rPr>
          <w:szCs w:val="22"/>
        </w:rPr>
        <w:t xml:space="preserve">  </w:t>
      </w:r>
      <w:r w:rsidR="003763F3">
        <w:rPr>
          <w:szCs w:val="22"/>
        </w:rPr>
        <w:t>An</w:t>
      </w:r>
      <w:r w:rsidR="00426DFA">
        <w:rPr>
          <w:szCs w:val="22"/>
        </w:rPr>
        <w:t xml:space="preserve"> amendment to the Collocation Agreement </w:t>
      </w:r>
      <w:r w:rsidR="003763F3">
        <w:rPr>
          <w:szCs w:val="22"/>
        </w:rPr>
        <w:t>would be</w:t>
      </w:r>
      <w:r w:rsidR="00426DFA">
        <w:rPr>
          <w:szCs w:val="22"/>
        </w:rPr>
        <w:t xml:space="preserve"> considered a program alternative that falls under th</w:t>
      </w:r>
      <w:r w:rsidR="001C761F">
        <w:rPr>
          <w:szCs w:val="22"/>
        </w:rPr>
        <w:t>e</w:t>
      </w:r>
      <w:r w:rsidR="00426DFA">
        <w:rPr>
          <w:szCs w:val="22"/>
        </w:rPr>
        <w:t xml:space="preserve"> process</w:t>
      </w:r>
      <w:r w:rsidR="00C170FD">
        <w:rPr>
          <w:szCs w:val="22"/>
        </w:rPr>
        <w:t xml:space="preserve"> </w:t>
      </w:r>
      <w:r w:rsidR="00C164CD">
        <w:rPr>
          <w:szCs w:val="22"/>
        </w:rPr>
        <w:t>outlined in the ACHP regulations</w:t>
      </w:r>
      <w:r w:rsidR="001C761F">
        <w:rPr>
          <w:szCs w:val="22"/>
        </w:rPr>
        <w:t>.</w:t>
      </w:r>
      <w:r w:rsidR="001C761F">
        <w:rPr>
          <w:rStyle w:val="FootnoteReference"/>
          <w:szCs w:val="22"/>
        </w:rPr>
        <w:footnoteReference w:id="11"/>
      </w:r>
      <w:r w:rsidR="001C761F">
        <w:rPr>
          <w:szCs w:val="22"/>
        </w:rPr>
        <w:t xml:space="preserve"> </w:t>
      </w:r>
      <w:r w:rsidR="00C164CD">
        <w:rPr>
          <w:szCs w:val="22"/>
        </w:rPr>
        <w:t xml:space="preserve"> </w:t>
      </w:r>
      <w:r w:rsidR="003501EA">
        <w:rPr>
          <w:szCs w:val="22"/>
        </w:rPr>
        <w:t xml:space="preserve"> </w:t>
      </w:r>
      <w:r w:rsidR="008B4BD9">
        <w:rPr>
          <w:szCs w:val="22"/>
        </w:rPr>
        <w:t xml:space="preserve"> </w:t>
      </w:r>
      <w:r w:rsidR="00B47A40">
        <w:rPr>
          <w:szCs w:val="22"/>
        </w:rPr>
        <w:t xml:space="preserve">  </w:t>
      </w:r>
      <w:r w:rsidR="00FB623C">
        <w:rPr>
          <w:szCs w:val="22"/>
        </w:rPr>
        <w:t xml:space="preserve">  </w:t>
      </w:r>
    </w:p>
    <w:p w14:paraId="0F1EE811" w14:textId="77777777" w:rsidR="000A55A8" w:rsidRDefault="000A55A8" w:rsidP="000A55A8">
      <w:pPr>
        <w:ind w:firstLine="720"/>
        <w:rPr>
          <w:szCs w:val="22"/>
        </w:rPr>
      </w:pPr>
    </w:p>
    <w:p w14:paraId="2FB999EF" w14:textId="53940E18" w:rsidR="00377F57" w:rsidRDefault="00EF6716" w:rsidP="000A55A8">
      <w:pPr>
        <w:ind w:firstLine="720"/>
        <w:rPr>
          <w:szCs w:val="22"/>
        </w:rPr>
      </w:pPr>
      <w:r>
        <w:rPr>
          <w:szCs w:val="22"/>
        </w:rPr>
        <w:t xml:space="preserve">This Public Notice and the accompanying </w:t>
      </w:r>
      <w:r w:rsidR="00541A16">
        <w:rPr>
          <w:szCs w:val="22"/>
        </w:rPr>
        <w:t xml:space="preserve">Section 106 </w:t>
      </w:r>
      <w:r>
        <w:rPr>
          <w:szCs w:val="22"/>
        </w:rPr>
        <w:t xml:space="preserve">Scoping Document formally initiate the process of </w:t>
      </w:r>
      <w:r w:rsidR="008B4BD9">
        <w:rPr>
          <w:szCs w:val="22"/>
        </w:rPr>
        <w:t>amending the Collocation Agreement</w:t>
      </w:r>
      <w:r w:rsidR="007A2FB1">
        <w:rPr>
          <w:szCs w:val="22"/>
        </w:rPr>
        <w:t xml:space="preserve"> to </w:t>
      </w:r>
      <w:r w:rsidR="003763F3">
        <w:rPr>
          <w:szCs w:val="22"/>
        </w:rPr>
        <w:t>more comprehensively define and limit</w:t>
      </w:r>
      <w:r w:rsidR="007A2FB1">
        <w:rPr>
          <w:szCs w:val="22"/>
        </w:rPr>
        <w:t xml:space="preserve"> Section 106 </w:t>
      </w:r>
      <w:r w:rsidR="003763F3">
        <w:rPr>
          <w:szCs w:val="22"/>
        </w:rPr>
        <w:t>review</w:t>
      </w:r>
      <w:r w:rsidR="007A2FB1">
        <w:rPr>
          <w:szCs w:val="22"/>
        </w:rPr>
        <w:t xml:space="preserve"> </w:t>
      </w:r>
      <w:r w:rsidR="009F5580">
        <w:rPr>
          <w:szCs w:val="22"/>
        </w:rPr>
        <w:t xml:space="preserve">for </w:t>
      </w:r>
      <w:r w:rsidR="007A2FB1">
        <w:rPr>
          <w:szCs w:val="22"/>
        </w:rPr>
        <w:t xml:space="preserve">small </w:t>
      </w:r>
      <w:r w:rsidR="00995260">
        <w:rPr>
          <w:szCs w:val="22"/>
        </w:rPr>
        <w:t xml:space="preserve">wireless </w:t>
      </w:r>
      <w:r w:rsidR="007A2FB1">
        <w:rPr>
          <w:szCs w:val="22"/>
        </w:rPr>
        <w:t>communications facility deployments</w:t>
      </w:r>
      <w:r w:rsidR="003763F3">
        <w:rPr>
          <w:szCs w:val="22"/>
        </w:rPr>
        <w:t xml:space="preserve"> that are unlikely to </w:t>
      </w:r>
      <w:r w:rsidR="00620C0B">
        <w:rPr>
          <w:szCs w:val="22"/>
        </w:rPr>
        <w:t xml:space="preserve">have adverse effects on </w:t>
      </w:r>
      <w:r w:rsidR="003763F3">
        <w:rPr>
          <w:szCs w:val="22"/>
        </w:rPr>
        <w:t>historic properties</w:t>
      </w:r>
      <w:r w:rsidR="007A2FB1">
        <w:rPr>
          <w:szCs w:val="22"/>
        </w:rPr>
        <w:t xml:space="preserve">.  Pursuant to the Commission’s commitment in the </w:t>
      </w:r>
      <w:r w:rsidR="00C30167" w:rsidRPr="00C30167">
        <w:rPr>
          <w:i/>
          <w:szCs w:val="22"/>
        </w:rPr>
        <w:t>Infrastructure Report and Order</w:t>
      </w:r>
      <w:r w:rsidR="007A2FB1">
        <w:rPr>
          <w:szCs w:val="22"/>
        </w:rPr>
        <w:t xml:space="preserve">, the attached </w:t>
      </w:r>
      <w:r w:rsidR="00541A16">
        <w:rPr>
          <w:szCs w:val="22"/>
        </w:rPr>
        <w:t xml:space="preserve">Section 106 </w:t>
      </w:r>
      <w:r w:rsidR="007A2FB1">
        <w:rPr>
          <w:szCs w:val="22"/>
        </w:rPr>
        <w:t>Scoping Document</w:t>
      </w:r>
      <w:r w:rsidR="00FB623C">
        <w:rPr>
          <w:szCs w:val="22"/>
        </w:rPr>
        <w:t xml:space="preserve"> seek</w:t>
      </w:r>
      <w:r w:rsidR="007A2FB1">
        <w:rPr>
          <w:szCs w:val="22"/>
        </w:rPr>
        <w:t>s</w:t>
      </w:r>
      <w:r w:rsidR="00FB623C">
        <w:rPr>
          <w:szCs w:val="22"/>
        </w:rPr>
        <w:t xml:space="preserve"> </w:t>
      </w:r>
      <w:r w:rsidR="007A2FB1">
        <w:rPr>
          <w:szCs w:val="22"/>
        </w:rPr>
        <w:t xml:space="preserve">specific </w:t>
      </w:r>
      <w:r w:rsidR="00FB623C">
        <w:rPr>
          <w:szCs w:val="22"/>
        </w:rPr>
        <w:t>comment on</w:t>
      </w:r>
      <w:r w:rsidR="00BB7D19">
        <w:rPr>
          <w:szCs w:val="22"/>
        </w:rPr>
        <w:t xml:space="preserve"> a </w:t>
      </w:r>
      <w:r w:rsidR="007A2FB1">
        <w:rPr>
          <w:szCs w:val="22"/>
        </w:rPr>
        <w:t xml:space="preserve">number of options for </w:t>
      </w:r>
      <w:r w:rsidR="008B4BD9">
        <w:rPr>
          <w:szCs w:val="22"/>
        </w:rPr>
        <w:t>such an amendment</w:t>
      </w:r>
      <w:r w:rsidR="00FB623C">
        <w:rPr>
          <w:szCs w:val="22"/>
        </w:rPr>
        <w:t xml:space="preserve"> t</w:t>
      </w:r>
      <w:r w:rsidR="007A2FB1">
        <w:rPr>
          <w:szCs w:val="22"/>
        </w:rPr>
        <w:t>hat would</w:t>
      </w:r>
      <w:r w:rsidR="00FB623C">
        <w:rPr>
          <w:szCs w:val="22"/>
        </w:rPr>
        <w:t xml:space="preserve"> </w:t>
      </w:r>
      <w:r w:rsidR="00BB7D19">
        <w:rPr>
          <w:szCs w:val="22"/>
        </w:rPr>
        <w:t xml:space="preserve">further </w:t>
      </w:r>
      <w:r w:rsidR="00FB623C">
        <w:rPr>
          <w:szCs w:val="22"/>
        </w:rPr>
        <w:t>tailor the Section 106</w:t>
      </w:r>
      <w:r w:rsidR="00BB7D19">
        <w:rPr>
          <w:szCs w:val="22"/>
        </w:rPr>
        <w:t xml:space="preserve"> process </w:t>
      </w:r>
      <w:r w:rsidR="00095624">
        <w:rPr>
          <w:szCs w:val="22"/>
        </w:rPr>
        <w:t xml:space="preserve">to the specific circumstances </w:t>
      </w:r>
      <w:r w:rsidR="007A2FB1">
        <w:rPr>
          <w:szCs w:val="22"/>
        </w:rPr>
        <w:t xml:space="preserve">posed by the deployment </w:t>
      </w:r>
      <w:r w:rsidR="00095624">
        <w:rPr>
          <w:szCs w:val="22"/>
        </w:rPr>
        <w:t xml:space="preserve">of </w:t>
      </w:r>
      <w:r w:rsidR="007A2FB1">
        <w:rPr>
          <w:szCs w:val="22"/>
        </w:rPr>
        <w:t xml:space="preserve">small </w:t>
      </w:r>
      <w:r w:rsidR="00995260">
        <w:rPr>
          <w:szCs w:val="22"/>
        </w:rPr>
        <w:t xml:space="preserve">wireless </w:t>
      </w:r>
      <w:r w:rsidR="007A2FB1">
        <w:rPr>
          <w:szCs w:val="22"/>
        </w:rPr>
        <w:t xml:space="preserve">communications </w:t>
      </w:r>
      <w:r w:rsidR="00BB7D19">
        <w:rPr>
          <w:szCs w:val="22"/>
        </w:rPr>
        <w:t>facilities.</w:t>
      </w:r>
      <w:r w:rsidR="00FB623C">
        <w:rPr>
          <w:szCs w:val="22"/>
        </w:rPr>
        <w:t xml:space="preserve">  </w:t>
      </w:r>
      <w:r w:rsidR="003763F3">
        <w:rPr>
          <w:szCs w:val="22"/>
        </w:rPr>
        <w:t>We note that any amendment to the Collocation Agreement would affect only the Commission’s review process under Section 106 of the NHPA, and would not limit State and local governments’ authority to enforce their own historic preservation requirements consistent with Section 332(c)(7) of the Communications Act and Section 6409(a) of the Middle Class</w:t>
      </w:r>
      <w:r w:rsidR="003235E2">
        <w:rPr>
          <w:szCs w:val="22"/>
        </w:rPr>
        <w:t xml:space="preserve"> Tax Relief and Job Creation Act of 2012</w:t>
      </w:r>
      <w:r w:rsidR="003763F3">
        <w:rPr>
          <w:szCs w:val="22"/>
        </w:rPr>
        <w:t>.</w:t>
      </w:r>
      <w:r w:rsidR="003763F3">
        <w:rPr>
          <w:rStyle w:val="FootnoteReference"/>
          <w:szCs w:val="22"/>
        </w:rPr>
        <w:footnoteReference w:id="12"/>
      </w:r>
    </w:p>
    <w:p w14:paraId="7E5343C8" w14:textId="42B79281" w:rsidR="003A2AE9" w:rsidRDefault="003A2AE9" w:rsidP="00FB623C">
      <w:pPr>
        <w:ind w:firstLine="720"/>
        <w:rPr>
          <w:szCs w:val="22"/>
        </w:rPr>
      </w:pPr>
    </w:p>
    <w:p w14:paraId="5B5C4751" w14:textId="75D31E1E" w:rsidR="002245C5" w:rsidRDefault="008B4BD9" w:rsidP="005368E3">
      <w:pPr>
        <w:ind w:firstLine="720"/>
        <w:rPr>
          <w:szCs w:val="22"/>
        </w:rPr>
      </w:pPr>
      <w:r>
        <w:rPr>
          <w:szCs w:val="22"/>
        </w:rPr>
        <w:t xml:space="preserve">The </w:t>
      </w:r>
      <w:r w:rsidR="00FC028D">
        <w:rPr>
          <w:szCs w:val="22"/>
        </w:rPr>
        <w:t>Collocation Agreement</w:t>
      </w:r>
      <w:r w:rsidR="00D91CD0">
        <w:rPr>
          <w:szCs w:val="22"/>
        </w:rPr>
        <w:t xml:space="preserve"> </w:t>
      </w:r>
      <w:r w:rsidR="00D91CD0" w:rsidRPr="00D91CD0">
        <w:rPr>
          <w:szCs w:val="22"/>
        </w:rPr>
        <w:t>provides that most collocations of antennas on existing</w:t>
      </w:r>
      <w:r w:rsidR="00541A16">
        <w:rPr>
          <w:szCs w:val="22"/>
        </w:rPr>
        <w:t xml:space="preserve"> buildings and </w:t>
      </w:r>
      <w:r w:rsidR="00D91CD0" w:rsidRPr="00D91CD0">
        <w:rPr>
          <w:szCs w:val="22"/>
        </w:rPr>
        <w:t xml:space="preserve">structures are excluded </w:t>
      </w:r>
      <w:r w:rsidR="00D62CAC">
        <w:rPr>
          <w:szCs w:val="22"/>
        </w:rPr>
        <w:t xml:space="preserve">from </w:t>
      </w:r>
      <w:r w:rsidR="00831F06">
        <w:rPr>
          <w:szCs w:val="22"/>
        </w:rPr>
        <w:t>Section 106</w:t>
      </w:r>
      <w:r w:rsidR="00D62CAC">
        <w:rPr>
          <w:szCs w:val="22"/>
        </w:rPr>
        <w:t xml:space="preserve"> review</w:t>
      </w:r>
      <w:r w:rsidR="00831F06">
        <w:rPr>
          <w:szCs w:val="22"/>
        </w:rPr>
        <w:t xml:space="preserve">, </w:t>
      </w:r>
      <w:r w:rsidR="00D91CD0" w:rsidRPr="00D91CD0">
        <w:rPr>
          <w:szCs w:val="22"/>
        </w:rPr>
        <w:t>with a few defined exceptions to address potentially problematic situations</w:t>
      </w:r>
      <w:r w:rsidR="005A6146">
        <w:rPr>
          <w:szCs w:val="22"/>
        </w:rPr>
        <w:t xml:space="preserve">.  </w:t>
      </w:r>
      <w:r>
        <w:rPr>
          <w:szCs w:val="22"/>
        </w:rPr>
        <w:t>Our goal is to amend the Collocation Agreement</w:t>
      </w:r>
      <w:r w:rsidR="00FC028D">
        <w:rPr>
          <w:szCs w:val="22"/>
        </w:rPr>
        <w:t xml:space="preserve"> by adopting </w:t>
      </w:r>
      <w:r w:rsidR="00272CF7">
        <w:rPr>
          <w:szCs w:val="22"/>
        </w:rPr>
        <w:t>provisions</w:t>
      </w:r>
      <w:r w:rsidR="00831F06">
        <w:rPr>
          <w:szCs w:val="22"/>
        </w:rPr>
        <w:t xml:space="preserve"> specific</w:t>
      </w:r>
      <w:r w:rsidR="00FC028D">
        <w:rPr>
          <w:szCs w:val="22"/>
        </w:rPr>
        <w:t xml:space="preserve"> to the review of small </w:t>
      </w:r>
      <w:r w:rsidR="00995260">
        <w:rPr>
          <w:szCs w:val="22"/>
        </w:rPr>
        <w:t xml:space="preserve">wireless </w:t>
      </w:r>
      <w:r w:rsidR="00FC028D">
        <w:rPr>
          <w:szCs w:val="22"/>
        </w:rPr>
        <w:t xml:space="preserve">communications facility deployments </w:t>
      </w:r>
      <w:r w:rsidR="00D91CD0">
        <w:rPr>
          <w:szCs w:val="22"/>
        </w:rPr>
        <w:t>that meet specified criteria</w:t>
      </w:r>
      <w:r w:rsidR="00D91CD0" w:rsidRPr="00D91CD0">
        <w:rPr>
          <w:szCs w:val="22"/>
        </w:rPr>
        <w:t>.</w:t>
      </w:r>
      <w:r w:rsidR="00A37D5B">
        <w:rPr>
          <w:rStyle w:val="FootnoteReference"/>
          <w:szCs w:val="22"/>
        </w:rPr>
        <w:footnoteReference w:id="13"/>
      </w:r>
      <w:r w:rsidR="00095624">
        <w:rPr>
          <w:szCs w:val="22"/>
        </w:rPr>
        <w:t xml:space="preserve">  </w:t>
      </w:r>
      <w:r w:rsidR="00E844CE">
        <w:rPr>
          <w:szCs w:val="22"/>
        </w:rPr>
        <w:t xml:space="preserve">The </w:t>
      </w:r>
      <w:r w:rsidR="00272CF7">
        <w:rPr>
          <w:szCs w:val="22"/>
        </w:rPr>
        <w:lastRenderedPageBreak/>
        <w:t>exclusions and other provisions</w:t>
      </w:r>
      <w:r w:rsidR="00E844CE">
        <w:rPr>
          <w:szCs w:val="22"/>
        </w:rPr>
        <w:t xml:space="preserve"> adopted pursuant to a</w:t>
      </w:r>
      <w:r>
        <w:rPr>
          <w:szCs w:val="22"/>
        </w:rPr>
        <w:t>n amendment to the Collocation Agreement</w:t>
      </w:r>
      <w:r w:rsidR="00E844CE">
        <w:rPr>
          <w:szCs w:val="22"/>
        </w:rPr>
        <w:t xml:space="preserve"> </w:t>
      </w:r>
      <w:r w:rsidR="00095624">
        <w:rPr>
          <w:szCs w:val="22"/>
        </w:rPr>
        <w:t xml:space="preserve">would </w:t>
      </w:r>
      <w:r w:rsidR="00831F06">
        <w:rPr>
          <w:szCs w:val="22"/>
        </w:rPr>
        <w:t>supplement</w:t>
      </w:r>
      <w:r w:rsidR="00095624">
        <w:rPr>
          <w:szCs w:val="22"/>
        </w:rPr>
        <w:t xml:space="preserve"> the two targeted exclusions from</w:t>
      </w:r>
      <w:r w:rsidR="00061843">
        <w:rPr>
          <w:szCs w:val="22"/>
        </w:rPr>
        <w:t xml:space="preserve"> </w:t>
      </w:r>
      <w:r w:rsidR="00095624">
        <w:rPr>
          <w:szCs w:val="22"/>
        </w:rPr>
        <w:t>Section 106</w:t>
      </w:r>
      <w:r w:rsidR="00061843">
        <w:rPr>
          <w:szCs w:val="22"/>
        </w:rPr>
        <w:t xml:space="preserve"> review</w:t>
      </w:r>
      <w:r w:rsidR="00095624">
        <w:rPr>
          <w:szCs w:val="22"/>
        </w:rPr>
        <w:t xml:space="preserve"> that the Commission adopted in the </w:t>
      </w:r>
      <w:r w:rsidR="00C30167" w:rsidRPr="00C30167">
        <w:rPr>
          <w:i/>
          <w:szCs w:val="22"/>
        </w:rPr>
        <w:t>Infrastructure Report and Order</w:t>
      </w:r>
      <w:r w:rsidR="00095624">
        <w:rPr>
          <w:szCs w:val="22"/>
        </w:rPr>
        <w:t xml:space="preserve"> for DAS and small cell deployments</w:t>
      </w:r>
      <w:r w:rsidR="00A37D5B">
        <w:rPr>
          <w:szCs w:val="22"/>
        </w:rPr>
        <w:t>, as well as the exclusions set forth in the Collocation Agreement</w:t>
      </w:r>
      <w:r w:rsidR="00095624">
        <w:rPr>
          <w:szCs w:val="22"/>
        </w:rPr>
        <w:t>.</w:t>
      </w:r>
      <w:r w:rsidR="00D91CD0" w:rsidRPr="00D91CD0">
        <w:rPr>
          <w:szCs w:val="22"/>
        </w:rPr>
        <w:t xml:space="preserve">  </w:t>
      </w:r>
      <w:r w:rsidR="003A2AE9">
        <w:rPr>
          <w:szCs w:val="22"/>
        </w:rPr>
        <w:t xml:space="preserve">In developing </w:t>
      </w:r>
      <w:r w:rsidR="00C1265C">
        <w:rPr>
          <w:szCs w:val="22"/>
        </w:rPr>
        <w:t>an</w:t>
      </w:r>
      <w:r w:rsidR="00541A16">
        <w:rPr>
          <w:szCs w:val="22"/>
        </w:rPr>
        <w:t xml:space="preserve"> amendment to the Collocation Agreement</w:t>
      </w:r>
      <w:r w:rsidR="003A2AE9">
        <w:rPr>
          <w:szCs w:val="22"/>
        </w:rPr>
        <w:t xml:space="preserve">, </w:t>
      </w:r>
      <w:r w:rsidR="00E844CE">
        <w:rPr>
          <w:szCs w:val="22"/>
        </w:rPr>
        <w:t>we are</w:t>
      </w:r>
      <w:r w:rsidR="003A2AE9">
        <w:rPr>
          <w:szCs w:val="22"/>
        </w:rPr>
        <w:t xml:space="preserve"> required to </w:t>
      </w:r>
      <w:r w:rsidR="005368E3">
        <w:rPr>
          <w:szCs w:val="22"/>
        </w:rPr>
        <w:t>arrange for public participation appropriate to the subject matter and the scope of the category</w:t>
      </w:r>
      <w:r w:rsidR="004117FC">
        <w:rPr>
          <w:szCs w:val="22"/>
        </w:rPr>
        <w:t xml:space="preserve"> of covered undertakings</w:t>
      </w:r>
      <w:r w:rsidR="005368E3">
        <w:rPr>
          <w:szCs w:val="22"/>
        </w:rPr>
        <w:t xml:space="preserve"> in accordance with the standards set forth in the ACHP’s rules.</w:t>
      </w:r>
      <w:r w:rsidR="005368E3">
        <w:rPr>
          <w:rStyle w:val="FootnoteReference"/>
          <w:szCs w:val="22"/>
        </w:rPr>
        <w:footnoteReference w:id="14"/>
      </w:r>
      <w:r w:rsidR="005368E3">
        <w:rPr>
          <w:szCs w:val="22"/>
        </w:rPr>
        <w:t xml:space="preserve">  This Public Notice and the accompanying </w:t>
      </w:r>
      <w:r w:rsidR="00541A16">
        <w:rPr>
          <w:szCs w:val="22"/>
        </w:rPr>
        <w:t xml:space="preserve">Section 106 </w:t>
      </w:r>
      <w:r w:rsidR="005368E3">
        <w:rPr>
          <w:szCs w:val="22"/>
        </w:rPr>
        <w:t xml:space="preserve">Scoping Document fulfill this requirement. </w:t>
      </w:r>
    </w:p>
    <w:p w14:paraId="7E28CB69" w14:textId="77777777" w:rsidR="005368E3" w:rsidRPr="006543BA" w:rsidRDefault="005368E3" w:rsidP="005368E3">
      <w:pPr>
        <w:ind w:firstLine="720"/>
        <w:rPr>
          <w:szCs w:val="22"/>
        </w:rPr>
      </w:pPr>
    </w:p>
    <w:p w14:paraId="7E1064F1" w14:textId="640DCB27" w:rsidR="005368E3" w:rsidRDefault="002245C5" w:rsidP="002245C5">
      <w:pPr>
        <w:ind w:firstLine="720"/>
        <w:rPr>
          <w:szCs w:val="22"/>
        </w:rPr>
      </w:pPr>
      <w:r w:rsidRPr="006543BA">
        <w:rPr>
          <w:szCs w:val="22"/>
        </w:rPr>
        <w:t>This Public Notice will be published in the Fed</w:t>
      </w:r>
      <w:r w:rsidR="0047526B" w:rsidRPr="006543BA">
        <w:rPr>
          <w:szCs w:val="22"/>
        </w:rPr>
        <w:t xml:space="preserve">eral Register.  Comments are due </w:t>
      </w:r>
      <w:r w:rsidR="00D91CD0">
        <w:rPr>
          <w:szCs w:val="22"/>
        </w:rPr>
        <w:t xml:space="preserve">on or before </w:t>
      </w:r>
      <w:r w:rsidR="00620B1E">
        <w:rPr>
          <w:szCs w:val="22"/>
        </w:rPr>
        <w:t>September 28,</w:t>
      </w:r>
      <w:r w:rsidR="005368E3">
        <w:rPr>
          <w:szCs w:val="22"/>
        </w:rPr>
        <w:t xml:space="preserve"> 201</w:t>
      </w:r>
      <w:r w:rsidR="009F5580">
        <w:rPr>
          <w:szCs w:val="22"/>
        </w:rPr>
        <w:t>5</w:t>
      </w:r>
      <w:r w:rsidR="0047526B" w:rsidRPr="006543BA">
        <w:rPr>
          <w:szCs w:val="22"/>
        </w:rPr>
        <w:t xml:space="preserve">.  </w:t>
      </w:r>
      <w:r w:rsidR="00995260">
        <w:rPr>
          <w:szCs w:val="22"/>
        </w:rPr>
        <w:t>We are not requesting</w:t>
      </w:r>
      <w:r w:rsidR="00DA5036" w:rsidRPr="006543BA">
        <w:rPr>
          <w:szCs w:val="22"/>
        </w:rPr>
        <w:t xml:space="preserve"> Reply Comments.</w:t>
      </w:r>
      <w:r w:rsidR="00DA5036">
        <w:rPr>
          <w:szCs w:val="22"/>
        </w:rPr>
        <w:t xml:space="preserve">  </w:t>
      </w:r>
    </w:p>
    <w:p w14:paraId="55FD5DAC" w14:textId="77777777" w:rsidR="005368E3" w:rsidRDefault="005368E3" w:rsidP="002245C5">
      <w:pPr>
        <w:ind w:firstLine="720"/>
        <w:rPr>
          <w:szCs w:val="22"/>
        </w:rPr>
      </w:pPr>
    </w:p>
    <w:p w14:paraId="73FF6D84" w14:textId="413DA061" w:rsidR="002245C5" w:rsidRPr="005368E3" w:rsidRDefault="00A078B2" w:rsidP="002245C5">
      <w:pPr>
        <w:ind w:firstLine="720"/>
        <w:rPr>
          <w:szCs w:val="22"/>
        </w:rPr>
      </w:pPr>
      <w:r>
        <w:rPr>
          <w:szCs w:val="22"/>
        </w:rPr>
        <w:t xml:space="preserve">This proceeding </w:t>
      </w:r>
      <w:r w:rsidR="005368E3">
        <w:rPr>
          <w:szCs w:val="22"/>
        </w:rPr>
        <w:t>will be treated as exempt under</w:t>
      </w:r>
      <w:r>
        <w:rPr>
          <w:szCs w:val="22"/>
        </w:rPr>
        <w:t xml:space="preserve"> the Commission’s </w:t>
      </w:r>
      <w:r w:rsidRPr="00A078B2">
        <w:rPr>
          <w:i/>
          <w:szCs w:val="22"/>
        </w:rPr>
        <w:t>ex parte</w:t>
      </w:r>
      <w:r>
        <w:rPr>
          <w:szCs w:val="22"/>
        </w:rPr>
        <w:t xml:space="preserve"> rules.</w:t>
      </w:r>
      <w:r w:rsidR="005368E3">
        <w:rPr>
          <w:rStyle w:val="FootnoteReference"/>
          <w:szCs w:val="22"/>
        </w:rPr>
        <w:footnoteReference w:id="15"/>
      </w:r>
      <w:r>
        <w:rPr>
          <w:szCs w:val="22"/>
        </w:rPr>
        <w:t xml:space="preserve">  </w:t>
      </w:r>
      <w:r w:rsidR="005368E3">
        <w:rPr>
          <w:szCs w:val="22"/>
        </w:rPr>
        <w:t xml:space="preserve">We find that treating this proceeding as exempt is in the public interest because: (1) the ACHP’s </w:t>
      </w:r>
      <w:r w:rsidR="009F5580">
        <w:rPr>
          <w:szCs w:val="22"/>
        </w:rPr>
        <w:t>p</w:t>
      </w:r>
      <w:r w:rsidR="005368E3">
        <w:rPr>
          <w:szCs w:val="22"/>
        </w:rPr>
        <w:t xml:space="preserve">rogram </w:t>
      </w:r>
      <w:r w:rsidR="009F5580">
        <w:rPr>
          <w:szCs w:val="22"/>
        </w:rPr>
        <w:t>a</w:t>
      </w:r>
      <w:r w:rsidR="00095624">
        <w:rPr>
          <w:szCs w:val="22"/>
        </w:rPr>
        <w:t xml:space="preserve">lternative </w:t>
      </w:r>
      <w:r w:rsidR="005368E3">
        <w:rPr>
          <w:szCs w:val="22"/>
        </w:rPr>
        <w:t xml:space="preserve">procedures require the Commission to gather facts, views, and information from multiple parties through consultation, including government-to-government consultation with Tribal Nations; (2) requiring </w:t>
      </w:r>
      <w:r w:rsidR="005368E3">
        <w:rPr>
          <w:i/>
          <w:szCs w:val="22"/>
        </w:rPr>
        <w:t>ex parte</w:t>
      </w:r>
      <w:r w:rsidR="005368E3">
        <w:rPr>
          <w:szCs w:val="22"/>
        </w:rPr>
        <w:t xml:space="preserve"> filings for each conversation in the development of the </w:t>
      </w:r>
      <w:r w:rsidR="009F5580">
        <w:rPr>
          <w:szCs w:val="22"/>
        </w:rPr>
        <w:t>p</w:t>
      </w:r>
      <w:r w:rsidR="005368E3">
        <w:rPr>
          <w:szCs w:val="22"/>
        </w:rPr>
        <w:t xml:space="preserve">rogram </w:t>
      </w:r>
      <w:r w:rsidR="009F5580">
        <w:rPr>
          <w:szCs w:val="22"/>
        </w:rPr>
        <w:t>a</w:t>
      </w:r>
      <w:r w:rsidR="008B4BD9">
        <w:rPr>
          <w:szCs w:val="22"/>
        </w:rPr>
        <w:t xml:space="preserve">lternative </w:t>
      </w:r>
      <w:r w:rsidR="005368E3">
        <w:rPr>
          <w:szCs w:val="22"/>
        </w:rPr>
        <w:t>would be cumbersome, would potentially inhibit the consultation process, and would likely delay its development; and (3) once developed, the Commission will submit the propo</w:t>
      </w:r>
      <w:r w:rsidR="00EF04EB">
        <w:rPr>
          <w:szCs w:val="22"/>
        </w:rPr>
        <w:t xml:space="preserve">sed </w:t>
      </w:r>
      <w:r w:rsidR="00541A16">
        <w:rPr>
          <w:szCs w:val="22"/>
        </w:rPr>
        <w:t xml:space="preserve">amendment to the Collocation Agreement </w:t>
      </w:r>
      <w:r w:rsidR="00EF04EB">
        <w:rPr>
          <w:szCs w:val="22"/>
        </w:rPr>
        <w:t>to the ACHP</w:t>
      </w:r>
      <w:r w:rsidR="009F5580">
        <w:rPr>
          <w:szCs w:val="22"/>
        </w:rPr>
        <w:t xml:space="preserve"> and will</w:t>
      </w:r>
      <w:r w:rsidR="005368E3">
        <w:rPr>
          <w:szCs w:val="22"/>
        </w:rPr>
        <w:t xml:space="preserve"> </w:t>
      </w:r>
      <w:r w:rsidR="004117FC">
        <w:rPr>
          <w:szCs w:val="22"/>
        </w:rPr>
        <w:t xml:space="preserve">publish notice of the availability of </w:t>
      </w:r>
      <w:r w:rsidR="005368E3">
        <w:rPr>
          <w:szCs w:val="22"/>
        </w:rPr>
        <w:t xml:space="preserve">the proposed </w:t>
      </w:r>
      <w:r w:rsidR="009F5580">
        <w:rPr>
          <w:szCs w:val="22"/>
        </w:rPr>
        <w:t>p</w:t>
      </w:r>
      <w:r w:rsidR="005368E3">
        <w:rPr>
          <w:szCs w:val="22"/>
        </w:rPr>
        <w:t xml:space="preserve">rogram </w:t>
      </w:r>
      <w:r w:rsidR="009F5580">
        <w:rPr>
          <w:szCs w:val="22"/>
        </w:rPr>
        <w:t>a</w:t>
      </w:r>
      <w:r w:rsidR="00095624">
        <w:rPr>
          <w:szCs w:val="22"/>
        </w:rPr>
        <w:t>lternative</w:t>
      </w:r>
      <w:r w:rsidR="005368E3">
        <w:rPr>
          <w:szCs w:val="22"/>
        </w:rPr>
        <w:t xml:space="preserve"> </w:t>
      </w:r>
      <w:r w:rsidR="004117FC">
        <w:rPr>
          <w:szCs w:val="22"/>
        </w:rPr>
        <w:t>in the Federal Register as required by ACHP regulations,</w:t>
      </w:r>
      <w:r w:rsidR="005368E3">
        <w:rPr>
          <w:szCs w:val="22"/>
        </w:rPr>
        <w:t xml:space="preserve"> thus giving all stakeholders an opportunity to </w:t>
      </w:r>
      <w:r w:rsidR="00D1010C">
        <w:rPr>
          <w:szCs w:val="22"/>
        </w:rPr>
        <w:t>comment</w:t>
      </w:r>
      <w:r w:rsidR="005368E3">
        <w:rPr>
          <w:szCs w:val="22"/>
        </w:rPr>
        <w:t xml:space="preserve"> on the record at the decisional stage.</w:t>
      </w:r>
      <w:r w:rsidR="00987CEF">
        <w:rPr>
          <w:rStyle w:val="FootnoteReference"/>
          <w:szCs w:val="22"/>
        </w:rPr>
        <w:footnoteReference w:id="16"/>
      </w:r>
    </w:p>
    <w:p w14:paraId="29195F95" w14:textId="77777777" w:rsidR="00521E9F" w:rsidRDefault="00521E9F" w:rsidP="00521E9F">
      <w:pPr>
        <w:pStyle w:val="ParaNum0"/>
        <w:numPr>
          <w:ilvl w:val="0"/>
          <w:numId w:val="0"/>
        </w:numPr>
        <w:ind w:left="720"/>
      </w:pPr>
    </w:p>
    <w:p w14:paraId="4D74B011" w14:textId="77777777" w:rsidR="00521E9F" w:rsidRDefault="00521E9F" w:rsidP="00521E9F">
      <w:pPr>
        <w:ind w:firstLine="720"/>
        <w:rPr>
          <w:szCs w:val="22"/>
        </w:rPr>
      </w:pPr>
      <w:r w:rsidRPr="00521E9F">
        <w:rPr>
          <w:szCs w:val="22"/>
          <w:u w:val="single"/>
        </w:rPr>
        <w:t>Filing instructions</w:t>
      </w:r>
      <w:r>
        <w:rPr>
          <w:szCs w:val="22"/>
        </w:rPr>
        <w:t xml:space="preserve">:  </w:t>
      </w:r>
      <w:r w:rsidRPr="00521E9F">
        <w:rPr>
          <w:szCs w:val="22"/>
        </w:rPr>
        <w:t xml:space="preserve">Interested parties may file comments on or before the date indicated on the first page of this document.  Comments may be filed using the Commission’s Electronic Comment Filing System (“ECFS”). </w:t>
      </w:r>
    </w:p>
    <w:p w14:paraId="10936D52" w14:textId="77777777" w:rsidR="00521E9F" w:rsidRPr="00521E9F" w:rsidRDefault="00521E9F" w:rsidP="00521E9F">
      <w:pPr>
        <w:ind w:firstLine="720"/>
        <w:rPr>
          <w:szCs w:val="22"/>
        </w:rPr>
      </w:pPr>
    </w:p>
    <w:p w14:paraId="02D5A0E9" w14:textId="559A1C2F" w:rsidR="00521E9F" w:rsidRPr="00D67DFA" w:rsidRDefault="00521E9F" w:rsidP="00521E9F">
      <w:pPr>
        <w:numPr>
          <w:ilvl w:val="0"/>
          <w:numId w:val="14"/>
        </w:numPr>
        <w:snapToGrid w:val="0"/>
        <w:rPr>
          <w:szCs w:val="22"/>
        </w:rPr>
      </w:pPr>
      <w:r w:rsidRPr="00D67DFA">
        <w:rPr>
          <w:szCs w:val="22"/>
        </w:rPr>
        <w:t xml:space="preserve">Electronic Filers:  Comments may be filed electronically using the Internet by accessing the ECFS:  </w:t>
      </w:r>
      <w:hyperlink r:id="rId8" w:history="1">
        <w:r w:rsidRPr="00D67DFA">
          <w:rPr>
            <w:rStyle w:val="Hyperlink"/>
            <w:szCs w:val="22"/>
          </w:rPr>
          <w:t>http://fjallfoss.fcc.gov/ecfs2/</w:t>
        </w:r>
      </w:hyperlink>
      <w:r w:rsidRPr="00D67DFA">
        <w:rPr>
          <w:szCs w:val="22"/>
        </w:rPr>
        <w:t xml:space="preserve">.  </w:t>
      </w:r>
    </w:p>
    <w:p w14:paraId="588AAE02" w14:textId="77777777" w:rsidR="00521E9F" w:rsidRPr="00D67DFA" w:rsidRDefault="00521E9F" w:rsidP="00521E9F">
      <w:pPr>
        <w:rPr>
          <w:szCs w:val="22"/>
        </w:rPr>
      </w:pPr>
    </w:p>
    <w:p w14:paraId="5B4278BD" w14:textId="77777777" w:rsidR="00521E9F" w:rsidRPr="00D67DFA" w:rsidRDefault="00521E9F" w:rsidP="00521E9F">
      <w:pPr>
        <w:numPr>
          <w:ilvl w:val="0"/>
          <w:numId w:val="15"/>
        </w:numPr>
        <w:snapToGrid w:val="0"/>
        <w:rPr>
          <w:szCs w:val="22"/>
        </w:rPr>
      </w:pPr>
      <w:r w:rsidRPr="00D67DFA">
        <w:rPr>
          <w:szCs w:val="22"/>
        </w:rPr>
        <w:t xml:space="preserve">Paper Filers:  Parties who choose to file by paper </w:t>
      </w:r>
      <w:r w:rsidR="0015531A">
        <w:rPr>
          <w:szCs w:val="22"/>
        </w:rPr>
        <w:t>should</w:t>
      </w:r>
      <w:r w:rsidRPr="00D67DFA">
        <w:rPr>
          <w:szCs w:val="22"/>
        </w:rPr>
        <w:t xml:space="preserve"> file an original and one copy of each filing.  If more than one docket or rulemaking number appears in the caption of this proceeding, filers </w:t>
      </w:r>
      <w:r w:rsidR="0015531A">
        <w:rPr>
          <w:szCs w:val="22"/>
        </w:rPr>
        <w:t>should</w:t>
      </w:r>
      <w:r w:rsidRPr="00D67DFA">
        <w:rPr>
          <w:szCs w:val="22"/>
        </w:rPr>
        <w:t xml:space="preserve"> submit two additional copies for each additional docket or rulemaking number.</w:t>
      </w:r>
    </w:p>
    <w:p w14:paraId="201EDEBA" w14:textId="77777777" w:rsidR="00521E9F" w:rsidRPr="00D67DFA" w:rsidRDefault="00521E9F" w:rsidP="00521E9F">
      <w:pPr>
        <w:rPr>
          <w:szCs w:val="22"/>
        </w:rPr>
      </w:pPr>
    </w:p>
    <w:p w14:paraId="5B5346E8" w14:textId="77777777" w:rsidR="00521E9F" w:rsidRPr="00D67DFA" w:rsidRDefault="00521E9F" w:rsidP="00521E9F">
      <w:pPr>
        <w:ind w:left="720"/>
        <w:rPr>
          <w:szCs w:val="22"/>
        </w:rPr>
      </w:pPr>
      <w:r w:rsidRPr="00D67DF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4D41B1C" w14:textId="77777777" w:rsidR="00521E9F" w:rsidRPr="00D67DFA" w:rsidRDefault="00521E9F" w:rsidP="00521E9F">
      <w:pPr>
        <w:rPr>
          <w:szCs w:val="22"/>
        </w:rPr>
      </w:pPr>
    </w:p>
    <w:p w14:paraId="7820B911" w14:textId="77777777" w:rsidR="00521E9F" w:rsidRPr="00D67DFA" w:rsidRDefault="00521E9F" w:rsidP="00521E9F">
      <w:pPr>
        <w:numPr>
          <w:ilvl w:val="0"/>
          <w:numId w:val="16"/>
        </w:numPr>
        <w:snapToGrid w:val="0"/>
        <w:rPr>
          <w:szCs w:val="22"/>
        </w:rPr>
      </w:pPr>
      <w:r w:rsidRPr="00D67DFA">
        <w:rPr>
          <w:szCs w:val="22"/>
        </w:rPr>
        <w:t>All hand-delivered or messenger-delivered paper filings for the Commission’s Secretary must be delivered to FCC Headquarters at 445 12</w:t>
      </w:r>
      <w:r w:rsidRPr="00D67DFA">
        <w:rPr>
          <w:szCs w:val="22"/>
          <w:vertAlign w:val="superscript"/>
        </w:rPr>
        <w:t>th</w:t>
      </w:r>
      <w:r w:rsidRPr="00D67DFA">
        <w:rPr>
          <w:szCs w:val="22"/>
        </w:rPr>
        <w:t xml:space="preserve"> St., SW, Room TW-A325, Washington, DC 20554.  The filing hours are 8:00 a.m. to 7:00 p.m.  All hand deliveries must be held together with rubber bands or fasteners.  Any envelopes and boxes must be disposed of </w:t>
      </w:r>
      <w:r w:rsidRPr="00D67DFA">
        <w:rPr>
          <w:szCs w:val="22"/>
          <w:u w:val="single"/>
        </w:rPr>
        <w:t>before</w:t>
      </w:r>
      <w:r w:rsidRPr="00D67DFA">
        <w:rPr>
          <w:szCs w:val="22"/>
        </w:rPr>
        <w:t xml:space="preserve"> entering the building.  </w:t>
      </w:r>
    </w:p>
    <w:p w14:paraId="1A68AE59" w14:textId="77777777" w:rsidR="00521E9F" w:rsidRPr="00D67DFA" w:rsidRDefault="00521E9F" w:rsidP="00521E9F">
      <w:pPr>
        <w:ind w:left="1080"/>
        <w:rPr>
          <w:szCs w:val="22"/>
        </w:rPr>
      </w:pPr>
    </w:p>
    <w:p w14:paraId="3CF558D6" w14:textId="77777777" w:rsidR="00521E9F" w:rsidRPr="00D67DFA" w:rsidRDefault="00521E9F" w:rsidP="00521E9F">
      <w:pPr>
        <w:numPr>
          <w:ilvl w:val="0"/>
          <w:numId w:val="16"/>
        </w:numPr>
        <w:snapToGrid w:val="0"/>
        <w:rPr>
          <w:szCs w:val="22"/>
        </w:rPr>
      </w:pPr>
      <w:r w:rsidRPr="00D67DFA">
        <w:rPr>
          <w:szCs w:val="22"/>
        </w:rPr>
        <w:t>Commercial overnight mail (other than U.S. Postal Service Express Mail and Priority Mail) must be sent to 9300 East Hampton Drive, Capitol Heights, MD  20743.</w:t>
      </w:r>
    </w:p>
    <w:p w14:paraId="2B5DCEAE" w14:textId="77777777" w:rsidR="00521E9F" w:rsidRPr="00D67DFA" w:rsidRDefault="00521E9F" w:rsidP="00521E9F">
      <w:pPr>
        <w:rPr>
          <w:szCs w:val="22"/>
        </w:rPr>
      </w:pPr>
    </w:p>
    <w:p w14:paraId="48CEA0E2" w14:textId="77777777" w:rsidR="00521E9F" w:rsidRPr="00D67DFA" w:rsidRDefault="00521E9F" w:rsidP="00521E9F">
      <w:pPr>
        <w:numPr>
          <w:ilvl w:val="0"/>
          <w:numId w:val="16"/>
        </w:numPr>
        <w:snapToGrid w:val="0"/>
        <w:rPr>
          <w:szCs w:val="22"/>
        </w:rPr>
      </w:pPr>
      <w:r w:rsidRPr="00D67DFA">
        <w:rPr>
          <w:szCs w:val="22"/>
        </w:rPr>
        <w:t>U.S. Postal Service first-class, Express, and Priority mail must be addressed to 445 12</w:t>
      </w:r>
      <w:r w:rsidRPr="00D67DFA">
        <w:rPr>
          <w:szCs w:val="22"/>
          <w:vertAlign w:val="superscript"/>
        </w:rPr>
        <w:t>th</w:t>
      </w:r>
      <w:r w:rsidRPr="00D67DFA">
        <w:rPr>
          <w:szCs w:val="22"/>
        </w:rPr>
        <w:t xml:space="preserve"> Street, SW, Washington DC  20554.</w:t>
      </w:r>
    </w:p>
    <w:p w14:paraId="39FED65E" w14:textId="77777777" w:rsidR="00521E9F" w:rsidRPr="00D67DFA" w:rsidRDefault="00521E9F" w:rsidP="00521E9F">
      <w:pPr>
        <w:spacing w:after="120"/>
        <w:rPr>
          <w:szCs w:val="22"/>
        </w:rPr>
      </w:pPr>
      <w:r w:rsidRPr="00D67DFA">
        <w:rPr>
          <w:szCs w:val="22"/>
        </w:rPr>
        <w:t>.</w:t>
      </w:r>
    </w:p>
    <w:p w14:paraId="0072ACF1" w14:textId="44F9DBDE" w:rsidR="00521E9F" w:rsidRPr="00D67DFA" w:rsidRDefault="00521E9F" w:rsidP="00521E9F">
      <w:pPr>
        <w:ind w:firstLine="720"/>
      </w:pPr>
      <w:r w:rsidRPr="00521E9F">
        <w:rPr>
          <w:u w:val="single"/>
        </w:rPr>
        <w:t>Availability of Documents</w:t>
      </w:r>
      <w:r>
        <w:t>:</w:t>
      </w:r>
      <w:r w:rsidRPr="00D67DFA">
        <w:t xml:space="preserve">  Comments will be available for public inspection during regular business hours in the FCC Reference Center, Federal Communications Commission, 445 12</w:t>
      </w:r>
      <w:r w:rsidRPr="00D67DFA">
        <w:rPr>
          <w:vertAlign w:val="superscript"/>
        </w:rPr>
        <w:t>th</w:t>
      </w:r>
      <w:r w:rsidRPr="00D67DFA">
        <w:t xml:space="preserve"> Street, S.W., CY-A257, Washington, D.C., 20554.  These </w:t>
      </w:r>
      <w:r w:rsidRPr="00521E9F">
        <w:rPr>
          <w:szCs w:val="22"/>
        </w:rPr>
        <w:t>documents</w:t>
      </w:r>
      <w:r w:rsidRPr="00D67DFA">
        <w:t xml:space="preserve"> will also be available via ECFS.  </w:t>
      </w:r>
      <w:hyperlink r:id="rId9" w:history="1">
        <w:r w:rsidRPr="00D67DFA">
          <w:rPr>
            <w:rStyle w:val="Hyperlink"/>
          </w:rPr>
          <w:t>http://fjallfoss.fcc.gov/ecfs2/</w:t>
        </w:r>
      </w:hyperlink>
      <w:r>
        <w:t xml:space="preserve">  </w:t>
      </w:r>
      <w:r w:rsidRPr="00D67DFA">
        <w:t xml:space="preserve">Documents will be available electronically in ASCII, Microsoft Word, and/or Adobe Acrobat. </w:t>
      </w:r>
    </w:p>
    <w:p w14:paraId="4A615664" w14:textId="77777777" w:rsidR="00DA76B9" w:rsidRPr="006543BA" w:rsidRDefault="00DA76B9" w:rsidP="00DA76B9">
      <w:pPr>
        <w:rPr>
          <w:szCs w:val="22"/>
          <w:u w:val="single"/>
        </w:rPr>
      </w:pPr>
    </w:p>
    <w:p w14:paraId="133C270E" w14:textId="45AA61DE" w:rsidR="00DA76B9" w:rsidRPr="006543BA" w:rsidRDefault="00DA76B9" w:rsidP="002245C5">
      <w:pPr>
        <w:ind w:firstLine="720"/>
        <w:rPr>
          <w:szCs w:val="22"/>
        </w:rPr>
      </w:pPr>
      <w:r w:rsidRPr="006543BA">
        <w:rPr>
          <w:szCs w:val="22"/>
          <w:u w:val="single"/>
        </w:rPr>
        <w:t>Accessibility information</w:t>
      </w:r>
      <w:r w:rsidRPr="00987CEF">
        <w:rPr>
          <w:szCs w:val="22"/>
        </w:rPr>
        <w:t xml:space="preserve">:  </w:t>
      </w:r>
      <w:r w:rsidRPr="006543BA">
        <w:rPr>
          <w:szCs w:val="22"/>
        </w:rPr>
        <w:t xml:space="preserve">To request information in accessible formats (computer diskettes large print, audio recording, and Braille), send an e-mail to </w:t>
      </w:r>
      <w:hyperlink r:id="rId10" w:history="1">
        <w:r w:rsidR="00517389" w:rsidRPr="00AD6895">
          <w:rPr>
            <w:rStyle w:val="Hyperlink"/>
            <w:szCs w:val="22"/>
          </w:rPr>
          <w:t>fcc504@fcc.gov</w:t>
        </w:r>
      </w:hyperlink>
      <w:r w:rsidRPr="006543BA">
        <w:rPr>
          <w:szCs w:val="22"/>
        </w:rPr>
        <w:t xml:space="preserve"> or call the FCC’s Consumer and Governmental Affairs Bureau at (202) 418-0530(voice), (202) 418-0432(TTY).  This document can also be downloaded in Word and Portable Document Format (PDF) at </w:t>
      </w:r>
      <w:hyperlink r:id="rId11" w:history="1">
        <w:r w:rsidRPr="006543BA">
          <w:rPr>
            <w:rStyle w:val="Hyperlink"/>
            <w:szCs w:val="22"/>
          </w:rPr>
          <w:t>www.fcc.gov</w:t>
        </w:r>
      </w:hyperlink>
      <w:r w:rsidRPr="006543BA">
        <w:rPr>
          <w:szCs w:val="22"/>
        </w:rPr>
        <w:t>.</w:t>
      </w:r>
    </w:p>
    <w:p w14:paraId="05B2F22C" w14:textId="77777777" w:rsidR="00DA76B9" w:rsidRPr="006543BA" w:rsidRDefault="00DA76B9" w:rsidP="00DA76B9">
      <w:pPr>
        <w:rPr>
          <w:szCs w:val="22"/>
        </w:rPr>
      </w:pPr>
    </w:p>
    <w:p w14:paraId="3D012A4C" w14:textId="0A97C7D4" w:rsidR="00526C27" w:rsidRDefault="00DA76B9" w:rsidP="00DA76B9">
      <w:pPr>
        <w:rPr>
          <w:szCs w:val="22"/>
        </w:rPr>
      </w:pPr>
      <w:r w:rsidRPr="006543BA">
        <w:rPr>
          <w:szCs w:val="22"/>
        </w:rPr>
        <w:tab/>
        <w:t>Wireless Telecommunications Bureau contact</w:t>
      </w:r>
      <w:r w:rsidR="00987CEF">
        <w:rPr>
          <w:szCs w:val="22"/>
        </w:rPr>
        <w:t>s</w:t>
      </w:r>
      <w:r w:rsidRPr="006543BA">
        <w:rPr>
          <w:szCs w:val="22"/>
        </w:rPr>
        <w:t>: Stephen DelSordo</w:t>
      </w:r>
      <w:r w:rsidR="00987CEF">
        <w:rPr>
          <w:szCs w:val="22"/>
        </w:rPr>
        <w:t>,</w:t>
      </w:r>
      <w:r w:rsidRPr="006543BA">
        <w:rPr>
          <w:szCs w:val="22"/>
        </w:rPr>
        <w:t xml:space="preserve"> (202) 418-1986 or </w:t>
      </w:r>
      <w:hyperlink r:id="rId12" w:history="1">
        <w:r w:rsidR="00987CEF" w:rsidRPr="00256277">
          <w:rPr>
            <w:rStyle w:val="Hyperlink"/>
            <w:szCs w:val="22"/>
          </w:rPr>
          <w:t>stephen.delsordo@fcc.gov</w:t>
        </w:r>
      </w:hyperlink>
      <w:r w:rsidR="00987CEF">
        <w:rPr>
          <w:szCs w:val="22"/>
        </w:rPr>
        <w:t>,</w:t>
      </w:r>
      <w:r w:rsidR="00526C27">
        <w:rPr>
          <w:szCs w:val="22"/>
        </w:rPr>
        <w:t xml:space="preserve"> or Paul D’Ari, 202-418-1550 or </w:t>
      </w:r>
      <w:hyperlink r:id="rId13" w:history="1">
        <w:r w:rsidR="00526C27" w:rsidRPr="00E33E24">
          <w:rPr>
            <w:rStyle w:val="Hyperlink"/>
            <w:szCs w:val="22"/>
          </w:rPr>
          <w:t>paul.dari@fcc.gov</w:t>
        </w:r>
      </w:hyperlink>
      <w:r w:rsidR="00C57119">
        <w:rPr>
          <w:rStyle w:val="Hyperlink"/>
          <w:szCs w:val="22"/>
        </w:rPr>
        <w:t>.</w:t>
      </w:r>
    </w:p>
    <w:p w14:paraId="70C074CE" w14:textId="77777777" w:rsidR="00526C27" w:rsidRDefault="00E348AD" w:rsidP="00DA76B9">
      <w:pPr>
        <w:rPr>
          <w:szCs w:val="22"/>
        </w:rPr>
      </w:pPr>
      <w:r>
        <w:rPr>
          <w:szCs w:val="22"/>
        </w:rPr>
        <w:tab/>
      </w:r>
    </w:p>
    <w:p w14:paraId="4F0E6C52" w14:textId="2CDAA6E9" w:rsidR="006252CB" w:rsidRDefault="00E348AD" w:rsidP="00776BBA">
      <w:pPr>
        <w:ind w:firstLine="720"/>
        <w:rPr>
          <w:szCs w:val="22"/>
        </w:rPr>
      </w:pPr>
      <w:r>
        <w:rPr>
          <w:szCs w:val="22"/>
        </w:rPr>
        <w:t>Media contact: Cec</w:t>
      </w:r>
      <w:r w:rsidR="00D1010C">
        <w:rPr>
          <w:szCs w:val="22"/>
        </w:rPr>
        <w:t>i</w:t>
      </w:r>
      <w:r>
        <w:rPr>
          <w:szCs w:val="22"/>
        </w:rPr>
        <w:t>lia Sulhoff, (202) 418-0587 or cec</w:t>
      </w:r>
      <w:r w:rsidR="00D1010C">
        <w:rPr>
          <w:szCs w:val="22"/>
        </w:rPr>
        <w:t>i</w:t>
      </w:r>
      <w:r>
        <w:rPr>
          <w:szCs w:val="22"/>
        </w:rPr>
        <w:t>lia.sulhoff@fcc.gov.</w:t>
      </w:r>
    </w:p>
    <w:p w14:paraId="177C3FE6" w14:textId="77777777" w:rsidR="00870897" w:rsidRDefault="00870897" w:rsidP="00776BBA">
      <w:pPr>
        <w:ind w:firstLine="720"/>
        <w:rPr>
          <w:szCs w:val="22"/>
        </w:rPr>
      </w:pPr>
    </w:p>
    <w:p w14:paraId="14AC16A6" w14:textId="77777777" w:rsidR="00870897" w:rsidRDefault="00870897" w:rsidP="00776BBA">
      <w:pPr>
        <w:ind w:firstLine="720"/>
        <w:rPr>
          <w:szCs w:val="22"/>
        </w:rPr>
      </w:pPr>
    </w:p>
    <w:p w14:paraId="145FC914" w14:textId="2DB8DD89" w:rsidR="00870897" w:rsidRDefault="00826845" w:rsidP="00826845">
      <w:pPr>
        <w:ind w:firstLine="720"/>
        <w:jc w:val="center"/>
        <w:rPr>
          <w:szCs w:val="22"/>
        </w:rPr>
      </w:pPr>
      <w:r>
        <w:rPr>
          <w:szCs w:val="22"/>
        </w:rPr>
        <w:t xml:space="preserve">- </w:t>
      </w:r>
      <w:r w:rsidRPr="00826845">
        <w:rPr>
          <w:b/>
          <w:szCs w:val="22"/>
        </w:rPr>
        <w:t>FCC</w:t>
      </w:r>
      <w:r>
        <w:rPr>
          <w:szCs w:val="22"/>
        </w:rPr>
        <w:t xml:space="preserve"> -</w:t>
      </w:r>
    </w:p>
    <w:p w14:paraId="708138C9" w14:textId="77777777" w:rsidR="00870897" w:rsidRPr="00776BBA" w:rsidRDefault="00870897" w:rsidP="00776BBA">
      <w:pPr>
        <w:ind w:firstLine="720"/>
        <w:rPr>
          <w:szCs w:val="22"/>
        </w:rPr>
        <w:sectPr w:rsidR="00870897" w:rsidRPr="00776BBA" w:rsidSect="00776BB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720" w:footer="720" w:gutter="0"/>
          <w:pgNumType w:start="1"/>
          <w:cols w:space="720"/>
          <w:titlePg/>
          <w:docGrid w:linePitch="299"/>
        </w:sectPr>
      </w:pPr>
    </w:p>
    <w:p w14:paraId="7D505515" w14:textId="77777777" w:rsidR="006252CB" w:rsidRDefault="006252CB">
      <w:pPr>
        <w:rPr>
          <w:b/>
          <w:szCs w:val="22"/>
        </w:rPr>
      </w:pPr>
    </w:p>
    <w:p w14:paraId="6C61C31C" w14:textId="77777777" w:rsidR="00776BBA" w:rsidRDefault="00776BBA" w:rsidP="00B75F26">
      <w:pPr>
        <w:jc w:val="center"/>
        <w:rPr>
          <w:sz w:val="24"/>
          <w:szCs w:val="24"/>
        </w:rPr>
        <w:sectPr w:rsidR="00776BBA" w:rsidSect="005924C1">
          <w:footerReference w:type="default" r:id="rId20"/>
          <w:headerReference w:type="first" r:id="rId21"/>
          <w:footerReference w:type="first" r:id="rId22"/>
          <w:footnotePr>
            <w:numRestart w:val="eachSect"/>
          </w:footnotePr>
          <w:type w:val="continuous"/>
          <w:pgSz w:w="12240" w:h="15840"/>
          <w:pgMar w:top="1296" w:right="1800" w:bottom="1296" w:left="1800" w:header="720" w:footer="720" w:gutter="0"/>
          <w:pgNumType w:start="1"/>
          <w:cols w:space="720"/>
          <w:docGrid w:linePitch="299"/>
        </w:sectPr>
      </w:pPr>
    </w:p>
    <w:p w14:paraId="09B24D60" w14:textId="77777777" w:rsidR="00870897" w:rsidRDefault="00870897" w:rsidP="00870897">
      <w:pPr>
        <w:jc w:val="center"/>
        <w:rPr>
          <w:b/>
          <w:sz w:val="24"/>
          <w:szCs w:val="24"/>
        </w:rPr>
      </w:pPr>
    </w:p>
    <w:p w14:paraId="0DDD1452" w14:textId="147BCC85" w:rsidR="009164BF" w:rsidRPr="00870897" w:rsidRDefault="00B75F26" w:rsidP="00870897">
      <w:pPr>
        <w:spacing w:after="120"/>
        <w:jc w:val="center"/>
        <w:rPr>
          <w:sz w:val="24"/>
          <w:szCs w:val="24"/>
        </w:rPr>
      </w:pPr>
      <w:r w:rsidRPr="00870897">
        <w:rPr>
          <w:sz w:val="24"/>
          <w:szCs w:val="24"/>
        </w:rPr>
        <w:t xml:space="preserve">PROGRAM ALTERNATIVE FOR SMALL </w:t>
      </w:r>
      <w:r w:rsidR="00995260" w:rsidRPr="00870897">
        <w:rPr>
          <w:sz w:val="24"/>
          <w:szCs w:val="24"/>
        </w:rPr>
        <w:t xml:space="preserve">WIRELESS </w:t>
      </w:r>
      <w:r w:rsidRPr="00870897">
        <w:rPr>
          <w:sz w:val="24"/>
          <w:szCs w:val="24"/>
        </w:rPr>
        <w:t>COMUNICATIONS FACILITY DEPLOYMENTS</w:t>
      </w:r>
      <w:r w:rsidR="00D54953" w:rsidRPr="00870897">
        <w:rPr>
          <w:sz w:val="24"/>
          <w:szCs w:val="24"/>
        </w:rPr>
        <w:t>:</w:t>
      </w:r>
    </w:p>
    <w:p w14:paraId="756153D8" w14:textId="77777777" w:rsidR="0078699E" w:rsidRPr="00870897" w:rsidRDefault="00272CF7" w:rsidP="00B75F26">
      <w:pPr>
        <w:jc w:val="center"/>
        <w:rPr>
          <w:sz w:val="24"/>
          <w:szCs w:val="24"/>
        </w:rPr>
      </w:pPr>
      <w:r w:rsidRPr="00870897">
        <w:rPr>
          <w:sz w:val="24"/>
          <w:szCs w:val="24"/>
        </w:rPr>
        <w:t>Potential</w:t>
      </w:r>
      <w:r w:rsidR="00D54953" w:rsidRPr="00870897">
        <w:rPr>
          <w:sz w:val="24"/>
          <w:szCs w:val="24"/>
        </w:rPr>
        <w:t xml:space="preserve"> Amend</w:t>
      </w:r>
      <w:r w:rsidRPr="00870897">
        <w:rPr>
          <w:sz w:val="24"/>
          <w:szCs w:val="24"/>
        </w:rPr>
        <w:t>ments to</w:t>
      </w:r>
      <w:r w:rsidR="00E33E0B" w:rsidRPr="00870897">
        <w:rPr>
          <w:sz w:val="24"/>
          <w:szCs w:val="24"/>
        </w:rPr>
        <w:t xml:space="preserve"> the </w:t>
      </w:r>
    </w:p>
    <w:p w14:paraId="31DA7F4E" w14:textId="77777777" w:rsidR="00B75F26" w:rsidRPr="00870897" w:rsidRDefault="0078699E" w:rsidP="00B75F26">
      <w:pPr>
        <w:jc w:val="center"/>
        <w:rPr>
          <w:sz w:val="24"/>
          <w:szCs w:val="24"/>
        </w:rPr>
      </w:pPr>
      <w:r w:rsidRPr="00870897">
        <w:rPr>
          <w:sz w:val="24"/>
          <w:szCs w:val="24"/>
        </w:rPr>
        <w:t xml:space="preserve">Nationwide Programmatic Agreement for the </w:t>
      </w:r>
      <w:r w:rsidR="00E33E0B" w:rsidRPr="00870897">
        <w:rPr>
          <w:sz w:val="24"/>
          <w:szCs w:val="24"/>
        </w:rPr>
        <w:t xml:space="preserve">Collocation </w:t>
      </w:r>
      <w:r w:rsidRPr="00870897">
        <w:rPr>
          <w:sz w:val="24"/>
          <w:szCs w:val="24"/>
        </w:rPr>
        <w:t>of Wireless Antennas</w:t>
      </w:r>
    </w:p>
    <w:p w14:paraId="2652944D" w14:textId="77777777" w:rsidR="00B75F26" w:rsidRPr="00870897" w:rsidRDefault="00B75F26" w:rsidP="00B75F26">
      <w:pPr>
        <w:jc w:val="center"/>
        <w:rPr>
          <w:sz w:val="24"/>
          <w:szCs w:val="24"/>
        </w:rPr>
      </w:pPr>
    </w:p>
    <w:p w14:paraId="491013F5" w14:textId="77777777" w:rsidR="00B75F26" w:rsidRPr="00870897" w:rsidRDefault="00B75F26" w:rsidP="00B75F26">
      <w:pPr>
        <w:jc w:val="center"/>
        <w:rPr>
          <w:sz w:val="24"/>
          <w:szCs w:val="24"/>
        </w:rPr>
      </w:pPr>
      <w:r w:rsidRPr="00870897">
        <w:rPr>
          <w:sz w:val="24"/>
          <w:szCs w:val="24"/>
        </w:rPr>
        <w:t xml:space="preserve">SECTION 106 SCOPING DOCUMENT </w:t>
      </w:r>
    </w:p>
    <w:p w14:paraId="08DA6A82" w14:textId="77777777" w:rsidR="00B75F26" w:rsidRPr="009D6198" w:rsidRDefault="00B75F26" w:rsidP="00B75F26">
      <w:pPr>
        <w:jc w:val="center"/>
        <w:rPr>
          <w:sz w:val="24"/>
          <w:szCs w:val="24"/>
        </w:rPr>
      </w:pPr>
    </w:p>
    <w:p w14:paraId="3E34C229" w14:textId="492816CB" w:rsidR="00B75F26" w:rsidRPr="009D6198" w:rsidRDefault="00DC1CCC" w:rsidP="00B75F26">
      <w:pPr>
        <w:jc w:val="center"/>
        <w:rPr>
          <w:sz w:val="24"/>
          <w:szCs w:val="24"/>
        </w:rPr>
      </w:pPr>
      <w:r>
        <w:rPr>
          <w:sz w:val="24"/>
          <w:szCs w:val="24"/>
        </w:rPr>
        <w:t>July 28</w:t>
      </w:r>
      <w:r w:rsidR="00B75F26" w:rsidRPr="009D6198">
        <w:rPr>
          <w:sz w:val="24"/>
          <w:szCs w:val="24"/>
        </w:rPr>
        <w:t>, 201</w:t>
      </w:r>
      <w:r w:rsidR="00B75F26">
        <w:rPr>
          <w:sz w:val="24"/>
          <w:szCs w:val="24"/>
        </w:rPr>
        <w:t>5</w:t>
      </w:r>
    </w:p>
    <w:p w14:paraId="09097CEF" w14:textId="77777777" w:rsidR="00B75F26" w:rsidRPr="009D6198" w:rsidRDefault="00B75F26" w:rsidP="00B75F26">
      <w:pPr>
        <w:jc w:val="center"/>
        <w:rPr>
          <w:b/>
          <w:sz w:val="24"/>
          <w:szCs w:val="24"/>
        </w:rPr>
      </w:pPr>
    </w:p>
    <w:p w14:paraId="69AE71C3" w14:textId="77777777" w:rsidR="00787003" w:rsidRDefault="00B75F26" w:rsidP="00787003">
      <w:pPr>
        <w:rPr>
          <w:szCs w:val="22"/>
        </w:rPr>
      </w:pPr>
      <w:r w:rsidRPr="001C761F">
        <w:rPr>
          <w:szCs w:val="22"/>
        </w:rPr>
        <w:t>The</w:t>
      </w:r>
      <w:r w:rsidR="00B66EC9">
        <w:rPr>
          <w:szCs w:val="22"/>
        </w:rPr>
        <w:t xml:space="preserve"> Wireless Telecommunications Bureau (Bureau) of the</w:t>
      </w:r>
      <w:r w:rsidRPr="001C761F">
        <w:rPr>
          <w:szCs w:val="22"/>
        </w:rPr>
        <w:t xml:space="preserve"> Federal Communications Commission (FCC</w:t>
      </w:r>
      <w:r w:rsidR="00707066">
        <w:rPr>
          <w:szCs w:val="22"/>
        </w:rPr>
        <w:t xml:space="preserve"> or Commission</w:t>
      </w:r>
      <w:r w:rsidRPr="001C761F">
        <w:rPr>
          <w:szCs w:val="22"/>
        </w:rPr>
        <w:t xml:space="preserve">) invites the participation of State Historic Preservation Officers (SHPOs), </w:t>
      </w:r>
      <w:r w:rsidR="00C1265C" w:rsidRPr="001C761F">
        <w:rPr>
          <w:szCs w:val="22"/>
        </w:rPr>
        <w:t xml:space="preserve">Federally-recognized Tribal Nations, </w:t>
      </w:r>
      <w:r w:rsidRPr="001C761F">
        <w:rPr>
          <w:szCs w:val="22"/>
        </w:rPr>
        <w:t xml:space="preserve">the historic preservation community, and other stakeholders in developing a proposed </w:t>
      </w:r>
      <w:r w:rsidR="00BD2AD5" w:rsidRPr="001C761F">
        <w:rPr>
          <w:szCs w:val="22"/>
        </w:rPr>
        <w:t>p</w:t>
      </w:r>
      <w:r w:rsidRPr="001C761F">
        <w:rPr>
          <w:szCs w:val="22"/>
        </w:rPr>
        <w:t xml:space="preserve">rogram </w:t>
      </w:r>
      <w:r w:rsidR="00BD2AD5" w:rsidRPr="001C761F">
        <w:rPr>
          <w:szCs w:val="22"/>
        </w:rPr>
        <w:t>a</w:t>
      </w:r>
      <w:r w:rsidRPr="001C761F">
        <w:rPr>
          <w:szCs w:val="22"/>
        </w:rPr>
        <w:t>lternative pursuant to Section 800.14(b) of the rules of the Advisory Council on Historic Preservation (ACHP), 36 C.F.R. Part 800, to</w:t>
      </w:r>
      <w:r w:rsidR="00272CF7">
        <w:rPr>
          <w:szCs w:val="22"/>
        </w:rPr>
        <w:t xml:space="preserve"> improve and</w:t>
      </w:r>
      <w:r w:rsidRPr="001C761F">
        <w:rPr>
          <w:szCs w:val="22"/>
        </w:rPr>
        <w:t xml:space="preserve"> facilitate the review process under Section 106 of the National Historic Preservation Act (NHPA)</w:t>
      </w:r>
      <w:r w:rsidR="00F06FCB">
        <w:rPr>
          <w:rStyle w:val="FootnoteReference"/>
          <w:szCs w:val="22"/>
        </w:rPr>
        <w:footnoteReference w:id="17"/>
      </w:r>
      <w:r w:rsidR="00F06FCB" w:rsidRPr="005924C1" w:rsidDel="00F06FCB">
        <w:rPr>
          <w:rStyle w:val="FootnoteReference"/>
        </w:rPr>
        <w:t xml:space="preserve"> </w:t>
      </w:r>
      <w:r w:rsidRPr="001C761F">
        <w:rPr>
          <w:szCs w:val="22"/>
        </w:rPr>
        <w:t>for deployment</w:t>
      </w:r>
      <w:r w:rsidR="00272CF7">
        <w:rPr>
          <w:szCs w:val="22"/>
        </w:rPr>
        <w:t>s</w:t>
      </w:r>
      <w:r w:rsidRPr="001C761F">
        <w:rPr>
          <w:szCs w:val="22"/>
        </w:rPr>
        <w:t xml:space="preserve"> of Distributed Antenna System </w:t>
      </w:r>
      <w:r w:rsidR="00D54953">
        <w:rPr>
          <w:szCs w:val="22"/>
        </w:rPr>
        <w:t xml:space="preserve">(DAS) </w:t>
      </w:r>
      <w:r w:rsidRPr="001C761F">
        <w:rPr>
          <w:szCs w:val="22"/>
        </w:rPr>
        <w:t>networks and small cell facilities</w:t>
      </w:r>
      <w:r w:rsidR="00272CF7">
        <w:rPr>
          <w:szCs w:val="22"/>
        </w:rPr>
        <w:t xml:space="preserve"> that constitute FCC undertakings</w:t>
      </w:r>
      <w:r w:rsidRPr="001C761F">
        <w:rPr>
          <w:szCs w:val="22"/>
        </w:rPr>
        <w:t xml:space="preserve">.  </w:t>
      </w:r>
      <w:r w:rsidR="00787003" w:rsidRPr="001C761F">
        <w:rPr>
          <w:szCs w:val="22"/>
        </w:rPr>
        <w:t xml:space="preserve">Our process for developing this program alternative includes government-to-government consultation with Federally-recognized Tribal Nations in accordance with Section 800.14(b)(2) and (f) of the ACHP rules and in accordance with the trust relationship we share with sovereign Tribal Nations as outlined in the FCC’s </w:t>
      </w:r>
      <w:r w:rsidR="00787003" w:rsidRPr="001C761F">
        <w:rPr>
          <w:i/>
          <w:szCs w:val="22"/>
        </w:rPr>
        <w:t>Statement of Policy on Establishing a Government-to-Government Relationship with Indian Tribes.</w:t>
      </w:r>
      <w:r w:rsidR="00787003" w:rsidRPr="001C761F">
        <w:rPr>
          <w:rStyle w:val="FootnoteReference"/>
          <w:szCs w:val="22"/>
        </w:rPr>
        <w:footnoteReference w:id="18"/>
      </w:r>
      <w:r w:rsidR="00787003" w:rsidRPr="001C761F">
        <w:rPr>
          <w:szCs w:val="22"/>
        </w:rPr>
        <w:t xml:space="preserve"> </w:t>
      </w:r>
    </w:p>
    <w:p w14:paraId="4C0A8EBA" w14:textId="5779F0E0" w:rsidR="00B75F26" w:rsidRPr="001C761F" w:rsidRDefault="00B75F26" w:rsidP="00B75F26">
      <w:pPr>
        <w:rPr>
          <w:szCs w:val="22"/>
        </w:rPr>
      </w:pPr>
    </w:p>
    <w:p w14:paraId="755502A0" w14:textId="10DD1E67" w:rsidR="00B75F26" w:rsidRDefault="00B75F26" w:rsidP="00B75F26">
      <w:pPr>
        <w:rPr>
          <w:szCs w:val="22"/>
        </w:rPr>
      </w:pPr>
      <w:r w:rsidRPr="001C761F">
        <w:rPr>
          <w:szCs w:val="22"/>
        </w:rPr>
        <w:t xml:space="preserve">To develop this </w:t>
      </w:r>
      <w:r w:rsidR="00BD2AD5" w:rsidRPr="001C761F">
        <w:rPr>
          <w:szCs w:val="22"/>
        </w:rPr>
        <w:t>p</w:t>
      </w:r>
      <w:r w:rsidRPr="001C761F">
        <w:rPr>
          <w:szCs w:val="22"/>
        </w:rPr>
        <w:t xml:space="preserve">rogram </w:t>
      </w:r>
      <w:r w:rsidR="00BD2AD5" w:rsidRPr="001C761F">
        <w:rPr>
          <w:szCs w:val="22"/>
        </w:rPr>
        <w:t>a</w:t>
      </w:r>
      <w:r w:rsidRPr="001C761F">
        <w:rPr>
          <w:szCs w:val="22"/>
        </w:rPr>
        <w:t xml:space="preserve">lternative, we propose to negotiate </w:t>
      </w:r>
      <w:r w:rsidR="009164BF" w:rsidRPr="001C761F">
        <w:rPr>
          <w:szCs w:val="22"/>
        </w:rPr>
        <w:t xml:space="preserve">an </w:t>
      </w:r>
      <w:r w:rsidR="00BE7AF7" w:rsidRPr="001C761F">
        <w:rPr>
          <w:szCs w:val="22"/>
        </w:rPr>
        <w:t>amendment</w:t>
      </w:r>
      <w:r w:rsidRPr="001C761F">
        <w:rPr>
          <w:szCs w:val="22"/>
        </w:rPr>
        <w:t xml:space="preserve"> to the 2001 Nationwide Programmatic Agreement for the Collocation of Wireless Antennas (Collocation Agreement)</w:t>
      </w:r>
      <w:r w:rsidR="00426DFA" w:rsidRPr="001C761F">
        <w:rPr>
          <w:szCs w:val="22"/>
        </w:rPr>
        <w:t>.</w:t>
      </w:r>
      <w:r w:rsidRPr="001C761F">
        <w:rPr>
          <w:szCs w:val="22"/>
          <w:vertAlign w:val="superscript"/>
        </w:rPr>
        <w:footnoteReference w:id="19"/>
      </w:r>
      <w:r w:rsidR="00426DFA" w:rsidRPr="001C761F">
        <w:rPr>
          <w:szCs w:val="22"/>
        </w:rPr>
        <w:t xml:space="preserve">  The Collocation Agreement </w:t>
      </w:r>
      <w:r w:rsidRPr="001C761F">
        <w:rPr>
          <w:szCs w:val="22"/>
        </w:rPr>
        <w:t xml:space="preserve">provides that most collocations of antennas on existing structures are excluded from historic preservation review, with a few defined exceptions to address potentially problematic situations.  </w:t>
      </w:r>
      <w:r w:rsidR="006E1E37" w:rsidRPr="001C761F">
        <w:rPr>
          <w:szCs w:val="22"/>
        </w:rPr>
        <w:t xml:space="preserve">We propose to amend </w:t>
      </w:r>
      <w:r w:rsidR="00426DFA" w:rsidRPr="001C761F">
        <w:rPr>
          <w:szCs w:val="22"/>
        </w:rPr>
        <w:t>the</w:t>
      </w:r>
      <w:r w:rsidRPr="001C761F">
        <w:rPr>
          <w:szCs w:val="22"/>
        </w:rPr>
        <w:t xml:space="preserve"> Collocation Agreement </w:t>
      </w:r>
      <w:r w:rsidR="008802BE" w:rsidRPr="001C761F">
        <w:rPr>
          <w:szCs w:val="22"/>
        </w:rPr>
        <w:t xml:space="preserve">to </w:t>
      </w:r>
      <w:r w:rsidR="00272CF7">
        <w:rPr>
          <w:szCs w:val="22"/>
        </w:rPr>
        <w:t>better account for the limited potential</w:t>
      </w:r>
      <w:r w:rsidRPr="001C761F">
        <w:rPr>
          <w:szCs w:val="22"/>
        </w:rPr>
        <w:t xml:space="preserve"> of small </w:t>
      </w:r>
      <w:r w:rsidR="00995260">
        <w:rPr>
          <w:szCs w:val="22"/>
        </w:rPr>
        <w:t xml:space="preserve">wireless </w:t>
      </w:r>
      <w:r w:rsidRPr="001C761F">
        <w:rPr>
          <w:szCs w:val="22"/>
        </w:rPr>
        <w:t xml:space="preserve">communications facility </w:t>
      </w:r>
      <w:r w:rsidR="00272CF7">
        <w:rPr>
          <w:szCs w:val="22"/>
        </w:rPr>
        <w:t xml:space="preserve">collocations </w:t>
      </w:r>
      <w:r w:rsidR="00707066">
        <w:rPr>
          <w:szCs w:val="22"/>
        </w:rPr>
        <w:t xml:space="preserve">that </w:t>
      </w:r>
      <w:r w:rsidR="00272CF7">
        <w:rPr>
          <w:szCs w:val="22"/>
        </w:rPr>
        <w:t>meet specified criteria</w:t>
      </w:r>
      <w:r w:rsidRPr="001C761F">
        <w:rPr>
          <w:szCs w:val="22"/>
        </w:rPr>
        <w:t>, including DAS and small cell deployments</w:t>
      </w:r>
      <w:r w:rsidR="008802BE" w:rsidRPr="001C761F">
        <w:rPr>
          <w:szCs w:val="22"/>
        </w:rPr>
        <w:t xml:space="preserve">, </w:t>
      </w:r>
      <w:r w:rsidR="00272CF7">
        <w:rPr>
          <w:szCs w:val="22"/>
        </w:rPr>
        <w:t>to affect historic properties</w:t>
      </w:r>
      <w:r w:rsidRPr="001C761F">
        <w:rPr>
          <w:szCs w:val="22"/>
        </w:rPr>
        <w:t>.</w:t>
      </w:r>
      <w:r w:rsidRPr="001C761F">
        <w:rPr>
          <w:szCs w:val="22"/>
          <w:vertAlign w:val="superscript"/>
        </w:rPr>
        <w:footnoteReference w:id="20"/>
      </w:r>
      <w:r w:rsidRPr="001C761F">
        <w:rPr>
          <w:szCs w:val="22"/>
        </w:rPr>
        <w:t xml:space="preserve">  </w:t>
      </w:r>
      <w:r w:rsidR="00272CF7">
        <w:rPr>
          <w:szCs w:val="22"/>
        </w:rPr>
        <w:t>In particular, we are considering revisions that</w:t>
      </w:r>
      <w:r w:rsidRPr="001C761F">
        <w:rPr>
          <w:szCs w:val="22"/>
        </w:rPr>
        <w:t xml:space="preserve"> </w:t>
      </w:r>
      <w:r w:rsidR="009164BF" w:rsidRPr="001C761F">
        <w:rPr>
          <w:szCs w:val="22"/>
        </w:rPr>
        <w:t xml:space="preserve">would augment </w:t>
      </w:r>
      <w:r w:rsidRPr="001C761F">
        <w:rPr>
          <w:szCs w:val="22"/>
        </w:rPr>
        <w:t xml:space="preserve">the two targeted exclusions from Section 106 review that the Commission adopted in the </w:t>
      </w:r>
      <w:r w:rsidRPr="001C761F">
        <w:rPr>
          <w:i/>
          <w:szCs w:val="22"/>
        </w:rPr>
        <w:t>Infrastructure Report and Order</w:t>
      </w:r>
      <w:r w:rsidRPr="001C761F">
        <w:rPr>
          <w:szCs w:val="22"/>
        </w:rPr>
        <w:t>,</w:t>
      </w:r>
      <w:r w:rsidR="00272CF7">
        <w:rPr>
          <w:rStyle w:val="FootnoteReference"/>
          <w:szCs w:val="22"/>
        </w:rPr>
        <w:footnoteReference w:id="21"/>
      </w:r>
      <w:r w:rsidRPr="001C761F">
        <w:rPr>
          <w:szCs w:val="22"/>
        </w:rPr>
        <w:t xml:space="preserve"> as well as the exclusions set forth in the Collocation Agreement.  </w:t>
      </w:r>
    </w:p>
    <w:p w14:paraId="5952A0D8" w14:textId="77777777" w:rsidR="00272CF7" w:rsidRDefault="00272CF7" w:rsidP="00B75F26">
      <w:pPr>
        <w:rPr>
          <w:szCs w:val="22"/>
        </w:rPr>
      </w:pPr>
    </w:p>
    <w:p w14:paraId="51F16DE3" w14:textId="523E698A" w:rsidR="00272CF7" w:rsidRDefault="00272CF7" w:rsidP="00B75F26">
      <w:pPr>
        <w:rPr>
          <w:szCs w:val="22"/>
        </w:rPr>
      </w:pPr>
      <w:r>
        <w:rPr>
          <w:szCs w:val="22"/>
        </w:rPr>
        <w:t xml:space="preserve">As discussed in more detail below, we specifically seek comment on the following potential additional exclusions for small </w:t>
      </w:r>
      <w:r w:rsidR="00995260">
        <w:rPr>
          <w:szCs w:val="22"/>
        </w:rPr>
        <w:t xml:space="preserve">wireless </w:t>
      </w:r>
      <w:r>
        <w:rPr>
          <w:szCs w:val="22"/>
        </w:rPr>
        <w:t>communications facility collocations:</w:t>
      </w:r>
    </w:p>
    <w:p w14:paraId="36117B20" w14:textId="77777777" w:rsidR="00583935" w:rsidRDefault="00583935" w:rsidP="00B75F26">
      <w:pPr>
        <w:rPr>
          <w:szCs w:val="22"/>
        </w:rPr>
      </w:pPr>
    </w:p>
    <w:p w14:paraId="57AD5669" w14:textId="3327E63C" w:rsidR="00105017" w:rsidRDefault="00484A19" w:rsidP="00013867">
      <w:pPr>
        <w:pStyle w:val="ListParagraph"/>
        <w:numPr>
          <w:ilvl w:val="0"/>
          <w:numId w:val="24"/>
        </w:numPr>
      </w:pPr>
      <w:r w:rsidRPr="00876D7E">
        <w:rPr>
          <w:szCs w:val="22"/>
        </w:rPr>
        <w:t>An exclusion for small facility deployments on structures more than</w:t>
      </w:r>
      <w:r>
        <w:t xml:space="preserve"> 45 years of age where the deployment</w:t>
      </w:r>
      <w:r w:rsidR="00707066">
        <w:t>s</w:t>
      </w:r>
      <w:r>
        <w:t xml:space="preserve"> meet</w:t>
      </w:r>
      <w:r w:rsidR="00707066">
        <w:t xml:space="preserve"> specified</w:t>
      </w:r>
      <w:r>
        <w:t xml:space="preserve"> volume limits, </w:t>
      </w:r>
      <w:r w:rsidRPr="002A4F43">
        <w:t>involve no new ground disturbance</w:t>
      </w:r>
      <w:r w:rsidR="00C57119">
        <w:t>,</w:t>
      </w:r>
      <w:r>
        <w:t xml:space="preserve"> and </w:t>
      </w:r>
      <w:r w:rsidR="00707066">
        <w:t xml:space="preserve">are </w:t>
      </w:r>
      <w:r>
        <w:t xml:space="preserve">not on </w:t>
      </w:r>
      <w:r w:rsidR="00876D7E">
        <w:t>historic properties or in or near a historic district.</w:t>
      </w:r>
    </w:p>
    <w:p w14:paraId="2FD8E78B" w14:textId="7A0F39B4" w:rsidR="00876D7E" w:rsidRPr="00876D7E" w:rsidRDefault="00876D7E" w:rsidP="00876D7E">
      <w:pPr>
        <w:pStyle w:val="ListParagraph"/>
        <w:numPr>
          <w:ilvl w:val="0"/>
          <w:numId w:val="24"/>
        </w:numPr>
        <w:rPr>
          <w:szCs w:val="22"/>
        </w:rPr>
      </w:pPr>
      <w:r w:rsidRPr="00876D7E">
        <w:rPr>
          <w:szCs w:val="22"/>
        </w:rPr>
        <w:t>An exclusion for small facility deployments located on historic properties</w:t>
      </w:r>
      <w:r w:rsidR="005D1578">
        <w:rPr>
          <w:szCs w:val="22"/>
        </w:rPr>
        <w:t xml:space="preserve"> </w:t>
      </w:r>
      <w:r w:rsidR="00707066">
        <w:rPr>
          <w:szCs w:val="22"/>
        </w:rPr>
        <w:t xml:space="preserve">or in or near a historic district </w:t>
      </w:r>
      <w:r w:rsidR="005D1578">
        <w:rPr>
          <w:szCs w:val="22"/>
        </w:rPr>
        <w:t>if they:  meet specified size or volume limits</w:t>
      </w:r>
      <w:r w:rsidR="00707066">
        <w:rPr>
          <w:szCs w:val="22"/>
        </w:rPr>
        <w:t>;</w:t>
      </w:r>
      <w:r w:rsidR="005D1578">
        <w:rPr>
          <w:szCs w:val="22"/>
        </w:rPr>
        <w:t xml:space="preserve"> cause no new ground disturbance</w:t>
      </w:r>
      <w:r w:rsidR="00707066">
        <w:rPr>
          <w:szCs w:val="22"/>
        </w:rPr>
        <w:t>;</w:t>
      </w:r>
      <w:r w:rsidR="005D1578">
        <w:rPr>
          <w:szCs w:val="22"/>
        </w:rPr>
        <w:t xml:space="preserve"> meet visibility restrictions</w:t>
      </w:r>
      <w:r w:rsidR="00707066">
        <w:rPr>
          <w:szCs w:val="22"/>
        </w:rPr>
        <w:t>;</w:t>
      </w:r>
      <w:r w:rsidR="005D1578">
        <w:rPr>
          <w:szCs w:val="22"/>
        </w:rPr>
        <w:t xml:space="preserve"> comply in their installation with </w:t>
      </w:r>
      <w:r w:rsidR="005D1578" w:rsidRPr="00CA33CC">
        <w:rPr>
          <w:szCs w:val="22"/>
        </w:rPr>
        <w:t xml:space="preserve">the Secretary of the Interior’s </w:t>
      </w:r>
      <w:r w:rsidR="00CA33CC">
        <w:rPr>
          <w:szCs w:val="22"/>
        </w:rPr>
        <w:t>s</w:t>
      </w:r>
      <w:r w:rsidR="005D1578" w:rsidRPr="00CA33CC">
        <w:rPr>
          <w:szCs w:val="22"/>
        </w:rPr>
        <w:t xml:space="preserve">tandards and </w:t>
      </w:r>
      <w:r w:rsidR="00CA33CC">
        <w:rPr>
          <w:szCs w:val="22"/>
        </w:rPr>
        <w:t>gu</w:t>
      </w:r>
      <w:r w:rsidR="005D1578" w:rsidRPr="00CA33CC">
        <w:rPr>
          <w:szCs w:val="22"/>
        </w:rPr>
        <w:t xml:space="preserve">idelines for </w:t>
      </w:r>
      <w:r w:rsidR="00CA33CC">
        <w:rPr>
          <w:szCs w:val="22"/>
        </w:rPr>
        <w:t>h</w:t>
      </w:r>
      <w:r w:rsidR="005D1578" w:rsidRPr="00CA33CC">
        <w:rPr>
          <w:szCs w:val="22"/>
        </w:rPr>
        <w:t xml:space="preserve">istoric </w:t>
      </w:r>
      <w:r w:rsidR="00CA33CC">
        <w:rPr>
          <w:szCs w:val="22"/>
        </w:rPr>
        <w:t>p</w:t>
      </w:r>
      <w:r w:rsidR="005D1578" w:rsidRPr="00CA33CC">
        <w:rPr>
          <w:szCs w:val="22"/>
        </w:rPr>
        <w:t>reservation</w:t>
      </w:r>
      <w:r w:rsidR="00707066" w:rsidRPr="00CA33CC">
        <w:rPr>
          <w:szCs w:val="22"/>
        </w:rPr>
        <w:t>;</w:t>
      </w:r>
      <w:r w:rsidR="00CA33CC">
        <w:rPr>
          <w:rStyle w:val="FootnoteReference"/>
          <w:szCs w:val="22"/>
        </w:rPr>
        <w:footnoteReference w:id="22"/>
      </w:r>
      <w:r w:rsidR="005D1578">
        <w:rPr>
          <w:szCs w:val="22"/>
        </w:rPr>
        <w:t xml:space="preserve"> and </w:t>
      </w:r>
      <w:r>
        <w:rPr>
          <w:szCs w:val="22"/>
        </w:rPr>
        <w:t xml:space="preserve">comply </w:t>
      </w:r>
      <w:r w:rsidRPr="00876D7E">
        <w:rPr>
          <w:szCs w:val="22"/>
        </w:rPr>
        <w:t>with all conditions on any existing deployment, located within the same vicinity on the same property, that were imposed pursuant to any regulatory or Section 106 review in order to directly mitigate or prevent the facility’s effects.</w:t>
      </w:r>
    </w:p>
    <w:p w14:paraId="2F377A77" w14:textId="77777777" w:rsidR="00105017" w:rsidRDefault="00876D7E" w:rsidP="00013867">
      <w:pPr>
        <w:pStyle w:val="ListParagraph"/>
        <w:numPr>
          <w:ilvl w:val="0"/>
          <w:numId w:val="24"/>
        </w:numPr>
        <w:rPr>
          <w:szCs w:val="22"/>
        </w:rPr>
      </w:pPr>
      <w:r w:rsidRPr="00876D7E">
        <w:rPr>
          <w:szCs w:val="22"/>
        </w:rPr>
        <w:t>Additional exclusion</w:t>
      </w:r>
      <w:r w:rsidR="005D1578">
        <w:rPr>
          <w:szCs w:val="22"/>
        </w:rPr>
        <w:t>s for small facility deployments on historic properties or in or near</w:t>
      </w:r>
      <w:r w:rsidR="00707066">
        <w:rPr>
          <w:szCs w:val="22"/>
        </w:rPr>
        <w:t xml:space="preserve"> a </w:t>
      </w:r>
      <w:r w:rsidR="005D1578">
        <w:rPr>
          <w:szCs w:val="22"/>
        </w:rPr>
        <w:t xml:space="preserve">historic district, regardless of visibility limitations, </w:t>
      </w:r>
      <w:r w:rsidR="00707066">
        <w:rPr>
          <w:szCs w:val="22"/>
        </w:rPr>
        <w:t xml:space="preserve">in certain limited circumstances </w:t>
      </w:r>
      <w:r w:rsidR="005D1578">
        <w:rPr>
          <w:szCs w:val="22"/>
        </w:rPr>
        <w:t>such as: deployments of small facilities on utility poles, light posts, and traffic lights; deployments of small facilities in certain locations, such as utility or communications rights-of-way; and replacements or modifications of existing small facilities where the replacement</w:t>
      </w:r>
      <w:r w:rsidR="00707066">
        <w:rPr>
          <w:szCs w:val="22"/>
        </w:rPr>
        <w:t>s</w:t>
      </w:r>
      <w:r w:rsidR="005D1578">
        <w:rPr>
          <w:szCs w:val="22"/>
        </w:rPr>
        <w:t xml:space="preserve"> meet specified volume/size limits.</w:t>
      </w:r>
    </w:p>
    <w:p w14:paraId="7E61FF31" w14:textId="77777777" w:rsidR="00876D7E" w:rsidRDefault="00876D7E" w:rsidP="00B75F26">
      <w:pPr>
        <w:rPr>
          <w:szCs w:val="22"/>
        </w:rPr>
      </w:pPr>
    </w:p>
    <w:p w14:paraId="10880473" w14:textId="3F63B3F1" w:rsidR="00272CF7" w:rsidRPr="001C761F" w:rsidRDefault="00272CF7" w:rsidP="00B75F26">
      <w:pPr>
        <w:rPr>
          <w:szCs w:val="22"/>
        </w:rPr>
      </w:pPr>
      <w:r>
        <w:rPr>
          <w:szCs w:val="22"/>
        </w:rPr>
        <w:t xml:space="preserve">We also invite ideas regarding any other potential measures to improve our Section 106 process for small </w:t>
      </w:r>
      <w:r w:rsidR="00995260">
        <w:rPr>
          <w:szCs w:val="22"/>
        </w:rPr>
        <w:t xml:space="preserve">wireless </w:t>
      </w:r>
      <w:r>
        <w:rPr>
          <w:szCs w:val="22"/>
        </w:rPr>
        <w:t>communications facilities.</w:t>
      </w:r>
    </w:p>
    <w:p w14:paraId="4D1F56D1" w14:textId="77777777" w:rsidR="00B75F26" w:rsidRPr="001C761F" w:rsidRDefault="00B75F26" w:rsidP="00B75F26">
      <w:pPr>
        <w:rPr>
          <w:szCs w:val="22"/>
        </w:rPr>
      </w:pPr>
    </w:p>
    <w:p w14:paraId="46525BC1" w14:textId="6EFAF219" w:rsidR="00B75F26" w:rsidRPr="001C761F" w:rsidRDefault="00B75F26" w:rsidP="00B75F26">
      <w:pPr>
        <w:rPr>
          <w:szCs w:val="22"/>
        </w:rPr>
      </w:pPr>
      <w:r w:rsidRPr="001C761F">
        <w:rPr>
          <w:szCs w:val="22"/>
        </w:rPr>
        <w:t xml:space="preserve">The purpose of this </w:t>
      </w:r>
      <w:r w:rsidR="00E33E0B" w:rsidRPr="001C761F">
        <w:rPr>
          <w:szCs w:val="22"/>
        </w:rPr>
        <w:t>Section 106 S</w:t>
      </w:r>
      <w:r w:rsidRPr="001C761F">
        <w:rPr>
          <w:szCs w:val="22"/>
        </w:rPr>
        <w:t xml:space="preserve">coping </w:t>
      </w:r>
      <w:r w:rsidR="00E33E0B" w:rsidRPr="001C761F">
        <w:rPr>
          <w:szCs w:val="22"/>
        </w:rPr>
        <w:t>D</w:t>
      </w:r>
      <w:r w:rsidRPr="001C761F">
        <w:rPr>
          <w:szCs w:val="22"/>
        </w:rPr>
        <w:t>ocument is to inform and engage all stakeholders in this important process</w:t>
      </w:r>
      <w:r w:rsidR="00933219">
        <w:rPr>
          <w:szCs w:val="22"/>
        </w:rPr>
        <w:t>, and also to</w:t>
      </w:r>
      <w:r w:rsidRPr="001C761F">
        <w:rPr>
          <w:szCs w:val="22"/>
        </w:rPr>
        <w:t xml:space="preserve"> initiate formal consultation on the development of the proposed </w:t>
      </w:r>
      <w:r w:rsidR="00BD2AD5" w:rsidRPr="001C761F">
        <w:rPr>
          <w:szCs w:val="22"/>
        </w:rPr>
        <w:t>p</w:t>
      </w:r>
      <w:r w:rsidRPr="001C761F">
        <w:rPr>
          <w:szCs w:val="22"/>
        </w:rPr>
        <w:t xml:space="preserve">rogram </w:t>
      </w:r>
      <w:r w:rsidR="00BD2AD5" w:rsidRPr="001C761F">
        <w:rPr>
          <w:szCs w:val="22"/>
        </w:rPr>
        <w:t>a</w:t>
      </w:r>
      <w:r w:rsidRPr="001C761F">
        <w:rPr>
          <w:szCs w:val="22"/>
        </w:rPr>
        <w:t xml:space="preserve">lternative with </w:t>
      </w:r>
      <w:r w:rsidR="00E33E0B" w:rsidRPr="001C761F">
        <w:rPr>
          <w:szCs w:val="22"/>
        </w:rPr>
        <w:t>F</w:t>
      </w:r>
      <w:r w:rsidRPr="001C761F">
        <w:rPr>
          <w:szCs w:val="22"/>
        </w:rPr>
        <w:t>ederally</w:t>
      </w:r>
      <w:r w:rsidR="00E33E0B" w:rsidRPr="001C761F">
        <w:rPr>
          <w:szCs w:val="22"/>
        </w:rPr>
        <w:t>-</w:t>
      </w:r>
      <w:r w:rsidRPr="001C761F">
        <w:rPr>
          <w:szCs w:val="22"/>
        </w:rPr>
        <w:t xml:space="preserve">recognized Tribal Nations.  This document provides a statement of purpose, </w:t>
      </w:r>
      <w:r w:rsidR="006E1E37" w:rsidRPr="001C761F">
        <w:rPr>
          <w:szCs w:val="22"/>
        </w:rPr>
        <w:t xml:space="preserve">an overview of </w:t>
      </w:r>
      <w:r w:rsidRPr="001C761F">
        <w:rPr>
          <w:szCs w:val="22"/>
        </w:rPr>
        <w:t xml:space="preserve">DAS and small cell infrastructure, an explanation of compliance with Section 106 for DAS and small cell infrastructure, a discussion of ideas for the proposed </w:t>
      </w:r>
      <w:r w:rsidR="00BD2AD5" w:rsidRPr="001C761F">
        <w:rPr>
          <w:szCs w:val="22"/>
        </w:rPr>
        <w:t>p</w:t>
      </w:r>
      <w:r w:rsidRPr="001C761F">
        <w:rPr>
          <w:szCs w:val="22"/>
        </w:rPr>
        <w:t xml:space="preserve">rogram </w:t>
      </w:r>
      <w:r w:rsidR="00BD2AD5" w:rsidRPr="001C761F">
        <w:rPr>
          <w:szCs w:val="22"/>
        </w:rPr>
        <w:t>a</w:t>
      </w:r>
      <w:r w:rsidRPr="001C761F">
        <w:rPr>
          <w:szCs w:val="22"/>
        </w:rPr>
        <w:t xml:space="preserve">lternative, and a description of next steps.  </w:t>
      </w:r>
    </w:p>
    <w:p w14:paraId="6096CE0F" w14:textId="77777777" w:rsidR="00B75F26" w:rsidRPr="001C761F" w:rsidRDefault="00B75F26" w:rsidP="00B75F26">
      <w:pPr>
        <w:jc w:val="both"/>
        <w:rPr>
          <w:szCs w:val="22"/>
        </w:rPr>
      </w:pPr>
    </w:p>
    <w:p w14:paraId="146BF237" w14:textId="77777777" w:rsidR="00B75F26" w:rsidRPr="001C761F" w:rsidRDefault="00B75F26" w:rsidP="00B75F26">
      <w:pPr>
        <w:numPr>
          <w:ilvl w:val="0"/>
          <w:numId w:val="17"/>
        </w:numPr>
        <w:jc w:val="both"/>
        <w:rPr>
          <w:szCs w:val="22"/>
        </w:rPr>
      </w:pPr>
      <w:r w:rsidRPr="001C761F">
        <w:rPr>
          <w:b/>
          <w:szCs w:val="22"/>
        </w:rPr>
        <w:t>Purpose</w:t>
      </w:r>
      <w:r w:rsidRPr="001C761F">
        <w:rPr>
          <w:szCs w:val="22"/>
        </w:rPr>
        <w:t xml:space="preserve"> </w:t>
      </w:r>
    </w:p>
    <w:p w14:paraId="0C37D684" w14:textId="77777777" w:rsidR="00B75F26" w:rsidRPr="001C761F" w:rsidRDefault="00B75F26" w:rsidP="00B75F26">
      <w:pPr>
        <w:rPr>
          <w:szCs w:val="22"/>
        </w:rPr>
      </w:pPr>
    </w:p>
    <w:p w14:paraId="552D31B6" w14:textId="68D37233" w:rsidR="001047E1" w:rsidRDefault="00B75F26" w:rsidP="00B75F26">
      <w:pPr>
        <w:rPr>
          <w:szCs w:val="22"/>
        </w:rPr>
      </w:pPr>
      <w:r w:rsidRPr="001C761F">
        <w:rPr>
          <w:szCs w:val="22"/>
        </w:rPr>
        <w:t>Th</w:t>
      </w:r>
      <w:r w:rsidR="001628C9" w:rsidRPr="001C761F">
        <w:rPr>
          <w:szCs w:val="22"/>
        </w:rPr>
        <w:t xml:space="preserve">e </w:t>
      </w:r>
      <w:r w:rsidR="009164BF" w:rsidRPr="001C761F">
        <w:rPr>
          <w:szCs w:val="22"/>
        </w:rPr>
        <w:t xml:space="preserve">Commission seeks to develop alternative </w:t>
      </w:r>
      <w:r w:rsidRPr="001C761F">
        <w:rPr>
          <w:szCs w:val="22"/>
        </w:rPr>
        <w:t xml:space="preserve">review processes under Section 106 of the NHPA </w:t>
      </w:r>
      <w:r w:rsidR="009164BF" w:rsidRPr="001C761F">
        <w:rPr>
          <w:szCs w:val="22"/>
        </w:rPr>
        <w:t xml:space="preserve">that are appropriate for </w:t>
      </w:r>
      <w:r w:rsidRPr="001C761F">
        <w:rPr>
          <w:szCs w:val="22"/>
        </w:rPr>
        <w:t xml:space="preserve">new wireless technologies that use smaller antennas and compact radio equipment.  These </w:t>
      </w:r>
      <w:r w:rsidR="001047E1">
        <w:rPr>
          <w:szCs w:val="22"/>
        </w:rPr>
        <w:t>facilities</w:t>
      </w:r>
      <w:r w:rsidRPr="001C761F">
        <w:rPr>
          <w:szCs w:val="22"/>
        </w:rPr>
        <w:t>, including</w:t>
      </w:r>
      <w:r w:rsidR="001047E1">
        <w:rPr>
          <w:szCs w:val="22"/>
        </w:rPr>
        <w:t xml:space="preserve"> those used in</w:t>
      </w:r>
      <w:r w:rsidRPr="001C761F">
        <w:rPr>
          <w:szCs w:val="22"/>
        </w:rPr>
        <w:t xml:space="preserve"> DAS and small cell systems, are a fraction of the size of traditional </w:t>
      </w:r>
      <w:r w:rsidR="00DC455F">
        <w:rPr>
          <w:szCs w:val="22"/>
        </w:rPr>
        <w:t xml:space="preserve">cell tower </w:t>
      </w:r>
      <w:r w:rsidRPr="001C761F">
        <w:rPr>
          <w:szCs w:val="22"/>
        </w:rPr>
        <w:t>deployments and can be installed</w:t>
      </w:r>
      <w:r w:rsidR="00BD2AD5" w:rsidRPr="001C761F">
        <w:rPr>
          <w:szCs w:val="22"/>
        </w:rPr>
        <w:t xml:space="preserve"> </w:t>
      </w:r>
      <w:r w:rsidRPr="001C761F">
        <w:rPr>
          <w:szCs w:val="22"/>
        </w:rPr>
        <w:t>on utility poles, buildings, and other existing structures.</w:t>
      </w:r>
      <w:r w:rsidR="000A6536">
        <w:rPr>
          <w:rStyle w:val="FootnoteReference"/>
          <w:szCs w:val="22"/>
        </w:rPr>
        <w:footnoteReference w:id="23"/>
      </w:r>
      <w:r w:rsidRPr="001C761F">
        <w:rPr>
          <w:szCs w:val="22"/>
        </w:rPr>
        <w:t xml:space="preserve">  </w:t>
      </w:r>
      <w:r w:rsidR="001047E1">
        <w:rPr>
          <w:szCs w:val="22"/>
        </w:rPr>
        <w:t>Further t</w:t>
      </w:r>
      <w:r w:rsidRPr="001C761F">
        <w:rPr>
          <w:szCs w:val="22"/>
        </w:rPr>
        <w:t xml:space="preserve">ailoring the Section 106 review process for small </w:t>
      </w:r>
      <w:r w:rsidR="00995260">
        <w:rPr>
          <w:szCs w:val="22"/>
        </w:rPr>
        <w:t xml:space="preserve">wireless </w:t>
      </w:r>
      <w:r w:rsidRPr="001C761F">
        <w:rPr>
          <w:szCs w:val="22"/>
        </w:rPr>
        <w:t>communications facilities</w:t>
      </w:r>
      <w:r w:rsidR="001047E1">
        <w:rPr>
          <w:szCs w:val="22"/>
        </w:rPr>
        <w:t xml:space="preserve"> would</w:t>
      </w:r>
      <w:r w:rsidRPr="001C761F">
        <w:rPr>
          <w:szCs w:val="22"/>
        </w:rPr>
        <w:t xml:space="preserve"> foster </w:t>
      </w:r>
      <w:r w:rsidR="00B8010B" w:rsidRPr="001C761F">
        <w:rPr>
          <w:szCs w:val="22"/>
        </w:rPr>
        <w:t xml:space="preserve">efficient </w:t>
      </w:r>
      <w:r w:rsidRPr="001C761F">
        <w:rPr>
          <w:szCs w:val="22"/>
        </w:rPr>
        <w:t>deployment of</w:t>
      </w:r>
      <w:r w:rsidR="00D2192D" w:rsidRPr="001C761F">
        <w:rPr>
          <w:szCs w:val="22"/>
        </w:rPr>
        <w:t xml:space="preserve"> infrastructure and</w:t>
      </w:r>
      <w:r w:rsidRPr="001C761F">
        <w:rPr>
          <w:szCs w:val="22"/>
        </w:rPr>
        <w:t xml:space="preserve"> equipment</w:t>
      </w:r>
      <w:r w:rsidR="00D2192D" w:rsidRPr="001C761F">
        <w:rPr>
          <w:szCs w:val="22"/>
        </w:rPr>
        <w:t xml:space="preserve"> </w:t>
      </w:r>
      <w:r w:rsidRPr="001C761F">
        <w:rPr>
          <w:szCs w:val="22"/>
        </w:rPr>
        <w:t xml:space="preserve">that </w:t>
      </w:r>
      <w:r w:rsidR="00D2192D" w:rsidRPr="001C761F">
        <w:rPr>
          <w:szCs w:val="22"/>
        </w:rPr>
        <w:t xml:space="preserve">could </w:t>
      </w:r>
      <w:r w:rsidRPr="001C761F">
        <w:rPr>
          <w:szCs w:val="22"/>
        </w:rPr>
        <w:t xml:space="preserve">deliver greater spectrum capacity in more locations and fill in coverage gaps, </w:t>
      </w:r>
      <w:r w:rsidR="00B8010B" w:rsidRPr="001C761F">
        <w:rPr>
          <w:szCs w:val="22"/>
        </w:rPr>
        <w:t xml:space="preserve">while </w:t>
      </w:r>
      <w:r w:rsidR="00054D86" w:rsidRPr="001C761F">
        <w:rPr>
          <w:szCs w:val="22"/>
        </w:rPr>
        <w:t xml:space="preserve">also </w:t>
      </w:r>
      <w:r w:rsidR="00B8010B" w:rsidRPr="001C761F">
        <w:rPr>
          <w:szCs w:val="22"/>
        </w:rPr>
        <w:t>taking</w:t>
      </w:r>
      <w:r w:rsidR="00054D86" w:rsidRPr="001C761F">
        <w:rPr>
          <w:szCs w:val="22"/>
        </w:rPr>
        <w:t xml:space="preserve"> into account</w:t>
      </w:r>
      <w:r w:rsidR="00D2192D" w:rsidRPr="001C761F">
        <w:rPr>
          <w:szCs w:val="22"/>
        </w:rPr>
        <w:t xml:space="preserve"> </w:t>
      </w:r>
      <w:r w:rsidR="00B8010B" w:rsidRPr="001C761F">
        <w:rPr>
          <w:szCs w:val="22"/>
        </w:rPr>
        <w:t>historic preservation</w:t>
      </w:r>
      <w:r w:rsidR="00054D86" w:rsidRPr="001C761F">
        <w:rPr>
          <w:szCs w:val="22"/>
        </w:rPr>
        <w:t xml:space="preserve"> requirements</w:t>
      </w:r>
      <w:r w:rsidR="00B8010B" w:rsidRPr="001C761F">
        <w:rPr>
          <w:szCs w:val="22"/>
        </w:rPr>
        <w:t xml:space="preserve"> and respecting </w:t>
      </w:r>
      <w:r w:rsidRPr="001C761F">
        <w:rPr>
          <w:szCs w:val="22"/>
        </w:rPr>
        <w:t>the vital role</w:t>
      </w:r>
      <w:r w:rsidR="00054D86" w:rsidRPr="001C761F">
        <w:rPr>
          <w:szCs w:val="22"/>
        </w:rPr>
        <w:t>s</w:t>
      </w:r>
      <w:r w:rsidRPr="001C761F">
        <w:rPr>
          <w:szCs w:val="22"/>
        </w:rPr>
        <w:t xml:space="preserve"> of State, local and Tribal governments. </w:t>
      </w:r>
    </w:p>
    <w:p w14:paraId="41D8EFF4" w14:textId="5982E846" w:rsidR="00B75F26" w:rsidRPr="001C761F" w:rsidRDefault="00B75F26" w:rsidP="00B75F26">
      <w:pPr>
        <w:rPr>
          <w:szCs w:val="22"/>
        </w:rPr>
      </w:pPr>
    </w:p>
    <w:p w14:paraId="3A7A3F81" w14:textId="32A2C303" w:rsidR="001047E1" w:rsidRPr="001C761F" w:rsidRDefault="001047E1" w:rsidP="001047E1">
      <w:pPr>
        <w:rPr>
          <w:szCs w:val="22"/>
        </w:rPr>
      </w:pPr>
      <w:r w:rsidRPr="001C761F">
        <w:rPr>
          <w:szCs w:val="22"/>
        </w:rPr>
        <w:t xml:space="preserve">The Commission’s environmental </w:t>
      </w:r>
      <w:r>
        <w:rPr>
          <w:szCs w:val="22"/>
        </w:rPr>
        <w:t>rules, including its</w:t>
      </w:r>
      <w:r w:rsidRPr="001C761F">
        <w:rPr>
          <w:szCs w:val="22"/>
        </w:rPr>
        <w:t xml:space="preserve"> historic preservation rules</w:t>
      </w:r>
      <w:r>
        <w:rPr>
          <w:szCs w:val="22"/>
        </w:rPr>
        <w:t>,</w:t>
      </w:r>
      <w:r w:rsidRPr="001C761F">
        <w:rPr>
          <w:szCs w:val="22"/>
        </w:rPr>
        <w:t xml:space="preserve"> </w:t>
      </w:r>
      <w:r w:rsidR="00DC455F">
        <w:rPr>
          <w:szCs w:val="22"/>
        </w:rPr>
        <w:t xml:space="preserve">generally </w:t>
      </w:r>
      <w:r w:rsidRPr="001C761F">
        <w:rPr>
          <w:szCs w:val="22"/>
        </w:rPr>
        <w:t xml:space="preserve">addressed the deployment of </w:t>
      </w:r>
      <w:r w:rsidR="00DC455F">
        <w:rPr>
          <w:szCs w:val="22"/>
        </w:rPr>
        <w:t>traditional “</w:t>
      </w:r>
      <w:r w:rsidRPr="001C761F">
        <w:rPr>
          <w:szCs w:val="22"/>
        </w:rPr>
        <w:t>macrocells</w:t>
      </w:r>
      <w:r w:rsidR="00DC455F">
        <w:rPr>
          <w:szCs w:val="22"/>
        </w:rPr>
        <w:t>”</w:t>
      </w:r>
      <w:r w:rsidRPr="001C761F">
        <w:rPr>
          <w:szCs w:val="22"/>
        </w:rPr>
        <w:t xml:space="preserve"> on towers</w:t>
      </w:r>
      <w:r>
        <w:rPr>
          <w:szCs w:val="22"/>
        </w:rPr>
        <w:t>,</w:t>
      </w:r>
      <w:r w:rsidRPr="001C761F">
        <w:rPr>
          <w:szCs w:val="22"/>
        </w:rPr>
        <w:t xml:space="preserve"> buildings and </w:t>
      </w:r>
      <w:r>
        <w:rPr>
          <w:szCs w:val="22"/>
        </w:rPr>
        <w:t xml:space="preserve">non-tower </w:t>
      </w:r>
      <w:r w:rsidRPr="001C761F">
        <w:rPr>
          <w:szCs w:val="22"/>
        </w:rPr>
        <w:t>structures.  For decades, the Commission’s rules have excluded most collocations of antennas from regulatory review, recognizing the benefits to the environment and historic properties</w:t>
      </w:r>
      <w:r>
        <w:rPr>
          <w:szCs w:val="22"/>
        </w:rPr>
        <w:t xml:space="preserve"> that accrue</w:t>
      </w:r>
      <w:r w:rsidRPr="001C761F">
        <w:rPr>
          <w:szCs w:val="22"/>
        </w:rPr>
        <w:t xml:space="preserve"> from </w:t>
      </w:r>
      <w:r>
        <w:rPr>
          <w:szCs w:val="22"/>
        </w:rPr>
        <w:t>using</w:t>
      </w:r>
      <w:r w:rsidRPr="001C761F">
        <w:rPr>
          <w:szCs w:val="22"/>
        </w:rPr>
        <w:t xml:space="preserve"> existing support structures </w:t>
      </w:r>
      <w:r>
        <w:rPr>
          <w:szCs w:val="22"/>
        </w:rPr>
        <w:t>rather than building</w:t>
      </w:r>
      <w:r w:rsidRPr="001C761F">
        <w:rPr>
          <w:szCs w:val="22"/>
        </w:rPr>
        <w:t xml:space="preserve"> new structures.  The current trend towards small wireless facility deployments</w:t>
      </w:r>
      <w:r w:rsidR="002D14A6">
        <w:rPr>
          <w:szCs w:val="22"/>
        </w:rPr>
        <w:t xml:space="preserve"> has comp</w:t>
      </w:r>
      <w:r w:rsidR="000A6536">
        <w:rPr>
          <w:szCs w:val="22"/>
        </w:rPr>
        <w:t>e</w:t>
      </w:r>
      <w:r w:rsidR="002D14A6">
        <w:rPr>
          <w:szCs w:val="22"/>
        </w:rPr>
        <w:t>lled</w:t>
      </w:r>
      <w:r w:rsidRPr="001C761F">
        <w:rPr>
          <w:szCs w:val="22"/>
        </w:rPr>
        <w:t xml:space="preserve"> us to</w:t>
      </w:r>
      <w:r>
        <w:rPr>
          <w:szCs w:val="22"/>
        </w:rPr>
        <w:t xml:space="preserve"> </w:t>
      </w:r>
      <w:r w:rsidRPr="001C761F">
        <w:rPr>
          <w:szCs w:val="22"/>
        </w:rPr>
        <w:t>updat</w:t>
      </w:r>
      <w:r w:rsidR="002D14A6">
        <w:rPr>
          <w:szCs w:val="22"/>
        </w:rPr>
        <w:t>e</w:t>
      </w:r>
      <w:r w:rsidRPr="001C761F">
        <w:rPr>
          <w:szCs w:val="22"/>
        </w:rPr>
        <w:t xml:space="preserve"> and expand these exclusions to address and account for the smaller infrastructure associated with new technology.  </w:t>
      </w:r>
      <w:r>
        <w:rPr>
          <w:szCs w:val="22"/>
        </w:rPr>
        <w:t>Among other things, e</w:t>
      </w:r>
      <w:r w:rsidRPr="001C761F">
        <w:rPr>
          <w:szCs w:val="22"/>
        </w:rPr>
        <w:t xml:space="preserve">liminating the review of deployments with minimal potential to affect historic properties will allow the valuable and scarce administrative resources supporting Section 106 reviews to be focused on more problematic undertakings, thereby serving the preservation values our review processes were intended to protect.  </w:t>
      </w:r>
    </w:p>
    <w:p w14:paraId="7EE305DC" w14:textId="77777777" w:rsidR="00B75F26" w:rsidRPr="001C761F" w:rsidRDefault="00B75F26" w:rsidP="00B75F26">
      <w:pPr>
        <w:rPr>
          <w:szCs w:val="22"/>
        </w:rPr>
      </w:pPr>
    </w:p>
    <w:p w14:paraId="6664CC7E" w14:textId="5760B20A" w:rsidR="00B75F26" w:rsidRPr="001C761F" w:rsidRDefault="00B75F26" w:rsidP="00B75F26">
      <w:pPr>
        <w:rPr>
          <w:szCs w:val="22"/>
        </w:rPr>
      </w:pPr>
      <w:r w:rsidRPr="001C761F">
        <w:rPr>
          <w:szCs w:val="22"/>
        </w:rPr>
        <w:t xml:space="preserve">In the </w:t>
      </w:r>
      <w:r w:rsidRPr="001C761F">
        <w:rPr>
          <w:i/>
          <w:szCs w:val="22"/>
        </w:rPr>
        <w:t>Infrastructure Report and Order</w:t>
      </w:r>
      <w:r w:rsidRPr="001C761F">
        <w:rPr>
          <w:szCs w:val="22"/>
        </w:rPr>
        <w:t xml:space="preserve">, the Commission eliminated unnecessary reviews of proposed deployments of small </w:t>
      </w:r>
      <w:r w:rsidR="00995260">
        <w:rPr>
          <w:szCs w:val="22"/>
        </w:rPr>
        <w:t xml:space="preserve">wireless </w:t>
      </w:r>
      <w:r w:rsidRPr="001C761F">
        <w:rPr>
          <w:szCs w:val="22"/>
        </w:rPr>
        <w:t>communications facilities by adopting two targeted exclusions from Section 106 review</w:t>
      </w:r>
      <w:r w:rsidR="00452FFF" w:rsidRPr="001C761F">
        <w:rPr>
          <w:szCs w:val="22"/>
        </w:rPr>
        <w:t xml:space="preserve"> for certain small facility collocations </w:t>
      </w:r>
      <w:r w:rsidRPr="001C761F">
        <w:rPr>
          <w:szCs w:val="22"/>
        </w:rPr>
        <w:t>on utility structure</w:t>
      </w:r>
      <w:r w:rsidR="00452FFF" w:rsidRPr="001C761F">
        <w:rPr>
          <w:szCs w:val="22"/>
        </w:rPr>
        <w:t>s</w:t>
      </w:r>
      <w:r w:rsidRPr="001C761F">
        <w:rPr>
          <w:szCs w:val="22"/>
        </w:rPr>
        <w:t xml:space="preserve"> and </w:t>
      </w:r>
      <w:r w:rsidR="00452FFF" w:rsidRPr="001C761F">
        <w:rPr>
          <w:szCs w:val="22"/>
        </w:rPr>
        <w:t xml:space="preserve">on </w:t>
      </w:r>
      <w:r w:rsidRPr="001C761F">
        <w:rPr>
          <w:szCs w:val="22"/>
        </w:rPr>
        <w:t>buildings and other non-tower structures, provided that they meet certain specified criteria.</w:t>
      </w:r>
      <w:r w:rsidR="006E1E37" w:rsidRPr="001C761F">
        <w:rPr>
          <w:rStyle w:val="FootnoteReference"/>
          <w:szCs w:val="22"/>
        </w:rPr>
        <w:footnoteReference w:id="24"/>
      </w:r>
      <w:r w:rsidRPr="001C761F">
        <w:rPr>
          <w:szCs w:val="22"/>
        </w:rPr>
        <w:t xml:space="preserve">  The </w:t>
      </w:r>
      <w:r w:rsidRPr="001C761F">
        <w:rPr>
          <w:i/>
          <w:szCs w:val="22"/>
        </w:rPr>
        <w:t>Infrastructure Report and Order</w:t>
      </w:r>
      <w:r w:rsidRPr="001C761F">
        <w:rPr>
          <w:szCs w:val="22"/>
        </w:rPr>
        <w:t xml:space="preserve"> also noted that Commission </w:t>
      </w:r>
      <w:r w:rsidR="00E33E0B" w:rsidRPr="001C761F">
        <w:rPr>
          <w:szCs w:val="22"/>
        </w:rPr>
        <w:t xml:space="preserve">staff </w:t>
      </w:r>
      <w:r w:rsidR="001047E1">
        <w:rPr>
          <w:szCs w:val="22"/>
        </w:rPr>
        <w:t>was</w:t>
      </w:r>
      <w:r w:rsidRPr="001C761F">
        <w:rPr>
          <w:szCs w:val="22"/>
        </w:rPr>
        <w:t xml:space="preserve"> working with</w:t>
      </w:r>
      <w:r w:rsidR="001047E1">
        <w:rPr>
          <w:szCs w:val="22"/>
        </w:rPr>
        <w:t xml:space="preserve"> the</w:t>
      </w:r>
      <w:r w:rsidRPr="001C761F">
        <w:rPr>
          <w:szCs w:val="22"/>
        </w:rPr>
        <w:t xml:space="preserve"> ACHP and other stakeholders to develop a program alternative </w:t>
      </w:r>
      <w:r w:rsidR="0085387A">
        <w:rPr>
          <w:szCs w:val="22"/>
        </w:rPr>
        <w:t>to</w:t>
      </w:r>
      <w:r w:rsidRPr="001C761F">
        <w:rPr>
          <w:szCs w:val="22"/>
        </w:rPr>
        <w:t xml:space="preserve"> promote additional efficiencies in the </w:t>
      </w:r>
      <w:r w:rsidR="00E33E0B" w:rsidRPr="001C761F">
        <w:rPr>
          <w:szCs w:val="22"/>
        </w:rPr>
        <w:t>Section 106</w:t>
      </w:r>
      <w:r w:rsidRPr="001C761F">
        <w:rPr>
          <w:szCs w:val="22"/>
        </w:rPr>
        <w:t xml:space="preserve"> review of DAS and small-cell deployments.</w:t>
      </w:r>
      <w:r w:rsidRPr="001C761F">
        <w:rPr>
          <w:rStyle w:val="FootnoteReference"/>
          <w:szCs w:val="22"/>
        </w:rPr>
        <w:footnoteReference w:id="25"/>
      </w:r>
      <w:r w:rsidRPr="001C761F">
        <w:rPr>
          <w:szCs w:val="22"/>
        </w:rPr>
        <w:t xml:space="preserve">  The Commission stated</w:t>
      </w:r>
      <w:r w:rsidR="00B8010B" w:rsidRPr="001C761F">
        <w:rPr>
          <w:szCs w:val="22"/>
        </w:rPr>
        <w:t xml:space="preserve"> that</w:t>
      </w:r>
      <w:r w:rsidRPr="001C761F">
        <w:rPr>
          <w:szCs w:val="22"/>
        </w:rPr>
        <w:t xml:space="preserve"> it expect</w:t>
      </w:r>
      <w:r w:rsidR="0085387A">
        <w:rPr>
          <w:szCs w:val="22"/>
        </w:rPr>
        <w:t>ed</w:t>
      </w:r>
      <w:r w:rsidRPr="001C761F">
        <w:rPr>
          <w:szCs w:val="22"/>
        </w:rPr>
        <w:t xml:space="preserve"> that the process for developing a </w:t>
      </w:r>
      <w:r w:rsidR="00BD2AD5" w:rsidRPr="001C761F">
        <w:rPr>
          <w:szCs w:val="22"/>
        </w:rPr>
        <w:t>p</w:t>
      </w:r>
      <w:r w:rsidRPr="001C761F">
        <w:rPr>
          <w:szCs w:val="22"/>
        </w:rPr>
        <w:t xml:space="preserve">rogram </w:t>
      </w:r>
      <w:r w:rsidR="00BD2AD5" w:rsidRPr="001C761F">
        <w:rPr>
          <w:szCs w:val="22"/>
        </w:rPr>
        <w:t>a</w:t>
      </w:r>
      <w:r w:rsidRPr="001C761F">
        <w:rPr>
          <w:szCs w:val="22"/>
        </w:rPr>
        <w:t>lternative “will conclude between 18 and 24 months after the release of this Report and Order.”</w:t>
      </w:r>
      <w:r w:rsidR="00B8010B" w:rsidRPr="001C761F">
        <w:rPr>
          <w:rStyle w:val="FootnoteReference"/>
          <w:szCs w:val="22"/>
        </w:rPr>
        <w:footnoteReference w:id="26"/>
      </w:r>
      <w:r w:rsidRPr="001C761F" w:rsidDel="0049125C">
        <w:rPr>
          <w:szCs w:val="22"/>
        </w:rPr>
        <w:t xml:space="preserve"> </w:t>
      </w:r>
    </w:p>
    <w:p w14:paraId="4405FC7A" w14:textId="77777777" w:rsidR="00B75F26" w:rsidRPr="001C761F" w:rsidRDefault="00B75F26" w:rsidP="00B75F26">
      <w:pPr>
        <w:rPr>
          <w:szCs w:val="22"/>
        </w:rPr>
      </w:pPr>
      <w:r w:rsidRPr="001C761F">
        <w:rPr>
          <w:szCs w:val="22"/>
        </w:rPr>
        <w:t xml:space="preserve"> </w:t>
      </w:r>
    </w:p>
    <w:p w14:paraId="34B3B414" w14:textId="5F98AB55" w:rsidR="00B75F26" w:rsidRPr="001C761F" w:rsidRDefault="00B75F26" w:rsidP="00B75F26">
      <w:pPr>
        <w:rPr>
          <w:szCs w:val="22"/>
        </w:rPr>
      </w:pPr>
      <w:r w:rsidRPr="001C761F">
        <w:rPr>
          <w:szCs w:val="22"/>
        </w:rPr>
        <w:t xml:space="preserve">In accordance with the commitment made in the </w:t>
      </w:r>
      <w:r w:rsidRPr="001C761F">
        <w:rPr>
          <w:i/>
          <w:szCs w:val="22"/>
        </w:rPr>
        <w:t>Infrastructure Report and Order</w:t>
      </w:r>
      <w:r w:rsidRPr="001C761F">
        <w:rPr>
          <w:szCs w:val="22"/>
        </w:rPr>
        <w:t xml:space="preserve"> to develop a </w:t>
      </w:r>
      <w:r w:rsidR="00BD2AD5" w:rsidRPr="001C761F">
        <w:rPr>
          <w:szCs w:val="22"/>
        </w:rPr>
        <w:t>p</w:t>
      </w:r>
      <w:r w:rsidRPr="001C761F">
        <w:rPr>
          <w:szCs w:val="22"/>
        </w:rPr>
        <w:t xml:space="preserve">rogram </w:t>
      </w:r>
      <w:r w:rsidR="00BD2AD5" w:rsidRPr="001C761F">
        <w:rPr>
          <w:szCs w:val="22"/>
        </w:rPr>
        <w:t>a</w:t>
      </w:r>
      <w:r w:rsidRPr="001C761F">
        <w:rPr>
          <w:szCs w:val="22"/>
        </w:rPr>
        <w:t xml:space="preserve">lternative for small facilities, this </w:t>
      </w:r>
      <w:r w:rsidR="00E33E0B" w:rsidRPr="001C761F">
        <w:rPr>
          <w:szCs w:val="22"/>
        </w:rPr>
        <w:t xml:space="preserve">Section 106 </w:t>
      </w:r>
      <w:r w:rsidRPr="001C761F">
        <w:rPr>
          <w:szCs w:val="22"/>
        </w:rPr>
        <w:t xml:space="preserve">Scoping Document seeks </w:t>
      </w:r>
      <w:r w:rsidR="00B8010B" w:rsidRPr="001C761F">
        <w:rPr>
          <w:szCs w:val="22"/>
        </w:rPr>
        <w:t>comment on</w:t>
      </w:r>
      <w:r w:rsidR="0085387A">
        <w:rPr>
          <w:szCs w:val="22"/>
        </w:rPr>
        <w:t xml:space="preserve"> potential </w:t>
      </w:r>
      <w:r w:rsidR="00933219">
        <w:rPr>
          <w:szCs w:val="22"/>
        </w:rPr>
        <w:t>options</w:t>
      </w:r>
      <w:r w:rsidR="0085387A">
        <w:rPr>
          <w:szCs w:val="22"/>
        </w:rPr>
        <w:t xml:space="preserve"> to further</w:t>
      </w:r>
      <w:r w:rsidRPr="001C761F">
        <w:rPr>
          <w:szCs w:val="22"/>
        </w:rPr>
        <w:t xml:space="preserve"> updat</w:t>
      </w:r>
      <w:r w:rsidR="0085387A">
        <w:rPr>
          <w:szCs w:val="22"/>
        </w:rPr>
        <w:t>e</w:t>
      </w:r>
      <w:r w:rsidRPr="001C761F">
        <w:rPr>
          <w:szCs w:val="22"/>
        </w:rPr>
        <w:t xml:space="preserve"> the</w:t>
      </w:r>
      <w:r w:rsidR="0085387A">
        <w:rPr>
          <w:szCs w:val="22"/>
        </w:rPr>
        <w:t xml:space="preserve"> Commission’s</w:t>
      </w:r>
      <w:r w:rsidRPr="001C761F">
        <w:rPr>
          <w:szCs w:val="22"/>
        </w:rPr>
        <w:t xml:space="preserve"> historic preservation </w:t>
      </w:r>
      <w:r w:rsidR="0085387A">
        <w:rPr>
          <w:szCs w:val="22"/>
        </w:rPr>
        <w:t>process</w:t>
      </w:r>
      <w:r w:rsidR="00921028" w:rsidRPr="001C761F">
        <w:rPr>
          <w:szCs w:val="22"/>
        </w:rPr>
        <w:t xml:space="preserve"> under Section 106</w:t>
      </w:r>
      <w:r w:rsidR="0085387A">
        <w:rPr>
          <w:szCs w:val="22"/>
        </w:rPr>
        <w:t xml:space="preserve"> by amending the Collocation Agreement</w:t>
      </w:r>
      <w:r w:rsidRPr="001C761F">
        <w:rPr>
          <w:szCs w:val="22"/>
        </w:rPr>
        <w:t xml:space="preserve"> to account for the specific characteristics of DAS and small cell facilities.  </w:t>
      </w:r>
      <w:r w:rsidR="0085387A">
        <w:rPr>
          <w:szCs w:val="22"/>
        </w:rPr>
        <w:t>The Commission has observed</w:t>
      </w:r>
      <w:r w:rsidRPr="001C761F">
        <w:rPr>
          <w:szCs w:val="22"/>
        </w:rPr>
        <w:t xml:space="preserve"> that in most cases, the deployment of small </w:t>
      </w:r>
      <w:r w:rsidR="00995260">
        <w:rPr>
          <w:szCs w:val="22"/>
        </w:rPr>
        <w:t xml:space="preserve">wireless </w:t>
      </w:r>
      <w:r w:rsidRPr="001C761F">
        <w:rPr>
          <w:szCs w:val="22"/>
        </w:rPr>
        <w:t xml:space="preserve">communications facilities </w:t>
      </w:r>
      <w:r w:rsidR="006E1E37" w:rsidRPr="001C761F">
        <w:rPr>
          <w:szCs w:val="22"/>
        </w:rPr>
        <w:t xml:space="preserve">such as </w:t>
      </w:r>
      <w:r w:rsidRPr="001C761F">
        <w:rPr>
          <w:szCs w:val="22"/>
        </w:rPr>
        <w:t xml:space="preserve">DAS and small cells </w:t>
      </w:r>
      <w:r w:rsidR="0085387A">
        <w:rPr>
          <w:szCs w:val="22"/>
        </w:rPr>
        <w:t>has</w:t>
      </w:r>
      <w:r w:rsidRPr="001C761F">
        <w:rPr>
          <w:szCs w:val="22"/>
        </w:rPr>
        <w:t xml:space="preserve"> minimal effects, if any, on historic properties and can deliver more broadband service to more communities, while reducing the need for new construction</w:t>
      </w:r>
      <w:r w:rsidR="00A565F9" w:rsidRPr="001C761F">
        <w:rPr>
          <w:szCs w:val="22"/>
        </w:rPr>
        <w:t xml:space="preserve"> that is potentially more intrusive</w:t>
      </w:r>
      <w:r w:rsidR="008F178C" w:rsidRPr="001C761F">
        <w:rPr>
          <w:szCs w:val="22"/>
        </w:rPr>
        <w:t>.</w:t>
      </w:r>
      <w:r w:rsidR="0085387A">
        <w:rPr>
          <w:rStyle w:val="FootnoteReference"/>
          <w:szCs w:val="22"/>
        </w:rPr>
        <w:footnoteReference w:id="27"/>
      </w:r>
      <w:r w:rsidRPr="001C761F">
        <w:rPr>
          <w:szCs w:val="22"/>
        </w:rPr>
        <w:t xml:space="preserve">  The goal of this </w:t>
      </w:r>
      <w:r w:rsidR="0085387A">
        <w:rPr>
          <w:szCs w:val="22"/>
        </w:rPr>
        <w:t>Scoping Document</w:t>
      </w:r>
      <w:r w:rsidRPr="001C761F">
        <w:rPr>
          <w:szCs w:val="22"/>
        </w:rPr>
        <w:t xml:space="preserve"> is to </w:t>
      </w:r>
      <w:r w:rsidR="00B8010B" w:rsidRPr="001C761F">
        <w:rPr>
          <w:szCs w:val="22"/>
        </w:rPr>
        <w:t xml:space="preserve">identify additional </w:t>
      </w:r>
      <w:r w:rsidRPr="001C761F">
        <w:rPr>
          <w:szCs w:val="22"/>
        </w:rPr>
        <w:t xml:space="preserve">exclusions </w:t>
      </w:r>
      <w:r w:rsidR="00B8010B" w:rsidRPr="001C761F">
        <w:rPr>
          <w:szCs w:val="22"/>
        </w:rPr>
        <w:t xml:space="preserve">and/or alternative processes </w:t>
      </w:r>
      <w:r w:rsidR="00A565F9" w:rsidRPr="001C761F">
        <w:rPr>
          <w:szCs w:val="22"/>
        </w:rPr>
        <w:t xml:space="preserve">that would facilitate greater efficiencies and therefore </w:t>
      </w:r>
      <w:r w:rsidR="00B8010B" w:rsidRPr="001C761F">
        <w:rPr>
          <w:szCs w:val="22"/>
        </w:rPr>
        <w:t>expedite</w:t>
      </w:r>
      <w:r w:rsidRPr="001C761F">
        <w:rPr>
          <w:szCs w:val="22"/>
        </w:rPr>
        <w:t xml:space="preserve"> Section 106 review</w:t>
      </w:r>
      <w:r w:rsidR="00B8010B" w:rsidRPr="001C761F">
        <w:rPr>
          <w:szCs w:val="22"/>
        </w:rPr>
        <w:t>s</w:t>
      </w:r>
      <w:r w:rsidR="0085387A">
        <w:rPr>
          <w:szCs w:val="22"/>
        </w:rPr>
        <w:t xml:space="preserve"> and reduce burdens on all parties to the Section 106 process, while ensuring that deployments with significant potential to affect historic properties will continue to receive appropriate scrutiny</w:t>
      </w:r>
      <w:r w:rsidRPr="001C761F">
        <w:rPr>
          <w:szCs w:val="22"/>
        </w:rPr>
        <w:t xml:space="preserve">.  </w:t>
      </w:r>
    </w:p>
    <w:p w14:paraId="6D104259" w14:textId="77777777" w:rsidR="00B75F26" w:rsidRDefault="00B75F26" w:rsidP="00870897">
      <w:pPr>
        <w:jc w:val="both"/>
        <w:rPr>
          <w:szCs w:val="22"/>
        </w:rPr>
      </w:pPr>
    </w:p>
    <w:p w14:paraId="23CE3D6E" w14:textId="77777777" w:rsidR="00B75F26" w:rsidRPr="001C761F" w:rsidRDefault="00B75F26" w:rsidP="00B75F26">
      <w:pPr>
        <w:numPr>
          <w:ilvl w:val="0"/>
          <w:numId w:val="17"/>
        </w:numPr>
        <w:rPr>
          <w:b/>
          <w:szCs w:val="22"/>
        </w:rPr>
      </w:pPr>
      <w:r w:rsidRPr="001C761F">
        <w:rPr>
          <w:b/>
          <w:szCs w:val="22"/>
        </w:rPr>
        <w:t>DAS and Small Cell Infrastructure</w:t>
      </w:r>
    </w:p>
    <w:p w14:paraId="3A176A6C" w14:textId="77777777" w:rsidR="00B75F26" w:rsidRPr="001C761F" w:rsidRDefault="00B75F26" w:rsidP="00B75F26">
      <w:pPr>
        <w:rPr>
          <w:szCs w:val="22"/>
        </w:rPr>
      </w:pPr>
    </w:p>
    <w:p w14:paraId="2F5A7353" w14:textId="77777777" w:rsidR="008F178C" w:rsidRPr="001C761F" w:rsidRDefault="008F178C" w:rsidP="008F178C">
      <w:pPr>
        <w:rPr>
          <w:szCs w:val="22"/>
        </w:rPr>
      </w:pPr>
      <w:r w:rsidRPr="001C761F">
        <w:rPr>
          <w:szCs w:val="22"/>
        </w:rPr>
        <w:t>Small cells are low-powered wireless base stations that function like cells in a mobile wireless network.  They typically cover targeted indoor or localized outdoor areas ranging in size from homes and offices to stadiums, shopping malls, hospitals, and metropolitan outdoor spaces.</w:t>
      </w:r>
      <w:r w:rsidRPr="001C761F">
        <w:rPr>
          <w:szCs w:val="22"/>
          <w:vertAlign w:val="superscript"/>
        </w:rPr>
        <w:footnoteReference w:id="28"/>
      </w:r>
      <w:r w:rsidRPr="001C761F">
        <w:rPr>
          <w:szCs w:val="22"/>
        </w:rPr>
        <w:t xml:space="preserve">  Wireless service providers often use small cells to provide connectivity to their subscribers in areas that present capacity and coverage challenges to traditional wide-area macrocell networks, such as coverage gaps created by buildings, tower siting difficulties, and challenging terrain.</w:t>
      </w:r>
      <w:r w:rsidRPr="001C761F">
        <w:rPr>
          <w:szCs w:val="22"/>
          <w:vertAlign w:val="superscript"/>
        </w:rPr>
        <w:footnoteReference w:id="29"/>
      </w:r>
      <w:r w:rsidRPr="001C761F">
        <w:rPr>
          <w:szCs w:val="22"/>
        </w:rPr>
        <w:t xml:space="preserve">  These cells cover significantly less area than traditional macrocells, so networks that incorporate small-cell technology can</w:t>
      </w:r>
      <w:r w:rsidR="0085387A">
        <w:rPr>
          <w:szCs w:val="22"/>
        </w:rPr>
        <w:t xml:space="preserve"> make greater</w:t>
      </w:r>
      <w:r w:rsidRPr="001C761F">
        <w:rPr>
          <w:szCs w:val="22"/>
        </w:rPr>
        <w:t xml:space="preserve"> reuse</w:t>
      </w:r>
      <w:r w:rsidR="0085387A">
        <w:rPr>
          <w:szCs w:val="22"/>
        </w:rPr>
        <w:t xml:space="preserve"> of</w:t>
      </w:r>
      <w:r w:rsidRPr="001C761F">
        <w:rPr>
          <w:szCs w:val="22"/>
        </w:rPr>
        <w:t xml:space="preserve"> scarce wireless frequencies.  This greatly increases spectral efficiency and data capacity within the network footprint.</w:t>
      </w:r>
      <w:r w:rsidRPr="001C761F">
        <w:rPr>
          <w:szCs w:val="22"/>
          <w:vertAlign w:val="superscript"/>
        </w:rPr>
        <w:footnoteReference w:id="30"/>
      </w:r>
    </w:p>
    <w:p w14:paraId="3C06F292" w14:textId="203131AC" w:rsidR="008F178C" w:rsidRPr="001C761F" w:rsidRDefault="008F178C" w:rsidP="008F178C">
      <w:pPr>
        <w:rPr>
          <w:szCs w:val="22"/>
        </w:rPr>
      </w:pPr>
    </w:p>
    <w:p w14:paraId="7194A673" w14:textId="77777777" w:rsidR="008F178C" w:rsidRPr="001C761F" w:rsidRDefault="008F178C" w:rsidP="008F178C">
      <w:pPr>
        <w:rPr>
          <w:szCs w:val="22"/>
        </w:rPr>
      </w:pPr>
      <w:r w:rsidRPr="001C761F">
        <w:rPr>
          <w:szCs w:val="22"/>
        </w:rPr>
        <w:t>DAS networks distribute RF signals from transceivers at a central hub to a specific service area where the signals are needed because of poor coverage or inadequate capacity.</w:t>
      </w:r>
      <w:r w:rsidRPr="001C761F">
        <w:rPr>
          <w:szCs w:val="22"/>
          <w:vertAlign w:val="superscript"/>
        </w:rPr>
        <w:footnoteReference w:id="31"/>
      </w:r>
      <w:r w:rsidRPr="001C761F">
        <w:rPr>
          <w:szCs w:val="22"/>
        </w:rPr>
        <w:t xml:space="preserve">  The network typically consists of a number of remote communications nodes deployed throughout the desired coverage area (each with at least one antenna for transmission and reception), a high capacity signal transport medium that connects each node to a central communications hub site, and radio transceivers at the hub site to process or control the communications signals transmitted and received through the antennas.</w:t>
      </w:r>
      <w:r w:rsidRPr="001C761F">
        <w:rPr>
          <w:szCs w:val="22"/>
          <w:vertAlign w:val="superscript"/>
        </w:rPr>
        <w:footnoteReference w:id="32"/>
      </w:r>
      <w:r w:rsidRPr="001C761F">
        <w:rPr>
          <w:szCs w:val="22"/>
        </w:rPr>
        <w:t xml:space="preserve">  DAS deployments offer robust and broad coverage without the visual and physical impacts of multiple macrocells.  In contrast to small cells, which usually are operator-managed and support only a single wireless service provider, DAS networks often can accommodate multiple providers using different frequencies and/or wireless air interfaces.</w:t>
      </w:r>
      <w:r w:rsidRPr="001C761F">
        <w:rPr>
          <w:szCs w:val="22"/>
          <w:vertAlign w:val="superscript"/>
        </w:rPr>
        <w:footnoteReference w:id="33"/>
      </w:r>
      <w:r w:rsidRPr="001C761F">
        <w:rPr>
          <w:szCs w:val="22"/>
        </w:rPr>
        <w:t xml:space="preserve">  </w:t>
      </w:r>
    </w:p>
    <w:p w14:paraId="6EC27AB1" w14:textId="1A4B6589" w:rsidR="008F178C" w:rsidRPr="001C761F" w:rsidRDefault="008F178C" w:rsidP="008F178C">
      <w:pPr>
        <w:rPr>
          <w:szCs w:val="22"/>
        </w:rPr>
      </w:pPr>
    </w:p>
    <w:p w14:paraId="35E9CE50" w14:textId="77777777" w:rsidR="008F178C" w:rsidRPr="001C761F" w:rsidRDefault="008F178C" w:rsidP="008F178C">
      <w:pPr>
        <w:rPr>
          <w:szCs w:val="22"/>
        </w:rPr>
      </w:pPr>
      <w:r w:rsidRPr="001C761F">
        <w:rPr>
          <w:szCs w:val="22"/>
        </w:rPr>
        <w:t>Small wireless technologies have a number of advantages over traditional macrocells.  The facilities deployed at each node are much smaller than macrocell antennas and associated equipment and do not require the same elevation, so they can be placed on light stanchions, utility poles, building walls, rooftops and other small structures either privately owned or in the public rights-of-way.</w:t>
      </w:r>
      <w:r w:rsidRPr="001C761F">
        <w:rPr>
          <w:szCs w:val="22"/>
          <w:vertAlign w:val="superscript"/>
        </w:rPr>
        <w:footnoteReference w:id="34"/>
      </w:r>
      <w:r w:rsidRPr="001C761F">
        <w:rPr>
          <w:szCs w:val="22"/>
        </w:rPr>
        <w:t xml:space="preserve">  As a result, providers can deploy these technologies in areas where traditional towers are not feasible or in areas where wireless traffic demands would require an unrealistic number of macrocells.  DAS and small cells can also be deployed in indoor environments to improve interior wireless services.  The facilities are smaller and less visible than macrocells, so providers can more easily deploy them with stealth measures such as concealment enclosures.  One of the challenges of these technologies, though, is that providers must often deploy a substantial number of nodes to achieve the seamless coverage of a single macrocell.</w:t>
      </w:r>
      <w:r w:rsidRPr="001C761F">
        <w:rPr>
          <w:szCs w:val="22"/>
          <w:vertAlign w:val="superscript"/>
        </w:rPr>
        <w:footnoteReference w:id="35"/>
      </w:r>
      <w:r w:rsidRPr="001C761F">
        <w:rPr>
          <w:szCs w:val="22"/>
        </w:rPr>
        <w:t xml:space="preserve">  </w:t>
      </w:r>
    </w:p>
    <w:p w14:paraId="659CB032" w14:textId="77777777" w:rsidR="008F178C" w:rsidRPr="001C761F" w:rsidRDefault="008F178C" w:rsidP="008F178C">
      <w:pPr>
        <w:rPr>
          <w:szCs w:val="22"/>
        </w:rPr>
      </w:pPr>
    </w:p>
    <w:p w14:paraId="472065E6" w14:textId="77777777" w:rsidR="008F178C" w:rsidRPr="001C761F" w:rsidRDefault="008F178C" w:rsidP="008F178C">
      <w:pPr>
        <w:rPr>
          <w:szCs w:val="22"/>
        </w:rPr>
      </w:pPr>
      <w:r w:rsidRPr="001C761F">
        <w:rPr>
          <w:szCs w:val="22"/>
        </w:rPr>
        <w:t xml:space="preserve">DAS and small-cell deployments are a comparatively cost-effective way of addressing </w:t>
      </w:r>
      <w:r w:rsidR="002B68D4" w:rsidRPr="001C761F">
        <w:rPr>
          <w:szCs w:val="22"/>
        </w:rPr>
        <w:t>ever increasing</w:t>
      </w:r>
      <w:r w:rsidRPr="001C761F">
        <w:rPr>
          <w:szCs w:val="22"/>
        </w:rPr>
        <w:t xml:space="preserve"> demand for wireless broadband services, and</w:t>
      </w:r>
      <w:r w:rsidR="002B68D4" w:rsidRPr="001C761F">
        <w:rPr>
          <w:szCs w:val="22"/>
        </w:rPr>
        <w:t>, accordingly,</w:t>
      </w:r>
      <w:r w:rsidRPr="001C761F">
        <w:rPr>
          <w:szCs w:val="22"/>
        </w:rPr>
        <w:t xml:space="preserve"> providers are rapidly increasing their use of these technologies.  There are estimates that more than 37 million small cells will be deployed by 2017 and that 16 million DAS nodes will be deployed by 2018.</w:t>
      </w:r>
      <w:r w:rsidRPr="001C761F">
        <w:rPr>
          <w:szCs w:val="22"/>
          <w:vertAlign w:val="superscript"/>
        </w:rPr>
        <w:footnoteReference w:id="36"/>
      </w:r>
      <w:r w:rsidRPr="001C761F">
        <w:rPr>
          <w:szCs w:val="22"/>
        </w:rPr>
        <w:t xml:space="preserve">  One study projects that aggregate small-cell capacity will overtake macrocell capacity by 2016-2017.</w:t>
      </w:r>
      <w:r w:rsidRPr="001C761F">
        <w:rPr>
          <w:szCs w:val="22"/>
          <w:vertAlign w:val="superscript"/>
        </w:rPr>
        <w:footnoteReference w:id="37"/>
      </w:r>
      <w:r w:rsidRPr="001C761F">
        <w:rPr>
          <w:szCs w:val="22"/>
        </w:rPr>
        <w:t xml:space="preserve"> </w:t>
      </w:r>
    </w:p>
    <w:p w14:paraId="40F20C6F" w14:textId="77777777" w:rsidR="00B75F26" w:rsidRPr="001C761F" w:rsidRDefault="00B75F26" w:rsidP="00B75F26">
      <w:pPr>
        <w:jc w:val="both"/>
        <w:rPr>
          <w:szCs w:val="22"/>
        </w:rPr>
      </w:pPr>
    </w:p>
    <w:p w14:paraId="20D3DD09" w14:textId="77777777" w:rsidR="00B75F26" w:rsidRPr="001C761F" w:rsidRDefault="00B75F26" w:rsidP="001C761F">
      <w:pPr>
        <w:numPr>
          <w:ilvl w:val="0"/>
          <w:numId w:val="17"/>
        </w:numPr>
        <w:rPr>
          <w:b/>
          <w:szCs w:val="22"/>
        </w:rPr>
      </w:pPr>
      <w:r w:rsidRPr="001C761F">
        <w:rPr>
          <w:b/>
          <w:szCs w:val="22"/>
        </w:rPr>
        <w:t xml:space="preserve">  Compliance with Section 106 for DAS and Small Cell Infrastructure</w:t>
      </w:r>
    </w:p>
    <w:p w14:paraId="7AD36C85" w14:textId="77777777" w:rsidR="00B75F26" w:rsidRPr="001C761F" w:rsidRDefault="00B75F26" w:rsidP="00B75F26">
      <w:pPr>
        <w:jc w:val="both"/>
        <w:rPr>
          <w:szCs w:val="22"/>
        </w:rPr>
      </w:pPr>
    </w:p>
    <w:p w14:paraId="1BF72ABF" w14:textId="77777777" w:rsidR="00B75F26" w:rsidRPr="001C761F" w:rsidRDefault="00B75F26" w:rsidP="00B75F26">
      <w:pPr>
        <w:rPr>
          <w:szCs w:val="22"/>
        </w:rPr>
      </w:pPr>
      <w:r w:rsidRPr="001C761F">
        <w:rPr>
          <w:szCs w:val="22"/>
        </w:rPr>
        <w:t xml:space="preserve">The FCC is committed to protecting historic properties under the NHPA, including properties that have religious and cultural significance </w:t>
      </w:r>
      <w:r w:rsidR="000B632A">
        <w:rPr>
          <w:szCs w:val="22"/>
        </w:rPr>
        <w:t>to</w:t>
      </w:r>
      <w:r w:rsidR="000B632A" w:rsidRPr="001C761F">
        <w:rPr>
          <w:szCs w:val="22"/>
        </w:rPr>
        <w:t xml:space="preserve"> </w:t>
      </w:r>
      <w:r w:rsidRPr="001C761F">
        <w:rPr>
          <w:szCs w:val="22"/>
        </w:rPr>
        <w:t>Tribal Nations</w:t>
      </w:r>
      <w:r w:rsidR="0085387A">
        <w:rPr>
          <w:szCs w:val="22"/>
        </w:rPr>
        <w:t xml:space="preserve"> and Native Hawaiian Organizations (NHOs)</w:t>
      </w:r>
      <w:r w:rsidRPr="001C761F">
        <w:rPr>
          <w:szCs w:val="22"/>
        </w:rPr>
        <w:t>.  The FCC’s rules require that applicants follow the ACHP’s Section 106 regulations, as modified by two Nationwide Programmatic Agreements executed by the Commission with the ACHP and</w:t>
      </w:r>
      <w:r w:rsidR="0085387A">
        <w:rPr>
          <w:szCs w:val="22"/>
        </w:rPr>
        <w:t xml:space="preserve"> the</w:t>
      </w:r>
      <w:r w:rsidRPr="001C761F">
        <w:rPr>
          <w:szCs w:val="22"/>
        </w:rPr>
        <w:t xml:space="preserve"> National Conference of State Historic Preservation Officers</w:t>
      </w:r>
      <w:r w:rsidR="0009753D">
        <w:rPr>
          <w:szCs w:val="22"/>
        </w:rPr>
        <w:t xml:space="preserve"> (NCSHPO</w:t>
      </w:r>
      <w:r w:rsidR="000B632A">
        <w:rPr>
          <w:szCs w:val="22"/>
        </w:rPr>
        <w:t>)</w:t>
      </w:r>
      <w:r w:rsidRPr="001C761F">
        <w:rPr>
          <w:szCs w:val="22"/>
        </w:rPr>
        <w:t>, to ascertain whether proposed facilities may affect historic properties.</w:t>
      </w:r>
      <w:r w:rsidR="00E75E48" w:rsidRPr="001C761F">
        <w:rPr>
          <w:rStyle w:val="FootnoteReference"/>
          <w:szCs w:val="22"/>
        </w:rPr>
        <w:footnoteReference w:id="38"/>
      </w:r>
      <w:r w:rsidRPr="001C761F">
        <w:rPr>
          <w:szCs w:val="22"/>
        </w:rPr>
        <w:t xml:space="preserve">  Among other things, the FCC maintains an electronic system, the Tower Construction Notification System (TCNS)</w:t>
      </w:r>
      <w:r w:rsidR="00F34E31" w:rsidRPr="001C761F">
        <w:rPr>
          <w:szCs w:val="22"/>
        </w:rPr>
        <w:t>,</w:t>
      </w:r>
      <w:r w:rsidRPr="001C761F">
        <w:rPr>
          <w:szCs w:val="22"/>
        </w:rPr>
        <w:t xml:space="preserve"> to ensure that </w:t>
      </w:r>
      <w:r w:rsidR="00CD7687" w:rsidRPr="001C761F">
        <w:rPr>
          <w:szCs w:val="22"/>
        </w:rPr>
        <w:t>F</w:t>
      </w:r>
      <w:r w:rsidRPr="001C761F">
        <w:rPr>
          <w:szCs w:val="22"/>
        </w:rPr>
        <w:t>ederally</w:t>
      </w:r>
      <w:r w:rsidR="00CD7687" w:rsidRPr="001C761F">
        <w:rPr>
          <w:szCs w:val="22"/>
        </w:rPr>
        <w:t>-</w:t>
      </w:r>
      <w:r w:rsidRPr="001C761F">
        <w:rPr>
          <w:szCs w:val="22"/>
        </w:rPr>
        <w:t xml:space="preserve">recognized </w:t>
      </w:r>
      <w:r w:rsidR="00CD7687" w:rsidRPr="001C761F">
        <w:rPr>
          <w:szCs w:val="22"/>
        </w:rPr>
        <w:t>Tribal Nations</w:t>
      </w:r>
      <w:r w:rsidR="0085387A">
        <w:rPr>
          <w:szCs w:val="22"/>
        </w:rPr>
        <w:t xml:space="preserve"> and NHOs</w:t>
      </w:r>
      <w:r w:rsidR="008F178C" w:rsidRPr="001C761F">
        <w:rPr>
          <w:szCs w:val="22"/>
        </w:rPr>
        <w:t xml:space="preserve"> </w:t>
      </w:r>
      <w:r w:rsidRPr="001C761F">
        <w:rPr>
          <w:szCs w:val="22"/>
        </w:rPr>
        <w:t>receive timely notice of projects proposed in their geographic areas of concern and to</w:t>
      </w:r>
      <w:r w:rsidR="00131E71" w:rsidRPr="001C761F">
        <w:rPr>
          <w:szCs w:val="22"/>
        </w:rPr>
        <w:t xml:space="preserve"> ensure their opportunity to participate</w:t>
      </w:r>
      <w:r w:rsidRPr="001C761F">
        <w:rPr>
          <w:szCs w:val="22"/>
        </w:rPr>
        <w:t xml:space="preserve"> in the review.  The FCC also maintains a companion system, E106, which may be used to transmit the required documentation to the SHPOs and other interested parties. </w:t>
      </w:r>
    </w:p>
    <w:p w14:paraId="625D1DB6" w14:textId="77777777" w:rsidR="00B75F26" w:rsidRPr="001C761F" w:rsidRDefault="00B75F26" w:rsidP="00B75F26">
      <w:pPr>
        <w:rPr>
          <w:szCs w:val="22"/>
        </w:rPr>
      </w:pPr>
      <w:r w:rsidRPr="001C761F">
        <w:rPr>
          <w:szCs w:val="22"/>
        </w:rPr>
        <w:t xml:space="preserve">   </w:t>
      </w:r>
    </w:p>
    <w:p w14:paraId="2949BCBD" w14:textId="77777777" w:rsidR="00B75F26" w:rsidRPr="001C761F" w:rsidRDefault="00B75F26" w:rsidP="00B75F26">
      <w:pPr>
        <w:rPr>
          <w:szCs w:val="22"/>
        </w:rPr>
      </w:pPr>
      <w:r w:rsidRPr="001C761F">
        <w:rPr>
          <w:szCs w:val="22"/>
        </w:rPr>
        <w:t xml:space="preserve">The Collocation Agreement excludes </w:t>
      </w:r>
      <w:r w:rsidR="00D96879" w:rsidRPr="001C761F">
        <w:rPr>
          <w:szCs w:val="22"/>
        </w:rPr>
        <w:t xml:space="preserve">from </w:t>
      </w:r>
      <w:r w:rsidRPr="001C761F">
        <w:rPr>
          <w:szCs w:val="22"/>
        </w:rPr>
        <w:t>Section 106 review most collocations on towers</w:t>
      </w:r>
      <w:r w:rsidR="0085387A">
        <w:rPr>
          <w:szCs w:val="22"/>
        </w:rPr>
        <w:t xml:space="preserve"> that either have completed Section 106 review or were built before March 16, 2001</w:t>
      </w:r>
      <w:r w:rsidRPr="001C761F">
        <w:rPr>
          <w:szCs w:val="22"/>
        </w:rPr>
        <w:t>, as well as</w:t>
      </w:r>
      <w:r w:rsidR="0085387A">
        <w:rPr>
          <w:szCs w:val="22"/>
        </w:rPr>
        <w:t xml:space="preserve"> on</w:t>
      </w:r>
      <w:r w:rsidRPr="001C761F">
        <w:rPr>
          <w:szCs w:val="22"/>
        </w:rPr>
        <w:t xml:space="preserve"> buildings and other non-tower structures</w:t>
      </w:r>
      <w:r w:rsidR="00607CA4" w:rsidRPr="001C761F">
        <w:rPr>
          <w:szCs w:val="22"/>
        </w:rPr>
        <w:t>,</w:t>
      </w:r>
      <w:r w:rsidRPr="001C761F">
        <w:rPr>
          <w:szCs w:val="22"/>
        </w:rPr>
        <w:t xml:space="preserve"> unless: (1) the</w:t>
      </w:r>
      <w:r w:rsidR="0085387A">
        <w:rPr>
          <w:szCs w:val="22"/>
        </w:rPr>
        <w:t xml:space="preserve"> non-tower</w:t>
      </w:r>
      <w:r w:rsidRPr="001C761F">
        <w:rPr>
          <w:szCs w:val="22"/>
        </w:rPr>
        <w:t xml:space="preserve"> structure is over 45 years old; (2) the</w:t>
      </w:r>
      <w:r w:rsidR="0085387A">
        <w:rPr>
          <w:szCs w:val="22"/>
        </w:rPr>
        <w:t xml:space="preserve"> non-tower</w:t>
      </w:r>
      <w:r w:rsidRPr="001C761F">
        <w:rPr>
          <w:szCs w:val="22"/>
        </w:rPr>
        <w:t xml:space="preserve"> structure is inside the boundary of a historic district or is within 250 feet of the boundary of a historic district and the antenna is visible from ground level within the historic district; (3) the</w:t>
      </w:r>
      <w:r w:rsidR="0085387A">
        <w:rPr>
          <w:szCs w:val="22"/>
        </w:rPr>
        <w:t xml:space="preserve"> non-tower</w:t>
      </w:r>
      <w:r w:rsidRPr="001C761F">
        <w:rPr>
          <w:szCs w:val="22"/>
        </w:rPr>
        <w:t xml:space="preserve"> structure is a designated National Historic Landmark or is listed </w:t>
      </w:r>
      <w:r w:rsidR="009B5DB5" w:rsidRPr="001C761F">
        <w:rPr>
          <w:szCs w:val="22"/>
        </w:rPr>
        <w:t>o</w:t>
      </w:r>
      <w:r w:rsidRPr="001C761F">
        <w:rPr>
          <w:szCs w:val="22"/>
        </w:rPr>
        <w:t xml:space="preserve">n or eligible for listing </w:t>
      </w:r>
      <w:r w:rsidR="00D96879" w:rsidRPr="001C761F">
        <w:rPr>
          <w:szCs w:val="22"/>
        </w:rPr>
        <w:t>o</w:t>
      </w:r>
      <w:r w:rsidRPr="001C761F">
        <w:rPr>
          <w:szCs w:val="22"/>
        </w:rPr>
        <w:t xml:space="preserve">n the National Register; or (4) the proposed collocation is the subject of a pending complaint alleging </w:t>
      </w:r>
      <w:r w:rsidR="00D96879" w:rsidRPr="001C761F">
        <w:rPr>
          <w:szCs w:val="22"/>
        </w:rPr>
        <w:t xml:space="preserve">an </w:t>
      </w:r>
      <w:r w:rsidRPr="001C761F">
        <w:rPr>
          <w:szCs w:val="22"/>
        </w:rPr>
        <w:t xml:space="preserve">adverse effect on historic properties.    </w:t>
      </w:r>
    </w:p>
    <w:p w14:paraId="0CDA6E8A" w14:textId="77777777" w:rsidR="00B75F26" w:rsidRPr="001C761F" w:rsidRDefault="00B75F26" w:rsidP="00B75F26">
      <w:pPr>
        <w:rPr>
          <w:szCs w:val="22"/>
        </w:rPr>
      </w:pPr>
    </w:p>
    <w:p w14:paraId="32CF4960" w14:textId="29200B81" w:rsidR="00B75F26" w:rsidRPr="001C761F" w:rsidRDefault="00B75F26" w:rsidP="00B75F26">
      <w:pPr>
        <w:rPr>
          <w:szCs w:val="22"/>
        </w:rPr>
      </w:pPr>
      <w:r w:rsidRPr="001C761F">
        <w:rPr>
          <w:szCs w:val="22"/>
        </w:rPr>
        <w:t xml:space="preserve">The </w:t>
      </w:r>
      <w:r w:rsidRPr="001C761F">
        <w:rPr>
          <w:i/>
          <w:szCs w:val="22"/>
        </w:rPr>
        <w:t>Infrastructure Report and Order</w:t>
      </w:r>
      <w:r w:rsidRPr="001C761F">
        <w:rPr>
          <w:szCs w:val="22"/>
        </w:rPr>
        <w:t xml:space="preserve"> adopted revisions to </w:t>
      </w:r>
      <w:r w:rsidR="00607CA4" w:rsidRPr="001C761F">
        <w:rPr>
          <w:szCs w:val="22"/>
        </w:rPr>
        <w:t>the</w:t>
      </w:r>
      <w:r w:rsidRPr="001C761F">
        <w:rPr>
          <w:szCs w:val="22"/>
        </w:rPr>
        <w:t xml:space="preserve"> Section 106 review process for DAS and other small facilities. These revisions include two new targeted exclusions from Section 106 review when small facilities are being deployed</w:t>
      </w:r>
      <w:r w:rsidR="00607CA4" w:rsidRPr="001C761F">
        <w:rPr>
          <w:szCs w:val="22"/>
        </w:rPr>
        <w:t xml:space="preserve"> -- </w:t>
      </w:r>
      <w:r w:rsidRPr="001C761F">
        <w:rPr>
          <w:szCs w:val="22"/>
        </w:rPr>
        <w:t xml:space="preserve">one for collocations on utility structures and another for collocations on other non-tower structures. </w:t>
      </w:r>
      <w:r w:rsidR="00607CA4" w:rsidRPr="001C761F">
        <w:rPr>
          <w:szCs w:val="22"/>
        </w:rPr>
        <w:t xml:space="preserve"> </w:t>
      </w:r>
      <w:r w:rsidRPr="001C761F">
        <w:rPr>
          <w:szCs w:val="22"/>
        </w:rPr>
        <w:t>These exclusions apply to collocations that were not previously excluded from review under the Collocation Agreement because the underlying structures are more than 45 years old.</w:t>
      </w:r>
    </w:p>
    <w:p w14:paraId="553EA5EA" w14:textId="77777777" w:rsidR="00B75F26" w:rsidRPr="001C761F" w:rsidRDefault="00B75F26" w:rsidP="00B75F26">
      <w:pPr>
        <w:rPr>
          <w:szCs w:val="22"/>
        </w:rPr>
      </w:pPr>
    </w:p>
    <w:p w14:paraId="5F6FEB21" w14:textId="77777777" w:rsidR="00B75F26" w:rsidRPr="001C761F" w:rsidRDefault="00B75F26" w:rsidP="00B75F26">
      <w:pPr>
        <w:numPr>
          <w:ilvl w:val="0"/>
          <w:numId w:val="22"/>
        </w:numPr>
        <w:rPr>
          <w:szCs w:val="22"/>
        </w:rPr>
      </w:pPr>
      <w:r w:rsidRPr="001C761F">
        <w:rPr>
          <w:i/>
          <w:szCs w:val="22"/>
          <w:u w:val="single"/>
        </w:rPr>
        <w:t>Utility Structures</w:t>
      </w:r>
      <w:r w:rsidRPr="001C761F">
        <w:rPr>
          <w:szCs w:val="22"/>
        </w:rPr>
        <w:t xml:space="preserve">.  Small facilities on utility structures over 45 years old are excluded from Section 106 review where they meet both of the following conditions: </w:t>
      </w:r>
    </w:p>
    <w:p w14:paraId="639C4B1F" w14:textId="3042443D" w:rsidR="00B75F26" w:rsidRPr="001C761F" w:rsidRDefault="00B75F26" w:rsidP="00B75F26">
      <w:pPr>
        <w:numPr>
          <w:ilvl w:val="0"/>
          <w:numId w:val="20"/>
        </w:numPr>
        <w:rPr>
          <w:szCs w:val="22"/>
        </w:rPr>
      </w:pPr>
      <w:r w:rsidRPr="001C761F">
        <w:rPr>
          <w:szCs w:val="22"/>
          <w:u w:val="single"/>
        </w:rPr>
        <w:t>Size Limitation</w:t>
      </w:r>
      <w:r w:rsidRPr="001C761F">
        <w:rPr>
          <w:szCs w:val="22"/>
        </w:rPr>
        <w:t xml:space="preserve">. </w:t>
      </w:r>
      <w:r w:rsidR="00FF11DE">
        <w:rPr>
          <w:szCs w:val="22"/>
        </w:rPr>
        <w:t>C</w:t>
      </w:r>
      <w:r w:rsidR="00110C83" w:rsidRPr="00110C83">
        <w:rPr>
          <w:szCs w:val="22"/>
        </w:rPr>
        <w:t>overed antenna enclosures</w:t>
      </w:r>
      <w:r w:rsidR="00FF11DE">
        <w:rPr>
          <w:szCs w:val="22"/>
        </w:rPr>
        <w:t xml:space="preserve"> may be</w:t>
      </w:r>
      <w:r w:rsidR="00110C83" w:rsidRPr="00110C83">
        <w:rPr>
          <w:szCs w:val="22"/>
        </w:rPr>
        <w:t xml:space="preserve"> no more than three cubic feet in volume per enclosure, or exposed antennas </w:t>
      </w:r>
      <w:r w:rsidR="00FF11DE">
        <w:rPr>
          <w:szCs w:val="22"/>
        </w:rPr>
        <w:t>must</w:t>
      </w:r>
      <w:r w:rsidR="00110C83" w:rsidRPr="00110C83">
        <w:rPr>
          <w:szCs w:val="22"/>
        </w:rPr>
        <w:t xml:space="preserve"> fit within imaginary enclosure</w:t>
      </w:r>
      <w:r w:rsidR="00FF11DE">
        <w:rPr>
          <w:szCs w:val="22"/>
        </w:rPr>
        <w:t>s</w:t>
      </w:r>
      <w:r w:rsidR="00110C83" w:rsidRPr="00110C83">
        <w:rPr>
          <w:szCs w:val="22"/>
        </w:rPr>
        <w:t xml:space="preserve"> of no more than three cubic feet in volume per imaginary enclosure, up to an aggr</w:t>
      </w:r>
      <w:r w:rsidR="00110C83">
        <w:rPr>
          <w:szCs w:val="22"/>
        </w:rPr>
        <w:t>egate maximum of six cubic feet; and al</w:t>
      </w:r>
      <w:r w:rsidR="00110C83" w:rsidRPr="00110C83">
        <w:rPr>
          <w:szCs w:val="22"/>
        </w:rPr>
        <w:t>l</w:t>
      </w:r>
      <w:r w:rsidR="00FF11DE">
        <w:rPr>
          <w:szCs w:val="22"/>
        </w:rPr>
        <w:t xml:space="preserve"> other</w:t>
      </w:r>
      <w:r w:rsidR="00110C83" w:rsidRPr="00110C83">
        <w:rPr>
          <w:szCs w:val="22"/>
        </w:rPr>
        <w:t xml:space="preserve"> equipment enclosures (or imaginary enclosures) associated with the collocation on any single structure must be limited cumulatively to seventeen cubic feet in volume</w:t>
      </w:r>
      <w:r w:rsidR="00110C83">
        <w:rPr>
          <w:szCs w:val="22"/>
        </w:rPr>
        <w:t xml:space="preserve"> (certain enumerated equipment does not count towards this limit)</w:t>
      </w:r>
      <w:r w:rsidR="00110C83" w:rsidRPr="00110C83">
        <w:rPr>
          <w:szCs w:val="22"/>
        </w:rPr>
        <w:t>.</w:t>
      </w:r>
      <w:r w:rsidRPr="001C761F">
        <w:rPr>
          <w:szCs w:val="22"/>
        </w:rPr>
        <w:t xml:space="preserve"> </w:t>
      </w:r>
    </w:p>
    <w:p w14:paraId="7DFAC0F2" w14:textId="77777777" w:rsidR="00B75F26" w:rsidRPr="001C761F" w:rsidRDefault="00B75F26" w:rsidP="00B75F26">
      <w:pPr>
        <w:numPr>
          <w:ilvl w:val="0"/>
          <w:numId w:val="20"/>
        </w:numPr>
        <w:rPr>
          <w:szCs w:val="22"/>
        </w:rPr>
      </w:pPr>
      <w:r w:rsidRPr="001C761F">
        <w:rPr>
          <w:szCs w:val="22"/>
          <w:u w:val="single"/>
        </w:rPr>
        <w:t>No New Ground Disturbance</w:t>
      </w:r>
      <w:r w:rsidRPr="001C761F">
        <w:rPr>
          <w:szCs w:val="22"/>
        </w:rPr>
        <w:t xml:space="preserve">.  Deployment may not involve new ground disturbance.  </w:t>
      </w:r>
    </w:p>
    <w:p w14:paraId="17C8F835" w14:textId="77777777" w:rsidR="00B75F26" w:rsidRPr="001C761F" w:rsidRDefault="00B75F26" w:rsidP="00B75F26">
      <w:pPr>
        <w:rPr>
          <w:szCs w:val="22"/>
        </w:rPr>
      </w:pPr>
    </w:p>
    <w:p w14:paraId="13E6B923" w14:textId="77777777" w:rsidR="00B75F26" w:rsidRPr="001C761F" w:rsidRDefault="00B75F26" w:rsidP="00B75F26">
      <w:pPr>
        <w:numPr>
          <w:ilvl w:val="0"/>
          <w:numId w:val="22"/>
        </w:numPr>
        <w:rPr>
          <w:szCs w:val="22"/>
        </w:rPr>
      </w:pPr>
      <w:r w:rsidRPr="001C761F">
        <w:rPr>
          <w:i/>
          <w:szCs w:val="22"/>
          <w:u w:val="single"/>
        </w:rPr>
        <w:t>Buildings and Non-Tower Structures</w:t>
      </w:r>
      <w:r w:rsidRPr="001C761F">
        <w:rPr>
          <w:szCs w:val="22"/>
        </w:rPr>
        <w:t xml:space="preserve">.  </w:t>
      </w:r>
      <w:r w:rsidR="00607CA4" w:rsidRPr="001C761F">
        <w:rPr>
          <w:szCs w:val="22"/>
        </w:rPr>
        <w:t xml:space="preserve">Small facilities </w:t>
      </w:r>
      <w:r w:rsidRPr="001C761F">
        <w:rPr>
          <w:szCs w:val="22"/>
        </w:rPr>
        <w:t xml:space="preserve">on buildings or other non-tower structures over 45 years old are excluded from Section 106 review provided that: </w:t>
      </w:r>
    </w:p>
    <w:p w14:paraId="155929D1" w14:textId="77777777" w:rsidR="00B75F26" w:rsidRPr="001C761F" w:rsidRDefault="00B75F26" w:rsidP="00B75F26">
      <w:pPr>
        <w:numPr>
          <w:ilvl w:val="0"/>
          <w:numId w:val="21"/>
        </w:numPr>
        <w:rPr>
          <w:szCs w:val="22"/>
        </w:rPr>
      </w:pPr>
      <w:r w:rsidRPr="001C761F">
        <w:rPr>
          <w:szCs w:val="22"/>
          <w:u w:val="single"/>
        </w:rPr>
        <w:t>Pre-existing Antenna</w:t>
      </w:r>
      <w:r w:rsidRPr="001C761F">
        <w:rPr>
          <w:szCs w:val="22"/>
        </w:rPr>
        <w:t xml:space="preserve">.  There is an existing antenna on the building or structure. </w:t>
      </w:r>
    </w:p>
    <w:p w14:paraId="18A5EFF3" w14:textId="77777777" w:rsidR="00B75F26" w:rsidRPr="001C761F" w:rsidRDefault="00B75F26" w:rsidP="00B75F26">
      <w:pPr>
        <w:numPr>
          <w:ilvl w:val="0"/>
          <w:numId w:val="21"/>
        </w:numPr>
        <w:rPr>
          <w:szCs w:val="22"/>
        </w:rPr>
      </w:pPr>
      <w:r w:rsidRPr="001C761F">
        <w:rPr>
          <w:szCs w:val="22"/>
          <w:u w:val="single"/>
        </w:rPr>
        <w:t>Proximity, Visibility, Size</w:t>
      </w:r>
      <w:r w:rsidRPr="001C761F">
        <w:rPr>
          <w:szCs w:val="22"/>
        </w:rPr>
        <w:t xml:space="preserve">.  The new antenna meets requirements of proximity to existing antenna(s), depending on the visibility and size of the new deployment. </w:t>
      </w:r>
    </w:p>
    <w:p w14:paraId="30F2F985" w14:textId="77777777" w:rsidR="00B75F26" w:rsidRPr="001C761F" w:rsidRDefault="00B75F26" w:rsidP="00B75F26">
      <w:pPr>
        <w:numPr>
          <w:ilvl w:val="0"/>
          <w:numId w:val="21"/>
        </w:numPr>
        <w:rPr>
          <w:szCs w:val="22"/>
        </w:rPr>
      </w:pPr>
      <w:r w:rsidRPr="001C761F">
        <w:rPr>
          <w:szCs w:val="22"/>
          <w:u w:val="single"/>
        </w:rPr>
        <w:t>No New Ground Disturbance</w:t>
      </w:r>
      <w:r w:rsidRPr="001C761F">
        <w:rPr>
          <w:szCs w:val="22"/>
        </w:rPr>
        <w:t xml:space="preserve">.  </w:t>
      </w:r>
      <w:r w:rsidR="00B255F3" w:rsidRPr="001C761F">
        <w:rPr>
          <w:szCs w:val="22"/>
        </w:rPr>
        <w:t xml:space="preserve">Deployment may not involve </w:t>
      </w:r>
      <w:r w:rsidRPr="001C761F">
        <w:rPr>
          <w:szCs w:val="22"/>
        </w:rPr>
        <w:t>new ground disturbance.</w:t>
      </w:r>
    </w:p>
    <w:p w14:paraId="745B3EA7" w14:textId="77777777" w:rsidR="00B75F26" w:rsidRPr="001C761F" w:rsidRDefault="00B75F26" w:rsidP="00B75F26">
      <w:pPr>
        <w:numPr>
          <w:ilvl w:val="0"/>
          <w:numId w:val="21"/>
        </w:numPr>
        <w:rPr>
          <w:szCs w:val="22"/>
        </w:rPr>
      </w:pPr>
      <w:r w:rsidRPr="001C761F">
        <w:rPr>
          <w:szCs w:val="22"/>
          <w:u w:val="single"/>
        </w:rPr>
        <w:t>Zoning and Historic Preservation Conditions</w:t>
      </w:r>
      <w:r w:rsidRPr="001C761F">
        <w:rPr>
          <w:szCs w:val="22"/>
        </w:rPr>
        <w:t xml:space="preserve">.  The new deployment complies with all zoning conditions and historic preservation conditions applicable to existing antennas in the same vicinity on the structure that would directly mitigate or prevent effects, such as camouflage, concealment, or painting requirements. </w:t>
      </w:r>
    </w:p>
    <w:p w14:paraId="6B7F769D" w14:textId="77777777" w:rsidR="00B75F26" w:rsidRPr="001C761F" w:rsidRDefault="00B75F26" w:rsidP="00B75F26">
      <w:pPr>
        <w:rPr>
          <w:szCs w:val="22"/>
        </w:rPr>
      </w:pPr>
    </w:p>
    <w:p w14:paraId="13F65F3F" w14:textId="77777777" w:rsidR="00B75F26" w:rsidRPr="001C761F" w:rsidRDefault="00B75F26" w:rsidP="00B75F26">
      <w:pPr>
        <w:numPr>
          <w:ilvl w:val="0"/>
          <w:numId w:val="22"/>
        </w:numPr>
        <w:rPr>
          <w:szCs w:val="22"/>
        </w:rPr>
      </w:pPr>
      <w:r w:rsidRPr="001C761F">
        <w:rPr>
          <w:i/>
          <w:szCs w:val="22"/>
          <w:u w:val="single"/>
        </w:rPr>
        <w:t>Both Categories – Utility Structures and other Non-tower Structures</w:t>
      </w:r>
      <w:r w:rsidRPr="001C761F">
        <w:rPr>
          <w:szCs w:val="22"/>
        </w:rPr>
        <w:t>.  With respect to both of these categories</w:t>
      </w:r>
      <w:r w:rsidR="0090698A" w:rsidRPr="001C761F">
        <w:rPr>
          <w:szCs w:val="22"/>
        </w:rPr>
        <w:t xml:space="preserve"> -- </w:t>
      </w:r>
      <w:r w:rsidRPr="001C761F">
        <w:rPr>
          <w:szCs w:val="22"/>
        </w:rPr>
        <w:t>utility structures and other non-tower structures</w:t>
      </w:r>
      <w:r w:rsidR="0090698A" w:rsidRPr="001C761F">
        <w:rPr>
          <w:szCs w:val="22"/>
        </w:rPr>
        <w:t xml:space="preserve"> -- </w:t>
      </w:r>
      <w:r w:rsidRPr="001C761F">
        <w:rPr>
          <w:szCs w:val="22"/>
        </w:rPr>
        <w:t xml:space="preserve">the exclusion extends only to small facility deployments that are not:  (1) inside the boundary of a historic district or within 250 feet of the boundary of a historic district; (2) located on a structure that is a designated National Historic Landmark or is listed </w:t>
      </w:r>
      <w:r w:rsidR="009B5DB5" w:rsidRPr="001C761F">
        <w:rPr>
          <w:szCs w:val="22"/>
        </w:rPr>
        <w:t>o</w:t>
      </w:r>
      <w:r w:rsidRPr="001C761F">
        <w:rPr>
          <w:szCs w:val="22"/>
        </w:rPr>
        <w:t xml:space="preserve">n or eligible for listing </w:t>
      </w:r>
      <w:r w:rsidR="00D96879" w:rsidRPr="001C761F">
        <w:rPr>
          <w:szCs w:val="22"/>
        </w:rPr>
        <w:t>o</w:t>
      </w:r>
      <w:r w:rsidRPr="001C761F">
        <w:rPr>
          <w:szCs w:val="22"/>
        </w:rPr>
        <w:t xml:space="preserve">n the National Register of Historic Places (National Register); or (3) the subject of a pending complaint alleging </w:t>
      </w:r>
      <w:r w:rsidR="00D96879" w:rsidRPr="001C761F">
        <w:rPr>
          <w:szCs w:val="22"/>
        </w:rPr>
        <w:t xml:space="preserve">an </w:t>
      </w:r>
      <w:r w:rsidRPr="001C761F">
        <w:rPr>
          <w:szCs w:val="22"/>
        </w:rPr>
        <w:t xml:space="preserve">adverse effect on historic properties.  </w:t>
      </w:r>
    </w:p>
    <w:p w14:paraId="6DB0B140" w14:textId="77777777" w:rsidR="00B75F26" w:rsidRPr="001C761F" w:rsidRDefault="00B75F26" w:rsidP="00B75F26">
      <w:pPr>
        <w:rPr>
          <w:szCs w:val="22"/>
        </w:rPr>
      </w:pPr>
    </w:p>
    <w:p w14:paraId="6CC9379C" w14:textId="6D32CFC3" w:rsidR="00B75F26" w:rsidRDefault="002F23FB" w:rsidP="00172D7F">
      <w:pPr>
        <w:rPr>
          <w:color w:val="000000"/>
          <w:szCs w:val="22"/>
        </w:rPr>
      </w:pPr>
      <w:r w:rsidRPr="001C761F">
        <w:rPr>
          <w:color w:val="000000"/>
          <w:szCs w:val="22"/>
        </w:rPr>
        <w:t>Section VIII of the Collocation Agreement provides the signatories with an opportunity to propose amendments to the agreement, to be executed upon the written concurrence of all parties.</w:t>
      </w:r>
      <w:r w:rsidR="00E903A0" w:rsidRPr="00E903A0">
        <w:rPr>
          <w:szCs w:val="22"/>
        </w:rPr>
        <w:t xml:space="preserve"> </w:t>
      </w:r>
      <w:r w:rsidR="00E903A0" w:rsidRPr="001C761F">
        <w:rPr>
          <w:szCs w:val="22"/>
        </w:rPr>
        <w:t xml:space="preserve">In the </w:t>
      </w:r>
      <w:r w:rsidR="00E903A0" w:rsidRPr="001C761F">
        <w:rPr>
          <w:i/>
          <w:szCs w:val="22"/>
        </w:rPr>
        <w:t>Infrastructure Report and Order</w:t>
      </w:r>
      <w:r w:rsidR="00E903A0" w:rsidRPr="001C761F">
        <w:rPr>
          <w:szCs w:val="22"/>
        </w:rPr>
        <w:t>, the Commission emphasized that there is room for additional improvement of the Section 106 review process and that “additional, broader exclusions for DAS networks and other small fac</w:t>
      </w:r>
      <w:r w:rsidR="00E903A0">
        <w:rPr>
          <w:szCs w:val="22"/>
        </w:rPr>
        <w:t>ilities may well be appropriate</w:t>
      </w:r>
      <w:r w:rsidR="00E903A0" w:rsidRPr="001C761F">
        <w:rPr>
          <w:szCs w:val="22"/>
        </w:rPr>
        <w:t>”</w:t>
      </w:r>
      <w:r w:rsidRPr="001C761F">
        <w:rPr>
          <w:color w:val="000000"/>
          <w:szCs w:val="22"/>
        </w:rPr>
        <w:t xml:space="preserve"> </w:t>
      </w:r>
      <w:r w:rsidR="00E903A0">
        <w:rPr>
          <w:color w:val="000000"/>
          <w:szCs w:val="22"/>
        </w:rPr>
        <w:t>in light of their</w:t>
      </w:r>
      <w:r w:rsidR="00E0563C" w:rsidRPr="001C761F">
        <w:rPr>
          <w:color w:val="000000"/>
          <w:szCs w:val="22"/>
        </w:rPr>
        <w:t xml:space="preserve"> minimal potential </w:t>
      </w:r>
      <w:r w:rsidR="00E903A0">
        <w:rPr>
          <w:color w:val="000000"/>
          <w:szCs w:val="22"/>
        </w:rPr>
        <w:t>to cause</w:t>
      </w:r>
      <w:r w:rsidR="00E0563C" w:rsidRPr="001C761F">
        <w:rPr>
          <w:color w:val="000000"/>
          <w:szCs w:val="22"/>
        </w:rPr>
        <w:t xml:space="preserve"> effects on historic properties.</w:t>
      </w:r>
      <w:r w:rsidR="00E903A0" w:rsidRPr="001C761F">
        <w:rPr>
          <w:rStyle w:val="FootnoteReference"/>
          <w:szCs w:val="22"/>
        </w:rPr>
        <w:footnoteReference w:id="39"/>
      </w:r>
      <w:r w:rsidR="00E0563C" w:rsidRPr="001C761F">
        <w:rPr>
          <w:color w:val="000000"/>
          <w:szCs w:val="22"/>
        </w:rPr>
        <w:t xml:space="preserve"> </w:t>
      </w:r>
      <w:r w:rsidR="00583935">
        <w:rPr>
          <w:color w:val="000000"/>
          <w:szCs w:val="22"/>
        </w:rPr>
        <w:t xml:space="preserve"> </w:t>
      </w:r>
      <w:r w:rsidR="00E0563C" w:rsidRPr="001C761F">
        <w:rPr>
          <w:color w:val="000000"/>
          <w:szCs w:val="22"/>
        </w:rPr>
        <w:t>C</w:t>
      </w:r>
      <w:r w:rsidRPr="001C761F">
        <w:rPr>
          <w:color w:val="000000"/>
          <w:szCs w:val="22"/>
        </w:rPr>
        <w:t>onsequently</w:t>
      </w:r>
      <w:r w:rsidR="001F21DF" w:rsidRPr="001C761F">
        <w:rPr>
          <w:color w:val="000000"/>
          <w:szCs w:val="22"/>
        </w:rPr>
        <w:t>,</w:t>
      </w:r>
      <w:r w:rsidRPr="001C761F">
        <w:rPr>
          <w:color w:val="000000"/>
          <w:szCs w:val="22"/>
        </w:rPr>
        <w:t xml:space="preserve"> we find it appropriate to </w:t>
      </w:r>
      <w:r w:rsidR="00E903A0">
        <w:rPr>
          <w:color w:val="000000"/>
          <w:szCs w:val="22"/>
        </w:rPr>
        <w:t>consider excluding</w:t>
      </w:r>
      <w:r w:rsidRPr="001C761F">
        <w:rPr>
          <w:color w:val="000000"/>
          <w:szCs w:val="22"/>
        </w:rPr>
        <w:t xml:space="preserve"> additional categories of DAS and small cell deployments </w:t>
      </w:r>
      <w:r w:rsidR="00E903A0">
        <w:rPr>
          <w:color w:val="000000"/>
          <w:szCs w:val="22"/>
        </w:rPr>
        <w:t>from</w:t>
      </w:r>
      <w:r w:rsidRPr="001C761F">
        <w:rPr>
          <w:color w:val="000000"/>
          <w:szCs w:val="22"/>
        </w:rPr>
        <w:t xml:space="preserve"> Section 106 </w:t>
      </w:r>
      <w:r w:rsidR="00E903A0">
        <w:rPr>
          <w:color w:val="000000"/>
          <w:szCs w:val="22"/>
        </w:rPr>
        <w:t>review</w:t>
      </w:r>
      <w:r w:rsidRPr="001C761F">
        <w:rPr>
          <w:color w:val="000000"/>
          <w:szCs w:val="22"/>
        </w:rPr>
        <w:t xml:space="preserve"> within the framework of an amendment to the Collocation Agreement.  The amendment </w:t>
      </w:r>
      <w:r w:rsidR="00B75F26" w:rsidRPr="001C761F">
        <w:rPr>
          <w:color w:val="000000"/>
          <w:szCs w:val="22"/>
        </w:rPr>
        <w:t xml:space="preserve">would </w:t>
      </w:r>
      <w:r w:rsidRPr="001C761F">
        <w:rPr>
          <w:color w:val="000000"/>
          <w:szCs w:val="22"/>
        </w:rPr>
        <w:t xml:space="preserve">require the concurrence of </w:t>
      </w:r>
      <w:r w:rsidR="00B75F26" w:rsidRPr="001C761F">
        <w:rPr>
          <w:color w:val="000000"/>
          <w:szCs w:val="22"/>
        </w:rPr>
        <w:t xml:space="preserve">the </w:t>
      </w:r>
      <w:r w:rsidRPr="001C761F">
        <w:rPr>
          <w:color w:val="000000"/>
          <w:szCs w:val="22"/>
        </w:rPr>
        <w:t xml:space="preserve">original signatories to the </w:t>
      </w:r>
      <w:r w:rsidR="00B75F26" w:rsidRPr="001C761F">
        <w:rPr>
          <w:color w:val="000000"/>
          <w:szCs w:val="22"/>
        </w:rPr>
        <w:t>Collocation Agreement</w:t>
      </w:r>
      <w:r w:rsidRPr="001C761F">
        <w:rPr>
          <w:color w:val="000000"/>
          <w:szCs w:val="22"/>
        </w:rPr>
        <w:t xml:space="preserve">, including </w:t>
      </w:r>
      <w:r w:rsidR="00B75F26" w:rsidRPr="001C761F">
        <w:rPr>
          <w:color w:val="000000"/>
          <w:szCs w:val="22"/>
        </w:rPr>
        <w:t xml:space="preserve">ACHP, </w:t>
      </w:r>
      <w:r w:rsidR="00D96879" w:rsidRPr="001C761F">
        <w:rPr>
          <w:color w:val="000000"/>
          <w:szCs w:val="22"/>
        </w:rPr>
        <w:t>NCSHPO</w:t>
      </w:r>
      <w:r w:rsidR="00B75F26" w:rsidRPr="001C761F">
        <w:rPr>
          <w:color w:val="000000"/>
          <w:szCs w:val="22"/>
        </w:rPr>
        <w:t>, and the FCC</w:t>
      </w:r>
      <w:r w:rsidR="00B255F3" w:rsidRPr="001C761F">
        <w:rPr>
          <w:color w:val="000000"/>
          <w:szCs w:val="22"/>
        </w:rPr>
        <w:t xml:space="preserve">, and it would fall within </w:t>
      </w:r>
      <w:r w:rsidR="00B75F26" w:rsidRPr="001C761F">
        <w:rPr>
          <w:color w:val="000000"/>
          <w:szCs w:val="22"/>
        </w:rPr>
        <w:t xml:space="preserve">the FCC’s general obligation to consult with </w:t>
      </w:r>
      <w:r w:rsidR="00D96879" w:rsidRPr="001C761F">
        <w:rPr>
          <w:color w:val="000000"/>
          <w:szCs w:val="22"/>
        </w:rPr>
        <w:t>F</w:t>
      </w:r>
      <w:r w:rsidR="00B75F26" w:rsidRPr="001C761F">
        <w:rPr>
          <w:color w:val="000000"/>
          <w:szCs w:val="22"/>
        </w:rPr>
        <w:t>ederally</w:t>
      </w:r>
      <w:r w:rsidR="00D96879" w:rsidRPr="001C761F">
        <w:rPr>
          <w:color w:val="000000"/>
          <w:szCs w:val="22"/>
        </w:rPr>
        <w:t>-</w:t>
      </w:r>
      <w:r w:rsidR="00B75F26" w:rsidRPr="001C761F">
        <w:rPr>
          <w:color w:val="000000"/>
          <w:szCs w:val="22"/>
        </w:rPr>
        <w:t>recognized Tribal Nations under the Section 106 process</w:t>
      </w:r>
      <w:r w:rsidR="00D96879" w:rsidRPr="001C761F">
        <w:rPr>
          <w:color w:val="000000"/>
          <w:szCs w:val="22"/>
        </w:rPr>
        <w:t>.</w:t>
      </w:r>
    </w:p>
    <w:p w14:paraId="51596440" w14:textId="77777777" w:rsidR="00DE1D37" w:rsidRPr="00E0388A" w:rsidRDefault="00DE1D37" w:rsidP="00172D7F"/>
    <w:p w14:paraId="7E6742EB" w14:textId="77777777" w:rsidR="00B75F26" w:rsidRPr="001C761F" w:rsidRDefault="00E903A0" w:rsidP="00B75F26">
      <w:pPr>
        <w:numPr>
          <w:ilvl w:val="0"/>
          <w:numId w:val="17"/>
        </w:numPr>
        <w:jc w:val="both"/>
        <w:rPr>
          <w:b/>
          <w:szCs w:val="22"/>
        </w:rPr>
      </w:pPr>
      <w:r>
        <w:rPr>
          <w:b/>
          <w:szCs w:val="22"/>
        </w:rPr>
        <w:t>Potential</w:t>
      </w:r>
      <w:r w:rsidR="00E45271" w:rsidRPr="001C761F">
        <w:rPr>
          <w:b/>
          <w:szCs w:val="22"/>
        </w:rPr>
        <w:t xml:space="preserve"> Amendments to </w:t>
      </w:r>
      <w:r w:rsidR="00B255F3" w:rsidRPr="001C761F">
        <w:rPr>
          <w:b/>
          <w:szCs w:val="22"/>
        </w:rPr>
        <w:t>the Collocation Agreement</w:t>
      </w:r>
    </w:p>
    <w:p w14:paraId="5A7F3D43" w14:textId="77777777" w:rsidR="00B75F26" w:rsidRPr="001C761F" w:rsidRDefault="00B75F26" w:rsidP="00B75F26">
      <w:pPr>
        <w:ind w:left="1080"/>
        <w:jc w:val="both"/>
        <w:rPr>
          <w:szCs w:val="22"/>
        </w:rPr>
      </w:pPr>
    </w:p>
    <w:p w14:paraId="5E5E11F9" w14:textId="0AEA89C4" w:rsidR="00E903A0" w:rsidRDefault="00B75F26" w:rsidP="00B75F26">
      <w:pPr>
        <w:rPr>
          <w:szCs w:val="22"/>
        </w:rPr>
      </w:pPr>
      <w:r w:rsidRPr="001C761F">
        <w:rPr>
          <w:szCs w:val="22"/>
        </w:rPr>
        <w:t xml:space="preserve">The FCC has identified several areas in which </w:t>
      </w:r>
      <w:r w:rsidR="00E25BA0" w:rsidRPr="001C761F">
        <w:rPr>
          <w:szCs w:val="22"/>
        </w:rPr>
        <w:t xml:space="preserve">an </w:t>
      </w:r>
      <w:r w:rsidR="00E45271" w:rsidRPr="001C761F">
        <w:rPr>
          <w:szCs w:val="22"/>
        </w:rPr>
        <w:t xml:space="preserve">amendment to the Collocation Agreement </w:t>
      </w:r>
      <w:r w:rsidRPr="001C761F">
        <w:rPr>
          <w:szCs w:val="22"/>
        </w:rPr>
        <w:t xml:space="preserve">might further tailor the Section 106 process </w:t>
      </w:r>
      <w:r w:rsidR="00E25BA0" w:rsidRPr="001C761F">
        <w:rPr>
          <w:szCs w:val="22"/>
        </w:rPr>
        <w:t xml:space="preserve">for </w:t>
      </w:r>
      <w:r w:rsidRPr="001C761F">
        <w:rPr>
          <w:szCs w:val="22"/>
        </w:rPr>
        <w:t xml:space="preserve">DAS and small cell deployments by excluding deployments that meet criteria designed to ensure that </w:t>
      </w:r>
      <w:r w:rsidR="00E25BA0" w:rsidRPr="001C761F">
        <w:rPr>
          <w:szCs w:val="22"/>
        </w:rPr>
        <w:t xml:space="preserve">there is </w:t>
      </w:r>
      <w:r w:rsidRPr="001C761F">
        <w:rPr>
          <w:szCs w:val="22"/>
        </w:rPr>
        <w:t xml:space="preserve">minimal potential for </w:t>
      </w:r>
      <w:r w:rsidR="00E45271" w:rsidRPr="001C761F">
        <w:rPr>
          <w:szCs w:val="22"/>
        </w:rPr>
        <w:t>adverse effects on</w:t>
      </w:r>
      <w:r w:rsidRPr="001C761F">
        <w:rPr>
          <w:szCs w:val="22"/>
        </w:rPr>
        <w:t xml:space="preserve"> historic properties.  </w:t>
      </w:r>
      <w:r w:rsidR="00E45271" w:rsidRPr="001C761F">
        <w:rPr>
          <w:szCs w:val="22"/>
        </w:rPr>
        <w:t xml:space="preserve">Any new exclusions from the Section 106 process for small </w:t>
      </w:r>
      <w:r w:rsidR="00995260">
        <w:rPr>
          <w:szCs w:val="22"/>
        </w:rPr>
        <w:t xml:space="preserve">wireless </w:t>
      </w:r>
      <w:r w:rsidR="00E45271" w:rsidRPr="001C761F">
        <w:rPr>
          <w:szCs w:val="22"/>
        </w:rPr>
        <w:t xml:space="preserve">communications facilities adopted pursuant to an amendment to the Collocation Agreement would be in addition to the two exclusions that the Commission adopted in the </w:t>
      </w:r>
      <w:r w:rsidR="00E45271" w:rsidRPr="001C761F">
        <w:rPr>
          <w:i/>
          <w:szCs w:val="22"/>
        </w:rPr>
        <w:t>Infrastructure Report and Order</w:t>
      </w:r>
      <w:r w:rsidR="00E45271" w:rsidRPr="001C761F">
        <w:rPr>
          <w:szCs w:val="22"/>
        </w:rPr>
        <w:t>, as well as the exclusions that are included in the Collocation Agreement.</w:t>
      </w:r>
      <w:r w:rsidR="00E903A0">
        <w:rPr>
          <w:szCs w:val="22"/>
        </w:rPr>
        <w:t xml:space="preserve">  Like the existing exclusions in the Collocation Agreement as well as those adopted in the </w:t>
      </w:r>
      <w:r w:rsidR="00E903A0">
        <w:rPr>
          <w:i/>
          <w:szCs w:val="22"/>
        </w:rPr>
        <w:t>Infrastructure Report and Order</w:t>
      </w:r>
      <w:r w:rsidR="00E903A0">
        <w:rPr>
          <w:szCs w:val="22"/>
        </w:rPr>
        <w:t>, we anticipate that these would be complete exclusions from routine Section 106 processing, including any notification to SHPOs, Tribal Nations, and NHOs.</w:t>
      </w:r>
      <w:r w:rsidR="00961028">
        <w:rPr>
          <w:szCs w:val="22"/>
        </w:rPr>
        <w:t xml:space="preserve">  We note that any amendment to the Collocation Agreement would affect only the Commission’s review process under Section 106 of the NHPA, and would not limit State and local governments’ authority to enforce their own historic preservation requirements consistent with Section 332(c)(7) of the Communications Act and Section 6409(a) of the Middle Class Tax Relief and Job Creation Act of 2012.</w:t>
      </w:r>
      <w:r w:rsidR="00961028">
        <w:rPr>
          <w:rStyle w:val="FootnoteReference"/>
          <w:szCs w:val="22"/>
        </w:rPr>
        <w:footnoteReference w:id="40"/>
      </w:r>
    </w:p>
    <w:p w14:paraId="59E4671B" w14:textId="77777777" w:rsidR="00E903A0" w:rsidRDefault="00E903A0" w:rsidP="00B75F26">
      <w:pPr>
        <w:rPr>
          <w:szCs w:val="22"/>
        </w:rPr>
      </w:pPr>
    </w:p>
    <w:p w14:paraId="2A5454FF" w14:textId="158CDED3" w:rsidR="00B75F26" w:rsidRPr="001C761F" w:rsidRDefault="00361232" w:rsidP="00B75F26">
      <w:pPr>
        <w:rPr>
          <w:szCs w:val="22"/>
        </w:rPr>
      </w:pPr>
      <w:r>
        <w:rPr>
          <w:szCs w:val="22"/>
        </w:rPr>
        <w:t>Three approaches are set forth below for the potential expansion of excl</w:t>
      </w:r>
      <w:r w:rsidR="00893F15">
        <w:rPr>
          <w:szCs w:val="22"/>
        </w:rPr>
        <w:t>u</w:t>
      </w:r>
      <w:r>
        <w:rPr>
          <w:szCs w:val="22"/>
        </w:rPr>
        <w:t xml:space="preserve">sions from the Section 106 process for small facility </w:t>
      </w:r>
      <w:r w:rsidR="00E903A0">
        <w:rPr>
          <w:szCs w:val="22"/>
        </w:rPr>
        <w:t>collocations</w:t>
      </w:r>
      <w:r>
        <w:rPr>
          <w:szCs w:val="22"/>
        </w:rPr>
        <w:t>.  These approaches</w:t>
      </w:r>
      <w:r w:rsidR="00893F15">
        <w:rPr>
          <w:szCs w:val="22"/>
        </w:rPr>
        <w:t>, which</w:t>
      </w:r>
      <w:r>
        <w:rPr>
          <w:szCs w:val="22"/>
        </w:rPr>
        <w:t xml:space="preserve"> are not mutually exclusive</w:t>
      </w:r>
      <w:r w:rsidR="00893F15">
        <w:rPr>
          <w:szCs w:val="22"/>
        </w:rPr>
        <w:t>,</w:t>
      </w:r>
      <w:r w:rsidR="00B75F26" w:rsidRPr="001C761F">
        <w:rPr>
          <w:szCs w:val="22"/>
        </w:rPr>
        <w:t xml:space="preserve"> are </w:t>
      </w:r>
      <w:r w:rsidR="00390665">
        <w:rPr>
          <w:szCs w:val="22"/>
        </w:rPr>
        <w:t>offered</w:t>
      </w:r>
      <w:r w:rsidR="00390665" w:rsidRPr="001C761F">
        <w:rPr>
          <w:szCs w:val="22"/>
        </w:rPr>
        <w:t xml:space="preserve"> </w:t>
      </w:r>
      <w:r w:rsidR="00B75F26" w:rsidRPr="001C761F">
        <w:rPr>
          <w:szCs w:val="22"/>
        </w:rPr>
        <w:t xml:space="preserve">to </w:t>
      </w:r>
      <w:r w:rsidR="00390665">
        <w:rPr>
          <w:szCs w:val="22"/>
        </w:rPr>
        <w:t xml:space="preserve">facilitate </w:t>
      </w:r>
      <w:r w:rsidR="001C60A3">
        <w:rPr>
          <w:szCs w:val="22"/>
        </w:rPr>
        <w:t xml:space="preserve">a </w:t>
      </w:r>
      <w:r w:rsidR="00390665">
        <w:rPr>
          <w:szCs w:val="22"/>
        </w:rPr>
        <w:t xml:space="preserve">productive dialogue </w:t>
      </w:r>
      <w:r w:rsidR="001C60A3">
        <w:rPr>
          <w:szCs w:val="22"/>
        </w:rPr>
        <w:t>with stakeholders on</w:t>
      </w:r>
      <w:r w:rsidR="00390665">
        <w:rPr>
          <w:szCs w:val="22"/>
        </w:rPr>
        <w:t xml:space="preserve"> issues and options at </w:t>
      </w:r>
      <w:r w:rsidR="00B75F26" w:rsidRPr="001C761F">
        <w:rPr>
          <w:szCs w:val="22"/>
        </w:rPr>
        <w:t>a pre-decisiona</w:t>
      </w:r>
      <w:r w:rsidR="00390665">
        <w:rPr>
          <w:szCs w:val="22"/>
        </w:rPr>
        <w:t>l</w:t>
      </w:r>
      <w:r w:rsidR="00B75F26" w:rsidRPr="001C761F">
        <w:rPr>
          <w:szCs w:val="22"/>
        </w:rPr>
        <w:t xml:space="preserve"> point</w:t>
      </w:r>
      <w:r w:rsidR="00E25BA0" w:rsidRPr="001C761F">
        <w:rPr>
          <w:szCs w:val="22"/>
        </w:rPr>
        <w:t xml:space="preserve">.  </w:t>
      </w:r>
      <w:r w:rsidR="00E903A0">
        <w:rPr>
          <w:szCs w:val="22"/>
        </w:rPr>
        <w:t>Accordingly, we invite stakeholders’ views on these and any other possible alternatives to improve the Section 106 process for small facility deployments.</w:t>
      </w:r>
    </w:p>
    <w:p w14:paraId="004D7A7B" w14:textId="77777777" w:rsidR="00B75F26" w:rsidRPr="001C761F" w:rsidRDefault="00B75F26" w:rsidP="00B75F26">
      <w:pPr>
        <w:rPr>
          <w:szCs w:val="22"/>
        </w:rPr>
      </w:pPr>
    </w:p>
    <w:p w14:paraId="37606ADE" w14:textId="584D06D0" w:rsidR="005F4005" w:rsidRPr="001C761F" w:rsidRDefault="005F4005" w:rsidP="005F4005">
      <w:pPr>
        <w:rPr>
          <w:szCs w:val="22"/>
        </w:rPr>
      </w:pPr>
      <w:r w:rsidRPr="001C761F">
        <w:rPr>
          <w:i/>
          <w:szCs w:val="22"/>
          <w:u w:val="single"/>
        </w:rPr>
        <w:t>Small Deployments Not on Historic Properties or in or near Historic Districts</w:t>
      </w:r>
      <w:r w:rsidRPr="001C761F">
        <w:rPr>
          <w:szCs w:val="22"/>
        </w:rPr>
        <w:t xml:space="preserve">. </w:t>
      </w:r>
      <w:r w:rsidR="00893F15">
        <w:rPr>
          <w:szCs w:val="22"/>
        </w:rPr>
        <w:t>The first</w:t>
      </w:r>
      <w:r w:rsidRPr="001C761F">
        <w:rPr>
          <w:szCs w:val="22"/>
        </w:rPr>
        <w:t xml:space="preserve"> option would be to amend the Collocation Agreement to exclude from Section 106 review small </w:t>
      </w:r>
      <w:r w:rsidR="00995260">
        <w:rPr>
          <w:szCs w:val="22"/>
        </w:rPr>
        <w:t xml:space="preserve">wireless </w:t>
      </w:r>
      <w:r w:rsidRPr="001C761F">
        <w:rPr>
          <w:szCs w:val="22"/>
        </w:rPr>
        <w:t xml:space="preserve">communications facility deployments on any building or structure </w:t>
      </w:r>
      <w:r w:rsidR="00933219">
        <w:rPr>
          <w:szCs w:val="22"/>
        </w:rPr>
        <w:t xml:space="preserve">(such as bridges, water towers, silos, etc.) </w:t>
      </w:r>
      <w:r w:rsidRPr="001C761F">
        <w:rPr>
          <w:szCs w:val="22"/>
        </w:rPr>
        <w:t xml:space="preserve">where review is required only because the building or structure is over 45 years old, provided that the antenna and associated equipment meet specified volume limitations and the deployment involves no new ground disturbance.  </w:t>
      </w:r>
      <w:r w:rsidR="00B00D51">
        <w:rPr>
          <w:szCs w:val="22"/>
        </w:rPr>
        <w:t>T</w:t>
      </w:r>
      <w:r w:rsidR="009524F1" w:rsidRPr="001C761F">
        <w:rPr>
          <w:szCs w:val="22"/>
        </w:rPr>
        <w:t xml:space="preserve">his </w:t>
      </w:r>
      <w:r w:rsidRPr="001C761F">
        <w:rPr>
          <w:szCs w:val="22"/>
        </w:rPr>
        <w:t xml:space="preserve">exclusion would not be available </w:t>
      </w:r>
      <w:r w:rsidR="00E903A0">
        <w:rPr>
          <w:szCs w:val="22"/>
        </w:rPr>
        <w:t>for</w:t>
      </w:r>
      <w:r w:rsidRPr="001C761F">
        <w:rPr>
          <w:szCs w:val="22"/>
        </w:rPr>
        <w:t xml:space="preserve"> deployments on historic properties or in or near historic districts.  Accordingly, the exclusion would </w:t>
      </w:r>
      <w:r w:rsidRPr="001C761F">
        <w:rPr>
          <w:i/>
          <w:szCs w:val="22"/>
        </w:rPr>
        <w:t>not</w:t>
      </w:r>
      <w:r w:rsidRPr="001C761F">
        <w:rPr>
          <w:szCs w:val="22"/>
        </w:rPr>
        <w:t xml:space="preserve"> apply if the deployment is (1) on a structure designated as a National Historic Landmark or listed on or eligible for listing on the National Register; (2) located in a historic district or within 250 feet of a historic district; or (3) subject to a complaint filed against the deployment alleging a potential for adverse effects on historic properties.  The Commission considered this proposal in the </w:t>
      </w:r>
      <w:r w:rsidRPr="001C761F">
        <w:rPr>
          <w:i/>
          <w:szCs w:val="22"/>
        </w:rPr>
        <w:t xml:space="preserve">Infrastructure Report and Order </w:t>
      </w:r>
      <w:r w:rsidRPr="001C761F">
        <w:rPr>
          <w:szCs w:val="22"/>
        </w:rPr>
        <w:t>but declined to adopt it</w:t>
      </w:r>
      <w:r w:rsidR="00E26D1A" w:rsidRPr="001C761F">
        <w:rPr>
          <w:szCs w:val="22"/>
        </w:rPr>
        <w:t xml:space="preserve">, stating that it </w:t>
      </w:r>
      <w:r w:rsidRPr="001C761F">
        <w:rPr>
          <w:szCs w:val="22"/>
        </w:rPr>
        <w:t>w</w:t>
      </w:r>
      <w:r w:rsidR="009524F1" w:rsidRPr="001C761F">
        <w:rPr>
          <w:szCs w:val="22"/>
        </w:rPr>
        <w:t>ould</w:t>
      </w:r>
      <w:r w:rsidRPr="001C761F">
        <w:rPr>
          <w:szCs w:val="22"/>
        </w:rPr>
        <w:t xml:space="preserve"> be addressed in the program alternative process.</w:t>
      </w:r>
      <w:r w:rsidRPr="001C761F">
        <w:rPr>
          <w:szCs w:val="22"/>
          <w:vertAlign w:val="superscript"/>
        </w:rPr>
        <w:footnoteReference w:id="41"/>
      </w:r>
    </w:p>
    <w:p w14:paraId="08F0AA9C" w14:textId="77777777" w:rsidR="005F4005" w:rsidRPr="001C761F" w:rsidRDefault="005F4005" w:rsidP="005F4005">
      <w:pPr>
        <w:rPr>
          <w:szCs w:val="22"/>
        </w:rPr>
      </w:pPr>
      <w:r w:rsidRPr="001C761F" w:rsidDel="00747810">
        <w:rPr>
          <w:szCs w:val="22"/>
        </w:rPr>
        <w:t xml:space="preserve"> </w:t>
      </w:r>
    </w:p>
    <w:p w14:paraId="13CDCA03" w14:textId="15340DD3" w:rsidR="009524F1" w:rsidRPr="001C761F" w:rsidRDefault="009524F1" w:rsidP="005F4005">
      <w:pPr>
        <w:rPr>
          <w:szCs w:val="22"/>
        </w:rPr>
      </w:pPr>
      <w:r w:rsidRPr="001C761F">
        <w:rPr>
          <w:szCs w:val="22"/>
        </w:rPr>
        <w:t xml:space="preserve">We seek input on the </w:t>
      </w:r>
      <w:r w:rsidR="00E31668" w:rsidRPr="001C761F">
        <w:rPr>
          <w:szCs w:val="22"/>
        </w:rPr>
        <w:t xml:space="preserve">criteria </w:t>
      </w:r>
      <w:r w:rsidRPr="001C761F">
        <w:rPr>
          <w:szCs w:val="22"/>
        </w:rPr>
        <w:t xml:space="preserve">that should apply under this option.  </w:t>
      </w:r>
      <w:r w:rsidR="005F4005" w:rsidRPr="001C761F">
        <w:rPr>
          <w:szCs w:val="22"/>
        </w:rPr>
        <w:t xml:space="preserve">The collocation exclusion for small wireless facilities on utility structures adopted in the </w:t>
      </w:r>
      <w:r w:rsidR="005F4005" w:rsidRPr="001C761F">
        <w:rPr>
          <w:i/>
          <w:szCs w:val="22"/>
        </w:rPr>
        <w:t xml:space="preserve">Infrastructure Report and Order </w:t>
      </w:r>
      <w:r w:rsidR="005F4005" w:rsidRPr="001C761F">
        <w:rPr>
          <w:szCs w:val="22"/>
        </w:rPr>
        <w:t>includes a volumetric limit of no more than three cubic feet for each antenna enclosure and six cubic feet for all antennas on the structure, as well as a requirement that all other wireless equipment associated with the structure not exceed 17 cubic feet.</w:t>
      </w:r>
      <w:r w:rsidR="005F4005" w:rsidRPr="001C761F">
        <w:rPr>
          <w:szCs w:val="22"/>
          <w:vertAlign w:val="superscript"/>
        </w:rPr>
        <w:footnoteReference w:id="42"/>
      </w:r>
      <w:r w:rsidR="005F4005" w:rsidRPr="001C761F">
        <w:rPr>
          <w:szCs w:val="22"/>
        </w:rPr>
        <w:t xml:space="preserve">  We propose the same volumetric limits for </w:t>
      </w:r>
      <w:r w:rsidR="00F57965" w:rsidRPr="001C761F">
        <w:rPr>
          <w:szCs w:val="22"/>
        </w:rPr>
        <w:t xml:space="preserve">this </w:t>
      </w:r>
      <w:r w:rsidR="00893F15">
        <w:rPr>
          <w:szCs w:val="22"/>
        </w:rPr>
        <w:t>proposed exclusion</w:t>
      </w:r>
      <w:r w:rsidR="00F57965" w:rsidRPr="001C761F">
        <w:rPr>
          <w:szCs w:val="22"/>
        </w:rPr>
        <w:t xml:space="preserve">, </w:t>
      </w:r>
      <w:r w:rsidR="005F4005" w:rsidRPr="001C761F">
        <w:rPr>
          <w:szCs w:val="22"/>
        </w:rPr>
        <w:t>and we seek input on this proposal</w:t>
      </w:r>
      <w:r w:rsidR="00E26D1A" w:rsidRPr="001C761F">
        <w:rPr>
          <w:szCs w:val="22"/>
        </w:rPr>
        <w:t xml:space="preserve">.  We also seek input on </w:t>
      </w:r>
      <w:r w:rsidR="005F4005" w:rsidRPr="001C761F">
        <w:rPr>
          <w:szCs w:val="22"/>
        </w:rPr>
        <w:t>what equipment should be subject to the volumetric limits.</w:t>
      </w:r>
      <w:r w:rsidR="003931C9" w:rsidRPr="001C761F">
        <w:rPr>
          <w:szCs w:val="22"/>
        </w:rPr>
        <w:t xml:space="preserve">  The collocation exclusion </w:t>
      </w:r>
      <w:r w:rsidR="00577EC2" w:rsidRPr="001C761F">
        <w:rPr>
          <w:szCs w:val="22"/>
        </w:rPr>
        <w:t xml:space="preserve">for small wireless facilities on utility structures adopted in the </w:t>
      </w:r>
      <w:r w:rsidR="00577EC2" w:rsidRPr="001C761F">
        <w:rPr>
          <w:i/>
          <w:szCs w:val="22"/>
        </w:rPr>
        <w:t xml:space="preserve">Infrastructure Report and Order </w:t>
      </w:r>
      <w:r w:rsidR="003931C9" w:rsidRPr="001C761F">
        <w:rPr>
          <w:szCs w:val="22"/>
        </w:rPr>
        <w:t xml:space="preserve">provides that the 17-cubic-foot limit applies to “all other wireless equipment associated with the structure” but does not </w:t>
      </w:r>
      <w:r w:rsidRPr="001C761F">
        <w:rPr>
          <w:szCs w:val="22"/>
        </w:rPr>
        <w:t xml:space="preserve">apply to </w:t>
      </w:r>
      <w:r w:rsidR="003931C9" w:rsidRPr="001C761F">
        <w:rPr>
          <w:szCs w:val="22"/>
        </w:rPr>
        <w:t>vertical cable runs for the connection of power and other services, ancillary equipment installed by other entities that is outside of the applicant’s ownership or control</w:t>
      </w:r>
      <w:r w:rsidR="0061740D" w:rsidRPr="001C761F">
        <w:rPr>
          <w:szCs w:val="22"/>
        </w:rPr>
        <w:t xml:space="preserve">, </w:t>
      </w:r>
      <w:r w:rsidR="003931C9" w:rsidRPr="001C761F">
        <w:rPr>
          <w:szCs w:val="22"/>
        </w:rPr>
        <w:t>and comparable equipment from pre-existing deployments on the structure.</w:t>
      </w:r>
      <w:r w:rsidR="003931C9" w:rsidRPr="001C761F">
        <w:rPr>
          <w:rStyle w:val="FootnoteReference"/>
          <w:szCs w:val="22"/>
        </w:rPr>
        <w:footnoteReference w:id="43"/>
      </w:r>
      <w:r w:rsidR="0061740D" w:rsidRPr="001C761F">
        <w:rPr>
          <w:szCs w:val="22"/>
        </w:rPr>
        <w:t xml:space="preserve">  Should </w:t>
      </w:r>
      <w:r w:rsidR="00893F15">
        <w:rPr>
          <w:szCs w:val="22"/>
        </w:rPr>
        <w:t>th</w:t>
      </w:r>
      <w:r w:rsidR="002D5469">
        <w:rPr>
          <w:szCs w:val="22"/>
        </w:rPr>
        <w:t xml:space="preserve">e exclusion contemplated under this option </w:t>
      </w:r>
      <w:r w:rsidR="00893F15">
        <w:rPr>
          <w:szCs w:val="22"/>
        </w:rPr>
        <w:t xml:space="preserve">include </w:t>
      </w:r>
      <w:r w:rsidR="0061740D" w:rsidRPr="001C761F">
        <w:rPr>
          <w:szCs w:val="22"/>
        </w:rPr>
        <w:t>a similar provision?</w:t>
      </w:r>
      <w:r w:rsidRPr="001C761F">
        <w:rPr>
          <w:szCs w:val="22"/>
        </w:rPr>
        <w:t xml:space="preserve">  </w:t>
      </w:r>
      <w:r w:rsidR="00E26D1A" w:rsidRPr="001C761F">
        <w:rPr>
          <w:szCs w:val="22"/>
        </w:rPr>
        <w:t>T</w:t>
      </w:r>
      <w:r w:rsidR="005F4005" w:rsidRPr="001C761F">
        <w:rPr>
          <w:szCs w:val="22"/>
        </w:rPr>
        <w:t>he collocation exclusion</w:t>
      </w:r>
      <w:r w:rsidR="00B83A9F">
        <w:rPr>
          <w:szCs w:val="22"/>
        </w:rPr>
        <w:t>s</w:t>
      </w:r>
      <w:r w:rsidR="005F4005" w:rsidRPr="001C761F">
        <w:rPr>
          <w:szCs w:val="22"/>
        </w:rPr>
        <w:t xml:space="preserve"> </w:t>
      </w:r>
      <w:r w:rsidR="00B83A9F">
        <w:rPr>
          <w:szCs w:val="22"/>
        </w:rPr>
        <w:t>a</w:t>
      </w:r>
      <w:r w:rsidR="005F4005" w:rsidRPr="001C761F">
        <w:rPr>
          <w:szCs w:val="22"/>
        </w:rPr>
        <w:t xml:space="preserve">dopted in the </w:t>
      </w:r>
      <w:r w:rsidR="005F4005" w:rsidRPr="001C761F">
        <w:rPr>
          <w:i/>
          <w:szCs w:val="22"/>
        </w:rPr>
        <w:t>Infrastructure Report and Order</w:t>
      </w:r>
      <w:r w:rsidR="005F4005" w:rsidRPr="001C761F">
        <w:rPr>
          <w:szCs w:val="22"/>
        </w:rPr>
        <w:t xml:space="preserve"> provide that a deployment causes no new ground disturbance when the depth and width of previous disturbance exceeds the proposed construction depth and width by at least two feet.</w:t>
      </w:r>
      <w:r w:rsidR="005F4005" w:rsidRPr="001C761F">
        <w:rPr>
          <w:szCs w:val="22"/>
          <w:vertAlign w:val="superscript"/>
        </w:rPr>
        <w:footnoteReference w:id="44"/>
      </w:r>
      <w:r w:rsidR="005F4005" w:rsidRPr="001C761F">
        <w:rPr>
          <w:szCs w:val="22"/>
        </w:rPr>
        <w:t xml:space="preserve">  </w:t>
      </w:r>
      <w:r w:rsidR="00893F15">
        <w:rPr>
          <w:szCs w:val="22"/>
        </w:rPr>
        <w:t xml:space="preserve">We seek input on whether </w:t>
      </w:r>
      <w:r w:rsidR="002D5469">
        <w:rPr>
          <w:szCs w:val="22"/>
        </w:rPr>
        <w:t xml:space="preserve">the same measure of ground disturbance should be used if </w:t>
      </w:r>
      <w:r w:rsidR="00B00D51">
        <w:rPr>
          <w:szCs w:val="22"/>
        </w:rPr>
        <w:t xml:space="preserve">this </w:t>
      </w:r>
      <w:r w:rsidR="002D5469">
        <w:rPr>
          <w:szCs w:val="22"/>
        </w:rPr>
        <w:t>proposed exclusion is adopted.</w:t>
      </w:r>
    </w:p>
    <w:p w14:paraId="58CB966D" w14:textId="77777777" w:rsidR="009524F1" w:rsidRPr="001C761F" w:rsidRDefault="009524F1" w:rsidP="005F4005">
      <w:pPr>
        <w:rPr>
          <w:szCs w:val="22"/>
        </w:rPr>
      </w:pPr>
    </w:p>
    <w:p w14:paraId="1556BC6D" w14:textId="77777777" w:rsidR="005F4005" w:rsidRPr="001C761F" w:rsidRDefault="009524F1" w:rsidP="005F4005">
      <w:pPr>
        <w:rPr>
          <w:i/>
          <w:szCs w:val="22"/>
        </w:rPr>
      </w:pPr>
      <w:r w:rsidRPr="001C761F">
        <w:rPr>
          <w:szCs w:val="22"/>
        </w:rPr>
        <w:t>B</w:t>
      </w:r>
      <w:r w:rsidR="005F4005" w:rsidRPr="001C761F">
        <w:rPr>
          <w:szCs w:val="22"/>
        </w:rPr>
        <w:t xml:space="preserve">oth of the collocation exclusions adopted in the </w:t>
      </w:r>
      <w:r w:rsidR="005F4005" w:rsidRPr="001C761F">
        <w:rPr>
          <w:i/>
          <w:szCs w:val="22"/>
        </w:rPr>
        <w:t>Infrastructure Report and Order</w:t>
      </w:r>
      <w:r w:rsidR="005F4005" w:rsidRPr="001C761F">
        <w:rPr>
          <w:szCs w:val="22"/>
        </w:rPr>
        <w:t xml:space="preserve"> do not apply if the deployment is inside a historic district or within 250 feet of the boundary of a historic district; located on a building or structure that is a National Historic Landmark or listed on or eligible for listing on the National Register; or the subject of a pending complaint alleging adverse effect on historic properties.</w:t>
      </w:r>
      <w:r w:rsidR="005F4005" w:rsidRPr="001C761F">
        <w:rPr>
          <w:szCs w:val="22"/>
          <w:vertAlign w:val="superscript"/>
        </w:rPr>
        <w:footnoteReference w:id="45"/>
      </w:r>
      <w:r w:rsidR="005F4005" w:rsidRPr="001C761F">
        <w:rPr>
          <w:szCs w:val="22"/>
        </w:rPr>
        <w:t xml:space="preserve">  We </w:t>
      </w:r>
      <w:r w:rsidR="00E903A0">
        <w:rPr>
          <w:szCs w:val="22"/>
        </w:rPr>
        <w:t>seek input on whether</w:t>
      </w:r>
      <w:r w:rsidR="005F4005" w:rsidRPr="001C761F">
        <w:rPr>
          <w:szCs w:val="22"/>
        </w:rPr>
        <w:t xml:space="preserve"> </w:t>
      </w:r>
      <w:r w:rsidRPr="001C761F">
        <w:rPr>
          <w:szCs w:val="22"/>
        </w:rPr>
        <w:t xml:space="preserve">to limit this exclusion in the </w:t>
      </w:r>
      <w:r w:rsidR="005F4005" w:rsidRPr="001C761F">
        <w:rPr>
          <w:szCs w:val="22"/>
        </w:rPr>
        <w:t xml:space="preserve">same manner.  </w:t>
      </w:r>
    </w:p>
    <w:p w14:paraId="3B87597F" w14:textId="77777777" w:rsidR="00B75F26" w:rsidRPr="001C761F" w:rsidRDefault="00B75F26" w:rsidP="00B75F26">
      <w:pPr>
        <w:rPr>
          <w:szCs w:val="22"/>
        </w:rPr>
      </w:pPr>
    </w:p>
    <w:p w14:paraId="528123F1" w14:textId="53D4F55D" w:rsidR="00E45271" w:rsidRPr="001C761F" w:rsidRDefault="00E45271" w:rsidP="00E45271">
      <w:pPr>
        <w:rPr>
          <w:szCs w:val="22"/>
        </w:rPr>
      </w:pPr>
      <w:r w:rsidRPr="001C761F">
        <w:rPr>
          <w:i/>
          <w:szCs w:val="22"/>
          <w:u w:val="single"/>
        </w:rPr>
        <w:t>Minimally Visible Small Deployments on Historic Properties and in or near Historic Districts</w:t>
      </w:r>
      <w:r w:rsidRPr="001C761F">
        <w:rPr>
          <w:szCs w:val="22"/>
        </w:rPr>
        <w:t xml:space="preserve">. We seek input as to whether the Collocation Agreement should be amended to exclude from Section 106 review small </w:t>
      </w:r>
      <w:r w:rsidR="00995260">
        <w:rPr>
          <w:szCs w:val="22"/>
        </w:rPr>
        <w:t xml:space="preserve">wireless </w:t>
      </w:r>
      <w:r w:rsidRPr="001C761F">
        <w:rPr>
          <w:szCs w:val="22"/>
        </w:rPr>
        <w:t xml:space="preserve">communications facility collocations on historic properties or in or near historic districts, subject to visibility limits and reasonable safeguards on the method of installation.  The FCC expects that </w:t>
      </w:r>
      <w:r w:rsidR="00E903A0">
        <w:rPr>
          <w:szCs w:val="22"/>
        </w:rPr>
        <w:t>such an</w:t>
      </w:r>
      <w:r w:rsidR="00893F15">
        <w:rPr>
          <w:szCs w:val="22"/>
        </w:rPr>
        <w:t xml:space="preserve"> exclusion, if adopted,</w:t>
      </w:r>
      <w:r w:rsidR="00F57965" w:rsidRPr="001C761F">
        <w:rPr>
          <w:szCs w:val="22"/>
        </w:rPr>
        <w:t xml:space="preserve"> </w:t>
      </w:r>
      <w:r w:rsidRPr="001C761F">
        <w:rPr>
          <w:szCs w:val="22"/>
        </w:rPr>
        <w:t>would include restrictions to minimize the potential for adverse effects on historic properties, including size or volume limits on antennas and associated equipment</w:t>
      </w:r>
      <w:r w:rsidR="00893F15">
        <w:rPr>
          <w:szCs w:val="22"/>
        </w:rPr>
        <w:t>,</w:t>
      </w:r>
      <w:r w:rsidRPr="001C761F">
        <w:rPr>
          <w:szCs w:val="22"/>
        </w:rPr>
        <w:t xml:space="preserve"> a requirement that there be no new ground disturbance</w:t>
      </w:r>
      <w:r w:rsidR="00893F15">
        <w:rPr>
          <w:szCs w:val="22"/>
        </w:rPr>
        <w:t>,</w:t>
      </w:r>
      <w:r w:rsidR="00F436D4" w:rsidRPr="001C761F">
        <w:rPr>
          <w:szCs w:val="22"/>
        </w:rPr>
        <w:t xml:space="preserve"> </w:t>
      </w:r>
      <w:r w:rsidR="00893F15">
        <w:rPr>
          <w:szCs w:val="22"/>
        </w:rPr>
        <w:t xml:space="preserve">and </w:t>
      </w:r>
      <w:r w:rsidRPr="001C761F">
        <w:rPr>
          <w:szCs w:val="22"/>
        </w:rPr>
        <w:t xml:space="preserve">restrictions on </w:t>
      </w:r>
      <w:r w:rsidR="00F436D4" w:rsidRPr="001C761F">
        <w:rPr>
          <w:szCs w:val="22"/>
        </w:rPr>
        <w:t xml:space="preserve">the </w:t>
      </w:r>
      <w:r w:rsidRPr="001C761F">
        <w:rPr>
          <w:szCs w:val="22"/>
        </w:rPr>
        <w:t>visibility of collocations from public streets or spaces</w:t>
      </w:r>
      <w:r w:rsidR="00893F15">
        <w:rPr>
          <w:szCs w:val="22"/>
        </w:rPr>
        <w:t>.</w:t>
      </w:r>
      <w:r w:rsidRPr="001C761F">
        <w:rPr>
          <w:szCs w:val="22"/>
        </w:rPr>
        <w:t xml:space="preserve"> </w:t>
      </w:r>
      <w:r w:rsidR="00893F15">
        <w:rPr>
          <w:szCs w:val="22"/>
        </w:rPr>
        <w:t xml:space="preserve"> We solicit input on whether </w:t>
      </w:r>
      <w:r w:rsidR="00E903A0">
        <w:rPr>
          <w:szCs w:val="22"/>
        </w:rPr>
        <w:t>such an</w:t>
      </w:r>
      <w:r w:rsidR="00893F15">
        <w:rPr>
          <w:szCs w:val="22"/>
        </w:rPr>
        <w:t xml:space="preserve"> exclusion should also include </w:t>
      </w:r>
      <w:r w:rsidRPr="001C761F">
        <w:rPr>
          <w:szCs w:val="22"/>
        </w:rPr>
        <w:t>a requirement that the installation of facilities compl</w:t>
      </w:r>
      <w:r w:rsidR="001B6DC9">
        <w:rPr>
          <w:szCs w:val="22"/>
        </w:rPr>
        <w:t>ies</w:t>
      </w:r>
      <w:r w:rsidRPr="001C761F">
        <w:rPr>
          <w:szCs w:val="22"/>
        </w:rPr>
        <w:t xml:space="preserve"> with the Secretary of the Interior</w:t>
      </w:r>
      <w:r w:rsidR="00931A37">
        <w:rPr>
          <w:szCs w:val="22"/>
        </w:rPr>
        <w:t>’</w:t>
      </w:r>
      <w:r w:rsidRPr="001C761F">
        <w:rPr>
          <w:szCs w:val="22"/>
        </w:rPr>
        <w:t xml:space="preserve">s </w:t>
      </w:r>
      <w:r w:rsidR="00787003">
        <w:rPr>
          <w:szCs w:val="22"/>
        </w:rPr>
        <w:t>S</w:t>
      </w:r>
      <w:r w:rsidRPr="001C761F">
        <w:rPr>
          <w:szCs w:val="22"/>
        </w:rPr>
        <w:t>tandards</w:t>
      </w:r>
      <w:r w:rsidR="00893F15">
        <w:rPr>
          <w:szCs w:val="22"/>
        </w:rPr>
        <w:t>,</w:t>
      </w:r>
      <w:r w:rsidRPr="001C761F">
        <w:rPr>
          <w:szCs w:val="22"/>
        </w:rPr>
        <w:t xml:space="preserve"> </w:t>
      </w:r>
      <w:r w:rsidR="00480C25">
        <w:rPr>
          <w:szCs w:val="22"/>
        </w:rPr>
        <w:t xml:space="preserve">as </w:t>
      </w:r>
      <w:r w:rsidR="00893F15">
        <w:rPr>
          <w:szCs w:val="22"/>
        </w:rPr>
        <w:t xml:space="preserve">well as </w:t>
      </w:r>
      <w:r w:rsidR="00717B3C" w:rsidRPr="001C761F">
        <w:rPr>
          <w:szCs w:val="22"/>
        </w:rPr>
        <w:t xml:space="preserve">a requirement </w:t>
      </w:r>
      <w:r w:rsidR="00893F15">
        <w:rPr>
          <w:szCs w:val="22"/>
        </w:rPr>
        <w:t>that these facilities</w:t>
      </w:r>
      <w:r w:rsidR="00893F15" w:rsidRPr="001C761F">
        <w:rPr>
          <w:szCs w:val="22"/>
        </w:rPr>
        <w:t xml:space="preserve"> </w:t>
      </w:r>
      <w:r w:rsidR="00717B3C" w:rsidRPr="001C761F">
        <w:rPr>
          <w:szCs w:val="22"/>
        </w:rPr>
        <w:t xml:space="preserve">comply </w:t>
      </w:r>
      <w:r w:rsidRPr="001C761F">
        <w:rPr>
          <w:szCs w:val="22"/>
        </w:rPr>
        <w:t>with any conditions applicable to any pre-existing antennas in the vicinity of the new collocation that were imposed to directly mitigate or prevent the facility</w:t>
      </w:r>
      <w:r w:rsidR="00931A37">
        <w:rPr>
          <w:szCs w:val="22"/>
        </w:rPr>
        <w:t>’</w:t>
      </w:r>
      <w:r w:rsidRPr="001C761F">
        <w:rPr>
          <w:szCs w:val="22"/>
        </w:rPr>
        <w:t>s effects.</w:t>
      </w:r>
      <w:r w:rsidRPr="001C761F">
        <w:rPr>
          <w:szCs w:val="22"/>
        </w:rPr>
        <w:cr/>
      </w:r>
    </w:p>
    <w:p w14:paraId="3F4CC757" w14:textId="77777777" w:rsidR="00E45271" w:rsidRPr="001C761F" w:rsidRDefault="00E45271" w:rsidP="00E45271">
      <w:pPr>
        <w:rPr>
          <w:szCs w:val="22"/>
        </w:rPr>
      </w:pPr>
      <w:r w:rsidRPr="001C761F">
        <w:rPr>
          <w:szCs w:val="22"/>
        </w:rPr>
        <w:t xml:space="preserve">As </w:t>
      </w:r>
      <w:r w:rsidR="00F57965" w:rsidRPr="001C761F">
        <w:rPr>
          <w:szCs w:val="22"/>
        </w:rPr>
        <w:t xml:space="preserve">noted </w:t>
      </w:r>
      <w:r w:rsidRPr="001C761F">
        <w:rPr>
          <w:szCs w:val="22"/>
        </w:rPr>
        <w:t xml:space="preserve">above, the exclusion for collocation of small wireless facilities on utility structures adopted in the </w:t>
      </w:r>
      <w:r w:rsidRPr="001C761F">
        <w:rPr>
          <w:i/>
          <w:szCs w:val="22"/>
        </w:rPr>
        <w:t xml:space="preserve">Infrastructure Report and Order </w:t>
      </w:r>
      <w:r w:rsidRPr="001C761F">
        <w:rPr>
          <w:szCs w:val="22"/>
        </w:rPr>
        <w:t>includes a volumetric limit of no more than three cubic feet for each antenna enclosure and six cubic feet for all antennas on the structure, as well as a requirement that all other wireless equipment associated with the structure not exceed 17 cubic feet.</w:t>
      </w:r>
      <w:r w:rsidRPr="001C761F">
        <w:rPr>
          <w:szCs w:val="22"/>
          <w:vertAlign w:val="superscript"/>
        </w:rPr>
        <w:footnoteReference w:id="46"/>
      </w:r>
      <w:r w:rsidRPr="001C761F">
        <w:rPr>
          <w:szCs w:val="22"/>
        </w:rPr>
        <w:t xml:space="preserve">  </w:t>
      </w:r>
      <w:r w:rsidR="00DF0A0F">
        <w:rPr>
          <w:szCs w:val="22"/>
        </w:rPr>
        <w:t xml:space="preserve">We </w:t>
      </w:r>
      <w:r w:rsidR="00E903A0">
        <w:rPr>
          <w:szCs w:val="22"/>
        </w:rPr>
        <w:t>believe</w:t>
      </w:r>
      <w:r w:rsidR="00DF0A0F">
        <w:rPr>
          <w:szCs w:val="22"/>
        </w:rPr>
        <w:t xml:space="preserve"> </w:t>
      </w:r>
      <w:r w:rsidR="00253622">
        <w:rPr>
          <w:szCs w:val="22"/>
        </w:rPr>
        <w:t xml:space="preserve">the </w:t>
      </w:r>
      <w:r w:rsidR="00DF0A0F">
        <w:rPr>
          <w:szCs w:val="22"/>
        </w:rPr>
        <w:t xml:space="preserve">same </w:t>
      </w:r>
      <w:r w:rsidR="00253622">
        <w:rPr>
          <w:szCs w:val="22"/>
        </w:rPr>
        <w:t xml:space="preserve">volumetric limits </w:t>
      </w:r>
      <w:r w:rsidR="00E903A0">
        <w:rPr>
          <w:szCs w:val="22"/>
        </w:rPr>
        <w:t xml:space="preserve">may be appropriate for any exclusion applicable on historic properties or in or near historic districts, and we invite </w:t>
      </w:r>
      <w:r w:rsidR="001C042E">
        <w:rPr>
          <w:szCs w:val="22"/>
        </w:rPr>
        <w:t>input on these limits</w:t>
      </w:r>
      <w:r w:rsidR="00253622">
        <w:rPr>
          <w:szCs w:val="22"/>
        </w:rPr>
        <w:t xml:space="preserve">.  We </w:t>
      </w:r>
      <w:r w:rsidR="00E903A0">
        <w:rPr>
          <w:szCs w:val="22"/>
        </w:rPr>
        <w:t>similarly seek input on whether</w:t>
      </w:r>
      <w:r w:rsidR="00253622">
        <w:rPr>
          <w:szCs w:val="22"/>
        </w:rPr>
        <w:t xml:space="preserve"> </w:t>
      </w:r>
      <w:r w:rsidR="0061740D" w:rsidRPr="001C761F">
        <w:rPr>
          <w:szCs w:val="22"/>
        </w:rPr>
        <w:t xml:space="preserve">the wireless equipment </w:t>
      </w:r>
      <w:r w:rsidR="00253622">
        <w:rPr>
          <w:szCs w:val="22"/>
        </w:rPr>
        <w:t xml:space="preserve">to be </w:t>
      </w:r>
      <w:r w:rsidR="0061740D" w:rsidRPr="001C761F">
        <w:rPr>
          <w:szCs w:val="22"/>
        </w:rPr>
        <w:t>included for purposes of meeting the 17-cubic-foot limit</w:t>
      </w:r>
      <w:r w:rsidR="00E903A0">
        <w:rPr>
          <w:szCs w:val="22"/>
        </w:rPr>
        <w:t xml:space="preserve"> should</w:t>
      </w:r>
      <w:r w:rsidR="00480C25">
        <w:rPr>
          <w:szCs w:val="22"/>
        </w:rPr>
        <w:t xml:space="preserve"> </w:t>
      </w:r>
      <w:r w:rsidR="00253622">
        <w:rPr>
          <w:szCs w:val="22"/>
        </w:rPr>
        <w:t>be consistent with the list of equipment</w:t>
      </w:r>
      <w:r w:rsidR="0058605D">
        <w:rPr>
          <w:szCs w:val="22"/>
        </w:rPr>
        <w:t xml:space="preserve"> specified in the </w:t>
      </w:r>
      <w:r w:rsidR="00D746DA" w:rsidRPr="007D656D">
        <w:rPr>
          <w:i/>
          <w:szCs w:val="22"/>
        </w:rPr>
        <w:t>Infrastructure Report and Order</w:t>
      </w:r>
      <w:r w:rsidR="0058605D">
        <w:rPr>
          <w:i/>
          <w:szCs w:val="22"/>
        </w:rPr>
        <w:t xml:space="preserve"> </w:t>
      </w:r>
      <w:r w:rsidR="0058605D">
        <w:rPr>
          <w:szCs w:val="22"/>
        </w:rPr>
        <w:t>for utility structures.</w:t>
      </w:r>
      <w:r w:rsidR="005656F2" w:rsidRPr="001C761F">
        <w:rPr>
          <w:rStyle w:val="FootnoteReference"/>
          <w:szCs w:val="22"/>
        </w:rPr>
        <w:footnoteReference w:id="47"/>
      </w:r>
      <w:r w:rsidR="0058605D">
        <w:rPr>
          <w:szCs w:val="22"/>
        </w:rPr>
        <w:t xml:space="preserve">  </w:t>
      </w:r>
    </w:p>
    <w:p w14:paraId="7F8838EE" w14:textId="77777777" w:rsidR="00E45271" w:rsidRPr="001C761F" w:rsidRDefault="00E45271" w:rsidP="00E45271">
      <w:pPr>
        <w:rPr>
          <w:szCs w:val="22"/>
        </w:rPr>
      </w:pPr>
    </w:p>
    <w:p w14:paraId="25D6CFF5" w14:textId="57946C84" w:rsidR="00E45271" w:rsidRPr="001C761F" w:rsidRDefault="00E45271" w:rsidP="00E45271">
      <w:pPr>
        <w:rPr>
          <w:szCs w:val="22"/>
        </w:rPr>
      </w:pPr>
      <w:r w:rsidRPr="001C761F">
        <w:rPr>
          <w:szCs w:val="22"/>
        </w:rPr>
        <w:t xml:space="preserve">We solicit input on </w:t>
      </w:r>
      <w:r w:rsidR="00DF0A0F">
        <w:rPr>
          <w:szCs w:val="22"/>
        </w:rPr>
        <w:t xml:space="preserve">the </w:t>
      </w:r>
      <w:r w:rsidRPr="001C761F">
        <w:rPr>
          <w:szCs w:val="22"/>
        </w:rPr>
        <w:t xml:space="preserve">visibility </w:t>
      </w:r>
      <w:r w:rsidR="00DF0A0F">
        <w:rPr>
          <w:szCs w:val="22"/>
        </w:rPr>
        <w:t xml:space="preserve">restrictions that should be adopted </w:t>
      </w:r>
      <w:r w:rsidR="00DD282C" w:rsidRPr="001C761F">
        <w:rPr>
          <w:szCs w:val="22"/>
        </w:rPr>
        <w:t xml:space="preserve">for </w:t>
      </w:r>
      <w:r w:rsidR="00E903A0">
        <w:rPr>
          <w:szCs w:val="22"/>
        </w:rPr>
        <w:t>any</w:t>
      </w:r>
      <w:r w:rsidR="00DF0A0F">
        <w:rPr>
          <w:szCs w:val="22"/>
        </w:rPr>
        <w:t xml:space="preserve"> exclusion</w:t>
      </w:r>
      <w:r w:rsidR="0058605D">
        <w:rPr>
          <w:szCs w:val="22"/>
        </w:rPr>
        <w:t xml:space="preserve"> for small facility deployments on historic properties or in or near historic districts.</w:t>
      </w:r>
      <w:r w:rsidR="00F94227">
        <w:rPr>
          <w:szCs w:val="22"/>
        </w:rPr>
        <w:t xml:space="preserve">  </w:t>
      </w:r>
      <w:r w:rsidR="0061740D" w:rsidRPr="001C761F">
        <w:rPr>
          <w:szCs w:val="22"/>
        </w:rPr>
        <w:t xml:space="preserve">In addition, we </w:t>
      </w:r>
      <w:r w:rsidR="001C042E">
        <w:rPr>
          <w:szCs w:val="22"/>
        </w:rPr>
        <w:t xml:space="preserve">believe that any </w:t>
      </w:r>
      <w:r w:rsidR="00DD282C" w:rsidRPr="001C761F">
        <w:rPr>
          <w:szCs w:val="22"/>
        </w:rPr>
        <w:t xml:space="preserve">exclusion </w:t>
      </w:r>
      <w:r w:rsidR="001C042E">
        <w:rPr>
          <w:szCs w:val="22"/>
        </w:rPr>
        <w:t>for deployments on historic properties or in or near historic districts sh</w:t>
      </w:r>
      <w:r w:rsidR="00DD282C" w:rsidRPr="001C761F">
        <w:rPr>
          <w:szCs w:val="22"/>
        </w:rPr>
        <w:t xml:space="preserve">ould apply only if the deployment involves </w:t>
      </w:r>
      <w:r w:rsidR="00563338" w:rsidRPr="001C761F">
        <w:rPr>
          <w:szCs w:val="22"/>
        </w:rPr>
        <w:t xml:space="preserve">no </w:t>
      </w:r>
      <w:r w:rsidRPr="001C761F">
        <w:rPr>
          <w:szCs w:val="22"/>
        </w:rPr>
        <w:t>new ground disturbance as defined in the</w:t>
      </w:r>
      <w:r w:rsidR="00E246DB" w:rsidRPr="001C761F">
        <w:rPr>
          <w:szCs w:val="22"/>
        </w:rPr>
        <w:t xml:space="preserve"> </w:t>
      </w:r>
      <w:r w:rsidR="0046357F">
        <w:rPr>
          <w:szCs w:val="22"/>
        </w:rPr>
        <w:t>collocation exclusions a</w:t>
      </w:r>
      <w:r w:rsidR="00E246DB" w:rsidRPr="001C761F">
        <w:rPr>
          <w:szCs w:val="22"/>
        </w:rPr>
        <w:t xml:space="preserve">dopted in the </w:t>
      </w:r>
      <w:r w:rsidR="00E246DB" w:rsidRPr="001C761F">
        <w:rPr>
          <w:i/>
          <w:szCs w:val="22"/>
        </w:rPr>
        <w:t>Infrastructure Report and Order</w:t>
      </w:r>
      <w:r w:rsidRPr="001C761F">
        <w:rPr>
          <w:szCs w:val="22"/>
        </w:rPr>
        <w:t>.</w:t>
      </w:r>
      <w:r w:rsidR="00E246DB" w:rsidRPr="001C761F">
        <w:rPr>
          <w:rStyle w:val="FootnoteReference"/>
          <w:szCs w:val="22"/>
        </w:rPr>
        <w:footnoteReference w:id="48"/>
      </w:r>
      <w:r w:rsidRPr="001C761F">
        <w:rPr>
          <w:szCs w:val="22"/>
        </w:rPr>
        <w:t xml:space="preserve">  </w:t>
      </w:r>
      <w:r w:rsidR="00057EFA">
        <w:rPr>
          <w:szCs w:val="22"/>
        </w:rPr>
        <w:t>As stated above</w:t>
      </w:r>
      <w:r w:rsidR="0061740D" w:rsidRPr="001C761F">
        <w:rPr>
          <w:szCs w:val="22"/>
        </w:rPr>
        <w:t>, w</w:t>
      </w:r>
      <w:r w:rsidRPr="001C761F">
        <w:rPr>
          <w:szCs w:val="22"/>
        </w:rPr>
        <w:t xml:space="preserve">e </w:t>
      </w:r>
      <w:r w:rsidR="00E903A0">
        <w:rPr>
          <w:szCs w:val="22"/>
        </w:rPr>
        <w:t>suggest</w:t>
      </w:r>
      <w:r w:rsidRPr="001C761F">
        <w:rPr>
          <w:szCs w:val="22"/>
        </w:rPr>
        <w:t xml:space="preserve"> that the Secretary of the Interior's </w:t>
      </w:r>
      <w:r w:rsidR="00787003">
        <w:rPr>
          <w:szCs w:val="22"/>
        </w:rPr>
        <w:t>S</w:t>
      </w:r>
      <w:r w:rsidRPr="001C761F">
        <w:rPr>
          <w:szCs w:val="22"/>
        </w:rPr>
        <w:t xml:space="preserve">tandards apply to </w:t>
      </w:r>
      <w:r w:rsidR="00DD282C" w:rsidRPr="001C761F">
        <w:rPr>
          <w:szCs w:val="22"/>
        </w:rPr>
        <w:t xml:space="preserve">any </w:t>
      </w:r>
      <w:r w:rsidRPr="001C761F">
        <w:rPr>
          <w:szCs w:val="22"/>
        </w:rPr>
        <w:t>installation of facilities on historic properties</w:t>
      </w:r>
      <w:r w:rsidR="00DD282C" w:rsidRPr="001C761F">
        <w:rPr>
          <w:szCs w:val="22"/>
        </w:rPr>
        <w:t xml:space="preserve"> under this </w:t>
      </w:r>
      <w:r w:rsidR="0061740D" w:rsidRPr="001C761F">
        <w:rPr>
          <w:szCs w:val="22"/>
        </w:rPr>
        <w:t>exclusion</w:t>
      </w:r>
      <w:r w:rsidRPr="001C761F">
        <w:rPr>
          <w:szCs w:val="22"/>
        </w:rPr>
        <w:t xml:space="preserve">.  We solicit input on whether there are any other guidelines that should </w:t>
      </w:r>
      <w:r w:rsidR="003E5944" w:rsidRPr="001C761F">
        <w:rPr>
          <w:szCs w:val="22"/>
        </w:rPr>
        <w:t>apply.</w:t>
      </w:r>
      <w:r w:rsidRPr="001C761F">
        <w:rPr>
          <w:szCs w:val="22"/>
        </w:rPr>
        <w:t xml:space="preserve">  Should th</w:t>
      </w:r>
      <w:r w:rsidR="00DD282C" w:rsidRPr="001C761F">
        <w:rPr>
          <w:szCs w:val="22"/>
        </w:rPr>
        <w:t xml:space="preserve">is </w:t>
      </w:r>
      <w:r w:rsidR="008C3495">
        <w:rPr>
          <w:szCs w:val="22"/>
        </w:rPr>
        <w:t>exclusion</w:t>
      </w:r>
      <w:r w:rsidR="00DD282C" w:rsidRPr="001C761F">
        <w:rPr>
          <w:szCs w:val="22"/>
        </w:rPr>
        <w:t xml:space="preserve"> include a requirement that </w:t>
      </w:r>
      <w:r w:rsidRPr="001C761F">
        <w:rPr>
          <w:szCs w:val="22"/>
        </w:rPr>
        <w:t xml:space="preserve">any installation of equipment on historic properties not harm original historic materials or their replacements-in-kind?  Should it prohibit any anchoring of antennas or associated equipment on the historic materials of the property or their replacements-in-kind?  We solicit input as to whether </w:t>
      </w:r>
      <w:r w:rsidR="00DD282C" w:rsidRPr="001C761F">
        <w:rPr>
          <w:szCs w:val="22"/>
        </w:rPr>
        <w:t xml:space="preserve">we should consider </w:t>
      </w:r>
      <w:r w:rsidRPr="001C761F">
        <w:rPr>
          <w:szCs w:val="22"/>
        </w:rPr>
        <w:t xml:space="preserve">any other provisions to minimize the potential for adverse effects on historic properties </w:t>
      </w:r>
      <w:r w:rsidR="008C3495">
        <w:rPr>
          <w:szCs w:val="22"/>
        </w:rPr>
        <w:t>for the purpose of this proposed exclusion</w:t>
      </w:r>
      <w:r w:rsidR="00DD282C" w:rsidRPr="001C761F">
        <w:rPr>
          <w:szCs w:val="22"/>
        </w:rPr>
        <w:t>.</w:t>
      </w:r>
      <w:r w:rsidRPr="001C761F">
        <w:rPr>
          <w:szCs w:val="22"/>
        </w:rPr>
        <w:t xml:space="preserve">  </w:t>
      </w:r>
    </w:p>
    <w:p w14:paraId="3CF4B336" w14:textId="77777777" w:rsidR="00E45271" w:rsidRPr="001C761F" w:rsidRDefault="00E45271" w:rsidP="00E45271">
      <w:pPr>
        <w:rPr>
          <w:i/>
          <w:szCs w:val="22"/>
        </w:rPr>
      </w:pPr>
    </w:p>
    <w:p w14:paraId="128BE3DB" w14:textId="77777777" w:rsidR="00E45271" w:rsidRPr="001C761F" w:rsidRDefault="00E45271" w:rsidP="000B1126">
      <w:pPr>
        <w:widowControl w:val="0"/>
        <w:rPr>
          <w:szCs w:val="22"/>
        </w:rPr>
      </w:pPr>
      <w:r w:rsidRPr="001C761F">
        <w:rPr>
          <w:i/>
          <w:szCs w:val="22"/>
          <w:u w:val="single"/>
        </w:rPr>
        <w:t>Additional Deployments on Historic Properties or in or near Historic Districts</w:t>
      </w:r>
      <w:r w:rsidRPr="001C761F">
        <w:rPr>
          <w:szCs w:val="22"/>
        </w:rPr>
        <w:t xml:space="preserve">.  We solicit input on whether to amend the Collocation Agreement to exclude from Section 106 review the deployment of small facilities </w:t>
      </w:r>
      <w:r w:rsidR="00756040" w:rsidRPr="001C761F">
        <w:rPr>
          <w:szCs w:val="22"/>
        </w:rPr>
        <w:t xml:space="preserve">even where they are </w:t>
      </w:r>
      <w:r w:rsidRPr="001C761F">
        <w:rPr>
          <w:szCs w:val="22"/>
        </w:rPr>
        <w:t xml:space="preserve">visible and on historic properties or in or near historic districts, </w:t>
      </w:r>
      <w:r w:rsidR="00F436D4" w:rsidRPr="001C761F">
        <w:rPr>
          <w:szCs w:val="22"/>
        </w:rPr>
        <w:t xml:space="preserve">in limited circumstances and subject to </w:t>
      </w:r>
      <w:r w:rsidR="008C3495">
        <w:rPr>
          <w:szCs w:val="22"/>
        </w:rPr>
        <w:t xml:space="preserve">specified </w:t>
      </w:r>
      <w:r w:rsidR="00756040" w:rsidRPr="001C761F">
        <w:rPr>
          <w:szCs w:val="22"/>
        </w:rPr>
        <w:t>criteria</w:t>
      </w:r>
      <w:r w:rsidRPr="001C761F">
        <w:rPr>
          <w:szCs w:val="22"/>
        </w:rPr>
        <w:t>.  To minimize the potential for adverse effects</w:t>
      </w:r>
      <w:r w:rsidR="00121472" w:rsidRPr="001C761F">
        <w:rPr>
          <w:szCs w:val="22"/>
        </w:rPr>
        <w:t xml:space="preserve"> on historic properties</w:t>
      </w:r>
      <w:r w:rsidRPr="001C761F">
        <w:rPr>
          <w:szCs w:val="22"/>
        </w:rPr>
        <w:t xml:space="preserve">, we anticipate that any such exclusion would be limited to deployments on certain structures (such as utility poles, </w:t>
      </w:r>
      <w:r w:rsidR="00843CCC">
        <w:rPr>
          <w:szCs w:val="22"/>
        </w:rPr>
        <w:t xml:space="preserve">non-historic </w:t>
      </w:r>
      <w:r w:rsidRPr="001C761F">
        <w:rPr>
          <w:szCs w:val="22"/>
        </w:rPr>
        <w:t>light posts, and traffic lights), deployments in certain locations (such as utility or communications rights-of-way), or replacement facilities that meet size limits.</w:t>
      </w:r>
      <w:r w:rsidRPr="001C761F">
        <w:rPr>
          <w:szCs w:val="22"/>
        </w:rPr>
        <w:cr/>
      </w:r>
    </w:p>
    <w:p w14:paraId="1BB0F5BE" w14:textId="5123C113" w:rsidR="00E45271" w:rsidRDefault="00E45271" w:rsidP="00E45271">
      <w:pPr>
        <w:rPr>
          <w:szCs w:val="22"/>
        </w:rPr>
      </w:pPr>
      <w:r w:rsidRPr="001C761F">
        <w:rPr>
          <w:szCs w:val="22"/>
        </w:rPr>
        <w:t xml:space="preserve">We seek input on </w:t>
      </w:r>
      <w:r w:rsidR="00440AA2">
        <w:rPr>
          <w:szCs w:val="22"/>
        </w:rPr>
        <w:t xml:space="preserve">whether small facilities collocated on certain structures, including utility poles, </w:t>
      </w:r>
      <w:r w:rsidR="00D05A2C">
        <w:rPr>
          <w:szCs w:val="22"/>
        </w:rPr>
        <w:t xml:space="preserve">light posts, </w:t>
      </w:r>
      <w:r w:rsidR="00440AA2">
        <w:rPr>
          <w:szCs w:val="22"/>
        </w:rPr>
        <w:t>street lamps, and traffic lights</w:t>
      </w:r>
      <w:r w:rsidR="00E903A0">
        <w:rPr>
          <w:szCs w:val="22"/>
        </w:rPr>
        <w:t>,</w:t>
      </w:r>
      <w:r w:rsidR="00440AA2">
        <w:rPr>
          <w:szCs w:val="22"/>
        </w:rPr>
        <w:t xml:space="preserve"> located in or near historic districts should be excluded from Section 106 review.  Should such </w:t>
      </w:r>
      <w:r w:rsidR="00D05A2C">
        <w:rPr>
          <w:szCs w:val="22"/>
        </w:rPr>
        <w:t>exclusion</w:t>
      </w:r>
      <w:r w:rsidR="00440AA2">
        <w:rPr>
          <w:szCs w:val="22"/>
        </w:rPr>
        <w:t xml:space="preserve"> be limited to </w:t>
      </w:r>
      <w:r w:rsidRPr="001C761F">
        <w:rPr>
          <w:szCs w:val="22"/>
        </w:rPr>
        <w:t>utility poles</w:t>
      </w:r>
      <w:r w:rsidR="00440AA2">
        <w:rPr>
          <w:szCs w:val="22"/>
        </w:rPr>
        <w:t xml:space="preserve"> as </w:t>
      </w:r>
      <w:r w:rsidRPr="001C761F">
        <w:rPr>
          <w:szCs w:val="22"/>
        </w:rPr>
        <w:t xml:space="preserve">defined </w:t>
      </w:r>
      <w:r w:rsidR="00440AA2">
        <w:rPr>
          <w:szCs w:val="22"/>
        </w:rPr>
        <w:t>in</w:t>
      </w:r>
      <w:r w:rsidRPr="001C761F">
        <w:rPr>
          <w:szCs w:val="22"/>
        </w:rPr>
        <w:t xml:space="preserve"> the </w:t>
      </w:r>
      <w:r w:rsidRPr="001C761F">
        <w:rPr>
          <w:i/>
          <w:szCs w:val="22"/>
        </w:rPr>
        <w:t xml:space="preserve">Infrastructure Report and </w:t>
      </w:r>
      <w:r w:rsidR="00D05A2C" w:rsidRPr="001C761F">
        <w:rPr>
          <w:i/>
          <w:szCs w:val="22"/>
        </w:rPr>
        <w:t>Order</w:t>
      </w:r>
      <w:r w:rsidR="00D05A2C">
        <w:rPr>
          <w:szCs w:val="22"/>
        </w:rPr>
        <w:t>?</w:t>
      </w:r>
      <w:r w:rsidR="008D14C6">
        <w:rPr>
          <w:szCs w:val="22"/>
        </w:rPr>
        <w:t xml:space="preserve"> </w:t>
      </w:r>
      <w:r w:rsidRPr="001C761F">
        <w:rPr>
          <w:szCs w:val="22"/>
        </w:rPr>
        <w:t xml:space="preserve"> </w:t>
      </w:r>
      <w:r w:rsidR="00654CC9">
        <w:rPr>
          <w:szCs w:val="22"/>
        </w:rPr>
        <w:t>That order</w:t>
      </w:r>
      <w:r w:rsidRPr="001C761F">
        <w:rPr>
          <w:szCs w:val="22"/>
        </w:rPr>
        <w:t xml:space="preserve"> defines utility pole as a pole that is in</w:t>
      </w:r>
      <w:r w:rsidR="00D504AF" w:rsidRPr="001C761F">
        <w:rPr>
          <w:szCs w:val="22"/>
        </w:rPr>
        <w:t xml:space="preserve"> </w:t>
      </w:r>
      <w:r w:rsidRPr="001C761F">
        <w:rPr>
          <w:szCs w:val="22"/>
        </w:rPr>
        <w:t>active use by a “utility” as defined in Section 224 of the Communications Act, but not including light poles, lamp posts, and other structures whose primary purpose is to provide public lighting</w:t>
      </w:r>
      <w:r w:rsidR="00D05A2C">
        <w:rPr>
          <w:szCs w:val="22"/>
        </w:rPr>
        <w:t>.</w:t>
      </w:r>
      <w:r w:rsidR="002E51CD">
        <w:rPr>
          <w:szCs w:val="22"/>
        </w:rPr>
        <w:t xml:space="preserve"> </w:t>
      </w:r>
      <w:r w:rsidR="00BE21EC">
        <w:rPr>
          <w:szCs w:val="22"/>
        </w:rPr>
        <w:t xml:space="preserve"> </w:t>
      </w:r>
      <w:r w:rsidR="006F3152">
        <w:rPr>
          <w:szCs w:val="22"/>
        </w:rPr>
        <w:t>We seek input as to whether light posts and street lamps located in historic districts</w:t>
      </w:r>
      <w:r w:rsidR="00FD35CE">
        <w:rPr>
          <w:szCs w:val="22"/>
        </w:rPr>
        <w:t xml:space="preserve"> should</w:t>
      </w:r>
      <w:r w:rsidR="00E903A0">
        <w:rPr>
          <w:szCs w:val="22"/>
        </w:rPr>
        <w:t xml:space="preserve"> also</w:t>
      </w:r>
      <w:r w:rsidR="00FD35CE">
        <w:rPr>
          <w:szCs w:val="22"/>
        </w:rPr>
        <w:t xml:space="preserve"> be excluded from Section 106 review under certain conditions.  </w:t>
      </w:r>
      <w:r w:rsidR="006F3152">
        <w:rPr>
          <w:szCs w:val="22"/>
        </w:rPr>
        <w:t xml:space="preserve">We recognize that an exclusion for light posts and street lamps in historic districts </w:t>
      </w:r>
      <w:r w:rsidR="004B2A02">
        <w:rPr>
          <w:szCs w:val="22"/>
        </w:rPr>
        <w:t>may be</w:t>
      </w:r>
      <w:r w:rsidR="00FD35CE">
        <w:rPr>
          <w:szCs w:val="22"/>
        </w:rPr>
        <w:t xml:space="preserve"> of </w:t>
      </w:r>
      <w:r w:rsidR="006F3152">
        <w:rPr>
          <w:szCs w:val="22"/>
        </w:rPr>
        <w:t>concern</w:t>
      </w:r>
      <w:r w:rsidR="00FD35CE">
        <w:rPr>
          <w:szCs w:val="22"/>
        </w:rPr>
        <w:t xml:space="preserve"> in cases where</w:t>
      </w:r>
      <w:r w:rsidR="006F3152" w:rsidRPr="006F3152">
        <w:rPr>
          <w:szCs w:val="22"/>
        </w:rPr>
        <w:t xml:space="preserve"> they are integral to the character of the historic district or are themselves considered historic properties or eligible to be historic properties.  </w:t>
      </w:r>
      <w:r w:rsidR="00D05A2C">
        <w:rPr>
          <w:szCs w:val="22"/>
        </w:rPr>
        <w:t xml:space="preserve">Are there </w:t>
      </w:r>
      <w:r w:rsidR="003110CC">
        <w:rPr>
          <w:szCs w:val="22"/>
        </w:rPr>
        <w:t xml:space="preserve">conditions under which deployments on </w:t>
      </w:r>
      <w:r w:rsidRPr="001C761F">
        <w:rPr>
          <w:szCs w:val="22"/>
        </w:rPr>
        <w:t>light posts</w:t>
      </w:r>
      <w:r w:rsidR="003110CC">
        <w:rPr>
          <w:szCs w:val="22"/>
        </w:rPr>
        <w:t xml:space="preserve"> or</w:t>
      </w:r>
      <w:r w:rsidRPr="001C761F">
        <w:rPr>
          <w:szCs w:val="22"/>
        </w:rPr>
        <w:t xml:space="preserve"> </w:t>
      </w:r>
      <w:r w:rsidR="00E611CD">
        <w:rPr>
          <w:szCs w:val="22"/>
        </w:rPr>
        <w:t xml:space="preserve">street lamps </w:t>
      </w:r>
      <w:r w:rsidR="003110CC">
        <w:rPr>
          <w:szCs w:val="22"/>
        </w:rPr>
        <w:t xml:space="preserve">might </w:t>
      </w:r>
      <w:r w:rsidR="004B2A02">
        <w:rPr>
          <w:szCs w:val="22"/>
        </w:rPr>
        <w:t>appropriately be excluded even</w:t>
      </w:r>
      <w:r w:rsidR="00E611CD">
        <w:rPr>
          <w:szCs w:val="22"/>
        </w:rPr>
        <w:t xml:space="preserve"> when located in or near historic districts?</w:t>
      </w:r>
      <w:r w:rsidR="00BE21EC">
        <w:rPr>
          <w:szCs w:val="22"/>
        </w:rPr>
        <w:t xml:space="preserve"> </w:t>
      </w:r>
      <w:r w:rsidR="008D14C6">
        <w:rPr>
          <w:szCs w:val="22"/>
        </w:rPr>
        <w:t xml:space="preserve"> </w:t>
      </w:r>
      <w:r w:rsidRPr="001C761F">
        <w:rPr>
          <w:szCs w:val="22"/>
        </w:rPr>
        <w:t xml:space="preserve">If so, </w:t>
      </w:r>
      <w:r w:rsidR="00BE21EC">
        <w:rPr>
          <w:szCs w:val="22"/>
        </w:rPr>
        <w:t>can the</w:t>
      </w:r>
      <w:r w:rsidR="003110CC">
        <w:rPr>
          <w:szCs w:val="22"/>
        </w:rPr>
        <w:t>se</w:t>
      </w:r>
      <w:r w:rsidR="00BE21EC">
        <w:rPr>
          <w:szCs w:val="22"/>
        </w:rPr>
        <w:t xml:space="preserve"> </w:t>
      </w:r>
      <w:r w:rsidRPr="001C761F">
        <w:rPr>
          <w:szCs w:val="22"/>
        </w:rPr>
        <w:t xml:space="preserve">be </w:t>
      </w:r>
      <w:r w:rsidR="00BE21EC">
        <w:rPr>
          <w:szCs w:val="22"/>
        </w:rPr>
        <w:t xml:space="preserve">clearly </w:t>
      </w:r>
      <w:r w:rsidR="003110CC">
        <w:rPr>
          <w:szCs w:val="22"/>
        </w:rPr>
        <w:t xml:space="preserve">enough </w:t>
      </w:r>
      <w:r w:rsidRPr="001C761F">
        <w:rPr>
          <w:szCs w:val="22"/>
        </w:rPr>
        <w:t>defined</w:t>
      </w:r>
      <w:r w:rsidR="00BE21EC">
        <w:rPr>
          <w:szCs w:val="22"/>
        </w:rPr>
        <w:t xml:space="preserve"> </w:t>
      </w:r>
      <w:r w:rsidR="004B2A02">
        <w:rPr>
          <w:szCs w:val="22"/>
        </w:rPr>
        <w:t>so that project proponents can objectively and accurately determine their applicability</w:t>
      </w:r>
      <w:r w:rsidR="00654CC9">
        <w:rPr>
          <w:szCs w:val="22"/>
        </w:rPr>
        <w:t>?</w:t>
      </w:r>
      <w:r w:rsidR="002E51CD">
        <w:rPr>
          <w:szCs w:val="22"/>
        </w:rPr>
        <w:t xml:space="preserve"> </w:t>
      </w:r>
      <w:r w:rsidR="00611EC5">
        <w:rPr>
          <w:szCs w:val="22"/>
        </w:rPr>
        <w:t xml:space="preserve"> </w:t>
      </w:r>
      <w:r w:rsidR="002E51CD">
        <w:rPr>
          <w:szCs w:val="22"/>
        </w:rPr>
        <w:t xml:space="preserve">What about traffic lights?  </w:t>
      </w:r>
      <w:r w:rsidR="003110CC">
        <w:rPr>
          <w:szCs w:val="22"/>
        </w:rPr>
        <w:t xml:space="preserve">What considerations affect the potential to exclude </w:t>
      </w:r>
      <w:r w:rsidR="002E51CD">
        <w:rPr>
          <w:szCs w:val="22"/>
        </w:rPr>
        <w:t>collocations on traffic lights in or near historic districts</w:t>
      </w:r>
      <w:r w:rsidRPr="001C761F">
        <w:rPr>
          <w:szCs w:val="22"/>
        </w:rPr>
        <w:t xml:space="preserve">?   </w:t>
      </w:r>
    </w:p>
    <w:p w14:paraId="6ED041CD" w14:textId="77777777" w:rsidR="00332814" w:rsidRDefault="00332814" w:rsidP="00E45271">
      <w:pPr>
        <w:rPr>
          <w:szCs w:val="22"/>
        </w:rPr>
      </w:pPr>
    </w:p>
    <w:p w14:paraId="46795620" w14:textId="77777777" w:rsidR="00E45271" w:rsidRPr="001C761F" w:rsidRDefault="00E45271" w:rsidP="00E45271">
      <w:pPr>
        <w:rPr>
          <w:szCs w:val="22"/>
        </w:rPr>
      </w:pPr>
      <w:r w:rsidRPr="001C761F">
        <w:rPr>
          <w:szCs w:val="22"/>
        </w:rPr>
        <w:t xml:space="preserve">In addition or as an alternative, we solicit input as to whether </w:t>
      </w:r>
      <w:r w:rsidR="00FD35CE">
        <w:rPr>
          <w:szCs w:val="22"/>
        </w:rPr>
        <w:t xml:space="preserve">historic districts </w:t>
      </w:r>
      <w:r w:rsidR="00D56305">
        <w:rPr>
          <w:szCs w:val="22"/>
        </w:rPr>
        <w:t xml:space="preserve">contain certain </w:t>
      </w:r>
      <w:r w:rsidR="005553DA">
        <w:rPr>
          <w:szCs w:val="22"/>
        </w:rPr>
        <w:t xml:space="preserve">locations within which </w:t>
      </w:r>
      <w:r w:rsidR="00654CC9">
        <w:rPr>
          <w:szCs w:val="22"/>
        </w:rPr>
        <w:t>small facility deployments</w:t>
      </w:r>
      <w:r w:rsidRPr="001C761F">
        <w:rPr>
          <w:szCs w:val="22"/>
        </w:rPr>
        <w:t xml:space="preserve"> </w:t>
      </w:r>
      <w:r w:rsidR="00D56305">
        <w:rPr>
          <w:szCs w:val="22"/>
        </w:rPr>
        <w:t xml:space="preserve">should </w:t>
      </w:r>
      <w:r w:rsidR="005553DA">
        <w:rPr>
          <w:szCs w:val="22"/>
        </w:rPr>
        <w:t xml:space="preserve">always </w:t>
      </w:r>
      <w:r w:rsidR="00D56305">
        <w:rPr>
          <w:szCs w:val="22"/>
        </w:rPr>
        <w:t xml:space="preserve">be </w:t>
      </w:r>
      <w:r w:rsidR="005553DA">
        <w:rPr>
          <w:szCs w:val="22"/>
        </w:rPr>
        <w:t xml:space="preserve">excluded, </w:t>
      </w:r>
      <w:r w:rsidRPr="001C761F">
        <w:rPr>
          <w:szCs w:val="22"/>
        </w:rPr>
        <w:t>such as utility or communications rights</w:t>
      </w:r>
      <w:r w:rsidR="00121472" w:rsidRPr="001C761F">
        <w:rPr>
          <w:szCs w:val="22"/>
        </w:rPr>
        <w:t>-</w:t>
      </w:r>
      <w:r w:rsidRPr="001C761F">
        <w:rPr>
          <w:szCs w:val="22"/>
        </w:rPr>
        <w:t>of</w:t>
      </w:r>
      <w:r w:rsidR="00121472" w:rsidRPr="001C761F">
        <w:rPr>
          <w:szCs w:val="22"/>
        </w:rPr>
        <w:t>-</w:t>
      </w:r>
      <w:r w:rsidRPr="001C761F">
        <w:rPr>
          <w:szCs w:val="22"/>
        </w:rPr>
        <w:t xml:space="preserve">way. </w:t>
      </w:r>
      <w:r w:rsidR="00583935">
        <w:rPr>
          <w:szCs w:val="22"/>
        </w:rPr>
        <w:t xml:space="preserve"> </w:t>
      </w:r>
      <w:r w:rsidRPr="001C761F">
        <w:rPr>
          <w:szCs w:val="22"/>
        </w:rPr>
        <w:t>We seek input as to how rights</w:t>
      </w:r>
      <w:r w:rsidR="00121472" w:rsidRPr="001C761F">
        <w:rPr>
          <w:szCs w:val="22"/>
        </w:rPr>
        <w:t>-</w:t>
      </w:r>
      <w:r w:rsidRPr="001C761F">
        <w:rPr>
          <w:szCs w:val="22"/>
        </w:rPr>
        <w:t>of</w:t>
      </w:r>
      <w:r w:rsidR="00121472" w:rsidRPr="001C761F">
        <w:rPr>
          <w:szCs w:val="22"/>
        </w:rPr>
        <w:t>-</w:t>
      </w:r>
      <w:r w:rsidRPr="001C761F">
        <w:rPr>
          <w:szCs w:val="22"/>
        </w:rPr>
        <w:t>way should be defined.  Should we incorporate the NPA requirements that</w:t>
      </w:r>
      <w:r w:rsidR="00BB788A">
        <w:rPr>
          <w:szCs w:val="22"/>
        </w:rPr>
        <w:t>:</w:t>
      </w:r>
      <w:r w:rsidRPr="001C761F">
        <w:rPr>
          <w:szCs w:val="22"/>
        </w:rPr>
        <w:t xml:space="preserve"> </w:t>
      </w:r>
      <w:r w:rsidR="009D599C">
        <w:rPr>
          <w:szCs w:val="22"/>
        </w:rPr>
        <w:t xml:space="preserve">(1) </w:t>
      </w:r>
      <w:r w:rsidRPr="001C761F">
        <w:rPr>
          <w:szCs w:val="22"/>
        </w:rPr>
        <w:t>the right</w:t>
      </w:r>
      <w:r w:rsidR="00BA62C3" w:rsidRPr="001C761F">
        <w:rPr>
          <w:szCs w:val="22"/>
        </w:rPr>
        <w:t>-</w:t>
      </w:r>
      <w:r w:rsidRPr="001C761F">
        <w:rPr>
          <w:szCs w:val="22"/>
        </w:rPr>
        <w:t>of</w:t>
      </w:r>
      <w:r w:rsidR="00BA62C3" w:rsidRPr="001C761F">
        <w:rPr>
          <w:szCs w:val="22"/>
        </w:rPr>
        <w:t>-</w:t>
      </w:r>
      <w:r w:rsidRPr="001C761F">
        <w:rPr>
          <w:szCs w:val="22"/>
        </w:rPr>
        <w:t xml:space="preserve">way must be designated by a </w:t>
      </w:r>
      <w:r w:rsidR="0086662C" w:rsidRPr="001C761F">
        <w:rPr>
          <w:szCs w:val="22"/>
        </w:rPr>
        <w:t>f</w:t>
      </w:r>
      <w:r w:rsidRPr="001C761F">
        <w:rPr>
          <w:szCs w:val="22"/>
        </w:rPr>
        <w:t>ederal, State, local, or Tribal government for communications towers, above-ground utility transmission or distribution lines, or any associated structures and equipment; (2) the right-of-way is in active use for such designated purposes; and (3) the facility will not constitute a substantial increase in size over existing support structures that are located in the right-of-way within the vicinity of the proposed construction?</w:t>
      </w:r>
      <w:r w:rsidRPr="001C761F">
        <w:rPr>
          <w:szCs w:val="22"/>
          <w:vertAlign w:val="superscript"/>
        </w:rPr>
        <w:footnoteReference w:id="49"/>
      </w:r>
      <w:r w:rsidRPr="001C761F">
        <w:rPr>
          <w:szCs w:val="22"/>
        </w:rPr>
        <w:t xml:space="preserve">  </w:t>
      </w:r>
      <w:r w:rsidR="00BF6BDC" w:rsidRPr="001C761F">
        <w:rPr>
          <w:szCs w:val="22"/>
        </w:rPr>
        <w:t>Sh</w:t>
      </w:r>
      <w:r w:rsidRPr="001C761F">
        <w:rPr>
          <w:szCs w:val="22"/>
        </w:rPr>
        <w:t xml:space="preserve">ould </w:t>
      </w:r>
      <w:r w:rsidR="00BA62C3" w:rsidRPr="001C761F">
        <w:rPr>
          <w:szCs w:val="22"/>
        </w:rPr>
        <w:t xml:space="preserve">we require that the collocation be </w:t>
      </w:r>
      <w:r w:rsidRPr="001C761F">
        <w:rPr>
          <w:szCs w:val="22"/>
        </w:rPr>
        <w:t>within the boundaries of the right</w:t>
      </w:r>
      <w:r w:rsidR="00BA62C3" w:rsidRPr="001C761F">
        <w:rPr>
          <w:szCs w:val="22"/>
        </w:rPr>
        <w:t>-</w:t>
      </w:r>
      <w:r w:rsidRPr="001C761F">
        <w:rPr>
          <w:szCs w:val="22"/>
        </w:rPr>
        <w:t>of</w:t>
      </w:r>
      <w:r w:rsidR="00BA62C3" w:rsidRPr="001C761F">
        <w:rPr>
          <w:szCs w:val="22"/>
        </w:rPr>
        <w:t>-</w:t>
      </w:r>
      <w:r w:rsidRPr="001C761F">
        <w:rPr>
          <w:szCs w:val="22"/>
        </w:rPr>
        <w:t>way</w:t>
      </w:r>
      <w:r w:rsidR="00BA62C3" w:rsidRPr="001C761F">
        <w:rPr>
          <w:szCs w:val="22"/>
        </w:rPr>
        <w:t>,</w:t>
      </w:r>
      <w:r w:rsidRPr="001C761F">
        <w:rPr>
          <w:szCs w:val="22"/>
        </w:rPr>
        <w:t xml:space="preserve"> or should we include collocations that are within a </w:t>
      </w:r>
      <w:r w:rsidR="003E5944" w:rsidRPr="001C761F">
        <w:rPr>
          <w:szCs w:val="22"/>
        </w:rPr>
        <w:t xml:space="preserve">stated </w:t>
      </w:r>
      <w:r w:rsidRPr="001C761F">
        <w:rPr>
          <w:szCs w:val="22"/>
        </w:rPr>
        <w:t xml:space="preserve">distance of </w:t>
      </w:r>
      <w:r w:rsidR="00BF6BDC" w:rsidRPr="001C761F">
        <w:rPr>
          <w:szCs w:val="22"/>
        </w:rPr>
        <w:t>a</w:t>
      </w:r>
      <w:r w:rsidRPr="001C761F">
        <w:rPr>
          <w:szCs w:val="22"/>
        </w:rPr>
        <w:t xml:space="preserve"> right</w:t>
      </w:r>
      <w:r w:rsidR="00BA62C3" w:rsidRPr="001C761F">
        <w:rPr>
          <w:szCs w:val="22"/>
        </w:rPr>
        <w:t>-</w:t>
      </w:r>
      <w:r w:rsidRPr="001C761F">
        <w:rPr>
          <w:szCs w:val="22"/>
        </w:rPr>
        <w:t>of</w:t>
      </w:r>
      <w:r w:rsidR="00BA62C3" w:rsidRPr="001C761F">
        <w:rPr>
          <w:szCs w:val="22"/>
        </w:rPr>
        <w:t>-</w:t>
      </w:r>
      <w:r w:rsidRPr="001C761F">
        <w:rPr>
          <w:szCs w:val="22"/>
        </w:rPr>
        <w:t>way</w:t>
      </w:r>
      <w:r w:rsidR="003E5944" w:rsidRPr="001C761F">
        <w:rPr>
          <w:szCs w:val="22"/>
        </w:rPr>
        <w:t>?  F</w:t>
      </w:r>
      <w:r w:rsidRPr="001C761F">
        <w:rPr>
          <w:szCs w:val="22"/>
        </w:rPr>
        <w:t xml:space="preserve">or example, </w:t>
      </w:r>
      <w:r w:rsidR="003E5944" w:rsidRPr="001C761F">
        <w:rPr>
          <w:szCs w:val="22"/>
        </w:rPr>
        <w:t xml:space="preserve">Section III.E of the NPA provides an exclusion from Section 106 review for construction of a facility in or within 50 feet of </w:t>
      </w:r>
      <w:r w:rsidRPr="001C761F">
        <w:rPr>
          <w:szCs w:val="22"/>
        </w:rPr>
        <w:t>a communications or utility right-of-way</w:t>
      </w:r>
      <w:r w:rsidR="003E5944" w:rsidRPr="001C761F">
        <w:rPr>
          <w:szCs w:val="22"/>
        </w:rPr>
        <w:t>.</w:t>
      </w:r>
    </w:p>
    <w:p w14:paraId="37E9DED2" w14:textId="77777777" w:rsidR="00E45271" w:rsidRPr="001C761F" w:rsidRDefault="00E45271" w:rsidP="00E45271">
      <w:pPr>
        <w:rPr>
          <w:szCs w:val="22"/>
        </w:rPr>
      </w:pPr>
    </w:p>
    <w:p w14:paraId="2215E5EC" w14:textId="77777777" w:rsidR="00E45271" w:rsidRPr="001C761F" w:rsidRDefault="00E45271" w:rsidP="00E45271">
      <w:pPr>
        <w:rPr>
          <w:szCs w:val="22"/>
        </w:rPr>
      </w:pPr>
      <w:r w:rsidRPr="001C761F">
        <w:rPr>
          <w:szCs w:val="22"/>
        </w:rPr>
        <w:t xml:space="preserve">Finally, we solicit input as to whether </w:t>
      </w:r>
      <w:r w:rsidR="003E5944" w:rsidRPr="001C761F">
        <w:rPr>
          <w:szCs w:val="22"/>
        </w:rPr>
        <w:t>replacement</w:t>
      </w:r>
      <w:r w:rsidR="004B2A02">
        <w:rPr>
          <w:szCs w:val="22"/>
        </w:rPr>
        <w:t>s</w:t>
      </w:r>
      <w:r w:rsidR="0032288F">
        <w:rPr>
          <w:szCs w:val="22"/>
        </w:rPr>
        <w:t xml:space="preserve"> of </w:t>
      </w:r>
      <w:r w:rsidR="003E5944" w:rsidRPr="001C761F">
        <w:rPr>
          <w:szCs w:val="22"/>
        </w:rPr>
        <w:t xml:space="preserve">facilities </w:t>
      </w:r>
      <w:r w:rsidR="0032288F">
        <w:rPr>
          <w:szCs w:val="22"/>
        </w:rPr>
        <w:t xml:space="preserve">in historic districts </w:t>
      </w:r>
      <w:r w:rsidR="005553DA">
        <w:rPr>
          <w:szCs w:val="22"/>
        </w:rPr>
        <w:t xml:space="preserve">should be excluded </w:t>
      </w:r>
      <w:r w:rsidRPr="001C761F">
        <w:rPr>
          <w:szCs w:val="22"/>
        </w:rPr>
        <w:t>from Section 106 review</w:t>
      </w:r>
      <w:r w:rsidR="005553DA">
        <w:rPr>
          <w:szCs w:val="22"/>
        </w:rPr>
        <w:t xml:space="preserve">, and if so, </w:t>
      </w:r>
      <w:r w:rsidRPr="001C761F">
        <w:rPr>
          <w:szCs w:val="22"/>
        </w:rPr>
        <w:t xml:space="preserve">how we should define replacement facilities.  Would </w:t>
      </w:r>
      <w:r w:rsidR="005553DA">
        <w:rPr>
          <w:szCs w:val="22"/>
        </w:rPr>
        <w:t xml:space="preserve">this be limited to replacement “in kind” or would </w:t>
      </w:r>
      <w:r w:rsidRPr="001C761F">
        <w:rPr>
          <w:szCs w:val="22"/>
        </w:rPr>
        <w:t>it be sufficient to require that such replacement facilities not constitute a substantial increase in size</w:t>
      </w:r>
      <w:r w:rsidR="00BA62C3" w:rsidRPr="001C761F">
        <w:rPr>
          <w:szCs w:val="22"/>
        </w:rPr>
        <w:t>,</w:t>
      </w:r>
      <w:r w:rsidRPr="001C761F">
        <w:rPr>
          <w:szCs w:val="22"/>
        </w:rPr>
        <w:t xml:space="preserve"> as set forth in the Collocation Agreement?</w:t>
      </w:r>
      <w:r w:rsidRPr="001C761F">
        <w:rPr>
          <w:szCs w:val="22"/>
          <w:vertAlign w:val="superscript"/>
        </w:rPr>
        <w:footnoteReference w:id="50"/>
      </w:r>
      <w:r w:rsidRPr="001C761F">
        <w:rPr>
          <w:szCs w:val="22"/>
        </w:rPr>
        <w:t xml:space="preserve">  Under these criteria, a deployment would result in a substantial increase in size if it would: (1) exceed the height of existing support structures that are located in the right-of-way within the vicinity of the proposed construction</w:t>
      </w:r>
      <w:r w:rsidRPr="001C761F" w:rsidDel="00155FB8">
        <w:rPr>
          <w:szCs w:val="22"/>
        </w:rPr>
        <w:t xml:space="preserve"> </w:t>
      </w:r>
      <w:r w:rsidRPr="001C761F">
        <w:rPr>
          <w:szCs w:val="22"/>
        </w:rPr>
        <w:t xml:space="preserve">by more than 10% or twenty feet, whichever is greater; (2) involve the installation of more than four new equipment cabinets or more than one new equipment shelter; (3) add an appurtenance to the body of the structure that would protrude from the edge of the structure more than twenty feet, or more than the width of the structure at the level of the appurtenance, whichever is greater (except that the deployment may exceed this size limit if necessary to shelter the antenna from inclement weather or to connect the antenna to the tower via cable); or (4) involve excavation outside the current site, defined as the area that is within the boundaries of the leased or owned property surrounding the deployment or that is in proximity to the structure and within the boundaries of the utility easement on which the facility is to be deployed, whichever is more restrictive.  We invite input on whether these criteria </w:t>
      </w:r>
      <w:r w:rsidR="00BA62C3" w:rsidRPr="001C761F">
        <w:rPr>
          <w:szCs w:val="22"/>
        </w:rPr>
        <w:t xml:space="preserve">(or some of them) </w:t>
      </w:r>
      <w:r w:rsidRPr="001C761F">
        <w:rPr>
          <w:szCs w:val="22"/>
        </w:rPr>
        <w:t xml:space="preserve">should </w:t>
      </w:r>
      <w:r w:rsidR="004B2A02">
        <w:rPr>
          <w:szCs w:val="22"/>
        </w:rPr>
        <w:t>apply</w:t>
      </w:r>
      <w:r w:rsidRPr="001C761F">
        <w:rPr>
          <w:szCs w:val="22"/>
        </w:rPr>
        <w:t xml:space="preserve"> to the potential exclusion of replacement facilities for small deployments.  We also seek input on any other criteria that should apply to this exclusion. </w:t>
      </w:r>
    </w:p>
    <w:p w14:paraId="3D225B16" w14:textId="77777777" w:rsidR="00B75F26" w:rsidRPr="001C761F" w:rsidRDefault="00B75F26" w:rsidP="00B75F26">
      <w:pPr>
        <w:rPr>
          <w:szCs w:val="22"/>
        </w:rPr>
      </w:pPr>
    </w:p>
    <w:p w14:paraId="6A0D385A" w14:textId="77777777" w:rsidR="00B75F26" w:rsidRPr="001C761F" w:rsidRDefault="00B75F26" w:rsidP="00B75F26">
      <w:pPr>
        <w:numPr>
          <w:ilvl w:val="0"/>
          <w:numId w:val="17"/>
        </w:numPr>
        <w:jc w:val="both"/>
        <w:rPr>
          <w:b/>
          <w:szCs w:val="22"/>
        </w:rPr>
      </w:pPr>
      <w:r w:rsidRPr="001C761F">
        <w:rPr>
          <w:b/>
          <w:szCs w:val="22"/>
        </w:rPr>
        <w:t>Next Steps and Contact Information</w:t>
      </w:r>
    </w:p>
    <w:p w14:paraId="1837BAFA" w14:textId="77777777" w:rsidR="00B75F26" w:rsidRPr="001C761F" w:rsidRDefault="00B75F26" w:rsidP="00B75F26">
      <w:pPr>
        <w:jc w:val="both"/>
        <w:rPr>
          <w:b/>
          <w:szCs w:val="22"/>
        </w:rPr>
      </w:pPr>
    </w:p>
    <w:p w14:paraId="3D4E77D7" w14:textId="472843FD" w:rsidR="00994DC4" w:rsidRPr="001C761F" w:rsidRDefault="00994DC4" w:rsidP="00994DC4">
      <w:pPr>
        <w:rPr>
          <w:szCs w:val="22"/>
        </w:rPr>
      </w:pPr>
      <w:r w:rsidRPr="001C761F">
        <w:rPr>
          <w:szCs w:val="22"/>
        </w:rPr>
        <w:t xml:space="preserve">The FCC </w:t>
      </w:r>
      <w:r>
        <w:rPr>
          <w:szCs w:val="22"/>
        </w:rPr>
        <w:t xml:space="preserve">staff </w:t>
      </w:r>
      <w:r w:rsidRPr="001C761F">
        <w:rPr>
          <w:szCs w:val="22"/>
        </w:rPr>
        <w:t>will follow</w:t>
      </w:r>
      <w:r>
        <w:rPr>
          <w:szCs w:val="22"/>
        </w:rPr>
        <w:t>-up</w:t>
      </w:r>
      <w:r w:rsidRPr="001C761F">
        <w:rPr>
          <w:szCs w:val="22"/>
        </w:rPr>
        <w:t xml:space="preserve"> with information regarding meetings, webinars, or other structured opportunities for dialogue on the proposed Program Alternative.  </w:t>
      </w:r>
      <w:r>
        <w:rPr>
          <w:szCs w:val="22"/>
        </w:rPr>
        <w:t xml:space="preserve">Following the public comment period and consideration of the comments, as well as other input in the coming months, we will release the text of a proposed amendment to the Collocation Agreement and seek comment on the proposal.  In addition, throughout this process, the Commission staff will engage in ongoing consultation with Federally-recognized Tribal Nations under the Section 106 process.  The final step in the process of adopting an amendment will be the concurrence of the </w:t>
      </w:r>
      <w:r w:rsidRPr="00A2569A">
        <w:rPr>
          <w:szCs w:val="22"/>
        </w:rPr>
        <w:t>original signatories to the Collocation Agreement</w:t>
      </w:r>
      <w:r>
        <w:rPr>
          <w:szCs w:val="22"/>
        </w:rPr>
        <w:t xml:space="preserve"> – ACHP</w:t>
      </w:r>
      <w:r w:rsidRPr="00A2569A">
        <w:rPr>
          <w:szCs w:val="22"/>
        </w:rPr>
        <w:t>, NCSHPO</w:t>
      </w:r>
      <w:r>
        <w:rPr>
          <w:szCs w:val="22"/>
        </w:rPr>
        <w:t xml:space="preserve">, and the FCC staff.  </w:t>
      </w:r>
      <w:r w:rsidRPr="001C761F">
        <w:rPr>
          <w:szCs w:val="22"/>
        </w:rPr>
        <w:t>In the meantime, we welcome ideas from all interested parties and are happy to meet or talk with you.  Please contact the following FCC officials:</w:t>
      </w:r>
    </w:p>
    <w:p w14:paraId="06585A10" w14:textId="77777777" w:rsidR="00994DC4" w:rsidRPr="001C761F" w:rsidRDefault="00994DC4" w:rsidP="00994DC4">
      <w:pPr>
        <w:rPr>
          <w:szCs w:val="22"/>
        </w:rPr>
      </w:pPr>
    </w:p>
    <w:p w14:paraId="0683BAF5" w14:textId="3752D385" w:rsidR="00994DC4" w:rsidRPr="00E2350B" w:rsidRDefault="00994DC4" w:rsidP="00994DC4">
      <w:pPr>
        <w:numPr>
          <w:ilvl w:val="0"/>
          <w:numId w:val="18"/>
        </w:numPr>
        <w:rPr>
          <w:szCs w:val="22"/>
        </w:rPr>
      </w:pPr>
      <w:r w:rsidRPr="00E2350B">
        <w:rPr>
          <w:szCs w:val="22"/>
        </w:rPr>
        <w:t xml:space="preserve">Jeffrey Steinberg, Deputy Chief of the Competition and Infrastructure Policy Division, at </w:t>
      </w:r>
      <w:hyperlink r:id="rId23" w:history="1">
        <w:r w:rsidRPr="00E2350B">
          <w:rPr>
            <w:color w:val="0000FF"/>
            <w:szCs w:val="22"/>
            <w:u w:val="single"/>
          </w:rPr>
          <w:t>Jeffrey.Steinberg@fcc.gov</w:t>
        </w:r>
      </w:hyperlink>
      <w:r w:rsidRPr="00E2350B">
        <w:rPr>
          <w:szCs w:val="22"/>
        </w:rPr>
        <w:t xml:space="preserve"> or 202-418-0896; </w:t>
      </w:r>
    </w:p>
    <w:p w14:paraId="06A803C0" w14:textId="77777777" w:rsidR="00994DC4" w:rsidRPr="00E2350B" w:rsidRDefault="00994DC4" w:rsidP="00994DC4">
      <w:pPr>
        <w:ind w:left="720"/>
        <w:rPr>
          <w:szCs w:val="22"/>
        </w:rPr>
      </w:pPr>
    </w:p>
    <w:p w14:paraId="76A49FCF" w14:textId="41692261" w:rsidR="00994DC4" w:rsidRPr="00E2350B" w:rsidRDefault="00994DC4" w:rsidP="00994DC4">
      <w:pPr>
        <w:numPr>
          <w:ilvl w:val="0"/>
          <w:numId w:val="18"/>
        </w:numPr>
        <w:rPr>
          <w:szCs w:val="22"/>
        </w:rPr>
      </w:pPr>
      <w:r w:rsidRPr="00E2350B">
        <w:rPr>
          <w:szCs w:val="22"/>
        </w:rPr>
        <w:t xml:space="preserve">Paul D’Ari, Special Counsel, Competition and Infrastructure Policy Division, at </w:t>
      </w:r>
      <w:hyperlink r:id="rId24" w:history="1">
        <w:r w:rsidRPr="00E2350B">
          <w:rPr>
            <w:rStyle w:val="Hyperlink"/>
            <w:szCs w:val="22"/>
          </w:rPr>
          <w:t>Paul.Dari@fcc.gov</w:t>
        </w:r>
      </w:hyperlink>
      <w:r w:rsidRPr="00E2350B">
        <w:rPr>
          <w:szCs w:val="22"/>
        </w:rPr>
        <w:t xml:space="preserve"> or 202-418-1550;</w:t>
      </w:r>
    </w:p>
    <w:p w14:paraId="2493B7D8" w14:textId="77777777" w:rsidR="00994DC4" w:rsidRPr="00E2350B" w:rsidRDefault="00994DC4" w:rsidP="00994DC4">
      <w:pPr>
        <w:ind w:left="720"/>
        <w:rPr>
          <w:szCs w:val="22"/>
        </w:rPr>
      </w:pPr>
    </w:p>
    <w:p w14:paraId="5200A5D2" w14:textId="01239552" w:rsidR="00994DC4" w:rsidRPr="00E2350B" w:rsidRDefault="00994DC4" w:rsidP="00994DC4">
      <w:pPr>
        <w:numPr>
          <w:ilvl w:val="0"/>
          <w:numId w:val="18"/>
        </w:numPr>
        <w:rPr>
          <w:szCs w:val="22"/>
        </w:rPr>
      </w:pPr>
      <w:r w:rsidRPr="00E2350B">
        <w:rPr>
          <w:szCs w:val="22"/>
        </w:rPr>
        <w:t xml:space="preserve">Steve DelSordo, Federal Preservation Officer, at </w:t>
      </w:r>
      <w:hyperlink r:id="rId25" w:history="1">
        <w:r w:rsidRPr="00E2350B">
          <w:rPr>
            <w:color w:val="0000FF"/>
            <w:szCs w:val="22"/>
            <w:u w:val="single"/>
          </w:rPr>
          <w:t>Stephen.Delsordo@fcc.gov</w:t>
        </w:r>
      </w:hyperlink>
      <w:r w:rsidRPr="00E2350B">
        <w:rPr>
          <w:szCs w:val="22"/>
        </w:rPr>
        <w:t xml:space="preserve"> or 202-418-1986;</w:t>
      </w:r>
    </w:p>
    <w:p w14:paraId="7DE646A5" w14:textId="77777777" w:rsidR="00994DC4" w:rsidRPr="00E2350B" w:rsidRDefault="00994DC4" w:rsidP="00994DC4">
      <w:pPr>
        <w:ind w:left="720"/>
        <w:rPr>
          <w:szCs w:val="22"/>
        </w:rPr>
      </w:pPr>
    </w:p>
    <w:p w14:paraId="06313496" w14:textId="7C7DF25D" w:rsidR="00994DC4" w:rsidRPr="00E2350B" w:rsidRDefault="00994DC4" w:rsidP="00994DC4">
      <w:pPr>
        <w:numPr>
          <w:ilvl w:val="0"/>
          <w:numId w:val="18"/>
        </w:numPr>
        <w:rPr>
          <w:szCs w:val="22"/>
        </w:rPr>
      </w:pPr>
      <w:r w:rsidRPr="00E2350B">
        <w:rPr>
          <w:szCs w:val="22"/>
        </w:rPr>
        <w:t xml:space="preserve">Mania Baghdadi, Competition and Infrastructure Policy Division, at </w:t>
      </w:r>
      <w:hyperlink r:id="rId26" w:history="1">
        <w:r w:rsidRPr="00E2350B">
          <w:rPr>
            <w:rStyle w:val="Hyperlink"/>
            <w:szCs w:val="22"/>
          </w:rPr>
          <w:t>Mania.Baghdadi@fcc.gov</w:t>
        </w:r>
      </w:hyperlink>
      <w:r w:rsidRPr="00E2350B">
        <w:rPr>
          <w:szCs w:val="22"/>
        </w:rPr>
        <w:t xml:space="preserve"> or 202-418-2133;</w:t>
      </w:r>
    </w:p>
    <w:p w14:paraId="28BB0FB9" w14:textId="77777777" w:rsidR="00994DC4" w:rsidRPr="00E2350B" w:rsidRDefault="00994DC4" w:rsidP="00994DC4">
      <w:pPr>
        <w:pStyle w:val="ListParagraph"/>
        <w:rPr>
          <w:szCs w:val="22"/>
        </w:rPr>
      </w:pPr>
    </w:p>
    <w:p w14:paraId="52427090" w14:textId="2BA8EE18" w:rsidR="00E2350B" w:rsidRPr="00E2350B" w:rsidRDefault="00994DC4" w:rsidP="003B65A9">
      <w:pPr>
        <w:numPr>
          <w:ilvl w:val="0"/>
          <w:numId w:val="18"/>
        </w:numPr>
        <w:rPr>
          <w:szCs w:val="22"/>
        </w:rPr>
      </w:pPr>
      <w:r w:rsidRPr="00E2350B">
        <w:rPr>
          <w:szCs w:val="22"/>
        </w:rPr>
        <w:t xml:space="preserve">Brenda Boykin, Competition and Infrastructure Policy Division, at </w:t>
      </w:r>
      <w:hyperlink r:id="rId27" w:history="1">
        <w:r w:rsidRPr="00E2350B">
          <w:rPr>
            <w:rStyle w:val="Hyperlink"/>
            <w:szCs w:val="22"/>
          </w:rPr>
          <w:t>Brenda.Boykin@fcc.gov</w:t>
        </w:r>
      </w:hyperlink>
      <w:r w:rsidRPr="00E2350B">
        <w:rPr>
          <w:szCs w:val="22"/>
        </w:rPr>
        <w:t xml:space="preserve"> or 202-418-2062</w:t>
      </w:r>
      <w:r w:rsidR="00C57119">
        <w:rPr>
          <w:szCs w:val="22"/>
        </w:rPr>
        <w:t>;</w:t>
      </w:r>
    </w:p>
    <w:p w14:paraId="484952BE" w14:textId="77777777" w:rsidR="00E2350B" w:rsidRPr="00E2350B" w:rsidRDefault="00E2350B" w:rsidP="00E2350B">
      <w:pPr>
        <w:pStyle w:val="ListParagraph"/>
        <w:rPr>
          <w:szCs w:val="22"/>
        </w:rPr>
      </w:pPr>
    </w:p>
    <w:p w14:paraId="2FB418AA" w14:textId="4AA7DA31" w:rsidR="00E2350B" w:rsidRPr="00E2350B" w:rsidRDefault="00E2350B" w:rsidP="00C93846">
      <w:pPr>
        <w:numPr>
          <w:ilvl w:val="0"/>
          <w:numId w:val="18"/>
        </w:numPr>
        <w:rPr>
          <w:szCs w:val="22"/>
        </w:rPr>
      </w:pPr>
      <w:r w:rsidRPr="00E2350B">
        <w:rPr>
          <w:szCs w:val="22"/>
        </w:rPr>
        <w:t xml:space="preserve">Geoffrey Blackwell, Chief of the FCC’s Office of Native Affairs and Policy, at </w:t>
      </w:r>
      <w:hyperlink r:id="rId28" w:history="1">
        <w:r w:rsidRPr="00E2350B">
          <w:rPr>
            <w:rStyle w:val="Hyperlink"/>
            <w:szCs w:val="22"/>
          </w:rPr>
          <w:t>Geoffrey.Blackwell@fcc.gov</w:t>
        </w:r>
      </w:hyperlink>
      <w:r w:rsidRPr="00E2350B">
        <w:rPr>
          <w:szCs w:val="22"/>
        </w:rPr>
        <w:t xml:space="preserve"> or 202-418-3629; </w:t>
      </w:r>
    </w:p>
    <w:p w14:paraId="53B4ED76" w14:textId="77777777" w:rsidR="00E2350B" w:rsidRPr="00E2350B" w:rsidRDefault="00E2350B" w:rsidP="00E2350B">
      <w:pPr>
        <w:pStyle w:val="ListParagraph"/>
        <w:rPr>
          <w:szCs w:val="22"/>
        </w:rPr>
      </w:pPr>
    </w:p>
    <w:p w14:paraId="2E1AC4D5" w14:textId="392C6120" w:rsidR="00994DC4" w:rsidRPr="00E2350B" w:rsidRDefault="00E2350B" w:rsidP="00A74C48">
      <w:pPr>
        <w:numPr>
          <w:ilvl w:val="0"/>
          <w:numId w:val="18"/>
        </w:numPr>
        <w:rPr>
          <w:szCs w:val="22"/>
        </w:rPr>
      </w:pPr>
      <w:r w:rsidRPr="00E2350B">
        <w:rPr>
          <w:szCs w:val="22"/>
        </w:rPr>
        <w:t xml:space="preserve">Irene Flannery, Deputy Chief of the FCC’s Office of Native Affairs and Policy, at </w:t>
      </w:r>
      <w:hyperlink r:id="rId29" w:history="1">
        <w:r w:rsidRPr="00E2350B">
          <w:rPr>
            <w:rStyle w:val="Hyperlink"/>
            <w:szCs w:val="22"/>
          </w:rPr>
          <w:t>Irene.Flannery@fcc.gov</w:t>
        </w:r>
      </w:hyperlink>
      <w:r w:rsidRPr="00E2350B">
        <w:rPr>
          <w:szCs w:val="22"/>
        </w:rPr>
        <w:t xml:space="preserve"> or 202-418-1307</w:t>
      </w:r>
      <w:r>
        <w:rPr>
          <w:szCs w:val="22"/>
        </w:rPr>
        <w:t>.</w:t>
      </w:r>
      <w:r w:rsidRPr="00E2350B">
        <w:rPr>
          <w:szCs w:val="22"/>
        </w:rPr>
        <w:t xml:space="preserve"> </w:t>
      </w:r>
    </w:p>
    <w:sectPr w:rsidR="00994DC4" w:rsidRPr="00E2350B" w:rsidSect="00870897">
      <w:headerReference w:type="default" r:id="rId30"/>
      <w:footerReference w:type="default" r:id="rId31"/>
      <w:footerReference w:type="first" r:id="rId32"/>
      <w:footnotePr>
        <w:numRestart w:val="eachSect"/>
      </w:footnotePr>
      <w:pgSz w:w="12240" w:h="15840" w:code="1"/>
      <w:pgMar w:top="1440" w:right="1440" w:bottom="720" w:left="1440" w:header="720" w:footer="720" w:gutter="0"/>
      <w:pgNumType w:start="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22E09" w14:textId="77777777" w:rsidR="00EA018B" w:rsidRDefault="00EA018B">
      <w:r>
        <w:separator/>
      </w:r>
    </w:p>
  </w:endnote>
  <w:endnote w:type="continuationSeparator" w:id="0">
    <w:p w14:paraId="1AE34349" w14:textId="77777777" w:rsidR="00EA018B" w:rsidRDefault="00EA018B">
      <w:r>
        <w:continuationSeparator/>
      </w:r>
    </w:p>
  </w:endnote>
  <w:endnote w:type="continuationNotice" w:id="1">
    <w:p w14:paraId="590121DD" w14:textId="77777777" w:rsidR="00EA018B" w:rsidRDefault="00EA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D2ED" w14:textId="77777777" w:rsidR="00876D7E" w:rsidRDefault="000B6966">
    <w:pPr>
      <w:pStyle w:val="Footer"/>
      <w:framePr w:wrap="around" w:vAnchor="text" w:hAnchor="margin" w:xAlign="center" w:y="1"/>
      <w:rPr>
        <w:rStyle w:val="PageNumber"/>
      </w:rPr>
    </w:pPr>
    <w:r>
      <w:rPr>
        <w:rStyle w:val="PageNumber"/>
      </w:rPr>
      <w:fldChar w:fldCharType="begin"/>
    </w:r>
    <w:r w:rsidR="00876D7E">
      <w:rPr>
        <w:rStyle w:val="PageNumber"/>
      </w:rPr>
      <w:instrText xml:space="preserve">PAGE  </w:instrText>
    </w:r>
    <w:r>
      <w:rPr>
        <w:rStyle w:val="PageNumber"/>
      </w:rPr>
      <w:fldChar w:fldCharType="end"/>
    </w:r>
  </w:p>
  <w:p w14:paraId="74D48910" w14:textId="77777777" w:rsidR="00876D7E" w:rsidRDefault="00876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15358"/>
      <w:docPartObj>
        <w:docPartGallery w:val="Page Numbers (Bottom of Page)"/>
        <w:docPartUnique/>
      </w:docPartObj>
    </w:sdtPr>
    <w:sdtEndPr>
      <w:rPr>
        <w:noProof/>
      </w:rPr>
    </w:sdtEndPr>
    <w:sdtContent>
      <w:p w14:paraId="1D8CAF7E" w14:textId="01586154" w:rsidR="00876D7E" w:rsidRDefault="0065710F" w:rsidP="00776BBA">
        <w:pPr>
          <w:pStyle w:val="Footer"/>
          <w:jc w:val="center"/>
        </w:pPr>
        <w:r>
          <w:fldChar w:fldCharType="begin"/>
        </w:r>
        <w:r>
          <w:instrText xml:space="preserve"> PAGE   \* MERGEFORMAT </w:instrText>
        </w:r>
        <w:r>
          <w:fldChar w:fldCharType="separate"/>
        </w:r>
        <w:r w:rsidR="007F201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CF64" w14:textId="77777777" w:rsidR="006A42AA" w:rsidRDefault="006A42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06F1" w14:textId="77777777" w:rsidR="00776BBA" w:rsidRPr="00776BBA" w:rsidRDefault="00776BBA" w:rsidP="00776B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9652"/>
      <w:docPartObj>
        <w:docPartGallery w:val="Page Numbers (Bottom of Page)"/>
        <w:docPartUnique/>
      </w:docPartObj>
    </w:sdtPr>
    <w:sdtEndPr>
      <w:rPr>
        <w:noProof/>
      </w:rPr>
    </w:sdtEndPr>
    <w:sdtContent>
      <w:p w14:paraId="15D53254" w14:textId="41596FD9" w:rsidR="00776BBA" w:rsidRDefault="00776BBA" w:rsidP="00776BBA">
        <w:pPr>
          <w:pStyle w:val="Footer"/>
          <w:jc w:val="center"/>
        </w:pPr>
        <w:r>
          <w:fldChar w:fldCharType="begin"/>
        </w:r>
        <w:r>
          <w:instrText xml:space="preserve"> PAGE   \* MERGEFORMAT </w:instrText>
        </w:r>
        <w:r>
          <w:fldChar w:fldCharType="separate"/>
        </w:r>
        <w:r w:rsidR="00870897">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6979"/>
      <w:docPartObj>
        <w:docPartGallery w:val="Page Numbers (Bottom of Page)"/>
        <w:docPartUnique/>
      </w:docPartObj>
    </w:sdtPr>
    <w:sdtEndPr>
      <w:rPr>
        <w:noProof/>
      </w:rPr>
    </w:sdtEndPr>
    <w:sdtContent>
      <w:p w14:paraId="6275D3F8" w14:textId="7061F4DD" w:rsidR="00776BBA" w:rsidRPr="00776BBA" w:rsidRDefault="00870897" w:rsidP="00870897">
        <w:pPr>
          <w:pStyle w:val="Footer"/>
          <w:jc w:val="center"/>
        </w:pPr>
        <w:r>
          <w:fldChar w:fldCharType="begin"/>
        </w:r>
        <w:r>
          <w:instrText xml:space="preserve"> PAGE   \* MERGEFORMAT </w:instrText>
        </w:r>
        <w:r>
          <w:fldChar w:fldCharType="separate"/>
        </w:r>
        <w:r w:rsidR="000B1126">
          <w:rPr>
            <w:noProof/>
          </w:rPr>
          <w:t>14</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86917"/>
      <w:docPartObj>
        <w:docPartGallery w:val="Page Numbers (Bottom of Page)"/>
        <w:docPartUnique/>
      </w:docPartObj>
    </w:sdtPr>
    <w:sdtEndPr>
      <w:rPr>
        <w:noProof/>
      </w:rPr>
    </w:sdtEndPr>
    <w:sdtContent>
      <w:p w14:paraId="5322155E" w14:textId="77777777" w:rsidR="00870897" w:rsidRDefault="00870897" w:rsidP="00776BBA">
        <w:pPr>
          <w:pStyle w:val="Footer"/>
          <w:jc w:val="center"/>
        </w:pPr>
        <w:r>
          <w:fldChar w:fldCharType="begin"/>
        </w:r>
        <w:r>
          <w:instrText xml:space="preserve"> PAGE   \* MERGEFORMAT </w:instrText>
        </w:r>
        <w:r>
          <w:fldChar w:fldCharType="separate"/>
        </w:r>
        <w:r w:rsidR="000B1126">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E9BB" w14:textId="77777777" w:rsidR="00EA018B" w:rsidRDefault="00EA018B">
      <w:r>
        <w:separator/>
      </w:r>
    </w:p>
  </w:footnote>
  <w:footnote w:type="continuationSeparator" w:id="0">
    <w:p w14:paraId="47D76F9E" w14:textId="77777777" w:rsidR="00EA018B" w:rsidRDefault="00EA018B">
      <w:r>
        <w:continuationSeparator/>
      </w:r>
    </w:p>
  </w:footnote>
  <w:footnote w:type="continuationNotice" w:id="1">
    <w:p w14:paraId="273C61D4" w14:textId="77777777" w:rsidR="00EA018B" w:rsidRDefault="00EA018B"/>
  </w:footnote>
  <w:footnote w:id="2">
    <w:p w14:paraId="0C5919E5" w14:textId="2884BE07" w:rsidR="005762CD" w:rsidRPr="005762CD" w:rsidRDefault="005762CD" w:rsidP="00776BBA">
      <w:pPr>
        <w:pStyle w:val="FootnoteText"/>
        <w:spacing w:after="120"/>
        <w:rPr>
          <w:sz w:val="20"/>
        </w:rPr>
      </w:pPr>
      <w:r w:rsidRPr="005762CD">
        <w:rPr>
          <w:rStyle w:val="FootnoteReference"/>
          <w:sz w:val="20"/>
        </w:rPr>
        <w:footnoteRef/>
      </w:r>
      <w:r w:rsidRPr="005762CD">
        <w:rPr>
          <w:sz w:val="20"/>
        </w:rPr>
        <w:t xml:space="preserve"> 54 U.S.C. § 306108 (formerly codified at</w:t>
      </w:r>
      <w:r w:rsidR="00124390">
        <w:rPr>
          <w:sz w:val="20"/>
        </w:rPr>
        <w:t xml:space="preserve"> </w:t>
      </w:r>
      <w:r w:rsidRPr="005762CD">
        <w:rPr>
          <w:sz w:val="20"/>
        </w:rPr>
        <w:t>16 U.S.C. § 470f)</w:t>
      </w:r>
      <w:r w:rsidR="00C57119">
        <w:rPr>
          <w:sz w:val="20"/>
        </w:rPr>
        <w:t>.</w:t>
      </w:r>
    </w:p>
  </w:footnote>
  <w:footnote w:id="3">
    <w:p w14:paraId="64BF3DFC" w14:textId="4E7FB3F4" w:rsidR="00876D7E" w:rsidRPr="00CD2B1D" w:rsidRDefault="00876D7E" w:rsidP="00776BBA">
      <w:pPr>
        <w:pStyle w:val="FootnoteText"/>
        <w:spacing w:after="120"/>
        <w:rPr>
          <w:sz w:val="20"/>
        </w:rPr>
      </w:pPr>
      <w:r w:rsidRPr="00CD2B1D">
        <w:rPr>
          <w:rStyle w:val="FootnoteReference"/>
          <w:sz w:val="20"/>
        </w:rPr>
        <w:footnoteRef/>
      </w:r>
      <w:r w:rsidRPr="00CD2B1D">
        <w:rPr>
          <w:sz w:val="20"/>
        </w:rPr>
        <w:t xml:space="preserve"> </w:t>
      </w:r>
      <w:r w:rsidRPr="00CD2B1D">
        <w:rPr>
          <w:i/>
          <w:sz w:val="20"/>
        </w:rPr>
        <w:t xml:space="preserve">See </w:t>
      </w:r>
      <w:r w:rsidRPr="00CD2B1D">
        <w:rPr>
          <w:sz w:val="20"/>
        </w:rPr>
        <w:t>47 C.F.R. Part 1, App. B, Nationwide P</w:t>
      </w:r>
      <w:r>
        <w:rPr>
          <w:sz w:val="20"/>
        </w:rPr>
        <w:t>ro</w:t>
      </w:r>
      <w:r w:rsidRPr="00CD2B1D">
        <w:rPr>
          <w:sz w:val="20"/>
        </w:rPr>
        <w:t>gramm</w:t>
      </w:r>
      <w:r>
        <w:rPr>
          <w:sz w:val="20"/>
        </w:rPr>
        <w:t>atic Agreement for the Collocation of Wireless Antennas (Collocation Agreement).</w:t>
      </w:r>
      <w:r w:rsidRPr="0022707A">
        <w:rPr>
          <w:sz w:val="20"/>
        </w:rPr>
        <w:t xml:space="preserve"> </w:t>
      </w:r>
    </w:p>
  </w:footnote>
  <w:footnote w:id="4">
    <w:p w14:paraId="1088F32E" w14:textId="7D427929" w:rsidR="00876D7E" w:rsidRPr="00BA1ABF" w:rsidRDefault="00876D7E" w:rsidP="00776BBA">
      <w:pPr>
        <w:pStyle w:val="FootnoteText"/>
        <w:spacing w:after="120"/>
        <w:rPr>
          <w:sz w:val="20"/>
        </w:rPr>
      </w:pPr>
      <w:r w:rsidRPr="00C30167">
        <w:rPr>
          <w:rStyle w:val="FootnoteReference"/>
          <w:sz w:val="20"/>
        </w:rPr>
        <w:footnoteRef/>
      </w:r>
      <w:r w:rsidRPr="00C30167">
        <w:rPr>
          <w:sz w:val="20"/>
        </w:rPr>
        <w:t xml:space="preserve"> </w:t>
      </w:r>
      <w:r w:rsidRPr="00C30167">
        <w:rPr>
          <w:i/>
          <w:sz w:val="20"/>
        </w:rPr>
        <w:t>See</w:t>
      </w:r>
      <w:r w:rsidRPr="00C30167">
        <w:rPr>
          <w:sz w:val="20"/>
        </w:rPr>
        <w:t xml:space="preserve"> </w:t>
      </w:r>
      <w:bookmarkStart w:id="1" w:name="SR;340"/>
      <w:bookmarkStart w:id="2" w:name="SearchTerm"/>
      <w:bookmarkEnd w:id="1"/>
      <w:bookmarkEnd w:id="2"/>
      <w:r w:rsidRPr="00BA1ABF">
        <w:rPr>
          <w:sz w:val="20"/>
        </w:rPr>
        <w:t>Acceleration of Broadband Deployment by Improving Wireless Facilities Siting Policies, WT Docket Nos</w:t>
      </w:r>
      <w:r w:rsidRPr="00C30167">
        <w:rPr>
          <w:sz w:val="20"/>
        </w:rPr>
        <w:t>. 13-238, 13-32, WC Docket No. 11-59, </w:t>
      </w:r>
      <w:r w:rsidRPr="00C30167">
        <w:rPr>
          <w:i/>
          <w:iCs/>
          <w:sz w:val="20"/>
        </w:rPr>
        <w:t>Report and Order</w:t>
      </w:r>
      <w:r w:rsidRPr="00C30167">
        <w:rPr>
          <w:sz w:val="20"/>
        </w:rPr>
        <w:t>, 29 FCC Rcd 12865,</w:t>
      </w:r>
      <w:r>
        <w:rPr>
          <w:sz w:val="20"/>
        </w:rPr>
        <w:t xml:space="preserve"> 12869 </w:t>
      </w:r>
      <w:r w:rsidRPr="00C30167">
        <w:rPr>
          <w:sz w:val="20"/>
        </w:rPr>
        <w:t>para. 8 (2014)</w:t>
      </w:r>
      <w:r w:rsidR="00B37D3C">
        <w:rPr>
          <w:sz w:val="20"/>
        </w:rPr>
        <w:t xml:space="preserve">; </w:t>
      </w:r>
      <w:r w:rsidR="00B37D3C" w:rsidRPr="00013867">
        <w:rPr>
          <w:i/>
          <w:sz w:val="20"/>
        </w:rPr>
        <w:t>Erratum</w:t>
      </w:r>
      <w:r w:rsidR="00B37D3C">
        <w:rPr>
          <w:sz w:val="20"/>
        </w:rPr>
        <w:t xml:space="preserve">, 30 FCC Rcd 31 (2015) </w:t>
      </w:r>
      <w:r w:rsidRPr="00C30167">
        <w:rPr>
          <w:sz w:val="20"/>
        </w:rPr>
        <w:t>(</w:t>
      </w:r>
      <w:r w:rsidRPr="00102062">
        <w:rPr>
          <w:i/>
          <w:sz w:val="20"/>
        </w:rPr>
        <w:t>Infrastructure Report and Order</w:t>
      </w:r>
      <w:r w:rsidRPr="00C30167">
        <w:rPr>
          <w:sz w:val="20"/>
        </w:rPr>
        <w:t>).</w:t>
      </w:r>
    </w:p>
  </w:footnote>
  <w:footnote w:id="5">
    <w:p w14:paraId="6E4485BB" w14:textId="6C38A0CD" w:rsidR="00620C0B" w:rsidRPr="00620C0B" w:rsidRDefault="00620C0B" w:rsidP="00776BBA">
      <w:pPr>
        <w:pStyle w:val="FootnoteText"/>
        <w:spacing w:after="120"/>
        <w:rPr>
          <w:sz w:val="20"/>
        </w:rPr>
      </w:pPr>
      <w:r w:rsidRPr="00620C0B">
        <w:rPr>
          <w:rStyle w:val="FootnoteReference"/>
          <w:sz w:val="20"/>
        </w:rPr>
        <w:footnoteRef/>
      </w:r>
      <w:r w:rsidRPr="00620C0B">
        <w:rPr>
          <w:sz w:val="20"/>
        </w:rPr>
        <w:t xml:space="preserve"> Small cells are low-powered wireless base stations that function like cells in a mobile network but provide significantly smaller coverage area than traditional </w:t>
      </w:r>
      <w:r>
        <w:rPr>
          <w:sz w:val="20"/>
        </w:rPr>
        <w:t xml:space="preserve">cell tower deployments, often known as </w:t>
      </w:r>
      <w:r w:rsidRPr="00620C0B">
        <w:rPr>
          <w:sz w:val="20"/>
        </w:rPr>
        <w:t>macrocells</w:t>
      </w:r>
      <w:r w:rsidR="00DC455F">
        <w:rPr>
          <w:sz w:val="20"/>
        </w:rPr>
        <w:t xml:space="preserve">.  </w:t>
      </w:r>
      <w:r w:rsidRPr="00620C0B">
        <w:rPr>
          <w:sz w:val="20"/>
        </w:rPr>
        <w:t>DAS networks represent another wireless alternative to macrocells, but differ from small cells in that, whereas each small-cell deployment includes its own transceiver equipment that generally serves on</w:t>
      </w:r>
      <w:r w:rsidR="008E5D6B">
        <w:rPr>
          <w:sz w:val="20"/>
        </w:rPr>
        <w:t>e</w:t>
      </w:r>
      <w:r w:rsidRPr="00620C0B">
        <w:rPr>
          <w:sz w:val="20"/>
        </w:rPr>
        <w:t xml:space="preserve"> wireless carrier/operator, a DAS network involves the use of transceiver equipment at a central hub site to support multiple antenna locations throughout the desired coverage area and in “neutral-host” deployments can serve multiple wireless carriers/operators.  </w:t>
      </w:r>
    </w:p>
  </w:footnote>
  <w:footnote w:id="6">
    <w:p w14:paraId="70E5E840" w14:textId="00E4DB1F" w:rsidR="00876D7E" w:rsidRPr="00804DE7" w:rsidRDefault="00876D7E" w:rsidP="00776BBA">
      <w:pPr>
        <w:pStyle w:val="FootnoteText"/>
        <w:spacing w:after="120"/>
        <w:rPr>
          <w:sz w:val="20"/>
        </w:rPr>
      </w:pPr>
      <w:r>
        <w:rPr>
          <w:rStyle w:val="FootnoteReference"/>
        </w:rPr>
        <w:footnoteRef/>
      </w:r>
      <w:r>
        <w:t xml:space="preserve"> </w:t>
      </w:r>
      <w:r w:rsidRPr="000E0CE9">
        <w:rPr>
          <w:i/>
          <w:sz w:val="20"/>
        </w:rPr>
        <w:t>See</w:t>
      </w:r>
      <w:r w:rsidRPr="000E0CE9">
        <w:rPr>
          <w:sz w:val="20"/>
        </w:rPr>
        <w:t xml:space="preserve"> 54 U.S.C. § 306108 (formerly codified at</w:t>
      </w:r>
      <w:r w:rsidR="00995260">
        <w:rPr>
          <w:sz w:val="20"/>
        </w:rPr>
        <w:t xml:space="preserve"> </w:t>
      </w:r>
      <w:r w:rsidRPr="000E0CE9">
        <w:rPr>
          <w:sz w:val="20"/>
        </w:rPr>
        <w:t>16 U.S.C. § 470f).</w:t>
      </w:r>
    </w:p>
  </w:footnote>
  <w:footnote w:id="7">
    <w:p w14:paraId="3F0BD676" w14:textId="77777777" w:rsidR="00876D7E" w:rsidRPr="00232B48" w:rsidRDefault="00876D7E" w:rsidP="00776BBA">
      <w:pPr>
        <w:pStyle w:val="FootnoteText"/>
        <w:spacing w:after="120"/>
        <w:rPr>
          <w:sz w:val="20"/>
        </w:rPr>
      </w:pPr>
      <w:r>
        <w:rPr>
          <w:rStyle w:val="FootnoteReference"/>
          <w:sz w:val="20"/>
        </w:rPr>
        <w:footnoteRef/>
      </w:r>
      <w:r w:rsidRPr="00C30167">
        <w:rPr>
          <w:sz w:val="20"/>
        </w:rPr>
        <w:t xml:space="preserve"> </w:t>
      </w:r>
      <w:r w:rsidRPr="00C30167">
        <w:rPr>
          <w:i/>
          <w:sz w:val="20"/>
        </w:rPr>
        <w:t>See</w:t>
      </w:r>
      <w:r w:rsidRPr="00C30167">
        <w:rPr>
          <w:sz w:val="20"/>
        </w:rPr>
        <w:t xml:space="preserve"> 47 C.F.R. § 1.1307(a)(4)</w:t>
      </w:r>
      <w:r>
        <w:rPr>
          <w:sz w:val="20"/>
        </w:rPr>
        <w:t xml:space="preserve">; </w:t>
      </w:r>
      <w:r w:rsidRPr="00C30167">
        <w:rPr>
          <w:sz w:val="20"/>
        </w:rPr>
        <w:t>47 C.F.R. Pt. 1, Apps. B and C.</w:t>
      </w:r>
    </w:p>
  </w:footnote>
  <w:footnote w:id="8">
    <w:p w14:paraId="442F4668" w14:textId="77777777" w:rsidR="00876D7E" w:rsidRPr="00232B48" w:rsidRDefault="00876D7E" w:rsidP="00776BBA">
      <w:pPr>
        <w:pStyle w:val="FootnoteText"/>
        <w:spacing w:after="120"/>
        <w:rPr>
          <w:sz w:val="20"/>
        </w:rPr>
      </w:pPr>
      <w:r w:rsidRPr="00C30167">
        <w:rPr>
          <w:rStyle w:val="FootnoteReference"/>
          <w:sz w:val="20"/>
        </w:rPr>
        <w:footnoteRef/>
      </w:r>
      <w:r w:rsidRPr="00C30167">
        <w:rPr>
          <w:sz w:val="20"/>
        </w:rPr>
        <w:t xml:space="preserve"> </w:t>
      </w:r>
      <w:r w:rsidRPr="00C30167">
        <w:rPr>
          <w:i/>
          <w:sz w:val="20"/>
        </w:rPr>
        <w:t>See</w:t>
      </w:r>
      <w:r w:rsidRPr="00C30167">
        <w:rPr>
          <w:sz w:val="20"/>
        </w:rPr>
        <w:t xml:space="preserve"> </w:t>
      </w:r>
      <w:r w:rsidRPr="00102062">
        <w:rPr>
          <w:i/>
          <w:sz w:val="20"/>
        </w:rPr>
        <w:t>Infrastructure Report and Order</w:t>
      </w:r>
      <w:r w:rsidRPr="00C30167">
        <w:rPr>
          <w:sz w:val="20"/>
        </w:rPr>
        <w:t xml:space="preserve">, 29 FCC Rcd at </w:t>
      </w:r>
      <w:r>
        <w:rPr>
          <w:sz w:val="20"/>
        </w:rPr>
        <w:t xml:space="preserve">12867 </w:t>
      </w:r>
      <w:r w:rsidRPr="00C30167">
        <w:rPr>
          <w:sz w:val="20"/>
        </w:rPr>
        <w:t>para. 3.</w:t>
      </w:r>
    </w:p>
  </w:footnote>
  <w:footnote w:id="9">
    <w:p w14:paraId="64ACDFF1" w14:textId="77777777" w:rsidR="00876D7E" w:rsidRPr="00232B48" w:rsidRDefault="00876D7E" w:rsidP="00776BBA">
      <w:pPr>
        <w:pStyle w:val="FootnoteText"/>
        <w:spacing w:after="120"/>
        <w:rPr>
          <w:sz w:val="20"/>
        </w:rPr>
      </w:pPr>
      <w:r w:rsidRPr="00C30167">
        <w:rPr>
          <w:rStyle w:val="FootnoteReference"/>
          <w:sz w:val="20"/>
        </w:rPr>
        <w:footnoteRef/>
      </w:r>
      <w:r w:rsidRPr="00C30167">
        <w:rPr>
          <w:sz w:val="20"/>
        </w:rPr>
        <w:t xml:space="preserve"> </w:t>
      </w:r>
      <w:r w:rsidRPr="00C30167">
        <w:rPr>
          <w:i/>
          <w:sz w:val="20"/>
        </w:rPr>
        <w:t>Id</w:t>
      </w:r>
      <w:r w:rsidRPr="00C30167">
        <w:rPr>
          <w:sz w:val="20"/>
        </w:rPr>
        <w:t>.</w:t>
      </w:r>
      <w:r w:rsidR="005656F2" w:rsidRPr="00C30167">
        <w:rPr>
          <w:sz w:val="20"/>
        </w:rPr>
        <w:t xml:space="preserve"> </w:t>
      </w:r>
      <w:r w:rsidRPr="00C30167">
        <w:rPr>
          <w:sz w:val="20"/>
        </w:rPr>
        <w:t xml:space="preserve">at </w:t>
      </w:r>
      <w:r w:rsidR="005656F2">
        <w:rPr>
          <w:sz w:val="20"/>
        </w:rPr>
        <w:t xml:space="preserve">12906 </w:t>
      </w:r>
      <w:r w:rsidRPr="00C30167">
        <w:rPr>
          <w:sz w:val="20"/>
        </w:rPr>
        <w:t>para. 88.</w:t>
      </w:r>
    </w:p>
  </w:footnote>
  <w:footnote w:id="10">
    <w:p w14:paraId="57180A6C" w14:textId="4CD5C30A" w:rsidR="00876D7E" w:rsidRPr="00232B48" w:rsidRDefault="00876D7E" w:rsidP="00776BBA">
      <w:pPr>
        <w:pStyle w:val="FootnoteText"/>
        <w:spacing w:after="120"/>
        <w:rPr>
          <w:sz w:val="20"/>
        </w:rPr>
      </w:pPr>
      <w:r w:rsidRPr="00C30167">
        <w:rPr>
          <w:rStyle w:val="FootnoteReference"/>
          <w:sz w:val="20"/>
        </w:rPr>
        <w:footnoteRef/>
      </w:r>
      <w:r w:rsidRPr="00C30167">
        <w:rPr>
          <w:sz w:val="20"/>
        </w:rPr>
        <w:t xml:space="preserve"> </w:t>
      </w:r>
      <w:r w:rsidRPr="00102062">
        <w:rPr>
          <w:i/>
          <w:sz w:val="20"/>
        </w:rPr>
        <w:t>I</w:t>
      </w:r>
      <w:r w:rsidR="00115370">
        <w:rPr>
          <w:i/>
          <w:sz w:val="20"/>
        </w:rPr>
        <w:t>d</w:t>
      </w:r>
      <w:r w:rsidR="00115370" w:rsidRPr="00115370">
        <w:rPr>
          <w:sz w:val="20"/>
        </w:rPr>
        <w:t>.</w:t>
      </w:r>
      <w:r w:rsidR="00115370">
        <w:rPr>
          <w:sz w:val="20"/>
        </w:rPr>
        <w:t xml:space="preserve"> </w:t>
      </w:r>
      <w:r w:rsidRPr="00C30167">
        <w:rPr>
          <w:sz w:val="20"/>
        </w:rPr>
        <w:t xml:space="preserve">at </w:t>
      </w:r>
      <w:r>
        <w:rPr>
          <w:sz w:val="20"/>
        </w:rPr>
        <w:t xml:space="preserve">12871 </w:t>
      </w:r>
      <w:r w:rsidRPr="00C30167">
        <w:rPr>
          <w:sz w:val="20"/>
        </w:rPr>
        <w:t>para. 13</w:t>
      </w:r>
      <w:r>
        <w:rPr>
          <w:sz w:val="20"/>
        </w:rPr>
        <w:t>;</w:t>
      </w:r>
      <w:r>
        <w:rPr>
          <w:i/>
          <w:sz w:val="20"/>
        </w:rPr>
        <w:t xml:space="preserve"> see generally </w:t>
      </w:r>
      <w:r>
        <w:rPr>
          <w:sz w:val="20"/>
        </w:rPr>
        <w:t>36 C.F.R. § 800.14 (identifying different types of program alternatives that may govern implementation of Section 106 for a program or category of undertakings)</w:t>
      </w:r>
      <w:r w:rsidRPr="00C30167">
        <w:rPr>
          <w:sz w:val="20"/>
        </w:rPr>
        <w:t>.</w:t>
      </w:r>
    </w:p>
  </w:footnote>
  <w:footnote w:id="11">
    <w:p w14:paraId="5054C453" w14:textId="77777777" w:rsidR="00876D7E" w:rsidRPr="007D656D" w:rsidRDefault="00876D7E" w:rsidP="00776BBA">
      <w:pPr>
        <w:pStyle w:val="FootnoteText"/>
        <w:spacing w:after="120"/>
        <w:rPr>
          <w:sz w:val="20"/>
        </w:rPr>
      </w:pPr>
      <w:r w:rsidRPr="007D656D">
        <w:rPr>
          <w:rStyle w:val="FootnoteReference"/>
          <w:sz w:val="20"/>
        </w:rPr>
        <w:footnoteRef/>
      </w:r>
      <w:r w:rsidRPr="007D656D">
        <w:rPr>
          <w:sz w:val="20"/>
        </w:rPr>
        <w:t xml:space="preserve"> </w:t>
      </w:r>
      <w:r>
        <w:rPr>
          <w:i/>
          <w:sz w:val="20"/>
        </w:rPr>
        <w:t xml:space="preserve">See </w:t>
      </w:r>
      <w:r w:rsidRPr="007D656D">
        <w:rPr>
          <w:sz w:val="20"/>
        </w:rPr>
        <w:t>36 C.F.R. § 800.14</w:t>
      </w:r>
      <w:r>
        <w:rPr>
          <w:sz w:val="20"/>
        </w:rPr>
        <w:t>(b)</w:t>
      </w:r>
      <w:r w:rsidRPr="007D656D">
        <w:rPr>
          <w:sz w:val="20"/>
        </w:rPr>
        <w:t>.</w:t>
      </w:r>
    </w:p>
  </w:footnote>
  <w:footnote w:id="12">
    <w:p w14:paraId="5EFC7DFD" w14:textId="77777777" w:rsidR="00876D7E" w:rsidRPr="00926F47" w:rsidRDefault="00876D7E" w:rsidP="00776BBA">
      <w:pPr>
        <w:pStyle w:val="FootnoteText"/>
        <w:spacing w:after="120"/>
        <w:rPr>
          <w:sz w:val="20"/>
        </w:rPr>
      </w:pPr>
      <w:r w:rsidRPr="00926F47">
        <w:rPr>
          <w:rStyle w:val="FootnoteReference"/>
          <w:sz w:val="20"/>
        </w:rPr>
        <w:footnoteRef/>
      </w:r>
      <w:r w:rsidRPr="00926F47">
        <w:rPr>
          <w:sz w:val="20"/>
        </w:rPr>
        <w:t xml:space="preserve"> </w:t>
      </w:r>
      <w:r w:rsidR="000B6966" w:rsidRPr="00926F47">
        <w:rPr>
          <w:sz w:val="20"/>
        </w:rPr>
        <w:t xml:space="preserve">47 U.S.C. § 332(c)(7); </w:t>
      </w:r>
      <w:r w:rsidRPr="00926F47">
        <w:rPr>
          <w:sz w:val="20"/>
        </w:rPr>
        <w:t>47 U.S.C. § 1455(a).</w:t>
      </w:r>
    </w:p>
  </w:footnote>
  <w:footnote w:id="13">
    <w:p w14:paraId="177A4AF3" w14:textId="77777777" w:rsidR="00876D7E" w:rsidRPr="00232B48" w:rsidRDefault="00876D7E" w:rsidP="00776BBA">
      <w:pPr>
        <w:pStyle w:val="FootnoteText"/>
        <w:spacing w:after="120"/>
        <w:rPr>
          <w:sz w:val="20"/>
        </w:rPr>
      </w:pPr>
      <w:r w:rsidRPr="00C30167">
        <w:rPr>
          <w:rStyle w:val="FootnoteReference"/>
          <w:sz w:val="20"/>
        </w:rPr>
        <w:footnoteRef/>
      </w:r>
      <w:r w:rsidRPr="00C30167">
        <w:rPr>
          <w:sz w:val="20"/>
        </w:rPr>
        <w:t xml:space="preserve"> </w:t>
      </w:r>
      <w:r w:rsidRPr="00C30167">
        <w:rPr>
          <w:i/>
          <w:sz w:val="20"/>
        </w:rPr>
        <w:t>See</w:t>
      </w:r>
      <w:r w:rsidRPr="00C30167">
        <w:rPr>
          <w:sz w:val="20"/>
        </w:rPr>
        <w:t xml:space="preserve"> 36 C.F.R. § 800.14(b) (programmatic agreements as one program alternative).</w:t>
      </w:r>
    </w:p>
  </w:footnote>
  <w:footnote w:id="14">
    <w:p w14:paraId="4999FF4E" w14:textId="77777777" w:rsidR="00876D7E" w:rsidRPr="00987CEF" w:rsidRDefault="00876D7E" w:rsidP="00776BBA">
      <w:pPr>
        <w:pStyle w:val="FootnoteText"/>
        <w:spacing w:after="120"/>
        <w:rPr>
          <w:sz w:val="20"/>
        </w:rPr>
      </w:pPr>
      <w:r w:rsidRPr="00987CEF">
        <w:rPr>
          <w:rStyle w:val="FootnoteReference"/>
          <w:sz w:val="20"/>
        </w:rPr>
        <w:footnoteRef/>
      </w:r>
      <w:r w:rsidRPr="00987CEF">
        <w:rPr>
          <w:sz w:val="20"/>
        </w:rPr>
        <w:t xml:space="preserve"> 36 C.F.R. § 800.14(</w:t>
      </w:r>
      <w:r>
        <w:rPr>
          <w:sz w:val="20"/>
        </w:rPr>
        <w:t>b</w:t>
      </w:r>
      <w:r w:rsidRPr="00987CEF">
        <w:rPr>
          <w:sz w:val="20"/>
        </w:rPr>
        <w:t>)(2).</w:t>
      </w:r>
    </w:p>
  </w:footnote>
  <w:footnote w:id="15">
    <w:p w14:paraId="33E42190" w14:textId="2889ACCD" w:rsidR="00876D7E" w:rsidRPr="00987CEF" w:rsidRDefault="00876D7E" w:rsidP="00776BBA">
      <w:pPr>
        <w:pStyle w:val="FootnoteText"/>
        <w:spacing w:after="120"/>
        <w:rPr>
          <w:sz w:val="20"/>
        </w:rPr>
      </w:pPr>
      <w:r w:rsidRPr="00987CEF">
        <w:rPr>
          <w:rStyle w:val="FootnoteReference"/>
          <w:sz w:val="20"/>
        </w:rPr>
        <w:footnoteRef/>
      </w:r>
      <w:r w:rsidRPr="00987CEF">
        <w:rPr>
          <w:sz w:val="20"/>
        </w:rPr>
        <w:t xml:space="preserve"> 47 C.F.R. § 1.1204; </w:t>
      </w:r>
      <w:r w:rsidRPr="00987CEF">
        <w:rPr>
          <w:i/>
          <w:sz w:val="20"/>
        </w:rPr>
        <w:t>see</w:t>
      </w:r>
      <w:r w:rsidRPr="00987CEF">
        <w:rPr>
          <w:sz w:val="20"/>
        </w:rPr>
        <w:t xml:space="preserve"> 47 C.F.R. § 1.1200(a) (“Where the public interest so requires in a particular proceeding, the Commission and its staff retain the discretion to modify the applicable </w:t>
      </w:r>
      <w:r w:rsidRPr="00987CEF">
        <w:rPr>
          <w:i/>
          <w:sz w:val="20"/>
        </w:rPr>
        <w:t>ex parte</w:t>
      </w:r>
      <w:r w:rsidRPr="00987CEF">
        <w:rPr>
          <w:sz w:val="20"/>
        </w:rPr>
        <w:t xml:space="preserve"> rules by order, letter, or public notice.”)</w:t>
      </w:r>
      <w:r w:rsidR="00D344E5">
        <w:rPr>
          <w:sz w:val="20"/>
        </w:rPr>
        <w:t xml:space="preserve">; </w:t>
      </w:r>
      <w:r w:rsidR="00D344E5" w:rsidRPr="000F4560">
        <w:rPr>
          <w:i/>
          <w:sz w:val="20"/>
        </w:rPr>
        <w:t>see also</w:t>
      </w:r>
      <w:r w:rsidR="00D344E5">
        <w:rPr>
          <w:sz w:val="20"/>
        </w:rPr>
        <w:t xml:space="preserve"> </w:t>
      </w:r>
      <w:r w:rsidR="00D344E5" w:rsidRPr="000F4560">
        <w:rPr>
          <w:i/>
          <w:sz w:val="20"/>
        </w:rPr>
        <w:t>Comment Sought on Scoping Document for Development of a Proposed Program Comment to Govern Review of Positive Train Control Facilities Under Section 106 of the National Historic Preservation Act</w:t>
      </w:r>
      <w:r w:rsidR="00D344E5">
        <w:rPr>
          <w:sz w:val="20"/>
        </w:rPr>
        <w:t xml:space="preserve">, </w:t>
      </w:r>
      <w:r w:rsidR="00D344E5" w:rsidRPr="001124A3">
        <w:rPr>
          <w:sz w:val="20"/>
        </w:rPr>
        <w:t>Public Notice</w:t>
      </w:r>
      <w:r w:rsidR="004F2066">
        <w:rPr>
          <w:sz w:val="20"/>
        </w:rPr>
        <w:t>, 28 FCC Rcd 13852, 13853</w:t>
      </w:r>
      <w:r w:rsidR="00D344E5">
        <w:rPr>
          <w:sz w:val="20"/>
        </w:rPr>
        <w:t xml:space="preserve"> (</w:t>
      </w:r>
      <w:r w:rsidR="005A062B">
        <w:rPr>
          <w:sz w:val="20"/>
        </w:rPr>
        <w:t xml:space="preserve">WTB rel. </w:t>
      </w:r>
      <w:r w:rsidR="00D344E5">
        <w:rPr>
          <w:sz w:val="20"/>
        </w:rPr>
        <w:t xml:space="preserve">Sept. 27, 2013) </w:t>
      </w:r>
      <w:r w:rsidR="004F2066">
        <w:rPr>
          <w:sz w:val="20"/>
        </w:rPr>
        <w:t xml:space="preserve">(proceeding exempt under Commission’s </w:t>
      </w:r>
      <w:r w:rsidR="004F2066" w:rsidRPr="000F4560">
        <w:rPr>
          <w:i/>
          <w:sz w:val="20"/>
        </w:rPr>
        <w:t>ex parte</w:t>
      </w:r>
      <w:r w:rsidR="004F2066">
        <w:rPr>
          <w:sz w:val="20"/>
        </w:rPr>
        <w:t xml:space="preserve"> rules).</w:t>
      </w:r>
    </w:p>
  </w:footnote>
  <w:footnote w:id="16">
    <w:p w14:paraId="51E85D10" w14:textId="77777777" w:rsidR="00876D7E" w:rsidRPr="004117FC" w:rsidRDefault="00876D7E" w:rsidP="00776BBA">
      <w:pPr>
        <w:pStyle w:val="FootnoteText"/>
        <w:spacing w:after="120"/>
        <w:rPr>
          <w:sz w:val="20"/>
        </w:rPr>
      </w:pPr>
      <w:r w:rsidRPr="00987CEF">
        <w:rPr>
          <w:rStyle w:val="FootnoteReference"/>
          <w:sz w:val="20"/>
        </w:rPr>
        <w:footnoteRef/>
      </w:r>
      <w:r>
        <w:rPr>
          <w:sz w:val="20"/>
        </w:rPr>
        <w:t xml:space="preserve"> 36 C.F.R. § 800.14(a)(1)</w:t>
      </w:r>
      <w:r w:rsidR="00C66CBF">
        <w:rPr>
          <w:sz w:val="20"/>
        </w:rPr>
        <w:t>; s</w:t>
      </w:r>
      <w:r>
        <w:rPr>
          <w:i/>
          <w:sz w:val="20"/>
        </w:rPr>
        <w:t xml:space="preserve">ee also </w:t>
      </w:r>
      <w:r>
        <w:rPr>
          <w:sz w:val="20"/>
        </w:rPr>
        <w:t>36 C.F.R. § 800.14(e)(5)(i) (requiring that if the ACHP comments, the agency shall publish notice in the Federal Register of the ACHP’s comments).</w:t>
      </w:r>
    </w:p>
  </w:footnote>
  <w:footnote w:id="17">
    <w:p w14:paraId="5A472127" w14:textId="77777777" w:rsidR="00876D7E" w:rsidRPr="009D0BDB" w:rsidRDefault="00876D7E" w:rsidP="00870897">
      <w:pPr>
        <w:pStyle w:val="FootnoteText"/>
        <w:spacing w:after="120"/>
        <w:rPr>
          <w:sz w:val="20"/>
        </w:rPr>
      </w:pPr>
      <w:r w:rsidRPr="009D0BDB">
        <w:rPr>
          <w:rStyle w:val="FootnoteReference"/>
          <w:sz w:val="20"/>
        </w:rPr>
        <w:footnoteRef/>
      </w:r>
      <w:r w:rsidRPr="009D0BDB">
        <w:rPr>
          <w:sz w:val="20"/>
        </w:rPr>
        <w:t xml:space="preserve"> 54 U.S.C. § 306108 (formerly codified at16 U.S.C. § 470f).</w:t>
      </w:r>
    </w:p>
  </w:footnote>
  <w:footnote w:id="18">
    <w:p w14:paraId="644F352E" w14:textId="77777777" w:rsidR="00787003" w:rsidRPr="009D0BDB" w:rsidRDefault="00787003" w:rsidP="00870897">
      <w:pPr>
        <w:pStyle w:val="FootnoteText"/>
        <w:spacing w:after="120"/>
        <w:rPr>
          <w:sz w:val="20"/>
        </w:rPr>
      </w:pPr>
      <w:r w:rsidRPr="009D0BDB">
        <w:rPr>
          <w:rStyle w:val="FootnoteReference"/>
          <w:sz w:val="20"/>
        </w:rPr>
        <w:footnoteRef/>
      </w:r>
      <w:r w:rsidRPr="009D0BDB">
        <w:rPr>
          <w:sz w:val="20"/>
        </w:rPr>
        <w:t xml:space="preserve"> Statement of Policy on Establishing a Government-to-Government Relationship with Indian Tribes, </w:t>
      </w:r>
      <w:r w:rsidRPr="00214851">
        <w:rPr>
          <w:i/>
          <w:sz w:val="20"/>
        </w:rPr>
        <w:t>Policy Statement</w:t>
      </w:r>
      <w:r w:rsidRPr="009D0BDB">
        <w:rPr>
          <w:sz w:val="20"/>
        </w:rPr>
        <w:t>, 16 FCC Rcd 4078, 4081 (2000).</w:t>
      </w:r>
    </w:p>
  </w:footnote>
  <w:footnote w:id="19">
    <w:p w14:paraId="75CFB60C" w14:textId="77777777" w:rsidR="00876D7E" w:rsidRPr="009D0BDB" w:rsidRDefault="00876D7E" w:rsidP="00870897">
      <w:pPr>
        <w:pStyle w:val="FootnoteText"/>
        <w:spacing w:after="120"/>
        <w:rPr>
          <w:sz w:val="20"/>
        </w:rPr>
      </w:pPr>
      <w:r w:rsidRPr="009D0BDB">
        <w:rPr>
          <w:rStyle w:val="FootnoteReference"/>
          <w:sz w:val="20"/>
        </w:rPr>
        <w:footnoteRef/>
      </w:r>
      <w:r w:rsidRPr="009D0BDB">
        <w:rPr>
          <w:sz w:val="20"/>
        </w:rPr>
        <w:t xml:space="preserve"> </w:t>
      </w:r>
      <w:r w:rsidRPr="009D0BDB">
        <w:rPr>
          <w:i/>
          <w:sz w:val="20"/>
        </w:rPr>
        <w:t>See</w:t>
      </w:r>
      <w:r w:rsidRPr="009D0BDB">
        <w:rPr>
          <w:sz w:val="20"/>
        </w:rPr>
        <w:t xml:space="preserve"> 47 C.F.R. Part 1, App. B, </w:t>
      </w:r>
      <w:r w:rsidRPr="009D0BDB">
        <w:rPr>
          <w:i/>
          <w:sz w:val="20"/>
        </w:rPr>
        <w:t>Nationwide Programmatic Agreement for the Collocation of Wireless Antennas</w:t>
      </w:r>
      <w:r w:rsidRPr="009D0BDB">
        <w:rPr>
          <w:sz w:val="20"/>
        </w:rPr>
        <w:t xml:space="preserve"> (Collocation Agreement).</w:t>
      </w:r>
    </w:p>
  </w:footnote>
  <w:footnote w:id="20">
    <w:p w14:paraId="3C87E53E" w14:textId="77777777" w:rsidR="00876D7E" w:rsidRPr="009D0BDB" w:rsidRDefault="00876D7E" w:rsidP="00870897">
      <w:pPr>
        <w:pStyle w:val="FootnoteText"/>
        <w:spacing w:after="120"/>
        <w:rPr>
          <w:sz w:val="20"/>
        </w:rPr>
      </w:pPr>
      <w:r w:rsidRPr="009D0BDB">
        <w:rPr>
          <w:rStyle w:val="FootnoteReference"/>
          <w:sz w:val="20"/>
        </w:rPr>
        <w:footnoteRef/>
      </w:r>
      <w:r w:rsidRPr="009D0BDB">
        <w:rPr>
          <w:sz w:val="20"/>
        </w:rPr>
        <w:t xml:space="preserve"> </w:t>
      </w:r>
      <w:r w:rsidRPr="009D0BDB">
        <w:rPr>
          <w:i/>
          <w:sz w:val="20"/>
        </w:rPr>
        <w:t>See</w:t>
      </w:r>
      <w:r w:rsidRPr="009D0BDB">
        <w:rPr>
          <w:sz w:val="20"/>
        </w:rPr>
        <w:t xml:space="preserve"> 36 C.F.R. § 800.14(b) (programmatic agreements as one program alternative).  We will follow the ACHP rules in </w:t>
      </w:r>
      <w:r>
        <w:rPr>
          <w:sz w:val="20"/>
        </w:rPr>
        <w:t>developing</w:t>
      </w:r>
      <w:r w:rsidRPr="009D0BDB">
        <w:rPr>
          <w:sz w:val="20"/>
        </w:rPr>
        <w:t xml:space="preserve"> this amendment </w:t>
      </w:r>
      <w:r>
        <w:rPr>
          <w:sz w:val="20"/>
        </w:rPr>
        <w:t>to</w:t>
      </w:r>
      <w:r w:rsidRPr="009D0BDB">
        <w:rPr>
          <w:sz w:val="20"/>
        </w:rPr>
        <w:t xml:space="preserve"> the Collocation Agreement.  </w:t>
      </w:r>
      <w:r w:rsidRPr="009D0BDB">
        <w:rPr>
          <w:i/>
          <w:sz w:val="20"/>
        </w:rPr>
        <w:t>See</w:t>
      </w:r>
      <w:r w:rsidRPr="009D0BDB">
        <w:rPr>
          <w:sz w:val="20"/>
        </w:rPr>
        <w:t xml:space="preserve"> 36 C.F.R. § 800.14(b)(2).</w:t>
      </w:r>
    </w:p>
  </w:footnote>
  <w:footnote w:id="21">
    <w:p w14:paraId="4472512B" w14:textId="0CCEC73D" w:rsidR="00876D7E" w:rsidRDefault="00876D7E" w:rsidP="00870897">
      <w:pPr>
        <w:pStyle w:val="FootnoteText"/>
        <w:spacing w:after="120"/>
      </w:pPr>
      <w:r>
        <w:rPr>
          <w:rStyle w:val="FootnoteReference"/>
        </w:rPr>
        <w:footnoteRef/>
      </w:r>
      <w:r>
        <w:t xml:space="preserve"> </w:t>
      </w:r>
      <w:r w:rsidRPr="00C30167">
        <w:rPr>
          <w:i/>
          <w:sz w:val="20"/>
        </w:rPr>
        <w:t>See</w:t>
      </w:r>
      <w:r w:rsidRPr="00C30167">
        <w:rPr>
          <w:sz w:val="20"/>
        </w:rPr>
        <w:t xml:space="preserve"> </w:t>
      </w:r>
      <w:r w:rsidRPr="00BA1ABF">
        <w:rPr>
          <w:sz w:val="20"/>
        </w:rPr>
        <w:t>Acceleration of Broadband Deployment by Improving Wireless Facilities Siting Policies, WT Docket Nos</w:t>
      </w:r>
      <w:r w:rsidRPr="00C30167">
        <w:rPr>
          <w:sz w:val="20"/>
        </w:rPr>
        <w:t>. 13-238, 13-32, WC Docket No. 11-59, </w:t>
      </w:r>
      <w:r w:rsidRPr="00C30167">
        <w:rPr>
          <w:i/>
          <w:iCs/>
          <w:sz w:val="20"/>
        </w:rPr>
        <w:t>Report and Order</w:t>
      </w:r>
      <w:r w:rsidRPr="00C30167">
        <w:rPr>
          <w:sz w:val="20"/>
        </w:rPr>
        <w:t xml:space="preserve">, </w:t>
      </w:r>
      <w:r w:rsidR="00013867">
        <w:rPr>
          <w:sz w:val="20"/>
        </w:rPr>
        <w:t xml:space="preserve">29 FCC Rcd 12865, </w:t>
      </w:r>
      <w:r w:rsidR="002F3133">
        <w:rPr>
          <w:sz w:val="20"/>
        </w:rPr>
        <w:t>12906-12 par</w:t>
      </w:r>
      <w:r w:rsidRPr="00C30167">
        <w:rPr>
          <w:sz w:val="20"/>
        </w:rPr>
        <w:t>a</w:t>
      </w:r>
      <w:r>
        <w:rPr>
          <w:sz w:val="20"/>
        </w:rPr>
        <w:t>s</w:t>
      </w:r>
      <w:r w:rsidRPr="00C30167">
        <w:rPr>
          <w:sz w:val="20"/>
        </w:rPr>
        <w:t xml:space="preserve">. </w:t>
      </w:r>
      <w:r>
        <w:rPr>
          <w:sz w:val="20"/>
        </w:rPr>
        <w:t>90-103</w:t>
      </w:r>
      <w:r w:rsidRPr="00C30167">
        <w:rPr>
          <w:sz w:val="20"/>
        </w:rPr>
        <w:t xml:space="preserve"> (2014)</w:t>
      </w:r>
      <w:r w:rsidR="00707066">
        <w:rPr>
          <w:sz w:val="20"/>
        </w:rPr>
        <w:t xml:space="preserve">; </w:t>
      </w:r>
      <w:r w:rsidR="00707066" w:rsidRPr="00013867">
        <w:rPr>
          <w:i/>
          <w:sz w:val="20"/>
        </w:rPr>
        <w:t>Erratum</w:t>
      </w:r>
      <w:r w:rsidR="00707066">
        <w:rPr>
          <w:sz w:val="20"/>
        </w:rPr>
        <w:t>, 30 FCC Rcd 31 (201</w:t>
      </w:r>
      <w:r w:rsidR="002F3133">
        <w:rPr>
          <w:sz w:val="20"/>
        </w:rPr>
        <w:t>5</w:t>
      </w:r>
      <w:r w:rsidR="00707066">
        <w:rPr>
          <w:sz w:val="20"/>
        </w:rPr>
        <w:t xml:space="preserve">) </w:t>
      </w:r>
      <w:r w:rsidRPr="00C30167">
        <w:rPr>
          <w:sz w:val="20"/>
        </w:rPr>
        <w:t>(</w:t>
      </w:r>
      <w:r w:rsidRPr="00102062">
        <w:rPr>
          <w:i/>
          <w:sz w:val="20"/>
        </w:rPr>
        <w:t>Infrastructure Report and Order</w:t>
      </w:r>
      <w:r w:rsidRPr="00C30167">
        <w:rPr>
          <w:sz w:val="20"/>
        </w:rPr>
        <w:t>).</w:t>
      </w:r>
    </w:p>
  </w:footnote>
  <w:footnote w:id="22">
    <w:p w14:paraId="3525B3FD" w14:textId="52A6DEDD" w:rsidR="00CA33CC" w:rsidRPr="00CA33CC" w:rsidRDefault="00CA33CC" w:rsidP="00870897">
      <w:pPr>
        <w:pStyle w:val="FootnoteText"/>
        <w:spacing w:after="120"/>
        <w:rPr>
          <w:sz w:val="20"/>
        </w:rPr>
      </w:pPr>
      <w:r w:rsidRPr="00CA33CC">
        <w:rPr>
          <w:rStyle w:val="FootnoteReference"/>
          <w:sz w:val="20"/>
        </w:rPr>
        <w:footnoteRef/>
      </w:r>
      <w:r w:rsidRPr="00CA33CC">
        <w:rPr>
          <w:sz w:val="20"/>
        </w:rPr>
        <w:t xml:space="preserve"> </w:t>
      </w:r>
      <w:r w:rsidRPr="00DE1D37">
        <w:rPr>
          <w:i/>
          <w:sz w:val="20"/>
        </w:rPr>
        <w:t>Secretary of the Interior’s Standards for the Treatment of Historic Properties with Guidelines for Preserving, Rehabilitating, Restoring and Restructuring Historic Buildings</w:t>
      </w:r>
      <w:r w:rsidRPr="00CA33CC">
        <w:rPr>
          <w:sz w:val="20"/>
        </w:rPr>
        <w:t xml:space="preserve">, </w:t>
      </w:r>
      <w:r w:rsidRPr="00DE1D37">
        <w:rPr>
          <w:sz w:val="20"/>
        </w:rPr>
        <w:t>available at</w:t>
      </w:r>
      <w:r w:rsidRPr="00CA33CC">
        <w:rPr>
          <w:sz w:val="20"/>
        </w:rPr>
        <w:t xml:space="preserve"> </w:t>
      </w:r>
      <w:hyperlink r:id="rId1" w:history="1">
        <w:r w:rsidR="00787003" w:rsidRPr="00D116C1">
          <w:rPr>
            <w:rStyle w:val="Hyperlink"/>
            <w:sz w:val="20"/>
          </w:rPr>
          <w:t>http://www.nps.gov/tps/standards/four-treatments/standguide/index.htm</w:t>
        </w:r>
      </w:hyperlink>
      <w:r w:rsidR="00787003">
        <w:rPr>
          <w:sz w:val="20"/>
        </w:rPr>
        <w:t xml:space="preserve"> (Secretary of the Interior’s Standards)</w:t>
      </w:r>
      <w:r w:rsidRPr="00CA33CC">
        <w:rPr>
          <w:sz w:val="20"/>
        </w:rPr>
        <w:t>.</w:t>
      </w:r>
    </w:p>
  </w:footnote>
  <w:footnote w:id="23">
    <w:p w14:paraId="0B7B7815" w14:textId="537DC305" w:rsidR="000A6536" w:rsidRDefault="000A6536" w:rsidP="00870897">
      <w:pPr>
        <w:pStyle w:val="FootnoteText"/>
        <w:spacing w:after="120"/>
      </w:pPr>
      <w:r>
        <w:rPr>
          <w:rStyle w:val="FootnoteReference"/>
        </w:rPr>
        <w:footnoteRef/>
      </w:r>
      <w:r>
        <w:t xml:space="preserve"> </w:t>
      </w:r>
      <w:r w:rsidRPr="00620C0B">
        <w:rPr>
          <w:sz w:val="20"/>
        </w:rPr>
        <w:t xml:space="preserve">Small cells are low-powered wireless base stations that function like cells in a mobile network but provide significantly smaller coverage area than traditional </w:t>
      </w:r>
      <w:r>
        <w:rPr>
          <w:sz w:val="20"/>
        </w:rPr>
        <w:t xml:space="preserve">cell tower deployments, often known as </w:t>
      </w:r>
      <w:r w:rsidRPr="00620C0B">
        <w:rPr>
          <w:sz w:val="20"/>
        </w:rPr>
        <w:t>macrocells</w:t>
      </w:r>
      <w:r>
        <w:rPr>
          <w:sz w:val="20"/>
        </w:rPr>
        <w:t xml:space="preserve">.  </w:t>
      </w:r>
      <w:r w:rsidRPr="00620C0B">
        <w:rPr>
          <w:sz w:val="20"/>
        </w:rPr>
        <w:t>DAS networks represent another wireless alternative to macrocells, but differ from small cells in that, whereas each small-cell deployment includes its own transceiver equipment that generally serves on</w:t>
      </w:r>
      <w:r w:rsidR="008E5D6B">
        <w:rPr>
          <w:sz w:val="20"/>
        </w:rPr>
        <w:t>e</w:t>
      </w:r>
      <w:r w:rsidRPr="00620C0B">
        <w:rPr>
          <w:sz w:val="20"/>
        </w:rPr>
        <w:t xml:space="preserve"> wireless carrier/operator, a DAS network involves the use of transceiver equipment at a central hub site to support multiple antenna locations throughout the desired coverage area and in “neutral-host” deployments can serve multiple wireless carriers/operators.</w:t>
      </w:r>
    </w:p>
  </w:footnote>
  <w:footnote w:id="24">
    <w:p w14:paraId="5E9B1204" w14:textId="4E97D8DB" w:rsidR="00876D7E" w:rsidRPr="00CD2B1D" w:rsidRDefault="00876D7E" w:rsidP="00870897">
      <w:pPr>
        <w:pStyle w:val="FootnoteText"/>
        <w:spacing w:after="120"/>
        <w:rPr>
          <w:sz w:val="20"/>
        </w:rPr>
      </w:pPr>
      <w:r w:rsidRPr="00CD2B1D">
        <w:rPr>
          <w:rStyle w:val="FootnoteReference"/>
          <w:sz w:val="20"/>
        </w:rPr>
        <w:footnoteRef/>
      </w:r>
      <w:r w:rsidRPr="00CD2B1D">
        <w:rPr>
          <w:sz w:val="20"/>
        </w:rPr>
        <w:t xml:space="preserve"> </w:t>
      </w:r>
      <w:r w:rsidRPr="00102062">
        <w:rPr>
          <w:i/>
          <w:sz w:val="20"/>
        </w:rPr>
        <w:t>See Infrastructure Report and Order</w:t>
      </w:r>
      <w:r>
        <w:rPr>
          <w:sz w:val="20"/>
        </w:rPr>
        <w:t xml:space="preserve">, </w:t>
      </w:r>
      <w:r w:rsidRPr="00CD2B1D">
        <w:rPr>
          <w:sz w:val="20"/>
        </w:rPr>
        <w:t>29 FCC Rcd at</w:t>
      </w:r>
      <w:r>
        <w:rPr>
          <w:sz w:val="20"/>
        </w:rPr>
        <w:t xml:space="preserve"> 12901-12 paras. 76-103</w:t>
      </w:r>
      <w:r w:rsidR="00374B29">
        <w:rPr>
          <w:sz w:val="20"/>
        </w:rPr>
        <w:t>.</w:t>
      </w:r>
      <w:r w:rsidR="00DE1D37">
        <w:rPr>
          <w:sz w:val="20"/>
        </w:rPr>
        <w:t xml:space="preserve"> </w:t>
      </w:r>
      <w:r w:rsidR="001B6DC9">
        <w:rPr>
          <w:sz w:val="20"/>
        </w:rPr>
        <w:t xml:space="preserve"> </w:t>
      </w:r>
      <w:r w:rsidR="00374B29">
        <w:rPr>
          <w:sz w:val="20"/>
        </w:rPr>
        <w:t>These</w:t>
      </w:r>
      <w:r>
        <w:rPr>
          <w:sz w:val="20"/>
        </w:rPr>
        <w:t xml:space="preserve"> exclusions are described in Section III, below. </w:t>
      </w:r>
    </w:p>
  </w:footnote>
  <w:footnote w:id="25">
    <w:p w14:paraId="7E0F0322" w14:textId="77777777" w:rsidR="00876D7E" w:rsidRPr="00CD2B1D" w:rsidRDefault="00876D7E" w:rsidP="00870897">
      <w:pPr>
        <w:pStyle w:val="FootnoteText"/>
        <w:spacing w:after="120"/>
        <w:rPr>
          <w:sz w:val="20"/>
        </w:rPr>
      </w:pPr>
      <w:r w:rsidRPr="00CD2B1D">
        <w:rPr>
          <w:rStyle w:val="FootnoteReference"/>
          <w:sz w:val="20"/>
        </w:rPr>
        <w:footnoteRef/>
      </w:r>
      <w:r w:rsidRPr="00CD2B1D">
        <w:rPr>
          <w:sz w:val="20"/>
        </w:rPr>
        <w:t xml:space="preserve"> </w:t>
      </w:r>
      <w:r w:rsidRPr="00102062">
        <w:rPr>
          <w:i/>
          <w:sz w:val="20"/>
        </w:rPr>
        <w:t>Id</w:t>
      </w:r>
      <w:r w:rsidRPr="00CD2B1D">
        <w:rPr>
          <w:sz w:val="20"/>
        </w:rPr>
        <w:t>.</w:t>
      </w:r>
      <w:r w:rsidR="00926F47">
        <w:rPr>
          <w:sz w:val="20"/>
        </w:rPr>
        <w:t xml:space="preserve"> </w:t>
      </w:r>
      <w:r w:rsidRPr="00CD2B1D">
        <w:rPr>
          <w:sz w:val="20"/>
        </w:rPr>
        <w:t xml:space="preserve">at </w:t>
      </w:r>
      <w:r>
        <w:rPr>
          <w:sz w:val="20"/>
        </w:rPr>
        <w:t xml:space="preserve">12871 </w:t>
      </w:r>
      <w:r w:rsidRPr="00CD2B1D">
        <w:rPr>
          <w:sz w:val="20"/>
        </w:rPr>
        <w:t>para. 13.</w:t>
      </w:r>
    </w:p>
  </w:footnote>
  <w:footnote w:id="26">
    <w:p w14:paraId="20F82DD5" w14:textId="77777777" w:rsidR="00876D7E" w:rsidRPr="00CD2B1D" w:rsidRDefault="00876D7E" w:rsidP="00870897">
      <w:pPr>
        <w:pStyle w:val="FootnoteText"/>
        <w:spacing w:after="120"/>
        <w:rPr>
          <w:sz w:val="20"/>
        </w:rPr>
      </w:pPr>
      <w:r w:rsidRPr="00CD2B1D">
        <w:rPr>
          <w:rStyle w:val="FootnoteReference"/>
          <w:sz w:val="20"/>
        </w:rPr>
        <w:footnoteRef/>
      </w:r>
      <w:r w:rsidRPr="00CD2B1D">
        <w:rPr>
          <w:sz w:val="20"/>
        </w:rPr>
        <w:t xml:space="preserve"> </w:t>
      </w:r>
      <w:r w:rsidRPr="00CD2B1D">
        <w:rPr>
          <w:i/>
          <w:sz w:val="20"/>
        </w:rPr>
        <w:t>Id.</w:t>
      </w:r>
      <w:r>
        <w:rPr>
          <w:sz w:val="20"/>
        </w:rPr>
        <w:t xml:space="preserve"> </w:t>
      </w:r>
    </w:p>
  </w:footnote>
  <w:footnote w:id="27">
    <w:p w14:paraId="6C030F3B" w14:textId="3732A8E8" w:rsidR="00876D7E" w:rsidRPr="002F3133" w:rsidRDefault="00876D7E" w:rsidP="00870897">
      <w:pPr>
        <w:pStyle w:val="FootnoteText"/>
        <w:spacing w:after="120"/>
        <w:rPr>
          <w:sz w:val="20"/>
        </w:rPr>
      </w:pPr>
      <w:r w:rsidRPr="002F3133">
        <w:rPr>
          <w:rStyle w:val="FootnoteReference"/>
          <w:sz w:val="20"/>
        </w:rPr>
        <w:footnoteRef/>
      </w:r>
      <w:r w:rsidRPr="002F3133">
        <w:rPr>
          <w:sz w:val="20"/>
        </w:rPr>
        <w:t xml:space="preserve"> </w:t>
      </w:r>
      <w:r w:rsidR="002F3133" w:rsidRPr="002F3133">
        <w:rPr>
          <w:i/>
          <w:sz w:val="20"/>
        </w:rPr>
        <w:t>Id</w:t>
      </w:r>
      <w:r w:rsidR="002F3133" w:rsidRPr="002F3133">
        <w:rPr>
          <w:sz w:val="20"/>
        </w:rPr>
        <w:t>.</w:t>
      </w:r>
      <w:r w:rsidR="00926F47">
        <w:rPr>
          <w:sz w:val="20"/>
        </w:rPr>
        <w:t xml:space="preserve"> at </w:t>
      </w:r>
      <w:r w:rsidR="002F3133" w:rsidRPr="002F3133">
        <w:rPr>
          <w:sz w:val="20"/>
        </w:rPr>
        <w:t xml:space="preserve">12876-77 paras. </w:t>
      </w:r>
      <w:r w:rsidR="00D53957" w:rsidRPr="002F3133">
        <w:rPr>
          <w:sz w:val="20"/>
        </w:rPr>
        <w:t>23-27.</w:t>
      </w:r>
    </w:p>
  </w:footnote>
  <w:footnote w:id="28">
    <w:p w14:paraId="4C6C35E1" w14:textId="22A72A5B"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00526C27" w:rsidRPr="00526C27">
        <w:rPr>
          <w:i/>
          <w:sz w:val="20"/>
        </w:rPr>
        <w:t xml:space="preserve"> </w:t>
      </w:r>
      <w:r w:rsidR="00526C27">
        <w:rPr>
          <w:i/>
          <w:sz w:val="20"/>
        </w:rPr>
        <w:t>i</w:t>
      </w:r>
      <w:r w:rsidR="00526C27" w:rsidRPr="00526C27">
        <w:rPr>
          <w:i/>
          <w:sz w:val="20"/>
        </w:rPr>
        <w:t>d.</w:t>
      </w:r>
      <w:r w:rsidR="00526C27">
        <w:rPr>
          <w:sz w:val="20"/>
        </w:rPr>
        <w:t xml:space="preserve"> at</w:t>
      </w:r>
      <w:r w:rsidRPr="001C761F">
        <w:rPr>
          <w:sz w:val="20"/>
        </w:rPr>
        <w:t xml:space="preserve"> 12878-79 para. 30.</w:t>
      </w:r>
    </w:p>
  </w:footnote>
  <w:footnote w:id="29">
    <w:p w14:paraId="6E5BE4DB" w14:textId="0210AC2B"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 xml:space="preserve">See </w:t>
      </w:r>
      <w:r w:rsidR="008E5D6B">
        <w:rPr>
          <w:i/>
          <w:sz w:val="20"/>
        </w:rPr>
        <w:t>id</w:t>
      </w:r>
      <w:r w:rsidR="008E5D6B" w:rsidRPr="000F4560">
        <w:rPr>
          <w:sz w:val="20"/>
        </w:rPr>
        <w:t>.</w:t>
      </w:r>
      <w:r w:rsidRPr="001C761F">
        <w:rPr>
          <w:sz w:val="20"/>
        </w:rPr>
        <w:t xml:space="preserve"> at </w:t>
      </w:r>
      <w:r w:rsidR="00E3632B">
        <w:rPr>
          <w:sz w:val="20"/>
        </w:rPr>
        <w:t xml:space="preserve">12878-79 </w:t>
      </w:r>
      <w:r w:rsidRPr="001C761F">
        <w:rPr>
          <w:sz w:val="20"/>
        </w:rPr>
        <w:t xml:space="preserve">para. 30; Amendment of the Commission’s Rules with Regard to Commercial Operations in the 3550-3650 MHz Band, GN Docket No. 12-354, </w:t>
      </w:r>
      <w:r w:rsidRPr="001C761F">
        <w:rPr>
          <w:i/>
          <w:sz w:val="20"/>
        </w:rPr>
        <w:t>Notice of Proposed Rulemaking and Order</w:t>
      </w:r>
      <w:r w:rsidRPr="001C761F">
        <w:rPr>
          <w:sz w:val="20"/>
        </w:rPr>
        <w:t>, 27 FCC Rcd 15594, 15596 para. 4, 15605 para. 30 (2012) (</w:t>
      </w:r>
      <w:r w:rsidRPr="001C761F">
        <w:rPr>
          <w:i/>
          <w:sz w:val="20"/>
        </w:rPr>
        <w:t>3.5 GHz Service Rules NPRM</w:t>
      </w:r>
      <w:r w:rsidRPr="001C761F">
        <w:rPr>
          <w:sz w:val="20"/>
        </w:rPr>
        <w:t xml:space="preserve">).  </w:t>
      </w:r>
    </w:p>
  </w:footnote>
  <w:footnote w:id="30">
    <w:p w14:paraId="5667A9E2" w14:textId="77777777" w:rsidR="00876D7E" w:rsidRPr="001C761F" w:rsidRDefault="00876D7E" w:rsidP="00870897">
      <w:pPr>
        <w:pStyle w:val="FootnoteText"/>
        <w:spacing w:after="120"/>
        <w:rPr>
          <w:i/>
          <w:sz w:val="20"/>
        </w:rPr>
      </w:pPr>
      <w:r w:rsidRPr="001C761F">
        <w:rPr>
          <w:rStyle w:val="FootnoteReference"/>
          <w:sz w:val="20"/>
        </w:rPr>
        <w:footnoteRef/>
      </w:r>
      <w:r w:rsidRPr="001C761F">
        <w:rPr>
          <w:sz w:val="20"/>
        </w:rPr>
        <w:t xml:space="preserve"> </w:t>
      </w:r>
      <w:r w:rsidRPr="001C761F">
        <w:rPr>
          <w:i/>
          <w:sz w:val="20"/>
        </w:rPr>
        <w:t>See Infrastructure Report and Order</w:t>
      </w:r>
      <w:r w:rsidRPr="001C761F">
        <w:rPr>
          <w:sz w:val="20"/>
        </w:rPr>
        <w:t xml:space="preserve">, </w:t>
      </w:r>
      <w:r w:rsidRPr="00E56020">
        <w:rPr>
          <w:sz w:val="20"/>
        </w:rPr>
        <w:t xml:space="preserve">29 FCC Rcd at 12879 </w:t>
      </w:r>
      <w:r w:rsidRPr="001C761F">
        <w:rPr>
          <w:sz w:val="20"/>
        </w:rPr>
        <w:t xml:space="preserve">para. 30; </w:t>
      </w:r>
      <w:r w:rsidRPr="001C761F">
        <w:rPr>
          <w:i/>
          <w:sz w:val="20"/>
        </w:rPr>
        <w:t xml:space="preserve">3.5 GHz Service Rules NPRM, </w:t>
      </w:r>
      <w:r w:rsidRPr="001C761F">
        <w:rPr>
          <w:sz w:val="20"/>
        </w:rPr>
        <w:t xml:space="preserve">27 FCC Rcd at 15596 para. 4. </w:t>
      </w:r>
    </w:p>
  </w:footnote>
  <w:footnote w:id="31">
    <w:p w14:paraId="61ED148C" w14:textId="410E18B3"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Pr="001C761F">
        <w:rPr>
          <w:i/>
          <w:sz w:val="20"/>
        </w:rPr>
        <w:t>Infrastructure Report and Order</w:t>
      </w:r>
      <w:r w:rsidRPr="001C761F">
        <w:rPr>
          <w:sz w:val="20"/>
        </w:rPr>
        <w:t xml:space="preserve">, </w:t>
      </w:r>
      <w:r w:rsidRPr="00E56020">
        <w:rPr>
          <w:sz w:val="20"/>
        </w:rPr>
        <w:t xml:space="preserve">29 FCC Rcd at 12879 </w:t>
      </w:r>
      <w:r w:rsidRPr="001C761F">
        <w:rPr>
          <w:sz w:val="20"/>
        </w:rPr>
        <w:t>para. 31</w:t>
      </w:r>
      <w:r w:rsidRPr="00E56020">
        <w:rPr>
          <w:sz w:val="20"/>
        </w:rPr>
        <w:t xml:space="preserve">; </w:t>
      </w:r>
      <w:r w:rsidRPr="001C761F">
        <w:rPr>
          <w:sz w:val="20"/>
        </w:rPr>
        <w:t>“</w:t>
      </w:r>
      <w:r w:rsidRPr="00E56020">
        <w:rPr>
          <w:sz w:val="20"/>
        </w:rPr>
        <w:t>HetNet</w:t>
      </w:r>
      <w:r w:rsidRPr="001C761F">
        <w:rPr>
          <w:sz w:val="20"/>
        </w:rPr>
        <w:t xml:space="preserve"> </w:t>
      </w:r>
      <w:r w:rsidRPr="00E56020">
        <w:rPr>
          <w:sz w:val="20"/>
        </w:rPr>
        <w:t>F</w:t>
      </w:r>
      <w:r w:rsidRPr="001C761F">
        <w:rPr>
          <w:sz w:val="20"/>
        </w:rPr>
        <w:t xml:space="preserve">orum: Distributed Antenna Systems (DAS) And Small Cell Technologies Distinguished,” </w:t>
      </w:r>
      <w:r w:rsidRPr="00DE1D37">
        <w:rPr>
          <w:sz w:val="20"/>
        </w:rPr>
        <w:t>available at</w:t>
      </w:r>
      <w:r w:rsidRPr="001C761F">
        <w:rPr>
          <w:sz w:val="20"/>
        </w:rPr>
        <w:t xml:space="preserve"> </w:t>
      </w:r>
      <w:hyperlink r:id="rId2" w:history="1">
        <w:r w:rsidRPr="001B6DC9">
          <w:rPr>
            <w:rStyle w:val="Hyperlink"/>
            <w:sz w:val="20"/>
          </w:rPr>
          <w:t>http://c.ymcdn.com/sites/portal.pcia.com/resource/resmgr/Research_Documents/DAS_and_Small_Cell_Technolog.pdf</w:t>
        </w:r>
      </w:hyperlink>
      <w:r w:rsidRPr="001C761F">
        <w:rPr>
          <w:sz w:val="20"/>
        </w:rPr>
        <w:t xml:space="preserve"> at </w:t>
      </w:r>
      <w:r w:rsidR="00B83A9F">
        <w:rPr>
          <w:sz w:val="20"/>
        </w:rPr>
        <w:t>3</w:t>
      </w:r>
      <w:r w:rsidRPr="001C761F">
        <w:rPr>
          <w:sz w:val="20"/>
        </w:rPr>
        <w:t>.</w:t>
      </w:r>
    </w:p>
  </w:footnote>
  <w:footnote w:id="32">
    <w:p w14:paraId="5F3A29B5" w14:textId="0B07AEB7"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Pr="001C761F">
        <w:rPr>
          <w:i/>
          <w:sz w:val="20"/>
        </w:rPr>
        <w:t>Infrastructure Report and Order</w:t>
      </w:r>
      <w:r w:rsidRPr="001C761F">
        <w:rPr>
          <w:sz w:val="20"/>
        </w:rPr>
        <w:t xml:space="preserve">, </w:t>
      </w:r>
      <w:r w:rsidRPr="003A6353">
        <w:rPr>
          <w:sz w:val="20"/>
        </w:rPr>
        <w:t xml:space="preserve">29 FCC Rcd at 12879 </w:t>
      </w:r>
      <w:r w:rsidRPr="001C761F">
        <w:rPr>
          <w:sz w:val="20"/>
        </w:rPr>
        <w:t>para. 31</w:t>
      </w:r>
      <w:r>
        <w:rPr>
          <w:sz w:val="20"/>
        </w:rPr>
        <w:t xml:space="preserve">; </w:t>
      </w:r>
      <w:r w:rsidRPr="001C761F">
        <w:rPr>
          <w:sz w:val="20"/>
        </w:rPr>
        <w:t>“</w:t>
      </w:r>
      <w:r>
        <w:rPr>
          <w:sz w:val="20"/>
        </w:rPr>
        <w:t>HetNet F</w:t>
      </w:r>
      <w:r w:rsidRPr="001C761F">
        <w:rPr>
          <w:sz w:val="20"/>
        </w:rPr>
        <w:t xml:space="preserve">orum: Distributed Antenna Systems (DAS) And Small Cell Technologies Distinguished,” </w:t>
      </w:r>
      <w:r w:rsidRPr="00DE1D37">
        <w:rPr>
          <w:sz w:val="20"/>
        </w:rPr>
        <w:t xml:space="preserve">available at </w:t>
      </w:r>
      <w:hyperlink r:id="rId3" w:history="1">
        <w:r w:rsidRPr="007148F5">
          <w:rPr>
            <w:rStyle w:val="Hyperlink"/>
            <w:sz w:val="20"/>
          </w:rPr>
          <w:t>http://c.ymcdn.com/sites/portal.pcia.com/resource/resmgr/Research_Documents/DAS_and_Small_Cell_Technolog.pdf</w:t>
        </w:r>
      </w:hyperlink>
      <w:r>
        <w:rPr>
          <w:sz w:val="20"/>
        </w:rPr>
        <w:t xml:space="preserve"> </w:t>
      </w:r>
      <w:r w:rsidRPr="001C761F">
        <w:rPr>
          <w:sz w:val="20"/>
        </w:rPr>
        <w:t xml:space="preserve">at </w:t>
      </w:r>
      <w:r w:rsidR="00B83A9F">
        <w:rPr>
          <w:sz w:val="20"/>
        </w:rPr>
        <w:t>3</w:t>
      </w:r>
      <w:r w:rsidRPr="001C761F">
        <w:rPr>
          <w:sz w:val="20"/>
        </w:rPr>
        <w:t>.</w:t>
      </w:r>
    </w:p>
  </w:footnote>
  <w:footnote w:id="33">
    <w:p w14:paraId="555EDF57" w14:textId="1889D171"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Pr="001C761F">
        <w:rPr>
          <w:i/>
          <w:sz w:val="20"/>
        </w:rPr>
        <w:t>Infrastructure Report and Order</w:t>
      </w:r>
      <w:r w:rsidRPr="001C761F">
        <w:rPr>
          <w:sz w:val="20"/>
        </w:rPr>
        <w:t xml:space="preserve">, </w:t>
      </w:r>
      <w:r w:rsidRPr="003A6353">
        <w:rPr>
          <w:sz w:val="20"/>
        </w:rPr>
        <w:t xml:space="preserve">29 FCC Rcd at 12879 </w:t>
      </w:r>
      <w:r w:rsidRPr="001C761F">
        <w:rPr>
          <w:sz w:val="20"/>
        </w:rPr>
        <w:t>para. 31</w:t>
      </w:r>
      <w:r>
        <w:rPr>
          <w:sz w:val="20"/>
        </w:rPr>
        <w:t xml:space="preserve"> </w:t>
      </w:r>
      <w:r w:rsidRPr="001C761F">
        <w:rPr>
          <w:sz w:val="20"/>
        </w:rPr>
        <w:t>(</w:t>
      </w:r>
      <w:r w:rsidRPr="001C761F">
        <w:rPr>
          <w:i/>
          <w:sz w:val="20"/>
        </w:rPr>
        <w:t>citing</w:t>
      </w:r>
      <w:r w:rsidRPr="001C761F">
        <w:rPr>
          <w:sz w:val="20"/>
        </w:rPr>
        <w:t xml:space="preserve"> </w:t>
      </w:r>
      <w:r w:rsidRPr="001C761F">
        <w:rPr>
          <w:i/>
          <w:iCs/>
          <w:sz w:val="20"/>
        </w:rPr>
        <w:t>“</w:t>
      </w:r>
      <w:r w:rsidRPr="001C761F">
        <w:rPr>
          <w:iCs/>
          <w:sz w:val="20"/>
        </w:rPr>
        <w:t xml:space="preserve">Small Cell Forum: What is a small cell?”, </w:t>
      </w:r>
      <w:r w:rsidRPr="001C761F">
        <w:rPr>
          <w:i/>
          <w:iCs/>
          <w:sz w:val="20"/>
        </w:rPr>
        <w:t>available at</w:t>
      </w:r>
      <w:r w:rsidRPr="001C761F">
        <w:rPr>
          <w:sz w:val="20"/>
        </w:rPr>
        <w:t xml:space="preserve"> </w:t>
      </w:r>
      <w:hyperlink r:id="rId4" w:history="1">
        <w:r w:rsidRPr="001C761F">
          <w:rPr>
            <w:rStyle w:val="Hyperlink"/>
            <w:sz w:val="20"/>
          </w:rPr>
          <w:t>http://www.smallcellforum.org/aboutsmallcells-small-cells-what-is-a-small-cell</w:t>
        </w:r>
      </w:hyperlink>
      <w:r>
        <w:rPr>
          <w:rStyle w:val="Hyperlink"/>
          <w:sz w:val="20"/>
        </w:rPr>
        <w:t xml:space="preserve">); </w:t>
      </w:r>
      <w:r w:rsidRPr="001C761F">
        <w:rPr>
          <w:sz w:val="20"/>
        </w:rPr>
        <w:t>“</w:t>
      </w:r>
      <w:r>
        <w:rPr>
          <w:sz w:val="20"/>
        </w:rPr>
        <w:t>HetNet Forum</w:t>
      </w:r>
      <w:r w:rsidRPr="001C761F">
        <w:rPr>
          <w:sz w:val="20"/>
        </w:rPr>
        <w:t xml:space="preserve">: Distributed Antenna Systems (DAS) And Small Cell Technologies Distinguished,” </w:t>
      </w:r>
      <w:r w:rsidRPr="00DE1D37">
        <w:rPr>
          <w:sz w:val="20"/>
        </w:rPr>
        <w:t>available at</w:t>
      </w:r>
      <w:r w:rsidRPr="001C761F">
        <w:rPr>
          <w:sz w:val="20"/>
        </w:rPr>
        <w:t xml:space="preserve">  </w:t>
      </w:r>
      <w:hyperlink r:id="rId5" w:history="1">
        <w:r w:rsidRPr="004700C8">
          <w:rPr>
            <w:rStyle w:val="Hyperlink"/>
            <w:sz w:val="20"/>
          </w:rPr>
          <w:t>http://c.ymcdn.com/sites/portal.pcia.com/resource/resmgr/Research_Documents/DAS_and_Small_Cell_Technolog.pdf</w:t>
        </w:r>
      </w:hyperlink>
      <w:r w:rsidRPr="001C761F">
        <w:rPr>
          <w:sz w:val="20"/>
        </w:rPr>
        <w:t xml:space="preserve">, at </w:t>
      </w:r>
      <w:r>
        <w:rPr>
          <w:sz w:val="20"/>
        </w:rPr>
        <w:t>4</w:t>
      </w:r>
      <w:r w:rsidRPr="001C761F">
        <w:rPr>
          <w:sz w:val="20"/>
        </w:rPr>
        <w:t xml:space="preserve">).  </w:t>
      </w:r>
    </w:p>
  </w:footnote>
  <w:footnote w:id="34">
    <w:p w14:paraId="33AAFD99" w14:textId="77777777" w:rsidR="00876D7E" w:rsidRDefault="00876D7E" w:rsidP="00870897">
      <w:pPr>
        <w:pStyle w:val="FootnoteText"/>
        <w:spacing w:after="120"/>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Pr="001C761F">
        <w:rPr>
          <w:i/>
          <w:sz w:val="20"/>
        </w:rPr>
        <w:t>Infrastructure Report and Order</w:t>
      </w:r>
      <w:r w:rsidRPr="001C761F">
        <w:rPr>
          <w:sz w:val="20"/>
        </w:rPr>
        <w:t xml:space="preserve">, </w:t>
      </w:r>
      <w:r w:rsidRPr="003A6353">
        <w:rPr>
          <w:sz w:val="20"/>
        </w:rPr>
        <w:t>29 FCC Rcd at 12880 par</w:t>
      </w:r>
      <w:r w:rsidRPr="001C761F">
        <w:rPr>
          <w:sz w:val="20"/>
        </w:rPr>
        <w:t>a. 32.</w:t>
      </w:r>
    </w:p>
  </w:footnote>
  <w:footnote w:id="35">
    <w:p w14:paraId="41CFAD20" w14:textId="6954E45E"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00926F47">
        <w:rPr>
          <w:i/>
          <w:sz w:val="20"/>
        </w:rPr>
        <w:t xml:space="preserve"> id.</w:t>
      </w:r>
      <w:r w:rsidRPr="006B3CA0">
        <w:rPr>
          <w:sz w:val="20"/>
        </w:rPr>
        <w:t xml:space="preserve"> at 12881</w:t>
      </w:r>
      <w:r w:rsidR="00B83A9F">
        <w:rPr>
          <w:sz w:val="20"/>
        </w:rPr>
        <w:t xml:space="preserve"> </w:t>
      </w:r>
      <w:r w:rsidRPr="001C761F">
        <w:rPr>
          <w:sz w:val="20"/>
        </w:rPr>
        <w:t>para. 34</w:t>
      </w:r>
      <w:r>
        <w:rPr>
          <w:sz w:val="20"/>
        </w:rPr>
        <w:t xml:space="preserve">; </w:t>
      </w:r>
      <w:r w:rsidRPr="001C761F">
        <w:rPr>
          <w:sz w:val="20"/>
        </w:rPr>
        <w:t>“</w:t>
      </w:r>
      <w:r>
        <w:rPr>
          <w:sz w:val="20"/>
        </w:rPr>
        <w:t>HetNet F</w:t>
      </w:r>
      <w:r w:rsidRPr="001C761F">
        <w:rPr>
          <w:sz w:val="20"/>
        </w:rPr>
        <w:t xml:space="preserve">orum: Distributed Antenna Systems (DAS) And Small Cell Technologies Distinguished,” </w:t>
      </w:r>
      <w:r w:rsidRPr="00DE1D37">
        <w:rPr>
          <w:sz w:val="20"/>
        </w:rPr>
        <w:t>available at</w:t>
      </w:r>
      <w:r w:rsidR="002F3133">
        <w:rPr>
          <w:i/>
          <w:sz w:val="20"/>
        </w:rPr>
        <w:t xml:space="preserve"> </w:t>
      </w:r>
      <w:hyperlink r:id="rId6" w:history="1">
        <w:r w:rsidRPr="006B3CA0">
          <w:rPr>
            <w:rStyle w:val="Hyperlink"/>
            <w:sz w:val="20"/>
          </w:rPr>
          <w:t>http://c.ymcdn.com/sites/portal.pcia.com/resource/resmgr/Research_Documents/DAS_and_Small_Cell_Technolog.pdf</w:t>
        </w:r>
      </w:hyperlink>
      <w:r w:rsidRPr="001C761F">
        <w:rPr>
          <w:sz w:val="20"/>
        </w:rPr>
        <w:t xml:space="preserve">, at 3, 4; AT&amp;T, “DAS a Winner, How AT&amp;T’s Distributed Antenna System Keeps Fans Connected,” </w:t>
      </w:r>
      <w:r w:rsidRPr="00DE1D37">
        <w:rPr>
          <w:sz w:val="20"/>
        </w:rPr>
        <w:t xml:space="preserve">available at </w:t>
      </w:r>
      <w:hyperlink r:id="rId7" w:history="1">
        <w:r w:rsidRPr="001C761F">
          <w:rPr>
            <w:rStyle w:val="Hyperlink"/>
            <w:sz w:val="20"/>
          </w:rPr>
          <w:t>http://www.att.co/Common/about_us/files/pdf/das_football.pdf</w:t>
        </w:r>
      </w:hyperlink>
      <w:r w:rsidRPr="001C761F">
        <w:rPr>
          <w:sz w:val="20"/>
        </w:rPr>
        <w:t xml:space="preserve"> (indicating DAS deployment in a stadium typically includes hundreds of antennas).</w:t>
      </w:r>
    </w:p>
  </w:footnote>
  <w:footnote w:id="36">
    <w:p w14:paraId="57317698" w14:textId="78B7AC97"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Pr="001C761F">
        <w:rPr>
          <w:i/>
          <w:sz w:val="20"/>
        </w:rPr>
        <w:t>Infrastructure Report and Order</w:t>
      </w:r>
      <w:r w:rsidRPr="001C761F">
        <w:rPr>
          <w:sz w:val="20"/>
        </w:rPr>
        <w:t xml:space="preserve">, </w:t>
      </w:r>
      <w:r w:rsidRPr="006B3CA0">
        <w:rPr>
          <w:sz w:val="20"/>
        </w:rPr>
        <w:t xml:space="preserve">29 FCC Rcd at 12880-81 </w:t>
      </w:r>
      <w:r w:rsidRPr="001C761F">
        <w:rPr>
          <w:sz w:val="20"/>
        </w:rPr>
        <w:t>para. 34 (</w:t>
      </w:r>
      <w:r w:rsidRPr="001C761F">
        <w:rPr>
          <w:i/>
          <w:sz w:val="20"/>
        </w:rPr>
        <w:t>citing</w:t>
      </w:r>
      <w:r w:rsidRPr="001C761F">
        <w:rPr>
          <w:sz w:val="20"/>
        </w:rPr>
        <w:t xml:space="preserve"> Joe Madden, “Cost Comparison: Carrier Wi-Fi, Small Cells, DAS, Repeaters,” April 2013, </w:t>
      </w:r>
      <w:r w:rsidRPr="00DE1D37">
        <w:rPr>
          <w:sz w:val="20"/>
        </w:rPr>
        <w:t>available at</w:t>
      </w:r>
      <w:r w:rsidRPr="001C761F">
        <w:rPr>
          <w:sz w:val="20"/>
        </w:rPr>
        <w:t xml:space="preserve"> </w:t>
      </w:r>
      <w:hyperlink r:id="rId8" w:history="1">
        <w:r w:rsidRPr="001C761F">
          <w:rPr>
            <w:rStyle w:val="Hyperlink"/>
            <w:color w:val="000000"/>
            <w:sz w:val="20"/>
          </w:rPr>
          <w:t>http://www.richardsonrfpd.com/resources/RellDocuments/SYS_29/Joe_Madden_April2013.pdf</w:t>
        </w:r>
      </w:hyperlink>
      <w:r w:rsidRPr="001C761F">
        <w:rPr>
          <w:color w:val="000000"/>
          <w:sz w:val="20"/>
        </w:rPr>
        <w:t xml:space="preserve">, at 2 and </w:t>
      </w:r>
      <w:r w:rsidRPr="001C761F">
        <w:rPr>
          <w:sz w:val="20"/>
        </w:rPr>
        <w:t xml:space="preserve">Antenna Systems &amp; Technology, “16 Million DAS Nodes to be Deployed Through 2018,” </w:t>
      </w:r>
      <w:r w:rsidRPr="001C761F">
        <w:rPr>
          <w:i/>
          <w:sz w:val="20"/>
        </w:rPr>
        <w:t>available at</w:t>
      </w:r>
      <w:r w:rsidRPr="001C761F">
        <w:rPr>
          <w:sz w:val="20"/>
        </w:rPr>
        <w:t xml:space="preserve"> </w:t>
      </w:r>
      <w:hyperlink r:id="rId9" w:history="1">
        <w:r w:rsidRPr="001C761F">
          <w:rPr>
            <w:rStyle w:val="Hyperlink"/>
            <w:sz w:val="20"/>
          </w:rPr>
          <w:t>http://www.antennasonline.com/main/news/16-million-das-nodes-to-be-deployed-through-2018/</w:t>
        </w:r>
      </w:hyperlink>
      <w:r w:rsidRPr="001C761F">
        <w:rPr>
          <w:rStyle w:val="Hyperlink"/>
          <w:color w:val="auto"/>
          <w:sz w:val="20"/>
        </w:rPr>
        <w:t>)</w:t>
      </w:r>
      <w:r w:rsidRPr="001C761F">
        <w:rPr>
          <w:sz w:val="20"/>
        </w:rPr>
        <w:t xml:space="preserve">.  </w:t>
      </w:r>
    </w:p>
  </w:footnote>
  <w:footnote w:id="37">
    <w:p w14:paraId="1F9F9A7C" w14:textId="0664B135"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Pr="001C761F">
        <w:rPr>
          <w:i/>
          <w:sz w:val="20"/>
        </w:rPr>
        <w:t>Infrastructure Report and Order</w:t>
      </w:r>
      <w:r w:rsidRPr="001C761F">
        <w:rPr>
          <w:sz w:val="20"/>
        </w:rPr>
        <w:t xml:space="preserve">, </w:t>
      </w:r>
      <w:r w:rsidRPr="00E56020">
        <w:rPr>
          <w:sz w:val="20"/>
        </w:rPr>
        <w:t xml:space="preserve">29 FCC Rcd at 12881 </w:t>
      </w:r>
      <w:r w:rsidRPr="001C761F">
        <w:rPr>
          <w:sz w:val="20"/>
        </w:rPr>
        <w:t>para. 34 (</w:t>
      </w:r>
      <w:r w:rsidRPr="001C761F">
        <w:rPr>
          <w:i/>
          <w:sz w:val="20"/>
        </w:rPr>
        <w:t>citing</w:t>
      </w:r>
      <w:r w:rsidRPr="001C761F">
        <w:rPr>
          <w:sz w:val="20"/>
        </w:rPr>
        <w:t xml:space="preserve"> Tessco, “Cellular Coverage/Capacity…the Small Cell Revolution,” </w:t>
      </w:r>
      <w:r w:rsidRPr="00DE1D37">
        <w:rPr>
          <w:sz w:val="20"/>
        </w:rPr>
        <w:t xml:space="preserve">available at </w:t>
      </w:r>
      <w:hyperlink r:id="rId10" w:history="1">
        <w:r w:rsidRPr="001C761F">
          <w:rPr>
            <w:rStyle w:val="Hyperlink"/>
            <w:sz w:val="20"/>
          </w:rPr>
          <w:t>https://www.tessco.com/yts/knowledge_center/su/cellular-coverage-capacity-the-small-cell-revolution.html</w:t>
        </w:r>
      </w:hyperlink>
      <w:r w:rsidRPr="001C761F">
        <w:rPr>
          <w:rStyle w:val="Hyperlink"/>
          <w:color w:val="auto"/>
          <w:sz w:val="20"/>
        </w:rPr>
        <w:t>)</w:t>
      </w:r>
      <w:r w:rsidRPr="001C761F">
        <w:rPr>
          <w:sz w:val="20"/>
        </w:rPr>
        <w:t xml:space="preserve">. </w:t>
      </w:r>
    </w:p>
  </w:footnote>
  <w:footnote w:id="38">
    <w:p w14:paraId="48F644CA" w14:textId="77777777"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E56020">
        <w:rPr>
          <w:i/>
          <w:sz w:val="20"/>
        </w:rPr>
        <w:t>See</w:t>
      </w:r>
      <w:r w:rsidRPr="00E56020">
        <w:rPr>
          <w:sz w:val="20"/>
        </w:rPr>
        <w:t xml:space="preserve"> 47 C.F.R. § 1.1307(a)(4); 47 C.F.R. Pt. 1, Apps. B and C.</w:t>
      </w:r>
    </w:p>
  </w:footnote>
  <w:footnote w:id="39">
    <w:p w14:paraId="2AB9C6A3" w14:textId="77777777"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Infrastructure Report and Order</w:t>
      </w:r>
      <w:r w:rsidRPr="001C761F">
        <w:rPr>
          <w:sz w:val="20"/>
        </w:rPr>
        <w:t xml:space="preserve">, </w:t>
      </w:r>
      <w:r w:rsidR="00B85398">
        <w:rPr>
          <w:sz w:val="20"/>
        </w:rPr>
        <w:t>29 FCC Rcd at 12871</w:t>
      </w:r>
      <w:r w:rsidRPr="00E56020">
        <w:rPr>
          <w:sz w:val="20"/>
        </w:rPr>
        <w:t xml:space="preserve"> </w:t>
      </w:r>
      <w:r w:rsidRPr="001C761F">
        <w:rPr>
          <w:sz w:val="20"/>
        </w:rPr>
        <w:t>para. 13.</w:t>
      </w:r>
    </w:p>
  </w:footnote>
  <w:footnote w:id="40">
    <w:p w14:paraId="62B3CFE2" w14:textId="77777777" w:rsidR="00961028" w:rsidRPr="00926F47" w:rsidRDefault="00961028" w:rsidP="00870897">
      <w:pPr>
        <w:pStyle w:val="FootnoteText"/>
        <w:spacing w:after="120"/>
        <w:rPr>
          <w:sz w:val="20"/>
        </w:rPr>
      </w:pPr>
      <w:r w:rsidRPr="00926F47">
        <w:rPr>
          <w:rStyle w:val="FootnoteReference"/>
          <w:sz w:val="20"/>
        </w:rPr>
        <w:footnoteRef/>
      </w:r>
      <w:r w:rsidRPr="00926F47">
        <w:rPr>
          <w:sz w:val="20"/>
        </w:rPr>
        <w:t xml:space="preserve"> 47 U.S.C. § 332(c)(7); 47 U.S.C. § 1455(a).</w:t>
      </w:r>
    </w:p>
  </w:footnote>
  <w:footnote w:id="41">
    <w:p w14:paraId="3406191B" w14:textId="2A9D4158"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w:t>
      </w:r>
      <w:r w:rsidR="00961028" w:rsidRPr="001C761F">
        <w:rPr>
          <w:i/>
          <w:sz w:val="20"/>
        </w:rPr>
        <w:t>Infrastructure Report and Order</w:t>
      </w:r>
      <w:r w:rsidR="00961028" w:rsidRPr="001C761F">
        <w:rPr>
          <w:sz w:val="20"/>
        </w:rPr>
        <w:t xml:space="preserve">, </w:t>
      </w:r>
      <w:r w:rsidR="00961028">
        <w:rPr>
          <w:sz w:val="20"/>
        </w:rPr>
        <w:t xml:space="preserve">29 FCC Rcd at </w:t>
      </w:r>
      <w:r w:rsidRPr="00E56020">
        <w:rPr>
          <w:sz w:val="20"/>
        </w:rPr>
        <w:t xml:space="preserve">12878 </w:t>
      </w:r>
      <w:r w:rsidRPr="001C761F">
        <w:rPr>
          <w:sz w:val="20"/>
        </w:rPr>
        <w:t>para. 28 (citing Letter from Tamara Preiss, Verizon, to Marlene H. Dortch, Secretary, FCC, WT Docket 13-238, filed Oct. 8, 2014).</w:t>
      </w:r>
    </w:p>
  </w:footnote>
  <w:footnote w:id="42">
    <w:p w14:paraId="68FDFBFF" w14:textId="77777777"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47 C.F.R. </w:t>
      </w:r>
      <w:r w:rsidR="009B333C" w:rsidRPr="00E56020">
        <w:rPr>
          <w:sz w:val="20"/>
        </w:rPr>
        <w:t>§</w:t>
      </w:r>
      <w:r w:rsidR="009B333C">
        <w:rPr>
          <w:sz w:val="20"/>
        </w:rPr>
        <w:t xml:space="preserve"> </w:t>
      </w:r>
      <w:r w:rsidRPr="001C761F">
        <w:rPr>
          <w:sz w:val="20"/>
        </w:rPr>
        <w:t>1.1307(a)(4)</w:t>
      </w:r>
      <w:r w:rsidR="000613A6">
        <w:rPr>
          <w:sz w:val="20"/>
        </w:rPr>
        <w:t>(ii)(A)(1) &amp; (2).</w:t>
      </w:r>
      <w:r w:rsidRPr="001C761F">
        <w:rPr>
          <w:sz w:val="20"/>
        </w:rPr>
        <w:t xml:space="preserve">    </w:t>
      </w:r>
    </w:p>
  </w:footnote>
  <w:footnote w:id="43">
    <w:p w14:paraId="72B941A5" w14:textId="77777777"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47 C.F.R.</w:t>
      </w:r>
      <w:r w:rsidR="009B333C">
        <w:rPr>
          <w:sz w:val="20"/>
        </w:rPr>
        <w:t xml:space="preserve"> </w:t>
      </w:r>
      <w:r w:rsidR="009B333C" w:rsidRPr="00E56020">
        <w:rPr>
          <w:sz w:val="20"/>
        </w:rPr>
        <w:t>§</w:t>
      </w:r>
      <w:r w:rsidRPr="001C761F">
        <w:rPr>
          <w:sz w:val="20"/>
        </w:rPr>
        <w:t xml:space="preserve"> 1.1307(a)(4)</w:t>
      </w:r>
      <w:r w:rsidR="000613A6">
        <w:rPr>
          <w:sz w:val="20"/>
        </w:rPr>
        <w:t>(ii)(A)(2)</w:t>
      </w:r>
      <w:r w:rsidR="000613A6" w:rsidRPr="000613A6">
        <w:rPr>
          <w:sz w:val="20"/>
        </w:rPr>
        <w:t xml:space="preserve"> </w:t>
      </w:r>
      <w:r w:rsidR="000613A6">
        <w:rPr>
          <w:sz w:val="20"/>
        </w:rPr>
        <w:t>(i)-(iii).</w:t>
      </w:r>
    </w:p>
  </w:footnote>
  <w:footnote w:id="44">
    <w:p w14:paraId="4818593E" w14:textId="38952386"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47 C.F.R. </w:t>
      </w:r>
      <w:r w:rsidR="009B333C" w:rsidRPr="00E56020">
        <w:rPr>
          <w:sz w:val="20"/>
        </w:rPr>
        <w:t>§</w:t>
      </w:r>
      <w:r w:rsidR="009B333C">
        <w:rPr>
          <w:sz w:val="20"/>
        </w:rPr>
        <w:t xml:space="preserve"> </w:t>
      </w:r>
      <w:r w:rsidRPr="001C761F">
        <w:rPr>
          <w:sz w:val="20"/>
        </w:rPr>
        <w:t>1.1307(a)(4)</w:t>
      </w:r>
      <w:r w:rsidR="0046357F">
        <w:rPr>
          <w:sz w:val="20"/>
        </w:rPr>
        <w:t>(ii)</w:t>
      </w:r>
      <w:r w:rsidRPr="001C761F">
        <w:rPr>
          <w:sz w:val="20"/>
        </w:rPr>
        <w:t>, Note</w:t>
      </w:r>
      <w:r w:rsidR="000613A6">
        <w:rPr>
          <w:sz w:val="20"/>
        </w:rPr>
        <w:t xml:space="preserve"> to </w:t>
      </w:r>
      <w:r w:rsidR="000613A6" w:rsidRPr="000613A6">
        <w:rPr>
          <w:sz w:val="20"/>
        </w:rPr>
        <w:t>paragraph (a)(4)(ii)</w:t>
      </w:r>
      <w:r w:rsidRPr="001C761F">
        <w:rPr>
          <w:sz w:val="20"/>
        </w:rPr>
        <w:t>.</w:t>
      </w:r>
      <w:r w:rsidR="001C2FC2">
        <w:rPr>
          <w:sz w:val="20"/>
        </w:rPr>
        <w:t xml:space="preserve">  </w:t>
      </w:r>
      <w:r w:rsidR="008D14C6">
        <w:rPr>
          <w:sz w:val="20"/>
        </w:rPr>
        <w:t xml:space="preserve">The depth and width of the proposed construction must include the depth and width of any proposed footings or other anchoring mechanisms.  </w:t>
      </w:r>
      <w:r w:rsidR="008D14C6" w:rsidRPr="001C761F">
        <w:rPr>
          <w:i/>
          <w:sz w:val="20"/>
        </w:rPr>
        <w:t>See</w:t>
      </w:r>
      <w:r w:rsidR="008D14C6" w:rsidRPr="001C761F">
        <w:rPr>
          <w:sz w:val="20"/>
        </w:rPr>
        <w:t xml:space="preserve"> </w:t>
      </w:r>
      <w:r w:rsidR="008D14C6" w:rsidRPr="001C761F">
        <w:rPr>
          <w:i/>
          <w:sz w:val="20"/>
        </w:rPr>
        <w:t>Infrastructure Report and Order</w:t>
      </w:r>
      <w:r w:rsidR="008D14C6" w:rsidRPr="001C761F">
        <w:rPr>
          <w:sz w:val="20"/>
        </w:rPr>
        <w:t xml:space="preserve">, 29 FCC </w:t>
      </w:r>
      <w:r w:rsidR="008D14C6" w:rsidRPr="00E31668">
        <w:rPr>
          <w:sz w:val="20"/>
        </w:rPr>
        <w:t>Rcd at 12</w:t>
      </w:r>
      <w:r w:rsidR="008D14C6">
        <w:rPr>
          <w:sz w:val="20"/>
        </w:rPr>
        <w:t>909</w:t>
      </w:r>
      <w:r w:rsidR="008D14C6" w:rsidRPr="00E31668">
        <w:rPr>
          <w:sz w:val="20"/>
        </w:rPr>
        <w:t xml:space="preserve"> para</w:t>
      </w:r>
      <w:r w:rsidR="008D14C6" w:rsidRPr="001C761F">
        <w:rPr>
          <w:sz w:val="20"/>
        </w:rPr>
        <w:t xml:space="preserve">. </w:t>
      </w:r>
      <w:r w:rsidR="008D14C6">
        <w:rPr>
          <w:sz w:val="20"/>
        </w:rPr>
        <w:t xml:space="preserve">94. </w:t>
      </w:r>
      <w:r w:rsidRPr="001C761F">
        <w:rPr>
          <w:sz w:val="20"/>
        </w:rPr>
        <w:t xml:space="preserve">   </w:t>
      </w:r>
    </w:p>
  </w:footnote>
  <w:footnote w:id="45">
    <w:p w14:paraId="69247491" w14:textId="77777777" w:rsidR="00876D7E" w:rsidRPr="0009753D" w:rsidRDefault="00876D7E" w:rsidP="00870897">
      <w:pPr>
        <w:pStyle w:val="FootnoteText"/>
        <w:spacing w:after="120"/>
        <w:rPr>
          <w:szCs w:val="22"/>
        </w:rPr>
      </w:pPr>
      <w:r w:rsidRPr="001C761F">
        <w:rPr>
          <w:rStyle w:val="FootnoteReference"/>
          <w:sz w:val="20"/>
        </w:rPr>
        <w:footnoteRef/>
      </w:r>
      <w:r w:rsidRPr="001C761F">
        <w:rPr>
          <w:sz w:val="20"/>
        </w:rPr>
        <w:t xml:space="preserve"> The Commission noted that with these limitations, the collocation exclusions apply only to deployments that would have required historic preservation review solely because the structure is more than 45 years old.  </w:t>
      </w:r>
      <w:r w:rsidRPr="001C761F">
        <w:rPr>
          <w:i/>
          <w:sz w:val="20"/>
        </w:rPr>
        <w:t>See</w:t>
      </w:r>
      <w:r w:rsidRPr="001C761F">
        <w:rPr>
          <w:sz w:val="20"/>
        </w:rPr>
        <w:t xml:space="preserve"> </w:t>
      </w:r>
      <w:r w:rsidRPr="001C761F">
        <w:rPr>
          <w:i/>
          <w:sz w:val="20"/>
        </w:rPr>
        <w:t>Infrastructure Report and Order</w:t>
      </w:r>
      <w:r w:rsidRPr="001C761F">
        <w:rPr>
          <w:sz w:val="20"/>
        </w:rPr>
        <w:t xml:space="preserve">, 29 FCC </w:t>
      </w:r>
      <w:r w:rsidRPr="00E31668">
        <w:rPr>
          <w:sz w:val="20"/>
        </w:rPr>
        <w:t>Rcd at 12877 para</w:t>
      </w:r>
      <w:r w:rsidRPr="001C761F">
        <w:rPr>
          <w:sz w:val="20"/>
        </w:rPr>
        <w:t>. 27, 12906 para. 88.</w:t>
      </w:r>
    </w:p>
  </w:footnote>
  <w:footnote w:id="46">
    <w:p w14:paraId="3698BEBC" w14:textId="7E1893F6" w:rsidR="00876D7E" w:rsidRPr="001C761F" w:rsidRDefault="00876D7E" w:rsidP="00870897">
      <w:pPr>
        <w:pStyle w:val="FootnoteText"/>
        <w:spacing w:after="120"/>
        <w:rPr>
          <w:sz w:val="20"/>
        </w:rPr>
      </w:pPr>
      <w:r w:rsidRPr="001C761F">
        <w:rPr>
          <w:rStyle w:val="FootnoteReference"/>
          <w:sz w:val="20"/>
        </w:rPr>
        <w:footnoteRef/>
      </w:r>
      <w:r w:rsidRPr="001C761F">
        <w:rPr>
          <w:sz w:val="20"/>
        </w:rPr>
        <w:t xml:space="preserve"> </w:t>
      </w:r>
      <w:r w:rsidRPr="001C761F">
        <w:rPr>
          <w:i/>
          <w:sz w:val="20"/>
        </w:rPr>
        <w:t>See</w:t>
      </w:r>
      <w:r w:rsidRPr="001C761F">
        <w:rPr>
          <w:sz w:val="20"/>
        </w:rPr>
        <w:t xml:space="preserve"> 47 C.F.R. </w:t>
      </w:r>
      <w:r w:rsidR="009B333C" w:rsidRPr="00E56020">
        <w:rPr>
          <w:sz w:val="20"/>
        </w:rPr>
        <w:t>§</w:t>
      </w:r>
      <w:r w:rsidR="009B333C">
        <w:rPr>
          <w:sz w:val="20"/>
        </w:rPr>
        <w:t xml:space="preserve"> </w:t>
      </w:r>
      <w:r w:rsidRPr="001C761F">
        <w:rPr>
          <w:sz w:val="20"/>
        </w:rPr>
        <w:t>1.1307(a)(4)</w:t>
      </w:r>
      <w:r w:rsidR="00AA7297">
        <w:rPr>
          <w:sz w:val="20"/>
        </w:rPr>
        <w:t>(ii)(A)(1) &amp; (2).</w:t>
      </w:r>
      <w:r w:rsidRPr="001C761F">
        <w:rPr>
          <w:sz w:val="20"/>
        </w:rPr>
        <w:t xml:space="preserve">    </w:t>
      </w:r>
    </w:p>
  </w:footnote>
  <w:footnote w:id="47">
    <w:p w14:paraId="1CDA06E5" w14:textId="32C42AAF" w:rsidR="005656F2" w:rsidRPr="00F06FCB" w:rsidRDefault="005656F2" w:rsidP="00870897">
      <w:pPr>
        <w:pStyle w:val="FootnoteText"/>
        <w:spacing w:after="120"/>
        <w:rPr>
          <w:sz w:val="20"/>
        </w:rPr>
      </w:pPr>
      <w:r w:rsidRPr="001C761F">
        <w:rPr>
          <w:rStyle w:val="FootnoteReference"/>
          <w:sz w:val="20"/>
        </w:rPr>
        <w:footnoteRef/>
      </w:r>
      <w:r w:rsidRPr="001C761F">
        <w:rPr>
          <w:sz w:val="20"/>
        </w:rPr>
        <w:t xml:space="preserve"> </w:t>
      </w:r>
      <w:r w:rsidRPr="00F06FCB">
        <w:rPr>
          <w:i/>
          <w:sz w:val="20"/>
        </w:rPr>
        <w:t>See</w:t>
      </w:r>
      <w:r w:rsidRPr="00F06FCB">
        <w:rPr>
          <w:sz w:val="20"/>
        </w:rPr>
        <w:t xml:space="preserve"> 47 C.F.R. </w:t>
      </w:r>
      <w:r w:rsidRPr="00E56020">
        <w:rPr>
          <w:sz w:val="20"/>
        </w:rPr>
        <w:t>§</w:t>
      </w:r>
      <w:r>
        <w:rPr>
          <w:sz w:val="20"/>
        </w:rPr>
        <w:t xml:space="preserve"> </w:t>
      </w:r>
      <w:r w:rsidRPr="00F06FCB">
        <w:rPr>
          <w:sz w:val="20"/>
        </w:rPr>
        <w:t>1.1307(a)(4)</w:t>
      </w:r>
      <w:r>
        <w:rPr>
          <w:sz w:val="20"/>
        </w:rPr>
        <w:t>(ii)(A)(1) &amp; (2).</w:t>
      </w:r>
    </w:p>
  </w:footnote>
  <w:footnote w:id="48">
    <w:p w14:paraId="73473570" w14:textId="2AA65989" w:rsidR="00876D7E" w:rsidRDefault="00876D7E" w:rsidP="00870897">
      <w:pPr>
        <w:pStyle w:val="FootnoteText"/>
        <w:spacing w:after="120"/>
      </w:pPr>
      <w:r w:rsidRPr="001C761F">
        <w:rPr>
          <w:rStyle w:val="FootnoteReference"/>
          <w:sz w:val="20"/>
        </w:rPr>
        <w:footnoteRef/>
      </w:r>
      <w:r w:rsidRPr="001C761F">
        <w:rPr>
          <w:sz w:val="20"/>
        </w:rPr>
        <w:t xml:space="preserve"> </w:t>
      </w:r>
      <w:r w:rsidRPr="001C761F">
        <w:rPr>
          <w:i/>
          <w:sz w:val="20"/>
        </w:rPr>
        <w:t>See</w:t>
      </w:r>
      <w:r>
        <w:rPr>
          <w:sz w:val="20"/>
        </w:rPr>
        <w:t xml:space="preserve"> </w:t>
      </w:r>
      <w:r w:rsidR="00B83A9F" w:rsidRPr="001C761F">
        <w:rPr>
          <w:sz w:val="20"/>
        </w:rPr>
        <w:t xml:space="preserve">47 C.F.R. </w:t>
      </w:r>
      <w:r w:rsidR="00B83A9F" w:rsidRPr="00E56020">
        <w:rPr>
          <w:sz w:val="20"/>
        </w:rPr>
        <w:t>§</w:t>
      </w:r>
      <w:r w:rsidR="00B83A9F">
        <w:rPr>
          <w:sz w:val="20"/>
        </w:rPr>
        <w:t xml:space="preserve"> </w:t>
      </w:r>
      <w:r w:rsidR="00B83A9F" w:rsidRPr="001C761F">
        <w:rPr>
          <w:sz w:val="20"/>
        </w:rPr>
        <w:t>1.1307(</w:t>
      </w:r>
      <w:r w:rsidR="0046357F">
        <w:rPr>
          <w:sz w:val="20"/>
        </w:rPr>
        <w:t xml:space="preserve">a)(4)(ii), </w:t>
      </w:r>
      <w:r w:rsidR="00B83A9F" w:rsidRPr="001C761F">
        <w:rPr>
          <w:sz w:val="20"/>
        </w:rPr>
        <w:t>Note</w:t>
      </w:r>
      <w:r w:rsidR="00B83A9F">
        <w:rPr>
          <w:sz w:val="20"/>
        </w:rPr>
        <w:t xml:space="preserve"> to </w:t>
      </w:r>
      <w:r w:rsidR="00B83A9F" w:rsidRPr="000613A6">
        <w:rPr>
          <w:sz w:val="20"/>
        </w:rPr>
        <w:t>paragraph (a)(4)(ii)</w:t>
      </w:r>
      <w:r w:rsidR="00B83A9F" w:rsidRPr="001C761F">
        <w:rPr>
          <w:sz w:val="20"/>
        </w:rPr>
        <w:t>.</w:t>
      </w:r>
    </w:p>
  </w:footnote>
  <w:footnote w:id="49">
    <w:p w14:paraId="0DD9F703" w14:textId="77777777" w:rsidR="00876D7E" w:rsidRPr="001C761F" w:rsidRDefault="00876D7E" w:rsidP="00870897">
      <w:pPr>
        <w:pStyle w:val="FootnoteText"/>
        <w:spacing w:after="120"/>
        <w:rPr>
          <w:sz w:val="20"/>
        </w:rPr>
      </w:pPr>
      <w:r w:rsidRPr="001C761F">
        <w:rPr>
          <w:rStyle w:val="FootnoteReference"/>
          <w:sz w:val="20"/>
        </w:rPr>
        <w:footnoteRef/>
      </w:r>
      <w:r>
        <w:t xml:space="preserve"> </w:t>
      </w:r>
      <w:r w:rsidRPr="001C761F">
        <w:rPr>
          <w:sz w:val="20"/>
        </w:rPr>
        <w:t>NPA § III.E.</w:t>
      </w:r>
    </w:p>
  </w:footnote>
  <w:footnote w:id="50">
    <w:p w14:paraId="7DE5E229" w14:textId="77777777" w:rsidR="00876D7E" w:rsidRPr="00E8688B" w:rsidRDefault="00876D7E" w:rsidP="00870897">
      <w:pPr>
        <w:pStyle w:val="FootnoteText"/>
        <w:spacing w:after="120"/>
      </w:pPr>
      <w:r w:rsidRPr="001C761F">
        <w:rPr>
          <w:rStyle w:val="FootnoteReference"/>
          <w:sz w:val="20"/>
        </w:rPr>
        <w:footnoteRef/>
      </w:r>
      <w:r w:rsidRPr="001C761F">
        <w:rPr>
          <w:sz w:val="20"/>
        </w:rPr>
        <w:t xml:space="preserve"> </w:t>
      </w:r>
      <w:r w:rsidRPr="001C761F">
        <w:rPr>
          <w:i/>
          <w:sz w:val="20"/>
        </w:rPr>
        <w:t>See</w:t>
      </w:r>
      <w:r w:rsidRPr="001C761F">
        <w:rPr>
          <w:sz w:val="20"/>
        </w:rPr>
        <w:t xml:space="preserve"> Collocation Agreement § I.C.</w:t>
      </w:r>
      <w:r w:rsidRPr="00E8688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23AC" w14:textId="77777777" w:rsidR="006A42AA" w:rsidRDefault="006A4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BFB0" w14:textId="77777777" w:rsidR="006A42AA" w:rsidRDefault="006A4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4A125" w14:textId="0299B0C8" w:rsidR="00876D7E" w:rsidRDefault="00876D7E" w:rsidP="00FF2031">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1" locked="0" layoutInCell="0" allowOverlap="1" wp14:anchorId="03DB8958" wp14:editId="21C3C9DF">
          <wp:simplePos x="0" y="0"/>
          <wp:positionH relativeFrom="column">
            <wp:posOffset>-639445</wp:posOffset>
          </wp:positionH>
          <wp:positionV relativeFrom="paragraph">
            <wp:posOffset>106045</wp:posOffset>
          </wp:positionV>
          <wp:extent cx="530225" cy="530225"/>
          <wp:effectExtent l="0" t="0" r="3175" b="3175"/>
          <wp:wrapTight wrapText="bothSides">
            <wp:wrapPolygon edited="0">
              <wp:start x="0" y="0"/>
              <wp:lineTo x="0" y="20953"/>
              <wp:lineTo x="20953" y="20953"/>
              <wp:lineTo x="20953" y="0"/>
              <wp:lineTo x="0" y="0"/>
            </wp:wrapPolygon>
          </wp:wrapTight>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Pr>
        <w:rFonts w:ascii="News Gothic MT" w:hAnsi="News Gothic MT"/>
        <w:b/>
        <w:kern w:val="28"/>
        <w:sz w:val="96"/>
      </w:rPr>
      <w:t>PUBLIC NOTICE</w:t>
    </w:r>
  </w:p>
  <w:p w14:paraId="5496DDC9" w14:textId="5D1FA32C" w:rsidR="00876D7E" w:rsidRDefault="00776BBA" w:rsidP="007B7D4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9264" behindDoc="0" locked="0" layoutInCell="0" allowOverlap="1" wp14:anchorId="1CF777E2" wp14:editId="3B362642">
              <wp:simplePos x="0" y="0"/>
              <wp:positionH relativeFrom="margin">
                <wp:posOffset>-28575</wp:posOffset>
              </wp:positionH>
              <wp:positionV relativeFrom="paragraph">
                <wp:posOffset>29845</wp:posOffset>
              </wp:positionV>
              <wp:extent cx="3108960" cy="640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D03FE" w14:textId="77777777" w:rsidR="00876D7E" w:rsidRDefault="00876D7E" w:rsidP="007B7D44">
                          <w:pPr>
                            <w:rPr>
                              <w:rFonts w:ascii="Arial" w:hAnsi="Arial"/>
                              <w:b/>
                            </w:rPr>
                          </w:pPr>
                          <w:r>
                            <w:rPr>
                              <w:rFonts w:ascii="Arial" w:hAnsi="Arial"/>
                              <w:b/>
                            </w:rPr>
                            <w:t>Federal Communications Commission</w:t>
                          </w:r>
                        </w:p>
                        <w:p w14:paraId="34CF2CDF" w14:textId="77777777" w:rsidR="00876D7E" w:rsidRDefault="00876D7E" w:rsidP="007B7D4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AF93BC2" w14:textId="77777777" w:rsidR="00876D7E" w:rsidRDefault="00876D7E" w:rsidP="007B7D4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F777E2" id="_x0000_t202" coordsize="21600,21600" o:spt="202" path="m,l,21600r21600,l21600,xe">
              <v:stroke joinstyle="miter"/>
              <v:path gradientshapeok="t" o:connecttype="rect"/>
            </v:shapetype>
            <v:shape id="Text Box 2" o:spid="_x0000_s1026" type="#_x0000_t202" style="position:absolute;left:0;text-align:left;margin-left:-2.25pt;margin-top:2.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Y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" o:allowincell="f" stroked="f">
              <v:textbox>
                <w:txbxContent>
                  <w:p w14:paraId="793D03FE" w14:textId="77777777" w:rsidR="00876D7E" w:rsidRDefault="00876D7E" w:rsidP="007B7D44">
                    <w:pPr>
                      <w:rPr>
                        <w:rFonts w:ascii="Arial" w:hAnsi="Arial"/>
                        <w:b/>
                      </w:rPr>
                    </w:pPr>
                    <w:r>
                      <w:rPr>
                        <w:rFonts w:ascii="Arial" w:hAnsi="Arial"/>
                        <w:b/>
                      </w:rPr>
                      <w:t>Federal Communications Commission</w:t>
                    </w:r>
                  </w:p>
                  <w:p w14:paraId="34CF2CDF" w14:textId="77777777" w:rsidR="00876D7E" w:rsidRDefault="00876D7E" w:rsidP="007B7D4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AF93BC2" w14:textId="77777777" w:rsidR="00876D7E" w:rsidRDefault="00876D7E" w:rsidP="007B7D44">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326DD8E8" wp14:editId="1F588086">
              <wp:simplePos x="0" y="0"/>
              <wp:positionH relativeFrom="column">
                <wp:posOffset>3344545</wp:posOffset>
              </wp:positionH>
              <wp:positionV relativeFrom="paragraph">
                <wp:posOffset>101600</wp:posOffset>
              </wp:positionV>
              <wp:extent cx="2640965" cy="548640"/>
              <wp:effectExtent l="0" t="0" r="698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B4979" w14:textId="77777777" w:rsidR="00876D7E" w:rsidRDefault="00876D7E" w:rsidP="007B7D44">
                          <w:pPr>
                            <w:spacing w:before="40"/>
                            <w:jc w:val="right"/>
                            <w:rPr>
                              <w:rFonts w:ascii="Arial" w:hAnsi="Arial"/>
                              <w:b/>
                              <w:sz w:val="16"/>
                            </w:rPr>
                          </w:pPr>
                          <w:r>
                            <w:rPr>
                              <w:rFonts w:ascii="Arial" w:hAnsi="Arial"/>
                              <w:b/>
                              <w:sz w:val="16"/>
                            </w:rPr>
                            <w:t>News Media Information 202 / 418-0500</w:t>
                          </w:r>
                        </w:p>
                        <w:p w14:paraId="131E8213" w14:textId="58DF437A" w:rsidR="00876D7E" w:rsidRDefault="00876D7E" w:rsidP="007B7D44">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14:paraId="1470C196" w14:textId="77777777" w:rsidR="00876D7E" w:rsidRDefault="00876D7E" w:rsidP="007B7D44">
                          <w:pPr>
                            <w:jc w:val="right"/>
                            <w:rPr>
                              <w:rFonts w:ascii="Arial" w:hAnsi="Arial"/>
                              <w:b/>
                              <w:sz w:val="16"/>
                            </w:rPr>
                          </w:pPr>
                          <w:r>
                            <w:rPr>
                              <w:rFonts w:ascii="Arial" w:hAnsi="Arial"/>
                              <w:b/>
                              <w:sz w:val="16"/>
                            </w:rPr>
                            <w:t>TTY: 1-888-835-5322</w:t>
                          </w:r>
                        </w:p>
                        <w:p w14:paraId="44BF5130" w14:textId="77777777" w:rsidR="00876D7E" w:rsidRDefault="00876D7E" w:rsidP="007B7D4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DD8E8" id="Text Box 5" o:spid="_x0000_s1027" type="#_x0000_t202" style="position:absolute;left:0;text-align:left;margin-left:263.35pt;margin-top:8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" o:allowincell="f" stroked="f">
              <v:textbox inset=",0,,0">
                <w:txbxContent>
                  <w:p w14:paraId="525B4979" w14:textId="77777777" w:rsidR="00876D7E" w:rsidRDefault="00876D7E" w:rsidP="007B7D44">
                    <w:pPr>
                      <w:spacing w:before="40"/>
                      <w:jc w:val="right"/>
                      <w:rPr>
                        <w:rFonts w:ascii="Arial" w:hAnsi="Arial"/>
                        <w:b/>
                        <w:sz w:val="16"/>
                      </w:rPr>
                    </w:pPr>
                    <w:r>
                      <w:rPr>
                        <w:rFonts w:ascii="Arial" w:hAnsi="Arial"/>
                        <w:b/>
                        <w:sz w:val="16"/>
                      </w:rPr>
                      <w:t>News Media Information 202 / 418-0500</w:t>
                    </w:r>
                  </w:p>
                  <w:p w14:paraId="131E8213" w14:textId="58DF437A" w:rsidR="00876D7E" w:rsidRDefault="00876D7E" w:rsidP="007B7D44">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14:paraId="1470C196" w14:textId="77777777" w:rsidR="00876D7E" w:rsidRDefault="00876D7E" w:rsidP="007B7D44">
                    <w:pPr>
                      <w:jc w:val="right"/>
                      <w:rPr>
                        <w:rFonts w:ascii="Arial" w:hAnsi="Arial"/>
                        <w:b/>
                        <w:sz w:val="16"/>
                      </w:rPr>
                    </w:pPr>
                    <w:r>
                      <w:rPr>
                        <w:rFonts w:ascii="Arial" w:hAnsi="Arial"/>
                        <w:b/>
                        <w:sz w:val="16"/>
                      </w:rPr>
                      <w:t>TTY: 1-888-835-5322</w:t>
                    </w:r>
                  </w:p>
                  <w:p w14:paraId="44BF5130" w14:textId="77777777" w:rsidR="00876D7E" w:rsidRDefault="00876D7E" w:rsidP="007B7D44">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206A480A" wp14:editId="33EE378F">
              <wp:simplePos x="0" y="0"/>
              <wp:positionH relativeFrom="margin">
                <wp:align>right</wp:align>
              </wp:positionH>
              <wp:positionV relativeFrom="paragraph">
                <wp:posOffset>702310</wp:posOffset>
              </wp:positionV>
              <wp:extent cx="5915025" cy="0"/>
              <wp:effectExtent l="0" t="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CB927"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55.3pt" to="880.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e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" o:allowincell="f">
              <w10:wrap anchorx="margin"/>
            </v:line>
          </w:pict>
        </mc:Fallback>
      </mc:AlternateContent>
    </w:r>
  </w:p>
  <w:p w14:paraId="3AC73D97" w14:textId="77777777" w:rsidR="00876D7E" w:rsidRDefault="00876D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798F" w14:textId="77777777" w:rsidR="00776BBA" w:rsidRDefault="00776B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5861" w14:textId="77777777" w:rsidR="00776BBA" w:rsidRDefault="00776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CA077A"/>
    <w:multiLevelType w:val="hybridMultilevel"/>
    <w:tmpl w:val="19A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80FCB"/>
    <w:multiLevelType w:val="hybridMultilevel"/>
    <w:tmpl w:val="540E2A3E"/>
    <w:lvl w:ilvl="0" w:tplc="484265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00763"/>
    <w:multiLevelType w:val="hybridMultilevel"/>
    <w:tmpl w:val="001450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037AD"/>
    <w:multiLevelType w:val="hybridMultilevel"/>
    <w:tmpl w:val="29E80F82"/>
    <w:lvl w:ilvl="0" w:tplc="241E01E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EF52B47"/>
    <w:multiLevelType w:val="hybridMultilevel"/>
    <w:tmpl w:val="713217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E354304"/>
    <w:multiLevelType w:val="hybridMultilevel"/>
    <w:tmpl w:val="0FE6299E"/>
    <w:lvl w:ilvl="0" w:tplc="13E8171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7A931FD"/>
    <w:multiLevelType w:val="hybridMultilevel"/>
    <w:tmpl w:val="3680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pStyle w:val="ParaNum0"/>
      <w:lvlText w:val="%1."/>
      <w:lvlJc w:val="left"/>
      <w:pPr>
        <w:tabs>
          <w:tab w:val="num" w:pos="1260"/>
        </w:tabs>
        <w:ind w:left="180" w:firstLine="720"/>
      </w:pPr>
    </w:lvl>
  </w:abstractNum>
  <w:abstractNum w:abstractNumId="16">
    <w:nsid w:val="669C46EB"/>
    <w:multiLevelType w:val="hybridMultilevel"/>
    <w:tmpl w:val="AF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14989"/>
    <w:multiLevelType w:val="hybridMultilevel"/>
    <w:tmpl w:val="72326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4CF0B0">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8"/>
  </w:num>
  <w:num w:numId="13">
    <w:abstractNumId w:val="15"/>
    <w:lvlOverride w:ilvl="0">
      <w:startOverride w:val="1"/>
    </w:lvlOverride>
  </w:num>
  <w:num w:numId="14">
    <w:abstractNumId w:val="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7"/>
  </w:num>
  <w:num w:numId="20">
    <w:abstractNumId w:val="6"/>
  </w:num>
  <w:num w:numId="21">
    <w:abstractNumId w:val="3"/>
  </w:num>
  <w:num w:numId="22">
    <w:abstractNumId w:val="9"/>
  </w:num>
  <w:num w:numId="23">
    <w:abstractNumId w:val="0"/>
  </w:num>
  <w:num w:numId="24">
    <w:abstractNumId w:val="1"/>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D"/>
    <w:rsid w:val="00013711"/>
    <w:rsid w:val="00013867"/>
    <w:rsid w:val="0002100B"/>
    <w:rsid w:val="00024588"/>
    <w:rsid w:val="0003799C"/>
    <w:rsid w:val="0004249D"/>
    <w:rsid w:val="000438D6"/>
    <w:rsid w:val="000501AE"/>
    <w:rsid w:val="00054D86"/>
    <w:rsid w:val="00057EFA"/>
    <w:rsid w:val="000613A6"/>
    <w:rsid w:val="00061843"/>
    <w:rsid w:val="00074C8A"/>
    <w:rsid w:val="000762A1"/>
    <w:rsid w:val="000776D2"/>
    <w:rsid w:val="00082237"/>
    <w:rsid w:val="0008557E"/>
    <w:rsid w:val="0009073B"/>
    <w:rsid w:val="00095624"/>
    <w:rsid w:val="0009753D"/>
    <w:rsid w:val="000A55A8"/>
    <w:rsid w:val="000A6536"/>
    <w:rsid w:val="000B1126"/>
    <w:rsid w:val="000B41C4"/>
    <w:rsid w:val="000B632A"/>
    <w:rsid w:val="000B6966"/>
    <w:rsid w:val="000C22FD"/>
    <w:rsid w:val="000C257D"/>
    <w:rsid w:val="000C4268"/>
    <w:rsid w:val="000C6A6F"/>
    <w:rsid w:val="000E0CE9"/>
    <w:rsid w:val="000E7154"/>
    <w:rsid w:val="000F4560"/>
    <w:rsid w:val="000F4A1B"/>
    <w:rsid w:val="000F4B84"/>
    <w:rsid w:val="00102062"/>
    <w:rsid w:val="001047E1"/>
    <w:rsid w:val="00105017"/>
    <w:rsid w:val="001068B6"/>
    <w:rsid w:val="00110C83"/>
    <w:rsid w:val="001124A3"/>
    <w:rsid w:val="00113DCE"/>
    <w:rsid w:val="00115370"/>
    <w:rsid w:val="00121472"/>
    <w:rsid w:val="00124390"/>
    <w:rsid w:val="00126150"/>
    <w:rsid w:val="00131E71"/>
    <w:rsid w:val="00140188"/>
    <w:rsid w:val="00143082"/>
    <w:rsid w:val="0015476B"/>
    <w:rsid w:val="0015531A"/>
    <w:rsid w:val="0015588C"/>
    <w:rsid w:val="001618A9"/>
    <w:rsid w:val="001628C9"/>
    <w:rsid w:val="0016631C"/>
    <w:rsid w:val="001700B8"/>
    <w:rsid w:val="00172D7F"/>
    <w:rsid w:val="00181E40"/>
    <w:rsid w:val="001835F9"/>
    <w:rsid w:val="001906D8"/>
    <w:rsid w:val="00193411"/>
    <w:rsid w:val="001A5E4C"/>
    <w:rsid w:val="001B562F"/>
    <w:rsid w:val="001B6DC9"/>
    <w:rsid w:val="001C042E"/>
    <w:rsid w:val="001C1ECF"/>
    <w:rsid w:val="001C2FC2"/>
    <w:rsid w:val="001C3833"/>
    <w:rsid w:val="001C60A3"/>
    <w:rsid w:val="001C761F"/>
    <w:rsid w:val="001D1A78"/>
    <w:rsid w:val="001D265C"/>
    <w:rsid w:val="001E51C7"/>
    <w:rsid w:val="001E6029"/>
    <w:rsid w:val="001F0AA5"/>
    <w:rsid w:val="001F0B87"/>
    <w:rsid w:val="001F1EA5"/>
    <w:rsid w:val="001F21DF"/>
    <w:rsid w:val="001F6998"/>
    <w:rsid w:val="00203DD7"/>
    <w:rsid w:val="00214851"/>
    <w:rsid w:val="00223C90"/>
    <w:rsid w:val="002245C5"/>
    <w:rsid w:val="0022707A"/>
    <w:rsid w:val="00232B48"/>
    <w:rsid w:val="00234C0E"/>
    <w:rsid w:val="002355C6"/>
    <w:rsid w:val="0023575F"/>
    <w:rsid w:val="0024390B"/>
    <w:rsid w:val="002465E9"/>
    <w:rsid w:val="00253622"/>
    <w:rsid w:val="00261B6A"/>
    <w:rsid w:val="002622DC"/>
    <w:rsid w:val="00271FF4"/>
    <w:rsid w:val="00272CF7"/>
    <w:rsid w:val="00275910"/>
    <w:rsid w:val="00275F26"/>
    <w:rsid w:val="00281C6F"/>
    <w:rsid w:val="00283A85"/>
    <w:rsid w:val="00296D8E"/>
    <w:rsid w:val="002A116E"/>
    <w:rsid w:val="002B347F"/>
    <w:rsid w:val="002B4B08"/>
    <w:rsid w:val="002B68D4"/>
    <w:rsid w:val="002C2138"/>
    <w:rsid w:val="002C69A9"/>
    <w:rsid w:val="002D14A6"/>
    <w:rsid w:val="002D5469"/>
    <w:rsid w:val="002E51CD"/>
    <w:rsid w:val="002E794E"/>
    <w:rsid w:val="002F11D2"/>
    <w:rsid w:val="002F23FB"/>
    <w:rsid w:val="002F3133"/>
    <w:rsid w:val="003110CC"/>
    <w:rsid w:val="00312D2D"/>
    <w:rsid w:val="003136B4"/>
    <w:rsid w:val="003148AA"/>
    <w:rsid w:val="00317E0F"/>
    <w:rsid w:val="0032288F"/>
    <w:rsid w:val="00323126"/>
    <w:rsid w:val="003235E2"/>
    <w:rsid w:val="00325730"/>
    <w:rsid w:val="00332814"/>
    <w:rsid w:val="0034546E"/>
    <w:rsid w:val="003501EA"/>
    <w:rsid w:val="003531B0"/>
    <w:rsid w:val="00361232"/>
    <w:rsid w:val="00374B29"/>
    <w:rsid w:val="003763F3"/>
    <w:rsid w:val="00377F57"/>
    <w:rsid w:val="003803FD"/>
    <w:rsid w:val="00380A8F"/>
    <w:rsid w:val="003878F4"/>
    <w:rsid w:val="003879DD"/>
    <w:rsid w:val="00390665"/>
    <w:rsid w:val="0039100B"/>
    <w:rsid w:val="003931C9"/>
    <w:rsid w:val="003A2AE9"/>
    <w:rsid w:val="003A52BC"/>
    <w:rsid w:val="003A6353"/>
    <w:rsid w:val="003C2B41"/>
    <w:rsid w:val="003D521F"/>
    <w:rsid w:val="003D6384"/>
    <w:rsid w:val="003E5944"/>
    <w:rsid w:val="003E7513"/>
    <w:rsid w:val="00400FE1"/>
    <w:rsid w:val="0040404E"/>
    <w:rsid w:val="0040686B"/>
    <w:rsid w:val="004117FC"/>
    <w:rsid w:val="00414600"/>
    <w:rsid w:val="00417648"/>
    <w:rsid w:val="00426DFA"/>
    <w:rsid w:val="00440A22"/>
    <w:rsid w:val="00440AA2"/>
    <w:rsid w:val="004419CA"/>
    <w:rsid w:val="004450F8"/>
    <w:rsid w:val="00452FFF"/>
    <w:rsid w:val="00453B38"/>
    <w:rsid w:val="004562FF"/>
    <w:rsid w:val="004577E0"/>
    <w:rsid w:val="00457A68"/>
    <w:rsid w:val="0046357F"/>
    <w:rsid w:val="004663B7"/>
    <w:rsid w:val="0046706A"/>
    <w:rsid w:val="00467380"/>
    <w:rsid w:val="00467CA9"/>
    <w:rsid w:val="004700C8"/>
    <w:rsid w:val="0047526B"/>
    <w:rsid w:val="004766F7"/>
    <w:rsid w:val="00480C25"/>
    <w:rsid w:val="00484A19"/>
    <w:rsid w:val="004957C7"/>
    <w:rsid w:val="004B199E"/>
    <w:rsid w:val="004B2A02"/>
    <w:rsid w:val="004B5D7E"/>
    <w:rsid w:val="004B73B3"/>
    <w:rsid w:val="004D3FB9"/>
    <w:rsid w:val="004E4D8E"/>
    <w:rsid w:val="004E50C7"/>
    <w:rsid w:val="004E7D1B"/>
    <w:rsid w:val="004F2066"/>
    <w:rsid w:val="004F5683"/>
    <w:rsid w:val="0050324A"/>
    <w:rsid w:val="00517389"/>
    <w:rsid w:val="00521E9F"/>
    <w:rsid w:val="00526C27"/>
    <w:rsid w:val="00534B35"/>
    <w:rsid w:val="005368E3"/>
    <w:rsid w:val="0053726E"/>
    <w:rsid w:val="00541A16"/>
    <w:rsid w:val="00544DC5"/>
    <w:rsid w:val="005553DA"/>
    <w:rsid w:val="00557624"/>
    <w:rsid w:val="00563338"/>
    <w:rsid w:val="005655AA"/>
    <w:rsid w:val="005656F2"/>
    <w:rsid w:val="00575482"/>
    <w:rsid w:val="005762CD"/>
    <w:rsid w:val="00577EC2"/>
    <w:rsid w:val="00583935"/>
    <w:rsid w:val="0058605D"/>
    <w:rsid w:val="00587303"/>
    <w:rsid w:val="005924C1"/>
    <w:rsid w:val="005938F1"/>
    <w:rsid w:val="00595ED1"/>
    <w:rsid w:val="005A062B"/>
    <w:rsid w:val="005A1CD9"/>
    <w:rsid w:val="005A502D"/>
    <w:rsid w:val="005A6146"/>
    <w:rsid w:val="005B75B6"/>
    <w:rsid w:val="005D0299"/>
    <w:rsid w:val="005D0EED"/>
    <w:rsid w:val="005D1578"/>
    <w:rsid w:val="005E29AD"/>
    <w:rsid w:val="005F3BF3"/>
    <w:rsid w:val="005F4005"/>
    <w:rsid w:val="005F6A3C"/>
    <w:rsid w:val="005F6D05"/>
    <w:rsid w:val="00602460"/>
    <w:rsid w:val="00607CA4"/>
    <w:rsid w:val="00611514"/>
    <w:rsid w:val="00611EC5"/>
    <w:rsid w:val="0061740D"/>
    <w:rsid w:val="00620B1E"/>
    <w:rsid w:val="00620C0B"/>
    <w:rsid w:val="00622D25"/>
    <w:rsid w:val="006252CB"/>
    <w:rsid w:val="00627F9A"/>
    <w:rsid w:val="006327A8"/>
    <w:rsid w:val="00633CA0"/>
    <w:rsid w:val="00640359"/>
    <w:rsid w:val="006435CC"/>
    <w:rsid w:val="006453DC"/>
    <w:rsid w:val="006543BA"/>
    <w:rsid w:val="00654CC9"/>
    <w:rsid w:val="0065525D"/>
    <w:rsid w:val="0065710F"/>
    <w:rsid w:val="00665604"/>
    <w:rsid w:val="006708CD"/>
    <w:rsid w:val="006748E0"/>
    <w:rsid w:val="00675B87"/>
    <w:rsid w:val="00680937"/>
    <w:rsid w:val="00681D37"/>
    <w:rsid w:val="00683DAF"/>
    <w:rsid w:val="00690AA3"/>
    <w:rsid w:val="006914A7"/>
    <w:rsid w:val="006A42AA"/>
    <w:rsid w:val="006A630E"/>
    <w:rsid w:val="006B3CA0"/>
    <w:rsid w:val="006B5D5D"/>
    <w:rsid w:val="006D0FBB"/>
    <w:rsid w:val="006D2928"/>
    <w:rsid w:val="006E1E37"/>
    <w:rsid w:val="006E721D"/>
    <w:rsid w:val="006E75E1"/>
    <w:rsid w:val="006F0A12"/>
    <w:rsid w:val="006F2FAD"/>
    <w:rsid w:val="006F3152"/>
    <w:rsid w:val="00706DF8"/>
    <w:rsid w:val="00707066"/>
    <w:rsid w:val="007125A0"/>
    <w:rsid w:val="00716AA9"/>
    <w:rsid w:val="007171D6"/>
    <w:rsid w:val="00717B3C"/>
    <w:rsid w:val="00727172"/>
    <w:rsid w:val="00732F66"/>
    <w:rsid w:val="007334A6"/>
    <w:rsid w:val="00756040"/>
    <w:rsid w:val="0075698E"/>
    <w:rsid w:val="00765B7B"/>
    <w:rsid w:val="0077104D"/>
    <w:rsid w:val="007749B1"/>
    <w:rsid w:val="00776BBA"/>
    <w:rsid w:val="00777B02"/>
    <w:rsid w:val="00783E92"/>
    <w:rsid w:val="007865F8"/>
    <w:rsid w:val="0078699E"/>
    <w:rsid w:val="00787003"/>
    <w:rsid w:val="00792897"/>
    <w:rsid w:val="007A04CA"/>
    <w:rsid w:val="007A0EAE"/>
    <w:rsid w:val="007A2CA0"/>
    <w:rsid w:val="007A2FB1"/>
    <w:rsid w:val="007A7E89"/>
    <w:rsid w:val="007B7D44"/>
    <w:rsid w:val="007B7EB8"/>
    <w:rsid w:val="007D656D"/>
    <w:rsid w:val="007F0FD3"/>
    <w:rsid w:val="007F201C"/>
    <w:rsid w:val="007F5C61"/>
    <w:rsid w:val="007F7886"/>
    <w:rsid w:val="00804DE7"/>
    <w:rsid w:val="00826845"/>
    <w:rsid w:val="00831F06"/>
    <w:rsid w:val="00836B16"/>
    <w:rsid w:val="008416FA"/>
    <w:rsid w:val="00843CCC"/>
    <w:rsid w:val="00844913"/>
    <w:rsid w:val="00847E8E"/>
    <w:rsid w:val="00850968"/>
    <w:rsid w:val="0085387A"/>
    <w:rsid w:val="00860A6F"/>
    <w:rsid w:val="0086662C"/>
    <w:rsid w:val="00870897"/>
    <w:rsid w:val="00872575"/>
    <w:rsid w:val="00876D7E"/>
    <w:rsid w:val="008801DA"/>
    <w:rsid w:val="008802BE"/>
    <w:rsid w:val="00882904"/>
    <w:rsid w:val="00883252"/>
    <w:rsid w:val="0088731E"/>
    <w:rsid w:val="00890C9A"/>
    <w:rsid w:val="00893F15"/>
    <w:rsid w:val="008A1AAF"/>
    <w:rsid w:val="008A2E34"/>
    <w:rsid w:val="008B1574"/>
    <w:rsid w:val="008B4BD9"/>
    <w:rsid w:val="008B4FC8"/>
    <w:rsid w:val="008C044D"/>
    <w:rsid w:val="008C1E69"/>
    <w:rsid w:val="008C3495"/>
    <w:rsid w:val="008D14C6"/>
    <w:rsid w:val="008D1CCC"/>
    <w:rsid w:val="008D2036"/>
    <w:rsid w:val="008D3B9F"/>
    <w:rsid w:val="008E5417"/>
    <w:rsid w:val="008E5D6B"/>
    <w:rsid w:val="008F08AD"/>
    <w:rsid w:val="008F14C4"/>
    <w:rsid w:val="008F178C"/>
    <w:rsid w:val="008F64C8"/>
    <w:rsid w:val="0090698A"/>
    <w:rsid w:val="009104B8"/>
    <w:rsid w:val="0091376F"/>
    <w:rsid w:val="009164BF"/>
    <w:rsid w:val="00921028"/>
    <w:rsid w:val="00926F47"/>
    <w:rsid w:val="00927C87"/>
    <w:rsid w:val="00931A37"/>
    <w:rsid w:val="00933219"/>
    <w:rsid w:val="00935C30"/>
    <w:rsid w:val="00937164"/>
    <w:rsid w:val="0094033B"/>
    <w:rsid w:val="009524F1"/>
    <w:rsid w:val="00956F63"/>
    <w:rsid w:val="00961028"/>
    <w:rsid w:val="00962406"/>
    <w:rsid w:val="009725AE"/>
    <w:rsid w:val="009805D3"/>
    <w:rsid w:val="009869B6"/>
    <w:rsid w:val="00987CEF"/>
    <w:rsid w:val="00994DC4"/>
    <w:rsid w:val="00995260"/>
    <w:rsid w:val="009979A4"/>
    <w:rsid w:val="009B333C"/>
    <w:rsid w:val="009B59F5"/>
    <w:rsid w:val="009B5DB5"/>
    <w:rsid w:val="009C6664"/>
    <w:rsid w:val="009C7493"/>
    <w:rsid w:val="009C7B9B"/>
    <w:rsid w:val="009D0BDB"/>
    <w:rsid w:val="009D599C"/>
    <w:rsid w:val="009D5A99"/>
    <w:rsid w:val="009D6198"/>
    <w:rsid w:val="009D6C6C"/>
    <w:rsid w:val="009F5580"/>
    <w:rsid w:val="00A00010"/>
    <w:rsid w:val="00A04E64"/>
    <w:rsid w:val="00A078B2"/>
    <w:rsid w:val="00A117E8"/>
    <w:rsid w:val="00A11BBC"/>
    <w:rsid w:val="00A214CF"/>
    <w:rsid w:val="00A366B5"/>
    <w:rsid w:val="00A37D5B"/>
    <w:rsid w:val="00A5329B"/>
    <w:rsid w:val="00A565F9"/>
    <w:rsid w:val="00A573D9"/>
    <w:rsid w:val="00A670C0"/>
    <w:rsid w:val="00A75948"/>
    <w:rsid w:val="00A769D5"/>
    <w:rsid w:val="00AA34F6"/>
    <w:rsid w:val="00AA5CE2"/>
    <w:rsid w:val="00AA7297"/>
    <w:rsid w:val="00AA75C2"/>
    <w:rsid w:val="00AC4FF5"/>
    <w:rsid w:val="00AE1F14"/>
    <w:rsid w:val="00AF4033"/>
    <w:rsid w:val="00AF7AF6"/>
    <w:rsid w:val="00B00D51"/>
    <w:rsid w:val="00B076EC"/>
    <w:rsid w:val="00B130C0"/>
    <w:rsid w:val="00B1427C"/>
    <w:rsid w:val="00B156C6"/>
    <w:rsid w:val="00B17613"/>
    <w:rsid w:val="00B232B2"/>
    <w:rsid w:val="00B23ABB"/>
    <w:rsid w:val="00B255F3"/>
    <w:rsid w:val="00B30533"/>
    <w:rsid w:val="00B35AE8"/>
    <w:rsid w:val="00B362DF"/>
    <w:rsid w:val="00B37D3C"/>
    <w:rsid w:val="00B45791"/>
    <w:rsid w:val="00B47A40"/>
    <w:rsid w:val="00B61F3A"/>
    <w:rsid w:val="00B6297A"/>
    <w:rsid w:val="00B66EC9"/>
    <w:rsid w:val="00B72764"/>
    <w:rsid w:val="00B74053"/>
    <w:rsid w:val="00B747AC"/>
    <w:rsid w:val="00B75F26"/>
    <w:rsid w:val="00B77651"/>
    <w:rsid w:val="00B8010B"/>
    <w:rsid w:val="00B8281D"/>
    <w:rsid w:val="00B83A9F"/>
    <w:rsid w:val="00B84E9F"/>
    <w:rsid w:val="00B85398"/>
    <w:rsid w:val="00B908A8"/>
    <w:rsid w:val="00B912A8"/>
    <w:rsid w:val="00B92D9E"/>
    <w:rsid w:val="00BA0E94"/>
    <w:rsid w:val="00BA1ABF"/>
    <w:rsid w:val="00BA62C3"/>
    <w:rsid w:val="00BB788A"/>
    <w:rsid w:val="00BB7C6A"/>
    <w:rsid w:val="00BB7D19"/>
    <w:rsid w:val="00BC5E27"/>
    <w:rsid w:val="00BC6175"/>
    <w:rsid w:val="00BC718F"/>
    <w:rsid w:val="00BD2AD5"/>
    <w:rsid w:val="00BD4DBC"/>
    <w:rsid w:val="00BE0311"/>
    <w:rsid w:val="00BE1EF1"/>
    <w:rsid w:val="00BE21EC"/>
    <w:rsid w:val="00BE7AF7"/>
    <w:rsid w:val="00BF4C15"/>
    <w:rsid w:val="00BF6BDC"/>
    <w:rsid w:val="00C025DC"/>
    <w:rsid w:val="00C1151B"/>
    <w:rsid w:val="00C1265C"/>
    <w:rsid w:val="00C164CD"/>
    <w:rsid w:val="00C170FD"/>
    <w:rsid w:val="00C30167"/>
    <w:rsid w:val="00C3112C"/>
    <w:rsid w:val="00C31BB4"/>
    <w:rsid w:val="00C31D40"/>
    <w:rsid w:val="00C36568"/>
    <w:rsid w:val="00C4553A"/>
    <w:rsid w:val="00C5617E"/>
    <w:rsid w:val="00C57119"/>
    <w:rsid w:val="00C652AF"/>
    <w:rsid w:val="00C65E25"/>
    <w:rsid w:val="00C66CBF"/>
    <w:rsid w:val="00C67308"/>
    <w:rsid w:val="00C67DA5"/>
    <w:rsid w:val="00C72218"/>
    <w:rsid w:val="00C81F1B"/>
    <w:rsid w:val="00C97A58"/>
    <w:rsid w:val="00CA33CC"/>
    <w:rsid w:val="00CB2D7F"/>
    <w:rsid w:val="00CC1370"/>
    <w:rsid w:val="00CC40A8"/>
    <w:rsid w:val="00CD27AA"/>
    <w:rsid w:val="00CD2B1D"/>
    <w:rsid w:val="00CD7687"/>
    <w:rsid w:val="00CF2BC2"/>
    <w:rsid w:val="00D05A2C"/>
    <w:rsid w:val="00D05FBD"/>
    <w:rsid w:val="00D1010C"/>
    <w:rsid w:val="00D110DB"/>
    <w:rsid w:val="00D1448E"/>
    <w:rsid w:val="00D15DB0"/>
    <w:rsid w:val="00D2192D"/>
    <w:rsid w:val="00D22DF1"/>
    <w:rsid w:val="00D259D0"/>
    <w:rsid w:val="00D27186"/>
    <w:rsid w:val="00D31C34"/>
    <w:rsid w:val="00D33356"/>
    <w:rsid w:val="00D344E5"/>
    <w:rsid w:val="00D40638"/>
    <w:rsid w:val="00D504AF"/>
    <w:rsid w:val="00D50A93"/>
    <w:rsid w:val="00D51611"/>
    <w:rsid w:val="00D53957"/>
    <w:rsid w:val="00D54953"/>
    <w:rsid w:val="00D56305"/>
    <w:rsid w:val="00D61E98"/>
    <w:rsid w:val="00D62CAC"/>
    <w:rsid w:val="00D63666"/>
    <w:rsid w:val="00D66B18"/>
    <w:rsid w:val="00D7390D"/>
    <w:rsid w:val="00D746DA"/>
    <w:rsid w:val="00D808BE"/>
    <w:rsid w:val="00D82B98"/>
    <w:rsid w:val="00D91CD0"/>
    <w:rsid w:val="00D96879"/>
    <w:rsid w:val="00D97189"/>
    <w:rsid w:val="00D972D7"/>
    <w:rsid w:val="00D979D8"/>
    <w:rsid w:val="00DA0214"/>
    <w:rsid w:val="00DA5036"/>
    <w:rsid w:val="00DA76B9"/>
    <w:rsid w:val="00DB1255"/>
    <w:rsid w:val="00DB3DEE"/>
    <w:rsid w:val="00DC1CCC"/>
    <w:rsid w:val="00DC455F"/>
    <w:rsid w:val="00DC5257"/>
    <w:rsid w:val="00DD282C"/>
    <w:rsid w:val="00DD3346"/>
    <w:rsid w:val="00DD643D"/>
    <w:rsid w:val="00DE1D37"/>
    <w:rsid w:val="00DE3144"/>
    <w:rsid w:val="00DE49CD"/>
    <w:rsid w:val="00DF0A0F"/>
    <w:rsid w:val="00DF2CD4"/>
    <w:rsid w:val="00DF4EEF"/>
    <w:rsid w:val="00E02737"/>
    <w:rsid w:val="00E0388A"/>
    <w:rsid w:val="00E0563C"/>
    <w:rsid w:val="00E1006A"/>
    <w:rsid w:val="00E15F40"/>
    <w:rsid w:val="00E2350B"/>
    <w:rsid w:val="00E246DB"/>
    <w:rsid w:val="00E25BA0"/>
    <w:rsid w:val="00E26D1A"/>
    <w:rsid w:val="00E31668"/>
    <w:rsid w:val="00E31CA6"/>
    <w:rsid w:val="00E33E0B"/>
    <w:rsid w:val="00E348AD"/>
    <w:rsid w:val="00E3632B"/>
    <w:rsid w:val="00E433E6"/>
    <w:rsid w:val="00E45271"/>
    <w:rsid w:val="00E45A30"/>
    <w:rsid w:val="00E45EF5"/>
    <w:rsid w:val="00E53FE2"/>
    <w:rsid w:val="00E54265"/>
    <w:rsid w:val="00E56020"/>
    <w:rsid w:val="00E611CD"/>
    <w:rsid w:val="00E616A5"/>
    <w:rsid w:val="00E6494D"/>
    <w:rsid w:val="00E71A41"/>
    <w:rsid w:val="00E71A7F"/>
    <w:rsid w:val="00E75E48"/>
    <w:rsid w:val="00E844CE"/>
    <w:rsid w:val="00E903A0"/>
    <w:rsid w:val="00E949A1"/>
    <w:rsid w:val="00EA018B"/>
    <w:rsid w:val="00EA52F5"/>
    <w:rsid w:val="00EA6175"/>
    <w:rsid w:val="00EA6A6E"/>
    <w:rsid w:val="00EA6AB4"/>
    <w:rsid w:val="00EB634B"/>
    <w:rsid w:val="00EC3094"/>
    <w:rsid w:val="00EE5C44"/>
    <w:rsid w:val="00EE6786"/>
    <w:rsid w:val="00EF04EB"/>
    <w:rsid w:val="00EF5B63"/>
    <w:rsid w:val="00EF6716"/>
    <w:rsid w:val="00F020A0"/>
    <w:rsid w:val="00F06FCB"/>
    <w:rsid w:val="00F13DCD"/>
    <w:rsid w:val="00F30D85"/>
    <w:rsid w:val="00F34E31"/>
    <w:rsid w:val="00F41BC7"/>
    <w:rsid w:val="00F421F4"/>
    <w:rsid w:val="00F436D4"/>
    <w:rsid w:val="00F47D64"/>
    <w:rsid w:val="00F516E2"/>
    <w:rsid w:val="00F57965"/>
    <w:rsid w:val="00F60FE1"/>
    <w:rsid w:val="00F704C6"/>
    <w:rsid w:val="00F779C6"/>
    <w:rsid w:val="00F87754"/>
    <w:rsid w:val="00F94227"/>
    <w:rsid w:val="00F94FFC"/>
    <w:rsid w:val="00FA1CDD"/>
    <w:rsid w:val="00FA44C1"/>
    <w:rsid w:val="00FA4D72"/>
    <w:rsid w:val="00FA4F5A"/>
    <w:rsid w:val="00FA5AA7"/>
    <w:rsid w:val="00FA7CEB"/>
    <w:rsid w:val="00FB623C"/>
    <w:rsid w:val="00FB7782"/>
    <w:rsid w:val="00FC028D"/>
    <w:rsid w:val="00FD2CE3"/>
    <w:rsid w:val="00FD35CE"/>
    <w:rsid w:val="00FD37ED"/>
    <w:rsid w:val="00FF0118"/>
    <w:rsid w:val="00FF11DE"/>
    <w:rsid w:val="00FF2031"/>
    <w:rsid w:val="00FF3AFC"/>
    <w:rsid w:val="00FF6029"/>
    <w:rsid w:val="00FF6D8A"/>
    <w:rsid w:val="00FF75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D0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906D8"/>
    <w:rPr>
      <w:sz w:val="16"/>
      <w:szCs w:val="16"/>
    </w:rPr>
  </w:style>
  <w:style w:type="paragraph" w:styleId="CommentText">
    <w:name w:val="annotation text"/>
    <w:basedOn w:val="Normal"/>
    <w:link w:val="CommentTextChar"/>
    <w:uiPriority w:val="99"/>
    <w:semiHidden/>
    <w:unhideWhenUsed/>
    <w:rsid w:val="001906D8"/>
    <w:rPr>
      <w:sz w:val="20"/>
    </w:rPr>
  </w:style>
  <w:style w:type="character" w:customStyle="1" w:styleId="CommentTextChar">
    <w:name w:val="Comment Text Char"/>
    <w:basedOn w:val="DefaultParagraphFont"/>
    <w:link w:val="CommentText"/>
    <w:uiPriority w:val="99"/>
    <w:semiHidden/>
    <w:rsid w:val="001906D8"/>
  </w:style>
  <w:style w:type="paragraph" w:styleId="CommentSubject">
    <w:name w:val="annotation subject"/>
    <w:basedOn w:val="CommentText"/>
    <w:next w:val="CommentText"/>
    <w:link w:val="CommentSubjectChar"/>
    <w:uiPriority w:val="99"/>
    <w:semiHidden/>
    <w:unhideWhenUsed/>
    <w:rsid w:val="001906D8"/>
    <w:rPr>
      <w:b/>
      <w:bCs/>
    </w:rPr>
  </w:style>
  <w:style w:type="character" w:customStyle="1" w:styleId="CommentSubjectChar">
    <w:name w:val="Comment Subject Char"/>
    <w:link w:val="CommentSubject"/>
    <w:uiPriority w:val="99"/>
    <w:semiHidden/>
    <w:rsid w:val="001906D8"/>
    <w:rPr>
      <w:b/>
      <w:bCs/>
    </w:rPr>
  </w:style>
  <w:style w:type="paragraph" w:styleId="BalloonText">
    <w:name w:val="Balloon Text"/>
    <w:basedOn w:val="Normal"/>
    <w:link w:val="BalloonTextChar"/>
    <w:uiPriority w:val="99"/>
    <w:semiHidden/>
    <w:unhideWhenUsed/>
    <w:rsid w:val="001906D8"/>
    <w:rPr>
      <w:rFonts w:ascii="Tahoma" w:hAnsi="Tahoma" w:cs="Tahoma"/>
      <w:sz w:val="16"/>
      <w:szCs w:val="16"/>
    </w:rPr>
  </w:style>
  <w:style w:type="character" w:customStyle="1" w:styleId="BalloonTextChar">
    <w:name w:val="Balloon Text Char"/>
    <w:link w:val="BalloonText"/>
    <w:uiPriority w:val="99"/>
    <w:semiHidden/>
    <w:rsid w:val="001906D8"/>
    <w:rPr>
      <w:rFonts w:ascii="Tahoma" w:hAnsi="Tahoma" w:cs="Tahoma"/>
      <w:sz w:val="16"/>
      <w:szCs w:val="16"/>
    </w:rPr>
  </w:style>
  <w:style w:type="character" w:customStyle="1" w:styleId="ParaNumChar">
    <w:name w:val="ParaNum Char"/>
    <w:link w:val="ParaNum0"/>
    <w:uiPriority w:val="99"/>
    <w:locked/>
    <w:rsid w:val="00521E9F"/>
    <w:rPr>
      <w:kern w:val="28"/>
      <w:lang w:val="x-none" w:eastAsia="x-none"/>
    </w:rPr>
  </w:style>
  <w:style w:type="paragraph" w:customStyle="1" w:styleId="ParaNum0">
    <w:name w:val="ParaNum"/>
    <w:basedOn w:val="Normal"/>
    <w:link w:val="ParaNumChar"/>
    <w:uiPriority w:val="99"/>
    <w:rsid w:val="00521E9F"/>
    <w:pPr>
      <w:widowControl w:val="0"/>
      <w:numPr>
        <w:numId w:val="13"/>
      </w:numPr>
      <w:snapToGrid w:val="0"/>
      <w:spacing w:after="120"/>
    </w:pPr>
    <w:rPr>
      <w:kern w:val="28"/>
      <w:sz w:val="20"/>
      <w:lang w:val="x-none" w:eastAsia="x-none"/>
    </w:rPr>
  </w:style>
  <w:style w:type="character" w:customStyle="1" w:styleId="FooterChar">
    <w:name w:val="Footer Char"/>
    <w:basedOn w:val="DefaultParagraphFont"/>
    <w:link w:val="Footer"/>
    <w:uiPriority w:val="99"/>
    <w:rsid w:val="00883252"/>
    <w:rPr>
      <w:sz w:val="22"/>
    </w:rPr>
  </w:style>
  <w:style w:type="character" w:styleId="PageNumber">
    <w:name w:val="page number"/>
    <w:basedOn w:val="DefaultParagraphFont"/>
    <w:rsid w:val="009D6198"/>
  </w:style>
  <w:style w:type="paragraph" w:styleId="Revision">
    <w:name w:val="Revision"/>
    <w:hidden/>
    <w:uiPriority w:val="99"/>
    <w:semiHidden/>
    <w:rsid w:val="00A04E64"/>
    <w:rPr>
      <w:sz w:val="22"/>
    </w:rPr>
  </w:style>
  <w:style w:type="character" w:customStyle="1" w:styleId="FootnoteTextChar">
    <w:name w:val="Footnote Text Char"/>
    <w:link w:val="FootnoteText"/>
    <w:rsid w:val="00B908A8"/>
    <w:rPr>
      <w:sz w:val="22"/>
    </w:rPr>
  </w:style>
  <w:style w:type="character" w:customStyle="1" w:styleId="apple-converted-space">
    <w:name w:val="apple-converted-space"/>
    <w:basedOn w:val="DefaultParagraphFont"/>
    <w:rsid w:val="00380A8F"/>
  </w:style>
  <w:style w:type="character" w:customStyle="1" w:styleId="searchterm">
    <w:name w:val="searchterm"/>
    <w:basedOn w:val="DefaultParagraphFont"/>
    <w:rsid w:val="00380A8F"/>
  </w:style>
  <w:style w:type="paragraph" w:styleId="ListParagraph">
    <w:name w:val="List Paragraph"/>
    <w:basedOn w:val="Normal"/>
    <w:uiPriority w:val="34"/>
    <w:qFormat/>
    <w:rsid w:val="0048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1906D8"/>
    <w:rPr>
      <w:sz w:val="16"/>
      <w:szCs w:val="16"/>
    </w:rPr>
  </w:style>
  <w:style w:type="paragraph" w:styleId="CommentText">
    <w:name w:val="annotation text"/>
    <w:basedOn w:val="Normal"/>
    <w:link w:val="CommentTextChar"/>
    <w:uiPriority w:val="99"/>
    <w:semiHidden/>
    <w:unhideWhenUsed/>
    <w:rsid w:val="001906D8"/>
    <w:rPr>
      <w:sz w:val="20"/>
    </w:rPr>
  </w:style>
  <w:style w:type="character" w:customStyle="1" w:styleId="CommentTextChar">
    <w:name w:val="Comment Text Char"/>
    <w:basedOn w:val="DefaultParagraphFont"/>
    <w:link w:val="CommentText"/>
    <w:uiPriority w:val="99"/>
    <w:semiHidden/>
    <w:rsid w:val="001906D8"/>
  </w:style>
  <w:style w:type="paragraph" w:styleId="CommentSubject">
    <w:name w:val="annotation subject"/>
    <w:basedOn w:val="CommentText"/>
    <w:next w:val="CommentText"/>
    <w:link w:val="CommentSubjectChar"/>
    <w:uiPriority w:val="99"/>
    <w:semiHidden/>
    <w:unhideWhenUsed/>
    <w:rsid w:val="001906D8"/>
    <w:rPr>
      <w:b/>
      <w:bCs/>
    </w:rPr>
  </w:style>
  <w:style w:type="character" w:customStyle="1" w:styleId="CommentSubjectChar">
    <w:name w:val="Comment Subject Char"/>
    <w:link w:val="CommentSubject"/>
    <w:uiPriority w:val="99"/>
    <w:semiHidden/>
    <w:rsid w:val="001906D8"/>
    <w:rPr>
      <w:b/>
      <w:bCs/>
    </w:rPr>
  </w:style>
  <w:style w:type="paragraph" w:styleId="BalloonText">
    <w:name w:val="Balloon Text"/>
    <w:basedOn w:val="Normal"/>
    <w:link w:val="BalloonTextChar"/>
    <w:uiPriority w:val="99"/>
    <w:semiHidden/>
    <w:unhideWhenUsed/>
    <w:rsid w:val="001906D8"/>
    <w:rPr>
      <w:rFonts w:ascii="Tahoma" w:hAnsi="Tahoma" w:cs="Tahoma"/>
      <w:sz w:val="16"/>
      <w:szCs w:val="16"/>
    </w:rPr>
  </w:style>
  <w:style w:type="character" w:customStyle="1" w:styleId="BalloonTextChar">
    <w:name w:val="Balloon Text Char"/>
    <w:link w:val="BalloonText"/>
    <w:uiPriority w:val="99"/>
    <w:semiHidden/>
    <w:rsid w:val="001906D8"/>
    <w:rPr>
      <w:rFonts w:ascii="Tahoma" w:hAnsi="Tahoma" w:cs="Tahoma"/>
      <w:sz w:val="16"/>
      <w:szCs w:val="16"/>
    </w:rPr>
  </w:style>
  <w:style w:type="character" w:customStyle="1" w:styleId="ParaNumChar">
    <w:name w:val="ParaNum Char"/>
    <w:link w:val="ParaNum0"/>
    <w:uiPriority w:val="99"/>
    <w:locked/>
    <w:rsid w:val="00521E9F"/>
    <w:rPr>
      <w:kern w:val="28"/>
      <w:lang w:val="x-none" w:eastAsia="x-none"/>
    </w:rPr>
  </w:style>
  <w:style w:type="paragraph" w:customStyle="1" w:styleId="ParaNum0">
    <w:name w:val="ParaNum"/>
    <w:basedOn w:val="Normal"/>
    <w:link w:val="ParaNumChar"/>
    <w:uiPriority w:val="99"/>
    <w:rsid w:val="00521E9F"/>
    <w:pPr>
      <w:widowControl w:val="0"/>
      <w:numPr>
        <w:numId w:val="13"/>
      </w:numPr>
      <w:snapToGrid w:val="0"/>
      <w:spacing w:after="120"/>
    </w:pPr>
    <w:rPr>
      <w:kern w:val="28"/>
      <w:sz w:val="20"/>
      <w:lang w:val="x-none" w:eastAsia="x-none"/>
    </w:rPr>
  </w:style>
  <w:style w:type="character" w:customStyle="1" w:styleId="FooterChar">
    <w:name w:val="Footer Char"/>
    <w:basedOn w:val="DefaultParagraphFont"/>
    <w:link w:val="Footer"/>
    <w:uiPriority w:val="99"/>
    <w:rsid w:val="00883252"/>
    <w:rPr>
      <w:sz w:val="22"/>
    </w:rPr>
  </w:style>
  <w:style w:type="character" w:styleId="PageNumber">
    <w:name w:val="page number"/>
    <w:basedOn w:val="DefaultParagraphFont"/>
    <w:rsid w:val="009D6198"/>
  </w:style>
  <w:style w:type="paragraph" w:styleId="Revision">
    <w:name w:val="Revision"/>
    <w:hidden/>
    <w:uiPriority w:val="99"/>
    <w:semiHidden/>
    <w:rsid w:val="00A04E64"/>
    <w:rPr>
      <w:sz w:val="22"/>
    </w:rPr>
  </w:style>
  <w:style w:type="character" w:customStyle="1" w:styleId="FootnoteTextChar">
    <w:name w:val="Footnote Text Char"/>
    <w:link w:val="FootnoteText"/>
    <w:rsid w:val="00B908A8"/>
    <w:rPr>
      <w:sz w:val="22"/>
    </w:rPr>
  </w:style>
  <w:style w:type="character" w:customStyle="1" w:styleId="apple-converted-space">
    <w:name w:val="apple-converted-space"/>
    <w:basedOn w:val="DefaultParagraphFont"/>
    <w:rsid w:val="00380A8F"/>
  </w:style>
  <w:style w:type="character" w:customStyle="1" w:styleId="searchterm">
    <w:name w:val="searchterm"/>
    <w:basedOn w:val="DefaultParagraphFont"/>
    <w:rsid w:val="00380A8F"/>
  </w:style>
  <w:style w:type="paragraph" w:styleId="ListParagraph">
    <w:name w:val="List Paragraph"/>
    <w:basedOn w:val="Normal"/>
    <w:uiPriority w:val="34"/>
    <w:qFormat/>
    <w:rsid w:val="0048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871">
      <w:bodyDiv w:val="1"/>
      <w:marLeft w:val="0"/>
      <w:marRight w:val="0"/>
      <w:marTop w:val="0"/>
      <w:marBottom w:val="0"/>
      <w:divBdr>
        <w:top w:val="none" w:sz="0" w:space="0" w:color="auto"/>
        <w:left w:val="none" w:sz="0" w:space="0" w:color="auto"/>
        <w:bottom w:val="none" w:sz="0" w:space="0" w:color="auto"/>
        <w:right w:val="none" w:sz="0" w:space="0" w:color="auto"/>
      </w:divBdr>
    </w:div>
    <w:div w:id="6711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yperlink" Target="mailto:paul.dari@fcc.gov" TargetMode="External"/><Relationship Id="rId18" Type="http://schemas.openxmlformats.org/officeDocument/2006/relationships/header" Target="header3.xml"/><Relationship Id="rId26" Type="http://schemas.openxmlformats.org/officeDocument/2006/relationships/hyperlink" Target="mailto:Mania.Baghdadi@fcc.gov" TargetMode="Externa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phen.delsordo@fcc.gov" TargetMode="External"/><Relationship Id="rId17" Type="http://schemas.openxmlformats.org/officeDocument/2006/relationships/footer" Target="footer2.xml"/><Relationship Id="rId25" Type="http://schemas.openxmlformats.org/officeDocument/2006/relationships/hyperlink" Target="mailto:Stephen.Delsordo@fcc.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mailto:Irene.Flanner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24" Type="http://schemas.openxmlformats.org/officeDocument/2006/relationships/hyperlink" Target="mailto:Paul.Dari@fcc.gov"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Jeffrey.Steinberg@fcc.gov" TargetMode="External"/><Relationship Id="rId28" Type="http://schemas.openxmlformats.org/officeDocument/2006/relationships/hyperlink" Target="mailto:Geoffrey.Blackwell@fcc.gov" TargetMode="External"/><Relationship Id="rId10" Type="http://schemas.openxmlformats.org/officeDocument/2006/relationships/hyperlink" Target="mailto:fcc504@fcc.gov"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Brenda.Boykin@fcc.gov"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richardsonrfpd.com/resources/RellDocuments/SYS_29/Joe_Madden_April2013.pdf" TargetMode="External"/><Relationship Id="rId3" Type="http://schemas.openxmlformats.org/officeDocument/2006/relationships/hyperlink" Target="http://c.ymcdn.com/sites/portal.pcia.com/resource/resmgr/Research_Documents/DAS_and_Small_Cell_Technolog.pdf" TargetMode="External"/><Relationship Id="rId7" Type="http://schemas.openxmlformats.org/officeDocument/2006/relationships/hyperlink" Target="http://www.att.com/Common/about_us/files/pdf/das_football.pdf" TargetMode="External"/><Relationship Id="rId2" Type="http://schemas.openxmlformats.org/officeDocument/2006/relationships/hyperlink" Target="http://c.ymcdn.com/sites/portal.pcia.com/resource/resmgr/Research_Documents/DAS_and_Small_Cell_Technolog.pdf" TargetMode="External"/><Relationship Id="rId1" Type="http://schemas.openxmlformats.org/officeDocument/2006/relationships/hyperlink" Target="http://www.nps.gov/tps/standards/four-treatments/standguide/index.htm" TargetMode="External"/><Relationship Id="rId6" Type="http://schemas.openxmlformats.org/officeDocument/2006/relationships/hyperlink" Target="http://c.ymcdn.com/sites/portal.pcia.com/resource/resmgr/Research_Documents/DAS_and_Small_Cell_Technolog.pdf" TargetMode="External"/><Relationship Id="rId5" Type="http://schemas.openxmlformats.org/officeDocument/2006/relationships/hyperlink" Target="http://c.ymcdn.com/sites/portal.pcia.com/resource/resmgr/Research_Documents/DAS_and_Small_Cell_Technolog.pdf" TargetMode="External"/><Relationship Id="rId10" Type="http://schemas.openxmlformats.org/officeDocument/2006/relationships/hyperlink" Target="https://www.tessco.com/yts/knowledge_center/su/cellular-coverage-capacity-the-small-cell-revolution.html" TargetMode="External"/><Relationship Id="rId4" Type="http://schemas.openxmlformats.org/officeDocument/2006/relationships/hyperlink" Target="http://www.smallcellforum.org/aboutsmallcells-small-cells-what-is-a-small-cell" TargetMode="External"/><Relationship Id="rId9" Type="http://schemas.openxmlformats.org/officeDocument/2006/relationships/hyperlink" Target="http://www.antennasonline.com/main/news/16-million-das-nodes-to-be-deployed-through-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6130</Words>
  <Characters>35626</Characters>
  <Application>Microsoft Office Word</Application>
  <DocSecurity>0</DocSecurity>
  <Lines>526</Lines>
  <Paragraphs>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41896</CharactersWithSpaces>
  <SharedDoc>false</SharedDoc>
  <HyperlinkBase> </HyperlinkBase>
  <HLinks>
    <vt:vector size="18" baseType="variant">
      <vt:variant>
        <vt:i4>1245292</vt:i4>
      </vt:variant>
      <vt:variant>
        <vt:i4>6</vt:i4>
      </vt:variant>
      <vt:variant>
        <vt:i4>0</vt:i4>
      </vt:variant>
      <vt:variant>
        <vt:i4>5</vt:i4>
      </vt:variant>
      <vt:variant>
        <vt:lpwstr>mailto:stephen.delsordo@fcc.gov</vt:lpwstr>
      </vt:variant>
      <vt:variant>
        <vt:lpwstr/>
      </vt:variant>
      <vt:variant>
        <vt:i4>4128882</vt:i4>
      </vt:variant>
      <vt:variant>
        <vt:i4>3</vt:i4>
      </vt:variant>
      <vt:variant>
        <vt:i4>0</vt:i4>
      </vt:variant>
      <vt:variant>
        <vt:i4>5</vt:i4>
      </vt:variant>
      <vt:variant>
        <vt:lpwstr>http://www.fcc.gov/</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2013-09-26T15:41:00Z</cp:lastPrinted>
  <dcterms:created xsi:type="dcterms:W3CDTF">2015-07-28T18:18:00Z</dcterms:created>
  <dcterms:modified xsi:type="dcterms:W3CDTF">2015-07-28T18:18:00Z</dcterms:modified>
  <cp:category> </cp:category>
  <cp:contentStatus> </cp:contentStatus>
</cp:coreProperties>
</file>