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3E9C" w14:textId="77777777" w:rsidR="00C814F1" w:rsidRDefault="00C814F1">
      <w:pPr>
        <w:jc w:val="center"/>
        <w:rPr>
          <w:rFonts w:ascii="Times New Roman Bold" w:hAnsi="Times New Roman Bold"/>
        </w:rPr>
      </w:pPr>
      <w:bookmarkStart w:id="0" w:name="_GoBack"/>
      <w:bookmarkEnd w:id="0"/>
      <w:r>
        <w:rPr>
          <w:rFonts w:ascii="Times New Roman Bold" w:hAnsi="Times New Roman Bold"/>
        </w:rPr>
        <w:t>Before the</w:t>
      </w:r>
    </w:p>
    <w:p w14:paraId="47CFAE87" w14:textId="77777777" w:rsidR="00C814F1" w:rsidRDefault="00C814F1">
      <w:pPr>
        <w:jc w:val="center"/>
        <w:rPr>
          <w:rFonts w:ascii="Times New Roman Bold" w:hAnsi="Times New Roman Bold"/>
        </w:rPr>
      </w:pPr>
      <w:r>
        <w:rPr>
          <w:rFonts w:ascii="Times New Roman Bold" w:hAnsi="Times New Roman Bold"/>
        </w:rPr>
        <w:t>Federal Communications Commission</w:t>
      </w:r>
    </w:p>
    <w:p w14:paraId="0567524E" w14:textId="77777777" w:rsidR="00C814F1" w:rsidRDefault="00C814F1">
      <w:pPr>
        <w:jc w:val="center"/>
        <w:rPr>
          <w:rFonts w:ascii="Times New Roman Bold" w:hAnsi="Times New Roman Bold"/>
        </w:rPr>
      </w:pPr>
      <w:r>
        <w:rPr>
          <w:rFonts w:ascii="Times New Roman Bold" w:hAnsi="Times New Roman Bold"/>
        </w:rPr>
        <w:t>Washington, D.C. 20554</w:t>
      </w:r>
    </w:p>
    <w:p w14:paraId="67CD24F8" w14:textId="77777777" w:rsidR="00C814F1" w:rsidRDefault="00C814F1"/>
    <w:p w14:paraId="4410257F" w14:textId="77777777" w:rsidR="00C814F1" w:rsidRDefault="00C814F1"/>
    <w:tbl>
      <w:tblPr>
        <w:tblW w:w="0" w:type="auto"/>
        <w:shd w:val="clear" w:color="auto" w:fill="FFFFFF"/>
        <w:tblLayout w:type="fixed"/>
        <w:tblLook w:val="0000" w:firstRow="0" w:lastRow="0" w:firstColumn="0" w:lastColumn="0" w:noHBand="0" w:noVBand="0"/>
      </w:tblPr>
      <w:tblGrid>
        <w:gridCol w:w="4557"/>
        <w:gridCol w:w="698"/>
        <w:gridCol w:w="4103"/>
      </w:tblGrid>
      <w:tr w:rsidR="00C814F1" w14:paraId="5928CC09" w14:textId="77777777">
        <w:trPr>
          <w:cantSplit/>
          <w:trHeight w:val="1660"/>
        </w:trPr>
        <w:tc>
          <w:tcPr>
            <w:tcW w:w="455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A7B4617" w14:textId="77777777" w:rsidR="00C814F1" w:rsidRDefault="00C814F1">
            <w:r>
              <w:t>In the Matter of</w:t>
            </w:r>
          </w:p>
          <w:p w14:paraId="263CA8BD" w14:textId="77777777" w:rsidR="00C814F1" w:rsidRDefault="00C814F1"/>
          <w:p w14:paraId="00221FF9" w14:textId="77777777" w:rsidR="00C814F1" w:rsidRDefault="00C814F1">
            <w:r>
              <w:t>Roman Catholic Diocese of Gaylord</w:t>
            </w:r>
          </w:p>
          <w:p w14:paraId="3831479C" w14:textId="77777777" w:rsidR="00C814F1" w:rsidRDefault="00C814F1"/>
          <w:p w14:paraId="5594EF55" w14:textId="77777777" w:rsidR="00C814F1" w:rsidRDefault="00C814F1">
            <w:r>
              <w:t>Petition for Exemption from the</w:t>
            </w:r>
          </w:p>
          <w:p w14:paraId="4DAE78EE" w14:textId="77777777" w:rsidR="00C814F1" w:rsidRDefault="00C814F1">
            <w:r>
              <w:t>Closed Captioning Requirements</w:t>
            </w:r>
          </w:p>
        </w:tc>
        <w:tc>
          <w:tcPr>
            <w:tcW w:w="6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9620F43" w14:textId="77777777" w:rsidR="00C814F1" w:rsidRDefault="00C814F1">
            <w:pPr>
              <w:rPr>
                <w:rFonts w:ascii="Times New Roman Bold" w:hAnsi="Times New Roman Bold"/>
              </w:rPr>
            </w:pPr>
            <w:r>
              <w:rPr>
                <w:rFonts w:ascii="Times New Roman Bold" w:hAnsi="Times New Roman Bold"/>
              </w:rPr>
              <w:t>)</w:t>
            </w:r>
          </w:p>
          <w:p w14:paraId="01F05E27" w14:textId="77777777" w:rsidR="00C814F1" w:rsidRDefault="00C814F1">
            <w:pPr>
              <w:rPr>
                <w:rFonts w:ascii="Times New Roman Bold" w:hAnsi="Times New Roman Bold"/>
              </w:rPr>
            </w:pPr>
            <w:r>
              <w:rPr>
                <w:rFonts w:ascii="Times New Roman Bold" w:hAnsi="Times New Roman Bold"/>
              </w:rPr>
              <w:t>)</w:t>
            </w:r>
          </w:p>
          <w:p w14:paraId="7D58A55A" w14:textId="77777777" w:rsidR="00C814F1" w:rsidRDefault="00C814F1">
            <w:pPr>
              <w:rPr>
                <w:rFonts w:ascii="Times New Roman Bold" w:hAnsi="Times New Roman Bold"/>
              </w:rPr>
            </w:pPr>
            <w:r>
              <w:rPr>
                <w:rFonts w:ascii="Times New Roman Bold" w:hAnsi="Times New Roman Bold"/>
              </w:rPr>
              <w:t>)</w:t>
            </w:r>
          </w:p>
          <w:p w14:paraId="4CCC6DD3" w14:textId="77777777" w:rsidR="00C814F1" w:rsidRDefault="00C814F1">
            <w:pPr>
              <w:rPr>
                <w:rFonts w:ascii="Times New Roman Bold" w:hAnsi="Times New Roman Bold"/>
              </w:rPr>
            </w:pPr>
            <w:r>
              <w:rPr>
                <w:rFonts w:ascii="Times New Roman Bold" w:hAnsi="Times New Roman Bold"/>
              </w:rPr>
              <w:t>)</w:t>
            </w:r>
          </w:p>
          <w:p w14:paraId="599E196F" w14:textId="77777777" w:rsidR="00C814F1" w:rsidRDefault="00C814F1">
            <w:pPr>
              <w:rPr>
                <w:rFonts w:ascii="Times New Roman Bold" w:hAnsi="Times New Roman Bold"/>
              </w:rPr>
            </w:pPr>
            <w:r>
              <w:rPr>
                <w:rFonts w:ascii="Times New Roman Bold" w:hAnsi="Times New Roman Bold"/>
              </w:rPr>
              <w:t>)</w:t>
            </w:r>
          </w:p>
          <w:p w14:paraId="214292BD" w14:textId="77777777" w:rsidR="00C814F1" w:rsidRDefault="00C814F1">
            <w:pPr>
              <w:rPr>
                <w:rFonts w:ascii="Times New Roman Bold" w:hAnsi="Times New Roman Bold"/>
              </w:rPr>
            </w:pPr>
            <w:r>
              <w:rPr>
                <w:rFonts w:ascii="Times New Roman Bold" w:hAnsi="Times New Roman Bold"/>
              </w:rPr>
              <w:t>)</w:t>
            </w:r>
          </w:p>
          <w:p w14:paraId="12042738" w14:textId="77777777" w:rsidR="00C814F1" w:rsidRDefault="00C814F1"/>
        </w:tc>
        <w:tc>
          <w:tcPr>
            <w:tcW w:w="410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461388E" w14:textId="77777777" w:rsidR="00C814F1" w:rsidRDefault="00C814F1"/>
          <w:p w14:paraId="60C375AD" w14:textId="77777777" w:rsidR="00C814F1" w:rsidRDefault="00C814F1"/>
          <w:p w14:paraId="458662BC" w14:textId="77777777" w:rsidR="00C814F1" w:rsidRDefault="00C814F1">
            <w:pPr>
              <w:rPr>
                <w:spacing w:val="-2"/>
              </w:rPr>
            </w:pPr>
            <w:r>
              <w:rPr>
                <w:spacing w:val="-2"/>
              </w:rPr>
              <w:t>CGB-CC-0270</w:t>
            </w:r>
          </w:p>
          <w:p w14:paraId="4F86ADEC" w14:textId="77777777" w:rsidR="00C814F1" w:rsidRDefault="00C814F1"/>
          <w:p w14:paraId="7CCB1896" w14:textId="77777777" w:rsidR="00C814F1" w:rsidRDefault="00C814F1">
            <w:pPr>
              <w:rPr>
                <w:spacing w:val="-2"/>
              </w:rPr>
            </w:pPr>
            <w:r>
              <w:rPr>
                <w:spacing w:val="-2"/>
              </w:rPr>
              <w:t>CG Docket No. 06-181</w:t>
            </w:r>
          </w:p>
          <w:p w14:paraId="167B3B3D" w14:textId="77777777" w:rsidR="00C814F1" w:rsidRDefault="00C814F1">
            <w:pPr>
              <w:rPr>
                <w:spacing w:val="-2"/>
              </w:rPr>
            </w:pPr>
          </w:p>
          <w:p w14:paraId="109C59AC" w14:textId="77777777" w:rsidR="00C814F1" w:rsidRDefault="00C814F1"/>
        </w:tc>
      </w:tr>
    </w:tbl>
    <w:p w14:paraId="0D286A16" w14:textId="77777777" w:rsidR="00C814F1" w:rsidRDefault="00C814F1"/>
    <w:p w14:paraId="627A8849" w14:textId="77777777" w:rsidR="00C814F1" w:rsidRDefault="00C814F1">
      <w:pPr>
        <w:spacing w:before="120"/>
        <w:jc w:val="center"/>
        <w:rPr>
          <w:rFonts w:ascii="Times New Roman Bold" w:hAnsi="Times New Roman Bold"/>
        </w:rPr>
      </w:pPr>
      <w:r>
        <w:rPr>
          <w:rFonts w:ascii="Times New Roman Bold" w:hAnsi="Times New Roman Bold"/>
          <w:spacing w:val="-2"/>
        </w:rPr>
        <w:t>MEMORANDUM OPINION AND ORDER</w:t>
      </w:r>
    </w:p>
    <w:p w14:paraId="11CB3E80" w14:textId="77777777" w:rsidR="00C814F1" w:rsidRDefault="00C814F1"/>
    <w:p w14:paraId="3D297025" w14:textId="505E53F9" w:rsidR="00C814F1" w:rsidRDefault="00C814F1">
      <w:pPr>
        <w:tabs>
          <w:tab w:val="right" w:pos="9340"/>
        </w:tabs>
        <w:rPr>
          <w:rFonts w:ascii="Times New Roman Bold" w:hAnsi="Times New Roman Bold"/>
        </w:rPr>
      </w:pPr>
      <w:r>
        <w:rPr>
          <w:rFonts w:ascii="Times New Roman Bold" w:hAnsi="Times New Roman Bold"/>
        </w:rPr>
        <w:t xml:space="preserve">Adopted:  </w:t>
      </w:r>
      <w:r w:rsidR="00A11BF7">
        <w:rPr>
          <w:rFonts w:ascii="Times New Roman Bold" w:hAnsi="Times New Roman Bold"/>
          <w:spacing w:val="-2"/>
        </w:rPr>
        <w:t>July 2</w:t>
      </w:r>
      <w:r w:rsidR="00B52502">
        <w:rPr>
          <w:rFonts w:ascii="Times New Roman Bold" w:hAnsi="Times New Roman Bold"/>
          <w:spacing w:val="-2"/>
        </w:rPr>
        <w:t>1</w:t>
      </w:r>
      <w:r w:rsidR="00A11BF7">
        <w:rPr>
          <w:rFonts w:ascii="Times New Roman Bold" w:hAnsi="Times New Roman Bold"/>
          <w:spacing w:val="-2"/>
        </w:rPr>
        <w:t>, 2015</w:t>
      </w:r>
      <w:r>
        <w:rPr>
          <w:rFonts w:ascii="Times New Roman Bold" w:hAnsi="Times New Roman Bold"/>
        </w:rPr>
        <w:t xml:space="preserve">                                                                    Released:  </w:t>
      </w:r>
      <w:r w:rsidR="00A11BF7">
        <w:rPr>
          <w:rFonts w:ascii="Times New Roman Bold" w:hAnsi="Times New Roman Bold"/>
        </w:rPr>
        <w:t xml:space="preserve">July </w:t>
      </w:r>
      <w:r w:rsidR="00A11BF7">
        <w:rPr>
          <w:rFonts w:ascii="Times New Roman Bold" w:hAnsi="Times New Roman Bold"/>
          <w:spacing w:val="-2"/>
        </w:rPr>
        <w:t>2</w:t>
      </w:r>
      <w:r w:rsidR="00B52502">
        <w:rPr>
          <w:rFonts w:ascii="Times New Roman Bold" w:hAnsi="Times New Roman Bold"/>
          <w:spacing w:val="-2"/>
        </w:rPr>
        <w:t>1</w:t>
      </w:r>
      <w:r w:rsidR="00A11BF7">
        <w:rPr>
          <w:rFonts w:ascii="Times New Roman Bold" w:hAnsi="Times New Roman Bold"/>
          <w:spacing w:val="-2"/>
        </w:rPr>
        <w:t>, 2015</w:t>
      </w:r>
    </w:p>
    <w:p w14:paraId="79C00564" w14:textId="77777777" w:rsidR="00C814F1" w:rsidRDefault="00C814F1">
      <w:pPr>
        <w:tabs>
          <w:tab w:val="left" w:pos="5760"/>
        </w:tabs>
        <w:rPr>
          <w:rFonts w:ascii="Times New Roman Bold" w:hAnsi="Times New Roman Bold"/>
        </w:rPr>
      </w:pPr>
    </w:p>
    <w:p w14:paraId="569BD83E" w14:textId="77777777" w:rsidR="00C814F1" w:rsidRDefault="00C814F1">
      <w:pPr>
        <w:tabs>
          <w:tab w:val="left" w:pos="5760"/>
        </w:tabs>
        <w:rPr>
          <w:spacing w:val="-2"/>
        </w:rPr>
      </w:pPr>
      <w:r>
        <w:t xml:space="preserve">By the Deputy </w:t>
      </w:r>
      <w:r>
        <w:rPr>
          <w:spacing w:val="-2"/>
        </w:rPr>
        <w:t>Chief, Consumer and Governmental Affairs Bureau:</w:t>
      </w:r>
    </w:p>
    <w:p w14:paraId="33C3B9BC" w14:textId="77777777" w:rsidR="00C814F1" w:rsidRDefault="00C814F1">
      <w:pPr>
        <w:tabs>
          <w:tab w:val="left" w:pos="5760"/>
        </w:tabs>
        <w:rPr>
          <w:rFonts w:ascii="Times New Roman Bold" w:hAnsi="Times New Roman Bold"/>
        </w:rPr>
      </w:pPr>
    </w:p>
    <w:p w14:paraId="76B93AC2" w14:textId="77777777" w:rsidR="00C814F1" w:rsidRDefault="00C814F1"/>
    <w:p w14:paraId="3B102009" w14:textId="77777777" w:rsidR="00C814F1" w:rsidRDefault="00C814F1">
      <w:pPr>
        <w:pStyle w:val="Heading11"/>
        <w:keepNext w:val="0"/>
        <w:widowControl/>
        <w:numPr>
          <w:ilvl w:val="0"/>
          <w:numId w:val="1"/>
        </w:numPr>
        <w:spacing w:after="120"/>
        <w:ind w:hanging="720"/>
        <w:jc w:val="left"/>
        <w:rPr>
          <w:rFonts w:ascii="Times New Roman" w:hAnsi="Times New Roman"/>
        </w:rPr>
      </w:pPr>
      <w:r>
        <w:t>INTRODUCTION</w:t>
      </w:r>
    </w:p>
    <w:p w14:paraId="74A9C0F9" w14:textId="5D43E0D9" w:rsidR="00C814F1" w:rsidRDefault="00C814F1" w:rsidP="006D61CA">
      <w:pPr>
        <w:pStyle w:val="ParaNum"/>
      </w:pPr>
      <w:r>
        <w:t xml:space="preserve">In this Memorandum Opinion and Order (Order), we address a petition filed by Petitioner Roman Catholic Diocese of Gaylord (Gaylord) for an exemption from the Federal Communications Commission’s (FCC’s or Commission’s) closed captioning requirements for its program, </w:t>
      </w:r>
      <w:r>
        <w:rPr>
          <w:rFonts w:ascii="Times New Roman Italic" w:hAnsi="Times New Roman Italic"/>
        </w:rPr>
        <w:t>Sunday Mass</w:t>
      </w:r>
      <w:r>
        <w:t xml:space="preserve">.  </w:t>
      </w:r>
      <w:r w:rsidRPr="00A3112B">
        <w:rPr>
          <w:rFonts w:eastAsia="Times New Roman"/>
          <w:color w:val="auto"/>
          <w:szCs w:val="22"/>
        </w:rPr>
        <w:t>Because</w:t>
      </w:r>
      <w:r>
        <w:t xml:space="preserve"> we conclude that Gaylord has not demonstrated that its compliance with the Commission’s closed captioning requirements would be economically burdensome to it, we deny the Petition.  In light of our action, </w:t>
      </w:r>
      <w:r w:rsidR="00DE1943">
        <w:rPr>
          <w:i/>
        </w:rPr>
        <w:t xml:space="preserve">Sunday Mass </w:t>
      </w:r>
      <w:r w:rsidR="00DE1943" w:rsidRPr="004013B9">
        <w:t xml:space="preserve">must be captioned </w:t>
      </w:r>
      <w:r>
        <w:t xml:space="preserve">no later </w:t>
      </w:r>
      <w:r w:rsidRPr="00A11BF7">
        <w:t xml:space="preserve">than </w:t>
      </w:r>
      <w:r w:rsidR="00A11BF7">
        <w:t xml:space="preserve">October 19, </w:t>
      </w:r>
      <w:r w:rsidRPr="00A11BF7">
        <w:t>2015</w:t>
      </w:r>
      <w:r>
        <w:t>, which is 90 days from the date of the release of this Order.</w:t>
      </w:r>
    </w:p>
    <w:p w14:paraId="2F5D0A24" w14:textId="77777777" w:rsidR="00C814F1" w:rsidRDefault="00C814F1" w:rsidP="003B273F">
      <w:pPr>
        <w:pStyle w:val="Heading11"/>
        <w:keepNext w:val="0"/>
        <w:widowControl/>
        <w:numPr>
          <w:ilvl w:val="0"/>
          <w:numId w:val="1"/>
        </w:numPr>
        <w:spacing w:after="120"/>
        <w:ind w:hanging="720"/>
      </w:pPr>
      <w:r>
        <w:t>Background</w:t>
      </w:r>
    </w:p>
    <w:p w14:paraId="1F5AE052" w14:textId="37D9F922" w:rsidR="00EC6C3A" w:rsidRPr="00EC6C3A" w:rsidRDefault="00EC6C3A" w:rsidP="00EC6C3A">
      <w:pPr>
        <w:pStyle w:val="ParaNum"/>
        <w:rPr>
          <w:szCs w:val="22"/>
        </w:rPr>
      </w:pPr>
      <w:r w:rsidRPr="00EC6C3A">
        <w:rPr>
          <w:szCs w:val="22"/>
        </w:rPr>
        <w:t xml:space="preserve">In 1996, Congress added section 713 to the Communications Act of 1934, as amended (Communications Act), establishing requirements for closed captioning of video programming to ensure access to such </w:t>
      </w:r>
      <w:r w:rsidRPr="00EC6C3A">
        <w:t>programming</w:t>
      </w:r>
      <w:r w:rsidRPr="00EC6C3A">
        <w:rPr>
          <w:szCs w:val="22"/>
        </w:rPr>
        <w:t xml:space="preserve"> by people who are deaf or hard of hearing</w:t>
      </w:r>
      <w:r w:rsidRPr="00EC6C3A">
        <w:rPr>
          <w:szCs w:val="22"/>
          <w:vertAlign w:val="superscript"/>
        </w:rPr>
        <w:footnoteReference w:id="2"/>
      </w:r>
      <w:r w:rsidRPr="00EC6C3A">
        <w:rPr>
          <w:szCs w:val="22"/>
        </w:rPr>
        <w:t xml:space="preserve"> and directing the Commission to prescribe rules to carry out this mandate.</w:t>
      </w:r>
      <w:r w:rsidRPr="00EC6C3A">
        <w:rPr>
          <w:szCs w:val="22"/>
          <w:vertAlign w:val="superscript"/>
        </w:rPr>
        <w:footnoteReference w:id="3"/>
      </w:r>
      <w:r w:rsidRPr="00EC6C3A">
        <w:rPr>
          <w:szCs w:val="22"/>
        </w:rPr>
        <w:t xml:space="preserve">  In 1997, the Commission adopted rules and implementation schedules for closed captioning, which became effective on January 1, 1998.</w:t>
      </w:r>
      <w:r w:rsidRPr="00EC6C3A">
        <w:rPr>
          <w:szCs w:val="22"/>
          <w:vertAlign w:val="superscript"/>
        </w:rPr>
        <w:footnoteReference w:id="4"/>
      </w:r>
      <w:r w:rsidRPr="00EC6C3A">
        <w:rPr>
          <w:szCs w:val="22"/>
        </w:rPr>
        <w:t xml:space="preserve">  The Commission’s closed </w:t>
      </w:r>
      <w:r w:rsidRPr="00EC6C3A">
        <w:rPr>
          <w:szCs w:val="22"/>
        </w:rPr>
        <w:lastRenderedPageBreak/>
        <w:t>captioning rules currently require video programming distributors, absent an exemption, to caption 100 percent of all new English and Spanish language programming.</w:t>
      </w:r>
      <w:r w:rsidRPr="00EC6C3A">
        <w:rPr>
          <w:szCs w:val="22"/>
          <w:vertAlign w:val="superscript"/>
        </w:rPr>
        <w:footnoteReference w:id="5"/>
      </w:r>
      <w:r w:rsidRPr="00EC6C3A">
        <w:rPr>
          <w:szCs w:val="22"/>
        </w:rPr>
        <w:t xml:space="preserve">  </w:t>
      </w:r>
    </w:p>
    <w:p w14:paraId="7C5C6A13" w14:textId="77777777" w:rsidR="00EC6C3A" w:rsidRPr="00AE1F6B" w:rsidRDefault="00EC6C3A" w:rsidP="00EC6C3A">
      <w:pPr>
        <w:pStyle w:val="ParaNum"/>
      </w:pPr>
      <w:r w:rsidRPr="00EC6C3A">
        <w:rPr>
          <w:szCs w:val="22"/>
        </w:rPr>
        <w:t>Section 713(d)(3) of the Communications Act authorizes the Commission to grant individual exemptions from the television closed captioning requirements</w:t>
      </w:r>
      <w:r w:rsidRPr="00AE1F6B">
        <w:rPr>
          <w:rFonts w:ascii="Times New Roman Bold" w:hAnsi="Times New Roman Bold"/>
          <w:caps/>
        </w:rPr>
        <w:t xml:space="preserve"> </w:t>
      </w:r>
      <w:r w:rsidRPr="00EC6C3A">
        <w:rPr>
          <w:szCs w:val="22"/>
        </w:rPr>
        <w:t>upon a showing that the requirements would be economically burdensome, defined as imposing on the petitioner a “significant difficulty or expense.”</w:t>
      </w:r>
      <w:r w:rsidRPr="00EC6C3A">
        <w:rPr>
          <w:szCs w:val="22"/>
          <w:vertAlign w:val="superscript"/>
        </w:rPr>
        <w:footnoteReference w:id="6"/>
      </w:r>
      <w:r w:rsidRPr="00EC6C3A">
        <w:rPr>
          <w:szCs w:val="22"/>
        </w:rPr>
        <w:t xml:space="preserve">  Any entity in the programming distribution chain, including the owner, provider, or distributor of the programming, may petition the Commission for such an exemption under section 79.1(f) of the Commission’s rules.</w:t>
      </w:r>
      <w:r w:rsidRPr="00EC6C3A">
        <w:rPr>
          <w:szCs w:val="22"/>
          <w:vertAlign w:val="superscript"/>
        </w:rPr>
        <w:footnoteReference w:id="7"/>
      </w:r>
      <w:r w:rsidRPr="00EC6C3A">
        <w:rPr>
          <w:szCs w:val="22"/>
        </w:rPr>
        <w:t xml:space="preserve">  When making its determination as to whether a petitioner has made the required showing,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EC6C3A">
        <w:rPr>
          <w:szCs w:val="22"/>
          <w:vertAlign w:val="superscript"/>
        </w:rPr>
        <w:footnoteReference w:id="8"/>
      </w:r>
    </w:p>
    <w:p w14:paraId="005E5544" w14:textId="03E3570F" w:rsidR="00EC6C3A" w:rsidRPr="00EC6C3A" w:rsidRDefault="00EC6C3A" w:rsidP="00EC6C3A">
      <w:pPr>
        <w:pStyle w:val="ParaNum"/>
      </w:pPr>
      <w:r w:rsidRPr="00EC6C3A">
        <w:rPr>
          <w:szCs w:val="22"/>
        </w:rPr>
        <w:lastRenderedPageBreak/>
        <w:t xml:space="preserve">The Commission has also determined that  the following information and documentation must be submitted with closed captioning exemption petitions to enable its consideration of the above factors:  </w:t>
      </w:r>
    </w:p>
    <w:p w14:paraId="3DF9B6A5" w14:textId="466D29A0" w:rsidR="00EC6C3A" w:rsidRPr="00A37627" w:rsidRDefault="00EC6C3A" w:rsidP="00A37627">
      <w:pPr>
        <w:numPr>
          <w:ilvl w:val="0"/>
          <w:numId w:val="10"/>
        </w:numPr>
        <w:spacing w:after="120"/>
      </w:pPr>
      <w:r w:rsidRPr="00A37627">
        <w:t xml:space="preserve">documentation of the petitioner’s financial </w:t>
      </w:r>
      <w:r w:rsidRPr="00EC6C3A">
        <w:t>status</w:t>
      </w:r>
      <w:r w:rsidRPr="00A37627">
        <w:t xml:space="preserve">, including </w:t>
      </w:r>
      <w:r w:rsidRPr="00EC6C3A">
        <w:t xml:space="preserve">detailed information regarding finances and </w:t>
      </w:r>
      <w:r w:rsidRPr="00A37627">
        <w:t>assets;</w:t>
      </w:r>
    </w:p>
    <w:p w14:paraId="2FE0A07A" w14:textId="77777777" w:rsidR="00EC6C3A" w:rsidRPr="00EC6C3A" w:rsidRDefault="00EC6C3A" w:rsidP="00EC6C3A">
      <w:pPr>
        <w:numPr>
          <w:ilvl w:val="0"/>
          <w:numId w:val="10"/>
        </w:numPr>
        <w:spacing w:after="120"/>
      </w:pPr>
      <w:r w:rsidRPr="00EC6C3A">
        <w:t xml:space="preserve">verification that the petitioner has obtained information about the costs it would incur to provide closed captioning of the programming; </w:t>
      </w:r>
    </w:p>
    <w:p w14:paraId="57792396" w14:textId="689F703F" w:rsidR="00EC6C3A" w:rsidRPr="00A37627" w:rsidRDefault="00EC6C3A" w:rsidP="00A37627">
      <w:pPr>
        <w:numPr>
          <w:ilvl w:val="0"/>
          <w:numId w:val="10"/>
        </w:numPr>
        <w:spacing w:after="120"/>
      </w:pPr>
      <w:r w:rsidRPr="00A37627">
        <w:t>verification that the petitioner has sought closed captioning assistance from its video programming distributor(s</w:t>
      </w:r>
      <w:r w:rsidRPr="00EC6C3A">
        <w:t xml:space="preserve">), noting the extent to which such assistance has been provided or rejected; </w:t>
      </w:r>
    </w:p>
    <w:p w14:paraId="5D572554" w14:textId="14CA44F9" w:rsidR="00EC6C3A" w:rsidRPr="00A37627" w:rsidRDefault="00EC6C3A" w:rsidP="00A37627">
      <w:pPr>
        <w:numPr>
          <w:ilvl w:val="0"/>
          <w:numId w:val="10"/>
        </w:numPr>
        <w:spacing w:after="120"/>
      </w:pPr>
      <w:r w:rsidRPr="00A37627">
        <w:t xml:space="preserve">verification </w:t>
      </w:r>
      <w:r w:rsidRPr="00EC6C3A">
        <w:t>as to whether</w:t>
      </w:r>
      <w:r w:rsidRPr="00A37627">
        <w:t xml:space="preserve"> the petitioner has sought additional sponsorships (other than from its video programming distributor(s</w:t>
      </w:r>
      <w:r w:rsidRPr="00EC6C3A">
        <w:t>))</w:t>
      </w:r>
      <w:r w:rsidRPr="00A37627">
        <w:t xml:space="preserve"> or other sources of revenue for captioning</w:t>
      </w:r>
      <w:r w:rsidRPr="00EC6C3A">
        <w:t>; and</w:t>
      </w:r>
    </w:p>
    <w:p w14:paraId="734000AC" w14:textId="77777777" w:rsidR="00EC6C3A" w:rsidRPr="00EC6C3A" w:rsidRDefault="00EC6C3A" w:rsidP="00EC6C3A">
      <w:pPr>
        <w:numPr>
          <w:ilvl w:val="0"/>
          <w:numId w:val="10"/>
        </w:numPr>
        <w:spacing w:after="120"/>
        <w:rPr>
          <w:szCs w:val="22"/>
        </w:rPr>
      </w:pPr>
      <w:r w:rsidRPr="00EC6C3A">
        <w:t>a showing that the petitioner does not have the means to provide captioning for the programming</w:t>
      </w:r>
      <w:r w:rsidRPr="00EC6C3A">
        <w:rPr>
          <w:snapToGrid w:val="0"/>
          <w:kern w:val="28"/>
          <w:szCs w:val="22"/>
        </w:rPr>
        <w:t>.</w:t>
      </w:r>
      <w:r w:rsidRPr="00EC6C3A">
        <w:rPr>
          <w:snapToGrid w:val="0"/>
          <w:kern w:val="28"/>
          <w:szCs w:val="22"/>
          <w:vertAlign w:val="superscript"/>
        </w:rPr>
        <w:footnoteReference w:id="9"/>
      </w:r>
      <w:r w:rsidRPr="00EC6C3A">
        <w:rPr>
          <w:snapToGrid w:val="0"/>
          <w:kern w:val="28"/>
          <w:szCs w:val="22"/>
        </w:rPr>
        <w:t xml:space="preserve">  </w:t>
      </w:r>
    </w:p>
    <w:p w14:paraId="7966BBAB" w14:textId="77777777" w:rsidR="00EC6C3A" w:rsidRPr="00A37627" w:rsidRDefault="00EC6C3A" w:rsidP="00EC6C3A">
      <w:pPr>
        <w:pStyle w:val="ParaNum"/>
      </w:pPr>
      <w:r w:rsidRPr="00101734">
        <w:rPr>
          <w:snapToGrid w:val="0"/>
          <w:szCs w:val="22"/>
        </w:rPr>
        <w:t xml:space="preserve">Each </w:t>
      </w:r>
      <w:r w:rsidRPr="00EC6C3A">
        <w:t>petition</w:t>
      </w:r>
      <w:r w:rsidRPr="00101734">
        <w:rPr>
          <w:snapToGrid w:val="0"/>
          <w:szCs w:val="22"/>
        </w:rPr>
        <w:t xml:space="preserve">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10"/>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1"/>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2"/>
      </w:r>
    </w:p>
    <w:p w14:paraId="045E846E" w14:textId="7C678A5E" w:rsidR="00A37627" w:rsidRPr="00A37627" w:rsidRDefault="00A37627" w:rsidP="00EC6C3A">
      <w:pPr>
        <w:pStyle w:val="ParaNum"/>
      </w:pPr>
      <w:r>
        <w:rPr>
          <w:snapToGrid w:val="0"/>
          <w:szCs w:val="22"/>
        </w:rPr>
        <w:t>G</w:t>
      </w:r>
      <w:r>
        <w:t>aylord initially filed a petition for exemption on December 26, 2005.</w:t>
      </w:r>
      <w:r w:rsidRPr="00AE1F6B">
        <w:rPr>
          <w:rStyle w:val="FootnoteReference1"/>
        </w:rPr>
        <w:footnoteReference w:id="13"/>
      </w:r>
      <w:r>
        <w:t xml:space="preserve">  The Consumer and Governmental Affairs Bureau (CGB or Bureau) granted the petition and issued an exemption to Gaylord by letter order dated September 11, 2006.</w:t>
      </w:r>
      <w:r w:rsidRPr="00AE1F6B">
        <w:rPr>
          <w:rStyle w:val="FootnoteReference1"/>
        </w:rPr>
        <w:footnoteReference w:id="14"/>
      </w:r>
      <w:r>
        <w:t xml:space="preserve">  On November 7, 2006, the Bureau issued a Public Notice holding in abeyance various letter orders granting exemptions, including Gaylord’s, and invited public comment on </w:t>
      </w:r>
      <w:r w:rsidR="00B52502" w:rsidRPr="00FD48A4">
        <w:rPr>
          <w:szCs w:val="22"/>
        </w:rPr>
        <w:t xml:space="preserve">certain exemption petitions, including </w:t>
      </w:r>
      <w:r w:rsidR="00B52502">
        <w:rPr>
          <w:szCs w:val="22"/>
        </w:rPr>
        <w:t>Gaylord’s</w:t>
      </w:r>
      <w:r>
        <w:t>.</w:t>
      </w:r>
      <w:r w:rsidRPr="00AE1F6B">
        <w:rPr>
          <w:rStyle w:val="FootnoteReference1"/>
        </w:rPr>
        <w:footnoteReference w:id="15"/>
      </w:r>
      <w:r>
        <w:t xml:space="preserve">  In 2011, the Commission reversed certain grants of exemption, including the exemption granted to Gaylord.</w:t>
      </w:r>
      <w:r w:rsidRPr="00AE1F6B">
        <w:rPr>
          <w:rStyle w:val="FootnoteReference1"/>
        </w:rPr>
        <w:footnoteReference w:id="16"/>
      </w:r>
      <w:r>
        <w:t xml:space="preserve">  By letter dated October 25, 2011, the Bureau notified Gaylord of this reversal and explained that Gaylord would need to file a new exemption petition and supplement the record with up-to-date information, supported by affidavit, about its inability to provide closed captioning if it wished to receive a closed captioning exemption.</w:t>
      </w:r>
      <w:r w:rsidRPr="00AE1F6B">
        <w:rPr>
          <w:rStyle w:val="FootnoteReference1"/>
        </w:rPr>
        <w:footnoteReference w:id="17"/>
      </w:r>
      <w:r w:rsidRPr="00A37627">
        <w:rPr>
          <w:sz w:val="20"/>
        </w:rPr>
        <w:t xml:space="preserve">  </w:t>
      </w:r>
      <w:r>
        <w:t>Gaylord submitted a new petition on January 17, 2012 (hereinafter Petition).</w:t>
      </w:r>
      <w:r w:rsidRPr="00AE1F6B">
        <w:rPr>
          <w:rStyle w:val="FootnoteReference1"/>
        </w:rPr>
        <w:footnoteReference w:id="18"/>
      </w:r>
      <w:r>
        <w:t xml:space="preserve">  On February 10, 2012, the Bureau invited comment on the Petition.</w:t>
      </w:r>
      <w:r w:rsidRPr="00AE1F6B">
        <w:rPr>
          <w:rStyle w:val="FootnoteReference1"/>
        </w:rPr>
        <w:footnoteReference w:id="19"/>
      </w:r>
      <w:r>
        <w:t xml:space="preserve">  In response, various consumer organizations jointly filed an opposition to the Petition.</w:t>
      </w:r>
      <w:r w:rsidRPr="00AE1F6B">
        <w:rPr>
          <w:rStyle w:val="FootnoteReference1"/>
        </w:rPr>
        <w:footnoteReference w:id="20"/>
      </w:r>
      <w:r>
        <w:t xml:space="preserve">  On two subsequent occasions, in letters to Gaylord, the Bureau requested additional and updated information to enable it to determine whether the programming that was the subject of the Petition should be exempt from the Commission’s closed captioning obligations.</w:t>
      </w:r>
      <w:r>
        <w:rPr>
          <w:rStyle w:val="FootnoteReference"/>
        </w:rPr>
        <w:footnoteReference w:id="21"/>
      </w:r>
      <w:r>
        <w:t xml:space="preserve">  In response to these Bureau letters, dated September 27, 2013, and May 30, 2014, Gaylord further</w:t>
      </w:r>
      <w:r w:rsidR="00FD48A4">
        <w:t xml:space="preserve"> s</w:t>
      </w:r>
      <w:r>
        <w:t>upplemented its Petition.</w:t>
      </w:r>
      <w:r w:rsidRPr="00AE1F6B">
        <w:rPr>
          <w:rStyle w:val="FootnoteReference1"/>
        </w:rPr>
        <w:footnoteReference w:id="22"/>
      </w:r>
      <w:r>
        <w:t xml:space="preserve">  The Bureau again placed the Petition on Public Notice for comment on November 19, 2014.</w:t>
      </w:r>
      <w:r w:rsidRPr="00AE1F6B">
        <w:rPr>
          <w:rStyle w:val="FootnoteReference1"/>
        </w:rPr>
        <w:footnoteReference w:id="23"/>
      </w:r>
      <w:r>
        <w:t xml:space="preserve">  Again, several consumer groups jointly opposed the Petition.</w:t>
      </w:r>
      <w:r w:rsidRPr="00A37627">
        <w:rPr>
          <w:rStyle w:val="FootnoteReference1"/>
        </w:rPr>
        <w:t xml:space="preserve"> </w:t>
      </w:r>
      <w:r w:rsidRPr="00AE1F6B">
        <w:rPr>
          <w:rStyle w:val="FootnoteReference1"/>
        </w:rPr>
        <w:footnoteReference w:id="24"/>
      </w:r>
    </w:p>
    <w:p w14:paraId="651AF2E7" w14:textId="77777777" w:rsidR="00C814F1" w:rsidRDefault="00C814F1" w:rsidP="003B273F">
      <w:pPr>
        <w:pStyle w:val="Heading11"/>
        <w:keepNext w:val="0"/>
        <w:widowControl/>
        <w:numPr>
          <w:ilvl w:val="0"/>
          <w:numId w:val="1"/>
        </w:numPr>
        <w:spacing w:after="120"/>
        <w:ind w:hanging="720"/>
        <w:jc w:val="left"/>
      </w:pPr>
      <w:r>
        <w:t>discussion</w:t>
      </w:r>
    </w:p>
    <w:p w14:paraId="55E574CA" w14:textId="1893E6AD" w:rsidR="00C814F1" w:rsidRDefault="00C814F1" w:rsidP="006D61CA">
      <w:pPr>
        <w:pStyle w:val="ParaNum"/>
      </w:pPr>
      <w:r>
        <w:t xml:space="preserve">Gaylord produces </w:t>
      </w:r>
      <w:r>
        <w:rPr>
          <w:rFonts w:ascii="Times New Roman Italic" w:hAnsi="Times New Roman Italic"/>
        </w:rPr>
        <w:t>Sunday Mass</w:t>
      </w:r>
      <w:r>
        <w:t xml:space="preserve">, a one-hour </w:t>
      </w:r>
      <w:r w:rsidR="00B15E97">
        <w:t>“Eucharistic Liturgy (Mass)”</w:t>
      </w:r>
      <w:r>
        <w:t xml:space="preserve"> that is broadcast weekly on Station WFQX-TV, Cadillac, MI (WFQX) on Sunday mornings.</w:t>
      </w:r>
      <w:r w:rsidRPr="00AE1F6B">
        <w:rPr>
          <w:rStyle w:val="FootnoteReference1"/>
        </w:rPr>
        <w:footnoteReference w:id="25"/>
      </w:r>
      <w:r>
        <w:t xml:space="preserve">  Gaylord records its Saturday evening liturgy at 5:00 p.m., </w:t>
      </w:r>
      <w:r w:rsidR="005852E3">
        <w:t xml:space="preserve">and </w:t>
      </w:r>
      <w:r>
        <w:t>then minimally edit</w:t>
      </w:r>
      <w:r w:rsidR="005852E3">
        <w:t xml:space="preserve">s this to turn it into a television program </w:t>
      </w:r>
      <w:r>
        <w:t>that it is one hour long.</w:t>
      </w:r>
      <w:r w:rsidRPr="00AE1F6B">
        <w:rPr>
          <w:rStyle w:val="FootnoteReference1"/>
        </w:rPr>
        <w:footnoteReference w:id="26"/>
      </w:r>
      <w:r>
        <w:t xml:space="preserve">  It then sends the edited program to WFQX-TV by courier on Saturday evening to air on Sunday morning.</w:t>
      </w:r>
      <w:r w:rsidRPr="00AE1F6B">
        <w:rPr>
          <w:rStyle w:val="FootnoteReference1"/>
        </w:rPr>
        <w:footnoteReference w:id="27"/>
      </w:r>
      <w:r>
        <w:t xml:space="preserve">  Gaylord indicates that its program is aimed at church members and others who are ill, homebound, hospitalized, imprisoned or who are otherwise separated from the church, including those who cannot get to church in the winter months, during which travel can be extremely hazardous.</w:t>
      </w:r>
      <w:r w:rsidRPr="00AE1F6B">
        <w:rPr>
          <w:rStyle w:val="FootnoteReference1"/>
        </w:rPr>
        <w:footnoteReference w:id="28"/>
      </w:r>
      <w:r>
        <w:t xml:space="preserve">   Gaylord further contends that it is unable to budget the large expenditure required for live captioning, especially as it was without a Bishop for a period of time during the pendency of its Petition.</w:t>
      </w:r>
      <w:r w:rsidRPr="00AE1F6B">
        <w:rPr>
          <w:rStyle w:val="FootnoteReference1"/>
        </w:rPr>
        <w:footnoteReference w:id="29"/>
      </w:r>
      <w:r>
        <w:t xml:space="preserve">  </w:t>
      </w:r>
    </w:p>
    <w:p w14:paraId="5EBE404C" w14:textId="5F6A986A" w:rsidR="00C814F1" w:rsidRDefault="00C814F1" w:rsidP="005A5E31">
      <w:pPr>
        <w:pStyle w:val="ParaNum"/>
      </w:pPr>
      <w:r>
        <w:t>Gaylord obtained two quotes to caption its program using real-time captioning services.</w:t>
      </w:r>
      <w:r w:rsidRPr="001300C0">
        <w:rPr>
          <w:rStyle w:val="FootnoteReference1"/>
        </w:rPr>
        <w:footnoteReference w:id="30"/>
      </w:r>
      <w:r>
        <w:t xml:space="preserve">  One quote</w:t>
      </w:r>
      <w:r w:rsidR="004F0EAC">
        <w:t>,</w:t>
      </w:r>
      <w:r w:rsidR="009720A0">
        <w:t xml:space="preserve"> dated</w:t>
      </w:r>
      <w:r>
        <w:t xml:space="preserve"> October 21, 2013</w:t>
      </w:r>
      <w:r w:rsidR="004F0EAC">
        <w:t>,</w:t>
      </w:r>
      <w:r>
        <w:t xml:space="preserve"> states that caption costs would be $125.00 per week ($6,500.00 per year), plus a monthly encoder rental fee of $400.00 per month ($4,800</w:t>
      </w:r>
      <w:r w:rsidR="009720A0">
        <w:t>.00</w:t>
      </w:r>
      <w:r>
        <w:t xml:space="preserve"> per year)</w:t>
      </w:r>
      <w:r w:rsidR="008C3710">
        <w:t>, for a total of $11,300.00 per year</w:t>
      </w:r>
      <w:r>
        <w:t>.</w:t>
      </w:r>
      <w:r w:rsidRPr="001300C0">
        <w:rPr>
          <w:rStyle w:val="FootnoteReference1"/>
        </w:rPr>
        <w:footnoteReference w:id="31"/>
      </w:r>
      <w:r>
        <w:t xml:space="preserve">  The second quote</w:t>
      </w:r>
      <w:r w:rsidR="00B52502">
        <w:t>,</w:t>
      </w:r>
      <w:r w:rsidR="009720A0">
        <w:t xml:space="preserve"> </w:t>
      </w:r>
      <w:r>
        <w:t>dated October 22</w:t>
      </w:r>
      <w:r w:rsidR="004F0EAC">
        <w:t>,</w:t>
      </w:r>
      <w:r>
        <w:t xml:space="preserve"> 2013</w:t>
      </w:r>
      <w:r w:rsidR="004F0EAC">
        <w:t>,</w:t>
      </w:r>
      <w:r>
        <w:t xml:space="preserve"> states that captioning costs would be $500.00 per week</w:t>
      </w:r>
      <w:r w:rsidR="00A9545D">
        <w:t xml:space="preserve"> ($26,000.00 per year)</w:t>
      </w:r>
      <w:r w:rsidR="003C7739">
        <w:t>.</w:t>
      </w:r>
      <w:r w:rsidR="003C7739">
        <w:rPr>
          <w:rStyle w:val="FootnoteReference1"/>
        </w:rPr>
        <w:footnoteReference w:id="32"/>
      </w:r>
      <w:r w:rsidR="003C7739">
        <w:t xml:space="preserve">  Gaylord </w:t>
      </w:r>
      <w:r w:rsidR="003C0CC2">
        <w:t>reports</w:t>
      </w:r>
      <w:r w:rsidR="003C7739">
        <w:t xml:space="preserve"> that </w:t>
      </w:r>
      <w:r w:rsidR="005852E3">
        <w:t>the latter</w:t>
      </w:r>
      <w:r w:rsidR="003C7739">
        <w:t xml:space="preserve"> quote</w:t>
      </w:r>
      <w:r w:rsidR="003C0CC2">
        <w:t>,</w:t>
      </w:r>
      <w:r w:rsidR="00D9097C">
        <w:t xml:space="preserve"> however</w:t>
      </w:r>
      <w:r w:rsidR="003C0CC2">
        <w:t>,</w:t>
      </w:r>
      <w:r w:rsidR="003C7739">
        <w:t xml:space="preserve"> would require Internet service at the Cathedral, which would cost an additional $13,900.00</w:t>
      </w:r>
      <w:r w:rsidR="00C51DE4">
        <w:t xml:space="preserve">, </w:t>
      </w:r>
      <w:r w:rsidR="005852E3">
        <w:t>making</w:t>
      </w:r>
      <w:r w:rsidR="00C51DE4">
        <w:t xml:space="preserve"> the total cost for the second quote </w:t>
      </w:r>
      <w:r w:rsidR="00771776">
        <w:t>$39,900.00</w:t>
      </w:r>
      <w:r w:rsidR="00A9545D">
        <w:t xml:space="preserve"> per year</w:t>
      </w:r>
      <w:r>
        <w:t>.</w:t>
      </w:r>
      <w:r w:rsidR="003C7739">
        <w:rPr>
          <w:rStyle w:val="FootnoteReference"/>
        </w:rPr>
        <w:footnoteReference w:id="33"/>
      </w:r>
      <w:r>
        <w:t xml:space="preserve"> </w:t>
      </w:r>
      <w:r w:rsidR="005852E3">
        <w:t xml:space="preserve"> </w:t>
      </w:r>
      <w:r w:rsidR="00F34C5D">
        <w:t xml:space="preserve">Accordingly, </w:t>
      </w:r>
      <w:r w:rsidR="005852E3">
        <w:t>b</w:t>
      </w:r>
      <w:r>
        <w:t xml:space="preserve">ased on </w:t>
      </w:r>
      <w:r w:rsidR="00765613">
        <w:t xml:space="preserve">the information provided by Gaylord, </w:t>
      </w:r>
      <w:r>
        <w:t xml:space="preserve">the </w:t>
      </w:r>
      <w:r w:rsidR="005852E3">
        <w:t xml:space="preserve">total </w:t>
      </w:r>
      <w:r>
        <w:t xml:space="preserve">cost of captioning services for a full year of </w:t>
      </w:r>
      <w:r>
        <w:rPr>
          <w:rFonts w:ascii="Times New Roman Italic" w:hAnsi="Times New Roman Italic"/>
        </w:rPr>
        <w:t>Sunday Mass</w:t>
      </w:r>
      <w:r>
        <w:t xml:space="preserve"> would be </w:t>
      </w:r>
      <w:r w:rsidR="00765613">
        <w:t xml:space="preserve">either </w:t>
      </w:r>
      <w:r>
        <w:t>$11,300.00</w:t>
      </w:r>
      <w:r w:rsidR="004F0EAC">
        <w:t xml:space="preserve"> or</w:t>
      </w:r>
      <w:r>
        <w:t xml:space="preserve"> $</w:t>
      </w:r>
      <w:r w:rsidR="00771776">
        <w:t>39,900.00</w:t>
      </w:r>
      <w:r>
        <w:t xml:space="preserve">.  </w:t>
      </w:r>
    </w:p>
    <w:p w14:paraId="43B5986C" w14:textId="031C6009" w:rsidR="00C814F1" w:rsidRDefault="00C814F1" w:rsidP="005A5E31">
      <w:pPr>
        <w:pStyle w:val="ParaNum"/>
      </w:pPr>
      <w:r>
        <w:t>Gaylord submitted financial statements for fiscal year</w:t>
      </w:r>
      <w:r w:rsidR="00376B10">
        <w:t>s ending June 30,</w:t>
      </w:r>
      <w:r>
        <w:t xml:space="preserve"> </w:t>
      </w:r>
      <w:r w:rsidR="005A5E31">
        <w:t>201</w:t>
      </w:r>
      <w:r w:rsidR="00376B10">
        <w:t>2</w:t>
      </w:r>
      <w:r>
        <w:t>,</w:t>
      </w:r>
      <w:r>
        <w:rPr>
          <w:rStyle w:val="FootnoteReference1"/>
        </w:rPr>
        <w:footnoteReference w:id="34"/>
      </w:r>
      <w:r>
        <w:t xml:space="preserve"> and </w:t>
      </w:r>
      <w:r w:rsidR="00376B10">
        <w:t>June 30, 2011</w:t>
      </w:r>
      <w:r>
        <w:t>.</w:t>
      </w:r>
      <w:r w:rsidRPr="001300C0">
        <w:rPr>
          <w:rStyle w:val="FootnoteReference1"/>
        </w:rPr>
        <w:footnoteReference w:id="35"/>
      </w:r>
      <w:r>
        <w:t xml:space="preserve">  For </w:t>
      </w:r>
      <w:r w:rsidR="005A5E31">
        <w:t>fiscal year 201</w:t>
      </w:r>
      <w:r>
        <w:t>2, Gaylord reports total income of $</w:t>
      </w:r>
      <w:r w:rsidR="00F7151C">
        <w:t>4,716,698.00</w:t>
      </w:r>
      <w:r>
        <w:t xml:space="preserve">, total expenses of $4,908,611.00, and an excess of expenses over revenue </w:t>
      </w:r>
      <w:r w:rsidR="00EE7B71">
        <w:t xml:space="preserve">(net loss) </w:t>
      </w:r>
      <w:r>
        <w:t>of $</w:t>
      </w:r>
      <w:r w:rsidR="00F071E5">
        <w:t>191,913</w:t>
      </w:r>
      <w:r w:rsidR="00F7151C">
        <w:t>.00</w:t>
      </w:r>
      <w:r>
        <w:t>.</w:t>
      </w:r>
      <w:r w:rsidRPr="001300C0">
        <w:rPr>
          <w:rStyle w:val="FootnoteReference1"/>
        </w:rPr>
        <w:footnoteReference w:id="36"/>
      </w:r>
      <w:r>
        <w:t xml:space="preserve">  For fiscal year </w:t>
      </w:r>
      <w:r w:rsidR="005A5E31">
        <w:t>201</w:t>
      </w:r>
      <w:r w:rsidR="00376B10">
        <w:t>1</w:t>
      </w:r>
      <w:r>
        <w:t>, Gaylord reports total income of $</w:t>
      </w:r>
      <w:r w:rsidR="00F071E5">
        <w:t>5,055,660</w:t>
      </w:r>
      <w:r w:rsidR="004013B9">
        <w:t>.00</w:t>
      </w:r>
      <w:r>
        <w:t>, total expenses of $4,257,916</w:t>
      </w:r>
      <w:r w:rsidR="001068BA">
        <w:t>.00</w:t>
      </w:r>
      <w:r>
        <w:t xml:space="preserve">, and an excess of revenue over expenses </w:t>
      </w:r>
      <w:r w:rsidR="00EE7B71">
        <w:t xml:space="preserve">(net </w:t>
      </w:r>
      <w:r w:rsidR="002C774D">
        <w:t>profit</w:t>
      </w:r>
      <w:r w:rsidR="00EE7B71">
        <w:t xml:space="preserve">) </w:t>
      </w:r>
      <w:r>
        <w:t>of $</w:t>
      </w:r>
      <w:r w:rsidR="00F071E5">
        <w:t>797,744</w:t>
      </w:r>
      <w:r w:rsidR="004013B9">
        <w:t>.00</w:t>
      </w:r>
      <w:r>
        <w:t>.</w:t>
      </w:r>
      <w:r w:rsidRPr="001300C0">
        <w:rPr>
          <w:rStyle w:val="FootnoteReference1"/>
        </w:rPr>
        <w:footnoteReference w:id="37"/>
      </w:r>
      <w:r>
        <w:t xml:space="preserve">  </w:t>
      </w:r>
    </w:p>
    <w:p w14:paraId="28A547E5" w14:textId="504C5943" w:rsidR="00C814F1" w:rsidRDefault="00C814F1" w:rsidP="005A5E31">
      <w:pPr>
        <w:pStyle w:val="ParaNum"/>
      </w:pPr>
      <w:r>
        <w:t xml:space="preserve">Gaylord also submitted balance sheets for fiscal years </w:t>
      </w:r>
      <w:r w:rsidR="00955F30">
        <w:t>201</w:t>
      </w:r>
      <w:r w:rsidR="00376B10">
        <w:t>2</w:t>
      </w:r>
      <w:r>
        <w:t xml:space="preserve"> and </w:t>
      </w:r>
      <w:r w:rsidR="00955F30">
        <w:t>201</w:t>
      </w:r>
      <w:r>
        <w:t xml:space="preserve">1.  For </w:t>
      </w:r>
      <w:r w:rsidR="00955F30">
        <w:t>201</w:t>
      </w:r>
      <w:r>
        <w:t>2, Gaylord reports current assets as of June 30, 2012 of $9,517,622.00 and current liabilities of $737,572.00, resulting in net current assets of $8,780,050</w:t>
      </w:r>
      <w:r w:rsidR="00206001">
        <w:t>.00</w:t>
      </w:r>
      <w:r>
        <w:t>.</w:t>
      </w:r>
      <w:r w:rsidRPr="001300C0">
        <w:rPr>
          <w:rStyle w:val="FootnoteReference1"/>
        </w:rPr>
        <w:footnoteReference w:id="38"/>
      </w:r>
      <w:r>
        <w:t xml:space="preserve">  Gaylord also reports current assets as of June 30, 2011 of $9,227,843.00 and total current liabilities of $402,124.00, resulting in net current assets of $8,825,719.00.</w:t>
      </w:r>
      <w:r w:rsidRPr="001300C0">
        <w:rPr>
          <w:rStyle w:val="FootnoteReference1"/>
        </w:rPr>
        <w:footnoteReference w:id="39"/>
      </w:r>
      <w:r>
        <w:t xml:space="preserve">  </w:t>
      </w:r>
    </w:p>
    <w:p w14:paraId="67C3DBCE" w14:textId="203D1D11" w:rsidR="00C814F1" w:rsidRPr="001300C0" w:rsidRDefault="00C814F1" w:rsidP="00BE2AB7">
      <w:pPr>
        <w:pStyle w:val="ParaNum"/>
      </w:pPr>
      <w:r>
        <w:t>Gaylord reports that it requested captioning assistance from its video programming distributor, WFQX; however, WFQX was unable to offer captioning assistance.</w:t>
      </w:r>
      <w:r w:rsidRPr="001300C0">
        <w:rPr>
          <w:rStyle w:val="FootnoteReference1"/>
        </w:rPr>
        <w:footnoteReference w:id="40"/>
      </w:r>
      <w:r>
        <w:t xml:space="preserve">   Gaylord has also specifically sought captioning assistance from individuals and businesses through both its broadcast “sign off” at the conclusion of its weekly Mass, where it posts a written announcement seeking assistance for closed captioning, and through a banner on its diocesan website</w:t>
      </w:r>
      <w:r w:rsidRPr="001300C0">
        <w:rPr>
          <w:rStyle w:val="FootnoteReference1"/>
        </w:rPr>
        <w:footnoteReference w:id="41"/>
      </w:r>
      <w:r>
        <w:t xml:space="preserve">  </w:t>
      </w:r>
      <w:r w:rsidR="00F34C5D">
        <w:t xml:space="preserve">Gaylord reports that </w:t>
      </w:r>
      <w:r w:rsidR="00F608DD">
        <w:t>n</w:t>
      </w:r>
      <w:r>
        <w:t>either of these efforts has resulted in assistance.</w:t>
      </w:r>
      <w:r w:rsidRPr="001300C0">
        <w:rPr>
          <w:rStyle w:val="FootnoteReference1"/>
        </w:rPr>
        <w:footnoteReference w:id="42"/>
      </w:r>
      <w:r>
        <w:t xml:space="preserve">  Gaylord asserts that, absent an exemption from the captioning requirements, </w:t>
      </w:r>
      <w:r w:rsidR="000A5F13">
        <w:t>Gaylord</w:t>
      </w:r>
      <w:r>
        <w:t xml:space="preserve"> would have to take funds from other ministries</w:t>
      </w:r>
      <w:r w:rsidR="000A5F13">
        <w:t xml:space="preserve"> and delay the broadcast in order to caption.</w:t>
      </w:r>
      <w:r w:rsidRPr="001300C0">
        <w:rPr>
          <w:rStyle w:val="FootnoteReference1"/>
        </w:rPr>
        <w:footnoteReference w:id="43"/>
      </w:r>
      <w:r w:rsidR="000A5F13">
        <w:t xml:space="preserve">  Gaylord asserts that </w:t>
      </w:r>
      <w:r w:rsidR="004F2F38">
        <w:t>i</w:t>
      </w:r>
      <w:r w:rsidR="000A5F13">
        <w:t>t “greatly fear</w:t>
      </w:r>
      <w:r w:rsidR="004F2F38">
        <w:t>[s]</w:t>
      </w:r>
      <w:r w:rsidR="000A5F13">
        <w:t xml:space="preserve">” that “if forced to provide closed captioning . . </w:t>
      </w:r>
      <w:r w:rsidR="001068BA">
        <w:t xml:space="preserve">. </w:t>
      </w:r>
      <w:r w:rsidR="000A5F13">
        <w:t>at this point in [its] history, it will not be possible, and [it] would have to</w:t>
      </w:r>
      <w:r w:rsidR="001068BA">
        <w:t xml:space="preserve"> take the Mass off the air. . .”</w:t>
      </w:r>
      <w:r w:rsidRPr="001300C0">
        <w:rPr>
          <w:rStyle w:val="FootnoteReference1"/>
        </w:rPr>
        <w:footnoteReference w:id="44"/>
      </w:r>
      <w:r>
        <w:t xml:space="preserve">  It therefore requests a three-year exemption to </w:t>
      </w:r>
      <w:r w:rsidR="0038152A">
        <w:t>“</w:t>
      </w:r>
      <w:r>
        <w:t>allow time for the appointment of a new Bishop, and to further explore</w:t>
      </w:r>
      <w:r w:rsidR="0038152A">
        <w:t xml:space="preserve">, plan for </w:t>
      </w:r>
      <w:r>
        <w:t xml:space="preserve">and secure funding for equipment, infrastructure, and </w:t>
      </w:r>
      <w:r w:rsidR="0038152A">
        <w:t xml:space="preserve">needed </w:t>
      </w:r>
      <w:r>
        <w:t>expertise</w:t>
      </w:r>
      <w:r w:rsidR="0038152A">
        <w:t>” in order</w:t>
      </w:r>
      <w:r>
        <w:t xml:space="preserve"> to implement a plan to caption its program.</w:t>
      </w:r>
      <w:r w:rsidRPr="001300C0">
        <w:rPr>
          <w:rStyle w:val="FootnoteReference1"/>
        </w:rPr>
        <w:footnoteReference w:id="45"/>
      </w:r>
    </w:p>
    <w:p w14:paraId="5FD44FD7" w14:textId="783182B3" w:rsidR="007E6220" w:rsidRDefault="00CC0890" w:rsidP="00BE2AB7">
      <w:pPr>
        <w:pStyle w:val="ParaNum"/>
        <w:rPr>
          <w:rStyle w:val="FootnoteReference1"/>
        </w:rPr>
      </w:pPr>
      <w:r>
        <w:t xml:space="preserve">Gaylord </w:t>
      </w:r>
      <w:r w:rsidR="00F34C5D">
        <w:t xml:space="preserve">further </w:t>
      </w:r>
      <w:r>
        <w:t xml:space="preserve">claims that a requirement that it provide closed captioning on its broadcast would impinge on its free exercise of religion, because it would require it to delay Mass, “thereby neglecting the liturgical and doctrinal importance of timely liturgical prayers, gospels and readings,” force it to terminate the broadcast, or </w:t>
      </w:r>
      <w:r w:rsidR="00921A06">
        <w:t xml:space="preserve">force it to take funds from other ministries, </w:t>
      </w:r>
      <w:r w:rsidR="005C69E4">
        <w:t>which “impedes [its] practice of [its] faith.”</w:t>
      </w:r>
      <w:r>
        <w:rPr>
          <w:rStyle w:val="FootnoteReference"/>
        </w:rPr>
        <w:footnoteReference w:id="46"/>
      </w:r>
    </w:p>
    <w:p w14:paraId="6F07DB6C" w14:textId="688595C5" w:rsidR="00C814F1" w:rsidRDefault="00972894">
      <w:pPr>
        <w:pStyle w:val="ParaNum"/>
      </w:pPr>
      <w:r>
        <w:t xml:space="preserve">Consumer Groups, </w:t>
      </w:r>
      <w:r w:rsidR="00C814F1">
        <w:t xml:space="preserve">which were the only parties to comment on the Petition in response to the </w:t>
      </w:r>
      <w:r w:rsidR="00C814F1">
        <w:rPr>
          <w:rFonts w:ascii="Times New Roman Italic" w:hAnsi="Times New Roman Italic"/>
        </w:rPr>
        <w:t>2014 Public Notice</w:t>
      </w:r>
      <w:r w:rsidR="00C814F1">
        <w:t xml:space="preserve">, contend that Gaylord </w:t>
      </w:r>
      <w:r w:rsidR="00F7151C" w:rsidRPr="00F7151C">
        <w:t xml:space="preserve">has had a </w:t>
      </w:r>
      <w:r w:rsidR="00F7151C">
        <w:t>“‘</w:t>
      </w:r>
      <w:r w:rsidR="00F7151C" w:rsidRPr="00F7151C">
        <w:rPr>
          <w:i/>
        </w:rPr>
        <w:t>de facto</w:t>
      </w:r>
      <w:r w:rsidR="00F7151C">
        <w:rPr>
          <w:i/>
        </w:rPr>
        <w:t>’</w:t>
      </w:r>
      <w:r w:rsidR="00F7151C" w:rsidRPr="00F7151C">
        <w:t xml:space="preserve"> waiver from captioning its program for nine years</w:t>
      </w:r>
      <w:r w:rsidR="004F2F38">
        <w:t>,</w:t>
      </w:r>
      <w:r w:rsidR="00F7151C">
        <w:t>”</w:t>
      </w:r>
      <w:r w:rsidR="004F2F38">
        <w:t xml:space="preserve"> because </w:t>
      </w:r>
      <w:r w:rsidR="00F7151C" w:rsidRPr="00F7151C">
        <w:t>the Petition was first filed in 2005</w:t>
      </w:r>
      <w:r w:rsidR="00F7151C">
        <w:t>.</w:t>
      </w:r>
      <w:r w:rsidR="00F7151C">
        <w:rPr>
          <w:rStyle w:val="FootnoteReference"/>
        </w:rPr>
        <w:footnoteReference w:id="47"/>
      </w:r>
      <w:r w:rsidR="00F7151C">
        <w:t xml:space="preserve"> Consumer Groups argue that Gaylord </w:t>
      </w:r>
      <w:r w:rsidR="00C814F1">
        <w:t>failed to satisfy the statutory and regulatory requirements to demonstrate that captioning would be economically burdensome on several grounds.</w:t>
      </w:r>
      <w:r w:rsidR="00C814F1" w:rsidRPr="001300C0">
        <w:rPr>
          <w:rStyle w:val="FootnoteReference1"/>
        </w:rPr>
        <w:footnoteReference w:id="48"/>
      </w:r>
      <w:r w:rsidR="00C814F1">
        <w:t xml:space="preserve">  First, Consumer Groups argue that Gaylord’s captioning costs could easily be covered by its financial assets.</w:t>
      </w:r>
      <w:r w:rsidR="00C814F1">
        <w:rPr>
          <w:vertAlign w:val="superscript"/>
        </w:rPr>
        <w:footnoteReference w:id="49"/>
      </w:r>
      <w:r w:rsidR="00C814F1">
        <w:t xml:space="preserve">  They cite to the lowest provider quote, and note that this quote </w:t>
      </w:r>
      <w:r w:rsidR="004F2F38">
        <w:t>allow</w:t>
      </w:r>
      <w:r w:rsidR="00116566">
        <w:t>s</w:t>
      </w:r>
      <w:r w:rsidR="00C814F1">
        <w:t xml:space="preserve"> captioning </w:t>
      </w:r>
      <w:r w:rsidR="004F2F38">
        <w:t xml:space="preserve">to be provided </w:t>
      </w:r>
      <w:r w:rsidR="00C814F1">
        <w:t>for approximately $11,300.00 annually, which cost could be reduced even further if an encoder were purchased rather than rented.</w:t>
      </w:r>
      <w:r w:rsidR="00C814F1">
        <w:rPr>
          <w:vertAlign w:val="superscript"/>
        </w:rPr>
        <w:footnoteReference w:id="50"/>
      </w:r>
      <w:r w:rsidR="00C814F1">
        <w:t xml:space="preserve">  Consumer Groups compare this cost to Gaylord’s considerable assets in the years 2012, 2011 and 2010,</w:t>
      </w:r>
      <w:r w:rsidR="00C814F1">
        <w:rPr>
          <w:vertAlign w:val="superscript"/>
        </w:rPr>
        <w:footnoteReference w:id="51"/>
      </w:r>
      <w:r w:rsidR="00C814F1">
        <w:t xml:space="preserve"> and conclude that such assets would be “sufficient . . . to cover its captioning costs.”</w:t>
      </w:r>
      <w:r w:rsidR="00C814F1">
        <w:rPr>
          <w:vertAlign w:val="superscript"/>
        </w:rPr>
        <w:footnoteReference w:id="52"/>
      </w:r>
      <w:r w:rsidR="00C814F1">
        <w:t xml:space="preserve">  Consumer Groups also point to Gaylord’s excess revenue over income in 2011</w:t>
      </w:r>
      <w:r w:rsidR="00AB033B">
        <w:t xml:space="preserve"> </w:t>
      </w:r>
      <w:r w:rsidR="00F34C5D">
        <w:t xml:space="preserve">in the amount </w:t>
      </w:r>
      <w:r w:rsidR="00AB033B">
        <w:t>of $794,744</w:t>
      </w:r>
      <w:r w:rsidR="004013B9">
        <w:t xml:space="preserve">.00, </w:t>
      </w:r>
      <w:r w:rsidR="00B52502">
        <w:t xml:space="preserve">which, </w:t>
      </w:r>
      <w:r w:rsidR="00C814F1">
        <w:t xml:space="preserve">even when combined with its loss in 2012, </w:t>
      </w:r>
      <w:r w:rsidR="00B52502">
        <w:t xml:space="preserve">they claim is </w:t>
      </w:r>
      <w:r w:rsidR="00C814F1">
        <w:t>sufficient to provide for captioning</w:t>
      </w:r>
      <w:r w:rsidR="00AB033B">
        <w:t xml:space="preserve"> with “ample resources left over</w:t>
      </w:r>
      <w:r w:rsidR="004013B9">
        <w:t>.</w:t>
      </w:r>
      <w:r w:rsidR="00AB033B">
        <w:t>”</w:t>
      </w:r>
      <w:r w:rsidR="00C814F1" w:rsidRPr="001300C0">
        <w:rPr>
          <w:rStyle w:val="FootnoteReference1"/>
        </w:rPr>
        <w:footnoteReference w:id="53"/>
      </w:r>
      <w:r w:rsidR="00C814F1">
        <w:t xml:space="preserve">  Next, Consumer Groups argue that there would be no economic burden in requiring Gaylord to caption its programming, despite Gaylord’s claim that it has only a $50,000</w:t>
      </w:r>
      <w:r w:rsidR="001068BA">
        <w:t>.00</w:t>
      </w:r>
      <w:r w:rsidR="00C814F1">
        <w:t xml:space="preserve"> budget for its programming</w:t>
      </w:r>
      <w:r w:rsidR="00172CAC">
        <w:t>,</w:t>
      </w:r>
      <w:r w:rsidR="00C814F1">
        <w:rPr>
          <w:vertAlign w:val="superscript"/>
        </w:rPr>
        <w:footnoteReference w:id="54"/>
      </w:r>
      <w:r w:rsidR="00C814F1">
        <w:t xml:space="preserve"> </w:t>
      </w:r>
      <w:r w:rsidR="00172CAC">
        <w:t>b</w:t>
      </w:r>
      <w:r w:rsidR="00F34C5D">
        <w:t xml:space="preserve">ecause </w:t>
      </w:r>
      <w:r w:rsidR="00C814F1">
        <w:t>Gaylord’s ability to provide closed captions on its program must be assessed with respect to “all of the petitioners’ available resources. . .</w:t>
      </w:r>
      <w:r w:rsidR="00B52502">
        <w:t xml:space="preserve"> </w:t>
      </w:r>
      <w:r w:rsidR="00C814F1">
        <w:t>, not just the resources allocated for the programs for which exemptions were sought.”</w:t>
      </w:r>
      <w:r w:rsidR="00C814F1">
        <w:rPr>
          <w:rStyle w:val="FootnoteReference10"/>
          <w:sz w:val="22"/>
        </w:rPr>
        <w:footnoteReference w:id="55"/>
      </w:r>
      <w:r w:rsidR="00C814F1">
        <w:t xml:space="preserve">   </w:t>
      </w:r>
    </w:p>
    <w:p w14:paraId="2476AA1E" w14:textId="77777777" w:rsidR="00F936E2" w:rsidRDefault="00C814F1" w:rsidP="00F87713">
      <w:pPr>
        <w:pStyle w:val="ParaNum"/>
      </w:pPr>
      <w:r w:rsidRPr="006D61CA">
        <w:rPr>
          <w:rFonts w:ascii="Times New Roman Italic" w:hAnsi="Times New Roman Italic"/>
        </w:rPr>
        <w:t>Determination.</w:t>
      </w:r>
      <w:r>
        <w:t xml:space="preserve">  </w:t>
      </w:r>
      <w:r w:rsidR="00F4289C">
        <w:t>As an initial matter, t</w:t>
      </w:r>
      <w:r w:rsidR="00F87713" w:rsidRPr="00F87713">
        <w:t>he Bureau has considered, and rejects Gaylord’s First Amendment claims.  Requiring video programming to be closed captioned does not violate the Free Exercise Clause of the First Amendment or the Religious Freedom Restoration Act (RFRA).</w:t>
      </w:r>
      <w:r w:rsidR="00F87713" w:rsidRPr="001300C0">
        <w:footnoteReference w:id="56"/>
      </w:r>
      <w:r w:rsidR="00F87713" w:rsidRPr="00F87713">
        <w:t xml:space="preserve">  Gaylord, by availing itself of a means for dissemination of its programming governed by Commission regulation (specifically, “video programming”</w:t>
      </w:r>
      <w:r w:rsidR="00F87713" w:rsidRPr="001300C0">
        <w:footnoteReference w:id="57"/>
      </w:r>
      <w:r w:rsidR="00F87713" w:rsidRPr="00F87713">
        <w:t>), has subjected itself to requirements that apply to all FCC-regulated “video programming providers” generally.</w:t>
      </w:r>
      <w:r w:rsidR="00F87713" w:rsidRPr="00AE1F6B">
        <w:rPr>
          <w:vertAlign w:val="superscript"/>
        </w:rPr>
        <w:footnoteReference w:id="58"/>
      </w:r>
      <w:r w:rsidR="00F87713" w:rsidRPr="00AE1F6B">
        <w:rPr>
          <w:vertAlign w:val="superscript"/>
        </w:rPr>
        <w:t xml:space="preserve"> </w:t>
      </w:r>
      <w:r w:rsidR="00F87713" w:rsidRPr="00F87713">
        <w:t xml:space="preserve"> A generally applicable requirement such as the closed captioning requirements that has the incidental effect of impacting religious conduct is analyzed under the Free Exercise Clause of the First Amendment and the RFRA.  As established in </w:t>
      </w:r>
      <w:r w:rsidR="00F87713" w:rsidRPr="00F87713">
        <w:rPr>
          <w:i/>
        </w:rPr>
        <w:t>Employment Div., Dept. of Human Resources of Ore. v</w:t>
      </w:r>
      <w:r w:rsidR="00F87713" w:rsidRPr="00F87713">
        <w:t xml:space="preserve">. </w:t>
      </w:r>
      <w:r w:rsidR="00F87713" w:rsidRPr="001300C0">
        <w:rPr>
          <w:i/>
        </w:rPr>
        <w:t>Smith</w:t>
      </w:r>
      <w:r w:rsidR="00F87713" w:rsidRPr="001300C0">
        <w:t xml:space="preserve">, </w:t>
      </w:r>
      <w:r w:rsidR="00F87713" w:rsidRPr="00F87713">
        <w:t>the Free Exercise Clause of the First Amendment “does not relieve an individual of the obligation to comply with a valid and neutral law of general applicability.”</w:t>
      </w:r>
      <w:r w:rsidR="00F87713" w:rsidRPr="001300C0">
        <w:rPr>
          <w:vertAlign w:val="superscript"/>
        </w:rPr>
        <w:footnoteReference w:id="59"/>
      </w:r>
      <w:r w:rsidR="00F87713" w:rsidRPr="00F87713">
        <w:t xml:space="preserve">  Post-</w:t>
      </w:r>
      <w:r w:rsidR="00F87713" w:rsidRPr="00F87713">
        <w:rPr>
          <w:i/>
        </w:rPr>
        <w:t>Smith</w:t>
      </w:r>
      <w:r w:rsidR="00F87713" w:rsidRPr="00F87713">
        <w:t>, Congress passed the RFRA, which applies heightened scrutiny to generally applicable laws.</w:t>
      </w:r>
      <w:r w:rsidR="00F87713" w:rsidRPr="00AE1F6B">
        <w:rPr>
          <w:vertAlign w:val="superscript"/>
        </w:rPr>
        <w:footnoteReference w:id="60"/>
      </w:r>
      <w:r w:rsidR="00F87713" w:rsidRPr="00F87713">
        <w:t xml:space="preserve">  A generally applicable requirement that complies with the RFRA necessarily complies with the less stringent Free Exercise standard set forth in </w:t>
      </w:r>
      <w:r w:rsidR="00F87713" w:rsidRPr="00F87713">
        <w:rPr>
          <w:i/>
        </w:rPr>
        <w:t>Smith</w:t>
      </w:r>
      <w:r w:rsidR="00F87713" w:rsidRPr="00F87713">
        <w:t>.</w:t>
      </w:r>
      <w:r w:rsidR="00F87713" w:rsidRPr="00AE1F6B">
        <w:rPr>
          <w:vertAlign w:val="superscript"/>
        </w:rPr>
        <w:footnoteReference w:id="61"/>
      </w:r>
      <w:r w:rsidR="00F87713" w:rsidRPr="00F87713">
        <w:t xml:space="preserve">  Under the RFRA, a claimant must demonstrate that its right to the free exercise of religion has been “substantially burden[ed].”</w:t>
      </w:r>
      <w:r w:rsidR="00F87713" w:rsidRPr="00AE1F6B">
        <w:rPr>
          <w:vertAlign w:val="superscript"/>
        </w:rPr>
        <w:footnoteReference w:id="62"/>
      </w:r>
      <w:r w:rsidR="00F87713" w:rsidRPr="00F87713">
        <w:t xml:space="preserve">  We find no substantial burden here.  Gaylord alleges that the costs of captioning may preclude broadcasting of its services or require reallocation of funds intended for other purposes.</w:t>
      </w:r>
      <w:r w:rsidR="00F87713" w:rsidRPr="00F87713">
        <w:rPr>
          <w:vertAlign w:val="superscript"/>
        </w:rPr>
        <w:footnoteReference w:id="63"/>
      </w:r>
      <w:r w:rsidR="00F87713" w:rsidRPr="00F87713">
        <w:t xml:space="preserve">  As discussed </w:t>
      </w:r>
      <w:r w:rsidR="00F4289C">
        <w:t>below</w:t>
      </w:r>
      <w:r w:rsidR="00F87713" w:rsidRPr="00F87713">
        <w:t xml:space="preserve">, however, we find that Gaylord has failed to demonstrate that the cost of closed captioning is economically burdensome.  </w:t>
      </w:r>
    </w:p>
    <w:p w14:paraId="1B79A2CA" w14:textId="0058545C" w:rsidR="00F87713" w:rsidRPr="00F87713" w:rsidRDefault="00F87713" w:rsidP="00F87713">
      <w:pPr>
        <w:pStyle w:val="ParaNum"/>
      </w:pPr>
      <w:r w:rsidRPr="00F87713">
        <w:t>Gaylord also explains that the National Conference of Catholic Bishops’ Guidelines for Televising the Liturgy require that, whenever possible, the liturgy should be telecast live or taped on a date as close as possible to the dates of the actual telecast.</w:t>
      </w:r>
      <w:r w:rsidRPr="00F87713">
        <w:rPr>
          <w:vertAlign w:val="superscript"/>
        </w:rPr>
        <w:footnoteReference w:id="64"/>
      </w:r>
      <w:r w:rsidRPr="00F87713">
        <w:t xml:space="preserve">  Gaylord claims that it may not be able to comply with this requirement if it has to lengthen the time between the service and the broadcast of the service in order to obtain affordable captioning.</w:t>
      </w:r>
      <w:r w:rsidRPr="00F87713">
        <w:rPr>
          <w:vertAlign w:val="superscript"/>
        </w:rPr>
        <w:footnoteReference w:id="65"/>
      </w:r>
      <w:r w:rsidRPr="00F87713">
        <w:t xml:space="preserve">  </w:t>
      </w:r>
      <w:r w:rsidR="00F936E2">
        <w:t>H</w:t>
      </w:r>
      <w:r w:rsidRPr="00F87713">
        <w:t xml:space="preserve">owever, </w:t>
      </w:r>
      <w:r w:rsidR="00F936E2">
        <w:t xml:space="preserve">Gaylord </w:t>
      </w:r>
      <w:r w:rsidRPr="00F87713">
        <w:t xml:space="preserve">has provided information from captioning firms indicating that captions can be added </w:t>
      </w:r>
      <w:r w:rsidR="00F936E2">
        <w:t xml:space="preserve">to its one hour program </w:t>
      </w:r>
      <w:r w:rsidRPr="00F87713">
        <w:t xml:space="preserve">without requiring Gaylord to lengthen the current gap between </w:t>
      </w:r>
      <w:r w:rsidR="00F936E2">
        <w:t>each liturgy</w:t>
      </w:r>
      <w:r w:rsidRPr="00F87713">
        <w:t xml:space="preserve"> and the broadcast of </w:t>
      </w:r>
      <w:r w:rsidR="00F936E2">
        <w:t xml:space="preserve">each of these </w:t>
      </w:r>
      <w:r w:rsidRPr="00F87713">
        <w:t>service</w:t>
      </w:r>
      <w:r w:rsidR="00F936E2">
        <w:t>s</w:t>
      </w:r>
      <w:r w:rsidRPr="00F87713">
        <w:t>.</w:t>
      </w:r>
      <w:r w:rsidRPr="00F87713">
        <w:rPr>
          <w:vertAlign w:val="superscript"/>
        </w:rPr>
        <w:footnoteReference w:id="66"/>
      </w:r>
      <w:r w:rsidRPr="00F87713">
        <w:t>  In any event, Gaylord has various means to disseminate its services, including through means that are not subject to closed captioning requirements.</w:t>
      </w:r>
      <w:r w:rsidRPr="00F87713">
        <w:rPr>
          <w:vertAlign w:val="superscript"/>
        </w:rPr>
        <w:footnoteReference w:id="67"/>
      </w:r>
    </w:p>
    <w:p w14:paraId="2466F03C" w14:textId="17E5C610" w:rsidR="00F87713" w:rsidRPr="00F87713" w:rsidRDefault="00F87713" w:rsidP="00F87713">
      <w:pPr>
        <w:pStyle w:val="ParaNum"/>
      </w:pPr>
      <w:r w:rsidRPr="00F87713">
        <w:t>Moreover, Gaylord</w:t>
      </w:r>
      <w:r w:rsidRPr="00AE1F6B">
        <w:t xml:space="preserve">’s reliance on </w:t>
      </w:r>
      <w:r w:rsidRPr="00AE1F6B">
        <w:rPr>
          <w:i/>
        </w:rPr>
        <w:t xml:space="preserve">Hosanna-Tabor </w:t>
      </w:r>
      <w:r w:rsidRPr="00AE1F6B">
        <w:t>is misplaced.</w:t>
      </w:r>
      <w:r w:rsidRPr="00AE1F6B">
        <w:rPr>
          <w:vertAlign w:val="superscript"/>
        </w:rPr>
        <w:footnoteReference w:id="68"/>
      </w:r>
      <w:r w:rsidRPr="00AE1F6B">
        <w:t xml:space="preserve">  </w:t>
      </w:r>
      <w:r w:rsidRPr="00F87713">
        <w:rPr>
          <w:i/>
        </w:rPr>
        <w:t>Hosanna</w:t>
      </w:r>
      <w:r w:rsidR="0073375A">
        <w:rPr>
          <w:i/>
        </w:rPr>
        <w:t>-</w:t>
      </w:r>
      <w:r w:rsidRPr="00F87713">
        <w:rPr>
          <w:i/>
        </w:rPr>
        <w:t>Tabor</w:t>
      </w:r>
      <w:r w:rsidRPr="00F87713">
        <w:t xml:space="preserve"> </w:t>
      </w:r>
      <w:r w:rsidRPr="00AE1F6B">
        <w:t xml:space="preserve">addressed only the ministerial exception </w:t>
      </w:r>
      <w:r w:rsidRPr="00F87713">
        <w:t>to employment discrimination laws.</w:t>
      </w:r>
      <w:r w:rsidRPr="00AE1F6B">
        <w:rPr>
          <w:vertAlign w:val="superscript"/>
        </w:rPr>
        <w:footnoteReference w:id="69"/>
      </w:r>
      <w:r w:rsidRPr="00AE1F6B">
        <w:rPr>
          <w:vertAlign w:val="superscript"/>
        </w:rPr>
        <w:t xml:space="preserve"> </w:t>
      </w:r>
      <w:r w:rsidRPr="00F87713">
        <w:t xml:space="preserve"> </w:t>
      </w:r>
      <w:r w:rsidRPr="00F87713">
        <w:rPr>
          <w:i/>
        </w:rPr>
        <w:t>Hosanna</w:t>
      </w:r>
      <w:r w:rsidR="0073375A">
        <w:rPr>
          <w:i/>
        </w:rPr>
        <w:t>-</w:t>
      </w:r>
      <w:r w:rsidRPr="00F87713">
        <w:rPr>
          <w:i/>
        </w:rPr>
        <w:t>Tabor</w:t>
      </w:r>
      <w:r w:rsidRPr="00AE1F6B">
        <w:t xml:space="preserve"> does not apply here because the captioning rules do not interfere with religious organizations’ selection of ministers.</w:t>
      </w:r>
      <w:r w:rsidRPr="00F87713">
        <w:t xml:space="preserve">  Similarly, the other cases cited by Gaylord were relied on in </w:t>
      </w:r>
      <w:r w:rsidRPr="00F87713">
        <w:rPr>
          <w:i/>
        </w:rPr>
        <w:t>Hosanna</w:t>
      </w:r>
      <w:r w:rsidR="0073375A">
        <w:rPr>
          <w:i/>
        </w:rPr>
        <w:t>-</w:t>
      </w:r>
      <w:r w:rsidRPr="00F87713">
        <w:rPr>
          <w:i/>
        </w:rPr>
        <w:t xml:space="preserve">Tabor </w:t>
      </w:r>
      <w:r w:rsidRPr="00F87713">
        <w:t>and relate to state involvement in disputes regarding internal church governance.</w:t>
      </w:r>
      <w:r w:rsidRPr="00F87713">
        <w:rPr>
          <w:vertAlign w:val="superscript"/>
        </w:rPr>
        <w:footnoteReference w:id="70"/>
      </w:r>
      <w:r w:rsidRPr="00F87713">
        <w:t xml:space="preserve">  Those cases do not apply here because the captioning rules do not interfere with matters of internal church governance.  </w:t>
      </w:r>
    </w:p>
    <w:p w14:paraId="1C1AE0E7" w14:textId="64EC184C" w:rsidR="00F87713" w:rsidRPr="00F87713" w:rsidRDefault="00F87713" w:rsidP="008242A0">
      <w:pPr>
        <w:pStyle w:val="ParaNum"/>
      </w:pPr>
      <w:r w:rsidRPr="00F87713">
        <w:t>As we have stated previously,</w:t>
      </w:r>
      <w:r w:rsidRPr="00AE1F6B">
        <w:rPr>
          <w:vertAlign w:val="superscript"/>
        </w:rPr>
        <w:footnoteReference w:id="71"/>
      </w:r>
      <w:r w:rsidRPr="00F87713">
        <w:t xml:space="preserve"> the captioning requirement is consistent with the free speech clause of the First Amendment because the rules are content-neutral and serve an important government interest without burdening substantially more speech than necessary.  In order to minimize the potential impact of the captioning requirements on speech, the rules permit an entity to petition the Commission for an exemption pursuant to Section 79.1(f) of the Rules if providing captioning would be economically burdensome.  The issue before the Bureau is therefore whether Gaylord has made the showing required to warrant such an exemption.</w:t>
      </w:r>
      <w:r w:rsidRPr="00AE1F6B">
        <w:rPr>
          <w:vertAlign w:val="superscript"/>
        </w:rPr>
        <w:footnoteReference w:id="72"/>
      </w:r>
    </w:p>
    <w:p w14:paraId="4E32ACBF" w14:textId="67CF8A98" w:rsidR="006D61CA" w:rsidRDefault="006D61CA">
      <w:pPr>
        <w:pStyle w:val="ParaNum"/>
      </w:pPr>
      <w:r>
        <w:t xml:space="preserve">After a careful review of the record, the Bureau further finds that Gaylord has not demonstrated that the provision of closed captioning for </w:t>
      </w:r>
      <w:r>
        <w:rPr>
          <w:rFonts w:ascii="Times New Roman Italic" w:hAnsi="Times New Roman Italic"/>
        </w:rPr>
        <w:t>Sunday Mass</w:t>
      </w:r>
      <w:r>
        <w:t xml:space="preserve"> would be economically burdensome.  </w:t>
      </w:r>
      <w:r w:rsidR="0032723A">
        <w:t xml:space="preserve">As noted by the </w:t>
      </w:r>
      <w:r>
        <w:t>Consumer Groups</w:t>
      </w:r>
      <w:r w:rsidR="0032723A">
        <w:t>,</w:t>
      </w:r>
      <w:r>
        <w:t xml:space="preserve"> economic burden is not determined by comparing the cost of closed captioning to the program’s production costs.</w:t>
      </w:r>
      <w:r>
        <w:rPr>
          <w:rStyle w:val="FootnoteReference10"/>
          <w:sz w:val="22"/>
        </w:rPr>
        <w:footnoteReference w:id="73"/>
      </w:r>
      <w:r>
        <w:t xml:space="preserve">  Instead, the Commission has previously determined that, when conducting an economically burdensome analysis, “all of the petitioners’ available resources” must be taken into consideration.</w:t>
      </w:r>
      <w:r>
        <w:rPr>
          <w:rStyle w:val="FootnoteReference10"/>
          <w:sz w:val="22"/>
        </w:rPr>
        <w:footnoteReference w:id="74"/>
      </w:r>
      <w:r>
        <w:t xml:space="preserve">   The Commission has rejected suggestions “to consider only the resources available for a specific program” in making the determination of whether provision of closed captioning is economically burdensome.</w:t>
      </w:r>
      <w:r>
        <w:rPr>
          <w:rStyle w:val="FootnoteReference10"/>
          <w:sz w:val="22"/>
        </w:rPr>
        <w:footnoteReference w:id="75"/>
      </w:r>
      <w:r>
        <w:t xml:space="preserve">  </w:t>
      </w:r>
      <w:r w:rsidR="0032723A">
        <w:t>Accordingly</w:t>
      </w:r>
      <w:r>
        <w:t xml:space="preserve">, consistent with prior Commission orders, we </w:t>
      </w:r>
      <w:r w:rsidR="0032723A">
        <w:t xml:space="preserve">have </w:t>
      </w:r>
      <w:r>
        <w:t>consider</w:t>
      </w:r>
      <w:r w:rsidR="0032723A">
        <w:t>ed</w:t>
      </w:r>
      <w:r>
        <w:t xml:space="preserve"> the overall financial resources available to Gaylord in </w:t>
      </w:r>
      <w:r w:rsidR="0032723A">
        <w:t xml:space="preserve">making our </w:t>
      </w:r>
      <w:r>
        <w:t>determin</w:t>
      </w:r>
      <w:r w:rsidR="0032723A">
        <w:t xml:space="preserve">ation as to </w:t>
      </w:r>
      <w:r>
        <w:t xml:space="preserve">whether it would be economically burdensome </w:t>
      </w:r>
      <w:r w:rsidR="0032723A">
        <w:t xml:space="preserve">for Gaylord </w:t>
      </w:r>
      <w:r>
        <w:t xml:space="preserve">to comply with the Commission’s closed captioning requirements. </w:t>
      </w:r>
    </w:p>
    <w:p w14:paraId="091A0963" w14:textId="19760F9A" w:rsidR="00BE2AB7" w:rsidRPr="00780FC4" w:rsidRDefault="00C814F1" w:rsidP="00780FC4">
      <w:pPr>
        <w:pStyle w:val="ParaNum"/>
      </w:pPr>
      <w:r>
        <w:t xml:space="preserve">According to the information and documentation it has provided, Gaylord operated with </w:t>
      </w:r>
      <w:r w:rsidR="000A7453">
        <w:t xml:space="preserve">a net profit of $797,744.00 in fiscal year 2011, but a </w:t>
      </w:r>
      <w:r w:rsidR="00376B10">
        <w:t>net loss of $191,913.00 in fiscal year 2012.</w:t>
      </w:r>
      <w:r>
        <w:rPr>
          <w:rStyle w:val="FootnoteReference1"/>
        </w:rPr>
        <w:footnoteReference w:id="76"/>
      </w:r>
      <w:r>
        <w:t xml:space="preserve"> </w:t>
      </w:r>
      <w:r w:rsidR="000A7453">
        <w:t xml:space="preserve"> Notwithstanding this end of year net loss in 2012, in both 2011 and 2012, </w:t>
      </w:r>
      <w:r w:rsidR="004D7FCB">
        <w:t xml:space="preserve">Gaylord had </w:t>
      </w:r>
      <w:r w:rsidR="000A7453">
        <w:t xml:space="preserve">considerable </w:t>
      </w:r>
      <w:r w:rsidR="004D7FCB">
        <w:t>net current assets</w:t>
      </w:r>
      <w:r w:rsidR="000A7453">
        <w:t xml:space="preserve">.  Specifically, as of June 30, 2011, Gaylord reports that it had net current assets of $8,825,719.00 and </w:t>
      </w:r>
      <w:r w:rsidR="004D7FCB">
        <w:t>as of June 30, 2012</w:t>
      </w:r>
      <w:r w:rsidR="000A7453">
        <w:t>, these assets were $8,780,500.00</w:t>
      </w:r>
      <w:r w:rsidR="004D7FCB">
        <w:t>.</w:t>
      </w:r>
      <w:r w:rsidR="00FA2EAF">
        <w:rPr>
          <w:rStyle w:val="FootnoteReference"/>
        </w:rPr>
        <w:footnoteReference w:id="77"/>
      </w:r>
      <w:r w:rsidR="004D7FCB">
        <w:t xml:space="preserve">  </w:t>
      </w:r>
      <w:r w:rsidR="005A5E31">
        <w:t>W</w:t>
      </w:r>
      <w:r>
        <w:t>hen we compare the lower of the annual closed captioning estimates submitted by Gaylord of $11,300.00,</w:t>
      </w:r>
      <w:r>
        <w:rPr>
          <w:rStyle w:val="FootnoteReference10"/>
          <w:sz w:val="22"/>
        </w:rPr>
        <w:footnoteReference w:id="78"/>
      </w:r>
      <w:r>
        <w:t xml:space="preserve"> to </w:t>
      </w:r>
      <w:r w:rsidR="000A7453">
        <w:t>Gaylord’s</w:t>
      </w:r>
      <w:r>
        <w:t xml:space="preserve"> </w:t>
      </w:r>
      <w:r w:rsidR="004D7FCB">
        <w:t>net current assets</w:t>
      </w:r>
      <w:r w:rsidR="000A7453">
        <w:t xml:space="preserve"> in either of these years</w:t>
      </w:r>
      <w:r w:rsidR="004D7FCB">
        <w:t xml:space="preserve">, </w:t>
      </w:r>
      <w:r>
        <w:t xml:space="preserve">we conclude that </w:t>
      </w:r>
      <w:r w:rsidR="004D7FCB">
        <w:t>such assets</w:t>
      </w:r>
      <w:r>
        <w:t xml:space="preserve"> w</w:t>
      </w:r>
      <w:r w:rsidR="004D7FCB">
        <w:t>ere</w:t>
      </w:r>
      <w:r>
        <w:t xml:space="preserve"> sufficient to cover the cost of captioning </w:t>
      </w:r>
      <w:r w:rsidR="003B273F" w:rsidRPr="002C774D">
        <w:rPr>
          <w:i/>
        </w:rPr>
        <w:t>Sunday Mass</w:t>
      </w:r>
      <w:r>
        <w:t xml:space="preserve">. </w:t>
      </w:r>
      <w:r w:rsidR="002C774D">
        <w:t xml:space="preserve"> </w:t>
      </w:r>
      <w:r>
        <w:t xml:space="preserve">Specifically, Gaylord could have provided closed captioning and still have </w:t>
      </w:r>
      <w:r w:rsidR="004D7FCB">
        <w:t xml:space="preserve">operated </w:t>
      </w:r>
      <w:r>
        <w:t xml:space="preserve">with </w:t>
      </w:r>
      <w:r w:rsidR="004D7FCB">
        <w:t>net current assets</w:t>
      </w:r>
      <w:r w:rsidR="000A7453">
        <w:t xml:space="preserve"> nearing nine million dollars in either of these years.</w:t>
      </w:r>
      <w:r w:rsidR="000A7453" w:rsidDel="000A7453">
        <w:t xml:space="preserve"> </w:t>
      </w:r>
      <w:r w:rsidR="00BE2AB7">
        <w:t xml:space="preserve"> </w:t>
      </w:r>
      <w:r w:rsidR="00BE2AB7" w:rsidRPr="002C774D">
        <w:rPr>
          <w:szCs w:val="22"/>
        </w:rPr>
        <w:t xml:space="preserve">Based on </w:t>
      </w:r>
      <w:r w:rsidR="000A7453">
        <w:rPr>
          <w:szCs w:val="22"/>
        </w:rPr>
        <w:t xml:space="preserve">this </w:t>
      </w:r>
      <w:r w:rsidR="00BE2AB7" w:rsidRPr="002C774D">
        <w:rPr>
          <w:szCs w:val="22"/>
        </w:rPr>
        <w:t xml:space="preserve">review and analysis of the information provided, we conclude that closed captioning would not be economically burdensome for Gaylord. </w:t>
      </w:r>
    </w:p>
    <w:p w14:paraId="46E6C0F4" w14:textId="77777777" w:rsidR="00C814F1" w:rsidRDefault="00C814F1" w:rsidP="003B273F">
      <w:pPr>
        <w:pStyle w:val="Heading11"/>
        <w:keepNext w:val="0"/>
        <w:widowControl/>
        <w:numPr>
          <w:ilvl w:val="0"/>
          <w:numId w:val="1"/>
        </w:numPr>
        <w:spacing w:after="120"/>
        <w:ind w:hanging="720"/>
        <w:jc w:val="left"/>
      </w:pPr>
      <w:r>
        <w:t>ordering clauses</w:t>
      </w:r>
      <w:r>
        <w:tab/>
      </w:r>
    </w:p>
    <w:p w14:paraId="1D852E01" w14:textId="77777777" w:rsidR="00C814F1" w:rsidRDefault="00C814F1" w:rsidP="006D61CA">
      <w:pPr>
        <w:pStyle w:val="ParaNum"/>
      </w:pPr>
      <w:r>
        <w:t>Accordingly, pursuant to section 713 of the Communications Act of 1934, as amended, and sections 0.141(f) and 79.1(f) of the Commission’s rules,</w:t>
      </w:r>
      <w:r w:rsidRPr="00AE1F6B">
        <w:rPr>
          <w:rStyle w:val="FootnoteReference1"/>
        </w:rPr>
        <w:footnoteReference w:id="79"/>
      </w:r>
      <w:r>
        <w:t xml:space="preserve"> IT IS ORDERED</w:t>
      </w:r>
      <w:r>
        <w:rPr>
          <w:rFonts w:ascii="Times New Roman Bold" w:hAnsi="Times New Roman Bold"/>
        </w:rPr>
        <w:t xml:space="preserve"> </w:t>
      </w:r>
      <w:r>
        <w:t>that the Petition filed by Gaylord, requesting an exemption from the Commission’s closed captioning rules, IS DENIED</w:t>
      </w:r>
      <w:r>
        <w:rPr>
          <w:rFonts w:ascii="Times New Roman Bold" w:hAnsi="Times New Roman Bold"/>
        </w:rPr>
        <w:t>.</w:t>
      </w:r>
      <w:r>
        <w:t xml:space="preserve">  </w:t>
      </w:r>
    </w:p>
    <w:p w14:paraId="19429C48" w14:textId="6D2752FE" w:rsidR="00C814F1" w:rsidRDefault="00C814F1" w:rsidP="006D61CA">
      <w:pPr>
        <w:pStyle w:val="ParaNum"/>
      </w:pPr>
      <w:r>
        <w:t xml:space="preserve">IT IS FURTHER ORDERED that the programming that is the subject of its Petition </w:t>
      </w:r>
      <w:r w:rsidR="00DE1943">
        <w:t xml:space="preserve">must be captioned </w:t>
      </w:r>
      <w:r>
        <w:t xml:space="preserve">no later than </w:t>
      </w:r>
      <w:r w:rsidR="00A11BF7">
        <w:t>October 19, 2015,</w:t>
      </w:r>
      <w:r>
        <w:t xml:space="preserve"> which is 90 days from the release of this Order.</w:t>
      </w:r>
    </w:p>
    <w:p w14:paraId="2B722750" w14:textId="53557EB2" w:rsidR="00C814F1" w:rsidRPr="004F616B" w:rsidRDefault="00C814F1" w:rsidP="005A5E31">
      <w:pPr>
        <w:pStyle w:val="ParaNum"/>
      </w:pPr>
      <w:r>
        <w:t xml:space="preserve">IT IS FURTHER ORDERED that Gaylord must inform the Commission of the date on which </w:t>
      </w:r>
      <w:r w:rsidR="00DE1943">
        <w:t xml:space="preserve">the program is closed captioned </w:t>
      </w:r>
      <w:r>
        <w:t xml:space="preserve">in accordance with this Order and the Commission’s rules by e-mail to </w:t>
      </w:r>
      <w:hyperlink r:id="rId8" w:history="1">
        <w:r>
          <w:rPr>
            <w:rStyle w:val="Hyperlink1"/>
          </w:rPr>
          <w:t>captioningexemption@fcc.gov</w:t>
        </w:r>
      </w:hyperlink>
      <w:r w:rsidR="004F616B">
        <w:t>,</w:t>
      </w:r>
      <w:r w:rsidR="004F616B" w:rsidRPr="004F616B">
        <w:rPr>
          <w:color w:val="auto"/>
          <w:szCs w:val="22"/>
        </w:rPr>
        <w:t xml:space="preserve"> which the Commission will make available for public inspection.</w:t>
      </w:r>
      <w:r w:rsidR="004F616B" w:rsidRPr="004F616B">
        <w:rPr>
          <w:szCs w:val="22"/>
          <w:vertAlign w:val="superscript"/>
        </w:rPr>
        <w:footnoteReference w:id="80"/>
      </w:r>
      <w:r w:rsidR="004F616B" w:rsidRPr="004F616B">
        <w:rPr>
          <w:szCs w:val="22"/>
        </w:rPr>
        <w:t xml:space="preserve">  The e-mail attachment must reference Case Identifier CGB-CC-</w:t>
      </w:r>
      <w:r w:rsidR="004F616B">
        <w:rPr>
          <w:szCs w:val="22"/>
        </w:rPr>
        <w:t xml:space="preserve">0270 </w:t>
      </w:r>
      <w:r w:rsidR="004F616B" w:rsidRPr="004F616B">
        <w:rPr>
          <w:szCs w:val="22"/>
        </w:rPr>
        <w:t xml:space="preserve">and will be posted on the docket in order to be publicly available.  </w:t>
      </w:r>
    </w:p>
    <w:p w14:paraId="555AE188" w14:textId="77777777" w:rsidR="004F616B" w:rsidRDefault="004F616B" w:rsidP="005A5E31">
      <w:pPr>
        <w:pStyle w:val="ParaNum"/>
        <w:numPr>
          <w:ilvl w:val="0"/>
          <w:numId w:val="0"/>
        </w:numPr>
        <w:ind w:left="720"/>
      </w:pPr>
    </w:p>
    <w:p w14:paraId="1A8B0476" w14:textId="77777777" w:rsidR="00C814F1" w:rsidRDefault="004F616B" w:rsidP="00BE2AB7">
      <w:pPr>
        <w:pStyle w:val="ParaNum"/>
        <w:numPr>
          <w:ilvl w:val="0"/>
          <w:numId w:val="0"/>
        </w:numPr>
        <w:ind w:left="720"/>
      </w:pPr>
      <w:r>
        <w:tab/>
      </w:r>
      <w:r w:rsidR="00C814F1">
        <w:tab/>
      </w:r>
      <w:r w:rsidR="00C814F1">
        <w:tab/>
        <w:t>FEDERAL COMMUNICATIONS COMMISSION</w:t>
      </w:r>
    </w:p>
    <w:p w14:paraId="6236E57A" w14:textId="77777777" w:rsidR="00C814F1" w:rsidRDefault="00C814F1" w:rsidP="00BE2AB7">
      <w:pPr>
        <w:pStyle w:val="ParaNum"/>
        <w:numPr>
          <w:ilvl w:val="0"/>
          <w:numId w:val="0"/>
        </w:numPr>
        <w:ind w:left="720"/>
      </w:pPr>
    </w:p>
    <w:p w14:paraId="6F0E6584" w14:textId="77777777" w:rsidR="00C814F1" w:rsidRDefault="00C814F1" w:rsidP="00E20A20">
      <w:pPr>
        <w:pStyle w:val="ParaNum"/>
        <w:numPr>
          <w:ilvl w:val="0"/>
          <w:numId w:val="0"/>
        </w:numPr>
        <w:ind w:left="720"/>
      </w:pPr>
    </w:p>
    <w:p w14:paraId="16595DE2" w14:textId="77777777" w:rsidR="00C814F1" w:rsidRDefault="004F616B" w:rsidP="00D94B80">
      <w:pPr>
        <w:pStyle w:val="ParaNum"/>
        <w:numPr>
          <w:ilvl w:val="0"/>
          <w:numId w:val="0"/>
        </w:numPr>
        <w:spacing w:after="0"/>
        <w:ind w:left="720"/>
      </w:pPr>
      <w:r>
        <w:tab/>
      </w:r>
      <w:r w:rsidR="00C814F1">
        <w:tab/>
      </w:r>
      <w:r w:rsidR="00C814F1">
        <w:tab/>
        <w:t>Karen Peltz Strauss</w:t>
      </w:r>
    </w:p>
    <w:p w14:paraId="7D737459" w14:textId="77777777" w:rsidR="00C814F1" w:rsidRDefault="004F616B" w:rsidP="00D94B80">
      <w:pPr>
        <w:pStyle w:val="ParaNum"/>
        <w:numPr>
          <w:ilvl w:val="0"/>
          <w:numId w:val="0"/>
        </w:numPr>
        <w:spacing w:after="0"/>
        <w:ind w:left="720"/>
      </w:pPr>
      <w:r>
        <w:tab/>
      </w:r>
      <w:r w:rsidR="00C814F1">
        <w:tab/>
      </w:r>
      <w:r w:rsidR="00C814F1">
        <w:tab/>
        <w:t>Deputy Chief</w:t>
      </w:r>
    </w:p>
    <w:p w14:paraId="514384F3" w14:textId="77777777" w:rsidR="00C814F1" w:rsidRDefault="004F616B" w:rsidP="00D94B80">
      <w:pPr>
        <w:pStyle w:val="ParaNum"/>
        <w:numPr>
          <w:ilvl w:val="0"/>
          <w:numId w:val="0"/>
        </w:numPr>
        <w:spacing w:after="0"/>
        <w:ind w:left="720"/>
      </w:pPr>
      <w:r>
        <w:tab/>
      </w:r>
      <w:r w:rsidR="00C814F1">
        <w:tab/>
      </w:r>
      <w:r w:rsidR="00C814F1">
        <w:tab/>
        <w:t>Consumer and Governmental Affairs Bureau</w:t>
      </w:r>
    </w:p>
    <w:p w14:paraId="2650399E" w14:textId="77777777" w:rsidR="00C814F1" w:rsidRDefault="00C814F1" w:rsidP="00AE1F6B">
      <w:pPr>
        <w:pStyle w:val="ParaNum"/>
        <w:numPr>
          <w:ilvl w:val="0"/>
          <w:numId w:val="0"/>
        </w:numPr>
        <w:ind w:left="720"/>
      </w:pPr>
    </w:p>
    <w:sectPr w:rsidR="00C814F1" w:rsidSect="001300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B41C" w14:textId="77777777" w:rsidR="00162A6D" w:rsidRDefault="00162A6D">
      <w:r>
        <w:separator/>
      </w:r>
    </w:p>
  </w:endnote>
  <w:endnote w:type="continuationSeparator" w:id="0">
    <w:p w14:paraId="3B48B04F" w14:textId="77777777" w:rsidR="00162A6D" w:rsidRDefault="00162A6D">
      <w:r>
        <w:continuationSeparator/>
      </w:r>
    </w:p>
  </w:endnote>
  <w:endnote w:type="continuationNotice" w:id="1">
    <w:p w14:paraId="227B0879" w14:textId="77777777" w:rsidR="00162A6D" w:rsidRDefault="00162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po de letra del sistema Fina">
    <w:altName w:val="Times New Roman"/>
    <w:charset w:val="00"/>
    <w:family w:val="roman"/>
    <w:pitch w:val="default"/>
  </w:font>
  <w:font w:name="ヒラギノ角ゴ Pro W3">
    <w:altName w:val="Times New Roman"/>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Tahoma Bold">
    <w:panose1 w:val="020B0804030504040204"/>
    <w:charset w:val="00"/>
    <w:family w:val="roman"/>
    <w:pitch w:val="default"/>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System Font Italic">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0D42" w14:textId="77777777" w:rsidR="00CB32F5" w:rsidRDefault="00CB32F5">
    <w:pPr>
      <w:pStyle w:val="Footer1"/>
      <w:jc w:val="center"/>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8</w:t>
    </w:r>
    <w:r>
      <w:rPr>
        <w:rStyle w:val="PageNumber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3679" w14:textId="77777777" w:rsidR="00CB32F5" w:rsidRDefault="00CB32F5">
    <w:pPr>
      <w:pStyle w:val="Footer1"/>
      <w:jc w:val="center"/>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742390">
      <w:rPr>
        <w:rStyle w:val="PageNumber1"/>
        <w:noProof/>
      </w:rPr>
      <w:t>2</w:t>
    </w:r>
    <w:r>
      <w:rPr>
        <w:rStyle w:val="PageNumber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860E" w14:textId="77777777" w:rsidR="001421BB" w:rsidRDefault="00142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D2A85" w14:textId="77777777" w:rsidR="00162A6D" w:rsidRDefault="00162A6D">
      <w:r>
        <w:separator/>
      </w:r>
    </w:p>
  </w:footnote>
  <w:footnote w:type="continuationSeparator" w:id="0">
    <w:p w14:paraId="33E331E4" w14:textId="77777777" w:rsidR="00162A6D" w:rsidRDefault="00162A6D">
      <w:r>
        <w:continuationSeparator/>
      </w:r>
    </w:p>
  </w:footnote>
  <w:footnote w:type="continuationNotice" w:id="1">
    <w:p w14:paraId="7964ECB3" w14:textId="77777777" w:rsidR="00162A6D" w:rsidRDefault="00162A6D"/>
  </w:footnote>
  <w:footnote w:id="2">
    <w:p w14:paraId="177D94CD" w14:textId="6F4AC58C" w:rsidR="00EC6C3A" w:rsidRPr="001300C0" w:rsidRDefault="00EC6C3A" w:rsidP="001300C0">
      <w:pPr>
        <w:pStyle w:val="FootnoteText"/>
        <w:spacing w:after="120"/>
      </w:pPr>
      <w:r w:rsidRPr="001300C0">
        <w:rPr>
          <w:rStyle w:val="FootnoteReference"/>
        </w:rPr>
        <w:footnoteRef/>
      </w:r>
      <w:r>
        <w:t xml:space="preserve"> Telecommunications Act of 1996, Pub. L. No. 104-104, § 305, 110 Stat. 56 (1996 Act)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Pr>
          <w:vertAlign w:val="superscript"/>
        </w:rPr>
        <w:t>th</w:t>
      </w:r>
      <w:r>
        <w:t xml:space="preserve"> Cong., 2d Sess. (1996).  “Video programming” means “programming by, or generally considered comparable to programming provided by a television broadcast station.”  47 U.S.C. § 613(h)(2).</w:t>
      </w:r>
    </w:p>
  </w:footnote>
  <w:footnote w:id="3">
    <w:p w14:paraId="47C23678" w14:textId="77777777" w:rsidR="00EC6C3A" w:rsidRPr="001300C0" w:rsidRDefault="00EC6C3A" w:rsidP="001300C0">
      <w:pPr>
        <w:pStyle w:val="FootnoteText"/>
        <w:spacing w:after="120"/>
      </w:pPr>
      <w:r w:rsidRPr="001300C0">
        <w:rPr>
          <w:rStyle w:val="FootnoteReference"/>
        </w:rPr>
        <w:footnoteRef/>
      </w:r>
      <w:r>
        <w:t xml:space="preserve"> 47 U.S.C. §§ 613(b)-(c).</w:t>
      </w:r>
    </w:p>
  </w:footnote>
  <w:footnote w:id="4">
    <w:p w14:paraId="00B063B4" w14:textId="77777777" w:rsidR="00EC6C3A" w:rsidRPr="001300C0" w:rsidRDefault="00EC6C3A" w:rsidP="001300C0">
      <w:pPr>
        <w:pStyle w:val="FootnoteText"/>
        <w:spacing w:after="120"/>
      </w:pPr>
      <w:r w:rsidRPr="001300C0">
        <w:rPr>
          <w:rStyle w:val="FootnoteReference"/>
        </w:rPr>
        <w:footnoteRef/>
      </w:r>
      <w:r>
        <w:t xml:space="preserve"> </w:t>
      </w:r>
      <w:r w:rsidRPr="001300C0">
        <w:rPr>
          <w:i/>
        </w:rPr>
        <w:t>See</w:t>
      </w:r>
      <w:r>
        <w:t xml:space="preserve"> 47 C.F.R. § 79.1; </w:t>
      </w:r>
      <w:r w:rsidRPr="001300C0">
        <w:rPr>
          <w:i/>
        </w:rPr>
        <w:t>Closed Captioning and Video Description of Video Programming, Implementation of Section 305 of the Telecommunications Act of 1996, Video Programming Accessibility</w:t>
      </w:r>
      <w:r w:rsidRPr="001300C0">
        <w:t>,</w:t>
      </w:r>
      <w:r>
        <w:t xml:space="preserve"> MM Docket No. 95-176, Report and Order, 13 FCC Rcd 3272 (1997) (</w:t>
      </w:r>
      <w:r w:rsidRPr="001300C0">
        <w:rPr>
          <w:i/>
        </w:rPr>
        <w:t>Closed Captioning Report and Order); Closed Captioning and Video Description of Video Programming, Implementation of Section 305 of the Telecommunications Act of 1996, Video Programming Accessibility</w:t>
      </w:r>
      <w:r w:rsidRPr="001300C0">
        <w:t>,</w:t>
      </w:r>
      <w:r w:rsidRPr="001300C0">
        <w:rPr>
          <w:i/>
        </w:rPr>
        <w:t xml:space="preserve"> </w:t>
      </w:r>
      <w:r>
        <w:t>MM Docket No. 95-176, Order on Reconsideration, 13 FCC Rcd 19973 (1998) (</w:t>
      </w:r>
      <w:r w:rsidRPr="001300C0">
        <w:rPr>
          <w:i/>
        </w:rPr>
        <w:t>Closed Captioning Reconsideration Order</w:t>
      </w:r>
      <w:r>
        <w:t>)</w:t>
      </w:r>
      <w:r w:rsidRPr="001300C0">
        <w:rPr>
          <w:i/>
        </w:rPr>
        <w:t>.</w:t>
      </w:r>
      <w:r>
        <w:t xml:space="preserve">  </w:t>
      </w:r>
    </w:p>
  </w:footnote>
  <w:footnote w:id="5">
    <w:p w14:paraId="09ED9628" w14:textId="40374E77" w:rsidR="00EC6C3A" w:rsidRPr="001300C0" w:rsidRDefault="00EC6C3A" w:rsidP="001300C0">
      <w:pPr>
        <w:pStyle w:val="FootnoteText"/>
        <w:spacing w:after="120"/>
      </w:pPr>
      <w:r w:rsidRPr="001300C0">
        <w:rPr>
          <w:rStyle w:val="FootnoteReference"/>
        </w:rPr>
        <w:footnoteRef/>
      </w:r>
      <w:r>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79.1(a)(11).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1300C0">
        <w:rPr>
          <w:i/>
        </w:rPr>
        <w:t>See Closed Captioning of Video Programming; Telecommunications for the Deaf and Hard of Hearing, Inc., Petition for Rulemaking</w:t>
      </w:r>
      <w:r>
        <w:t>, CG Docket No. 05-231, Report and Order, Declaratory Ruling, and Further Notice of Proposed Rulemaking, 29 FCC Rcd 2221, 2288-89, ¶ 115 (2014).</w:t>
      </w:r>
    </w:p>
  </w:footnote>
  <w:footnote w:id="6">
    <w:p w14:paraId="7AA644FC" w14:textId="40EFFA0F" w:rsidR="00EC6C3A" w:rsidRPr="001300C0" w:rsidRDefault="00EC6C3A" w:rsidP="001300C0">
      <w:pPr>
        <w:pStyle w:val="FootnoteText"/>
        <w:spacing w:after="120"/>
      </w:pPr>
      <w:r w:rsidRPr="001300C0">
        <w:rPr>
          <w:rStyle w:val="FootnoteReference"/>
        </w:rPr>
        <w:footnoteRef/>
      </w:r>
      <w:r>
        <w:t xml:space="preserve"> </w:t>
      </w:r>
      <w:r w:rsidRPr="001300C0">
        <w:rPr>
          <w:i/>
        </w:rPr>
        <w:t>See</w:t>
      </w:r>
      <w:r>
        <w:t xml:space="preserve"> 47 U.S.C. §§ 613(d)(3),(e).  </w:t>
      </w:r>
      <w:r>
        <w:rPr>
          <w:i/>
        </w:rPr>
        <w:t>See</w:t>
      </w:r>
      <w:r w:rsidRPr="001300C0">
        <w:rPr>
          <w:i/>
        </w:rPr>
        <w:t xml:space="preserve"> also</w:t>
      </w:r>
      <w:r>
        <w:t xml:space="preserve"> 47 C.F.R. § 79.1(f)(2).  As originally enacted in 1996, section 713 of the Communications Act authorized the Commission to grant individual closed captioning exemptions upon a showing that providing closed captioning would “result in an undue burden.”  1996 Act, § 305..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1300C0">
        <w:rPr>
          <w:i/>
        </w:rPr>
        <w:t>See Interpretation of Economically Burdensome Standard, Amendment of Section 79.1(f) of the Commission</w:t>
      </w:r>
      <w:r w:rsidRPr="001300C0">
        <w:rPr>
          <w:rFonts w:hint="cs"/>
          <w:i/>
        </w:rPr>
        <w:t>’</w:t>
      </w:r>
      <w:r w:rsidRPr="001300C0">
        <w:rPr>
          <w:i/>
        </w:rPr>
        <w:t>s Rules, Video Programming Accessibility</w:t>
      </w:r>
      <w:r>
        <w:t>, CG Docket No. 11-175, Report and Order, 27 FCC Rcd 8831, 8834, ¶ 7 (2012) (</w:t>
      </w:r>
      <w:r w:rsidRPr="001300C0">
        <w:rPr>
          <w:i/>
        </w:rPr>
        <w:t>Economically Burdensome Standard Order</w:t>
      </w:r>
      <w:r>
        <w:t>).</w:t>
      </w:r>
    </w:p>
  </w:footnote>
  <w:footnote w:id="7">
    <w:p w14:paraId="57B175B0" w14:textId="77777777" w:rsidR="00EC6C3A" w:rsidRPr="001300C0" w:rsidRDefault="00EC6C3A" w:rsidP="001300C0">
      <w:pPr>
        <w:pStyle w:val="FootnoteText"/>
        <w:spacing w:after="120"/>
      </w:pPr>
      <w:r w:rsidRPr="001300C0">
        <w:rPr>
          <w:rStyle w:val="FootnoteReference"/>
        </w:rPr>
        <w:footnoteRef/>
      </w:r>
      <w:r>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1300C0">
        <w:rPr>
          <w:i/>
        </w:rPr>
        <w:t xml:space="preserve">See also </w:t>
      </w:r>
      <w:r>
        <w:t xml:space="preserve">n.4, </w:t>
      </w:r>
      <w:r w:rsidRPr="001300C0">
        <w:rPr>
          <w:i/>
        </w:rPr>
        <w:t>supra</w:t>
      </w:r>
      <w:r>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14:paraId="4DFCC604" w14:textId="77777777" w:rsidR="00EC6C3A" w:rsidRPr="001300C0" w:rsidRDefault="00EC6C3A" w:rsidP="001300C0">
      <w:pPr>
        <w:pStyle w:val="FootnoteText"/>
        <w:spacing w:after="120"/>
      </w:pPr>
      <w:r w:rsidRPr="001300C0">
        <w:rPr>
          <w:rStyle w:val="FootnoteReference"/>
        </w:rPr>
        <w:footnoteRef/>
      </w:r>
      <w:r>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1300C0">
        <w:rPr>
          <w:i/>
        </w:rPr>
        <w:t>Economically Burdensome Standard Order</w:t>
      </w:r>
      <w:r>
        <w:t>, 27 FCC Rcd at 8834-35, ¶ 8.</w:t>
      </w:r>
      <w:r w:rsidRPr="001300C0">
        <w:rPr>
          <w:i/>
        </w:rPr>
        <w:t xml:space="preserve">  </w:t>
      </w:r>
    </w:p>
  </w:footnote>
  <w:footnote w:id="9">
    <w:p w14:paraId="75456290" w14:textId="77777777" w:rsidR="00EC6C3A" w:rsidRDefault="00EC6C3A" w:rsidP="006560AB">
      <w:pPr>
        <w:suppressAutoHyphens/>
        <w:spacing w:after="120"/>
        <w:rPr>
          <w:sz w:val="20"/>
        </w:rPr>
      </w:pPr>
      <w:r>
        <w:rPr>
          <w:rStyle w:val="FootnoteReference"/>
          <w:sz w:val="20"/>
        </w:rPr>
        <w:footnoteRef/>
      </w:r>
      <w:r>
        <w:rPr>
          <w:sz w:val="20"/>
        </w:rPr>
        <w:t xml:space="preserve"> </w:t>
      </w:r>
      <w:r>
        <w:rPr>
          <w:i/>
          <w:sz w:val="20"/>
        </w:rPr>
        <w:t>Anglers for Christ Ministries, Inc., et al.; Amendment of Section 79.1(f) of the Commission’s Rules; Video Programming Accessibility</w:t>
      </w:r>
      <w:r>
        <w:rPr>
          <w:sz w:val="20"/>
        </w:rPr>
        <w:t>, CG Docket Nos. 06-181 and 11-175, Memorandum Opinion and Order, Order, and Notice of Proposed Rulemaking, 26 FCC Rcd 14941, 14955-56, ¶ 28 &amp; nn. 100-04 (2011) (</w:t>
      </w:r>
      <w:r>
        <w:rPr>
          <w:i/>
          <w:sz w:val="20"/>
        </w:rPr>
        <w:t>Anglers Reversal MO&amp;O</w:t>
      </w:r>
      <w:r>
        <w:rPr>
          <w:sz w:val="20"/>
        </w:rPr>
        <w:t>).  The Bureau has provided additional guidance for petitioners regarding these requirements in the document “Required Information to Provide in Filing a New Petition to be Exempt from the Closed Captioning Requirements,” which is provided by the staff to captioning exemption petitioners and is available at http://hraunfoss.fcc.gov/edocs_public/attachmatch/DOC-323421A1.pdf (</w:t>
      </w:r>
      <w:r>
        <w:rPr>
          <w:i/>
          <w:sz w:val="20"/>
        </w:rPr>
        <w:t>Bureau Information Guidance</w:t>
      </w:r>
      <w:r>
        <w:rPr>
          <w:sz w:val="20"/>
        </w:rPr>
        <w:t>).</w:t>
      </w:r>
    </w:p>
  </w:footnote>
  <w:footnote w:id="10">
    <w:p w14:paraId="01E329B9" w14:textId="77777777" w:rsidR="00EC6C3A" w:rsidRPr="001300C0" w:rsidRDefault="00EC6C3A" w:rsidP="001300C0">
      <w:pPr>
        <w:pStyle w:val="FootnoteText5"/>
        <w:jc w:val="left"/>
      </w:pPr>
      <w:r w:rsidRPr="001300C0">
        <w:rPr>
          <w:rStyle w:val="FootnoteReference"/>
        </w:rPr>
        <w:footnoteRef/>
      </w:r>
      <w:r w:rsidRPr="003203AA">
        <w:t xml:space="preserve"> 47 C.F.R. § 79.1(f)(9).  A petition for exemption may also be supported by an </w:t>
      </w:r>
      <w:r w:rsidRPr="003203AA">
        <w:rPr>
          <w:rStyle w:val="contents"/>
        </w:rPr>
        <w:t xml:space="preserve">unsworn written statement signed by a </w:t>
      </w:r>
      <w:r w:rsidRPr="001300C0">
        <w:t>declarant</w:t>
      </w:r>
      <w:r w:rsidRPr="003203AA">
        <w:rPr>
          <w:rStyle w:val="contents"/>
        </w:rPr>
        <w:t xml:space="preserve"> under penalty of perjury.  47 C.F.R. </w:t>
      </w:r>
      <w:r w:rsidRPr="001300C0">
        <w:rPr>
          <w:rStyle w:val="contents"/>
        </w:rPr>
        <w:t>§ 1.16.</w:t>
      </w:r>
    </w:p>
  </w:footnote>
  <w:footnote w:id="11">
    <w:p w14:paraId="02C457FB" w14:textId="77777777" w:rsidR="00EC6C3A" w:rsidRPr="001300C0" w:rsidRDefault="00EC6C3A" w:rsidP="001300C0">
      <w:pPr>
        <w:pStyle w:val="FootnoteText5"/>
        <w:jc w:val="left"/>
      </w:pPr>
      <w:r w:rsidRPr="001300C0">
        <w:rPr>
          <w:rStyle w:val="FootnoteReference"/>
        </w:rPr>
        <w:footnoteRef/>
      </w:r>
      <w:r w:rsidRPr="00D37256">
        <w:t xml:space="preserve"> </w:t>
      </w:r>
      <w:r w:rsidRPr="001300C0">
        <w:rPr>
          <w:i/>
        </w:rPr>
        <w:t>Anglers Reversal MO&amp;O</w:t>
      </w:r>
      <w:r w:rsidRPr="00D37256">
        <w:t>,</w:t>
      </w:r>
      <w:r w:rsidRPr="001300C0">
        <w:rPr>
          <w:i/>
        </w:rPr>
        <w:t xml:space="preserve"> </w:t>
      </w:r>
      <w:r w:rsidRPr="00D37256">
        <w:t xml:space="preserve">26 FCC Rcd at 14955-56, ¶ 28 (citing </w:t>
      </w:r>
      <w:r w:rsidRPr="001300C0">
        <w:rPr>
          <w:i/>
        </w:rPr>
        <w:t>The Wild Outdoors</w:t>
      </w:r>
      <w:r w:rsidRPr="00D37256">
        <w:t xml:space="preserve">, </w:t>
      </w:r>
      <w:r w:rsidRPr="001300C0">
        <w:rPr>
          <w:i/>
        </w:rPr>
        <w:t xml:space="preserve">Video Programming </w:t>
      </w:r>
      <w:r w:rsidRPr="001300C0">
        <w:t>Accessibility</w:t>
      </w:r>
      <w:r w:rsidRPr="001300C0">
        <w:rPr>
          <w:i/>
        </w:rPr>
        <w:t>, Petition for Waiver of Closed Captioning Requirements</w:t>
      </w:r>
      <w:r w:rsidRPr="00D37256">
        <w:t xml:space="preserve">, </w:t>
      </w:r>
      <w:r>
        <w:t xml:space="preserve">CSR Docket No. 5444, </w:t>
      </w:r>
      <w:r w:rsidRPr="00D37256">
        <w:t>Memorandum Opinion and Order, 16 FCC Rcd 13611, 13614, ¶ 12 (Cable Services Bureau, 2001) (</w:t>
      </w:r>
      <w:r w:rsidRPr="001300C0">
        <w:rPr>
          <w:i/>
        </w:rPr>
        <w:t>Wild Outdoors 2001</w:t>
      </w:r>
      <w:r w:rsidRPr="00D37256">
        <w:t xml:space="preserve">)).  </w:t>
      </w:r>
    </w:p>
  </w:footnote>
  <w:footnote w:id="12">
    <w:p w14:paraId="416FED63" w14:textId="77777777" w:rsidR="00EC6C3A" w:rsidRPr="001300C0" w:rsidRDefault="00EC6C3A" w:rsidP="001300C0">
      <w:pPr>
        <w:pStyle w:val="FootnoteText5"/>
        <w:jc w:val="left"/>
      </w:pPr>
      <w:r w:rsidRPr="001300C0">
        <w:rPr>
          <w:rStyle w:val="FootnoteReference"/>
        </w:rPr>
        <w:footnoteRef/>
      </w:r>
      <w:r w:rsidRPr="00D37256">
        <w:t xml:space="preserve"> 47 U.S.C. § 613(d)(3); 47 C.F.R. § 79.1(f)(11).</w:t>
      </w:r>
    </w:p>
  </w:footnote>
  <w:footnote w:id="13">
    <w:p w14:paraId="42DAA8BC" w14:textId="77777777" w:rsidR="00A37627" w:rsidRDefault="00A37627" w:rsidP="00A37627">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See</w:t>
      </w:r>
      <w:r>
        <w:t xml:space="preserve"> Letter from Candace Neff, Director of Communications, Diocese of Gaylord, to Office of the Secretary, FCC (Dec. 26, 2005) (filed Jan. 3, 2006). </w:t>
      </w:r>
    </w:p>
  </w:footnote>
  <w:footnote w:id="14">
    <w:p w14:paraId="598804FE" w14:textId="77777777" w:rsidR="00A37627" w:rsidRDefault="00A37627" w:rsidP="00A37627">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 xml:space="preserve">See </w:t>
      </w:r>
      <w:r>
        <w:t xml:space="preserve">Letter from Thomas E. Chandler, Disability Rights Office, CGB, to Diocese of Gaylord (Sept. 11, 2006).  </w:t>
      </w:r>
    </w:p>
  </w:footnote>
  <w:footnote w:id="15">
    <w:p w14:paraId="5234762A" w14:textId="77777777" w:rsidR="00A37627" w:rsidRPr="004D3133" w:rsidRDefault="00A37627" w:rsidP="00A37627">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Consumer and Governmental Affairs Bureau Action Request for Exemption from Commission’s Closed Captioning Rules</w:t>
      </w:r>
      <w:r>
        <w:t xml:space="preserve">, CG Docket No. 06-181, Public Notice, 21 FCC Rcd 13142 (CGB 2006).  Consumer Groups opposed the petition by letter dated March 2, 2007.  </w:t>
      </w:r>
      <w:r>
        <w:rPr>
          <w:i/>
        </w:rPr>
        <w:t xml:space="preserve">See </w:t>
      </w:r>
      <w:r w:rsidRPr="004013B9">
        <w:t>In Re:</w:t>
      </w:r>
      <w:r w:rsidRPr="004D3133">
        <w:rPr>
          <w:i/>
        </w:rPr>
        <w:t xml:space="preserve">  </w:t>
      </w:r>
      <w:r w:rsidRPr="004013B9">
        <w:rPr>
          <w:i/>
        </w:rPr>
        <w:t>Closed Captioning and Video Description of Video Programming – Implementation of Section 305 of the Telecommunications Act of 1996 – Video Programming Accessibility</w:t>
      </w:r>
      <w:r w:rsidRPr="000166E3">
        <w:t xml:space="preserve"> CGB-CC-0270 – Opposition to the Petition for Exemption from Closed Captioning Requirements Filed by Diocese of Gaylord</w:t>
      </w:r>
      <w:r>
        <w:t xml:space="preserve">, filed by </w:t>
      </w:r>
      <w:r w:rsidRPr="004D3133">
        <w:t>Telecommunications for the Deaf and H</w:t>
      </w:r>
      <w:r>
        <w:t>ard of Hearing, Inc. (TDI</w:t>
      </w:r>
      <w:r w:rsidRPr="004D3133">
        <w:t>), Nati</w:t>
      </w:r>
      <w:r>
        <w:t>onal Association for the Deaf (NAD</w:t>
      </w:r>
      <w:r w:rsidRPr="004D3133">
        <w:t>), Deaf and Hard of Hear</w:t>
      </w:r>
      <w:r>
        <w:t>ing Consumer Advocacy Network (</w:t>
      </w:r>
      <w:r w:rsidRPr="004D3133">
        <w:t>DHHCAN), Hearing Los</w:t>
      </w:r>
      <w:r>
        <w:t>s Association of America (HLAA</w:t>
      </w:r>
      <w:r w:rsidRPr="004D3133">
        <w:t xml:space="preserve">), Association </w:t>
      </w:r>
      <w:r>
        <w:t>of Late-Deafened Adults, Inc. (</w:t>
      </w:r>
      <w:r w:rsidRPr="004D3133">
        <w:t>ALDA), American Association o</w:t>
      </w:r>
      <w:r>
        <w:t>f People with Disabilities (</w:t>
      </w:r>
      <w:r w:rsidRPr="004D3133">
        <w:t>AAPD), and California Coalition of Agencies Serving the Dea</w:t>
      </w:r>
      <w:r>
        <w:t>f and Hard of Hearing (CCASDHH</w:t>
      </w:r>
      <w:r w:rsidRPr="004D3133">
        <w:t>)</w:t>
      </w:r>
      <w:r>
        <w:t xml:space="preserve"> (Mar. 2, 2007).  The petitioner filed a reply.  </w:t>
      </w:r>
      <w:r>
        <w:rPr>
          <w:i/>
        </w:rPr>
        <w:t xml:space="preserve">See </w:t>
      </w:r>
      <w:r>
        <w:t xml:space="preserve">Response to Opposition to Petition for Exemption from Closed Captioning Requirements Filed By Diocese of Gaylord, CGB-CC-0270, CG Docket No. 06-181, filed by Robert T. Westerman II, PLC (May 7, 2007). </w:t>
      </w:r>
    </w:p>
  </w:footnote>
  <w:footnote w:id="16">
    <w:p w14:paraId="41A606B2" w14:textId="614134A6" w:rsidR="00A37627" w:rsidRDefault="00A37627" w:rsidP="00A37627">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Anglers Reversal MO&amp;O</w:t>
      </w:r>
      <w:r>
        <w:t xml:space="preserve">, 26 FCC Rcd at 14949, ¶ 25.  The Commission reversed this and other Bureau letter orders </w:t>
      </w:r>
      <w:r w:rsidR="005852E3">
        <w:t xml:space="preserve">because they </w:t>
      </w:r>
      <w:r>
        <w:t>had failed to analyze the individual circumstances of the petitioners under the “undue burden” criteria</w:t>
      </w:r>
      <w:r>
        <w:rPr>
          <w:rStyle w:val="EmphasisA"/>
          <w:rFonts w:ascii="Times New Roman" w:hAnsi="Times New Roman"/>
          <w:sz w:val="20"/>
        </w:rPr>
        <w:t xml:space="preserve">, as required under the Communications Act and the Commission’s rules.  </w:t>
      </w:r>
      <w:r>
        <w:rPr>
          <w:rStyle w:val="EmphasisA"/>
          <w:sz w:val="20"/>
        </w:rPr>
        <w:t>Id.,</w:t>
      </w:r>
      <w:r>
        <w:t xml:space="preserve"> 26 FCC Rcd at 14949, ¶ 26.  </w:t>
      </w:r>
      <w:r>
        <w:rPr>
          <w:rStyle w:val="EmphasisA"/>
          <w:rFonts w:ascii="Times New Roman" w:hAnsi="Times New Roman"/>
          <w:sz w:val="20"/>
        </w:rPr>
        <w:t xml:space="preserve">As explained earlier, the economically burdensome criteria now used by the Commission to evaluate closed captioning exemption requests are identical to the undue burden criteria.  </w:t>
      </w:r>
      <w:r>
        <w:rPr>
          <w:rStyle w:val="EmphasisA"/>
          <w:sz w:val="20"/>
        </w:rPr>
        <w:t xml:space="preserve">See </w:t>
      </w:r>
      <w:r>
        <w:rPr>
          <w:rStyle w:val="EmphasisA"/>
          <w:rFonts w:ascii="Times New Roman" w:hAnsi="Times New Roman"/>
          <w:sz w:val="20"/>
        </w:rPr>
        <w:t xml:space="preserve">n.5, </w:t>
      </w:r>
      <w:r>
        <w:rPr>
          <w:rStyle w:val="EmphasisA"/>
          <w:sz w:val="20"/>
        </w:rPr>
        <w:t>supra</w:t>
      </w:r>
      <w:r>
        <w:rPr>
          <w:rStyle w:val="EmphasisA"/>
          <w:rFonts w:ascii="Times New Roman" w:hAnsi="Times New Roman"/>
          <w:sz w:val="20"/>
        </w:rPr>
        <w:t>.</w:t>
      </w:r>
    </w:p>
  </w:footnote>
  <w:footnote w:id="17">
    <w:p w14:paraId="195BA18D" w14:textId="77777777" w:rsidR="00A37627" w:rsidRDefault="00A37627" w:rsidP="00A37627">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 xml:space="preserve">See </w:t>
      </w:r>
      <w:r>
        <w:t xml:space="preserve">Letter from Joel Gurin, CGB, to Diocese of Gaylord (Oct. 25, 2011).  </w:t>
      </w:r>
      <w:r>
        <w:rPr>
          <w:rFonts w:ascii="Times New Roman Italic" w:hAnsi="Times New Roman Italic"/>
        </w:rPr>
        <w:t xml:space="preserve">See also </w:t>
      </w:r>
      <w:r>
        <w:t xml:space="preserve">47 C.F.R. § 79.1(f)(11); </w:t>
      </w:r>
      <w:r>
        <w:rPr>
          <w:rFonts w:ascii="Times New Roman Italic" w:hAnsi="Times New Roman Italic"/>
        </w:rPr>
        <w:t xml:space="preserve">Anglers Reversal MO&amp;O, </w:t>
      </w:r>
      <w:r>
        <w:t xml:space="preserve">26 FCC Rcd at 14949, ¶ 16, n.60.   </w:t>
      </w:r>
    </w:p>
  </w:footnote>
  <w:footnote w:id="18">
    <w:p w14:paraId="6B514B41" w14:textId="77777777" w:rsidR="00A37627" w:rsidRDefault="00A37627" w:rsidP="00A37627">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See Petition Requesting Exemption from Closed Captioning Requirements Filed by Diocese of Gaylord</w:t>
      </w:r>
      <w:r>
        <w:t xml:space="preserve"> and Letter from Robert T. Westerman II, PLC, to Office of the Secretary, FCC (Jan. 17, 2012) (filed Jan. 18, 2012) (Petition).</w:t>
      </w:r>
    </w:p>
  </w:footnote>
  <w:footnote w:id="19">
    <w:p w14:paraId="28C0DCD3" w14:textId="77777777" w:rsidR="00A37627" w:rsidRDefault="00A37627" w:rsidP="00A37627">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Request for Comment, Request for Exemption from Commission’s Closed Captioning Rules,</w:t>
      </w:r>
      <w:r>
        <w:t xml:space="preserve"> CGB-CC-0270, CG Docket No. 06-181, Public Notice, 27 FCC Rcd 1457 (</w:t>
      </w:r>
      <w:r w:rsidRPr="008C3710">
        <w:t>CGB</w:t>
      </w:r>
      <w:r>
        <w:t xml:space="preserve"> 2012).</w:t>
      </w:r>
    </w:p>
  </w:footnote>
  <w:footnote w:id="20">
    <w:p w14:paraId="09E446D3" w14:textId="77777777" w:rsidR="00A37627" w:rsidRDefault="00A37627" w:rsidP="00A37627">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See</w:t>
      </w:r>
      <w:r w:rsidRPr="004013B9">
        <w:t xml:space="preserve"> </w:t>
      </w:r>
      <w:r>
        <w:t>Re:  Diocese of Gaylord, Michigan Request for Exemption from the Commission’s Closed Captioning Rules, Case NO. CGB-CC-0270, CG Docket No. 06-181, filed by TDI, NAD, DHHCAN, ALDA, and Cerebral Palsy and Deaf Organization (CPADO) (Mar. 9, 2012).</w:t>
      </w:r>
    </w:p>
  </w:footnote>
  <w:footnote w:id="21">
    <w:p w14:paraId="157DBAA9" w14:textId="77777777" w:rsidR="00A37627" w:rsidRDefault="00A37627" w:rsidP="00A37627">
      <w:pPr>
        <w:pStyle w:val="FootnoteText"/>
        <w:spacing w:after="120"/>
      </w:pPr>
      <w:r>
        <w:rPr>
          <w:rStyle w:val="FootnoteReference"/>
        </w:rPr>
        <w:footnoteRef/>
      </w:r>
      <w:r>
        <w:t xml:space="preserve"> </w:t>
      </w:r>
      <w:r w:rsidRPr="004D6140">
        <w:t xml:space="preserve">See Letter from Cheryl King, Disability Rights Office, CGB, to Diocese of Gaylord (Sept. 27, 2013); Letter from E. Elaine Gardner, Disability Rights Office, CGB, to Diocese of Gaylord (May 30, 2014).  </w:t>
      </w:r>
    </w:p>
  </w:footnote>
  <w:footnote w:id="22">
    <w:p w14:paraId="136EAD1B" w14:textId="77777777" w:rsidR="00A37627" w:rsidRDefault="00A37627" w:rsidP="00A37627">
      <w:pPr>
        <w:pStyle w:val="FootnoteText1"/>
        <w:jc w:val="left"/>
        <w:rPr>
          <w:rFonts w:eastAsia="Times New Roman"/>
          <w:color w:val="auto"/>
          <w:lang w:bidi="x-none"/>
        </w:rPr>
      </w:pPr>
      <w:r w:rsidRPr="001300C0">
        <w:rPr>
          <w:rStyle w:val="FootnoteReference1"/>
        </w:rPr>
        <w:footnoteRef/>
      </w:r>
      <w:r>
        <w:t xml:space="preserve"> </w:t>
      </w:r>
      <w:r>
        <w:rPr>
          <w:i/>
        </w:rPr>
        <w:t xml:space="preserve">See </w:t>
      </w:r>
      <w:r>
        <w:rPr>
          <w:rFonts w:ascii="Times New Roman Italic" w:hAnsi="Times New Roman Italic"/>
        </w:rPr>
        <w:t>Response to Federal Communications Commission Request for Supplemental Information Dated September 27, 2013</w:t>
      </w:r>
      <w:r>
        <w:t xml:space="preserve"> (Nov. 8, 2013) (filed Nov. 12, 2013) (November 2013 Petition Supplement) (Gaylord had requested, and was granted, a 90 day extension of time for filing its supplement.  </w:t>
      </w:r>
      <w:r>
        <w:rPr>
          <w:rFonts w:ascii="Times New Roman Italic" w:hAnsi="Times New Roman Italic"/>
        </w:rPr>
        <w:t xml:space="preserve">Request for Extension of Time for Supplemental Information </w:t>
      </w:r>
      <w:r>
        <w:t xml:space="preserve">(Oct. 24, 2013) (filed Oct. 29, 2013)); </w:t>
      </w:r>
      <w:r w:rsidRPr="00252E4B">
        <w:t>Diocese of Gaylord Response to May 30, 2014 Supplemental Information Request from FCC (Jun. 27, 2014) (filed Jul. 3, 2014) (June 2014 Petition Supplement).</w:t>
      </w:r>
    </w:p>
  </w:footnote>
  <w:footnote w:id="23">
    <w:p w14:paraId="17F391C5" w14:textId="77777777" w:rsidR="00A37627" w:rsidRDefault="00A37627" w:rsidP="00A37627">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Request for Comment, Request for Exemption from Commission’s Closed Captioning Rules</w:t>
      </w:r>
      <w:r>
        <w:t xml:space="preserve">, CG Docket No. 06-181, Public Notice, 29 FCC Rcd 13907 (2014).    </w:t>
      </w:r>
    </w:p>
  </w:footnote>
  <w:footnote w:id="24">
    <w:p w14:paraId="5807A18B" w14:textId="77777777" w:rsidR="00A37627" w:rsidRDefault="00A37627" w:rsidP="00A37627">
      <w:pPr>
        <w:pStyle w:val="FootnoteText10"/>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 xml:space="preserve">See </w:t>
      </w:r>
      <w:r>
        <w:t xml:space="preserve">Re: Opposition to Petition for Exemption from the Commission’s Closed Captioning Rules, CGB Dkt. No. 06-181, Diocese of Gaylord, CGB-CC-0270, filed by TDI, NAD, CCASDHH, CPADO, ALDA, and Deaf Seniors of America (collectively, Consumer Groups) (Dec. 19, 2014) (Consumer Groups Opposition).  </w:t>
      </w:r>
    </w:p>
  </w:footnote>
  <w:footnote w:id="25">
    <w:p w14:paraId="612BA8B0" w14:textId="77777777" w:rsidR="00CB32F5" w:rsidRDefault="00CB32F5" w:rsidP="001300C0">
      <w:pPr>
        <w:pStyle w:val="FootnoteText1"/>
        <w:jc w:val="left"/>
        <w:rPr>
          <w:rFonts w:eastAsia="Times New Roman"/>
          <w:color w:val="auto"/>
          <w:lang w:bidi="x-none"/>
        </w:rPr>
      </w:pPr>
      <w:r w:rsidRPr="001300C0">
        <w:rPr>
          <w:rStyle w:val="FootnoteReference1"/>
        </w:rPr>
        <w:footnoteRef/>
      </w:r>
      <w:r>
        <w:t xml:space="preserve"> Petition at 3; November 2013 Petition Supplement, Exhibit 1 at 2.</w:t>
      </w:r>
    </w:p>
  </w:footnote>
  <w:footnote w:id="26">
    <w:p w14:paraId="62F35A34" w14:textId="7321A674" w:rsidR="00CB32F5" w:rsidRDefault="00CB32F5" w:rsidP="001300C0">
      <w:pPr>
        <w:pStyle w:val="FootnoteText1"/>
        <w:jc w:val="left"/>
        <w:rPr>
          <w:rFonts w:eastAsia="Times New Roman"/>
          <w:color w:val="auto"/>
          <w:lang w:bidi="x-none"/>
        </w:rPr>
      </w:pPr>
      <w:r w:rsidRPr="001300C0">
        <w:rPr>
          <w:rStyle w:val="FootnoteReference1"/>
        </w:rPr>
        <w:footnoteRef/>
      </w:r>
      <w:r>
        <w:t xml:space="preserve"> </w:t>
      </w:r>
      <w:r w:rsidR="00A11BF7">
        <w:t xml:space="preserve">Petition </w:t>
      </w:r>
      <w:r>
        <w:t>at 3.</w:t>
      </w:r>
    </w:p>
  </w:footnote>
  <w:footnote w:id="27">
    <w:p w14:paraId="2CD856CE" w14:textId="29C262C7" w:rsidR="00CB32F5" w:rsidRDefault="00CB32F5" w:rsidP="001300C0">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 xml:space="preserve">Id. </w:t>
      </w:r>
      <w:r>
        <w:t>at 3-4.  Gaylord reports that the National Conference of Catholic Bishops’ Guidelines for Televising the Liturgy requires that, whenever possible, the liturgy should be telecast live, or taped on a date as close as possible to the dates of the actual telecast.  November 2013 Petition Supplement I, Exhibit 1 at 2, and Exhibit 4.</w:t>
      </w:r>
    </w:p>
  </w:footnote>
  <w:footnote w:id="28">
    <w:p w14:paraId="0286F57B" w14:textId="77777777" w:rsidR="00CB32F5" w:rsidRDefault="00CB32F5" w:rsidP="001300C0">
      <w:pPr>
        <w:pStyle w:val="FootnoteText1"/>
        <w:jc w:val="left"/>
        <w:rPr>
          <w:rFonts w:eastAsia="Times New Roman"/>
          <w:color w:val="auto"/>
          <w:lang w:bidi="x-none"/>
        </w:rPr>
      </w:pPr>
      <w:r w:rsidRPr="001300C0">
        <w:rPr>
          <w:rStyle w:val="FootnoteReference1"/>
        </w:rPr>
        <w:footnoteRef/>
      </w:r>
      <w:r>
        <w:t xml:space="preserve"> November 2013 Petition Supplement, Exhibit 1 at 1, 4.</w:t>
      </w:r>
    </w:p>
  </w:footnote>
  <w:footnote w:id="29">
    <w:p w14:paraId="0E841E98" w14:textId="7507C203" w:rsidR="00CB32F5" w:rsidRDefault="00CB32F5" w:rsidP="001300C0">
      <w:pPr>
        <w:pStyle w:val="FootnoteText1"/>
        <w:jc w:val="left"/>
        <w:rPr>
          <w:rFonts w:eastAsia="Times New Roman"/>
          <w:color w:val="auto"/>
          <w:lang w:bidi="x-none"/>
        </w:rPr>
      </w:pPr>
      <w:r w:rsidRPr="001300C0">
        <w:rPr>
          <w:rStyle w:val="FootnoteReference1"/>
        </w:rPr>
        <w:footnoteRef/>
      </w:r>
      <w:r>
        <w:t xml:space="preserve"> </w:t>
      </w:r>
      <w:r w:rsidR="00A11BF7">
        <w:rPr>
          <w:i/>
        </w:rPr>
        <w:t>Id.</w:t>
      </w:r>
      <w:r>
        <w:t xml:space="preserve"> at 3, 5-8.  </w:t>
      </w:r>
      <w:r w:rsidR="003C0CC2">
        <w:t xml:space="preserve">At the time that it filed its petition, </w:t>
      </w:r>
      <w:r>
        <w:t xml:space="preserve">Gaylord </w:t>
      </w:r>
      <w:r w:rsidR="003C0CC2">
        <w:t>reported</w:t>
      </w:r>
      <w:r>
        <w:t xml:space="preserve"> that it was without a Bishop, that additional new expenses such as captioning require a Bishop’s approval, and that it “likely will be several months” until a new Bishop would be appointed.  </w:t>
      </w:r>
      <w:r>
        <w:rPr>
          <w:rFonts w:ascii="Times New Roman Italic" w:hAnsi="Times New Roman Italic"/>
        </w:rPr>
        <w:t>Id.</w:t>
      </w:r>
      <w:r>
        <w:t xml:space="preserve"> at 3.</w:t>
      </w:r>
      <w:r>
        <w:rPr>
          <w:rFonts w:ascii="Times New Roman Italic" w:hAnsi="Times New Roman Italic"/>
        </w:rPr>
        <w:t xml:space="preserve"> </w:t>
      </w:r>
      <w:r>
        <w:t xml:space="preserve">  Since that submission, a new Bishop has been selected and ordained</w:t>
      </w:r>
      <w:r w:rsidR="00B93BE7">
        <w:t>,</w:t>
      </w:r>
      <w:r>
        <w:t xml:space="preserve"> </w:t>
      </w:r>
      <w:r w:rsidR="009D6B8F">
        <w:t xml:space="preserve">on </w:t>
      </w:r>
      <w:r>
        <w:t xml:space="preserve">August 28, 2014.  </w:t>
      </w:r>
      <w:r>
        <w:rPr>
          <w:rFonts w:ascii="Times New Roman Italic" w:hAnsi="Times New Roman Italic"/>
        </w:rPr>
        <w:t xml:space="preserve">See </w:t>
      </w:r>
      <w:hyperlink r:id="rId1" w:history="1">
        <w:r>
          <w:rPr>
            <w:rStyle w:val="Hyperlink1"/>
            <w:sz w:val="20"/>
          </w:rPr>
          <w:t>http://www.dioceseofgaylord.org/news/101/2057/</w:t>
        </w:r>
      </w:hyperlink>
      <w:r>
        <w:t xml:space="preserve"> (last visited Mar. 23, 2015).</w:t>
      </w:r>
    </w:p>
  </w:footnote>
  <w:footnote w:id="30">
    <w:p w14:paraId="7D965574" w14:textId="531CA01A" w:rsidR="00CB32F5" w:rsidRDefault="00CB32F5" w:rsidP="001300C0">
      <w:pPr>
        <w:pStyle w:val="FootnoteText1"/>
        <w:jc w:val="left"/>
        <w:rPr>
          <w:rFonts w:eastAsia="Times New Roman"/>
          <w:color w:val="auto"/>
          <w:lang w:bidi="x-none"/>
        </w:rPr>
      </w:pPr>
      <w:r w:rsidRPr="001300C0">
        <w:rPr>
          <w:rStyle w:val="FootnoteReference1"/>
        </w:rPr>
        <w:footnoteRef/>
      </w:r>
      <w:r>
        <w:t xml:space="preserve"> Gaylord explains that the use of real-time captioning services is necessary because it needs to deliver its program to the station within hours of taping for broadcasting that conforms with the National Conference of Catholic Bishops’ Guidelines for Televising the Liturgy.  </w:t>
      </w:r>
      <w:r>
        <w:rPr>
          <w:rFonts w:ascii="Times New Roman Italic" w:hAnsi="Times New Roman Italic"/>
        </w:rPr>
        <w:t>See</w:t>
      </w:r>
      <w:r>
        <w:t xml:space="preserve"> </w:t>
      </w:r>
      <w:r w:rsidR="00A11BF7">
        <w:rPr>
          <w:i/>
        </w:rPr>
        <w:t>id.</w:t>
      </w:r>
      <w:r>
        <w:t xml:space="preserve"> at 5.  </w:t>
      </w:r>
      <w:r>
        <w:rPr>
          <w:rFonts w:ascii="Times New Roman Italic" w:hAnsi="Times New Roman Italic"/>
        </w:rPr>
        <w:t>See also</w:t>
      </w:r>
      <w:r>
        <w:t xml:space="preserve"> </w:t>
      </w:r>
      <w:r>
        <w:rPr>
          <w:rFonts w:ascii="Times New Roman Italic" w:hAnsi="Times New Roman Italic"/>
        </w:rPr>
        <w:t xml:space="preserve">id. </w:t>
      </w:r>
      <w:r>
        <w:t>at Exhibit 4.</w:t>
      </w:r>
    </w:p>
  </w:footnote>
  <w:footnote w:id="31">
    <w:p w14:paraId="0B5948BE" w14:textId="40271CF8" w:rsidR="00CB32F5" w:rsidRDefault="00CB32F5" w:rsidP="001300C0">
      <w:pPr>
        <w:pStyle w:val="FootnoteText1"/>
        <w:jc w:val="left"/>
        <w:rPr>
          <w:rFonts w:eastAsia="Times New Roman"/>
          <w:color w:val="auto"/>
          <w:lang w:bidi="x-none"/>
        </w:rPr>
      </w:pPr>
      <w:r w:rsidRPr="001300C0">
        <w:rPr>
          <w:rStyle w:val="FootnoteReference1"/>
        </w:rPr>
        <w:footnoteRef/>
      </w:r>
      <w:r>
        <w:t xml:space="preserve"> November 2013 Petition Supplement, Exhibit 8 at 7.  This quote require</w:t>
      </w:r>
      <w:r w:rsidR="003C0CC2">
        <w:t>s</w:t>
      </w:r>
      <w:r>
        <w:t xml:space="preserve"> that the station have caption encoder equipment</w:t>
      </w:r>
      <w:r w:rsidR="001F5E72">
        <w:t xml:space="preserve">, </w:t>
      </w:r>
      <w:r w:rsidR="001F5E72">
        <w:rPr>
          <w:i/>
        </w:rPr>
        <w:t>id.</w:t>
      </w:r>
      <w:r w:rsidR="001F5E72">
        <w:t xml:space="preserve">, which </w:t>
      </w:r>
      <w:r>
        <w:t xml:space="preserve">WFQX does not </w:t>
      </w:r>
      <w:r w:rsidR="00D4184D">
        <w:t xml:space="preserve">appear to </w:t>
      </w:r>
      <w:r>
        <w:t>have</w:t>
      </w:r>
      <w:r w:rsidR="001F5E72">
        <w:t>.</w:t>
      </w:r>
      <w:r>
        <w:t xml:space="preserve">  </w:t>
      </w:r>
      <w:r>
        <w:rPr>
          <w:rFonts w:ascii="Times New Roman Italic" w:hAnsi="Times New Roman Italic"/>
        </w:rPr>
        <w:t>Id.</w:t>
      </w:r>
      <w:r>
        <w:t xml:space="preserve"> at 4</w:t>
      </w:r>
      <w:r w:rsidR="00D9097C">
        <w:t>, 7</w:t>
      </w:r>
      <w:r>
        <w:t xml:space="preserve">.  The quote </w:t>
      </w:r>
      <w:r w:rsidR="00EC5072">
        <w:t xml:space="preserve">further </w:t>
      </w:r>
      <w:r>
        <w:t xml:space="preserve">notes that if the station does not have such equipment, Gaylord </w:t>
      </w:r>
      <w:r w:rsidR="00C11D0A">
        <w:t xml:space="preserve">has the option to either rent or purchase encoder equipment.  </w:t>
      </w:r>
      <w:r w:rsidR="001F5E72" w:rsidRPr="001300C0">
        <w:rPr>
          <w:i/>
        </w:rPr>
        <w:t xml:space="preserve">Id. </w:t>
      </w:r>
      <w:r w:rsidR="001F5E72">
        <w:t xml:space="preserve">at 7.  </w:t>
      </w:r>
      <w:r w:rsidR="00C11D0A">
        <w:t xml:space="preserve">The quote </w:t>
      </w:r>
      <w:r w:rsidR="00EC5072">
        <w:t xml:space="preserve">estimates </w:t>
      </w:r>
      <w:r w:rsidR="00C11D0A">
        <w:t xml:space="preserve">that Gaylord </w:t>
      </w:r>
      <w:r>
        <w:t xml:space="preserve">can rent </w:t>
      </w:r>
      <w:r w:rsidR="00C11D0A">
        <w:t>the equipment</w:t>
      </w:r>
      <w:r>
        <w:t xml:space="preserve"> for approximately $400.00 per month</w:t>
      </w:r>
      <w:r w:rsidR="00550AA6">
        <w:t>, $4,800.00 annually</w:t>
      </w:r>
      <w:r>
        <w:t xml:space="preserve">.  </w:t>
      </w:r>
      <w:r>
        <w:rPr>
          <w:rFonts w:ascii="Times New Roman Italic" w:hAnsi="Times New Roman Italic"/>
        </w:rPr>
        <w:t>Id.</w:t>
      </w:r>
      <w:r w:rsidRPr="00550AA6">
        <w:t xml:space="preserve">  </w:t>
      </w:r>
      <w:r w:rsidR="00C11D0A">
        <w:t xml:space="preserve">The quote </w:t>
      </w:r>
      <w:r w:rsidR="00EC5072">
        <w:t xml:space="preserve">further estimates that the cost to </w:t>
      </w:r>
      <w:r w:rsidR="00EC5072" w:rsidRPr="001300C0">
        <w:t xml:space="preserve">purchase </w:t>
      </w:r>
      <w:r w:rsidR="00EC5072">
        <w:t>an encoder</w:t>
      </w:r>
      <w:r w:rsidR="00C11D0A">
        <w:t xml:space="preserve"> would be “$3,000 </w:t>
      </w:r>
      <w:r w:rsidR="00C11D0A" w:rsidRPr="001300C0">
        <w:t>for an SD encoder</w:t>
      </w:r>
      <w:r w:rsidR="00C11D0A">
        <w:t>, more for HD</w:t>
      </w:r>
      <w:r w:rsidR="001F5E72">
        <w:t>.</w:t>
      </w:r>
      <w:r w:rsidR="00C11D0A">
        <w:t xml:space="preserve">”  </w:t>
      </w:r>
      <w:r w:rsidR="001F5E72">
        <w:rPr>
          <w:i/>
        </w:rPr>
        <w:t>I</w:t>
      </w:r>
      <w:r w:rsidR="00C11D0A">
        <w:rPr>
          <w:i/>
        </w:rPr>
        <w:t xml:space="preserve">d. </w:t>
      </w:r>
      <w:r w:rsidR="001F5E72">
        <w:rPr>
          <w:i/>
        </w:rPr>
        <w:t xml:space="preserve"> </w:t>
      </w:r>
      <w:r w:rsidR="00C11D0A">
        <w:t xml:space="preserve">Gaylord provides </w:t>
      </w:r>
      <w:r w:rsidR="001F5E72">
        <w:t xml:space="preserve">no cost documentation for SD encoders, but provides </w:t>
      </w:r>
      <w:r w:rsidR="003C0CC2">
        <w:t xml:space="preserve">the following </w:t>
      </w:r>
      <w:r w:rsidR="001F5E72">
        <w:t xml:space="preserve">cost documentation for </w:t>
      </w:r>
      <w:r w:rsidR="00C11D0A">
        <w:t>two HD caption encoders</w:t>
      </w:r>
      <w:r w:rsidR="003C0CC2">
        <w:t xml:space="preserve">:  </w:t>
      </w:r>
      <w:r w:rsidRPr="001300C0">
        <w:t>$7,792.05 and $7,029.95</w:t>
      </w:r>
      <w:r w:rsidR="00550AA6">
        <w:t>.</w:t>
      </w:r>
      <w:r w:rsidR="003C0CC2">
        <w:t xml:space="preserve"> </w:t>
      </w:r>
      <w:r w:rsidR="00C11D0A">
        <w:t xml:space="preserve"> </w:t>
      </w:r>
      <w:r w:rsidR="00C11D0A">
        <w:rPr>
          <w:i/>
        </w:rPr>
        <w:t>Id.</w:t>
      </w:r>
      <w:r w:rsidR="00C11D0A">
        <w:t xml:space="preserve"> at 8</w:t>
      </w:r>
      <w:r w:rsidR="001F5E72">
        <w:t>-</w:t>
      </w:r>
      <w:r w:rsidR="00C11D0A">
        <w:t>9</w:t>
      </w:r>
      <w:r w:rsidR="00C11D0A" w:rsidRPr="00550AA6">
        <w:t xml:space="preserve">. </w:t>
      </w:r>
      <w:r w:rsidR="00C11D0A">
        <w:t xml:space="preserve"> For purposes of this Order, we use the annu</w:t>
      </w:r>
      <w:r w:rsidR="001F5E72">
        <w:t>alized cost to rent equipment</w:t>
      </w:r>
      <w:r w:rsidR="00EC5072">
        <w:t>, which is the option Gaylord appears to choose in its submissions</w:t>
      </w:r>
      <w:r w:rsidR="001F5E72">
        <w:t xml:space="preserve">. </w:t>
      </w:r>
      <w:r w:rsidR="003C0CC2">
        <w:t xml:space="preserve"> </w:t>
      </w:r>
      <w:r w:rsidR="00EC5072">
        <w:rPr>
          <w:i/>
        </w:rPr>
        <w:t>Id</w:t>
      </w:r>
      <w:r w:rsidR="00EC5072">
        <w:t xml:space="preserve">. at 7. </w:t>
      </w:r>
      <w:r w:rsidRPr="00550AA6">
        <w:t xml:space="preserve"> </w:t>
      </w:r>
      <w:r w:rsidR="00EC5072">
        <w:t>Although</w:t>
      </w:r>
      <w:r>
        <w:t xml:space="preserve"> Gaylord notes </w:t>
      </w:r>
      <w:r w:rsidR="003C0CC2">
        <w:t xml:space="preserve">that </w:t>
      </w:r>
      <w:r>
        <w:t xml:space="preserve">other costs may be incurred for “phone service, personnel, etc.,” </w:t>
      </w:r>
      <w:r w:rsidR="00EC5072">
        <w:rPr>
          <w:i/>
        </w:rPr>
        <w:t xml:space="preserve">id. </w:t>
      </w:r>
      <w:r>
        <w:t>at 7</w:t>
      </w:r>
      <w:r w:rsidR="00EC5072">
        <w:t>,</w:t>
      </w:r>
      <w:r>
        <w:t xml:space="preserve"> </w:t>
      </w:r>
      <w:r w:rsidR="00EC5072">
        <w:t>b</w:t>
      </w:r>
      <w:r>
        <w:t xml:space="preserve">ecause </w:t>
      </w:r>
      <w:r w:rsidR="0076340D">
        <w:t xml:space="preserve">details on </w:t>
      </w:r>
      <w:r>
        <w:t>these costs are not</w:t>
      </w:r>
      <w:r w:rsidR="0076340D">
        <w:t xml:space="preserve"> provided</w:t>
      </w:r>
      <w:r>
        <w:t xml:space="preserve">, we will not consider them in evaluating whether providing closed captioning would be economically burdensome for Gaylord.   </w:t>
      </w:r>
    </w:p>
  </w:footnote>
  <w:footnote w:id="32">
    <w:p w14:paraId="7B484F67" w14:textId="6FCE9934" w:rsidR="003C7739" w:rsidRDefault="003C7739" w:rsidP="003C7739">
      <w:pPr>
        <w:pStyle w:val="FootnoteText1"/>
        <w:jc w:val="left"/>
        <w:rPr>
          <w:rFonts w:eastAsia="Times New Roman"/>
          <w:color w:val="auto"/>
          <w:lang w:bidi="x-none"/>
        </w:rPr>
      </w:pPr>
      <w:r>
        <w:rPr>
          <w:rStyle w:val="FootnoteReference1"/>
        </w:rPr>
        <w:footnoteRef/>
      </w:r>
      <w:r>
        <w:t xml:space="preserve"> </w:t>
      </w:r>
      <w:r>
        <w:rPr>
          <w:i/>
        </w:rPr>
        <w:t>Id.</w:t>
      </w:r>
      <w:r>
        <w:t>at 5-6.  Th</w:t>
      </w:r>
      <w:r w:rsidR="003C0CC2">
        <w:t xml:space="preserve">e second </w:t>
      </w:r>
      <w:r>
        <w:t xml:space="preserve">quote </w:t>
      </w:r>
      <w:r w:rsidR="00B52502">
        <w:t xml:space="preserve">also included an estimate of </w:t>
      </w:r>
      <w:r>
        <w:t>$750 per week</w:t>
      </w:r>
      <w:r w:rsidR="00B52502">
        <w:t>, which</w:t>
      </w:r>
      <w:r w:rsidR="003C0CC2">
        <w:t xml:space="preserve"> would require a different </w:t>
      </w:r>
      <w:r w:rsidR="00FA2EAF">
        <w:t>turnaround time</w:t>
      </w:r>
      <w:r w:rsidR="00D4184D">
        <w:t>.</w:t>
      </w:r>
      <w:r w:rsidR="003C0CC2">
        <w:t xml:space="preserve">  </w:t>
      </w:r>
      <w:r w:rsidR="003C0CC2" w:rsidRPr="003C0CC2">
        <w:rPr>
          <w:i/>
        </w:rPr>
        <w:t>Id.</w:t>
      </w:r>
      <w:r w:rsidR="003C0CC2">
        <w:t xml:space="preserve">  For purposes of our exemption determination, we have used the lower of </w:t>
      </w:r>
      <w:r w:rsidR="00F608DD">
        <w:t>th</w:t>
      </w:r>
      <w:r w:rsidR="00B52502">
        <w:t>is</w:t>
      </w:r>
      <w:r w:rsidR="00F608DD">
        <w:t xml:space="preserve"> captioning service</w:t>
      </w:r>
      <w:r w:rsidR="00B52502">
        <w:t>’</w:t>
      </w:r>
      <w:r w:rsidR="00F608DD">
        <w:t xml:space="preserve">s </w:t>
      </w:r>
      <w:r w:rsidR="003C0CC2">
        <w:t>estimates</w:t>
      </w:r>
      <w:r w:rsidR="003C0CC2" w:rsidRPr="003C0CC2">
        <w:rPr>
          <w:rFonts w:ascii="Times New Roman Italic" w:hAnsi="Times New Roman Italic"/>
          <w:i/>
        </w:rPr>
        <w:t>.</w:t>
      </w:r>
      <w:r w:rsidR="003C0CC2">
        <w:rPr>
          <w:rFonts w:ascii="Times New Roman Italic" w:hAnsi="Times New Roman Italic"/>
        </w:rPr>
        <w:t xml:space="preserve"> </w:t>
      </w:r>
      <w:r>
        <w:rPr>
          <w:rFonts w:ascii="Times New Roman Italic" w:hAnsi="Times New Roman Italic"/>
        </w:rPr>
        <w:t xml:space="preserve">  </w:t>
      </w:r>
      <w:r>
        <w:t xml:space="preserve">  </w:t>
      </w:r>
    </w:p>
  </w:footnote>
  <w:footnote w:id="33">
    <w:p w14:paraId="201B0CF8" w14:textId="63D865C9" w:rsidR="003C7739" w:rsidRPr="003C7739" w:rsidRDefault="003C7739" w:rsidP="003C7739">
      <w:pPr>
        <w:pStyle w:val="FootnoteText1"/>
        <w:jc w:val="left"/>
        <w:rPr>
          <w:rFonts w:eastAsia="Times New Roman"/>
          <w:color w:val="auto"/>
          <w:lang w:bidi="x-none"/>
        </w:rPr>
      </w:pPr>
      <w:r>
        <w:rPr>
          <w:rStyle w:val="FootnoteReference"/>
        </w:rPr>
        <w:footnoteRef/>
      </w:r>
      <w:r w:rsidR="00B93BE7">
        <w:t>Petition, Exhibit A at 5</w:t>
      </w:r>
      <w:r w:rsidR="00272571">
        <w:t xml:space="preserve">; </w:t>
      </w:r>
      <w:r w:rsidR="00272571">
        <w:rPr>
          <w:i/>
        </w:rPr>
        <w:t>id.</w:t>
      </w:r>
      <w:r w:rsidR="00272571">
        <w:t xml:space="preserve"> at Exhibit 10.</w:t>
      </w:r>
      <w:r w:rsidR="003C0CC2">
        <w:t xml:space="preserve">  According to Gaylord, both of the options proposed by </w:t>
      </w:r>
      <w:r w:rsidR="00F608DD">
        <w:t xml:space="preserve">captioning services </w:t>
      </w:r>
      <w:r w:rsidR="003C0CC2">
        <w:t xml:space="preserve">are “virtually impossible,” because, among other things, they would require Internet access at the Cathedral, which it does not have.  </w:t>
      </w:r>
      <w:r w:rsidR="003C0CC2">
        <w:rPr>
          <w:rFonts w:ascii="Times New Roman Italic" w:hAnsi="Times New Roman Italic"/>
        </w:rPr>
        <w:t>Id</w:t>
      </w:r>
      <w:r w:rsidR="003C0CC2">
        <w:t>. at 5.</w:t>
      </w:r>
      <w:r w:rsidR="00272571">
        <w:t xml:space="preserve">  </w:t>
      </w:r>
      <w:r w:rsidR="0076340D">
        <w:t xml:space="preserve">  </w:t>
      </w:r>
    </w:p>
  </w:footnote>
  <w:footnote w:id="34">
    <w:p w14:paraId="05DB540F" w14:textId="77777777" w:rsidR="00CB32F5" w:rsidRDefault="00CB32F5">
      <w:pPr>
        <w:pStyle w:val="FootnoteText1"/>
        <w:jc w:val="left"/>
        <w:rPr>
          <w:rFonts w:eastAsia="Times New Roman"/>
          <w:color w:val="auto"/>
          <w:lang w:bidi="x-none"/>
        </w:rPr>
      </w:pPr>
      <w:r>
        <w:rPr>
          <w:rStyle w:val="FootnoteReference1"/>
        </w:rPr>
        <w:footnoteRef/>
      </w:r>
      <w:r>
        <w:t xml:space="preserve"> </w:t>
      </w:r>
      <w:r>
        <w:rPr>
          <w:rFonts w:ascii="Times New Roman Italic" w:hAnsi="Times New Roman Italic"/>
        </w:rPr>
        <w:t xml:space="preserve">See </w:t>
      </w:r>
      <w:r>
        <w:t xml:space="preserve">November 2013 Petition Supplement, Exhibit 10 at 1-2.  </w:t>
      </w:r>
    </w:p>
  </w:footnote>
  <w:footnote w:id="35">
    <w:p w14:paraId="4A3469E3" w14:textId="15BD8FC9" w:rsidR="00CB32F5" w:rsidRDefault="00CB32F5" w:rsidP="001300C0">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 xml:space="preserve">See </w:t>
      </w:r>
      <w:r w:rsidR="00955F30">
        <w:rPr>
          <w:rFonts w:ascii="Times New Roman Italic" w:hAnsi="Times New Roman Italic"/>
        </w:rPr>
        <w:t>id.</w:t>
      </w:r>
      <w:r w:rsidR="00955F30" w:rsidRPr="001300C0">
        <w:rPr>
          <w:rFonts w:ascii="Times New Roman Italic" w:hAnsi="Times New Roman Italic"/>
        </w:rPr>
        <w:t xml:space="preserve"> </w:t>
      </w:r>
      <w:r>
        <w:t xml:space="preserve">at 3-7.   </w:t>
      </w:r>
    </w:p>
  </w:footnote>
  <w:footnote w:id="36">
    <w:p w14:paraId="57CF0A45" w14:textId="77777777" w:rsidR="00CB32F5" w:rsidRDefault="00CB32F5" w:rsidP="001300C0">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Id.</w:t>
      </w:r>
      <w:r>
        <w:t xml:space="preserve"> at 2.   </w:t>
      </w:r>
    </w:p>
  </w:footnote>
  <w:footnote w:id="37">
    <w:p w14:paraId="3CC9ECFB" w14:textId="77777777" w:rsidR="00CB32F5" w:rsidRDefault="00CB32F5" w:rsidP="001300C0">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Id.</w:t>
      </w:r>
      <w:r>
        <w:t xml:space="preserve"> </w:t>
      </w:r>
    </w:p>
  </w:footnote>
  <w:footnote w:id="38">
    <w:p w14:paraId="299532F3" w14:textId="62EABDBA" w:rsidR="00CB32F5" w:rsidRDefault="00CB32F5" w:rsidP="001300C0">
      <w:pPr>
        <w:pStyle w:val="FootnoteText1"/>
        <w:jc w:val="left"/>
        <w:rPr>
          <w:rFonts w:eastAsia="Times New Roman"/>
          <w:color w:val="auto"/>
          <w:lang w:bidi="x-none"/>
        </w:rPr>
      </w:pPr>
      <w:r w:rsidRPr="001300C0">
        <w:rPr>
          <w:rStyle w:val="FootnoteReference1"/>
        </w:rPr>
        <w:footnoteRef/>
      </w:r>
      <w:r>
        <w:t xml:space="preserve"> </w:t>
      </w:r>
      <w:r w:rsidR="00A11BF7">
        <w:rPr>
          <w:i/>
        </w:rPr>
        <w:t>Id.</w:t>
      </w:r>
      <w:r>
        <w:t xml:space="preserve"> at 6. </w:t>
      </w:r>
      <w:r w:rsidR="00EE7B71">
        <w:t xml:space="preserve">Gaylord’s net current assets as of June 30, 2012 are computed as follows:  $9,517,622.00 (current assets as of June 30, 2012) minus $737,572.00 (current liabilities as of June 30, 2012) = $8,780,050.  </w:t>
      </w:r>
    </w:p>
  </w:footnote>
  <w:footnote w:id="39">
    <w:p w14:paraId="5BD05EFB" w14:textId="627D7B82" w:rsidR="00CB32F5" w:rsidRDefault="00CB32F5" w:rsidP="001300C0">
      <w:pPr>
        <w:pStyle w:val="FootnoteText1"/>
        <w:jc w:val="left"/>
        <w:rPr>
          <w:rFonts w:eastAsia="Times New Roman"/>
          <w:color w:val="auto"/>
          <w:lang w:bidi="x-none"/>
        </w:rPr>
      </w:pPr>
      <w:r w:rsidRPr="001300C0">
        <w:rPr>
          <w:rStyle w:val="FootnoteReference1"/>
        </w:rPr>
        <w:footnoteRef/>
      </w:r>
      <w:r>
        <w:t xml:space="preserve"> </w:t>
      </w:r>
      <w:r w:rsidR="00A11BF7">
        <w:rPr>
          <w:i/>
        </w:rPr>
        <w:t>Id.</w:t>
      </w:r>
      <w:r>
        <w:t xml:space="preserve"> at 5</w:t>
      </w:r>
      <w:r w:rsidR="00EE7B71">
        <w:t>, 7</w:t>
      </w:r>
      <w:r>
        <w:t xml:space="preserve">. </w:t>
      </w:r>
      <w:r w:rsidR="00EE7B71">
        <w:t xml:space="preserve">Gaylord’s net current assets as of June 30, 2011 are computed as follows:  $9,227.843.00 (current assets as of June 30, 2011) minus $402,124.00 (current liabilities as of June 30, 2011) = $8,825,719.00. </w:t>
      </w:r>
    </w:p>
  </w:footnote>
  <w:footnote w:id="40">
    <w:p w14:paraId="63D8A0B1" w14:textId="77777777" w:rsidR="00CB32F5" w:rsidRDefault="00CB32F5" w:rsidP="001300C0">
      <w:pPr>
        <w:pStyle w:val="FootnoteText1"/>
        <w:jc w:val="left"/>
        <w:rPr>
          <w:rFonts w:eastAsia="Times New Roman"/>
          <w:color w:val="auto"/>
          <w:lang w:bidi="x-none"/>
        </w:rPr>
      </w:pPr>
      <w:r w:rsidRPr="001300C0">
        <w:rPr>
          <w:rStyle w:val="FootnoteReference1"/>
        </w:rPr>
        <w:footnoteRef/>
      </w:r>
      <w:r>
        <w:t xml:space="preserve"> November 2013 Petition Supplement, Exhibit 1 at 5, Exhibit 9.</w:t>
      </w:r>
    </w:p>
  </w:footnote>
  <w:footnote w:id="41">
    <w:p w14:paraId="08999A85" w14:textId="77777777" w:rsidR="00CB32F5" w:rsidRDefault="00CB32F5" w:rsidP="001300C0">
      <w:pPr>
        <w:pStyle w:val="FootnoteText1"/>
        <w:jc w:val="left"/>
        <w:rPr>
          <w:rFonts w:eastAsia="Times New Roman"/>
          <w:color w:val="auto"/>
          <w:lang w:bidi="x-none"/>
        </w:rPr>
      </w:pPr>
      <w:r w:rsidRPr="001300C0">
        <w:rPr>
          <w:rStyle w:val="FootnoteReference1"/>
        </w:rPr>
        <w:footnoteRef/>
      </w:r>
      <w:r>
        <w:t xml:space="preserve"> June 2014 Petition Supplement at </w:t>
      </w:r>
      <w:r w:rsidR="0038152A">
        <w:t>3-4</w:t>
      </w:r>
      <w:r>
        <w:t>.</w:t>
      </w:r>
    </w:p>
  </w:footnote>
  <w:footnote w:id="42">
    <w:p w14:paraId="07C9893B" w14:textId="676E9D4C" w:rsidR="00CB32F5" w:rsidRDefault="00CB32F5" w:rsidP="001300C0">
      <w:pPr>
        <w:pStyle w:val="FootnoteText1"/>
        <w:jc w:val="left"/>
        <w:rPr>
          <w:rFonts w:eastAsia="Times New Roman"/>
          <w:color w:val="auto"/>
          <w:lang w:bidi="x-none"/>
        </w:rPr>
      </w:pPr>
      <w:r w:rsidRPr="001300C0">
        <w:rPr>
          <w:rStyle w:val="FootnoteReference1"/>
        </w:rPr>
        <w:footnoteRef/>
      </w:r>
      <w:r>
        <w:t xml:space="preserve"> </w:t>
      </w:r>
      <w:r w:rsidR="002C774D">
        <w:rPr>
          <w:i/>
        </w:rPr>
        <w:t>Id.</w:t>
      </w:r>
      <w:r>
        <w:t xml:space="preserve"> </w:t>
      </w:r>
    </w:p>
  </w:footnote>
  <w:footnote w:id="43">
    <w:p w14:paraId="59A256A7" w14:textId="19955FC7" w:rsidR="00CB32F5" w:rsidRPr="0038152A" w:rsidRDefault="00CB32F5" w:rsidP="001300C0">
      <w:pPr>
        <w:pStyle w:val="FootnoteText1"/>
        <w:jc w:val="left"/>
        <w:rPr>
          <w:rFonts w:eastAsia="Times New Roman"/>
          <w:color w:val="auto"/>
          <w:lang w:bidi="x-none"/>
        </w:rPr>
      </w:pPr>
      <w:r w:rsidRPr="001300C0">
        <w:rPr>
          <w:rStyle w:val="FootnoteReference1"/>
        </w:rPr>
        <w:footnoteRef/>
      </w:r>
      <w:r>
        <w:t xml:space="preserve"> </w:t>
      </w:r>
      <w:r w:rsidR="002C774D">
        <w:rPr>
          <w:i/>
        </w:rPr>
        <w:t>Id.</w:t>
      </w:r>
      <w:r w:rsidR="002C774D">
        <w:t xml:space="preserve"> </w:t>
      </w:r>
      <w:r>
        <w:t xml:space="preserve">at </w:t>
      </w:r>
      <w:r w:rsidR="0038152A">
        <w:t>4</w:t>
      </w:r>
      <w:r>
        <w:t>.</w:t>
      </w:r>
      <w:r w:rsidR="0038152A">
        <w:t xml:space="preserve">  </w:t>
      </w:r>
      <w:r w:rsidR="000A5F13">
        <w:rPr>
          <w:i/>
        </w:rPr>
        <w:t>See also</w:t>
      </w:r>
      <w:r w:rsidR="0038152A">
        <w:t xml:space="preserve"> November 2013 Petition Supplement, Exhibit 1 at 7</w:t>
      </w:r>
      <w:r w:rsidR="000A5F13">
        <w:t>; Petition at 7-8</w:t>
      </w:r>
      <w:r w:rsidR="0038152A">
        <w:t>.</w:t>
      </w:r>
    </w:p>
  </w:footnote>
  <w:footnote w:id="44">
    <w:p w14:paraId="43E323AD" w14:textId="12880FBD" w:rsidR="00CB32F5" w:rsidRPr="00127EE4" w:rsidRDefault="00CB32F5" w:rsidP="001300C0">
      <w:pPr>
        <w:pStyle w:val="FootnoteText1"/>
        <w:jc w:val="left"/>
        <w:rPr>
          <w:rFonts w:eastAsia="Times New Roman"/>
          <w:color w:val="auto"/>
          <w:lang w:bidi="x-none"/>
        </w:rPr>
      </w:pPr>
      <w:r w:rsidRPr="001300C0">
        <w:rPr>
          <w:rStyle w:val="FootnoteReference1"/>
        </w:rPr>
        <w:footnoteRef/>
      </w:r>
      <w:r>
        <w:t xml:space="preserve"> November 2013 Petition Supplement, Exhibit 1 at 4.</w:t>
      </w:r>
      <w:r w:rsidR="00127EE4">
        <w:t xml:space="preserve">  </w:t>
      </w:r>
      <w:r w:rsidR="00127EE4">
        <w:rPr>
          <w:i/>
        </w:rPr>
        <w:t>See also</w:t>
      </w:r>
      <w:r w:rsidR="00127EE4">
        <w:t xml:space="preserve"> Petition at 9.</w:t>
      </w:r>
    </w:p>
  </w:footnote>
  <w:footnote w:id="45">
    <w:p w14:paraId="7BDC89F9" w14:textId="77777777" w:rsidR="00CB32F5" w:rsidRDefault="00CB32F5" w:rsidP="001300C0">
      <w:pPr>
        <w:pStyle w:val="FootnoteText1"/>
        <w:jc w:val="left"/>
        <w:rPr>
          <w:rFonts w:eastAsia="Times New Roman"/>
          <w:color w:val="auto"/>
          <w:lang w:bidi="x-none"/>
        </w:rPr>
      </w:pPr>
      <w:r w:rsidRPr="001300C0">
        <w:rPr>
          <w:rStyle w:val="FootnoteReference1"/>
        </w:rPr>
        <w:footnoteRef/>
      </w:r>
      <w:r>
        <w:t xml:space="preserve"> November 2013 Petition Supplement, Exhibit 1 at 8.</w:t>
      </w:r>
      <w:r>
        <w:rPr>
          <w:rFonts w:ascii="Times New Roman Italic" w:hAnsi="Times New Roman Italic"/>
        </w:rPr>
        <w:t xml:space="preserve">  See also </w:t>
      </w:r>
      <w:r>
        <w:t xml:space="preserve">¶ 7, </w:t>
      </w:r>
      <w:r>
        <w:rPr>
          <w:rFonts w:ascii="Times New Roman Italic" w:hAnsi="Times New Roman Italic"/>
        </w:rPr>
        <w:t>supra</w:t>
      </w:r>
      <w:r>
        <w:t xml:space="preserve">.  Gaylord also points to the fact that its broadcast is “locally produced non-news programming with limited repeat value,” of a nature intended to be exempt under </w:t>
      </w:r>
      <w:r w:rsidR="005C5EDF">
        <w:t>47 C.F.R. 79.1(d)(8)</w:t>
      </w:r>
      <w:r>
        <w:t>.</w:t>
      </w:r>
      <w:r w:rsidR="00127EE4" w:rsidRPr="001300C0">
        <w:t xml:space="preserve"> </w:t>
      </w:r>
      <w:r>
        <w:rPr>
          <w:rStyle w:val="FootnoteReference1"/>
        </w:rPr>
        <w:t xml:space="preserve"> </w:t>
      </w:r>
      <w:r w:rsidRPr="001300C0">
        <w:rPr>
          <w:rStyle w:val="FootnoteReference1"/>
          <w:vertAlign w:val="baseline"/>
        </w:rPr>
        <w:t xml:space="preserve">November 2013 Petition </w:t>
      </w:r>
      <w:r>
        <w:t>Supplement at 3-7</w:t>
      </w:r>
      <w:r w:rsidR="005C5EDF">
        <w:t xml:space="preserve">; </w:t>
      </w:r>
      <w:r w:rsidR="00127EE4">
        <w:rPr>
          <w:i/>
        </w:rPr>
        <w:t xml:space="preserve">see also </w:t>
      </w:r>
      <w:r w:rsidR="005C5EDF">
        <w:t>Petition at 6-8</w:t>
      </w:r>
      <w:r>
        <w:t xml:space="preserve">.  While Gaylord acknowledges that this exemption is limited to video programming distributors, it </w:t>
      </w:r>
      <w:r w:rsidR="0038152A">
        <w:t xml:space="preserve">nevertheless </w:t>
      </w:r>
      <w:r>
        <w:t xml:space="preserve">urges that the </w:t>
      </w:r>
      <w:r>
        <w:rPr>
          <w:rFonts w:ascii="Times New Roman Italic" w:hAnsi="Times New Roman Italic"/>
        </w:rPr>
        <w:t>Sunday Mass</w:t>
      </w:r>
      <w:r>
        <w:t xml:space="preserve"> meets such criteria </w:t>
      </w:r>
      <w:r w:rsidR="0038152A">
        <w:t xml:space="preserve">so this </w:t>
      </w:r>
      <w:r>
        <w:t xml:space="preserve">exemption should be granted.  November 2013 Petition Supplement at 3-7.   </w:t>
      </w:r>
    </w:p>
  </w:footnote>
  <w:footnote w:id="46">
    <w:p w14:paraId="56A60566" w14:textId="77777777" w:rsidR="00CC0890" w:rsidRDefault="00CC0890" w:rsidP="00780FC4">
      <w:pPr>
        <w:pStyle w:val="FootnoteText"/>
        <w:spacing w:after="120"/>
      </w:pPr>
      <w:r>
        <w:rPr>
          <w:rStyle w:val="FootnoteReference"/>
        </w:rPr>
        <w:footnoteRef/>
      </w:r>
      <w:r>
        <w:t xml:space="preserve"> Petition at </w:t>
      </w:r>
      <w:r w:rsidR="00127EE4">
        <w:t>7</w:t>
      </w:r>
      <w:r>
        <w:t xml:space="preserve">; </w:t>
      </w:r>
      <w:r w:rsidR="00127EE4">
        <w:rPr>
          <w:i/>
        </w:rPr>
        <w:t xml:space="preserve">see also </w:t>
      </w:r>
      <w:r>
        <w:t>June 2014 Petition Supplement at 4.</w:t>
      </w:r>
    </w:p>
  </w:footnote>
  <w:footnote w:id="47">
    <w:p w14:paraId="3A2A0248" w14:textId="77777777" w:rsidR="00F7151C" w:rsidRDefault="00F7151C" w:rsidP="004013B9">
      <w:pPr>
        <w:pStyle w:val="FootnoteText"/>
        <w:spacing w:after="120"/>
      </w:pPr>
      <w:r>
        <w:rPr>
          <w:rStyle w:val="FootnoteReference"/>
        </w:rPr>
        <w:footnoteRef/>
      </w:r>
      <w:r>
        <w:t xml:space="preserve"> Consumer Groups Opposition at 2.</w:t>
      </w:r>
    </w:p>
  </w:footnote>
  <w:footnote w:id="48">
    <w:p w14:paraId="78A65108" w14:textId="56936D1E" w:rsidR="00CB32F5" w:rsidRDefault="00CB32F5" w:rsidP="00AE1F6B">
      <w:pPr>
        <w:pStyle w:val="FootnoteText1"/>
        <w:jc w:val="left"/>
        <w:rPr>
          <w:rFonts w:eastAsia="Times New Roman"/>
          <w:color w:val="auto"/>
          <w:lang w:bidi="x-none"/>
        </w:rPr>
      </w:pPr>
      <w:r w:rsidRPr="00AE1F6B">
        <w:rPr>
          <w:rStyle w:val="FootnoteReference1"/>
        </w:rPr>
        <w:footnoteRef/>
      </w:r>
      <w:r>
        <w:t xml:space="preserve"> </w:t>
      </w:r>
      <w:r w:rsidR="00A11BF7">
        <w:rPr>
          <w:i/>
        </w:rPr>
        <w:t>Id.</w:t>
      </w:r>
      <w:r>
        <w:t xml:space="preserve"> at 3-7.</w:t>
      </w:r>
    </w:p>
  </w:footnote>
  <w:footnote w:id="49">
    <w:p w14:paraId="1F7F87AF" w14:textId="70CDF81B" w:rsidR="00CB32F5" w:rsidRDefault="00CB32F5" w:rsidP="00972894">
      <w:pPr>
        <w:pStyle w:val="FootnoteText2"/>
        <w:spacing w:after="120"/>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sidR="00A11BF7">
        <w:rPr>
          <w:rFonts w:ascii="Times New Roman" w:hAnsi="Times New Roman"/>
          <w:i/>
        </w:rPr>
        <w:t>Id.</w:t>
      </w:r>
      <w:r>
        <w:rPr>
          <w:rFonts w:ascii="Times New Roman" w:hAnsi="Times New Roman"/>
        </w:rPr>
        <w:t xml:space="preserve"> at 5-6. </w:t>
      </w:r>
    </w:p>
  </w:footnote>
  <w:footnote w:id="50">
    <w:p w14:paraId="7A850E13" w14:textId="28B40657" w:rsidR="00CB32F5" w:rsidRDefault="00CB32F5" w:rsidP="00972894">
      <w:pPr>
        <w:pStyle w:val="FootnoteText2"/>
        <w:spacing w:after="120"/>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sidR="00A11BF7" w:rsidRPr="00B52502">
        <w:rPr>
          <w:rFonts w:ascii="Times New Roman" w:hAnsi="Times New Roman"/>
          <w:i/>
        </w:rPr>
        <w:t>Id.</w:t>
      </w:r>
      <w:r w:rsidRPr="00B52502">
        <w:rPr>
          <w:rFonts w:ascii="Times New Roman" w:hAnsi="Times New Roman"/>
          <w:i/>
        </w:rPr>
        <w:t xml:space="preserve"> </w:t>
      </w:r>
      <w:r>
        <w:rPr>
          <w:rFonts w:ascii="Times New Roman" w:hAnsi="Times New Roman"/>
        </w:rPr>
        <w:t>at 5-6, and n. 17.</w:t>
      </w:r>
    </w:p>
  </w:footnote>
  <w:footnote w:id="51">
    <w:p w14:paraId="5D79F65F" w14:textId="7FC5C0A2" w:rsidR="00CB32F5" w:rsidRDefault="00CB32F5" w:rsidP="00972894">
      <w:pPr>
        <w:pStyle w:val="FootnoteText2"/>
        <w:spacing w:after="120"/>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Consumer Groups </w:t>
      </w:r>
      <w:r w:rsidR="009F523E">
        <w:rPr>
          <w:rFonts w:ascii="Times New Roman" w:hAnsi="Times New Roman"/>
        </w:rPr>
        <w:t xml:space="preserve">incorrectly </w:t>
      </w:r>
      <w:r>
        <w:rPr>
          <w:rFonts w:ascii="Times New Roman" w:hAnsi="Times New Roman"/>
        </w:rPr>
        <w:t xml:space="preserve">cite Gaylord’s assets as $16,863,044.00 in 2012, $17,054,957.00 in 2011 and $16,257,213.00 in 2010.   </w:t>
      </w:r>
      <w:r w:rsidR="00A11BF7">
        <w:rPr>
          <w:rFonts w:ascii="Times New Roman" w:hAnsi="Times New Roman"/>
          <w:i/>
        </w:rPr>
        <w:t>Id.</w:t>
      </w:r>
      <w:r>
        <w:rPr>
          <w:rFonts w:ascii="Times New Roman" w:hAnsi="Times New Roman"/>
        </w:rPr>
        <w:t xml:space="preserve"> at 5.  These figures reflect Gaylord’s total assets, including land, buildings and equipment, and not Gaylord’s current assets.  </w:t>
      </w:r>
      <w:r>
        <w:rPr>
          <w:rFonts w:ascii="Times New Roman Italic" w:hAnsi="Times New Roman Italic"/>
        </w:rPr>
        <w:t xml:space="preserve">See </w:t>
      </w:r>
      <w:r w:rsidR="00A11BF7">
        <w:rPr>
          <w:rFonts w:ascii="Times New Roman" w:hAnsi="Times New Roman"/>
        </w:rPr>
        <w:t>November 2013 S</w:t>
      </w:r>
      <w:r>
        <w:rPr>
          <w:rFonts w:ascii="Times New Roman" w:hAnsi="Times New Roman"/>
        </w:rPr>
        <w:t xml:space="preserve">upplement, Exhibit 10.  In determining the petitioner’s available financial resources, we do not consider relevant </w:t>
      </w:r>
      <w:r w:rsidR="00F7151C">
        <w:rPr>
          <w:rFonts w:ascii="Times New Roman" w:hAnsi="Times New Roman"/>
        </w:rPr>
        <w:t xml:space="preserve">such </w:t>
      </w:r>
      <w:r>
        <w:rPr>
          <w:rFonts w:ascii="Times New Roman" w:hAnsi="Times New Roman"/>
        </w:rPr>
        <w:t xml:space="preserve">non-current assets.  Gaylord’s </w:t>
      </w:r>
      <w:r w:rsidR="00F7151C">
        <w:rPr>
          <w:rFonts w:ascii="Times New Roman" w:hAnsi="Times New Roman"/>
        </w:rPr>
        <w:t>net</w:t>
      </w:r>
      <w:r w:rsidR="007E6220">
        <w:rPr>
          <w:rFonts w:ascii="Times New Roman" w:hAnsi="Times New Roman"/>
        </w:rPr>
        <w:t xml:space="preserve"> </w:t>
      </w:r>
      <w:r>
        <w:rPr>
          <w:rFonts w:ascii="Times New Roman" w:hAnsi="Times New Roman"/>
        </w:rPr>
        <w:t>current assets for 2012 were</w:t>
      </w:r>
      <w:r w:rsidR="00F7151C">
        <w:rPr>
          <w:rFonts w:ascii="Times New Roman" w:hAnsi="Times New Roman"/>
        </w:rPr>
        <w:t xml:space="preserve"> </w:t>
      </w:r>
      <w:r w:rsidR="00F7151C" w:rsidRPr="00F7151C">
        <w:rPr>
          <w:rFonts w:ascii="Times New Roman" w:hAnsi="Times New Roman"/>
        </w:rPr>
        <w:t>$8,780,050</w:t>
      </w:r>
      <w:r w:rsidR="001068BA">
        <w:rPr>
          <w:rFonts w:ascii="Times New Roman" w:hAnsi="Times New Roman"/>
        </w:rPr>
        <w:t>.00</w:t>
      </w:r>
      <w:r>
        <w:rPr>
          <w:rFonts w:ascii="Times New Roman" w:hAnsi="Times New Roman"/>
        </w:rPr>
        <w:t xml:space="preserve">, and its </w:t>
      </w:r>
      <w:r w:rsidR="00F7151C">
        <w:rPr>
          <w:rFonts w:ascii="Times New Roman" w:hAnsi="Times New Roman"/>
        </w:rPr>
        <w:t xml:space="preserve">net </w:t>
      </w:r>
      <w:r>
        <w:rPr>
          <w:rFonts w:ascii="Times New Roman" w:hAnsi="Times New Roman"/>
        </w:rPr>
        <w:t>current assets for 2011 were</w:t>
      </w:r>
      <w:r w:rsidR="00F7151C">
        <w:rPr>
          <w:rFonts w:ascii="Times New Roman" w:hAnsi="Times New Roman"/>
        </w:rPr>
        <w:t xml:space="preserve"> </w:t>
      </w:r>
      <w:r w:rsidR="00F7151C" w:rsidRPr="00F7151C">
        <w:rPr>
          <w:rFonts w:ascii="Times New Roman" w:hAnsi="Times New Roman"/>
        </w:rPr>
        <w:t>$8,825,719.00</w:t>
      </w:r>
      <w:r>
        <w:rPr>
          <w:rFonts w:ascii="Times New Roman" w:hAnsi="Times New Roman"/>
        </w:rPr>
        <w:t xml:space="preserve">.  </w:t>
      </w:r>
      <w:r>
        <w:rPr>
          <w:rFonts w:ascii="Times New Roman Italic" w:hAnsi="Times New Roman Italic"/>
        </w:rPr>
        <w:t xml:space="preserve">See </w:t>
      </w:r>
      <w:r>
        <w:rPr>
          <w:rFonts w:ascii="Times New Roman" w:hAnsi="Times New Roman"/>
        </w:rPr>
        <w:t xml:space="preserve">¶ 10, </w:t>
      </w:r>
      <w:r>
        <w:rPr>
          <w:rFonts w:ascii="Times New Roman Italic" w:hAnsi="Times New Roman Italic"/>
        </w:rPr>
        <w:t xml:space="preserve">supra.  </w:t>
      </w:r>
    </w:p>
  </w:footnote>
  <w:footnote w:id="52">
    <w:p w14:paraId="2AED83F0" w14:textId="77777777" w:rsidR="00CB32F5" w:rsidRDefault="00CB32F5" w:rsidP="00972894">
      <w:pPr>
        <w:pStyle w:val="FootnoteText2"/>
        <w:spacing w:after="120"/>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Consumer Groups Opposition at 5-6.</w:t>
      </w:r>
    </w:p>
  </w:footnote>
  <w:footnote w:id="53">
    <w:p w14:paraId="038762CD" w14:textId="77777777" w:rsidR="00CB32F5" w:rsidRDefault="00CB32F5" w:rsidP="001300C0">
      <w:pPr>
        <w:pStyle w:val="FootnoteText1"/>
        <w:jc w:val="left"/>
        <w:rPr>
          <w:rFonts w:eastAsia="Times New Roman"/>
          <w:color w:val="auto"/>
          <w:lang w:bidi="x-none"/>
        </w:rPr>
      </w:pPr>
      <w:r w:rsidRPr="001300C0">
        <w:rPr>
          <w:rStyle w:val="FootnoteReference1"/>
        </w:rPr>
        <w:footnoteRef/>
      </w:r>
      <w:r>
        <w:t xml:space="preserve"> </w:t>
      </w:r>
      <w:r>
        <w:rPr>
          <w:rFonts w:ascii="Times New Roman Italic" w:hAnsi="Times New Roman Italic"/>
        </w:rPr>
        <w:t>Id</w:t>
      </w:r>
      <w:r>
        <w:t xml:space="preserve">.  </w:t>
      </w:r>
    </w:p>
  </w:footnote>
  <w:footnote w:id="54">
    <w:p w14:paraId="7BE5FB9B" w14:textId="513E7CBE" w:rsidR="00CB32F5" w:rsidRDefault="00CB32F5" w:rsidP="004013B9">
      <w:pPr>
        <w:pStyle w:val="FootnoteText2"/>
        <w:spacing w:after="120"/>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sidR="00172CAC" w:rsidRPr="00F936E2">
        <w:rPr>
          <w:rFonts w:ascii="Times New Roman" w:hAnsi="Times New Roman"/>
          <w:i/>
        </w:rPr>
        <w:t>See i</w:t>
      </w:r>
      <w:r w:rsidRPr="00F936E2">
        <w:rPr>
          <w:rFonts w:ascii="Times New Roman Italic" w:hAnsi="Times New Roman Italic"/>
          <w:i/>
        </w:rPr>
        <w:t>d.</w:t>
      </w:r>
      <w:r w:rsidRPr="00F936E2">
        <w:rPr>
          <w:rFonts w:ascii="Times New Roman" w:hAnsi="Times New Roman"/>
          <w:i/>
        </w:rPr>
        <w:t xml:space="preserve"> </w:t>
      </w:r>
      <w:r>
        <w:rPr>
          <w:rFonts w:ascii="Times New Roman" w:hAnsi="Times New Roman"/>
        </w:rPr>
        <w:t xml:space="preserve">at 6, citing </w:t>
      </w:r>
      <w:r w:rsidR="007E6220">
        <w:rPr>
          <w:rFonts w:ascii="Times New Roman" w:hAnsi="Times New Roman"/>
        </w:rPr>
        <w:t>November 2013 Petition Supplement</w:t>
      </w:r>
      <w:r>
        <w:rPr>
          <w:rFonts w:ascii="Times New Roman" w:hAnsi="Times New Roman"/>
        </w:rPr>
        <w:t xml:space="preserve">, Exhibit 1 at 3-5, in which Gaylord asserts that “[o]ur annual total budget for production and television broadcast of the Mass is approximately $50,000.”  </w:t>
      </w:r>
      <w:r>
        <w:rPr>
          <w:rFonts w:ascii="Times New Roman Italic" w:hAnsi="Times New Roman Italic"/>
        </w:rPr>
        <w:t>Id</w:t>
      </w:r>
      <w:r>
        <w:rPr>
          <w:rFonts w:ascii="Times New Roman" w:hAnsi="Times New Roman"/>
        </w:rPr>
        <w:t>. at 3.</w:t>
      </w:r>
    </w:p>
  </w:footnote>
  <w:footnote w:id="55">
    <w:p w14:paraId="2D2B8AC2" w14:textId="08FEF09A" w:rsidR="00CB32F5" w:rsidRDefault="00CB32F5" w:rsidP="001300C0">
      <w:pPr>
        <w:pStyle w:val="FootnoteText1"/>
        <w:jc w:val="left"/>
        <w:rPr>
          <w:rFonts w:eastAsia="Times New Roman"/>
          <w:color w:val="auto"/>
          <w:lang w:bidi="x-none"/>
        </w:rPr>
      </w:pPr>
      <w:r>
        <w:rPr>
          <w:rStyle w:val="FootnoteReference10"/>
        </w:rPr>
        <w:footnoteRef/>
      </w:r>
      <w:r>
        <w:t xml:space="preserve">  </w:t>
      </w:r>
      <w:r w:rsidR="00172CAC">
        <w:rPr>
          <w:rFonts w:ascii="Times New Roman Italic" w:hAnsi="Times New Roman Italic"/>
        </w:rPr>
        <w:t>Id.</w:t>
      </w:r>
      <w:r w:rsidR="00172CAC">
        <w:t xml:space="preserve"> at 6, citing </w:t>
      </w:r>
      <w:r w:rsidR="00172CAC">
        <w:rPr>
          <w:rFonts w:ascii="Times New Roman Italic" w:hAnsi="Times New Roman Italic"/>
        </w:rPr>
        <w:t xml:space="preserve">Anglers Reversal MO&amp;O </w:t>
      </w:r>
      <w:r w:rsidR="00172CAC">
        <w:t>(“</w:t>
      </w:r>
      <w:r w:rsidR="00172CAC">
        <w:rPr>
          <w:rFonts w:ascii="Times New Roman Italic" w:hAnsi="Times New Roman Italic"/>
        </w:rPr>
        <w:t>Anglers 2011</w:t>
      </w:r>
      <w:r w:rsidR="00172CAC">
        <w:t xml:space="preserve">”), 26 FCC Rcd at 14950, ¶ 17.  </w:t>
      </w:r>
      <w:r>
        <w:t>Consumer Groups Opposition at 6.  Consumer Groups also note that Gaylord is not, despite its arguments, entitled to a categorical exemption under Section 79.1(d)(8) of the Commission’s closed captioning rules, 47 C.F.R. § 79.1(d)(8), because it does not meet the definition of a video programming distributor.  Consumer Groups Opposition at 6-7.</w:t>
      </w:r>
    </w:p>
  </w:footnote>
  <w:footnote w:id="56">
    <w:p w14:paraId="7A76F55C" w14:textId="6D07E4C2" w:rsidR="00F87713" w:rsidRPr="00AD4D32" w:rsidRDefault="00F87713" w:rsidP="00F87713">
      <w:pPr>
        <w:pStyle w:val="FootnoteText"/>
        <w:spacing w:after="120"/>
      </w:pPr>
      <w:r>
        <w:rPr>
          <w:rStyle w:val="FootnoteReference"/>
        </w:rPr>
        <w:footnoteRef/>
      </w:r>
      <w:r>
        <w:t xml:space="preserve"> </w:t>
      </w:r>
      <w:r w:rsidRPr="00CF40E6">
        <w:t xml:space="preserve">To the extent that </w:t>
      </w:r>
      <w:r>
        <w:t>Gaylord</w:t>
      </w:r>
      <w:r w:rsidRPr="00CF40E6">
        <w:t xml:space="preserve"> is alleging that the closed captioning rules violate its free speech rights under the First Amendment, the D.C. Circuit has r</w:t>
      </w:r>
      <w:r w:rsidRPr="00CF40E6">
        <w:rPr>
          <w:shd w:val="clear" w:color="auto" w:fill="FFFFFF"/>
        </w:rPr>
        <w:t xml:space="preserve">ejected the argument that captioning requirements regulate program content in violation of protected </w:t>
      </w:r>
      <w:r w:rsidRPr="00131F85">
        <w:rPr>
          <w:shd w:val="clear" w:color="auto" w:fill="FFFFFF"/>
        </w:rPr>
        <w:t>free speech rights, finding that closed captioning “would not significantly interfere with program content.</w:t>
      </w:r>
      <w:r w:rsidRPr="00697CF6">
        <w:rPr>
          <w:shd w:val="clear" w:color="auto" w:fill="FFFFFF"/>
        </w:rPr>
        <w:t xml:space="preserve">”  </w:t>
      </w:r>
      <w:r w:rsidRPr="00CF40E6">
        <w:rPr>
          <w:i/>
          <w:iCs/>
          <w:shd w:val="clear" w:color="auto" w:fill="FFFFFF"/>
        </w:rPr>
        <w:t>Gottfried v. FCC,</w:t>
      </w:r>
      <w:r>
        <w:rPr>
          <w:i/>
          <w:iCs/>
          <w:shd w:val="clear" w:color="auto" w:fill="FFFFFF"/>
        </w:rPr>
        <w:t xml:space="preserve"> </w:t>
      </w:r>
      <w:r w:rsidRPr="00CF40E6">
        <w:rPr>
          <w:shd w:val="clear" w:color="auto" w:fill="FFFFFF"/>
        </w:rPr>
        <w:t>655 F.2d 297, 311 n. 54 (1981),</w:t>
      </w:r>
      <w:r w:rsidRPr="001300C0">
        <w:rPr>
          <w:rStyle w:val="Unknown0"/>
        </w:rPr>
        <w:t> </w:t>
      </w:r>
      <w:r w:rsidRPr="00CF40E6">
        <w:rPr>
          <w:i/>
          <w:iCs/>
          <w:shd w:val="clear" w:color="auto" w:fill="FFFFFF"/>
        </w:rPr>
        <w:t>rev'd in part,</w:t>
      </w:r>
      <w:r w:rsidRPr="001300C0">
        <w:rPr>
          <w:rStyle w:val="Unknown0"/>
        </w:rPr>
        <w:t> </w:t>
      </w:r>
      <w:r w:rsidRPr="00CF40E6">
        <w:rPr>
          <w:shd w:val="clear" w:color="auto" w:fill="FFFFFF"/>
        </w:rPr>
        <w:t>459 U.S. 498 (1983)</w:t>
      </w:r>
      <w:r w:rsidRPr="001300C0">
        <w:rPr>
          <w:rStyle w:val="Unknown0"/>
        </w:rPr>
        <w:t> </w:t>
      </w:r>
      <w:r w:rsidRPr="00CF40E6">
        <w:rPr>
          <w:shd w:val="clear" w:color="auto" w:fill="FFFFFF"/>
        </w:rPr>
        <w:t>(Supreme Court did not disturb dictum of D.C. Circuit suggesting the constitutionality of closed captioning regulations).</w:t>
      </w:r>
      <w:r w:rsidRPr="001300C0">
        <w:rPr>
          <w:rStyle w:val="Unknown0"/>
        </w:rPr>
        <w:t xml:space="preserve">  </w:t>
      </w:r>
      <w:r w:rsidRPr="00CF40E6">
        <w:rPr>
          <w:i/>
          <w:iCs/>
          <w:shd w:val="clear" w:color="auto" w:fill="FFFFFF"/>
        </w:rPr>
        <w:t>See also</w:t>
      </w:r>
      <w:r w:rsidRPr="001300C0">
        <w:rPr>
          <w:rStyle w:val="Unknown0"/>
        </w:rPr>
        <w:t> </w:t>
      </w:r>
      <w:r w:rsidRPr="00CF40E6">
        <w:rPr>
          <w:i/>
          <w:iCs/>
          <w:shd w:val="clear" w:color="auto" w:fill="FFFFFF"/>
        </w:rPr>
        <w:t>MPAA v. FCC,</w:t>
      </w:r>
      <w:r w:rsidRPr="001300C0">
        <w:rPr>
          <w:rStyle w:val="Unknown0"/>
        </w:rPr>
        <w:t xml:space="preserve"> </w:t>
      </w:r>
      <w:r w:rsidRPr="00CF40E6">
        <w:rPr>
          <w:shd w:val="clear" w:color="auto" w:fill="FFFFFF"/>
        </w:rPr>
        <w:t xml:space="preserve">309 F.3d 796, 803 (D.C. Cir. 2002); </w:t>
      </w:r>
      <w:r w:rsidRPr="00CF40E6">
        <w:rPr>
          <w:i/>
        </w:rPr>
        <w:t>Closed Captioning of Internet Protocol-Delivered Video Programming</w:t>
      </w:r>
      <w:r w:rsidRPr="00CF40E6">
        <w:t xml:space="preserve">, Report and Order, 27 FCC Rcd 787, 803-04, ¶ 25 &amp; n.117 (2012); </w:t>
      </w:r>
      <w:r w:rsidRPr="00131F85">
        <w:rPr>
          <w:i/>
        </w:rPr>
        <w:t>Implementation of Video Description of Video Programming</w:t>
      </w:r>
      <w:r w:rsidRPr="00131F85">
        <w:t xml:space="preserve">, Report and Order, 15 FCC Rcd 15230, 15255, </w:t>
      </w:r>
      <w:r w:rsidRPr="002A5DA1">
        <w:t>¶ 63</w:t>
      </w:r>
      <w:r w:rsidRPr="009465A9">
        <w:t xml:space="preserve"> (2000)</w:t>
      </w:r>
      <w:r w:rsidRPr="00697CF6">
        <w:t xml:space="preserve">. </w:t>
      </w:r>
    </w:p>
  </w:footnote>
  <w:footnote w:id="57">
    <w:p w14:paraId="40AFD62A" w14:textId="77777777" w:rsidR="00F87713" w:rsidRDefault="00F87713" w:rsidP="00F87713">
      <w:pPr>
        <w:pStyle w:val="FootnoteText"/>
        <w:spacing w:after="120"/>
      </w:pPr>
      <w:r>
        <w:rPr>
          <w:rStyle w:val="FootnoteReference"/>
        </w:rPr>
        <w:footnoteRef/>
      </w:r>
      <w:r>
        <w:t xml:space="preserve"> 47 C.F.R. § 79.1(a)(1).</w:t>
      </w:r>
    </w:p>
  </w:footnote>
  <w:footnote w:id="58">
    <w:p w14:paraId="34B7D9F5" w14:textId="6DBC932A" w:rsidR="00F87713" w:rsidRPr="00AF0604" w:rsidRDefault="00F87713" w:rsidP="00F87713">
      <w:pPr>
        <w:pStyle w:val="FootnoteText"/>
        <w:spacing w:after="120"/>
      </w:pPr>
      <w:r w:rsidRPr="00A92583">
        <w:rPr>
          <w:rStyle w:val="FootnoteReference"/>
        </w:rPr>
        <w:footnoteRef/>
      </w:r>
      <w:r w:rsidRPr="00A92583">
        <w:t xml:space="preserve"> </w:t>
      </w:r>
      <w:r>
        <w:t xml:space="preserve">47 C.F.R. § 79.1(a)(3).  </w:t>
      </w:r>
      <w:r w:rsidRPr="00A92583">
        <w:rPr>
          <w:i/>
          <w:color w:val="000000" w:themeColor="text1"/>
        </w:rPr>
        <w:t xml:space="preserve">Cf. </w:t>
      </w:r>
      <w:r w:rsidRPr="00AF0604">
        <w:rPr>
          <w:i/>
          <w:color w:val="000000" w:themeColor="text1"/>
        </w:rPr>
        <w:t>King’s Garden, Inc. v. FCC</w:t>
      </w:r>
      <w:r w:rsidRPr="00AF0604">
        <w:rPr>
          <w:color w:val="000000" w:themeColor="text1"/>
        </w:rPr>
        <w:t>, 498 F.2d 51, 60 (</w:t>
      </w:r>
      <w:r w:rsidRPr="00AF0604">
        <w:rPr>
          <w:bCs/>
          <w:color w:val="000000" w:themeColor="text1"/>
        </w:rPr>
        <w:t>D.C</w:t>
      </w:r>
      <w:hyperlink r:id="rId2" w:history="1">
        <w:r w:rsidRPr="00AF0604">
          <w:rPr>
            <w:color w:val="000000" w:themeColor="text1"/>
          </w:rPr>
          <w:t>.</w:t>
        </w:r>
      </w:hyperlink>
      <w:r w:rsidRPr="00AF0604">
        <w:rPr>
          <w:color w:val="000000" w:themeColor="text1"/>
        </w:rPr>
        <w:t xml:space="preserve"> </w:t>
      </w:r>
      <w:r w:rsidRPr="00AF0604">
        <w:rPr>
          <w:bCs/>
          <w:color w:val="000000" w:themeColor="text1"/>
        </w:rPr>
        <w:t>Cir</w:t>
      </w:r>
      <w:r w:rsidRPr="00AF0604">
        <w:rPr>
          <w:color w:val="000000" w:themeColor="text1"/>
        </w:rPr>
        <w:t xml:space="preserve">. </w:t>
      </w:r>
      <w:r w:rsidRPr="00AF0604">
        <w:rPr>
          <w:bCs/>
          <w:color w:val="000000" w:themeColor="text1"/>
        </w:rPr>
        <w:t>1974</w:t>
      </w:r>
      <w:r w:rsidRPr="00AF0604">
        <w:rPr>
          <w:color w:val="000000" w:themeColor="text1"/>
        </w:rPr>
        <w:t xml:space="preserve">) (“[T]he Constitution does not obligate the FCC to relinquish its regulatory mandate so that religious sects may merge their licensed franchises completely into their ecclesiastical structures.”), </w:t>
      </w:r>
      <w:r w:rsidRPr="00AF0604">
        <w:rPr>
          <w:i/>
          <w:iCs/>
          <w:color w:val="000000" w:themeColor="text1"/>
        </w:rPr>
        <w:t xml:space="preserve">cert. denied, </w:t>
      </w:r>
      <w:r w:rsidRPr="00AF0604">
        <w:rPr>
          <w:color w:val="000000" w:themeColor="text1"/>
        </w:rPr>
        <w:t>419 U.S. 996 (1974).</w:t>
      </w:r>
    </w:p>
  </w:footnote>
  <w:footnote w:id="59">
    <w:p w14:paraId="0C315789" w14:textId="77777777" w:rsidR="00F87713" w:rsidRDefault="00F87713" w:rsidP="00F87713">
      <w:pPr>
        <w:pStyle w:val="FootnoteText"/>
        <w:spacing w:after="120"/>
      </w:pPr>
      <w:bookmarkStart w:id="1" w:name="SR;5566"/>
      <w:bookmarkEnd w:id="1"/>
      <w:r>
        <w:rPr>
          <w:rStyle w:val="FootnoteReference"/>
        </w:rPr>
        <w:footnoteRef/>
      </w:r>
      <w:r>
        <w:t xml:space="preserve"> </w:t>
      </w:r>
      <w:r w:rsidRPr="007C1B75">
        <w:rPr>
          <w:i/>
        </w:rPr>
        <w:t>Employment Div., Dept. of Human Resources of Ore. V. Smith</w:t>
      </w:r>
      <w:r>
        <w:rPr>
          <w:color w:val="000000" w:themeColor="text1"/>
        </w:rPr>
        <w:t>,</w:t>
      </w:r>
      <w:r w:rsidRPr="00AE1F6B">
        <w:rPr>
          <w:color w:val="000000" w:themeColor="text1"/>
        </w:rPr>
        <w:t xml:space="preserve"> </w:t>
      </w:r>
      <w:r w:rsidRPr="0033583A">
        <w:rPr>
          <w:color w:val="000000" w:themeColor="text1"/>
        </w:rPr>
        <w:t>494 U.S. 872</w:t>
      </w:r>
      <w:r>
        <w:rPr>
          <w:color w:val="000000" w:themeColor="text1"/>
        </w:rPr>
        <w:t>, 879</w:t>
      </w:r>
      <w:r w:rsidRPr="00AF0604">
        <w:rPr>
          <w:color w:val="000000" w:themeColor="text1"/>
        </w:rPr>
        <w:t xml:space="preserve"> (1990)</w:t>
      </w:r>
      <w:r w:rsidRPr="00AF0604">
        <w:t>.</w:t>
      </w:r>
    </w:p>
  </w:footnote>
  <w:footnote w:id="60">
    <w:p w14:paraId="5BF7D9D7" w14:textId="77777777" w:rsidR="00F87713" w:rsidRDefault="00F87713" w:rsidP="00F87713">
      <w:pPr>
        <w:pStyle w:val="FootnoteText"/>
        <w:spacing w:after="120"/>
      </w:pPr>
      <w:r>
        <w:rPr>
          <w:rStyle w:val="FootnoteReference"/>
        </w:rPr>
        <w:footnoteRef/>
      </w:r>
      <w:r>
        <w:t xml:space="preserve"> </w:t>
      </w:r>
      <w:r w:rsidRPr="00AF0604">
        <w:t xml:space="preserve">42 U.S.C. § 2000bb-1 (“Government shall not substantially burden a person’s exercise of religion even if the burden results from a rule of general applicability, except [if the burden] . . . </w:t>
      </w:r>
      <w:r w:rsidRPr="00AF0604">
        <w:rPr>
          <w:bCs/>
        </w:rPr>
        <w:t>(1)</w:t>
      </w:r>
      <w:r w:rsidRPr="00AF0604">
        <w:t xml:space="preserve"> is in furtherance of a compelling governmental interest; and </w:t>
      </w:r>
      <w:r w:rsidRPr="00AF0604">
        <w:rPr>
          <w:bCs/>
        </w:rPr>
        <w:t>(2)</w:t>
      </w:r>
      <w:r w:rsidRPr="00AF0604">
        <w:t xml:space="preserve"> is the least restrictive means of furthering that compelling governmental interest.”).  </w:t>
      </w:r>
    </w:p>
  </w:footnote>
  <w:footnote w:id="61">
    <w:p w14:paraId="4E6CFA5A" w14:textId="22EAFD77" w:rsidR="00F87713" w:rsidRDefault="00F87713" w:rsidP="00F87713">
      <w:pPr>
        <w:pStyle w:val="FootnoteText"/>
        <w:spacing w:after="120"/>
      </w:pPr>
      <w:r>
        <w:rPr>
          <w:rStyle w:val="FootnoteReference"/>
        </w:rPr>
        <w:footnoteRef/>
      </w:r>
      <w:r>
        <w:t xml:space="preserve"> </w:t>
      </w:r>
      <w:r w:rsidRPr="00AF0604">
        <w:rPr>
          <w:i/>
        </w:rPr>
        <w:t xml:space="preserve">Cf. </w:t>
      </w:r>
      <w:r w:rsidRPr="00F5405B">
        <w:rPr>
          <w:i/>
          <w:color w:val="000000" w:themeColor="text1"/>
        </w:rPr>
        <w:t>Priests for Life v. U.S. Dept. of Health and Human Servs</w:t>
      </w:r>
      <w:r w:rsidRPr="00F5405B">
        <w:rPr>
          <w:color w:val="000000" w:themeColor="text1"/>
        </w:rPr>
        <w:t xml:space="preserve">., </w:t>
      </w:r>
      <w:r>
        <w:rPr>
          <w:color w:val="000000" w:themeColor="text1"/>
        </w:rPr>
        <w:t xml:space="preserve">772 F.3d 229, 267 </w:t>
      </w:r>
      <w:r w:rsidRPr="00F5405B">
        <w:rPr>
          <w:color w:val="000000" w:themeColor="text1"/>
        </w:rPr>
        <w:t>(D.C. Cir. 2014)</w:t>
      </w:r>
      <w:r>
        <w:rPr>
          <w:color w:val="000000" w:themeColor="text1"/>
        </w:rPr>
        <w:t>.</w:t>
      </w:r>
    </w:p>
  </w:footnote>
  <w:footnote w:id="62">
    <w:p w14:paraId="45CD2217" w14:textId="6CEF6511" w:rsidR="00F87713" w:rsidRPr="00AF0604" w:rsidRDefault="00F87713" w:rsidP="00F87713">
      <w:pPr>
        <w:pStyle w:val="FootnoteText"/>
        <w:spacing w:after="120"/>
      </w:pPr>
      <w:r w:rsidRPr="00AF0604">
        <w:rPr>
          <w:rStyle w:val="FootnoteReference"/>
        </w:rPr>
        <w:footnoteRef/>
      </w:r>
      <w:r w:rsidRPr="00AF0604">
        <w:t xml:space="preserve"> </w:t>
      </w:r>
      <w:r w:rsidRPr="00F5405B">
        <w:rPr>
          <w:i/>
          <w:color w:val="000000" w:themeColor="text1"/>
        </w:rPr>
        <w:t>Priests for Life</w:t>
      </w:r>
      <w:r w:rsidRPr="00F5405B">
        <w:rPr>
          <w:color w:val="000000" w:themeColor="text1"/>
        </w:rPr>
        <w:t xml:space="preserve">, </w:t>
      </w:r>
      <w:r>
        <w:rPr>
          <w:color w:val="000000" w:themeColor="text1"/>
        </w:rPr>
        <w:t>772 F.3d at 246</w:t>
      </w:r>
      <w:r w:rsidRPr="00F5405B">
        <w:rPr>
          <w:color w:val="000000" w:themeColor="text1"/>
        </w:rPr>
        <w:t xml:space="preserve"> (“[a] substantial burden exists when government action puts </w:t>
      </w:r>
      <w:r>
        <w:rPr>
          <w:color w:val="000000" w:themeColor="text1"/>
        </w:rPr>
        <w:t>‘</w:t>
      </w:r>
      <w:r w:rsidRPr="00F5405B">
        <w:rPr>
          <w:color w:val="000000" w:themeColor="text1"/>
        </w:rPr>
        <w:t>substantial pressure on an adherent to modify his behavior and to violate his beliefs.</w:t>
      </w:r>
      <w:r>
        <w:rPr>
          <w:color w:val="000000" w:themeColor="text1"/>
        </w:rPr>
        <w:t>’</w:t>
      </w:r>
      <w:r w:rsidRPr="00F5405B">
        <w:rPr>
          <w:color w:val="000000" w:themeColor="text1"/>
        </w:rPr>
        <w:t>”) (</w:t>
      </w:r>
      <w:r w:rsidRPr="00395933">
        <w:rPr>
          <w:i/>
          <w:color w:val="000000" w:themeColor="text1"/>
        </w:rPr>
        <w:t>quoting</w:t>
      </w:r>
      <w:r w:rsidRPr="00F5405B">
        <w:rPr>
          <w:i/>
          <w:color w:val="000000" w:themeColor="text1"/>
        </w:rPr>
        <w:t xml:space="preserve"> Kaemmerling v. Lappin</w:t>
      </w:r>
      <w:r w:rsidRPr="00F5405B">
        <w:rPr>
          <w:color w:val="000000" w:themeColor="text1"/>
        </w:rPr>
        <w:t>, 553 F.3d 669, 678 (D.C. Cir. 2008) (</w:t>
      </w:r>
      <w:r w:rsidRPr="00395933">
        <w:rPr>
          <w:i/>
          <w:color w:val="000000" w:themeColor="text1"/>
        </w:rPr>
        <w:t>quoting</w:t>
      </w:r>
      <w:r w:rsidRPr="00F5405B">
        <w:rPr>
          <w:color w:val="000000" w:themeColor="text1"/>
        </w:rPr>
        <w:t xml:space="preserve"> </w:t>
      </w:r>
      <w:r w:rsidRPr="00F5405B">
        <w:rPr>
          <w:i/>
          <w:iCs/>
          <w:color w:val="000000" w:themeColor="text1"/>
        </w:rPr>
        <w:t>Thomas v. Review Bd.,</w:t>
      </w:r>
      <w:r w:rsidRPr="00F5405B">
        <w:rPr>
          <w:color w:val="000000" w:themeColor="text1"/>
        </w:rPr>
        <w:t xml:space="preserve"> 450 U.S. 707, 718 (1981))); </w:t>
      </w:r>
      <w:r w:rsidRPr="00F5405B">
        <w:rPr>
          <w:i/>
          <w:color w:val="000000" w:themeColor="text1"/>
        </w:rPr>
        <w:t>id</w:t>
      </w:r>
      <w:r w:rsidRPr="00F5405B">
        <w:rPr>
          <w:color w:val="000000" w:themeColor="text1"/>
        </w:rPr>
        <w:t xml:space="preserve">. (“A burden does not rise to the level of being substantial when it places ‘[a]n inconsequential or </w:t>
      </w:r>
      <w:r w:rsidRPr="00F5405B">
        <w:rPr>
          <w:i/>
          <w:iCs/>
          <w:color w:val="000000" w:themeColor="text1"/>
        </w:rPr>
        <w:t>de minimis</w:t>
      </w:r>
      <w:r w:rsidRPr="00F5405B">
        <w:rPr>
          <w:color w:val="000000" w:themeColor="text1"/>
        </w:rPr>
        <w:t xml:space="preserve"> burden’ on an adherent’s religious exercise.”) (</w:t>
      </w:r>
      <w:r w:rsidRPr="00395933">
        <w:rPr>
          <w:i/>
          <w:color w:val="000000" w:themeColor="text1"/>
        </w:rPr>
        <w:t>quoting</w:t>
      </w:r>
      <w:r w:rsidRPr="00F5405B">
        <w:rPr>
          <w:color w:val="000000" w:themeColor="text1"/>
        </w:rPr>
        <w:t xml:space="preserve"> </w:t>
      </w:r>
      <w:r w:rsidRPr="00F5405B">
        <w:rPr>
          <w:i/>
          <w:color w:val="000000" w:themeColor="text1"/>
        </w:rPr>
        <w:t>Kaemmerling</w:t>
      </w:r>
      <w:r w:rsidRPr="00F5405B">
        <w:rPr>
          <w:color w:val="000000" w:themeColor="text1"/>
        </w:rPr>
        <w:t xml:space="preserve">, </w:t>
      </w:r>
      <w:hyperlink r:id="rId3" w:tgtFrame="_top" w:history="1">
        <w:r w:rsidRPr="00F5405B">
          <w:rPr>
            <w:color w:val="000000" w:themeColor="text1"/>
          </w:rPr>
          <w:t>553 F.3d at 678</w:t>
        </w:r>
      </w:hyperlink>
      <w:r w:rsidRPr="00F5405B">
        <w:rPr>
          <w:color w:val="000000" w:themeColor="text1"/>
        </w:rPr>
        <w:t xml:space="preserve"> (</w:t>
      </w:r>
      <w:r w:rsidRPr="00395933">
        <w:rPr>
          <w:i/>
          <w:color w:val="000000" w:themeColor="text1"/>
        </w:rPr>
        <w:t>citing</w:t>
      </w:r>
      <w:r w:rsidRPr="00F5405B">
        <w:rPr>
          <w:color w:val="000000" w:themeColor="text1"/>
        </w:rPr>
        <w:t xml:space="preserve"> </w:t>
      </w:r>
      <w:r w:rsidRPr="00F5405B">
        <w:rPr>
          <w:i/>
          <w:iCs/>
          <w:color w:val="000000" w:themeColor="text1"/>
        </w:rPr>
        <w:t>Levitan v. Ashcroft,</w:t>
      </w:r>
      <w:r w:rsidRPr="00F5405B">
        <w:rPr>
          <w:color w:val="000000" w:themeColor="text1"/>
        </w:rPr>
        <w:t xml:space="preserve"> 281 F.3d 1313, 1320–21 (D.C.</w:t>
      </w:r>
      <w:r>
        <w:rPr>
          <w:color w:val="000000" w:themeColor="text1"/>
        </w:rPr>
        <w:t xml:space="preserve"> </w:t>
      </w:r>
      <w:r w:rsidRPr="00F5405B">
        <w:rPr>
          <w:color w:val="000000" w:themeColor="text1"/>
        </w:rPr>
        <w:t>Cir.</w:t>
      </w:r>
      <w:r>
        <w:rPr>
          <w:color w:val="000000" w:themeColor="text1"/>
        </w:rPr>
        <w:t xml:space="preserve"> </w:t>
      </w:r>
      <w:r w:rsidRPr="00F5405B">
        <w:rPr>
          <w:color w:val="000000" w:themeColor="text1"/>
        </w:rPr>
        <w:t>2002)).</w:t>
      </w:r>
    </w:p>
  </w:footnote>
  <w:footnote w:id="63">
    <w:p w14:paraId="69A1AC90" w14:textId="77777777" w:rsidR="00F87713" w:rsidRDefault="00F87713" w:rsidP="00F87713">
      <w:pPr>
        <w:pStyle w:val="FootnoteText"/>
        <w:spacing w:after="120"/>
      </w:pPr>
      <w:r>
        <w:rPr>
          <w:rStyle w:val="FootnoteReference"/>
        </w:rPr>
        <w:footnoteRef/>
      </w:r>
      <w:r>
        <w:t xml:space="preserve"> Petition at 7.</w:t>
      </w:r>
    </w:p>
  </w:footnote>
  <w:footnote w:id="64">
    <w:p w14:paraId="7A65F2D7" w14:textId="77777777" w:rsidR="00F87713" w:rsidRPr="00A74447" w:rsidRDefault="00F87713" w:rsidP="00F87713">
      <w:pPr>
        <w:pStyle w:val="FootnoteText"/>
        <w:spacing w:after="120"/>
        <w:rPr>
          <w:color w:val="auto"/>
        </w:rPr>
      </w:pPr>
      <w:r w:rsidRPr="00A74447">
        <w:rPr>
          <w:rStyle w:val="FootnoteReference"/>
          <w:color w:val="auto"/>
        </w:rPr>
        <w:footnoteRef/>
      </w:r>
      <w:r w:rsidRPr="00A74447">
        <w:rPr>
          <w:color w:val="auto"/>
        </w:rPr>
        <w:t xml:space="preserve"> November 2013 Petition Supplement I, Exhibit 4.</w:t>
      </w:r>
    </w:p>
  </w:footnote>
  <w:footnote w:id="65">
    <w:p w14:paraId="34221CD7" w14:textId="77777777" w:rsidR="00F87713" w:rsidRDefault="00F87713" w:rsidP="00F87713">
      <w:pPr>
        <w:pStyle w:val="FootnoteText"/>
        <w:spacing w:after="120"/>
      </w:pPr>
      <w:r w:rsidRPr="00A74447">
        <w:rPr>
          <w:rStyle w:val="FootnoteReference"/>
          <w:color w:val="auto"/>
        </w:rPr>
        <w:footnoteRef/>
      </w:r>
      <w:r w:rsidRPr="00A74447">
        <w:rPr>
          <w:color w:val="auto"/>
        </w:rPr>
        <w:t xml:space="preserve"> </w:t>
      </w:r>
      <w:r w:rsidRPr="00A74447">
        <w:rPr>
          <w:i/>
          <w:color w:val="auto"/>
        </w:rPr>
        <w:t xml:space="preserve">See, </w:t>
      </w:r>
      <w:r w:rsidRPr="00A74447">
        <w:rPr>
          <w:color w:val="auto"/>
        </w:rPr>
        <w:t>e.g. January 2012 Petition Supplement, at 8-9, November 2013 Petition Supplement I, Exhibit 1 at 2, and Exhibit 4.</w:t>
      </w:r>
    </w:p>
  </w:footnote>
  <w:footnote w:id="66">
    <w:p w14:paraId="1BB92BF7" w14:textId="77777777" w:rsidR="00F87713" w:rsidRDefault="00F87713" w:rsidP="00F87713">
      <w:pPr>
        <w:pStyle w:val="FootnoteText"/>
        <w:spacing w:after="120"/>
      </w:pPr>
      <w:r>
        <w:rPr>
          <w:rStyle w:val="FootnoteReference"/>
        </w:rPr>
        <w:footnoteRef/>
      </w:r>
      <w:r>
        <w:t xml:space="preserve"> </w:t>
      </w:r>
      <w:r>
        <w:rPr>
          <w:i/>
        </w:rPr>
        <w:t xml:space="preserve">See </w:t>
      </w:r>
      <w:r>
        <w:t xml:space="preserve">¶ 8, </w:t>
      </w:r>
      <w:r>
        <w:rPr>
          <w:i/>
        </w:rPr>
        <w:t>supra</w:t>
      </w:r>
      <w:r>
        <w:t>.</w:t>
      </w:r>
    </w:p>
  </w:footnote>
  <w:footnote w:id="67">
    <w:p w14:paraId="29D85DA0" w14:textId="77777777" w:rsidR="00F87713" w:rsidRPr="00A92583" w:rsidRDefault="00F87713" w:rsidP="00F87713">
      <w:pPr>
        <w:pStyle w:val="FootnoteText"/>
        <w:spacing w:after="120"/>
      </w:pPr>
      <w:r w:rsidRPr="00A92583">
        <w:rPr>
          <w:rStyle w:val="FootnoteReference"/>
        </w:rPr>
        <w:footnoteRef/>
      </w:r>
      <w:r w:rsidRPr="00A92583">
        <w:t xml:space="preserve"> </w:t>
      </w:r>
      <w:r>
        <w:rPr>
          <w:i/>
        </w:rPr>
        <w:t>See, e.g.,</w:t>
      </w:r>
      <w:r w:rsidRPr="00544E69">
        <w:rPr>
          <w:i/>
        </w:rPr>
        <w:t xml:space="preserve"> </w:t>
      </w:r>
      <w:r w:rsidRPr="002C4FB5">
        <w:rPr>
          <w:i/>
        </w:rPr>
        <w:t>Braunfeld v. Brown</w:t>
      </w:r>
      <w:r w:rsidRPr="002C4FB5">
        <w:t>, 366 U.S. 599, 605</w:t>
      </w:r>
      <w:r>
        <w:t xml:space="preserve"> (1961)</w:t>
      </w:r>
      <w:r w:rsidRPr="00544E69">
        <w:t xml:space="preserve"> (fact that shopkeepers could engage in other commercial activities was one factor in finding no substantial burden from law requiring shopkeepers who observed Saturday as the Sabbath to close on Sundays); </w:t>
      </w:r>
      <w:bookmarkStart w:id="2" w:name="SR;16891"/>
      <w:bookmarkEnd w:id="2"/>
      <w:r w:rsidRPr="00544E69">
        <w:rPr>
          <w:i/>
        </w:rPr>
        <w:t>Henderson v. Kennedy</w:t>
      </w:r>
      <w:r w:rsidRPr="00544E69">
        <w:t xml:space="preserve">, 265 F.3d 1072, 1074 (D.C. Cir. 2001) </w:t>
      </w:r>
      <w:r w:rsidRPr="00544E69">
        <w:rPr>
          <w:color w:val="000000" w:themeColor="text1"/>
        </w:rPr>
        <w:t xml:space="preserve">(regulation banning t-shirts sales on National Mall did not amount to substantial burden because individuals had </w:t>
      </w:r>
      <w:r>
        <w:rPr>
          <w:color w:val="000000" w:themeColor="text1"/>
        </w:rPr>
        <w:t xml:space="preserve">many </w:t>
      </w:r>
      <w:r w:rsidRPr="00544E69">
        <w:rPr>
          <w:color w:val="000000" w:themeColor="text1"/>
        </w:rPr>
        <w:t>means to spread the gospel, including selling t-shirts on streets surrounding National Mall)</w:t>
      </w:r>
      <w:r w:rsidRPr="00544E69">
        <w:t xml:space="preserve">, </w:t>
      </w:r>
      <w:r w:rsidRPr="00544E69">
        <w:rPr>
          <w:i/>
        </w:rPr>
        <w:t>cert. denied sub nom. Henderson v. Mainella</w:t>
      </w:r>
      <w:r w:rsidRPr="00544E69">
        <w:t>, 535 U.S. 986 (2002)</w:t>
      </w:r>
      <w:r>
        <w:t xml:space="preserve">; </w:t>
      </w:r>
      <w:r w:rsidRPr="002C4FB5">
        <w:rPr>
          <w:i/>
        </w:rPr>
        <w:t>United States v. Any and All Radio Station Equip</w:t>
      </w:r>
      <w:r w:rsidRPr="002C4FB5">
        <w:t>., 93 F.Supp.2d 414, 419 (S.D.N.Y. 2000)</w:t>
      </w:r>
      <w:r w:rsidRPr="00544E69">
        <w:rPr>
          <w:rFonts w:eastAsia="Times New Roman"/>
        </w:rPr>
        <w:t xml:space="preserve"> (</w:t>
      </w:r>
      <w:r w:rsidRPr="00544E69">
        <w:rPr>
          <w:color w:val="000000" w:themeColor="text1"/>
        </w:rPr>
        <w:t xml:space="preserve">fact that there were alternative </w:t>
      </w:r>
      <w:r w:rsidRPr="00544E69">
        <w:t xml:space="preserve">means to disseminate church’s message was one factor in finding no substantial burden from requiring church to obtain an FCC license to use broadcast spectrum). </w:t>
      </w:r>
    </w:p>
  </w:footnote>
  <w:footnote w:id="68">
    <w:p w14:paraId="6C8C941F" w14:textId="060573B6" w:rsidR="00F87713" w:rsidRDefault="00F87713" w:rsidP="00F87713">
      <w:pPr>
        <w:pStyle w:val="FootnoteText"/>
        <w:spacing w:after="120"/>
      </w:pPr>
      <w:r>
        <w:rPr>
          <w:rStyle w:val="FootnoteReference"/>
        </w:rPr>
        <w:footnoteRef/>
      </w:r>
      <w:r>
        <w:t xml:space="preserve"> Petition at 7-8 (citing </w:t>
      </w:r>
      <w:r w:rsidRPr="000B1DAE">
        <w:rPr>
          <w:i/>
        </w:rPr>
        <w:t>Hosanna-Tabor Evangelical Lutheran Church and School v. EEOC</w:t>
      </w:r>
      <w:r>
        <w:t>, 132 S. Ct. 694 (2012) (</w:t>
      </w:r>
      <w:r w:rsidRPr="007C1B75">
        <w:rPr>
          <w:i/>
        </w:rPr>
        <w:t>Hosanna-Tabor</w:t>
      </w:r>
      <w:r>
        <w:t xml:space="preserve">)); </w:t>
      </w:r>
      <w:r>
        <w:rPr>
          <w:i/>
        </w:rPr>
        <w:t xml:space="preserve">see </w:t>
      </w:r>
      <w:r>
        <w:t xml:space="preserve">¶ 11, </w:t>
      </w:r>
      <w:r>
        <w:rPr>
          <w:i/>
        </w:rPr>
        <w:t>supra</w:t>
      </w:r>
      <w:r>
        <w:t>.</w:t>
      </w:r>
    </w:p>
  </w:footnote>
  <w:footnote w:id="69">
    <w:p w14:paraId="681B50A9" w14:textId="77777777" w:rsidR="00F87713" w:rsidRDefault="00F87713" w:rsidP="00F87713">
      <w:pPr>
        <w:pStyle w:val="FootnoteText"/>
        <w:spacing w:after="120"/>
      </w:pPr>
      <w:r>
        <w:rPr>
          <w:rStyle w:val="FootnoteReference"/>
        </w:rPr>
        <w:footnoteRef/>
      </w:r>
      <w:r>
        <w:t xml:space="preserve"> </w:t>
      </w:r>
      <w:r>
        <w:rPr>
          <w:i/>
        </w:rPr>
        <w:t>See H</w:t>
      </w:r>
      <w:r w:rsidRPr="000B1DAE">
        <w:rPr>
          <w:i/>
        </w:rPr>
        <w:t>osanna-Tabor</w:t>
      </w:r>
      <w:r>
        <w:t>, 132 S. Ct. at 705-07.</w:t>
      </w:r>
    </w:p>
  </w:footnote>
  <w:footnote w:id="70">
    <w:p w14:paraId="7AF256B5" w14:textId="77777777" w:rsidR="00F87713" w:rsidRPr="00C423A2" w:rsidRDefault="00F87713" w:rsidP="00F87713">
      <w:pPr>
        <w:pStyle w:val="FootnoteText"/>
        <w:spacing w:after="120"/>
      </w:pPr>
      <w:r>
        <w:rPr>
          <w:rStyle w:val="FootnoteReference"/>
        </w:rPr>
        <w:footnoteRef/>
      </w:r>
      <w:r>
        <w:t xml:space="preserve"> </w:t>
      </w:r>
      <w:r w:rsidRPr="00C423A2">
        <w:rPr>
          <w:i/>
          <w:iCs/>
        </w:rPr>
        <w:t>Serbian</w:t>
      </w:r>
      <w:r>
        <w:rPr>
          <w:i/>
          <w:iCs/>
        </w:rPr>
        <w:t xml:space="preserve"> Eastern Orthodox Diocese for United States and Canada v. Milivojevich</w:t>
      </w:r>
      <w:r>
        <w:rPr>
          <w:iCs/>
        </w:rPr>
        <w:t xml:space="preserve">, 426 U.S. 696 (1976) </w:t>
      </w:r>
      <w:r>
        <w:t>(holding that State Supreme Court’s inquiry into whether the Church had followed its own procedures in removing bishop amounted to an “unconstitutional[] undertak[ing of] the resolution of quintessentially religious controversies whose resolution the First Amendment commits exclusively to the highest ecclesiastical tribunals” of the Church)</w:t>
      </w:r>
      <w:r>
        <w:rPr>
          <w:iCs/>
        </w:rPr>
        <w:t xml:space="preserve">; </w:t>
      </w:r>
      <w:r>
        <w:rPr>
          <w:i/>
        </w:rPr>
        <w:t>Kedroff v. St. Nicholas Cathedral of Russian Orthodox Church in North America</w:t>
      </w:r>
      <w:r>
        <w:t>, 344 U.S. 94 (1952) (holding that state law requiring Russian Orthodox churches to recognize the determination of the governing body of the North American churches</w:t>
      </w:r>
      <w:r w:rsidRPr="006C7FFD">
        <w:t xml:space="preserve"> </w:t>
      </w:r>
      <w:r>
        <w:t xml:space="preserve">as authoritative, rather than the Supreme Church Authority in Moscow, was unconstitutional; explaining that the controversy at issue over the right to use a cathedral was “strictly a matter of ecclesiastical government”).  Petitioner also cites an Establishment Clause case which is not applicable to its Free Exercise claim.  </w:t>
      </w:r>
      <w:r w:rsidRPr="00112009">
        <w:rPr>
          <w:i/>
        </w:rPr>
        <w:t>See</w:t>
      </w:r>
      <w:r>
        <w:t xml:space="preserve"> Petition at 7 </w:t>
      </w:r>
      <w:r>
        <w:rPr>
          <w:iCs/>
        </w:rPr>
        <w:t xml:space="preserve">(citing </w:t>
      </w:r>
      <w:r>
        <w:rPr>
          <w:i/>
          <w:iCs/>
        </w:rPr>
        <w:t>Corporation of Presiding Bishop of Church of Jesus Christ of Latter-Da</w:t>
      </w:r>
      <w:r w:rsidR="009148CE">
        <w:rPr>
          <w:i/>
          <w:iCs/>
        </w:rPr>
        <w:t>y</w:t>
      </w:r>
      <w:r>
        <w:rPr>
          <w:i/>
          <w:iCs/>
        </w:rPr>
        <w:t xml:space="preserve"> Saints v Amos, </w:t>
      </w:r>
      <w:r>
        <w:t>483 U.S. 327 (1987)).</w:t>
      </w:r>
    </w:p>
  </w:footnote>
  <w:footnote w:id="71">
    <w:p w14:paraId="3DF54C80" w14:textId="77777777" w:rsidR="00F87713" w:rsidRDefault="00F87713" w:rsidP="00F87713">
      <w:pPr>
        <w:pStyle w:val="FootnoteText"/>
        <w:spacing w:after="120"/>
      </w:pPr>
      <w:r>
        <w:rPr>
          <w:rStyle w:val="FootnoteReference"/>
        </w:rPr>
        <w:footnoteRef/>
      </w:r>
      <w:r>
        <w:t xml:space="preserve"> </w:t>
      </w:r>
      <w:r w:rsidRPr="000268E5">
        <w:rPr>
          <w:i/>
        </w:rPr>
        <w:t>Implementation of Video Description of Video Programming,</w:t>
      </w:r>
      <w:r>
        <w:t xml:space="preserve"> Report and Order, 15 FCC Rcd 15230, 15254-15256, ¶¶ 60-65 (2000).</w:t>
      </w:r>
      <w:r w:rsidRPr="00E9143F">
        <w:t> </w:t>
      </w:r>
    </w:p>
  </w:footnote>
  <w:footnote w:id="72">
    <w:p w14:paraId="06848FF6" w14:textId="119FFAF6" w:rsidR="00F87713" w:rsidRDefault="00F87713" w:rsidP="00F87713">
      <w:pPr>
        <w:pStyle w:val="FootnoteText"/>
        <w:spacing w:after="120"/>
      </w:pPr>
      <w:r>
        <w:rPr>
          <w:rStyle w:val="FootnoteReference"/>
        </w:rPr>
        <w:footnoteRef/>
      </w:r>
      <w:r>
        <w:t xml:space="preserve"> Gaylord also asserts that </w:t>
      </w:r>
      <w:r>
        <w:rPr>
          <w:i/>
        </w:rPr>
        <w:t>Sunday Mass</w:t>
      </w:r>
      <w:r>
        <w:t xml:space="preserve"> qualifies for the exemption established under section 79.1(d)(8) of the Commission’s rules for locally produced and distributed non-news programming with no repeat value.  </w:t>
      </w:r>
      <w:r>
        <w:rPr>
          <w:i/>
        </w:rPr>
        <w:t xml:space="preserve">See </w:t>
      </w:r>
      <w:r>
        <w:t>n.</w:t>
      </w:r>
      <w:r w:rsidR="00A11BF7">
        <w:t>44</w:t>
      </w:r>
      <w:r>
        <w:t xml:space="preserve">, </w:t>
      </w:r>
      <w:r>
        <w:rPr>
          <w:i/>
        </w:rPr>
        <w:t xml:space="preserve">supra.   </w:t>
      </w:r>
      <w:r>
        <w:t xml:space="preserve">We agree with </w:t>
      </w:r>
      <w:r w:rsidRPr="00DA0C41">
        <w:t xml:space="preserve">Consumer Groups that Gaylord’s programming does not </w:t>
      </w:r>
      <w:r>
        <w:t>qu</w:t>
      </w:r>
      <w:r w:rsidRPr="00DA0C41">
        <w:t xml:space="preserve">alify for a self-implementing exemption under section 79.1(d)(8) of the Commission’s rules, 47 C.F.R. § 79.1(d)(8).  </w:t>
      </w:r>
      <w:r>
        <w:rPr>
          <w:i/>
        </w:rPr>
        <w:t xml:space="preserve">See </w:t>
      </w:r>
      <w:r>
        <w:t>n.</w:t>
      </w:r>
      <w:r w:rsidR="00A11BF7">
        <w:t>54</w:t>
      </w:r>
      <w:r>
        <w:t xml:space="preserve">, </w:t>
      </w:r>
      <w:r>
        <w:rPr>
          <w:i/>
        </w:rPr>
        <w:t xml:space="preserve">supra.  </w:t>
      </w:r>
      <w:r>
        <w:t>This rule categorically exempts from the closed captioning requirements “</w:t>
      </w:r>
      <w:r w:rsidRPr="00DA0C41">
        <w:t xml:space="preserve">[p]rogramming that is locally produced by the </w:t>
      </w:r>
      <w:r w:rsidRPr="00DA0C41">
        <w:rPr>
          <w:i/>
        </w:rPr>
        <w:t>video programming distributor</w:t>
      </w:r>
      <w:r w:rsidRPr="00DA0C41">
        <w:t>, has no repeat value, is of local public interest, is not news programming, and for which the electronic newsroom technique of captioning is unavailable</w:t>
      </w:r>
      <w:r>
        <w:t>.</w:t>
      </w:r>
      <w:r w:rsidRPr="00DA0C41">
        <w:t>”</w:t>
      </w:r>
      <w:r>
        <w:t xml:space="preserve">  47 C.F.R. § 79.1(d)(8).  In this context, the Commission defines </w:t>
      </w:r>
      <w:r w:rsidRPr="00DA0C41">
        <w:t xml:space="preserve">“video programming distributor” </w:t>
      </w:r>
      <w:r>
        <w:t>as “a</w:t>
      </w:r>
      <w:r w:rsidRPr="00DA0C41">
        <w:t>ny television broadcast station licensed by the Commission and any multichannel video programming distributor</w:t>
      </w:r>
      <w:r>
        <w:t xml:space="preserve">, and “any other distributor of video programming for residential reception that delivers such programming directly to the home and is subject to the jurisdiction of the Commission.”  47 C.F.R. § 79.1(a)(2).  As such, based on Gaylord’s submissions, we conclude that </w:t>
      </w:r>
      <w:r>
        <w:rPr>
          <w:i/>
        </w:rPr>
        <w:t>Sunday Mass</w:t>
      </w:r>
      <w:r>
        <w:t xml:space="preserve"> is not exempt under this rule because Gaylord is not a “video programming distributor” as so defined.  </w:t>
      </w:r>
    </w:p>
  </w:footnote>
  <w:footnote w:id="73">
    <w:p w14:paraId="26939275" w14:textId="4F00F28C" w:rsidR="006D61CA" w:rsidRDefault="006D61CA" w:rsidP="006D61CA">
      <w:pPr>
        <w:pStyle w:val="FootnoteText3"/>
        <w:ind w:firstLine="0"/>
        <w:rPr>
          <w:rFonts w:eastAsia="Times New Roman"/>
          <w:color w:val="auto"/>
          <w:lang w:bidi="x-none"/>
        </w:rPr>
      </w:pPr>
      <w:r>
        <w:rPr>
          <w:rStyle w:val="FootnoteReference10"/>
        </w:rPr>
        <w:footnoteRef/>
      </w:r>
      <w:r>
        <w:t xml:space="preserve"> </w:t>
      </w:r>
      <w:r>
        <w:rPr>
          <w:rFonts w:ascii="Times New Roman Italic" w:hAnsi="Times New Roman Italic"/>
        </w:rPr>
        <w:t xml:space="preserve">See </w:t>
      </w:r>
      <w:r w:rsidR="009F523E">
        <w:t xml:space="preserve">¶ </w:t>
      </w:r>
      <w:r w:rsidR="00CB32F5">
        <w:t>1</w:t>
      </w:r>
      <w:r w:rsidR="009F523E">
        <w:t>3</w:t>
      </w:r>
      <w:r>
        <w:t xml:space="preserve">, </w:t>
      </w:r>
      <w:r>
        <w:rPr>
          <w:rFonts w:ascii="Times New Roman Italic" w:hAnsi="Times New Roman Italic"/>
        </w:rPr>
        <w:t>supra</w:t>
      </w:r>
      <w:r>
        <w:t>.</w:t>
      </w:r>
    </w:p>
  </w:footnote>
  <w:footnote w:id="74">
    <w:p w14:paraId="06664DED" w14:textId="77777777" w:rsidR="006D61CA" w:rsidRDefault="006D61CA" w:rsidP="006D61CA">
      <w:pPr>
        <w:pStyle w:val="FootnoteText3"/>
        <w:ind w:firstLine="0"/>
        <w:rPr>
          <w:rFonts w:eastAsia="Times New Roman"/>
          <w:color w:val="auto"/>
          <w:lang w:bidi="x-none"/>
        </w:rPr>
      </w:pPr>
      <w:r>
        <w:rPr>
          <w:rStyle w:val="FootnoteReference10"/>
        </w:rPr>
        <w:footnoteRef/>
      </w:r>
      <w:r>
        <w:t xml:space="preserve"> </w:t>
      </w:r>
      <w:r>
        <w:rPr>
          <w:rFonts w:ascii="Times New Roman Italic" w:hAnsi="Times New Roman Italic"/>
        </w:rPr>
        <w:t>Anglers Reversal MO&amp;O</w:t>
      </w:r>
      <w:r>
        <w:t>, 26 FCC Rcd at 14950, ¶ 17 (explaining that consideration of a petitioner’s request for exemption must take into account “the overall financial resources of the provider or program owner”).</w:t>
      </w:r>
    </w:p>
  </w:footnote>
  <w:footnote w:id="75">
    <w:p w14:paraId="1DC83226" w14:textId="77777777" w:rsidR="006D61CA" w:rsidRDefault="006D61CA" w:rsidP="006D61CA">
      <w:pPr>
        <w:pStyle w:val="FootnoteText3"/>
        <w:ind w:firstLine="0"/>
        <w:rPr>
          <w:rFonts w:eastAsia="Times New Roman"/>
          <w:color w:val="auto"/>
          <w:lang w:bidi="x-none"/>
        </w:rPr>
      </w:pPr>
      <w:r>
        <w:rPr>
          <w:rStyle w:val="FootnoteReference10"/>
        </w:rPr>
        <w:footnoteRef/>
      </w:r>
      <w:r>
        <w:t xml:space="preserve"> </w:t>
      </w:r>
      <w:r>
        <w:rPr>
          <w:rFonts w:ascii="Times New Roman Italic" w:hAnsi="Times New Roman Italic"/>
        </w:rPr>
        <w:t>Id.</w:t>
      </w:r>
    </w:p>
  </w:footnote>
  <w:footnote w:id="76">
    <w:p w14:paraId="2438A65C" w14:textId="77777777" w:rsidR="00CB32F5" w:rsidRDefault="00CB32F5" w:rsidP="00D03E7B">
      <w:pPr>
        <w:pStyle w:val="CommentText1"/>
        <w:spacing w:after="120"/>
        <w:rPr>
          <w:rFonts w:eastAsia="Times New Roman"/>
          <w:color w:val="auto"/>
          <w:lang w:bidi="x-none"/>
        </w:rPr>
      </w:pPr>
      <w:r>
        <w:rPr>
          <w:rStyle w:val="FootnoteReference1"/>
        </w:rPr>
        <w:footnoteRef/>
      </w:r>
      <w:r>
        <w:t xml:space="preserve"> November 2013 Petition Supplement, Exhibit 10 at 2.  </w:t>
      </w:r>
      <w:r>
        <w:rPr>
          <w:rFonts w:ascii="Times New Roman Italic" w:hAnsi="Times New Roman Italic"/>
        </w:rPr>
        <w:t xml:space="preserve">See </w:t>
      </w:r>
      <w:r>
        <w:t xml:space="preserve">¶ 9, </w:t>
      </w:r>
      <w:r>
        <w:rPr>
          <w:rFonts w:ascii="Times New Roman Italic" w:hAnsi="Times New Roman Italic"/>
        </w:rPr>
        <w:t>supra.</w:t>
      </w:r>
      <w:r>
        <w:t xml:space="preserve">  </w:t>
      </w:r>
      <w:r w:rsidDel="0006528B">
        <w:rPr>
          <w:rFonts w:ascii="Times New Roman Italic" w:hAnsi="Times New Roman Italic"/>
        </w:rPr>
        <w:t xml:space="preserve"> </w:t>
      </w:r>
      <w:r>
        <w:rPr>
          <w:rFonts w:ascii="Times New Roman Italic" w:hAnsi="Times New Roman Italic"/>
        </w:rPr>
        <w:t xml:space="preserve">  </w:t>
      </w:r>
    </w:p>
  </w:footnote>
  <w:footnote w:id="77">
    <w:p w14:paraId="2C52E6FF" w14:textId="6544721E" w:rsidR="00FA2EAF" w:rsidRPr="00AE1F6B" w:rsidRDefault="00FA2EAF" w:rsidP="0073375A">
      <w:pPr>
        <w:pStyle w:val="FootnoteText"/>
        <w:spacing w:after="120"/>
      </w:pPr>
      <w:r>
        <w:rPr>
          <w:rStyle w:val="FootnoteReference"/>
        </w:rPr>
        <w:footnoteRef/>
      </w:r>
      <w:r>
        <w:t xml:space="preserve"> </w:t>
      </w:r>
      <w:r w:rsidR="009148CE" w:rsidRPr="00AE1F6B">
        <w:rPr>
          <w:i/>
        </w:rPr>
        <w:t xml:space="preserve">See </w:t>
      </w:r>
      <w:r w:rsidR="009148CE">
        <w:t>¶</w:t>
      </w:r>
      <w:r>
        <w:t xml:space="preserve"> 10, </w:t>
      </w:r>
      <w:r>
        <w:rPr>
          <w:i/>
        </w:rPr>
        <w:t>supra.</w:t>
      </w:r>
    </w:p>
  </w:footnote>
  <w:footnote w:id="78">
    <w:p w14:paraId="03749ABC" w14:textId="77777777" w:rsidR="00CB32F5" w:rsidRDefault="00CB32F5" w:rsidP="00AE1F6B">
      <w:pPr>
        <w:pStyle w:val="FootnoteText1"/>
        <w:rPr>
          <w:rFonts w:eastAsia="Times New Roman"/>
          <w:color w:val="auto"/>
          <w:lang w:bidi="x-none"/>
        </w:rPr>
      </w:pPr>
      <w:r>
        <w:rPr>
          <w:rStyle w:val="FootnoteReference10"/>
        </w:rPr>
        <w:footnoteRef/>
      </w:r>
      <w:r>
        <w:t xml:space="preserve"> </w:t>
      </w:r>
      <w:r>
        <w:rPr>
          <w:rFonts w:ascii="Times New Roman Italic" w:hAnsi="Times New Roman Italic"/>
        </w:rPr>
        <w:t xml:space="preserve">See </w:t>
      </w:r>
      <w:r>
        <w:t xml:space="preserve">¶ 8, </w:t>
      </w:r>
      <w:r w:rsidRPr="004013B9">
        <w:rPr>
          <w:i/>
        </w:rPr>
        <w:t>supra</w:t>
      </w:r>
      <w:r>
        <w:t>.</w:t>
      </w:r>
    </w:p>
  </w:footnote>
  <w:footnote w:id="79">
    <w:p w14:paraId="2B60C676" w14:textId="77777777" w:rsidR="00CB32F5" w:rsidRDefault="00CB32F5" w:rsidP="00AE1F6B">
      <w:pPr>
        <w:pStyle w:val="FootnoteText1"/>
        <w:jc w:val="left"/>
        <w:rPr>
          <w:rFonts w:eastAsia="Times New Roman"/>
          <w:color w:val="auto"/>
          <w:lang w:bidi="x-none"/>
        </w:rPr>
      </w:pPr>
      <w:r w:rsidRPr="00AE1F6B">
        <w:rPr>
          <w:rStyle w:val="FootnoteReference1"/>
        </w:rPr>
        <w:footnoteRef/>
      </w:r>
      <w:r>
        <w:t xml:space="preserve"> 47 U.S.C. § 613, 47 C.F.R. §§ 0.141(f), 79.1(f).</w:t>
      </w:r>
    </w:p>
  </w:footnote>
  <w:footnote w:id="80">
    <w:p w14:paraId="3AAA5E21" w14:textId="77777777" w:rsidR="00CB32F5" w:rsidRPr="00D37256" w:rsidRDefault="00CB32F5" w:rsidP="00AE1F6B">
      <w:pPr>
        <w:pStyle w:val="FootnoteText1"/>
      </w:pPr>
      <w:r w:rsidRPr="00D37256">
        <w:rPr>
          <w:rStyle w:val="FootnoteReference"/>
        </w:rPr>
        <w:footnoteRef/>
      </w:r>
      <w:r w:rsidRPr="00D37256">
        <w:rPr>
          <w:i/>
        </w:rPr>
        <w:t xml:space="preserve"> See</w:t>
      </w:r>
      <w:r w:rsidRPr="00D37256">
        <w:t xml:space="preserve"> </w:t>
      </w:r>
      <w:r w:rsidRPr="00D37256">
        <w:rPr>
          <w:i/>
        </w:rPr>
        <w:t xml:space="preserve">Notice of </w:t>
      </w:r>
      <w:r w:rsidRPr="002E1EF8">
        <w:rPr>
          <w:i/>
        </w:rPr>
        <w:t>New</w:t>
      </w:r>
      <w:r w:rsidRPr="00D37256">
        <w:rPr>
          <w:i/>
        </w:rPr>
        <w:t xml:space="preserve"> Electronic Filing Procedures for Television Closed Captioning Exemption Requests</w:t>
      </w:r>
      <w:r w:rsidRPr="00D37256">
        <w:t>, Public Notice,</w:t>
      </w:r>
      <w:r w:rsidR="009F523E">
        <w:t xml:space="preserve"> </w:t>
      </w:r>
      <w:r w:rsidRPr="00D37256">
        <w:t>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EE544" w14:textId="77777777" w:rsidR="001421BB" w:rsidRDefault="00142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9F9D8" w14:textId="4B05EF4D" w:rsidR="00CB32F5" w:rsidRDefault="00CB32F5" w:rsidP="004013B9">
    <w:pPr>
      <w:pStyle w:val="Header"/>
      <w:tabs>
        <w:tab w:val="clear" w:pos="4320"/>
        <w:tab w:val="clear" w:pos="8640"/>
        <w:tab w:val="center" w:pos="4680"/>
        <w:tab w:val="right" w:pos="9360"/>
      </w:tabs>
      <w:ind w:left="720"/>
      <w:rPr>
        <w:b/>
      </w:rPr>
    </w:pPr>
    <w:r>
      <w:rPr>
        <w:b/>
      </w:rPr>
      <w:tab/>
      <w:t>Federal Communications Commission</w:t>
    </w:r>
    <w:r>
      <w:rPr>
        <w:b/>
      </w:rPr>
      <w:tab/>
      <w:t xml:space="preserve"> DA 15-</w:t>
    </w:r>
    <w:r w:rsidR="00A04A9B">
      <w:rPr>
        <w:b/>
      </w:rPr>
      <w:t>840</w:t>
    </w:r>
  </w:p>
  <w:p w14:paraId="0F22B5DA" w14:textId="77777777" w:rsidR="00CB32F5" w:rsidRDefault="00CB32F5" w:rsidP="00B2602B">
    <w:pPr>
      <w:pStyle w:val="Header"/>
      <w:tabs>
        <w:tab w:val="clear" w:pos="8640"/>
        <w:tab w:val="right" w:pos="9360"/>
      </w:tabs>
    </w:pPr>
    <w:r>
      <w:rPr>
        <w:noProof/>
      </w:rPr>
      <mc:AlternateContent>
        <mc:Choice Requires="wps">
          <w:drawing>
            <wp:anchor distT="4294967293" distB="4294967293" distL="114300" distR="114300" simplePos="0" relativeHeight="251662848" behindDoc="0" locked="0" layoutInCell="0" allowOverlap="1" wp14:anchorId="17209AB9" wp14:editId="58DC66D0">
              <wp:simplePos x="0" y="0"/>
              <wp:positionH relativeFrom="column">
                <wp:posOffset>0</wp:posOffset>
              </wp:positionH>
              <wp:positionV relativeFrom="paragraph">
                <wp:posOffset>22224</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AABDB6" id="Line 4"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t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BftW3kSAgAA&#10;KQQAAA4AAAAAAAAAAAAAAAAALgIAAGRycy9lMm9Eb2MueG1sUEsBAi0AFAAGAAgAAAAhAO4pKK7Y&#10;AAAABAEAAA8AAAAAAAAAAAAAAAAAbAQAAGRycy9kb3ducmV2LnhtbFBLBQYAAAAABAAEAPMAAABx&#10;BQAAAAA=&#10;" o:allowincell="f" strokeweight="1.5pt"/>
          </w:pict>
        </mc:Fallback>
      </mc:AlternateContent>
    </w:r>
  </w:p>
  <w:p w14:paraId="41A732A1" w14:textId="77777777" w:rsidR="00CB32F5" w:rsidRDefault="00CB32F5" w:rsidP="00A74447">
    <w:pPr>
      <w:pStyle w:val="Header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C733" w14:textId="1989583D" w:rsidR="00CB32F5" w:rsidRPr="00A74447" w:rsidRDefault="004013B9" w:rsidP="00A74447">
    <w:pPr>
      <w:pStyle w:val="Header1"/>
    </w:pPr>
    <w:r>
      <w:t xml:space="preserve">                                                     </w:t>
    </w:r>
    <w:r w:rsidR="00CB32F5" w:rsidRPr="00A74447">
      <w:t>Federal Communications Commission</w:t>
    </w:r>
    <w:r w:rsidR="00CB32F5" w:rsidRPr="00A74447">
      <w:tab/>
      <w:t xml:space="preserve"> </w:t>
    </w:r>
    <w:r w:rsidRPr="00A74447">
      <w:t xml:space="preserve">                   </w:t>
    </w:r>
    <w:r w:rsidR="00CB32F5" w:rsidRPr="00A74447">
      <w:t>DA 15-</w:t>
    </w:r>
    <w:r w:rsidR="00A04A9B">
      <w:t>840</w:t>
    </w:r>
  </w:p>
  <w:p w14:paraId="5FEC9FEE" w14:textId="77777777" w:rsidR="00CB32F5" w:rsidRPr="00B2602B" w:rsidRDefault="00CB32F5" w:rsidP="00A74447">
    <w:pPr>
      <w:pStyle w:val="Header1"/>
    </w:pPr>
    <w:r>
      <w:tab/>
    </w:r>
    <w:r>
      <w:tab/>
    </w:r>
    <w:r>
      <w:tab/>
    </w:r>
    <w:r w:rsidRPr="00B2602B">
      <w:rPr>
        <w:noProof/>
      </w:rPr>
      <mc:AlternateContent>
        <mc:Choice Requires="wps">
          <w:drawing>
            <wp:anchor distT="4294967293" distB="4294967293" distL="114300" distR="114300" simplePos="0" relativeHeight="251660800" behindDoc="0" locked="0" layoutInCell="0" allowOverlap="1" wp14:anchorId="5370E662" wp14:editId="2D431100">
              <wp:simplePos x="0" y="0"/>
              <wp:positionH relativeFrom="column">
                <wp:posOffset>0</wp:posOffset>
              </wp:positionH>
              <wp:positionV relativeFrom="paragraph">
                <wp:posOffset>22224</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AB75A4" id="Line 4"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5E+zFESjgy8hxZBorPOfuO5QMEosgXMEJqet84EIKYaQcI/SGyFl&#10;FFsq1APbRTpNY4bTUrDgDXHOHvaVtOhEwrzEL5YFnscwq4+KRbSWE7a+2Z4IebXhdqkCHtQCfG7W&#10;dSB+LNLFer6e56N8MluP8rSuRx83VT6abbIP0/qprqo6+xmoZXnRCsa4CuyG4czyvxP/9kyuY3Uf&#10;z3sfkrfosWFAdvhH0lHMoN91EvaaXXZ2EBnmMQbf3k4Y+Mc92I8vfPUL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IG5GvxECAAAp&#10;BAAADgAAAAAAAAAAAAAAAAAuAgAAZHJzL2Uyb0RvYy54bWxQSwECLQAUAAYACAAAACEA7ikortgA&#10;AAAEAQAADwAAAAAAAAAAAAAAAABrBAAAZHJzL2Rvd25yZXYueG1sUEsFBgAAAAAEAAQA8wAAAHAF&#10;AAAAAA==&#10;" o:allowincell="f" strokeweight="1.5pt"/>
          </w:pict>
        </mc:Fallback>
      </mc:AlternateContent>
    </w:r>
  </w:p>
  <w:p w14:paraId="13C05457" w14:textId="77777777" w:rsidR="00CB32F5" w:rsidRDefault="00CB32F5" w:rsidP="00A74447">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720"/>
        </w:tabs>
        <w:ind w:left="720" w:firstLine="0"/>
      </w:pPr>
      <w:rPr>
        <w:rFonts w:ascii="Tipo de letra del sistema Fina" w:eastAsia="ヒラギノ角ゴ Pro W3" w:hAnsi="Tipo de letra del sistema Fina" w:hint="default"/>
        <w:b/>
        <w:caps w:val="0"/>
        <w:smallCaps w:val="0"/>
        <w:strike w:val="0"/>
        <w:dstrike w:val="0"/>
        <w:vanish w:val="0"/>
        <w:color w:val="000000"/>
        <w:position w:val="0"/>
        <w:sz w:val="22"/>
        <w:vertAlign w:val="baseline"/>
      </w:rPr>
    </w:lvl>
    <w:lvl w:ilvl="1">
      <w:start w:val="1"/>
      <w:numFmt w:val="upperLetter"/>
      <w:lvlText w:val="%2."/>
      <w:lvlJc w:val="left"/>
      <w:pPr>
        <w:tabs>
          <w:tab w:val="num" w:pos="720"/>
        </w:tabs>
        <w:ind w:left="720" w:firstLine="720"/>
      </w:pPr>
      <w:rPr>
        <w:rFonts w:hint="default"/>
        <w:color w:val="000000"/>
        <w:position w:val="0"/>
        <w:sz w:val="22"/>
      </w:rPr>
    </w:lvl>
    <w:lvl w:ilvl="2">
      <w:start w:val="1"/>
      <w:numFmt w:val="decimal"/>
      <w:isLgl/>
      <w:lvlText w:val="%3."/>
      <w:lvlJc w:val="left"/>
      <w:pPr>
        <w:tabs>
          <w:tab w:val="num" w:pos="720"/>
        </w:tabs>
        <w:ind w:left="720" w:firstLine="1440"/>
      </w:pPr>
      <w:rPr>
        <w:rFonts w:hint="default"/>
        <w:color w:val="000000"/>
        <w:position w:val="0"/>
        <w:sz w:val="22"/>
      </w:rPr>
    </w:lvl>
    <w:lvl w:ilvl="3">
      <w:start w:val="1"/>
      <w:numFmt w:val="lowerLetter"/>
      <w:lvlText w:val="%4."/>
      <w:lvlJc w:val="left"/>
      <w:pPr>
        <w:tabs>
          <w:tab w:val="num" w:pos="720"/>
        </w:tabs>
        <w:ind w:left="720" w:firstLine="2160"/>
      </w:pPr>
      <w:rPr>
        <w:rFonts w:hint="default"/>
        <w:color w:val="000000"/>
        <w:position w:val="0"/>
        <w:sz w:val="22"/>
      </w:rPr>
    </w:lvl>
    <w:lvl w:ilvl="4">
      <w:start w:val="1"/>
      <w:numFmt w:val="lowerRoman"/>
      <w:lvlText w:val="(%5)"/>
      <w:lvlJc w:val="left"/>
      <w:pPr>
        <w:tabs>
          <w:tab w:val="num" w:pos="720"/>
        </w:tabs>
        <w:ind w:left="720" w:firstLine="2880"/>
      </w:pPr>
      <w:rPr>
        <w:rFonts w:ascii="Tahoma Bold" w:eastAsia="ヒラギノ角ゴ Pro W3" w:hAnsi="Tahoma Bold" w:hint="default"/>
        <w:caps w:val="0"/>
        <w:smallCaps w:val="0"/>
        <w:strike w:val="0"/>
        <w:dstrike w:val="0"/>
        <w:vanish w:val="0"/>
        <w:color w:val="000000"/>
        <w:position w:val="0"/>
        <w:sz w:val="22"/>
        <w:vertAlign w:val="baseline"/>
      </w:rPr>
    </w:lvl>
    <w:lvl w:ilvl="5">
      <w:start w:val="1"/>
      <w:numFmt w:val="lowerLetter"/>
      <w:lvlText w:val="(%6)"/>
      <w:lvlJc w:val="left"/>
      <w:pPr>
        <w:tabs>
          <w:tab w:val="num" w:pos="720"/>
        </w:tabs>
        <w:ind w:left="720" w:firstLine="3600"/>
      </w:pPr>
      <w:rPr>
        <w:rFonts w:hint="default"/>
        <w:color w:val="000000"/>
        <w:position w:val="0"/>
        <w:sz w:val="22"/>
      </w:rPr>
    </w:lvl>
    <w:lvl w:ilvl="6">
      <w:start w:val="1"/>
      <w:numFmt w:val="lowerRoman"/>
      <w:suff w:val="nothing"/>
      <w:lvlText w:val="(%7)"/>
      <w:lvlJc w:val="left"/>
      <w:pPr>
        <w:ind w:left="0" w:firstLine="4320"/>
      </w:pPr>
      <w:rPr>
        <w:rFonts w:hint="default"/>
        <w:color w:val="000000"/>
        <w:position w:val="0"/>
        <w:sz w:val="22"/>
      </w:rPr>
    </w:lvl>
    <w:lvl w:ilvl="7">
      <w:start w:val="1"/>
      <w:numFmt w:val="lowerLetter"/>
      <w:suff w:val="nothing"/>
      <w:lvlText w:val="(%8)"/>
      <w:lvlJc w:val="left"/>
      <w:pPr>
        <w:ind w:left="0" w:firstLine="5040"/>
      </w:pPr>
      <w:rPr>
        <w:rFonts w:hint="default"/>
        <w:color w:val="000000"/>
        <w:position w:val="0"/>
        <w:sz w:val="22"/>
      </w:rPr>
    </w:lvl>
    <w:lvl w:ilvl="8">
      <w:start w:val="1"/>
      <w:numFmt w:val="lowerRoman"/>
      <w:suff w:val="nothing"/>
      <w:lvlText w:val="(%9)"/>
      <w:lvlJc w:val="left"/>
      <w:pPr>
        <w:ind w:left="0" w:firstLine="0"/>
      </w:pPr>
      <w:rPr>
        <w:rFonts w:ascii="Tipo de letra del sistema Fina" w:eastAsia="ヒラギノ角ゴ Pro W3" w:hAnsi="Tipo de letra del sistema Fina" w:hint="default"/>
        <w:b/>
        <w:color w:val="000000"/>
        <w:position w:val="0"/>
        <w:sz w:val="22"/>
      </w:rPr>
    </w:lvl>
  </w:abstractNum>
  <w:abstractNum w:abstractNumId="1">
    <w:nsid w:val="00000002"/>
    <w:multiLevelType w:val="multilevel"/>
    <w:tmpl w:val="91561A8C"/>
    <w:lvl w:ilvl="0">
      <w:start w:val="1"/>
      <w:numFmt w:val="decimal"/>
      <w:pStyle w:val="ParaNum"/>
      <w:lvlText w:val="%1."/>
      <w:lvlJc w:val="left"/>
      <w:pPr>
        <w:ind w:left="0" w:firstLine="720"/>
      </w:pPr>
      <w:rPr>
        <w:rFonts w:hint="default"/>
        <w:caps w:val="0"/>
        <w:smallCaps w:val="0"/>
        <w:strike w:val="0"/>
        <w:dstrike w:val="0"/>
        <w:vanish w:val="0"/>
        <w:color w:val="000000"/>
        <w:position w:val="0"/>
        <w:sz w:val="22"/>
        <w:vertAlign w:val="baseline"/>
      </w:rPr>
    </w:lvl>
    <w:lvl w:ilvl="1">
      <w:start w:val="1"/>
      <w:numFmt w:val="decimal"/>
      <w:isLgl/>
      <w:suff w:val="nothing"/>
      <w:lvlText w:val="%1."/>
      <w:lvlJc w:val="left"/>
      <w:pPr>
        <w:ind w:left="0" w:firstLine="720"/>
      </w:pPr>
      <w:rPr>
        <w:rFonts w:hint="default"/>
        <w:caps w:val="0"/>
        <w:smallCaps w:val="0"/>
        <w:strike w:val="0"/>
        <w:dstrike w:val="0"/>
        <w:vanish w:val="0"/>
        <w:color w:val="000000"/>
        <w:position w:val="0"/>
        <w:sz w:val="22"/>
        <w:vertAlign w:val="baseline"/>
      </w:rPr>
    </w:lvl>
    <w:lvl w:ilvl="2">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3">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4">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5">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6">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7">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8">
      <w:start w:val="1"/>
      <w:numFmt w:val="bullet"/>
      <w:lvlText w:val=""/>
      <w:lvlJc w:val="left"/>
      <w:pPr>
        <w:tabs>
          <w:tab w:val="num" w:pos="1440"/>
        </w:tabs>
        <w:ind w:left="1440" w:firstLine="0"/>
      </w:pPr>
      <w:rPr>
        <w:rFonts w:hint="default"/>
        <w:caps w:val="0"/>
        <w:smallCaps w:val="0"/>
        <w:strike w:val="0"/>
        <w:dstrike w:val="0"/>
        <w:vanish w:val="0"/>
        <w:color w:val="000000"/>
        <w:position w:val="0"/>
        <w:sz w:val="22"/>
        <w:vertAlign w:val="baseline"/>
      </w:rPr>
    </w:lvl>
  </w:abstractNum>
  <w:abstractNum w:abstractNumId="2">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2"/>
      <w:numFmt w:val="decimal"/>
      <w:isLgl/>
      <w:lvlText w:val="%1."/>
      <w:lvlJc w:val="left"/>
      <w:pPr>
        <w:tabs>
          <w:tab w:val="num" w:pos="720"/>
        </w:tabs>
        <w:ind w:left="720" w:firstLine="0"/>
      </w:pPr>
      <w:rPr>
        <w:rFonts w:ascii="Lucida Grande" w:eastAsia="ヒラギノ角ゴ Pro W3" w:hAnsi="Symbol" w:hint="default"/>
        <w:color w:val="000000"/>
        <w:position w:val="0"/>
        <w:sz w:val="22"/>
      </w:rPr>
    </w:lvl>
    <w:lvl w:ilvl="1">
      <w:start w:val="1"/>
      <w:numFmt w:val="decimal"/>
      <w:isLgl/>
      <w:suff w:val="nothing"/>
      <w:lvlText w:val="%1."/>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080"/>
      </w:pPr>
      <w:rPr>
        <w:rFonts w:ascii="Wingdings" w:eastAsia="ヒラギノ角ゴ Pro W3" w:hAnsi="Wingdings" w:hint="default"/>
        <w:color w:val="000000"/>
        <w:position w:val="0"/>
        <w:sz w:val="22"/>
      </w:rPr>
    </w:lvl>
    <w:lvl w:ilvl="3">
      <w:start w:val="1"/>
      <w:numFmt w:val="bullet"/>
      <w:suff w:val="nothing"/>
      <w:lvlText w:val=""/>
      <w:lvlJc w:val="left"/>
      <w:pPr>
        <w:ind w:left="0" w:firstLine="1080"/>
      </w:pPr>
      <w:rPr>
        <w:rFonts w:ascii="Lucida Grande" w:eastAsia="ヒラギノ角ゴ Pro W3" w:hAnsi="Symbol" w:hint="default"/>
        <w:color w:val="000000"/>
        <w:position w:val="0"/>
        <w:sz w:val="22"/>
      </w:rPr>
    </w:lvl>
    <w:lvl w:ilvl="4">
      <w:start w:val="1"/>
      <w:numFmt w:val="bullet"/>
      <w:suff w:val="nothing"/>
      <w:lvlText w:val=""/>
      <w:lvlJc w:val="left"/>
      <w:pPr>
        <w:ind w:left="0" w:firstLine="1080"/>
      </w:pPr>
      <w:rPr>
        <w:rFonts w:ascii="Courier New" w:eastAsia="ヒラギノ角ゴ Pro W3" w:hAnsi="Courier New" w:hint="default"/>
        <w:color w:val="000000"/>
        <w:position w:val="0"/>
        <w:sz w:val="22"/>
      </w:rPr>
    </w:lvl>
    <w:lvl w:ilvl="5">
      <w:start w:val="1"/>
      <w:numFmt w:val="bullet"/>
      <w:suff w:val="nothing"/>
      <w:lvlText w:val=""/>
      <w:lvlJc w:val="left"/>
      <w:pPr>
        <w:ind w:left="0" w:firstLine="1080"/>
      </w:pPr>
      <w:rPr>
        <w:rFonts w:ascii="Wingdings" w:eastAsia="ヒラギノ角ゴ Pro W3" w:hAnsi="Wingdings" w:hint="default"/>
        <w:color w:val="000000"/>
        <w:position w:val="0"/>
        <w:sz w:val="22"/>
      </w:rPr>
    </w:lvl>
    <w:lvl w:ilvl="6">
      <w:start w:val="1"/>
      <w:numFmt w:val="bullet"/>
      <w:suff w:val="nothing"/>
      <w:lvlText w:val=""/>
      <w:lvlJc w:val="left"/>
      <w:pPr>
        <w:ind w:left="0" w:firstLine="1080"/>
      </w:pPr>
      <w:rPr>
        <w:rFonts w:ascii="Lucida Grande" w:eastAsia="ヒラギノ角ゴ Pro W3" w:hAnsi="Symbol" w:hint="default"/>
        <w:color w:val="000000"/>
        <w:position w:val="0"/>
        <w:sz w:val="22"/>
      </w:rPr>
    </w:lvl>
    <w:lvl w:ilvl="7">
      <w:start w:val="1"/>
      <w:numFmt w:val="bullet"/>
      <w:suff w:val="nothing"/>
      <w:lvlText w:val=""/>
      <w:lvlJc w:val="left"/>
      <w:pPr>
        <w:ind w:left="0" w:firstLine="1080"/>
      </w:pPr>
      <w:rPr>
        <w:rFonts w:ascii="Courier New" w:eastAsia="ヒラギノ角ゴ Pro W3" w:hAnsi="Courier New" w:hint="default"/>
        <w:color w:val="000000"/>
        <w:position w:val="0"/>
        <w:sz w:val="22"/>
      </w:rPr>
    </w:lvl>
    <w:lvl w:ilvl="8">
      <w:start w:val="1"/>
      <w:numFmt w:val="bullet"/>
      <w:suff w:val="nothing"/>
      <w:lvlText w:val=""/>
      <w:lvlJc w:val="left"/>
      <w:pPr>
        <w:ind w:left="0" w:firstLine="1800"/>
      </w:pPr>
      <w:rPr>
        <w:rFonts w:ascii="Wingdings" w:eastAsia="ヒラギノ角ゴ Pro W3" w:hAnsi="Wingdings" w:hint="default"/>
        <w:color w:val="000000"/>
        <w:position w:val="0"/>
        <w:sz w:val="22"/>
      </w:rPr>
    </w:lvl>
  </w:abstractNum>
  <w:abstractNum w:abstractNumId="5">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0C3333F"/>
    <w:multiLevelType w:val="hybridMultilevel"/>
    <w:tmpl w:val="75E66414"/>
    <w:lvl w:ilvl="0" w:tplc="901ADB1C">
      <w:start w:val="1"/>
      <w:numFmt w:val="decimal"/>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
  </w:num>
  <w:num w:numId="7">
    <w:abstractNumId w:val="7"/>
  </w:num>
  <w:num w:numId="8">
    <w:abstractNumId w:val="1"/>
  </w:num>
  <w:num w:numId="9">
    <w:abstractNumId w:val="6"/>
  </w:num>
  <w:num w:numId="10">
    <w:abstractNumId w:val="5"/>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DF"/>
    <w:rsid w:val="00013498"/>
    <w:rsid w:val="000160A2"/>
    <w:rsid w:val="000166E3"/>
    <w:rsid w:val="0002469C"/>
    <w:rsid w:val="000447B4"/>
    <w:rsid w:val="0006528B"/>
    <w:rsid w:val="00086704"/>
    <w:rsid w:val="00097AA2"/>
    <w:rsid w:val="000A5F13"/>
    <w:rsid w:val="000A7453"/>
    <w:rsid w:val="000B7D42"/>
    <w:rsid w:val="000C43FF"/>
    <w:rsid w:val="000D0FAE"/>
    <w:rsid w:val="001068BA"/>
    <w:rsid w:val="00116566"/>
    <w:rsid w:val="00127EE4"/>
    <w:rsid w:val="001300C0"/>
    <w:rsid w:val="001421BB"/>
    <w:rsid w:val="00162A6D"/>
    <w:rsid w:val="00164DD7"/>
    <w:rsid w:val="00167515"/>
    <w:rsid w:val="00172CAC"/>
    <w:rsid w:val="00173253"/>
    <w:rsid w:val="001926F3"/>
    <w:rsid w:val="001A0144"/>
    <w:rsid w:val="001F5E72"/>
    <w:rsid w:val="00206001"/>
    <w:rsid w:val="00220C35"/>
    <w:rsid w:val="0022695C"/>
    <w:rsid w:val="00252E4B"/>
    <w:rsid w:val="00272571"/>
    <w:rsid w:val="002C774D"/>
    <w:rsid w:val="00300259"/>
    <w:rsid w:val="00305576"/>
    <w:rsid w:val="003203AA"/>
    <w:rsid w:val="0032723A"/>
    <w:rsid w:val="00346C84"/>
    <w:rsid w:val="00376B10"/>
    <w:rsid w:val="0038152A"/>
    <w:rsid w:val="003B273F"/>
    <w:rsid w:val="003C0CC2"/>
    <w:rsid w:val="003C7739"/>
    <w:rsid w:val="004013B9"/>
    <w:rsid w:val="0045404A"/>
    <w:rsid w:val="00477F7E"/>
    <w:rsid w:val="004A7F4B"/>
    <w:rsid w:val="004B3226"/>
    <w:rsid w:val="004D3133"/>
    <w:rsid w:val="004D6140"/>
    <w:rsid w:val="004D7FCB"/>
    <w:rsid w:val="004F0EAC"/>
    <w:rsid w:val="004F2F38"/>
    <w:rsid w:val="004F616B"/>
    <w:rsid w:val="004F71EA"/>
    <w:rsid w:val="00550AA6"/>
    <w:rsid w:val="005852E3"/>
    <w:rsid w:val="005A5E31"/>
    <w:rsid w:val="005C5EDF"/>
    <w:rsid w:val="005C69E4"/>
    <w:rsid w:val="006201B7"/>
    <w:rsid w:val="00622F88"/>
    <w:rsid w:val="006560AB"/>
    <w:rsid w:val="00677E04"/>
    <w:rsid w:val="00680FCC"/>
    <w:rsid w:val="006B32E0"/>
    <w:rsid w:val="006B350F"/>
    <w:rsid w:val="006D61CA"/>
    <w:rsid w:val="006E33EA"/>
    <w:rsid w:val="00701256"/>
    <w:rsid w:val="00711D7A"/>
    <w:rsid w:val="00722863"/>
    <w:rsid w:val="00732A79"/>
    <w:rsid w:val="0073375A"/>
    <w:rsid w:val="00742390"/>
    <w:rsid w:val="0076340D"/>
    <w:rsid w:val="00765613"/>
    <w:rsid w:val="00771776"/>
    <w:rsid w:val="00780FC4"/>
    <w:rsid w:val="007B204A"/>
    <w:rsid w:val="007B5BDF"/>
    <w:rsid w:val="007B5D71"/>
    <w:rsid w:val="007E6220"/>
    <w:rsid w:val="007F1077"/>
    <w:rsid w:val="008242A0"/>
    <w:rsid w:val="0083741A"/>
    <w:rsid w:val="008422DF"/>
    <w:rsid w:val="0085610B"/>
    <w:rsid w:val="00877E8D"/>
    <w:rsid w:val="008C3710"/>
    <w:rsid w:val="008E70E4"/>
    <w:rsid w:val="009148CE"/>
    <w:rsid w:val="00921A06"/>
    <w:rsid w:val="00955F30"/>
    <w:rsid w:val="00971ED8"/>
    <w:rsid w:val="009720A0"/>
    <w:rsid w:val="00972894"/>
    <w:rsid w:val="00990E74"/>
    <w:rsid w:val="009976AE"/>
    <w:rsid w:val="009B250A"/>
    <w:rsid w:val="009C0F59"/>
    <w:rsid w:val="009D066E"/>
    <w:rsid w:val="009D6B8F"/>
    <w:rsid w:val="009F523E"/>
    <w:rsid w:val="00A04A9B"/>
    <w:rsid w:val="00A11BF7"/>
    <w:rsid w:val="00A25B34"/>
    <w:rsid w:val="00A3112B"/>
    <w:rsid w:val="00A37627"/>
    <w:rsid w:val="00A46D47"/>
    <w:rsid w:val="00A7298A"/>
    <w:rsid w:val="00A74447"/>
    <w:rsid w:val="00A8313D"/>
    <w:rsid w:val="00A85AAB"/>
    <w:rsid w:val="00A9545D"/>
    <w:rsid w:val="00AB033B"/>
    <w:rsid w:val="00AE1F6B"/>
    <w:rsid w:val="00B15E97"/>
    <w:rsid w:val="00B2602B"/>
    <w:rsid w:val="00B51D6A"/>
    <w:rsid w:val="00B52502"/>
    <w:rsid w:val="00B53582"/>
    <w:rsid w:val="00B901E0"/>
    <w:rsid w:val="00B93BE7"/>
    <w:rsid w:val="00BD3639"/>
    <w:rsid w:val="00BE2212"/>
    <w:rsid w:val="00BE2AB7"/>
    <w:rsid w:val="00C11D0A"/>
    <w:rsid w:val="00C423A2"/>
    <w:rsid w:val="00C51365"/>
    <w:rsid w:val="00C51DE4"/>
    <w:rsid w:val="00C814F1"/>
    <w:rsid w:val="00C9087A"/>
    <w:rsid w:val="00CA2B67"/>
    <w:rsid w:val="00CB32F5"/>
    <w:rsid w:val="00CC0890"/>
    <w:rsid w:val="00CD02F6"/>
    <w:rsid w:val="00CF2DE5"/>
    <w:rsid w:val="00D03E7B"/>
    <w:rsid w:val="00D13131"/>
    <w:rsid w:val="00D22C0B"/>
    <w:rsid w:val="00D4184D"/>
    <w:rsid w:val="00D67D79"/>
    <w:rsid w:val="00D9097C"/>
    <w:rsid w:val="00D94B80"/>
    <w:rsid w:val="00DA0C41"/>
    <w:rsid w:val="00DC2870"/>
    <w:rsid w:val="00DE1943"/>
    <w:rsid w:val="00E0343A"/>
    <w:rsid w:val="00E20A20"/>
    <w:rsid w:val="00E34158"/>
    <w:rsid w:val="00EB7750"/>
    <w:rsid w:val="00EC3E76"/>
    <w:rsid w:val="00EC4FB3"/>
    <w:rsid w:val="00EC5072"/>
    <w:rsid w:val="00EC6C3A"/>
    <w:rsid w:val="00EE4A37"/>
    <w:rsid w:val="00EE7B71"/>
    <w:rsid w:val="00EF471C"/>
    <w:rsid w:val="00F071E5"/>
    <w:rsid w:val="00F260CE"/>
    <w:rsid w:val="00F30716"/>
    <w:rsid w:val="00F34C5D"/>
    <w:rsid w:val="00F4289C"/>
    <w:rsid w:val="00F608DD"/>
    <w:rsid w:val="00F7151C"/>
    <w:rsid w:val="00F73112"/>
    <w:rsid w:val="00F8177E"/>
    <w:rsid w:val="00F87713"/>
    <w:rsid w:val="00F87743"/>
    <w:rsid w:val="00F936E2"/>
    <w:rsid w:val="00FA2EAF"/>
    <w:rsid w:val="00FA49F9"/>
    <w:rsid w:val="00FD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3203AA"/>
    <w:pPr>
      <w:tabs>
        <w:tab w:val="center" w:pos="4320"/>
        <w:tab w:val="right" w:pos="9340"/>
      </w:tabs>
    </w:pPr>
    <w:rPr>
      <w:rFonts w:eastAsia="ヒラギノ角ゴ Pro W3"/>
      <w:b/>
      <w:color w:val="000000"/>
      <w:sz w:val="22"/>
    </w:rPr>
  </w:style>
  <w:style w:type="paragraph" w:customStyle="1" w:styleId="Footer1">
    <w:name w:val="Footer1"/>
    <w:pPr>
      <w:tabs>
        <w:tab w:val="center" w:pos="4320"/>
        <w:tab w:val="right" w:pos="8640"/>
      </w:tabs>
    </w:pPr>
    <w:rPr>
      <w:rFonts w:eastAsia="ヒラギノ角ゴ Pro W3"/>
      <w:color w:val="000000"/>
      <w:sz w:val="22"/>
    </w:rPr>
  </w:style>
  <w:style w:type="character" w:customStyle="1" w:styleId="PageNumber1">
    <w:name w:val="Page Number1"/>
    <w:rPr>
      <w:color w:val="000000"/>
      <w:sz w:val="22"/>
    </w:rPr>
  </w:style>
  <w:style w:type="character" w:customStyle="1" w:styleId="Unknown0">
    <w:name w:val="Unknown 0"/>
    <w:basedOn w:val="DefaultParagraphFont"/>
    <w:semiHidden/>
  </w:style>
  <w:style w:type="paragraph" w:customStyle="1" w:styleId="FreeForm">
    <w:name w:val="Free Form"/>
    <w:rPr>
      <w:rFonts w:eastAsia="ヒラギノ角ゴ Pro W3"/>
      <w:color w:val="000000"/>
      <w:sz w:val="22"/>
    </w:rPr>
  </w:style>
  <w:style w:type="paragraph" w:customStyle="1" w:styleId="Heading11">
    <w:name w:val="Heading 11"/>
    <w:next w:val="ParaNum"/>
    <w:pPr>
      <w:keepNext/>
      <w:widowControl w:val="0"/>
      <w:suppressAutoHyphens/>
      <w:spacing w:after="220"/>
      <w:jc w:val="both"/>
      <w:outlineLvl w:val="0"/>
    </w:pPr>
    <w:rPr>
      <w:rFonts w:ascii="Times New Roman Bold" w:eastAsia="ヒラギノ角ゴ Pro W3" w:hAnsi="Times New Roman Bold"/>
      <w:caps/>
      <w:color w:val="000000"/>
      <w:sz w:val="22"/>
    </w:rPr>
  </w:style>
  <w:style w:type="paragraph" w:customStyle="1" w:styleId="ParaNum">
    <w:name w:val="ParaNum"/>
    <w:link w:val="ParaNumChar1"/>
    <w:autoRedefine/>
    <w:rsid w:val="006D61CA"/>
    <w:pPr>
      <w:numPr>
        <w:numId w:val="2"/>
      </w:numPr>
      <w:tabs>
        <w:tab w:val="left" w:pos="1440"/>
      </w:tabs>
      <w:spacing w:after="120"/>
    </w:pPr>
    <w:rPr>
      <w:rFonts w:eastAsia="ヒラギノ角ゴ Pro W3"/>
      <w:color w:val="000000"/>
      <w:sz w:val="22"/>
    </w:rPr>
  </w:style>
  <w:style w:type="paragraph" w:customStyle="1" w:styleId="FootnoteText1">
    <w:name w:val="Footnote Text1"/>
    <w:pPr>
      <w:tabs>
        <w:tab w:val="left" w:pos="180"/>
        <w:tab w:val="left" w:pos="720"/>
        <w:tab w:val="left" w:pos="1440"/>
        <w:tab w:val="left" w:pos="2160"/>
      </w:tabs>
      <w:spacing w:after="120"/>
      <w:jc w:val="both"/>
    </w:pPr>
    <w:rPr>
      <w:rFonts w:eastAsia="ヒラギノ角ゴ Pro W3"/>
      <w:color w:val="000000"/>
    </w:rPr>
  </w:style>
  <w:style w:type="character" w:customStyle="1" w:styleId="FootnoteReference1">
    <w:name w:val="Footnote Reference1"/>
    <w:aliases w:val="Style 12,(NECG) Footnote Reference,Appel note de bas de p,Style 124,Style 13,fr,o,Style 3,FR,Style 17,Style 6,Footnote Reference/"/>
    <w:rsid w:val="003203AA"/>
    <w:rPr>
      <w:color w:val="000000"/>
      <w:sz w:val="20"/>
      <w:vertAlign w:val="superscript"/>
    </w:rPr>
  </w:style>
  <w:style w:type="numbering" w:customStyle="1" w:styleId="List31">
    <w:name w:val="List 31"/>
  </w:style>
  <w:style w:type="character" w:customStyle="1" w:styleId="Hyperlink1">
    <w:name w:val="Hyperlink1"/>
    <w:rPr>
      <w:color w:val="0000FE"/>
      <w:sz w:val="22"/>
      <w:u w:val="single"/>
    </w:rPr>
  </w:style>
  <w:style w:type="character" w:customStyle="1" w:styleId="contents">
    <w:name w:val="contents"/>
    <w:rPr>
      <w:color w:val="000000"/>
      <w:sz w:val="22"/>
    </w:rPr>
  </w:style>
  <w:style w:type="character" w:customStyle="1" w:styleId="Unknown1">
    <w:name w:val="Unknown 1"/>
    <w:basedOn w:val="DefaultParagraphFont"/>
    <w:semiHidden/>
  </w:style>
  <w:style w:type="character" w:customStyle="1" w:styleId="EmphasisA">
    <w:name w:val="Emphasis A"/>
    <w:rPr>
      <w:rFonts w:ascii="System Font Italic" w:eastAsia="ヒラギノ角ゴ Pro W3" w:hAnsi="System Font Italic"/>
      <w:b w:val="0"/>
      <w:i w:val="0"/>
      <w:color w:val="000000"/>
      <w:sz w:val="22"/>
    </w:rPr>
  </w:style>
  <w:style w:type="paragraph" w:customStyle="1" w:styleId="CommentText1">
    <w:name w:val="Comment Text1"/>
    <w:autoRedefine/>
    <w:rPr>
      <w:rFonts w:eastAsia="ヒラギノ角ゴ Pro W3"/>
      <w:color w:val="000000"/>
    </w:rPr>
  </w:style>
  <w:style w:type="paragraph" w:customStyle="1" w:styleId="FootnoteText10">
    <w:name w:val="Footnote Text1"/>
    <w:pPr>
      <w:tabs>
        <w:tab w:val="left" w:pos="180"/>
        <w:tab w:val="left" w:pos="720"/>
        <w:tab w:val="left" w:pos="1440"/>
        <w:tab w:val="left" w:pos="2160"/>
      </w:tabs>
      <w:spacing w:after="120"/>
      <w:jc w:val="both"/>
    </w:pPr>
    <w:rPr>
      <w:rFonts w:eastAsia="ヒラギノ角ゴ Pro W3"/>
      <w:color w:val="000000"/>
    </w:rPr>
  </w:style>
  <w:style w:type="character" w:customStyle="1" w:styleId="Unknown2">
    <w:name w:val="Unknown 2"/>
    <w:basedOn w:val="DefaultParagraphFont"/>
    <w:semiHidden/>
  </w:style>
  <w:style w:type="paragraph" w:customStyle="1" w:styleId="FootnoteText2">
    <w:name w:val="Footnote Text2"/>
    <w:rPr>
      <w:rFonts w:ascii="Helvetica" w:eastAsia="ヒラギノ角ゴ Pro W3" w:hAnsi="Helvetica"/>
      <w:color w:val="000000"/>
    </w:rPr>
  </w:style>
  <w:style w:type="character" w:customStyle="1" w:styleId="FootnoteReference10">
    <w:name w:val="Footnote Reference1"/>
    <w:rsid w:val="003203AA"/>
    <w:rPr>
      <w:color w:val="000000"/>
      <w:sz w:val="20"/>
      <w:vertAlign w:val="superscript"/>
    </w:rPr>
  </w:style>
  <w:style w:type="character" w:customStyle="1" w:styleId="Unknown3">
    <w:name w:val="Unknown 3"/>
    <w:basedOn w:val="DefaultParagraphFont"/>
    <w:autoRedefine/>
    <w:semiHidden/>
  </w:style>
  <w:style w:type="paragraph" w:customStyle="1" w:styleId="FootnoteText3">
    <w:name w:val="Footnote Text3"/>
    <w:aliases w:val="Footnote Text Char2,Footnote Text Char1 Char1,Footnote Text Char2 Char1 Char,Footnote Text Char1 Char1 Char1 Char,Footnote Text Char3 Char1 Char Char Char1 Char,Footnote Text Char1 Char2 Char Char Char Char1 Char,Footnote Text Char1"/>
    <w:pPr>
      <w:spacing w:after="120"/>
      <w:ind w:firstLine="720"/>
    </w:pPr>
    <w:rPr>
      <w:rFonts w:eastAsia="ヒラギノ角ゴ Pro W3"/>
      <w:color w:val="000000"/>
    </w:rPr>
  </w:style>
  <w:style w:type="character" w:customStyle="1" w:styleId="Unknown4">
    <w:name w:val="Unknown 4"/>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5">
    <w:name w:val="Unknown 5"/>
    <w:semiHidden/>
    <w:rPr>
      <w:color w:val="000000"/>
    </w:rPr>
  </w:style>
  <w:style w:type="character" w:customStyle="1" w:styleId="Unknown6">
    <w:name w:val="Unknown 6"/>
    <w:basedOn w:val="DefaultParagraphFont"/>
    <w:semiHidden/>
  </w:style>
  <w:style w:type="paragraph" w:styleId="BalloonText">
    <w:name w:val="Balloon Text"/>
    <w:basedOn w:val="Normal"/>
    <w:link w:val="BalloonTextChar"/>
    <w:locked/>
    <w:rsid w:val="008422DF"/>
    <w:rPr>
      <w:rFonts w:ascii="Tahoma" w:hAnsi="Tahoma" w:cs="Tahoma"/>
      <w:sz w:val="16"/>
      <w:szCs w:val="16"/>
    </w:rPr>
  </w:style>
  <w:style w:type="character" w:customStyle="1" w:styleId="BalloonTextChar">
    <w:name w:val="Balloon Text Char"/>
    <w:link w:val="BalloonText"/>
    <w:rsid w:val="008422DF"/>
    <w:rPr>
      <w:rFonts w:ascii="Tahoma" w:eastAsia="ヒラギノ角ゴ Pro W3" w:hAnsi="Tahoma" w:cs="Tahoma"/>
      <w:color w:val="000000"/>
      <w:sz w:val="16"/>
      <w:szCs w:val="16"/>
    </w:rPr>
  </w:style>
  <w:style w:type="character" w:customStyle="1" w:styleId="ParaNumChar1">
    <w:name w:val="ParaNum Char1"/>
    <w:link w:val="ParaNum"/>
    <w:locked/>
    <w:rsid w:val="006D61CA"/>
    <w:rPr>
      <w:rFonts w:eastAsia="ヒラギノ角ゴ Pro W3"/>
      <w:color w:val="000000"/>
      <w:sz w:val="22"/>
    </w:rPr>
  </w:style>
  <w:style w:type="paragraph" w:styleId="FootnoteText">
    <w:name w:val="footnote text"/>
    <w:basedOn w:val="Normal"/>
    <w:link w:val="FootnoteTextChar"/>
    <w:uiPriority w:val="99"/>
    <w:locked/>
    <w:rsid w:val="00013498"/>
    <w:rPr>
      <w:sz w:val="20"/>
      <w:szCs w:val="20"/>
    </w:rPr>
  </w:style>
  <w:style w:type="character" w:customStyle="1" w:styleId="FootnoteTextChar">
    <w:name w:val="Footnote Text Char"/>
    <w:link w:val="FootnoteText"/>
    <w:uiPriority w:val="99"/>
    <w:rsid w:val="00013498"/>
    <w:rPr>
      <w:rFonts w:eastAsia="ヒラギノ角ゴ Pro W3"/>
      <w:color w:val="000000"/>
    </w:rPr>
  </w:style>
  <w:style w:type="character" w:styleId="FootnoteReference">
    <w:name w:val="footnote reference"/>
    <w:uiPriority w:val="99"/>
    <w:locked/>
    <w:rsid w:val="00013498"/>
    <w:rPr>
      <w:vertAlign w:val="superscript"/>
    </w:rPr>
  </w:style>
  <w:style w:type="character" w:styleId="CommentReference">
    <w:name w:val="annotation reference"/>
    <w:basedOn w:val="DefaultParagraphFont"/>
    <w:locked/>
    <w:rsid w:val="00BE2212"/>
    <w:rPr>
      <w:sz w:val="16"/>
      <w:szCs w:val="16"/>
    </w:rPr>
  </w:style>
  <w:style w:type="paragraph" w:styleId="CommentText">
    <w:name w:val="annotation text"/>
    <w:basedOn w:val="Normal"/>
    <w:link w:val="CommentTextChar"/>
    <w:locked/>
    <w:rsid w:val="00BE2212"/>
    <w:rPr>
      <w:sz w:val="20"/>
      <w:szCs w:val="20"/>
    </w:rPr>
  </w:style>
  <w:style w:type="character" w:customStyle="1" w:styleId="CommentTextChar">
    <w:name w:val="Comment Text Char"/>
    <w:basedOn w:val="DefaultParagraphFont"/>
    <w:link w:val="CommentText"/>
    <w:rsid w:val="00BE2212"/>
    <w:rPr>
      <w:rFonts w:eastAsia="ヒラギノ角ゴ Pro W3"/>
      <w:color w:val="000000"/>
    </w:rPr>
  </w:style>
  <w:style w:type="paragraph" w:styleId="CommentSubject">
    <w:name w:val="annotation subject"/>
    <w:basedOn w:val="CommentText"/>
    <w:next w:val="CommentText"/>
    <w:link w:val="CommentSubjectChar"/>
    <w:locked/>
    <w:rsid w:val="00BE2212"/>
    <w:rPr>
      <w:b/>
      <w:bCs/>
    </w:rPr>
  </w:style>
  <w:style w:type="character" w:customStyle="1" w:styleId="CommentSubjectChar">
    <w:name w:val="Comment Subject Char"/>
    <w:basedOn w:val="CommentTextChar"/>
    <w:link w:val="CommentSubject"/>
    <w:rsid w:val="00BE2212"/>
    <w:rPr>
      <w:rFonts w:eastAsia="ヒラギノ角ゴ Pro W3"/>
      <w:b/>
      <w:bCs/>
      <w:color w:val="000000"/>
    </w:rPr>
  </w:style>
  <w:style w:type="paragraph" w:styleId="Footer">
    <w:name w:val="footer"/>
    <w:basedOn w:val="Normal"/>
    <w:link w:val="FooterChar"/>
    <w:locked/>
    <w:rsid w:val="00B2602B"/>
    <w:pPr>
      <w:tabs>
        <w:tab w:val="center" w:pos="4680"/>
        <w:tab w:val="right" w:pos="9360"/>
      </w:tabs>
    </w:pPr>
  </w:style>
  <w:style w:type="character" w:customStyle="1" w:styleId="FooterChar">
    <w:name w:val="Footer Char"/>
    <w:basedOn w:val="DefaultParagraphFont"/>
    <w:link w:val="Footer"/>
    <w:rsid w:val="00B2602B"/>
    <w:rPr>
      <w:rFonts w:eastAsia="ヒラギノ角ゴ Pro W3"/>
      <w:color w:val="000000"/>
      <w:sz w:val="22"/>
      <w:szCs w:val="24"/>
    </w:rPr>
  </w:style>
  <w:style w:type="paragraph" w:styleId="Header">
    <w:name w:val="header"/>
    <w:basedOn w:val="Normal"/>
    <w:link w:val="HeaderChar"/>
    <w:uiPriority w:val="99"/>
    <w:locked/>
    <w:rsid w:val="00B2602B"/>
    <w:pPr>
      <w:tabs>
        <w:tab w:val="center" w:pos="4320"/>
        <w:tab w:val="right" w:pos="8640"/>
      </w:tabs>
    </w:pPr>
    <w:rPr>
      <w:rFonts w:eastAsia="Times New Roman"/>
      <w:color w:val="auto"/>
      <w:szCs w:val="20"/>
    </w:rPr>
  </w:style>
  <w:style w:type="character" w:customStyle="1" w:styleId="HeaderChar">
    <w:name w:val="Header Char"/>
    <w:basedOn w:val="DefaultParagraphFont"/>
    <w:link w:val="Header"/>
    <w:uiPriority w:val="99"/>
    <w:rsid w:val="00B2602B"/>
    <w:rPr>
      <w:sz w:val="22"/>
    </w:rPr>
  </w:style>
  <w:style w:type="character" w:styleId="Hyperlink">
    <w:name w:val="Hyperlink"/>
    <w:uiPriority w:val="99"/>
    <w:locked/>
    <w:rsid w:val="009C0F59"/>
    <w:rPr>
      <w:rFonts w:cs="Times New Roman"/>
      <w:color w:val="0000FF"/>
      <w:u w:val="single"/>
    </w:rPr>
  </w:style>
  <w:style w:type="character" w:customStyle="1" w:styleId="apple-converted-space">
    <w:name w:val="apple-converted-space"/>
    <w:basedOn w:val="DefaultParagraphFont"/>
    <w:rsid w:val="009C0F59"/>
  </w:style>
  <w:style w:type="paragraph" w:styleId="Revision">
    <w:name w:val="Revision"/>
    <w:hidden/>
    <w:uiPriority w:val="99"/>
    <w:semiHidden/>
    <w:rsid w:val="003B273F"/>
    <w:rPr>
      <w:rFonts w:eastAsia="ヒラギノ角ゴ Pro W3"/>
      <w:color w:val="000000"/>
      <w:sz w:val="22"/>
      <w:szCs w:val="24"/>
    </w:rPr>
  </w:style>
  <w:style w:type="paragraph" w:customStyle="1" w:styleId="FootnoteText4">
    <w:name w:val="Footnote Text4"/>
    <w:rsid w:val="00BE2AB7"/>
    <w:pPr>
      <w:tabs>
        <w:tab w:val="left" w:pos="180"/>
        <w:tab w:val="left" w:pos="720"/>
        <w:tab w:val="left" w:pos="1440"/>
        <w:tab w:val="left" w:pos="2160"/>
      </w:tabs>
      <w:spacing w:after="120"/>
      <w:jc w:val="both"/>
    </w:pPr>
    <w:rPr>
      <w:rFonts w:eastAsia="ヒラギノ角ゴ Pro W3"/>
      <w:color w:val="000000"/>
    </w:rPr>
  </w:style>
  <w:style w:type="paragraph" w:customStyle="1" w:styleId="FootnoteText5">
    <w:name w:val="Footnote Text5"/>
    <w:rsid w:val="00EC6C3A"/>
    <w:pPr>
      <w:tabs>
        <w:tab w:val="left" w:pos="180"/>
        <w:tab w:val="left" w:pos="720"/>
        <w:tab w:val="left" w:pos="1440"/>
        <w:tab w:val="left" w:pos="2160"/>
      </w:tabs>
      <w:spacing w:after="120"/>
      <w:jc w:val="both"/>
    </w:pPr>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3203AA"/>
    <w:pPr>
      <w:tabs>
        <w:tab w:val="center" w:pos="4320"/>
        <w:tab w:val="right" w:pos="9340"/>
      </w:tabs>
    </w:pPr>
    <w:rPr>
      <w:rFonts w:eastAsia="ヒラギノ角ゴ Pro W3"/>
      <w:b/>
      <w:color w:val="000000"/>
      <w:sz w:val="22"/>
    </w:rPr>
  </w:style>
  <w:style w:type="paragraph" w:customStyle="1" w:styleId="Footer1">
    <w:name w:val="Footer1"/>
    <w:pPr>
      <w:tabs>
        <w:tab w:val="center" w:pos="4320"/>
        <w:tab w:val="right" w:pos="8640"/>
      </w:tabs>
    </w:pPr>
    <w:rPr>
      <w:rFonts w:eastAsia="ヒラギノ角ゴ Pro W3"/>
      <w:color w:val="000000"/>
      <w:sz w:val="22"/>
    </w:rPr>
  </w:style>
  <w:style w:type="character" w:customStyle="1" w:styleId="PageNumber1">
    <w:name w:val="Page Number1"/>
    <w:rPr>
      <w:color w:val="000000"/>
      <w:sz w:val="22"/>
    </w:rPr>
  </w:style>
  <w:style w:type="character" w:customStyle="1" w:styleId="Unknown0">
    <w:name w:val="Unknown 0"/>
    <w:basedOn w:val="DefaultParagraphFont"/>
    <w:semiHidden/>
  </w:style>
  <w:style w:type="paragraph" w:customStyle="1" w:styleId="FreeForm">
    <w:name w:val="Free Form"/>
    <w:rPr>
      <w:rFonts w:eastAsia="ヒラギノ角ゴ Pro W3"/>
      <w:color w:val="000000"/>
      <w:sz w:val="22"/>
    </w:rPr>
  </w:style>
  <w:style w:type="paragraph" w:customStyle="1" w:styleId="Heading11">
    <w:name w:val="Heading 11"/>
    <w:next w:val="ParaNum"/>
    <w:pPr>
      <w:keepNext/>
      <w:widowControl w:val="0"/>
      <w:suppressAutoHyphens/>
      <w:spacing w:after="220"/>
      <w:jc w:val="both"/>
      <w:outlineLvl w:val="0"/>
    </w:pPr>
    <w:rPr>
      <w:rFonts w:ascii="Times New Roman Bold" w:eastAsia="ヒラギノ角ゴ Pro W3" w:hAnsi="Times New Roman Bold"/>
      <w:caps/>
      <w:color w:val="000000"/>
      <w:sz w:val="22"/>
    </w:rPr>
  </w:style>
  <w:style w:type="paragraph" w:customStyle="1" w:styleId="ParaNum">
    <w:name w:val="ParaNum"/>
    <w:link w:val="ParaNumChar1"/>
    <w:autoRedefine/>
    <w:rsid w:val="006D61CA"/>
    <w:pPr>
      <w:numPr>
        <w:numId w:val="2"/>
      </w:numPr>
      <w:tabs>
        <w:tab w:val="left" w:pos="1440"/>
      </w:tabs>
      <w:spacing w:after="120"/>
    </w:pPr>
    <w:rPr>
      <w:rFonts w:eastAsia="ヒラギノ角ゴ Pro W3"/>
      <w:color w:val="000000"/>
      <w:sz w:val="22"/>
    </w:rPr>
  </w:style>
  <w:style w:type="paragraph" w:customStyle="1" w:styleId="FootnoteText1">
    <w:name w:val="Footnote Text1"/>
    <w:pPr>
      <w:tabs>
        <w:tab w:val="left" w:pos="180"/>
        <w:tab w:val="left" w:pos="720"/>
        <w:tab w:val="left" w:pos="1440"/>
        <w:tab w:val="left" w:pos="2160"/>
      </w:tabs>
      <w:spacing w:after="120"/>
      <w:jc w:val="both"/>
    </w:pPr>
    <w:rPr>
      <w:rFonts w:eastAsia="ヒラギノ角ゴ Pro W3"/>
      <w:color w:val="000000"/>
    </w:rPr>
  </w:style>
  <w:style w:type="character" w:customStyle="1" w:styleId="FootnoteReference1">
    <w:name w:val="Footnote Reference1"/>
    <w:aliases w:val="Style 12,(NECG) Footnote Reference,Appel note de bas de p,Style 124,Style 13,fr,o,Style 3,FR,Style 17,Style 6,Footnote Reference/"/>
    <w:rsid w:val="003203AA"/>
    <w:rPr>
      <w:color w:val="000000"/>
      <w:sz w:val="20"/>
      <w:vertAlign w:val="superscript"/>
    </w:rPr>
  </w:style>
  <w:style w:type="numbering" w:customStyle="1" w:styleId="List31">
    <w:name w:val="List 31"/>
  </w:style>
  <w:style w:type="character" w:customStyle="1" w:styleId="Hyperlink1">
    <w:name w:val="Hyperlink1"/>
    <w:rPr>
      <w:color w:val="0000FE"/>
      <w:sz w:val="22"/>
      <w:u w:val="single"/>
    </w:rPr>
  </w:style>
  <w:style w:type="character" w:customStyle="1" w:styleId="contents">
    <w:name w:val="contents"/>
    <w:rPr>
      <w:color w:val="000000"/>
      <w:sz w:val="22"/>
    </w:rPr>
  </w:style>
  <w:style w:type="character" w:customStyle="1" w:styleId="Unknown1">
    <w:name w:val="Unknown 1"/>
    <w:basedOn w:val="DefaultParagraphFont"/>
    <w:semiHidden/>
  </w:style>
  <w:style w:type="character" w:customStyle="1" w:styleId="EmphasisA">
    <w:name w:val="Emphasis A"/>
    <w:rPr>
      <w:rFonts w:ascii="System Font Italic" w:eastAsia="ヒラギノ角ゴ Pro W3" w:hAnsi="System Font Italic"/>
      <w:b w:val="0"/>
      <w:i w:val="0"/>
      <w:color w:val="000000"/>
      <w:sz w:val="22"/>
    </w:rPr>
  </w:style>
  <w:style w:type="paragraph" w:customStyle="1" w:styleId="CommentText1">
    <w:name w:val="Comment Text1"/>
    <w:autoRedefine/>
    <w:rPr>
      <w:rFonts w:eastAsia="ヒラギノ角ゴ Pro W3"/>
      <w:color w:val="000000"/>
    </w:rPr>
  </w:style>
  <w:style w:type="paragraph" w:customStyle="1" w:styleId="FootnoteText10">
    <w:name w:val="Footnote Text1"/>
    <w:pPr>
      <w:tabs>
        <w:tab w:val="left" w:pos="180"/>
        <w:tab w:val="left" w:pos="720"/>
        <w:tab w:val="left" w:pos="1440"/>
        <w:tab w:val="left" w:pos="2160"/>
      </w:tabs>
      <w:spacing w:after="120"/>
      <w:jc w:val="both"/>
    </w:pPr>
    <w:rPr>
      <w:rFonts w:eastAsia="ヒラギノ角ゴ Pro W3"/>
      <w:color w:val="000000"/>
    </w:rPr>
  </w:style>
  <w:style w:type="character" w:customStyle="1" w:styleId="Unknown2">
    <w:name w:val="Unknown 2"/>
    <w:basedOn w:val="DefaultParagraphFont"/>
    <w:semiHidden/>
  </w:style>
  <w:style w:type="paragraph" w:customStyle="1" w:styleId="FootnoteText2">
    <w:name w:val="Footnote Text2"/>
    <w:rPr>
      <w:rFonts w:ascii="Helvetica" w:eastAsia="ヒラギノ角ゴ Pro W3" w:hAnsi="Helvetica"/>
      <w:color w:val="000000"/>
    </w:rPr>
  </w:style>
  <w:style w:type="character" w:customStyle="1" w:styleId="FootnoteReference10">
    <w:name w:val="Footnote Reference1"/>
    <w:rsid w:val="003203AA"/>
    <w:rPr>
      <w:color w:val="000000"/>
      <w:sz w:val="20"/>
      <w:vertAlign w:val="superscript"/>
    </w:rPr>
  </w:style>
  <w:style w:type="character" w:customStyle="1" w:styleId="Unknown3">
    <w:name w:val="Unknown 3"/>
    <w:basedOn w:val="DefaultParagraphFont"/>
    <w:autoRedefine/>
    <w:semiHidden/>
  </w:style>
  <w:style w:type="paragraph" w:customStyle="1" w:styleId="FootnoteText3">
    <w:name w:val="Footnote Text3"/>
    <w:aliases w:val="Footnote Text Char2,Footnote Text Char1 Char1,Footnote Text Char2 Char1 Char,Footnote Text Char1 Char1 Char1 Char,Footnote Text Char3 Char1 Char Char Char1 Char,Footnote Text Char1 Char2 Char Char Char Char1 Char,Footnote Text Char1"/>
    <w:pPr>
      <w:spacing w:after="120"/>
      <w:ind w:firstLine="720"/>
    </w:pPr>
    <w:rPr>
      <w:rFonts w:eastAsia="ヒラギノ角ゴ Pro W3"/>
      <w:color w:val="000000"/>
    </w:rPr>
  </w:style>
  <w:style w:type="character" w:customStyle="1" w:styleId="Unknown4">
    <w:name w:val="Unknown 4"/>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5">
    <w:name w:val="Unknown 5"/>
    <w:semiHidden/>
    <w:rPr>
      <w:color w:val="000000"/>
    </w:rPr>
  </w:style>
  <w:style w:type="character" w:customStyle="1" w:styleId="Unknown6">
    <w:name w:val="Unknown 6"/>
    <w:basedOn w:val="DefaultParagraphFont"/>
    <w:semiHidden/>
  </w:style>
  <w:style w:type="paragraph" w:styleId="BalloonText">
    <w:name w:val="Balloon Text"/>
    <w:basedOn w:val="Normal"/>
    <w:link w:val="BalloonTextChar"/>
    <w:locked/>
    <w:rsid w:val="008422DF"/>
    <w:rPr>
      <w:rFonts w:ascii="Tahoma" w:hAnsi="Tahoma" w:cs="Tahoma"/>
      <w:sz w:val="16"/>
      <w:szCs w:val="16"/>
    </w:rPr>
  </w:style>
  <w:style w:type="character" w:customStyle="1" w:styleId="BalloonTextChar">
    <w:name w:val="Balloon Text Char"/>
    <w:link w:val="BalloonText"/>
    <w:rsid w:val="008422DF"/>
    <w:rPr>
      <w:rFonts w:ascii="Tahoma" w:eastAsia="ヒラギノ角ゴ Pro W3" w:hAnsi="Tahoma" w:cs="Tahoma"/>
      <w:color w:val="000000"/>
      <w:sz w:val="16"/>
      <w:szCs w:val="16"/>
    </w:rPr>
  </w:style>
  <w:style w:type="character" w:customStyle="1" w:styleId="ParaNumChar1">
    <w:name w:val="ParaNum Char1"/>
    <w:link w:val="ParaNum"/>
    <w:locked/>
    <w:rsid w:val="006D61CA"/>
    <w:rPr>
      <w:rFonts w:eastAsia="ヒラギノ角ゴ Pro W3"/>
      <w:color w:val="000000"/>
      <w:sz w:val="22"/>
    </w:rPr>
  </w:style>
  <w:style w:type="paragraph" w:styleId="FootnoteText">
    <w:name w:val="footnote text"/>
    <w:basedOn w:val="Normal"/>
    <w:link w:val="FootnoteTextChar"/>
    <w:uiPriority w:val="99"/>
    <w:locked/>
    <w:rsid w:val="00013498"/>
    <w:rPr>
      <w:sz w:val="20"/>
      <w:szCs w:val="20"/>
    </w:rPr>
  </w:style>
  <w:style w:type="character" w:customStyle="1" w:styleId="FootnoteTextChar">
    <w:name w:val="Footnote Text Char"/>
    <w:link w:val="FootnoteText"/>
    <w:uiPriority w:val="99"/>
    <w:rsid w:val="00013498"/>
    <w:rPr>
      <w:rFonts w:eastAsia="ヒラギノ角ゴ Pro W3"/>
      <w:color w:val="000000"/>
    </w:rPr>
  </w:style>
  <w:style w:type="character" w:styleId="FootnoteReference">
    <w:name w:val="footnote reference"/>
    <w:uiPriority w:val="99"/>
    <w:locked/>
    <w:rsid w:val="00013498"/>
    <w:rPr>
      <w:vertAlign w:val="superscript"/>
    </w:rPr>
  </w:style>
  <w:style w:type="character" w:styleId="CommentReference">
    <w:name w:val="annotation reference"/>
    <w:basedOn w:val="DefaultParagraphFont"/>
    <w:locked/>
    <w:rsid w:val="00BE2212"/>
    <w:rPr>
      <w:sz w:val="16"/>
      <w:szCs w:val="16"/>
    </w:rPr>
  </w:style>
  <w:style w:type="paragraph" w:styleId="CommentText">
    <w:name w:val="annotation text"/>
    <w:basedOn w:val="Normal"/>
    <w:link w:val="CommentTextChar"/>
    <w:locked/>
    <w:rsid w:val="00BE2212"/>
    <w:rPr>
      <w:sz w:val="20"/>
      <w:szCs w:val="20"/>
    </w:rPr>
  </w:style>
  <w:style w:type="character" w:customStyle="1" w:styleId="CommentTextChar">
    <w:name w:val="Comment Text Char"/>
    <w:basedOn w:val="DefaultParagraphFont"/>
    <w:link w:val="CommentText"/>
    <w:rsid w:val="00BE2212"/>
    <w:rPr>
      <w:rFonts w:eastAsia="ヒラギノ角ゴ Pro W3"/>
      <w:color w:val="000000"/>
    </w:rPr>
  </w:style>
  <w:style w:type="paragraph" w:styleId="CommentSubject">
    <w:name w:val="annotation subject"/>
    <w:basedOn w:val="CommentText"/>
    <w:next w:val="CommentText"/>
    <w:link w:val="CommentSubjectChar"/>
    <w:locked/>
    <w:rsid w:val="00BE2212"/>
    <w:rPr>
      <w:b/>
      <w:bCs/>
    </w:rPr>
  </w:style>
  <w:style w:type="character" w:customStyle="1" w:styleId="CommentSubjectChar">
    <w:name w:val="Comment Subject Char"/>
    <w:basedOn w:val="CommentTextChar"/>
    <w:link w:val="CommentSubject"/>
    <w:rsid w:val="00BE2212"/>
    <w:rPr>
      <w:rFonts w:eastAsia="ヒラギノ角ゴ Pro W3"/>
      <w:b/>
      <w:bCs/>
      <w:color w:val="000000"/>
    </w:rPr>
  </w:style>
  <w:style w:type="paragraph" w:styleId="Footer">
    <w:name w:val="footer"/>
    <w:basedOn w:val="Normal"/>
    <w:link w:val="FooterChar"/>
    <w:locked/>
    <w:rsid w:val="00B2602B"/>
    <w:pPr>
      <w:tabs>
        <w:tab w:val="center" w:pos="4680"/>
        <w:tab w:val="right" w:pos="9360"/>
      </w:tabs>
    </w:pPr>
  </w:style>
  <w:style w:type="character" w:customStyle="1" w:styleId="FooterChar">
    <w:name w:val="Footer Char"/>
    <w:basedOn w:val="DefaultParagraphFont"/>
    <w:link w:val="Footer"/>
    <w:rsid w:val="00B2602B"/>
    <w:rPr>
      <w:rFonts w:eastAsia="ヒラギノ角ゴ Pro W3"/>
      <w:color w:val="000000"/>
      <w:sz w:val="22"/>
      <w:szCs w:val="24"/>
    </w:rPr>
  </w:style>
  <w:style w:type="paragraph" w:styleId="Header">
    <w:name w:val="header"/>
    <w:basedOn w:val="Normal"/>
    <w:link w:val="HeaderChar"/>
    <w:uiPriority w:val="99"/>
    <w:locked/>
    <w:rsid w:val="00B2602B"/>
    <w:pPr>
      <w:tabs>
        <w:tab w:val="center" w:pos="4320"/>
        <w:tab w:val="right" w:pos="8640"/>
      </w:tabs>
    </w:pPr>
    <w:rPr>
      <w:rFonts w:eastAsia="Times New Roman"/>
      <w:color w:val="auto"/>
      <w:szCs w:val="20"/>
    </w:rPr>
  </w:style>
  <w:style w:type="character" w:customStyle="1" w:styleId="HeaderChar">
    <w:name w:val="Header Char"/>
    <w:basedOn w:val="DefaultParagraphFont"/>
    <w:link w:val="Header"/>
    <w:uiPriority w:val="99"/>
    <w:rsid w:val="00B2602B"/>
    <w:rPr>
      <w:sz w:val="22"/>
    </w:rPr>
  </w:style>
  <w:style w:type="character" w:styleId="Hyperlink">
    <w:name w:val="Hyperlink"/>
    <w:uiPriority w:val="99"/>
    <w:locked/>
    <w:rsid w:val="009C0F59"/>
    <w:rPr>
      <w:rFonts w:cs="Times New Roman"/>
      <w:color w:val="0000FF"/>
      <w:u w:val="single"/>
    </w:rPr>
  </w:style>
  <w:style w:type="character" w:customStyle="1" w:styleId="apple-converted-space">
    <w:name w:val="apple-converted-space"/>
    <w:basedOn w:val="DefaultParagraphFont"/>
    <w:rsid w:val="009C0F59"/>
  </w:style>
  <w:style w:type="paragraph" w:styleId="Revision">
    <w:name w:val="Revision"/>
    <w:hidden/>
    <w:uiPriority w:val="99"/>
    <w:semiHidden/>
    <w:rsid w:val="003B273F"/>
    <w:rPr>
      <w:rFonts w:eastAsia="ヒラギノ角ゴ Pro W3"/>
      <w:color w:val="000000"/>
      <w:sz w:val="22"/>
      <w:szCs w:val="24"/>
    </w:rPr>
  </w:style>
  <w:style w:type="paragraph" w:customStyle="1" w:styleId="FootnoteText4">
    <w:name w:val="Footnote Text4"/>
    <w:rsid w:val="00BE2AB7"/>
    <w:pPr>
      <w:tabs>
        <w:tab w:val="left" w:pos="180"/>
        <w:tab w:val="left" w:pos="720"/>
        <w:tab w:val="left" w:pos="1440"/>
        <w:tab w:val="left" w:pos="2160"/>
      </w:tabs>
      <w:spacing w:after="120"/>
      <w:jc w:val="both"/>
    </w:pPr>
    <w:rPr>
      <w:rFonts w:eastAsia="ヒラギノ角ゴ Pro W3"/>
      <w:color w:val="000000"/>
    </w:rPr>
  </w:style>
  <w:style w:type="paragraph" w:customStyle="1" w:styleId="FootnoteText5">
    <w:name w:val="Footnote Text5"/>
    <w:rsid w:val="00EC6C3A"/>
    <w:pPr>
      <w:tabs>
        <w:tab w:val="left" w:pos="180"/>
        <w:tab w:val="left" w:pos="720"/>
        <w:tab w:val="left" w:pos="1440"/>
        <w:tab w:val="left" w:pos="2160"/>
      </w:tabs>
      <w:spacing w:after="120"/>
      <w:jc w:val="both"/>
    </w:pPr>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mt=26&amp;db=0000506&amp;tc=-1&amp;rp=%2ffind%2fdefault.wl&amp;findtype=Y&amp;ordoc=2034793600&amp;serialnum=2017776189&amp;vr=2.0&amp;fn=_top&amp;sv=Split&amp;tf=-1&amp;referencepositiontype=S&amp;pbc=D4DC05CA&amp;referenceposition=678&amp;rs=WLW14.10" TargetMode="External"/><Relationship Id="rId2" Type="http://schemas.openxmlformats.org/officeDocument/2006/relationships/hyperlink" Target="http://www.westlaw.com/Find/Default.wl?rs=dfa1.0&amp;vr=2.0&amp;DB=350&amp;FindType=Y&amp;ReferencePositionType=S&amp;SerialNum=1974110851&amp;ReferencePosition=60" TargetMode="External"/><Relationship Id="rId1" Type="http://schemas.openxmlformats.org/officeDocument/2006/relationships/hyperlink" Target="http://www.dioceseofgaylord.org/news/101/2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2789</Words>
  <Characters>15586</Characters>
  <Application>Microsoft Office Word</Application>
  <DocSecurity>0</DocSecurity>
  <Lines>236</Lines>
  <Paragraphs>53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18514</CharactersWithSpaces>
  <SharedDoc>false</SharedDoc>
  <HyperlinkBase> </HyperlinkBase>
  <HLinks>
    <vt:vector size="18" baseType="variant">
      <vt:variant>
        <vt:i4>8061010</vt:i4>
      </vt:variant>
      <vt:variant>
        <vt:i4>0</vt:i4>
      </vt:variant>
      <vt:variant>
        <vt:i4>0</vt:i4>
      </vt:variant>
      <vt:variant>
        <vt:i4>5</vt:i4>
      </vt:variant>
      <vt:variant>
        <vt:lpwstr>mailto:captioningexemption@fcc.gov</vt:lpwstr>
      </vt:variant>
      <vt:variant>
        <vt:lpwstr/>
      </vt:variant>
      <vt:variant>
        <vt:i4>7602293</vt:i4>
      </vt:variant>
      <vt:variant>
        <vt:i4>3</vt:i4>
      </vt:variant>
      <vt:variant>
        <vt:i4>0</vt:i4>
      </vt:variant>
      <vt:variant>
        <vt:i4>5</vt:i4>
      </vt:variant>
      <vt:variant>
        <vt:lpwstr>http://www.dioceseofgaylord.org/news/101/2057/</vt:lpwstr>
      </vt:variant>
      <vt:variant>
        <vt:lpwstr/>
      </vt:variant>
      <vt:variant>
        <vt:i4>7012355</vt:i4>
      </vt:variant>
      <vt:variant>
        <vt:i4>0</vt:i4>
      </vt:variant>
      <vt:variant>
        <vt:i4>0</vt:i4>
      </vt:variant>
      <vt:variant>
        <vt:i4>5</vt:i4>
      </vt:variant>
      <vt:variant>
        <vt:lpwstr>http://hraunfoss.fcc.gov/edocs_public/attachmatch/DOC-323421A1.pdf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2015-07-20T12:29:00Z</cp:lastPrinted>
  <dcterms:created xsi:type="dcterms:W3CDTF">2015-07-21T18:13:00Z</dcterms:created>
  <dcterms:modified xsi:type="dcterms:W3CDTF">2015-07-21T18:13:00Z</dcterms:modified>
  <cp:category> </cp:category>
  <cp:contentStatus> </cp:contentStatus>
</cp:coreProperties>
</file>