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790B4B" w:rsidRDefault="00E273E3" w:rsidP="002659F3">
      <w:pPr>
        <w:widowControl/>
        <w:jc w:val="center"/>
        <w:rPr>
          <w:b/>
        </w:rPr>
      </w:pPr>
      <w:bookmarkStart w:id="0" w:name="_GoBack"/>
      <w:bookmarkEnd w:id="0"/>
      <w:r w:rsidRPr="00790B4B">
        <w:rPr>
          <w:b/>
          <w:kern w:val="0"/>
          <w:szCs w:val="22"/>
        </w:rPr>
        <w:t>Before</w:t>
      </w:r>
      <w:r w:rsidRPr="00790B4B">
        <w:rPr>
          <w:b/>
        </w:rPr>
        <w:t xml:space="preserve"> the</w:t>
      </w:r>
    </w:p>
    <w:p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tc>
          <w:tcPr>
            <w:tcW w:w="4698" w:type="dxa"/>
          </w:tcPr>
          <w:p w:rsidR="00E273E3" w:rsidRPr="00790B4B" w:rsidRDefault="00E273E3" w:rsidP="002659F3">
            <w:pPr>
              <w:widowControl/>
              <w:suppressAutoHyphens/>
              <w:rPr>
                <w:spacing w:val="-2"/>
              </w:rPr>
            </w:pPr>
            <w:r w:rsidRPr="00790B4B">
              <w:rPr>
                <w:spacing w:val="-2"/>
              </w:rPr>
              <w:t>In the Matter of</w:t>
            </w:r>
          </w:p>
          <w:p w:rsidR="00E273E3" w:rsidRPr="00790B4B" w:rsidRDefault="00E273E3" w:rsidP="002659F3">
            <w:pPr>
              <w:widowControl/>
              <w:suppressAutoHyphens/>
              <w:rPr>
                <w:spacing w:val="-2"/>
              </w:rPr>
            </w:pPr>
          </w:p>
          <w:p w:rsidR="00F100EF" w:rsidRDefault="00F100EF" w:rsidP="00F100EF">
            <w:pPr>
              <w:widowControl/>
              <w:suppressAutoHyphens/>
              <w:rPr>
                <w:spacing w:val="-2"/>
              </w:rPr>
            </w:pPr>
            <w:r>
              <w:rPr>
                <w:spacing w:val="-2"/>
              </w:rPr>
              <w:t>Gerald Parks</w:t>
            </w:r>
          </w:p>
          <w:p w:rsidR="00F100EF" w:rsidRDefault="00F100EF" w:rsidP="00F100EF">
            <w:pPr>
              <w:widowControl/>
              <w:suppressAutoHyphens/>
              <w:rPr>
                <w:spacing w:val="-2"/>
              </w:rPr>
            </w:pPr>
          </w:p>
          <w:p w:rsidR="00F100EF" w:rsidRDefault="00F100EF" w:rsidP="00F100EF">
            <w:pPr>
              <w:widowControl/>
              <w:suppressAutoHyphens/>
              <w:rPr>
                <w:spacing w:val="-2"/>
              </w:rPr>
            </w:pPr>
            <w:r>
              <w:rPr>
                <w:spacing w:val="-2"/>
              </w:rPr>
              <w:t>Licensee of AM Station WEKC</w:t>
            </w:r>
          </w:p>
          <w:p w:rsidR="00E273E3" w:rsidRPr="00344C0B" w:rsidRDefault="00F100EF" w:rsidP="00F100EF">
            <w:pPr>
              <w:widowControl/>
              <w:suppressAutoHyphens/>
              <w:rPr>
                <w:spacing w:val="-2"/>
              </w:rPr>
            </w:pPr>
            <w:r>
              <w:rPr>
                <w:spacing w:val="-2"/>
              </w:rPr>
              <w:t>Williamsburg, Kentucky</w:t>
            </w:r>
            <w:r w:rsidR="00E273E3" w:rsidRPr="00344C0B">
              <w:rPr>
                <w:spacing w:val="-2"/>
              </w:rPr>
              <w:t xml:space="preserve"> </w:t>
            </w:r>
          </w:p>
        </w:tc>
        <w:tc>
          <w:tcPr>
            <w:tcW w:w="630" w:type="dxa"/>
          </w:tcPr>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Default="00E273E3" w:rsidP="002659F3">
            <w:pPr>
              <w:widowControl/>
              <w:suppressAutoHyphens/>
              <w:rPr>
                <w:spacing w:val="-2"/>
              </w:rPr>
            </w:pPr>
            <w:r w:rsidRPr="00344C0B">
              <w:rPr>
                <w:spacing w:val="-2"/>
              </w:rPr>
              <w:t>)</w:t>
            </w:r>
          </w:p>
          <w:p w:rsidR="00F100EF" w:rsidRDefault="00F100EF" w:rsidP="002659F3">
            <w:pPr>
              <w:widowControl/>
              <w:suppressAutoHyphens/>
              <w:rPr>
                <w:spacing w:val="-2"/>
              </w:rPr>
            </w:pPr>
            <w:r>
              <w:rPr>
                <w:spacing w:val="-2"/>
              </w:rPr>
              <w:t>)</w:t>
            </w:r>
          </w:p>
          <w:p w:rsidR="00F100EF" w:rsidRPr="00344C0B" w:rsidRDefault="00F100EF" w:rsidP="002659F3">
            <w:pPr>
              <w:widowControl/>
              <w:suppressAutoHyphens/>
              <w:rPr>
                <w:spacing w:val="-2"/>
              </w:rPr>
            </w:pPr>
          </w:p>
        </w:tc>
        <w:tc>
          <w:tcPr>
            <w:tcW w:w="4248" w:type="dxa"/>
          </w:tcPr>
          <w:p w:rsidR="00E273E3" w:rsidRPr="00344C0B" w:rsidRDefault="00E273E3" w:rsidP="002659F3">
            <w:pPr>
              <w:widowControl/>
              <w:suppressAutoHyphens/>
              <w:rPr>
                <w:spacing w:val="-2"/>
              </w:rPr>
            </w:pPr>
          </w:p>
          <w:p w:rsidR="00E273E3" w:rsidRPr="00344C0B" w:rsidRDefault="00E273E3" w:rsidP="002659F3">
            <w:pPr>
              <w:widowControl/>
              <w:suppressAutoHyphens/>
              <w:rPr>
                <w:spacing w:val="-2"/>
              </w:rPr>
            </w:pPr>
          </w:p>
          <w:p w:rsidR="00E273E3" w:rsidRPr="0007571D" w:rsidRDefault="00E273E3" w:rsidP="00EE05DB">
            <w:pPr>
              <w:widowControl/>
              <w:suppressAutoHyphens/>
              <w:ind w:left="432"/>
              <w:rPr>
                <w:spacing w:val="-2"/>
              </w:rPr>
            </w:pPr>
            <w:r w:rsidRPr="00344C0B">
              <w:rPr>
                <w:spacing w:val="-2"/>
              </w:rPr>
              <w:t xml:space="preserve">File No.:  </w:t>
            </w:r>
            <w:r w:rsidR="002F141B">
              <w:rPr>
                <w:spacing w:val="-2"/>
              </w:rPr>
              <w:t>EB-FIELDNER-12-00005646</w:t>
            </w:r>
            <w:r w:rsidR="002F141B" w:rsidRPr="00344C0B">
              <w:rPr>
                <w:rStyle w:val="FootnoteReference"/>
                <w:lang w:val="es-ES_tradnl"/>
              </w:rPr>
              <w:footnoteReference w:id="2"/>
            </w:r>
          </w:p>
          <w:p w:rsidR="00E273E3" w:rsidRPr="0007571D" w:rsidRDefault="00E273E3" w:rsidP="00EE05DB">
            <w:pPr>
              <w:widowControl/>
              <w:suppressAutoHyphens/>
              <w:ind w:left="432"/>
              <w:rPr>
                <w:spacing w:val="-2"/>
              </w:rPr>
            </w:pPr>
            <w:r w:rsidRPr="00344C0B">
              <w:rPr>
                <w:spacing w:val="-2"/>
              </w:rPr>
              <w:t xml:space="preserve">NAL/Acct. No.:  </w:t>
            </w:r>
            <w:r w:rsidR="00F100EF">
              <w:rPr>
                <w:spacing w:val="-2"/>
              </w:rPr>
              <w:t>201332360001</w:t>
            </w:r>
          </w:p>
          <w:p w:rsidR="00E273E3" w:rsidRDefault="00E273E3" w:rsidP="00F100EF">
            <w:pPr>
              <w:widowControl/>
              <w:suppressAutoHyphens/>
              <w:ind w:left="432"/>
              <w:rPr>
                <w:spacing w:val="-2"/>
              </w:rPr>
            </w:pPr>
            <w:r w:rsidRPr="00344C0B">
              <w:rPr>
                <w:spacing w:val="-2"/>
              </w:rPr>
              <w:t xml:space="preserve">FRN:  </w:t>
            </w:r>
            <w:r w:rsidR="00F100EF">
              <w:rPr>
                <w:spacing w:val="-2"/>
              </w:rPr>
              <w:t>0007921190</w:t>
            </w:r>
          </w:p>
          <w:p w:rsidR="00F100EF" w:rsidRPr="0007571D" w:rsidRDefault="00F100EF" w:rsidP="00F100EF">
            <w:pPr>
              <w:widowControl/>
              <w:suppressAutoHyphens/>
              <w:ind w:left="432"/>
              <w:rPr>
                <w:spacing w:val="-2"/>
              </w:rPr>
            </w:pPr>
            <w:r>
              <w:rPr>
                <w:spacing w:val="-2"/>
              </w:rPr>
              <w:t>Facility ID No.:  72790</w:t>
            </w:r>
          </w:p>
        </w:tc>
      </w:tr>
    </w:tbl>
    <w:p w:rsidR="00E273E3" w:rsidRPr="00344C0B" w:rsidRDefault="00E273E3" w:rsidP="002659F3">
      <w:pPr>
        <w:pStyle w:val="StyleBoldCentered"/>
        <w:widowControl/>
        <w:spacing w:after="220"/>
      </w:pPr>
      <w:r w:rsidRPr="00344C0B">
        <w:t>forfeiture ORDER</w:t>
      </w:r>
    </w:p>
    <w:p w:rsidR="00E273E3" w:rsidRPr="0007571D" w:rsidRDefault="00E273E3" w:rsidP="00226191">
      <w:pPr>
        <w:widowControl/>
        <w:tabs>
          <w:tab w:val="right" w:pos="9360"/>
        </w:tabs>
        <w:suppressAutoHyphens/>
        <w:rPr>
          <w:spacing w:val="-2"/>
        </w:rPr>
      </w:pPr>
      <w:r w:rsidRPr="00344C0B">
        <w:rPr>
          <w:b/>
          <w:spacing w:val="-2"/>
        </w:rPr>
        <w:t xml:space="preserve">Adopted:  </w:t>
      </w:r>
      <w:r w:rsidR="00C8233A">
        <w:rPr>
          <w:b/>
          <w:spacing w:val="-2"/>
        </w:rPr>
        <w:t>June 30, 2015</w:t>
      </w:r>
      <w:r w:rsidR="006D2212" w:rsidRPr="0007571D">
        <w:rPr>
          <w:b/>
          <w:spacing w:val="-2"/>
        </w:rPr>
        <w:tab/>
        <w:t xml:space="preserve">Released:  </w:t>
      </w:r>
      <w:r w:rsidR="00C8233A">
        <w:rPr>
          <w:b/>
          <w:spacing w:val="-2"/>
        </w:rPr>
        <w:t>June 30, 2015</w:t>
      </w:r>
    </w:p>
    <w:p w:rsidR="00E273E3" w:rsidRPr="00344C0B" w:rsidRDefault="00E273E3" w:rsidP="00EE05DB">
      <w:pPr>
        <w:widowControl/>
        <w:jc w:val="center"/>
      </w:pPr>
    </w:p>
    <w:p w:rsidR="00E273E3" w:rsidRPr="00344C0B" w:rsidRDefault="00E273E3" w:rsidP="002659F3">
      <w:pPr>
        <w:widowControl/>
        <w:rPr>
          <w:spacing w:val="-2"/>
        </w:rPr>
      </w:pPr>
      <w:r w:rsidRPr="00344C0B">
        <w:t xml:space="preserve">By the </w:t>
      </w:r>
      <w:r w:rsidR="00F100EF">
        <w:t>Chief, Enforcement Bureau</w:t>
      </w:r>
      <w:r w:rsidRPr="0007571D">
        <w:rPr>
          <w:spacing w:val="-2"/>
        </w:rPr>
        <w:t>:</w:t>
      </w:r>
    </w:p>
    <w:p w:rsidR="00E273E3" w:rsidRPr="00344C0B" w:rsidRDefault="00E273E3" w:rsidP="002659F3">
      <w:pPr>
        <w:widowControl/>
        <w:rPr>
          <w:spacing w:val="-2"/>
        </w:rPr>
      </w:pPr>
    </w:p>
    <w:p w:rsidR="00E273E3" w:rsidRPr="00344C0B" w:rsidRDefault="00E273E3" w:rsidP="00226191">
      <w:pPr>
        <w:pStyle w:val="Heading1"/>
      </w:pPr>
      <w:bookmarkStart w:id="1" w:name="_Toc379288998"/>
      <w:bookmarkStart w:id="2" w:name="_Toc379365499"/>
      <w:r w:rsidRPr="00344C0B">
        <w:t>INTRODUCTION</w:t>
      </w:r>
      <w:bookmarkEnd w:id="1"/>
      <w:bookmarkEnd w:id="2"/>
    </w:p>
    <w:p w:rsidR="0072276A" w:rsidRPr="00344C0B" w:rsidRDefault="00E273E3" w:rsidP="0072276A">
      <w:pPr>
        <w:pStyle w:val="ParaNum"/>
      </w:pPr>
      <w:r w:rsidRPr="00344C0B">
        <w:t>We impose a penalty of</w:t>
      </w:r>
      <w:r w:rsidR="0021180B">
        <w:t xml:space="preserve"> $</w:t>
      </w:r>
      <w:r w:rsidR="00243491">
        <w:t>1,</w:t>
      </w:r>
      <w:r w:rsidR="00956D31">
        <w:t>500</w:t>
      </w:r>
      <w:r w:rsidR="0021180B">
        <w:t xml:space="preserve"> against Gerald Parks, licensee of AM Station WEKC</w:t>
      </w:r>
      <w:r w:rsidR="00956D31">
        <w:t xml:space="preserve"> </w:t>
      </w:r>
      <w:r w:rsidR="0021180B">
        <w:t>in Williamsburg, Kentucky</w:t>
      </w:r>
      <w:r w:rsidR="002246E1">
        <w:t xml:space="preserve"> </w:t>
      </w:r>
      <w:r w:rsidR="00684F5C">
        <w:t>(Station)</w:t>
      </w:r>
      <w:r w:rsidR="00956D31">
        <w:t>,</w:t>
      </w:r>
      <w:r w:rsidR="00684F5C">
        <w:t xml:space="preserve"> </w:t>
      </w:r>
      <w:r w:rsidR="002246E1">
        <w:t xml:space="preserve">for failing to maintain and make available </w:t>
      </w:r>
      <w:r w:rsidR="009F6073">
        <w:t xml:space="preserve">the </w:t>
      </w:r>
      <w:r w:rsidR="00956D31">
        <w:t xml:space="preserve">required quarterly </w:t>
      </w:r>
      <w:r w:rsidR="00684F5C">
        <w:t>i</w:t>
      </w:r>
      <w:r w:rsidR="002246E1">
        <w:t>ssues/programs lists</w:t>
      </w:r>
      <w:r w:rsidR="0021180B">
        <w:t xml:space="preserve"> </w:t>
      </w:r>
      <w:r w:rsidR="002246E1">
        <w:t xml:space="preserve">in the Station’s public inspection file.  </w:t>
      </w:r>
      <w:r w:rsidR="00956D31" w:rsidRPr="005A77BB">
        <w:rPr>
          <w:szCs w:val="22"/>
        </w:rPr>
        <w:t>The issues/programs lists inform the public regarding a broadcaster’s treatment of community issues and the requirement to maintain such lists is part of a broadcaster’s obligations as a public trustee.</w:t>
      </w:r>
      <w:r w:rsidR="00E52925">
        <w:rPr>
          <w:szCs w:val="22"/>
        </w:rPr>
        <w:t xml:space="preserve">  Mr. Parks acknowledges that the Station’s public file did not contain numerous issues/programs lists, but requests reconsideration of the penalty proposed ag</w:t>
      </w:r>
      <w:r w:rsidR="003D063C">
        <w:rPr>
          <w:szCs w:val="22"/>
        </w:rPr>
        <w:t>ainst him</w:t>
      </w:r>
      <w:r w:rsidR="00BA3ECA">
        <w:rPr>
          <w:szCs w:val="22"/>
        </w:rPr>
        <w:t xml:space="preserve"> in light of his</w:t>
      </w:r>
      <w:r w:rsidR="00E52925">
        <w:rPr>
          <w:szCs w:val="22"/>
        </w:rPr>
        <w:t xml:space="preserve"> purported good faith efforts to correct the violations and inability to pay the forfeiture.  We find that the corrective efforts undertaken by Station staff took place after Mr. Parks received notice of the violations and do not warrant forfeiture cancellation or reduction.  However, we find that reducing the forfeiture </w:t>
      </w:r>
      <w:r w:rsidR="008D7732">
        <w:rPr>
          <w:szCs w:val="22"/>
        </w:rPr>
        <w:t>to $1,500 is appropriate based o</w:t>
      </w:r>
      <w:r w:rsidR="00E52925">
        <w:rPr>
          <w:szCs w:val="22"/>
        </w:rPr>
        <w:t xml:space="preserve">n Mr. Parks’s demonstrated inability to pay. </w:t>
      </w:r>
    </w:p>
    <w:p w:rsidR="00E273E3" w:rsidRPr="00344C0B" w:rsidRDefault="00E273E3" w:rsidP="00226191">
      <w:pPr>
        <w:pStyle w:val="Heading1"/>
      </w:pPr>
      <w:bookmarkStart w:id="3" w:name="_Toc379288999"/>
      <w:bookmarkStart w:id="4" w:name="_Toc379365500"/>
      <w:r w:rsidRPr="00344C0B">
        <w:t>BACKGROUND</w:t>
      </w:r>
      <w:bookmarkEnd w:id="3"/>
      <w:bookmarkEnd w:id="4"/>
    </w:p>
    <w:p w:rsidR="002B17E2" w:rsidRDefault="00137EBD" w:rsidP="00A86D90">
      <w:pPr>
        <w:pStyle w:val="ParaNum"/>
      </w:pPr>
      <w:r>
        <w:t>On March 14, 2012, agents from the Enforcement Bureau’s Detroit Office insp</w:t>
      </w:r>
      <w:r w:rsidR="00E52925">
        <w:t xml:space="preserve">ected the Station’s main studio and found that its public file did not contain any </w:t>
      </w:r>
      <w:r w:rsidR="00A86D90">
        <w:t>quarterly issues/programs lists for the relevant license term.</w:t>
      </w:r>
      <w:r w:rsidR="00A86D90">
        <w:rPr>
          <w:rStyle w:val="FootnoteReference"/>
        </w:rPr>
        <w:footnoteReference w:id="3"/>
      </w:r>
      <w:r w:rsidR="00A86D90">
        <w:t xml:space="preserve">  </w:t>
      </w:r>
      <w:r w:rsidR="00D5781F">
        <w:t xml:space="preserve">On January 3, 2013, the </w:t>
      </w:r>
      <w:r w:rsidR="00A86D90">
        <w:t>Enforcement Bureau (</w:t>
      </w:r>
      <w:r w:rsidR="00D5781F">
        <w:t>Bureau</w:t>
      </w:r>
      <w:r w:rsidR="00A86D90">
        <w:t>)</w:t>
      </w:r>
      <w:r w:rsidR="00D5781F">
        <w:t xml:space="preserve"> issued the </w:t>
      </w:r>
      <w:r w:rsidR="00D5781F" w:rsidRPr="00A86D90">
        <w:rPr>
          <w:i/>
        </w:rPr>
        <w:t>NAL</w:t>
      </w:r>
      <w:r w:rsidR="008E1982" w:rsidRPr="00A86D90">
        <w:rPr>
          <w:i/>
        </w:rPr>
        <w:t xml:space="preserve"> </w:t>
      </w:r>
      <w:r w:rsidR="00D5781F">
        <w:t>proposing a $</w:t>
      </w:r>
      <w:r w:rsidR="00A86D90">
        <w:t>15,000 forfeiture against Mr.</w:t>
      </w:r>
      <w:r w:rsidR="00D5781F">
        <w:t xml:space="preserve"> Parks </w:t>
      </w:r>
      <w:r w:rsidR="005B1FAC">
        <w:t xml:space="preserve">for his apparent willful and repeated violations of Sections 73.3526(c)(1) </w:t>
      </w:r>
      <w:r w:rsidR="00A86D90">
        <w:t xml:space="preserve">and 73.3526(e)(12) </w:t>
      </w:r>
      <w:r w:rsidR="005B1FAC">
        <w:t xml:space="preserve">of the </w:t>
      </w:r>
      <w:r w:rsidR="00A86D90">
        <w:t>Commission’s rules (</w:t>
      </w:r>
      <w:r w:rsidR="005B1FAC">
        <w:t>Rules</w:t>
      </w:r>
      <w:r w:rsidR="00A86D90">
        <w:t>)</w:t>
      </w:r>
      <w:r w:rsidR="008E1982">
        <w:t xml:space="preserve"> by failing to maintain the issues/programs lists and make them available in the Station’s public inspection file.</w:t>
      </w:r>
      <w:r w:rsidR="00A86D90">
        <w:rPr>
          <w:rStyle w:val="FootnoteReference"/>
        </w:rPr>
        <w:footnoteReference w:id="4"/>
      </w:r>
    </w:p>
    <w:p w:rsidR="00EB25CF" w:rsidRPr="00344C0B" w:rsidRDefault="00EB25CF" w:rsidP="00C90207">
      <w:pPr>
        <w:pStyle w:val="ParaNum"/>
      </w:pPr>
      <w:r>
        <w:t xml:space="preserve">On February 1, 2013, Mr. Parks filed a response to the </w:t>
      </w:r>
      <w:r w:rsidRPr="00EB25CF">
        <w:rPr>
          <w:i/>
        </w:rPr>
        <w:t>NAL</w:t>
      </w:r>
      <w:r>
        <w:t>.</w:t>
      </w:r>
      <w:r>
        <w:rPr>
          <w:rStyle w:val="FootnoteReference"/>
        </w:rPr>
        <w:footnoteReference w:id="5"/>
      </w:r>
      <w:r>
        <w:t xml:space="preserve">  Mr. P</w:t>
      </w:r>
      <w:r w:rsidR="00A86D90">
        <w:t xml:space="preserve">arks makes two </w:t>
      </w:r>
      <w:r>
        <w:t xml:space="preserve">arguments </w:t>
      </w:r>
      <w:r w:rsidR="00FB54D4">
        <w:t xml:space="preserve">as to why the </w:t>
      </w:r>
      <w:r w:rsidR="00FB54D4" w:rsidRPr="00FB54D4">
        <w:rPr>
          <w:i/>
        </w:rPr>
        <w:t>NAL</w:t>
      </w:r>
      <w:r w:rsidR="00FB54D4">
        <w:t xml:space="preserve"> should be canceled or reduced</w:t>
      </w:r>
      <w:r w:rsidR="00A86D90">
        <w:t>.  First, Mr. Parks states</w:t>
      </w:r>
      <w:r w:rsidR="00FB54D4">
        <w:t xml:space="preserve"> that the public file </w:t>
      </w:r>
      <w:r w:rsidR="00A86D90">
        <w:t xml:space="preserve">was </w:t>
      </w:r>
      <w:r w:rsidR="00FB54D4">
        <w:t>brought into compliance</w:t>
      </w:r>
      <w:r w:rsidR="00760EC0">
        <w:t xml:space="preserve"> with the assistance of a consultant </w:t>
      </w:r>
      <w:r w:rsidR="00A86D90">
        <w:t xml:space="preserve">after he received notice of the missing </w:t>
      </w:r>
      <w:r w:rsidR="00A86D90">
        <w:lastRenderedPageBreak/>
        <w:t>issues/programs lists</w:t>
      </w:r>
      <w:r w:rsidR="00CD73FB">
        <w:t>.</w:t>
      </w:r>
      <w:r w:rsidR="00CD73FB">
        <w:rPr>
          <w:rStyle w:val="FootnoteReference"/>
        </w:rPr>
        <w:footnoteReference w:id="6"/>
      </w:r>
      <w:r w:rsidR="00CD73FB">
        <w:t xml:space="preserve">  </w:t>
      </w:r>
      <w:r w:rsidR="008653ED">
        <w:t xml:space="preserve">Mr. Parks indicates that although the Station’s management was </w:t>
      </w:r>
      <w:r w:rsidR="00BA3ECA">
        <w:t>“</w:t>
      </w:r>
      <w:r w:rsidR="008653ED">
        <w:t xml:space="preserve">previously unaware of the importance of </w:t>
      </w:r>
      <w:r w:rsidR="008653ED">
        <w:rPr>
          <w:szCs w:val="22"/>
        </w:rPr>
        <w:t>staying current</w:t>
      </w:r>
      <w:r w:rsidR="00BA3ECA">
        <w:rPr>
          <w:szCs w:val="22"/>
        </w:rPr>
        <w:t>”</w:t>
      </w:r>
      <w:r w:rsidR="008653ED">
        <w:rPr>
          <w:szCs w:val="22"/>
        </w:rPr>
        <w:t xml:space="preserve"> with the Commission’s public file requirements</w:t>
      </w:r>
      <w:r w:rsidR="008653ED">
        <w:t xml:space="preserve">, </w:t>
      </w:r>
      <w:r w:rsidR="008D7732">
        <w:t xml:space="preserve">the Station has implemented measures </w:t>
      </w:r>
      <w:r w:rsidR="008653ED">
        <w:t>to ensure future compliance.</w:t>
      </w:r>
      <w:r w:rsidR="008653ED">
        <w:rPr>
          <w:rStyle w:val="FootnoteReference"/>
        </w:rPr>
        <w:footnoteReference w:id="7"/>
      </w:r>
      <w:r w:rsidR="008653ED">
        <w:t xml:space="preserve">  </w:t>
      </w:r>
      <w:r w:rsidR="00BA3ECA">
        <w:t>Second, Mr. Parks</w:t>
      </w:r>
      <w:r w:rsidR="00CD73FB">
        <w:t xml:space="preserve"> asserts that </w:t>
      </w:r>
      <w:r w:rsidR="00760EC0">
        <w:t xml:space="preserve">the proposed </w:t>
      </w:r>
      <w:r w:rsidR="00CD73FB">
        <w:t xml:space="preserve">forfeiture </w:t>
      </w:r>
      <w:r w:rsidR="00760EC0">
        <w:t xml:space="preserve">amount would represent a </w:t>
      </w:r>
      <w:r w:rsidR="00BA3ECA">
        <w:t xml:space="preserve">“serious </w:t>
      </w:r>
      <w:r w:rsidR="00760EC0">
        <w:t>financial hardship</w:t>
      </w:r>
      <w:r w:rsidR="00BA3ECA">
        <w:t>”</w:t>
      </w:r>
      <w:r w:rsidR="00760EC0">
        <w:t xml:space="preserve"> </w:t>
      </w:r>
      <w:r w:rsidR="00BA3ECA">
        <w:t>that would require closure of the Station and “constitute a loss to [his]</w:t>
      </w:r>
      <w:r w:rsidR="00760EC0">
        <w:t xml:space="preserve"> local community</w:t>
      </w:r>
      <w:r w:rsidR="00CD73FB">
        <w:t>.”</w:t>
      </w:r>
      <w:r w:rsidR="00CD73FB">
        <w:rPr>
          <w:rStyle w:val="FootnoteReference"/>
        </w:rPr>
        <w:footnoteReference w:id="8"/>
      </w:r>
      <w:r w:rsidR="00D52813">
        <w:t xml:space="preserve">  </w:t>
      </w:r>
      <w:r w:rsidR="00935A14">
        <w:t>Mr. Parks submitted federal tax returns i</w:t>
      </w:r>
      <w:r w:rsidR="00AF3A7A">
        <w:t xml:space="preserve">n </w:t>
      </w:r>
      <w:r w:rsidR="00632EAB">
        <w:t xml:space="preserve">support of his request to </w:t>
      </w:r>
      <w:r w:rsidR="008653ED">
        <w:t xml:space="preserve">cancel </w:t>
      </w:r>
      <w:r w:rsidR="00632EAB">
        <w:t xml:space="preserve">or </w:t>
      </w:r>
      <w:r w:rsidR="00935A14">
        <w:t>reduce the proposed forfeiture</w:t>
      </w:r>
      <w:r w:rsidR="00AF3A7A">
        <w:t>.</w:t>
      </w:r>
      <w:r w:rsidR="00ED4B64">
        <w:rPr>
          <w:rStyle w:val="FootnoteReference"/>
        </w:rPr>
        <w:footnoteReference w:id="9"/>
      </w:r>
      <w:r w:rsidR="00AF3A7A">
        <w:t xml:space="preserve">  </w:t>
      </w:r>
    </w:p>
    <w:p w:rsidR="00E273E3" w:rsidRPr="00344C0B" w:rsidRDefault="00E273E3" w:rsidP="00226191">
      <w:pPr>
        <w:pStyle w:val="Heading1"/>
      </w:pPr>
      <w:bookmarkStart w:id="5" w:name="_Toc379289000"/>
      <w:bookmarkStart w:id="6" w:name="_Toc379365501"/>
      <w:r w:rsidRPr="00344C0B">
        <w:t>DISCUSSION</w:t>
      </w:r>
      <w:bookmarkEnd w:id="5"/>
      <w:bookmarkEnd w:id="6"/>
    </w:p>
    <w:p w:rsidR="00E6009E" w:rsidRPr="00074C9C" w:rsidRDefault="00E6009E" w:rsidP="00B5182F">
      <w:pPr>
        <w:pStyle w:val="ParaNum"/>
      </w:pPr>
      <w:r w:rsidRPr="00344C0B">
        <w:t xml:space="preserve">The </w:t>
      </w:r>
      <w:r w:rsidR="008D1BE7" w:rsidRPr="00344C0B">
        <w:t>Bureau</w:t>
      </w:r>
      <w:r w:rsidRPr="00344C0B">
        <w:t xml:space="preserve"> </w:t>
      </w:r>
      <w:r w:rsidR="00E273E3" w:rsidRPr="00344C0B">
        <w:t xml:space="preserve">proposed </w:t>
      </w:r>
      <w:r w:rsidRPr="00344C0B">
        <w:t xml:space="preserve">a </w:t>
      </w:r>
      <w:r w:rsidR="00E273E3" w:rsidRPr="00344C0B">
        <w:t>forfeiture in this case in accordance with Section</w:t>
      </w:r>
      <w:r w:rsidR="00891A82">
        <w:t xml:space="preserve"> </w:t>
      </w:r>
      <w:r w:rsidR="00E273E3" w:rsidRPr="00344C0B">
        <w:t>503(b) of the Communications Act of 1934, as amended (Act),</w:t>
      </w:r>
      <w:r w:rsidR="00E273E3" w:rsidRPr="0007571D">
        <w:rPr>
          <w:rStyle w:val="FootnoteReference"/>
        </w:rPr>
        <w:footnoteReference w:id="10"/>
      </w:r>
      <w:r w:rsidR="00E273E3" w:rsidRPr="0007571D">
        <w:t xml:space="preserve"> Section 1.80 of the </w:t>
      </w:r>
      <w:r w:rsidR="00BA3ECA">
        <w:t>Rules</w:t>
      </w:r>
      <w:r w:rsidR="00E273E3" w:rsidRPr="0007571D">
        <w:t>,</w:t>
      </w:r>
      <w:r w:rsidR="00E273E3" w:rsidRPr="0007571D">
        <w:rPr>
          <w:vertAlign w:val="superscript"/>
        </w:rPr>
        <w:footnoteReference w:id="11"/>
      </w:r>
      <w:r w:rsidR="00E273E3" w:rsidRPr="0007571D">
        <w:t xml:space="preserve"> and the Commissi</w:t>
      </w:r>
      <w:r w:rsidR="00E273E3" w:rsidRPr="00344C0B">
        <w:t xml:space="preserve">on’s </w:t>
      </w:r>
      <w:r w:rsidR="00E273E3" w:rsidRPr="00344C0B">
        <w:rPr>
          <w:i/>
        </w:rPr>
        <w:t xml:space="preserve">Forfeiture Policy </w:t>
      </w:r>
      <w:r w:rsidR="00E273E3" w:rsidRPr="00344C0B">
        <w:rPr>
          <w:rFonts w:eastAsia="MS Mincho"/>
          <w:i/>
          <w:szCs w:val="22"/>
        </w:rPr>
        <w:t>Statement</w:t>
      </w:r>
      <w:r w:rsidR="00E273E3" w:rsidRPr="00344C0B">
        <w:t>.</w:t>
      </w:r>
      <w:r w:rsidR="00E273E3" w:rsidRPr="0007571D">
        <w:rPr>
          <w:rStyle w:val="FootnoteReference"/>
          <w:szCs w:val="22"/>
        </w:rPr>
        <w:footnoteReference w:id="12"/>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13"/>
      </w:r>
      <w:r w:rsidR="00E273E3" w:rsidRPr="0007571D">
        <w:t xml:space="preserve">  </w:t>
      </w:r>
      <w:r w:rsidR="006B685D" w:rsidRPr="00344C0B">
        <w:rPr>
          <w:szCs w:val="22"/>
        </w:rPr>
        <w:t>As discussed below, we</w:t>
      </w:r>
      <w:r w:rsidRPr="00344C0B">
        <w:rPr>
          <w:szCs w:val="22"/>
        </w:rPr>
        <w:t xml:space="preserve"> have </w:t>
      </w:r>
      <w:r w:rsidR="006B685D" w:rsidRPr="00344C0B">
        <w:rPr>
          <w:szCs w:val="22"/>
        </w:rPr>
        <w:t xml:space="preserve">fully </w:t>
      </w:r>
      <w:r w:rsidRPr="00344C0B">
        <w:rPr>
          <w:szCs w:val="22"/>
        </w:rPr>
        <w:t xml:space="preserve">considered </w:t>
      </w:r>
      <w:r w:rsidR="00F227E6">
        <w:rPr>
          <w:szCs w:val="22"/>
        </w:rPr>
        <w:t>Gerald Parks’</w:t>
      </w:r>
      <w:r w:rsidR="00BA3ECA">
        <w:rPr>
          <w:szCs w:val="22"/>
        </w:rPr>
        <w:t>s</w:t>
      </w:r>
      <w:r w:rsidRPr="0007571D">
        <w:t xml:space="preserve"> </w:t>
      </w:r>
      <w:r w:rsidRPr="00344C0B">
        <w:rPr>
          <w:szCs w:val="22"/>
        </w:rPr>
        <w:t xml:space="preserve">response to the </w:t>
      </w:r>
      <w:r w:rsidRPr="00344C0B">
        <w:rPr>
          <w:i/>
          <w:szCs w:val="22"/>
        </w:rPr>
        <w:t>NAL</w:t>
      </w:r>
      <w:r w:rsidRPr="00344C0B">
        <w:rPr>
          <w:szCs w:val="22"/>
        </w:rPr>
        <w:t xml:space="preserve">, </w:t>
      </w:r>
      <w:r w:rsidR="004574D8">
        <w:rPr>
          <w:szCs w:val="22"/>
        </w:rPr>
        <w:t>and find that a reduction of the forfeiture is warranted</w:t>
      </w:r>
      <w:r w:rsidR="00BA3ECA">
        <w:rPr>
          <w:szCs w:val="22"/>
        </w:rPr>
        <w:t xml:space="preserve"> based on inability to pay</w:t>
      </w:r>
      <w:r w:rsidR="004574D8">
        <w:rPr>
          <w:szCs w:val="22"/>
        </w:rPr>
        <w:t>.</w:t>
      </w:r>
    </w:p>
    <w:p w:rsidR="00074C9C" w:rsidRDefault="00BA3ECA" w:rsidP="008B440F">
      <w:pPr>
        <w:pStyle w:val="Heading2"/>
      </w:pPr>
      <w:r>
        <w:t xml:space="preserve">Mr. Parks’s Post-Inspection </w:t>
      </w:r>
      <w:r w:rsidR="008B440F">
        <w:t>Corrective Action</w:t>
      </w:r>
      <w:r>
        <w:t>s Do Not Support a Forfeiture Cancellation or Reduction</w:t>
      </w:r>
    </w:p>
    <w:p w:rsidR="00826958" w:rsidRDefault="00BA3ECA" w:rsidP="00165B3B">
      <w:pPr>
        <w:pStyle w:val="ParaNum"/>
      </w:pPr>
      <w:r>
        <w:t xml:space="preserve">Mr. Parks requests </w:t>
      </w:r>
      <w:r w:rsidR="009A4E4D">
        <w:t xml:space="preserve">cancellation </w:t>
      </w:r>
      <w:r w:rsidR="008653ED">
        <w:t xml:space="preserve">or reduction </w:t>
      </w:r>
      <w:r w:rsidR="00F21925">
        <w:t>of the proposed forfeiture</w:t>
      </w:r>
      <w:r>
        <w:t>,</w:t>
      </w:r>
      <w:r w:rsidR="00F21925">
        <w:t xml:space="preserve"> arguing that </w:t>
      </w:r>
      <w:r w:rsidR="009A4E4D">
        <w:t xml:space="preserve">he </w:t>
      </w:r>
      <w:r w:rsidR="00F21925">
        <w:t>under</w:t>
      </w:r>
      <w:r>
        <w:t>took</w:t>
      </w:r>
      <w:r w:rsidR="00F21925">
        <w:t xml:space="preserve"> correcti</w:t>
      </w:r>
      <w:r w:rsidR="00AB431A">
        <w:t>ve</w:t>
      </w:r>
      <w:r w:rsidR="00F21925">
        <w:t xml:space="preserve"> actions to maintain </w:t>
      </w:r>
      <w:r w:rsidR="00AB431A">
        <w:t xml:space="preserve">and make available </w:t>
      </w:r>
      <w:r w:rsidR="00F21925">
        <w:t>the issues/programs lists in the Station’s public inspection file</w:t>
      </w:r>
      <w:r>
        <w:t xml:space="preserve"> after being notified </w:t>
      </w:r>
      <w:r w:rsidR="00251F66">
        <w:t xml:space="preserve">of the violations </w:t>
      </w:r>
      <w:r w:rsidR="00935A14">
        <w:t xml:space="preserve">by </w:t>
      </w:r>
      <w:r w:rsidR="00251F66">
        <w:t>Bureau agents</w:t>
      </w:r>
      <w:r w:rsidR="00F21925">
        <w:t>.</w:t>
      </w:r>
      <w:r w:rsidR="00714A06">
        <w:rPr>
          <w:rStyle w:val="FootnoteReference"/>
        </w:rPr>
        <w:footnoteReference w:id="14"/>
      </w:r>
      <w:r w:rsidR="00F21925">
        <w:t xml:space="preserve">  Mr. Parks also asserts</w:t>
      </w:r>
      <w:r w:rsidR="00251F66">
        <w:t xml:space="preserve"> that the Station </w:t>
      </w:r>
      <w:r w:rsidR="00F21925">
        <w:t xml:space="preserve">implemented </w:t>
      </w:r>
      <w:r w:rsidR="00251F66">
        <w:t xml:space="preserve">a new public file management system </w:t>
      </w:r>
      <w:r w:rsidR="00F21925">
        <w:t>to ensure future compliance.</w:t>
      </w:r>
      <w:r w:rsidR="00714A06">
        <w:rPr>
          <w:rStyle w:val="FootnoteReference"/>
        </w:rPr>
        <w:footnoteReference w:id="15"/>
      </w:r>
      <w:r w:rsidR="00AB431A">
        <w:t xml:space="preserve">  </w:t>
      </w:r>
      <w:r w:rsidR="00251F66" w:rsidRPr="005A77BB">
        <w:rPr>
          <w:szCs w:val="22"/>
        </w:rPr>
        <w:t xml:space="preserve">While the Commission will generally reduce an assessed forfeiture based on the good faith corrective efforts of a violator, those corrective efforts must be taken </w:t>
      </w:r>
      <w:r w:rsidR="00251F66" w:rsidRPr="005A77BB">
        <w:rPr>
          <w:i/>
          <w:szCs w:val="22"/>
        </w:rPr>
        <w:t xml:space="preserve">prior </w:t>
      </w:r>
      <w:r w:rsidR="00251F66" w:rsidRPr="005A77BB">
        <w:rPr>
          <w:szCs w:val="22"/>
        </w:rPr>
        <w:t>to notification of the violation.</w:t>
      </w:r>
      <w:r w:rsidR="00251F66" w:rsidRPr="005A77BB">
        <w:rPr>
          <w:szCs w:val="22"/>
          <w:vertAlign w:val="superscript"/>
        </w:rPr>
        <w:footnoteReference w:id="16"/>
      </w:r>
      <w:r w:rsidR="00251F66" w:rsidRPr="005A77BB">
        <w:rPr>
          <w:szCs w:val="22"/>
        </w:rPr>
        <w:t xml:space="preserve">  As the Commission has repeatedly stated, “corrective action taken to come into compliance with Commission rules or policy </w:t>
      </w:r>
      <w:r w:rsidR="00251F66" w:rsidRPr="005A77BB">
        <w:rPr>
          <w:szCs w:val="22"/>
        </w:rPr>
        <w:lastRenderedPageBreak/>
        <w:t>is expected, and does not nullify or mitigate any prior forfeitures or violations.</w:t>
      </w:r>
      <w:bookmarkStart w:id="7" w:name="FN[FN8]"/>
      <w:bookmarkEnd w:id="7"/>
      <w:r w:rsidR="00251F66" w:rsidRPr="005A77BB">
        <w:rPr>
          <w:szCs w:val="22"/>
        </w:rPr>
        <w:t>”</w:t>
      </w:r>
      <w:r w:rsidR="00251F66" w:rsidRPr="005A77BB">
        <w:rPr>
          <w:szCs w:val="22"/>
          <w:vertAlign w:val="superscript"/>
        </w:rPr>
        <w:footnoteReference w:id="17"/>
      </w:r>
      <w:r w:rsidR="00251F66" w:rsidRPr="005A77BB">
        <w:rPr>
          <w:szCs w:val="22"/>
        </w:rPr>
        <w:t xml:space="preserve">  </w:t>
      </w:r>
      <w:r w:rsidR="00251F66">
        <w:t>Mr. Parks</w:t>
      </w:r>
      <w:r w:rsidR="009A4E4D">
        <w:t xml:space="preserve"> </w:t>
      </w:r>
      <w:r w:rsidR="00AB431A" w:rsidRPr="00430434">
        <w:t xml:space="preserve">presented no evidence that </w:t>
      </w:r>
      <w:r w:rsidR="009A4E4D">
        <w:t xml:space="preserve">he </w:t>
      </w:r>
      <w:r w:rsidR="00AB431A">
        <w:t xml:space="preserve">undertook </w:t>
      </w:r>
      <w:r w:rsidR="00251F66">
        <w:t xml:space="preserve">corrective </w:t>
      </w:r>
      <w:r w:rsidR="00AB431A">
        <w:t xml:space="preserve">efforts to </w:t>
      </w:r>
      <w:r w:rsidR="00251F66">
        <w:t xml:space="preserve">replace the missing issues/programs lists </w:t>
      </w:r>
      <w:r w:rsidR="009A4E4D" w:rsidRPr="00251F66">
        <w:t>prior</w:t>
      </w:r>
      <w:r w:rsidR="009A4E4D">
        <w:t xml:space="preserve"> </w:t>
      </w:r>
      <w:r w:rsidR="002E771C">
        <w:t xml:space="preserve">to </w:t>
      </w:r>
      <w:r w:rsidR="00AB431A">
        <w:t xml:space="preserve">the </w:t>
      </w:r>
      <w:r w:rsidR="00AB431A" w:rsidRPr="00430434">
        <w:t>inspection</w:t>
      </w:r>
      <w:r w:rsidR="009A4E4D">
        <w:t xml:space="preserve"> by </w:t>
      </w:r>
      <w:r w:rsidR="008D7732">
        <w:t>Bureau agents.  Although</w:t>
      </w:r>
      <w:r w:rsidR="00251F66">
        <w:t xml:space="preserve"> Mr. Parks suggests that </w:t>
      </w:r>
      <w:r w:rsidR="008D7732">
        <w:rPr>
          <w:szCs w:val="22"/>
        </w:rPr>
        <w:t>reconsideration of the forfeiture is appropriate</w:t>
      </w:r>
      <w:r w:rsidR="00251F66" w:rsidRPr="00251F66">
        <w:rPr>
          <w:szCs w:val="22"/>
        </w:rPr>
        <w:t xml:space="preserve"> because the Station’s management was previously unaware of the importance of staying current with the Commis</w:t>
      </w:r>
      <w:r w:rsidR="00251F66">
        <w:rPr>
          <w:szCs w:val="22"/>
        </w:rPr>
        <w:t>sion’s public file requirements, licensees are</w:t>
      </w:r>
      <w:r w:rsidR="00251F66" w:rsidRPr="00251F66">
        <w:rPr>
          <w:szCs w:val="22"/>
        </w:rPr>
        <w:t xml:space="preserve"> expected to know and comply with</w:t>
      </w:r>
      <w:r w:rsidR="00251F66">
        <w:rPr>
          <w:szCs w:val="22"/>
        </w:rPr>
        <w:t xml:space="preserve"> their obligations under</w:t>
      </w:r>
      <w:r w:rsidR="00251F66" w:rsidRPr="00251F66">
        <w:rPr>
          <w:szCs w:val="22"/>
        </w:rPr>
        <w:t xml:space="preserve"> the Rules.</w:t>
      </w:r>
      <w:r w:rsidR="00251F66">
        <w:rPr>
          <w:rStyle w:val="FootnoteReference"/>
          <w:szCs w:val="22"/>
        </w:rPr>
        <w:footnoteReference w:id="18"/>
      </w:r>
      <w:r w:rsidR="008D7732">
        <w:rPr>
          <w:szCs w:val="22"/>
        </w:rPr>
        <w:t xml:space="preserve">  The Commission has consistently held that</w:t>
      </w:r>
      <w:r w:rsidR="00251F66" w:rsidRPr="00251F66">
        <w:rPr>
          <w:szCs w:val="22"/>
        </w:rPr>
        <w:t xml:space="preserve"> violations resulting from inadvertent error or failure to become fam</w:t>
      </w:r>
      <w:r w:rsidR="00165B3B">
        <w:rPr>
          <w:szCs w:val="22"/>
        </w:rPr>
        <w:t xml:space="preserve">iliar with Commission </w:t>
      </w:r>
      <w:r w:rsidR="00251F66" w:rsidRPr="00251F66">
        <w:rPr>
          <w:szCs w:val="22"/>
        </w:rPr>
        <w:t>requirements can be and often are willful violations.</w:t>
      </w:r>
      <w:r w:rsidR="00251F66">
        <w:rPr>
          <w:rStyle w:val="FootnoteReference"/>
          <w:szCs w:val="22"/>
        </w:rPr>
        <w:footnoteReference w:id="19"/>
      </w:r>
      <w:r w:rsidR="00165B3B">
        <w:rPr>
          <w:szCs w:val="22"/>
        </w:rPr>
        <w:t xml:space="preserve">  </w:t>
      </w:r>
      <w:r w:rsidR="00AB431A" w:rsidRPr="00430434">
        <w:t xml:space="preserve">We therefore decline to </w:t>
      </w:r>
      <w:r w:rsidR="00AB431A">
        <w:t>reduce</w:t>
      </w:r>
      <w:r w:rsidR="00AB431A" w:rsidRPr="00430434">
        <w:t xml:space="preserve"> </w:t>
      </w:r>
      <w:r w:rsidR="009A4E4D">
        <w:t xml:space="preserve">or cancel </w:t>
      </w:r>
      <w:r w:rsidR="00AB431A" w:rsidRPr="00430434">
        <w:t>the proposed forfeiture</w:t>
      </w:r>
      <w:r w:rsidR="00585ABB">
        <w:t xml:space="preserve"> on this basis</w:t>
      </w:r>
      <w:r w:rsidR="00AB431A" w:rsidRPr="00430434">
        <w:t>.</w:t>
      </w:r>
    </w:p>
    <w:p w:rsidR="003343CA" w:rsidRPr="009A2403" w:rsidRDefault="00955A96" w:rsidP="00B55D72">
      <w:pPr>
        <w:pStyle w:val="Heading2"/>
      </w:pPr>
      <w:r>
        <w:t xml:space="preserve">Mr. Parks’s </w:t>
      </w:r>
      <w:r w:rsidR="004574D8">
        <w:t>Demonstrated Inability to Pay</w:t>
      </w:r>
      <w:r>
        <w:t xml:space="preserve"> Warrants a Forfeiture Reduction</w:t>
      </w:r>
    </w:p>
    <w:p w:rsidR="00637234" w:rsidRDefault="00B55D72" w:rsidP="00C138D9">
      <w:pPr>
        <w:pStyle w:val="ParaNum"/>
        <w:widowControl/>
      </w:pPr>
      <w:r>
        <w:t xml:space="preserve">Mr. Parks </w:t>
      </w:r>
      <w:r w:rsidR="00A41565" w:rsidRPr="0007571D">
        <w:t>also</w:t>
      </w:r>
      <w:r w:rsidR="003343CA" w:rsidRPr="0007571D">
        <w:t xml:space="preserve"> seeks </w:t>
      </w:r>
      <w:r w:rsidR="00891A82">
        <w:t xml:space="preserve">cancellation or </w:t>
      </w:r>
      <w:r w:rsidR="003343CA" w:rsidRPr="0007571D">
        <w:t>a reduction of the proposed forfeiture b</w:t>
      </w:r>
      <w:r w:rsidR="00955A96">
        <w:t xml:space="preserve">ased on an </w:t>
      </w:r>
      <w:r w:rsidR="003343CA" w:rsidRPr="009A2403">
        <w:t>inability to pay</w:t>
      </w:r>
      <w:r>
        <w:t>, and provide</w:t>
      </w:r>
      <w:r w:rsidR="00ED4B64">
        <w:t>d</w:t>
      </w:r>
      <w:r w:rsidR="002E771C">
        <w:t xml:space="preserve"> financi</w:t>
      </w:r>
      <w:r w:rsidR="00955A96">
        <w:t>al information supporting his claim</w:t>
      </w:r>
      <w:r w:rsidR="003343CA" w:rsidRPr="009A2403">
        <w:t>.</w:t>
      </w:r>
      <w:r w:rsidR="00955A96">
        <w:rPr>
          <w:rStyle w:val="FootnoteReference"/>
        </w:rPr>
        <w:footnoteReference w:id="20"/>
      </w:r>
      <w:r w:rsidR="00637234">
        <w:t xml:space="preserve">  </w:t>
      </w:r>
      <w:r w:rsidR="00955A96" w:rsidRPr="005A77BB">
        <w:rPr>
          <w:szCs w:val="22"/>
        </w:rPr>
        <w:t>With regard to an individual’s or entity’s inability to pay claim, the Commission has determined that, in general, gross income or revenues are the best indicator of an ability to pay a forfeiture.</w:t>
      </w:r>
      <w:bookmarkStart w:id="8" w:name="_Ref350932452"/>
      <w:r w:rsidR="00955A96" w:rsidRPr="005A77BB">
        <w:rPr>
          <w:rStyle w:val="FootnoteCharacters"/>
          <w:sz w:val="22"/>
          <w:szCs w:val="22"/>
        </w:rPr>
        <w:footnoteReference w:id="21"/>
      </w:r>
      <w:bookmarkEnd w:id="8"/>
      <w:r w:rsidR="00955A96" w:rsidRPr="005A77BB">
        <w:rPr>
          <w:szCs w:val="22"/>
        </w:rPr>
        <w:t xml:space="preserve">  </w:t>
      </w:r>
      <w:r w:rsidR="00637234">
        <w:t>Based on the financial documents provided by Mr. Parks, we find sufficient basis to reduce the forfeiture to $</w:t>
      </w:r>
      <w:r w:rsidR="00243491">
        <w:t>1,</w:t>
      </w:r>
      <w:r w:rsidR="00955A96">
        <w:t>500</w:t>
      </w:r>
      <w:r w:rsidR="00637234">
        <w:t>.</w:t>
      </w:r>
      <w:r w:rsidR="00637234">
        <w:rPr>
          <w:rStyle w:val="FootnoteReference"/>
        </w:rPr>
        <w:footnoteReference w:id="22"/>
      </w:r>
      <w:r w:rsidR="00637234">
        <w:t xml:space="preserve">  However, </w:t>
      </w:r>
      <w:r w:rsidR="00D65D78">
        <w:t xml:space="preserve">we caution Mr. Parks that </w:t>
      </w:r>
      <w:r w:rsidR="00637234">
        <w:t>a party’s inability to pay is only one factor in our forfeiture calculation analysis, and is not dispositive.</w:t>
      </w:r>
      <w:r w:rsidR="00637234">
        <w:rPr>
          <w:rStyle w:val="FootnoteReference"/>
        </w:rPr>
        <w:footnoteReference w:id="23"/>
      </w:r>
      <w:r w:rsidR="00637234">
        <w:t xml:space="preserve">  </w:t>
      </w:r>
      <w:r w:rsidR="00202E6A">
        <w:t xml:space="preserve">We have previously rejected inability to pay claims in cases of </w:t>
      </w:r>
      <w:r w:rsidR="00CF5806">
        <w:t>repeated intentional and malicious acts</w:t>
      </w:r>
      <w:r w:rsidR="00202E6A">
        <w:t xml:space="preserve"> or otherwise egregious violations.</w:t>
      </w:r>
      <w:r w:rsidR="00D65D78">
        <w:rPr>
          <w:rStyle w:val="FootnoteReference"/>
        </w:rPr>
        <w:footnoteReference w:id="24"/>
      </w:r>
      <w:r w:rsidR="00202E6A">
        <w:t xml:space="preserve">  We </w:t>
      </w:r>
      <w:r w:rsidR="00E16D03">
        <w:t xml:space="preserve">therefore </w:t>
      </w:r>
      <w:r w:rsidR="007327B0">
        <w:t>warn</w:t>
      </w:r>
      <w:r w:rsidR="00202E6A">
        <w:t xml:space="preserve"> Mr. Pa</w:t>
      </w:r>
      <w:r w:rsidR="00E16D03">
        <w:t>rks that we could impose significantly higher penalties regardless of his financial circumstances if the forfeiture imposed here</w:t>
      </w:r>
      <w:r w:rsidR="00202E6A">
        <w:t xml:space="preserve"> does not serve as a sufficient deterrent or if future violations evidenc</w:t>
      </w:r>
      <w:r w:rsidR="00B55A48">
        <w:t>e a pattern of</w:t>
      </w:r>
      <w:r w:rsidR="00202E6A">
        <w:t xml:space="preserve"> deliberate disregard for the Commission’s rules</w:t>
      </w:r>
      <w:r w:rsidR="00E16D03">
        <w:t>.</w:t>
      </w:r>
    </w:p>
    <w:p w:rsidR="00E16D03" w:rsidRPr="00E16D03" w:rsidRDefault="00E16D03" w:rsidP="00E16D03">
      <w:pPr>
        <w:pStyle w:val="ParaNum"/>
        <w:widowControl/>
        <w:rPr>
          <w:szCs w:val="22"/>
        </w:rPr>
      </w:pPr>
      <w:r w:rsidRPr="005A77BB">
        <w:rPr>
          <w:szCs w:val="22"/>
        </w:rPr>
        <w:t>Based on the record before us and in light of the applicable statu</w:t>
      </w:r>
      <w:r>
        <w:rPr>
          <w:szCs w:val="22"/>
        </w:rPr>
        <w:t>tory factors, we conclude that Mr. Parks</w:t>
      </w:r>
      <w:r w:rsidRPr="005A77BB">
        <w:rPr>
          <w:szCs w:val="22"/>
        </w:rPr>
        <w:t xml:space="preserve"> willfully and repeatedly violated</w:t>
      </w:r>
      <w:r>
        <w:rPr>
          <w:szCs w:val="22"/>
        </w:rPr>
        <w:t xml:space="preserve"> Sections 73.3526(c)(1) and 73.3526(e)(12) of the R</w:t>
      </w:r>
      <w:r w:rsidRPr="005A77BB">
        <w:rPr>
          <w:szCs w:val="22"/>
        </w:rPr>
        <w:t>u</w:t>
      </w:r>
      <w:r>
        <w:rPr>
          <w:szCs w:val="22"/>
        </w:rPr>
        <w:t xml:space="preserve">les by </w:t>
      </w:r>
      <w:r w:rsidRPr="005A77BB">
        <w:rPr>
          <w:szCs w:val="22"/>
        </w:rPr>
        <w:t xml:space="preserve">failing to maintain and make available the </w:t>
      </w:r>
      <w:r>
        <w:rPr>
          <w:szCs w:val="22"/>
        </w:rPr>
        <w:t xml:space="preserve">required </w:t>
      </w:r>
      <w:r w:rsidRPr="005A77BB">
        <w:rPr>
          <w:szCs w:val="22"/>
        </w:rPr>
        <w:t xml:space="preserve">issues/programs lists in the Station’s public inspection file.  </w:t>
      </w:r>
      <w:r>
        <w:rPr>
          <w:szCs w:val="22"/>
        </w:rPr>
        <w:t xml:space="preserve">We further find </w:t>
      </w:r>
      <w:r w:rsidRPr="005A77BB">
        <w:rPr>
          <w:szCs w:val="22"/>
        </w:rPr>
        <w:t>after consideration of the entire record, inc</w:t>
      </w:r>
      <w:r>
        <w:rPr>
          <w:szCs w:val="22"/>
        </w:rPr>
        <w:t>luding Mr. Parks’s</w:t>
      </w:r>
      <w:r w:rsidRPr="005A77BB">
        <w:rPr>
          <w:szCs w:val="22"/>
        </w:rPr>
        <w:t xml:space="preserve"> </w:t>
      </w:r>
      <w:r w:rsidRPr="00352445">
        <w:rPr>
          <w:i/>
          <w:szCs w:val="22"/>
        </w:rPr>
        <w:t>NAL Response</w:t>
      </w:r>
      <w:r>
        <w:rPr>
          <w:szCs w:val="22"/>
        </w:rPr>
        <w:t xml:space="preserve"> and </w:t>
      </w:r>
      <w:r w:rsidRPr="005A77BB">
        <w:rPr>
          <w:szCs w:val="22"/>
        </w:rPr>
        <w:t xml:space="preserve">supportive </w:t>
      </w:r>
      <w:r>
        <w:rPr>
          <w:szCs w:val="22"/>
        </w:rPr>
        <w:t xml:space="preserve">financial </w:t>
      </w:r>
      <w:r w:rsidRPr="005A77BB">
        <w:rPr>
          <w:szCs w:val="22"/>
        </w:rPr>
        <w:t xml:space="preserve">materials, </w:t>
      </w:r>
      <w:r>
        <w:rPr>
          <w:szCs w:val="22"/>
        </w:rPr>
        <w:t xml:space="preserve">that </w:t>
      </w:r>
      <w:r w:rsidRPr="005A77BB">
        <w:rPr>
          <w:szCs w:val="22"/>
        </w:rPr>
        <w:t xml:space="preserve">cancellation of the </w:t>
      </w:r>
      <w:r>
        <w:rPr>
          <w:szCs w:val="22"/>
        </w:rPr>
        <w:t xml:space="preserve">proposed </w:t>
      </w:r>
      <w:r w:rsidRPr="005A77BB">
        <w:rPr>
          <w:szCs w:val="22"/>
        </w:rPr>
        <w:t xml:space="preserve">forfeiture </w:t>
      </w:r>
      <w:r>
        <w:rPr>
          <w:szCs w:val="22"/>
        </w:rPr>
        <w:t>against Mr. Parks is u</w:t>
      </w:r>
      <w:r w:rsidRPr="005A77BB">
        <w:rPr>
          <w:szCs w:val="22"/>
        </w:rPr>
        <w:t xml:space="preserve">nwarranted, </w:t>
      </w:r>
      <w:r>
        <w:rPr>
          <w:szCs w:val="22"/>
        </w:rPr>
        <w:t xml:space="preserve">but a </w:t>
      </w:r>
      <w:r w:rsidRPr="005A77BB">
        <w:rPr>
          <w:szCs w:val="22"/>
        </w:rPr>
        <w:t xml:space="preserve">reduction </w:t>
      </w:r>
      <w:r>
        <w:rPr>
          <w:szCs w:val="22"/>
        </w:rPr>
        <w:t xml:space="preserve">of the forfeiture amount </w:t>
      </w:r>
      <w:r w:rsidRPr="005A77BB">
        <w:rPr>
          <w:szCs w:val="22"/>
        </w:rPr>
        <w:t>to $</w:t>
      </w:r>
      <w:r>
        <w:rPr>
          <w:szCs w:val="22"/>
        </w:rPr>
        <w:t>1,500 is appropriate based on his demonstrated inability to pay</w:t>
      </w:r>
      <w:r w:rsidRPr="005A77BB">
        <w:rPr>
          <w:szCs w:val="22"/>
        </w:rPr>
        <w:t xml:space="preserve">.  </w:t>
      </w:r>
    </w:p>
    <w:p w:rsidR="003343CA" w:rsidRPr="00344C0B" w:rsidRDefault="003343CA" w:rsidP="003343CA">
      <w:pPr>
        <w:pStyle w:val="Heading1"/>
      </w:pPr>
      <w:r w:rsidRPr="00344C0B">
        <w:t>ORDERING CLAUSES</w:t>
      </w:r>
    </w:p>
    <w:p w:rsidR="003343CA" w:rsidRPr="009A2403" w:rsidRDefault="003343CA" w:rsidP="00F23F1E">
      <w:pPr>
        <w:pStyle w:val="ParaNum"/>
      </w:pPr>
      <w:r w:rsidRPr="00344C0B">
        <w:t xml:space="preserve">Accordingly, </w:t>
      </w:r>
      <w:r w:rsidRPr="00344C0B">
        <w:rPr>
          <w:b/>
        </w:rPr>
        <w:t>IT IS ORDERED</w:t>
      </w:r>
      <w:r w:rsidR="00F23F1E">
        <w:rPr>
          <w:b/>
        </w:rPr>
        <w:t xml:space="preserve"> </w:t>
      </w:r>
      <w:r w:rsidR="00F23F1E">
        <w:t>that</w:t>
      </w:r>
      <w:r w:rsidRPr="00344C0B">
        <w:t>, pursuant to Section 503(b) of the</w:t>
      </w:r>
      <w:r w:rsidR="00F23F1E">
        <w:t xml:space="preserve"> Act</w:t>
      </w:r>
      <w:r w:rsidRPr="0007571D">
        <w:rPr>
          <w:rStyle w:val="FootnoteReference"/>
        </w:rPr>
        <w:footnoteReference w:id="25"/>
      </w:r>
      <w:r w:rsidRPr="0007571D">
        <w:t xml:space="preserve"> and Section 1.80 of the Rules,</w:t>
      </w:r>
      <w:r w:rsidRPr="0007571D">
        <w:rPr>
          <w:rStyle w:val="FootnoteReference"/>
        </w:rPr>
        <w:footnoteReference w:id="26"/>
      </w:r>
      <w:r w:rsidRPr="0007571D">
        <w:t xml:space="preserve"> </w:t>
      </w:r>
      <w:r w:rsidR="00556415">
        <w:t xml:space="preserve">Gerald Parks </w:t>
      </w:r>
      <w:r w:rsidRPr="0007571D">
        <w:rPr>
          <w:b/>
        </w:rPr>
        <w:t>IS LIABLE FOR A MONETARY FORFEITURE</w:t>
      </w:r>
      <w:r w:rsidRPr="009A2403">
        <w:t xml:space="preserve"> in the amount of </w:t>
      </w:r>
      <w:r w:rsidR="00243491">
        <w:t xml:space="preserve">one </w:t>
      </w:r>
      <w:r w:rsidR="00556415">
        <w:t xml:space="preserve">thousand </w:t>
      </w:r>
      <w:r w:rsidR="00E16D03">
        <w:t xml:space="preserve">five hundred </w:t>
      </w:r>
      <w:r w:rsidR="00556415">
        <w:t>dollars ($</w:t>
      </w:r>
      <w:r w:rsidR="00243491">
        <w:t>1</w:t>
      </w:r>
      <w:r w:rsidR="00E16D03">
        <w:t>,500</w:t>
      </w:r>
      <w:r w:rsidR="00556415">
        <w:t xml:space="preserve">) </w:t>
      </w:r>
      <w:r w:rsidRPr="0007571D">
        <w:t xml:space="preserve">for willfully </w:t>
      </w:r>
      <w:r w:rsidR="00556415">
        <w:t>and repeatedly</w:t>
      </w:r>
      <w:r w:rsidR="00F23F1E">
        <w:t xml:space="preserve"> </w:t>
      </w:r>
      <w:r w:rsidRPr="0007571D">
        <w:t xml:space="preserve">violating </w:t>
      </w:r>
      <w:r w:rsidR="002E771C">
        <w:t xml:space="preserve">Sections </w:t>
      </w:r>
      <w:r w:rsidR="00556415">
        <w:t>73.3526(c)(1) and 73.3526(e)(12) of the Rules.</w:t>
      </w:r>
      <w:r w:rsidR="00E16D03">
        <w:rPr>
          <w:rStyle w:val="FootnoteReference"/>
        </w:rPr>
        <w:footnoteReference w:id="27"/>
      </w:r>
    </w:p>
    <w:p w:rsidR="003343CA" w:rsidRPr="00344C0B" w:rsidRDefault="003343CA" w:rsidP="00F23F1E">
      <w:pPr>
        <w:pStyle w:val="ParaNum"/>
      </w:pPr>
      <w:r w:rsidRPr="00344C0B">
        <w:t xml:space="preserve">Payment of the forfeiture shall be made in the manner provided for in Section 1.80 of the Rules within </w:t>
      </w:r>
      <w:r w:rsidR="00225854">
        <w:t>thirty (30</w:t>
      </w:r>
      <w:r w:rsidRPr="00344C0B">
        <w:t>) calendar days after the release of this Forfeiture Order.</w:t>
      </w:r>
      <w:r w:rsidRPr="0007571D">
        <w:rPr>
          <w:rStyle w:val="FootnoteReference"/>
        </w:rPr>
        <w:footnoteReference w:id="28"/>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29"/>
      </w:r>
      <w:r w:rsidRPr="0007571D">
        <w:t xml:space="preserve">  </w:t>
      </w:r>
    </w:p>
    <w:p w:rsidR="003343CA" w:rsidRPr="00344C0B" w:rsidRDefault="00F23F1E" w:rsidP="00F23F1E">
      <w:pPr>
        <w:pStyle w:val="ParaNum"/>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sidR="00810951">
        <w:rPr>
          <w:szCs w:val="22"/>
        </w:rPr>
        <w:t xml:space="preserve">Gerald Parks </w:t>
      </w:r>
      <w:r w:rsidRPr="006D73F2">
        <w:rPr>
          <w:szCs w:val="22"/>
        </w:rPr>
        <w:t xml:space="preserve">shall send electronic notification </w:t>
      </w:r>
      <w:r>
        <w:rPr>
          <w:szCs w:val="22"/>
        </w:rPr>
        <w:t xml:space="preserve">of </w:t>
      </w:r>
      <w:r w:rsidRPr="006D73F2">
        <w:rPr>
          <w:szCs w:val="22"/>
        </w:rPr>
        <w:t xml:space="preserve">payment to </w:t>
      </w:r>
      <w:r w:rsidR="00810951">
        <w:rPr>
          <w:szCs w:val="22"/>
        </w:rPr>
        <w:t xml:space="preserve">Kathy Harvey at </w:t>
      </w:r>
      <w:r w:rsidR="00810951" w:rsidRPr="00810951">
        <w:rPr>
          <w:szCs w:val="22"/>
        </w:rPr>
        <w:t>Kathy.Harvey@fcc.gov</w:t>
      </w:r>
      <w:r w:rsidR="00810951">
        <w:rPr>
          <w:szCs w:val="22"/>
        </w:rPr>
        <w:t xml:space="preserve">, JoAnn Lucanik at </w:t>
      </w:r>
      <w:r w:rsidR="00810951" w:rsidRPr="00810951">
        <w:rPr>
          <w:szCs w:val="22"/>
        </w:rPr>
        <w:t>JoAnn.Lucanik@fcc.gov</w:t>
      </w:r>
      <w:r w:rsidR="00810951">
        <w:rPr>
          <w:szCs w:val="22"/>
        </w:rPr>
        <w:t xml:space="preserve">, and to Samantha Peoples at </w:t>
      </w:r>
      <w:r w:rsidR="00810951" w:rsidRPr="00810951">
        <w:rPr>
          <w:szCs w:val="22"/>
        </w:rPr>
        <w:t>Sam.Peoples@fcc.gov</w:t>
      </w:r>
      <w:r w:rsidR="00810951">
        <w:rPr>
          <w:szCs w:val="22"/>
        </w:rPr>
        <w:t xml:space="preserve"> </w:t>
      </w:r>
      <w:r w:rsidRPr="006D73F2">
        <w:rPr>
          <w:szCs w:val="22"/>
        </w:rPr>
        <w:t>on the date said payment is made.</w:t>
      </w:r>
      <w:r>
        <w:rPr>
          <w:szCs w:val="22"/>
        </w:rPr>
        <w:t xml:space="preserve">  </w:t>
      </w:r>
      <w:r w:rsidR="003343CA" w:rsidRPr="00344C0B">
        <w:t>Regardless of the form of payment, a completed FCC Form 159 (Remittance Advice) must be submitted.</w:t>
      </w:r>
      <w:r w:rsidR="003343CA" w:rsidRPr="0007571D">
        <w:rPr>
          <w:rStyle w:val="FootnoteReference"/>
        </w:rPr>
        <w:footnoteReference w:id="30"/>
      </w:r>
      <w:r w:rsidR="003343CA"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rsidR="003343CA" w:rsidRPr="00344C0B" w:rsidRDefault="003343CA" w:rsidP="00C138D9">
      <w:pPr>
        <w:pStyle w:val="par1"/>
        <w:numPr>
          <w:ilvl w:val="0"/>
          <w:numId w:val="39"/>
        </w:numPr>
        <w:tabs>
          <w:tab w:val="clear" w:pos="1440"/>
        </w:tabs>
        <w:spacing w:after="12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rsidR="003343CA" w:rsidRPr="00344C0B" w:rsidRDefault="003343CA" w:rsidP="00E16D03">
      <w:pPr>
        <w:pStyle w:val="par1"/>
        <w:widowControl/>
        <w:numPr>
          <w:ilvl w:val="0"/>
          <w:numId w:val="39"/>
        </w:numPr>
        <w:tabs>
          <w:tab w:val="clear" w:pos="1440"/>
        </w:tabs>
        <w:spacing w:after="120"/>
        <w:ind w:left="1267"/>
        <w:rPr>
          <w:sz w:val="22"/>
        </w:rPr>
      </w:pPr>
      <w:r w:rsidRPr="00344C0B">
        <w:rPr>
          <w:sz w:val="22"/>
        </w:rPr>
        <w:t xml:space="preserve">Payment by wire transfer must be made to ABA Number 021030004, receiving bank TREAS/NYC, and Account Number 27000001.  To complete the wire transfer and </w:t>
      </w:r>
      <w:r w:rsidR="002D74C4" w:rsidRPr="00344C0B">
        <w:rPr>
          <w:sz w:val="22"/>
        </w:rPr>
        <w:t>e</w:t>
      </w:r>
      <w:r w:rsidRPr="00344C0B">
        <w:rPr>
          <w:sz w:val="22"/>
        </w:rPr>
        <w:t>nsure appropriate crediting of the wired funds, a completed Form 159 must be faxed to U.S. Bank at (314) 418-4232 on the same business day the wire transfer is initiated.</w:t>
      </w:r>
    </w:p>
    <w:p w:rsidR="003343CA" w:rsidRPr="00344C0B" w:rsidRDefault="003343CA" w:rsidP="00C138D9">
      <w:pPr>
        <w:pStyle w:val="par1"/>
        <w:widowControl/>
        <w:numPr>
          <w:ilvl w:val="0"/>
          <w:numId w:val="39"/>
        </w:numPr>
        <w:tabs>
          <w:tab w:val="clear" w:pos="1440"/>
        </w:tabs>
        <w:spacing w:after="120"/>
        <w:ind w:left="1267"/>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F23F1E" w:rsidRPr="00816F70" w:rsidRDefault="00F23F1E" w:rsidP="00C90207">
      <w:pPr>
        <w:pStyle w:val="ParaNum"/>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31"/>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rsidR="003343CA" w:rsidRPr="0007571D" w:rsidRDefault="003343CA" w:rsidP="00C90207">
      <w:pPr>
        <w:pStyle w:val="ParaNum"/>
      </w:pPr>
      <w:r w:rsidRPr="00344C0B">
        <w:rPr>
          <w:b/>
        </w:rPr>
        <w:t>IT IS FURTHER ORDERED</w:t>
      </w:r>
      <w:r w:rsidRPr="00344C0B">
        <w:t xml:space="preserve"> that a copy of this Forfeiture Order </w:t>
      </w:r>
      <w:r w:rsidR="00F23F1E" w:rsidRPr="004749BE">
        <w:t xml:space="preserve">shall be sent by first class mail and certified mail, return receipt requested, to </w:t>
      </w:r>
      <w:r w:rsidR="00494549">
        <w:t xml:space="preserve">Gerald Parks, 402 Main Street, Williamsburg, Kentucky 40769, </w:t>
      </w:r>
      <w:r w:rsidR="00F23F1E" w:rsidRPr="004749BE">
        <w:t xml:space="preserve">and to </w:t>
      </w:r>
      <w:r w:rsidR="00CA369E">
        <w:t xml:space="preserve">his counsel, </w:t>
      </w:r>
      <w:r w:rsidR="00494549">
        <w:t>Leroy A. Gilbert, Esq., 401 Main Street, Williamsburg, Kentucky 40769.</w:t>
      </w:r>
    </w:p>
    <w:p w:rsidR="003343CA" w:rsidRPr="00344C0B" w:rsidRDefault="003343CA" w:rsidP="003343CA"/>
    <w:p w:rsidR="003343CA" w:rsidRPr="00344C0B" w:rsidRDefault="003343CA" w:rsidP="003343CA"/>
    <w:p w:rsidR="003343CA" w:rsidRPr="00344C0B" w:rsidRDefault="003343CA" w:rsidP="0007571D">
      <w:pPr>
        <w:ind w:left="4410"/>
      </w:pPr>
      <w:r w:rsidRPr="00344C0B">
        <w:t>FEDERAL COMMUNICATIONS COMMISSION</w:t>
      </w:r>
    </w:p>
    <w:p w:rsidR="003343CA" w:rsidRPr="00344C0B" w:rsidRDefault="003343CA" w:rsidP="0007571D">
      <w:pPr>
        <w:ind w:left="4410"/>
      </w:pPr>
    </w:p>
    <w:p w:rsidR="003343CA" w:rsidRPr="00344C0B" w:rsidRDefault="003343CA" w:rsidP="0007571D">
      <w:pPr>
        <w:ind w:left="4410"/>
      </w:pPr>
    </w:p>
    <w:p w:rsidR="003343CA" w:rsidRPr="00344C0B" w:rsidRDefault="003343CA" w:rsidP="0007571D">
      <w:pPr>
        <w:ind w:left="4410"/>
      </w:pPr>
    </w:p>
    <w:p w:rsidR="003343CA" w:rsidRPr="00344C0B" w:rsidRDefault="003343CA" w:rsidP="0007571D">
      <w:pPr>
        <w:ind w:left="4410"/>
      </w:pPr>
    </w:p>
    <w:p w:rsidR="00171634" w:rsidRDefault="00956D31" w:rsidP="009B0223">
      <w:pPr>
        <w:ind w:left="4410"/>
        <w:rPr>
          <w:szCs w:val="22"/>
        </w:rPr>
      </w:pPr>
      <w:r>
        <w:rPr>
          <w:szCs w:val="22"/>
        </w:rPr>
        <w:t>Travis LeBlanc</w:t>
      </w:r>
    </w:p>
    <w:p w:rsidR="00171634" w:rsidRDefault="00171634" w:rsidP="009B0223">
      <w:pPr>
        <w:ind w:left="4410"/>
        <w:rPr>
          <w:szCs w:val="22"/>
        </w:rPr>
      </w:pPr>
      <w:r>
        <w:rPr>
          <w:szCs w:val="22"/>
        </w:rPr>
        <w:t>Chief</w:t>
      </w:r>
    </w:p>
    <w:p w:rsidR="003343CA" w:rsidRPr="00F32480" w:rsidRDefault="00171634" w:rsidP="00171634">
      <w:pPr>
        <w:ind w:left="4410"/>
      </w:pPr>
      <w:r>
        <w:rPr>
          <w:szCs w:val="22"/>
        </w:rPr>
        <w:t>Enforcement Bureau</w:t>
      </w:r>
    </w:p>
    <w:p w:rsidR="00E273E3" w:rsidRDefault="00E273E3" w:rsidP="003343CA">
      <w:pPr>
        <w:pStyle w:val="ParaNum"/>
        <w:numPr>
          <w:ilvl w:val="0"/>
          <w:numId w:val="0"/>
        </w:numPr>
        <w:ind w:left="720"/>
        <w:rPr>
          <w:szCs w:val="22"/>
        </w:rPr>
      </w:pP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B5" w:rsidRDefault="009536B5">
      <w:pPr>
        <w:spacing w:line="20" w:lineRule="exact"/>
      </w:pPr>
    </w:p>
  </w:endnote>
  <w:endnote w:type="continuationSeparator" w:id="0">
    <w:p w:rsidR="009536B5" w:rsidRDefault="009536B5">
      <w:r>
        <w:t xml:space="preserve"> </w:t>
      </w:r>
    </w:p>
  </w:endnote>
  <w:endnote w:type="continuationNotice" w:id="1">
    <w:p w:rsidR="009536B5" w:rsidRDefault="009536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3046F3">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BD" w:rsidRDefault="00000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B5" w:rsidRDefault="009536B5">
      <w:r>
        <w:separator/>
      </w:r>
    </w:p>
  </w:footnote>
  <w:footnote w:type="continuationSeparator" w:id="0">
    <w:p w:rsidR="009536B5" w:rsidRDefault="009536B5">
      <w:pPr>
        <w:rPr>
          <w:sz w:val="20"/>
        </w:rPr>
      </w:pPr>
      <w:r>
        <w:rPr>
          <w:sz w:val="20"/>
        </w:rPr>
        <w:t xml:space="preserve">(Continued from previous page)  </w:t>
      </w:r>
      <w:r>
        <w:rPr>
          <w:sz w:val="20"/>
        </w:rPr>
        <w:separator/>
      </w:r>
    </w:p>
  </w:footnote>
  <w:footnote w:type="continuationNotice" w:id="1">
    <w:p w:rsidR="009536B5" w:rsidRDefault="009536B5">
      <w:pPr>
        <w:rPr>
          <w:sz w:val="20"/>
        </w:rPr>
      </w:pPr>
      <w:r>
        <w:rPr>
          <w:sz w:val="20"/>
        </w:rPr>
        <w:t>(continued….)</w:t>
      </w:r>
    </w:p>
  </w:footnote>
  <w:footnote w:id="2">
    <w:p w:rsidR="002F141B" w:rsidRPr="00344C0B" w:rsidRDefault="002F141B" w:rsidP="002F141B">
      <w:pPr>
        <w:pStyle w:val="FootnoteText"/>
      </w:pPr>
      <w:r w:rsidRPr="00790B4B">
        <w:rPr>
          <w:rStyle w:val="FootnoteReference"/>
        </w:rPr>
        <w:footnoteRef/>
      </w:r>
      <w:r w:rsidRPr="00790B4B">
        <w:t xml:space="preserve"> The investigation </w:t>
      </w:r>
      <w:r>
        <w:t>began</w:t>
      </w:r>
      <w:r w:rsidRPr="00790B4B">
        <w:t xml:space="preserve"> under </w:t>
      </w:r>
      <w:r w:rsidRPr="00344C0B">
        <w:rPr>
          <w:spacing w:val="-2"/>
        </w:rPr>
        <w:t>EB-</w:t>
      </w:r>
      <w:r>
        <w:rPr>
          <w:spacing w:val="-2"/>
        </w:rPr>
        <w:t>10-DT-0371</w:t>
      </w:r>
      <w:r w:rsidRPr="00790B4B">
        <w:t xml:space="preserve"> </w:t>
      </w:r>
      <w:r w:rsidRPr="0007571D">
        <w:rPr>
          <w:spacing w:val="-2"/>
        </w:rPr>
        <w:t xml:space="preserve">and </w:t>
      </w:r>
      <w:r>
        <w:rPr>
          <w:spacing w:val="-2"/>
        </w:rPr>
        <w:t xml:space="preserve">was </w:t>
      </w:r>
      <w:r w:rsidRPr="0007571D">
        <w:rPr>
          <w:spacing w:val="-2"/>
        </w:rPr>
        <w:t xml:space="preserve">subsequently assigned </w:t>
      </w:r>
      <w:r w:rsidRPr="00344C0B">
        <w:t xml:space="preserve">File No. </w:t>
      </w:r>
      <w:r>
        <w:rPr>
          <w:spacing w:val="-2"/>
        </w:rPr>
        <w:t>EB-FIELDNER-12-00005646</w:t>
      </w:r>
      <w:r w:rsidRPr="0007571D">
        <w:t xml:space="preserve">.  Any future correspondence with the Commission concerning this matter should reflect the new case number.  </w:t>
      </w:r>
    </w:p>
  </w:footnote>
  <w:footnote w:id="3">
    <w:p w:rsidR="00A86D90" w:rsidRDefault="00A86D90">
      <w:pPr>
        <w:pStyle w:val="FootnoteText"/>
      </w:pPr>
      <w:r>
        <w:rPr>
          <w:rStyle w:val="FootnoteReference"/>
        </w:rPr>
        <w:footnoteRef/>
      </w:r>
      <w:r>
        <w:t xml:space="preserve"> </w:t>
      </w:r>
      <w:r>
        <w:rPr>
          <w:i/>
        </w:rPr>
        <w:t>Gerald Parks</w:t>
      </w:r>
      <w:r w:rsidRPr="00344C0B">
        <w:t xml:space="preserve">, </w:t>
      </w:r>
      <w:r>
        <w:t>Notice of Apparent Liability for Forfeiture and Order, 28</w:t>
      </w:r>
      <w:r w:rsidRPr="0007571D">
        <w:t xml:space="preserve"> FCC Rcd </w:t>
      </w:r>
      <w:r>
        <w:t>15, 15, para</w:t>
      </w:r>
      <w:r w:rsidRPr="0007571D">
        <w:t xml:space="preserve">. </w:t>
      </w:r>
      <w:r>
        <w:t>2 (Enf. Bur. 2013) (</w:t>
      </w:r>
      <w:r w:rsidRPr="00764AD6">
        <w:rPr>
          <w:i/>
        </w:rPr>
        <w:t>NAL</w:t>
      </w:r>
      <w:r>
        <w:t>).</w:t>
      </w:r>
      <w:r w:rsidRPr="00344C0B">
        <w:t xml:space="preserve">  </w:t>
      </w:r>
      <w:r>
        <w:t xml:space="preserve">Specifically, the public file was missing 19 quarters of issues/programs lists.  </w:t>
      </w:r>
      <w:r>
        <w:rPr>
          <w:i/>
        </w:rPr>
        <w:t xml:space="preserve">Id.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p>
  </w:footnote>
  <w:footnote w:id="4">
    <w:p w:rsidR="00A86D90" w:rsidRDefault="00A86D90" w:rsidP="00A86D90">
      <w:pPr>
        <w:pStyle w:val="FootnoteText"/>
      </w:pPr>
      <w:r>
        <w:rPr>
          <w:rStyle w:val="FootnoteReference"/>
        </w:rPr>
        <w:footnoteRef/>
      </w:r>
      <w:r>
        <w:t xml:space="preserve"> </w:t>
      </w:r>
      <w:r>
        <w:rPr>
          <w:i/>
        </w:rPr>
        <w:t xml:space="preserve">Id. </w:t>
      </w:r>
      <w:r>
        <w:t>at 17, para. 8; 47 C.F.R. §§ 73.3526(c)(1), 73.3526(e)(12).</w:t>
      </w:r>
    </w:p>
  </w:footnote>
  <w:footnote w:id="5">
    <w:p w:rsidR="00EB25CF" w:rsidRDefault="00EB25CF">
      <w:pPr>
        <w:pStyle w:val="FootnoteText"/>
      </w:pPr>
      <w:r>
        <w:rPr>
          <w:rStyle w:val="FootnoteReference"/>
        </w:rPr>
        <w:footnoteRef/>
      </w:r>
      <w:r>
        <w:t xml:space="preserve"> </w:t>
      </w:r>
      <w:r w:rsidRPr="00EB25CF">
        <w:rPr>
          <w:i/>
        </w:rPr>
        <w:t>See</w:t>
      </w:r>
      <w:r>
        <w:t xml:space="preserve"> Gerald Parks</w:t>
      </w:r>
      <w:r w:rsidR="00A86D90">
        <w:t>,</w:t>
      </w:r>
      <w:r>
        <w:t xml:space="preserve"> Response to Notice of Apparent Liability </w:t>
      </w:r>
      <w:r w:rsidR="00760EC0">
        <w:t xml:space="preserve">for Forfeiture </w:t>
      </w:r>
      <w:r>
        <w:t>and Order (</w:t>
      </w:r>
      <w:r w:rsidR="00B56659">
        <w:t>Feb.</w:t>
      </w:r>
      <w:r>
        <w:t xml:space="preserve"> 1, 2013) (on file in</w:t>
      </w:r>
      <w:r w:rsidR="00585ABB">
        <w:t xml:space="preserve"> </w:t>
      </w:r>
      <w:r w:rsidR="00585ABB">
        <w:rPr>
          <w:spacing w:val="-2"/>
        </w:rPr>
        <w:t>EB-FIELDNER-12-00005646</w:t>
      </w:r>
      <w:r>
        <w:t>) (</w:t>
      </w:r>
      <w:r w:rsidRPr="00A86D90">
        <w:rPr>
          <w:i/>
        </w:rPr>
        <w:t>NAL Response</w:t>
      </w:r>
      <w:r>
        <w:t>).</w:t>
      </w:r>
    </w:p>
  </w:footnote>
  <w:footnote w:id="6">
    <w:p w:rsidR="00CD73FB" w:rsidRDefault="00CD73FB" w:rsidP="00CD73FB">
      <w:pPr>
        <w:pStyle w:val="FootnoteText"/>
      </w:pPr>
      <w:r>
        <w:rPr>
          <w:rStyle w:val="FootnoteReference"/>
        </w:rPr>
        <w:footnoteRef/>
      </w:r>
      <w:r>
        <w:t xml:space="preserve"> </w:t>
      </w:r>
      <w:r w:rsidRPr="00FB54D4">
        <w:rPr>
          <w:i/>
        </w:rPr>
        <w:t>See</w:t>
      </w:r>
      <w:r>
        <w:t xml:space="preserve"> </w:t>
      </w:r>
      <w:r w:rsidR="00A86D90">
        <w:rPr>
          <w:i/>
        </w:rPr>
        <w:t xml:space="preserve">id. </w:t>
      </w:r>
      <w:r>
        <w:t>at 1</w:t>
      </w:r>
      <w:r w:rsidR="00251F66">
        <w:t>–2</w:t>
      </w:r>
      <w:r>
        <w:t>.</w:t>
      </w:r>
    </w:p>
  </w:footnote>
  <w:footnote w:id="7">
    <w:p w:rsidR="008653ED" w:rsidRDefault="008653ED" w:rsidP="008653ED">
      <w:pPr>
        <w:pStyle w:val="FootnoteText"/>
      </w:pPr>
      <w:r>
        <w:rPr>
          <w:rStyle w:val="FootnoteReference"/>
        </w:rPr>
        <w:footnoteRef/>
      </w:r>
      <w:r>
        <w:t xml:space="preserve"> </w:t>
      </w:r>
      <w:r w:rsidRPr="00D52813">
        <w:rPr>
          <w:i/>
        </w:rPr>
        <w:t>See id</w:t>
      </w:r>
      <w:r>
        <w:t>.</w:t>
      </w:r>
    </w:p>
  </w:footnote>
  <w:footnote w:id="8">
    <w:p w:rsidR="00CD73FB" w:rsidRDefault="00CD73FB">
      <w:pPr>
        <w:pStyle w:val="FootnoteText"/>
      </w:pPr>
      <w:r>
        <w:rPr>
          <w:rStyle w:val="FootnoteReference"/>
        </w:rPr>
        <w:footnoteRef/>
      </w:r>
      <w:r>
        <w:t xml:space="preserve"> </w:t>
      </w:r>
      <w:r w:rsidR="00714A06" w:rsidRPr="00714A06">
        <w:rPr>
          <w:i/>
        </w:rPr>
        <w:t>I</w:t>
      </w:r>
      <w:r w:rsidR="00D52813" w:rsidRPr="00D52813">
        <w:rPr>
          <w:i/>
        </w:rPr>
        <w:t>d</w:t>
      </w:r>
      <w:r w:rsidR="00D52813">
        <w:t>. at 2.</w:t>
      </w:r>
    </w:p>
  </w:footnote>
  <w:footnote w:id="9">
    <w:p w:rsidR="00ED4B64" w:rsidRDefault="00ED4B64">
      <w:pPr>
        <w:pStyle w:val="FootnoteText"/>
      </w:pPr>
      <w:r>
        <w:rPr>
          <w:rStyle w:val="FootnoteReference"/>
        </w:rPr>
        <w:footnoteRef/>
      </w:r>
      <w:r>
        <w:t xml:space="preserve"> </w:t>
      </w:r>
      <w:r w:rsidR="00BA3ECA">
        <w:rPr>
          <w:i/>
        </w:rPr>
        <w:t xml:space="preserve">See id. </w:t>
      </w:r>
      <w:r w:rsidR="00BA3ECA">
        <w:t xml:space="preserve">at Attachment.  </w:t>
      </w:r>
      <w:r w:rsidR="00DE5E8F">
        <w:t xml:space="preserve">On June 8, 2015, at the request of Commission staff, </w:t>
      </w:r>
      <w:r>
        <w:t>Mr. Parks provided updated financial data in support of his</w:t>
      </w:r>
      <w:r w:rsidR="00BA3ECA">
        <w:t xml:space="preserve"> inability to pay claim</w:t>
      </w:r>
      <w:r>
        <w:t>.</w:t>
      </w:r>
    </w:p>
  </w:footnote>
  <w:footnote w:id="10">
    <w:p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11">
    <w:p w:rsidR="00E273E3" w:rsidRPr="00344C0B" w:rsidRDefault="00E273E3" w:rsidP="006168A4">
      <w:pPr>
        <w:pStyle w:val="FootnoteText"/>
      </w:pPr>
      <w:r w:rsidRPr="00344C0B">
        <w:rPr>
          <w:rStyle w:val="FootnoteReference"/>
        </w:rPr>
        <w:footnoteRef/>
      </w:r>
      <w:r w:rsidRPr="00344C0B">
        <w:t xml:space="preserve"> 47 C.F.R. § 1.80.</w:t>
      </w:r>
    </w:p>
  </w:footnote>
  <w:footnote w:id="12">
    <w:p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3">
    <w:p w:rsidR="00E273E3" w:rsidRPr="00344C0B" w:rsidRDefault="00E273E3" w:rsidP="006168A4">
      <w:pPr>
        <w:pStyle w:val="FootnoteText"/>
      </w:pPr>
      <w:r w:rsidRPr="00344C0B">
        <w:rPr>
          <w:rStyle w:val="FootnoteReference"/>
        </w:rPr>
        <w:footnoteRef/>
      </w:r>
      <w:r w:rsidRPr="00344C0B">
        <w:t xml:space="preserve"> 47 U.S.C. § 503(b)(2)(E).</w:t>
      </w:r>
    </w:p>
  </w:footnote>
  <w:footnote w:id="14">
    <w:p w:rsidR="00714A06" w:rsidRDefault="00714A06">
      <w:pPr>
        <w:pStyle w:val="FootnoteText"/>
      </w:pPr>
      <w:r>
        <w:rPr>
          <w:rStyle w:val="FootnoteReference"/>
        </w:rPr>
        <w:footnoteRef/>
      </w:r>
      <w:r>
        <w:t xml:space="preserve"> </w:t>
      </w:r>
      <w:r w:rsidRPr="00714A06">
        <w:rPr>
          <w:i/>
        </w:rPr>
        <w:t>See</w:t>
      </w:r>
      <w:r w:rsidR="00BA3ECA">
        <w:t xml:space="preserve"> </w:t>
      </w:r>
      <w:r w:rsidR="00BA3ECA" w:rsidRPr="00BA3ECA">
        <w:rPr>
          <w:i/>
        </w:rPr>
        <w:t>NAL Response</w:t>
      </w:r>
      <w:r w:rsidR="00BA3ECA">
        <w:t xml:space="preserve"> at 1</w:t>
      </w:r>
      <w:r w:rsidR="00251F66">
        <w:t>–2</w:t>
      </w:r>
      <w:r>
        <w:t>.</w:t>
      </w:r>
    </w:p>
  </w:footnote>
  <w:footnote w:id="15">
    <w:p w:rsidR="00714A06" w:rsidRDefault="00714A06">
      <w:pPr>
        <w:pStyle w:val="FootnoteText"/>
      </w:pPr>
      <w:r>
        <w:rPr>
          <w:rStyle w:val="FootnoteReference"/>
        </w:rPr>
        <w:footnoteRef/>
      </w:r>
      <w:r>
        <w:t xml:space="preserve"> </w:t>
      </w:r>
      <w:r w:rsidRPr="00714A06">
        <w:rPr>
          <w:i/>
        </w:rPr>
        <w:t>See id</w:t>
      </w:r>
      <w:r>
        <w:t>.</w:t>
      </w:r>
    </w:p>
  </w:footnote>
  <w:footnote w:id="16">
    <w:p w:rsidR="00251F66" w:rsidRPr="00D91DA3" w:rsidRDefault="00251F66" w:rsidP="00251F66">
      <w:pPr>
        <w:pStyle w:val="FootnoteText"/>
      </w:pPr>
      <w:r w:rsidRPr="00D91DA3">
        <w:rPr>
          <w:rStyle w:val="FootnoteReference"/>
        </w:rPr>
        <w:footnoteRef/>
      </w:r>
      <w:r w:rsidRPr="00D91DA3">
        <w:t xml:space="preserve"> </w:t>
      </w:r>
      <w:r w:rsidRPr="00D91DA3">
        <w:rPr>
          <w:i/>
        </w:rPr>
        <w:t>See, e.g.</w:t>
      </w:r>
      <w:r w:rsidRPr="00D91DA3">
        <w:t xml:space="preserve">, </w:t>
      </w:r>
      <w:r w:rsidRPr="00D91DA3">
        <w:rPr>
          <w:rStyle w:val="Emphasis"/>
        </w:rPr>
        <w:t>Sutro Corp.</w:t>
      </w:r>
      <w:r w:rsidRPr="00D91DA3">
        <w:t xml:space="preserve">, Memorandum Opinion and Order, 19 FCC Rcd 15274, 15277, para. 10 (2004) (stating that the Commission will generally reduce a forfeiture “based on the good faith corrective efforts of a violator when those corrective efforts were taken prior to Commission notification of the violation”); </w:t>
      </w:r>
      <w:r w:rsidRPr="00D91DA3">
        <w:rPr>
          <w:i/>
        </w:rPr>
        <w:t>Catholic Radio Network of Loveland, Inc.</w:t>
      </w:r>
      <w:r w:rsidRPr="00D91DA3">
        <w:t xml:space="preserve">, Forfeiture Order, 29 FCC Rcd 121, 122–23, para. 5 (Enf. Bur. 2014) (“The Commission will generally reduce an assessed forfeiture based on the good faith corrective efforts of a violator when those corrective efforts were taken </w:t>
      </w:r>
      <w:r w:rsidRPr="00D91DA3">
        <w:rPr>
          <w:rStyle w:val="Emphasis"/>
        </w:rPr>
        <w:t>prior</w:t>
      </w:r>
      <w:r w:rsidRPr="00D91DA3">
        <w:t xml:space="preserve"> to Commission notification of the violation.”) (emphasis in original); </w:t>
      </w:r>
      <w:r w:rsidRPr="00D91DA3">
        <w:rPr>
          <w:i/>
        </w:rPr>
        <w:t>Argos Net, Inc.</w:t>
      </w:r>
      <w:r w:rsidRPr="00D91DA3">
        <w:t xml:space="preserve">, Forfeiture Order, 28 FCC Rcd 1126, 1127, para. 4 (Enf. Bur. 2013) (“[C]orrective action taken after notification or inspection by the Commission does not mitigate the violation . . . .”).  </w:t>
      </w:r>
    </w:p>
  </w:footnote>
  <w:footnote w:id="17">
    <w:p w:rsidR="00251F66" w:rsidRPr="00D91DA3" w:rsidRDefault="00251F66" w:rsidP="00251F66">
      <w:pPr>
        <w:pStyle w:val="FootnoteText"/>
      </w:pPr>
      <w:r w:rsidRPr="00D91DA3">
        <w:rPr>
          <w:rStyle w:val="FootnoteReference"/>
        </w:rPr>
        <w:footnoteRef/>
      </w:r>
      <w:r w:rsidRPr="00D91DA3">
        <w:t xml:space="preserve"> </w:t>
      </w:r>
      <w:r w:rsidRPr="00D91DA3">
        <w:rPr>
          <w:i/>
          <w:iCs/>
        </w:rPr>
        <w:t>See, e.g.</w:t>
      </w:r>
      <w:r w:rsidRPr="00D91DA3">
        <w:t>,</w:t>
      </w:r>
      <w:r w:rsidRPr="00D91DA3">
        <w:rPr>
          <w:i/>
          <w:iCs/>
        </w:rPr>
        <w:t xml:space="preserve"> Seawest Yacht Brokers</w:t>
      </w:r>
      <w:r w:rsidRPr="00D91DA3">
        <w:rPr>
          <w:iCs/>
        </w:rPr>
        <w:t xml:space="preserve">, </w:t>
      </w:r>
      <w:r w:rsidRPr="00D91DA3">
        <w:t>Notice of Forfeiture</w:t>
      </w:r>
      <w:r w:rsidRPr="00D91DA3">
        <w:rPr>
          <w:iCs/>
        </w:rPr>
        <w:t xml:space="preserve">, 9 FCC Rcd 6099, 6099, para. 7 (1994) </w:t>
      </w:r>
      <w:r w:rsidRPr="00D91DA3">
        <w:t>(</w:t>
      </w:r>
      <w:r w:rsidRPr="00D91DA3">
        <w:rPr>
          <w:iCs/>
        </w:rPr>
        <w:t>citations omitted)</w:t>
      </w:r>
      <w:r w:rsidRPr="00D91DA3">
        <w:t xml:space="preserve">; </w:t>
      </w:r>
      <w:r w:rsidRPr="00D91DA3">
        <w:rPr>
          <w:i/>
          <w:iCs/>
        </w:rPr>
        <w:t>Exec. Broad. Corp.</w:t>
      </w:r>
      <w:r w:rsidRPr="00D91DA3">
        <w:t>, 3 FCC 2d 699, 700, para. 6 (1966) (“The fact that prompt corrective action was taken . . . does not excuse the prior violations.”).</w:t>
      </w:r>
    </w:p>
  </w:footnote>
  <w:footnote w:id="18">
    <w:p w:rsidR="00251F66" w:rsidRDefault="00251F66" w:rsidP="00251F66">
      <w:pPr>
        <w:pStyle w:val="FootnoteText"/>
      </w:pPr>
      <w:r>
        <w:rPr>
          <w:rStyle w:val="FootnoteReference"/>
        </w:rPr>
        <w:footnoteRef/>
      </w:r>
      <w:r>
        <w:t xml:space="preserve"> </w:t>
      </w:r>
      <w:r>
        <w:rPr>
          <w:i/>
          <w:color w:val="000000"/>
        </w:rPr>
        <w:t>See Forfeiture Policy Statement</w:t>
      </w:r>
      <w:r>
        <w:rPr>
          <w:color w:val="000000"/>
        </w:rPr>
        <w:t>, 12 FCC Rcd at 17099, para. 22 (“</w:t>
      </w:r>
      <w:r>
        <w:t>The Commission e</w:t>
      </w:r>
      <w:r w:rsidR="00165B3B">
        <w:t>xpects, and it is each licensee’</w:t>
      </w:r>
      <w:r>
        <w:t>s obligation, to know and comply with all of the Commission’s rules</w:t>
      </w:r>
      <w:r>
        <w:rPr>
          <w:color w:val="000000"/>
        </w:rPr>
        <w:t xml:space="preserve">.”); </w:t>
      </w:r>
      <w:r>
        <w:rPr>
          <w:i/>
          <w:color w:val="000000"/>
        </w:rPr>
        <w:t>see also</w:t>
      </w:r>
      <w:r>
        <w:rPr>
          <w:color w:val="000000"/>
        </w:rPr>
        <w:t xml:space="preserve">, </w:t>
      </w:r>
      <w:r>
        <w:rPr>
          <w:i/>
          <w:color w:val="000000"/>
        </w:rPr>
        <w:t>e.g</w:t>
      </w:r>
      <w:r>
        <w:rPr>
          <w:color w:val="000000"/>
        </w:rPr>
        <w:t xml:space="preserve">., </w:t>
      </w:r>
      <w:r w:rsidR="00165B3B" w:rsidRPr="00411BA6">
        <w:rPr>
          <w:i/>
        </w:rPr>
        <w:t>Discussion Radio, Inc</w:t>
      </w:r>
      <w:r w:rsidR="00165B3B" w:rsidRPr="00411BA6">
        <w:t>., Memorandum Opinion and Order and Notice of Apparent Liability, 19 FCC Rcd 7433, 7437, para. 12 (2004)</w:t>
      </w:r>
      <w:r w:rsidR="00165B3B">
        <w:t>.</w:t>
      </w:r>
    </w:p>
  </w:footnote>
  <w:footnote w:id="19">
    <w:p w:rsidR="00251F66" w:rsidRDefault="00251F66" w:rsidP="00251F66">
      <w:pPr>
        <w:pStyle w:val="FootnoteText"/>
      </w:pPr>
      <w:r>
        <w:rPr>
          <w:rStyle w:val="FootnoteReference"/>
        </w:rPr>
        <w:footnoteRef/>
      </w:r>
      <w:r>
        <w:t xml:space="preserve"> </w:t>
      </w:r>
      <w:r>
        <w:rPr>
          <w:i/>
        </w:rPr>
        <w:t>See</w:t>
      </w:r>
      <w:r w:rsidR="00165B3B">
        <w:rPr>
          <w:i/>
          <w:iCs/>
        </w:rPr>
        <w:t>, e.g.</w:t>
      </w:r>
      <w:r w:rsidR="00165B3B">
        <w:rPr>
          <w:iCs/>
        </w:rPr>
        <w:t>,</w:t>
      </w:r>
      <w:r w:rsidR="00165B3B">
        <w:rPr>
          <w:i/>
          <w:iCs/>
        </w:rPr>
        <w:t xml:space="preserve"> Emery Tel.</w:t>
      </w:r>
      <w:r>
        <w:rPr>
          <w:iCs/>
        </w:rPr>
        <w:t>,</w:t>
      </w:r>
      <w:r>
        <w:t xml:space="preserve"> Memorandum Opinion and Order, 13 FCC Rcd 23854, 23859, para. 12 (1998) (by issuing forfeitures for inadvertent violations corrected after the fact, “the Bureau impels licensees to be more familiar with the applicable rules in structuring future conduct”),</w:t>
      </w:r>
      <w:r>
        <w:rPr>
          <w:i/>
          <w:iCs/>
        </w:rPr>
        <w:t xml:space="preserve"> recon. dismissed in part and denied in part</w:t>
      </w:r>
      <w:r>
        <w:t>, Memorandum Opinion and Order, 15 FCC Rcd 7181 (1999);</w:t>
      </w:r>
      <w:r>
        <w:rPr>
          <w:i/>
          <w:iCs/>
        </w:rPr>
        <w:t xml:space="preserve"> </w:t>
      </w:r>
      <w:r w:rsidR="00165B3B">
        <w:rPr>
          <w:i/>
        </w:rPr>
        <w:t>Profit Enters.</w:t>
      </w:r>
      <w:r>
        <w:rPr>
          <w:i/>
        </w:rPr>
        <w:t>, Inc.</w:t>
      </w:r>
      <w:r>
        <w:t xml:space="preserve">, Forfeiture Order, 8 FCC Rcd 2846, 2846, para. 5 (1993) (in denying a mitigation claim based on the mistaken belief that certain Rules were inapplicable, the Commission explained that “prior knowledge or understanding of the law is unnecessary to a determination of whether a violation existed . . . . </w:t>
      </w:r>
      <w:r w:rsidR="008D7732">
        <w:t xml:space="preserve">The Commission . . . </w:t>
      </w:r>
      <w:r w:rsidR="00165B3B">
        <w:t>does not consider ignorance of the law a mitigating factor</w:t>
      </w:r>
      <w:r>
        <w:t xml:space="preserve">.”), </w:t>
      </w:r>
      <w:r>
        <w:rPr>
          <w:i/>
        </w:rPr>
        <w:t>cancelled on other grounds</w:t>
      </w:r>
      <w:r>
        <w:t xml:space="preserve">, Order, 12 FCC Rcd 14999 (1997); </w:t>
      </w:r>
      <w:r w:rsidR="00165B3B">
        <w:rPr>
          <w:i/>
          <w:iCs/>
        </w:rPr>
        <w:t>PJB Commc’ns of Va.</w:t>
      </w:r>
      <w:r>
        <w:rPr>
          <w:i/>
          <w:iCs/>
        </w:rPr>
        <w:t>, Inc.</w:t>
      </w:r>
      <w:r>
        <w:rPr>
          <w:iCs/>
        </w:rPr>
        <w:t>,</w:t>
      </w:r>
      <w:r>
        <w:rPr>
          <w:i/>
          <w:iCs/>
        </w:rPr>
        <w:t xml:space="preserve"> </w:t>
      </w:r>
      <w:r>
        <w:rPr>
          <w:iCs/>
        </w:rPr>
        <w:t xml:space="preserve">Memorandum Opinion and Order, 7 FCC Rcd 2088, 2088, para. 5 (1992) (stating that inadvertent violations are “willful” violations as “[a]ll that is necessary is that the licensee knew it was doing the act in question”); </w:t>
      </w:r>
      <w:r>
        <w:rPr>
          <w:i/>
        </w:rPr>
        <w:t>So. Cal.</w:t>
      </w:r>
      <w:r w:rsidR="00165B3B">
        <w:rPr>
          <w:i/>
        </w:rPr>
        <w:t xml:space="preserve"> Broad. Co.</w:t>
      </w:r>
      <w:r>
        <w:t xml:space="preserve">, </w:t>
      </w:r>
      <w:r w:rsidR="00165B3B">
        <w:t xml:space="preserve">Memorandum Opinion and Order, </w:t>
      </w:r>
      <w:r w:rsidR="00955A96">
        <w:t xml:space="preserve">6 FCC Rcd 4387, </w:t>
      </w:r>
      <w:r>
        <w:t xml:space="preserve">4387, para. 3 </w:t>
      </w:r>
      <w:r w:rsidR="00955A96">
        <w:t xml:space="preserve">(1991) (“[I]nadvertence </w:t>
      </w:r>
      <w:r>
        <w:t>. . . is at best, ignorance of the law, which the Commission does not consider a mitigating circumstance</w:t>
      </w:r>
      <w:r w:rsidR="00955A96">
        <w:t>.</w:t>
      </w:r>
      <w:r>
        <w:t>”)</w:t>
      </w:r>
      <w:r w:rsidR="00955A96">
        <w:t xml:space="preserve"> (internal quotations omitted)</w:t>
      </w:r>
      <w:r>
        <w:t xml:space="preserve">; </w:t>
      </w:r>
      <w:r w:rsidR="00955A96">
        <w:rPr>
          <w:i/>
          <w:iCs/>
        </w:rPr>
        <w:t>Lakewood Broad. Serv.</w:t>
      </w:r>
      <w:r>
        <w:rPr>
          <w:i/>
          <w:iCs/>
        </w:rPr>
        <w:t>, Inc.</w:t>
      </w:r>
      <w:r>
        <w:rPr>
          <w:iCs/>
        </w:rPr>
        <w:t>,</w:t>
      </w:r>
      <w:r>
        <w:t xml:space="preserve"> Memorandum Opinion and Order, 37 FCC 2d 437, 438, para. 6 (1972) (“If ignorance of [the Rules] were accepted as an excuse, we would be encouraging licensees to</w:t>
      </w:r>
      <w:r w:rsidR="00955A96">
        <w:t xml:space="preserve"> know as little as possible.”).</w:t>
      </w:r>
    </w:p>
  </w:footnote>
  <w:footnote w:id="20">
    <w:p w:rsidR="00955A96" w:rsidRPr="00955A96" w:rsidRDefault="00955A96">
      <w:pPr>
        <w:pStyle w:val="FootnoteText"/>
      </w:pPr>
      <w:r>
        <w:rPr>
          <w:rStyle w:val="FootnoteReference"/>
        </w:rPr>
        <w:footnoteRef/>
      </w:r>
      <w:r>
        <w:t xml:space="preserve"> </w:t>
      </w:r>
      <w:r>
        <w:rPr>
          <w:i/>
        </w:rPr>
        <w:t xml:space="preserve">NAL Response </w:t>
      </w:r>
      <w:r>
        <w:t>at 2, Attachment.</w:t>
      </w:r>
    </w:p>
  </w:footnote>
  <w:footnote w:id="21">
    <w:p w:rsidR="00955A96" w:rsidRPr="00D91DA3" w:rsidRDefault="00955A96" w:rsidP="00955A96">
      <w:pPr>
        <w:pStyle w:val="FootnoteText"/>
      </w:pPr>
      <w:r w:rsidRPr="00D91DA3">
        <w:rPr>
          <w:rStyle w:val="FootnoteCharacters"/>
        </w:rPr>
        <w:footnoteRef/>
      </w:r>
      <w:r w:rsidRPr="00D91DA3">
        <w:rPr>
          <w:i/>
        </w:rPr>
        <w:t xml:space="preserve"> See Local Long Distance, Inc.</w:t>
      </w:r>
      <w:r w:rsidRPr="00D91DA3">
        <w:t>,</w:t>
      </w:r>
      <w:r w:rsidRPr="00D91DA3">
        <w:rPr>
          <w:i/>
        </w:rPr>
        <w:t xml:space="preserve"> </w:t>
      </w:r>
      <w:r w:rsidRPr="00D91DA3">
        <w:t>Order of Forfeiture, 15 FCC Rcd 24385 (2000) (forfeiture not deemed excessive where it represented approximately 7.9 percent of</w:t>
      </w:r>
      <w:r>
        <w:t xml:space="preserve"> the violator’s gross revenues); </w:t>
      </w:r>
      <w:r>
        <w:rPr>
          <w:i/>
        </w:rPr>
        <w:t>s</w:t>
      </w:r>
      <w:r w:rsidRPr="00D91DA3">
        <w:rPr>
          <w:i/>
        </w:rPr>
        <w:t>ee also Tommie Salter</w:t>
      </w:r>
      <w:r w:rsidRPr="00D91DA3">
        <w:t>, Forfeiture Order, 30 FCC Rcd 1041 (Enf. Bur. 2015) (finding reduced forfeiture fell within the percentag</w:t>
      </w:r>
      <w:r>
        <w:t xml:space="preserve">e range that the Commission </w:t>
      </w:r>
      <w:r w:rsidRPr="00D91DA3">
        <w:t xml:space="preserve">previously found acceptable).   </w:t>
      </w:r>
    </w:p>
  </w:footnote>
  <w:footnote w:id="22">
    <w:p w:rsidR="00637234" w:rsidRDefault="00637234" w:rsidP="00637234">
      <w:pPr>
        <w:pStyle w:val="FootnoteText"/>
      </w:pPr>
      <w:r>
        <w:rPr>
          <w:rStyle w:val="FootnoteReference"/>
        </w:rPr>
        <w:footnoteRef/>
      </w:r>
      <w:r>
        <w:t xml:space="preserve"> This forfeiture amount falls within the percentage ran</w:t>
      </w:r>
      <w:r w:rsidR="00955A96">
        <w:t xml:space="preserve">ge that the Commission </w:t>
      </w:r>
      <w:r>
        <w:t>previously found acceptable.</w:t>
      </w:r>
      <w:r>
        <w:rPr>
          <w:i/>
        </w:rPr>
        <w:t xml:space="preserve">  See supra </w:t>
      </w:r>
      <w:r>
        <w:t xml:space="preserve">note </w:t>
      </w:r>
      <w:r w:rsidR="004F3B74">
        <w:t>2</w:t>
      </w:r>
      <w:r w:rsidR="00955A96">
        <w:t>0</w:t>
      </w:r>
      <w:r>
        <w:t>.  If Mr. Parks finds it financially infeasible to make full payment of this amount within 30 days, he can request an in</w:t>
      </w:r>
      <w:r w:rsidR="00955A96">
        <w:t xml:space="preserve">stallment plan as described in paragraph </w:t>
      </w:r>
      <w:r w:rsidR="00E16D03">
        <w:t>11</w:t>
      </w:r>
      <w:r w:rsidR="00955A96">
        <w:t xml:space="preserve"> of this Forfeiture Order</w:t>
      </w:r>
      <w:r>
        <w:t xml:space="preserve">.   </w:t>
      </w:r>
    </w:p>
  </w:footnote>
  <w:footnote w:id="23">
    <w:p w:rsidR="00637234" w:rsidRDefault="00637234" w:rsidP="00637234">
      <w:pPr>
        <w:pStyle w:val="FootnoteText"/>
      </w:pPr>
      <w:r>
        <w:rPr>
          <w:rStyle w:val="FootnoteReference"/>
        </w:rPr>
        <w:footnoteRef/>
      </w:r>
      <w:r>
        <w:t xml:space="preserve"> </w:t>
      </w:r>
      <w:r>
        <w:rPr>
          <w:i/>
        </w:rPr>
        <w:t xml:space="preserve">See </w:t>
      </w:r>
      <w:r>
        <w:t>47 U.S.C. § 503(b)(2)(E).</w:t>
      </w:r>
      <w:r w:rsidR="00891A82">
        <w:t xml:space="preserve">  </w:t>
      </w:r>
    </w:p>
  </w:footnote>
  <w:footnote w:id="24">
    <w:p w:rsidR="00D65D78" w:rsidRDefault="00D65D78">
      <w:pPr>
        <w:pStyle w:val="FootnoteText"/>
      </w:pPr>
      <w:r>
        <w:rPr>
          <w:rStyle w:val="FootnoteReference"/>
        </w:rPr>
        <w:footnoteRef/>
      </w:r>
      <w:r>
        <w:t xml:space="preserve"> </w:t>
      </w:r>
      <w:r w:rsidR="00B07263">
        <w:rPr>
          <w:i/>
          <w:iCs/>
        </w:rPr>
        <w:t>See, e.g.</w:t>
      </w:r>
      <w:r w:rsidR="00B07263">
        <w:t xml:space="preserve">, </w:t>
      </w:r>
      <w:r w:rsidR="00B07263">
        <w:rPr>
          <w:i/>
          <w:iCs/>
        </w:rPr>
        <w:t>TV Max, Inc., et al</w:t>
      </w:r>
      <w:r w:rsidR="00B07263">
        <w:t xml:space="preserve">., Forfeiture Order, 29 FCC Rcd 8648, 8661, para. 25 (2014) (noting that the Commission “has previously rejected inability to pay claims in cases of repeated or otherwise egregious violations”); </w:t>
      </w:r>
      <w:r w:rsidR="00955A96">
        <w:rPr>
          <w:i/>
        </w:rPr>
        <w:t>Kevin W. Bondy</w:t>
      </w:r>
      <w:r w:rsidR="00955A96">
        <w:t xml:space="preserve">, Forfeiture Order, 26 FCC Rcd 7840 (Enf. Bur. 2011) (holding that violator’s repeated acts of malicious and intentional interference outweighed evidence concerning his ability to pay), </w:t>
      </w:r>
      <w:r w:rsidR="00955A96">
        <w:rPr>
          <w:i/>
        </w:rPr>
        <w:t>aff’d</w:t>
      </w:r>
      <w:r w:rsidR="00955A96">
        <w:t xml:space="preserve">, Memorandum Opinion and Order, 28 FCC Rcd 1170 (Enf. Bur. 2013), </w:t>
      </w:r>
      <w:r w:rsidR="00955A96">
        <w:rPr>
          <w:i/>
        </w:rPr>
        <w:t>aff’d</w:t>
      </w:r>
      <w:r w:rsidR="00955A96">
        <w:t>, Memorandum Opinion and Order, 28 FCC Rcd 16815 (Enf. Bur. 2013)</w:t>
      </w:r>
      <w:r w:rsidR="00B07263">
        <w:t xml:space="preserve">; </w:t>
      </w:r>
      <w:r w:rsidR="00B07263">
        <w:rPr>
          <w:i/>
          <w:iCs/>
        </w:rPr>
        <w:t>Whisler Fleurinor</w:t>
      </w:r>
      <w:r w:rsidR="00B07263">
        <w:t xml:space="preserve">, Forfeiture Order, 28 FCC Rcd 1087, 1090, para. 9 (Enf. Bur. 2013) (violator’s demonstrated inability to pay outweighed by gravity of multiple </w:t>
      </w:r>
      <w:r w:rsidR="00B55A48">
        <w:t xml:space="preserve">intentional </w:t>
      </w:r>
      <w:r w:rsidR="00B07263">
        <w:t>violations).</w:t>
      </w:r>
    </w:p>
  </w:footnote>
  <w:footnote w:id="25">
    <w:p w:rsidR="003343CA" w:rsidRPr="00344C0B" w:rsidRDefault="003343CA" w:rsidP="003343CA">
      <w:pPr>
        <w:pStyle w:val="FootnoteText"/>
      </w:pPr>
      <w:r w:rsidRPr="00344C0B">
        <w:rPr>
          <w:rStyle w:val="FootnoteReference"/>
        </w:rPr>
        <w:footnoteRef/>
      </w:r>
      <w:r w:rsidRPr="00344C0B">
        <w:t xml:space="preserve"> 47 U.S.C. § 503(b).</w:t>
      </w:r>
    </w:p>
  </w:footnote>
  <w:footnote w:id="26">
    <w:p w:rsidR="003343CA" w:rsidRPr="00344C0B" w:rsidRDefault="003343CA" w:rsidP="003343CA">
      <w:pPr>
        <w:pStyle w:val="FootnoteText"/>
      </w:pPr>
      <w:r w:rsidRPr="00344C0B">
        <w:rPr>
          <w:rStyle w:val="FootnoteReference"/>
        </w:rPr>
        <w:footnoteRef/>
      </w:r>
      <w:r w:rsidRPr="00344C0B">
        <w:t xml:space="preserve"> 47 C.F.R. § 1.80.</w:t>
      </w:r>
    </w:p>
  </w:footnote>
  <w:footnote w:id="27">
    <w:p w:rsidR="00E16D03" w:rsidRDefault="00E16D03">
      <w:pPr>
        <w:pStyle w:val="FootnoteText"/>
      </w:pPr>
      <w:r>
        <w:rPr>
          <w:rStyle w:val="FootnoteReference"/>
        </w:rPr>
        <w:footnoteRef/>
      </w:r>
      <w:r>
        <w:t xml:space="preserve"> 47 C.F.R. §§ 73.3526(c)(1), 73.3526(e)(12).</w:t>
      </w:r>
    </w:p>
  </w:footnote>
  <w:footnote w:id="28">
    <w:p w:rsidR="003343CA" w:rsidRPr="00344C0B" w:rsidRDefault="003343CA" w:rsidP="003343CA">
      <w:pPr>
        <w:pStyle w:val="FootnoteText"/>
      </w:pPr>
      <w:r w:rsidRPr="00344C0B">
        <w:rPr>
          <w:rStyle w:val="FootnoteReference"/>
        </w:rPr>
        <w:footnoteRef/>
      </w:r>
      <w:r w:rsidRPr="00344C0B">
        <w:t xml:space="preserve"> </w:t>
      </w:r>
      <w:r w:rsidR="00E16D03" w:rsidRPr="00344C0B">
        <w:t>47 C.F.R. § 1.80.</w:t>
      </w:r>
    </w:p>
  </w:footnote>
  <w:footnote w:id="29">
    <w:p w:rsidR="003343CA" w:rsidRPr="00344C0B" w:rsidRDefault="003343CA" w:rsidP="003343CA">
      <w:pPr>
        <w:pStyle w:val="FootnoteText"/>
      </w:pPr>
      <w:r w:rsidRPr="00344C0B">
        <w:rPr>
          <w:rStyle w:val="FootnoteReference"/>
        </w:rPr>
        <w:footnoteRef/>
      </w:r>
      <w:r w:rsidRPr="00344C0B">
        <w:t xml:space="preserve"> 47 U.S.C. § 504(a).</w:t>
      </w:r>
    </w:p>
  </w:footnote>
  <w:footnote w:id="30">
    <w:p w:rsidR="003343CA" w:rsidRPr="00344C0B" w:rsidRDefault="003343CA" w:rsidP="003343CA">
      <w:pPr>
        <w:pStyle w:val="FootnoteText"/>
      </w:pPr>
      <w:r w:rsidRPr="00344C0B">
        <w:rPr>
          <w:rStyle w:val="FootnoteReference"/>
        </w:rPr>
        <w:footnoteRef/>
      </w:r>
      <w:r w:rsidRPr="00344C0B">
        <w:t xml:space="preserve"> </w:t>
      </w:r>
      <w:r w:rsidRPr="00344C0B">
        <w:rPr>
          <w:rStyle w:val="FootnoteTextChar2"/>
        </w:rPr>
        <w:t>An FCC Form 159</w:t>
      </w:r>
      <w:r w:rsidR="00074127">
        <w:rPr>
          <w:rStyle w:val="FootnoteTextChar2"/>
        </w:rPr>
        <w:t xml:space="preserve"> </w:t>
      </w:r>
      <w:r w:rsidRPr="00344C0B">
        <w:rPr>
          <w:rStyle w:val="FootnoteTextChar2"/>
        </w:rPr>
        <w:t>and</w:t>
      </w:r>
      <w:r w:rsidR="00074127">
        <w:rPr>
          <w:rStyle w:val="FootnoteTextChar2"/>
        </w:rPr>
        <w:t xml:space="preserve"> </w:t>
      </w:r>
      <w:r w:rsidRPr="00344C0B">
        <w:rPr>
          <w:rStyle w:val="FootnoteTextChar2"/>
        </w:rPr>
        <w:t>detailed instructions</w:t>
      </w:r>
      <w:r w:rsidR="00074127">
        <w:rPr>
          <w:rStyle w:val="FootnoteTextChar2"/>
        </w:rPr>
        <w:t xml:space="preserve"> </w:t>
      </w:r>
      <w:r w:rsidRPr="00344C0B">
        <w:rPr>
          <w:rStyle w:val="FootnoteTextChar2"/>
        </w:rPr>
        <w:t xml:space="preserve">for completing the form may be obtained at </w:t>
      </w:r>
      <w:r w:rsidRPr="00344C0B">
        <w:t>http://www.fcc.gov/Forms/Form159/159.pdf</w:t>
      </w:r>
      <w:r w:rsidRPr="00344C0B">
        <w:rPr>
          <w:rStyle w:val="FootnoteTextChar2"/>
        </w:rPr>
        <w:t>.</w:t>
      </w:r>
    </w:p>
  </w:footnote>
  <w:footnote w:id="31">
    <w:p w:rsidR="00F23F1E" w:rsidRPr="0030738C" w:rsidRDefault="00F23F1E" w:rsidP="00F23F1E">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BD" w:rsidRDefault="00000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33A" w:rsidRPr="001B048F" w:rsidRDefault="00C8233A" w:rsidP="00C8233A">
    <w:pPr>
      <w:pStyle w:val="Header"/>
      <w:rPr>
        <w:b w:val="0"/>
      </w:rPr>
    </w:pPr>
    <w:r>
      <w:rPr>
        <w:noProof/>
      </w:rPr>
      <mc:AlternateContent>
        <mc:Choice Requires="wps">
          <w:drawing>
            <wp:anchor distT="0" distB="0" distL="114300" distR="114300" simplePos="0" relativeHeight="251659264" behindDoc="1" locked="0" layoutInCell="0" allowOverlap="1" wp14:anchorId="66590C86" wp14:editId="01425A7C">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FDF42C"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15-770</w:t>
    </w:r>
  </w:p>
  <w:p w:rsidR="00E273E3" w:rsidRPr="00C8233A" w:rsidRDefault="00E273E3" w:rsidP="00C82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C0FB5A"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C8233A">
      <w:t>DA 15-770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73889"/>
    <w:multiLevelType w:val="hybridMultilevel"/>
    <w:tmpl w:val="CBDE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EC03EC2">
      <w:start w:val="4"/>
      <w:numFmt w:val="bullet"/>
      <w:lvlText w:val="—"/>
      <w:lvlJc w:val="left"/>
      <w:pPr>
        <w:ind w:left="2160" w:hanging="360"/>
      </w:pPr>
      <w:rPr>
        <w:rFonts w:ascii="Times New Roman" w:eastAsia="Times New Roman" w:hAnsi="Times New Roman" w:cs="Times New Roman" w:hint="default"/>
        <w:b/>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3665"/>
    <w:multiLevelType w:val="hybridMultilevel"/>
    <w:tmpl w:val="1D3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0810CC"/>
    <w:multiLevelType w:val="hybridMultilevel"/>
    <w:tmpl w:val="3B1E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736FC6"/>
    <w:multiLevelType w:val="hybridMultilevel"/>
    <w:tmpl w:val="93F0D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3">
    <w:nsid w:val="4C483DAF"/>
    <w:multiLevelType w:val="hybridMultilevel"/>
    <w:tmpl w:val="54B2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5183D8B"/>
    <w:multiLevelType w:val="hybridMultilevel"/>
    <w:tmpl w:val="5928C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A1979"/>
    <w:multiLevelType w:val="hybridMultilevel"/>
    <w:tmpl w:val="D1DCA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A06DBA"/>
    <w:multiLevelType w:val="hybridMultilevel"/>
    <w:tmpl w:val="697AE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FF1F81"/>
    <w:multiLevelType w:val="hybridMultilevel"/>
    <w:tmpl w:val="A75C035C"/>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7"/>
  </w:num>
  <w:num w:numId="2">
    <w:abstractNumId w:val="20"/>
  </w:num>
  <w:num w:numId="3">
    <w:abstractNumId w:val="9"/>
  </w:num>
  <w:num w:numId="4">
    <w:abstractNumId w:val="14"/>
  </w:num>
  <w:num w:numId="5">
    <w:abstractNumId w:val="8"/>
  </w:num>
  <w:num w:numId="6">
    <w:abstractNumId w:val="4"/>
  </w:num>
  <w:num w:numId="7">
    <w:abstractNumId w:val="20"/>
  </w:num>
  <w:num w:numId="8">
    <w:abstractNumId w:val="20"/>
    <w:lvlOverride w:ilvl="0">
      <w:startOverride w:val="1"/>
    </w:lvlOverride>
  </w:num>
  <w:num w:numId="9">
    <w:abstractNumId w:val="20"/>
    <w:lvlOverride w:ilvl="0">
      <w:startOverride w:val="1"/>
    </w:lvlOverride>
  </w:num>
  <w:num w:numId="10">
    <w:abstractNumId w:val="20"/>
    <w:lvlOverride w:ilvl="0">
      <w:startOverride w:val="1"/>
    </w:lvlOverride>
  </w:num>
  <w:num w:numId="11">
    <w:abstractNumId w:val="11"/>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9"/>
  </w:num>
  <w:num w:numId="31">
    <w:abstractNumId w:val="9"/>
  </w:num>
  <w:num w:numId="32">
    <w:abstractNumId w:val="9"/>
  </w:num>
  <w:num w:numId="33">
    <w:abstractNumId w:val="20"/>
  </w:num>
  <w:num w:numId="34">
    <w:abstractNumId w:val="3"/>
  </w:num>
  <w:num w:numId="35">
    <w:abstractNumId w:val="13"/>
  </w:num>
  <w:num w:numId="36">
    <w:abstractNumId w:val="2"/>
  </w:num>
  <w:num w:numId="37">
    <w:abstractNumId w:val="10"/>
  </w:num>
  <w:num w:numId="38">
    <w:abstractNumId w:val="0"/>
    <w:lvlOverride w:ilvl="0">
      <w:lvl w:ilvl="0">
        <w:numFmt w:val="bullet"/>
        <w:pStyle w:val="par1"/>
        <w:lvlText w:val=""/>
        <w:legacy w:legacy="1" w:legacySpace="0" w:legacyIndent="360"/>
        <w:lvlJc w:val="left"/>
        <w:rPr>
          <w:rFonts w:ascii="Symbol" w:hAnsi="Symbol" w:hint="default"/>
        </w:rPr>
      </w:lvl>
    </w:lvlOverride>
  </w:num>
  <w:num w:numId="39">
    <w:abstractNumId w:val="15"/>
  </w:num>
  <w:num w:numId="40">
    <w:abstractNumId w:val="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6"/>
  </w:num>
  <w:num w:numId="45">
    <w:abstractNumId w:val="18"/>
  </w:num>
  <w:num w:numId="46">
    <w:abstractNumId w:val="1"/>
  </w:num>
  <w:num w:numId="47">
    <w:abstractNumId w:val="16"/>
  </w:num>
  <w:num w:numId="48">
    <w:abstractNumId w:val="20"/>
  </w:num>
  <w:num w:numId="49">
    <w:abstractNumId w:val="12"/>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03BD"/>
    <w:rsid w:val="000024CA"/>
    <w:rsid w:val="00005148"/>
    <w:rsid w:val="0000624E"/>
    <w:rsid w:val="00014462"/>
    <w:rsid w:val="000145C6"/>
    <w:rsid w:val="000174F9"/>
    <w:rsid w:val="00020D41"/>
    <w:rsid w:val="000264B4"/>
    <w:rsid w:val="00031AE8"/>
    <w:rsid w:val="00036D58"/>
    <w:rsid w:val="00043A6B"/>
    <w:rsid w:val="00043C9B"/>
    <w:rsid w:val="00046801"/>
    <w:rsid w:val="000604EB"/>
    <w:rsid w:val="00062C44"/>
    <w:rsid w:val="00064230"/>
    <w:rsid w:val="000649FE"/>
    <w:rsid w:val="000665E2"/>
    <w:rsid w:val="00071E3F"/>
    <w:rsid w:val="00072D7D"/>
    <w:rsid w:val="000733D8"/>
    <w:rsid w:val="00074127"/>
    <w:rsid w:val="00074717"/>
    <w:rsid w:val="00074C9C"/>
    <w:rsid w:val="0007571D"/>
    <w:rsid w:val="00080535"/>
    <w:rsid w:val="000853AD"/>
    <w:rsid w:val="00086824"/>
    <w:rsid w:val="00091AE4"/>
    <w:rsid w:val="00092025"/>
    <w:rsid w:val="00092506"/>
    <w:rsid w:val="000962DF"/>
    <w:rsid w:val="00097F82"/>
    <w:rsid w:val="000A3E68"/>
    <w:rsid w:val="000A4776"/>
    <w:rsid w:val="000B14C3"/>
    <w:rsid w:val="000B1C2B"/>
    <w:rsid w:val="000B29ED"/>
    <w:rsid w:val="000B7657"/>
    <w:rsid w:val="000B7A39"/>
    <w:rsid w:val="000C092B"/>
    <w:rsid w:val="000C6050"/>
    <w:rsid w:val="000D03AE"/>
    <w:rsid w:val="000D1391"/>
    <w:rsid w:val="000E0ADD"/>
    <w:rsid w:val="000E1951"/>
    <w:rsid w:val="000E2707"/>
    <w:rsid w:val="000F1155"/>
    <w:rsid w:val="00100646"/>
    <w:rsid w:val="00105A35"/>
    <w:rsid w:val="001067B6"/>
    <w:rsid w:val="0011337B"/>
    <w:rsid w:val="0011687C"/>
    <w:rsid w:val="00117C88"/>
    <w:rsid w:val="001205FE"/>
    <w:rsid w:val="0012427E"/>
    <w:rsid w:val="00126C88"/>
    <w:rsid w:val="00135F7F"/>
    <w:rsid w:val="00136476"/>
    <w:rsid w:val="00137EBD"/>
    <w:rsid w:val="00140ABB"/>
    <w:rsid w:val="001426F0"/>
    <w:rsid w:val="00145E08"/>
    <w:rsid w:val="00150B78"/>
    <w:rsid w:val="001532B1"/>
    <w:rsid w:val="00153904"/>
    <w:rsid w:val="00153CE0"/>
    <w:rsid w:val="00154A5C"/>
    <w:rsid w:val="00162161"/>
    <w:rsid w:val="00164D9B"/>
    <w:rsid w:val="00165B3B"/>
    <w:rsid w:val="001715BD"/>
    <w:rsid w:val="00171634"/>
    <w:rsid w:val="00172581"/>
    <w:rsid w:val="001740BB"/>
    <w:rsid w:val="00180026"/>
    <w:rsid w:val="001819AF"/>
    <w:rsid w:val="00196E93"/>
    <w:rsid w:val="001A03E9"/>
    <w:rsid w:val="001A29EF"/>
    <w:rsid w:val="001A2F40"/>
    <w:rsid w:val="001A69BA"/>
    <w:rsid w:val="001A79FB"/>
    <w:rsid w:val="001B048F"/>
    <w:rsid w:val="001C3156"/>
    <w:rsid w:val="001C3B35"/>
    <w:rsid w:val="001C42B3"/>
    <w:rsid w:val="001D1CEF"/>
    <w:rsid w:val="001E135C"/>
    <w:rsid w:val="001E1906"/>
    <w:rsid w:val="001E401B"/>
    <w:rsid w:val="001F2B76"/>
    <w:rsid w:val="001F5AA4"/>
    <w:rsid w:val="001F7EE0"/>
    <w:rsid w:val="00202A57"/>
    <w:rsid w:val="00202E6A"/>
    <w:rsid w:val="002037C2"/>
    <w:rsid w:val="0021180B"/>
    <w:rsid w:val="0021315C"/>
    <w:rsid w:val="002146E2"/>
    <w:rsid w:val="002172D7"/>
    <w:rsid w:val="00223173"/>
    <w:rsid w:val="002246E1"/>
    <w:rsid w:val="00225854"/>
    <w:rsid w:val="00226191"/>
    <w:rsid w:val="0022665A"/>
    <w:rsid w:val="00236820"/>
    <w:rsid w:val="00243491"/>
    <w:rsid w:val="00246222"/>
    <w:rsid w:val="00250EDF"/>
    <w:rsid w:val="00251F66"/>
    <w:rsid w:val="002523B2"/>
    <w:rsid w:val="00252799"/>
    <w:rsid w:val="00256904"/>
    <w:rsid w:val="00256B42"/>
    <w:rsid w:val="002659F3"/>
    <w:rsid w:val="00265FC9"/>
    <w:rsid w:val="00270CD1"/>
    <w:rsid w:val="002710C5"/>
    <w:rsid w:val="002718D7"/>
    <w:rsid w:val="00283E59"/>
    <w:rsid w:val="00287564"/>
    <w:rsid w:val="00293ACC"/>
    <w:rsid w:val="002966A1"/>
    <w:rsid w:val="00296AB4"/>
    <w:rsid w:val="00297424"/>
    <w:rsid w:val="002A1963"/>
    <w:rsid w:val="002A3DB2"/>
    <w:rsid w:val="002B17E2"/>
    <w:rsid w:val="002B3213"/>
    <w:rsid w:val="002B6CC8"/>
    <w:rsid w:val="002B7493"/>
    <w:rsid w:val="002C079C"/>
    <w:rsid w:val="002C12AD"/>
    <w:rsid w:val="002C66A2"/>
    <w:rsid w:val="002D3A88"/>
    <w:rsid w:val="002D4CD9"/>
    <w:rsid w:val="002D6A81"/>
    <w:rsid w:val="002D74C4"/>
    <w:rsid w:val="002E046E"/>
    <w:rsid w:val="002E1671"/>
    <w:rsid w:val="002E43B6"/>
    <w:rsid w:val="002E6027"/>
    <w:rsid w:val="002E771C"/>
    <w:rsid w:val="002F141B"/>
    <w:rsid w:val="002F2ACB"/>
    <w:rsid w:val="002F369E"/>
    <w:rsid w:val="003046F3"/>
    <w:rsid w:val="00306C34"/>
    <w:rsid w:val="00306C50"/>
    <w:rsid w:val="0032053D"/>
    <w:rsid w:val="0032244D"/>
    <w:rsid w:val="00325463"/>
    <w:rsid w:val="00331B47"/>
    <w:rsid w:val="00331D4E"/>
    <w:rsid w:val="003343CA"/>
    <w:rsid w:val="00335814"/>
    <w:rsid w:val="003368A3"/>
    <w:rsid w:val="003368E2"/>
    <w:rsid w:val="003400E9"/>
    <w:rsid w:val="00340246"/>
    <w:rsid w:val="00344871"/>
    <w:rsid w:val="00344C0B"/>
    <w:rsid w:val="00345F40"/>
    <w:rsid w:val="00346DCB"/>
    <w:rsid w:val="003472A7"/>
    <w:rsid w:val="00347397"/>
    <w:rsid w:val="00352ABD"/>
    <w:rsid w:val="00353E9D"/>
    <w:rsid w:val="003563C1"/>
    <w:rsid w:val="00361B43"/>
    <w:rsid w:val="003623B1"/>
    <w:rsid w:val="0038136A"/>
    <w:rsid w:val="00382512"/>
    <w:rsid w:val="003827BA"/>
    <w:rsid w:val="0039768C"/>
    <w:rsid w:val="003A07BF"/>
    <w:rsid w:val="003A4346"/>
    <w:rsid w:val="003A4767"/>
    <w:rsid w:val="003A5530"/>
    <w:rsid w:val="003A6F0A"/>
    <w:rsid w:val="003B0E97"/>
    <w:rsid w:val="003B4544"/>
    <w:rsid w:val="003B5341"/>
    <w:rsid w:val="003B5EF6"/>
    <w:rsid w:val="003B6421"/>
    <w:rsid w:val="003B6F75"/>
    <w:rsid w:val="003C0BCF"/>
    <w:rsid w:val="003C5EF1"/>
    <w:rsid w:val="003C6559"/>
    <w:rsid w:val="003D063C"/>
    <w:rsid w:val="003D5B63"/>
    <w:rsid w:val="003D5BD6"/>
    <w:rsid w:val="003E36EC"/>
    <w:rsid w:val="003E3B3E"/>
    <w:rsid w:val="003E4BA1"/>
    <w:rsid w:val="003E5CB1"/>
    <w:rsid w:val="003E7003"/>
    <w:rsid w:val="003F2F66"/>
    <w:rsid w:val="004016AD"/>
    <w:rsid w:val="00403291"/>
    <w:rsid w:val="00403B86"/>
    <w:rsid w:val="00416ABC"/>
    <w:rsid w:val="00416F51"/>
    <w:rsid w:val="004200CE"/>
    <w:rsid w:val="0042056B"/>
    <w:rsid w:val="004214AF"/>
    <w:rsid w:val="00423EE6"/>
    <w:rsid w:val="00431572"/>
    <w:rsid w:val="00436A9E"/>
    <w:rsid w:val="00441CED"/>
    <w:rsid w:val="00452C14"/>
    <w:rsid w:val="00454EFD"/>
    <w:rsid w:val="004574D8"/>
    <w:rsid w:val="00457AE7"/>
    <w:rsid w:val="00463FE9"/>
    <w:rsid w:val="00466CC6"/>
    <w:rsid w:val="004736A1"/>
    <w:rsid w:val="004776CD"/>
    <w:rsid w:val="00493B9B"/>
    <w:rsid w:val="00493EB0"/>
    <w:rsid w:val="00494549"/>
    <w:rsid w:val="004B654A"/>
    <w:rsid w:val="004C0831"/>
    <w:rsid w:val="004C1903"/>
    <w:rsid w:val="004C3EDB"/>
    <w:rsid w:val="004C4957"/>
    <w:rsid w:val="004E218D"/>
    <w:rsid w:val="004E4FD9"/>
    <w:rsid w:val="004E5D01"/>
    <w:rsid w:val="004F0990"/>
    <w:rsid w:val="004F3B74"/>
    <w:rsid w:val="00505616"/>
    <w:rsid w:val="00512A5C"/>
    <w:rsid w:val="00514466"/>
    <w:rsid w:val="00514B5F"/>
    <w:rsid w:val="005214C9"/>
    <w:rsid w:val="00522727"/>
    <w:rsid w:val="00526086"/>
    <w:rsid w:val="00526174"/>
    <w:rsid w:val="00527C4A"/>
    <w:rsid w:val="00535D18"/>
    <w:rsid w:val="00537EE6"/>
    <w:rsid w:val="005415C8"/>
    <w:rsid w:val="0054220C"/>
    <w:rsid w:val="005440C1"/>
    <w:rsid w:val="00545EF8"/>
    <w:rsid w:val="00547654"/>
    <w:rsid w:val="00552923"/>
    <w:rsid w:val="00556415"/>
    <w:rsid w:val="00557BF1"/>
    <w:rsid w:val="00560703"/>
    <w:rsid w:val="0056704D"/>
    <w:rsid w:val="00567C95"/>
    <w:rsid w:val="00567D8D"/>
    <w:rsid w:val="00585ABB"/>
    <w:rsid w:val="0059732E"/>
    <w:rsid w:val="005A72DD"/>
    <w:rsid w:val="005B1FAC"/>
    <w:rsid w:val="005B3158"/>
    <w:rsid w:val="005B4CEA"/>
    <w:rsid w:val="005B67ED"/>
    <w:rsid w:val="005C2A5A"/>
    <w:rsid w:val="005C30D4"/>
    <w:rsid w:val="005D250F"/>
    <w:rsid w:val="005D364B"/>
    <w:rsid w:val="005D4F7D"/>
    <w:rsid w:val="005E3D9F"/>
    <w:rsid w:val="006020E8"/>
    <w:rsid w:val="00603106"/>
    <w:rsid w:val="00612643"/>
    <w:rsid w:val="006168A4"/>
    <w:rsid w:val="00622396"/>
    <w:rsid w:val="00624EEA"/>
    <w:rsid w:val="0063038A"/>
    <w:rsid w:val="00632EAB"/>
    <w:rsid w:val="00634F84"/>
    <w:rsid w:val="00637234"/>
    <w:rsid w:val="00637D3F"/>
    <w:rsid w:val="00640223"/>
    <w:rsid w:val="00640EAA"/>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3E53"/>
    <w:rsid w:val="00684F5C"/>
    <w:rsid w:val="00686968"/>
    <w:rsid w:val="006877E7"/>
    <w:rsid w:val="006A6FD0"/>
    <w:rsid w:val="006B080E"/>
    <w:rsid w:val="006B685D"/>
    <w:rsid w:val="006D1F05"/>
    <w:rsid w:val="006D2212"/>
    <w:rsid w:val="006D550A"/>
    <w:rsid w:val="006D652F"/>
    <w:rsid w:val="006D7FF3"/>
    <w:rsid w:val="006E3B0D"/>
    <w:rsid w:val="006E6868"/>
    <w:rsid w:val="006E728E"/>
    <w:rsid w:val="00704843"/>
    <w:rsid w:val="007112FE"/>
    <w:rsid w:val="007115F7"/>
    <w:rsid w:val="00714A06"/>
    <w:rsid w:val="00714FD7"/>
    <w:rsid w:val="00715666"/>
    <w:rsid w:val="0072276A"/>
    <w:rsid w:val="0072776E"/>
    <w:rsid w:val="00731211"/>
    <w:rsid w:val="007325C3"/>
    <w:rsid w:val="007327B0"/>
    <w:rsid w:val="0073326F"/>
    <w:rsid w:val="00743885"/>
    <w:rsid w:val="00743CDB"/>
    <w:rsid w:val="00745AB4"/>
    <w:rsid w:val="007470E1"/>
    <w:rsid w:val="007479D6"/>
    <w:rsid w:val="00752D0E"/>
    <w:rsid w:val="00755564"/>
    <w:rsid w:val="007575AB"/>
    <w:rsid w:val="00757E63"/>
    <w:rsid w:val="00760EC0"/>
    <w:rsid w:val="00764AD6"/>
    <w:rsid w:val="00765619"/>
    <w:rsid w:val="0077103F"/>
    <w:rsid w:val="00775914"/>
    <w:rsid w:val="00776D72"/>
    <w:rsid w:val="00781BFC"/>
    <w:rsid w:val="00782257"/>
    <w:rsid w:val="00785772"/>
    <w:rsid w:val="0078649E"/>
    <w:rsid w:val="00787DBC"/>
    <w:rsid w:val="00790B4B"/>
    <w:rsid w:val="00791577"/>
    <w:rsid w:val="00792AD9"/>
    <w:rsid w:val="007A2AF2"/>
    <w:rsid w:val="007A400F"/>
    <w:rsid w:val="007B1B20"/>
    <w:rsid w:val="007B25BE"/>
    <w:rsid w:val="007B3684"/>
    <w:rsid w:val="007C197B"/>
    <w:rsid w:val="007C3802"/>
    <w:rsid w:val="007C3FB4"/>
    <w:rsid w:val="007C416C"/>
    <w:rsid w:val="007D5BA0"/>
    <w:rsid w:val="007E0AF2"/>
    <w:rsid w:val="007E10B6"/>
    <w:rsid w:val="007E39BB"/>
    <w:rsid w:val="007F29BF"/>
    <w:rsid w:val="007F3C22"/>
    <w:rsid w:val="007F7A19"/>
    <w:rsid w:val="0080144D"/>
    <w:rsid w:val="00804AA7"/>
    <w:rsid w:val="00806AEF"/>
    <w:rsid w:val="00810951"/>
    <w:rsid w:val="00813F43"/>
    <w:rsid w:val="00817123"/>
    <w:rsid w:val="008218CC"/>
    <w:rsid w:val="00823395"/>
    <w:rsid w:val="00826958"/>
    <w:rsid w:val="00836DF6"/>
    <w:rsid w:val="00854197"/>
    <w:rsid w:val="00862B6D"/>
    <w:rsid w:val="008635E6"/>
    <w:rsid w:val="008653ED"/>
    <w:rsid w:val="008666BC"/>
    <w:rsid w:val="00867A33"/>
    <w:rsid w:val="008742A5"/>
    <w:rsid w:val="00874CFC"/>
    <w:rsid w:val="008838D3"/>
    <w:rsid w:val="00890DC3"/>
    <w:rsid w:val="00891A82"/>
    <w:rsid w:val="00892231"/>
    <w:rsid w:val="008A0B16"/>
    <w:rsid w:val="008A1A2C"/>
    <w:rsid w:val="008B1964"/>
    <w:rsid w:val="008B392F"/>
    <w:rsid w:val="008B440F"/>
    <w:rsid w:val="008C7B44"/>
    <w:rsid w:val="008D1BE7"/>
    <w:rsid w:val="008D6AFE"/>
    <w:rsid w:val="008D7732"/>
    <w:rsid w:val="008E0D87"/>
    <w:rsid w:val="008E1982"/>
    <w:rsid w:val="008F0F79"/>
    <w:rsid w:val="009012DC"/>
    <w:rsid w:val="00901EA9"/>
    <w:rsid w:val="00902771"/>
    <w:rsid w:val="00910008"/>
    <w:rsid w:val="00913674"/>
    <w:rsid w:val="009150E9"/>
    <w:rsid w:val="00920FB9"/>
    <w:rsid w:val="00922BC7"/>
    <w:rsid w:val="00924198"/>
    <w:rsid w:val="009244F0"/>
    <w:rsid w:val="00932FF9"/>
    <w:rsid w:val="00935A14"/>
    <w:rsid w:val="0093638C"/>
    <w:rsid w:val="00937A4E"/>
    <w:rsid w:val="009536B5"/>
    <w:rsid w:val="00955661"/>
    <w:rsid w:val="00955A96"/>
    <w:rsid w:val="00956D31"/>
    <w:rsid w:val="00957948"/>
    <w:rsid w:val="00966093"/>
    <w:rsid w:val="009708B5"/>
    <w:rsid w:val="009714F0"/>
    <w:rsid w:val="00974A8A"/>
    <w:rsid w:val="0097633D"/>
    <w:rsid w:val="00980AA0"/>
    <w:rsid w:val="00981A39"/>
    <w:rsid w:val="00981BA6"/>
    <w:rsid w:val="009847FB"/>
    <w:rsid w:val="00985084"/>
    <w:rsid w:val="00990196"/>
    <w:rsid w:val="00992A29"/>
    <w:rsid w:val="009A09C6"/>
    <w:rsid w:val="009A2403"/>
    <w:rsid w:val="009A323D"/>
    <w:rsid w:val="009A3AE5"/>
    <w:rsid w:val="009A4C09"/>
    <w:rsid w:val="009A4E4D"/>
    <w:rsid w:val="009B0223"/>
    <w:rsid w:val="009B1061"/>
    <w:rsid w:val="009B2C59"/>
    <w:rsid w:val="009B3E58"/>
    <w:rsid w:val="009B6F55"/>
    <w:rsid w:val="009C2411"/>
    <w:rsid w:val="009C3321"/>
    <w:rsid w:val="009C46AB"/>
    <w:rsid w:val="009C6AD9"/>
    <w:rsid w:val="009D0C63"/>
    <w:rsid w:val="009D5355"/>
    <w:rsid w:val="009E44EE"/>
    <w:rsid w:val="009E708F"/>
    <w:rsid w:val="009F6073"/>
    <w:rsid w:val="00A002F4"/>
    <w:rsid w:val="00A00AE0"/>
    <w:rsid w:val="00A0154F"/>
    <w:rsid w:val="00A01D1A"/>
    <w:rsid w:val="00A020A9"/>
    <w:rsid w:val="00A02148"/>
    <w:rsid w:val="00A047AF"/>
    <w:rsid w:val="00A0567A"/>
    <w:rsid w:val="00A10460"/>
    <w:rsid w:val="00A14E35"/>
    <w:rsid w:val="00A174D4"/>
    <w:rsid w:val="00A204BA"/>
    <w:rsid w:val="00A20570"/>
    <w:rsid w:val="00A223C9"/>
    <w:rsid w:val="00A22771"/>
    <w:rsid w:val="00A230E1"/>
    <w:rsid w:val="00A24336"/>
    <w:rsid w:val="00A24CD1"/>
    <w:rsid w:val="00A26C54"/>
    <w:rsid w:val="00A34E43"/>
    <w:rsid w:val="00A3796D"/>
    <w:rsid w:val="00A401B7"/>
    <w:rsid w:val="00A41565"/>
    <w:rsid w:val="00A42341"/>
    <w:rsid w:val="00A45420"/>
    <w:rsid w:val="00A52CEE"/>
    <w:rsid w:val="00A86D90"/>
    <w:rsid w:val="00A90F91"/>
    <w:rsid w:val="00A95983"/>
    <w:rsid w:val="00AA19E7"/>
    <w:rsid w:val="00AA1C42"/>
    <w:rsid w:val="00AA614F"/>
    <w:rsid w:val="00AB2A81"/>
    <w:rsid w:val="00AB3FF0"/>
    <w:rsid w:val="00AB431A"/>
    <w:rsid w:val="00AC08EF"/>
    <w:rsid w:val="00AC0A30"/>
    <w:rsid w:val="00AC0B7C"/>
    <w:rsid w:val="00AC7682"/>
    <w:rsid w:val="00AC7905"/>
    <w:rsid w:val="00AD35D3"/>
    <w:rsid w:val="00AD525D"/>
    <w:rsid w:val="00AD74AB"/>
    <w:rsid w:val="00AE4E71"/>
    <w:rsid w:val="00AE6CDF"/>
    <w:rsid w:val="00AF2483"/>
    <w:rsid w:val="00AF3A7A"/>
    <w:rsid w:val="00AF6122"/>
    <w:rsid w:val="00B046DF"/>
    <w:rsid w:val="00B0601B"/>
    <w:rsid w:val="00B07263"/>
    <w:rsid w:val="00B102D9"/>
    <w:rsid w:val="00B106C6"/>
    <w:rsid w:val="00B12831"/>
    <w:rsid w:val="00B20811"/>
    <w:rsid w:val="00B21753"/>
    <w:rsid w:val="00B246DD"/>
    <w:rsid w:val="00B26603"/>
    <w:rsid w:val="00B307A4"/>
    <w:rsid w:val="00B5182F"/>
    <w:rsid w:val="00B52F5E"/>
    <w:rsid w:val="00B55A48"/>
    <w:rsid w:val="00B55D72"/>
    <w:rsid w:val="00B56659"/>
    <w:rsid w:val="00B661C1"/>
    <w:rsid w:val="00B70A0B"/>
    <w:rsid w:val="00B7385F"/>
    <w:rsid w:val="00B84DAA"/>
    <w:rsid w:val="00B86B94"/>
    <w:rsid w:val="00BA0DEA"/>
    <w:rsid w:val="00BA3ECA"/>
    <w:rsid w:val="00BB18C9"/>
    <w:rsid w:val="00BB2B10"/>
    <w:rsid w:val="00BB4888"/>
    <w:rsid w:val="00BB6D6F"/>
    <w:rsid w:val="00BC3C88"/>
    <w:rsid w:val="00BC3FB6"/>
    <w:rsid w:val="00BD5C10"/>
    <w:rsid w:val="00BD747D"/>
    <w:rsid w:val="00BE01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1180"/>
    <w:rsid w:val="00C5575E"/>
    <w:rsid w:val="00C66727"/>
    <w:rsid w:val="00C710A4"/>
    <w:rsid w:val="00C7583B"/>
    <w:rsid w:val="00C7593B"/>
    <w:rsid w:val="00C771F0"/>
    <w:rsid w:val="00C80AB7"/>
    <w:rsid w:val="00C81248"/>
    <w:rsid w:val="00C81DFC"/>
    <w:rsid w:val="00C8233A"/>
    <w:rsid w:val="00C82A24"/>
    <w:rsid w:val="00C835A2"/>
    <w:rsid w:val="00C855E5"/>
    <w:rsid w:val="00C87D2D"/>
    <w:rsid w:val="00C90207"/>
    <w:rsid w:val="00C9559E"/>
    <w:rsid w:val="00C9673A"/>
    <w:rsid w:val="00C97F25"/>
    <w:rsid w:val="00CA369E"/>
    <w:rsid w:val="00CA60E2"/>
    <w:rsid w:val="00CA74A0"/>
    <w:rsid w:val="00CB6E37"/>
    <w:rsid w:val="00CC3E7E"/>
    <w:rsid w:val="00CC46A9"/>
    <w:rsid w:val="00CC48B6"/>
    <w:rsid w:val="00CC660D"/>
    <w:rsid w:val="00CC6B2D"/>
    <w:rsid w:val="00CD01AA"/>
    <w:rsid w:val="00CD2315"/>
    <w:rsid w:val="00CD73FB"/>
    <w:rsid w:val="00CD7A1B"/>
    <w:rsid w:val="00CE57A9"/>
    <w:rsid w:val="00CE5915"/>
    <w:rsid w:val="00CF0BCD"/>
    <w:rsid w:val="00CF0E4F"/>
    <w:rsid w:val="00CF2340"/>
    <w:rsid w:val="00CF369E"/>
    <w:rsid w:val="00CF537E"/>
    <w:rsid w:val="00CF5806"/>
    <w:rsid w:val="00CF6B67"/>
    <w:rsid w:val="00D10219"/>
    <w:rsid w:val="00D121DF"/>
    <w:rsid w:val="00D137D5"/>
    <w:rsid w:val="00D15535"/>
    <w:rsid w:val="00D15C2F"/>
    <w:rsid w:val="00D23943"/>
    <w:rsid w:val="00D249F3"/>
    <w:rsid w:val="00D417DA"/>
    <w:rsid w:val="00D52813"/>
    <w:rsid w:val="00D55192"/>
    <w:rsid w:val="00D5781F"/>
    <w:rsid w:val="00D65D78"/>
    <w:rsid w:val="00D70FC6"/>
    <w:rsid w:val="00D75D1C"/>
    <w:rsid w:val="00D77881"/>
    <w:rsid w:val="00DA4A80"/>
    <w:rsid w:val="00DA67BE"/>
    <w:rsid w:val="00DB04B0"/>
    <w:rsid w:val="00DB110F"/>
    <w:rsid w:val="00DB209B"/>
    <w:rsid w:val="00DC68F5"/>
    <w:rsid w:val="00DD066D"/>
    <w:rsid w:val="00DD17B4"/>
    <w:rsid w:val="00DD355E"/>
    <w:rsid w:val="00DD7B34"/>
    <w:rsid w:val="00DE5E8F"/>
    <w:rsid w:val="00DF2FC3"/>
    <w:rsid w:val="00DF3333"/>
    <w:rsid w:val="00DF49C5"/>
    <w:rsid w:val="00E03C5E"/>
    <w:rsid w:val="00E03D76"/>
    <w:rsid w:val="00E0401A"/>
    <w:rsid w:val="00E136B4"/>
    <w:rsid w:val="00E16D03"/>
    <w:rsid w:val="00E20614"/>
    <w:rsid w:val="00E216B3"/>
    <w:rsid w:val="00E273E3"/>
    <w:rsid w:val="00E32B89"/>
    <w:rsid w:val="00E40344"/>
    <w:rsid w:val="00E41348"/>
    <w:rsid w:val="00E447F3"/>
    <w:rsid w:val="00E44BA5"/>
    <w:rsid w:val="00E46388"/>
    <w:rsid w:val="00E470C7"/>
    <w:rsid w:val="00E51553"/>
    <w:rsid w:val="00E51F9F"/>
    <w:rsid w:val="00E52925"/>
    <w:rsid w:val="00E55F25"/>
    <w:rsid w:val="00E57ED1"/>
    <w:rsid w:val="00E6009E"/>
    <w:rsid w:val="00E61780"/>
    <w:rsid w:val="00E650AE"/>
    <w:rsid w:val="00E6792A"/>
    <w:rsid w:val="00E74600"/>
    <w:rsid w:val="00E84A21"/>
    <w:rsid w:val="00E85AFA"/>
    <w:rsid w:val="00E85E97"/>
    <w:rsid w:val="00E9402D"/>
    <w:rsid w:val="00E95342"/>
    <w:rsid w:val="00EA7BC5"/>
    <w:rsid w:val="00EB25CF"/>
    <w:rsid w:val="00EB5C8E"/>
    <w:rsid w:val="00EC01C8"/>
    <w:rsid w:val="00EC389E"/>
    <w:rsid w:val="00EC47E7"/>
    <w:rsid w:val="00EC59F7"/>
    <w:rsid w:val="00EC6192"/>
    <w:rsid w:val="00ED001A"/>
    <w:rsid w:val="00ED4B64"/>
    <w:rsid w:val="00ED50F4"/>
    <w:rsid w:val="00ED7F11"/>
    <w:rsid w:val="00EE05DB"/>
    <w:rsid w:val="00EE194C"/>
    <w:rsid w:val="00EE6AC2"/>
    <w:rsid w:val="00EE7218"/>
    <w:rsid w:val="00EF1272"/>
    <w:rsid w:val="00EF23E9"/>
    <w:rsid w:val="00EF2D22"/>
    <w:rsid w:val="00EF3412"/>
    <w:rsid w:val="00EF49F0"/>
    <w:rsid w:val="00EF5162"/>
    <w:rsid w:val="00EF5B91"/>
    <w:rsid w:val="00F0262C"/>
    <w:rsid w:val="00F03DF9"/>
    <w:rsid w:val="00F07426"/>
    <w:rsid w:val="00F07C8E"/>
    <w:rsid w:val="00F100EF"/>
    <w:rsid w:val="00F122FD"/>
    <w:rsid w:val="00F156C3"/>
    <w:rsid w:val="00F15E74"/>
    <w:rsid w:val="00F16485"/>
    <w:rsid w:val="00F210F9"/>
    <w:rsid w:val="00F21925"/>
    <w:rsid w:val="00F21DEF"/>
    <w:rsid w:val="00F227E6"/>
    <w:rsid w:val="00F23F1E"/>
    <w:rsid w:val="00F35991"/>
    <w:rsid w:val="00F368C8"/>
    <w:rsid w:val="00F51AF3"/>
    <w:rsid w:val="00F57174"/>
    <w:rsid w:val="00F749F7"/>
    <w:rsid w:val="00F80BCB"/>
    <w:rsid w:val="00F83951"/>
    <w:rsid w:val="00F84343"/>
    <w:rsid w:val="00F8613C"/>
    <w:rsid w:val="00F90362"/>
    <w:rsid w:val="00F93126"/>
    <w:rsid w:val="00F9326A"/>
    <w:rsid w:val="00F968BB"/>
    <w:rsid w:val="00FA2BC9"/>
    <w:rsid w:val="00FA3463"/>
    <w:rsid w:val="00FA581C"/>
    <w:rsid w:val="00FB450C"/>
    <w:rsid w:val="00FB54D4"/>
    <w:rsid w:val="00FC1C58"/>
    <w:rsid w:val="00FD2585"/>
    <w:rsid w:val="00FD7D09"/>
    <w:rsid w:val="00FE74AF"/>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46F3"/>
    <w:pPr>
      <w:widowControl w:val="0"/>
    </w:pPr>
    <w:rPr>
      <w:snapToGrid w:val="0"/>
      <w:kern w:val="28"/>
      <w:szCs w:val="20"/>
    </w:rPr>
  </w:style>
  <w:style w:type="paragraph" w:styleId="Heading1">
    <w:name w:val="heading 1"/>
    <w:basedOn w:val="Normal"/>
    <w:next w:val="ParaNum"/>
    <w:link w:val="Heading1Char"/>
    <w:qFormat/>
    <w:rsid w:val="003046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46F3"/>
    <w:pPr>
      <w:keepNext/>
      <w:numPr>
        <w:ilvl w:val="1"/>
        <w:numId w:val="3"/>
      </w:numPr>
      <w:spacing w:after="120"/>
      <w:outlineLvl w:val="1"/>
    </w:pPr>
    <w:rPr>
      <w:b/>
    </w:rPr>
  </w:style>
  <w:style w:type="paragraph" w:styleId="Heading3">
    <w:name w:val="heading 3"/>
    <w:basedOn w:val="Normal"/>
    <w:next w:val="ParaNum"/>
    <w:link w:val="Heading3Char"/>
    <w:qFormat/>
    <w:rsid w:val="003046F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046F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046F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046F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046F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046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46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4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6F3"/>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046F3"/>
    <w:pPr>
      <w:numPr>
        <w:numId w:val="2"/>
      </w:numPr>
      <w:tabs>
        <w:tab w:val="clear" w:pos="1080"/>
        <w:tab w:val="num" w:pos="1440"/>
      </w:tabs>
      <w:spacing w:after="120"/>
    </w:pPr>
  </w:style>
  <w:style w:type="paragraph" w:styleId="EndnoteText">
    <w:name w:val="endnote text"/>
    <w:basedOn w:val="Normal"/>
    <w:link w:val="EndnoteTextChar"/>
    <w:semiHidden/>
    <w:rsid w:val="003046F3"/>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046F3"/>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046F3"/>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3046F3"/>
    <w:rPr>
      <w:rFonts w:ascii="Times New Roman" w:hAnsi="Times New Roman"/>
      <w:dstrike w:val="0"/>
      <w:color w:val="auto"/>
      <w:sz w:val="20"/>
      <w:vertAlign w:val="superscript"/>
    </w:rPr>
  </w:style>
  <w:style w:type="paragraph" w:styleId="TOC1">
    <w:name w:val="toc 1"/>
    <w:basedOn w:val="Normal"/>
    <w:next w:val="Normal"/>
    <w:rsid w:val="003046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6F3"/>
    <w:pPr>
      <w:tabs>
        <w:tab w:val="left" w:pos="720"/>
        <w:tab w:val="right" w:leader="dot" w:pos="9360"/>
      </w:tabs>
      <w:suppressAutoHyphens/>
      <w:ind w:left="720" w:right="720" w:hanging="360"/>
    </w:pPr>
    <w:rPr>
      <w:noProof/>
    </w:rPr>
  </w:style>
  <w:style w:type="paragraph" w:styleId="TOC3">
    <w:name w:val="toc 3"/>
    <w:basedOn w:val="Normal"/>
    <w:next w:val="Normal"/>
    <w:semiHidden/>
    <w:rsid w:val="003046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6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6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6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6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6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6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6F3"/>
    <w:pPr>
      <w:tabs>
        <w:tab w:val="right" w:pos="9360"/>
      </w:tabs>
      <w:suppressAutoHyphens/>
    </w:pPr>
  </w:style>
  <w:style w:type="character" w:customStyle="1" w:styleId="EquationCaption">
    <w:name w:val="_Equation Caption"/>
    <w:rsid w:val="003046F3"/>
  </w:style>
  <w:style w:type="paragraph" w:styleId="Header">
    <w:name w:val="header"/>
    <w:basedOn w:val="Normal"/>
    <w:link w:val="HeaderChar"/>
    <w:autoRedefine/>
    <w:rsid w:val="003046F3"/>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3046F3"/>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3046F3"/>
  </w:style>
  <w:style w:type="paragraph" w:styleId="BlockText">
    <w:name w:val="Block Text"/>
    <w:basedOn w:val="Normal"/>
    <w:rsid w:val="003046F3"/>
    <w:pPr>
      <w:spacing w:after="240"/>
      <w:ind w:left="1440" w:right="1440"/>
    </w:pPr>
  </w:style>
  <w:style w:type="paragraph" w:customStyle="1" w:styleId="Paratitle">
    <w:name w:val="Para title"/>
    <w:basedOn w:val="Normal"/>
    <w:rsid w:val="003046F3"/>
    <w:pPr>
      <w:tabs>
        <w:tab w:val="center" w:pos="9270"/>
      </w:tabs>
      <w:spacing w:after="240"/>
    </w:pPr>
    <w:rPr>
      <w:spacing w:val="-2"/>
    </w:rPr>
  </w:style>
  <w:style w:type="paragraph" w:customStyle="1" w:styleId="Bullet">
    <w:name w:val="Bullet"/>
    <w:basedOn w:val="Normal"/>
    <w:rsid w:val="003046F3"/>
    <w:pPr>
      <w:tabs>
        <w:tab w:val="left" w:pos="2160"/>
      </w:tabs>
      <w:spacing w:after="220"/>
      <w:ind w:left="2160" w:hanging="720"/>
    </w:pPr>
  </w:style>
  <w:style w:type="paragraph" w:customStyle="1" w:styleId="TableFormat">
    <w:name w:val="TableFormat"/>
    <w:basedOn w:val="Bullet"/>
    <w:rsid w:val="003046F3"/>
    <w:pPr>
      <w:tabs>
        <w:tab w:val="clear" w:pos="2160"/>
        <w:tab w:val="left" w:pos="5040"/>
      </w:tabs>
      <w:ind w:left="5040" w:hanging="3600"/>
    </w:pPr>
  </w:style>
  <w:style w:type="paragraph" w:customStyle="1" w:styleId="TOCTitle">
    <w:name w:val="TOC Title"/>
    <w:basedOn w:val="Normal"/>
    <w:rsid w:val="003046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6F3"/>
    <w:pPr>
      <w:jc w:val="center"/>
    </w:pPr>
    <w:rPr>
      <w:rFonts w:ascii="Times New Roman Bold" w:hAnsi="Times New Roman Bold"/>
      <w:b/>
      <w:bCs/>
      <w:caps/>
      <w:szCs w:val="22"/>
    </w:rPr>
  </w:style>
  <w:style w:type="character" w:styleId="Hyperlink">
    <w:name w:val="Hyperlink"/>
    <w:rsid w:val="003046F3"/>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B431A"/>
    <w:rPr>
      <w:i/>
      <w:iCs/>
    </w:rPr>
  </w:style>
  <w:style w:type="character" w:customStyle="1" w:styleId="FootnoteCharacters">
    <w:name w:val="Footnote Characters"/>
    <w:uiPriority w:val="99"/>
    <w:rsid w:val="00637234"/>
    <w:rPr>
      <w:rFonts w:ascii="Times New Roman" w:hAnsi="Times New Roman"/>
      <w:color w:val="auto"/>
      <w:sz w:val="20"/>
      <w:vertAlign w:val="superscript"/>
    </w:rPr>
  </w:style>
  <w:style w:type="character" w:customStyle="1" w:styleId="apple-converted-space">
    <w:name w:val="apple-converted-space"/>
    <w:rsid w:val="00637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46F3"/>
    <w:pPr>
      <w:widowControl w:val="0"/>
    </w:pPr>
    <w:rPr>
      <w:snapToGrid w:val="0"/>
      <w:kern w:val="28"/>
      <w:szCs w:val="20"/>
    </w:rPr>
  </w:style>
  <w:style w:type="paragraph" w:styleId="Heading1">
    <w:name w:val="heading 1"/>
    <w:basedOn w:val="Normal"/>
    <w:next w:val="ParaNum"/>
    <w:link w:val="Heading1Char"/>
    <w:qFormat/>
    <w:rsid w:val="003046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046F3"/>
    <w:pPr>
      <w:keepNext/>
      <w:numPr>
        <w:ilvl w:val="1"/>
        <w:numId w:val="3"/>
      </w:numPr>
      <w:spacing w:after="120"/>
      <w:outlineLvl w:val="1"/>
    </w:pPr>
    <w:rPr>
      <w:b/>
    </w:rPr>
  </w:style>
  <w:style w:type="paragraph" w:styleId="Heading3">
    <w:name w:val="heading 3"/>
    <w:basedOn w:val="Normal"/>
    <w:next w:val="ParaNum"/>
    <w:link w:val="Heading3Char"/>
    <w:qFormat/>
    <w:rsid w:val="003046F3"/>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046F3"/>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046F3"/>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046F3"/>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046F3"/>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046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046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46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6F3"/>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3046F3"/>
    <w:pPr>
      <w:numPr>
        <w:numId w:val="2"/>
      </w:numPr>
      <w:tabs>
        <w:tab w:val="clear" w:pos="1080"/>
        <w:tab w:val="num" w:pos="1440"/>
      </w:tabs>
      <w:spacing w:after="120"/>
    </w:pPr>
  </w:style>
  <w:style w:type="paragraph" w:styleId="EndnoteText">
    <w:name w:val="endnote text"/>
    <w:basedOn w:val="Normal"/>
    <w:link w:val="EndnoteTextChar"/>
    <w:semiHidden/>
    <w:rsid w:val="003046F3"/>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3046F3"/>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3046F3"/>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3046F3"/>
    <w:rPr>
      <w:rFonts w:ascii="Times New Roman" w:hAnsi="Times New Roman"/>
      <w:dstrike w:val="0"/>
      <w:color w:val="auto"/>
      <w:sz w:val="20"/>
      <w:vertAlign w:val="superscript"/>
    </w:rPr>
  </w:style>
  <w:style w:type="paragraph" w:styleId="TOC1">
    <w:name w:val="toc 1"/>
    <w:basedOn w:val="Normal"/>
    <w:next w:val="Normal"/>
    <w:rsid w:val="003046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6F3"/>
    <w:pPr>
      <w:tabs>
        <w:tab w:val="left" w:pos="720"/>
        <w:tab w:val="right" w:leader="dot" w:pos="9360"/>
      </w:tabs>
      <w:suppressAutoHyphens/>
      <w:ind w:left="720" w:right="720" w:hanging="360"/>
    </w:pPr>
    <w:rPr>
      <w:noProof/>
    </w:rPr>
  </w:style>
  <w:style w:type="paragraph" w:styleId="TOC3">
    <w:name w:val="toc 3"/>
    <w:basedOn w:val="Normal"/>
    <w:next w:val="Normal"/>
    <w:semiHidden/>
    <w:rsid w:val="003046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6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6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6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6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6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6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6F3"/>
    <w:pPr>
      <w:tabs>
        <w:tab w:val="right" w:pos="9360"/>
      </w:tabs>
      <w:suppressAutoHyphens/>
    </w:pPr>
  </w:style>
  <w:style w:type="character" w:customStyle="1" w:styleId="EquationCaption">
    <w:name w:val="_Equation Caption"/>
    <w:rsid w:val="003046F3"/>
  </w:style>
  <w:style w:type="paragraph" w:styleId="Header">
    <w:name w:val="header"/>
    <w:basedOn w:val="Normal"/>
    <w:link w:val="HeaderChar"/>
    <w:autoRedefine/>
    <w:rsid w:val="003046F3"/>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3046F3"/>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3046F3"/>
  </w:style>
  <w:style w:type="paragraph" w:styleId="BlockText">
    <w:name w:val="Block Text"/>
    <w:basedOn w:val="Normal"/>
    <w:rsid w:val="003046F3"/>
    <w:pPr>
      <w:spacing w:after="240"/>
      <w:ind w:left="1440" w:right="1440"/>
    </w:pPr>
  </w:style>
  <w:style w:type="paragraph" w:customStyle="1" w:styleId="Paratitle">
    <w:name w:val="Para title"/>
    <w:basedOn w:val="Normal"/>
    <w:rsid w:val="003046F3"/>
    <w:pPr>
      <w:tabs>
        <w:tab w:val="center" w:pos="9270"/>
      </w:tabs>
      <w:spacing w:after="240"/>
    </w:pPr>
    <w:rPr>
      <w:spacing w:val="-2"/>
    </w:rPr>
  </w:style>
  <w:style w:type="paragraph" w:customStyle="1" w:styleId="Bullet">
    <w:name w:val="Bullet"/>
    <w:basedOn w:val="Normal"/>
    <w:rsid w:val="003046F3"/>
    <w:pPr>
      <w:tabs>
        <w:tab w:val="left" w:pos="2160"/>
      </w:tabs>
      <w:spacing w:after="220"/>
      <w:ind w:left="2160" w:hanging="720"/>
    </w:pPr>
  </w:style>
  <w:style w:type="paragraph" w:customStyle="1" w:styleId="TableFormat">
    <w:name w:val="TableFormat"/>
    <w:basedOn w:val="Bullet"/>
    <w:rsid w:val="003046F3"/>
    <w:pPr>
      <w:tabs>
        <w:tab w:val="clear" w:pos="2160"/>
        <w:tab w:val="left" w:pos="5040"/>
      </w:tabs>
      <w:ind w:left="5040" w:hanging="3600"/>
    </w:pPr>
  </w:style>
  <w:style w:type="paragraph" w:customStyle="1" w:styleId="TOCTitle">
    <w:name w:val="TOC Title"/>
    <w:basedOn w:val="Normal"/>
    <w:rsid w:val="003046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6F3"/>
    <w:pPr>
      <w:jc w:val="center"/>
    </w:pPr>
    <w:rPr>
      <w:rFonts w:ascii="Times New Roman Bold" w:hAnsi="Times New Roman Bold"/>
      <w:b/>
      <w:bCs/>
      <w:caps/>
      <w:szCs w:val="22"/>
    </w:rPr>
  </w:style>
  <w:style w:type="character" w:styleId="Hyperlink">
    <w:name w:val="Hyperlink"/>
    <w:rsid w:val="003046F3"/>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8"/>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paragraph" w:styleId="Revision">
    <w:name w:val="Revision"/>
    <w:hidden/>
    <w:uiPriority w:val="99"/>
    <w:semiHidden/>
    <w:rsid w:val="00B5182F"/>
    <w:rPr>
      <w:kern w:val="28"/>
      <w:szCs w:val="20"/>
    </w:rPr>
  </w:style>
  <w:style w:type="character" w:styleId="Emphasis">
    <w:name w:val="Emphasis"/>
    <w:basedOn w:val="DefaultParagraphFont"/>
    <w:uiPriority w:val="20"/>
    <w:qFormat/>
    <w:locked/>
    <w:rsid w:val="00AB431A"/>
    <w:rPr>
      <w:i/>
      <w:iCs/>
    </w:rPr>
  </w:style>
  <w:style w:type="character" w:customStyle="1" w:styleId="FootnoteCharacters">
    <w:name w:val="Footnote Characters"/>
    <w:uiPriority w:val="99"/>
    <w:rsid w:val="00637234"/>
    <w:rPr>
      <w:rFonts w:ascii="Times New Roman" w:hAnsi="Times New Roman"/>
      <w:color w:val="auto"/>
      <w:sz w:val="20"/>
      <w:vertAlign w:val="superscript"/>
    </w:rPr>
  </w:style>
  <w:style w:type="character" w:customStyle="1" w:styleId="apple-converted-space">
    <w:name w:val="apple-converted-space"/>
    <w:rsid w:val="0063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1582</Words>
  <Characters>8767</Characters>
  <Application>Microsoft Office Word</Application>
  <DocSecurity>0</DocSecurity>
  <Lines>151</Lines>
  <Paragraphs>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2015-06-30T12:36:00Z</dcterms:created>
  <dcterms:modified xsi:type="dcterms:W3CDTF">2015-06-30T12:36:00Z</dcterms:modified>
  <cp:category> </cp:category>
  <cp:contentStatus> </cp:contentStatus>
</cp:coreProperties>
</file>