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3E3" w:rsidRPr="005A77BB" w:rsidRDefault="00E273E3" w:rsidP="002659F3">
      <w:pPr>
        <w:jc w:val="center"/>
        <w:rPr>
          <w:b/>
          <w:szCs w:val="22"/>
        </w:rPr>
      </w:pPr>
      <w:bookmarkStart w:id="0" w:name="_GoBack"/>
      <w:bookmarkEnd w:id="0"/>
      <w:r w:rsidRPr="005A77BB">
        <w:rPr>
          <w:b/>
          <w:szCs w:val="22"/>
        </w:rPr>
        <w:t>Before the</w:t>
      </w:r>
    </w:p>
    <w:p w:rsidR="00E273E3" w:rsidRPr="005A77BB" w:rsidRDefault="00E273E3" w:rsidP="002659F3">
      <w:pPr>
        <w:pStyle w:val="StyleBoldCentered"/>
        <w:widowControl/>
        <w:rPr>
          <w:rFonts w:ascii="Times New Roman" w:hAnsi="Times New Roman"/>
        </w:rPr>
      </w:pPr>
      <w:r w:rsidRPr="005A77BB">
        <w:rPr>
          <w:rFonts w:ascii="Times New Roman" w:hAnsi="Times New Roman"/>
        </w:rPr>
        <w:t>F</w:t>
      </w:r>
      <w:r w:rsidRPr="005A77BB">
        <w:rPr>
          <w:rFonts w:ascii="Times New Roman" w:hAnsi="Times New Roman"/>
          <w:caps w:val="0"/>
        </w:rPr>
        <w:t>ederal Communications Commission</w:t>
      </w:r>
    </w:p>
    <w:p w:rsidR="00E273E3" w:rsidRPr="005A77BB" w:rsidRDefault="00E273E3" w:rsidP="002659F3">
      <w:pPr>
        <w:pStyle w:val="StyleBoldCentered"/>
        <w:widowControl/>
        <w:rPr>
          <w:rFonts w:ascii="Times New Roman" w:hAnsi="Times New Roman"/>
        </w:rPr>
      </w:pPr>
      <w:r w:rsidRPr="005A77BB">
        <w:rPr>
          <w:rFonts w:ascii="Times New Roman" w:hAnsi="Times New Roman"/>
          <w:caps w:val="0"/>
        </w:rPr>
        <w:t>Washington</w:t>
      </w:r>
      <w:r w:rsidRPr="005A77BB">
        <w:rPr>
          <w:rFonts w:ascii="Times New Roman" w:hAnsi="Times New Roman"/>
        </w:rPr>
        <w:t>, DC 20554</w:t>
      </w:r>
    </w:p>
    <w:p w:rsidR="00E273E3" w:rsidRPr="005A77BB" w:rsidRDefault="00E273E3" w:rsidP="002659F3">
      <w:pPr>
        <w:rPr>
          <w:szCs w:val="22"/>
        </w:rPr>
      </w:pPr>
    </w:p>
    <w:tbl>
      <w:tblPr>
        <w:tblW w:w="0" w:type="auto"/>
        <w:tblLayout w:type="fixed"/>
        <w:tblLook w:val="0000" w:firstRow="0" w:lastRow="0" w:firstColumn="0" w:lastColumn="0" w:noHBand="0" w:noVBand="0"/>
      </w:tblPr>
      <w:tblGrid>
        <w:gridCol w:w="4698"/>
        <w:gridCol w:w="630"/>
        <w:gridCol w:w="4248"/>
      </w:tblGrid>
      <w:tr w:rsidR="007538AF" w:rsidRPr="005A77BB" w:rsidTr="00401A78">
        <w:tc>
          <w:tcPr>
            <w:tcW w:w="4698" w:type="dxa"/>
          </w:tcPr>
          <w:p w:rsidR="007538AF" w:rsidRPr="005A77BB" w:rsidRDefault="007538AF" w:rsidP="00401A78">
            <w:pPr>
              <w:suppressAutoHyphens/>
              <w:rPr>
                <w:spacing w:val="-2"/>
                <w:szCs w:val="22"/>
              </w:rPr>
            </w:pPr>
            <w:r w:rsidRPr="005A77BB">
              <w:rPr>
                <w:spacing w:val="-2"/>
                <w:szCs w:val="22"/>
              </w:rPr>
              <w:t>In the Matter of</w:t>
            </w:r>
          </w:p>
          <w:p w:rsidR="007538AF" w:rsidRPr="005A77BB" w:rsidRDefault="007538AF" w:rsidP="00401A78">
            <w:pPr>
              <w:suppressAutoHyphens/>
              <w:rPr>
                <w:spacing w:val="-2"/>
                <w:szCs w:val="22"/>
              </w:rPr>
            </w:pPr>
          </w:p>
          <w:p w:rsidR="007538AF" w:rsidRPr="005A77BB" w:rsidRDefault="007538AF" w:rsidP="00401A78">
            <w:pPr>
              <w:suppressAutoHyphens/>
              <w:rPr>
                <w:spacing w:val="-2"/>
                <w:szCs w:val="22"/>
              </w:rPr>
            </w:pPr>
            <w:r w:rsidRPr="005A77BB">
              <w:rPr>
                <w:spacing w:val="-2"/>
                <w:szCs w:val="22"/>
              </w:rPr>
              <w:t>Curran Communications, Inc.</w:t>
            </w:r>
          </w:p>
          <w:p w:rsidR="007538AF" w:rsidRPr="005A77BB" w:rsidRDefault="007538AF" w:rsidP="00401A78">
            <w:pPr>
              <w:suppressAutoHyphens/>
              <w:rPr>
                <w:spacing w:val="-2"/>
                <w:szCs w:val="22"/>
              </w:rPr>
            </w:pPr>
          </w:p>
          <w:p w:rsidR="007538AF" w:rsidRPr="005A77BB" w:rsidRDefault="007538AF" w:rsidP="00401A78">
            <w:pPr>
              <w:suppressAutoHyphens/>
              <w:rPr>
                <w:spacing w:val="-2"/>
                <w:szCs w:val="22"/>
              </w:rPr>
            </w:pPr>
            <w:r w:rsidRPr="005A77BB">
              <w:rPr>
                <w:spacing w:val="-2"/>
                <w:szCs w:val="22"/>
              </w:rPr>
              <w:t>Licensee of AM Station WPAM</w:t>
            </w:r>
          </w:p>
          <w:p w:rsidR="007538AF" w:rsidRPr="005A77BB" w:rsidRDefault="007538AF" w:rsidP="00401A78">
            <w:pPr>
              <w:suppressAutoHyphens/>
              <w:rPr>
                <w:spacing w:val="-2"/>
                <w:szCs w:val="22"/>
              </w:rPr>
            </w:pPr>
            <w:r w:rsidRPr="005A77BB">
              <w:rPr>
                <w:spacing w:val="-2"/>
                <w:szCs w:val="22"/>
              </w:rPr>
              <w:t xml:space="preserve">Pottsville, Pennsylvania </w:t>
            </w:r>
          </w:p>
        </w:tc>
        <w:tc>
          <w:tcPr>
            <w:tcW w:w="630" w:type="dxa"/>
          </w:tcPr>
          <w:p w:rsidR="007538AF" w:rsidRPr="005A77BB" w:rsidRDefault="007538AF" w:rsidP="00401A78">
            <w:pPr>
              <w:suppressAutoHyphens/>
              <w:rPr>
                <w:spacing w:val="-2"/>
                <w:szCs w:val="22"/>
              </w:rPr>
            </w:pPr>
            <w:r w:rsidRPr="005A77BB">
              <w:rPr>
                <w:spacing w:val="-2"/>
                <w:szCs w:val="22"/>
              </w:rPr>
              <w:t>)</w:t>
            </w:r>
          </w:p>
          <w:p w:rsidR="007538AF" w:rsidRPr="005A77BB" w:rsidRDefault="007538AF" w:rsidP="00401A78">
            <w:pPr>
              <w:suppressAutoHyphens/>
              <w:rPr>
                <w:spacing w:val="-2"/>
                <w:szCs w:val="22"/>
              </w:rPr>
            </w:pPr>
            <w:r w:rsidRPr="005A77BB">
              <w:rPr>
                <w:spacing w:val="-2"/>
                <w:szCs w:val="22"/>
              </w:rPr>
              <w:t>)</w:t>
            </w:r>
          </w:p>
          <w:p w:rsidR="007538AF" w:rsidRPr="005A77BB" w:rsidRDefault="007538AF" w:rsidP="00401A78">
            <w:pPr>
              <w:suppressAutoHyphens/>
              <w:rPr>
                <w:spacing w:val="-2"/>
                <w:szCs w:val="22"/>
              </w:rPr>
            </w:pPr>
            <w:r w:rsidRPr="005A77BB">
              <w:rPr>
                <w:spacing w:val="-2"/>
                <w:szCs w:val="22"/>
              </w:rPr>
              <w:t>)</w:t>
            </w:r>
          </w:p>
          <w:p w:rsidR="007538AF" w:rsidRPr="005A77BB" w:rsidRDefault="007538AF" w:rsidP="00401A78">
            <w:pPr>
              <w:suppressAutoHyphens/>
              <w:rPr>
                <w:spacing w:val="-2"/>
                <w:szCs w:val="22"/>
              </w:rPr>
            </w:pPr>
            <w:r w:rsidRPr="005A77BB">
              <w:rPr>
                <w:spacing w:val="-2"/>
                <w:szCs w:val="22"/>
              </w:rPr>
              <w:t>)</w:t>
            </w:r>
          </w:p>
          <w:p w:rsidR="007538AF" w:rsidRPr="005A77BB" w:rsidRDefault="007538AF" w:rsidP="00401A78">
            <w:pPr>
              <w:suppressAutoHyphens/>
              <w:rPr>
                <w:spacing w:val="-2"/>
                <w:szCs w:val="22"/>
              </w:rPr>
            </w:pPr>
            <w:r w:rsidRPr="005A77BB">
              <w:rPr>
                <w:spacing w:val="-2"/>
                <w:szCs w:val="22"/>
              </w:rPr>
              <w:t>)</w:t>
            </w:r>
          </w:p>
          <w:p w:rsidR="007538AF" w:rsidRPr="005A77BB" w:rsidRDefault="007538AF" w:rsidP="00401A78">
            <w:pPr>
              <w:suppressAutoHyphens/>
              <w:rPr>
                <w:spacing w:val="-2"/>
                <w:szCs w:val="22"/>
              </w:rPr>
            </w:pPr>
            <w:r w:rsidRPr="005A77BB">
              <w:rPr>
                <w:spacing w:val="-2"/>
                <w:szCs w:val="22"/>
              </w:rPr>
              <w:t>)</w:t>
            </w:r>
          </w:p>
        </w:tc>
        <w:tc>
          <w:tcPr>
            <w:tcW w:w="4248" w:type="dxa"/>
          </w:tcPr>
          <w:p w:rsidR="007538AF" w:rsidRPr="005A77BB" w:rsidRDefault="007538AF" w:rsidP="00401A78">
            <w:pPr>
              <w:suppressAutoHyphens/>
              <w:rPr>
                <w:spacing w:val="-2"/>
                <w:szCs w:val="22"/>
              </w:rPr>
            </w:pPr>
          </w:p>
          <w:p w:rsidR="007538AF" w:rsidRPr="005A77BB" w:rsidRDefault="007538AF" w:rsidP="00401A78">
            <w:pPr>
              <w:suppressAutoHyphens/>
              <w:rPr>
                <w:spacing w:val="-2"/>
                <w:szCs w:val="22"/>
              </w:rPr>
            </w:pPr>
          </w:p>
          <w:p w:rsidR="007538AF" w:rsidRPr="005A77BB" w:rsidRDefault="003368AE" w:rsidP="003368AE">
            <w:pPr>
              <w:suppressAutoHyphens/>
              <w:rPr>
                <w:spacing w:val="-2"/>
                <w:szCs w:val="22"/>
              </w:rPr>
            </w:pPr>
            <w:r>
              <w:rPr>
                <w:spacing w:val="-2"/>
                <w:szCs w:val="22"/>
              </w:rPr>
              <w:t xml:space="preserve">        </w:t>
            </w:r>
            <w:r w:rsidR="007538AF" w:rsidRPr="005A77BB">
              <w:rPr>
                <w:spacing w:val="-2"/>
                <w:szCs w:val="22"/>
              </w:rPr>
              <w:t xml:space="preserve">File No.:  </w:t>
            </w:r>
            <w:r w:rsidR="007538AF" w:rsidRPr="005A77BB">
              <w:rPr>
                <w:szCs w:val="22"/>
              </w:rPr>
              <w:t>EB-FIELDNER-12-00004491</w:t>
            </w:r>
            <w:r w:rsidR="007538AF" w:rsidRPr="005A77BB">
              <w:rPr>
                <w:szCs w:val="22"/>
                <w:vertAlign w:val="superscript"/>
                <w:lang w:val="es-ES_tradnl"/>
              </w:rPr>
              <w:footnoteReference w:id="2"/>
            </w:r>
          </w:p>
          <w:p w:rsidR="007538AF" w:rsidRPr="005A77BB" w:rsidRDefault="007538AF" w:rsidP="00401A78">
            <w:pPr>
              <w:suppressAutoHyphens/>
              <w:ind w:left="432"/>
              <w:rPr>
                <w:spacing w:val="-2"/>
                <w:szCs w:val="22"/>
              </w:rPr>
            </w:pPr>
            <w:r w:rsidRPr="005A77BB">
              <w:rPr>
                <w:spacing w:val="-2"/>
                <w:szCs w:val="22"/>
              </w:rPr>
              <w:t>NAL/Acct. No.:  201232400003</w:t>
            </w:r>
          </w:p>
          <w:p w:rsidR="007538AF" w:rsidRPr="005A77BB" w:rsidRDefault="007538AF" w:rsidP="00401A78">
            <w:pPr>
              <w:suppressAutoHyphens/>
              <w:ind w:left="432"/>
              <w:rPr>
                <w:spacing w:val="-2"/>
                <w:szCs w:val="22"/>
              </w:rPr>
            </w:pPr>
            <w:r w:rsidRPr="005A77BB">
              <w:rPr>
                <w:spacing w:val="-2"/>
                <w:szCs w:val="22"/>
              </w:rPr>
              <w:t>FRN:  0003789781</w:t>
            </w:r>
          </w:p>
          <w:p w:rsidR="007538AF" w:rsidRPr="005A77BB" w:rsidRDefault="007538AF" w:rsidP="00401A78">
            <w:pPr>
              <w:suppressAutoHyphens/>
              <w:ind w:left="432"/>
              <w:rPr>
                <w:spacing w:val="-2"/>
                <w:szCs w:val="22"/>
              </w:rPr>
            </w:pPr>
            <w:r w:rsidRPr="005A77BB">
              <w:rPr>
                <w:spacing w:val="-2"/>
                <w:szCs w:val="22"/>
              </w:rPr>
              <w:t xml:space="preserve">Facility ID No.:  14741 </w:t>
            </w:r>
          </w:p>
        </w:tc>
      </w:tr>
    </w:tbl>
    <w:p w:rsidR="007538AF" w:rsidRPr="005A77BB" w:rsidRDefault="007538AF" w:rsidP="007538AF">
      <w:pPr>
        <w:rPr>
          <w:szCs w:val="22"/>
        </w:rPr>
      </w:pPr>
    </w:p>
    <w:p w:rsidR="007538AF" w:rsidRPr="005A77BB" w:rsidRDefault="007538AF" w:rsidP="007538AF">
      <w:pPr>
        <w:spacing w:after="220"/>
        <w:jc w:val="center"/>
        <w:rPr>
          <w:b/>
          <w:bCs/>
          <w:caps/>
          <w:szCs w:val="22"/>
        </w:rPr>
      </w:pPr>
      <w:r w:rsidRPr="005A77BB">
        <w:rPr>
          <w:b/>
          <w:bCs/>
          <w:caps/>
          <w:szCs w:val="22"/>
        </w:rPr>
        <w:t>forfeiture ORDER</w:t>
      </w:r>
    </w:p>
    <w:p w:rsidR="007538AF" w:rsidRPr="005A77BB" w:rsidRDefault="00BC1C04" w:rsidP="007538AF">
      <w:pPr>
        <w:tabs>
          <w:tab w:val="right" w:pos="9360"/>
        </w:tabs>
        <w:suppressAutoHyphens/>
        <w:rPr>
          <w:spacing w:val="-2"/>
          <w:szCs w:val="22"/>
        </w:rPr>
      </w:pPr>
      <w:r>
        <w:rPr>
          <w:b/>
          <w:spacing w:val="-2"/>
          <w:szCs w:val="22"/>
        </w:rPr>
        <w:t>Adopted:  June 30, 2015</w:t>
      </w:r>
      <w:r>
        <w:rPr>
          <w:b/>
          <w:spacing w:val="-2"/>
          <w:szCs w:val="22"/>
        </w:rPr>
        <w:tab/>
        <w:t>Released:  June 30, 2015</w:t>
      </w:r>
    </w:p>
    <w:p w:rsidR="007538AF" w:rsidRPr="005A77BB" w:rsidRDefault="007538AF" w:rsidP="007538AF">
      <w:pPr>
        <w:jc w:val="center"/>
        <w:rPr>
          <w:szCs w:val="22"/>
        </w:rPr>
      </w:pPr>
    </w:p>
    <w:p w:rsidR="007538AF" w:rsidRPr="005A77BB" w:rsidRDefault="007538AF" w:rsidP="007538AF">
      <w:pPr>
        <w:rPr>
          <w:spacing w:val="-2"/>
          <w:szCs w:val="22"/>
        </w:rPr>
      </w:pPr>
      <w:r w:rsidRPr="005A77BB">
        <w:rPr>
          <w:szCs w:val="22"/>
        </w:rPr>
        <w:t xml:space="preserve">By the </w:t>
      </w:r>
      <w:r w:rsidR="001D5987" w:rsidRPr="005A77BB">
        <w:rPr>
          <w:szCs w:val="22"/>
        </w:rPr>
        <w:t>Chief</w:t>
      </w:r>
      <w:r w:rsidRPr="005A77BB">
        <w:rPr>
          <w:szCs w:val="22"/>
        </w:rPr>
        <w:t>, Enforcement Bureau</w:t>
      </w:r>
      <w:r w:rsidR="001D5987" w:rsidRPr="005A77BB">
        <w:rPr>
          <w:szCs w:val="22"/>
        </w:rPr>
        <w:t>:</w:t>
      </w:r>
    </w:p>
    <w:p w:rsidR="007538AF" w:rsidRPr="005A77BB" w:rsidRDefault="007538AF" w:rsidP="007538AF">
      <w:pPr>
        <w:rPr>
          <w:spacing w:val="-2"/>
          <w:szCs w:val="22"/>
        </w:rPr>
      </w:pPr>
    </w:p>
    <w:p w:rsidR="00F35F9A" w:rsidRPr="005A77BB" w:rsidRDefault="007538AF" w:rsidP="00F35F9A">
      <w:pPr>
        <w:pStyle w:val="Heading1"/>
        <w:rPr>
          <w:rFonts w:ascii="Times New Roman" w:hAnsi="Times New Roman"/>
          <w:szCs w:val="22"/>
        </w:rPr>
      </w:pPr>
      <w:bookmarkStart w:id="1" w:name="_Toc379288998"/>
      <w:bookmarkStart w:id="2" w:name="_Toc379365499"/>
      <w:r w:rsidRPr="005A77BB">
        <w:rPr>
          <w:rFonts w:ascii="Times New Roman" w:hAnsi="Times New Roman"/>
          <w:szCs w:val="22"/>
        </w:rPr>
        <w:t>INTRODUCTION</w:t>
      </w:r>
      <w:bookmarkEnd w:id="1"/>
      <w:bookmarkEnd w:id="2"/>
      <w:r w:rsidR="00F35F9A" w:rsidRPr="005A77BB">
        <w:rPr>
          <w:rFonts w:ascii="Times New Roman" w:hAnsi="Times New Roman"/>
          <w:szCs w:val="22"/>
        </w:rPr>
        <w:t xml:space="preserve"> </w:t>
      </w:r>
    </w:p>
    <w:p w:rsidR="004D441B" w:rsidRPr="005A77BB" w:rsidRDefault="00F35F9A" w:rsidP="009873F2">
      <w:pPr>
        <w:pStyle w:val="ParaNum"/>
        <w:spacing w:before="240"/>
        <w:rPr>
          <w:szCs w:val="22"/>
        </w:rPr>
      </w:pPr>
      <w:r w:rsidRPr="005A77BB">
        <w:rPr>
          <w:szCs w:val="22"/>
        </w:rPr>
        <w:t>We impose a penalty of $</w:t>
      </w:r>
      <w:r w:rsidR="004D441B" w:rsidRPr="005A77BB">
        <w:rPr>
          <w:szCs w:val="22"/>
        </w:rPr>
        <w:t>720</w:t>
      </w:r>
      <w:r w:rsidRPr="005A77BB">
        <w:rPr>
          <w:szCs w:val="22"/>
        </w:rPr>
        <w:t xml:space="preserve"> against Curran Co</w:t>
      </w:r>
      <w:r w:rsidR="004D441B" w:rsidRPr="005A77BB">
        <w:rPr>
          <w:szCs w:val="22"/>
        </w:rPr>
        <w:t>mmunications, Inc. (Curran)</w:t>
      </w:r>
      <w:r w:rsidR="00C22265" w:rsidRPr="005A77BB">
        <w:rPr>
          <w:szCs w:val="22"/>
        </w:rPr>
        <w:t>, licensee of AM Station WPAM (Station)</w:t>
      </w:r>
      <w:r w:rsidR="003368AE">
        <w:rPr>
          <w:szCs w:val="22"/>
        </w:rPr>
        <w:t>,</w:t>
      </w:r>
      <w:r w:rsidR="004D441B" w:rsidRPr="005A77BB">
        <w:rPr>
          <w:szCs w:val="22"/>
        </w:rPr>
        <w:t xml:space="preserve"> for failing to maintain and make available the required quarterly issues/programs lists</w:t>
      </w:r>
      <w:r w:rsidRPr="005A77BB">
        <w:rPr>
          <w:szCs w:val="22"/>
        </w:rPr>
        <w:t xml:space="preserve"> </w:t>
      </w:r>
      <w:r w:rsidR="00C22265" w:rsidRPr="005A77BB">
        <w:rPr>
          <w:szCs w:val="22"/>
        </w:rPr>
        <w:t>in the Station’s</w:t>
      </w:r>
      <w:r w:rsidR="004D441B" w:rsidRPr="005A77BB">
        <w:rPr>
          <w:szCs w:val="22"/>
        </w:rPr>
        <w:t xml:space="preserve"> public inspection file.  The issues/programs lists</w:t>
      </w:r>
      <w:r w:rsidR="00C22265" w:rsidRPr="005A77BB">
        <w:rPr>
          <w:szCs w:val="22"/>
        </w:rPr>
        <w:t xml:space="preserve"> inform </w:t>
      </w:r>
      <w:r w:rsidR="004D441B" w:rsidRPr="005A77BB">
        <w:rPr>
          <w:szCs w:val="22"/>
        </w:rPr>
        <w:t>the public regarding a broadcaster’s treatment of community issues and the requirement to maintain such lists is part of a broadcaster</w:t>
      </w:r>
      <w:r w:rsidR="00F221F9" w:rsidRPr="005A77BB">
        <w:rPr>
          <w:szCs w:val="22"/>
        </w:rPr>
        <w:t>’s obligation</w:t>
      </w:r>
      <w:r w:rsidR="004D441B" w:rsidRPr="005A77BB">
        <w:rPr>
          <w:szCs w:val="22"/>
        </w:rPr>
        <w:t>s</w:t>
      </w:r>
      <w:r w:rsidR="00F221F9" w:rsidRPr="005A77BB">
        <w:rPr>
          <w:szCs w:val="22"/>
        </w:rPr>
        <w:t xml:space="preserve"> as a public trustee.</w:t>
      </w:r>
      <w:r w:rsidRPr="005A77BB">
        <w:rPr>
          <w:szCs w:val="22"/>
        </w:rPr>
        <w:t xml:space="preserve">  </w:t>
      </w:r>
      <w:r w:rsidR="004D441B" w:rsidRPr="005A77BB">
        <w:rPr>
          <w:szCs w:val="22"/>
        </w:rPr>
        <w:t xml:space="preserve">Curran acknowledges that its public file did not contain numerous issues/programs lists, but requests cancellation or reduction of the </w:t>
      </w:r>
      <w:r w:rsidR="009873F2" w:rsidRPr="005A77BB">
        <w:rPr>
          <w:szCs w:val="22"/>
        </w:rPr>
        <w:t>penalty proposed against it</w:t>
      </w:r>
      <w:r w:rsidR="004D441B" w:rsidRPr="005A77BB">
        <w:rPr>
          <w:szCs w:val="22"/>
        </w:rPr>
        <w:t xml:space="preserve"> in light of its purported goo</w:t>
      </w:r>
      <w:r w:rsidR="009873F2" w:rsidRPr="005A77BB">
        <w:rPr>
          <w:szCs w:val="22"/>
        </w:rPr>
        <w:t xml:space="preserve">d faith corrective efforts, misunderstanding regarding its </w:t>
      </w:r>
      <w:r w:rsidR="003368AE">
        <w:rPr>
          <w:szCs w:val="22"/>
        </w:rPr>
        <w:t xml:space="preserve">public file </w:t>
      </w:r>
      <w:r w:rsidR="00C22265" w:rsidRPr="005A77BB">
        <w:rPr>
          <w:szCs w:val="22"/>
        </w:rPr>
        <w:t>responsibilities</w:t>
      </w:r>
      <w:r w:rsidR="009873F2" w:rsidRPr="005A77BB">
        <w:rPr>
          <w:szCs w:val="22"/>
        </w:rPr>
        <w:t>, and inability to pay the forfeiture.  We find that Curran’s corrective ef</w:t>
      </w:r>
      <w:r w:rsidR="003368AE">
        <w:rPr>
          <w:szCs w:val="22"/>
        </w:rPr>
        <w:t xml:space="preserve">forts </w:t>
      </w:r>
      <w:r w:rsidR="009873F2" w:rsidRPr="005A77BB">
        <w:rPr>
          <w:szCs w:val="22"/>
        </w:rPr>
        <w:t>took place after it received notice of the violations and do not warrant forfeiture cancellation or reduction.  We simil</w:t>
      </w:r>
      <w:r w:rsidR="00DA580E">
        <w:rPr>
          <w:szCs w:val="22"/>
        </w:rPr>
        <w:t>arly find that Curran’s purported</w:t>
      </w:r>
      <w:r w:rsidR="009873F2" w:rsidRPr="005A77BB">
        <w:rPr>
          <w:szCs w:val="22"/>
        </w:rPr>
        <w:t xml:space="preserve"> misunderstanding regarding its public file responsibilities </w:t>
      </w:r>
      <w:r w:rsidR="00C22265" w:rsidRPr="005A77BB">
        <w:rPr>
          <w:szCs w:val="22"/>
        </w:rPr>
        <w:t xml:space="preserve">under a time brokerage agreement </w:t>
      </w:r>
      <w:r w:rsidR="009873F2" w:rsidRPr="005A77BB">
        <w:rPr>
          <w:szCs w:val="22"/>
        </w:rPr>
        <w:t xml:space="preserve">does not excuse or mitigate the violations.  However, we find that reducing the forfeiture to $720 is </w:t>
      </w:r>
      <w:r w:rsidR="00C22265" w:rsidRPr="005A77BB">
        <w:rPr>
          <w:szCs w:val="22"/>
        </w:rPr>
        <w:t>appropriate based on Curran’s demonstrated inability to pay.</w:t>
      </w:r>
    </w:p>
    <w:p w:rsidR="00F35F9A" w:rsidRPr="005A77BB" w:rsidRDefault="00F35F9A" w:rsidP="00F35F9A">
      <w:pPr>
        <w:pStyle w:val="Heading1"/>
        <w:rPr>
          <w:rFonts w:ascii="Times New Roman" w:hAnsi="Times New Roman"/>
          <w:szCs w:val="22"/>
        </w:rPr>
      </w:pPr>
      <w:bookmarkStart w:id="3" w:name="_Toc379288999"/>
      <w:bookmarkStart w:id="4" w:name="_Toc379365500"/>
      <w:r w:rsidRPr="005A77BB">
        <w:rPr>
          <w:rFonts w:ascii="Times New Roman" w:hAnsi="Times New Roman"/>
          <w:szCs w:val="22"/>
        </w:rPr>
        <w:t>BACKGROUND</w:t>
      </w:r>
      <w:bookmarkEnd w:id="3"/>
      <w:bookmarkEnd w:id="4"/>
    </w:p>
    <w:p w:rsidR="002B17E2" w:rsidRPr="005A77BB" w:rsidRDefault="00F35F9A" w:rsidP="00C22265">
      <w:pPr>
        <w:pStyle w:val="ParaNum"/>
        <w:rPr>
          <w:szCs w:val="22"/>
        </w:rPr>
      </w:pPr>
      <w:r w:rsidRPr="005A77BB">
        <w:rPr>
          <w:szCs w:val="22"/>
        </w:rPr>
        <w:t xml:space="preserve">On August 10, 2011, agents from the Enforcement Bureau’s Philadelphia Office inspected the </w:t>
      </w:r>
      <w:r w:rsidR="00C22265" w:rsidRPr="005A77BB">
        <w:rPr>
          <w:szCs w:val="22"/>
        </w:rPr>
        <w:t xml:space="preserve">Station’s main studio and found that its public file did not contain any </w:t>
      </w:r>
      <w:r w:rsidRPr="005A77BB">
        <w:rPr>
          <w:szCs w:val="22"/>
        </w:rPr>
        <w:t>quarterly issues/programs lists for the relevant license</w:t>
      </w:r>
      <w:r w:rsidR="003368AE">
        <w:rPr>
          <w:szCs w:val="22"/>
        </w:rPr>
        <w:t xml:space="preserve"> term</w:t>
      </w:r>
      <w:r w:rsidRPr="005A77BB">
        <w:rPr>
          <w:szCs w:val="22"/>
        </w:rPr>
        <w:t>.</w:t>
      </w:r>
      <w:r w:rsidRPr="005A77BB">
        <w:rPr>
          <w:szCs w:val="22"/>
          <w:vertAlign w:val="superscript"/>
        </w:rPr>
        <w:footnoteReference w:id="3"/>
      </w:r>
      <w:r w:rsidR="00C22265" w:rsidRPr="005A77BB">
        <w:rPr>
          <w:szCs w:val="22"/>
        </w:rPr>
        <w:t xml:space="preserve">  </w:t>
      </w:r>
      <w:r w:rsidR="00D5781F" w:rsidRPr="005A77BB">
        <w:rPr>
          <w:szCs w:val="22"/>
        </w:rPr>
        <w:t xml:space="preserve">On </w:t>
      </w:r>
      <w:r w:rsidR="00640B2E" w:rsidRPr="005A77BB">
        <w:rPr>
          <w:szCs w:val="22"/>
        </w:rPr>
        <w:t>February 14, 2012</w:t>
      </w:r>
      <w:r w:rsidR="00D5781F" w:rsidRPr="005A77BB">
        <w:rPr>
          <w:szCs w:val="22"/>
        </w:rPr>
        <w:t xml:space="preserve">, the </w:t>
      </w:r>
      <w:r w:rsidR="00C22265" w:rsidRPr="005A77BB">
        <w:rPr>
          <w:szCs w:val="22"/>
        </w:rPr>
        <w:t xml:space="preserve">Enforcement </w:t>
      </w:r>
      <w:r w:rsidR="00D5781F" w:rsidRPr="005A77BB">
        <w:rPr>
          <w:szCs w:val="22"/>
        </w:rPr>
        <w:t xml:space="preserve">Bureau </w:t>
      </w:r>
      <w:r w:rsidR="00C22265" w:rsidRPr="005A77BB">
        <w:rPr>
          <w:szCs w:val="22"/>
        </w:rPr>
        <w:t xml:space="preserve">(Bureau) </w:t>
      </w:r>
      <w:r w:rsidR="00D5781F" w:rsidRPr="005A77BB">
        <w:rPr>
          <w:szCs w:val="22"/>
        </w:rPr>
        <w:t xml:space="preserve">issued </w:t>
      </w:r>
      <w:r w:rsidR="00C22265" w:rsidRPr="005A77BB">
        <w:rPr>
          <w:szCs w:val="22"/>
        </w:rPr>
        <w:t>the</w:t>
      </w:r>
      <w:r w:rsidR="00D5781F" w:rsidRPr="005A77BB">
        <w:rPr>
          <w:szCs w:val="22"/>
        </w:rPr>
        <w:t xml:space="preserve"> </w:t>
      </w:r>
      <w:r w:rsidR="00D5781F" w:rsidRPr="005A77BB">
        <w:rPr>
          <w:i/>
          <w:szCs w:val="22"/>
        </w:rPr>
        <w:t>NAL</w:t>
      </w:r>
      <w:r w:rsidR="00471058" w:rsidRPr="005A77BB">
        <w:rPr>
          <w:i/>
          <w:szCs w:val="22"/>
        </w:rPr>
        <w:t xml:space="preserve"> </w:t>
      </w:r>
      <w:r w:rsidR="00640B2E" w:rsidRPr="005A77BB">
        <w:rPr>
          <w:szCs w:val="22"/>
        </w:rPr>
        <w:t>proposing a $10</w:t>
      </w:r>
      <w:r w:rsidR="00D5781F" w:rsidRPr="005A77BB">
        <w:rPr>
          <w:szCs w:val="22"/>
        </w:rPr>
        <w:t xml:space="preserve">,000 forfeiture against </w:t>
      </w:r>
      <w:r w:rsidR="00640B2E" w:rsidRPr="005A77BB">
        <w:rPr>
          <w:szCs w:val="22"/>
        </w:rPr>
        <w:t>Curran</w:t>
      </w:r>
      <w:r w:rsidR="00D5781F" w:rsidRPr="005A77BB">
        <w:rPr>
          <w:szCs w:val="22"/>
        </w:rPr>
        <w:t xml:space="preserve"> </w:t>
      </w:r>
      <w:r w:rsidR="005B1FAC" w:rsidRPr="005A77BB">
        <w:rPr>
          <w:szCs w:val="22"/>
        </w:rPr>
        <w:t xml:space="preserve">for </w:t>
      </w:r>
      <w:r w:rsidR="00640B2E" w:rsidRPr="005A77BB">
        <w:rPr>
          <w:szCs w:val="22"/>
        </w:rPr>
        <w:t>its</w:t>
      </w:r>
      <w:r w:rsidR="005B1FAC" w:rsidRPr="005A77BB">
        <w:rPr>
          <w:szCs w:val="22"/>
        </w:rPr>
        <w:t xml:space="preserve"> apparent willful and repeated </w:t>
      </w:r>
      <w:r w:rsidR="00640B2E" w:rsidRPr="005A77BB">
        <w:rPr>
          <w:szCs w:val="22"/>
        </w:rPr>
        <w:t xml:space="preserve">violations of </w:t>
      </w:r>
      <w:r w:rsidR="00C22265" w:rsidRPr="005A77BB">
        <w:rPr>
          <w:szCs w:val="22"/>
        </w:rPr>
        <w:t>Section</w:t>
      </w:r>
      <w:r w:rsidR="00640B2E" w:rsidRPr="005A77BB">
        <w:rPr>
          <w:szCs w:val="22"/>
        </w:rPr>
        <w:t xml:space="preserve"> 73.3526(e</w:t>
      </w:r>
      <w:r w:rsidR="005B1FAC" w:rsidRPr="005A77BB">
        <w:rPr>
          <w:szCs w:val="22"/>
        </w:rPr>
        <w:t>)(1</w:t>
      </w:r>
      <w:r w:rsidR="00640B2E" w:rsidRPr="005A77BB">
        <w:rPr>
          <w:szCs w:val="22"/>
        </w:rPr>
        <w:t>2</w:t>
      </w:r>
      <w:r w:rsidR="005B1FAC" w:rsidRPr="005A77BB">
        <w:rPr>
          <w:szCs w:val="22"/>
        </w:rPr>
        <w:t>) of the</w:t>
      </w:r>
      <w:r w:rsidR="004F1C4F" w:rsidRPr="005A77BB">
        <w:rPr>
          <w:szCs w:val="22"/>
        </w:rPr>
        <w:t xml:space="preserve"> Commssion’s r</w:t>
      </w:r>
      <w:r w:rsidR="005B1FAC" w:rsidRPr="005A77BB">
        <w:rPr>
          <w:szCs w:val="22"/>
        </w:rPr>
        <w:t>ules</w:t>
      </w:r>
      <w:r w:rsidR="004F1C4F" w:rsidRPr="005A77BB">
        <w:rPr>
          <w:szCs w:val="22"/>
        </w:rPr>
        <w:t xml:space="preserve"> (Rules)</w:t>
      </w:r>
      <w:r w:rsidR="008E1982" w:rsidRPr="005A77BB">
        <w:rPr>
          <w:szCs w:val="22"/>
        </w:rPr>
        <w:t xml:space="preserve"> by failing to maintain the issues/programs lists and make them available in the Station’s public inspection file.</w:t>
      </w:r>
      <w:r w:rsidR="00CE5915" w:rsidRPr="005A77BB">
        <w:rPr>
          <w:rStyle w:val="FootnoteReference"/>
          <w:sz w:val="22"/>
          <w:szCs w:val="22"/>
        </w:rPr>
        <w:footnoteReference w:id="4"/>
      </w:r>
    </w:p>
    <w:p w:rsidR="00EB25CF" w:rsidRPr="005A77BB" w:rsidRDefault="00EB25CF" w:rsidP="00847059">
      <w:pPr>
        <w:pStyle w:val="ParaNum"/>
        <w:widowControl/>
        <w:rPr>
          <w:szCs w:val="22"/>
        </w:rPr>
      </w:pPr>
      <w:r w:rsidRPr="005A77BB">
        <w:rPr>
          <w:szCs w:val="22"/>
        </w:rPr>
        <w:lastRenderedPageBreak/>
        <w:t xml:space="preserve">On </w:t>
      </w:r>
      <w:r w:rsidR="002466F8" w:rsidRPr="005A77BB">
        <w:rPr>
          <w:szCs w:val="22"/>
        </w:rPr>
        <w:t>March 22, 2012, Curran</w:t>
      </w:r>
      <w:r w:rsidRPr="005A77BB">
        <w:rPr>
          <w:szCs w:val="22"/>
        </w:rPr>
        <w:t xml:space="preserve"> filed a response to the </w:t>
      </w:r>
      <w:r w:rsidRPr="005A77BB">
        <w:rPr>
          <w:i/>
          <w:szCs w:val="22"/>
        </w:rPr>
        <w:t>NAL</w:t>
      </w:r>
      <w:r w:rsidR="00471058" w:rsidRPr="005A77BB">
        <w:rPr>
          <w:szCs w:val="22"/>
        </w:rPr>
        <w:t>.</w:t>
      </w:r>
      <w:r w:rsidRPr="005A77BB">
        <w:rPr>
          <w:rStyle w:val="FootnoteReference"/>
          <w:sz w:val="22"/>
          <w:szCs w:val="22"/>
        </w:rPr>
        <w:footnoteReference w:id="5"/>
      </w:r>
      <w:r w:rsidRPr="005A77BB">
        <w:rPr>
          <w:szCs w:val="22"/>
        </w:rPr>
        <w:t xml:space="preserve">  </w:t>
      </w:r>
      <w:r w:rsidR="005542E4" w:rsidRPr="005A77BB">
        <w:rPr>
          <w:szCs w:val="22"/>
        </w:rPr>
        <w:t>Curran</w:t>
      </w:r>
      <w:r w:rsidR="001F4AE7" w:rsidRPr="005A77BB">
        <w:rPr>
          <w:szCs w:val="22"/>
        </w:rPr>
        <w:t xml:space="preserve"> makes three </w:t>
      </w:r>
      <w:r w:rsidRPr="005A77BB">
        <w:rPr>
          <w:szCs w:val="22"/>
        </w:rPr>
        <w:t xml:space="preserve">arguments </w:t>
      </w:r>
      <w:r w:rsidR="00FB54D4" w:rsidRPr="005A77BB">
        <w:rPr>
          <w:szCs w:val="22"/>
        </w:rPr>
        <w:t xml:space="preserve">as to why the </w:t>
      </w:r>
      <w:r w:rsidR="00FB54D4" w:rsidRPr="005A77BB">
        <w:rPr>
          <w:i/>
          <w:szCs w:val="22"/>
        </w:rPr>
        <w:t>NAL</w:t>
      </w:r>
      <w:r w:rsidR="00FB54D4" w:rsidRPr="005A77BB">
        <w:rPr>
          <w:szCs w:val="22"/>
        </w:rPr>
        <w:t xml:space="preserve"> should be cance</w:t>
      </w:r>
      <w:r w:rsidR="00145647" w:rsidRPr="005A77BB">
        <w:rPr>
          <w:szCs w:val="22"/>
        </w:rPr>
        <w:t>led or reduced</w:t>
      </w:r>
      <w:r w:rsidR="004F1C4F" w:rsidRPr="005A77BB">
        <w:rPr>
          <w:szCs w:val="22"/>
        </w:rPr>
        <w:t>.  First, Curran states</w:t>
      </w:r>
      <w:r w:rsidR="00145647" w:rsidRPr="005A77BB">
        <w:rPr>
          <w:szCs w:val="22"/>
        </w:rPr>
        <w:t xml:space="preserve"> </w:t>
      </w:r>
      <w:r w:rsidR="00DA4947" w:rsidRPr="005A77BB">
        <w:rPr>
          <w:szCs w:val="22"/>
        </w:rPr>
        <w:t xml:space="preserve">that </w:t>
      </w:r>
      <w:r w:rsidR="001F4AE7" w:rsidRPr="005A77BB">
        <w:rPr>
          <w:szCs w:val="22"/>
        </w:rPr>
        <w:t>i</w:t>
      </w:r>
      <w:r w:rsidR="008D4F28">
        <w:rPr>
          <w:szCs w:val="22"/>
        </w:rPr>
        <w:t>t brought its public file</w:t>
      </w:r>
      <w:r w:rsidR="001F4AE7" w:rsidRPr="005A77BB">
        <w:rPr>
          <w:szCs w:val="22"/>
        </w:rPr>
        <w:t xml:space="preserve"> into complia</w:t>
      </w:r>
      <w:r w:rsidR="000D5524">
        <w:rPr>
          <w:szCs w:val="22"/>
        </w:rPr>
        <w:t xml:space="preserve">nce after being notified by </w:t>
      </w:r>
      <w:r w:rsidR="001F4AE7" w:rsidRPr="005A77BB">
        <w:rPr>
          <w:szCs w:val="22"/>
        </w:rPr>
        <w:t>Bureau agent</w:t>
      </w:r>
      <w:r w:rsidR="00AC13CB">
        <w:rPr>
          <w:szCs w:val="22"/>
        </w:rPr>
        <w:t>s</w:t>
      </w:r>
      <w:r w:rsidR="001F4AE7" w:rsidRPr="005A77BB">
        <w:rPr>
          <w:szCs w:val="22"/>
        </w:rPr>
        <w:t xml:space="preserve"> of the missing issues/programs lists</w:t>
      </w:r>
      <w:r w:rsidR="00DA4947" w:rsidRPr="005A77BB">
        <w:rPr>
          <w:szCs w:val="22"/>
        </w:rPr>
        <w:t>.</w:t>
      </w:r>
      <w:r w:rsidR="00DA4947" w:rsidRPr="005A77BB">
        <w:rPr>
          <w:rStyle w:val="FootnoteReference"/>
          <w:sz w:val="22"/>
          <w:szCs w:val="22"/>
        </w:rPr>
        <w:footnoteReference w:id="6"/>
      </w:r>
      <w:r w:rsidR="001F4AE7" w:rsidRPr="005A77BB">
        <w:rPr>
          <w:szCs w:val="22"/>
        </w:rPr>
        <w:t xml:space="preserve">  Second, </w:t>
      </w:r>
      <w:r w:rsidR="00FA33A5" w:rsidRPr="005A77BB">
        <w:rPr>
          <w:szCs w:val="22"/>
        </w:rPr>
        <w:t xml:space="preserve">Curran </w:t>
      </w:r>
      <w:r w:rsidR="00510DF9" w:rsidRPr="005A77BB">
        <w:rPr>
          <w:szCs w:val="22"/>
        </w:rPr>
        <w:t>asserts</w:t>
      </w:r>
      <w:r w:rsidR="00FA33A5" w:rsidRPr="005A77BB">
        <w:rPr>
          <w:szCs w:val="22"/>
        </w:rPr>
        <w:t xml:space="preserve"> that it understood that </w:t>
      </w:r>
      <w:r w:rsidR="00C93F6E" w:rsidRPr="005A77BB">
        <w:rPr>
          <w:szCs w:val="22"/>
        </w:rPr>
        <w:t>the Station’s public file requirements were being met by RPM Me</w:t>
      </w:r>
      <w:r w:rsidR="001F4AE7" w:rsidRPr="005A77BB">
        <w:rPr>
          <w:szCs w:val="22"/>
        </w:rPr>
        <w:t>dia, LLC, with whom it</w:t>
      </w:r>
      <w:r w:rsidR="00C93F6E" w:rsidRPr="005A77BB">
        <w:rPr>
          <w:szCs w:val="22"/>
        </w:rPr>
        <w:t xml:space="preserve"> </w:t>
      </w:r>
      <w:r w:rsidR="001F4AE7" w:rsidRPr="005A77BB">
        <w:rPr>
          <w:szCs w:val="22"/>
        </w:rPr>
        <w:t xml:space="preserve">previously </w:t>
      </w:r>
      <w:r w:rsidR="00C93F6E" w:rsidRPr="005A77BB">
        <w:rPr>
          <w:szCs w:val="22"/>
        </w:rPr>
        <w:t>had a time</w:t>
      </w:r>
      <w:r w:rsidR="001F4AE7" w:rsidRPr="005A77BB">
        <w:rPr>
          <w:szCs w:val="22"/>
        </w:rPr>
        <w:t xml:space="preserve"> brokerage agreement</w:t>
      </w:r>
      <w:r w:rsidR="00C93F6E" w:rsidRPr="005A77BB">
        <w:rPr>
          <w:szCs w:val="22"/>
        </w:rPr>
        <w:t>.</w:t>
      </w:r>
      <w:r w:rsidR="00DA4947" w:rsidRPr="005A77BB">
        <w:rPr>
          <w:rStyle w:val="FootnoteReference"/>
          <w:sz w:val="22"/>
          <w:szCs w:val="22"/>
        </w:rPr>
        <w:footnoteReference w:id="7"/>
      </w:r>
      <w:r w:rsidR="00FA33A5" w:rsidRPr="005A77BB">
        <w:rPr>
          <w:szCs w:val="22"/>
        </w:rPr>
        <w:t xml:space="preserve">  </w:t>
      </w:r>
      <w:r w:rsidR="001F4AE7" w:rsidRPr="005A77BB">
        <w:rPr>
          <w:szCs w:val="22"/>
        </w:rPr>
        <w:t xml:space="preserve">Third, </w:t>
      </w:r>
      <w:r w:rsidR="00FA33A5" w:rsidRPr="005A77BB">
        <w:rPr>
          <w:szCs w:val="22"/>
        </w:rPr>
        <w:t xml:space="preserve">Curran </w:t>
      </w:r>
      <w:r w:rsidR="00510DF9" w:rsidRPr="005A77BB">
        <w:rPr>
          <w:szCs w:val="22"/>
        </w:rPr>
        <w:t>maintains</w:t>
      </w:r>
      <w:r w:rsidR="00CD73FB" w:rsidRPr="005A77BB">
        <w:rPr>
          <w:szCs w:val="22"/>
        </w:rPr>
        <w:t xml:space="preserve"> that </w:t>
      </w:r>
      <w:r w:rsidR="00722934">
        <w:rPr>
          <w:szCs w:val="22"/>
        </w:rPr>
        <w:t xml:space="preserve">payment of </w:t>
      </w:r>
      <w:r w:rsidR="00760EC0" w:rsidRPr="005A77BB">
        <w:rPr>
          <w:szCs w:val="22"/>
        </w:rPr>
        <w:t xml:space="preserve">the proposed </w:t>
      </w:r>
      <w:r w:rsidR="00CD73FB" w:rsidRPr="005A77BB">
        <w:rPr>
          <w:szCs w:val="22"/>
        </w:rPr>
        <w:t xml:space="preserve">forfeiture </w:t>
      </w:r>
      <w:r w:rsidR="00760EC0" w:rsidRPr="005A77BB">
        <w:rPr>
          <w:szCs w:val="22"/>
        </w:rPr>
        <w:t>amount woul</w:t>
      </w:r>
      <w:r w:rsidR="00FA33A5" w:rsidRPr="005A77BB">
        <w:rPr>
          <w:szCs w:val="22"/>
        </w:rPr>
        <w:t>d represent a financial hardship</w:t>
      </w:r>
      <w:r w:rsidR="001F4AE7" w:rsidRPr="005A77BB">
        <w:rPr>
          <w:szCs w:val="22"/>
        </w:rPr>
        <w:t xml:space="preserve"> and submitted income statements</w:t>
      </w:r>
      <w:r w:rsidR="003368AE">
        <w:rPr>
          <w:szCs w:val="22"/>
        </w:rPr>
        <w:t xml:space="preserve"> in support of its claim</w:t>
      </w:r>
      <w:r w:rsidR="00FA33A5" w:rsidRPr="005A77BB">
        <w:rPr>
          <w:szCs w:val="22"/>
        </w:rPr>
        <w:t>.</w:t>
      </w:r>
      <w:r w:rsidR="00FA33A5" w:rsidRPr="005A77BB">
        <w:rPr>
          <w:rStyle w:val="FootnoteReference"/>
          <w:sz w:val="22"/>
          <w:szCs w:val="22"/>
        </w:rPr>
        <w:footnoteReference w:id="8"/>
      </w:r>
      <w:r w:rsidR="00154523" w:rsidRPr="005A77BB">
        <w:rPr>
          <w:szCs w:val="22"/>
        </w:rPr>
        <w:t xml:space="preserve">  </w:t>
      </w:r>
    </w:p>
    <w:p w:rsidR="00E273E3" w:rsidRPr="005A77BB" w:rsidRDefault="00E273E3" w:rsidP="00226191">
      <w:pPr>
        <w:pStyle w:val="Heading1"/>
        <w:rPr>
          <w:rFonts w:ascii="Times New Roman" w:hAnsi="Times New Roman"/>
          <w:szCs w:val="22"/>
        </w:rPr>
      </w:pPr>
      <w:bookmarkStart w:id="5" w:name="_Toc379289000"/>
      <w:bookmarkStart w:id="6" w:name="_Toc379365501"/>
      <w:r w:rsidRPr="005A77BB">
        <w:rPr>
          <w:rFonts w:ascii="Times New Roman" w:hAnsi="Times New Roman"/>
          <w:szCs w:val="22"/>
        </w:rPr>
        <w:t>DISCUSSION</w:t>
      </w:r>
      <w:bookmarkEnd w:id="5"/>
      <w:bookmarkEnd w:id="6"/>
    </w:p>
    <w:p w:rsidR="00E6009E" w:rsidRPr="005A77BB" w:rsidRDefault="00E6009E" w:rsidP="00B5182F">
      <w:pPr>
        <w:pStyle w:val="ParaNum"/>
        <w:rPr>
          <w:szCs w:val="22"/>
        </w:rPr>
      </w:pPr>
      <w:r w:rsidRPr="005A77BB">
        <w:rPr>
          <w:szCs w:val="22"/>
        </w:rPr>
        <w:t xml:space="preserve">The </w:t>
      </w:r>
      <w:r w:rsidR="008D1BE7" w:rsidRPr="005A77BB">
        <w:rPr>
          <w:szCs w:val="22"/>
        </w:rPr>
        <w:t>Bureau</w:t>
      </w:r>
      <w:r w:rsidRPr="005A77BB">
        <w:rPr>
          <w:szCs w:val="22"/>
        </w:rPr>
        <w:t xml:space="preserve"> </w:t>
      </w:r>
      <w:r w:rsidR="00E273E3" w:rsidRPr="005A77BB">
        <w:rPr>
          <w:szCs w:val="22"/>
        </w:rPr>
        <w:t xml:space="preserve">proposed </w:t>
      </w:r>
      <w:r w:rsidRPr="005A77BB">
        <w:rPr>
          <w:szCs w:val="22"/>
        </w:rPr>
        <w:t xml:space="preserve">a </w:t>
      </w:r>
      <w:r w:rsidR="00E273E3" w:rsidRPr="005A77BB">
        <w:rPr>
          <w:szCs w:val="22"/>
        </w:rPr>
        <w:t>forfeiture in this case in accordance with Section</w:t>
      </w:r>
      <w:r w:rsidR="00891A82" w:rsidRPr="005A77BB">
        <w:rPr>
          <w:szCs w:val="22"/>
        </w:rPr>
        <w:t xml:space="preserve"> </w:t>
      </w:r>
      <w:r w:rsidR="00E273E3" w:rsidRPr="005A77BB">
        <w:rPr>
          <w:szCs w:val="22"/>
        </w:rPr>
        <w:t>503(b) of the Communications Act of 1934, as amended (Act),</w:t>
      </w:r>
      <w:r w:rsidR="00E273E3" w:rsidRPr="005A77BB">
        <w:rPr>
          <w:rStyle w:val="FootnoteReference"/>
          <w:sz w:val="22"/>
          <w:szCs w:val="22"/>
        </w:rPr>
        <w:footnoteReference w:id="9"/>
      </w:r>
      <w:r w:rsidR="00E273E3" w:rsidRPr="005A77BB">
        <w:rPr>
          <w:szCs w:val="22"/>
        </w:rPr>
        <w:t xml:space="preserve"> Section 1.80 of the </w:t>
      </w:r>
      <w:r w:rsidR="001F4AE7" w:rsidRPr="005A77BB">
        <w:rPr>
          <w:szCs w:val="22"/>
        </w:rPr>
        <w:t>Rules</w:t>
      </w:r>
      <w:r w:rsidR="00E273E3" w:rsidRPr="005A77BB">
        <w:rPr>
          <w:szCs w:val="22"/>
        </w:rPr>
        <w:t>,</w:t>
      </w:r>
      <w:r w:rsidR="00E273E3" w:rsidRPr="005A77BB">
        <w:rPr>
          <w:szCs w:val="22"/>
          <w:vertAlign w:val="superscript"/>
        </w:rPr>
        <w:footnoteReference w:id="10"/>
      </w:r>
      <w:r w:rsidR="00E273E3" w:rsidRPr="005A77BB">
        <w:rPr>
          <w:szCs w:val="22"/>
        </w:rPr>
        <w:t xml:space="preserve"> and the Commission’s </w:t>
      </w:r>
      <w:r w:rsidR="00E273E3" w:rsidRPr="005A77BB">
        <w:rPr>
          <w:i/>
          <w:szCs w:val="22"/>
        </w:rPr>
        <w:t xml:space="preserve">Forfeiture Policy </w:t>
      </w:r>
      <w:r w:rsidR="00E273E3" w:rsidRPr="005A77BB">
        <w:rPr>
          <w:rFonts w:eastAsia="MS Mincho"/>
          <w:i/>
          <w:szCs w:val="22"/>
        </w:rPr>
        <w:t>Statement</w:t>
      </w:r>
      <w:r w:rsidR="00E273E3" w:rsidRPr="005A77BB">
        <w:rPr>
          <w:szCs w:val="22"/>
        </w:rPr>
        <w:t>.</w:t>
      </w:r>
      <w:r w:rsidR="00E273E3" w:rsidRPr="005A77BB">
        <w:rPr>
          <w:rStyle w:val="FootnoteReference"/>
          <w:sz w:val="22"/>
          <w:szCs w:val="22"/>
        </w:rPr>
        <w:footnoteReference w:id="11"/>
      </w:r>
      <w:r w:rsidR="00E273E3" w:rsidRPr="005A77BB">
        <w:rPr>
          <w:szCs w:val="22"/>
        </w:rPr>
        <w:t xml:space="preserve">  </w:t>
      </w:r>
      <w:r w:rsidRPr="005A77BB">
        <w:rPr>
          <w:szCs w:val="22"/>
        </w:rPr>
        <w:t>When we assess</w:t>
      </w:r>
      <w:r w:rsidR="00E273E3" w:rsidRPr="005A77BB">
        <w:rPr>
          <w:szCs w:val="22"/>
        </w:rPr>
        <w:t xml:space="preserve"> forfeitures, Section 503(b)(2)(E) requires that we take into account the “nature, circumstances, extent, and gravity of the violation and, with respect to the violator, the degree of culpability, any history of prior offenses, ability to pay, and such other matters as justice may require.”</w:t>
      </w:r>
      <w:r w:rsidR="00E273E3" w:rsidRPr="005A77BB">
        <w:rPr>
          <w:szCs w:val="22"/>
          <w:vertAlign w:val="superscript"/>
        </w:rPr>
        <w:footnoteReference w:id="12"/>
      </w:r>
      <w:r w:rsidR="00E273E3" w:rsidRPr="005A77BB">
        <w:rPr>
          <w:szCs w:val="22"/>
        </w:rPr>
        <w:t xml:space="preserve">  </w:t>
      </w:r>
      <w:r w:rsidR="006B685D" w:rsidRPr="005A77BB">
        <w:rPr>
          <w:szCs w:val="22"/>
        </w:rPr>
        <w:t>As discussed below, we</w:t>
      </w:r>
      <w:r w:rsidRPr="005A77BB">
        <w:rPr>
          <w:szCs w:val="22"/>
        </w:rPr>
        <w:t xml:space="preserve"> have </w:t>
      </w:r>
      <w:r w:rsidR="006B685D" w:rsidRPr="005A77BB">
        <w:rPr>
          <w:szCs w:val="22"/>
        </w:rPr>
        <w:t xml:space="preserve">fully </w:t>
      </w:r>
      <w:r w:rsidRPr="005A77BB">
        <w:rPr>
          <w:szCs w:val="22"/>
        </w:rPr>
        <w:t>considered</w:t>
      </w:r>
      <w:r w:rsidR="00C914B2" w:rsidRPr="005A77BB">
        <w:rPr>
          <w:szCs w:val="22"/>
        </w:rPr>
        <w:t xml:space="preserve"> Curran’s</w:t>
      </w:r>
      <w:r w:rsidRPr="005A77BB">
        <w:rPr>
          <w:szCs w:val="22"/>
        </w:rPr>
        <w:t xml:space="preserve"> response to the </w:t>
      </w:r>
      <w:r w:rsidRPr="005A77BB">
        <w:rPr>
          <w:i/>
          <w:szCs w:val="22"/>
        </w:rPr>
        <w:t>NAL</w:t>
      </w:r>
      <w:r w:rsidR="00292A64" w:rsidRPr="005A77BB">
        <w:rPr>
          <w:i/>
          <w:szCs w:val="22"/>
        </w:rPr>
        <w:t xml:space="preserve"> </w:t>
      </w:r>
      <w:r w:rsidR="00292A64" w:rsidRPr="005A77BB">
        <w:rPr>
          <w:szCs w:val="22"/>
        </w:rPr>
        <w:t xml:space="preserve">and </w:t>
      </w:r>
      <w:r w:rsidR="003368AE">
        <w:rPr>
          <w:szCs w:val="22"/>
        </w:rPr>
        <w:t xml:space="preserve">its </w:t>
      </w:r>
      <w:r w:rsidR="00292A64" w:rsidRPr="005A77BB">
        <w:rPr>
          <w:szCs w:val="22"/>
        </w:rPr>
        <w:t>Financial Supplement</w:t>
      </w:r>
      <w:r w:rsidRPr="005A77BB">
        <w:rPr>
          <w:szCs w:val="22"/>
        </w:rPr>
        <w:t xml:space="preserve">, </w:t>
      </w:r>
      <w:r w:rsidR="004574D8" w:rsidRPr="005A77BB">
        <w:rPr>
          <w:szCs w:val="22"/>
        </w:rPr>
        <w:t xml:space="preserve">and find that a </w:t>
      </w:r>
      <w:r w:rsidR="003368AE">
        <w:rPr>
          <w:szCs w:val="22"/>
        </w:rPr>
        <w:t xml:space="preserve">forfeiture reduction </w:t>
      </w:r>
      <w:r w:rsidR="004574D8" w:rsidRPr="005A77BB">
        <w:rPr>
          <w:szCs w:val="22"/>
        </w:rPr>
        <w:t>is warranted</w:t>
      </w:r>
      <w:r w:rsidR="001F4AE7" w:rsidRPr="005A77BB">
        <w:rPr>
          <w:szCs w:val="22"/>
        </w:rPr>
        <w:t xml:space="preserve"> based on inability to pay</w:t>
      </w:r>
      <w:r w:rsidR="004574D8" w:rsidRPr="005A77BB">
        <w:rPr>
          <w:szCs w:val="22"/>
        </w:rPr>
        <w:t>.</w:t>
      </w:r>
    </w:p>
    <w:p w:rsidR="00074C9C" w:rsidRPr="005A77BB" w:rsidRDefault="00E371A6" w:rsidP="008B440F">
      <w:pPr>
        <w:pStyle w:val="Heading2"/>
        <w:rPr>
          <w:szCs w:val="22"/>
        </w:rPr>
      </w:pPr>
      <w:r>
        <w:rPr>
          <w:szCs w:val="22"/>
        </w:rPr>
        <w:t xml:space="preserve">Curran’s Post-Inspection </w:t>
      </w:r>
      <w:r w:rsidR="008B440F" w:rsidRPr="005A77BB">
        <w:rPr>
          <w:szCs w:val="22"/>
        </w:rPr>
        <w:t>Corrective Action</w:t>
      </w:r>
      <w:r>
        <w:rPr>
          <w:szCs w:val="22"/>
        </w:rPr>
        <w:t>s</w:t>
      </w:r>
      <w:r w:rsidR="008B440F" w:rsidRPr="005A77BB">
        <w:rPr>
          <w:szCs w:val="22"/>
        </w:rPr>
        <w:t xml:space="preserve"> Do N</w:t>
      </w:r>
      <w:r>
        <w:rPr>
          <w:szCs w:val="22"/>
        </w:rPr>
        <w:t xml:space="preserve">ot Support a </w:t>
      </w:r>
      <w:r w:rsidR="005A77BB" w:rsidRPr="005A77BB">
        <w:rPr>
          <w:szCs w:val="22"/>
        </w:rPr>
        <w:t>Forfeiture</w:t>
      </w:r>
      <w:r>
        <w:rPr>
          <w:szCs w:val="22"/>
        </w:rPr>
        <w:t xml:space="preserve"> Cancellation or Reduction</w:t>
      </w:r>
    </w:p>
    <w:p w:rsidR="00826958" w:rsidRPr="005A77BB" w:rsidRDefault="001616FE" w:rsidP="008B440F">
      <w:pPr>
        <w:pStyle w:val="ParaNum"/>
        <w:rPr>
          <w:szCs w:val="22"/>
        </w:rPr>
      </w:pPr>
      <w:r w:rsidRPr="005A77BB">
        <w:rPr>
          <w:szCs w:val="22"/>
        </w:rPr>
        <w:t>Curran</w:t>
      </w:r>
      <w:r w:rsidR="005A77BB" w:rsidRPr="005A77BB">
        <w:rPr>
          <w:szCs w:val="22"/>
        </w:rPr>
        <w:t xml:space="preserve"> requests </w:t>
      </w:r>
      <w:r w:rsidR="009A4E4D" w:rsidRPr="005A77BB">
        <w:rPr>
          <w:szCs w:val="22"/>
        </w:rPr>
        <w:t xml:space="preserve">cancellation </w:t>
      </w:r>
      <w:r w:rsidR="008653ED" w:rsidRPr="005A77BB">
        <w:rPr>
          <w:szCs w:val="22"/>
        </w:rPr>
        <w:t xml:space="preserve">or reduction </w:t>
      </w:r>
      <w:r w:rsidR="00F21925" w:rsidRPr="005A77BB">
        <w:rPr>
          <w:szCs w:val="22"/>
        </w:rPr>
        <w:t xml:space="preserve">of the proposed forfeiture, </w:t>
      </w:r>
      <w:r w:rsidR="005A77BB" w:rsidRPr="005A77BB">
        <w:rPr>
          <w:szCs w:val="22"/>
        </w:rPr>
        <w:t>asserting that it brought its public inspection files into complia</w:t>
      </w:r>
      <w:r w:rsidR="00DA580E">
        <w:rPr>
          <w:szCs w:val="22"/>
        </w:rPr>
        <w:t xml:space="preserve">nce after being notified by </w:t>
      </w:r>
      <w:r w:rsidR="005A77BB" w:rsidRPr="005A77BB">
        <w:rPr>
          <w:szCs w:val="22"/>
        </w:rPr>
        <w:t>Bureau agent</w:t>
      </w:r>
      <w:r w:rsidR="00AC13CB">
        <w:rPr>
          <w:szCs w:val="22"/>
        </w:rPr>
        <w:t>s</w:t>
      </w:r>
      <w:r w:rsidR="005A77BB" w:rsidRPr="005A77BB">
        <w:rPr>
          <w:szCs w:val="22"/>
        </w:rPr>
        <w:t xml:space="preserve"> of the missing issues/programs lists</w:t>
      </w:r>
      <w:r w:rsidR="00F21925" w:rsidRPr="005A77BB">
        <w:rPr>
          <w:szCs w:val="22"/>
        </w:rPr>
        <w:t>.</w:t>
      </w:r>
      <w:r w:rsidR="00714A06" w:rsidRPr="005A77BB">
        <w:rPr>
          <w:rStyle w:val="FootnoteReference"/>
          <w:sz w:val="22"/>
          <w:szCs w:val="22"/>
        </w:rPr>
        <w:footnoteReference w:id="13"/>
      </w:r>
      <w:r w:rsidR="00F21925" w:rsidRPr="005A77BB">
        <w:rPr>
          <w:szCs w:val="22"/>
        </w:rPr>
        <w:t xml:space="preserve">  </w:t>
      </w:r>
      <w:r w:rsidR="00AB431A" w:rsidRPr="005A77BB">
        <w:rPr>
          <w:szCs w:val="22"/>
        </w:rPr>
        <w:t xml:space="preserve">While the Commission will generally reduce an assessed forfeiture based on the good faith corrective efforts of a violator, those corrective efforts must be taken </w:t>
      </w:r>
      <w:r w:rsidR="00AB431A" w:rsidRPr="005A77BB">
        <w:rPr>
          <w:i/>
          <w:szCs w:val="22"/>
        </w:rPr>
        <w:t xml:space="preserve">prior </w:t>
      </w:r>
      <w:r w:rsidR="00AB431A" w:rsidRPr="005A77BB">
        <w:rPr>
          <w:szCs w:val="22"/>
        </w:rPr>
        <w:t>to notification of the violation.</w:t>
      </w:r>
      <w:r w:rsidR="00AB431A" w:rsidRPr="005A77BB">
        <w:rPr>
          <w:szCs w:val="22"/>
          <w:vertAlign w:val="superscript"/>
        </w:rPr>
        <w:footnoteReference w:id="14"/>
      </w:r>
      <w:r w:rsidR="00AB431A" w:rsidRPr="005A77BB">
        <w:rPr>
          <w:szCs w:val="22"/>
        </w:rPr>
        <w:t xml:space="preserve">  As the Commission has repeatedly stated, “corrective action taken to come into </w:t>
      </w:r>
      <w:r w:rsidR="00AB431A" w:rsidRPr="005A77BB">
        <w:rPr>
          <w:szCs w:val="22"/>
        </w:rPr>
        <w:lastRenderedPageBreak/>
        <w:t>compliance with Commission rules or policy is expected, and does not nullify or mitigate any prior forfeitures or violations.</w:t>
      </w:r>
      <w:bookmarkStart w:id="7" w:name="FN[FN8]"/>
      <w:bookmarkEnd w:id="7"/>
      <w:r w:rsidR="00AB431A" w:rsidRPr="005A77BB">
        <w:rPr>
          <w:szCs w:val="22"/>
        </w:rPr>
        <w:t>”</w:t>
      </w:r>
      <w:r w:rsidR="00AB431A" w:rsidRPr="005A77BB">
        <w:rPr>
          <w:szCs w:val="22"/>
          <w:vertAlign w:val="superscript"/>
        </w:rPr>
        <w:footnoteReference w:id="15"/>
      </w:r>
      <w:r w:rsidR="00AB431A" w:rsidRPr="005A77BB">
        <w:rPr>
          <w:szCs w:val="22"/>
        </w:rPr>
        <w:t xml:space="preserve">  </w:t>
      </w:r>
      <w:r w:rsidR="00960607" w:rsidRPr="005A77BB">
        <w:rPr>
          <w:szCs w:val="22"/>
        </w:rPr>
        <w:t>Curran</w:t>
      </w:r>
      <w:r w:rsidR="005A77BB" w:rsidRPr="005A77BB">
        <w:rPr>
          <w:szCs w:val="22"/>
        </w:rPr>
        <w:t xml:space="preserve"> </w:t>
      </w:r>
      <w:r w:rsidR="00DA580E">
        <w:rPr>
          <w:szCs w:val="22"/>
        </w:rPr>
        <w:t>presents</w:t>
      </w:r>
      <w:r w:rsidR="00AB431A" w:rsidRPr="005A77BB">
        <w:rPr>
          <w:szCs w:val="22"/>
        </w:rPr>
        <w:t xml:space="preserve"> no evidence that</w:t>
      </w:r>
      <w:r w:rsidR="005A77BB" w:rsidRPr="005A77BB">
        <w:rPr>
          <w:szCs w:val="22"/>
        </w:rPr>
        <w:t xml:space="preserve"> it undertook corrective efforts to replace the missing issues/programs lists </w:t>
      </w:r>
      <w:r w:rsidR="009A4E4D" w:rsidRPr="005A77BB">
        <w:rPr>
          <w:szCs w:val="22"/>
        </w:rPr>
        <w:t xml:space="preserve">prior </w:t>
      </w:r>
      <w:r w:rsidR="002E771C" w:rsidRPr="005A77BB">
        <w:rPr>
          <w:szCs w:val="22"/>
        </w:rPr>
        <w:t xml:space="preserve">to </w:t>
      </w:r>
      <w:r w:rsidR="00AB431A" w:rsidRPr="005A77BB">
        <w:rPr>
          <w:szCs w:val="22"/>
        </w:rPr>
        <w:t>the inspection</w:t>
      </w:r>
      <w:r w:rsidR="009A4E4D" w:rsidRPr="005A77BB">
        <w:rPr>
          <w:szCs w:val="22"/>
        </w:rPr>
        <w:t xml:space="preserve"> by </w:t>
      </w:r>
      <w:r w:rsidR="005A77BB" w:rsidRPr="005A77BB">
        <w:rPr>
          <w:szCs w:val="22"/>
        </w:rPr>
        <w:t>Bureau agent</w:t>
      </w:r>
      <w:r w:rsidR="00AC13CB">
        <w:rPr>
          <w:szCs w:val="22"/>
        </w:rPr>
        <w:t>s</w:t>
      </w:r>
      <w:r w:rsidR="00AB431A" w:rsidRPr="005A77BB">
        <w:rPr>
          <w:szCs w:val="22"/>
        </w:rPr>
        <w:t xml:space="preserve">.  We therefore decline to reduce </w:t>
      </w:r>
      <w:r w:rsidR="009A4E4D" w:rsidRPr="005A77BB">
        <w:rPr>
          <w:szCs w:val="22"/>
        </w:rPr>
        <w:t xml:space="preserve">or cancel </w:t>
      </w:r>
      <w:r w:rsidR="00AB431A" w:rsidRPr="005A77BB">
        <w:rPr>
          <w:szCs w:val="22"/>
        </w:rPr>
        <w:t>the proposed forfeiture</w:t>
      </w:r>
      <w:r w:rsidR="00585ABB" w:rsidRPr="005A77BB">
        <w:rPr>
          <w:szCs w:val="22"/>
        </w:rPr>
        <w:t xml:space="preserve"> on this basis</w:t>
      </w:r>
      <w:r w:rsidR="00AB431A" w:rsidRPr="005A77BB">
        <w:rPr>
          <w:szCs w:val="22"/>
        </w:rPr>
        <w:t>.</w:t>
      </w:r>
    </w:p>
    <w:p w:rsidR="00585C77" w:rsidRPr="005A77BB" w:rsidRDefault="00D34C95" w:rsidP="00585C77">
      <w:pPr>
        <w:pStyle w:val="Heading2"/>
        <w:rPr>
          <w:szCs w:val="22"/>
        </w:rPr>
      </w:pPr>
      <w:r w:rsidRPr="005A77BB">
        <w:rPr>
          <w:szCs w:val="22"/>
        </w:rPr>
        <w:t>Curran</w:t>
      </w:r>
      <w:r w:rsidR="00E371A6">
        <w:rPr>
          <w:szCs w:val="22"/>
        </w:rPr>
        <w:t xml:space="preserve">’s Misunderstanding Regarding </w:t>
      </w:r>
      <w:r w:rsidRPr="005A77BB">
        <w:rPr>
          <w:szCs w:val="22"/>
        </w:rPr>
        <w:t>i</w:t>
      </w:r>
      <w:r w:rsidR="00E371A6">
        <w:rPr>
          <w:szCs w:val="22"/>
        </w:rPr>
        <w:t>t</w:t>
      </w:r>
      <w:r w:rsidRPr="005A77BB">
        <w:rPr>
          <w:szCs w:val="22"/>
        </w:rPr>
        <w:t>s</w:t>
      </w:r>
      <w:r w:rsidR="00E371A6">
        <w:rPr>
          <w:szCs w:val="22"/>
        </w:rPr>
        <w:t xml:space="preserve"> Public File Responsibilities </w:t>
      </w:r>
      <w:r w:rsidR="00E371A6" w:rsidRPr="005A77BB">
        <w:rPr>
          <w:szCs w:val="22"/>
        </w:rPr>
        <w:t>Do</w:t>
      </w:r>
      <w:r w:rsidR="00E367B6">
        <w:rPr>
          <w:szCs w:val="22"/>
        </w:rPr>
        <w:t>es</w:t>
      </w:r>
      <w:r w:rsidR="00E371A6" w:rsidRPr="005A77BB">
        <w:rPr>
          <w:szCs w:val="22"/>
        </w:rPr>
        <w:t xml:space="preserve"> N</w:t>
      </w:r>
      <w:r w:rsidR="00E371A6">
        <w:rPr>
          <w:szCs w:val="22"/>
        </w:rPr>
        <w:t xml:space="preserve">ot Support a </w:t>
      </w:r>
      <w:r w:rsidR="00E371A6" w:rsidRPr="005A77BB">
        <w:rPr>
          <w:szCs w:val="22"/>
        </w:rPr>
        <w:t>Forfeiture</w:t>
      </w:r>
      <w:r w:rsidR="00E371A6">
        <w:rPr>
          <w:szCs w:val="22"/>
        </w:rPr>
        <w:t xml:space="preserve"> Cancellation or Reduction</w:t>
      </w:r>
      <w:r w:rsidRPr="005A77BB">
        <w:rPr>
          <w:szCs w:val="22"/>
        </w:rPr>
        <w:t xml:space="preserve"> </w:t>
      </w:r>
    </w:p>
    <w:p w:rsidR="00E371A6" w:rsidRPr="00E371A6" w:rsidRDefault="00585C77" w:rsidP="00E371A6">
      <w:pPr>
        <w:pStyle w:val="ParaNum"/>
        <w:rPr>
          <w:szCs w:val="22"/>
        </w:rPr>
      </w:pPr>
      <w:r w:rsidRPr="005A77BB">
        <w:rPr>
          <w:szCs w:val="22"/>
        </w:rPr>
        <w:t xml:space="preserve">Curran also </w:t>
      </w:r>
      <w:r w:rsidR="00E371A6">
        <w:rPr>
          <w:szCs w:val="22"/>
        </w:rPr>
        <w:t xml:space="preserve">requests </w:t>
      </w:r>
      <w:r w:rsidRPr="005A77BB">
        <w:rPr>
          <w:szCs w:val="22"/>
        </w:rPr>
        <w:t>cancellation or reduction of the pro</w:t>
      </w:r>
      <w:r w:rsidR="00E371A6">
        <w:rPr>
          <w:szCs w:val="22"/>
        </w:rPr>
        <w:t>posed forfeiture because</w:t>
      </w:r>
      <w:r w:rsidRPr="005A77BB">
        <w:rPr>
          <w:szCs w:val="22"/>
        </w:rPr>
        <w:t xml:space="preserve"> it </w:t>
      </w:r>
      <w:r w:rsidR="00E371A6">
        <w:rPr>
          <w:szCs w:val="22"/>
        </w:rPr>
        <w:t xml:space="preserve">mistakenly believed </w:t>
      </w:r>
      <w:r w:rsidRPr="005A77BB">
        <w:rPr>
          <w:szCs w:val="22"/>
        </w:rPr>
        <w:t xml:space="preserve">that the Station’s public file requirements were being met </w:t>
      </w:r>
      <w:r w:rsidR="009C560C" w:rsidRPr="005A77BB">
        <w:rPr>
          <w:szCs w:val="22"/>
        </w:rPr>
        <w:t xml:space="preserve">by RPM Media, LLC, </w:t>
      </w:r>
      <w:r w:rsidRPr="005A77BB">
        <w:rPr>
          <w:szCs w:val="22"/>
        </w:rPr>
        <w:t>pursuant to a time brokerage agreement.</w:t>
      </w:r>
      <w:r w:rsidRPr="005A77BB">
        <w:rPr>
          <w:rStyle w:val="FootnoteReference"/>
          <w:sz w:val="22"/>
          <w:szCs w:val="22"/>
        </w:rPr>
        <w:footnoteReference w:id="16"/>
      </w:r>
      <w:r w:rsidRPr="005A77BB">
        <w:rPr>
          <w:szCs w:val="22"/>
        </w:rPr>
        <w:t xml:space="preserve">  </w:t>
      </w:r>
      <w:r w:rsidR="00695D35" w:rsidRPr="005A77BB">
        <w:rPr>
          <w:szCs w:val="22"/>
        </w:rPr>
        <w:t xml:space="preserve">We reject this argument.  </w:t>
      </w:r>
      <w:r w:rsidR="00D34C95" w:rsidRPr="005A77BB">
        <w:rPr>
          <w:szCs w:val="22"/>
        </w:rPr>
        <w:t xml:space="preserve">As the </w:t>
      </w:r>
      <w:r w:rsidR="00E371A6">
        <w:rPr>
          <w:szCs w:val="22"/>
        </w:rPr>
        <w:t xml:space="preserve">Station’s </w:t>
      </w:r>
      <w:r w:rsidR="00D34C95" w:rsidRPr="005A77BB">
        <w:rPr>
          <w:rStyle w:val="cosearchterm"/>
          <w:szCs w:val="22"/>
        </w:rPr>
        <w:t>licensee</w:t>
      </w:r>
      <w:r w:rsidR="00E371A6">
        <w:rPr>
          <w:szCs w:val="22"/>
        </w:rPr>
        <w:t xml:space="preserve">, Curran </w:t>
      </w:r>
      <w:r w:rsidR="00E371A6" w:rsidRPr="005A77BB">
        <w:rPr>
          <w:szCs w:val="22"/>
        </w:rPr>
        <w:t>is charged with knowledge of the full range of its obligations under the Rules</w:t>
      </w:r>
      <w:r w:rsidR="00E371A6">
        <w:rPr>
          <w:szCs w:val="22"/>
        </w:rPr>
        <w:t xml:space="preserve"> and</w:t>
      </w:r>
      <w:r w:rsidR="00D34C95" w:rsidRPr="005A77BB">
        <w:rPr>
          <w:szCs w:val="22"/>
        </w:rPr>
        <w:t xml:space="preserve"> ultimately responsible for the failure to mainta</w:t>
      </w:r>
      <w:r w:rsidR="00E371A6">
        <w:rPr>
          <w:szCs w:val="22"/>
        </w:rPr>
        <w:t>in the issues/programs lists</w:t>
      </w:r>
      <w:r w:rsidRPr="005A77BB">
        <w:rPr>
          <w:szCs w:val="22"/>
        </w:rPr>
        <w:t>.</w:t>
      </w:r>
      <w:r w:rsidR="00411BA6" w:rsidRPr="005A77BB">
        <w:rPr>
          <w:rStyle w:val="FootnoteReference"/>
          <w:sz w:val="22"/>
          <w:szCs w:val="22"/>
        </w:rPr>
        <w:footnoteReference w:id="17"/>
      </w:r>
      <w:r w:rsidR="00E371A6">
        <w:rPr>
          <w:szCs w:val="22"/>
        </w:rPr>
        <w:t xml:space="preserve">  W</w:t>
      </w:r>
      <w:r w:rsidR="00E371A6">
        <w:t>e have repeatedly held that “[i]nadvertent mistakes are not mitigating circumstances that can serve to justify a forfeiture reduction.”</w:t>
      </w:r>
      <w:r w:rsidR="00E371A6">
        <w:rPr>
          <w:rStyle w:val="FootnoteReference"/>
        </w:rPr>
        <w:footnoteReference w:id="18"/>
      </w:r>
      <w:r w:rsidR="00E371A6">
        <w:t xml:space="preserve">  The fact that Curran incorrectly </w:t>
      </w:r>
      <w:r w:rsidR="00E367B6">
        <w:t>believed</w:t>
      </w:r>
      <w:r w:rsidR="00E371A6">
        <w:t xml:space="preserve"> that its public file obligations were being handled by a third party </w:t>
      </w:r>
      <w:r w:rsidR="00352445">
        <w:t xml:space="preserve">does not </w:t>
      </w:r>
      <w:r w:rsidR="00E371A6">
        <w:t>absolve it of liability for its violation</w:t>
      </w:r>
      <w:r w:rsidR="00352445">
        <w:t>s</w:t>
      </w:r>
      <w:r w:rsidR="00E371A6">
        <w:t>.</w:t>
      </w:r>
      <w:r w:rsidR="00E371A6">
        <w:rPr>
          <w:rStyle w:val="FootnoteReference"/>
        </w:rPr>
        <w:footnoteReference w:id="19"/>
      </w:r>
      <w:r w:rsidR="00E367B6">
        <w:t xml:space="preserve">  </w:t>
      </w:r>
      <w:r w:rsidR="00E367B6" w:rsidRPr="005A77BB">
        <w:rPr>
          <w:szCs w:val="22"/>
        </w:rPr>
        <w:t>We therefore decline to reduce or cancel the proposed forfeiture on this basis.</w:t>
      </w:r>
    </w:p>
    <w:p w:rsidR="003343CA" w:rsidRPr="005A77BB" w:rsidRDefault="00352445" w:rsidP="00B55D72">
      <w:pPr>
        <w:pStyle w:val="Heading2"/>
        <w:rPr>
          <w:szCs w:val="22"/>
        </w:rPr>
      </w:pPr>
      <w:r>
        <w:rPr>
          <w:szCs w:val="22"/>
        </w:rPr>
        <w:t xml:space="preserve">Curran’s Demonstrated </w:t>
      </w:r>
      <w:r w:rsidRPr="005A77BB">
        <w:rPr>
          <w:szCs w:val="22"/>
        </w:rPr>
        <w:t>Inability to Pay</w:t>
      </w:r>
      <w:r>
        <w:rPr>
          <w:szCs w:val="22"/>
        </w:rPr>
        <w:t xml:space="preserve"> Warrants a Forfeiture </w:t>
      </w:r>
      <w:r w:rsidR="00E367B6">
        <w:rPr>
          <w:szCs w:val="22"/>
        </w:rPr>
        <w:t>Reduction</w:t>
      </w:r>
      <w:r>
        <w:rPr>
          <w:szCs w:val="22"/>
        </w:rPr>
        <w:t xml:space="preserve"> </w:t>
      </w:r>
    </w:p>
    <w:p w:rsidR="00884F39" w:rsidRPr="005A77BB" w:rsidRDefault="003A31CF" w:rsidP="00C138D9">
      <w:pPr>
        <w:pStyle w:val="ParaNum"/>
        <w:widowControl/>
        <w:rPr>
          <w:szCs w:val="22"/>
        </w:rPr>
      </w:pPr>
      <w:r w:rsidRPr="005A77BB">
        <w:rPr>
          <w:szCs w:val="22"/>
        </w:rPr>
        <w:t>Curran</w:t>
      </w:r>
      <w:r w:rsidR="00B55D72" w:rsidRPr="005A77BB">
        <w:rPr>
          <w:szCs w:val="22"/>
        </w:rPr>
        <w:t xml:space="preserve"> </w:t>
      </w:r>
      <w:r w:rsidR="00A41565" w:rsidRPr="005A77BB">
        <w:rPr>
          <w:szCs w:val="22"/>
        </w:rPr>
        <w:t>also</w:t>
      </w:r>
      <w:r w:rsidR="00352445">
        <w:rPr>
          <w:szCs w:val="22"/>
        </w:rPr>
        <w:t xml:space="preserve"> requests</w:t>
      </w:r>
      <w:r w:rsidR="003343CA" w:rsidRPr="005A77BB">
        <w:rPr>
          <w:szCs w:val="22"/>
        </w:rPr>
        <w:t xml:space="preserve"> </w:t>
      </w:r>
      <w:r w:rsidR="00891A82" w:rsidRPr="005A77BB">
        <w:rPr>
          <w:szCs w:val="22"/>
        </w:rPr>
        <w:t xml:space="preserve">cancellation or </w:t>
      </w:r>
      <w:r w:rsidR="003343CA" w:rsidRPr="005A77BB">
        <w:rPr>
          <w:szCs w:val="22"/>
        </w:rPr>
        <w:t>reduction of the proposed forfeiture based on an inability to pay</w:t>
      </w:r>
      <w:r w:rsidR="00352445">
        <w:rPr>
          <w:szCs w:val="22"/>
        </w:rPr>
        <w:t xml:space="preserve">, and provided financial information </w:t>
      </w:r>
      <w:r w:rsidR="00B55D72" w:rsidRPr="005A77BB">
        <w:rPr>
          <w:szCs w:val="22"/>
        </w:rPr>
        <w:t>support</w:t>
      </w:r>
      <w:r w:rsidR="00352445">
        <w:rPr>
          <w:szCs w:val="22"/>
        </w:rPr>
        <w:t>ing its</w:t>
      </w:r>
      <w:r w:rsidR="00657B86" w:rsidRPr="005A77BB">
        <w:rPr>
          <w:szCs w:val="22"/>
        </w:rPr>
        <w:t xml:space="preserve"> claim.</w:t>
      </w:r>
      <w:r w:rsidR="00352445">
        <w:rPr>
          <w:rStyle w:val="FootnoteReference"/>
          <w:szCs w:val="22"/>
        </w:rPr>
        <w:footnoteReference w:id="20"/>
      </w:r>
      <w:r w:rsidR="00637234" w:rsidRPr="005A77BB">
        <w:rPr>
          <w:szCs w:val="22"/>
        </w:rPr>
        <w:t xml:space="preserve">  With regard to an individual’s or entity’s inability to pay claim, the Commission has determined that, in general, gross income or revenues are the best indicator of an ability to pay a forfeiture.</w:t>
      </w:r>
      <w:bookmarkStart w:id="8" w:name="_Ref350932452"/>
      <w:r w:rsidR="00637234" w:rsidRPr="005A77BB">
        <w:rPr>
          <w:rStyle w:val="FootnoteCharacters"/>
          <w:sz w:val="22"/>
          <w:szCs w:val="22"/>
        </w:rPr>
        <w:footnoteReference w:id="21"/>
      </w:r>
      <w:bookmarkEnd w:id="8"/>
      <w:r w:rsidR="00637234" w:rsidRPr="005A77BB">
        <w:rPr>
          <w:szCs w:val="22"/>
        </w:rPr>
        <w:t xml:space="preserve">  Based on the financial documents provided by</w:t>
      </w:r>
      <w:r w:rsidR="00276598" w:rsidRPr="005A77BB">
        <w:rPr>
          <w:szCs w:val="22"/>
        </w:rPr>
        <w:t xml:space="preserve"> Curran</w:t>
      </w:r>
      <w:r w:rsidR="00637234" w:rsidRPr="005A77BB">
        <w:rPr>
          <w:szCs w:val="22"/>
        </w:rPr>
        <w:t>, we find sufficient basis to reduce the forfeiture to $</w:t>
      </w:r>
      <w:r w:rsidR="00352445">
        <w:rPr>
          <w:szCs w:val="22"/>
        </w:rPr>
        <w:t>720</w:t>
      </w:r>
      <w:r w:rsidR="00276598" w:rsidRPr="005A77BB">
        <w:rPr>
          <w:szCs w:val="22"/>
        </w:rPr>
        <w:t>.</w:t>
      </w:r>
      <w:r w:rsidR="00637234" w:rsidRPr="005A77BB">
        <w:rPr>
          <w:rStyle w:val="FootnoteReference"/>
          <w:sz w:val="22"/>
          <w:szCs w:val="22"/>
        </w:rPr>
        <w:footnoteReference w:id="22"/>
      </w:r>
      <w:r w:rsidR="00637234" w:rsidRPr="005A77BB">
        <w:rPr>
          <w:szCs w:val="22"/>
        </w:rPr>
        <w:t xml:space="preserve">  However, </w:t>
      </w:r>
      <w:r w:rsidR="00D65D78" w:rsidRPr="005A77BB">
        <w:rPr>
          <w:szCs w:val="22"/>
        </w:rPr>
        <w:t xml:space="preserve">we caution </w:t>
      </w:r>
      <w:r w:rsidR="00276598" w:rsidRPr="005A77BB">
        <w:rPr>
          <w:szCs w:val="22"/>
        </w:rPr>
        <w:t>Curran</w:t>
      </w:r>
      <w:r w:rsidR="00D65D78" w:rsidRPr="005A77BB">
        <w:rPr>
          <w:szCs w:val="22"/>
        </w:rPr>
        <w:t xml:space="preserve"> that </w:t>
      </w:r>
      <w:r w:rsidR="00637234" w:rsidRPr="005A77BB">
        <w:rPr>
          <w:szCs w:val="22"/>
        </w:rPr>
        <w:t>a party’s inability to pay is only one factor in our forfeiture calculation analysis, and is not dispositive.</w:t>
      </w:r>
      <w:r w:rsidR="00637234" w:rsidRPr="005A77BB">
        <w:rPr>
          <w:rStyle w:val="FootnoteReference"/>
          <w:sz w:val="22"/>
          <w:szCs w:val="22"/>
        </w:rPr>
        <w:footnoteReference w:id="23"/>
      </w:r>
      <w:r w:rsidR="00637234" w:rsidRPr="005A77BB">
        <w:rPr>
          <w:szCs w:val="22"/>
        </w:rPr>
        <w:t xml:space="preserve">  </w:t>
      </w:r>
      <w:r w:rsidR="000D5524">
        <w:t>We have previously rejected inability to pay claims in cases of repeated intentional and malicious acts or otherwise egregious violations.</w:t>
      </w:r>
      <w:r w:rsidR="000D5524">
        <w:rPr>
          <w:rStyle w:val="FootnoteReference"/>
        </w:rPr>
        <w:footnoteReference w:id="24"/>
      </w:r>
      <w:r w:rsidR="000D5524">
        <w:t xml:space="preserve">  </w:t>
      </w:r>
      <w:r w:rsidR="00352445">
        <w:t>Therefore, future violations of this kind may result in significantly higher forfeitures that may not be reduced due to Curran’s financial circumstances.</w:t>
      </w:r>
      <w:r w:rsidR="00202E6A" w:rsidRPr="005A77BB">
        <w:rPr>
          <w:szCs w:val="22"/>
        </w:rPr>
        <w:t xml:space="preserve">  </w:t>
      </w:r>
    </w:p>
    <w:p w:rsidR="00637234" w:rsidRPr="005A77BB" w:rsidRDefault="00884F39" w:rsidP="00FD09F1">
      <w:pPr>
        <w:pStyle w:val="ParaNum"/>
        <w:widowControl/>
        <w:rPr>
          <w:szCs w:val="22"/>
        </w:rPr>
      </w:pPr>
      <w:r w:rsidRPr="005A77BB">
        <w:rPr>
          <w:szCs w:val="22"/>
        </w:rPr>
        <w:t>Based on the record before us and in light of the applicable statutory factors, we conclude that Curran willfully and repeatedly violated</w:t>
      </w:r>
      <w:r w:rsidR="00352445">
        <w:rPr>
          <w:szCs w:val="22"/>
        </w:rPr>
        <w:t xml:space="preserve"> Section 73.3526(e)(12) of the R</w:t>
      </w:r>
      <w:r w:rsidRPr="005A77BB">
        <w:rPr>
          <w:szCs w:val="22"/>
        </w:rPr>
        <w:t>u</w:t>
      </w:r>
      <w:r w:rsidR="00352445">
        <w:rPr>
          <w:szCs w:val="22"/>
        </w:rPr>
        <w:t xml:space="preserve">les by </w:t>
      </w:r>
      <w:r w:rsidRPr="005A77BB">
        <w:rPr>
          <w:szCs w:val="22"/>
        </w:rPr>
        <w:t xml:space="preserve">failing to maintain and make available the </w:t>
      </w:r>
      <w:r w:rsidR="00352445">
        <w:rPr>
          <w:szCs w:val="22"/>
        </w:rPr>
        <w:t xml:space="preserve">required </w:t>
      </w:r>
      <w:r w:rsidRPr="005A77BB">
        <w:rPr>
          <w:szCs w:val="22"/>
        </w:rPr>
        <w:t xml:space="preserve">issues/programs lists in the Station’s public inspection file.  </w:t>
      </w:r>
      <w:r w:rsidR="00EB715B">
        <w:rPr>
          <w:szCs w:val="22"/>
        </w:rPr>
        <w:t xml:space="preserve">We further find </w:t>
      </w:r>
      <w:r w:rsidR="00637234" w:rsidRPr="005A77BB">
        <w:rPr>
          <w:szCs w:val="22"/>
        </w:rPr>
        <w:t xml:space="preserve">after consideration </w:t>
      </w:r>
      <w:r w:rsidR="00E434BC" w:rsidRPr="005A77BB">
        <w:rPr>
          <w:szCs w:val="22"/>
        </w:rPr>
        <w:t>of the entire record, including Curran’s</w:t>
      </w:r>
      <w:r w:rsidR="0081174D" w:rsidRPr="005A77BB">
        <w:rPr>
          <w:szCs w:val="22"/>
        </w:rPr>
        <w:t xml:space="preserve"> </w:t>
      </w:r>
      <w:r w:rsidR="00637234" w:rsidRPr="00352445">
        <w:rPr>
          <w:i/>
          <w:szCs w:val="22"/>
        </w:rPr>
        <w:t>NAL Response</w:t>
      </w:r>
      <w:r w:rsidR="00E367B6">
        <w:rPr>
          <w:szCs w:val="22"/>
        </w:rPr>
        <w:t xml:space="preserve"> and </w:t>
      </w:r>
      <w:r w:rsidRPr="005A77BB">
        <w:rPr>
          <w:szCs w:val="22"/>
        </w:rPr>
        <w:t xml:space="preserve">supportive </w:t>
      </w:r>
      <w:r w:rsidR="00E367B6">
        <w:rPr>
          <w:szCs w:val="22"/>
        </w:rPr>
        <w:t xml:space="preserve">financial </w:t>
      </w:r>
      <w:r w:rsidRPr="005A77BB">
        <w:rPr>
          <w:szCs w:val="22"/>
        </w:rPr>
        <w:t>materials,</w:t>
      </w:r>
      <w:r w:rsidR="00637234" w:rsidRPr="005A77BB">
        <w:rPr>
          <w:szCs w:val="22"/>
        </w:rPr>
        <w:t xml:space="preserve"> </w:t>
      </w:r>
      <w:r w:rsidR="00EB715B">
        <w:rPr>
          <w:szCs w:val="22"/>
        </w:rPr>
        <w:t xml:space="preserve">that </w:t>
      </w:r>
      <w:r w:rsidR="00637234" w:rsidRPr="005A77BB">
        <w:rPr>
          <w:szCs w:val="22"/>
        </w:rPr>
        <w:t xml:space="preserve">cancellation of the </w:t>
      </w:r>
      <w:r w:rsidR="00EB715B">
        <w:rPr>
          <w:szCs w:val="22"/>
        </w:rPr>
        <w:t xml:space="preserve">proposed </w:t>
      </w:r>
      <w:r w:rsidR="00637234" w:rsidRPr="005A77BB">
        <w:rPr>
          <w:szCs w:val="22"/>
        </w:rPr>
        <w:t xml:space="preserve">forfeiture </w:t>
      </w:r>
      <w:r w:rsidR="00EB715B">
        <w:rPr>
          <w:szCs w:val="22"/>
        </w:rPr>
        <w:t>is u</w:t>
      </w:r>
      <w:r w:rsidR="00EB715B" w:rsidRPr="005A77BB">
        <w:rPr>
          <w:szCs w:val="22"/>
        </w:rPr>
        <w:t>nwarranted</w:t>
      </w:r>
      <w:r w:rsidR="00637234" w:rsidRPr="005A77BB">
        <w:rPr>
          <w:szCs w:val="22"/>
        </w:rPr>
        <w:t xml:space="preserve">, </w:t>
      </w:r>
      <w:r w:rsidR="00EB715B">
        <w:rPr>
          <w:szCs w:val="22"/>
        </w:rPr>
        <w:t xml:space="preserve">but a </w:t>
      </w:r>
      <w:r w:rsidR="00637234" w:rsidRPr="005A77BB">
        <w:rPr>
          <w:szCs w:val="22"/>
        </w:rPr>
        <w:t xml:space="preserve">reduction </w:t>
      </w:r>
      <w:r w:rsidR="00EB715B">
        <w:rPr>
          <w:szCs w:val="22"/>
        </w:rPr>
        <w:t xml:space="preserve">of the forfeiture amount </w:t>
      </w:r>
      <w:r w:rsidR="00637234" w:rsidRPr="005A77BB">
        <w:rPr>
          <w:szCs w:val="22"/>
        </w:rPr>
        <w:t>to $</w:t>
      </w:r>
      <w:r w:rsidR="00EB715B">
        <w:rPr>
          <w:szCs w:val="22"/>
        </w:rPr>
        <w:t>720 is appropriate based on Curran’s demonstrated inability to pay</w:t>
      </w:r>
      <w:r w:rsidR="00D65D78" w:rsidRPr="005A77BB">
        <w:rPr>
          <w:szCs w:val="22"/>
        </w:rPr>
        <w:t xml:space="preserve">. </w:t>
      </w:r>
      <w:r w:rsidR="003343CA" w:rsidRPr="005A77BB">
        <w:rPr>
          <w:szCs w:val="22"/>
        </w:rPr>
        <w:t xml:space="preserve"> </w:t>
      </w:r>
    </w:p>
    <w:p w:rsidR="003343CA" w:rsidRPr="005A77BB" w:rsidRDefault="003343CA" w:rsidP="003343CA">
      <w:pPr>
        <w:pStyle w:val="Heading1"/>
        <w:rPr>
          <w:rFonts w:ascii="Times New Roman" w:hAnsi="Times New Roman"/>
          <w:szCs w:val="22"/>
        </w:rPr>
      </w:pPr>
      <w:r w:rsidRPr="005A77BB">
        <w:rPr>
          <w:rFonts w:ascii="Times New Roman" w:hAnsi="Times New Roman"/>
          <w:szCs w:val="22"/>
        </w:rPr>
        <w:t>ORDERING CLAUSES</w:t>
      </w:r>
    </w:p>
    <w:p w:rsidR="003343CA" w:rsidRPr="005A77BB" w:rsidRDefault="003343CA" w:rsidP="00F23F1E">
      <w:pPr>
        <w:pStyle w:val="ParaNum"/>
        <w:rPr>
          <w:szCs w:val="22"/>
        </w:rPr>
      </w:pPr>
      <w:r w:rsidRPr="005A77BB">
        <w:rPr>
          <w:szCs w:val="22"/>
        </w:rPr>
        <w:t xml:space="preserve">Accordingly, </w:t>
      </w:r>
      <w:r w:rsidRPr="005A77BB">
        <w:rPr>
          <w:b/>
          <w:szCs w:val="22"/>
        </w:rPr>
        <w:t>IT IS ORDERED</w:t>
      </w:r>
      <w:r w:rsidR="00F23F1E" w:rsidRPr="005A77BB">
        <w:rPr>
          <w:b/>
          <w:szCs w:val="22"/>
        </w:rPr>
        <w:t xml:space="preserve"> </w:t>
      </w:r>
      <w:r w:rsidR="00F23F1E" w:rsidRPr="005A77BB">
        <w:rPr>
          <w:szCs w:val="22"/>
        </w:rPr>
        <w:t>that</w:t>
      </w:r>
      <w:r w:rsidRPr="005A77BB">
        <w:rPr>
          <w:szCs w:val="22"/>
        </w:rPr>
        <w:t>, pursuant to Section 503(b) of the</w:t>
      </w:r>
      <w:r w:rsidR="00F23F1E" w:rsidRPr="005A77BB">
        <w:rPr>
          <w:szCs w:val="22"/>
        </w:rPr>
        <w:t xml:space="preserve"> Act</w:t>
      </w:r>
      <w:r w:rsidRPr="005A77BB">
        <w:rPr>
          <w:rStyle w:val="FootnoteReference"/>
          <w:sz w:val="22"/>
          <w:szCs w:val="22"/>
        </w:rPr>
        <w:footnoteReference w:id="25"/>
      </w:r>
      <w:r w:rsidRPr="005A77BB">
        <w:rPr>
          <w:szCs w:val="22"/>
        </w:rPr>
        <w:t xml:space="preserve"> and Section 1.80 of the Rules,</w:t>
      </w:r>
      <w:r w:rsidRPr="005A77BB">
        <w:rPr>
          <w:rStyle w:val="FootnoteReference"/>
          <w:sz w:val="22"/>
          <w:szCs w:val="22"/>
        </w:rPr>
        <w:footnoteReference w:id="26"/>
      </w:r>
      <w:r w:rsidRPr="005A77BB">
        <w:rPr>
          <w:szCs w:val="22"/>
        </w:rPr>
        <w:t xml:space="preserve"> </w:t>
      </w:r>
      <w:r w:rsidR="00C90DA2" w:rsidRPr="005A77BB">
        <w:rPr>
          <w:szCs w:val="22"/>
        </w:rPr>
        <w:t>Curran Communications, Inc.</w:t>
      </w:r>
      <w:r w:rsidR="00556415" w:rsidRPr="005A77BB">
        <w:rPr>
          <w:szCs w:val="22"/>
        </w:rPr>
        <w:t xml:space="preserve"> </w:t>
      </w:r>
      <w:r w:rsidRPr="005A77BB">
        <w:rPr>
          <w:b/>
          <w:szCs w:val="22"/>
        </w:rPr>
        <w:t>IS LIABLE FOR A MONETARY FORFEITURE</w:t>
      </w:r>
      <w:r w:rsidRPr="005A77BB">
        <w:rPr>
          <w:szCs w:val="22"/>
        </w:rPr>
        <w:t xml:space="preserve"> in the amount of </w:t>
      </w:r>
      <w:r w:rsidR="00EB715B">
        <w:rPr>
          <w:szCs w:val="22"/>
        </w:rPr>
        <w:t>seven hundred and twenty ($720</w:t>
      </w:r>
      <w:r w:rsidR="00556415" w:rsidRPr="005A77BB">
        <w:rPr>
          <w:szCs w:val="22"/>
        </w:rPr>
        <w:t xml:space="preserve">) </w:t>
      </w:r>
      <w:r w:rsidR="00EB715B">
        <w:rPr>
          <w:szCs w:val="22"/>
        </w:rPr>
        <w:t xml:space="preserve">dollars </w:t>
      </w:r>
      <w:r w:rsidRPr="005A77BB">
        <w:rPr>
          <w:szCs w:val="22"/>
        </w:rPr>
        <w:t xml:space="preserve">for willfully </w:t>
      </w:r>
      <w:r w:rsidR="00556415" w:rsidRPr="005A77BB">
        <w:rPr>
          <w:szCs w:val="22"/>
        </w:rPr>
        <w:t>and repeatedly</w:t>
      </w:r>
      <w:r w:rsidR="00F23F1E" w:rsidRPr="005A77BB">
        <w:rPr>
          <w:szCs w:val="22"/>
        </w:rPr>
        <w:t xml:space="preserve"> </w:t>
      </w:r>
      <w:r w:rsidRPr="005A77BB">
        <w:rPr>
          <w:szCs w:val="22"/>
        </w:rPr>
        <w:t xml:space="preserve">violating </w:t>
      </w:r>
      <w:r w:rsidR="00A93753" w:rsidRPr="005A77BB">
        <w:rPr>
          <w:szCs w:val="22"/>
        </w:rPr>
        <w:t>Section</w:t>
      </w:r>
      <w:r w:rsidR="002E771C" w:rsidRPr="005A77BB">
        <w:rPr>
          <w:szCs w:val="22"/>
        </w:rPr>
        <w:t xml:space="preserve"> </w:t>
      </w:r>
      <w:r w:rsidR="00556415" w:rsidRPr="005A77BB">
        <w:rPr>
          <w:szCs w:val="22"/>
        </w:rPr>
        <w:t>73.3526(e)(12) of the Rules.</w:t>
      </w:r>
      <w:r w:rsidR="00EB715B">
        <w:rPr>
          <w:rStyle w:val="FootnoteReference"/>
          <w:szCs w:val="22"/>
        </w:rPr>
        <w:footnoteReference w:id="27"/>
      </w:r>
    </w:p>
    <w:p w:rsidR="003343CA" w:rsidRPr="005A77BB" w:rsidRDefault="003343CA" w:rsidP="00F23F1E">
      <w:pPr>
        <w:pStyle w:val="ParaNum"/>
        <w:rPr>
          <w:szCs w:val="22"/>
        </w:rPr>
      </w:pPr>
      <w:r w:rsidRPr="005A77BB">
        <w:rPr>
          <w:szCs w:val="22"/>
        </w:rPr>
        <w:t xml:space="preserve">Payment of the forfeiture shall be made in the manner provided for in Section 1.80 of the Rules within </w:t>
      </w:r>
      <w:r w:rsidR="00225854" w:rsidRPr="005A77BB">
        <w:rPr>
          <w:szCs w:val="22"/>
        </w:rPr>
        <w:t>thirty (30</w:t>
      </w:r>
      <w:r w:rsidRPr="005A77BB">
        <w:rPr>
          <w:szCs w:val="22"/>
        </w:rPr>
        <w:t>) calendar days after the release of this Forfeiture Order.</w:t>
      </w:r>
      <w:r w:rsidRPr="005A77BB">
        <w:rPr>
          <w:rStyle w:val="FootnoteReference"/>
          <w:sz w:val="22"/>
          <w:szCs w:val="22"/>
        </w:rPr>
        <w:footnoteReference w:id="28"/>
      </w:r>
      <w:r w:rsidRPr="005A77BB">
        <w:rPr>
          <w:szCs w:val="22"/>
        </w:rPr>
        <w:t xml:space="preserve">  If the forfeiture is not paid within the period specified, the case may be referred to the U.S. Department of Justice for enforcement of the forfeiture pursuant to Section 504(a) of the Act.</w:t>
      </w:r>
      <w:r w:rsidRPr="005A77BB">
        <w:rPr>
          <w:rStyle w:val="FootnoteReference"/>
          <w:sz w:val="22"/>
          <w:szCs w:val="22"/>
        </w:rPr>
        <w:footnoteReference w:id="29"/>
      </w:r>
      <w:r w:rsidRPr="005A77BB">
        <w:rPr>
          <w:szCs w:val="22"/>
        </w:rPr>
        <w:t xml:space="preserve">  </w:t>
      </w:r>
    </w:p>
    <w:p w:rsidR="003343CA" w:rsidRPr="005A77BB" w:rsidRDefault="00F23F1E" w:rsidP="00F23F1E">
      <w:pPr>
        <w:pStyle w:val="ParaNum"/>
        <w:rPr>
          <w:szCs w:val="22"/>
        </w:rPr>
      </w:pPr>
      <w:r w:rsidRPr="005A77BB">
        <w:rPr>
          <w:szCs w:val="22"/>
        </w:rPr>
        <w:t xml:space="preserve">Payment of the forfeiture must be made by check or similar instrument, wire transfer, or credit card, and must include the NAL/Account Number and FRN referenced above.  </w:t>
      </w:r>
      <w:r w:rsidR="00EB715B" w:rsidRPr="005A77BB">
        <w:rPr>
          <w:szCs w:val="22"/>
        </w:rPr>
        <w:t xml:space="preserve">Curran Communications, Inc. </w:t>
      </w:r>
      <w:r w:rsidRPr="005A77BB">
        <w:rPr>
          <w:szCs w:val="22"/>
        </w:rPr>
        <w:t xml:space="preserve">shall send electronic notification of payment to </w:t>
      </w:r>
      <w:r w:rsidR="006F0D65" w:rsidRPr="005A77BB">
        <w:rPr>
          <w:szCs w:val="22"/>
        </w:rPr>
        <w:t>Jennifer Burton at Jennifer.Burton</w:t>
      </w:r>
      <w:r w:rsidR="00810951" w:rsidRPr="005A77BB">
        <w:rPr>
          <w:szCs w:val="22"/>
        </w:rPr>
        <w:t xml:space="preserve">@fcc.gov and to Samantha Peoples at Sam.Peoples@fcc.gov </w:t>
      </w:r>
      <w:r w:rsidRPr="005A77BB">
        <w:rPr>
          <w:szCs w:val="22"/>
        </w:rPr>
        <w:t xml:space="preserve">on the date said payment is made.  </w:t>
      </w:r>
      <w:r w:rsidR="003343CA" w:rsidRPr="005A77BB">
        <w:rPr>
          <w:szCs w:val="22"/>
        </w:rPr>
        <w:t>Regardless of the form of payment, a completed FCC Form 159 (Remittance Advice) must be submitted.</w:t>
      </w:r>
      <w:r w:rsidR="003343CA" w:rsidRPr="005A77BB">
        <w:rPr>
          <w:rStyle w:val="FootnoteReference"/>
          <w:sz w:val="22"/>
          <w:szCs w:val="22"/>
        </w:rPr>
        <w:footnoteReference w:id="30"/>
      </w:r>
      <w:r w:rsidR="003343CA" w:rsidRPr="005A77BB">
        <w:rPr>
          <w:szCs w:val="22"/>
        </w:rPr>
        <w:t xml:space="preserve">  When completing the Form 159, enter the Account Number in block number 23A (call sign/other ID) and enter the letters “FORF” in block number 24A (payment type code).  </w:t>
      </w:r>
      <w:r w:rsidRPr="005A77BB">
        <w:rPr>
          <w:szCs w:val="22"/>
        </w:rPr>
        <w:t>Below are additional instructions that should be followed based on the form of payment selected:</w:t>
      </w:r>
    </w:p>
    <w:p w:rsidR="003343CA" w:rsidRPr="005A77BB" w:rsidRDefault="003343CA" w:rsidP="00F35F9A">
      <w:pPr>
        <w:pStyle w:val="par1"/>
        <w:numPr>
          <w:ilvl w:val="0"/>
          <w:numId w:val="4"/>
        </w:numPr>
        <w:tabs>
          <w:tab w:val="clear" w:pos="1440"/>
        </w:tabs>
        <w:spacing w:after="120"/>
        <w:rPr>
          <w:sz w:val="22"/>
          <w:szCs w:val="22"/>
        </w:rPr>
      </w:pPr>
      <w:r w:rsidRPr="005A77BB">
        <w:rPr>
          <w:sz w:val="22"/>
          <w:szCs w:val="22"/>
        </w:rPr>
        <w:t>Payment by check or money order must be made payable to the order of the Federal Communications Commission.  Such payments (along with completed Form 159) must be mailed to the Federal Communications Commission, P.O. Box 979088, St. Louis, MO 63197-9000, or sent via overnight mail to U.S. Bank – Government Lockbox #979088, SL</w:t>
      </w:r>
      <w:r w:rsidRPr="005A77BB">
        <w:rPr>
          <w:sz w:val="22"/>
          <w:szCs w:val="22"/>
        </w:rPr>
        <w:noBreakHyphen/>
        <w:t>MO-C2-GL, 1005 Convention Plaza, St. Louis, MO 63101.</w:t>
      </w:r>
    </w:p>
    <w:p w:rsidR="003343CA" w:rsidRPr="005A77BB" w:rsidRDefault="003343CA" w:rsidP="00F35F9A">
      <w:pPr>
        <w:pStyle w:val="par1"/>
        <w:numPr>
          <w:ilvl w:val="0"/>
          <w:numId w:val="4"/>
        </w:numPr>
        <w:tabs>
          <w:tab w:val="clear" w:pos="1440"/>
        </w:tabs>
        <w:spacing w:after="120"/>
        <w:rPr>
          <w:sz w:val="22"/>
          <w:szCs w:val="22"/>
        </w:rPr>
      </w:pPr>
      <w:r w:rsidRPr="005A77BB">
        <w:rPr>
          <w:sz w:val="22"/>
          <w:szCs w:val="22"/>
        </w:rPr>
        <w:t xml:space="preserve">Payment by wire transfer must be made to ABA Number 021030004, receiving bank TREAS/NYC, and Account Number 27000001.  To complete the wire transfer and </w:t>
      </w:r>
      <w:r w:rsidR="002D74C4" w:rsidRPr="005A77BB">
        <w:rPr>
          <w:sz w:val="22"/>
          <w:szCs w:val="22"/>
        </w:rPr>
        <w:t>e</w:t>
      </w:r>
      <w:r w:rsidRPr="005A77BB">
        <w:rPr>
          <w:sz w:val="22"/>
          <w:szCs w:val="22"/>
        </w:rPr>
        <w:t>nsure appropriate crediting of the wired funds, a completed Form 159 must be faxed to U.S. Bank at (314) 418-4232 on the same business day the wire transfer is initiated.</w:t>
      </w:r>
    </w:p>
    <w:p w:rsidR="003343CA" w:rsidRPr="005A77BB" w:rsidRDefault="003343CA" w:rsidP="00F35F9A">
      <w:pPr>
        <w:pStyle w:val="par1"/>
        <w:widowControl/>
        <w:numPr>
          <w:ilvl w:val="0"/>
          <w:numId w:val="4"/>
        </w:numPr>
        <w:tabs>
          <w:tab w:val="clear" w:pos="1440"/>
        </w:tabs>
        <w:spacing w:after="120"/>
        <w:ind w:left="1267"/>
        <w:rPr>
          <w:sz w:val="22"/>
          <w:szCs w:val="22"/>
        </w:rPr>
      </w:pPr>
      <w:r w:rsidRPr="005A77BB">
        <w:rPr>
          <w:sz w:val="22"/>
          <w:szCs w:val="22"/>
        </w:rPr>
        <w:t>Payment by credit card must be made by providing the required credit card information on FCC From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F23F1E" w:rsidRPr="005A77BB" w:rsidRDefault="00F23F1E" w:rsidP="00884F39">
      <w:pPr>
        <w:pStyle w:val="ParaNum"/>
        <w:rPr>
          <w:szCs w:val="22"/>
        </w:rPr>
      </w:pPr>
      <w:r w:rsidRPr="005A77BB">
        <w:rPr>
          <w:szCs w:val="22"/>
        </w:rPr>
        <w:t>Any request for making full payment over time under an installment plan should be sent to:  Chief Financial Officer – Financial Operations, Federal Communications Commission, 445 12th Street, SW, Room 1</w:t>
      </w:r>
      <w:r w:rsidRPr="005A77BB">
        <w:rPr>
          <w:szCs w:val="22"/>
        </w:rPr>
        <w:noBreakHyphen/>
        <w:t>A625, Washington, DC 20554.</w:t>
      </w:r>
      <w:r w:rsidRPr="005A77BB">
        <w:rPr>
          <w:rStyle w:val="FootnoteReference"/>
          <w:sz w:val="22"/>
          <w:szCs w:val="22"/>
        </w:rPr>
        <w:footnoteReference w:id="31"/>
      </w:r>
      <w:r w:rsidRPr="005A77BB">
        <w:rPr>
          <w:szCs w:val="22"/>
        </w:rPr>
        <w:t xml:space="preserve">  Questions regarding payment procedures should be directed to the Financial Operations Group Help Desk by telephone, 1-877-480-3201, or by e-mail, </w:t>
      </w:r>
      <w:r w:rsidR="00FC4284" w:rsidRPr="005A77BB">
        <w:rPr>
          <w:szCs w:val="22"/>
        </w:rPr>
        <w:t>ARINQUIRIES@fcc.gov</w:t>
      </w:r>
      <w:r w:rsidRPr="005A77BB">
        <w:rPr>
          <w:szCs w:val="22"/>
        </w:rPr>
        <w:t>.</w:t>
      </w:r>
    </w:p>
    <w:p w:rsidR="003343CA" w:rsidRPr="005A77BB" w:rsidRDefault="003343CA" w:rsidP="00496DB5">
      <w:pPr>
        <w:pStyle w:val="ParaNum"/>
        <w:rPr>
          <w:szCs w:val="22"/>
        </w:rPr>
      </w:pPr>
      <w:r w:rsidRPr="005A77BB">
        <w:rPr>
          <w:b/>
          <w:szCs w:val="22"/>
        </w:rPr>
        <w:t>IT IS FURTHER ORDERED</w:t>
      </w:r>
      <w:r w:rsidRPr="005A77BB">
        <w:rPr>
          <w:szCs w:val="22"/>
        </w:rPr>
        <w:t xml:space="preserve"> that a copy of this Forfeiture Order </w:t>
      </w:r>
      <w:r w:rsidR="00F23F1E" w:rsidRPr="005A77BB">
        <w:rPr>
          <w:szCs w:val="22"/>
        </w:rPr>
        <w:t xml:space="preserve">shall be sent by first class mail and certified mail, return receipt requested, to </w:t>
      </w:r>
      <w:r w:rsidR="00265AA7" w:rsidRPr="005A77BB">
        <w:rPr>
          <w:szCs w:val="22"/>
        </w:rPr>
        <w:t xml:space="preserve">James J. Curran, Jr., </w:t>
      </w:r>
      <w:r w:rsidR="005A1C44" w:rsidRPr="005A77BB">
        <w:rPr>
          <w:szCs w:val="22"/>
        </w:rPr>
        <w:t>Curran Communications, Inc., 101 North Centre Street, Suite 400, Pottsville, Pennsylvania 17901</w:t>
      </w:r>
      <w:r w:rsidR="00494549" w:rsidRPr="005A77BB">
        <w:rPr>
          <w:szCs w:val="22"/>
        </w:rPr>
        <w:t xml:space="preserve">, </w:t>
      </w:r>
      <w:r w:rsidR="00F23F1E" w:rsidRPr="005A77BB">
        <w:rPr>
          <w:szCs w:val="22"/>
        </w:rPr>
        <w:t xml:space="preserve">and to </w:t>
      </w:r>
      <w:r w:rsidR="00636931" w:rsidRPr="005A77BB">
        <w:rPr>
          <w:szCs w:val="22"/>
        </w:rPr>
        <w:t>Will</w:t>
      </w:r>
      <w:r w:rsidR="006E7F37" w:rsidRPr="005A77BB">
        <w:rPr>
          <w:szCs w:val="22"/>
        </w:rPr>
        <w:t xml:space="preserve">iam D. Silva, Esq., Counsel for Curran Communications, Inc., P.O. </w:t>
      </w:r>
      <w:r w:rsidR="00496DB5" w:rsidRPr="005A77BB">
        <w:rPr>
          <w:szCs w:val="22"/>
        </w:rPr>
        <w:t>Box 1121, S</w:t>
      </w:r>
      <w:r w:rsidR="00294DAF" w:rsidRPr="005A77BB">
        <w:rPr>
          <w:szCs w:val="22"/>
        </w:rPr>
        <w:t>t</w:t>
      </w:r>
      <w:r w:rsidR="00496DB5" w:rsidRPr="005A77BB">
        <w:rPr>
          <w:szCs w:val="22"/>
        </w:rPr>
        <w:t>evensville, M</w:t>
      </w:r>
      <w:r w:rsidR="00557BD8" w:rsidRPr="005A77BB">
        <w:rPr>
          <w:szCs w:val="22"/>
        </w:rPr>
        <w:t>aryland</w:t>
      </w:r>
      <w:r w:rsidR="00496DB5" w:rsidRPr="005A77BB">
        <w:rPr>
          <w:szCs w:val="22"/>
        </w:rPr>
        <w:t xml:space="preserve"> 21666.</w:t>
      </w:r>
    </w:p>
    <w:p w:rsidR="003343CA" w:rsidRPr="005A77BB" w:rsidRDefault="003343CA" w:rsidP="003343CA">
      <w:pPr>
        <w:rPr>
          <w:szCs w:val="22"/>
        </w:rPr>
      </w:pPr>
    </w:p>
    <w:p w:rsidR="003343CA" w:rsidRPr="005A77BB" w:rsidRDefault="003343CA" w:rsidP="003343CA">
      <w:pPr>
        <w:rPr>
          <w:szCs w:val="22"/>
        </w:rPr>
      </w:pPr>
    </w:p>
    <w:p w:rsidR="003343CA" w:rsidRPr="005A77BB" w:rsidRDefault="003343CA" w:rsidP="007D28E3">
      <w:pPr>
        <w:ind w:left="3600" w:firstLine="720"/>
        <w:rPr>
          <w:szCs w:val="22"/>
        </w:rPr>
      </w:pPr>
      <w:r w:rsidRPr="005A77BB">
        <w:rPr>
          <w:szCs w:val="22"/>
        </w:rPr>
        <w:t>FEDERAL COMMUNICATIONS COMMISSION</w:t>
      </w:r>
    </w:p>
    <w:p w:rsidR="003343CA" w:rsidRPr="005A77BB" w:rsidRDefault="003343CA" w:rsidP="007D28E3">
      <w:pPr>
        <w:rPr>
          <w:szCs w:val="22"/>
        </w:rPr>
      </w:pPr>
    </w:p>
    <w:p w:rsidR="003343CA" w:rsidRPr="005A77BB" w:rsidRDefault="003343CA" w:rsidP="0007571D">
      <w:pPr>
        <w:ind w:left="4410"/>
        <w:rPr>
          <w:szCs w:val="22"/>
        </w:rPr>
      </w:pPr>
    </w:p>
    <w:p w:rsidR="003343CA" w:rsidRPr="005A77BB" w:rsidRDefault="003343CA" w:rsidP="0007571D">
      <w:pPr>
        <w:ind w:left="4410"/>
        <w:rPr>
          <w:szCs w:val="22"/>
        </w:rPr>
      </w:pPr>
    </w:p>
    <w:p w:rsidR="007D28E3" w:rsidRPr="005A77BB" w:rsidRDefault="000C2556" w:rsidP="000C2556">
      <w:pPr>
        <w:tabs>
          <w:tab w:val="left" w:pos="0"/>
        </w:tabs>
        <w:suppressAutoHyphens/>
        <w:spacing w:line="240" w:lineRule="atLeast"/>
        <w:rPr>
          <w:szCs w:val="22"/>
        </w:rPr>
      </w:pPr>
      <w:r w:rsidRPr="005A77BB">
        <w:rPr>
          <w:szCs w:val="22"/>
        </w:rPr>
        <w:tab/>
      </w:r>
      <w:r w:rsidRPr="005A77BB">
        <w:rPr>
          <w:szCs w:val="22"/>
        </w:rPr>
        <w:tab/>
      </w:r>
      <w:r w:rsidRPr="005A77BB">
        <w:rPr>
          <w:szCs w:val="22"/>
        </w:rPr>
        <w:tab/>
      </w:r>
      <w:r w:rsidRPr="005A77BB">
        <w:rPr>
          <w:szCs w:val="22"/>
        </w:rPr>
        <w:tab/>
      </w:r>
      <w:r w:rsidRPr="005A77BB">
        <w:rPr>
          <w:szCs w:val="22"/>
        </w:rPr>
        <w:tab/>
      </w:r>
      <w:r w:rsidRPr="005A77BB">
        <w:rPr>
          <w:szCs w:val="22"/>
        </w:rPr>
        <w:tab/>
      </w:r>
    </w:p>
    <w:p w:rsidR="000C2556" w:rsidRPr="005A77BB" w:rsidRDefault="007D28E3" w:rsidP="000C2556">
      <w:pPr>
        <w:tabs>
          <w:tab w:val="left" w:pos="0"/>
        </w:tabs>
        <w:suppressAutoHyphens/>
        <w:spacing w:line="240" w:lineRule="atLeast"/>
        <w:rPr>
          <w:szCs w:val="22"/>
        </w:rPr>
      </w:pPr>
      <w:r w:rsidRPr="005A77BB">
        <w:rPr>
          <w:szCs w:val="22"/>
        </w:rPr>
        <w:tab/>
      </w:r>
      <w:r w:rsidRPr="005A77BB">
        <w:rPr>
          <w:szCs w:val="22"/>
        </w:rPr>
        <w:tab/>
      </w:r>
      <w:r w:rsidRPr="005A77BB">
        <w:rPr>
          <w:szCs w:val="22"/>
        </w:rPr>
        <w:tab/>
      </w:r>
      <w:r w:rsidRPr="005A77BB">
        <w:rPr>
          <w:szCs w:val="22"/>
        </w:rPr>
        <w:tab/>
      </w:r>
      <w:r w:rsidRPr="005A77BB">
        <w:rPr>
          <w:szCs w:val="22"/>
        </w:rPr>
        <w:tab/>
      </w:r>
      <w:r w:rsidRPr="005A77BB">
        <w:rPr>
          <w:szCs w:val="22"/>
        </w:rPr>
        <w:tab/>
      </w:r>
      <w:r w:rsidR="000C2556" w:rsidRPr="005A77BB">
        <w:rPr>
          <w:szCs w:val="22"/>
        </w:rPr>
        <w:t>Travis LeBlanc</w:t>
      </w:r>
    </w:p>
    <w:p w:rsidR="007D28E3" w:rsidRPr="005A77BB" w:rsidRDefault="007D28E3" w:rsidP="007D28E3">
      <w:pPr>
        <w:ind w:left="3600" w:firstLine="720"/>
        <w:rPr>
          <w:szCs w:val="22"/>
        </w:rPr>
      </w:pPr>
      <w:r w:rsidRPr="005A77BB">
        <w:rPr>
          <w:szCs w:val="22"/>
        </w:rPr>
        <w:t>Chief</w:t>
      </w:r>
    </w:p>
    <w:p w:rsidR="000C2556" w:rsidRPr="005A77BB" w:rsidRDefault="000C2556" w:rsidP="007D28E3">
      <w:pPr>
        <w:ind w:left="3600" w:firstLine="720"/>
        <w:rPr>
          <w:szCs w:val="22"/>
        </w:rPr>
      </w:pPr>
      <w:r w:rsidRPr="005A77BB">
        <w:rPr>
          <w:szCs w:val="22"/>
        </w:rPr>
        <w:t>Enforcement Bureau</w:t>
      </w:r>
    </w:p>
    <w:p w:rsidR="00E273E3" w:rsidRPr="005A77BB" w:rsidRDefault="00E273E3" w:rsidP="003343CA">
      <w:pPr>
        <w:pStyle w:val="ParaNum"/>
        <w:numPr>
          <w:ilvl w:val="0"/>
          <w:numId w:val="0"/>
        </w:numPr>
        <w:ind w:left="720"/>
        <w:rPr>
          <w:szCs w:val="22"/>
        </w:rPr>
      </w:pPr>
    </w:p>
    <w:sectPr w:rsidR="00E273E3" w:rsidRPr="005A77BB" w:rsidSect="00D417D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9E3" w:rsidRDefault="004569E3">
      <w:pPr>
        <w:spacing w:line="20" w:lineRule="exact"/>
      </w:pPr>
    </w:p>
  </w:endnote>
  <w:endnote w:type="continuationSeparator" w:id="0">
    <w:p w:rsidR="004569E3" w:rsidRDefault="004569E3">
      <w:r>
        <w:t xml:space="preserve"> </w:t>
      </w:r>
    </w:p>
  </w:endnote>
  <w:endnote w:type="continuationNotice" w:id="1">
    <w:p w:rsidR="004569E3" w:rsidRDefault="004569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E3" w:rsidRDefault="00E273E3">
    <w:pPr>
      <w:pStyle w:val="Footer"/>
      <w:framePr w:wrap="around" w:vAnchor="text" w:hAnchor="margin" w:xAlign="center" w:y="1"/>
    </w:pPr>
    <w:r>
      <w:fldChar w:fldCharType="begin"/>
    </w:r>
    <w:r>
      <w:instrText xml:space="preserve">PAGE  </w:instrText>
    </w:r>
    <w:r>
      <w:fldChar w:fldCharType="end"/>
    </w:r>
  </w:p>
  <w:p w:rsidR="00E273E3" w:rsidRDefault="00E27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E3" w:rsidRDefault="00EE194C">
    <w:pPr>
      <w:pStyle w:val="Footer"/>
      <w:framePr w:wrap="around" w:vAnchor="text" w:hAnchor="margin" w:xAlign="center" w:y="1"/>
    </w:pPr>
    <w:r>
      <w:fldChar w:fldCharType="begin"/>
    </w:r>
    <w:r>
      <w:instrText xml:space="preserve">PAGE  </w:instrText>
    </w:r>
    <w:r>
      <w:fldChar w:fldCharType="separate"/>
    </w:r>
    <w:r w:rsidR="00165708">
      <w:rPr>
        <w:noProof/>
      </w:rPr>
      <w:t>2</w:t>
    </w:r>
    <w:r>
      <w:rPr>
        <w:noProof/>
      </w:rPr>
      <w:fldChar w:fldCharType="end"/>
    </w:r>
  </w:p>
  <w:p w:rsidR="00E273E3" w:rsidRDefault="00E273E3">
    <w:pPr>
      <w:spacing w:before="140" w:line="1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88A" w:rsidRDefault="00D76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9E3" w:rsidRDefault="004569E3">
      <w:r>
        <w:separator/>
      </w:r>
    </w:p>
  </w:footnote>
  <w:footnote w:type="continuationSeparator" w:id="0">
    <w:p w:rsidR="004569E3" w:rsidRDefault="004569E3">
      <w:pPr>
        <w:rPr>
          <w:sz w:val="20"/>
        </w:rPr>
      </w:pPr>
      <w:r>
        <w:rPr>
          <w:sz w:val="20"/>
        </w:rPr>
        <w:t xml:space="preserve">(Continued from previous page)  </w:t>
      </w:r>
      <w:r>
        <w:rPr>
          <w:sz w:val="20"/>
        </w:rPr>
        <w:separator/>
      </w:r>
    </w:p>
  </w:footnote>
  <w:footnote w:type="continuationNotice" w:id="1">
    <w:p w:rsidR="004569E3" w:rsidRDefault="004569E3">
      <w:pPr>
        <w:rPr>
          <w:sz w:val="20"/>
        </w:rPr>
      </w:pPr>
      <w:r>
        <w:rPr>
          <w:sz w:val="20"/>
        </w:rPr>
        <w:t>(continued….)</w:t>
      </w:r>
    </w:p>
  </w:footnote>
  <w:footnote w:id="2">
    <w:p w:rsidR="007538AF" w:rsidRPr="00D91DA3" w:rsidRDefault="007538AF" w:rsidP="004D441B">
      <w:pPr>
        <w:pStyle w:val="FootnoteText"/>
      </w:pPr>
      <w:r w:rsidRPr="00D91DA3">
        <w:rPr>
          <w:rStyle w:val="FootnoteReference"/>
        </w:rPr>
        <w:footnoteRef/>
      </w:r>
      <w:r w:rsidRPr="00D91DA3">
        <w:t xml:space="preserve"> The investigation began under </w:t>
      </w:r>
      <w:r w:rsidRPr="00D91DA3">
        <w:rPr>
          <w:spacing w:val="-2"/>
        </w:rPr>
        <w:t>EB-11-PA-0156</w:t>
      </w:r>
      <w:r w:rsidRPr="00D91DA3">
        <w:t xml:space="preserve"> </w:t>
      </w:r>
      <w:r w:rsidRPr="00D91DA3">
        <w:rPr>
          <w:spacing w:val="-2"/>
        </w:rPr>
        <w:t xml:space="preserve">and was subsequently assigned </w:t>
      </w:r>
      <w:r w:rsidRPr="00D91DA3">
        <w:t xml:space="preserve">File No. EB-FIELDNER-12-00004491.  Any future correspondence with the Commission concerning this matter should reflect the new case number. </w:t>
      </w:r>
    </w:p>
  </w:footnote>
  <w:footnote w:id="3">
    <w:p w:rsidR="00F35F9A" w:rsidRPr="00C22265" w:rsidRDefault="00F35F9A" w:rsidP="004D441B">
      <w:pPr>
        <w:pStyle w:val="FootnoteText"/>
        <w:rPr>
          <w:i/>
        </w:rPr>
      </w:pPr>
      <w:r w:rsidRPr="00D91DA3">
        <w:rPr>
          <w:rStyle w:val="FootnoteReference"/>
        </w:rPr>
        <w:footnoteRef/>
      </w:r>
      <w:r w:rsidRPr="00D91DA3">
        <w:t xml:space="preserve"> </w:t>
      </w:r>
      <w:r w:rsidR="00C22265">
        <w:rPr>
          <w:i/>
        </w:rPr>
        <w:t>Curran Commc’ns</w:t>
      </w:r>
      <w:r w:rsidR="004F1C4F">
        <w:rPr>
          <w:i/>
        </w:rPr>
        <w:t>, Inc.</w:t>
      </w:r>
      <w:r w:rsidR="00C22265">
        <w:t>, Notice of Apparent Liability for Forfeiture and Order, 27 FCC Rcd 1541, 1541, para. 2 (Enf. Bur. 2012) (</w:t>
      </w:r>
      <w:r w:rsidR="00C22265">
        <w:rPr>
          <w:i/>
        </w:rPr>
        <w:t>NAL</w:t>
      </w:r>
      <w:r w:rsidR="00C22265">
        <w:t xml:space="preserve">).  Specifically, the public file </w:t>
      </w:r>
      <w:r w:rsidR="00C22265" w:rsidRPr="001D5987">
        <w:t>was missing 20 quarters of issues/programs lists</w:t>
      </w:r>
      <w:r w:rsidR="00C22265">
        <w:t xml:space="preserve">.  </w:t>
      </w:r>
      <w:r w:rsidR="00C22265">
        <w:rPr>
          <w:i/>
        </w:rPr>
        <w:t xml:space="preserve">Id.  </w:t>
      </w:r>
      <w:r w:rsidR="00183435" w:rsidRPr="00D91DA3">
        <w:rPr>
          <w:iCs/>
        </w:rPr>
        <w:t xml:space="preserve">The </w:t>
      </w:r>
      <w:r w:rsidR="00183435" w:rsidRPr="00D91DA3">
        <w:rPr>
          <w:i/>
          <w:iCs/>
        </w:rPr>
        <w:t>NAL</w:t>
      </w:r>
      <w:r w:rsidR="00183435" w:rsidRPr="00D91DA3">
        <w:rPr>
          <w:iCs/>
        </w:rPr>
        <w:t xml:space="preserve"> includes a more complete discussion of the facts and history of this case and is incorporated herein by reference.</w:t>
      </w:r>
    </w:p>
  </w:footnote>
  <w:footnote w:id="4">
    <w:p w:rsidR="00CE5915" w:rsidRPr="00D91DA3" w:rsidRDefault="00CE5915" w:rsidP="004D441B">
      <w:pPr>
        <w:pStyle w:val="FootnoteText"/>
      </w:pPr>
      <w:r w:rsidRPr="00D91DA3">
        <w:rPr>
          <w:rStyle w:val="FootnoteReference"/>
        </w:rPr>
        <w:footnoteRef/>
      </w:r>
      <w:r w:rsidRPr="00D91DA3">
        <w:t xml:space="preserve"> </w:t>
      </w:r>
      <w:r w:rsidRPr="00D91DA3">
        <w:rPr>
          <w:i/>
        </w:rPr>
        <w:t xml:space="preserve">See </w:t>
      </w:r>
      <w:r w:rsidR="004F1C4F">
        <w:rPr>
          <w:i/>
        </w:rPr>
        <w:t>id</w:t>
      </w:r>
      <w:r w:rsidR="004F1C4F">
        <w:t xml:space="preserve"> </w:t>
      </w:r>
      <w:r w:rsidR="00DA23BF">
        <w:t xml:space="preserve">at </w:t>
      </w:r>
      <w:r w:rsidR="005B2A75">
        <w:t>1543</w:t>
      </w:r>
      <w:r w:rsidR="00431688" w:rsidRPr="00D91DA3">
        <w:t>, para.</w:t>
      </w:r>
      <w:r w:rsidR="00966545">
        <w:t xml:space="preserve"> </w:t>
      </w:r>
      <w:r w:rsidR="004F1C4F">
        <w:t xml:space="preserve">7; </w:t>
      </w:r>
      <w:r w:rsidR="004F1C4F" w:rsidRPr="00D91DA3">
        <w:t>47 C.F.R. § 73.3526(e)(12).</w:t>
      </w:r>
    </w:p>
  </w:footnote>
  <w:footnote w:id="5">
    <w:p w:rsidR="00EB25CF" w:rsidRPr="00D91DA3" w:rsidRDefault="00EB25CF" w:rsidP="004D441B">
      <w:pPr>
        <w:pStyle w:val="FootnoteText"/>
      </w:pPr>
      <w:r w:rsidRPr="00D91DA3">
        <w:rPr>
          <w:rStyle w:val="FootnoteReference"/>
        </w:rPr>
        <w:footnoteRef/>
      </w:r>
      <w:r w:rsidRPr="00D91DA3">
        <w:t xml:space="preserve"> </w:t>
      </w:r>
      <w:r w:rsidRPr="00D91DA3">
        <w:rPr>
          <w:i/>
        </w:rPr>
        <w:t>See</w:t>
      </w:r>
      <w:r w:rsidRPr="00D91DA3">
        <w:t xml:space="preserve"> </w:t>
      </w:r>
      <w:r w:rsidR="002466F8" w:rsidRPr="00D91DA3">
        <w:t>Curran Communications</w:t>
      </w:r>
      <w:r w:rsidR="006135AE" w:rsidRPr="00D91DA3">
        <w:t>, Inc.</w:t>
      </w:r>
      <w:r w:rsidR="004F1C4F">
        <w:t>,</w:t>
      </w:r>
      <w:r w:rsidR="002466F8" w:rsidRPr="00D91DA3">
        <w:t xml:space="preserve"> </w:t>
      </w:r>
      <w:r w:rsidRPr="00D91DA3">
        <w:t xml:space="preserve">Response to Notice of Apparent Liability </w:t>
      </w:r>
      <w:r w:rsidR="00760EC0" w:rsidRPr="00D91DA3">
        <w:t xml:space="preserve">for Forfeiture </w:t>
      </w:r>
      <w:r w:rsidR="002466F8" w:rsidRPr="00D91DA3">
        <w:t>Order and Statement Seeking Reduction or Cancellation of the Proposed Forfeiture</w:t>
      </w:r>
      <w:r w:rsidRPr="00D91DA3">
        <w:t xml:space="preserve"> (</w:t>
      </w:r>
      <w:r w:rsidR="00C170E0" w:rsidRPr="00D91DA3">
        <w:t>Mar. 22, 2012</w:t>
      </w:r>
      <w:r w:rsidRPr="00D91DA3">
        <w:t>) (on file in</w:t>
      </w:r>
      <w:r w:rsidR="00585ABB" w:rsidRPr="00D91DA3">
        <w:t xml:space="preserve"> </w:t>
      </w:r>
      <w:r w:rsidR="006135AE" w:rsidRPr="00D91DA3">
        <w:t>EB-FIELDNER-12-00004491</w:t>
      </w:r>
      <w:r w:rsidRPr="00D91DA3">
        <w:t>)</w:t>
      </w:r>
      <w:r w:rsidR="00510DF9">
        <w:t xml:space="preserve"> </w:t>
      </w:r>
      <w:r w:rsidRPr="00D91DA3">
        <w:t>(</w:t>
      </w:r>
      <w:r w:rsidRPr="004F1C4F">
        <w:rPr>
          <w:i/>
        </w:rPr>
        <w:t>NAL Response</w:t>
      </w:r>
      <w:r w:rsidRPr="00D91DA3">
        <w:t>).</w:t>
      </w:r>
    </w:p>
  </w:footnote>
  <w:footnote w:id="6">
    <w:p w:rsidR="00DA4947" w:rsidRPr="00D91DA3" w:rsidRDefault="00DA4947" w:rsidP="004D441B">
      <w:pPr>
        <w:pStyle w:val="FootnoteText"/>
      </w:pPr>
      <w:r w:rsidRPr="00D91DA3">
        <w:rPr>
          <w:rStyle w:val="FootnoteReference"/>
        </w:rPr>
        <w:footnoteRef/>
      </w:r>
      <w:r w:rsidRPr="00D91DA3">
        <w:t xml:space="preserve"> </w:t>
      </w:r>
      <w:r w:rsidRPr="00D91DA3">
        <w:rPr>
          <w:i/>
        </w:rPr>
        <w:t xml:space="preserve">See </w:t>
      </w:r>
      <w:r w:rsidR="00352445">
        <w:rPr>
          <w:i/>
        </w:rPr>
        <w:t>id.</w:t>
      </w:r>
      <w:r w:rsidR="004F1C4F">
        <w:t xml:space="preserve"> at 1, Exhibit A </w:t>
      </w:r>
      <w:r w:rsidR="001E73C3" w:rsidRPr="00D91DA3">
        <w:t xml:space="preserve">at </w:t>
      </w:r>
      <w:r w:rsidR="00FA33A5" w:rsidRPr="00D91DA3">
        <w:t>3.</w:t>
      </w:r>
    </w:p>
  </w:footnote>
  <w:footnote w:id="7">
    <w:p w:rsidR="00DA4947" w:rsidRPr="00D91DA3" w:rsidRDefault="00DA4947" w:rsidP="004D441B">
      <w:pPr>
        <w:pStyle w:val="FootnoteText"/>
      </w:pPr>
      <w:r w:rsidRPr="00D91DA3">
        <w:rPr>
          <w:rStyle w:val="FootnoteReference"/>
        </w:rPr>
        <w:footnoteRef/>
      </w:r>
      <w:r w:rsidRPr="00D91DA3">
        <w:t xml:space="preserve"> </w:t>
      </w:r>
      <w:r w:rsidRPr="00D91DA3">
        <w:rPr>
          <w:i/>
        </w:rPr>
        <w:t>See</w:t>
      </w:r>
      <w:r w:rsidR="00154523" w:rsidRPr="00D91DA3">
        <w:rPr>
          <w:i/>
        </w:rPr>
        <w:t xml:space="preserve"> id.</w:t>
      </w:r>
      <w:r w:rsidR="00154523" w:rsidRPr="00D91DA3">
        <w:t xml:space="preserve"> </w:t>
      </w:r>
      <w:r w:rsidRPr="00D91DA3">
        <w:t>at 2.</w:t>
      </w:r>
    </w:p>
  </w:footnote>
  <w:footnote w:id="8">
    <w:p w:rsidR="00FA33A5" w:rsidRPr="00D91DA3" w:rsidRDefault="00FA33A5" w:rsidP="004D441B">
      <w:pPr>
        <w:pStyle w:val="FootnoteText"/>
      </w:pPr>
      <w:r w:rsidRPr="00D91DA3">
        <w:rPr>
          <w:rStyle w:val="FootnoteReference"/>
        </w:rPr>
        <w:footnoteRef/>
      </w:r>
      <w:r w:rsidRPr="00D91DA3">
        <w:t xml:space="preserve"> </w:t>
      </w:r>
      <w:r w:rsidR="00C84174">
        <w:rPr>
          <w:i/>
        </w:rPr>
        <w:t>See i</w:t>
      </w:r>
      <w:r w:rsidR="00154523" w:rsidRPr="00D91DA3">
        <w:rPr>
          <w:i/>
        </w:rPr>
        <w:t xml:space="preserve">d. </w:t>
      </w:r>
      <w:r w:rsidR="001F4AE7">
        <w:t>at 2–</w:t>
      </w:r>
      <w:r w:rsidR="00154523" w:rsidRPr="00D91DA3">
        <w:t>3.</w:t>
      </w:r>
      <w:r w:rsidR="001F4AE7">
        <w:t xml:space="preserve">  </w:t>
      </w:r>
      <w:r w:rsidR="001F4AE7" w:rsidRPr="00D91DA3">
        <w:t xml:space="preserve">Curran </w:t>
      </w:r>
      <w:r w:rsidR="001F4AE7">
        <w:t xml:space="preserve">initially </w:t>
      </w:r>
      <w:r w:rsidR="003368AE">
        <w:t>submitted a 2011 income s</w:t>
      </w:r>
      <w:r w:rsidR="001F4AE7" w:rsidRPr="00D91DA3">
        <w:t xml:space="preserve">tatement with the </w:t>
      </w:r>
      <w:r w:rsidR="001F4AE7" w:rsidRPr="001F4AE7">
        <w:rPr>
          <w:i/>
        </w:rPr>
        <w:t>NAL Response</w:t>
      </w:r>
      <w:r w:rsidR="001F4AE7">
        <w:t>.  I</w:t>
      </w:r>
      <w:r w:rsidR="001F4AE7" w:rsidRPr="00D91DA3">
        <w:t xml:space="preserve">n response to </w:t>
      </w:r>
      <w:r w:rsidR="001F4AE7">
        <w:t xml:space="preserve">a subsequent Bureau </w:t>
      </w:r>
      <w:r w:rsidR="001F4AE7" w:rsidRPr="00D91DA3">
        <w:t>request for information concerning the Station’s current fina</w:t>
      </w:r>
      <w:r w:rsidR="003368AE">
        <w:t>ncial status, Curran submitted income s</w:t>
      </w:r>
      <w:r w:rsidR="001F4AE7" w:rsidRPr="00D91DA3">
        <w:t xml:space="preserve">tatements for 2012 and 2013.  </w:t>
      </w:r>
      <w:r w:rsidR="001F4AE7" w:rsidRPr="00D91DA3">
        <w:rPr>
          <w:i/>
        </w:rPr>
        <w:t xml:space="preserve">See </w:t>
      </w:r>
      <w:r w:rsidR="001F4AE7" w:rsidRPr="00D91DA3">
        <w:t xml:space="preserve">Letter from William D. Silva, Esq., counsel for Curran Communications, Inc., to Sharon Webber, </w:t>
      </w:r>
      <w:r w:rsidR="001F4AE7">
        <w:t xml:space="preserve">Regional Counsel, Northeast Region, </w:t>
      </w:r>
      <w:r w:rsidR="001F4AE7" w:rsidRPr="00D91DA3">
        <w:t>Enforcement Bureau (Feb. 18, 2014)</w:t>
      </w:r>
      <w:r w:rsidR="001F4AE7">
        <w:t xml:space="preserve"> (Financial Supplement)</w:t>
      </w:r>
      <w:r w:rsidR="001F4AE7" w:rsidRPr="00D91DA3">
        <w:t>.</w:t>
      </w:r>
    </w:p>
  </w:footnote>
  <w:footnote w:id="9">
    <w:p w:rsidR="00E273E3" w:rsidRPr="00D91DA3" w:rsidRDefault="00E273E3" w:rsidP="004D441B">
      <w:pPr>
        <w:pStyle w:val="FootnoteText"/>
      </w:pPr>
      <w:r w:rsidRPr="00D91DA3">
        <w:rPr>
          <w:rStyle w:val="FootnoteReference"/>
        </w:rPr>
        <w:footnoteRef/>
      </w:r>
      <w:r w:rsidRPr="00D91DA3">
        <w:t xml:space="preserve"> 47 U.S.C. § 503(b).</w:t>
      </w:r>
    </w:p>
  </w:footnote>
  <w:footnote w:id="10">
    <w:p w:rsidR="00E273E3" w:rsidRPr="00D91DA3" w:rsidRDefault="00E273E3" w:rsidP="004D441B">
      <w:pPr>
        <w:pStyle w:val="FootnoteText"/>
      </w:pPr>
      <w:r w:rsidRPr="00D91DA3">
        <w:rPr>
          <w:rStyle w:val="FootnoteReference"/>
        </w:rPr>
        <w:footnoteRef/>
      </w:r>
      <w:r w:rsidRPr="00D91DA3">
        <w:t xml:space="preserve"> 47 C.F.R. § 1.80.</w:t>
      </w:r>
    </w:p>
  </w:footnote>
  <w:footnote w:id="11">
    <w:p w:rsidR="00E273E3" w:rsidRPr="00D91DA3" w:rsidRDefault="00E273E3" w:rsidP="004D441B">
      <w:pPr>
        <w:pStyle w:val="FootnoteText"/>
      </w:pPr>
      <w:r w:rsidRPr="00D91DA3">
        <w:rPr>
          <w:rStyle w:val="FootnoteReference"/>
        </w:rPr>
        <w:footnoteRef/>
      </w:r>
      <w:r w:rsidRPr="00D91DA3">
        <w:rPr>
          <w:i/>
        </w:rPr>
        <w:t xml:space="preserve"> The Commission’s Forfeiture Policy Statement and Amendment of Section 1.80 of the Rules to Incorporate the Forfeiture Guidelines</w:t>
      </w:r>
      <w:r w:rsidRPr="00D91DA3">
        <w:t>, Report and Order, 12 FCC Rcd 17087 (1997) (</w:t>
      </w:r>
      <w:r w:rsidRPr="00D91DA3">
        <w:rPr>
          <w:i/>
        </w:rPr>
        <w:t>Forfeiture Policy Statement</w:t>
      </w:r>
      <w:r w:rsidRPr="00D91DA3">
        <w:t xml:space="preserve">), </w:t>
      </w:r>
      <w:r w:rsidRPr="00D91DA3">
        <w:rPr>
          <w:i/>
        </w:rPr>
        <w:t>recons. denied</w:t>
      </w:r>
      <w:r w:rsidRPr="00D91DA3">
        <w:t xml:space="preserve">, Memorandum Opinion and Order, 15 FCC Rcd 303 (1999). </w:t>
      </w:r>
    </w:p>
  </w:footnote>
  <w:footnote w:id="12">
    <w:p w:rsidR="00E273E3" w:rsidRPr="00D91DA3" w:rsidRDefault="00E273E3" w:rsidP="004D441B">
      <w:pPr>
        <w:pStyle w:val="FootnoteText"/>
      </w:pPr>
      <w:r w:rsidRPr="00D91DA3">
        <w:rPr>
          <w:rStyle w:val="FootnoteReference"/>
        </w:rPr>
        <w:footnoteRef/>
      </w:r>
      <w:r w:rsidRPr="00D91DA3">
        <w:t xml:space="preserve"> 47 U.S.C. § 503(b)(2)(E).</w:t>
      </w:r>
    </w:p>
  </w:footnote>
  <w:footnote w:id="13">
    <w:p w:rsidR="00714A06" w:rsidRPr="00D91DA3" w:rsidRDefault="00714A06" w:rsidP="004D441B">
      <w:pPr>
        <w:pStyle w:val="FootnoteText"/>
      </w:pPr>
      <w:r w:rsidRPr="00D91DA3">
        <w:rPr>
          <w:rStyle w:val="FootnoteReference"/>
        </w:rPr>
        <w:footnoteRef/>
      </w:r>
      <w:r w:rsidRPr="00D91DA3">
        <w:t xml:space="preserve"> </w:t>
      </w:r>
      <w:r w:rsidRPr="00D91DA3">
        <w:rPr>
          <w:i/>
        </w:rPr>
        <w:t>Se</w:t>
      </w:r>
      <w:r w:rsidR="00987F12" w:rsidRPr="00D91DA3">
        <w:rPr>
          <w:i/>
        </w:rPr>
        <w:t xml:space="preserve">e </w:t>
      </w:r>
      <w:r w:rsidR="005A77BB" w:rsidRPr="00352445">
        <w:rPr>
          <w:i/>
        </w:rPr>
        <w:t>NAL Response</w:t>
      </w:r>
      <w:r w:rsidR="005A77BB">
        <w:t xml:space="preserve"> at 1, Exhibit A </w:t>
      </w:r>
      <w:r w:rsidR="005A77BB" w:rsidRPr="00D91DA3">
        <w:t>at 3.</w:t>
      </w:r>
    </w:p>
  </w:footnote>
  <w:footnote w:id="14">
    <w:p w:rsidR="00AB431A" w:rsidRPr="00D91DA3" w:rsidRDefault="00AB431A" w:rsidP="004D441B">
      <w:pPr>
        <w:pStyle w:val="FootnoteText"/>
      </w:pPr>
      <w:r w:rsidRPr="00D91DA3">
        <w:rPr>
          <w:rStyle w:val="FootnoteReference"/>
        </w:rPr>
        <w:footnoteRef/>
      </w:r>
      <w:r w:rsidRPr="00D91DA3">
        <w:t xml:space="preserve"> </w:t>
      </w:r>
      <w:r w:rsidRPr="00D91DA3">
        <w:rPr>
          <w:i/>
        </w:rPr>
        <w:t>See, e.g.</w:t>
      </w:r>
      <w:r w:rsidRPr="00D91DA3">
        <w:t xml:space="preserve">, </w:t>
      </w:r>
      <w:r w:rsidRPr="00D91DA3">
        <w:rPr>
          <w:rStyle w:val="Emphasis"/>
        </w:rPr>
        <w:t>Sutro Corp.</w:t>
      </w:r>
      <w:r w:rsidRPr="00D91DA3">
        <w:t xml:space="preserve">, Memorandum Opinion and Order, 19 FCC Rcd 15274, 15277, para. 10 (2004) (stating that the Commission will generally reduce a forfeiture “based on the good faith corrective efforts of a violator when those corrective efforts were taken prior to Commission notification of the violation”); </w:t>
      </w:r>
      <w:r w:rsidRPr="00D91DA3">
        <w:rPr>
          <w:i/>
        </w:rPr>
        <w:t>Catholic Radio Network of Loveland, Inc.</w:t>
      </w:r>
      <w:r w:rsidRPr="00D91DA3">
        <w:t xml:space="preserve">, Forfeiture Order, 29 FCC Rcd 121, 122–23, para. 5 (Enf. Bur. 2014) (“The Commission will generally reduce an assessed forfeiture based on the good faith corrective efforts of a violator when those corrective efforts were taken </w:t>
      </w:r>
      <w:r w:rsidRPr="00D91DA3">
        <w:rPr>
          <w:rStyle w:val="Emphasis"/>
        </w:rPr>
        <w:t>prior</w:t>
      </w:r>
      <w:r w:rsidRPr="00D91DA3">
        <w:t xml:space="preserve"> to Commission notification of the violation.”) (emphasis in original); </w:t>
      </w:r>
      <w:r w:rsidRPr="00D91DA3">
        <w:rPr>
          <w:i/>
        </w:rPr>
        <w:t>Argos Net, Inc.</w:t>
      </w:r>
      <w:r w:rsidRPr="00D91DA3">
        <w:t xml:space="preserve">, Forfeiture Order, 28 FCC Rcd 1126, 1127, para. 4 (Enf. Bur. 2013) (“[C]orrective action taken after notification or inspection by the Commission does not mitigate the violation . . . .”).  </w:t>
      </w:r>
    </w:p>
  </w:footnote>
  <w:footnote w:id="15">
    <w:p w:rsidR="00AB431A" w:rsidRPr="00D91DA3" w:rsidRDefault="00AB431A" w:rsidP="004D441B">
      <w:pPr>
        <w:pStyle w:val="FootnoteText"/>
      </w:pPr>
      <w:r w:rsidRPr="00D91DA3">
        <w:rPr>
          <w:rStyle w:val="FootnoteReference"/>
        </w:rPr>
        <w:footnoteRef/>
      </w:r>
      <w:r w:rsidRPr="00D91DA3">
        <w:t xml:space="preserve"> </w:t>
      </w:r>
      <w:r w:rsidRPr="00D91DA3">
        <w:rPr>
          <w:i/>
          <w:iCs/>
        </w:rPr>
        <w:t>See, e.g.</w:t>
      </w:r>
      <w:r w:rsidRPr="00D91DA3">
        <w:t>,</w:t>
      </w:r>
      <w:r w:rsidRPr="00D91DA3">
        <w:rPr>
          <w:i/>
          <w:iCs/>
        </w:rPr>
        <w:t xml:space="preserve"> Seawest Yacht Brokers</w:t>
      </w:r>
      <w:r w:rsidRPr="00D91DA3">
        <w:rPr>
          <w:iCs/>
        </w:rPr>
        <w:t xml:space="preserve">, </w:t>
      </w:r>
      <w:r w:rsidRPr="00D91DA3">
        <w:t>Notice of Forfeiture</w:t>
      </w:r>
      <w:r w:rsidRPr="00D91DA3">
        <w:rPr>
          <w:iCs/>
        </w:rPr>
        <w:t xml:space="preserve">, 9 FCC Rcd 6099, 6099, para. 7 (1994) </w:t>
      </w:r>
      <w:r w:rsidRPr="00D91DA3">
        <w:t>(</w:t>
      </w:r>
      <w:r w:rsidRPr="00D91DA3">
        <w:rPr>
          <w:iCs/>
        </w:rPr>
        <w:t>citations omitted)</w:t>
      </w:r>
      <w:r w:rsidRPr="00D91DA3">
        <w:t xml:space="preserve">; </w:t>
      </w:r>
      <w:r w:rsidRPr="00D91DA3">
        <w:rPr>
          <w:i/>
          <w:iCs/>
        </w:rPr>
        <w:t>Exec. Broad. Corp.</w:t>
      </w:r>
      <w:r w:rsidRPr="00D91DA3">
        <w:t>, 3 FCC 2d 699, 700, para. 6 (1966) (“The fact that prompt corrective action was taken . . . does not excuse the prior violations.”).</w:t>
      </w:r>
    </w:p>
  </w:footnote>
  <w:footnote w:id="16">
    <w:p w:rsidR="00585C77" w:rsidRPr="00D91DA3" w:rsidRDefault="00585C77" w:rsidP="004D441B">
      <w:pPr>
        <w:pStyle w:val="FootnoteText"/>
      </w:pPr>
      <w:r w:rsidRPr="00D91DA3">
        <w:rPr>
          <w:rStyle w:val="FootnoteReference"/>
        </w:rPr>
        <w:footnoteRef/>
      </w:r>
      <w:r w:rsidRPr="00D91DA3">
        <w:t xml:space="preserve"> </w:t>
      </w:r>
      <w:r w:rsidRPr="00D91DA3">
        <w:rPr>
          <w:i/>
        </w:rPr>
        <w:t>See</w:t>
      </w:r>
      <w:r>
        <w:rPr>
          <w:i/>
        </w:rPr>
        <w:t xml:space="preserve"> </w:t>
      </w:r>
      <w:r w:rsidRPr="00352445">
        <w:rPr>
          <w:i/>
        </w:rPr>
        <w:t>NAL Response</w:t>
      </w:r>
      <w:r w:rsidRPr="00D91DA3">
        <w:t xml:space="preserve"> at 2.</w:t>
      </w:r>
    </w:p>
  </w:footnote>
  <w:footnote w:id="17">
    <w:p w:rsidR="00411BA6" w:rsidRDefault="00411BA6" w:rsidP="004D441B">
      <w:pPr>
        <w:pStyle w:val="FootnoteText"/>
      </w:pPr>
      <w:r>
        <w:rPr>
          <w:rStyle w:val="FootnoteReference"/>
        </w:rPr>
        <w:footnoteRef/>
      </w:r>
      <w:r>
        <w:t xml:space="preserve"> </w:t>
      </w:r>
      <w:r w:rsidR="00E371A6">
        <w:rPr>
          <w:i/>
        </w:rPr>
        <w:t>See, e.g.</w:t>
      </w:r>
      <w:r w:rsidR="00E371A6">
        <w:t>,</w:t>
      </w:r>
      <w:r>
        <w:rPr>
          <w:i/>
        </w:rPr>
        <w:t xml:space="preserve"> </w:t>
      </w:r>
      <w:r w:rsidRPr="00411BA6">
        <w:rPr>
          <w:i/>
        </w:rPr>
        <w:t>Discussion Radio, Inc</w:t>
      </w:r>
      <w:r w:rsidRPr="00411BA6">
        <w:t>., Memorandum Opinion and Order and Notice of Apparent Liability, 19 FCC Rcd 7433, 7437, para. 12 (2004)</w:t>
      </w:r>
      <w:r>
        <w:t>.</w:t>
      </w:r>
    </w:p>
  </w:footnote>
  <w:footnote w:id="18">
    <w:p w:rsidR="00E371A6" w:rsidRPr="00E355D6" w:rsidRDefault="00E371A6" w:rsidP="00E371A6">
      <w:pPr>
        <w:spacing w:after="120"/>
        <w:rPr>
          <w:sz w:val="20"/>
        </w:rPr>
      </w:pPr>
      <w:r w:rsidRPr="00E355D6">
        <w:rPr>
          <w:rStyle w:val="FootnoteReference"/>
        </w:rPr>
        <w:footnoteRef/>
      </w:r>
      <w:r w:rsidRPr="00E355D6">
        <w:rPr>
          <w:sz w:val="20"/>
        </w:rPr>
        <w:t xml:space="preserve"> </w:t>
      </w:r>
      <w:r w:rsidRPr="00E355D6">
        <w:rPr>
          <w:i/>
          <w:sz w:val="20"/>
        </w:rPr>
        <w:t>W. Slope Commc’ns, LLC</w:t>
      </w:r>
      <w:r w:rsidRPr="00E355D6">
        <w:rPr>
          <w:sz w:val="20"/>
        </w:rPr>
        <w:t xml:space="preserve">, Forfeiture Order, 29 FCC Rcd 10470, 10471, para. 6 (Enf. Bur. 2014).  </w:t>
      </w:r>
      <w:r w:rsidRPr="00E355D6">
        <w:rPr>
          <w:i/>
          <w:sz w:val="20"/>
        </w:rPr>
        <w:t>See, e.g.</w:t>
      </w:r>
      <w:r w:rsidRPr="00E355D6">
        <w:rPr>
          <w:sz w:val="20"/>
        </w:rPr>
        <w:t xml:space="preserve">, </w:t>
      </w:r>
      <w:r w:rsidRPr="00E355D6">
        <w:rPr>
          <w:i/>
          <w:sz w:val="20"/>
        </w:rPr>
        <w:t>Steckline Commc’ns, Inc.</w:t>
      </w:r>
      <w:r w:rsidRPr="00E355D6">
        <w:rPr>
          <w:sz w:val="20"/>
        </w:rPr>
        <w:t xml:space="preserve">, Forfeiture Order, 29 FCC Rcd 1082, 1084, para. 5 (Enf. Bur. 2014) (“[I]nadvertent mistakes neither excuse a rule violation nor mitigate a forfeiture liability.”); </w:t>
      </w:r>
      <w:r w:rsidRPr="00E355D6">
        <w:rPr>
          <w:i/>
          <w:sz w:val="20"/>
        </w:rPr>
        <w:t>Emigrant Storage LLC</w:t>
      </w:r>
      <w:r w:rsidRPr="00E355D6">
        <w:rPr>
          <w:sz w:val="20"/>
        </w:rPr>
        <w:t>, Forfeiture Order, 27 FCC Rcd 8917, 8919, para. 6 (Enf. Bur. 2012) (“[I]</w:t>
      </w:r>
      <w:r w:rsidRPr="00053892">
        <w:rPr>
          <w:sz w:val="20"/>
        </w:rPr>
        <w:t>t is well established that administrative oversight or inadvertence is not a mitigating factor</w:t>
      </w:r>
      <w:r w:rsidRPr="00E355D6">
        <w:rPr>
          <w:sz w:val="20"/>
        </w:rPr>
        <w:t xml:space="preserve">.”). </w:t>
      </w:r>
    </w:p>
  </w:footnote>
  <w:footnote w:id="19">
    <w:p w:rsidR="00E371A6" w:rsidRPr="00671D28" w:rsidRDefault="00E371A6" w:rsidP="00E371A6">
      <w:pPr>
        <w:pStyle w:val="FootnoteText"/>
      </w:pPr>
      <w:r>
        <w:rPr>
          <w:rStyle w:val="FootnoteReference"/>
        </w:rPr>
        <w:footnoteRef/>
      </w:r>
      <w:r>
        <w:t xml:space="preserve"> </w:t>
      </w:r>
      <w:r>
        <w:rPr>
          <w:i/>
        </w:rPr>
        <w:t xml:space="preserve">See </w:t>
      </w:r>
      <w:r w:rsidR="00352445" w:rsidRPr="00E355D6">
        <w:rPr>
          <w:i/>
        </w:rPr>
        <w:t>Tidewater Commc’ns, LLC</w:t>
      </w:r>
      <w:r w:rsidR="00352445" w:rsidRPr="00E355D6">
        <w:t xml:space="preserve">, Order on Review, 25 FCC Rcd 1675, 1676, para. 5 </w:t>
      </w:r>
      <w:r w:rsidR="00352445">
        <w:t>(2010)</w:t>
      </w:r>
      <w:r>
        <w:t xml:space="preserve"> (finding fact that employee came to an incorrect conclusion regarding the lighting status of an antenna structure did not excuse the violation and that even a “mistake” can be willful if a party “consciously and deliberately made a determination” resulting in a violation).</w:t>
      </w:r>
    </w:p>
  </w:footnote>
  <w:footnote w:id="20">
    <w:p w:rsidR="00352445" w:rsidRPr="00352445" w:rsidRDefault="00352445">
      <w:pPr>
        <w:pStyle w:val="FootnoteText"/>
        <w:rPr>
          <w:i/>
        </w:rPr>
      </w:pPr>
      <w:r>
        <w:rPr>
          <w:rStyle w:val="FootnoteReference"/>
        </w:rPr>
        <w:footnoteRef/>
      </w:r>
      <w:r>
        <w:t xml:space="preserve"> </w:t>
      </w:r>
      <w:r>
        <w:rPr>
          <w:i/>
        </w:rPr>
        <w:t>NAL Response</w:t>
      </w:r>
      <w:r>
        <w:t xml:space="preserve"> at 2–4; Financial Supplement.</w:t>
      </w:r>
      <w:r>
        <w:rPr>
          <w:i/>
        </w:rPr>
        <w:t xml:space="preserve"> </w:t>
      </w:r>
    </w:p>
  </w:footnote>
  <w:footnote w:id="21">
    <w:p w:rsidR="00637234" w:rsidRPr="00D91DA3" w:rsidRDefault="00637234" w:rsidP="004D441B">
      <w:pPr>
        <w:pStyle w:val="FootnoteText"/>
      </w:pPr>
      <w:r w:rsidRPr="00D91DA3">
        <w:rPr>
          <w:rStyle w:val="FootnoteCharacters"/>
        </w:rPr>
        <w:footnoteRef/>
      </w:r>
      <w:r w:rsidRPr="00D91DA3">
        <w:rPr>
          <w:i/>
        </w:rPr>
        <w:t xml:space="preserve"> See Local Long Distance, Inc.</w:t>
      </w:r>
      <w:r w:rsidRPr="00D91DA3">
        <w:t>,</w:t>
      </w:r>
      <w:r w:rsidRPr="00D91DA3">
        <w:rPr>
          <w:i/>
        </w:rPr>
        <w:t xml:space="preserve"> </w:t>
      </w:r>
      <w:r w:rsidRPr="00D91DA3">
        <w:t>Order of Forfeiture, 15 FCC Rcd 24385 (2000) (forfeiture not deemed excessive where it represented approximately 7.9 percent of</w:t>
      </w:r>
      <w:r w:rsidR="00352445">
        <w:t xml:space="preserve"> the violator’s gross revenues); </w:t>
      </w:r>
      <w:r w:rsidR="00352445">
        <w:rPr>
          <w:i/>
        </w:rPr>
        <w:t>s</w:t>
      </w:r>
      <w:r w:rsidR="00AD74AB" w:rsidRPr="00D91DA3">
        <w:rPr>
          <w:i/>
        </w:rPr>
        <w:t>ee also Tommie Salter</w:t>
      </w:r>
      <w:r w:rsidR="00AD74AB" w:rsidRPr="00D91DA3">
        <w:t xml:space="preserve">, Forfeiture Order, 30 FCC Rcd 1041 (Enf. Bur. 2015) (finding </w:t>
      </w:r>
      <w:r w:rsidR="00527C4A" w:rsidRPr="00D91DA3">
        <w:t xml:space="preserve">reduced </w:t>
      </w:r>
      <w:r w:rsidR="00AD74AB" w:rsidRPr="00D91DA3">
        <w:t xml:space="preserve">forfeiture </w:t>
      </w:r>
      <w:r w:rsidR="00527C4A" w:rsidRPr="00D91DA3">
        <w:t>fell within the percentag</w:t>
      </w:r>
      <w:r w:rsidR="00352445">
        <w:t xml:space="preserve">e range that the Commission </w:t>
      </w:r>
      <w:r w:rsidR="00527C4A" w:rsidRPr="00D91DA3">
        <w:t>previously found acceptable</w:t>
      </w:r>
      <w:r w:rsidR="00AD74AB" w:rsidRPr="00D91DA3">
        <w:t xml:space="preserve">). </w:t>
      </w:r>
      <w:r w:rsidRPr="00D91DA3">
        <w:t xml:space="preserve">  </w:t>
      </w:r>
    </w:p>
  </w:footnote>
  <w:footnote w:id="22">
    <w:p w:rsidR="00637234" w:rsidRPr="00D91DA3" w:rsidRDefault="00637234" w:rsidP="004D441B">
      <w:pPr>
        <w:pStyle w:val="FootnoteText"/>
      </w:pPr>
      <w:r w:rsidRPr="00D91DA3">
        <w:rPr>
          <w:rStyle w:val="FootnoteReference"/>
        </w:rPr>
        <w:footnoteRef/>
      </w:r>
      <w:r w:rsidRPr="00D91DA3">
        <w:t xml:space="preserve"> This forfeiture amount falls within the percentag</w:t>
      </w:r>
      <w:r w:rsidR="00352445">
        <w:t xml:space="preserve">e range that the Commission </w:t>
      </w:r>
      <w:r w:rsidRPr="00D91DA3">
        <w:t>previously found acceptable.</w:t>
      </w:r>
      <w:r w:rsidRPr="00D91DA3">
        <w:rPr>
          <w:i/>
        </w:rPr>
        <w:t xml:space="preserve">  See supra </w:t>
      </w:r>
      <w:r w:rsidRPr="00D91DA3">
        <w:t>note</w:t>
      </w:r>
      <w:r w:rsidR="00537880">
        <w:t xml:space="preserve"> 2</w:t>
      </w:r>
      <w:r w:rsidR="00352445">
        <w:t>0</w:t>
      </w:r>
      <w:r w:rsidR="00A44CAD">
        <w:t>.</w:t>
      </w:r>
      <w:r w:rsidRPr="00D91DA3">
        <w:t xml:space="preserve">  If </w:t>
      </w:r>
      <w:r w:rsidR="002C2CB5" w:rsidRPr="00D91DA3">
        <w:t xml:space="preserve">Curran </w:t>
      </w:r>
      <w:r w:rsidRPr="00D91DA3">
        <w:t>finds it financially infeasible to make full payment o</w:t>
      </w:r>
      <w:r w:rsidR="00352445">
        <w:t>f this amount within 30 days, it</w:t>
      </w:r>
      <w:r w:rsidRPr="00D91DA3">
        <w:t xml:space="preserve"> can request an installment plan,</w:t>
      </w:r>
      <w:r w:rsidR="00EB715B">
        <w:t xml:space="preserve"> as described in </w:t>
      </w:r>
      <w:r w:rsidRPr="00D91DA3">
        <w:t>paragraph 1</w:t>
      </w:r>
      <w:r w:rsidR="00352445">
        <w:t>2</w:t>
      </w:r>
      <w:r w:rsidRPr="00D91DA3">
        <w:t xml:space="preserve"> of this </w:t>
      </w:r>
      <w:r w:rsidR="00352445">
        <w:t xml:space="preserve">Forfeiture </w:t>
      </w:r>
      <w:r w:rsidRPr="00D91DA3">
        <w:t xml:space="preserve">Order.   </w:t>
      </w:r>
    </w:p>
  </w:footnote>
  <w:footnote w:id="23">
    <w:p w:rsidR="00637234" w:rsidRPr="00D91DA3" w:rsidRDefault="00637234" w:rsidP="004D441B">
      <w:pPr>
        <w:pStyle w:val="FootnoteText"/>
      </w:pPr>
      <w:r w:rsidRPr="00D91DA3">
        <w:rPr>
          <w:rStyle w:val="FootnoteReference"/>
        </w:rPr>
        <w:footnoteRef/>
      </w:r>
      <w:r w:rsidRPr="00D91DA3">
        <w:t xml:space="preserve"> </w:t>
      </w:r>
      <w:r w:rsidRPr="00D91DA3">
        <w:rPr>
          <w:i/>
        </w:rPr>
        <w:t xml:space="preserve">See </w:t>
      </w:r>
      <w:r w:rsidRPr="00D91DA3">
        <w:t>47 U.S.C. § 503(b)(2)(E).</w:t>
      </w:r>
      <w:r w:rsidR="00891A82" w:rsidRPr="00D91DA3">
        <w:t xml:space="preserve">  </w:t>
      </w:r>
    </w:p>
  </w:footnote>
  <w:footnote w:id="24">
    <w:p w:rsidR="000D5524" w:rsidRDefault="000D5524" w:rsidP="000D5524">
      <w:pPr>
        <w:pStyle w:val="FootnoteText"/>
      </w:pPr>
      <w:r>
        <w:rPr>
          <w:rStyle w:val="FootnoteReference"/>
        </w:rPr>
        <w:footnoteRef/>
      </w:r>
      <w:r>
        <w:t xml:space="preserve"> </w:t>
      </w:r>
      <w:r>
        <w:rPr>
          <w:i/>
          <w:iCs/>
        </w:rPr>
        <w:t>See, e.g.</w:t>
      </w:r>
      <w:r>
        <w:t xml:space="preserve">, </w:t>
      </w:r>
      <w:r>
        <w:rPr>
          <w:i/>
          <w:iCs/>
        </w:rPr>
        <w:t>TV Max, Inc., et al</w:t>
      </w:r>
      <w:r>
        <w:t xml:space="preserve">., Forfeiture Order, 29 FCC Rcd 8648, 8661, para. 25 (2014) (noting that the Commission “has previously rejected inability to pay claims in cases of repeated or otherwise egregious violations”); </w:t>
      </w:r>
      <w:r>
        <w:rPr>
          <w:i/>
        </w:rPr>
        <w:t>Kevin W. Bondy</w:t>
      </w:r>
      <w:r>
        <w:t xml:space="preserve">, Forfeiture Order, 26 FCC Rcd 7840 (Enf. Bur. 2011) (holding that violator’s repeated acts of malicious and intentional interference outweighed evidence concerning his ability to pay), </w:t>
      </w:r>
      <w:r>
        <w:rPr>
          <w:i/>
        </w:rPr>
        <w:t>aff’d</w:t>
      </w:r>
      <w:r>
        <w:t xml:space="preserve">, Memorandum Opinion and Order, 28 FCC Rcd 1170 (Enf. Bur. 2013), </w:t>
      </w:r>
      <w:r>
        <w:rPr>
          <w:i/>
        </w:rPr>
        <w:t>aff’d</w:t>
      </w:r>
      <w:r>
        <w:t xml:space="preserve">, Memorandum Opinion and Order, 28 FCC Rcd 16815 (Enf. Bur. 2013); </w:t>
      </w:r>
      <w:r>
        <w:rPr>
          <w:i/>
          <w:iCs/>
        </w:rPr>
        <w:t>Whisler Fleurinor</w:t>
      </w:r>
      <w:r>
        <w:t>, Forfeiture Order, 28 FCC Rcd 1087, 1090, para. 9 (Enf. Bur. 2013) (violator’s demonstrated inability to pay outweighed by gravity of multiple intentional violations).</w:t>
      </w:r>
    </w:p>
  </w:footnote>
  <w:footnote w:id="25">
    <w:p w:rsidR="003343CA" w:rsidRPr="00D91DA3" w:rsidRDefault="003343CA" w:rsidP="004D441B">
      <w:pPr>
        <w:pStyle w:val="FootnoteText"/>
      </w:pPr>
      <w:r w:rsidRPr="00D91DA3">
        <w:rPr>
          <w:rStyle w:val="FootnoteReference"/>
        </w:rPr>
        <w:footnoteRef/>
      </w:r>
      <w:r w:rsidRPr="00D91DA3">
        <w:t xml:space="preserve"> 47 U.S.C. § 503(b).</w:t>
      </w:r>
    </w:p>
  </w:footnote>
  <w:footnote w:id="26">
    <w:p w:rsidR="003343CA" w:rsidRPr="00D91DA3" w:rsidRDefault="003343CA" w:rsidP="004D441B">
      <w:pPr>
        <w:pStyle w:val="FootnoteText"/>
      </w:pPr>
      <w:r w:rsidRPr="00D91DA3">
        <w:rPr>
          <w:rStyle w:val="FootnoteReference"/>
        </w:rPr>
        <w:footnoteRef/>
      </w:r>
      <w:r w:rsidRPr="00D91DA3">
        <w:t xml:space="preserve"> 47 C.F.R. § 1.80.</w:t>
      </w:r>
    </w:p>
  </w:footnote>
  <w:footnote w:id="27">
    <w:p w:rsidR="00EB715B" w:rsidRDefault="00EB715B">
      <w:pPr>
        <w:pStyle w:val="FootnoteText"/>
      </w:pPr>
      <w:r>
        <w:rPr>
          <w:rStyle w:val="FootnoteReference"/>
        </w:rPr>
        <w:footnoteRef/>
      </w:r>
      <w:r>
        <w:t xml:space="preserve"> </w:t>
      </w:r>
      <w:r w:rsidRPr="00D91DA3">
        <w:t>47 C.F.R. § 73.3526(e)(12).</w:t>
      </w:r>
    </w:p>
  </w:footnote>
  <w:footnote w:id="28">
    <w:p w:rsidR="003343CA" w:rsidRPr="00D91DA3" w:rsidRDefault="003343CA" w:rsidP="004D441B">
      <w:pPr>
        <w:pStyle w:val="FootnoteText"/>
      </w:pPr>
      <w:r w:rsidRPr="00D91DA3">
        <w:rPr>
          <w:rStyle w:val="FootnoteReference"/>
        </w:rPr>
        <w:footnoteRef/>
      </w:r>
      <w:r w:rsidRPr="00D91DA3">
        <w:t xml:space="preserve"> </w:t>
      </w:r>
      <w:r w:rsidR="00EB715B" w:rsidRPr="00D91DA3">
        <w:t>47 C.F.R. § 1.80.</w:t>
      </w:r>
    </w:p>
  </w:footnote>
  <w:footnote w:id="29">
    <w:p w:rsidR="003343CA" w:rsidRPr="00D91DA3" w:rsidRDefault="003343CA" w:rsidP="004D441B">
      <w:pPr>
        <w:pStyle w:val="FootnoteText"/>
      </w:pPr>
      <w:r w:rsidRPr="00D91DA3">
        <w:rPr>
          <w:rStyle w:val="FootnoteReference"/>
        </w:rPr>
        <w:footnoteRef/>
      </w:r>
      <w:r w:rsidRPr="00D91DA3">
        <w:t xml:space="preserve"> 47 U.S.C. § 504(a).</w:t>
      </w:r>
    </w:p>
  </w:footnote>
  <w:footnote w:id="30">
    <w:p w:rsidR="003343CA" w:rsidRPr="00D91DA3" w:rsidRDefault="003343CA" w:rsidP="004D441B">
      <w:pPr>
        <w:pStyle w:val="FootnoteText"/>
      </w:pPr>
      <w:r w:rsidRPr="00D91DA3">
        <w:rPr>
          <w:rStyle w:val="FootnoteReference"/>
        </w:rPr>
        <w:footnoteRef/>
      </w:r>
      <w:r w:rsidRPr="00D91DA3">
        <w:t xml:space="preserve"> </w:t>
      </w:r>
      <w:r w:rsidRPr="00D91DA3">
        <w:rPr>
          <w:rStyle w:val="FootnoteTextChar2"/>
        </w:rPr>
        <w:t xml:space="preserve">An FCC Form 159 and detailed instructions for completing the form may be obtained at </w:t>
      </w:r>
      <w:r w:rsidRPr="00D91DA3">
        <w:t>http://www.fcc.gov/Forms/Form159/159.pdf</w:t>
      </w:r>
      <w:r w:rsidRPr="00D91DA3">
        <w:rPr>
          <w:rStyle w:val="FootnoteTextChar2"/>
        </w:rPr>
        <w:t>.</w:t>
      </w:r>
    </w:p>
  </w:footnote>
  <w:footnote w:id="31">
    <w:p w:rsidR="00F23F1E" w:rsidRPr="00D91DA3" w:rsidRDefault="00F23F1E" w:rsidP="004D441B">
      <w:pPr>
        <w:pStyle w:val="FootnoteText"/>
      </w:pPr>
      <w:r w:rsidRPr="00D91DA3">
        <w:rPr>
          <w:rStyle w:val="FootnoteReference"/>
        </w:rPr>
        <w:footnoteRef/>
      </w:r>
      <w:r w:rsidRPr="00D91DA3">
        <w:t xml:space="preserve"> </w:t>
      </w:r>
      <w:r w:rsidRPr="00D91DA3">
        <w:rPr>
          <w:i/>
        </w:rPr>
        <w:t>See</w:t>
      </w:r>
      <w:r w:rsidRPr="00D91DA3">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88A" w:rsidRDefault="00D768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C04" w:rsidRPr="001B048F" w:rsidRDefault="00BC1C04" w:rsidP="00BC1C04">
    <w:pPr>
      <w:pStyle w:val="Header"/>
      <w:rPr>
        <w:b w:val="0"/>
      </w:rPr>
    </w:pPr>
    <w:r>
      <w:rPr>
        <w:noProof/>
      </w:rPr>
      <mc:AlternateContent>
        <mc:Choice Requires="wps">
          <w:drawing>
            <wp:anchor distT="0" distB="0" distL="114300" distR="114300" simplePos="0" relativeHeight="251659264" behindDoc="1" locked="0" layoutInCell="0" allowOverlap="1" wp14:anchorId="5718E7E5" wp14:editId="718520BE">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BF2B24" id="Rectangle 2"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t>DA 15-769</w:t>
    </w:r>
  </w:p>
  <w:p w:rsidR="00E273E3" w:rsidRPr="00BC1C04" w:rsidRDefault="00E273E3" w:rsidP="00BC1C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E3" w:rsidRPr="001B048F" w:rsidRDefault="006D2212" w:rsidP="001B048F">
    <w:pPr>
      <w:pStyle w:val="Header"/>
      <w:rPr>
        <w:b w:val="0"/>
      </w:rPr>
    </w:pPr>
    <w:r>
      <w:rPr>
        <w:noProof/>
      </w:rPr>
      <mc:AlternateContent>
        <mc:Choice Requires="wps">
          <w:drawing>
            <wp:anchor distT="0" distB="0" distL="114300" distR="114300" simplePos="0" relativeHeight="251657216"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9AB681" id="Rectangle 1"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E273E3">
      <w:tab/>
      <w:t>Federal Communications Commission</w:t>
    </w:r>
    <w:r w:rsidR="00E273E3">
      <w:tab/>
    </w:r>
    <w:r w:rsidR="00BC1C04">
      <w:t>DA 15-769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28EE0A"/>
    <w:lvl w:ilvl="0">
      <w:numFmt w:val="bullet"/>
      <w:pStyle w:val="par1"/>
      <w:lvlText w:v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1E163B5"/>
    <w:multiLevelType w:val="hybridMultilevel"/>
    <w:tmpl w:val="E2325D3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7"/>
  </w:num>
  <w:num w:numId="2">
    <w:abstractNumId w:val="4"/>
  </w:num>
  <w:num w:numId="3">
    <w:abstractNumId w:val="0"/>
    <w:lvlOverride w:ilvl="0">
      <w:lvl w:ilvl="0">
        <w:numFmt w:val="bullet"/>
        <w:pStyle w:val="par1"/>
        <w:lvlText w:val=""/>
        <w:legacy w:legacy="1" w:legacySpace="0" w:legacyIndent="360"/>
        <w:lvlJc w:val="left"/>
        <w:rPr>
          <w:rFonts w:ascii="Symbol" w:hAnsi="Symbol" w:hint="default"/>
        </w:rPr>
      </w:lvl>
    </w:lvlOverride>
  </w:num>
  <w:num w:numId="4">
    <w:abstractNumId w:val="6"/>
  </w:num>
  <w:num w:numId="5">
    <w:abstractNumId w:val="7"/>
  </w:num>
  <w:num w:numId="6">
    <w:abstractNumId w:val="2"/>
  </w:num>
  <w:num w:numId="7">
    <w:abstractNumId w:val="5"/>
  </w:num>
  <w:num w:numId="8">
    <w:abstractNumId w:val="3"/>
  </w:num>
  <w:num w:numId="9">
    <w:abstractNumId w:val="1"/>
  </w:num>
  <w:num w:numId="10">
    <w:abstractNumId w:val="7"/>
  </w:num>
  <w:num w:numId="11">
    <w:abstractNumId w:val="4"/>
  </w:num>
  <w:num w:numId="12">
    <w:abstractNumId w:val="7"/>
    <w:lvlOverride w:ilvl="0">
      <w:startOverride w:val="1"/>
    </w:lvlOverride>
  </w:num>
  <w:num w:numId="13">
    <w:abstractNumId w:val="7"/>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DB"/>
    <w:rsid w:val="000024CA"/>
    <w:rsid w:val="00005148"/>
    <w:rsid w:val="0000624E"/>
    <w:rsid w:val="00014462"/>
    <w:rsid w:val="000145C6"/>
    <w:rsid w:val="000174F9"/>
    <w:rsid w:val="00020D41"/>
    <w:rsid w:val="00021B4F"/>
    <w:rsid w:val="000264B4"/>
    <w:rsid w:val="00031AE8"/>
    <w:rsid w:val="00036D58"/>
    <w:rsid w:val="00043A6B"/>
    <w:rsid w:val="00043C9B"/>
    <w:rsid w:val="00045CB8"/>
    <w:rsid w:val="00046801"/>
    <w:rsid w:val="000604EB"/>
    <w:rsid w:val="00062C44"/>
    <w:rsid w:val="00064230"/>
    <w:rsid w:val="000649FE"/>
    <w:rsid w:val="000665E2"/>
    <w:rsid w:val="00071E3F"/>
    <w:rsid w:val="00072D7D"/>
    <w:rsid w:val="000733D8"/>
    <w:rsid w:val="00074717"/>
    <w:rsid w:val="00074C9C"/>
    <w:rsid w:val="0007571D"/>
    <w:rsid w:val="00080535"/>
    <w:rsid w:val="000853AD"/>
    <w:rsid w:val="00086824"/>
    <w:rsid w:val="00091AE4"/>
    <w:rsid w:val="00092025"/>
    <w:rsid w:val="00092506"/>
    <w:rsid w:val="000962DF"/>
    <w:rsid w:val="00097E8D"/>
    <w:rsid w:val="00097F82"/>
    <w:rsid w:val="000A3E68"/>
    <w:rsid w:val="000A4776"/>
    <w:rsid w:val="000B14C3"/>
    <w:rsid w:val="000B1C2B"/>
    <w:rsid w:val="000B29ED"/>
    <w:rsid w:val="000B7657"/>
    <w:rsid w:val="000B7A39"/>
    <w:rsid w:val="000C092B"/>
    <w:rsid w:val="000C2556"/>
    <w:rsid w:val="000C6050"/>
    <w:rsid w:val="000D03AE"/>
    <w:rsid w:val="000D1391"/>
    <w:rsid w:val="000D5524"/>
    <w:rsid w:val="000E0ADD"/>
    <w:rsid w:val="000E1951"/>
    <w:rsid w:val="000E2707"/>
    <w:rsid w:val="000F1155"/>
    <w:rsid w:val="00100646"/>
    <w:rsid w:val="0010329F"/>
    <w:rsid w:val="00105A35"/>
    <w:rsid w:val="001067B6"/>
    <w:rsid w:val="00112BE1"/>
    <w:rsid w:val="0011337B"/>
    <w:rsid w:val="0011687C"/>
    <w:rsid w:val="00117C88"/>
    <w:rsid w:val="001205FE"/>
    <w:rsid w:val="0012427E"/>
    <w:rsid w:val="00126C88"/>
    <w:rsid w:val="00135F7F"/>
    <w:rsid w:val="00136476"/>
    <w:rsid w:val="00137EBD"/>
    <w:rsid w:val="00140ABB"/>
    <w:rsid w:val="001426F0"/>
    <w:rsid w:val="00145647"/>
    <w:rsid w:val="00145E08"/>
    <w:rsid w:val="00150B78"/>
    <w:rsid w:val="001532B1"/>
    <w:rsid w:val="00153904"/>
    <w:rsid w:val="00153CE0"/>
    <w:rsid w:val="00154523"/>
    <w:rsid w:val="00154A5C"/>
    <w:rsid w:val="001616FE"/>
    <w:rsid w:val="00162161"/>
    <w:rsid w:val="00164D9B"/>
    <w:rsid w:val="00165708"/>
    <w:rsid w:val="001715BD"/>
    <w:rsid w:val="00171634"/>
    <w:rsid w:val="00172581"/>
    <w:rsid w:val="001740BB"/>
    <w:rsid w:val="00180026"/>
    <w:rsid w:val="001819AF"/>
    <w:rsid w:val="00183435"/>
    <w:rsid w:val="00196E93"/>
    <w:rsid w:val="001A29EF"/>
    <w:rsid w:val="001A2F40"/>
    <w:rsid w:val="001A69BA"/>
    <w:rsid w:val="001A79FB"/>
    <w:rsid w:val="001B048F"/>
    <w:rsid w:val="001C3156"/>
    <w:rsid w:val="001C3B35"/>
    <w:rsid w:val="001C42B3"/>
    <w:rsid w:val="001D1CEF"/>
    <w:rsid w:val="001D5987"/>
    <w:rsid w:val="001E135C"/>
    <w:rsid w:val="001E1906"/>
    <w:rsid w:val="001E23EA"/>
    <w:rsid w:val="001E401B"/>
    <w:rsid w:val="001E73C3"/>
    <w:rsid w:val="001F2B76"/>
    <w:rsid w:val="001F4AE7"/>
    <w:rsid w:val="001F5AA4"/>
    <w:rsid w:val="001F7EE0"/>
    <w:rsid w:val="00200A6D"/>
    <w:rsid w:val="00202A57"/>
    <w:rsid w:val="00202E6A"/>
    <w:rsid w:val="002037C2"/>
    <w:rsid w:val="0021180B"/>
    <w:rsid w:val="0021315C"/>
    <w:rsid w:val="002146E2"/>
    <w:rsid w:val="002172D7"/>
    <w:rsid w:val="00223173"/>
    <w:rsid w:val="002246E1"/>
    <w:rsid w:val="00225854"/>
    <w:rsid w:val="00226191"/>
    <w:rsid w:val="0022665A"/>
    <w:rsid w:val="00236820"/>
    <w:rsid w:val="00243491"/>
    <w:rsid w:val="00246222"/>
    <w:rsid w:val="002466F8"/>
    <w:rsid w:val="00250EDF"/>
    <w:rsid w:val="002523B2"/>
    <w:rsid w:val="00252799"/>
    <w:rsid w:val="00256904"/>
    <w:rsid w:val="00256B42"/>
    <w:rsid w:val="002659F3"/>
    <w:rsid w:val="00265AA7"/>
    <w:rsid w:val="00265FC9"/>
    <w:rsid w:val="00270CD1"/>
    <w:rsid w:val="002710C5"/>
    <w:rsid w:val="002718D7"/>
    <w:rsid w:val="00276598"/>
    <w:rsid w:val="00283E59"/>
    <w:rsid w:val="00287564"/>
    <w:rsid w:val="00292A64"/>
    <w:rsid w:val="00293ACC"/>
    <w:rsid w:val="00294DAF"/>
    <w:rsid w:val="002966A1"/>
    <w:rsid w:val="00296AB4"/>
    <w:rsid w:val="00297424"/>
    <w:rsid w:val="002A1963"/>
    <w:rsid w:val="002B17E2"/>
    <w:rsid w:val="002B3213"/>
    <w:rsid w:val="002B6CC8"/>
    <w:rsid w:val="002B7493"/>
    <w:rsid w:val="002C079C"/>
    <w:rsid w:val="002C12AD"/>
    <w:rsid w:val="002C2CB5"/>
    <w:rsid w:val="002C66A2"/>
    <w:rsid w:val="002D3A88"/>
    <w:rsid w:val="002D4CD9"/>
    <w:rsid w:val="002D6A81"/>
    <w:rsid w:val="002D74C4"/>
    <w:rsid w:val="002E046E"/>
    <w:rsid w:val="002E1671"/>
    <w:rsid w:val="002E43B6"/>
    <w:rsid w:val="002E4A49"/>
    <w:rsid w:val="002E6027"/>
    <w:rsid w:val="002E771C"/>
    <w:rsid w:val="002F141B"/>
    <w:rsid w:val="002F2ACB"/>
    <w:rsid w:val="002F46BC"/>
    <w:rsid w:val="003006B7"/>
    <w:rsid w:val="00306C34"/>
    <w:rsid w:val="00306C50"/>
    <w:rsid w:val="00312456"/>
    <w:rsid w:val="0032053D"/>
    <w:rsid w:val="00320AA8"/>
    <w:rsid w:val="0032244D"/>
    <w:rsid w:val="00325463"/>
    <w:rsid w:val="00331B47"/>
    <w:rsid w:val="00331D4E"/>
    <w:rsid w:val="003343CA"/>
    <w:rsid w:val="00335814"/>
    <w:rsid w:val="003368A3"/>
    <w:rsid w:val="003368AE"/>
    <w:rsid w:val="003368E2"/>
    <w:rsid w:val="003400E9"/>
    <w:rsid w:val="00340246"/>
    <w:rsid w:val="00344871"/>
    <w:rsid w:val="00344C0B"/>
    <w:rsid w:val="00345F40"/>
    <w:rsid w:val="00346DCB"/>
    <w:rsid w:val="003472A7"/>
    <w:rsid w:val="00347397"/>
    <w:rsid w:val="00352445"/>
    <w:rsid w:val="00352ABD"/>
    <w:rsid w:val="00353E9D"/>
    <w:rsid w:val="003563C1"/>
    <w:rsid w:val="00361B43"/>
    <w:rsid w:val="003623B1"/>
    <w:rsid w:val="0038136A"/>
    <w:rsid w:val="003827BA"/>
    <w:rsid w:val="0039768C"/>
    <w:rsid w:val="003A07BF"/>
    <w:rsid w:val="003A31CF"/>
    <w:rsid w:val="003A4346"/>
    <w:rsid w:val="003A4767"/>
    <w:rsid w:val="003A5530"/>
    <w:rsid w:val="003A6F0A"/>
    <w:rsid w:val="003B4544"/>
    <w:rsid w:val="003B5341"/>
    <w:rsid w:val="003B5EF6"/>
    <w:rsid w:val="003B6421"/>
    <w:rsid w:val="003B6F75"/>
    <w:rsid w:val="003C0BCF"/>
    <w:rsid w:val="003C5EF1"/>
    <w:rsid w:val="003C6559"/>
    <w:rsid w:val="003C6F21"/>
    <w:rsid w:val="003D5B63"/>
    <w:rsid w:val="003D5BD6"/>
    <w:rsid w:val="003E36EC"/>
    <w:rsid w:val="003E4BA1"/>
    <w:rsid w:val="003E5CB1"/>
    <w:rsid w:val="003E7003"/>
    <w:rsid w:val="003F2F66"/>
    <w:rsid w:val="004016AD"/>
    <w:rsid w:val="00403291"/>
    <w:rsid w:val="00403B86"/>
    <w:rsid w:val="00410912"/>
    <w:rsid w:val="00411BA6"/>
    <w:rsid w:val="00416ABC"/>
    <w:rsid w:val="00416F51"/>
    <w:rsid w:val="004200CE"/>
    <w:rsid w:val="0042056B"/>
    <w:rsid w:val="004214AF"/>
    <w:rsid w:val="00423EE6"/>
    <w:rsid w:val="00424F7E"/>
    <w:rsid w:val="00431572"/>
    <w:rsid w:val="00431688"/>
    <w:rsid w:val="00436A9E"/>
    <w:rsid w:val="00441CED"/>
    <w:rsid w:val="00452C14"/>
    <w:rsid w:val="00454EFD"/>
    <w:rsid w:val="00455102"/>
    <w:rsid w:val="004569E3"/>
    <w:rsid w:val="004574D8"/>
    <w:rsid w:val="00457AE7"/>
    <w:rsid w:val="00463FE9"/>
    <w:rsid w:val="00466CC6"/>
    <w:rsid w:val="00471058"/>
    <w:rsid w:val="004736A1"/>
    <w:rsid w:val="004776CD"/>
    <w:rsid w:val="004837ED"/>
    <w:rsid w:val="00493B9B"/>
    <w:rsid w:val="00493EB0"/>
    <w:rsid w:val="00494549"/>
    <w:rsid w:val="00496DB5"/>
    <w:rsid w:val="004A1B05"/>
    <w:rsid w:val="004A2A6C"/>
    <w:rsid w:val="004B4D14"/>
    <w:rsid w:val="004B654A"/>
    <w:rsid w:val="004C0831"/>
    <w:rsid w:val="004C1903"/>
    <w:rsid w:val="004C3EDB"/>
    <w:rsid w:val="004C4957"/>
    <w:rsid w:val="004D441B"/>
    <w:rsid w:val="004D5389"/>
    <w:rsid w:val="004E218D"/>
    <w:rsid w:val="004E4FD9"/>
    <w:rsid w:val="004E5D01"/>
    <w:rsid w:val="004F0990"/>
    <w:rsid w:val="004F11F0"/>
    <w:rsid w:val="004F1C4F"/>
    <w:rsid w:val="004F3B74"/>
    <w:rsid w:val="00505616"/>
    <w:rsid w:val="00510DF9"/>
    <w:rsid w:val="00512A5C"/>
    <w:rsid w:val="00514466"/>
    <w:rsid w:val="00514B5F"/>
    <w:rsid w:val="005214C9"/>
    <w:rsid w:val="00522727"/>
    <w:rsid w:val="00526086"/>
    <w:rsid w:val="00526174"/>
    <w:rsid w:val="00527C4A"/>
    <w:rsid w:val="005319DE"/>
    <w:rsid w:val="00535D18"/>
    <w:rsid w:val="00537880"/>
    <w:rsid w:val="00537EE6"/>
    <w:rsid w:val="005415C8"/>
    <w:rsid w:val="0054220C"/>
    <w:rsid w:val="005440C1"/>
    <w:rsid w:val="00545EF8"/>
    <w:rsid w:val="00547654"/>
    <w:rsid w:val="00550AE5"/>
    <w:rsid w:val="00552923"/>
    <w:rsid w:val="00552AE9"/>
    <w:rsid w:val="005542E4"/>
    <w:rsid w:val="00556415"/>
    <w:rsid w:val="00557BD8"/>
    <w:rsid w:val="00557BF1"/>
    <w:rsid w:val="00560703"/>
    <w:rsid w:val="0056704D"/>
    <w:rsid w:val="00567C95"/>
    <w:rsid w:val="00567D8D"/>
    <w:rsid w:val="00585ABB"/>
    <w:rsid w:val="00585C77"/>
    <w:rsid w:val="0059732E"/>
    <w:rsid w:val="005A1C44"/>
    <w:rsid w:val="005A72DD"/>
    <w:rsid w:val="005A77BB"/>
    <w:rsid w:val="005B1FAC"/>
    <w:rsid w:val="005B2A75"/>
    <w:rsid w:val="005B3158"/>
    <w:rsid w:val="005B4CEA"/>
    <w:rsid w:val="005B67ED"/>
    <w:rsid w:val="005C2A5A"/>
    <w:rsid w:val="005C30D4"/>
    <w:rsid w:val="005D1DA0"/>
    <w:rsid w:val="005D250F"/>
    <w:rsid w:val="005D364B"/>
    <w:rsid w:val="005D4F7D"/>
    <w:rsid w:val="005E3D9F"/>
    <w:rsid w:val="006020E8"/>
    <w:rsid w:val="00603106"/>
    <w:rsid w:val="00612643"/>
    <w:rsid w:val="006135AE"/>
    <w:rsid w:val="006168A4"/>
    <w:rsid w:val="00622396"/>
    <w:rsid w:val="00622ECB"/>
    <w:rsid w:val="00624EEA"/>
    <w:rsid w:val="0063038A"/>
    <w:rsid w:val="00632EAB"/>
    <w:rsid w:val="006339F5"/>
    <w:rsid w:val="00634F84"/>
    <w:rsid w:val="00636931"/>
    <w:rsid w:val="00637234"/>
    <w:rsid w:val="00637D3F"/>
    <w:rsid w:val="00640223"/>
    <w:rsid w:val="00640B2E"/>
    <w:rsid w:val="00640EAA"/>
    <w:rsid w:val="00644983"/>
    <w:rsid w:val="0064498D"/>
    <w:rsid w:val="006472F4"/>
    <w:rsid w:val="00650C92"/>
    <w:rsid w:val="00653DFB"/>
    <w:rsid w:val="006557D7"/>
    <w:rsid w:val="00655B5D"/>
    <w:rsid w:val="0065677C"/>
    <w:rsid w:val="00657B86"/>
    <w:rsid w:val="006606A3"/>
    <w:rsid w:val="00661DE5"/>
    <w:rsid w:val="0066537F"/>
    <w:rsid w:val="0067113C"/>
    <w:rsid w:val="00671666"/>
    <w:rsid w:val="00672014"/>
    <w:rsid w:val="006733A8"/>
    <w:rsid w:val="00673674"/>
    <w:rsid w:val="00674B18"/>
    <w:rsid w:val="00683E53"/>
    <w:rsid w:val="00684F5C"/>
    <w:rsid w:val="00686968"/>
    <w:rsid w:val="006877E7"/>
    <w:rsid w:val="00694423"/>
    <w:rsid w:val="00695D35"/>
    <w:rsid w:val="006A6FD0"/>
    <w:rsid w:val="006B080E"/>
    <w:rsid w:val="006B685D"/>
    <w:rsid w:val="006C11F1"/>
    <w:rsid w:val="006D2212"/>
    <w:rsid w:val="006D550A"/>
    <w:rsid w:val="006D7FF3"/>
    <w:rsid w:val="006E3B0D"/>
    <w:rsid w:val="006E553A"/>
    <w:rsid w:val="006E6868"/>
    <w:rsid w:val="006E728E"/>
    <w:rsid w:val="006E7F37"/>
    <w:rsid w:val="006F0D65"/>
    <w:rsid w:val="00704843"/>
    <w:rsid w:val="00707271"/>
    <w:rsid w:val="007112FE"/>
    <w:rsid w:val="007115F7"/>
    <w:rsid w:val="00714A06"/>
    <w:rsid w:val="00714FD7"/>
    <w:rsid w:val="00715666"/>
    <w:rsid w:val="007170AA"/>
    <w:rsid w:val="0072276A"/>
    <w:rsid w:val="00722934"/>
    <w:rsid w:val="0072776E"/>
    <w:rsid w:val="00731211"/>
    <w:rsid w:val="007325C3"/>
    <w:rsid w:val="0073326F"/>
    <w:rsid w:val="00743885"/>
    <w:rsid w:val="00743CDB"/>
    <w:rsid w:val="00745AB4"/>
    <w:rsid w:val="007470E1"/>
    <w:rsid w:val="007479D6"/>
    <w:rsid w:val="00752D0E"/>
    <w:rsid w:val="007538AF"/>
    <w:rsid w:val="00755564"/>
    <w:rsid w:val="007575AB"/>
    <w:rsid w:val="00757E63"/>
    <w:rsid w:val="00760EC0"/>
    <w:rsid w:val="00764AD6"/>
    <w:rsid w:val="00765619"/>
    <w:rsid w:val="0077103F"/>
    <w:rsid w:val="00775914"/>
    <w:rsid w:val="00776D72"/>
    <w:rsid w:val="00781BFC"/>
    <w:rsid w:val="00782257"/>
    <w:rsid w:val="00785772"/>
    <w:rsid w:val="0078649E"/>
    <w:rsid w:val="00787DBC"/>
    <w:rsid w:val="00790B4B"/>
    <w:rsid w:val="00791577"/>
    <w:rsid w:val="00792AD9"/>
    <w:rsid w:val="007A2AF2"/>
    <w:rsid w:val="007A400F"/>
    <w:rsid w:val="007A7A37"/>
    <w:rsid w:val="007B1B20"/>
    <w:rsid w:val="007B215B"/>
    <w:rsid w:val="007B25BE"/>
    <w:rsid w:val="007B3684"/>
    <w:rsid w:val="007B3D42"/>
    <w:rsid w:val="007C197B"/>
    <w:rsid w:val="007C3802"/>
    <w:rsid w:val="007C3FB4"/>
    <w:rsid w:val="007C416C"/>
    <w:rsid w:val="007D28E3"/>
    <w:rsid w:val="007D5BA0"/>
    <w:rsid w:val="007E0AF2"/>
    <w:rsid w:val="007E10B6"/>
    <w:rsid w:val="007E39BB"/>
    <w:rsid w:val="007F29BF"/>
    <w:rsid w:val="007F3C22"/>
    <w:rsid w:val="007F5447"/>
    <w:rsid w:val="0080144D"/>
    <w:rsid w:val="00804AA7"/>
    <w:rsid w:val="00806AEF"/>
    <w:rsid w:val="00810951"/>
    <w:rsid w:val="0081174D"/>
    <w:rsid w:val="00813F43"/>
    <w:rsid w:val="00817123"/>
    <w:rsid w:val="008218CC"/>
    <w:rsid w:val="00823395"/>
    <w:rsid w:val="00826958"/>
    <w:rsid w:val="00836DF6"/>
    <w:rsid w:val="00847059"/>
    <w:rsid w:val="00854197"/>
    <w:rsid w:val="00862B6D"/>
    <w:rsid w:val="008635E6"/>
    <w:rsid w:val="008653ED"/>
    <w:rsid w:val="00866138"/>
    <w:rsid w:val="008666BC"/>
    <w:rsid w:val="00867A33"/>
    <w:rsid w:val="008742A5"/>
    <w:rsid w:val="00874CFC"/>
    <w:rsid w:val="00881E1B"/>
    <w:rsid w:val="008838D3"/>
    <w:rsid w:val="00884F39"/>
    <w:rsid w:val="00890DC3"/>
    <w:rsid w:val="00891A82"/>
    <w:rsid w:val="00892231"/>
    <w:rsid w:val="008A0B16"/>
    <w:rsid w:val="008A1A2C"/>
    <w:rsid w:val="008B1964"/>
    <w:rsid w:val="008B392F"/>
    <w:rsid w:val="008B440F"/>
    <w:rsid w:val="008C7B44"/>
    <w:rsid w:val="008D1BE7"/>
    <w:rsid w:val="008D4F28"/>
    <w:rsid w:val="008D6AFE"/>
    <w:rsid w:val="008E0D87"/>
    <w:rsid w:val="008E1982"/>
    <w:rsid w:val="008F0F79"/>
    <w:rsid w:val="009012DC"/>
    <w:rsid w:val="00901EA9"/>
    <w:rsid w:val="00902771"/>
    <w:rsid w:val="00910008"/>
    <w:rsid w:val="00913674"/>
    <w:rsid w:val="009150E9"/>
    <w:rsid w:val="00920FB9"/>
    <w:rsid w:val="00922BC7"/>
    <w:rsid w:val="00924198"/>
    <w:rsid w:val="009244F0"/>
    <w:rsid w:val="009304A3"/>
    <w:rsid w:val="00931BCD"/>
    <w:rsid w:val="00932FF9"/>
    <w:rsid w:val="0093638C"/>
    <w:rsid w:val="009369E6"/>
    <w:rsid w:val="00937A4E"/>
    <w:rsid w:val="00955661"/>
    <w:rsid w:val="00957948"/>
    <w:rsid w:val="00960607"/>
    <w:rsid w:val="00966093"/>
    <w:rsid w:val="00966545"/>
    <w:rsid w:val="009708B5"/>
    <w:rsid w:val="009714F0"/>
    <w:rsid w:val="00974A8A"/>
    <w:rsid w:val="0097633D"/>
    <w:rsid w:val="00980AA0"/>
    <w:rsid w:val="00981A39"/>
    <w:rsid w:val="00981BA6"/>
    <w:rsid w:val="009847FB"/>
    <w:rsid w:val="00985084"/>
    <w:rsid w:val="009873F2"/>
    <w:rsid w:val="00987F12"/>
    <w:rsid w:val="00990196"/>
    <w:rsid w:val="00992A29"/>
    <w:rsid w:val="009A09C6"/>
    <w:rsid w:val="009A2403"/>
    <w:rsid w:val="009A323D"/>
    <w:rsid w:val="009A3AE5"/>
    <w:rsid w:val="009A4B25"/>
    <w:rsid w:val="009A4C09"/>
    <w:rsid w:val="009A4E4D"/>
    <w:rsid w:val="009B012E"/>
    <w:rsid w:val="009B0223"/>
    <w:rsid w:val="009B1061"/>
    <w:rsid w:val="009B2C59"/>
    <w:rsid w:val="009B3E58"/>
    <w:rsid w:val="009B600C"/>
    <w:rsid w:val="009B6F55"/>
    <w:rsid w:val="009C1A98"/>
    <w:rsid w:val="009C2411"/>
    <w:rsid w:val="009C3321"/>
    <w:rsid w:val="009C46AB"/>
    <w:rsid w:val="009C560C"/>
    <w:rsid w:val="009C6AD9"/>
    <w:rsid w:val="009D0C63"/>
    <w:rsid w:val="009D5355"/>
    <w:rsid w:val="009E44EE"/>
    <w:rsid w:val="009E708F"/>
    <w:rsid w:val="009F4A4E"/>
    <w:rsid w:val="009F6073"/>
    <w:rsid w:val="00A002F4"/>
    <w:rsid w:val="00A00AE0"/>
    <w:rsid w:val="00A0154F"/>
    <w:rsid w:val="00A01D1A"/>
    <w:rsid w:val="00A020A9"/>
    <w:rsid w:val="00A02148"/>
    <w:rsid w:val="00A025DC"/>
    <w:rsid w:val="00A047AF"/>
    <w:rsid w:val="00A0567A"/>
    <w:rsid w:val="00A10460"/>
    <w:rsid w:val="00A14E35"/>
    <w:rsid w:val="00A174D4"/>
    <w:rsid w:val="00A204BA"/>
    <w:rsid w:val="00A20570"/>
    <w:rsid w:val="00A223C9"/>
    <w:rsid w:val="00A22771"/>
    <w:rsid w:val="00A230E1"/>
    <w:rsid w:val="00A24336"/>
    <w:rsid w:val="00A24CD1"/>
    <w:rsid w:val="00A26C54"/>
    <w:rsid w:val="00A34E43"/>
    <w:rsid w:val="00A3796D"/>
    <w:rsid w:val="00A41565"/>
    <w:rsid w:val="00A42341"/>
    <w:rsid w:val="00A44CAD"/>
    <w:rsid w:val="00A45420"/>
    <w:rsid w:val="00A52CEE"/>
    <w:rsid w:val="00A90F91"/>
    <w:rsid w:val="00A93753"/>
    <w:rsid w:val="00A95983"/>
    <w:rsid w:val="00AA19E7"/>
    <w:rsid w:val="00AA1C42"/>
    <w:rsid w:val="00AA614F"/>
    <w:rsid w:val="00AB1EEA"/>
    <w:rsid w:val="00AB2A81"/>
    <w:rsid w:val="00AB3FF0"/>
    <w:rsid w:val="00AB431A"/>
    <w:rsid w:val="00AC08EF"/>
    <w:rsid w:val="00AC0A30"/>
    <w:rsid w:val="00AC13CB"/>
    <w:rsid w:val="00AC7682"/>
    <w:rsid w:val="00AC7905"/>
    <w:rsid w:val="00AD35D3"/>
    <w:rsid w:val="00AD525D"/>
    <w:rsid w:val="00AD74AB"/>
    <w:rsid w:val="00AE4E71"/>
    <w:rsid w:val="00AE6CDF"/>
    <w:rsid w:val="00AF2483"/>
    <w:rsid w:val="00AF3A7A"/>
    <w:rsid w:val="00AF6122"/>
    <w:rsid w:val="00B046DF"/>
    <w:rsid w:val="00B0601B"/>
    <w:rsid w:val="00B07263"/>
    <w:rsid w:val="00B102D9"/>
    <w:rsid w:val="00B106C6"/>
    <w:rsid w:val="00B20811"/>
    <w:rsid w:val="00B20FB3"/>
    <w:rsid w:val="00B21753"/>
    <w:rsid w:val="00B246DD"/>
    <w:rsid w:val="00B26603"/>
    <w:rsid w:val="00B307A4"/>
    <w:rsid w:val="00B5182F"/>
    <w:rsid w:val="00B52F5E"/>
    <w:rsid w:val="00B55D72"/>
    <w:rsid w:val="00B56659"/>
    <w:rsid w:val="00B661C1"/>
    <w:rsid w:val="00B70A0B"/>
    <w:rsid w:val="00B7385F"/>
    <w:rsid w:val="00B84DAA"/>
    <w:rsid w:val="00B86B94"/>
    <w:rsid w:val="00BA0DEA"/>
    <w:rsid w:val="00BB18C9"/>
    <w:rsid w:val="00BB2B10"/>
    <w:rsid w:val="00BB4888"/>
    <w:rsid w:val="00BB6D6F"/>
    <w:rsid w:val="00BC1C04"/>
    <w:rsid w:val="00BC3C88"/>
    <w:rsid w:val="00BC3FB6"/>
    <w:rsid w:val="00BD5C10"/>
    <w:rsid w:val="00BD73DD"/>
    <w:rsid w:val="00BD747D"/>
    <w:rsid w:val="00BE017D"/>
    <w:rsid w:val="00BF0CB5"/>
    <w:rsid w:val="00BF689C"/>
    <w:rsid w:val="00C02572"/>
    <w:rsid w:val="00C063BE"/>
    <w:rsid w:val="00C11CF4"/>
    <w:rsid w:val="00C135FF"/>
    <w:rsid w:val="00C138D9"/>
    <w:rsid w:val="00C14EBB"/>
    <w:rsid w:val="00C15447"/>
    <w:rsid w:val="00C16C03"/>
    <w:rsid w:val="00C170E0"/>
    <w:rsid w:val="00C211BD"/>
    <w:rsid w:val="00C22265"/>
    <w:rsid w:val="00C23262"/>
    <w:rsid w:val="00C23391"/>
    <w:rsid w:val="00C2400C"/>
    <w:rsid w:val="00C2483C"/>
    <w:rsid w:val="00C25EAE"/>
    <w:rsid w:val="00C26770"/>
    <w:rsid w:val="00C26850"/>
    <w:rsid w:val="00C30B5C"/>
    <w:rsid w:val="00C32B5E"/>
    <w:rsid w:val="00C339C4"/>
    <w:rsid w:val="00C37DEA"/>
    <w:rsid w:val="00C46229"/>
    <w:rsid w:val="00C51180"/>
    <w:rsid w:val="00C5575E"/>
    <w:rsid w:val="00C656A3"/>
    <w:rsid w:val="00C66727"/>
    <w:rsid w:val="00C710A4"/>
    <w:rsid w:val="00C742B1"/>
    <w:rsid w:val="00C7583B"/>
    <w:rsid w:val="00C7593B"/>
    <w:rsid w:val="00C771F0"/>
    <w:rsid w:val="00C80AB7"/>
    <w:rsid w:val="00C81248"/>
    <w:rsid w:val="00C81DFC"/>
    <w:rsid w:val="00C82A24"/>
    <w:rsid w:val="00C835A2"/>
    <w:rsid w:val="00C84174"/>
    <w:rsid w:val="00C848EF"/>
    <w:rsid w:val="00C855E5"/>
    <w:rsid w:val="00C87D2D"/>
    <w:rsid w:val="00C90207"/>
    <w:rsid w:val="00C90DA2"/>
    <w:rsid w:val="00C914B2"/>
    <w:rsid w:val="00C93F6E"/>
    <w:rsid w:val="00C9559E"/>
    <w:rsid w:val="00C9673A"/>
    <w:rsid w:val="00C97F25"/>
    <w:rsid w:val="00CA60E2"/>
    <w:rsid w:val="00CA74A0"/>
    <w:rsid w:val="00CB6E37"/>
    <w:rsid w:val="00CC3E7E"/>
    <w:rsid w:val="00CC46A9"/>
    <w:rsid w:val="00CC48B6"/>
    <w:rsid w:val="00CC5C6F"/>
    <w:rsid w:val="00CC660D"/>
    <w:rsid w:val="00CC6B2D"/>
    <w:rsid w:val="00CD01AA"/>
    <w:rsid w:val="00CD2315"/>
    <w:rsid w:val="00CD73FB"/>
    <w:rsid w:val="00CD7A1B"/>
    <w:rsid w:val="00CE57A9"/>
    <w:rsid w:val="00CE5915"/>
    <w:rsid w:val="00CE6C63"/>
    <w:rsid w:val="00CF0BCD"/>
    <w:rsid w:val="00CF0E4F"/>
    <w:rsid w:val="00CF2340"/>
    <w:rsid w:val="00CF369E"/>
    <w:rsid w:val="00CF537E"/>
    <w:rsid w:val="00CF6B67"/>
    <w:rsid w:val="00D10219"/>
    <w:rsid w:val="00D121DF"/>
    <w:rsid w:val="00D137D5"/>
    <w:rsid w:val="00D15C2F"/>
    <w:rsid w:val="00D23943"/>
    <w:rsid w:val="00D249F3"/>
    <w:rsid w:val="00D34C95"/>
    <w:rsid w:val="00D417DA"/>
    <w:rsid w:val="00D52813"/>
    <w:rsid w:val="00D55192"/>
    <w:rsid w:val="00D56ABA"/>
    <w:rsid w:val="00D5781F"/>
    <w:rsid w:val="00D65D78"/>
    <w:rsid w:val="00D674AD"/>
    <w:rsid w:val="00D70FC6"/>
    <w:rsid w:val="00D75D1C"/>
    <w:rsid w:val="00D7688A"/>
    <w:rsid w:val="00D77881"/>
    <w:rsid w:val="00D91DA3"/>
    <w:rsid w:val="00DA23BF"/>
    <w:rsid w:val="00DA4947"/>
    <w:rsid w:val="00DA4A80"/>
    <w:rsid w:val="00DA580E"/>
    <w:rsid w:val="00DA67BE"/>
    <w:rsid w:val="00DB04B0"/>
    <w:rsid w:val="00DB110F"/>
    <w:rsid w:val="00DB209B"/>
    <w:rsid w:val="00DC1568"/>
    <w:rsid w:val="00DC68F5"/>
    <w:rsid w:val="00DD066D"/>
    <w:rsid w:val="00DD17B4"/>
    <w:rsid w:val="00DD355E"/>
    <w:rsid w:val="00DD7B34"/>
    <w:rsid w:val="00DE1B91"/>
    <w:rsid w:val="00DF2FC3"/>
    <w:rsid w:val="00DF3333"/>
    <w:rsid w:val="00DF49C5"/>
    <w:rsid w:val="00E03C5E"/>
    <w:rsid w:val="00E03D76"/>
    <w:rsid w:val="00E0401A"/>
    <w:rsid w:val="00E136B4"/>
    <w:rsid w:val="00E20614"/>
    <w:rsid w:val="00E216B3"/>
    <w:rsid w:val="00E273E3"/>
    <w:rsid w:val="00E32B89"/>
    <w:rsid w:val="00E367B6"/>
    <w:rsid w:val="00E371A6"/>
    <w:rsid w:val="00E40344"/>
    <w:rsid w:val="00E41348"/>
    <w:rsid w:val="00E434BC"/>
    <w:rsid w:val="00E447F3"/>
    <w:rsid w:val="00E44BA5"/>
    <w:rsid w:val="00E470C7"/>
    <w:rsid w:val="00E51553"/>
    <w:rsid w:val="00E51F9F"/>
    <w:rsid w:val="00E55F25"/>
    <w:rsid w:val="00E57ED1"/>
    <w:rsid w:val="00E6009E"/>
    <w:rsid w:val="00E61780"/>
    <w:rsid w:val="00E650AE"/>
    <w:rsid w:val="00E6792A"/>
    <w:rsid w:val="00E74600"/>
    <w:rsid w:val="00E84A21"/>
    <w:rsid w:val="00E85AFA"/>
    <w:rsid w:val="00E85E97"/>
    <w:rsid w:val="00E9402D"/>
    <w:rsid w:val="00E95342"/>
    <w:rsid w:val="00EA006D"/>
    <w:rsid w:val="00EA7BC5"/>
    <w:rsid w:val="00EA7D56"/>
    <w:rsid w:val="00EB25CF"/>
    <w:rsid w:val="00EB5C8E"/>
    <w:rsid w:val="00EB6536"/>
    <w:rsid w:val="00EB715B"/>
    <w:rsid w:val="00EC01C8"/>
    <w:rsid w:val="00EC389E"/>
    <w:rsid w:val="00EC3E51"/>
    <w:rsid w:val="00EC47E7"/>
    <w:rsid w:val="00EC59F7"/>
    <w:rsid w:val="00EC6192"/>
    <w:rsid w:val="00ED001A"/>
    <w:rsid w:val="00ED50F4"/>
    <w:rsid w:val="00ED7F11"/>
    <w:rsid w:val="00EE05DB"/>
    <w:rsid w:val="00EE194C"/>
    <w:rsid w:val="00EE6AC2"/>
    <w:rsid w:val="00EE7218"/>
    <w:rsid w:val="00EF1272"/>
    <w:rsid w:val="00EF23E9"/>
    <w:rsid w:val="00EF2D22"/>
    <w:rsid w:val="00EF3412"/>
    <w:rsid w:val="00EF49F0"/>
    <w:rsid w:val="00EF5162"/>
    <w:rsid w:val="00EF5B91"/>
    <w:rsid w:val="00F0262C"/>
    <w:rsid w:val="00F03DF9"/>
    <w:rsid w:val="00F07426"/>
    <w:rsid w:val="00F07C8E"/>
    <w:rsid w:val="00F100EF"/>
    <w:rsid w:val="00F122FD"/>
    <w:rsid w:val="00F156C3"/>
    <w:rsid w:val="00F15E74"/>
    <w:rsid w:val="00F16485"/>
    <w:rsid w:val="00F210F9"/>
    <w:rsid w:val="00F21925"/>
    <w:rsid w:val="00F21DEF"/>
    <w:rsid w:val="00F221F9"/>
    <w:rsid w:val="00F227E6"/>
    <w:rsid w:val="00F23F1E"/>
    <w:rsid w:val="00F340E9"/>
    <w:rsid w:val="00F35991"/>
    <w:rsid w:val="00F35F9A"/>
    <w:rsid w:val="00F368C8"/>
    <w:rsid w:val="00F42444"/>
    <w:rsid w:val="00F51AF3"/>
    <w:rsid w:val="00F57174"/>
    <w:rsid w:val="00F749F7"/>
    <w:rsid w:val="00F80BCB"/>
    <w:rsid w:val="00F83951"/>
    <w:rsid w:val="00F84343"/>
    <w:rsid w:val="00F8613C"/>
    <w:rsid w:val="00F90362"/>
    <w:rsid w:val="00F93126"/>
    <w:rsid w:val="00F9326A"/>
    <w:rsid w:val="00F968BB"/>
    <w:rsid w:val="00FA2BC9"/>
    <w:rsid w:val="00FA33A5"/>
    <w:rsid w:val="00FA3463"/>
    <w:rsid w:val="00FA581C"/>
    <w:rsid w:val="00FB450C"/>
    <w:rsid w:val="00FB54D4"/>
    <w:rsid w:val="00FC1C58"/>
    <w:rsid w:val="00FC4284"/>
    <w:rsid w:val="00FD14B8"/>
    <w:rsid w:val="00FD2585"/>
    <w:rsid w:val="00FD7D09"/>
    <w:rsid w:val="00FE74AF"/>
    <w:rsid w:val="00FF0865"/>
    <w:rsid w:val="00FF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5708"/>
    <w:pPr>
      <w:widowControl w:val="0"/>
    </w:pPr>
    <w:rPr>
      <w:snapToGrid w:val="0"/>
      <w:kern w:val="28"/>
      <w:szCs w:val="20"/>
    </w:rPr>
  </w:style>
  <w:style w:type="paragraph" w:styleId="Heading1">
    <w:name w:val="heading 1"/>
    <w:basedOn w:val="Normal"/>
    <w:next w:val="ParaNum"/>
    <w:link w:val="Heading1Char"/>
    <w:qFormat/>
    <w:rsid w:val="00165708"/>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65708"/>
    <w:pPr>
      <w:keepNext/>
      <w:numPr>
        <w:ilvl w:val="1"/>
        <w:numId w:val="2"/>
      </w:numPr>
      <w:spacing w:after="120"/>
      <w:outlineLvl w:val="1"/>
    </w:pPr>
    <w:rPr>
      <w:b/>
    </w:rPr>
  </w:style>
  <w:style w:type="paragraph" w:styleId="Heading3">
    <w:name w:val="heading 3"/>
    <w:basedOn w:val="Normal"/>
    <w:next w:val="ParaNum"/>
    <w:link w:val="Heading3Char"/>
    <w:qFormat/>
    <w:rsid w:val="00165708"/>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165708"/>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165708"/>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165708"/>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165708"/>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165708"/>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65708"/>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657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65708"/>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086824"/>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napToGrid/>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165708"/>
    <w:pPr>
      <w:numPr>
        <w:numId w:val="1"/>
      </w:numPr>
      <w:tabs>
        <w:tab w:val="clear" w:pos="1080"/>
        <w:tab w:val="num" w:pos="1440"/>
      </w:tabs>
      <w:spacing w:after="120"/>
    </w:pPr>
  </w:style>
  <w:style w:type="paragraph" w:styleId="EndnoteText">
    <w:name w:val="endnote text"/>
    <w:basedOn w:val="Normal"/>
    <w:link w:val="EndnoteTextChar"/>
    <w:semiHidden/>
    <w:rsid w:val="00165708"/>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165708"/>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165708"/>
    <w:pPr>
      <w:spacing w:after="120"/>
    </w:pPr>
    <w:rPr>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9B2C59"/>
    <w:rPr>
      <w:sz w:val="20"/>
      <w:szCs w:val="20"/>
    </w:rPr>
  </w:style>
  <w:style w:type="character" w:styleId="FootnoteReference">
    <w:name w:val="footnote reference"/>
    <w:aliases w:val="Style 4,Appel note de bas de p,Style 12,(NECG) Footnote Reference,Style 124,Style 13,o,fr,Style 3,FR,Style 17,Style 6,Footnote Reference/"/>
    <w:rsid w:val="00165708"/>
    <w:rPr>
      <w:rFonts w:ascii="Times New Roman" w:hAnsi="Times New Roman"/>
      <w:dstrike w:val="0"/>
      <w:color w:val="auto"/>
      <w:sz w:val="20"/>
      <w:vertAlign w:val="superscript"/>
    </w:rPr>
  </w:style>
  <w:style w:type="paragraph" w:styleId="TOC1">
    <w:name w:val="toc 1"/>
    <w:basedOn w:val="Normal"/>
    <w:next w:val="Normal"/>
    <w:rsid w:val="0016570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65708"/>
    <w:pPr>
      <w:tabs>
        <w:tab w:val="left" w:pos="720"/>
        <w:tab w:val="right" w:leader="dot" w:pos="9360"/>
      </w:tabs>
      <w:suppressAutoHyphens/>
      <w:ind w:left="720" w:right="720" w:hanging="360"/>
    </w:pPr>
    <w:rPr>
      <w:noProof/>
    </w:rPr>
  </w:style>
  <w:style w:type="paragraph" w:styleId="TOC3">
    <w:name w:val="toc 3"/>
    <w:basedOn w:val="Normal"/>
    <w:next w:val="Normal"/>
    <w:semiHidden/>
    <w:rsid w:val="0016570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6570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6570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6570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6570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6570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6570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65708"/>
    <w:pPr>
      <w:tabs>
        <w:tab w:val="right" w:pos="9360"/>
      </w:tabs>
      <w:suppressAutoHyphens/>
    </w:pPr>
  </w:style>
  <w:style w:type="character" w:customStyle="1" w:styleId="EquationCaption">
    <w:name w:val="_Equation Caption"/>
    <w:rsid w:val="00165708"/>
  </w:style>
  <w:style w:type="paragraph" w:styleId="Header">
    <w:name w:val="header"/>
    <w:basedOn w:val="Normal"/>
    <w:link w:val="HeaderChar"/>
    <w:autoRedefine/>
    <w:rsid w:val="00165708"/>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rsid w:val="00165708"/>
    <w:pPr>
      <w:tabs>
        <w:tab w:val="center" w:pos="4320"/>
        <w:tab w:val="right" w:pos="8640"/>
      </w:tabs>
    </w:pPr>
  </w:style>
  <w:style w:type="character" w:customStyle="1" w:styleId="FooterChar">
    <w:name w:val="Footer Char"/>
    <w:basedOn w:val="DefaultParagraphFont"/>
    <w:link w:val="Footer"/>
    <w:locked/>
    <w:rsid w:val="0011687C"/>
    <w:rPr>
      <w:snapToGrid w:val="0"/>
      <w:kern w:val="28"/>
      <w:szCs w:val="20"/>
    </w:rPr>
  </w:style>
  <w:style w:type="character" w:styleId="PageNumber">
    <w:name w:val="page number"/>
    <w:basedOn w:val="DefaultParagraphFont"/>
    <w:rsid w:val="00165708"/>
  </w:style>
  <w:style w:type="paragraph" w:styleId="BlockText">
    <w:name w:val="Block Text"/>
    <w:basedOn w:val="Normal"/>
    <w:rsid w:val="00165708"/>
    <w:pPr>
      <w:spacing w:after="240"/>
      <w:ind w:left="1440" w:right="1440"/>
    </w:pPr>
  </w:style>
  <w:style w:type="paragraph" w:customStyle="1" w:styleId="Paratitle">
    <w:name w:val="Para title"/>
    <w:basedOn w:val="Normal"/>
    <w:rsid w:val="00165708"/>
    <w:pPr>
      <w:tabs>
        <w:tab w:val="center" w:pos="9270"/>
      </w:tabs>
      <w:spacing w:after="240"/>
    </w:pPr>
    <w:rPr>
      <w:spacing w:val="-2"/>
    </w:rPr>
  </w:style>
  <w:style w:type="paragraph" w:customStyle="1" w:styleId="Bullet">
    <w:name w:val="Bullet"/>
    <w:basedOn w:val="Normal"/>
    <w:rsid w:val="00165708"/>
    <w:pPr>
      <w:tabs>
        <w:tab w:val="left" w:pos="2160"/>
      </w:tabs>
      <w:spacing w:after="220"/>
      <w:ind w:left="2160" w:hanging="720"/>
    </w:pPr>
  </w:style>
  <w:style w:type="paragraph" w:customStyle="1" w:styleId="TableFormat">
    <w:name w:val="TableFormat"/>
    <w:basedOn w:val="Bullet"/>
    <w:rsid w:val="00165708"/>
    <w:pPr>
      <w:tabs>
        <w:tab w:val="clear" w:pos="2160"/>
        <w:tab w:val="left" w:pos="5040"/>
      </w:tabs>
      <w:ind w:left="5040" w:hanging="3600"/>
    </w:pPr>
  </w:style>
  <w:style w:type="paragraph" w:customStyle="1" w:styleId="TOCTitle">
    <w:name w:val="TOC Title"/>
    <w:basedOn w:val="Normal"/>
    <w:rsid w:val="0016570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65708"/>
    <w:pPr>
      <w:jc w:val="center"/>
    </w:pPr>
    <w:rPr>
      <w:rFonts w:ascii="Times New Roman Bold" w:hAnsi="Times New Roman Bold"/>
      <w:b/>
      <w:bCs/>
      <w:caps/>
      <w:szCs w:val="22"/>
    </w:rPr>
  </w:style>
  <w:style w:type="character" w:styleId="Hyperlink">
    <w:name w:val="Hyperlink"/>
    <w:rsid w:val="00165708"/>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rrfootnote Char Char Char Char,Footnote Text Char1 Char Char Char Char2,Footnote Text Char Char Char Char Char Char2,Footnote Text Char2 Char Char1"/>
    <w:uiPriority w:val="99"/>
    <w:rsid w:val="009B2C59"/>
    <w:rPr>
      <w:lang w:val="en-US" w:eastAsia="en-US"/>
    </w:rPr>
  </w:style>
  <w:style w:type="character" w:customStyle="1" w:styleId="documentbody">
    <w:name w:val="documentbody"/>
    <w:basedOn w:val="DefaultParagraphFont"/>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napToGrid/>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ocked/>
    <w:rsid w:val="00A204BA"/>
    <w:rPr>
      <w:sz w:val="20"/>
      <w:szCs w:val="20"/>
    </w:rPr>
  </w:style>
  <w:style w:type="paragraph" w:styleId="ListParagraph">
    <w:name w:val="List Paragraph"/>
    <w:basedOn w:val="Normal"/>
    <w:uiPriority w:val="99"/>
    <w:qFormat/>
    <w:rsid w:val="003343CA"/>
    <w:pPr>
      <w:ind w:left="720"/>
      <w:contextualSpacing/>
    </w:pPr>
  </w:style>
  <w:style w:type="paragraph" w:customStyle="1" w:styleId="par1">
    <w:name w:val="par1"/>
    <w:basedOn w:val="Normal"/>
    <w:link w:val="par1Char"/>
    <w:uiPriority w:val="99"/>
    <w:rsid w:val="003343CA"/>
    <w:pPr>
      <w:numPr>
        <w:numId w:val="3"/>
      </w:numPr>
      <w:tabs>
        <w:tab w:val="num" w:pos="900"/>
        <w:tab w:val="left" w:pos="1440"/>
      </w:tabs>
      <w:ind w:left="-180" w:firstLine="720"/>
    </w:pPr>
    <w:rPr>
      <w:sz w:val="20"/>
    </w:rPr>
  </w:style>
  <w:style w:type="character" w:customStyle="1" w:styleId="par1Char">
    <w:name w:val="par1 Char"/>
    <w:link w:val="par1"/>
    <w:uiPriority w:val="99"/>
    <w:locked/>
    <w:rsid w:val="003343CA"/>
    <w:rPr>
      <w:kern w:val="28"/>
      <w:sz w:val="20"/>
      <w:szCs w:val="20"/>
    </w:rPr>
  </w:style>
  <w:style w:type="paragraph" w:styleId="Revision">
    <w:name w:val="Revision"/>
    <w:hidden/>
    <w:uiPriority w:val="99"/>
    <w:semiHidden/>
    <w:rsid w:val="00B5182F"/>
    <w:rPr>
      <w:kern w:val="28"/>
      <w:szCs w:val="20"/>
    </w:rPr>
  </w:style>
  <w:style w:type="character" w:styleId="Emphasis">
    <w:name w:val="Emphasis"/>
    <w:basedOn w:val="DefaultParagraphFont"/>
    <w:uiPriority w:val="20"/>
    <w:qFormat/>
    <w:locked/>
    <w:rsid w:val="00AB431A"/>
    <w:rPr>
      <w:i/>
      <w:iCs/>
    </w:rPr>
  </w:style>
  <w:style w:type="character" w:customStyle="1" w:styleId="FootnoteCharacters">
    <w:name w:val="Footnote Characters"/>
    <w:uiPriority w:val="99"/>
    <w:rsid w:val="00637234"/>
    <w:rPr>
      <w:rFonts w:ascii="Times New Roman" w:hAnsi="Times New Roman"/>
      <w:color w:val="auto"/>
      <w:sz w:val="20"/>
      <w:vertAlign w:val="superscript"/>
    </w:rPr>
  </w:style>
  <w:style w:type="character" w:customStyle="1" w:styleId="apple-converted-space">
    <w:name w:val="apple-converted-space"/>
    <w:rsid w:val="00637234"/>
  </w:style>
  <w:style w:type="character" w:customStyle="1" w:styleId="cosearchterm">
    <w:name w:val="co_searchterm"/>
    <w:basedOn w:val="DefaultParagraphFont"/>
    <w:rsid w:val="00D34C95"/>
  </w:style>
  <w:style w:type="character" w:customStyle="1" w:styleId="costarpage">
    <w:name w:val="co_starpage"/>
    <w:basedOn w:val="DefaultParagraphFont"/>
    <w:rsid w:val="00D34C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5708"/>
    <w:pPr>
      <w:widowControl w:val="0"/>
    </w:pPr>
    <w:rPr>
      <w:snapToGrid w:val="0"/>
      <w:kern w:val="28"/>
      <w:szCs w:val="20"/>
    </w:rPr>
  </w:style>
  <w:style w:type="paragraph" w:styleId="Heading1">
    <w:name w:val="heading 1"/>
    <w:basedOn w:val="Normal"/>
    <w:next w:val="ParaNum"/>
    <w:link w:val="Heading1Char"/>
    <w:qFormat/>
    <w:rsid w:val="00165708"/>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65708"/>
    <w:pPr>
      <w:keepNext/>
      <w:numPr>
        <w:ilvl w:val="1"/>
        <w:numId w:val="2"/>
      </w:numPr>
      <w:spacing w:after="120"/>
      <w:outlineLvl w:val="1"/>
    </w:pPr>
    <w:rPr>
      <w:b/>
    </w:rPr>
  </w:style>
  <w:style w:type="paragraph" w:styleId="Heading3">
    <w:name w:val="heading 3"/>
    <w:basedOn w:val="Normal"/>
    <w:next w:val="ParaNum"/>
    <w:link w:val="Heading3Char"/>
    <w:qFormat/>
    <w:rsid w:val="00165708"/>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165708"/>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165708"/>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165708"/>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165708"/>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165708"/>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65708"/>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657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65708"/>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086824"/>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napToGrid/>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165708"/>
    <w:pPr>
      <w:numPr>
        <w:numId w:val="1"/>
      </w:numPr>
      <w:tabs>
        <w:tab w:val="clear" w:pos="1080"/>
        <w:tab w:val="num" w:pos="1440"/>
      </w:tabs>
      <w:spacing w:after="120"/>
    </w:pPr>
  </w:style>
  <w:style w:type="paragraph" w:styleId="EndnoteText">
    <w:name w:val="endnote text"/>
    <w:basedOn w:val="Normal"/>
    <w:link w:val="EndnoteTextChar"/>
    <w:semiHidden/>
    <w:rsid w:val="00165708"/>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165708"/>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165708"/>
    <w:pPr>
      <w:spacing w:after="120"/>
    </w:pPr>
    <w:rPr>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9B2C59"/>
    <w:rPr>
      <w:sz w:val="20"/>
      <w:szCs w:val="20"/>
    </w:rPr>
  </w:style>
  <w:style w:type="character" w:styleId="FootnoteReference">
    <w:name w:val="footnote reference"/>
    <w:aliases w:val="Style 4,Appel note de bas de p,Style 12,(NECG) Footnote Reference,Style 124,Style 13,o,fr,Style 3,FR,Style 17,Style 6,Footnote Reference/"/>
    <w:rsid w:val="00165708"/>
    <w:rPr>
      <w:rFonts w:ascii="Times New Roman" w:hAnsi="Times New Roman"/>
      <w:dstrike w:val="0"/>
      <w:color w:val="auto"/>
      <w:sz w:val="20"/>
      <w:vertAlign w:val="superscript"/>
    </w:rPr>
  </w:style>
  <w:style w:type="paragraph" w:styleId="TOC1">
    <w:name w:val="toc 1"/>
    <w:basedOn w:val="Normal"/>
    <w:next w:val="Normal"/>
    <w:rsid w:val="0016570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65708"/>
    <w:pPr>
      <w:tabs>
        <w:tab w:val="left" w:pos="720"/>
        <w:tab w:val="right" w:leader="dot" w:pos="9360"/>
      </w:tabs>
      <w:suppressAutoHyphens/>
      <w:ind w:left="720" w:right="720" w:hanging="360"/>
    </w:pPr>
    <w:rPr>
      <w:noProof/>
    </w:rPr>
  </w:style>
  <w:style w:type="paragraph" w:styleId="TOC3">
    <w:name w:val="toc 3"/>
    <w:basedOn w:val="Normal"/>
    <w:next w:val="Normal"/>
    <w:semiHidden/>
    <w:rsid w:val="0016570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6570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6570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6570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6570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6570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6570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65708"/>
    <w:pPr>
      <w:tabs>
        <w:tab w:val="right" w:pos="9360"/>
      </w:tabs>
      <w:suppressAutoHyphens/>
    </w:pPr>
  </w:style>
  <w:style w:type="character" w:customStyle="1" w:styleId="EquationCaption">
    <w:name w:val="_Equation Caption"/>
    <w:rsid w:val="00165708"/>
  </w:style>
  <w:style w:type="paragraph" w:styleId="Header">
    <w:name w:val="header"/>
    <w:basedOn w:val="Normal"/>
    <w:link w:val="HeaderChar"/>
    <w:autoRedefine/>
    <w:rsid w:val="00165708"/>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rsid w:val="00165708"/>
    <w:pPr>
      <w:tabs>
        <w:tab w:val="center" w:pos="4320"/>
        <w:tab w:val="right" w:pos="8640"/>
      </w:tabs>
    </w:pPr>
  </w:style>
  <w:style w:type="character" w:customStyle="1" w:styleId="FooterChar">
    <w:name w:val="Footer Char"/>
    <w:basedOn w:val="DefaultParagraphFont"/>
    <w:link w:val="Footer"/>
    <w:locked/>
    <w:rsid w:val="0011687C"/>
    <w:rPr>
      <w:snapToGrid w:val="0"/>
      <w:kern w:val="28"/>
      <w:szCs w:val="20"/>
    </w:rPr>
  </w:style>
  <w:style w:type="character" w:styleId="PageNumber">
    <w:name w:val="page number"/>
    <w:basedOn w:val="DefaultParagraphFont"/>
    <w:rsid w:val="00165708"/>
  </w:style>
  <w:style w:type="paragraph" w:styleId="BlockText">
    <w:name w:val="Block Text"/>
    <w:basedOn w:val="Normal"/>
    <w:rsid w:val="00165708"/>
    <w:pPr>
      <w:spacing w:after="240"/>
      <w:ind w:left="1440" w:right="1440"/>
    </w:pPr>
  </w:style>
  <w:style w:type="paragraph" w:customStyle="1" w:styleId="Paratitle">
    <w:name w:val="Para title"/>
    <w:basedOn w:val="Normal"/>
    <w:rsid w:val="00165708"/>
    <w:pPr>
      <w:tabs>
        <w:tab w:val="center" w:pos="9270"/>
      </w:tabs>
      <w:spacing w:after="240"/>
    </w:pPr>
    <w:rPr>
      <w:spacing w:val="-2"/>
    </w:rPr>
  </w:style>
  <w:style w:type="paragraph" w:customStyle="1" w:styleId="Bullet">
    <w:name w:val="Bullet"/>
    <w:basedOn w:val="Normal"/>
    <w:rsid w:val="00165708"/>
    <w:pPr>
      <w:tabs>
        <w:tab w:val="left" w:pos="2160"/>
      </w:tabs>
      <w:spacing w:after="220"/>
      <w:ind w:left="2160" w:hanging="720"/>
    </w:pPr>
  </w:style>
  <w:style w:type="paragraph" w:customStyle="1" w:styleId="TableFormat">
    <w:name w:val="TableFormat"/>
    <w:basedOn w:val="Bullet"/>
    <w:rsid w:val="00165708"/>
    <w:pPr>
      <w:tabs>
        <w:tab w:val="clear" w:pos="2160"/>
        <w:tab w:val="left" w:pos="5040"/>
      </w:tabs>
      <w:ind w:left="5040" w:hanging="3600"/>
    </w:pPr>
  </w:style>
  <w:style w:type="paragraph" w:customStyle="1" w:styleId="TOCTitle">
    <w:name w:val="TOC Title"/>
    <w:basedOn w:val="Normal"/>
    <w:rsid w:val="0016570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65708"/>
    <w:pPr>
      <w:jc w:val="center"/>
    </w:pPr>
    <w:rPr>
      <w:rFonts w:ascii="Times New Roman Bold" w:hAnsi="Times New Roman Bold"/>
      <w:b/>
      <w:bCs/>
      <w:caps/>
      <w:szCs w:val="22"/>
    </w:rPr>
  </w:style>
  <w:style w:type="character" w:styleId="Hyperlink">
    <w:name w:val="Hyperlink"/>
    <w:rsid w:val="00165708"/>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rrfootnote Char Char Char Char,Footnote Text Char1 Char Char Char Char2,Footnote Text Char Char Char Char Char Char2,Footnote Text Char2 Char Char1"/>
    <w:uiPriority w:val="99"/>
    <w:rsid w:val="009B2C59"/>
    <w:rPr>
      <w:lang w:val="en-US" w:eastAsia="en-US"/>
    </w:rPr>
  </w:style>
  <w:style w:type="character" w:customStyle="1" w:styleId="documentbody">
    <w:name w:val="documentbody"/>
    <w:basedOn w:val="DefaultParagraphFont"/>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napToGrid/>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ocked/>
    <w:rsid w:val="00A204BA"/>
    <w:rPr>
      <w:sz w:val="20"/>
      <w:szCs w:val="20"/>
    </w:rPr>
  </w:style>
  <w:style w:type="paragraph" w:styleId="ListParagraph">
    <w:name w:val="List Paragraph"/>
    <w:basedOn w:val="Normal"/>
    <w:uiPriority w:val="99"/>
    <w:qFormat/>
    <w:rsid w:val="003343CA"/>
    <w:pPr>
      <w:ind w:left="720"/>
      <w:contextualSpacing/>
    </w:pPr>
  </w:style>
  <w:style w:type="paragraph" w:customStyle="1" w:styleId="par1">
    <w:name w:val="par1"/>
    <w:basedOn w:val="Normal"/>
    <w:link w:val="par1Char"/>
    <w:uiPriority w:val="99"/>
    <w:rsid w:val="003343CA"/>
    <w:pPr>
      <w:numPr>
        <w:numId w:val="3"/>
      </w:numPr>
      <w:tabs>
        <w:tab w:val="num" w:pos="900"/>
        <w:tab w:val="left" w:pos="1440"/>
      </w:tabs>
      <w:ind w:left="-180" w:firstLine="720"/>
    </w:pPr>
    <w:rPr>
      <w:sz w:val="20"/>
    </w:rPr>
  </w:style>
  <w:style w:type="character" w:customStyle="1" w:styleId="par1Char">
    <w:name w:val="par1 Char"/>
    <w:link w:val="par1"/>
    <w:uiPriority w:val="99"/>
    <w:locked/>
    <w:rsid w:val="003343CA"/>
    <w:rPr>
      <w:kern w:val="28"/>
      <w:sz w:val="20"/>
      <w:szCs w:val="20"/>
    </w:rPr>
  </w:style>
  <w:style w:type="paragraph" w:styleId="Revision">
    <w:name w:val="Revision"/>
    <w:hidden/>
    <w:uiPriority w:val="99"/>
    <w:semiHidden/>
    <w:rsid w:val="00B5182F"/>
    <w:rPr>
      <w:kern w:val="28"/>
      <w:szCs w:val="20"/>
    </w:rPr>
  </w:style>
  <w:style w:type="character" w:styleId="Emphasis">
    <w:name w:val="Emphasis"/>
    <w:basedOn w:val="DefaultParagraphFont"/>
    <w:uiPriority w:val="20"/>
    <w:qFormat/>
    <w:locked/>
    <w:rsid w:val="00AB431A"/>
    <w:rPr>
      <w:i/>
      <w:iCs/>
    </w:rPr>
  </w:style>
  <w:style w:type="character" w:customStyle="1" w:styleId="FootnoteCharacters">
    <w:name w:val="Footnote Characters"/>
    <w:uiPriority w:val="99"/>
    <w:rsid w:val="00637234"/>
    <w:rPr>
      <w:rFonts w:ascii="Times New Roman" w:hAnsi="Times New Roman"/>
      <w:color w:val="auto"/>
      <w:sz w:val="20"/>
      <w:vertAlign w:val="superscript"/>
    </w:rPr>
  </w:style>
  <w:style w:type="character" w:customStyle="1" w:styleId="apple-converted-space">
    <w:name w:val="apple-converted-space"/>
    <w:rsid w:val="00637234"/>
  </w:style>
  <w:style w:type="character" w:customStyle="1" w:styleId="cosearchterm">
    <w:name w:val="co_searchterm"/>
    <w:basedOn w:val="DefaultParagraphFont"/>
    <w:rsid w:val="00D34C95"/>
  </w:style>
  <w:style w:type="character" w:customStyle="1" w:styleId="costarpage">
    <w:name w:val="co_starpage"/>
    <w:basedOn w:val="DefaultParagraphFont"/>
    <w:rsid w:val="00D34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16321">
      <w:marLeft w:val="0"/>
      <w:marRight w:val="0"/>
      <w:marTop w:val="0"/>
      <w:marBottom w:val="0"/>
      <w:divBdr>
        <w:top w:val="none" w:sz="0" w:space="0" w:color="auto"/>
        <w:left w:val="none" w:sz="0" w:space="0" w:color="auto"/>
        <w:bottom w:val="none" w:sz="0" w:space="0" w:color="auto"/>
        <w:right w:val="none" w:sz="0" w:space="0" w:color="auto"/>
      </w:divBdr>
      <w:divsChild>
        <w:div w:id="437216320">
          <w:marLeft w:val="0"/>
          <w:marRight w:val="0"/>
          <w:marTop w:val="0"/>
          <w:marBottom w:val="0"/>
          <w:divBdr>
            <w:top w:val="none" w:sz="0" w:space="0" w:color="auto"/>
            <w:left w:val="none" w:sz="0" w:space="0" w:color="auto"/>
            <w:bottom w:val="none" w:sz="0" w:space="0" w:color="auto"/>
            <w:right w:val="none" w:sz="0" w:space="0" w:color="auto"/>
          </w:divBdr>
          <w:divsChild>
            <w:div w:id="4372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81990">
      <w:bodyDiv w:val="1"/>
      <w:marLeft w:val="0"/>
      <w:marRight w:val="0"/>
      <w:marTop w:val="0"/>
      <w:marBottom w:val="0"/>
      <w:divBdr>
        <w:top w:val="none" w:sz="0" w:space="0" w:color="auto"/>
        <w:left w:val="none" w:sz="0" w:space="0" w:color="auto"/>
        <w:bottom w:val="none" w:sz="0" w:space="0" w:color="auto"/>
        <w:right w:val="none" w:sz="0" w:space="0" w:color="auto"/>
      </w:divBdr>
    </w:div>
    <w:div w:id="18069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1585</Words>
  <Characters>8880</Characters>
  <Application>Microsoft Office Word</Application>
  <DocSecurity>0</DocSecurity>
  <Lines>152</Lines>
  <Paragraphs>47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10500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2015-06-30T12:37:00Z</dcterms:created>
  <dcterms:modified xsi:type="dcterms:W3CDTF">2015-06-30T12:37:00Z</dcterms:modified>
  <cp:category> </cp:category>
  <cp:contentStatus> </cp:contentStatus>
</cp:coreProperties>
</file>