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135BA" w14:textId="77777777" w:rsidR="00C94F99" w:rsidRDefault="00C94F99" w:rsidP="00C94F99">
      <w:pPr>
        <w:jc w:val="center"/>
        <w:rPr>
          <w:b/>
        </w:rPr>
      </w:pPr>
      <w:bookmarkStart w:id="0" w:name="_GoBack"/>
      <w:bookmarkEnd w:id="0"/>
      <w:r>
        <w:rPr>
          <w:b/>
        </w:rPr>
        <w:t>Before the</w:t>
      </w:r>
    </w:p>
    <w:p w14:paraId="0816DD0B" w14:textId="77777777" w:rsidR="00C94F99" w:rsidRDefault="00C94F99" w:rsidP="00C94F99">
      <w:pPr>
        <w:jc w:val="center"/>
        <w:rPr>
          <w:b/>
        </w:rPr>
      </w:pPr>
      <w:r>
        <w:rPr>
          <w:b/>
        </w:rPr>
        <w:t>Federal Communications Commission</w:t>
      </w:r>
    </w:p>
    <w:p w14:paraId="702A9282" w14:textId="77777777" w:rsidR="00C94F99" w:rsidRDefault="00C94F99" w:rsidP="00C94F99">
      <w:pPr>
        <w:jc w:val="center"/>
        <w:rPr>
          <w:b/>
        </w:rPr>
      </w:pPr>
      <w:r>
        <w:rPr>
          <w:b/>
        </w:rPr>
        <w:t>Washington, DC 20554</w:t>
      </w:r>
    </w:p>
    <w:p w14:paraId="2C43892D" w14:textId="77777777" w:rsidR="00C94F99" w:rsidRDefault="00C94F99" w:rsidP="00C94F99"/>
    <w:p w14:paraId="35F2583E" w14:textId="77777777" w:rsidR="00C94F99" w:rsidRDefault="00C94F99" w:rsidP="00C94F99"/>
    <w:tbl>
      <w:tblPr>
        <w:tblW w:w="9707" w:type="dxa"/>
        <w:tblLayout w:type="fixed"/>
        <w:tblLook w:val="0000" w:firstRow="0" w:lastRow="0" w:firstColumn="0" w:lastColumn="0" w:noHBand="0" w:noVBand="0"/>
      </w:tblPr>
      <w:tblGrid>
        <w:gridCol w:w="4727"/>
        <w:gridCol w:w="724"/>
        <w:gridCol w:w="4256"/>
      </w:tblGrid>
      <w:tr w:rsidR="00C94F99" w14:paraId="70BED44D" w14:textId="77777777" w:rsidTr="00C71D93">
        <w:trPr>
          <w:trHeight w:val="2896"/>
        </w:trPr>
        <w:tc>
          <w:tcPr>
            <w:tcW w:w="4727" w:type="dxa"/>
          </w:tcPr>
          <w:p w14:paraId="2D3014A5" w14:textId="77777777" w:rsidR="00C94F99" w:rsidRDefault="00C94F99" w:rsidP="00C71D93">
            <w:pPr>
              <w:ind w:right="-18"/>
            </w:pPr>
            <w:r>
              <w:t>In the Matter of</w:t>
            </w:r>
          </w:p>
          <w:p w14:paraId="2894DAC8" w14:textId="77777777" w:rsidR="00C94F99" w:rsidRDefault="00C94F99" w:rsidP="00C71D93">
            <w:pPr>
              <w:ind w:right="-18"/>
            </w:pPr>
          </w:p>
          <w:p w14:paraId="7199E027" w14:textId="77777777" w:rsidR="00C42866" w:rsidRDefault="00C42866" w:rsidP="00C71D93">
            <w:pPr>
              <w:ind w:right="-18"/>
              <w:rPr>
                <w:spacing w:val="-2"/>
                <w:szCs w:val="22"/>
              </w:rPr>
            </w:pPr>
            <w:r>
              <w:rPr>
                <w:spacing w:val="-2"/>
                <w:szCs w:val="22"/>
              </w:rPr>
              <w:t>Closed Captioning of Video Programming</w:t>
            </w:r>
          </w:p>
          <w:p w14:paraId="37392C88" w14:textId="77777777" w:rsidR="00C42866" w:rsidRDefault="00C42866" w:rsidP="00C71D93">
            <w:pPr>
              <w:ind w:right="-18"/>
              <w:rPr>
                <w:spacing w:val="-2"/>
                <w:szCs w:val="22"/>
              </w:rPr>
            </w:pPr>
          </w:p>
          <w:p w14:paraId="276E3AB2" w14:textId="77777777" w:rsidR="00C94F99" w:rsidRDefault="00C42866" w:rsidP="00C71D93">
            <w:pPr>
              <w:ind w:right="-18"/>
              <w:rPr>
                <w:spacing w:val="-2"/>
                <w:szCs w:val="22"/>
              </w:rPr>
            </w:pPr>
            <w:r>
              <w:rPr>
                <w:spacing w:val="-2"/>
                <w:szCs w:val="22"/>
              </w:rPr>
              <w:t>Telecommunications for the Deaf and Hard of Hearing, Inc.</w:t>
            </w:r>
          </w:p>
          <w:p w14:paraId="4ACE779C" w14:textId="77777777" w:rsidR="00C94F99" w:rsidRDefault="00C42866" w:rsidP="005716B0">
            <w:pPr>
              <w:ind w:right="-18"/>
            </w:pPr>
            <w:r>
              <w:rPr>
                <w:spacing w:val="-2"/>
                <w:szCs w:val="22"/>
              </w:rPr>
              <w:t>Petition for Rulemaking</w:t>
            </w:r>
          </w:p>
        </w:tc>
        <w:tc>
          <w:tcPr>
            <w:tcW w:w="724" w:type="dxa"/>
          </w:tcPr>
          <w:p w14:paraId="6DCF774F" w14:textId="77777777" w:rsidR="00C94F99" w:rsidRDefault="00C94F99" w:rsidP="00C71D93">
            <w:pPr>
              <w:rPr>
                <w:b/>
              </w:rPr>
            </w:pPr>
            <w:r>
              <w:rPr>
                <w:b/>
              </w:rPr>
              <w:t>)</w:t>
            </w:r>
          </w:p>
          <w:p w14:paraId="4B20F128" w14:textId="77777777" w:rsidR="00C94F99" w:rsidRDefault="00C94F99" w:rsidP="00C71D93">
            <w:pPr>
              <w:rPr>
                <w:b/>
              </w:rPr>
            </w:pPr>
            <w:r>
              <w:rPr>
                <w:b/>
              </w:rPr>
              <w:t>)</w:t>
            </w:r>
          </w:p>
          <w:p w14:paraId="49D07541" w14:textId="77777777" w:rsidR="00C94F99" w:rsidRDefault="00C94F99" w:rsidP="00C71D93">
            <w:pPr>
              <w:rPr>
                <w:b/>
              </w:rPr>
            </w:pPr>
            <w:r>
              <w:rPr>
                <w:b/>
              </w:rPr>
              <w:t>)</w:t>
            </w:r>
          </w:p>
          <w:p w14:paraId="5D2F23C4" w14:textId="77777777" w:rsidR="00C94F99" w:rsidRDefault="00C94F99" w:rsidP="00C71D93">
            <w:pPr>
              <w:rPr>
                <w:b/>
              </w:rPr>
            </w:pPr>
            <w:r>
              <w:rPr>
                <w:b/>
              </w:rPr>
              <w:t>)</w:t>
            </w:r>
          </w:p>
          <w:p w14:paraId="747BF848" w14:textId="77777777" w:rsidR="00C94F99" w:rsidRDefault="00C94F99" w:rsidP="00C71D93">
            <w:pPr>
              <w:rPr>
                <w:b/>
              </w:rPr>
            </w:pPr>
            <w:r>
              <w:rPr>
                <w:b/>
              </w:rPr>
              <w:t>)</w:t>
            </w:r>
          </w:p>
          <w:p w14:paraId="52F0D971" w14:textId="77777777" w:rsidR="00C94F99" w:rsidRDefault="00C94F99" w:rsidP="00C71D93">
            <w:pPr>
              <w:rPr>
                <w:b/>
              </w:rPr>
            </w:pPr>
            <w:r>
              <w:rPr>
                <w:b/>
              </w:rPr>
              <w:t>)</w:t>
            </w:r>
          </w:p>
          <w:p w14:paraId="7CD2A47B" w14:textId="77777777" w:rsidR="00C94F99" w:rsidRDefault="00C94F99" w:rsidP="00C71D93">
            <w:pPr>
              <w:rPr>
                <w:b/>
              </w:rPr>
            </w:pPr>
            <w:r>
              <w:rPr>
                <w:b/>
              </w:rPr>
              <w:t>)</w:t>
            </w:r>
          </w:p>
          <w:p w14:paraId="37FCFA1F" w14:textId="77777777" w:rsidR="00C94F99" w:rsidRDefault="00C94F99" w:rsidP="00C71D93">
            <w:pPr>
              <w:rPr>
                <w:b/>
              </w:rPr>
            </w:pPr>
            <w:r>
              <w:rPr>
                <w:b/>
              </w:rPr>
              <w:t>)</w:t>
            </w:r>
          </w:p>
          <w:p w14:paraId="7F143F6A" w14:textId="77777777" w:rsidR="00C94F99" w:rsidRDefault="00C94F99" w:rsidP="00C71D93">
            <w:pPr>
              <w:rPr>
                <w:b/>
              </w:rPr>
            </w:pPr>
            <w:r>
              <w:rPr>
                <w:b/>
              </w:rPr>
              <w:t>)</w:t>
            </w:r>
          </w:p>
          <w:p w14:paraId="46D1C2A3" w14:textId="77777777" w:rsidR="00C94F99" w:rsidRDefault="00C94F99" w:rsidP="00C71D93">
            <w:pPr>
              <w:rPr>
                <w:b/>
              </w:rPr>
            </w:pPr>
            <w:r>
              <w:rPr>
                <w:b/>
              </w:rPr>
              <w:t>)</w:t>
            </w:r>
          </w:p>
        </w:tc>
        <w:tc>
          <w:tcPr>
            <w:tcW w:w="4256" w:type="dxa"/>
          </w:tcPr>
          <w:p w14:paraId="7824CE3D" w14:textId="77777777" w:rsidR="00C94F99" w:rsidRDefault="00C94F99" w:rsidP="00C71D93"/>
          <w:p w14:paraId="3708F0FF" w14:textId="77777777" w:rsidR="00C94F99" w:rsidRDefault="00C94F99" w:rsidP="00C71D93"/>
          <w:p w14:paraId="6D1243C5" w14:textId="77777777" w:rsidR="00C94F99" w:rsidRDefault="00C42866" w:rsidP="00C71D93">
            <w:r>
              <w:t>CG Docket No. 05-231</w:t>
            </w:r>
          </w:p>
        </w:tc>
      </w:tr>
    </w:tbl>
    <w:p w14:paraId="63E37200" w14:textId="77777777" w:rsidR="00C94F99" w:rsidRDefault="00C94F99" w:rsidP="00C94F99">
      <w:pPr>
        <w:jc w:val="center"/>
        <w:rPr>
          <w:b/>
        </w:rPr>
      </w:pPr>
      <w:r w:rsidRPr="00333068">
        <w:rPr>
          <w:b/>
        </w:rPr>
        <w:t>ORDER</w:t>
      </w:r>
    </w:p>
    <w:p w14:paraId="279956B9" w14:textId="77777777" w:rsidR="00C71D93" w:rsidRDefault="00C71D93" w:rsidP="00C94F99">
      <w:pPr>
        <w:jc w:val="center"/>
        <w:rPr>
          <w:b/>
        </w:rPr>
      </w:pPr>
    </w:p>
    <w:p w14:paraId="40A0C030" w14:textId="60226BDE" w:rsidR="00C94F99" w:rsidRDefault="00C94F99" w:rsidP="00C94F99">
      <w:pPr>
        <w:tabs>
          <w:tab w:val="left" w:pos="5760"/>
        </w:tabs>
        <w:rPr>
          <w:b/>
          <w:szCs w:val="22"/>
        </w:rPr>
      </w:pPr>
      <w:r w:rsidRPr="007F7B4B">
        <w:rPr>
          <w:b/>
          <w:szCs w:val="22"/>
        </w:rPr>
        <w:t xml:space="preserve">Adopted:  </w:t>
      </w:r>
      <w:r w:rsidR="00C42866">
        <w:rPr>
          <w:b/>
          <w:szCs w:val="22"/>
        </w:rPr>
        <w:t xml:space="preserve">June </w:t>
      </w:r>
      <w:r w:rsidR="0016507F">
        <w:rPr>
          <w:b/>
          <w:szCs w:val="22"/>
        </w:rPr>
        <w:t>25</w:t>
      </w:r>
      <w:r w:rsidR="003750EA">
        <w:rPr>
          <w:b/>
          <w:szCs w:val="22"/>
        </w:rPr>
        <w:t>, 201</w:t>
      </w:r>
      <w:r w:rsidR="00C42866">
        <w:rPr>
          <w:b/>
          <w:szCs w:val="22"/>
        </w:rPr>
        <w:t>5</w:t>
      </w:r>
      <w:r w:rsidRPr="007F7B4B">
        <w:rPr>
          <w:b/>
          <w:szCs w:val="22"/>
        </w:rPr>
        <w:tab/>
        <w:t xml:space="preserve">Released:  </w:t>
      </w:r>
      <w:r w:rsidR="0016507F">
        <w:rPr>
          <w:b/>
          <w:szCs w:val="22"/>
        </w:rPr>
        <w:t>June 25</w:t>
      </w:r>
      <w:r w:rsidR="00C42866">
        <w:rPr>
          <w:b/>
          <w:szCs w:val="22"/>
        </w:rPr>
        <w:t>, 2015</w:t>
      </w:r>
    </w:p>
    <w:p w14:paraId="71F9C820" w14:textId="77777777" w:rsidR="00C42866" w:rsidRPr="007F7B4B" w:rsidRDefault="00C42866" w:rsidP="00C94F99">
      <w:pPr>
        <w:tabs>
          <w:tab w:val="left" w:pos="5760"/>
        </w:tabs>
        <w:rPr>
          <w:b/>
          <w:spacing w:val="-2"/>
          <w:szCs w:val="22"/>
        </w:rPr>
      </w:pPr>
    </w:p>
    <w:p w14:paraId="167F79E6" w14:textId="77777777" w:rsidR="00C94F99" w:rsidRDefault="00C94F99" w:rsidP="00C94F99">
      <w:pPr>
        <w:tabs>
          <w:tab w:val="left" w:leader="dot" w:pos="5760"/>
        </w:tabs>
        <w:rPr>
          <w:spacing w:val="-2"/>
          <w:szCs w:val="22"/>
        </w:rPr>
      </w:pPr>
      <w:bookmarkStart w:id="1" w:name="start_here"/>
      <w:bookmarkStart w:id="2" w:name="TOChere"/>
      <w:bookmarkEnd w:id="1"/>
      <w:r w:rsidRPr="007F7B4B">
        <w:rPr>
          <w:szCs w:val="22"/>
        </w:rPr>
        <w:t xml:space="preserve">By the </w:t>
      </w:r>
      <w:r w:rsidR="005716B0">
        <w:rPr>
          <w:szCs w:val="22"/>
        </w:rPr>
        <w:t>Acting</w:t>
      </w:r>
      <w:r w:rsidR="0028065D">
        <w:rPr>
          <w:szCs w:val="22"/>
        </w:rPr>
        <w:t xml:space="preserve"> </w:t>
      </w:r>
      <w:r w:rsidR="00C42866">
        <w:rPr>
          <w:szCs w:val="22"/>
        </w:rPr>
        <w:t>Chief, Consumer and Government</w:t>
      </w:r>
      <w:r w:rsidR="0068144F">
        <w:rPr>
          <w:szCs w:val="22"/>
        </w:rPr>
        <w:t>al</w:t>
      </w:r>
      <w:r w:rsidR="00C42866">
        <w:rPr>
          <w:szCs w:val="22"/>
        </w:rPr>
        <w:t xml:space="preserve"> Affairs Bureau</w:t>
      </w:r>
      <w:r w:rsidRPr="007F7B4B">
        <w:rPr>
          <w:spacing w:val="-2"/>
          <w:szCs w:val="22"/>
        </w:rPr>
        <w:t>:</w:t>
      </w:r>
    </w:p>
    <w:p w14:paraId="33743337" w14:textId="77777777" w:rsidR="00604C9C" w:rsidRDefault="00604C9C" w:rsidP="00C94F99">
      <w:pPr>
        <w:tabs>
          <w:tab w:val="left" w:leader="dot" w:pos="5760"/>
        </w:tabs>
        <w:rPr>
          <w:spacing w:val="-2"/>
          <w:szCs w:val="22"/>
        </w:rPr>
      </w:pPr>
    </w:p>
    <w:p w14:paraId="0BDD8379" w14:textId="77777777" w:rsidR="00604C9C" w:rsidRDefault="00604C9C" w:rsidP="00604C9C">
      <w:pPr>
        <w:pStyle w:val="Heading1"/>
      </w:pPr>
      <w:r>
        <w:t>Introduction</w:t>
      </w:r>
    </w:p>
    <w:p w14:paraId="4C097F2A" w14:textId="370C72DA" w:rsidR="00604C9C" w:rsidRDefault="00604C9C" w:rsidP="00653479">
      <w:pPr>
        <w:pStyle w:val="ParaNum"/>
      </w:pPr>
      <w:r>
        <w:t>In this Order, the Consumer and Governmental Affairs Bureau (CGB) of the Federal Communications Commission (FCC or Commission) grants</w:t>
      </w:r>
      <w:r w:rsidR="00EB64C8">
        <w:t xml:space="preserve"> in part</w:t>
      </w:r>
      <w:r>
        <w:t xml:space="preserve"> a request made by </w:t>
      </w:r>
      <w:r w:rsidRPr="00604C9C">
        <w:t>the National Association of Broadcasters (NAB), along with Telecommunications for the Deaf and Hard of Hearing, Inc.</w:t>
      </w:r>
      <w:r w:rsidR="00AF4F38">
        <w:t xml:space="preserve"> </w:t>
      </w:r>
      <w:r w:rsidRPr="00604C9C">
        <w:t>(TDI), the National Association of the Deaf (NAD),</w:t>
      </w:r>
      <w:r w:rsidR="00941548">
        <w:t xml:space="preserve"> and</w:t>
      </w:r>
      <w:r w:rsidRPr="00604C9C">
        <w:t xml:space="preserve"> the Hearing Loss Association of America (HLAA)</w:t>
      </w:r>
      <w:r w:rsidR="00941548">
        <w:t xml:space="preserve"> </w:t>
      </w:r>
      <w:r w:rsidR="00941548" w:rsidRPr="00604C9C">
        <w:t>(collectively, the Consumer Groups)</w:t>
      </w:r>
      <w:r w:rsidRPr="00604C9C">
        <w:t xml:space="preserve"> and the Technology Access Program at Gallaudet University (TAP) </w:t>
      </w:r>
      <w:r>
        <w:t>to extend for six months the requirement</w:t>
      </w:r>
      <w:r w:rsidR="00E3384E">
        <w:t xml:space="preserve"> for broadcasters</w:t>
      </w:r>
      <w:r>
        <w:t xml:space="preserve"> to </w:t>
      </w:r>
      <w:r w:rsidRPr="00604C9C">
        <w:t xml:space="preserve">jointly </w:t>
      </w:r>
      <w:r>
        <w:t>prepar</w:t>
      </w:r>
      <w:r w:rsidRPr="00604C9C">
        <w:t>e and submit to the Commission</w:t>
      </w:r>
      <w:r>
        <w:t xml:space="preserve"> </w:t>
      </w:r>
      <w:r w:rsidRPr="00604C9C">
        <w:t xml:space="preserve">a report on the experiences </w:t>
      </w:r>
      <w:r w:rsidR="008959FD">
        <w:t xml:space="preserve">they have had in </w:t>
      </w:r>
      <w:r w:rsidRPr="00604C9C">
        <w:t xml:space="preserve">following </w:t>
      </w:r>
      <w:r>
        <w:t>the new Electronic Newsroom Technique (ENT) rules</w:t>
      </w:r>
      <w:r w:rsidR="00AA4990">
        <w:rPr>
          <w:rStyle w:val="FootnoteReference"/>
        </w:rPr>
        <w:footnoteReference w:id="1"/>
      </w:r>
      <w:r>
        <w:t xml:space="preserve"> and the extent to which the new ENT rules</w:t>
      </w:r>
      <w:r w:rsidRPr="00604C9C">
        <w:t xml:space="preserve"> have been successful in providing full and equal access to live programming</w:t>
      </w:r>
      <w:r>
        <w:t xml:space="preserve"> on television</w:t>
      </w:r>
      <w:r w:rsidR="00E63C0A">
        <w:t xml:space="preserve"> (ENT Report)</w:t>
      </w:r>
      <w:r>
        <w:t>.</w:t>
      </w:r>
      <w:r w:rsidR="00E3384E">
        <w:rPr>
          <w:rStyle w:val="FootnoteReference"/>
        </w:rPr>
        <w:footnoteReference w:id="2"/>
      </w:r>
      <w:r>
        <w:t xml:space="preserve">  </w:t>
      </w:r>
      <w:r w:rsidR="00D13D5F">
        <w:t>Section 79.1(e)(11)(v) of the rules</w:t>
      </w:r>
      <w:r w:rsidR="000B4E14">
        <w:t xml:space="preserve"> require</w:t>
      </w:r>
      <w:r w:rsidR="00D13D5F">
        <w:t>s</w:t>
      </w:r>
      <w:r w:rsidR="000B4E14">
        <w:t xml:space="preserve"> this report to be prepared in consultation with</w:t>
      </w:r>
      <w:r w:rsidR="00D13D5F">
        <w:t xml:space="preserve"> closed caption viewers and</w:t>
      </w:r>
      <w:r w:rsidR="000B4E14">
        <w:t xml:space="preserve"> organizations representing </w:t>
      </w:r>
      <w:r w:rsidR="008959FD">
        <w:t>closed caption viewers</w:t>
      </w:r>
      <w:r w:rsidR="000B4E14">
        <w:t xml:space="preserve"> and to be submitted to the Commission</w:t>
      </w:r>
      <w:r w:rsidR="00D13D5F">
        <w:t xml:space="preserve"> no later than one year after the effective date of the requirement, </w:t>
      </w:r>
      <w:r w:rsidR="000E2AB2">
        <w:rPr>
          <w:i/>
        </w:rPr>
        <w:t>i.e.</w:t>
      </w:r>
      <w:r w:rsidR="000E2AB2">
        <w:t xml:space="preserve">, </w:t>
      </w:r>
      <w:r w:rsidR="00EE2136">
        <w:t>no later than</w:t>
      </w:r>
      <w:r w:rsidR="000B4E14">
        <w:t xml:space="preserve"> June 30, 2015.</w:t>
      </w:r>
      <w:r w:rsidR="00D13D5F">
        <w:rPr>
          <w:rStyle w:val="FootnoteReference"/>
        </w:rPr>
        <w:footnoteReference w:id="3"/>
      </w:r>
      <w:r w:rsidR="000B4E14">
        <w:t xml:space="preserve">  Pursuant to this order, t</w:t>
      </w:r>
      <w:r>
        <w:t xml:space="preserve">he new due date for the submission of this ENT Report is </w:t>
      </w:r>
      <w:r w:rsidR="00CD7628">
        <w:t xml:space="preserve">extended for </w:t>
      </w:r>
      <w:r w:rsidR="00634B14">
        <w:t>120 days, rather than</w:t>
      </w:r>
      <w:r w:rsidR="00D14390">
        <w:t xml:space="preserve"> the requested</w:t>
      </w:r>
      <w:r w:rsidR="00634B14">
        <w:t xml:space="preserve"> six months</w:t>
      </w:r>
      <w:r w:rsidR="00CD7628">
        <w:t xml:space="preserve">; </w:t>
      </w:r>
      <w:r w:rsidR="00EB64C8">
        <w:t>accordingly</w:t>
      </w:r>
      <w:r w:rsidR="00CD7628">
        <w:t xml:space="preserve">, </w:t>
      </w:r>
      <w:r w:rsidR="00634B14">
        <w:t xml:space="preserve">the new due date for the ENT Report is </w:t>
      </w:r>
      <w:r w:rsidR="00CD7628">
        <w:t>no later than October 28</w:t>
      </w:r>
      <w:r>
        <w:t>, 2015.</w:t>
      </w:r>
    </w:p>
    <w:p w14:paraId="23604FAB" w14:textId="77777777" w:rsidR="00C71D93" w:rsidRPr="00604C9C" w:rsidRDefault="00604C9C" w:rsidP="00493190">
      <w:pPr>
        <w:pStyle w:val="Heading1"/>
        <w:tabs>
          <w:tab w:val="left" w:leader="dot" w:pos="5760"/>
        </w:tabs>
        <w:rPr>
          <w:spacing w:val="-2"/>
          <w:szCs w:val="22"/>
        </w:rPr>
      </w:pPr>
      <w:r>
        <w:t>background</w:t>
      </w:r>
    </w:p>
    <w:p w14:paraId="7B166475" w14:textId="1844D518" w:rsidR="006E04F7" w:rsidRPr="006E04F7" w:rsidRDefault="00C42866" w:rsidP="008A6E2D">
      <w:pPr>
        <w:pStyle w:val="ParaNum"/>
      </w:pPr>
      <w:r>
        <w:t>On February 24, 2014</w:t>
      </w:r>
      <w:r w:rsidR="00C71D93">
        <w:t xml:space="preserve">, the Commission released a </w:t>
      </w:r>
      <w:r>
        <w:t xml:space="preserve">Report and Order, Declaratory Ruling, and Further Notice </w:t>
      </w:r>
      <w:r w:rsidR="00C71D93">
        <w:t>of Proposed Rulemaking</w:t>
      </w:r>
      <w:r>
        <w:t xml:space="preserve"> </w:t>
      </w:r>
      <w:r w:rsidR="000B4E14">
        <w:t xml:space="preserve">adopting </w:t>
      </w:r>
      <w:r>
        <w:t xml:space="preserve">captioning quality standards and technical compliance rules to ensure that video programming on television is fully accessible to individuals who are </w:t>
      </w:r>
      <w:r>
        <w:lastRenderedPageBreak/>
        <w:t>deaf and hard of hearing through the provision of closed captioning</w:t>
      </w:r>
      <w:r w:rsidR="00C71D93">
        <w:t>.</w:t>
      </w:r>
      <w:r w:rsidR="00C71D93">
        <w:rPr>
          <w:rStyle w:val="FootnoteReference"/>
        </w:rPr>
        <w:footnoteReference w:id="4"/>
      </w:r>
      <w:r w:rsidR="00C414AD">
        <w:t xml:space="preserve">  </w:t>
      </w:r>
      <w:r w:rsidR="00551007">
        <w:t>T</w:t>
      </w:r>
      <w:r w:rsidR="006E04F7">
        <w:t xml:space="preserve">he </w:t>
      </w:r>
      <w:r w:rsidR="000B4E14" w:rsidRPr="006E04F7">
        <w:rPr>
          <w:i/>
        </w:rPr>
        <w:t>Closed Captioning Quality Order</w:t>
      </w:r>
      <w:r w:rsidR="000B4E14" w:rsidDel="000B4E14">
        <w:rPr>
          <w:bCs/>
        </w:rPr>
        <w:t xml:space="preserve"> </w:t>
      </w:r>
      <w:r w:rsidR="00AA4990">
        <w:rPr>
          <w:bCs/>
        </w:rPr>
        <w:t>included new</w:t>
      </w:r>
      <w:r w:rsidR="006E04F7" w:rsidRPr="00AA4990">
        <w:rPr>
          <w:bCs/>
        </w:rPr>
        <w:t xml:space="preserve"> ENT rules requir</w:t>
      </w:r>
      <w:r w:rsidR="00AA4990">
        <w:rPr>
          <w:bCs/>
        </w:rPr>
        <w:t>ing</w:t>
      </w:r>
      <w:r w:rsidR="006E04F7" w:rsidRPr="00AA4990">
        <w:rPr>
          <w:bCs/>
        </w:rPr>
        <w:t xml:space="preserve"> broadcast stations </w:t>
      </w:r>
      <w:r w:rsidR="000B4E14">
        <w:rPr>
          <w:bCs/>
        </w:rPr>
        <w:t xml:space="preserve">choosing to meet its captioning obligations through </w:t>
      </w:r>
      <w:r w:rsidR="006E04F7" w:rsidRPr="00AA4990">
        <w:rPr>
          <w:bCs/>
        </w:rPr>
        <w:t xml:space="preserve">ENT </w:t>
      </w:r>
      <w:r w:rsidR="00AA4990">
        <w:rPr>
          <w:bCs/>
        </w:rPr>
        <w:t xml:space="preserve">to </w:t>
      </w:r>
      <w:r w:rsidR="006E04F7" w:rsidRPr="00AA4990">
        <w:rPr>
          <w:bCs/>
        </w:rPr>
        <w:t xml:space="preserve">comply with enhanced ENT procedures </w:t>
      </w:r>
      <w:r w:rsidR="00AA4990">
        <w:rPr>
          <w:bCs/>
        </w:rPr>
        <w:t>by</w:t>
      </w:r>
      <w:r w:rsidR="006E04F7" w:rsidRPr="00AA4990">
        <w:rPr>
          <w:bCs/>
        </w:rPr>
        <w:t xml:space="preserve"> June 30, 2014.</w:t>
      </w:r>
      <w:r w:rsidR="006E04F7" w:rsidRPr="006E04F7">
        <w:rPr>
          <w:bCs/>
          <w:vertAlign w:val="superscript"/>
        </w:rPr>
        <w:footnoteReference w:id="5"/>
      </w:r>
      <w:r w:rsidR="006E04F7" w:rsidRPr="00AA4990">
        <w:rPr>
          <w:bCs/>
        </w:rPr>
        <w:t xml:space="preserve">  </w:t>
      </w:r>
      <w:r w:rsidR="00391F1C">
        <w:rPr>
          <w:bCs/>
        </w:rPr>
        <w:t>Section 79.1(e)(11)(v) of the rules</w:t>
      </w:r>
      <w:r w:rsidR="000B4E14">
        <w:rPr>
          <w:bCs/>
        </w:rPr>
        <w:t xml:space="preserve"> establishe</w:t>
      </w:r>
      <w:r w:rsidR="00391F1C">
        <w:rPr>
          <w:bCs/>
        </w:rPr>
        <w:t>s</w:t>
      </w:r>
      <w:r w:rsidR="00C47246">
        <w:rPr>
          <w:bCs/>
        </w:rPr>
        <w:t xml:space="preserve"> a </w:t>
      </w:r>
      <w:r w:rsidR="00AA22A8">
        <w:rPr>
          <w:bCs/>
        </w:rPr>
        <w:t>due date</w:t>
      </w:r>
      <w:r w:rsidR="00C47246">
        <w:rPr>
          <w:bCs/>
        </w:rPr>
        <w:t xml:space="preserve"> of one year after the effective date of the requirement, </w:t>
      </w:r>
      <w:r w:rsidR="00EE2136" w:rsidRPr="009A7D31">
        <w:rPr>
          <w:bCs/>
          <w:i/>
        </w:rPr>
        <w:t>i.e.</w:t>
      </w:r>
      <w:r w:rsidR="00EE2136">
        <w:rPr>
          <w:bCs/>
        </w:rPr>
        <w:t xml:space="preserve">, </w:t>
      </w:r>
      <w:r w:rsidR="009A7D31">
        <w:rPr>
          <w:bCs/>
        </w:rPr>
        <w:t xml:space="preserve">no later than </w:t>
      </w:r>
      <w:r w:rsidR="006E04F7" w:rsidRPr="006E04F7">
        <w:t>June 30, 2015</w:t>
      </w:r>
      <w:r w:rsidR="00C47246">
        <w:t>,</w:t>
      </w:r>
      <w:r w:rsidR="000B4E14">
        <w:t xml:space="preserve"> for</w:t>
      </w:r>
      <w:r w:rsidR="006E04F7" w:rsidRPr="006E04F7">
        <w:t xml:space="preserve"> broadcast stations subject to the</w:t>
      </w:r>
      <w:r w:rsidR="008959FD">
        <w:t>se</w:t>
      </w:r>
      <w:r w:rsidR="006E04F7" w:rsidRPr="006E04F7">
        <w:t xml:space="preserve"> enhanced ENT procedures </w:t>
      </w:r>
      <w:r w:rsidR="008C6FCB">
        <w:t>to</w:t>
      </w:r>
      <w:r w:rsidR="008C6FCB" w:rsidRPr="006E04F7">
        <w:t xml:space="preserve"> </w:t>
      </w:r>
      <w:r w:rsidR="006E04F7" w:rsidRPr="006E04F7">
        <w:t>jointly prepare and submit to the Commission, in consultation with individuals who rely on captions to watch television and organizations representing such individuals, a report on their experiences with following such procedures, and the extent to</w:t>
      </w:r>
      <w:r w:rsidR="00391F1C">
        <w:t xml:space="preserve"> which</w:t>
      </w:r>
      <w:r w:rsidR="006E04F7" w:rsidRPr="006E04F7">
        <w:t xml:space="preserve"> </w:t>
      </w:r>
      <w:r w:rsidR="000B4E14">
        <w:t xml:space="preserve">ENT has </w:t>
      </w:r>
      <w:r w:rsidR="006E04F7" w:rsidRPr="006E04F7">
        <w:t>been successful in providing full and equal access to live programming.</w:t>
      </w:r>
      <w:r w:rsidR="006E04F7" w:rsidRPr="006E04F7">
        <w:rPr>
          <w:vertAlign w:val="superscript"/>
        </w:rPr>
        <w:footnoteReference w:id="6"/>
      </w:r>
      <w:r w:rsidR="006E04F7" w:rsidRPr="006E04F7">
        <w:t xml:space="preserve">  </w:t>
      </w:r>
      <w:r w:rsidR="008959FD">
        <w:t xml:space="preserve">Based on recommendations from the Consumer Groups, in the </w:t>
      </w:r>
      <w:r w:rsidR="000B4E14" w:rsidRPr="006E04F7">
        <w:rPr>
          <w:i/>
        </w:rPr>
        <w:t>Closed Captioning Quality Order</w:t>
      </w:r>
      <w:r w:rsidR="000B4E14">
        <w:rPr>
          <w:i/>
        </w:rPr>
        <w:t xml:space="preserve"> </w:t>
      </w:r>
      <w:r w:rsidR="008959FD">
        <w:t xml:space="preserve">the Commission encouraged </w:t>
      </w:r>
      <w:r w:rsidR="0097475E">
        <w:t xml:space="preserve">drafters of the ENT </w:t>
      </w:r>
      <w:r w:rsidR="001F3303">
        <w:t>Report</w:t>
      </w:r>
      <w:r w:rsidR="006E04F7" w:rsidRPr="006E04F7">
        <w:t xml:space="preserve"> to demonstrate the extent to which ENT captioning meets the principles of accuracy, completeness, synchronicity, and placement, the percentage and quantity of uncaptioned programming by stations using ENT, the impact of ENT usage on the ability of consumers who are deaf and hard of hearing to access programming, complaints filed about ENT, the state of the market for real-time captioners, the economic need for stations to continue using ENT in lieu of real-time captioning, and technological progress toward achieving improvements with ENT.</w:t>
      </w:r>
      <w:r w:rsidR="006E04F7" w:rsidRPr="006E04F7">
        <w:rPr>
          <w:vertAlign w:val="superscript"/>
        </w:rPr>
        <w:footnoteReference w:id="7"/>
      </w:r>
    </w:p>
    <w:p w14:paraId="2518D092" w14:textId="5FE713AB" w:rsidR="00C414AD" w:rsidRDefault="00B33D13" w:rsidP="004939C5">
      <w:pPr>
        <w:pStyle w:val="ParaNum"/>
      </w:pPr>
      <w:r>
        <w:t>On May 27, 2015</w:t>
      </w:r>
      <w:r w:rsidR="00C414AD">
        <w:t xml:space="preserve">, </w:t>
      </w:r>
      <w:r w:rsidR="006A6D7E">
        <w:t>NAB, along with the Consumer Groups</w:t>
      </w:r>
      <w:r w:rsidR="001F160D">
        <w:t xml:space="preserve"> and TAP,</w:t>
      </w:r>
      <w:r w:rsidR="006A6D7E">
        <w:t xml:space="preserve"> filed a joint petition </w:t>
      </w:r>
      <w:r w:rsidR="000B4E14">
        <w:t xml:space="preserve">requesting that </w:t>
      </w:r>
      <w:r w:rsidR="006A6D7E">
        <w:t xml:space="preserve">the due date </w:t>
      </w:r>
      <w:r w:rsidR="000B4E14">
        <w:t xml:space="preserve">for </w:t>
      </w:r>
      <w:r w:rsidR="006A6D7E">
        <w:t xml:space="preserve">the ENT Report </w:t>
      </w:r>
      <w:r w:rsidR="000B4E14">
        <w:t xml:space="preserve">be extended </w:t>
      </w:r>
      <w:r w:rsidR="006A6D7E">
        <w:t>to December 30, 2015.</w:t>
      </w:r>
      <w:r w:rsidR="00C414AD">
        <w:rPr>
          <w:rStyle w:val="FootnoteReference"/>
        </w:rPr>
        <w:footnoteReference w:id="8"/>
      </w:r>
      <w:r w:rsidR="00C414AD">
        <w:t xml:space="preserve">  </w:t>
      </w:r>
      <w:r w:rsidR="003755C5">
        <w:t xml:space="preserve">The </w:t>
      </w:r>
      <w:r w:rsidR="003C55AD">
        <w:t>Joint Petitioners</w:t>
      </w:r>
      <w:r w:rsidR="003755C5">
        <w:t xml:space="preserve"> state that </w:t>
      </w:r>
      <w:r w:rsidR="00C414AD">
        <w:t xml:space="preserve">an extension of time is warranted </w:t>
      </w:r>
      <w:r w:rsidR="001F160D">
        <w:t>under</w:t>
      </w:r>
      <w:r w:rsidR="00C84FFB">
        <w:t xml:space="preserve"> </w:t>
      </w:r>
      <w:r w:rsidR="00554B47">
        <w:t>s</w:t>
      </w:r>
      <w:r w:rsidR="00C84FFB">
        <w:t xml:space="preserve">ection 1.46(b) of the Commission’s rules </w:t>
      </w:r>
      <w:r w:rsidR="00C414AD">
        <w:t>in order</w:t>
      </w:r>
      <w:r w:rsidR="001F160D">
        <w:t xml:space="preserve"> to have sufficient time</w:t>
      </w:r>
      <w:r w:rsidR="00C414AD">
        <w:t xml:space="preserve"> to </w:t>
      </w:r>
      <w:r w:rsidR="003755C5">
        <w:t>implement the proposed three-prong data collection process</w:t>
      </w:r>
      <w:r w:rsidR="00554B47">
        <w:t>—</w:t>
      </w:r>
      <w:r w:rsidR="003755C5">
        <w:t>which include</w:t>
      </w:r>
      <w:r w:rsidR="00554B47">
        <w:t>s</w:t>
      </w:r>
      <w:r w:rsidR="003755C5">
        <w:t xml:space="preserve"> </w:t>
      </w:r>
      <w:r w:rsidR="00F63F39">
        <w:t xml:space="preserve">surveys of </w:t>
      </w:r>
      <w:r w:rsidR="003755C5">
        <w:t>consumer</w:t>
      </w:r>
      <w:r w:rsidR="00F63F39">
        <w:t xml:space="preserve">s, surveys of </w:t>
      </w:r>
      <w:r w:rsidR="003755C5">
        <w:t>industry</w:t>
      </w:r>
      <w:r w:rsidR="00F63F39">
        <w:t xml:space="preserve">, </w:t>
      </w:r>
      <w:r w:rsidR="003755C5">
        <w:t>and consumer focus groups and feedback</w:t>
      </w:r>
      <w:r w:rsidR="00D43FB2" w:rsidRPr="00D43FB2">
        <w:t>—</w:t>
      </w:r>
      <w:r w:rsidR="003755C5">
        <w:t>in addition to the respective groups’ independent analyses of the data</w:t>
      </w:r>
      <w:r w:rsidR="00D43FB2">
        <w:t xml:space="preserve"> and the preparation of</w:t>
      </w:r>
      <w:r w:rsidR="003755C5">
        <w:t xml:space="preserve"> the ENT Report in a collaborative fashion.</w:t>
      </w:r>
      <w:r w:rsidR="006F0F9D">
        <w:rPr>
          <w:rStyle w:val="FootnoteReference"/>
        </w:rPr>
        <w:footnoteReference w:id="9"/>
      </w:r>
      <w:r w:rsidR="003755C5">
        <w:t xml:space="preserve">  </w:t>
      </w:r>
      <w:r w:rsidR="00554B47">
        <w:t xml:space="preserve">The </w:t>
      </w:r>
      <w:r w:rsidR="003C55AD">
        <w:t>Joint Petitioners</w:t>
      </w:r>
      <w:r w:rsidR="003755C5">
        <w:t xml:space="preserve"> </w:t>
      </w:r>
      <w:r w:rsidR="000B4E14">
        <w:t>maintain</w:t>
      </w:r>
      <w:r w:rsidR="003755C5">
        <w:t xml:space="preserve"> that “given this multi-step process and the overall importance of the report to consumers and industry,” a six-month extension is </w:t>
      </w:r>
      <w:r w:rsidR="004939C5">
        <w:t>warranted.</w:t>
      </w:r>
      <w:r w:rsidR="006F0F9D">
        <w:rPr>
          <w:rStyle w:val="FootnoteReference"/>
        </w:rPr>
        <w:footnoteReference w:id="10"/>
      </w:r>
    </w:p>
    <w:p w14:paraId="44063274" w14:textId="77777777" w:rsidR="00C84FFB" w:rsidRDefault="00C84FFB" w:rsidP="00C84FFB">
      <w:pPr>
        <w:pStyle w:val="Heading1"/>
      </w:pPr>
      <w:r>
        <w:t>discussion</w:t>
      </w:r>
    </w:p>
    <w:p w14:paraId="591B134D" w14:textId="39BE5283" w:rsidR="00AF683C" w:rsidRDefault="00125E0B">
      <w:pPr>
        <w:pStyle w:val="ParaNum"/>
      </w:pPr>
      <w:r w:rsidRPr="00125E0B">
        <w:t xml:space="preserve">As set forth in </w:t>
      </w:r>
      <w:r w:rsidR="000E2AB2">
        <w:t>s</w:t>
      </w:r>
      <w:r w:rsidRPr="00125E0B">
        <w:t xml:space="preserve">ection </w:t>
      </w:r>
      <w:r>
        <w:t>1.46</w:t>
      </w:r>
      <w:r w:rsidR="00DC74CB">
        <w:t>(b)</w:t>
      </w:r>
      <w:r>
        <w:t xml:space="preserve"> of the Commission’s rules,</w:t>
      </w:r>
      <w:r>
        <w:rPr>
          <w:rStyle w:val="FootnoteReference"/>
        </w:rPr>
        <w:footnoteReference w:id="11"/>
      </w:r>
      <w:r w:rsidRPr="00125E0B">
        <w:t xml:space="preserve"> the Commission’s pol</w:t>
      </w:r>
      <w:r w:rsidR="00C01A7C">
        <w:t xml:space="preserve">icy is that extensions of time to submit filings </w:t>
      </w:r>
      <w:r w:rsidRPr="00125E0B">
        <w:t xml:space="preserve">in rulemaking proceedings shall not be routinely granted. </w:t>
      </w:r>
      <w:r w:rsidR="000E2AB2">
        <w:t xml:space="preserve"> </w:t>
      </w:r>
      <w:r w:rsidRPr="00125E0B">
        <w:t>In the instant case, however, we find that granting a</w:t>
      </w:r>
      <w:r w:rsidR="00DC74CB">
        <w:t>n</w:t>
      </w:r>
      <w:r w:rsidRPr="00125E0B">
        <w:t xml:space="preserve"> extension of the </w:t>
      </w:r>
      <w:r w:rsidR="00C01A7C">
        <w:t>due date of the ENT Report w</w:t>
      </w:r>
      <w:r w:rsidRPr="00125E0B">
        <w:t xml:space="preserve">ill serve the public interest by allowing </w:t>
      </w:r>
      <w:r w:rsidR="00C01A7C">
        <w:t>NAB</w:t>
      </w:r>
      <w:r w:rsidR="006F562C">
        <w:t xml:space="preserve"> to work in consultation with caption viewers and organizations representing those individuals</w:t>
      </w:r>
      <w:r w:rsidRPr="00125E0B">
        <w:t xml:space="preserve"> </w:t>
      </w:r>
      <w:r w:rsidR="00C01A7C">
        <w:t>to gather the information that it needs to fully prepare the ENT Report</w:t>
      </w:r>
      <w:r w:rsidR="00F76D40">
        <w:t xml:space="preserve">.  </w:t>
      </w:r>
      <w:r w:rsidR="0053192B">
        <w:t xml:space="preserve">Specifically, </w:t>
      </w:r>
      <w:r w:rsidR="00554B47">
        <w:t xml:space="preserve">the </w:t>
      </w:r>
      <w:r w:rsidR="0053192B">
        <w:t>Joint Petitioners have de</w:t>
      </w:r>
      <w:r w:rsidR="008959FD">
        <w:t>lineated</w:t>
      </w:r>
      <w:r w:rsidR="0053192B">
        <w:t xml:space="preserve"> the </w:t>
      </w:r>
      <w:r w:rsidR="00344C65">
        <w:t>task</w:t>
      </w:r>
      <w:r w:rsidR="0094105B">
        <w:t xml:space="preserve">s </w:t>
      </w:r>
      <w:r w:rsidR="008959FD">
        <w:t xml:space="preserve">that are </w:t>
      </w:r>
      <w:r w:rsidR="0094105B">
        <w:t>associated</w:t>
      </w:r>
      <w:r w:rsidR="00344C65">
        <w:t xml:space="preserve"> </w:t>
      </w:r>
      <w:r w:rsidR="008959FD">
        <w:t>with</w:t>
      </w:r>
      <w:r w:rsidR="00C73DCD">
        <w:t xml:space="preserve"> </w:t>
      </w:r>
      <w:r w:rsidR="00344C65">
        <w:t xml:space="preserve">preparing, distributing and collecting data for the consumer and industry surveys, </w:t>
      </w:r>
      <w:r w:rsidR="00CE3BD8">
        <w:t>following u</w:t>
      </w:r>
      <w:r w:rsidR="00344C65">
        <w:t xml:space="preserve">p with those surveyed to ensure accuracy of the statistics, </w:t>
      </w:r>
      <w:r w:rsidR="00CE3BD8">
        <w:t xml:space="preserve">analyzing the statistics and relevant </w:t>
      </w:r>
      <w:r w:rsidR="00344C65">
        <w:t>data</w:t>
      </w:r>
      <w:r w:rsidR="00CD53B2">
        <w:t xml:space="preserve">, </w:t>
      </w:r>
      <w:r w:rsidR="00CE3BD8">
        <w:t>creating f</w:t>
      </w:r>
      <w:r w:rsidR="00CD53B2">
        <w:t>ocus group research</w:t>
      </w:r>
      <w:r w:rsidR="00CE3BD8">
        <w:t xml:space="preserve"> data</w:t>
      </w:r>
      <w:r w:rsidR="0053192B">
        <w:t xml:space="preserve">, </w:t>
      </w:r>
      <w:r w:rsidR="0053192B">
        <w:lastRenderedPageBreak/>
        <w:t>and</w:t>
      </w:r>
      <w:r w:rsidR="00FA36FC">
        <w:t xml:space="preserve"> collaborat</w:t>
      </w:r>
      <w:r w:rsidR="0053192B">
        <w:t>ing</w:t>
      </w:r>
      <w:r w:rsidR="00FA36FC">
        <w:t xml:space="preserve"> </w:t>
      </w:r>
      <w:r w:rsidR="0053192B">
        <w:t xml:space="preserve">to </w:t>
      </w:r>
      <w:r w:rsidR="00FA36FC">
        <w:t>prepar</w:t>
      </w:r>
      <w:r w:rsidR="0053192B">
        <w:t>e</w:t>
      </w:r>
      <w:r w:rsidR="00FA36FC">
        <w:t xml:space="preserve"> </w:t>
      </w:r>
      <w:r w:rsidR="00CE3BD8">
        <w:t xml:space="preserve">the findings for </w:t>
      </w:r>
      <w:r w:rsidR="00FA36FC">
        <w:t xml:space="preserve">the </w:t>
      </w:r>
      <w:r w:rsidR="00735D23">
        <w:t xml:space="preserve">ENT </w:t>
      </w:r>
      <w:r w:rsidR="00FA36FC">
        <w:t>Report.</w:t>
      </w:r>
      <w:r w:rsidR="00FA36FC">
        <w:rPr>
          <w:rStyle w:val="FootnoteReference"/>
        </w:rPr>
        <w:footnoteReference w:id="12"/>
      </w:r>
      <w:r w:rsidR="00FA36FC">
        <w:t xml:space="preserve">  </w:t>
      </w:r>
      <w:r w:rsidR="000B21D3">
        <w:t>Because the</w:t>
      </w:r>
      <w:r w:rsidR="00FA36FC">
        <w:t xml:space="preserve"> ENT Report </w:t>
      </w:r>
      <w:r w:rsidR="000B21D3">
        <w:t xml:space="preserve">will be </w:t>
      </w:r>
      <w:r w:rsidR="00FA36FC">
        <w:t xml:space="preserve">critical in assisting the Commission in </w:t>
      </w:r>
      <w:r w:rsidR="0094105B">
        <w:t xml:space="preserve">its efforts to </w:t>
      </w:r>
      <w:r w:rsidR="00FA36FC">
        <w:t>evaluat</w:t>
      </w:r>
      <w:r w:rsidR="0094105B">
        <w:t>e</w:t>
      </w:r>
      <w:r w:rsidR="00FA36FC">
        <w:t xml:space="preserve"> whether to </w:t>
      </w:r>
      <w:r w:rsidR="0094105B">
        <w:t>take additional action to ensure full</w:t>
      </w:r>
      <w:r w:rsidR="008959FD">
        <w:t xml:space="preserve">y accessible live television </w:t>
      </w:r>
      <w:r w:rsidR="0094105B">
        <w:t>programming,</w:t>
      </w:r>
      <w:r w:rsidR="00D754EC">
        <w:rPr>
          <w:rStyle w:val="FootnoteReference"/>
        </w:rPr>
        <w:footnoteReference w:id="13"/>
      </w:r>
      <w:r w:rsidR="00FA36FC">
        <w:t xml:space="preserve"> </w:t>
      </w:r>
      <w:r w:rsidR="00CE3BD8">
        <w:t xml:space="preserve">we find that </w:t>
      </w:r>
      <w:r w:rsidR="00D754EC">
        <w:t xml:space="preserve">the public interest </w:t>
      </w:r>
      <w:r w:rsidR="000B21D3">
        <w:t>w</w:t>
      </w:r>
      <w:r w:rsidR="00601EB8">
        <w:t>ill</w:t>
      </w:r>
      <w:r w:rsidR="000B21D3">
        <w:t xml:space="preserve"> be </w:t>
      </w:r>
      <w:r w:rsidR="00B200E7">
        <w:t>served</w:t>
      </w:r>
      <w:r w:rsidR="000B21D3">
        <w:t xml:space="preserve"> </w:t>
      </w:r>
      <w:r w:rsidR="00B200E7">
        <w:t xml:space="preserve">by </w:t>
      </w:r>
      <w:r w:rsidR="0029119C">
        <w:t>provid</w:t>
      </w:r>
      <w:r w:rsidR="00391C77">
        <w:t>ing</w:t>
      </w:r>
      <w:r w:rsidR="0029119C">
        <w:t xml:space="preserve"> </w:t>
      </w:r>
      <w:r w:rsidR="00554B47">
        <w:t xml:space="preserve">the </w:t>
      </w:r>
      <w:r w:rsidR="00391C77">
        <w:t>Joint Petitioners</w:t>
      </w:r>
      <w:r w:rsidR="004939C5">
        <w:t xml:space="preserve"> </w:t>
      </w:r>
      <w:r w:rsidR="0029119C">
        <w:t xml:space="preserve">with </w:t>
      </w:r>
      <w:r w:rsidR="00C73DCD">
        <w:t xml:space="preserve">extra </w:t>
      </w:r>
      <w:r w:rsidR="0029119C">
        <w:t>time to</w:t>
      </w:r>
      <w:r w:rsidR="00391C77">
        <w:t xml:space="preserve"> collect the necessary data and</w:t>
      </w:r>
      <w:r w:rsidR="0029119C">
        <w:t xml:space="preserve"> </w:t>
      </w:r>
      <w:r w:rsidR="00C73DCD">
        <w:t xml:space="preserve">to </w:t>
      </w:r>
      <w:r w:rsidR="0029119C">
        <w:t>pr</w:t>
      </w:r>
      <w:r w:rsidR="00601EB8">
        <w:t>ovide</w:t>
      </w:r>
      <w:r w:rsidR="00391C77">
        <w:t xml:space="preserve"> the Commission </w:t>
      </w:r>
      <w:r w:rsidR="00601EB8">
        <w:t xml:space="preserve">with </w:t>
      </w:r>
      <w:r w:rsidR="00391C77">
        <w:t>a comprehensive</w:t>
      </w:r>
      <w:r w:rsidR="004939C5">
        <w:t xml:space="preserve"> </w:t>
      </w:r>
      <w:r w:rsidR="00391C77">
        <w:t>r</w:t>
      </w:r>
      <w:r w:rsidR="004939C5">
        <w:t xml:space="preserve">eport </w:t>
      </w:r>
      <w:r w:rsidR="0029119C">
        <w:t xml:space="preserve">that fully </w:t>
      </w:r>
      <w:r w:rsidR="00C73DCD">
        <w:t>addresses</w:t>
      </w:r>
      <w:r w:rsidR="0029119C">
        <w:t xml:space="preserve"> the </w:t>
      </w:r>
      <w:r w:rsidR="004939C5">
        <w:t xml:space="preserve">ENT </w:t>
      </w:r>
      <w:r w:rsidR="0029119C">
        <w:t>issues raised in t</w:t>
      </w:r>
      <w:r w:rsidR="001738B3">
        <w:t xml:space="preserve">he </w:t>
      </w:r>
      <w:r w:rsidR="004939C5">
        <w:rPr>
          <w:i/>
        </w:rPr>
        <w:t>C</w:t>
      </w:r>
      <w:r w:rsidR="00B200E7">
        <w:rPr>
          <w:i/>
        </w:rPr>
        <w:t>losed C</w:t>
      </w:r>
      <w:r w:rsidR="004939C5">
        <w:rPr>
          <w:i/>
        </w:rPr>
        <w:t>aptioning Quality Order</w:t>
      </w:r>
      <w:r w:rsidR="004939C5" w:rsidRPr="00A430DF">
        <w:t>.</w:t>
      </w:r>
      <w:r w:rsidR="004939C5">
        <w:rPr>
          <w:rStyle w:val="FootnoteReference"/>
        </w:rPr>
        <w:footnoteReference w:id="14"/>
      </w:r>
      <w:r w:rsidR="004939C5">
        <w:t xml:space="preserve">  </w:t>
      </w:r>
    </w:p>
    <w:p w14:paraId="43198BEE" w14:textId="00BBABCB" w:rsidR="006F0F9D" w:rsidRDefault="00AF683C" w:rsidP="00AF683C">
      <w:pPr>
        <w:pStyle w:val="ParaNum"/>
      </w:pPr>
      <w:r>
        <w:t xml:space="preserve">However, </w:t>
      </w:r>
      <w:r w:rsidR="00EB64C8">
        <w:t xml:space="preserve">we grant </w:t>
      </w:r>
      <w:r w:rsidR="00195BDE">
        <w:t xml:space="preserve">the extension for </w:t>
      </w:r>
      <w:r w:rsidR="00EB64C8">
        <w:t>120 days</w:t>
      </w:r>
      <w:r w:rsidR="00195BDE">
        <w:t xml:space="preserve"> rather than</w:t>
      </w:r>
      <w:r w:rsidR="008D1360">
        <w:t xml:space="preserve"> the requested</w:t>
      </w:r>
      <w:r w:rsidR="00195BDE">
        <w:t xml:space="preserve"> six</w:t>
      </w:r>
      <w:r w:rsidR="00EB64C8">
        <w:t xml:space="preserve"> months</w:t>
      </w:r>
      <w:r w:rsidR="00195BDE">
        <w:t xml:space="preserve">.  </w:t>
      </w:r>
      <w:r w:rsidR="0014207B">
        <w:t>Because of th</w:t>
      </w:r>
      <w:r>
        <w:t xml:space="preserve">e importance of </w:t>
      </w:r>
      <w:r w:rsidR="007C4146">
        <w:t>promptly receiving</w:t>
      </w:r>
      <w:r w:rsidR="0014207B">
        <w:t xml:space="preserve"> </w:t>
      </w:r>
      <w:r w:rsidR="00EB64C8">
        <w:t xml:space="preserve">the </w:t>
      </w:r>
      <w:r>
        <w:t xml:space="preserve">ENT Report </w:t>
      </w:r>
      <w:r w:rsidR="007C4146">
        <w:t xml:space="preserve">so that it can be </w:t>
      </w:r>
      <w:r w:rsidR="0060101A">
        <w:t>considered</w:t>
      </w:r>
      <w:r w:rsidR="007C4146">
        <w:t xml:space="preserve"> in the Commission’s</w:t>
      </w:r>
      <w:r w:rsidR="0014207B">
        <w:t xml:space="preserve"> determination </w:t>
      </w:r>
      <w:r w:rsidR="00C53461">
        <w:t xml:space="preserve">of </w:t>
      </w:r>
      <w:r>
        <w:t>whether or not the enhanced ENT rules, as implemented, fulfill the requirements for full access to news programming</w:t>
      </w:r>
      <w:r w:rsidR="0060101A">
        <w:t xml:space="preserve"> and whether further Commission action is needed to ensure such access</w:t>
      </w:r>
      <w:r w:rsidR="0014207B">
        <w:t>,</w:t>
      </w:r>
      <w:r>
        <w:rPr>
          <w:rStyle w:val="FootnoteReference"/>
        </w:rPr>
        <w:footnoteReference w:id="15"/>
      </w:r>
      <w:r>
        <w:t xml:space="preserve"> </w:t>
      </w:r>
      <w:r w:rsidR="0014207B">
        <w:t xml:space="preserve">we find that the public interest </w:t>
      </w:r>
      <w:r w:rsidR="0060101A">
        <w:t>will be</w:t>
      </w:r>
      <w:r w:rsidR="0014207B">
        <w:t xml:space="preserve"> served by</w:t>
      </w:r>
      <w:r w:rsidR="00C53461">
        <w:t xml:space="preserve"> granting a</w:t>
      </w:r>
      <w:r w:rsidR="0014207B">
        <w:t xml:space="preserve"> shorte</w:t>
      </w:r>
      <w:r w:rsidR="00C53461">
        <w:t>r</w:t>
      </w:r>
      <w:r w:rsidR="0014207B">
        <w:t xml:space="preserve"> extension of the</w:t>
      </w:r>
      <w:r w:rsidR="00C53461">
        <w:t xml:space="preserve"> ENT Report’s</w:t>
      </w:r>
      <w:r w:rsidR="0014207B">
        <w:t xml:space="preserve"> due date</w:t>
      </w:r>
      <w:r w:rsidR="00C53461">
        <w:t xml:space="preserve"> than </w:t>
      </w:r>
      <w:r w:rsidR="0060101A">
        <w:t>the</w:t>
      </w:r>
      <w:r w:rsidR="00C53461">
        <w:t xml:space="preserve"> requested </w:t>
      </w:r>
      <w:r w:rsidR="0060101A">
        <w:t>six months</w:t>
      </w:r>
      <w:r w:rsidR="0014207B">
        <w:t>.</w:t>
      </w:r>
      <w:r w:rsidR="00195BDE">
        <w:t xml:space="preserve">  </w:t>
      </w:r>
      <w:r w:rsidR="00483471">
        <w:t>Moreover, b</w:t>
      </w:r>
      <w:r w:rsidR="00125404">
        <w:t>ecause t</w:t>
      </w:r>
      <w:r w:rsidR="00195BDE" w:rsidRPr="00195BDE">
        <w:t>he Joint Petitioners</w:t>
      </w:r>
      <w:r w:rsidR="00125404">
        <w:t xml:space="preserve"> have</w:t>
      </w:r>
      <w:r w:rsidR="00195BDE" w:rsidRPr="00195BDE">
        <w:t xml:space="preserve"> </w:t>
      </w:r>
      <w:r w:rsidR="0014207B">
        <w:t xml:space="preserve">had </w:t>
      </w:r>
      <w:r w:rsidR="005551B5">
        <w:t>notice</w:t>
      </w:r>
      <w:r w:rsidR="00125404">
        <w:t xml:space="preserve"> for over a year</w:t>
      </w:r>
      <w:r w:rsidR="005551B5">
        <w:t xml:space="preserve"> of </w:t>
      </w:r>
      <w:r w:rsidR="00195BDE" w:rsidRPr="00195BDE">
        <w:t>the</w:t>
      </w:r>
      <w:r w:rsidR="00125404">
        <w:t xml:space="preserve"> June 30, 2015</w:t>
      </w:r>
      <w:r w:rsidR="00195BDE" w:rsidRPr="00195BDE">
        <w:t xml:space="preserve"> due date of the ENT Report</w:t>
      </w:r>
      <w:r w:rsidR="00125404">
        <w:t>,</w:t>
      </w:r>
      <w:r w:rsidR="00195BDE" w:rsidRPr="00195BDE">
        <w:rPr>
          <w:vertAlign w:val="superscript"/>
        </w:rPr>
        <w:footnoteReference w:id="16"/>
      </w:r>
      <w:r w:rsidR="00195BDE" w:rsidRPr="00195BDE">
        <w:t xml:space="preserve"> </w:t>
      </w:r>
      <w:r w:rsidR="00125404">
        <w:t>w</w:t>
      </w:r>
      <w:r w:rsidR="0014207B">
        <w:t>e</w:t>
      </w:r>
      <w:r w:rsidR="005551B5">
        <w:t xml:space="preserve"> </w:t>
      </w:r>
      <w:r w:rsidR="00247E62">
        <w:t>believe</w:t>
      </w:r>
      <w:r w:rsidR="00195BDE">
        <w:t xml:space="preserve"> that </w:t>
      </w:r>
      <w:r w:rsidR="00125404">
        <w:t>an additional</w:t>
      </w:r>
      <w:r w:rsidR="0014207B">
        <w:t xml:space="preserve"> </w:t>
      </w:r>
      <w:r w:rsidR="005551B5">
        <w:t>120 days</w:t>
      </w:r>
      <w:r w:rsidR="0014207B">
        <w:t xml:space="preserve"> </w:t>
      </w:r>
      <w:r w:rsidR="00CB6225">
        <w:t xml:space="preserve">will </w:t>
      </w:r>
      <w:r w:rsidR="00483471">
        <w:t>provide</w:t>
      </w:r>
      <w:r w:rsidR="0014207B">
        <w:t xml:space="preserve"> ample time to complete </w:t>
      </w:r>
      <w:r w:rsidR="00195BDE">
        <w:t xml:space="preserve">the </w:t>
      </w:r>
      <w:r w:rsidR="0014207B">
        <w:t>task</w:t>
      </w:r>
      <w:r w:rsidR="0007666B">
        <w:t>s, a</w:t>
      </w:r>
      <w:r w:rsidR="0014207B">
        <w:t>s</w:t>
      </w:r>
      <w:r w:rsidR="00125404">
        <w:t xml:space="preserve"> </w:t>
      </w:r>
      <w:r w:rsidR="0007666B">
        <w:t xml:space="preserve">delineated by the Joint Petitioners, that are </w:t>
      </w:r>
      <w:r w:rsidR="00125404">
        <w:t>necessary</w:t>
      </w:r>
      <w:r w:rsidR="0014207B">
        <w:t xml:space="preserve"> f</w:t>
      </w:r>
      <w:r w:rsidR="00195BDE">
        <w:t xml:space="preserve">or the </w:t>
      </w:r>
      <w:r w:rsidR="00125404">
        <w:t>preparation and submission</w:t>
      </w:r>
      <w:r w:rsidR="00195BDE">
        <w:t xml:space="preserve"> of the ENT Report</w:t>
      </w:r>
      <w:r w:rsidR="0014207B">
        <w:t>.</w:t>
      </w:r>
      <w:r w:rsidR="0014207B">
        <w:rPr>
          <w:rStyle w:val="FootnoteReference"/>
        </w:rPr>
        <w:footnoteReference w:id="17"/>
      </w:r>
    </w:p>
    <w:p w14:paraId="461A11D6" w14:textId="77777777" w:rsidR="0045140C" w:rsidRDefault="0045140C" w:rsidP="0045140C">
      <w:pPr>
        <w:pStyle w:val="Heading1"/>
      </w:pPr>
      <w:r>
        <w:t>Ordering clauses</w:t>
      </w:r>
    </w:p>
    <w:p w14:paraId="2925ABF4" w14:textId="0260CC1E" w:rsidR="00F76D40" w:rsidRDefault="00F76D40">
      <w:pPr>
        <w:pStyle w:val="ParaNum"/>
      </w:pPr>
      <w:r>
        <w:t xml:space="preserve"> </w:t>
      </w:r>
      <w:r w:rsidRPr="00F76D40">
        <w:t xml:space="preserve">Accordingly, IT IS ORDERED that, pursuant to </w:t>
      </w:r>
      <w:r w:rsidR="00E0117C">
        <w:t>s</w:t>
      </w:r>
      <w:r w:rsidRPr="00F76D40">
        <w:t>ection</w:t>
      </w:r>
      <w:r w:rsidR="00E0117C">
        <w:t>s</w:t>
      </w:r>
      <w:r w:rsidRPr="00F76D40">
        <w:t xml:space="preserve"> 4(i)</w:t>
      </w:r>
      <w:r w:rsidR="00E0117C">
        <w:t>, 4(j), and 713</w:t>
      </w:r>
      <w:r w:rsidRPr="00F76D40">
        <w:t xml:space="preserve"> of the Communications Act of 1934, as amended, 47 U.S.C. §</w:t>
      </w:r>
      <w:r w:rsidR="00E0117C">
        <w:t>§</w:t>
      </w:r>
      <w:r w:rsidRPr="00F76D40">
        <w:t xml:space="preserve"> 154(i),</w:t>
      </w:r>
      <w:r w:rsidR="00E0117C">
        <w:t xml:space="preserve"> 154(j), and 613,</w:t>
      </w:r>
      <w:r w:rsidRPr="00F76D40">
        <w:t xml:space="preserve"> and </w:t>
      </w:r>
      <w:r w:rsidR="000E2AB2">
        <w:t>s</w:t>
      </w:r>
      <w:r w:rsidRPr="00F76D40">
        <w:t>ections 0.141,</w:t>
      </w:r>
      <w:r w:rsidR="00E0117C">
        <w:t xml:space="preserve"> 0.361,</w:t>
      </w:r>
      <w:r w:rsidRPr="00F76D40">
        <w:t xml:space="preserve"> and 1.46 of the Commission’s rules, 47 C.F.R. §§ 0.141,</w:t>
      </w:r>
      <w:r w:rsidR="00E0117C">
        <w:t xml:space="preserve"> 0.361</w:t>
      </w:r>
      <w:r w:rsidRPr="00F76D40">
        <w:t xml:space="preserve"> and 1.46, the </w:t>
      </w:r>
      <w:r>
        <w:t>Joint Petition for Temporary Extension of Time filed by NAB, the Consumer Groups, and TAP I</w:t>
      </w:r>
      <w:r w:rsidRPr="00F76D40">
        <w:t>S GRANTED</w:t>
      </w:r>
      <w:r w:rsidR="00851069">
        <w:t xml:space="preserve"> to extent indicated herein and IS DENIED in all other respects</w:t>
      </w:r>
      <w:r w:rsidRPr="00F76D40">
        <w:t xml:space="preserve">, </w:t>
      </w:r>
      <w:r>
        <w:t xml:space="preserve">and </w:t>
      </w:r>
      <w:r w:rsidRPr="00F76D40">
        <w:t xml:space="preserve">the deadline to file </w:t>
      </w:r>
      <w:r>
        <w:t xml:space="preserve">the ENT Report </w:t>
      </w:r>
      <w:r w:rsidRPr="00F76D40">
        <w:t xml:space="preserve">in this proceeding is extended to </w:t>
      </w:r>
      <w:r w:rsidR="00851069">
        <w:t>no later than October 28</w:t>
      </w:r>
      <w:r>
        <w:t xml:space="preserve">, 2015.  </w:t>
      </w:r>
    </w:p>
    <w:p w14:paraId="53A912C3" w14:textId="77777777" w:rsidR="00B200E7" w:rsidRDefault="00B200E7" w:rsidP="001738B3">
      <w:pPr>
        <w:pStyle w:val="ParaNum"/>
        <w:numPr>
          <w:ilvl w:val="0"/>
          <w:numId w:val="0"/>
        </w:numPr>
        <w:ind w:left="2880" w:firstLine="720"/>
      </w:pPr>
    </w:p>
    <w:p w14:paraId="74F8AD07" w14:textId="77777777" w:rsidR="001738B3" w:rsidRDefault="001738B3" w:rsidP="001738B3">
      <w:pPr>
        <w:pStyle w:val="ParaNum"/>
        <w:numPr>
          <w:ilvl w:val="0"/>
          <w:numId w:val="0"/>
        </w:numPr>
        <w:ind w:left="2880" w:firstLine="720"/>
      </w:pPr>
      <w:r>
        <w:t>FEDERAL COMMUNICATIONS COMMISSION</w:t>
      </w:r>
    </w:p>
    <w:p w14:paraId="0312D8F0" w14:textId="77777777" w:rsidR="001738B3" w:rsidRDefault="001738B3" w:rsidP="001738B3">
      <w:pPr>
        <w:pStyle w:val="ParaNum"/>
        <w:numPr>
          <w:ilvl w:val="0"/>
          <w:numId w:val="0"/>
        </w:numPr>
        <w:ind w:left="2880" w:firstLine="720"/>
      </w:pPr>
    </w:p>
    <w:p w14:paraId="0519182D" w14:textId="77777777" w:rsidR="003750EA" w:rsidRDefault="003750EA" w:rsidP="00E96A87">
      <w:pPr>
        <w:ind w:left="2880" w:firstLine="720"/>
      </w:pPr>
    </w:p>
    <w:p w14:paraId="2EC1378A" w14:textId="77777777" w:rsidR="00E96A87" w:rsidRDefault="005716B0" w:rsidP="0068144F">
      <w:pPr>
        <w:ind w:left="2880" w:firstLine="720"/>
      </w:pPr>
      <w:r>
        <w:t>Alison Kutler</w:t>
      </w:r>
    </w:p>
    <w:p w14:paraId="457C74A7" w14:textId="77777777" w:rsidR="0068144F" w:rsidRDefault="005716B0" w:rsidP="00E96A87">
      <w:pPr>
        <w:ind w:left="2880" w:firstLine="720"/>
      </w:pPr>
      <w:r>
        <w:t>Acting Chief</w:t>
      </w:r>
    </w:p>
    <w:p w14:paraId="18A189CC" w14:textId="128607CC" w:rsidR="00E96526" w:rsidRDefault="0068144F" w:rsidP="00576698">
      <w:pPr>
        <w:ind w:left="2880" w:firstLine="720"/>
      </w:pPr>
      <w:r>
        <w:t>Consumer and Governmental Affairs Bureau</w:t>
      </w:r>
      <w:bookmarkEnd w:id="2"/>
    </w:p>
    <w:sectPr w:rsidR="00E965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2907B" w14:textId="77777777" w:rsidR="00DB68EB" w:rsidRDefault="00DB68EB" w:rsidP="00553D9C">
      <w:r>
        <w:separator/>
      </w:r>
    </w:p>
  </w:endnote>
  <w:endnote w:type="continuationSeparator" w:id="0">
    <w:p w14:paraId="0A413950" w14:textId="77777777" w:rsidR="00DB68EB" w:rsidRDefault="00DB68EB" w:rsidP="0055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1A2E" w14:textId="77777777" w:rsidR="00014C70" w:rsidRDefault="00014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064417"/>
      <w:docPartObj>
        <w:docPartGallery w:val="Page Numbers (Bottom of Page)"/>
        <w:docPartUnique/>
      </w:docPartObj>
    </w:sdtPr>
    <w:sdtEndPr>
      <w:rPr>
        <w:noProof/>
      </w:rPr>
    </w:sdtEndPr>
    <w:sdtContent>
      <w:p w14:paraId="58606B42" w14:textId="39C29483" w:rsidR="00E0117C" w:rsidRDefault="00E0117C">
        <w:pPr>
          <w:pStyle w:val="Footer"/>
          <w:jc w:val="center"/>
        </w:pPr>
        <w:r>
          <w:fldChar w:fldCharType="begin"/>
        </w:r>
        <w:r>
          <w:instrText xml:space="preserve"> PAGE   \* MERGEFORMAT </w:instrText>
        </w:r>
        <w:r>
          <w:fldChar w:fldCharType="separate"/>
        </w:r>
        <w:r w:rsidR="00CB6456">
          <w:rPr>
            <w:noProof/>
          </w:rPr>
          <w:t>1</w:t>
        </w:r>
        <w:r>
          <w:rPr>
            <w:noProof/>
          </w:rPr>
          <w:fldChar w:fldCharType="end"/>
        </w:r>
      </w:p>
    </w:sdtContent>
  </w:sdt>
  <w:p w14:paraId="7924BA46" w14:textId="77777777" w:rsidR="00E0117C" w:rsidRDefault="00E01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F69D" w14:textId="77777777" w:rsidR="00014C70" w:rsidRDefault="00014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52CD" w14:textId="77777777" w:rsidR="00DB68EB" w:rsidRDefault="00DB68EB" w:rsidP="00553D9C">
      <w:r>
        <w:separator/>
      </w:r>
    </w:p>
  </w:footnote>
  <w:footnote w:type="continuationSeparator" w:id="0">
    <w:p w14:paraId="5991CBDC" w14:textId="77777777" w:rsidR="00DB68EB" w:rsidRDefault="00DB68EB" w:rsidP="00553D9C">
      <w:r>
        <w:continuationSeparator/>
      </w:r>
    </w:p>
  </w:footnote>
  <w:footnote w:id="1">
    <w:p w14:paraId="7542ECBE" w14:textId="3BADCE26" w:rsidR="00AA4990" w:rsidRDefault="00AA4990">
      <w:pPr>
        <w:pStyle w:val="FootnoteText"/>
      </w:pPr>
      <w:r>
        <w:rPr>
          <w:rStyle w:val="FootnoteReference"/>
        </w:rPr>
        <w:footnoteRef/>
      </w:r>
      <w:r>
        <w:t xml:space="preserve"> 47 C.F.R. § 79.1(e)(11).</w:t>
      </w:r>
    </w:p>
  </w:footnote>
  <w:footnote w:id="2">
    <w:p w14:paraId="5F087650" w14:textId="5CCDA7BF" w:rsidR="00E3384E" w:rsidRPr="00E3384E" w:rsidRDefault="00E3384E">
      <w:pPr>
        <w:pStyle w:val="FootnoteText"/>
      </w:pPr>
      <w:r>
        <w:rPr>
          <w:rStyle w:val="FootnoteReference"/>
        </w:rPr>
        <w:footnoteRef/>
      </w:r>
      <w:r>
        <w:t xml:space="preserve"> </w:t>
      </w:r>
      <w:r>
        <w:rPr>
          <w:i/>
        </w:rPr>
        <w:t>See</w:t>
      </w:r>
      <w:r>
        <w:t xml:space="preserve"> 47 C.F.R. § 79.1(e)(11)(v).</w:t>
      </w:r>
    </w:p>
  </w:footnote>
  <w:footnote w:id="3">
    <w:p w14:paraId="22D3A8E8" w14:textId="0A2C37D4" w:rsidR="00D13D5F" w:rsidRDefault="00D13D5F">
      <w:pPr>
        <w:pStyle w:val="FootnoteText"/>
      </w:pPr>
      <w:r>
        <w:rPr>
          <w:rStyle w:val="FootnoteReference"/>
        </w:rPr>
        <w:footnoteRef/>
      </w:r>
      <w:r>
        <w:t xml:space="preserve"> </w:t>
      </w:r>
      <w:r>
        <w:rPr>
          <w:i/>
        </w:rPr>
        <w:t>See</w:t>
      </w:r>
      <w:r>
        <w:t xml:space="preserve"> 47 C.F.R. § 79.1(e)(11)(v)</w:t>
      </w:r>
      <w:r w:rsidR="00AD768B">
        <w:t xml:space="preserve">. </w:t>
      </w:r>
      <w:r w:rsidR="002B7FE5">
        <w:t xml:space="preserve"> </w:t>
      </w:r>
      <w:r w:rsidR="002B7FE5" w:rsidRPr="002B7FE5">
        <w:t xml:space="preserve">Because the substantive portions of 47 C.F.R. § 79.1(e)(11), </w:t>
      </w:r>
      <w:r w:rsidR="002B7FE5" w:rsidRPr="00125E0B">
        <w:rPr>
          <w:i/>
        </w:rPr>
        <w:t>i.e.</w:t>
      </w:r>
      <w:r w:rsidR="002B7FE5" w:rsidRPr="002B7FE5">
        <w:t xml:space="preserve">, 47 C.F.R. §§ 79.1(e)(11)(i) and (ii), became effective on June 30, 2014, the due date of the </w:t>
      </w:r>
      <w:r w:rsidR="00052DD1">
        <w:t>ENT</w:t>
      </w:r>
      <w:r w:rsidR="00052DD1" w:rsidRPr="002B7FE5">
        <w:t xml:space="preserve"> </w:t>
      </w:r>
      <w:r w:rsidR="00052DD1">
        <w:t>R</w:t>
      </w:r>
      <w:r w:rsidR="002B7FE5" w:rsidRPr="002B7FE5">
        <w:t xml:space="preserve">eport shall be no later than June 30, 2015. </w:t>
      </w:r>
      <w:r w:rsidR="002B7FE5" w:rsidRPr="00125E0B">
        <w:rPr>
          <w:i/>
        </w:rPr>
        <w:t>See</w:t>
      </w:r>
      <w:r w:rsidR="002B7FE5" w:rsidRPr="002B7FE5">
        <w:t xml:space="preserve"> 79 FR 17911, 17926 (Mar. 31, 2014)</w:t>
      </w:r>
      <w:r w:rsidR="002B7FE5">
        <w:t xml:space="preserve">.  </w:t>
      </w:r>
    </w:p>
  </w:footnote>
  <w:footnote w:id="4">
    <w:p w14:paraId="3E35DA13" w14:textId="714D005A" w:rsidR="006F0F9D" w:rsidRDefault="006F0F9D">
      <w:pPr>
        <w:pStyle w:val="FootnoteText"/>
      </w:pPr>
      <w:r w:rsidRPr="00E3384E">
        <w:rPr>
          <w:rStyle w:val="FootnoteReference"/>
        </w:rPr>
        <w:footnoteRef/>
      </w:r>
      <w:r w:rsidR="00E3384E" w:rsidRPr="00A51BCC">
        <w:t xml:space="preserve"> </w:t>
      </w:r>
      <w:r w:rsidR="006E04F7" w:rsidRPr="006E04F7">
        <w:rPr>
          <w:i/>
        </w:rPr>
        <w:t>Closed Captioning of Video Programming; Telecommunications for the Deaf and Hard of Hearing, Inc., Petition for Rulemaking</w:t>
      </w:r>
      <w:r w:rsidR="006E04F7" w:rsidRPr="006E04F7">
        <w:t>, CG Docket No. 05-231, Report and Order, Declaratory Ruling, and Further Notice of Proposed Rulemaking, 29 FCC Rcd 2221</w:t>
      </w:r>
      <w:r w:rsidR="001F3303">
        <w:t xml:space="preserve"> </w:t>
      </w:r>
      <w:r w:rsidR="006E04F7" w:rsidRPr="006E04F7">
        <w:t>(2014) (</w:t>
      </w:r>
      <w:r w:rsidR="006E04F7" w:rsidRPr="006E04F7">
        <w:rPr>
          <w:i/>
        </w:rPr>
        <w:t>Closed Captioning Quality Order</w:t>
      </w:r>
      <w:r w:rsidR="006E04F7" w:rsidRPr="006E04F7">
        <w:t>)</w:t>
      </w:r>
      <w:r>
        <w:t>.</w:t>
      </w:r>
    </w:p>
  </w:footnote>
  <w:footnote w:id="5">
    <w:p w14:paraId="32FBF36E" w14:textId="32136BD1" w:rsidR="006E04F7" w:rsidRDefault="006E04F7" w:rsidP="006E04F7">
      <w:pPr>
        <w:pStyle w:val="FootnoteText"/>
      </w:pPr>
      <w:r>
        <w:rPr>
          <w:rStyle w:val="FootnoteReference"/>
        </w:rPr>
        <w:footnoteRef/>
      </w:r>
      <w:r>
        <w:t xml:space="preserve"> </w:t>
      </w:r>
      <w:r w:rsidRPr="00823AA3">
        <w:rPr>
          <w:i/>
        </w:rPr>
        <w:t xml:space="preserve">Closed Captioning </w:t>
      </w:r>
      <w:r w:rsidR="00551007">
        <w:rPr>
          <w:i/>
        </w:rPr>
        <w:t>Quality Order</w:t>
      </w:r>
      <w:r w:rsidR="001F3303">
        <w:t>, 29 FCC Rcd</w:t>
      </w:r>
      <w:r w:rsidR="00551007">
        <w:t xml:space="preserve"> at </w:t>
      </w:r>
      <w:r w:rsidRPr="00823AA3">
        <w:t>22</w:t>
      </w:r>
      <w:r>
        <w:t>66</w:t>
      </w:r>
      <w:r w:rsidRPr="00823AA3">
        <w:t>-</w:t>
      </w:r>
      <w:r>
        <w:t>74</w:t>
      </w:r>
      <w:r w:rsidRPr="00823AA3">
        <w:t>, ¶</w:t>
      </w:r>
      <w:r>
        <w:t>¶</w:t>
      </w:r>
      <w:r w:rsidRPr="00823AA3">
        <w:t xml:space="preserve"> </w:t>
      </w:r>
      <w:r>
        <w:t>71-87</w:t>
      </w:r>
      <w:r w:rsidR="00AA4990">
        <w:t>; 47 C.F.R. § 79.1(e)(11)</w:t>
      </w:r>
      <w:r w:rsidR="00551007">
        <w:t xml:space="preserve">.  </w:t>
      </w:r>
    </w:p>
  </w:footnote>
  <w:footnote w:id="6">
    <w:p w14:paraId="06B6855A" w14:textId="1D02E477" w:rsidR="006E04F7" w:rsidRPr="00385599" w:rsidRDefault="006E04F7" w:rsidP="006E04F7">
      <w:pPr>
        <w:pStyle w:val="FootnoteText"/>
      </w:pPr>
      <w:r w:rsidRPr="00385599">
        <w:rPr>
          <w:rStyle w:val="FootnoteReference"/>
        </w:rPr>
        <w:footnoteRef/>
      </w:r>
      <w:r w:rsidRPr="00385599">
        <w:t xml:space="preserve"> </w:t>
      </w:r>
      <w:r>
        <w:t>47 C.F.R. §</w:t>
      </w:r>
      <w:r w:rsidR="00812EA7">
        <w:t xml:space="preserve"> </w:t>
      </w:r>
      <w:r>
        <w:t>79.1(e)(11)(v)</w:t>
      </w:r>
      <w:r w:rsidR="00212F2F">
        <w:t xml:space="preserve">; </w:t>
      </w:r>
      <w:r w:rsidR="00212F2F">
        <w:rPr>
          <w:i/>
        </w:rPr>
        <w:t>see also</w:t>
      </w:r>
      <w:r w:rsidR="00932672" w:rsidRPr="00932672">
        <w:t xml:space="preserve"> 79 FR 17911, 17926 (Mar. 31, 2014).  </w:t>
      </w:r>
    </w:p>
  </w:footnote>
  <w:footnote w:id="7">
    <w:p w14:paraId="23267EA0" w14:textId="77777777" w:rsidR="006E04F7" w:rsidRPr="00823AB9" w:rsidRDefault="006E04F7" w:rsidP="006E04F7">
      <w:pPr>
        <w:pStyle w:val="FootnoteText"/>
      </w:pPr>
      <w:r w:rsidRPr="00823AB9">
        <w:rPr>
          <w:rStyle w:val="FootnoteReference"/>
        </w:rPr>
        <w:footnoteRef/>
      </w:r>
      <w:r w:rsidRPr="00823AB9">
        <w:t xml:space="preserve"> </w:t>
      </w:r>
      <w:r>
        <w:rPr>
          <w:i/>
        </w:rPr>
        <w:t>Closed Captioning Quality Order</w:t>
      </w:r>
      <w:r>
        <w:t>, 29 FCC Rcd</w:t>
      </w:r>
      <w:r w:rsidRPr="00C47B14">
        <w:t xml:space="preserve"> </w:t>
      </w:r>
      <w:r w:rsidRPr="00913108">
        <w:t>a</w:t>
      </w:r>
      <w:r>
        <w:t>t 2272, ¶ 82.</w:t>
      </w:r>
    </w:p>
  </w:footnote>
  <w:footnote w:id="8">
    <w:p w14:paraId="16D48B0E" w14:textId="59DF667E" w:rsidR="006F0F9D" w:rsidRDefault="006F0F9D">
      <w:pPr>
        <w:pStyle w:val="FootnoteText"/>
      </w:pPr>
      <w:r>
        <w:rPr>
          <w:rStyle w:val="FootnoteReference"/>
        </w:rPr>
        <w:footnoteRef/>
      </w:r>
      <w:r>
        <w:t xml:space="preserve"> </w:t>
      </w:r>
      <w:r w:rsidR="006A6D7E" w:rsidRPr="0007666B">
        <w:rPr>
          <w:i/>
        </w:rPr>
        <w:t>In the Matter of Closed Captioning of Video Programming:  Telecommunications for the Deaf and Hard of Hearing, Inc., Petition for Rulemaking</w:t>
      </w:r>
      <w:r w:rsidR="006A6D7E">
        <w:t>, CG Docket No. 05-231, Joint Petition for Temporary Extension of the NAB, TDI, NAD, HLAA, and TAP (filed May 27, 2015) (Joint Petition)</w:t>
      </w:r>
      <w:r w:rsidR="006625D1">
        <w:t>.</w:t>
      </w:r>
      <w:r w:rsidR="003C55AD">
        <w:t xml:space="preserve">  We refer to all parties participating in the Joint Petition as </w:t>
      </w:r>
      <w:r w:rsidR="00554B47">
        <w:t xml:space="preserve">the </w:t>
      </w:r>
      <w:r w:rsidR="003C55AD">
        <w:t>Joint Petitioners</w:t>
      </w:r>
      <w:r w:rsidR="00E21872">
        <w:t xml:space="preserve">. </w:t>
      </w:r>
    </w:p>
  </w:footnote>
  <w:footnote w:id="9">
    <w:p w14:paraId="72E76423" w14:textId="50AF5C63" w:rsidR="006F0F9D" w:rsidRDefault="006F0F9D">
      <w:pPr>
        <w:pStyle w:val="FootnoteText"/>
      </w:pPr>
      <w:r>
        <w:rPr>
          <w:rStyle w:val="FootnoteReference"/>
        </w:rPr>
        <w:footnoteRef/>
      </w:r>
      <w:r>
        <w:t xml:space="preserve"> </w:t>
      </w:r>
      <w:r w:rsidR="004939C5">
        <w:t>Joint Petition at</w:t>
      </w:r>
      <w:r>
        <w:t xml:space="preserve"> </w:t>
      </w:r>
      <w:r w:rsidR="00C84FFB">
        <w:t>2</w:t>
      </w:r>
      <w:r w:rsidR="003755C5">
        <w:t>-4</w:t>
      </w:r>
      <w:r>
        <w:t>.</w:t>
      </w:r>
      <w:r w:rsidR="004B0C1A">
        <w:t xml:space="preserve">  47 C.F.R. § 1.46(b).</w:t>
      </w:r>
    </w:p>
  </w:footnote>
  <w:footnote w:id="10">
    <w:p w14:paraId="31F97A91" w14:textId="77777777" w:rsidR="006F0F9D" w:rsidRPr="004939C5" w:rsidRDefault="006F0F9D">
      <w:pPr>
        <w:pStyle w:val="FootnoteText"/>
      </w:pPr>
      <w:r>
        <w:rPr>
          <w:rStyle w:val="FootnoteReference"/>
        </w:rPr>
        <w:footnoteRef/>
      </w:r>
      <w:r>
        <w:t xml:space="preserve"> </w:t>
      </w:r>
      <w:r w:rsidR="004939C5">
        <w:rPr>
          <w:i/>
        </w:rPr>
        <w:t>Id.</w:t>
      </w:r>
      <w:r w:rsidR="004939C5">
        <w:t xml:space="preserve"> at 4.</w:t>
      </w:r>
    </w:p>
  </w:footnote>
  <w:footnote w:id="11">
    <w:p w14:paraId="1DB29C79" w14:textId="003E1275" w:rsidR="00125E0B" w:rsidRDefault="00125E0B">
      <w:pPr>
        <w:pStyle w:val="FootnoteText"/>
      </w:pPr>
      <w:r>
        <w:rPr>
          <w:rStyle w:val="FootnoteReference"/>
        </w:rPr>
        <w:footnoteRef/>
      </w:r>
      <w:r>
        <w:t xml:space="preserve"> 47 C.F.R. § 1.46(a).</w:t>
      </w:r>
    </w:p>
  </w:footnote>
  <w:footnote w:id="12">
    <w:p w14:paraId="3ED413E5" w14:textId="0E63F899" w:rsidR="00FA36FC" w:rsidRPr="00FA36FC" w:rsidRDefault="00FA36FC">
      <w:pPr>
        <w:pStyle w:val="FootnoteText"/>
      </w:pPr>
      <w:r>
        <w:rPr>
          <w:rStyle w:val="FootnoteReference"/>
        </w:rPr>
        <w:footnoteRef/>
      </w:r>
      <w:r>
        <w:t xml:space="preserve"> </w:t>
      </w:r>
      <w:r w:rsidR="0053192B">
        <w:t>Joint Petition at 3-</w:t>
      </w:r>
      <w:r>
        <w:t>4.</w:t>
      </w:r>
    </w:p>
  </w:footnote>
  <w:footnote w:id="13">
    <w:p w14:paraId="3227C203" w14:textId="3ABA409F" w:rsidR="00D754EC" w:rsidRPr="003D4EA0" w:rsidRDefault="00D754EC">
      <w:pPr>
        <w:pStyle w:val="FootnoteText"/>
      </w:pPr>
      <w:r>
        <w:rPr>
          <w:rStyle w:val="FootnoteReference"/>
        </w:rPr>
        <w:footnoteRef/>
      </w:r>
      <w:r>
        <w:t xml:space="preserve"> </w:t>
      </w:r>
      <w:r w:rsidR="0094105B">
        <w:t xml:space="preserve">For example, in the </w:t>
      </w:r>
      <w:r w:rsidR="0094105B">
        <w:rPr>
          <w:i/>
        </w:rPr>
        <w:t>Closed Captioning Quality Order,</w:t>
      </w:r>
      <w:r w:rsidR="0094105B">
        <w:t xml:space="preserve"> the Commission noted that the ENT Report </w:t>
      </w:r>
      <w:r w:rsidR="0094105B">
        <w:rPr>
          <w:szCs w:val="22"/>
        </w:rPr>
        <w:t xml:space="preserve">can assist in “evaluating whether a further proceeding that may include the phase out of ENT for certain [designated market areas] is necessary to ensure full access to televised news programming by people who are deaf and hard of hearing.”  </w:t>
      </w:r>
      <w:r>
        <w:rPr>
          <w:i/>
        </w:rPr>
        <w:t>Closed Captioning Quality Order</w:t>
      </w:r>
      <w:r w:rsidR="00735D23">
        <w:t>, 29 FCC Rcd</w:t>
      </w:r>
      <w:r>
        <w:t xml:space="preserve"> at 2272, ¶ 82</w:t>
      </w:r>
      <w:r w:rsidRPr="003D4EA0">
        <w:t>.</w:t>
      </w:r>
      <w:r w:rsidR="003D4EA0" w:rsidRPr="003D4EA0">
        <w:t xml:space="preserve">  </w:t>
      </w:r>
      <w:r w:rsidR="001170E4" w:rsidRPr="00A430DF">
        <w:t>D</w:t>
      </w:r>
      <w:r w:rsidR="0094105B" w:rsidRPr="00A430DF">
        <w:t>esignated market areas, or D</w:t>
      </w:r>
      <w:r w:rsidR="001170E4" w:rsidRPr="00A430DF">
        <w:t>MAs</w:t>
      </w:r>
      <w:r w:rsidR="0094105B" w:rsidRPr="00A430DF">
        <w:t>,</w:t>
      </w:r>
      <w:r w:rsidR="001170E4" w:rsidRPr="00A430DF">
        <w:t xml:space="preserve"> are geographic areas that represent specific television markets as defined by and updated annually by the Nielsen Company</w:t>
      </w:r>
      <w:r w:rsidR="0094105B" w:rsidRPr="00A430DF">
        <w:t>.</w:t>
      </w:r>
      <w:r w:rsidR="0094105B">
        <w:t xml:space="preserve"> </w:t>
      </w:r>
    </w:p>
  </w:footnote>
  <w:footnote w:id="14">
    <w:p w14:paraId="423ECE82" w14:textId="77777777" w:rsidR="004939C5" w:rsidRPr="004939C5" w:rsidRDefault="004939C5">
      <w:pPr>
        <w:pStyle w:val="FootnoteText"/>
      </w:pPr>
      <w:r>
        <w:rPr>
          <w:rStyle w:val="FootnoteReference"/>
        </w:rPr>
        <w:footnoteRef/>
      </w:r>
      <w:r>
        <w:t xml:space="preserve"> </w:t>
      </w:r>
      <w:r>
        <w:rPr>
          <w:i/>
        </w:rPr>
        <w:t>See</w:t>
      </w:r>
      <w:r>
        <w:t xml:space="preserve"> ¶ 2, </w:t>
      </w:r>
      <w:r>
        <w:rPr>
          <w:i/>
        </w:rPr>
        <w:t>supra.</w:t>
      </w:r>
    </w:p>
  </w:footnote>
  <w:footnote w:id="15">
    <w:p w14:paraId="6D58F357" w14:textId="4ECEE91C" w:rsidR="00AF683C" w:rsidRPr="00AF683C" w:rsidRDefault="00AF683C">
      <w:pPr>
        <w:pStyle w:val="FootnoteText"/>
      </w:pPr>
      <w:r>
        <w:rPr>
          <w:rStyle w:val="FootnoteReference"/>
        </w:rPr>
        <w:footnoteRef/>
      </w:r>
      <w:r>
        <w:t xml:space="preserve"> </w:t>
      </w:r>
      <w:r>
        <w:rPr>
          <w:i/>
        </w:rPr>
        <w:t>See</w:t>
      </w:r>
      <w:r w:rsidR="0060101A">
        <w:t xml:space="preserve"> ¶ 4, </w:t>
      </w:r>
      <w:r w:rsidR="0060101A">
        <w:rPr>
          <w:i/>
        </w:rPr>
        <w:t>supra</w:t>
      </w:r>
      <w:r w:rsidR="0060101A">
        <w:t>;</w:t>
      </w:r>
      <w:r>
        <w:rPr>
          <w:i/>
        </w:rPr>
        <w:t xml:space="preserve"> </w:t>
      </w:r>
      <w:r w:rsidR="00C53461">
        <w:rPr>
          <w:i/>
        </w:rPr>
        <w:t xml:space="preserve">Closed </w:t>
      </w:r>
      <w:r>
        <w:rPr>
          <w:i/>
        </w:rPr>
        <w:t>Captioning Quality Order</w:t>
      </w:r>
      <w:r>
        <w:t xml:space="preserve">, 29 FCC Rcd 2272, ¶ 82.  </w:t>
      </w:r>
    </w:p>
  </w:footnote>
  <w:footnote w:id="16">
    <w:p w14:paraId="70C50274" w14:textId="2AE2C7E9" w:rsidR="00195BDE" w:rsidRPr="00195BDE" w:rsidRDefault="00195BDE" w:rsidP="00195BDE">
      <w:pPr>
        <w:pStyle w:val="FootnoteText"/>
      </w:pPr>
      <w:r>
        <w:rPr>
          <w:rStyle w:val="FootnoteReference"/>
        </w:rPr>
        <w:footnoteRef/>
      </w:r>
      <w:r>
        <w:t xml:space="preserve"> </w:t>
      </w:r>
      <w:r>
        <w:rPr>
          <w:i/>
        </w:rPr>
        <w:t>Notice of Effective Dates of Closed Captioning Quality Report and Order and Declaratory Ruling, and Announcement of Comment and Reply Comment Deadlines for Related Further Notice of Proposed Rulemaking</w:t>
      </w:r>
      <w:r>
        <w:t xml:space="preserve">, CG Docket No. 05-031, Public </w:t>
      </w:r>
      <w:r w:rsidR="005551B5">
        <w:t>N</w:t>
      </w:r>
      <w:r>
        <w:t>otice, 29 FCC Rcd 3656 (CGB 2014).</w:t>
      </w:r>
    </w:p>
  </w:footnote>
  <w:footnote w:id="17">
    <w:p w14:paraId="519F8B92" w14:textId="0BF4DD66" w:rsidR="0014207B" w:rsidRPr="0014207B" w:rsidRDefault="0014207B">
      <w:pPr>
        <w:pStyle w:val="FootnoteText"/>
        <w:rPr>
          <w:i/>
        </w:rPr>
      </w:pPr>
      <w:r>
        <w:rPr>
          <w:rStyle w:val="FootnoteReference"/>
        </w:rPr>
        <w:footnoteRef/>
      </w:r>
      <w:r w:rsidR="005551B5">
        <w:rPr>
          <w:i/>
        </w:rPr>
        <w:t xml:space="preserve"> </w:t>
      </w:r>
      <w:r>
        <w:rPr>
          <w:i/>
        </w:rPr>
        <w:t>See ¶</w:t>
      </w:r>
      <w:r>
        <w:t xml:space="preserve"> 4, </w:t>
      </w:r>
      <w:r>
        <w:rPr>
          <w:i/>
        </w:rPr>
        <w:t>supra</w:t>
      </w:r>
      <w:r w:rsidR="00483471">
        <w:t>; Joint Petition at 3-4</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3377B" w14:textId="77777777" w:rsidR="00014C70" w:rsidRDefault="00014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BA18" w14:textId="10D657ED" w:rsidR="006F0F9D" w:rsidRPr="0016507F" w:rsidRDefault="006F0F9D" w:rsidP="0016507F">
    <w:pPr>
      <w:pStyle w:val="Header"/>
    </w:pPr>
    <w:r w:rsidRPr="0016507F">
      <w:tab/>
      <w:t xml:space="preserve">Federal </w:t>
    </w:r>
    <w:r w:rsidR="001A2695" w:rsidRPr="0016507F">
      <w:t>Communications Commission</w:t>
    </w:r>
    <w:r w:rsidR="001A2695" w:rsidRPr="0016507F">
      <w:tab/>
      <w:t>DA 1</w:t>
    </w:r>
    <w:r w:rsidR="00C42866" w:rsidRPr="0016507F">
      <w:t>5-</w:t>
    </w:r>
    <w:r w:rsidR="0016507F" w:rsidRPr="0016507F">
      <w:t>748</w:t>
    </w:r>
  </w:p>
  <w:p w14:paraId="031022FC" w14:textId="77777777" w:rsidR="006F0F9D" w:rsidRDefault="006F0F9D" w:rsidP="0016507F">
    <w:pPr>
      <w:pStyle w:val="Header"/>
    </w:pPr>
    <w:r>
      <w:rPr>
        <w:noProof/>
        <w:snapToGrid/>
      </w:rPr>
      <mc:AlternateContent>
        <mc:Choice Requires="wps">
          <w:drawing>
            <wp:anchor distT="4294967291" distB="4294967291" distL="114300" distR="114300" simplePos="0" relativeHeight="251659264" behindDoc="0" locked="0" layoutInCell="0" allowOverlap="1" wp14:anchorId="5D71E8C1" wp14:editId="75FB2135">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BF4A8"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14:paraId="1D1ABF31" w14:textId="77777777" w:rsidR="006F0F9D" w:rsidRDefault="006F0F9D" w:rsidP="00165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A745E" w14:textId="77777777" w:rsidR="00014C70" w:rsidRDefault="00014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99"/>
    <w:rsid w:val="00014C70"/>
    <w:rsid w:val="000421C0"/>
    <w:rsid w:val="00052DD1"/>
    <w:rsid w:val="0007666B"/>
    <w:rsid w:val="000B21D3"/>
    <w:rsid w:val="000B4E14"/>
    <w:rsid w:val="000E2AB2"/>
    <w:rsid w:val="00107A8E"/>
    <w:rsid w:val="001131A7"/>
    <w:rsid w:val="001170E4"/>
    <w:rsid w:val="00125404"/>
    <w:rsid w:val="00125E0B"/>
    <w:rsid w:val="0014207B"/>
    <w:rsid w:val="0016507F"/>
    <w:rsid w:val="001738B3"/>
    <w:rsid w:val="00174B2E"/>
    <w:rsid w:val="00195BDE"/>
    <w:rsid w:val="001A2695"/>
    <w:rsid w:val="001F160D"/>
    <w:rsid w:val="001F3303"/>
    <w:rsid w:val="00212F2F"/>
    <w:rsid w:val="002177C9"/>
    <w:rsid w:val="00242E4C"/>
    <w:rsid w:val="00247E62"/>
    <w:rsid w:val="00254945"/>
    <w:rsid w:val="00271F63"/>
    <w:rsid w:val="0028065D"/>
    <w:rsid w:val="0028582D"/>
    <w:rsid w:val="0029119C"/>
    <w:rsid w:val="002B7FE5"/>
    <w:rsid w:val="002D359F"/>
    <w:rsid w:val="002D6559"/>
    <w:rsid w:val="002F30B5"/>
    <w:rsid w:val="00304727"/>
    <w:rsid w:val="0030735C"/>
    <w:rsid w:val="003148F9"/>
    <w:rsid w:val="00324E04"/>
    <w:rsid w:val="0033099D"/>
    <w:rsid w:val="00344C65"/>
    <w:rsid w:val="00352D18"/>
    <w:rsid w:val="00363E0B"/>
    <w:rsid w:val="003667DA"/>
    <w:rsid w:val="003750EA"/>
    <w:rsid w:val="003755C5"/>
    <w:rsid w:val="00377130"/>
    <w:rsid w:val="00391C77"/>
    <w:rsid w:val="00391F1C"/>
    <w:rsid w:val="00396C68"/>
    <w:rsid w:val="003B1033"/>
    <w:rsid w:val="003C55AD"/>
    <w:rsid w:val="003D4EA0"/>
    <w:rsid w:val="003D5149"/>
    <w:rsid w:val="00422083"/>
    <w:rsid w:val="00437FC2"/>
    <w:rsid w:val="00446779"/>
    <w:rsid w:val="0045140C"/>
    <w:rsid w:val="00462B40"/>
    <w:rsid w:val="004671C3"/>
    <w:rsid w:val="00483471"/>
    <w:rsid w:val="00493156"/>
    <w:rsid w:val="004939C5"/>
    <w:rsid w:val="00494D0E"/>
    <w:rsid w:val="004B0C1A"/>
    <w:rsid w:val="004B4CFE"/>
    <w:rsid w:val="004B6BB8"/>
    <w:rsid w:val="004D2DAA"/>
    <w:rsid w:val="00500E94"/>
    <w:rsid w:val="0053192B"/>
    <w:rsid w:val="00551007"/>
    <w:rsid w:val="00553D9C"/>
    <w:rsid w:val="00554B47"/>
    <w:rsid w:val="005551B5"/>
    <w:rsid w:val="00564B68"/>
    <w:rsid w:val="005716B0"/>
    <w:rsid w:val="00573128"/>
    <w:rsid w:val="00576698"/>
    <w:rsid w:val="005E10E9"/>
    <w:rsid w:val="005F784A"/>
    <w:rsid w:val="0060101A"/>
    <w:rsid w:val="00601EB8"/>
    <w:rsid w:val="00604C9C"/>
    <w:rsid w:val="00634B14"/>
    <w:rsid w:val="00637C19"/>
    <w:rsid w:val="00653479"/>
    <w:rsid w:val="00660C72"/>
    <w:rsid w:val="006625D1"/>
    <w:rsid w:val="0067765E"/>
    <w:rsid w:val="0068144F"/>
    <w:rsid w:val="00685351"/>
    <w:rsid w:val="00687A19"/>
    <w:rsid w:val="00690661"/>
    <w:rsid w:val="006A6D7E"/>
    <w:rsid w:val="006B59F9"/>
    <w:rsid w:val="006C55B7"/>
    <w:rsid w:val="006E04F7"/>
    <w:rsid w:val="006E5B27"/>
    <w:rsid w:val="006F0F9D"/>
    <w:rsid w:val="006F562C"/>
    <w:rsid w:val="00710FB4"/>
    <w:rsid w:val="007168CA"/>
    <w:rsid w:val="00717278"/>
    <w:rsid w:val="00735D23"/>
    <w:rsid w:val="007C4146"/>
    <w:rsid w:val="007E09C2"/>
    <w:rsid w:val="007F31F7"/>
    <w:rsid w:val="007F3827"/>
    <w:rsid w:val="008002B8"/>
    <w:rsid w:val="00804C8A"/>
    <w:rsid w:val="00812EA7"/>
    <w:rsid w:val="008149DE"/>
    <w:rsid w:val="00827B9A"/>
    <w:rsid w:val="008339CB"/>
    <w:rsid w:val="00840F89"/>
    <w:rsid w:val="00851069"/>
    <w:rsid w:val="00867E0D"/>
    <w:rsid w:val="008959FD"/>
    <w:rsid w:val="008A10B9"/>
    <w:rsid w:val="008A16F2"/>
    <w:rsid w:val="008C6FCB"/>
    <w:rsid w:val="008D1360"/>
    <w:rsid w:val="00932672"/>
    <w:rsid w:val="0094105B"/>
    <w:rsid w:val="00941548"/>
    <w:rsid w:val="00961A7C"/>
    <w:rsid w:val="0097475E"/>
    <w:rsid w:val="00990807"/>
    <w:rsid w:val="009A1068"/>
    <w:rsid w:val="009A4CFD"/>
    <w:rsid w:val="009A7D31"/>
    <w:rsid w:val="00A07823"/>
    <w:rsid w:val="00A1556B"/>
    <w:rsid w:val="00A2070F"/>
    <w:rsid w:val="00A430DF"/>
    <w:rsid w:val="00A51BCC"/>
    <w:rsid w:val="00A53952"/>
    <w:rsid w:val="00A630AC"/>
    <w:rsid w:val="00A65B80"/>
    <w:rsid w:val="00A9089E"/>
    <w:rsid w:val="00AA22A8"/>
    <w:rsid w:val="00AA4990"/>
    <w:rsid w:val="00AC4419"/>
    <w:rsid w:val="00AD768B"/>
    <w:rsid w:val="00AF4F38"/>
    <w:rsid w:val="00AF683C"/>
    <w:rsid w:val="00AF7BC8"/>
    <w:rsid w:val="00B200E7"/>
    <w:rsid w:val="00B20F44"/>
    <w:rsid w:val="00B33D13"/>
    <w:rsid w:val="00B53DB6"/>
    <w:rsid w:val="00B65A0D"/>
    <w:rsid w:val="00B70F9C"/>
    <w:rsid w:val="00B84C6A"/>
    <w:rsid w:val="00B96491"/>
    <w:rsid w:val="00BA4E07"/>
    <w:rsid w:val="00BD2F6A"/>
    <w:rsid w:val="00BF67FE"/>
    <w:rsid w:val="00C01A7C"/>
    <w:rsid w:val="00C3114E"/>
    <w:rsid w:val="00C414AD"/>
    <w:rsid w:val="00C42866"/>
    <w:rsid w:val="00C47246"/>
    <w:rsid w:val="00C53461"/>
    <w:rsid w:val="00C71D93"/>
    <w:rsid w:val="00C73DCD"/>
    <w:rsid w:val="00C746D9"/>
    <w:rsid w:val="00C84FFB"/>
    <w:rsid w:val="00C94F99"/>
    <w:rsid w:val="00CB6225"/>
    <w:rsid w:val="00CB6456"/>
    <w:rsid w:val="00CD53B2"/>
    <w:rsid w:val="00CD7628"/>
    <w:rsid w:val="00CE3BD8"/>
    <w:rsid w:val="00CF19AF"/>
    <w:rsid w:val="00D13D5F"/>
    <w:rsid w:val="00D14390"/>
    <w:rsid w:val="00D16383"/>
    <w:rsid w:val="00D43FB2"/>
    <w:rsid w:val="00D51EEE"/>
    <w:rsid w:val="00D754EC"/>
    <w:rsid w:val="00D76814"/>
    <w:rsid w:val="00D84D95"/>
    <w:rsid w:val="00DB68EB"/>
    <w:rsid w:val="00DC74CB"/>
    <w:rsid w:val="00E0117C"/>
    <w:rsid w:val="00E07356"/>
    <w:rsid w:val="00E21872"/>
    <w:rsid w:val="00E3384E"/>
    <w:rsid w:val="00E3684A"/>
    <w:rsid w:val="00E50FA5"/>
    <w:rsid w:val="00E6034D"/>
    <w:rsid w:val="00E619A7"/>
    <w:rsid w:val="00E63C0A"/>
    <w:rsid w:val="00E64B50"/>
    <w:rsid w:val="00E753AF"/>
    <w:rsid w:val="00E96526"/>
    <w:rsid w:val="00E96A87"/>
    <w:rsid w:val="00EA388E"/>
    <w:rsid w:val="00EB64C8"/>
    <w:rsid w:val="00EC6C39"/>
    <w:rsid w:val="00ED621F"/>
    <w:rsid w:val="00EE2136"/>
    <w:rsid w:val="00EE5570"/>
    <w:rsid w:val="00EE7D5B"/>
    <w:rsid w:val="00F63F39"/>
    <w:rsid w:val="00F76D40"/>
    <w:rsid w:val="00F950A2"/>
    <w:rsid w:val="00F9641D"/>
    <w:rsid w:val="00FA36FC"/>
    <w:rsid w:val="00FB1783"/>
    <w:rsid w:val="00FB502F"/>
    <w:rsid w:val="00FC0C6A"/>
    <w:rsid w:val="00FD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9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143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4390"/>
    <w:pPr>
      <w:keepNext/>
      <w:numPr>
        <w:ilvl w:val="1"/>
        <w:numId w:val="3"/>
      </w:numPr>
      <w:spacing w:after="120"/>
      <w:outlineLvl w:val="1"/>
    </w:pPr>
    <w:rPr>
      <w:b/>
    </w:rPr>
  </w:style>
  <w:style w:type="paragraph" w:styleId="Heading3">
    <w:name w:val="heading 3"/>
    <w:basedOn w:val="Normal"/>
    <w:next w:val="ParaNum"/>
    <w:link w:val="Heading3Char"/>
    <w:qFormat/>
    <w:rsid w:val="00D1439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1439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1439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1439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1439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143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143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rsid w:val="00D14390"/>
    <w:pPr>
      <w:tabs>
        <w:tab w:val="left" w:pos="720"/>
        <w:tab w:val="right" w:leader="dot" w:pos="9360"/>
      </w:tabs>
      <w:suppressAutoHyphens/>
      <w:ind w:left="720" w:right="720" w:hanging="360"/>
    </w:pPr>
    <w:rPr>
      <w:noProof/>
    </w:rPr>
  </w:style>
  <w:style w:type="paragraph" w:styleId="TOC1">
    <w:name w:val="toc 1"/>
    <w:basedOn w:val="Normal"/>
    <w:next w:val="Normal"/>
    <w:rsid w:val="00D14390"/>
    <w:pPr>
      <w:tabs>
        <w:tab w:val="left" w:pos="360"/>
        <w:tab w:val="right" w:leader="dot" w:pos="9360"/>
      </w:tabs>
      <w:suppressAutoHyphens/>
      <w:ind w:left="360" w:right="720" w:hanging="360"/>
    </w:pPr>
    <w:rPr>
      <w:caps/>
      <w:noProof/>
    </w:rPr>
  </w:style>
  <w:style w:type="paragraph" w:styleId="TOC3">
    <w:name w:val="toc 3"/>
    <w:basedOn w:val="Normal"/>
    <w:next w:val="Normal"/>
    <w:rsid w:val="00D14390"/>
    <w:pPr>
      <w:tabs>
        <w:tab w:val="left" w:pos="1080"/>
        <w:tab w:val="right" w:leader="dot" w:pos="9360"/>
      </w:tabs>
      <w:suppressAutoHyphens/>
      <w:ind w:left="1080" w:right="720" w:hanging="360"/>
    </w:pPr>
    <w:rPr>
      <w:noProof/>
    </w:rPr>
  </w:style>
  <w:style w:type="character" w:styleId="Hyperlink">
    <w:name w:val="Hyperlink"/>
    <w:rsid w:val="00D14390"/>
    <w:rPr>
      <w:color w:val="0000FF"/>
      <w:u w:val="single"/>
    </w:rPr>
  </w:style>
  <w:style w:type="character" w:customStyle="1" w:styleId="Heading1Char">
    <w:name w:val="Heading 1 Char"/>
    <w:basedOn w:val="DefaultParagraphFont"/>
    <w:link w:val="Heading1"/>
    <w:rsid w:val="00C94F99"/>
    <w:rPr>
      <w:rFonts w:ascii="Times New Roman Bold" w:eastAsia="Times New Roman" w:hAnsi="Times New Roman Bold" w:cs="Times New Roman"/>
      <w:b/>
      <w:caps/>
      <w:snapToGrid w:val="0"/>
      <w:kern w:val="28"/>
      <w:szCs w:val="20"/>
    </w:rPr>
  </w:style>
  <w:style w:type="paragraph" w:styleId="TOCHeading">
    <w:name w:val="TOC Heading"/>
    <w:basedOn w:val="Heading1"/>
    <w:next w:val="Normal"/>
    <w:uiPriority w:val="39"/>
    <w:unhideWhenUsed/>
    <w:qFormat/>
    <w:rsid w:val="00C94F99"/>
    <w:pPr>
      <w:widowControl/>
      <w:spacing w:line="276" w:lineRule="auto"/>
      <w:outlineLvl w:val="9"/>
    </w:pPr>
    <w:rPr>
      <w:lang w:eastAsia="ja-JP"/>
    </w:rPr>
  </w:style>
  <w:style w:type="paragraph" w:customStyle="1" w:styleId="Paratitle">
    <w:name w:val="Para title"/>
    <w:basedOn w:val="Normal"/>
    <w:rsid w:val="00D14390"/>
    <w:pPr>
      <w:tabs>
        <w:tab w:val="center" w:pos="9270"/>
      </w:tabs>
      <w:spacing w:after="240"/>
    </w:pPr>
    <w:rPr>
      <w:spacing w:val="-2"/>
    </w:rPr>
  </w:style>
  <w:style w:type="paragraph" w:customStyle="1" w:styleId="TOCTitle">
    <w:name w:val="TOC Title"/>
    <w:basedOn w:val="Normal"/>
    <w:rsid w:val="00D14390"/>
    <w:pPr>
      <w:spacing w:before="240" w:after="240"/>
      <w:jc w:val="center"/>
    </w:pPr>
    <w:rPr>
      <w:rFonts w:ascii="Times New Roman Bold" w:hAnsi="Times New Roman Bold"/>
      <w:b/>
      <w:caps/>
      <w:spacing w:val="-2"/>
    </w:rPr>
  </w:style>
  <w:style w:type="paragraph" w:styleId="BalloonText">
    <w:name w:val="Balloon Text"/>
    <w:basedOn w:val="Normal"/>
    <w:link w:val="BalloonTextChar"/>
    <w:uiPriority w:val="99"/>
    <w:semiHidden/>
    <w:unhideWhenUsed/>
    <w:rsid w:val="00C94F99"/>
    <w:rPr>
      <w:rFonts w:ascii="Tahoma" w:hAnsi="Tahoma" w:cs="Tahoma"/>
      <w:sz w:val="16"/>
      <w:szCs w:val="16"/>
    </w:rPr>
  </w:style>
  <w:style w:type="character" w:customStyle="1" w:styleId="BalloonTextChar">
    <w:name w:val="Balloon Text Char"/>
    <w:basedOn w:val="DefaultParagraphFont"/>
    <w:link w:val="BalloonText"/>
    <w:uiPriority w:val="99"/>
    <w:semiHidden/>
    <w:rsid w:val="00C94F99"/>
    <w:rPr>
      <w:rFonts w:ascii="Tahoma" w:eastAsia="Times New Roman" w:hAnsi="Tahoma" w:cs="Tahoma"/>
      <w:snapToGrid w:val="0"/>
      <w:kern w:val="28"/>
      <w:sz w:val="16"/>
      <w:szCs w:val="16"/>
    </w:rPr>
  </w:style>
  <w:style w:type="character" w:customStyle="1" w:styleId="Heading2Char">
    <w:name w:val="Heading 2 Char"/>
    <w:basedOn w:val="DefaultParagraphFont"/>
    <w:link w:val="Heading2"/>
    <w:rsid w:val="00553D9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53D9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53D9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53D9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53D9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53D9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53D9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53D9C"/>
    <w:rPr>
      <w:rFonts w:ascii="Times New Roman" w:eastAsia="Times New Roman" w:hAnsi="Times New Roman" w:cs="Times New Roman"/>
      <w:b/>
      <w:snapToGrid w:val="0"/>
      <w:kern w:val="28"/>
      <w:szCs w:val="20"/>
    </w:rPr>
  </w:style>
  <w:style w:type="paragraph" w:customStyle="1" w:styleId="ParaNum">
    <w:name w:val="ParaNum"/>
    <w:basedOn w:val="Normal"/>
    <w:rsid w:val="00D14390"/>
    <w:pPr>
      <w:numPr>
        <w:numId w:val="2"/>
      </w:numPr>
      <w:tabs>
        <w:tab w:val="clear" w:pos="1080"/>
        <w:tab w:val="num" w:pos="1440"/>
      </w:tabs>
      <w:spacing w:after="120"/>
    </w:pPr>
  </w:style>
  <w:style w:type="paragraph" w:styleId="EndnoteText">
    <w:name w:val="endnote text"/>
    <w:basedOn w:val="Normal"/>
    <w:link w:val="EndnoteTextChar"/>
    <w:semiHidden/>
    <w:rsid w:val="00D14390"/>
    <w:rPr>
      <w:sz w:val="20"/>
    </w:rPr>
  </w:style>
  <w:style w:type="character" w:customStyle="1" w:styleId="EndnoteTextChar">
    <w:name w:val="Endnote Text Char"/>
    <w:basedOn w:val="DefaultParagraphFont"/>
    <w:link w:val="EndnoteText"/>
    <w:semiHidden/>
    <w:rsid w:val="00553D9C"/>
    <w:rPr>
      <w:rFonts w:ascii="Times New Roman" w:eastAsia="Times New Roman" w:hAnsi="Times New Roman" w:cs="Times New Roman"/>
      <w:snapToGrid w:val="0"/>
      <w:kern w:val="28"/>
      <w:sz w:val="20"/>
      <w:szCs w:val="20"/>
    </w:rPr>
  </w:style>
  <w:style w:type="character" w:styleId="EndnoteReference">
    <w:name w:val="endnote reference"/>
    <w:semiHidden/>
    <w:rsid w:val="00D14390"/>
    <w:rPr>
      <w:vertAlign w:val="superscript"/>
    </w:rPr>
  </w:style>
  <w:style w:type="paragraph" w:styleId="FootnoteText">
    <w:name w:val="footnote text"/>
    <w:link w:val="FootnoteTextChar"/>
    <w:rsid w:val="00D1439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3D9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fr,o,Style 3,FR,Style 17,Style 6,Footnote Reference/,Style 4"/>
    <w:rsid w:val="00D14390"/>
    <w:rPr>
      <w:rFonts w:ascii="Times New Roman" w:hAnsi="Times New Roman"/>
      <w:dstrike w:val="0"/>
      <w:color w:val="auto"/>
      <w:sz w:val="20"/>
      <w:vertAlign w:val="superscript"/>
    </w:rPr>
  </w:style>
  <w:style w:type="paragraph" w:styleId="TOC4">
    <w:name w:val="toc 4"/>
    <w:basedOn w:val="Normal"/>
    <w:next w:val="Normal"/>
    <w:autoRedefine/>
    <w:semiHidden/>
    <w:rsid w:val="00D143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3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3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3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3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3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390"/>
    <w:pPr>
      <w:tabs>
        <w:tab w:val="right" w:pos="9360"/>
      </w:tabs>
      <w:suppressAutoHyphens/>
    </w:pPr>
  </w:style>
  <w:style w:type="character" w:customStyle="1" w:styleId="EquationCaption">
    <w:name w:val="_Equation Caption"/>
    <w:rsid w:val="00D14390"/>
  </w:style>
  <w:style w:type="paragraph" w:styleId="Header">
    <w:name w:val="header"/>
    <w:basedOn w:val="Normal"/>
    <w:link w:val="HeaderChar"/>
    <w:autoRedefine/>
    <w:rsid w:val="0016507F"/>
    <w:pPr>
      <w:tabs>
        <w:tab w:val="center" w:pos="4680"/>
        <w:tab w:val="right" w:pos="9360"/>
      </w:tabs>
    </w:pPr>
    <w:rPr>
      <w:b/>
    </w:rPr>
  </w:style>
  <w:style w:type="character" w:customStyle="1" w:styleId="HeaderChar">
    <w:name w:val="Header Char"/>
    <w:basedOn w:val="DefaultParagraphFont"/>
    <w:link w:val="Header"/>
    <w:rsid w:val="0016507F"/>
    <w:rPr>
      <w:rFonts w:ascii="Times New Roman" w:eastAsia="Times New Roman" w:hAnsi="Times New Roman" w:cs="Times New Roman"/>
      <w:b/>
      <w:snapToGrid w:val="0"/>
      <w:kern w:val="28"/>
      <w:szCs w:val="20"/>
    </w:rPr>
  </w:style>
  <w:style w:type="paragraph" w:styleId="Footer">
    <w:name w:val="footer"/>
    <w:basedOn w:val="Normal"/>
    <w:link w:val="FooterChar"/>
    <w:rsid w:val="00D14390"/>
    <w:pPr>
      <w:tabs>
        <w:tab w:val="center" w:pos="4320"/>
        <w:tab w:val="right" w:pos="8640"/>
      </w:tabs>
    </w:pPr>
  </w:style>
  <w:style w:type="character" w:customStyle="1" w:styleId="FooterChar">
    <w:name w:val="Footer Char"/>
    <w:basedOn w:val="DefaultParagraphFont"/>
    <w:link w:val="Footer"/>
    <w:rsid w:val="00553D9C"/>
    <w:rPr>
      <w:rFonts w:ascii="Times New Roman" w:eastAsia="Times New Roman" w:hAnsi="Times New Roman" w:cs="Times New Roman"/>
      <w:snapToGrid w:val="0"/>
      <w:kern w:val="28"/>
      <w:szCs w:val="20"/>
    </w:rPr>
  </w:style>
  <w:style w:type="character" w:styleId="PageNumber">
    <w:name w:val="page number"/>
    <w:basedOn w:val="DefaultParagraphFont"/>
    <w:rsid w:val="00D14390"/>
  </w:style>
  <w:style w:type="paragraph" w:styleId="BlockText">
    <w:name w:val="Block Text"/>
    <w:basedOn w:val="Normal"/>
    <w:rsid w:val="00D14390"/>
    <w:pPr>
      <w:spacing w:after="240"/>
      <w:ind w:left="1440" w:right="1440"/>
    </w:pPr>
  </w:style>
  <w:style w:type="paragraph" w:customStyle="1" w:styleId="Bullet">
    <w:name w:val="Bullet"/>
    <w:basedOn w:val="Normal"/>
    <w:rsid w:val="00D14390"/>
    <w:pPr>
      <w:tabs>
        <w:tab w:val="left" w:pos="2160"/>
      </w:tabs>
      <w:spacing w:after="220"/>
      <w:ind w:left="2160" w:hanging="720"/>
    </w:pPr>
  </w:style>
  <w:style w:type="paragraph" w:customStyle="1" w:styleId="TableFormat">
    <w:name w:val="TableFormat"/>
    <w:basedOn w:val="Bullet"/>
    <w:rsid w:val="00D14390"/>
    <w:pPr>
      <w:tabs>
        <w:tab w:val="clear" w:pos="2160"/>
        <w:tab w:val="left" w:pos="5040"/>
      </w:tabs>
      <w:ind w:left="5040" w:hanging="3600"/>
    </w:pPr>
  </w:style>
  <w:style w:type="paragraph" w:customStyle="1" w:styleId="StyleBoldCentered">
    <w:name w:val="Style Bold Centered"/>
    <w:basedOn w:val="Normal"/>
    <w:rsid w:val="00D14390"/>
    <w:pPr>
      <w:jc w:val="center"/>
    </w:pPr>
    <w:rPr>
      <w:rFonts w:ascii="Times New Roman Bold" w:hAnsi="Times New Roman Bold"/>
      <w:b/>
      <w:bCs/>
      <w:caps/>
      <w:szCs w:val="22"/>
    </w:rPr>
  </w:style>
  <w:style w:type="paragraph" w:styleId="ListParagraph">
    <w:name w:val="List Paragraph"/>
    <w:basedOn w:val="Normal"/>
    <w:uiPriority w:val="34"/>
    <w:qFormat/>
    <w:rsid w:val="006E04F7"/>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45140C"/>
    <w:rPr>
      <w:sz w:val="16"/>
      <w:szCs w:val="16"/>
    </w:rPr>
  </w:style>
  <w:style w:type="paragraph" w:styleId="CommentText">
    <w:name w:val="annotation text"/>
    <w:basedOn w:val="Normal"/>
    <w:link w:val="CommentTextChar"/>
    <w:uiPriority w:val="99"/>
    <w:semiHidden/>
    <w:unhideWhenUsed/>
    <w:rsid w:val="0045140C"/>
    <w:rPr>
      <w:sz w:val="20"/>
    </w:rPr>
  </w:style>
  <w:style w:type="character" w:customStyle="1" w:styleId="CommentTextChar">
    <w:name w:val="Comment Text Char"/>
    <w:basedOn w:val="DefaultParagraphFont"/>
    <w:link w:val="CommentText"/>
    <w:uiPriority w:val="99"/>
    <w:semiHidden/>
    <w:rsid w:val="0045140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5140C"/>
    <w:rPr>
      <w:b/>
      <w:bCs/>
    </w:rPr>
  </w:style>
  <w:style w:type="character" w:customStyle="1" w:styleId="CommentSubjectChar">
    <w:name w:val="Comment Subject Char"/>
    <w:basedOn w:val="CommentTextChar"/>
    <w:link w:val="CommentSubject"/>
    <w:uiPriority w:val="99"/>
    <w:semiHidden/>
    <w:rsid w:val="0045140C"/>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A430DF"/>
    <w:pPr>
      <w:spacing w:after="0" w:line="240" w:lineRule="auto"/>
    </w:pPr>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9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D143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4390"/>
    <w:pPr>
      <w:keepNext/>
      <w:numPr>
        <w:ilvl w:val="1"/>
        <w:numId w:val="3"/>
      </w:numPr>
      <w:spacing w:after="120"/>
      <w:outlineLvl w:val="1"/>
    </w:pPr>
    <w:rPr>
      <w:b/>
    </w:rPr>
  </w:style>
  <w:style w:type="paragraph" w:styleId="Heading3">
    <w:name w:val="heading 3"/>
    <w:basedOn w:val="Normal"/>
    <w:next w:val="ParaNum"/>
    <w:link w:val="Heading3Char"/>
    <w:qFormat/>
    <w:rsid w:val="00D14390"/>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D14390"/>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D14390"/>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D14390"/>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D14390"/>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D1439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143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rsid w:val="00D14390"/>
    <w:pPr>
      <w:tabs>
        <w:tab w:val="left" w:pos="720"/>
        <w:tab w:val="right" w:leader="dot" w:pos="9360"/>
      </w:tabs>
      <w:suppressAutoHyphens/>
      <w:ind w:left="720" w:right="720" w:hanging="360"/>
    </w:pPr>
    <w:rPr>
      <w:noProof/>
    </w:rPr>
  </w:style>
  <w:style w:type="paragraph" w:styleId="TOC1">
    <w:name w:val="toc 1"/>
    <w:basedOn w:val="Normal"/>
    <w:next w:val="Normal"/>
    <w:rsid w:val="00D14390"/>
    <w:pPr>
      <w:tabs>
        <w:tab w:val="left" w:pos="360"/>
        <w:tab w:val="right" w:leader="dot" w:pos="9360"/>
      </w:tabs>
      <w:suppressAutoHyphens/>
      <w:ind w:left="360" w:right="720" w:hanging="360"/>
    </w:pPr>
    <w:rPr>
      <w:caps/>
      <w:noProof/>
    </w:rPr>
  </w:style>
  <w:style w:type="paragraph" w:styleId="TOC3">
    <w:name w:val="toc 3"/>
    <w:basedOn w:val="Normal"/>
    <w:next w:val="Normal"/>
    <w:rsid w:val="00D14390"/>
    <w:pPr>
      <w:tabs>
        <w:tab w:val="left" w:pos="1080"/>
        <w:tab w:val="right" w:leader="dot" w:pos="9360"/>
      </w:tabs>
      <w:suppressAutoHyphens/>
      <w:ind w:left="1080" w:right="720" w:hanging="360"/>
    </w:pPr>
    <w:rPr>
      <w:noProof/>
    </w:rPr>
  </w:style>
  <w:style w:type="character" w:styleId="Hyperlink">
    <w:name w:val="Hyperlink"/>
    <w:rsid w:val="00D14390"/>
    <w:rPr>
      <w:color w:val="0000FF"/>
      <w:u w:val="single"/>
    </w:rPr>
  </w:style>
  <w:style w:type="character" w:customStyle="1" w:styleId="Heading1Char">
    <w:name w:val="Heading 1 Char"/>
    <w:basedOn w:val="DefaultParagraphFont"/>
    <w:link w:val="Heading1"/>
    <w:rsid w:val="00C94F99"/>
    <w:rPr>
      <w:rFonts w:ascii="Times New Roman Bold" w:eastAsia="Times New Roman" w:hAnsi="Times New Roman Bold" w:cs="Times New Roman"/>
      <w:b/>
      <w:caps/>
      <w:snapToGrid w:val="0"/>
      <w:kern w:val="28"/>
      <w:szCs w:val="20"/>
    </w:rPr>
  </w:style>
  <w:style w:type="paragraph" w:styleId="TOCHeading">
    <w:name w:val="TOC Heading"/>
    <w:basedOn w:val="Heading1"/>
    <w:next w:val="Normal"/>
    <w:uiPriority w:val="39"/>
    <w:unhideWhenUsed/>
    <w:qFormat/>
    <w:rsid w:val="00C94F99"/>
    <w:pPr>
      <w:widowControl/>
      <w:spacing w:line="276" w:lineRule="auto"/>
      <w:outlineLvl w:val="9"/>
    </w:pPr>
    <w:rPr>
      <w:lang w:eastAsia="ja-JP"/>
    </w:rPr>
  </w:style>
  <w:style w:type="paragraph" w:customStyle="1" w:styleId="Paratitle">
    <w:name w:val="Para title"/>
    <w:basedOn w:val="Normal"/>
    <w:rsid w:val="00D14390"/>
    <w:pPr>
      <w:tabs>
        <w:tab w:val="center" w:pos="9270"/>
      </w:tabs>
      <w:spacing w:after="240"/>
    </w:pPr>
    <w:rPr>
      <w:spacing w:val="-2"/>
    </w:rPr>
  </w:style>
  <w:style w:type="paragraph" w:customStyle="1" w:styleId="TOCTitle">
    <w:name w:val="TOC Title"/>
    <w:basedOn w:val="Normal"/>
    <w:rsid w:val="00D14390"/>
    <w:pPr>
      <w:spacing w:before="240" w:after="240"/>
      <w:jc w:val="center"/>
    </w:pPr>
    <w:rPr>
      <w:rFonts w:ascii="Times New Roman Bold" w:hAnsi="Times New Roman Bold"/>
      <w:b/>
      <w:caps/>
      <w:spacing w:val="-2"/>
    </w:rPr>
  </w:style>
  <w:style w:type="paragraph" w:styleId="BalloonText">
    <w:name w:val="Balloon Text"/>
    <w:basedOn w:val="Normal"/>
    <w:link w:val="BalloonTextChar"/>
    <w:uiPriority w:val="99"/>
    <w:semiHidden/>
    <w:unhideWhenUsed/>
    <w:rsid w:val="00C94F99"/>
    <w:rPr>
      <w:rFonts w:ascii="Tahoma" w:hAnsi="Tahoma" w:cs="Tahoma"/>
      <w:sz w:val="16"/>
      <w:szCs w:val="16"/>
    </w:rPr>
  </w:style>
  <w:style w:type="character" w:customStyle="1" w:styleId="BalloonTextChar">
    <w:name w:val="Balloon Text Char"/>
    <w:basedOn w:val="DefaultParagraphFont"/>
    <w:link w:val="BalloonText"/>
    <w:uiPriority w:val="99"/>
    <w:semiHidden/>
    <w:rsid w:val="00C94F99"/>
    <w:rPr>
      <w:rFonts w:ascii="Tahoma" w:eastAsia="Times New Roman" w:hAnsi="Tahoma" w:cs="Tahoma"/>
      <w:snapToGrid w:val="0"/>
      <w:kern w:val="28"/>
      <w:sz w:val="16"/>
      <w:szCs w:val="16"/>
    </w:rPr>
  </w:style>
  <w:style w:type="character" w:customStyle="1" w:styleId="Heading2Char">
    <w:name w:val="Heading 2 Char"/>
    <w:basedOn w:val="DefaultParagraphFont"/>
    <w:link w:val="Heading2"/>
    <w:rsid w:val="00553D9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553D9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553D9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553D9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553D9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553D9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553D9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553D9C"/>
    <w:rPr>
      <w:rFonts w:ascii="Times New Roman" w:eastAsia="Times New Roman" w:hAnsi="Times New Roman" w:cs="Times New Roman"/>
      <w:b/>
      <w:snapToGrid w:val="0"/>
      <w:kern w:val="28"/>
      <w:szCs w:val="20"/>
    </w:rPr>
  </w:style>
  <w:style w:type="paragraph" w:customStyle="1" w:styleId="ParaNum">
    <w:name w:val="ParaNum"/>
    <w:basedOn w:val="Normal"/>
    <w:rsid w:val="00D14390"/>
    <w:pPr>
      <w:numPr>
        <w:numId w:val="2"/>
      </w:numPr>
      <w:tabs>
        <w:tab w:val="clear" w:pos="1080"/>
        <w:tab w:val="num" w:pos="1440"/>
      </w:tabs>
      <w:spacing w:after="120"/>
    </w:pPr>
  </w:style>
  <w:style w:type="paragraph" w:styleId="EndnoteText">
    <w:name w:val="endnote text"/>
    <w:basedOn w:val="Normal"/>
    <w:link w:val="EndnoteTextChar"/>
    <w:semiHidden/>
    <w:rsid w:val="00D14390"/>
    <w:rPr>
      <w:sz w:val="20"/>
    </w:rPr>
  </w:style>
  <w:style w:type="character" w:customStyle="1" w:styleId="EndnoteTextChar">
    <w:name w:val="Endnote Text Char"/>
    <w:basedOn w:val="DefaultParagraphFont"/>
    <w:link w:val="EndnoteText"/>
    <w:semiHidden/>
    <w:rsid w:val="00553D9C"/>
    <w:rPr>
      <w:rFonts w:ascii="Times New Roman" w:eastAsia="Times New Roman" w:hAnsi="Times New Roman" w:cs="Times New Roman"/>
      <w:snapToGrid w:val="0"/>
      <w:kern w:val="28"/>
      <w:sz w:val="20"/>
      <w:szCs w:val="20"/>
    </w:rPr>
  </w:style>
  <w:style w:type="character" w:styleId="EndnoteReference">
    <w:name w:val="endnote reference"/>
    <w:semiHidden/>
    <w:rsid w:val="00D14390"/>
    <w:rPr>
      <w:vertAlign w:val="superscript"/>
    </w:rPr>
  </w:style>
  <w:style w:type="paragraph" w:styleId="FootnoteText">
    <w:name w:val="footnote text"/>
    <w:link w:val="FootnoteTextChar"/>
    <w:rsid w:val="00D1439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53D9C"/>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Style 13,fr,o,Style 3,FR,Style 17,Style 6,Footnote Reference/,Style 4"/>
    <w:rsid w:val="00D14390"/>
    <w:rPr>
      <w:rFonts w:ascii="Times New Roman" w:hAnsi="Times New Roman"/>
      <w:dstrike w:val="0"/>
      <w:color w:val="auto"/>
      <w:sz w:val="20"/>
      <w:vertAlign w:val="superscript"/>
    </w:rPr>
  </w:style>
  <w:style w:type="paragraph" w:styleId="TOC4">
    <w:name w:val="toc 4"/>
    <w:basedOn w:val="Normal"/>
    <w:next w:val="Normal"/>
    <w:autoRedefine/>
    <w:semiHidden/>
    <w:rsid w:val="00D143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3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3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3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3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3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390"/>
    <w:pPr>
      <w:tabs>
        <w:tab w:val="right" w:pos="9360"/>
      </w:tabs>
      <w:suppressAutoHyphens/>
    </w:pPr>
  </w:style>
  <w:style w:type="character" w:customStyle="1" w:styleId="EquationCaption">
    <w:name w:val="_Equation Caption"/>
    <w:rsid w:val="00D14390"/>
  </w:style>
  <w:style w:type="paragraph" w:styleId="Header">
    <w:name w:val="header"/>
    <w:basedOn w:val="Normal"/>
    <w:link w:val="HeaderChar"/>
    <w:autoRedefine/>
    <w:rsid w:val="0016507F"/>
    <w:pPr>
      <w:tabs>
        <w:tab w:val="center" w:pos="4680"/>
        <w:tab w:val="right" w:pos="9360"/>
      </w:tabs>
    </w:pPr>
    <w:rPr>
      <w:b/>
    </w:rPr>
  </w:style>
  <w:style w:type="character" w:customStyle="1" w:styleId="HeaderChar">
    <w:name w:val="Header Char"/>
    <w:basedOn w:val="DefaultParagraphFont"/>
    <w:link w:val="Header"/>
    <w:rsid w:val="0016507F"/>
    <w:rPr>
      <w:rFonts w:ascii="Times New Roman" w:eastAsia="Times New Roman" w:hAnsi="Times New Roman" w:cs="Times New Roman"/>
      <w:b/>
      <w:snapToGrid w:val="0"/>
      <w:kern w:val="28"/>
      <w:szCs w:val="20"/>
    </w:rPr>
  </w:style>
  <w:style w:type="paragraph" w:styleId="Footer">
    <w:name w:val="footer"/>
    <w:basedOn w:val="Normal"/>
    <w:link w:val="FooterChar"/>
    <w:rsid w:val="00D14390"/>
    <w:pPr>
      <w:tabs>
        <w:tab w:val="center" w:pos="4320"/>
        <w:tab w:val="right" w:pos="8640"/>
      </w:tabs>
    </w:pPr>
  </w:style>
  <w:style w:type="character" w:customStyle="1" w:styleId="FooterChar">
    <w:name w:val="Footer Char"/>
    <w:basedOn w:val="DefaultParagraphFont"/>
    <w:link w:val="Footer"/>
    <w:rsid w:val="00553D9C"/>
    <w:rPr>
      <w:rFonts w:ascii="Times New Roman" w:eastAsia="Times New Roman" w:hAnsi="Times New Roman" w:cs="Times New Roman"/>
      <w:snapToGrid w:val="0"/>
      <w:kern w:val="28"/>
      <w:szCs w:val="20"/>
    </w:rPr>
  </w:style>
  <w:style w:type="character" w:styleId="PageNumber">
    <w:name w:val="page number"/>
    <w:basedOn w:val="DefaultParagraphFont"/>
    <w:rsid w:val="00D14390"/>
  </w:style>
  <w:style w:type="paragraph" w:styleId="BlockText">
    <w:name w:val="Block Text"/>
    <w:basedOn w:val="Normal"/>
    <w:rsid w:val="00D14390"/>
    <w:pPr>
      <w:spacing w:after="240"/>
      <w:ind w:left="1440" w:right="1440"/>
    </w:pPr>
  </w:style>
  <w:style w:type="paragraph" w:customStyle="1" w:styleId="Bullet">
    <w:name w:val="Bullet"/>
    <w:basedOn w:val="Normal"/>
    <w:rsid w:val="00D14390"/>
    <w:pPr>
      <w:tabs>
        <w:tab w:val="left" w:pos="2160"/>
      </w:tabs>
      <w:spacing w:after="220"/>
      <w:ind w:left="2160" w:hanging="720"/>
    </w:pPr>
  </w:style>
  <w:style w:type="paragraph" w:customStyle="1" w:styleId="TableFormat">
    <w:name w:val="TableFormat"/>
    <w:basedOn w:val="Bullet"/>
    <w:rsid w:val="00D14390"/>
    <w:pPr>
      <w:tabs>
        <w:tab w:val="clear" w:pos="2160"/>
        <w:tab w:val="left" w:pos="5040"/>
      </w:tabs>
      <w:ind w:left="5040" w:hanging="3600"/>
    </w:pPr>
  </w:style>
  <w:style w:type="paragraph" w:customStyle="1" w:styleId="StyleBoldCentered">
    <w:name w:val="Style Bold Centered"/>
    <w:basedOn w:val="Normal"/>
    <w:rsid w:val="00D14390"/>
    <w:pPr>
      <w:jc w:val="center"/>
    </w:pPr>
    <w:rPr>
      <w:rFonts w:ascii="Times New Roman Bold" w:hAnsi="Times New Roman Bold"/>
      <w:b/>
      <w:bCs/>
      <w:caps/>
      <w:szCs w:val="22"/>
    </w:rPr>
  </w:style>
  <w:style w:type="paragraph" w:styleId="ListParagraph">
    <w:name w:val="List Paragraph"/>
    <w:basedOn w:val="Normal"/>
    <w:uiPriority w:val="34"/>
    <w:qFormat/>
    <w:rsid w:val="006E04F7"/>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45140C"/>
    <w:rPr>
      <w:sz w:val="16"/>
      <w:szCs w:val="16"/>
    </w:rPr>
  </w:style>
  <w:style w:type="paragraph" w:styleId="CommentText">
    <w:name w:val="annotation text"/>
    <w:basedOn w:val="Normal"/>
    <w:link w:val="CommentTextChar"/>
    <w:uiPriority w:val="99"/>
    <w:semiHidden/>
    <w:unhideWhenUsed/>
    <w:rsid w:val="0045140C"/>
    <w:rPr>
      <w:sz w:val="20"/>
    </w:rPr>
  </w:style>
  <w:style w:type="character" w:customStyle="1" w:styleId="CommentTextChar">
    <w:name w:val="Comment Text Char"/>
    <w:basedOn w:val="DefaultParagraphFont"/>
    <w:link w:val="CommentText"/>
    <w:uiPriority w:val="99"/>
    <w:semiHidden/>
    <w:rsid w:val="0045140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5140C"/>
    <w:rPr>
      <w:b/>
      <w:bCs/>
    </w:rPr>
  </w:style>
  <w:style w:type="character" w:customStyle="1" w:styleId="CommentSubjectChar">
    <w:name w:val="Comment Subject Char"/>
    <w:basedOn w:val="CommentTextChar"/>
    <w:link w:val="CommentSubject"/>
    <w:uiPriority w:val="99"/>
    <w:semiHidden/>
    <w:rsid w:val="0045140C"/>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A430DF"/>
    <w:pPr>
      <w:spacing w:after="0" w:line="240" w:lineRule="auto"/>
    </w:pPr>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1150</Words>
  <Characters>6102</Characters>
  <Application>Microsoft Office Word</Application>
  <DocSecurity>0</DocSecurity>
  <Lines>111</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2015-06-18T14:46:00Z</cp:lastPrinted>
  <dcterms:created xsi:type="dcterms:W3CDTF">2015-06-25T13:05:00Z</dcterms:created>
  <dcterms:modified xsi:type="dcterms:W3CDTF">2015-06-25T13:05:00Z</dcterms:modified>
  <cp:category> </cp:category>
  <cp:contentStatus> </cp:contentStatus>
</cp:coreProperties>
</file>