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EF19BB">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EF19BB">
      <w:pPr>
        <w:pStyle w:val="StyleBoldCentered"/>
        <w:widowControl/>
      </w:pPr>
      <w:r>
        <w:t>F</w:t>
      </w:r>
      <w:r>
        <w:rPr>
          <w:caps w:val="0"/>
        </w:rPr>
        <w:t>ederal Communications Commission</w:t>
      </w:r>
    </w:p>
    <w:p w:rsidR="004C2EE3" w:rsidRDefault="00810B6F" w:rsidP="00EF19BB">
      <w:pPr>
        <w:pStyle w:val="StyleBoldCentered"/>
        <w:widowControl/>
      </w:pPr>
      <w:r>
        <w:rPr>
          <w:caps w:val="0"/>
        </w:rPr>
        <w:t>Washington, D.C. 20554</w:t>
      </w:r>
    </w:p>
    <w:p w:rsidR="004C2EE3" w:rsidRDefault="004C2EE3" w:rsidP="00EF19BB">
      <w:pPr>
        <w:widowControl/>
      </w:pPr>
    </w:p>
    <w:tbl>
      <w:tblPr>
        <w:tblW w:w="0" w:type="auto"/>
        <w:tblLayout w:type="fixed"/>
        <w:tblLook w:val="0000" w:firstRow="0" w:lastRow="0" w:firstColumn="0" w:lastColumn="0" w:noHBand="0" w:noVBand="0"/>
      </w:tblPr>
      <w:tblGrid>
        <w:gridCol w:w="4698"/>
        <w:gridCol w:w="630"/>
        <w:gridCol w:w="4248"/>
      </w:tblGrid>
      <w:tr w:rsidR="004C2EE3" w:rsidTr="00C63068">
        <w:trPr>
          <w:trHeight w:val="1512"/>
        </w:trPr>
        <w:tc>
          <w:tcPr>
            <w:tcW w:w="4698" w:type="dxa"/>
          </w:tcPr>
          <w:p w:rsidR="004C2EE3" w:rsidRDefault="004C2EE3" w:rsidP="00EF19BB">
            <w:pPr>
              <w:widowControl/>
              <w:tabs>
                <w:tab w:val="center" w:pos="4680"/>
              </w:tabs>
              <w:suppressAutoHyphens/>
              <w:rPr>
                <w:spacing w:val="-2"/>
              </w:rPr>
            </w:pPr>
            <w:r>
              <w:rPr>
                <w:spacing w:val="-2"/>
              </w:rPr>
              <w:t>In the Matter of</w:t>
            </w:r>
          </w:p>
          <w:p w:rsidR="004C2EE3" w:rsidRDefault="004C2EE3" w:rsidP="00EF19BB">
            <w:pPr>
              <w:widowControl/>
              <w:tabs>
                <w:tab w:val="center" w:pos="4680"/>
              </w:tabs>
              <w:suppressAutoHyphens/>
              <w:rPr>
                <w:spacing w:val="-2"/>
              </w:rPr>
            </w:pPr>
          </w:p>
          <w:p w:rsidR="004C2EE3" w:rsidRPr="007115F7" w:rsidRDefault="000E0C8C" w:rsidP="00EF19BB">
            <w:pPr>
              <w:widowControl/>
              <w:tabs>
                <w:tab w:val="center" w:pos="4680"/>
              </w:tabs>
              <w:suppressAutoHyphens/>
              <w:rPr>
                <w:spacing w:val="-2"/>
              </w:rPr>
            </w:pPr>
            <w:r>
              <w:rPr>
                <w:spacing w:val="-2"/>
              </w:rPr>
              <w:t>Five</w:t>
            </w:r>
            <w:r w:rsidR="00FC1050">
              <w:rPr>
                <w:spacing w:val="-2"/>
              </w:rPr>
              <w:t>9, Inc.</w:t>
            </w:r>
          </w:p>
        </w:tc>
        <w:tc>
          <w:tcPr>
            <w:tcW w:w="630" w:type="dxa"/>
          </w:tcPr>
          <w:p w:rsidR="004C2EE3" w:rsidRDefault="004C2EE3" w:rsidP="00EF19BB">
            <w:pPr>
              <w:widowControl/>
              <w:tabs>
                <w:tab w:val="center" w:pos="4680"/>
              </w:tabs>
              <w:suppressAutoHyphens/>
              <w:rPr>
                <w:b/>
                <w:spacing w:val="-2"/>
              </w:rPr>
            </w:pPr>
            <w:r>
              <w:rPr>
                <w:b/>
                <w:spacing w:val="-2"/>
              </w:rPr>
              <w:t>)</w:t>
            </w:r>
          </w:p>
          <w:p w:rsidR="004C2EE3" w:rsidRDefault="004C2EE3" w:rsidP="00EF19BB">
            <w:pPr>
              <w:widowControl/>
              <w:tabs>
                <w:tab w:val="center" w:pos="4680"/>
              </w:tabs>
              <w:suppressAutoHyphens/>
              <w:rPr>
                <w:b/>
                <w:spacing w:val="-2"/>
              </w:rPr>
            </w:pPr>
            <w:r>
              <w:rPr>
                <w:b/>
                <w:spacing w:val="-2"/>
              </w:rPr>
              <w:t>)</w:t>
            </w:r>
          </w:p>
          <w:p w:rsidR="004C2EE3" w:rsidRDefault="004C2EE3" w:rsidP="00EF19BB">
            <w:pPr>
              <w:widowControl/>
              <w:tabs>
                <w:tab w:val="center" w:pos="4680"/>
              </w:tabs>
              <w:suppressAutoHyphens/>
              <w:rPr>
                <w:b/>
                <w:spacing w:val="-2"/>
              </w:rPr>
            </w:pPr>
            <w:r>
              <w:rPr>
                <w:b/>
                <w:spacing w:val="-2"/>
              </w:rPr>
              <w:t>)</w:t>
            </w:r>
          </w:p>
          <w:p w:rsidR="004C2EE3" w:rsidRDefault="004C2EE3" w:rsidP="00EF19BB">
            <w:pPr>
              <w:widowControl/>
              <w:tabs>
                <w:tab w:val="center" w:pos="4680"/>
              </w:tabs>
              <w:suppressAutoHyphens/>
              <w:rPr>
                <w:b/>
                <w:spacing w:val="-2"/>
              </w:rPr>
            </w:pPr>
            <w:r>
              <w:rPr>
                <w:b/>
                <w:spacing w:val="-2"/>
              </w:rPr>
              <w:t>)</w:t>
            </w:r>
          </w:p>
          <w:p w:rsidR="004C2EE3" w:rsidRDefault="004C2EE3" w:rsidP="00EF19BB">
            <w:pPr>
              <w:widowControl/>
              <w:tabs>
                <w:tab w:val="center" w:pos="4680"/>
              </w:tabs>
              <w:suppressAutoHyphens/>
              <w:rPr>
                <w:b/>
                <w:spacing w:val="-2"/>
              </w:rPr>
            </w:pPr>
            <w:r>
              <w:rPr>
                <w:b/>
                <w:spacing w:val="-2"/>
              </w:rPr>
              <w:t>)</w:t>
            </w:r>
          </w:p>
          <w:p w:rsidR="004C2EE3" w:rsidRDefault="004C2EE3" w:rsidP="00EF19BB">
            <w:pPr>
              <w:widowControl/>
              <w:tabs>
                <w:tab w:val="center" w:pos="4680"/>
              </w:tabs>
              <w:suppressAutoHyphens/>
              <w:rPr>
                <w:spacing w:val="-2"/>
              </w:rPr>
            </w:pPr>
          </w:p>
        </w:tc>
        <w:tc>
          <w:tcPr>
            <w:tcW w:w="4248" w:type="dxa"/>
          </w:tcPr>
          <w:p w:rsidR="004C2EE3" w:rsidRDefault="00FC1050" w:rsidP="00EF19BB">
            <w:pPr>
              <w:widowControl/>
              <w:tabs>
                <w:tab w:val="center" w:pos="4680"/>
              </w:tabs>
              <w:suppressAutoHyphens/>
              <w:rPr>
                <w:spacing w:val="-2"/>
              </w:rPr>
            </w:pPr>
            <w:r>
              <w:rPr>
                <w:spacing w:val="-2"/>
              </w:rPr>
              <w:t xml:space="preserve">File No.: </w:t>
            </w:r>
            <w:r w:rsidR="00C74928">
              <w:rPr>
                <w:spacing w:val="-2"/>
              </w:rPr>
              <w:t xml:space="preserve"> </w:t>
            </w:r>
            <w:r>
              <w:rPr>
                <w:spacing w:val="-2"/>
              </w:rPr>
              <w:t>EB-IHD-13-000</w:t>
            </w:r>
            <w:r w:rsidR="000C0613">
              <w:rPr>
                <w:spacing w:val="-2"/>
              </w:rPr>
              <w:t>1</w:t>
            </w:r>
            <w:r>
              <w:rPr>
                <w:spacing w:val="-2"/>
              </w:rPr>
              <w:t>1166</w:t>
            </w:r>
            <w:r>
              <w:rPr>
                <w:rStyle w:val="FootnoteReference"/>
                <w:spacing w:val="-2"/>
              </w:rPr>
              <w:footnoteReference w:id="2"/>
            </w:r>
          </w:p>
          <w:p w:rsidR="004C2EE3" w:rsidRDefault="004C2EE3" w:rsidP="00EF19BB">
            <w:pPr>
              <w:pStyle w:val="TOAHeading"/>
              <w:widowControl/>
              <w:tabs>
                <w:tab w:val="clear" w:pos="9360"/>
                <w:tab w:val="center" w:pos="4680"/>
              </w:tabs>
              <w:rPr>
                <w:spacing w:val="-2"/>
              </w:rPr>
            </w:pPr>
          </w:p>
          <w:p w:rsidR="004C2EE3" w:rsidRDefault="00FC1050" w:rsidP="00EF19BB">
            <w:pPr>
              <w:widowControl/>
              <w:tabs>
                <w:tab w:val="center" w:pos="4680"/>
              </w:tabs>
              <w:suppressAutoHyphens/>
              <w:rPr>
                <w:spacing w:val="-2"/>
              </w:rPr>
            </w:pPr>
            <w:r>
              <w:rPr>
                <w:spacing w:val="-2"/>
              </w:rPr>
              <w:t>Acct. No:</w:t>
            </w:r>
            <w:r w:rsidR="00C74928">
              <w:rPr>
                <w:spacing w:val="-2"/>
              </w:rPr>
              <w:t xml:space="preserve"> </w:t>
            </w:r>
            <w:r w:rsidR="00C74928" w:rsidRPr="00C74928">
              <w:rPr>
                <w:spacing w:val="-2"/>
                <w:szCs w:val="22"/>
              </w:rPr>
              <w:t xml:space="preserve"> </w:t>
            </w:r>
            <w:r w:rsidR="00C74928" w:rsidRPr="00C74928">
              <w:rPr>
                <w:color w:val="222222"/>
                <w:szCs w:val="22"/>
              </w:rPr>
              <w:t>201532080015</w:t>
            </w:r>
          </w:p>
          <w:p w:rsidR="00613D6B" w:rsidRDefault="00613D6B" w:rsidP="00EF19BB">
            <w:pPr>
              <w:widowControl/>
              <w:tabs>
                <w:tab w:val="center" w:pos="4680"/>
              </w:tabs>
              <w:suppressAutoHyphens/>
              <w:rPr>
                <w:spacing w:val="-2"/>
              </w:rPr>
            </w:pPr>
          </w:p>
          <w:p w:rsidR="00FC1050" w:rsidRDefault="00D162E2" w:rsidP="00EF19BB">
            <w:pPr>
              <w:widowControl/>
              <w:tabs>
                <w:tab w:val="center" w:pos="4680"/>
              </w:tabs>
              <w:suppressAutoHyphens/>
              <w:rPr>
                <w:spacing w:val="-2"/>
              </w:rPr>
            </w:pPr>
            <w:r>
              <w:rPr>
                <w:spacing w:val="-2"/>
              </w:rPr>
              <w:t xml:space="preserve">FRN: </w:t>
            </w:r>
            <w:r w:rsidR="00C74928">
              <w:rPr>
                <w:spacing w:val="-2"/>
              </w:rPr>
              <w:t xml:space="preserve"> </w:t>
            </w:r>
            <w:r>
              <w:rPr>
                <w:spacing w:val="-2"/>
              </w:rPr>
              <w:t>002228</w:t>
            </w:r>
            <w:r w:rsidR="00FC1050">
              <w:rPr>
                <w:spacing w:val="-2"/>
              </w:rPr>
              <w:t>9409</w:t>
            </w:r>
          </w:p>
        </w:tc>
      </w:tr>
    </w:tbl>
    <w:p w:rsidR="00841AB1" w:rsidRDefault="00FC1050" w:rsidP="00EF19BB">
      <w:pPr>
        <w:pStyle w:val="StyleBoldCentered"/>
        <w:widowControl/>
      </w:pPr>
      <w:r>
        <w:t>Order</w:t>
      </w:r>
    </w:p>
    <w:p w:rsidR="004C2EE3" w:rsidRDefault="004C2EE3" w:rsidP="00EF19BB">
      <w:pPr>
        <w:widowControl/>
        <w:tabs>
          <w:tab w:val="left" w:pos="-720"/>
        </w:tabs>
        <w:suppressAutoHyphens/>
        <w:spacing w:line="227" w:lineRule="auto"/>
        <w:rPr>
          <w:spacing w:val="-2"/>
        </w:rPr>
      </w:pPr>
    </w:p>
    <w:p w:rsidR="004C2EE3" w:rsidRDefault="004C2EE3" w:rsidP="00EF19BB">
      <w:pPr>
        <w:widowControl/>
        <w:tabs>
          <w:tab w:val="left" w:pos="720"/>
          <w:tab w:val="right" w:pos="9360"/>
        </w:tabs>
        <w:suppressAutoHyphens/>
        <w:spacing w:line="227" w:lineRule="auto"/>
        <w:rPr>
          <w:spacing w:val="-2"/>
        </w:rPr>
      </w:pPr>
      <w:r>
        <w:rPr>
          <w:b/>
          <w:spacing w:val="-2"/>
        </w:rPr>
        <w:t xml:space="preserve">Adopted:  </w:t>
      </w:r>
      <w:r w:rsidR="00C74928">
        <w:rPr>
          <w:b/>
          <w:spacing w:val="-2"/>
        </w:rPr>
        <w:t>June</w:t>
      </w:r>
      <w:r w:rsidR="000E0C8C">
        <w:rPr>
          <w:b/>
          <w:spacing w:val="-2"/>
        </w:rPr>
        <w:t xml:space="preserve"> </w:t>
      </w:r>
      <w:r w:rsidR="00053218">
        <w:rPr>
          <w:b/>
          <w:spacing w:val="-2"/>
        </w:rPr>
        <w:t>15</w:t>
      </w:r>
      <w:r w:rsidR="000E0C8C">
        <w:rPr>
          <w:b/>
          <w:spacing w:val="-2"/>
        </w:rPr>
        <w:t xml:space="preserve">, </w:t>
      </w:r>
      <w:r w:rsidR="00504F46">
        <w:rPr>
          <w:b/>
          <w:spacing w:val="-2"/>
        </w:rPr>
        <w:t>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74928">
        <w:rPr>
          <w:b/>
          <w:spacing w:val="-2"/>
        </w:rPr>
        <w:t>June</w:t>
      </w:r>
      <w:r w:rsidR="000E0C8C">
        <w:rPr>
          <w:b/>
          <w:spacing w:val="-2"/>
        </w:rPr>
        <w:t xml:space="preserve"> </w:t>
      </w:r>
      <w:r w:rsidR="00053218">
        <w:rPr>
          <w:b/>
          <w:spacing w:val="-2"/>
        </w:rPr>
        <w:t>15</w:t>
      </w:r>
      <w:r w:rsidR="000E0C8C">
        <w:rPr>
          <w:b/>
          <w:spacing w:val="-2"/>
        </w:rPr>
        <w:t xml:space="preserve">, </w:t>
      </w:r>
      <w:r w:rsidR="00504F46">
        <w:rPr>
          <w:b/>
          <w:spacing w:val="-2"/>
        </w:rPr>
        <w:t>2015</w:t>
      </w:r>
    </w:p>
    <w:p w:rsidR="00822CE0" w:rsidRDefault="00822CE0" w:rsidP="00EF19BB">
      <w:pPr>
        <w:widowControl/>
      </w:pPr>
    </w:p>
    <w:p w:rsidR="00FC1050" w:rsidRPr="00E80356" w:rsidRDefault="00FC1050" w:rsidP="00EF19BB">
      <w:pPr>
        <w:pStyle w:val="BodyText"/>
        <w:widowControl/>
        <w:tabs>
          <w:tab w:val="left" w:pos="4680"/>
        </w:tabs>
        <w:ind w:firstLine="0"/>
        <w:rPr>
          <w:b/>
          <w:szCs w:val="22"/>
        </w:rPr>
      </w:pPr>
      <w:r w:rsidRPr="00E80356">
        <w:rPr>
          <w:szCs w:val="22"/>
        </w:rPr>
        <w:t xml:space="preserve">By the </w:t>
      </w:r>
      <w:r>
        <w:rPr>
          <w:szCs w:val="22"/>
        </w:rPr>
        <w:t>Chief, Enforcement Bureau</w:t>
      </w:r>
      <w:r w:rsidRPr="00E80356">
        <w:rPr>
          <w:szCs w:val="22"/>
        </w:rPr>
        <w:t>:</w:t>
      </w:r>
      <w:r>
        <w:rPr>
          <w:szCs w:val="22"/>
        </w:rPr>
        <w:t xml:space="preserve"> </w:t>
      </w:r>
    </w:p>
    <w:p w:rsidR="00161C4F" w:rsidRDefault="00FC1050" w:rsidP="00EF19BB">
      <w:pPr>
        <w:pStyle w:val="ParaNum"/>
        <w:widowControl/>
        <w:tabs>
          <w:tab w:val="clear" w:pos="1080"/>
          <w:tab w:val="num" w:pos="1440"/>
        </w:tabs>
        <w:rPr>
          <w:color w:val="000000"/>
        </w:rPr>
      </w:pPr>
      <w:r>
        <w:t xml:space="preserve">The </w:t>
      </w:r>
      <w:r w:rsidRPr="00826827">
        <w:t>Enforcement</w:t>
      </w:r>
      <w:r>
        <w:t xml:space="preserve"> Bureau (Bureau) of the Federal Communications Commission (Commission) has resolved its investigation into whether Five9, Inc. (Five9) </w:t>
      </w:r>
      <w:r w:rsidR="00A2622A">
        <w:t xml:space="preserve">complied with its obligations as a telecommunications services provider </w:t>
      </w:r>
      <w:r w:rsidR="004D7E8E">
        <w:t>to</w:t>
      </w:r>
      <w:r w:rsidR="00AE1694">
        <w:t>: (i)</w:t>
      </w:r>
      <w:r w:rsidR="004D7E8E">
        <w:t xml:space="preserve"> </w:t>
      </w:r>
      <w:r w:rsidR="004D7E8E">
        <w:rPr>
          <w:color w:val="000000"/>
        </w:rPr>
        <w:t>register with the Commission</w:t>
      </w:r>
      <w:r w:rsidR="0052260F">
        <w:rPr>
          <w:color w:val="000000"/>
        </w:rPr>
        <w:t xml:space="preserve"> before providing interstate telecommunications services</w:t>
      </w:r>
      <w:r w:rsidR="00613D6B">
        <w:rPr>
          <w:color w:val="000000"/>
        </w:rPr>
        <w:t>;</w:t>
      </w:r>
      <w:r w:rsidR="0052260F">
        <w:rPr>
          <w:color w:val="000000"/>
        </w:rPr>
        <w:t xml:space="preserve"> </w:t>
      </w:r>
      <w:r w:rsidR="00AE1694">
        <w:rPr>
          <w:color w:val="000000"/>
        </w:rPr>
        <w:t xml:space="preserve">(ii) </w:t>
      </w:r>
      <w:r w:rsidR="002533AF">
        <w:rPr>
          <w:color w:val="000000"/>
        </w:rPr>
        <w:t xml:space="preserve">obtain </w:t>
      </w:r>
      <w:r w:rsidR="004D7E8E">
        <w:rPr>
          <w:color w:val="000000"/>
        </w:rPr>
        <w:t xml:space="preserve">Commission authorization prior to providing international telecommunications services; </w:t>
      </w:r>
      <w:r w:rsidR="00AE1694">
        <w:rPr>
          <w:color w:val="000000"/>
        </w:rPr>
        <w:t xml:space="preserve">(iii) </w:t>
      </w:r>
      <w:r w:rsidR="00826827">
        <w:rPr>
          <w:color w:val="000000"/>
        </w:rPr>
        <w:t xml:space="preserve">make required payments to the Universal Service </w:t>
      </w:r>
      <w:r w:rsidR="00613D6B">
        <w:rPr>
          <w:color w:val="000000"/>
        </w:rPr>
        <w:t>F</w:t>
      </w:r>
      <w:r w:rsidR="00826827">
        <w:rPr>
          <w:color w:val="000000"/>
        </w:rPr>
        <w:t>und</w:t>
      </w:r>
      <w:r w:rsidR="00613D6B">
        <w:rPr>
          <w:color w:val="000000"/>
        </w:rPr>
        <w:t xml:space="preserve"> (USF), </w:t>
      </w:r>
      <w:r w:rsidR="004D7E8E">
        <w:rPr>
          <w:color w:val="000000"/>
        </w:rPr>
        <w:t>the Telecommunications Relay Service (TRS) Fund; the Local Number Portability (LNP)</w:t>
      </w:r>
      <w:r w:rsidR="00613D6B">
        <w:rPr>
          <w:color w:val="000000"/>
        </w:rPr>
        <w:t xml:space="preserve"> and</w:t>
      </w:r>
      <w:r w:rsidR="004D7E8E">
        <w:rPr>
          <w:color w:val="000000"/>
        </w:rPr>
        <w:t xml:space="preserve"> </w:t>
      </w:r>
      <w:r w:rsidR="00613D6B">
        <w:rPr>
          <w:color w:val="000000"/>
        </w:rPr>
        <w:t>the</w:t>
      </w:r>
      <w:r w:rsidR="00161C4F">
        <w:rPr>
          <w:color w:val="000000"/>
        </w:rPr>
        <w:t xml:space="preserve"> </w:t>
      </w:r>
      <w:r w:rsidR="004D7E8E">
        <w:rPr>
          <w:color w:val="000000"/>
        </w:rPr>
        <w:t>North American Numbering Plan (NANP</w:t>
      </w:r>
      <w:r w:rsidR="00613D6B">
        <w:rPr>
          <w:color w:val="000000"/>
        </w:rPr>
        <w:t xml:space="preserve">) cost recovery mechanisms; </w:t>
      </w:r>
      <w:r w:rsidR="00AE1694">
        <w:rPr>
          <w:color w:val="000000"/>
        </w:rPr>
        <w:t xml:space="preserve">(iv) </w:t>
      </w:r>
      <w:r w:rsidR="00826827">
        <w:rPr>
          <w:color w:val="000000"/>
        </w:rPr>
        <w:t xml:space="preserve">pay </w:t>
      </w:r>
      <w:r w:rsidR="00613D6B">
        <w:rPr>
          <w:color w:val="000000"/>
        </w:rPr>
        <w:t xml:space="preserve">required </w:t>
      </w:r>
      <w:r w:rsidR="00826827">
        <w:rPr>
          <w:color w:val="000000"/>
        </w:rPr>
        <w:t xml:space="preserve">regulatory fees; </w:t>
      </w:r>
      <w:r w:rsidR="00613D6B">
        <w:rPr>
          <w:color w:val="000000"/>
        </w:rPr>
        <w:t xml:space="preserve">and </w:t>
      </w:r>
      <w:r w:rsidR="00AE1694">
        <w:rPr>
          <w:color w:val="000000"/>
        </w:rPr>
        <w:t xml:space="preserve">(v) </w:t>
      </w:r>
      <w:r w:rsidR="002533AF">
        <w:rPr>
          <w:color w:val="000000"/>
        </w:rPr>
        <w:t xml:space="preserve">file Telecommunications </w:t>
      </w:r>
      <w:r w:rsidR="00613D6B">
        <w:rPr>
          <w:color w:val="000000"/>
        </w:rPr>
        <w:t xml:space="preserve">Reporting Worksheets, </w:t>
      </w:r>
      <w:r w:rsidR="004D7E8E">
        <w:rPr>
          <w:color w:val="000000"/>
        </w:rPr>
        <w:t>international tra</w:t>
      </w:r>
      <w:r w:rsidR="00826827">
        <w:rPr>
          <w:color w:val="000000"/>
        </w:rPr>
        <w:t xml:space="preserve">ffic and revenue reports, </w:t>
      </w:r>
      <w:r w:rsidR="00161C4F">
        <w:rPr>
          <w:color w:val="000000"/>
        </w:rPr>
        <w:t xml:space="preserve">and reports certifying its compliance with the Commission’s </w:t>
      </w:r>
      <w:r w:rsidR="004D7E8E">
        <w:rPr>
          <w:color w:val="000000"/>
        </w:rPr>
        <w:t>customer proprietary network information (CPNI)</w:t>
      </w:r>
      <w:r w:rsidR="00161C4F">
        <w:rPr>
          <w:color w:val="000000"/>
        </w:rPr>
        <w:t xml:space="preserve"> rules</w:t>
      </w:r>
      <w:r w:rsidR="004D7E8E">
        <w:rPr>
          <w:color w:val="000000"/>
        </w:rPr>
        <w:t xml:space="preserve">.  </w:t>
      </w:r>
      <w:r w:rsidR="002F6CC0">
        <w:rPr>
          <w:color w:val="000000"/>
        </w:rPr>
        <w:t xml:space="preserve">These obligations are essential safeguards and support mechanisms that Congress and the Commission established to help ensure accessible, efficient, and reasonably priced communications for all Americans, the protection of competition, and the protection of consumer privacy. </w:t>
      </w:r>
    </w:p>
    <w:p w:rsidR="00BC324B" w:rsidRPr="004D7E8E" w:rsidRDefault="00FC1050" w:rsidP="00EF19BB">
      <w:pPr>
        <w:pStyle w:val="ParaNum"/>
        <w:widowControl/>
        <w:tabs>
          <w:tab w:val="clear" w:pos="1080"/>
          <w:tab w:val="num" w:pos="1440"/>
        </w:tabs>
        <w:rPr>
          <w:color w:val="000000"/>
        </w:rPr>
      </w:pPr>
      <w:r w:rsidRPr="00E15CFF">
        <w:t>Five9 admits</w:t>
      </w:r>
      <w:r w:rsidRPr="004D7E8E">
        <w:rPr>
          <w:b/>
        </w:rPr>
        <w:t xml:space="preserve"> </w:t>
      </w:r>
      <w:r w:rsidRPr="00E15CFF">
        <w:t xml:space="preserve">that </w:t>
      </w:r>
      <w:r w:rsidR="00161C4F">
        <w:t xml:space="preserve">it </w:t>
      </w:r>
      <w:r w:rsidR="00826827">
        <w:t xml:space="preserve">failed to </w:t>
      </w:r>
      <w:r w:rsidR="00161C4F">
        <w:t>comply with the obligation</w:t>
      </w:r>
      <w:r w:rsidR="00522689">
        <w:t>s</w:t>
      </w:r>
      <w:r w:rsidR="00AE1694">
        <w:t xml:space="preserve"> listed above</w:t>
      </w:r>
      <w:r w:rsidR="00522689">
        <w:t xml:space="preserve"> </w:t>
      </w:r>
      <w:r w:rsidR="00161C4F" w:rsidRPr="00593A5A">
        <w:t xml:space="preserve">from </w:t>
      </w:r>
      <w:r w:rsidR="00426186" w:rsidRPr="00593A5A">
        <w:t xml:space="preserve">2003 </w:t>
      </w:r>
      <w:r w:rsidR="00161C4F" w:rsidRPr="00593A5A">
        <w:t xml:space="preserve">until </w:t>
      </w:r>
      <w:r w:rsidR="00E037FA" w:rsidRPr="00593A5A">
        <w:t>December 17, 2012</w:t>
      </w:r>
      <w:r w:rsidR="00E037FA" w:rsidRPr="00426186">
        <w:t>.</w:t>
      </w:r>
      <w:r w:rsidR="00826827" w:rsidRPr="00593A5A">
        <w:rPr>
          <w:b/>
        </w:rPr>
        <w:t xml:space="preserve">  </w:t>
      </w:r>
      <w:r w:rsidRPr="00593A5A">
        <w:t xml:space="preserve">To resolve this investigation, Five9 will pay </w:t>
      </w:r>
      <w:r w:rsidR="00161C4F" w:rsidRPr="00593A5A">
        <w:t>a civil pe</w:t>
      </w:r>
      <w:r w:rsidR="00161C4F">
        <w:t xml:space="preserve">nalty of </w:t>
      </w:r>
      <w:r>
        <w:t>$2,000,000 and implement a long-term compliance plan to ensure future compliance with the Commission’</w:t>
      </w:r>
      <w:r w:rsidR="00BC324B">
        <w:t>s rules</w:t>
      </w:r>
      <w:r w:rsidR="003A5631">
        <w:t xml:space="preserve"> (Rules)</w:t>
      </w:r>
      <w:r w:rsidR="00BC324B">
        <w:t xml:space="preserve">. </w:t>
      </w:r>
    </w:p>
    <w:p w:rsidR="00161C4F" w:rsidRDefault="00084B6B" w:rsidP="00EF19BB">
      <w:pPr>
        <w:pStyle w:val="ParaNum"/>
        <w:widowControl/>
        <w:tabs>
          <w:tab w:val="clear" w:pos="1080"/>
          <w:tab w:val="num" w:pos="1440"/>
        </w:tabs>
      </w:pPr>
      <w:r>
        <w:t xml:space="preserve">After reviewing the terms of the Consent Decree and evaluating the facts before us, we find that the public interest would be served by adopting the Consent Decree and terminating the referenced </w:t>
      </w:r>
      <w:r w:rsidR="00161C4F">
        <w:t xml:space="preserve">investigation into Five9’s compliance with </w:t>
      </w:r>
      <w:r w:rsidR="00161C4F" w:rsidRPr="00BC324B">
        <w:rPr>
          <w:szCs w:val="22"/>
        </w:rPr>
        <w:t xml:space="preserve">Sections </w:t>
      </w:r>
      <w:r w:rsidR="00161C4F" w:rsidRPr="00BC324B">
        <w:rPr>
          <w:lang w:val="es-ES_tradnl"/>
        </w:rPr>
        <w:t xml:space="preserve">214, </w:t>
      </w:r>
      <w:r w:rsidR="00161C4F">
        <w:rPr>
          <w:lang w:val="es-ES_tradnl"/>
        </w:rPr>
        <w:t xml:space="preserve">222, </w:t>
      </w:r>
      <w:r w:rsidR="00161C4F" w:rsidRPr="00BC324B">
        <w:rPr>
          <w:szCs w:val="22"/>
        </w:rPr>
        <w:t>251(e)(2)</w:t>
      </w:r>
      <w:r w:rsidR="00161C4F">
        <w:rPr>
          <w:szCs w:val="22"/>
        </w:rPr>
        <w:t>,</w:t>
      </w:r>
      <w:r w:rsidR="00161C4F" w:rsidRPr="00BC324B">
        <w:rPr>
          <w:szCs w:val="22"/>
        </w:rPr>
        <w:t xml:space="preserve"> and 254(d) of the </w:t>
      </w:r>
      <w:r w:rsidR="00161C4F" w:rsidRPr="006377BD">
        <w:t>Communications Act of 1934, as amended (Act)</w:t>
      </w:r>
      <w:r w:rsidR="005D111D">
        <w:t>,</w:t>
      </w:r>
      <w:r w:rsidR="00161C4F" w:rsidRPr="006377BD">
        <w:t xml:space="preserve"> and Sections 1.1154, 1.1157,</w:t>
      </w:r>
      <w:r w:rsidR="00161C4F" w:rsidRPr="006377BD" w:rsidDel="003D1AD5">
        <w:t xml:space="preserve"> </w:t>
      </w:r>
      <w:r w:rsidR="00161C4F" w:rsidRPr="006377BD">
        <w:t>43.6</w:t>
      </w:r>
      <w:r w:rsidR="00033995">
        <w:t>1</w:t>
      </w:r>
      <w:r w:rsidR="00161C4F" w:rsidRPr="006377BD">
        <w:t xml:space="preserve"> 52.17, 52.32, 54.706, 54.711, 63.18, 64.604, 64.1195, and 64.2009(e) of</w:t>
      </w:r>
      <w:r w:rsidR="00161C4F">
        <w:t xml:space="preserve"> the Rules </w:t>
      </w:r>
      <w:r w:rsidR="00161C4F" w:rsidRPr="00E037FA">
        <w:t xml:space="preserve">pertaining to </w:t>
      </w:r>
      <w:r w:rsidR="00161C4F">
        <w:t xml:space="preserve">the </w:t>
      </w:r>
      <w:r w:rsidR="003A5631">
        <w:t>f</w:t>
      </w:r>
      <w:r w:rsidR="00161C4F" w:rsidRPr="004C57DD">
        <w:rPr>
          <w:szCs w:val="22"/>
        </w:rPr>
        <w:t xml:space="preserve">ederal </w:t>
      </w:r>
      <w:r w:rsidR="00522689">
        <w:rPr>
          <w:szCs w:val="22"/>
        </w:rPr>
        <w:t xml:space="preserve">registration, authorization, </w:t>
      </w:r>
      <w:r w:rsidR="003A5631">
        <w:rPr>
          <w:szCs w:val="22"/>
        </w:rPr>
        <w:t>contribution</w:t>
      </w:r>
      <w:r w:rsidR="00522689">
        <w:rPr>
          <w:szCs w:val="22"/>
        </w:rPr>
        <w:t>,</w:t>
      </w:r>
      <w:r w:rsidR="003A5631" w:rsidRPr="004C57DD">
        <w:rPr>
          <w:szCs w:val="22"/>
        </w:rPr>
        <w:t xml:space="preserve"> </w:t>
      </w:r>
      <w:r w:rsidR="00522689">
        <w:rPr>
          <w:szCs w:val="22"/>
        </w:rPr>
        <w:t>and</w:t>
      </w:r>
      <w:r w:rsidR="003A5631">
        <w:rPr>
          <w:szCs w:val="22"/>
        </w:rPr>
        <w:t xml:space="preserve"> r</w:t>
      </w:r>
      <w:r w:rsidR="00161C4F" w:rsidRPr="004C57DD">
        <w:rPr>
          <w:szCs w:val="22"/>
        </w:rPr>
        <w:t xml:space="preserve">eporting </w:t>
      </w:r>
      <w:r w:rsidR="00522689">
        <w:t>requirements</w:t>
      </w:r>
      <w:r w:rsidR="00161C4F">
        <w:t>.</w:t>
      </w:r>
      <w:r w:rsidR="003A5631">
        <w:rPr>
          <w:rStyle w:val="FootnoteReference"/>
        </w:rPr>
        <w:footnoteReference w:id="3"/>
      </w:r>
    </w:p>
    <w:p w:rsidR="00084B6B" w:rsidRDefault="00084B6B" w:rsidP="00EF19BB">
      <w:pPr>
        <w:pStyle w:val="ParaNum"/>
        <w:widowControl/>
        <w:tabs>
          <w:tab w:val="clear" w:pos="1080"/>
          <w:tab w:val="num" w:pos="1440"/>
        </w:tabs>
      </w:pPr>
      <w:r>
        <w:t>In the absence of material new evidence relating to this matter, we do not set for hearing the question of Five9’s basic qualifications to hold or obtain any Commission license or authorization.</w:t>
      </w:r>
      <w:r>
        <w:rPr>
          <w:rStyle w:val="FootnoteReference"/>
        </w:rPr>
        <w:footnoteReference w:id="4"/>
      </w:r>
      <w:r>
        <w:t xml:space="preserve">  </w:t>
      </w:r>
    </w:p>
    <w:p w:rsidR="00BC324B" w:rsidRDefault="00FC1050" w:rsidP="00EF19BB">
      <w:pPr>
        <w:pStyle w:val="ParaNum"/>
        <w:widowControl/>
        <w:tabs>
          <w:tab w:val="clear" w:pos="1080"/>
          <w:tab w:val="num" w:pos="1440"/>
        </w:tabs>
      </w:pPr>
      <w:r>
        <w:lastRenderedPageBreak/>
        <w:t xml:space="preserve">Accordingly, </w:t>
      </w:r>
      <w:r w:rsidRPr="00BC324B">
        <w:rPr>
          <w:b/>
        </w:rPr>
        <w:t>IT IS ORDERED</w:t>
      </w:r>
      <w:r>
        <w:t xml:space="preserve"> that, pursuant to Sections 4(i), 4(j), and 503(b) of the Act,</w:t>
      </w:r>
      <w:r w:rsidR="00522689">
        <w:rPr>
          <w:rStyle w:val="FootnoteReference"/>
        </w:rPr>
        <w:footnoteReference w:id="5"/>
      </w:r>
      <w:r>
        <w:t xml:space="preserve"> and Sections 0.111 and 0.311 of the </w:t>
      </w:r>
      <w:r w:rsidR="00522689">
        <w:t>R</w:t>
      </w:r>
      <w:r>
        <w:t>ules,</w:t>
      </w:r>
      <w:r w:rsidR="00522689">
        <w:rPr>
          <w:rStyle w:val="FootnoteReference"/>
        </w:rPr>
        <w:footnoteReference w:id="6"/>
      </w:r>
      <w:r>
        <w:t xml:space="preserve"> the Consent Decree </w:t>
      </w:r>
      <w:r w:rsidR="00522689">
        <w:t xml:space="preserve">attached to this Order </w:t>
      </w:r>
      <w:r w:rsidRPr="00BC324B">
        <w:rPr>
          <w:b/>
        </w:rPr>
        <w:t>IS ADOPTED</w:t>
      </w:r>
      <w:r>
        <w:t>.</w:t>
      </w:r>
    </w:p>
    <w:p w:rsidR="00BC324B" w:rsidRDefault="00FC1050" w:rsidP="00EF19BB">
      <w:pPr>
        <w:pStyle w:val="ParaNum"/>
        <w:widowControl/>
        <w:tabs>
          <w:tab w:val="clear" w:pos="1080"/>
          <w:tab w:val="num" w:pos="1440"/>
        </w:tabs>
      </w:pPr>
      <w:r w:rsidRPr="00BC324B">
        <w:rPr>
          <w:b/>
        </w:rPr>
        <w:t>IT IS FURTHER ORDERED</w:t>
      </w:r>
      <w:r>
        <w:t xml:space="preserve"> that the above-captioned matter </w:t>
      </w:r>
      <w:r w:rsidRPr="00BC324B">
        <w:rPr>
          <w:b/>
        </w:rPr>
        <w:t>IS TERMINATED</w:t>
      </w:r>
      <w:r>
        <w:t>.</w:t>
      </w:r>
    </w:p>
    <w:p w:rsidR="00FC1050" w:rsidRPr="00AE5FAF" w:rsidRDefault="00FC1050" w:rsidP="00EF19BB">
      <w:pPr>
        <w:pStyle w:val="ParaNum"/>
        <w:widowControl/>
        <w:tabs>
          <w:tab w:val="clear" w:pos="1080"/>
          <w:tab w:val="num" w:pos="1440"/>
        </w:tabs>
      </w:pPr>
      <w:r w:rsidRPr="00BC324B">
        <w:rPr>
          <w:b/>
        </w:rPr>
        <w:t>IT IS FURTHER ORDERED</w:t>
      </w:r>
      <w:r>
        <w:t xml:space="preserve"> that a copy of this Order and Consent Decree shall be sent by first class mail and certified mail, return receipt requested, to </w:t>
      </w:r>
      <w:r w:rsidRPr="00BC324B">
        <w:rPr>
          <w:szCs w:val="22"/>
        </w:rPr>
        <w:t>Five9’s counsel, Bruce A. Olcott, Esq., Jones Day, 51 Louisiana Ave., N.W., Washington, DC  20001.</w:t>
      </w:r>
      <w:r w:rsidRPr="00BC324B">
        <w:rPr>
          <w:szCs w:val="22"/>
        </w:rPr>
        <w:br/>
      </w:r>
    </w:p>
    <w:p w:rsidR="00FC1050" w:rsidRPr="00E80356" w:rsidRDefault="00FC1050" w:rsidP="00EF19BB">
      <w:pPr>
        <w:pStyle w:val="ParaNum"/>
        <w:widowControl/>
        <w:numPr>
          <w:ilvl w:val="0"/>
          <w:numId w:val="0"/>
        </w:numPr>
        <w:ind w:left="720"/>
      </w:pPr>
    </w:p>
    <w:p w:rsidR="00FC1050" w:rsidRDefault="00FC1050" w:rsidP="00EF19BB">
      <w:pPr>
        <w:widowControl/>
      </w:pPr>
      <w:r>
        <w:tab/>
      </w:r>
      <w:r>
        <w:tab/>
      </w:r>
      <w:r>
        <w:tab/>
      </w:r>
      <w:r>
        <w:tab/>
      </w:r>
      <w:r>
        <w:tab/>
      </w:r>
      <w:r>
        <w:tab/>
        <w:t>FEDERAL COMMUNICATIONS COMMISSION</w:t>
      </w:r>
    </w:p>
    <w:p w:rsidR="00FC1050" w:rsidRDefault="00FC1050" w:rsidP="00EF19BB">
      <w:pPr>
        <w:widowControl/>
      </w:pPr>
    </w:p>
    <w:p w:rsidR="00FC1050" w:rsidRDefault="00FC1050" w:rsidP="00EF19BB">
      <w:pPr>
        <w:widowControl/>
      </w:pPr>
    </w:p>
    <w:p w:rsidR="00FC1050" w:rsidRDefault="00FC1050" w:rsidP="00EF19BB">
      <w:pPr>
        <w:widowControl/>
      </w:pPr>
    </w:p>
    <w:p w:rsidR="00FC1050" w:rsidRDefault="00FC1050" w:rsidP="00EF19BB">
      <w:pPr>
        <w:widowControl/>
      </w:pPr>
    </w:p>
    <w:p w:rsidR="00FC1050" w:rsidRDefault="00FC1050" w:rsidP="00EF19BB">
      <w:pPr>
        <w:widowControl/>
      </w:pPr>
      <w:r>
        <w:tab/>
      </w:r>
      <w:r>
        <w:tab/>
      </w:r>
      <w:r>
        <w:tab/>
      </w:r>
      <w:r>
        <w:tab/>
      </w:r>
      <w:r>
        <w:tab/>
      </w:r>
      <w:r>
        <w:tab/>
        <w:t>Travis LeBlanc</w:t>
      </w:r>
    </w:p>
    <w:p w:rsidR="00FC1050" w:rsidRDefault="00FC1050" w:rsidP="00EF19BB">
      <w:pPr>
        <w:widowControl/>
      </w:pPr>
      <w:r>
        <w:tab/>
      </w:r>
      <w:r>
        <w:tab/>
      </w:r>
      <w:r>
        <w:tab/>
      </w:r>
      <w:r>
        <w:tab/>
      </w:r>
      <w:r>
        <w:tab/>
      </w:r>
      <w:r>
        <w:tab/>
        <w:t>Chief</w:t>
      </w:r>
    </w:p>
    <w:p w:rsidR="00FC1050" w:rsidRDefault="00FC1050" w:rsidP="00EF19BB">
      <w:pPr>
        <w:widowControl/>
      </w:pPr>
      <w:r>
        <w:tab/>
      </w:r>
      <w:r>
        <w:tab/>
      </w:r>
      <w:r>
        <w:tab/>
      </w:r>
      <w:r>
        <w:tab/>
      </w:r>
      <w:r>
        <w:tab/>
      </w:r>
      <w:r>
        <w:tab/>
        <w:t>Enforcement Bureau</w:t>
      </w:r>
    </w:p>
    <w:p w:rsidR="00FC1050" w:rsidRDefault="00FC1050" w:rsidP="00EF19BB">
      <w:pPr>
        <w:widowControl/>
      </w:pPr>
    </w:p>
    <w:p w:rsidR="00FC1050" w:rsidRDefault="00FC1050" w:rsidP="00EF19BB">
      <w:pPr>
        <w:widowControl/>
      </w:pPr>
      <w:r>
        <w:tab/>
      </w:r>
      <w:r>
        <w:tab/>
      </w:r>
      <w:r>
        <w:tab/>
      </w:r>
      <w:r>
        <w:tab/>
      </w:r>
      <w:r>
        <w:tab/>
      </w:r>
      <w:r>
        <w:tab/>
      </w:r>
    </w:p>
    <w:p w:rsidR="00FC1050" w:rsidRPr="00F47251" w:rsidRDefault="00FC1050" w:rsidP="00EF19BB">
      <w:pPr>
        <w:keepNext/>
        <w:widowControl/>
        <w:rPr>
          <w:szCs w:val="22"/>
        </w:rPr>
      </w:pPr>
    </w:p>
    <w:p w:rsidR="00FC1050" w:rsidRDefault="00FC1050" w:rsidP="00EF19BB">
      <w:pPr>
        <w:widowControl/>
        <w:jc w:val="center"/>
        <w:rPr>
          <w:b/>
        </w:rPr>
      </w:pPr>
    </w:p>
    <w:p w:rsidR="00FC1050" w:rsidRDefault="00FC1050" w:rsidP="00EF19BB">
      <w:pPr>
        <w:widowControl/>
        <w:jc w:val="center"/>
        <w:rPr>
          <w:b/>
        </w:rPr>
        <w:sectPr w:rsidR="00FC1050" w:rsidSect="006B4F8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start="1"/>
          <w:cols w:space="720"/>
          <w:titlePg/>
          <w:docGrid w:linePitch="299"/>
        </w:sectPr>
      </w:pPr>
    </w:p>
    <w:p w:rsidR="00FC1050" w:rsidRDefault="00FC1050" w:rsidP="00EF19BB">
      <w:pPr>
        <w:widowControl/>
        <w:jc w:val="center"/>
        <w:rPr>
          <w:b/>
        </w:rPr>
      </w:pPr>
      <w:r w:rsidRPr="0070224F">
        <w:rPr>
          <w:rFonts w:ascii="Times New Roman Bold" w:hAnsi="Times New Roman Bold"/>
          <w:b/>
          <w:kern w:val="0"/>
          <w:szCs w:val="22"/>
        </w:rPr>
        <w:t>Before</w:t>
      </w:r>
      <w:r>
        <w:rPr>
          <w:b/>
        </w:rPr>
        <w:t xml:space="preserve"> the</w:t>
      </w:r>
    </w:p>
    <w:p w:rsidR="00FC1050" w:rsidRDefault="00FC1050" w:rsidP="00EF19BB">
      <w:pPr>
        <w:pStyle w:val="StyleBoldCentered"/>
        <w:widowControl/>
      </w:pPr>
      <w:r>
        <w:t>F</w:t>
      </w:r>
      <w:r>
        <w:rPr>
          <w:caps w:val="0"/>
        </w:rPr>
        <w:t>ederal Communications Commission</w:t>
      </w:r>
    </w:p>
    <w:p w:rsidR="00FC1050" w:rsidRDefault="00FC1050" w:rsidP="00EF19BB">
      <w:pPr>
        <w:pStyle w:val="StyleBoldCentered"/>
        <w:widowControl/>
      </w:pPr>
      <w:r>
        <w:rPr>
          <w:caps w:val="0"/>
        </w:rPr>
        <w:t>Washington, D.C. 20554</w:t>
      </w:r>
    </w:p>
    <w:p w:rsidR="001F18AA" w:rsidRDefault="001F18AA" w:rsidP="00EF19BB">
      <w:pPr>
        <w:widowControl/>
        <w:tabs>
          <w:tab w:val="center" w:pos="4680"/>
        </w:tabs>
        <w:suppressAutoHyphens/>
        <w:rPr>
          <w:spacing w:val="-2"/>
        </w:rPr>
        <w:sectPr w:rsidR="001F18AA" w:rsidSect="0055614C">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pPr>
    </w:p>
    <w:p w:rsidR="001F18AA" w:rsidRDefault="001F18AA" w:rsidP="00EF19BB">
      <w:pPr>
        <w:widowControl/>
        <w:tabs>
          <w:tab w:val="center" w:pos="4680"/>
        </w:tabs>
        <w:suppressAutoHyphens/>
        <w:rPr>
          <w:spacing w:val="-2"/>
        </w:rPr>
        <w:sectPr w:rsidR="001F18AA" w:rsidSect="001F18AA">
          <w:endnotePr>
            <w:numFmt w:val="decimal"/>
          </w:endnotePr>
          <w:type w:val="continuous"/>
          <w:pgSz w:w="12240" w:h="15840"/>
          <w:pgMar w:top="1440" w:right="1440" w:bottom="720" w:left="1440" w:header="720" w:footer="720" w:gutter="0"/>
          <w:pgNumType w:start="1"/>
          <w:cols w:space="720"/>
          <w:noEndnote/>
          <w:titlePg/>
        </w:sectPr>
      </w:pPr>
    </w:p>
    <w:tbl>
      <w:tblPr>
        <w:tblW w:w="0" w:type="auto"/>
        <w:tblLayout w:type="fixed"/>
        <w:tblLook w:val="0000" w:firstRow="0" w:lastRow="0" w:firstColumn="0" w:lastColumn="0" w:noHBand="0" w:noVBand="0"/>
      </w:tblPr>
      <w:tblGrid>
        <w:gridCol w:w="4698"/>
        <w:gridCol w:w="630"/>
        <w:gridCol w:w="4248"/>
      </w:tblGrid>
      <w:tr w:rsidR="00FC1050" w:rsidTr="006B4F88">
        <w:tc>
          <w:tcPr>
            <w:tcW w:w="4698" w:type="dxa"/>
          </w:tcPr>
          <w:p w:rsidR="00FC1050" w:rsidRDefault="00FC1050" w:rsidP="00EF19BB">
            <w:pPr>
              <w:widowControl/>
              <w:tabs>
                <w:tab w:val="center" w:pos="4680"/>
              </w:tabs>
              <w:suppressAutoHyphens/>
              <w:rPr>
                <w:spacing w:val="-2"/>
              </w:rPr>
            </w:pPr>
            <w:r>
              <w:rPr>
                <w:spacing w:val="-2"/>
              </w:rPr>
              <w:t>In the Matter of</w:t>
            </w:r>
          </w:p>
          <w:p w:rsidR="00FC1050" w:rsidRDefault="00FC1050" w:rsidP="00EF19BB">
            <w:pPr>
              <w:widowControl/>
              <w:tabs>
                <w:tab w:val="center" w:pos="4680"/>
              </w:tabs>
              <w:suppressAutoHyphens/>
              <w:rPr>
                <w:spacing w:val="-2"/>
              </w:rPr>
            </w:pPr>
          </w:p>
          <w:p w:rsidR="00FC1050" w:rsidRPr="007115F7" w:rsidRDefault="00FC1050" w:rsidP="00EF19BB">
            <w:pPr>
              <w:widowControl/>
              <w:tabs>
                <w:tab w:val="center" w:pos="4680"/>
              </w:tabs>
              <w:suppressAutoHyphens/>
              <w:rPr>
                <w:spacing w:val="-2"/>
              </w:rPr>
            </w:pPr>
            <w:r>
              <w:rPr>
                <w:spacing w:val="-2"/>
              </w:rPr>
              <w:t>Five9, Inc.</w:t>
            </w:r>
          </w:p>
        </w:tc>
        <w:tc>
          <w:tcPr>
            <w:tcW w:w="630" w:type="dxa"/>
          </w:tcPr>
          <w:p w:rsidR="00FC1050" w:rsidRDefault="00FC1050" w:rsidP="00EF19BB">
            <w:pPr>
              <w:widowControl/>
              <w:tabs>
                <w:tab w:val="center" w:pos="4680"/>
              </w:tabs>
              <w:suppressAutoHyphens/>
              <w:rPr>
                <w:b/>
                <w:spacing w:val="-2"/>
              </w:rPr>
            </w:pPr>
            <w:r>
              <w:rPr>
                <w:b/>
                <w:spacing w:val="-2"/>
              </w:rPr>
              <w:t>)</w:t>
            </w:r>
          </w:p>
          <w:p w:rsidR="00FC1050" w:rsidRDefault="00FC1050" w:rsidP="00EF19BB">
            <w:pPr>
              <w:widowControl/>
              <w:tabs>
                <w:tab w:val="center" w:pos="4680"/>
              </w:tabs>
              <w:suppressAutoHyphens/>
              <w:rPr>
                <w:b/>
                <w:spacing w:val="-2"/>
              </w:rPr>
            </w:pPr>
            <w:r>
              <w:rPr>
                <w:b/>
                <w:spacing w:val="-2"/>
              </w:rPr>
              <w:t>)</w:t>
            </w:r>
          </w:p>
          <w:p w:rsidR="00FC1050" w:rsidRDefault="00FC1050" w:rsidP="00EF19BB">
            <w:pPr>
              <w:widowControl/>
              <w:tabs>
                <w:tab w:val="center" w:pos="4680"/>
              </w:tabs>
              <w:suppressAutoHyphens/>
              <w:rPr>
                <w:b/>
                <w:spacing w:val="-2"/>
              </w:rPr>
            </w:pPr>
            <w:r>
              <w:rPr>
                <w:b/>
                <w:spacing w:val="-2"/>
              </w:rPr>
              <w:t>)</w:t>
            </w:r>
          </w:p>
          <w:p w:rsidR="00FC1050" w:rsidRDefault="00FC1050" w:rsidP="00EF19BB">
            <w:pPr>
              <w:widowControl/>
              <w:tabs>
                <w:tab w:val="center" w:pos="4680"/>
              </w:tabs>
              <w:suppressAutoHyphens/>
              <w:rPr>
                <w:b/>
                <w:spacing w:val="-2"/>
              </w:rPr>
            </w:pPr>
            <w:r>
              <w:rPr>
                <w:b/>
                <w:spacing w:val="-2"/>
              </w:rPr>
              <w:t>)</w:t>
            </w:r>
          </w:p>
          <w:p w:rsidR="00FC1050" w:rsidRDefault="00FC1050" w:rsidP="00EF19BB">
            <w:pPr>
              <w:widowControl/>
              <w:tabs>
                <w:tab w:val="center" w:pos="4680"/>
              </w:tabs>
              <w:suppressAutoHyphens/>
              <w:rPr>
                <w:b/>
                <w:spacing w:val="-2"/>
              </w:rPr>
            </w:pPr>
            <w:r>
              <w:rPr>
                <w:b/>
                <w:spacing w:val="-2"/>
              </w:rPr>
              <w:t>)</w:t>
            </w:r>
          </w:p>
          <w:p w:rsidR="00FC1050" w:rsidRDefault="00FC1050" w:rsidP="00EF19BB">
            <w:pPr>
              <w:widowControl/>
              <w:tabs>
                <w:tab w:val="center" w:pos="4680"/>
              </w:tabs>
              <w:suppressAutoHyphens/>
              <w:rPr>
                <w:spacing w:val="-2"/>
              </w:rPr>
            </w:pPr>
          </w:p>
        </w:tc>
        <w:tc>
          <w:tcPr>
            <w:tcW w:w="4248" w:type="dxa"/>
          </w:tcPr>
          <w:p w:rsidR="00FC1050" w:rsidRDefault="00FC1050" w:rsidP="00EF19BB">
            <w:pPr>
              <w:widowControl/>
              <w:tabs>
                <w:tab w:val="center" w:pos="4680"/>
              </w:tabs>
              <w:suppressAutoHyphens/>
              <w:rPr>
                <w:spacing w:val="-2"/>
              </w:rPr>
            </w:pPr>
            <w:r>
              <w:rPr>
                <w:spacing w:val="-2"/>
              </w:rPr>
              <w:t xml:space="preserve">File No.: </w:t>
            </w:r>
            <w:r w:rsidR="00C74928">
              <w:rPr>
                <w:spacing w:val="-2"/>
              </w:rPr>
              <w:t xml:space="preserve"> </w:t>
            </w:r>
            <w:r>
              <w:rPr>
                <w:spacing w:val="-2"/>
              </w:rPr>
              <w:t>EB-IHD-13-000</w:t>
            </w:r>
            <w:r w:rsidR="000C0613">
              <w:rPr>
                <w:spacing w:val="-2"/>
              </w:rPr>
              <w:t>1</w:t>
            </w:r>
            <w:r>
              <w:rPr>
                <w:spacing w:val="-2"/>
              </w:rPr>
              <w:t>1166</w:t>
            </w:r>
          </w:p>
          <w:p w:rsidR="00FC1050" w:rsidRDefault="00FC1050" w:rsidP="00EF19BB">
            <w:pPr>
              <w:widowControl/>
              <w:tabs>
                <w:tab w:val="center" w:pos="4680"/>
              </w:tabs>
              <w:suppressAutoHyphens/>
              <w:rPr>
                <w:spacing w:val="-2"/>
              </w:rPr>
            </w:pPr>
          </w:p>
          <w:p w:rsidR="00FC1050" w:rsidRDefault="00FC1050" w:rsidP="00EF19BB">
            <w:pPr>
              <w:pStyle w:val="TOAHeading"/>
              <w:widowControl/>
              <w:tabs>
                <w:tab w:val="clear" w:pos="9360"/>
                <w:tab w:val="center" w:pos="4680"/>
              </w:tabs>
              <w:rPr>
                <w:spacing w:val="-2"/>
              </w:rPr>
            </w:pPr>
            <w:r>
              <w:rPr>
                <w:spacing w:val="-2"/>
              </w:rPr>
              <w:t>Acct. No.</w:t>
            </w:r>
            <w:r w:rsidR="00C74928">
              <w:rPr>
                <w:spacing w:val="-2"/>
              </w:rPr>
              <w:t xml:space="preserve">:  </w:t>
            </w:r>
            <w:r w:rsidR="00C74928" w:rsidRPr="00C74928">
              <w:rPr>
                <w:color w:val="222222"/>
                <w:szCs w:val="22"/>
              </w:rPr>
              <w:t>201532080015</w:t>
            </w:r>
          </w:p>
          <w:p w:rsidR="008330D2" w:rsidRDefault="008330D2" w:rsidP="00EF19BB">
            <w:pPr>
              <w:widowControl/>
              <w:tabs>
                <w:tab w:val="center" w:pos="4680"/>
              </w:tabs>
              <w:suppressAutoHyphens/>
              <w:rPr>
                <w:spacing w:val="-2"/>
              </w:rPr>
            </w:pPr>
          </w:p>
          <w:p w:rsidR="00FC1050" w:rsidRDefault="00D162E2" w:rsidP="00EF19BB">
            <w:pPr>
              <w:widowControl/>
              <w:tabs>
                <w:tab w:val="center" w:pos="4680"/>
              </w:tabs>
              <w:suppressAutoHyphens/>
              <w:rPr>
                <w:spacing w:val="-2"/>
              </w:rPr>
            </w:pPr>
            <w:r>
              <w:rPr>
                <w:spacing w:val="-2"/>
              </w:rPr>
              <w:t>FRN:  0022289409</w:t>
            </w:r>
          </w:p>
        </w:tc>
      </w:tr>
    </w:tbl>
    <w:p w:rsidR="00FC1050" w:rsidRPr="004B71AB" w:rsidRDefault="00FC1050" w:rsidP="00EF19BB">
      <w:pPr>
        <w:pStyle w:val="BodyText"/>
        <w:widowControl/>
        <w:tabs>
          <w:tab w:val="left" w:pos="3440"/>
          <w:tab w:val="left" w:pos="4680"/>
        </w:tabs>
        <w:ind w:firstLine="0"/>
        <w:jc w:val="center"/>
      </w:pPr>
      <w:r w:rsidRPr="00156372">
        <w:rPr>
          <w:b/>
        </w:rPr>
        <w:t>C</w:t>
      </w:r>
      <w:r w:rsidR="008330D2">
        <w:rPr>
          <w:b/>
        </w:rPr>
        <w:t>ONSENT DECREE</w:t>
      </w:r>
    </w:p>
    <w:p w:rsidR="006B4F88" w:rsidRDefault="00FC1050" w:rsidP="00EF19BB">
      <w:pPr>
        <w:pStyle w:val="ParaNum"/>
        <w:widowControl/>
        <w:numPr>
          <w:ilvl w:val="0"/>
          <w:numId w:val="0"/>
        </w:numPr>
        <w:ind w:firstLine="720"/>
      </w:pPr>
      <w:r w:rsidRPr="004B71AB">
        <w:t>The Enforcement Bureau of the Federal Communications Commission</w:t>
      </w:r>
      <w:r w:rsidR="008330D2">
        <w:t xml:space="preserve"> </w:t>
      </w:r>
      <w:r>
        <w:t>and Five9</w:t>
      </w:r>
      <w:r w:rsidRPr="004B71AB">
        <w:t>, Inc. (</w:t>
      </w:r>
      <w:r>
        <w:t>Five9</w:t>
      </w:r>
      <w:r w:rsidR="008330D2">
        <w:t xml:space="preserve"> or Company</w:t>
      </w:r>
      <w:r w:rsidRPr="004B71AB">
        <w:t xml:space="preserve">), by their authorized representatives, hereby enter into this Consent Decree for purposes of terminating the Bureau’s investigation into </w:t>
      </w:r>
      <w:r w:rsidR="008330D2">
        <w:t xml:space="preserve">whether </w:t>
      </w:r>
      <w:r>
        <w:t>Five9</w:t>
      </w:r>
      <w:r w:rsidRPr="004B71AB">
        <w:t xml:space="preserve"> </w:t>
      </w:r>
      <w:r w:rsidR="008330D2">
        <w:t xml:space="preserve">complied with </w:t>
      </w:r>
      <w:r w:rsidR="005D111D">
        <w:t xml:space="preserve">its obligations </w:t>
      </w:r>
      <w:r w:rsidR="008330D2">
        <w:t>as a telecommunications services provider to</w:t>
      </w:r>
      <w:r w:rsidR="00E45DB2">
        <w:t>:</w:t>
      </w:r>
      <w:r w:rsidR="008330D2">
        <w:t xml:space="preserve"> </w:t>
      </w:r>
      <w:r w:rsidR="00E45DB2">
        <w:t xml:space="preserve">(i) </w:t>
      </w:r>
      <w:r w:rsidR="008330D2">
        <w:rPr>
          <w:color w:val="000000"/>
        </w:rPr>
        <w:t xml:space="preserve">register with the Commission before providing interstate telecommunications services; </w:t>
      </w:r>
      <w:r w:rsidR="00E45DB2">
        <w:rPr>
          <w:color w:val="000000"/>
        </w:rPr>
        <w:t xml:space="preserve">(ii) </w:t>
      </w:r>
      <w:r w:rsidR="008330D2">
        <w:rPr>
          <w:color w:val="000000"/>
        </w:rPr>
        <w:t xml:space="preserve">obtain Commission authorization prior to providing international telecommunications services; </w:t>
      </w:r>
      <w:r w:rsidR="00E45DB2">
        <w:rPr>
          <w:color w:val="000000"/>
        </w:rPr>
        <w:t xml:space="preserve">(iii) </w:t>
      </w:r>
      <w:r w:rsidR="008330D2">
        <w:rPr>
          <w:color w:val="000000"/>
        </w:rPr>
        <w:t xml:space="preserve">make required payments to the  Universal Service Fund (USF), the Telecommunications Relay Service (TRS) Fund; </w:t>
      </w:r>
      <w:r w:rsidR="005D111D">
        <w:rPr>
          <w:color w:val="000000"/>
        </w:rPr>
        <w:t xml:space="preserve">and </w:t>
      </w:r>
      <w:r w:rsidR="008330D2">
        <w:rPr>
          <w:color w:val="000000"/>
        </w:rPr>
        <w:t xml:space="preserve">the Local Number Portability (LNP) and the North American Numbering Plan (NANP) cost recovery mechanisms; </w:t>
      </w:r>
      <w:r w:rsidR="00E45DB2">
        <w:rPr>
          <w:color w:val="000000"/>
        </w:rPr>
        <w:t xml:space="preserve">(iv) </w:t>
      </w:r>
      <w:r w:rsidR="008330D2">
        <w:rPr>
          <w:color w:val="000000"/>
        </w:rPr>
        <w:t>pay required regulatory fees; and</w:t>
      </w:r>
      <w:r w:rsidR="00E45DB2">
        <w:rPr>
          <w:color w:val="000000"/>
        </w:rPr>
        <w:t xml:space="preserve"> (v)</w:t>
      </w:r>
      <w:r w:rsidR="008330D2">
        <w:rPr>
          <w:color w:val="000000"/>
        </w:rPr>
        <w:t xml:space="preserve"> file Telecommunications Reporting Worksheets, international traffic and revenue reports, and reports certifying its compliance with the Commission’s customer proprietary network information (CPNI) rules. </w:t>
      </w:r>
    </w:p>
    <w:p w:rsidR="00FC1050" w:rsidRPr="004B71AB" w:rsidRDefault="00FC1050" w:rsidP="00EF19BB">
      <w:pPr>
        <w:pStyle w:val="Heading1"/>
        <w:widowControl/>
      </w:pPr>
      <w:r w:rsidRPr="004B71AB">
        <w:t>DEFINITIONS</w:t>
      </w:r>
    </w:p>
    <w:p w:rsidR="00FC1050" w:rsidRPr="00F35FF4" w:rsidRDefault="00FC1050" w:rsidP="00EF19BB">
      <w:pPr>
        <w:pStyle w:val="ParaNum"/>
        <w:widowControl/>
        <w:numPr>
          <w:ilvl w:val="0"/>
          <w:numId w:val="10"/>
        </w:numPr>
        <w:tabs>
          <w:tab w:val="clear" w:pos="1080"/>
        </w:tabs>
        <w:rPr>
          <w:spacing w:val="-2"/>
        </w:rPr>
      </w:pPr>
      <w:r w:rsidRPr="004B71AB">
        <w:t xml:space="preserve"> For purposes of this Consent Decree, the following definitions shall apply:</w:t>
      </w:r>
    </w:p>
    <w:p w:rsidR="00FC1050" w:rsidRPr="004B71AB" w:rsidRDefault="00FC1050" w:rsidP="00EF19BB">
      <w:pPr>
        <w:pStyle w:val="ParaNum"/>
        <w:widowControl/>
        <w:numPr>
          <w:ilvl w:val="0"/>
          <w:numId w:val="8"/>
        </w:numPr>
        <w:ind w:left="1440"/>
      </w:pPr>
      <w:r w:rsidRPr="004B71AB">
        <w:t xml:space="preserve">“Act” or “Communications Act” means the Communications Act of 1934, as amended, 47 U.S.C. § 151 </w:t>
      </w:r>
      <w:r w:rsidRPr="004B71AB">
        <w:rPr>
          <w:i/>
        </w:rPr>
        <w:t>et seq.</w:t>
      </w:r>
    </w:p>
    <w:p w:rsidR="00FC1050" w:rsidRPr="004B71AB" w:rsidRDefault="00FC1050" w:rsidP="00EF19BB">
      <w:pPr>
        <w:pStyle w:val="ParaNum"/>
        <w:widowControl/>
        <w:numPr>
          <w:ilvl w:val="0"/>
          <w:numId w:val="8"/>
        </w:numPr>
        <w:ind w:left="1440"/>
      </w:pPr>
      <w:r w:rsidRPr="004B71AB">
        <w:t>“Adopting Order” means an Order of the Bureau adopting the terms of this Consent Decree without change, addition, deletion, or modification.</w:t>
      </w:r>
    </w:p>
    <w:p w:rsidR="00FC1050" w:rsidRPr="004B71AB" w:rsidRDefault="00FC1050" w:rsidP="00EF19BB">
      <w:pPr>
        <w:pStyle w:val="ParaNum"/>
        <w:widowControl/>
        <w:numPr>
          <w:ilvl w:val="0"/>
          <w:numId w:val="8"/>
        </w:numPr>
        <w:ind w:left="1440"/>
      </w:pPr>
      <w:r w:rsidRPr="004B71AB">
        <w:t>“Bureau” means the Enforcement Bureau of the Federal Communications Commission.</w:t>
      </w:r>
    </w:p>
    <w:p w:rsidR="00FC1050" w:rsidRPr="004B71AB" w:rsidRDefault="00FC1050" w:rsidP="00EF19BB">
      <w:pPr>
        <w:pStyle w:val="ParaNum"/>
        <w:widowControl/>
        <w:numPr>
          <w:ilvl w:val="0"/>
          <w:numId w:val="8"/>
        </w:numPr>
        <w:ind w:left="1440"/>
      </w:pPr>
      <w:r w:rsidRPr="004B71AB">
        <w:t>“Commission” and “FCC” mean the Federal Communications Commission and all of its bureaus and offices.”</w:t>
      </w:r>
    </w:p>
    <w:p w:rsidR="00FC1050" w:rsidRPr="004B71AB" w:rsidRDefault="00FC1050" w:rsidP="00EF19BB">
      <w:pPr>
        <w:pStyle w:val="ParaNum"/>
        <w:widowControl/>
        <w:numPr>
          <w:ilvl w:val="0"/>
          <w:numId w:val="8"/>
        </w:numPr>
        <w:ind w:left="1440"/>
      </w:pPr>
      <w:r w:rsidRPr="004B71AB">
        <w:t xml:space="preserve">“Communications Laws” means collectively, the Act, the Rules, and the published and promulgated orders </w:t>
      </w:r>
      <w:r>
        <w:t xml:space="preserve">and decisions of the Commission to which Five9 is subject to by virtue of its activities, including but not limited to </w:t>
      </w:r>
      <w:r w:rsidR="00FB6005">
        <w:t xml:space="preserve">the </w:t>
      </w:r>
      <w:r w:rsidR="00FB6005" w:rsidRPr="004C57DD">
        <w:rPr>
          <w:szCs w:val="22"/>
        </w:rPr>
        <w:t xml:space="preserve">Federal Regulatory Reporting </w:t>
      </w:r>
      <w:r w:rsidR="00FB6005">
        <w:rPr>
          <w:szCs w:val="22"/>
        </w:rPr>
        <w:t xml:space="preserve">and Contribution </w:t>
      </w:r>
      <w:r w:rsidR="00FB6005" w:rsidRPr="004C57DD">
        <w:rPr>
          <w:szCs w:val="22"/>
        </w:rPr>
        <w:t>Rules</w:t>
      </w:r>
      <w:r w:rsidR="00FB6005">
        <w:t>, the CPNI Rules, and the International Section 214 Rules.</w:t>
      </w:r>
    </w:p>
    <w:p w:rsidR="00FC1050" w:rsidRPr="004B71AB" w:rsidRDefault="00FC1050" w:rsidP="00EF19BB">
      <w:pPr>
        <w:pStyle w:val="ParaNum"/>
        <w:widowControl/>
        <w:numPr>
          <w:ilvl w:val="0"/>
          <w:numId w:val="8"/>
        </w:numPr>
        <w:ind w:left="1440"/>
      </w:pPr>
      <w:r w:rsidRPr="004B71AB">
        <w:t>“Compliance Plan” means the compliance obligations, programs, and procedures described in t</w:t>
      </w:r>
      <w:r w:rsidR="00156372">
        <w:t>his Consent Decree at paragraph 1</w:t>
      </w:r>
      <w:r w:rsidR="00576B6B">
        <w:t>5</w:t>
      </w:r>
      <w:r w:rsidRPr="004B71AB">
        <w:t>.</w:t>
      </w:r>
    </w:p>
    <w:p w:rsidR="00FC1050" w:rsidRPr="004B71AB" w:rsidRDefault="00FC1050" w:rsidP="00EF19BB">
      <w:pPr>
        <w:pStyle w:val="ParaNum"/>
        <w:widowControl/>
        <w:numPr>
          <w:ilvl w:val="0"/>
          <w:numId w:val="8"/>
        </w:numPr>
        <w:ind w:left="1440"/>
      </w:pPr>
      <w:r w:rsidRPr="004B71AB">
        <w:t xml:space="preserve">“Covered </w:t>
      </w:r>
      <w:r>
        <w:t>Employees</w:t>
      </w:r>
      <w:r w:rsidRPr="004B71AB">
        <w:t xml:space="preserve">” means all employees </w:t>
      </w:r>
      <w:r>
        <w:t xml:space="preserve">and agents </w:t>
      </w:r>
      <w:r w:rsidRPr="004B71AB">
        <w:t xml:space="preserve">of </w:t>
      </w:r>
      <w:r>
        <w:t>Five9</w:t>
      </w:r>
      <w:r w:rsidRPr="004B71AB">
        <w:t xml:space="preserve"> who perform, </w:t>
      </w:r>
      <w:r>
        <w:t xml:space="preserve">or </w:t>
      </w:r>
      <w:r w:rsidRPr="004B71AB">
        <w:t xml:space="preserve">supervise or oversee, or manage the performance of </w:t>
      </w:r>
      <w:r>
        <w:t xml:space="preserve">duties that </w:t>
      </w:r>
      <w:r w:rsidR="008D073C">
        <w:t>relate</w:t>
      </w:r>
      <w:r>
        <w:t xml:space="preserve"> to Five9’s responsibilities</w:t>
      </w:r>
      <w:r w:rsidR="008330D2">
        <w:t xml:space="preserve"> under the Act and the Rules</w:t>
      </w:r>
      <w:r w:rsidRPr="004B71AB">
        <w:t>.</w:t>
      </w:r>
      <w:r w:rsidR="000E4FB3">
        <w:t xml:space="preserve">  </w:t>
      </w:r>
    </w:p>
    <w:p w:rsidR="00FC1050" w:rsidRDefault="00FC1050" w:rsidP="00EF19BB">
      <w:pPr>
        <w:pStyle w:val="ParaNum"/>
        <w:widowControl/>
        <w:numPr>
          <w:ilvl w:val="0"/>
          <w:numId w:val="8"/>
        </w:numPr>
        <w:ind w:left="1440"/>
      </w:pPr>
      <w:r>
        <w:rPr>
          <w:szCs w:val="22"/>
        </w:rPr>
        <w:t xml:space="preserve">“CPNI Rules” means Section 222 of the Act, </w:t>
      </w:r>
      <w:r>
        <w:rPr>
          <w:color w:val="000000"/>
          <w:szCs w:val="22"/>
        </w:rPr>
        <w:t xml:space="preserve">47 U.S.C. § 222, and </w:t>
      </w:r>
      <w:r>
        <w:rPr>
          <w:szCs w:val="22"/>
        </w:rPr>
        <w:t>Section</w:t>
      </w:r>
      <w:r w:rsidR="00E037FA">
        <w:rPr>
          <w:szCs w:val="22"/>
        </w:rPr>
        <w:t>s</w:t>
      </w:r>
      <w:r>
        <w:rPr>
          <w:szCs w:val="22"/>
        </w:rPr>
        <w:t xml:space="preserve"> 64.200</w:t>
      </w:r>
      <w:r w:rsidR="00A453AD">
        <w:rPr>
          <w:szCs w:val="22"/>
        </w:rPr>
        <w:t>1</w:t>
      </w:r>
      <w:r w:rsidR="00AB1AE8">
        <w:rPr>
          <w:szCs w:val="22"/>
        </w:rPr>
        <w:t>–</w:t>
      </w:r>
      <w:r w:rsidR="00A453AD">
        <w:rPr>
          <w:szCs w:val="22"/>
        </w:rPr>
        <w:t>64.2011</w:t>
      </w:r>
      <w:r w:rsidR="008330D2">
        <w:rPr>
          <w:szCs w:val="22"/>
        </w:rPr>
        <w:t xml:space="preserve"> of the Rules</w:t>
      </w:r>
      <w:r>
        <w:rPr>
          <w:szCs w:val="22"/>
        </w:rPr>
        <w:t xml:space="preserve">, 47 C.F.R. § </w:t>
      </w:r>
      <w:r w:rsidR="00A453AD">
        <w:rPr>
          <w:szCs w:val="22"/>
        </w:rPr>
        <w:t>64.2001</w:t>
      </w:r>
      <w:r w:rsidR="00AB1AE8">
        <w:rPr>
          <w:szCs w:val="22"/>
        </w:rPr>
        <w:t>–</w:t>
      </w:r>
      <w:r w:rsidR="00A453AD">
        <w:rPr>
          <w:szCs w:val="22"/>
        </w:rPr>
        <w:t>64.2011</w:t>
      </w:r>
      <w:r w:rsidR="001F25DC">
        <w:rPr>
          <w:szCs w:val="22"/>
        </w:rPr>
        <w:t>.</w:t>
      </w:r>
    </w:p>
    <w:p w:rsidR="00FC1050" w:rsidRDefault="00FC1050" w:rsidP="00EF19BB">
      <w:pPr>
        <w:pStyle w:val="ParaNum"/>
        <w:widowControl/>
        <w:numPr>
          <w:ilvl w:val="0"/>
          <w:numId w:val="8"/>
        </w:numPr>
        <w:ind w:left="1440"/>
      </w:pPr>
      <w:r w:rsidRPr="004B71AB">
        <w:t>“Effective Date” means the date on which the Bureau releases the Adopting Order.</w:t>
      </w:r>
    </w:p>
    <w:p w:rsidR="00FC1050" w:rsidRDefault="00FC1050" w:rsidP="00EF19BB">
      <w:pPr>
        <w:pStyle w:val="ParaNum"/>
        <w:widowControl/>
        <w:numPr>
          <w:ilvl w:val="0"/>
          <w:numId w:val="8"/>
        </w:numPr>
        <w:ind w:left="1440"/>
      </w:pPr>
      <w:r w:rsidRPr="004C57DD">
        <w:rPr>
          <w:szCs w:val="22"/>
        </w:rPr>
        <w:t xml:space="preserve">“Federal Regulatory Reporting </w:t>
      </w:r>
      <w:r w:rsidR="00FB0616">
        <w:rPr>
          <w:szCs w:val="22"/>
        </w:rPr>
        <w:t xml:space="preserve">and Contribution </w:t>
      </w:r>
      <w:r w:rsidRPr="004C57DD">
        <w:rPr>
          <w:szCs w:val="22"/>
        </w:rPr>
        <w:t xml:space="preserve">Rules” </w:t>
      </w:r>
      <w:r w:rsidR="00033995">
        <w:rPr>
          <w:szCs w:val="22"/>
        </w:rPr>
        <w:t xml:space="preserve">or “Rules” </w:t>
      </w:r>
      <w:r w:rsidRPr="004C57DD">
        <w:rPr>
          <w:szCs w:val="22"/>
        </w:rPr>
        <w:t xml:space="preserve">mean </w:t>
      </w:r>
      <w:r w:rsidR="00AB1AE8">
        <w:rPr>
          <w:szCs w:val="22"/>
        </w:rPr>
        <w:t>Sections 251(</w:t>
      </w:r>
      <w:r w:rsidR="004D0D8F">
        <w:rPr>
          <w:szCs w:val="22"/>
        </w:rPr>
        <w:t>e)</w:t>
      </w:r>
      <w:r w:rsidR="00AB1AE8">
        <w:rPr>
          <w:szCs w:val="22"/>
        </w:rPr>
        <w:t>(2) and 254(d)</w:t>
      </w:r>
      <w:r w:rsidR="004D0D8F">
        <w:rPr>
          <w:szCs w:val="22"/>
        </w:rPr>
        <w:t xml:space="preserve"> of the Act, 47 C.F.R. §§ 251(e)(2), </w:t>
      </w:r>
      <w:r w:rsidR="00AB1AE8">
        <w:rPr>
          <w:szCs w:val="22"/>
        </w:rPr>
        <w:t>254</w:t>
      </w:r>
      <w:r w:rsidR="004D0D8F">
        <w:rPr>
          <w:szCs w:val="22"/>
        </w:rPr>
        <w:t>(d), and</w:t>
      </w:r>
      <w:r w:rsidR="00AB1AE8">
        <w:rPr>
          <w:szCs w:val="22"/>
        </w:rPr>
        <w:t xml:space="preserve"> </w:t>
      </w:r>
      <w:r w:rsidRPr="004C57DD">
        <w:rPr>
          <w:szCs w:val="22"/>
        </w:rPr>
        <w:t>Sections</w:t>
      </w:r>
      <w:r w:rsidR="00FB0616">
        <w:rPr>
          <w:szCs w:val="22"/>
        </w:rPr>
        <w:t xml:space="preserve"> 1.1154, 1.1157,</w:t>
      </w:r>
      <w:r w:rsidRPr="004C57DD">
        <w:rPr>
          <w:szCs w:val="22"/>
        </w:rPr>
        <w:t xml:space="preserve"> 52.17, 52.32, 54.706, 54.711,</w:t>
      </w:r>
      <w:r w:rsidRPr="004C57DD" w:rsidDel="00D07C9D">
        <w:rPr>
          <w:szCs w:val="22"/>
        </w:rPr>
        <w:t xml:space="preserve"> </w:t>
      </w:r>
      <w:r w:rsidRPr="004C57DD">
        <w:rPr>
          <w:szCs w:val="22"/>
        </w:rPr>
        <w:t>64.604, and 64.1195 of the Rules</w:t>
      </w:r>
      <w:r w:rsidR="00AB1AE8">
        <w:rPr>
          <w:szCs w:val="22"/>
        </w:rPr>
        <w:t>, 47 C.F.R. §§ 1.1154, 1.1157,</w:t>
      </w:r>
      <w:r w:rsidR="00AB1AE8" w:rsidRPr="004C57DD">
        <w:rPr>
          <w:szCs w:val="22"/>
        </w:rPr>
        <w:t xml:space="preserve"> 52.17, 52.32, 54.706, 54.711,</w:t>
      </w:r>
      <w:r w:rsidR="00AB1AE8" w:rsidRPr="004C57DD" w:rsidDel="00D07C9D">
        <w:rPr>
          <w:szCs w:val="22"/>
        </w:rPr>
        <w:t xml:space="preserve"> </w:t>
      </w:r>
      <w:r w:rsidR="00AB1AE8" w:rsidRPr="004C57DD">
        <w:rPr>
          <w:szCs w:val="22"/>
        </w:rPr>
        <w:t>64.604, 64.1195</w:t>
      </w:r>
      <w:r w:rsidR="00AB1AE8">
        <w:rPr>
          <w:szCs w:val="22"/>
        </w:rPr>
        <w:t>,</w:t>
      </w:r>
      <w:r w:rsidR="00AB1AE8" w:rsidRPr="004C57DD">
        <w:rPr>
          <w:szCs w:val="22"/>
        </w:rPr>
        <w:t xml:space="preserve"> </w:t>
      </w:r>
      <w:r w:rsidRPr="004C57DD">
        <w:rPr>
          <w:szCs w:val="22"/>
        </w:rPr>
        <w:t xml:space="preserve">and other provisions of the Act, the Rules, and Commission orders governing related federal regulatory reporting </w:t>
      </w:r>
      <w:r w:rsidR="00813AF6">
        <w:rPr>
          <w:szCs w:val="22"/>
        </w:rPr>
        <w:t xml:space="preserve">and contribution </w:t>
      </w:r>
      <w:r w:rsidRPr="004C57DD">
        <w:rPr>
          <w:szCs w:val="22"/>
        </w:rPr>
        <w:t>obligations.</w:t>
      </w:r>
    </w:p>
    <w:p w:rsidR="00FC1050" w:rsidRPr="004B71AB" w:rsidRDefault="00FC1050" w:rsidP="00EF19BB">
      <w:pPr>
        <w:pStyle w:val="ParaNum"/>
        <w:widowControl/>
        <w:numPr>
          <w:ilvl w:val="0"/>
          <w:numId w:val="8"/>
        </w:numPr>
        <w:ind w:left="1440"/>
      </w:pPr>
      <w:r w:rsidRPr="004B71AB">
        <w:t>“</w:t>
      </w:r>
      <w:r>
        <w:t>Five9” means</w:t>
      </w:r>
      <w:r w:rsidRPr="004B71AB">
        <w:t xml:space="preserve"> </w:t>
      </w:r>
      <w:r>
        <w:t>Five9, Inc.</w:t>
      </w:r>
    </w:p>
    <w:p w:rsidR="002A6549" w:rsidRPr="002A6549" w:rsidRDefault="00FB0616" w:rsidP="00EF19BB">
      <w:pPr>
        <w:pStyle w:val="ParaNum"/>
        <w:widowControl/>
        <w:numPr>
          <w:ilvl w:val="0"/>
          <w:numId w:val="8"/>
        </w:numPr>
        <w:ind w:left="1440"/>
      </w:pPr>
      <w:r>
        <w:t>“International Section 214 Rules”</w:t>
      </w:r>
      <w:r w:rsidRPr="00FB0616">
        <w:rPr>
          <w:szCs w:val="22"/>
        </w:rPr>
        <w:t xml:space="preserve"> </w:t>
      </w:r>
      <w:r>
        <w:rPr>
          <w:szCs w:val="22"/>
        </w:rPr>
        <w:t xml:space="preserve">means Section 214 of the Act, </w:t>
      </w:r>
      <w:r>
        <w:rPr>
          <w:color w:val="000000"/>
          <w:szCs w:val="22"/>
        </w:rPr>
        <w:t xml:space="preserve">47 U.S.C. § 214, and </w:t>
      </w:r>
      <w:r>
        <w:rPr>
          <w:szCs w:val="22"/>
        </w:rPr>
        <w:t xml:space="preserve">Sections </w:t>
      </w:r>
      <w:r w:rsidR="00FB6005">
        <w:rPr>
          <w:szCs w:val="22"/>
        </w:rPr>
        <w:t>43.61</w:t>
      </w:r>
      <w:r>
        <w:rPr>
          <w:szCs w:val="22"/>
        </w:rPr>
        <w:t xml:space="preserve"> and 63.18</w:t>
      </w:r>
      <w:r w:rsidR="009C7197">
        <w:rPr>
          <w:szCs w:val="22"/>
        </w:rPr>
        <w:t xml:space="preserve"> of the Rules</w:t>
      </w:r>
      <w:r>
        <w:rPr>
          <w:szCs w:val="22"/>
        </w:rPr>
        <w:t xml:space="preserve">, 47 C.F.R. </w:t>
      </w:r>
      <w:r>
        <w:rPr>
          <w:color w:val="000000"/>
          <w:szCs w:val="22"/>
        </w:rPr>
        <w:t>§§ 43.61, 63.18.</w:t>
      </w:r>
    </w:p>
    <w:p w:rsidR="006B4F88" w:rsidRPr="006B4F88" w:rsidRDefault="00FC1050" w:rsidP="00EF19BB">
      <w:pPr>
        <w:pStyle w:val="ParaNum"/>
        <w:widowControl/>
        <w:numPr>
          <w:ilvl w:val="0"/>
          <w:numId w:val="8"/>
        </w:numPr>
        <w:ind w:left="1440"/>
      </w:pPr>
      <w:r w:rsidRPr="006B4F88">
        <w:rPr>
          <w:color w:val="000000"/>
        </w:rPr>
        <w:t>“</w:t>
      </w:r>
      <w:r w:rsidRPr="004B71AB">
        <w:t>Investigation” means the investigation commenced by the Bureau</w:t>
      </w:r>
      <w:r w:rsidR="00033995">
        <w:t>’s letter of inquiry,</w:t>
      </w:r>
      <w:r w:rsidR="00033995">
        <w:rPr>
          <w:rStyle w:val="FootnoteReference"/>
        </w:rPr>
        <w:footnoteReference w:id="7"/>
      </w:r>
      <w:r w:rsidR="00033995">
        <w:t xml:space="preserve"> </w:t>
      </w:r>
      <w:r w:rsidR="009C7197">
        <w:t xml:space="preserve"> following Five9</w:t>
      </w:r>
      <w:r w:rsidRPr="004B71AB">
        <w:t xml:space="preserve">’s </w:t>
      </w:r>
      <w:r w:rsidR="009C7197">
        <w:t xml:space="preserve">voluntary disclosure to the Bureau of </w:t>
      </w:r>
      <w:r w:rsidRPr="004B71AB">
        <w:t xml:space="preserve">possible violations of </w:t>
      </w:r>
      <w:r w:rsidR="006B4F88">
        <w:rPr>
          <w:szCs w:val="22"/>
        </w:rPr>
        <w:t xml:space="preserve">Sections </w:t>
      </w:r>
      <w:r w:rsidR="00A453AD">
        <w:rPr>
          <w:szCs w:val="22"/>
        </w:rPr>
        <w:t xml:space="preserve">214, 222, </w:t>
      </w:r>
      <w:r w:rsidR="006B4F88">
        <w:rPr>
          <w:szCs w:val="22"/>
        </w:rPr>
        <w:t xml:space="preserve">251(e)(2) and 254(d) of the </w:t>
      </w:r>
      <w:r w:rsidR="006B4F88" w:rsidRPr="00B869EF">
        <w:rPr>
          <w:szCs w:val="24"/>
        </w:rPr>
        <w:t>Act</w:t>
      </w:r>
      <w:r w:rsidR="006B4F88">
        <w:rPr>
          <w:rStyle w:val="FootnoteReference"/>
          <w:szCs w:val="22"/>
        </w:rPr>
        <w:footnoteReference w:id="8"/>
      </w:r>
      <w:r w:rsidR="006B4F88">
        <w:rPr>
          <w:szCs w:val="24"/>
        </w:rPr>
        <w:t xml:space="preserve"> and Sections </w:t>
      </w:r>
      <w:r w:rsidR="006B4F88" w:rsidRPr="001520F5">
        <w:rPr>
          <w:szCs w:val="24"/>
        </w:rPr>
        <w:t>1.1154, 1.1157,</w:t>
      </w:r>
      <w:r w:rsidR="006B4F88" w:rsidRPr="001520F5" w:rsidDel="003D1AD5">
        <w:rPr>
          <w:szCs w:val="24"/>
        </w:rPr>
        <w:t xml:space="preserve"> </w:t>
      </w:r>
      <w:r w:rsidR="006B4F88" w:rsidRPr="001520F5">
        <w:rPr>
          <w:szCs w:val="24"/>
        </w:rPr>
        <w:t>43.6</w:t>
      </w:r>
      <w:r w:rsidR="00E45DB2">
        <w:rPr>
          <w:szCs w:val="24"/>
        </w:rPr>
        <w:t>2</w:t>
      </w:r>
      <w:r w:rsidR="006B4F88" w:rsidRPr="001520F5">
        <w:rPr>
          <w:szCs w:val="24"/>
        </w:rPr>
        <w:t xml:space="preserve">, 52.17, 52.32, 54.706, 54.711, </w:t>
      </w:r>
      <w:r w:rsidR="00A453AD">
        <w:rPr>
          <w:szCs w:val="24"/>
        </w:rPr>
        <w:t xml:space="preserve">63.18, </w:t>
      </w:r>
      <w:r w:rsidR="006B4F88" w:rsidRPr="001520F5">
        <w:rPr>
          <w:szCs w:val="24"/>
        </w:rPr>
        <w:t>64.604, 64.1195, and</w:t>
      </w:r>
      <w:r w:rsidR="006B4F88">
        <w:rPr>
          <w:szCs w:val="24"/>
        </w:rPr>
        <w:t xml:space="preserve"> </w:t>
      </w:r>
      <w:r w:rsidR="006B4F88" w:rsidRPr="00220B8F">
        <w:rPr>
          <w:szCs w:val="24"/>
        </w:rPr>
        <w:t>64.2009(e)</w:t>
      </w:r>
      <w:r w:rsidR="006B4F88">
        <w:rPr>
          <w:szCs w:val="24"/>
        </w:rPr>
        <w:t xml:space="preserve"> of the Rules.</w:t>
      </w:r>
      <w:r w:rsidR="006B4F88">
        <w:rPr>
          <w:rStyle w:val="FootnoteReference"/>
          <w:szCs w:val="24"/>
        </w:rPr>
        <w:footnoteReference w:id="9"/>
      </w:r>
      <w:r w:rsidR="006B4F88">
        <w:rPr>
          <w:szCs w:val="24"/>
        </w:rPr>
        <w:t xml:space="preserve">  </w:t>
      </w:r>
    </w:p>
    <w:p w:rsidR="00FC1050" w:rsidRPr="004C57DD" w:rsidRDefault="00FC1050" w:rsidP="00EF19BB">
      <w:pPr>
        <w:pStyle w:val="ParaNum"/>
        <w:widowControl/>
        <w:numPr>
          <w:ilvl w:val="0"/>
          <w:numId w:val="8"/>
        </w:numPr>
        <w:ind w:left="1440"/>
      </w:pPr>
      <w:r w:rsidRPr="006B4F88">
        <w:rPr>
          <w:szCs w:val="22"/>
        </w:rPr>
        <w:t>“LNP” means Local Number Portability.</w:t>
      </w:r>
    </w:p>
    <w:p w:rsidR="00FC1050" w:rsidRPr="004C57DD" w:rsidRDefault="00FC1050" w:rsidP="00EF19BB">
      <w:pPr>
        <w:pStyle w:val="ParaNum"/>
        <w:widowControl/>
        <w:numPr>
          <w:ilvl w:val="0"/>
          <w:numId w:val="8"/>
        </w:numPr>
        <w:ind w:left="1440"/>
      </w:pPr>
      <w:r w:rsidRPr="004C57DD">
        <w:rPr>
          <w:szCs w:val="22"/>
        </w:rPr>
        <w:t>“NANP” means the North American Numbering Plan.</w:t>
      </w:r>
    </w:p>
    <w:p w:rsidR="00FC1050" w:rsidRDefault="00FC1050" w:rsidP="00EF19BB">
      <w:pPr>
        <w:pStyle w:val="ParaNum"/>
        <w:widowControl/>
        <w:numPr>
          <w:ilvl w:val="0"/>
          <w:numId w:val="8"/>
        </w:numPr>
        <w:ind w:left="1440"/>
      </w:pPr>
      <w:r w:rsidRPr="004C57DD">
        <w:rPr>
          <w:szCs w:val="22"/>
        </w:rPr>
        <w:t xml:space="preserve">“Operating Procedures” mean the standard, internal operating procedures, and compliance policies established by </w:t>
      </w:r>
      <w:r>
        <w:rPr>
          <w:szCs w:val="22"/>
        </w:rPr>
        <w:t>Five9</w:t>
      </w:r>
      <w:r w:rsidRPr="004C57DD">
        <w:rPr>
          <w:szCs w:val="22"/>
        </w:rPr>
        <w:t xml:space="preserve"> to implement the Compliance Plan.</w:t>
      </w:r>
    </w:p>
    <w:p w:rsidR="00FC1050" w:rsidRPr="004B71AB" w:rsidRDefault="00FC1050" w:rsidP="00EF19BB">
      <w:pPr>
        <w:pStyle w:val="ParaNum"/>
        <w:widowControl/>
        <w:numPr>
          <w:ilvl w:val="0"/>
          <w:numId w:val="8"/>
        </w:numPr>
        <w:ind w:left="1440"/>
      </w:pPr>
      <w:r w:rsidRPr="004B71AB">
        <w:t xml:space="preserve">“Parties” means </w:t>
      </w:r>
      <w:r>
        <w:t>Five9</w:t>
      </w:r>
      <w:r w:rsidRPr="004B71AB">
        <w:t xml:space="preserve"> and the Bureau, each of which is a “Party.”</w:t>
      </w:r>
    </w:p>
    <w:p w:rsidR="00FC1050" w:rsidRDefault="00FC1050" w:rsidP="00EF19BB">
      <w:pPr>
        <w:pStyle w:val="ParaNum"/>
        <w:widowControl/>
        <w:numPr>
          <w:ilvl w:val="0"/>
          <w:numId w:val="8"/>
        </w:numPr>
        <w:ind w:left="1440"/>
      </w:pPr>
      <w:r w:rsidRPr="004B71AB">
        <w:t>“Rules” means the Commission’s regulations found in Title 47 of t</w:t>
      </w:r>
      <w:r w:rsidR="00A453AD">
        <w:t>he Code of Federal Regulations.</w:t>
      </w:r>
    </w:p>
    <w:p w:rsidR="00FC1050" w:rsidRPr="004C57DD" w:rsidRDefault="00FC1050" w:rsidP="00EF19BB">
      <w:pPr>
        <w:pStyle w:val="ParaNum"/>
        <w:widowControl/>
        <w:numPr>
          <w:ilvl w:val="0"/>
          <w:numId w:val="8"/>
        </w:numPr>
        <w:ind w:left="1440"/>
      </w:pPr>
      <w:r w:rsidRPr="004C57DD">
        <w:rPr>
          <w:szCs w:val="22"/>
        </w:rPr>
        <w:t>“Telecommunications,” “Telecommunications Carrier,” “Telecommunications Service” have the meanings set forth</w:t>
      </w:r>
      <w:r w:rsidR="007D63B4">
        <w:rPr>
          <w:szCs w:val="22"/>
        </w:rPr>
        <w:t xml:space="preserve"> respectively</w:t>
      </w:r>
      <w:r w:rsidRPr="004C57DD">
        <w:rPr>
          <w:szCs w:val="22"/>
        </w:rPr>
        <w:t xml:space="preserve"> in Sections 3(50), 3(51), and 3(53) of the Act, 47 U.S.C. §§</w:t>
      </w:r>
      <w:r w:rsidR="009C7197">
        <w:rPr>
          <w:szCs w:val="22"/>
        </w:rPr>
        <w:t> </w:t>
      </w:r>
      <w:r w:rsidRPr="004C57DD">
        <w:rPr>
          <w:szCs w:val="22"/>
        </w:rPr>
        <w:t>153(50), 153(51), 153(53).</w:t>
      </w:r>
    </w:p>
    <w:p w:rsidR="00FC1050" w:rsidRDefault="00FC1050" w:rsidP="00EF19BB">
      <w:pPr>
        <w:pStyle w:val="ParaNum"/>
        <w:widowControl/>
        <w:numPr>
          <w:ilvl w:val="0"/>
          <w:numId w:val="8"/>
        </w:numPr>
        <w:ind w:left="1440"/>
      </w:pPr>
      <w:r w:rsidRPr="004C57DD">
        <w:rPr>
          <w:szCs w:val="22"/>
        </w:rPr>
        <w:t>“TRS Fund” means the Telecommunications Relay Services Fund.</w:t>
      </w:r>
    </w:p>
    <w:p w:rsidR="00FC1050" w:rsidRPr="004B71AB" w:rsidRDefault="00FC1050" w:rsidP="00EF19BB">
      <w:pPr>
        <w:pStyle w:val="ParaNum"/>
        <w:widowControl/>
        <w:numPr>
          <w:ilvl w:val="0"/>
          <w:numId w:val="8"/>
        </w:numPr>
        <w:ind w:left="1440"/>
      </w:pPr>
      <w:r>
        <w:t>“</w:t>
      </w:r>
      <w:r w:rsidRPr="004C57DD">
        <w:rPr>
          <w:szCs w:val="22"/>
        </w:rPr>
        <w:t>USF” means the Universal Service Fund.</w:t>
      </w:r>
    </w:p>
    <w:p w:rsidR="00C11E7F" w:rsidRPr="006052AB" w:rsidRDefault="00FC1050" w:rsidP="00EF19BB">
      <w:pPr>
        <w:pStyle w:val="Heading1"/>
        <w:widowControl/>
      </w:pPr>
      <w:r w:rsidRPr="004B71AB">
        <w:t xml:space="preserve">BACKGROUND </w:t>
      </w:r>
      <w:r w:rsidR="006052AB">
        <w:t xml:space="preserve"> </w:t>
      </w:r>
    </w:p>
    <w:p w:rsidR="001437DC" w:rsidRPr="001437DC" w:rsidRDefault="001437DC" w:rsidP="000D065F">
      <w:pPr>
        <w:pStyle w:val="ParaNum"/>
        <w:widowControl/>
        <w:numPr>
          <w:ilvl w:val="0"/>
          <w:numId w:val="10"/>
        </w:numPr>
        <w:tabs>
          <w:tab w:val="clear" w:pos="1080"/>
        </w:tabs>
        <w:rPr>
          <w:szCs w:val="22"/>
        </w:rPr>
      </w:pPr>
      <w:r w:rsidRPr="001437DC">
        <w:rPr>
          <w:szCs w:val="22"/>
        </w:rPr>
        <w:t xml:space="preserve">The Act and the Rules require telecommunications carriers to meet certain registration, authorization, contribution, and reporting </w:t>
      </w:r>
      <w:r>
        <w:t xml:space="preserve">requirements.  </w:t>
      </w:r>
      <w:r w:rsidRPr="001437DC">
        <w:rPr>
          <w:szCs w:val="22"/>
        </w:rPr>
        <w:t>Telecommunications carriers that provide interstate telecommunications services are required to file registration information in accordance with the instructions on the FCC Form 499-A and to file annual Telecommunications Reporting Worksheets (FCC Forms 499-A) and quarterly Telecommunications Reporting Worksheets (FCC Forms 499-Q).</w:t>
      </w:r>
      <w:r>
        <w:rPr>
          <w:rStyle w:val="FootnoteReference"/>
          <w:szCs w:val="22"/>
        </w:rPr>
        <w:footnoteReference w:id="10"/>
      </w:r>
      <w:r w:rsidRPr="001437DC">
        <w:rPr>
          <w:szCs w:val="22"/>
        </w:rPr>
        <w:t xml:space="preserve">  Providers of interstate telecommunications services also must contribute to the USF, the TRS Fund, and the LNP and NANP cost recovery mechanisms, and pay regulatory fees.</w:t>
      </w:r>
      <w:r>
        <w:rPr>
          <w:rStyle w:val="FootnoteReference"/>
          <w:szCs w:val="22"/>
        </w:rPr>
        <w:footnoteReference w:id="11"/>
      </w:r>
      <w:r w:rsidRPr="001437DC">
        <w:rPr>
          <w:szCs w:val="22"/>
        </w:rPr>
        <w:t xml:space="preserve">  </w:t>
      </w:r>
    </w:p>
    <w:p w:rsidR="00F40491" w:rsidRPr="00123845" w:rsidRDefault="00C11E7F" w:rsidP="00EF19BB">
      <w:pPr>
        <w:pStyle w:val="ParaNum"/>
        <w:widowControl/>
        <w:numPr>
          <w:ilvl w:val="0"/>
          <w:numId w:val="10"/>
        </w:numPr>
        <w:tabs>
          <w:tab w:val="clear" w:pos="1080"/>
        </w:tabs>
        <w:rPr>
          <w:szCs w:val="22"/>
        </w:rPr>
      </w:pPr>
      <w:r>
        <w:t xml:space="preserve">The </w:t>
      </w:r>
      <w:r w:rsidR="00F40491" w:rsidRPr="0087510B">
        <w:t>Act prohibits any carrier from constructing, extending, acquiring, or operating any line, and from engaging in transmission through any such line, without first obtaining a certification of authorization from the Commission.</w:t>
      </w:r>
      <w:r w:rsidR="00F40491" w:rsidRPr="0087510B">
        <w:rPr>
          <w:rStyle w:val="FootnoteReference"/>
          <w:sz w:val="22"/>
        </w:rPr>
        <w:footnoteReference w:id="12"/>
      </w:r>
      <w:r w:rsidR="00F40491" w:rsidRPr="0087510B">
        <w:t xml:space="preserve">  </w:t>
      </w:r>
      <w:r w:rsidR="00EE5429">
        <w:t>Although</w:t>
      </w:r>
      <w:r w:rsidR="00EE5429" w:rsidRPr="0087510B">
        <w:t xml:space="preserve"> </w:t>
      </w:r>
      <w:r w:rsidR="00F40491" w:rsidRPr="0087510B">
        <w:t>the Commission has granted “blanket” authority to carriers providing domestic service, meaning that such carriers need not apply to the Commission for such authority before providing domestic service,</w:t>
      </w:r>
      <w:r w:rsidR="00F40491" w:rsidRPr="0087510B">
        <w:rPr>
          <w:rStyle w:val="FootnoteReference"/>
          <w:sz w:val="22"/>
        </w:rPr>
        <w:footnoteReference w:id="13"/>
      </w:r>
      <w:r w:rsidR="00F40491" w:rsidRPr="0087510B">
        <w:t xml:space="preserve"> the Commission has not granted</w:t>
      </w:r>
      <w:r w:rsidR="00F40491" w:rsidRPr="0087510B" w:rsidDel="00465126">
        <w:t xml:space="preserve"> </w:t>
      </w:r>
      <w:r w:rsidR="00F40491" w:rsidRPr="0087510B">
        <w:t>the same authority for providers of international telecommunications services.</w:t>
      </w:r>
      <w:r w:rsidR="00F40491" w:rsidRPr="0087510B">
        <w:rPr>
          <w:rStyle w:val="FootnoteReference"/>
          <w:sz w:val="22"/>
        </w:rPr>
        <w:footnoteReference w:id="14"/>
      </w:r>
      <w:r w:rsidR="00F40491" w:rsidRPr="0087510B">
        <w:t xml:space="preserve">  Instead, a carrier must seek and obtain Section 214 authority from the Commission prior to providing international telecommunications services.</w:t>
      </w:r>
      <w:r w:rsidR="00F40491" w:rsidRPr="0087510B">
        <w:rPr>
          <w:rStyle w:val="FootnoteReference"/>
          <w:sz w:val="22"/>
        </w:rPr>
        <w:footnoteReference w:id="15"/>
      </w:r>
      <w:r w:rsidR="00F40491" w:rsidRPr="0087510B">
        <w:t xml:space="preserve">  </w:t>
      </w:r>
      <w:r w:rsidR="00B66466">
        <w:t xml:space="preserve">In addition, </w:t>
      </w:r>
      <w:r w:rsidR="00B66466" w:rsidRPr="0087510B">
        <w:t xml:space="preserve">the </w:t>
      </w:r>
      <w:r w:rsidR="00B66466">
        <w:t xml:space="preserve">Rules </w:t>
      </w:r>
      <w:r w:rsidR="00B66466" w:rsidRPr="0087510B">
        <w:t xml:space="preserve">require </w:t>
      </w:r>
      <w:bookmarkStart w:id="1" w:name="SR;2733"/>
      <w:bookmarkEnd w:id="1"/>
      <w:r w:rsidR="00B66466" w:rsidRPr="0087510B">
        <w:t xml:space="preserve">international telecommunications </w:t>
      </w:r>
      <w:r w:rsidR="00B66466" w:rsidRPr="003A3175">
        <w:t>services</w:t>
      </w:r>
      <w:r w:rsidR="00B66466" w:rsidRPr="0087510B">
        <w:t xml:space="preserve"> </w:t>
      </w:r>
      <w:r>
        <w:t xml:space="preserve">providers </w:t>
      </w:r>
      <w:r w:rsidR="00B66466" w:rsidRPr="0087510B">
        <w:t xml:space="preserve">to file </w:t>
      </w:r>
      <w:bookmarkStart w:id="2" w:name="SR;2738"/>
      <w:bookmarkEnd w:id="2"/>
      <w:r w:rsidR="00B66466" w:rsidRPr="0087510B">
        <w:t>reports with the Commission containing data on overseas traffic.</w:t>
      </w:r>
      <w:bookmarkStart w:id="3" w:name="FN[FN68]"/>
      <w:bookmarkEnd w:id="3"/>
      <w:r w:rsidR="00B66466" w:rsidRPr="0087510B">
        <w:rPr>
          <w:rStyle w:val="FootnoteReference"/>
          <w:sz w:val="22"/>
        </w:rPr>
        <w:footnoteReference w:id="16"/>
      </w:r>
    </w:p>
    <w:p w:rsidR="00123845" w:rsidRPr="00856765" w:rsidRDefault="00C11E7F" w:rsidP="00EF19BB">
      <w:pPr>
        <w:pStyle w:val="ParaNum"/>
        <w:widowControl/>
        <w:numPr>
          <w:ilvl w:val="0"/>
          <w:numId w:val="10"/>
        </w:numPr>
        <w:tabs>
          <w:tab w:val="clear" w:pos="1080"/>
        </w:tabs>
        <w:rPr>
          <w:szCs w:val="22"/>
        </w:rPr>
      </w:pPr>
      <w:r>
        <w:t>T</w:t>
      </w:r>
      <w:r w:rsidR="00123845" w:rsidRPr="0087510B">
        <w:t>he Act imposes the general duty on all telecommunications carriers to protect the confidentiality of their subscribers’ proprietary information.</w:t>
      </w:r>
      <w:bookmarkStart w:id="4" w:name="FN[FN3]"/>
      <w:bookmarkEnd w:id="4"/>
      <w:r w:rsidR="00123845" w:rsidRPr="0087510B">
        <w:rPr>
          <w:rStyle w:val="FootnoteReference"/>
          <w:sz w:val="22"/>
        </w:rPr>
        <w:footnoteReference w:id="17"/>
      </w:r>
      <w:r w:rsidR="00123845" w:rsidRPr="0087510B">
        <w:t xml:space="preserve">  The </w:t>
      </w:r>
      <w:r>
        <w:t xml:space="preserve">Rules </w:t>
      </w:r>
      <w:bookmarkStart w:id="5" w:name="FN[FN4]"/>
      <w:bookmarkEnd w:id="5"/>
      <w:r w:rsidR="00123845" w:rsidRPr="0087510B">
        <w:t xml:space="preserve">require that carriers establish and maintain systems designed to </w:t>
      </w:r>
      <w:bookmarkStart w:id="6" w:name="sp_1511_2161"/>
      <w:bookmarkStart w:id="7" w:name="SDU_2161"/>
      <w:bookmarkEnd w:id="6"/>
      <w:bookmarkEnd w:id="7"/>
      <w:r w:rsidR="00123845" w:rsidRPr="0087510B">
        <w:t xml:space="preserve">ensure that they adequately protect their CPNI and file with the Commission annually, on or before March 1, a certification of their compliance with the CPNI </w:t>
      </w:r>
      <w:r w:rsidR="00AB37BC">
        <w:t>R</w:t>
      </w:r>
      <w:r w:rsidR="00123845" w:rsidRPr="0087510B">
        <w:t>ules.</w:t>
      </w:r>
      <w:bookmarkStart w:id="8" w:name="FN[FN5]"/>
      <w:bookmarkEnd w:id="8"/>
      <w:r w:rsidR="00123845" w:rsidRPr="0087510B">
        <w:rPr>
          <w:rStyle w:val="FootnoteReference"/>
          <w:sz w:val="22"/>
        </w:rPr>
        <w:footnoteReference w:id="18"/>
      </w:r>
    </w:p>
    <w:p w:rsidR="006765E4" w:rsidRDefault="00EE5429" w:rsidP="00EF19BB">
      <w:pPr>
        <w:pStyle w:val="ParaNum"/>
        <w:widowControl/>
        <w:numPr>
          <w:ilvl w:val="0"/>
          <w:numId w:val="10"/>
        </w:numPr>
        <w:tabs>
          <w:tab w:val="clear" w:pos="1080"/>
        </w:tabs>
      </w:pPr>
      <w:r>
        <w:t xml:space="preserve">Founded in 2001, </w:t>
      </w:r>
      <w:r w:rsidR="001D2890" w:rsidRPr="006E5954">
        <w:t xml:space="preserve">Five9 </w:t>
      </w:r>
      <w:r w:rsidR="002F4B62">
        <w:t xml:space="preserve">is a California-based </w:t>
      </w:r>
      <w:r w:rsidR="006765E4">
        <w:t>corporation</w:t>
      </w:r>
      <w:r w:rsidR="001D2890" w:rsidRPr="006E5954">
        <w:t xml:space="preserve"> </w:t>
      </w:r>
      <w:r w:rsidR="00C22DE9">
        <w:t xml:space="preserve">that </w:t>
      </w:r>
      <w:r w:rsidR="006B6203">
        <w:t>is incorporated in Delaware.</w:t>
      </w:r>
      <w:r w:rsidR="006B6203">
        <w:rPr>
          <w:rStyle w:val="FootnoteReference"/>
        </w:rPr>
        <w:footnoteReference w:id="19"/>
      </w:r>
      <w:r w:rsidR="006B6203">
        <w:t xml:space="preserve">  </w:t>
      </w:r>
      <w:r w:rsidR="00C22DE9">
        <w:t xml:space="preserve">Five9 </w:t>
      </w:r>
      <w:r w:rsidR="00C22DE9" w:rsidRPr="006E5954">
        <w:t>provides a cloud-based call center so</w:t>
      </w:r>
      <w:r w:rsidR="00C22DE9">
        <w:t>ftware solution to its customers.</w:t>
      </w:r>
      <w:r w:rsidR="00C22DE9">
        <w:rPr>
          <w:rStyle w:val="FootnoteReference"/>
        </w:rPr>
        <w:footnoteReference w:id="20"/>
      </w:r>
      <w:r w:rsidR="00C22DE9">
        <w:t xml:space="preserve">  </w:t>
      </w:r>
      <w:r w:rsidR="001D2890" w:rsidRPr="006E5954">
        <w:t>As part o</w:t>
      </w:r>
      <w:r w:rsidR="00C22DE9">
        <w:t xml:space="preserve">f this offering, Five9 </w:t>
      </w:r>
      <w:r w:rsidR="00426186">
        <w:t xml:space="preserve">has </w:t>
      </w:r>
      <w:r w:rsidR="00734518">
        <w:t>resold interstate</w:t>
      </w:r>
      <w:r w:rsidR="001551C2">
        <w:t xml:space="preserve"> </w:t>
      </w:r>
      <w:r>
        <w:t xml:space="preserve">and international </w:t>
      </w:r>
      <w:r w:rsidR="001551C2">
        <w:t>telecommunications services</w:t>
      </w:r>
      <w:r w:rsidR="00426186">
        <w:t xml:space="preserve"> since 2003</w:t>
      </w:r>
      <w:r w:rsidR="00C22DE9">
        <w:t>.</w:t>
      </w:r>
      <w:r w:rsidR="00C22DE9">
        <w:rPr>
          <w:rStyle w:val="FootnoteReference"/>
        </w:rPr>
        <w:footnoteReference w:id="21"/>
      </w:r>
      <w:r w:rsidR="001D2890" w:rsidRPr="006E5954">
        <w:t xml:space="preserve"> </w:t>
      </w:r>
    </w:p>
    <w:p w:rsidR="001D2890" w:rsidRPr="001D2890" w:rsidRDefault="006765E4" w:rsidP="00EF19BB">
      <w:pPr>
        <w:pStyle w:val="ParaNum"/>
        <w:widowControl/>
        <w:numPr>
          <w:ilvl w:val="0"/>
          <w:numId w:val="10"/>
        </w:numPr>
        <w:tabs>
          <w:tab w:val="clear" w:pos="1080"/>
        </w:tabs>
      </w:pPr>
      <w:r>
        <w:t>I</w:t>
      </w:r>
      <w:r w:rsidR="001D2890" w:rsidRPr="006E5954">
        <w:t xml:space="preserve">n </w:t>
      </w:r>
      <w:r w:rsidR="001E568E">
        <w:t>November</w:t>
      </w:r>
      <w:r w:rsidR="000D01E2">
        <w:t xml:space="preserve"> </w:t>
      </w:r>
      <w:r w:rsidR="001D2890" w:rsidRPr="006E5954">
        <w:t xml:space="preserve">2012, Five9 disclosed to </w:t>
      </w:r>
      <w:r w:rsidR="00067818">
        <w:t>the Bureau</w:t>
      </w:r>
      <w:r w:rsidR="001D2890" w:rsidRPr="006E5954">
        <w:t xml:space="preserve"> that, </w:t>
      </w:r>
      <w:r w:rsidR="00EE5429">
        <w:t xml:space="preserve">on the </w:t>
      </w:r>
      <w:r w:rsidR="001D2890" w:rsidRPr="006E5954">
        <w:t xml:space="preserve">advice of prior </w:t>
      </w:r>
      <w:r w:rsidR="00EE5429">
        <w:t xml:space="preserve">legal </w:t>
      </w:r>
      <w:r w:rsidR="001D2890" w:rsidRPr="006E5954">
        <w:t xml:space="preserve">counsel, </w:t>
      </w:r>
      <w:r w:rsidR="002269AF">
        <w:t xml:space="preserve">it </w:t>
      </w:r>
      <w:r w:rsidR="00067818">
        <w:t xml:space="preserve">had </w:t>
      </w:r>
      <w:r w:rsidR="00EE5429">
        <w:t xml:space="preserve">treated its customer offerings as information services, rather than telecommunications services, and hence did not </w:t>
      </w:r>
      <w:r w:rsidR="002269AF">
        <w:t xml:space="preserve">comply with the </w:t>
      </w:r>
      <w:r w:rsidR="002269AF" w:rsidRPr="000A710E">
        <w:rPr>
          <w:szCs w:val="22"/>
        </w:rPr>
        <w:t>Federal Regulatory Reporting and Contribution Rules</w:t>
      </w:r>
      <w:r w:rsidR="002269AF">
        <w:t>, the CPNI Rules, and the International Section 214 Rules</w:t>
      </w:r>
      <w:r w:rsidR="00EE5429">
        <w:t xml:space="preserve"> applicable to telecommunications service providers</w:t>
      </w:r>
      <w:r w:rsidR="002269AF">
        <w:t>.</w:t>
      </w:r>
      <w:r w:rsidR="00EE5429">
        <w:rPr>
          <w:rStyle w:val="FootnoteReference"/>
        </w:rPr>
        <w:footnoteReference w:id="22"/>
      </w:r>
      <w:r w:rsidR="002269AF">
        <w:t xml:space="preserve">  </w:t>
      </w:r>
      <w:r w:rsidR="001D2890" w:rsidRPr="006E5954">
        <w:t xml:space="preserve">Five9 </w:t>
      </w:r>
      <w:r w:rsidR="00EE5429">
        <w:t xml:space="preserve">also </w:t>
      </w:r>
      <w:r w:rsidR="001D2890" w:rsidRPr="006E5954">
        <w:t>state</w:t>
      </w:r>
      <w:r w:rsidR="00BE28F7">
        <w:t>s</w:t>
      </w:r>
      <w:r w:rsidR="001D2890" w:rsidRPr="006E5954">
        <w:t xml:space="preserve"> that it had believed it was an end-user, rather than a </w:t>
      </w:r>
      <w:r w:rsidR="00067818">
        <w:t xml:space="preserve">provider, of </w:t>
      </w:r>
      <w:r w:rsidR="001D2890" w:rsidRPr="006E5954">
        <w:t>telecommunications services.</w:t>
      </w:r>
      <w:r w:rsidR="00BE28F7">
        <w:rPr>
          <w:rStyle w:val="FootnoteReference"/>
        </w:rPr>
        <w:footnoteReference w:id="23"/>
      </w:r>
      <w:r w:rsidR="001D2890" w:rsidRPr="006E5954">
        <w:t xml:space="preserve">  </w:t>
      </w:r>
      <w:r w:rsidR="002269AF">
        <w:t xml:space="preserve">Upon </w:t>
      </w:r>
      <w:r w:rsidR="00EE5429">
        <w:t xml:space="preserve">receiving contrary advice from subsequent legal counsel, Five9 took immediate steps to satisfy the requirement of </w:t>
      </w:r>
      <w:r w:rsidR="009A7DCF">
        <w:t>a</w:t>
      </w:r>
      <w:r w:rsidR="00EE5429">
        <w:t xml:space="preserve"> telecommunications service provider</w:t>
      </w:r>
      <w:r w:rsidR="00067818">
        <w:t xml:space="preserve">.  </w:t>
      </w:r>
      <w:r w:rsidR="00AB37BC">
        <w:t>For example, Five9 filed</w:t>
      </w:r>
      <w:r w:rsidR="001D2890" w:rsidRPr="006E5954">
        <w:t xml:space="preserve"> </w:t>
      </w:r>
      <w:r w:rsidR="000A710E">
        <w:t xml:space="preserve">overdue FCC </w:t>
      </w:r>
      <w:r w:rsidR="001D2890" w:rsidRPr="006E5954">
        <w:t>Form</w:t>
      </w:r>
      <w:r w:rsidR="00F47B6C">
        <w:t>s</w:t>
      </w:r>
      <w:r w:rsidR="001D2890" w:rsidRPr="006E5954">
        <w:t xml:space="preserve"> 499</w:t>
      </w:r>
      <w:r w:rsidR="00F47B6C">
        <w:t xml:space="preserve"> (Form 499-A and Form 499</w:t>
      </w:r>
      <w:r w:rsidR="00DD0995">
        <w:noBreakHyphen/>
      </w:r>
      <w:r w:rsidR="00F47B6C">
        <w:t>Q)</w:t>
      </w:r>
      <w:r w:rsidR="001D2890" w:rsidRPr="006E5954">
        <w:t xml:space="preserve"> </w:t>
      </w:r>
      <w:r w:rsidR="000A710E">
        <w:t xml:space="preserve">and an explanatory letter with Universal Service Administrative Company (USAC) </w:t>
      </w:r>
      <w:r w:rsidR="001D2890" w:rsidRPr="006E5954">
        <w:t>on December 17, 2012</w:t>
      </w:r>
      <w:r w:rsidR="000A710E">
        <w:t>.</w:t>
      </w:r>
      <w:r w:rsidR="000341D8">
        <w:rPr>
          <w:rStyle w:val="FootnoteReference"/>
        </w:rPr>
        <w:footnoteReference w:id="24"/>
      </w:r>
      <w:r w:rsidR="000A710E">
        <w:t xml:space="preserve">  Five9 also applied </w:t>
      </w:r>
      <w:r w:rsidR="00B74457">
        <w:t>for i</w:t>
      </w:r>
      <w:r w:rsidR="001D2890" w:rsidRPr="006E5954">
        <w:t xml:space="preserve">nternational </w:t>
      </w:r>
      <w:r w:rsidR="000A710E">
        <w:t>S</w:t>
      </w:r>
      <w:r w:rsidR="001D2890" w:rsidRPr="006E5954">
        <w:t xml:space="preserve">ection 214 </w:t>
      </w:r>
      <w:r w:rsidR="00B74457">
        <w:t>authority</w:t>
      </w:r>
      <w:r w:rsidR="000A710E" w:rsidRPr="000A710E">
        <w:t xml:space="preserve"> </w:t>
      </w:r>
      <w:r w:rsidR="000A710E">
        <w:t>o</w:t>
      </w:r>
      <w:r w:rsidR="000A710E" w:rsidRPr="006E5954">
        <w:t>n Januar</w:t>
      </w:r>
      <w:r w:rsidR="000A710E">
        <w:t>y 19, 2013,</w:t>
      </w:r>
      <w:r w:rsidR="000341D8">
        <w:rPr>
          <w:rStyle w:val="FootnoteReference"/>
        </w:rPr>
        <w:footnoteReference w:id="25"/>
      </w:r>
      <w:r w:rsidR="000A710E">
        <w:t xml:space="preserve"> and </w:t>
      </w:r>
      <w:r w:rsidR="00C22DE9">
        <w:t>filed a request for Special Temporary Authority (STA) to operate as</w:t>
      </w:r>
      <w:r w:rsidR="00B74457">
        <w:t xml:space="preserve"> </w:t>
      </w:r>
      <w:r w:rsidR="00C22DE9">
        <w:t>a res</w:t>
      </w:r>
      <w:r w:rsidR="00B74457">
        <w:t>e</w:t>
      </w:r>
      <w:r w:rsidR="00C22DE9">
        <w:t>ller of international common carrier services</w:t>
      </w:r>
      <w:r w:rsidR="000A710E" w:rsidRPr="000A710E">
        <w:t xml:space="preserve"> </w:t>
      </w:r>
      <w:r w:rsidR="000A710E">
        <w:t>on January 20, 2013</w:t>
      </w:r>
      <w:r w:rsidR="00C22DE9">
        <w:t>.</w:t>
      </w:r>
      <w:r w:rsidR="00C22DE9">
        <w:rPr>
          <w:rStyle w:val="FootnoteReference"/>
        </w:rPr>
        <w:footnoteReference w:id="26"/>
      </w:r>
      <w:r w:rsidR="000E4FB3">
        <w:t xml:space="preserve">  </w:t>
      </w:r>
      <w:r w:rsidR="007F52C7">
        <w:t>In the STA</w:t>
      </w:r>
      <w:r w:rsidR="000A710E">
        <w:t xml:space="preserve"> request</w:t>
      </w:r>
      <w:r w:rsidR="007F52C7">
        <w:t>, Five</w:t>
      </w:r>
      <w:r w:rsidR="00AB37BC">
        <w:t>9</w:t>
      </w:r>
      <w:r w:rsidR="007F52C7">
        <w:t xml:space="preserve"> disclosed that it had been providing international telecommunications </w:t>
      </w:r>
      <w:r w:rsidR="000A710E">
        <w:t xml:space="preserve">services </w:t>
      </w:r>
      <w:r w:rsidR="007F52C7">
        <w:t>for several years</w:t>
      </w:r>
      <w:r w:rsidR="00AB37BC">
        <w:t>,</w:t>
      </w:r>
      <w:r w:rsidR="007F52C7">
        <w:t xml:space="preserve"> but as a result of a “good faith reliance on previous legal advice, </w:t>
      </w:r>
      <w:r w:rsidR="000A710E">
        <w:t xml:space="preserve">[had been] </w:t>
      </w:r>
      <w:r w:rsidR="007F52C7">
        <w:t>unaware of its need to register with the Federal Communications Commission or to secure Section 214 authorization.”</w:t>
      </w:r>
      <w:r w:rsidR="007F52C7">
        <w:rPr>
          <w:rStyle w:val="FootnoteReference"/>
        </w:rPr>
        <w:footnoteReference w:id="27"/>
      </w:r>
      <w:r w:rsidR="00084B6B">
        <w:t xml:space="preserve">  On June 9, 2015, the International Bureau granted Five9’s International Section 214</w:t>
      </w:r>
      <w:r w:rsidR="00EC0526">
        <w:t xml:space="preserve"> </w:t>
      </w:r>
      <w:r w:rsidR="00084B6B">
        <w:t>application.</w:t>
      </w:r>
      <w:r w:rsidR="00084B6B">
        <w:rPr>
          <w:rStyle w:val="FootnoteReference"/>
        </w:rPr>
        <w:footnoteReference w:id="28"/>
      </w:r>
    </w:p>
    <w:p w:rsidR="00FC1050" w:rsidRPr="00090C78" w:rsidRDefault="00A80725" w:rsidP="00EF19BB">
      <w:pPr>
        <w:pStyle w:val="ParaNum"/>
        <w:widowControl/>
        <w:numPr>
          <w:ilvl w:val="0"/>
          <w:numId w:val="10"/>
        </w:numPr>
        <w:tabs>
          <w:tab w:val="clear" w:pos="1080"/>
        </w:tabs>
      </w:pPr>
      <w:r>
        <w:t>On December 21, 2012,</w:t>
      </w:r>
      <w:r w:rsidR="00FC1050">
        <w:t xml:space="preserve"> the Bureau’s Investigations and Hearing</w:t>
      </w:r>
      <w:r w:rsidR="00AB37BC">
        <w:t>s</w:t>
      </w:r>
      <w:r w:rsidR="00FC1050">
        <w:t xml:space="preserve"> Division </w:t>
      </w:r>
      <w:r w:rsidR="00BE28F7">
        <w:t xml:space="preserve">sent </w:t>
      </w:r>
      <w:r w:rsidR="00FC1050">
        <w:t xml:space="preserve">a Letter of Inquiry (LOI) to Five9, directing it to submit a sworn written response to a series of questions relating to </w:t>
      </w:r>
      <w:r w:rsidR="007B54E2">
        <w:t>Five9</w:t>
      </w:r>
      <w:r w:rsidR="00A04FD5">
        <w:t xml:space="preserve">’s </w:t>
      </w:r>
      <w:r w:rsidR="007B54E2">
        <w:t>violat</w:t>
      </w:r>
      <w:r w:rsidR="00A04FD5" w:rsidRPr="00A04FD5">
        <w:rPr>
          <w:szCs w:val="24"/>
        </w:rPr>
        <w:t xml:space="preserve">ions of </w:t>
      </w:r>
      <w:r w:rsidR="00FB6005">
        <w:t xml:space="preserve">the </w:t>
      </w:r>
      <w:r w:rsidR="00FB6005" w:rsidRPr="00A04FD5">
        <w:rPr>
          <w:szCs w:val="22"/>
        </w:rPr>
        <w:t>Federal Regulatory Reporting and Contribution Rules</w:t>
      </w:r>
      <w:r w:rsidR="00FB6005">
        <w:t xml:space="preserve">, the CPNI Rules, and the International </w:t>
      </w:r>
      <w:r w:rsidR="00FB6005" w:rsidRPr="00090C78">
        <w:t>Section 214 Rules</w:t>
      </w:r>
      <w:r w:rsidR="00B66466" w:rsidRPr="00090C78">
        <w:rPr>
          <w:szCs w:val="22"/>
        </w:rPr>
        <w:t>.</w:t>
      </w:r>
      <w:r w:rsidR="000341D8" w:rsidRPr="00090C78">
        <w:rPr>
          <w:rStyle w:val="FootnoteReference"/>
          <w:szCs w:val="22"/>
        </w:rPr>
        <w:footnoteReference w:id="29"/>
      </w:r>
      <w:r w:rsidR="000341D8" w:rsidRPr="00090C78">
        <w:rPr>
          <w:szCs w:val="22"/>
        </w:rPr>
        <w:t xml:space="preserve">  </w:t>
      </w:r>
      <w:r w:rsidR="002F4B62" w:rsidRPr="00090C78">
        <w:t xml:space="preserve">On January 22, 2013, Five9 </w:t>
      </w:r>
      <w:r w:rsidR="00AB37BC">
        <w:t>submitted</w:t>
      </w:r>
      <w:r w:rsidR="00AB37BC" w:rsidRPr="00090C78">
        <w:t xml:space="preserve"> </w:t>
      </w:r>
      <w:r w:rsidR="002F4B62" w:rsidRPr="00090C78">
        <w:t>its response</w:t>
      </w:r>
      <w:r w:rsidR="00FC1050" w:rsidRPr="00090C78">
        <w:t xml:space="preserve"> to the LOI</w:t>
      </w:r>
      <w:r w:rsidR="002F4B62" w:rsidRPr="00090C78">
        <w:t>.</w:t>
      </w:r>
      <w:r w:rsidR="00FC1050" w:rsidRPr="00090C78">
        <w:rPr>
          <w:rStyle w:val="FootnoteReference"/>
        </w:rPr>
        <w:footnoteReference w:id="30"/>
      </w:r>
      <w:r w:rsidR="000E4FB3" w:rsidRPr="00090C78">
        <w:t xml:space="preserve">  </w:t>
      </w:r>
      <w:r w:rsidR="00FB3981" w:rsidRPr="00090C78">
        <w:t>Five9 also met with the Bureau o</w:t>
      </w:r>
      <w:r w:rsidR="006765E4" w:rsidRPr="00090C78">
        <w:t xml:space="preserve">n several occasions and </w:t>
      </w:r>
      <w:r w:rsidR="00AB37BC">
        <w:t>submitted</w:t>
      </w:r>
      <w:r w:rsidR="00AB37BC" w:rsidRPr="00090C78">
        <w:t xml:space="preserve"> </w:t>
      </w:r>
      <w:r w:rsidR="006765E4" w:rsidRPr="00090C78">
        <w:t>supplemental materials as requested by the Bureau.</w:t>
      </w:r>
      <w:r w:rsidR="006765E4" w:rsidRPr="00090C78">
        <w:rPr>
          <w:rStyle w:val="FootnoteReference"/>
        </w:rPr>
        <w:footnoteReference w:id="31"/>
      </w:r>
      <w:r w:rsidR="006765E4" w:rsidRPr="00090C78">
        <w:t xml:space="preserve"> </w:t>
      </w:r>
    </w:p>
    <w:p w:rsidR="002F4B62" w:rsidRPr="00090C78" w:rsidRDefault="002F4B62" w:rsidP="00EF19BB">
      <w:pPr>
        <w:pStyle w:val="ParaNum"/>
        <w:widowControl/>
        <w:numPr>
          <w:ilvl w:val="0"/>
          <w:numId w:val="10"/>
        </w:numPr>
        <w:tabs>
          <w:tab w:val="clear" w:pos="1080"/>
        </w:tabs>
      </w:pPr>
      <w:r w:rsidRPr="00090C78">
        <w:t>As of the Effective Date</w:t>
      </w:r>
      <w:r w:rsidR="00AB37BC">
        <w:t xml:space="preserve"> of this Consent Decree</w:t>
      </w:r>
      <w:r w:rsidRPr="00090C78">
        <w:t xml:space="preserve">, Five9 has entered into a payment plan with USAC </w:t>
      </w:r>
      <w:r w:rsidR="00A04FD5" w:rsidRPr="00090C78">
        <w:t xml:space="preserve">for overdue USF contributions, </w:t>
      </w:r>
      <w:r w:rsidRPr="00090C78">
        <w:t xml:space="preserve">is </w:t>
      </w:r>
      <w:r w:rsidR="00A04FD5" w:rsidRPr="00090C78">
        <w:t xml:space="preserve">complying with the FCC Forms 499 filing requirements, </w:t>
      </w:r>
      <w:r w:rsidR="00856765" w:rsidRPr="00090C78">
        <w:t>and</w:t>
      </w:r>
      <w:r w:rsidRPr="00090C78">
        <w:t xml:space="preserve"> </w:t>
      </w:r>
      <w:r w:rsidR="00A04FD5" w:rsidRPr="00090C78">
        <w:t xml:space="preserve">is </w:t>
      </w:r>
      <w:r w:rsidRPr="00090C78">
        <w:t xml:space="preserve">paying </w:t>
      </w:r>
      <w:r w:rsidR="00A04FD5" w:rsidRPr="00090C78">
        <w:t>current required USF contributions</w:t>
      </w:r>
      <w:r w:rsidR="006765E4" w:rsidRPr="00090C78">
        <w:t>.</w:t>
      </w:r>
      <w:r w:rsidR="00FB3981" w:rsidRPr="00090C78">
        <w:rPr>
          <w:rStyle w:val="FootnoteReference"/>
        </w:rPr>
        <w:footnoteReference w:id="32"/>
      </w:r>
      <w:r w:rsidR="006765E4" w:rsidRPr="00090C78">
        <w:t xml:space="preserve">  Five9 has also paid all</w:t>
      </w:r>
      <w:r w:rsidR="00985F17" w:rsidRPr="00090C78">
        <w:t xml:space="preserve"> invoiced amounts to the TRS </w:t>
      </w:r>
      <w:r w:rsidR="00AB37BC">
        <w:t>F</w:t>
      </w:r>
      <w:r w:rsidR="006765E4" w:rsidRPr="00090C78">
        <w:t xml:space="preserve">und, </w:t>
      </w:r>
      <w:r w:rsidR="00A04FD5" w:rsidRPr="00090C78">
        <w:t xml:space="preserve">the LNP and NANP </w:t>
      </w:r>
      <w:r w:rsidR="006765E4" w:rsidRPr="00090C78">
        <w:t>cost recovery m</w:t>
      </w:r>
      <w:r w:rsidR="00856765" w:rsidRPr="00090C78">
        <w:t>echanisms</w:t>
      </w:r>
      <w:r w:rsidR="006765E4" w:rsidRPr="00090C78">
        <w:t>, and all invoiced regulatory f</w:t>
      </w:r>
      <w:r w:rsidR="00856765" w:rsidRPr="00090C78">
        <w:t xml:space="preserve">ees. </w:t>
      </w:r>
      <w:r w:rsidR="00985F17" w:rsidRPr="00090C78">
        <w:t xml:space="preserve"> </w:t>
      </w:r>
      <w:r w:rsidR="00856765" w:rsidRPr="00090C78">
        <w:t>Five9 has also filed all of</w:t>
      </w:r>
      <w:r w:rsidR="006765E4" w:rsidRPr="00090C78">
        <w:t xml:space="preserve"> </w:t>
      </w:r>
      <w:r w:rsidR="00090C78">
        <w:t xml:space="preserve">its </w:t>
      </w:r>
      <w:r w:rsidR="006765E4" w:rsidRPr="00090C78">
        <w:t xml:space="preserve">required </w:t>
      </w:r>
      <w:r w:rsidR="00827212" w:rsidRPr="00090C78">
        <w:t>international traffic</w:t>
      </w:r>
      <w:r w:rsidR="006765E4" w:rsidRPr="00090C78">
        <w:t xml:space="preserve"> reports and CPNI </w:t>
      </w:r>
      <w:r w:rsidR="00856765" w:rsidRPr="00090C78">
        <w:t>certifications</w:t>
      </w:r>
      <w:r w:rsidR="00712F14">
        <w:t xml:space="preserve"> </w:t>
      </w:r>
    </w:p>
    <w:p w:rsidR="00FC1050" w:rsidRPr="00C60364" w:rsidRDefault="00FC1050" w:rsidP="00EF19BB">
      <w:pPr>
        <w:pStyle w:val="Heading1"/>
        <w:widowControl/>
      </w:pPr>
      <w:r w:rsidRPr="00264F34">
        <w:t>TERMS OF AG</w:t>
      </w:r>
      <w:r w:rsidRPr="00C60364">
        <w:t>REEMENT</w:t>
      </w:r>
    </w:p>
    <w:p w:rsidR="00FC1050" w:rsidRDefault="00FC1050" w:rsidP="00EF19BB">
      <w:pPr>
        <w:pStyle w:val="ParaNum"/>
        <w:widowControl/>
        <w:numPr>
          <w:ilvl w:val="0"/>
          <w:numId w:val="10"/>
        </w:numPr>
        <w:tabs>
          <w:tab w:val="clear" w:pos="1080"/>
        </w:tabs>
        <w:rPr>
          <w:color w:val="000000"/>
        </w:rPr>
      </w:pPr>
      <w:r w:rsidRPr="004D0189">
        <w:rPr>
          <w:b/>
          <w:color w:val="000000"/>
          <w:u w:val="single"/>
        </w:rPr>
        <w:t>Adopting Order</w:t>
      </w:r>
      <w:r w:rsidRPr="004D0189">
        <w:rPr>
          <w:color w:val="000000"/>
          <w:u w:val="single"/>
        </w:rPr>
        <w:t>.</w:t>
      </w:r>
      <w:r w:rsidRPr="004D0189">
        <w:t xml:space="preserve">  The provisions of this Consent Decree shall be </w:t>
      </w:r>
      <w:r w:rsidR="00A04FD5">
        <w:t xml:space="preserve">incorporated </w:t>
      </w:r>
      <w:r w:rsidRPr="004D0189">
        <w:t xml:space="preserve">by the Bureau </w:t>
      </w:r>
      <w:r w:rsidR="00A04FD5">
        <w:t xml:space="preserve">in an Adopting Order without change, addition, deletion, or </w:t>
      </w:r>
      <w:r w:rsidR="00827212">
        <w:t>modification</w:t>
      </w:r>
      <w:r w:rsidRPr="004D0189">
        <w:t>.</w:t>
      </w:r>
    </w:p>
    <w:p w:rsidR="00FC1050" w:rsidRDefault="00FC1050" w:rsidP="00EF19BB">
      <w:pPr>
        <w:pStyle w:val="ParaNum"/>
        <w:widowControl/>
        <w:numPr>
          <w:ilvl w:val="0"/>
          <w:numId w:val="10"/>
        </w:numPr>
        <w:tabs>
          <w:tab w:val="clear" w:pos="1080"/>
        </w:tabs>
        <w:rPr>
          <w:color w:val="000000"/>
        </w:rPr>
      </w:pPr>
      <w:r w:rsidRPr="00610963">
        <w:rPr>
          <w:b/>
          <w:color w:val="000000"/>
          <w:u w:val="single"/>
        </w:rPr>
        <w:t>Jurisdiction</w:t>
      </w:r>
      <w:r w:rsidRPr="003D2FF1">
        <w:rPr>
          <w:b/>
          <w:color w:val="000000"/>
        </w:rPr>
        <w:t>.</w:t>
      </w:r>
      <w:r w:rsidRPr="00610963">
        <w:rPr>
          <w:color w:val="000000"/>
        </w:rPr>
        <w:t xml:space="preserve">  Five9 </w:t>
      </w:r>
      <w:r w:rsidRPr="00E5576A">
        <w:t xml:space="preserve">agrees that the Bureau has jurisdiction over it and the matters contained in this Consent Decree and </w:t>
      </w:r>
      <w:r w:rsidR="00A04FD5">
        <w:t xml:space="preserve">that the Bureau </w:t>
      </w:r>
      <w:r w:rsidRPr="00E5576A">
        <w:t>has the authority to enter into and adopt this Consent Decree.</w:t>
      </w:r>
    </w:p>
    <w:p w:rsidR="00FC1050" w:rsidRPr="00610963" w:rsidRDefault="00FC1050" w:rsidP="00EF19BB">
      <w:pPr>
        <w:pStyle w:val="ParaNum"/>
        <w:widowControl/>
        <w:numPr>
          <w:ilvl w:val="0"/>
          <w:numId w:val="10"/>
        </w:numPr>
        <w:tabs>
          <w:tab w:val="clear" w:pos="1080"/>
        </w:tabs>
        <w:rPr>
          <w:color w:val="000000"/>
        </w:rPr>
      </w:pPr>
      <w:r w:rsidRPr="00610963">
        <w:rPr>
          <w:b/>
          <w:szCs w:val="22"/>
          <w:u w:val="single"/>
        </w:rPr>
        <w:t>Admission of Liability</w:t>
      </w:r>
      <w:r w:rsidRPr="00610963">
        <w:rPr>
          <w:szCs w:val="22"/>
        </w:rPr>
        <w:t xml:space="preserve">.  Five9 </w:t>
      </w:r>
      <w:r w:rsidRPr="00610963">
        <w:rPr>
          <w:color w:val="000000"/>
          <w:szCs w:val="22"/>
        </w:rPr>
        <w:t>admits, solely for the purpose of this Consent Decree and for Commission civil enforcement purposes, and in express reliance on the provisions of paragraph</w:t>
      </w:r>
      <w:r w:rsidR="00EE5429">
        <w:rPr>
          <w:color w:val="000000"/>
          <w:szCs w:val="22"/>
        </w:rPr>
        <w:t>s</w:t>
      </w:r>
      <w:r w:rsidR="00156372">
        <w:rPr>
          <w:color w:val="000000"/>
          <w:szCs w:val="22"/>
        </w:rPr>
        <w:t xml:space="preserve"> 1</w:t>
      </w:r>
      <w:r w:rsidR="00576B6B">
        <w:rPr>
          <w:color w:val="000000"/>
          <w:szCs w:val="22"/>
        </w:rPr>
        <w:t>3</w:t>
      </w:r>
      <w:r w:rsidRPr="00610963">
        <w:rPr>
          <w:color w:val="000000"/>
          <w:szCs w:val="22"/>
        </w:rPr>
        <w:t xml:space="preserve"> </w:t>
      </w:r>
      <w:r w:rsidR="00EE5429">
        <w:rPr>
          <w:color w:val="000000"/>
          <w:szCs w:val="22"/>
        </w:rPr>
        <w:t>and 2</w:t>
      </w:r>
      <w:r w:rsidR="00576B6B">
        <w:rPr>
          <w:color w:val="000000"/>
          <w:szCs w:val="22"/>
        </w:rPr>
        <w:t>8</w:t>
      </w:r>
      <w:r w:rsidR="00EE5429">
        <w:rPr>
          <w:color w:val="000000"/>
          <w:szCs w:val="22"/>
        </w:rPr>
        <w:t xml:space="preserve"> </w:t>
      </w:r>
      <w:r w:rsidR="001F7B60">
        <w:rPr>
          <w:color w:val="000000"/>
          <w:szCs w:val="22"/>
        </w:rPr>
        <w:t>of this Consent Decree</w:t>
      </w:r>
      <w:r w:rsidRPr="00610963">
        <w:rPr>
          <w:color w:val="000000"/>
          <w:szCs w:val="22"/>
        </w:rPr>
        <w:t>, that</w:t>
      </w:r>
      <w:r w:rsidR="00EE5429">
        <w:rPr>
          <w:color w:val="000000"/>
          <w:szCs w:val="22"/>
        </w:rPr>
        <w:t>, as a result of advice of prior legal counsel that it was a provider of information services rather than telecommunications services,</w:t>
      </w:r>
      <w:r w:rsidRPr="00610963">
        <w:rPr>
          <w:color w:val="000000"/>
          <w:szCs w:val="22"/>
        </w:rPr>
        <w:t xml:space="preserve"> </w:t>
      </w:r>
      <w:r w:rsidR="00820E64">
        <w:rPr>
          <w:color w:val="000000"/>
          <w:szCs w:val="22"/>
        </w:rPr>
        <w:t xml:space="preserve">it violated the </w:t>
      </w:r>
      <w:r w:rsidR="00985F17" w:rsidRPr="004C57DD">
        <w:rPr>
          <w:szCs w:val="22"/>
        </w:rPr>
        <w:t xml:space="preserve">Federal Regulatory Reporting </w:t>
      </w:r>
      <w:r w:rsidR="00985F17">
        <w:rPr>
          <w:szCs w:val="22"/>
        </w:rPr>
        <w:t xml:space="preserve">and Contribution </w:t>
      </w:r>
      <w:r w:rsidR="00985F17" w:rsidRPr="004C57DD">
        <w:rPr>
          <w:szCs w:val="22"/>
        </w:rPr>
        <w:t>Rules</w:t>
      </w:r>
      <w:r w:rsidR="00985F17">
        <w:t>, the CPNI Rules, and the International Section 214 Rules</w:t>
      </w:r>
      <w:r w:rsidRPr="00610963">
        <w:rPr>
          <w:color w:val="000000"/>
          <w:szCs w:val="22"/>
        </w:rPr>
        <w:t>.</w:t>
      </w:r>
    </w:p>
    <w:p w:rsidR="00FC1050" w:rsidRPr="00610963" w:rsidRDefault="00FC1050" w:rsidP="00EF19BB">
      <w:pPr>
        <w:pStyle w:val="ParaNum"/>
        <w:widowControl/>
        <w:numPr>
          <w:ilvl w:val="0"/>
          <w:numId w:val="10"/>
        </w:numPr>
        <w:tabs>
          <w:tab w:val="clear" w:pos="1080"/>
        </w:tabs>
        <w:rPr>
          <w:color w:val="000000"/>
        </w:rPr>
      </w:pPr>
      <w:r w:rsidRPr="00610963">
        <w:rPr>
          <w:b/>
          <w:u w:val="single"/>
        </w:rPr>
        <w:t xml:space="preserve">Effective Date; </w:t>
      </w:r>
      <w:r w:rsidRPr="00DB202F">
        <w:rPr>
          <w:b/>
          <w:u w:val="single"/>
        </w:rPr>
        <w:t>Violations</w:t>
      </w:r>
      <w:r w:rsidRPr="003D2FF1">
        <w:rPr>
          <w:b/>
        </w:rPr>
        <w:t>.</w:t>
      </w:r>
      <w:r w:rsidRPr="00820E64">
        <w:t xml:space="preserve">  </w:t>
      </w:r>
      <w:r w:rsidRPr="00E5576A">
        <w:t>The Parties agree that this Consent Decree shall become effective on the Effective Date</w:t>
      </w:r>
      <w:r w:rsidR="009B2EFD">
        <w:t xml:space="preserve"> as defined herein</w:t>
      </w:r>
      <w:r w:rsidRPr="00E5576A">
        <w:t xml:space="preserve">.  </w:t>
      </w:r>
      <w:r>
        <w:t>As of the</w:t>
      </w:r>
      <w:r w:rsidRPr="00E5576A">
        <w:t xml:space="preserv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r>
        <w:t>.</w:t>
      </w:r>
    </w:p>
    <w:p w:rsidR="00FC1050" w:rsidRDefault="00FC1050" w:rsidP="00EF19BB">
      <w:pPr>
        <w:pStyle w:val="ParaNum"/>
        <w:widowControl/>
        <w:numPr>
          <w:ilvl w:val="0"/>
          <w:numId w:val="10"/>
        </w:numPr>
        <w:tabs>
          <w:tab w:val="clear" w:pos="1080"/>
        </w:tabs>
        <w:rPr>
          <w:color w:val="000000"/>
        </w:rPr>
      </w:pPr>
      <w:r w:rsidRPr="00610963">
        <w:rPr>
          <w:b/>
          <w:u w:val="single"/>
        </w:rPr>
        <w:t>Termination of Investigatio</w:t>
      </w:r>
      <w:r w:rsidRPr="00DB202F">
        <w:rPr>
          <w:b/>
          <w:u w:val="single"/>
        </w:rPr>
        <w:t>n</w:t>
      </w:r>
      <w:r w:rsidRPr="003D2FF1">
        <w:rPr>
          <w:b/>
        </w:rPr>
        <w:t xml:space="preserve">. </w:t>
      </w:r>
      <w:r w:rsidRPr="00264F34">
        <w:t xml:space="preserve"> </w:t>
      </w:r>
      <w:r w:rsidRPr="00C60364">
        <w:t xml:space="preserve">In express reliance on the covenants and representations in this Consent Decree and to avoid further expenditure of public resources, the Bureau agrees to terminate the Investigation.  In consideration for the termination of the Investigation, </w:t>
      </w:r>
      <w:r>
        <w:t xml:space="preserve">Five9 </w:t>
      </w:r>
      <w:r w:rsidRPr="00C60364">
        <w:t>agrees to the terms, conditions, and procedures containe</w:t>
      </w:r>
      <w:r w:rsidRPr="004D0189">
        <w:t xml:space="preserve">d </w:t>
      </w:r>
      <w:r w:rsidR="00DB202F">
        <w:t>in this Consent Decree</w:t>
      </w:r>
      <w:r w:rsidRPr="004D0189">
        <w:t xml:space="preserve">.  The Bureau further agrees that, in the absence of new material evidence, </w:t>
      </w:r>
      <w:r>
        <w:t>the Bureau</w:t>
      </w:r>
      <w:r w:rsidRPr="004D0189">
        <w:t xml:space="preserve"> will not use the facts developed in the Investigation through the Effective Date, or the existence of this Consent Decree, to institute, on its own motion, any new proceeding, formal or informal, or take any action on its own motion against </w:t>
      </w:r>
      <w:r>
        <w:t>Five9 concerning the matters that were the subject of th</w:t>
      </w:r>
      <w:r w:rsidR="00DB202F">
        <w:t>e</w:t>
      </w:r>
      <w:r>
        <w:t xml:space="preserve"> Investigation. </w:t>
      </w:r>
      <w:r w:rsidR="00DB202F">
        <w:t xml:space="preserve"> </w:t>
      </w:r>
      <w:r w:rsidRPr="00610963">
        <w:rPr>
          <w:szCs w:val="22"/>
        </w:rPr>
        <w:t>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w:t>
      </w:r>
      <w:r w:rsidRPr="00C96340">
        <w:t xml:space="preserve"> </w:t>
      </w:r>
      <w:r w:rsidRPr="00610963">
        <w:rPr>
          <w:szCs w:val="22"/>
        </w:rPr>
        <w:t>the Company with respect to its basic qualifications, including its character qualifications, to be a Commission licensee or hold Commission licenses or authorizations.</w:t>
      </w:r>
      <w:r w:rsidRPr="00E5576A">
        <w:t xml:space="preserve">  </w:t>
      </w:r>
    </w:p>
    <w:p w:rsidR="00FC1050" w:rsidRPr="00676D73" w:rsidRDefault="00FC1050" w:rsidP="00EF19BB">
      <w:pPr>
        <w:pStyle w:val="ParaNum"/>
        <w:widowControl/>
        <w:numPr>
          <w:ilvl w:val="0"/>
          <w:numId w:val="10"/>
        </w:numPr>
        <w:tabs>
          <w:tab w:val="clear" w:pos="1080"/>
        </w:tabs>
        <w:rPr>
          <w:color w:val="000000"/>
        </w:rPr>
      </w:pPr>
      <w:r w:rsidRPr="00610963">
        <w:rPr>
          <w:rFonts w:eastAsia="SimSun"/>
          <w:b/>
          <w:u w:val="single"/>
        </w:rPr>
        <w:t>Compliance Office</w:t>
      </w:r>
      <w:r w:rsidRPr="00DB202F">
        <w:rPr>
          <w:rFonts w:eastAsia="SimSun"/>
          <w:b/>
          <w:u w:val="single"/>
        </w:rPr>
        <w:t>r</w:t>
      </w:r>
      <w:r w:rsidRPr="003D2FF1">
        <w:rPr>
          <w:rFonts w:eastAsia="SimSun"/>
          <w:b/>
        </w:rPr>
        <w:t>.</w:t>
      </w:r>
      <w:r w:rsidRPr="00610963">
        <w:rPr>
          <w:rFonts w:eastAsia="SimSun"/>
          <w:b/>
        </w:rPr>
        <w:t xml:space="preserve">  </w:t>
      </w:r>
      <w:r w:rsidRPr="00610963">
        <w:rPr>
          <w:rFonts w:eastAsia="SimSun"/>
        </w:rPr>
        <w:t xml:space="preserve">Within thirty (30) days after the Effective Date, Five9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Five9 complies with the terms and conditions of the Compliance Plan and this Consent Decree.  </w:t>
      </w:r>
      <w:r w:rsidR="00EE5429">
        <w:rPr>
          <w:rFonts w:eastAsia="SimSun"/>
          <w:bCs/>
        </w:rPr>
        <w:t>The Compliance Officer will use the resources of outside legal counsel, and/or rely on a Compliance Manager, if one is designated</w:t>
      </w:r>
      <w:r w:rsidR="00A1760F">
        <w:rPr>
          <w:rFonts w:eastAsia="SimSun"/>
          <w:bCs/>
        </w:rPr>
        <w:t>--</w:t>
      </w:r>
      <w:r w:rsidR="00EE5429">
        <w:rPr>
          <w:rFonts w:eastAsia="SimSun"/>
          <w:bCs/>
        </w:rPr>
        <w:t>both with specific knowledge of the Federal Regulatory Reporting and Contribution Rules, the CPNI Rules, and the International Section 214 Rules</w:t>
      </w:r>
      <w:r w:rsidR="00A1760F">
        <w:rPr>
          <w:rFonts w:eastAsia="SimSun"/>
          <w:bCs/>
        </w:rPr>
        <w:t>--</w:t>
      </w:r>
      <w:r w:rsidR="00EE5429">
        <w:rPr>
          <w:rFonts w:eastAsia="SimSun"/>
          <w:bCs/>
        </w:rPr>
        <w:t xml:space="preserve">to supplement his or her </w:t>
      </w:r>
      <w:r w:rsidRPr="00610963">
        <w:rPr>
          <w:szCs w:val="22"/>
        </w:rPr>
        <w:t>general knowledge of the Communications Laws necessary to discharge his/her duties under this Consent Decree</w:t>
      </w:r>
      <w:r w:rsidRPr="00676D73">
        <w:rPr>
          <w:szCs w:val="22"/>
        </w:rPr>
        <w:t>.</w:t>
      </w:r>
    </w:p>
    <w:p w:rsidR="00FC1050" w:rsidRPr="00610963" w:rsidRDefault="00FC1050" w:rsidP="00EF19BB">
      <w:pPr>
        <w:pStyle w:val="ParaNum"/>
        <w:widowControl/>
        <w:numPr>
          <w:ilvl w:val="0"/>
          <w:numId w:val="10"/>
        </w:numPr>
        <w:tabs>
          <w:tab w:val="clear" w:pos="1080"/>
        </w:tabs>
        <w:rPr>
          <w:color w:val="000000"/>
        </w:rPr>
      </w:pPr>
      <w:r w:rsidRPr="00610963">
        <w:rPr>
          <w:b/>
          <w:u w:val="single"/>
        </w:rPr>
        <w:t xml:space="preserve">Compliance </w:t>
      </w:r>
      <w:r w:rsidRPr="00DB202F">
        <w:rPr>
          <w:b/>
          <w:u w:val="single"/>
        </w:rPr>
        <w:t>Plan</w:t>
      </w:r>
      <w:r w:rsidRPr="003D2FF1">
        <w:rPr>
          <w:b/>
        </w:rPr>
        <w:t>.</w:t>
      </w:r>
      <w:r w:rsidRPr="00E5576A">
        <w:t xml:space="preserve">  </w:t>
      </w:r>
      <w:r w:rsidRPr="00610963">
        <w:rPr>
          <w:szCs w:val="22"/>
        </w:rPr>
        <w:t xml:space="preserve">For purposes of settling the matters set forth </w:t>
      </w:r>
      <w:r w:rsidR="001F7B60">
        <w:rPr>
          <w:szCs w:val="22"/>
        </w:rPr>
        <w:t>in this Consent Decree</w:t>
      </w:r>
      <w:r w:rsidRPr="00610963">
        <w:rPr>
          <w:szCs w:val="22"/>
        </w:rPr>
        <w:t xml:space="preserve">, Five9 agrees that it shall, within sixty (60) calendar days after the Effective Date, develop and implement a Compliance Plan designed to ensure future compliance with the Communications Laws and with the terms and conditions of this Consent Decree.  With respect to </w:t>
      </w:r>
      <w:r w:rsidR="00985F17">
        <w:rPr>
          <w:szCs w:val="22"/>
        </w:rPr>
        <w:t xml:space="preserve">the </w:t>
      </w:r>
      <w:r w:rsidR="00985F17" w:rsidRPr="004C57DD">
        <w:rPr>
          <w:szCs w:val="22"/>
        </w:rPr>
        <w:t xml:space="preserve">Federal Regulatory Reporting </w:t>
      </w:r>
      <w:r w:rsidR="00985F17">
        <w:rPr>
          <w:szCs w:val="22"/>
        </w:rPr>
        <w:t xml:space="preserve">and Contribution </w:t>
      </w:r>
      <w:r w:rsidR="00985F17" w:rsidRPr="004C57DD">
        <w:rPr>
          <w:szCs w:val="22"/>
        </w:rPr>
        <w:t>Rules</w:t>
      </w:r>
      <w:r w:rsidR="00985F17">
        <w:t>, the CPNI Rules, and the International Section 214 Rules</w:t>
      </w:r>
      <w:r w:rsidRPr="00610963">
        <w:rPr>
          <w:szCs w:val="22"/>
        </w:rPr>
        <w:t>, Five9 shall implement the following procedures</w:t>
      </w:r>
      <w:r w:rsidRPr="00D510A9">
        <w:t>:</w:t>
      </w:r>
    </w:p>
    <w:p w:rsidR="00676D73" w:rsidRPr="00676D73" w:rsidRDefault="00FC1050" w:rsidP="00EF19BB">
      <w:pPr>
        <w:widowControl/>
        <w:numPr>
          <w:ilvl w:val="0"/>
          <w:numId w:val="22"/>
        </w:numPr>
        <w:tabs>
          <w:tab w:val="left" w:pos="720"/>
        </w:tabs>
        <w:spacing w:after="120"/>
        <w:rPr>
          <w:szCs w:val="22"/>
        </w:rPr>
      </w:pPr>
      <w:r w:rsidRPr="00676D73">
        <w:rPr>
          <w:b/>
          <w:szCs w:val="22"/>
          <w:u w:val="single"/>
        </w:rPr>
        <w:t xml:space="preserve">Operating </w:t>
      </w:r>
      <w:r w:rsidRPr="00DB202F">
        <w:rPr>
          <w:b/>
          <w:szCs w:val="22"/>
          <w:u w:val="single"/>
        </w:rPr>
        <w:t>Procedures</w:t>
      </w:r>
      <w:r w:rsidRPr="00DB202F">
        <w:rPr>
          <w:b/>
          <w:szCs w:val="22"/>
        </w:rPr>
        <w:t>.</w:t>
      </w:r>
      <w:r w:rsidRPr="00676D73">
        <w:rPr>
          <w:b/>
          <w:szCs w:val="22"/>
        </w:rPr>
        <w:t xml:space="preserve">  </w:t>
      </w:r>
      <w:r w:rsidRPr="00676D73">
        <w:rPr>
          <w:szCs w:val="22"/>
        </w:rPr>
        <w:t xml:space="preserve">Within </w:t>
      </w:r>
      <w:r>
        <w:t>sixty</w:t>
      </w:r>
      <w:r w:rsidRPr="00676D73" w:rsidDel="00D05FAE">
        <w:rPr>
          <w:szCs w:val="22"/>
        </w:rPr>
        <w:t xml:space="preserve"> </w:t>
      </w:r>
      <w:r w:rsidRPr="00676D73">
        <w:rPr>
          <w:szCs w:val="22"/>
        </w:rPr>
        <w:t xml:space="preserve">(60) calendar days after the Effective Date, </w:t>
      </w:r>
      <w:r>
        <w:t>Five9</w:t>
      </w:r>
      <w:r w:rsidRPr="00676D73">
        <w:rPr>
          <w:szCs w:val="22"/>
        </w:rPr>
        <w:t xml:space="preserve"> shall establish Operating </w:t>
      </w:r>
      <w:r w:rsidRPr="00DB202F">
        <w:t>Procedures</w:t>
      </w:r>
      <w:r w:rsidRPr="00676D73">
        <w:rPr>
          <w:szCs w:val="22"/>
        </w:rPr>
        <w:t xml:space="preserve"> that all Covered Employees shall follow to help ensure </w:t>
      </w:r>
      <w:r>
        <w:t>the Company’s</w:t>
      </w:r>
      <w:r w:rsidRPr="00676D73">
        <w:rPr>
          <w:szCs w:val="22"/>
        </w:rPr>
        <w:t xml:space="preserve"> compliance with </w:t>
      </w:r>
      <w:r w:rsidR="00FB6005">
        <w:t xml:space="preserve">the </w:t>
      </w:r>
      <w:r w:rsidR="00FB6005" w:rsidRPr="004C57DD">
        <w:rPr>
          <w:szCs w:val="22"/>
        </w:rPr>
        <w:t xml:space="preserve">Federal Regulatory Reporting </w:t>
      </w:r>
      <w:r w:rsidR="00FB6005">
        <w:rPr>
          <w:szCs w:val="22"/>
        </w:rPr>
        <w:t xml:space="preserve">and Contribution </w:t>
      </w:r>
      <w:r w:rsidR="00FB6005" w:rsidRPr="004C57DD">
        <w:rPr>
          <w:szCs w:val="22"/>
        </w:rPr>
        <w:t>Rules</w:t>
      </w:r>
      <w:r w:rsidR="00FB6005">
        <w:t>, the CPNI Rules, and the International Section 214 Rules</w:t>
      </w:r>
      <w:r w:rsidR="003F380A">
        <w:t>.</w:t>
      </w:r>
      <w:r w:rsidRPr="00676D73">
        <w:rPr>
          <w:szCs w:val="22"/>
        </w:rPr>
        <w:t xml:space="preserve">  </w:t>
      </w:r>
      <w:r w:rsidR="006A046A">
        <w:t xml:space="preserve">Five9’s </w:t>
      </w:r>
      <w:r w:rsidR="006A046A" w:rsidRPr="00676D73">
        <w:rPr>
          <w:szCs w:val="22"/>
        </w:rPr>
        <w:t xml:space="preserve">Operating Procedures shall include internal procedures and policies specifically designed to ensure that the Company complies with </w:t>
      </w:r>
      <w:r w:rsidR="00FB6005">
        <w:t xml:space="preserve">the </w:t>
      </w:r>
      <w:r w:rsidR="00FB6005" w:rsidRPr="004C57DD">
        <w:rPr>
          <w:szCs w:val="22"/>
        </w:rPr>
        <w:t xml:space="preserve">Federal Regulatory Reporting </w:t>
      </w:r>
      <w:r w:rsidR="00FB6005">
        <w:rPr>
          <w:szCs w:val="22"/>
        </w:rPr>
        <w:t xml:space="preserve">and Contribution </w:t>
      </w:r>
      <w:r w:rsidR="00FB6005" w:rsidRPr="004C57DD">
        <w:rPr>
          <w:szCs w:val="22"/>
        </w:rPr>
        <w:t>Rules</w:t>
      </w:r>
      <w:r w:rsidR="00FB6005">
        <w:t>, the CPNI Rules, and the International Section 214 Rules</w:t>
      </w:r>
      <w:r w:rsidR="006A046A">
        <w:t xml:space="preserve">. </w:t>
      </w:r>
      <w:r w:rsidR="006A046A" w:rsidRPr="00676D73">
        <w:rPr>
          <w:szCs w:val="22"/>
        </w:rPr>
        <w:t xml:space="preserve"> </w:t>
      </w:r>
      <w:r>
        <w:t xml:space="preserve">The Company </w:t>
      </w:r>
      <w:r w:rsidRPr="00676D73">
        <w:rPr>
          <w:szCs w:val="22"/>
        </w:rPr>
        <w:t xml:space="preserve">shall also develop a Compliance Checklist that describes the steps that a Covered Employee must follow to ensure compliance with </w:t>
      </w:r>
      <w:r w:rsidR="00FB6005">
        <w:t xml:space="preserve">the </w:t>
      </w:r>
      <w:r w:rsidR="00FB6005" w:rsidRPr="004C57DD">
        <w:rPr>
          <w:szCs w:val="22"/>
        </w:rPr>
        <w:t xml:space="preserve">Federal Regulatory Reporting </w:t>
      </w:r>
      <w:r w:rsidR="00FB6005">
        <w:rPr>
          <w:szCs w:val="22"/>
        </w:rPr>
        <w:t xml:space="preserve">and Contribution </w:t>
      </w:r>
      <w:r w:rsidR="00FB6005" w:rsidRPr="004C57DD">
        <w:rPr>
          <w:szCs w:val="22"/>
        </w:rPr>
        <w:t>Rules</w:t>
      </w:r>
      <w:r w:rsidR="00FB6005">
        <w:t>, the CPNI Rules, and the International Section 214 Rules</w:t>
      </w:r>
      <w:r w:rsidR="00676D73">
        <w:t xml:space="preserve">. </w:t>
      </w:r>
    </w:p>
    <w:p w:rsidR="00FC1050" w:rsidRPr="00676D73" w:rsidRDefault="00FC1050" w:rsidP="00EF19BB">
      <w:pPr>
        <w:widowControl/>
        <w:numPr>
          <w:ilvl w:val="0"/>
          <w:numId w:val="22"/>
        </w:numPr>
        <w:tabs>
          <w:tab w:val="left" w:pos="720"/>
        </w:tabs>
        <w:spacing w:after="120"/>
        <w:rPr>
          <w:szCs w:val="22"/>
        </w:rPr>
      </w:pPr>
      <w:r w:rsidRPr="00676D73">
        <w:rPr>
          <w:b/>
          <w:szCs w:val="22"/>
          <w:u w:val="single"/>
        </w:rPr>
        <w:t>Compliance Manual</w:t>
      </w:r>
      <w:r w:rsidRPr="00676D73">
        <w:rPr>
          <w:b/>
          <w:szCs w:val="22"/>
        </w:rPr>
        <w:t xml:space="preserve">.  </w:t>
      </w:r>
      <w:r w:rsidRPr="00676D73">
        <w:rPr>
          <w:szCs w:val="22"/>
        </w:rPr>
        <w:t xml:space="preserve">Within sixty (60) calendar days after the Effective Date, the Compliance Officer shall develop and distribute a Compliance Manual to all Covered Employees.  The Compliance Manual shall explain </w:t>
      </w:r>
      <w:r w:rsidR="00FB6005">
        <w:t xml:space="preserve">the </w:t>
      </w:r>
      <w:r w:rsidR="00FB6005" w:rsidRPr="004C57DD">
        <w:rPr>
          <w:szCs w:val="22"/>
        </w:rPr>
        <w:t xml:space="preserve">Federal Regulatory Reporting </w:t>
      </w:r>
      <w:r w:rsidR="00FB6005">
        <w:rPr>
          <w:szCs w:val="22"/>
        </w:rPr>
        <w:t xml:space="preserve">and Contribution </w:t>
      </w:r>
      <w:r w:rsidR="00FB6005" w:rsidRPr="004C57DD">
        <w:rPr>
          <w:szCs w:val="22"/>
        </w:rPr>
        <w:t>Rules</w:t>
      </w:r>
      <w:r w:rsidR="00FB6005">
        <w:t>, the CPNI Rules, and the International Section 214 Rules</w:t>
      </w:r>
      <w:r w:rsidR="00676D73">
        <w:t xml:space="preserve"> </w:t>
      </w:r>
      <w:r w:rsidRPr="00676D73">
        <w:rPr>
          <w:szCs w:val="22"/>
        </w:rPr>
        <w:t xml:space="preserve">and set forth the </w:t>
      </w:r>
      <w:r w:rsidRPr="00DB202F">
        <w:t>Operating</w:t>
      </w:r>
      <w:r w:rsidRPr="00676D73">
        <w:rPr>
          <w:szCs w:val="22"/>
        </w:rPr>
        <w:t xml:space="preserve"> Procedures that Covered Employees shall follow to help ensure the </w:t>
      </w:r>
      <w:r>
        <w:t>Five9</w:t>
      </w:r>
      <w:r w:rsidRPr="00676D73">
        <w:rPr>
          <w:szCs w:val="22"/>
        </w:rPr>
        <w:t xml:space="preserve">’s compliance with </w:t>
      </w:r>
      <w:r w:rsidR="00FB6005">
        <w:t xml:space="preserve">the </w:t>
      </w:r>
      <w:r w:rsidR="00FB6005" w:rsidRPr="004C57DD">
        <w:rPr>
          <w:szCs w:val="22"/>
        </w:rPr>
        <w:t xml:space="preserve">Federal Regulatory Reporting </w:t>
      </w:r>
      <w:r w:rsidR="00FB6005">
        <w:rPr>
          <w:szCs w:val="22"/>
        </w:rPr>
        <w:t xml:space="preserve">and Contribution </w:t>
      </w:r>
      <w:r w:rsidR="00FB6005" w:rsidRPr="004C57DD">
        <w:rPr>
          <w:szCs w:val="22"/>
        </w:rPr>
        <w:t>Rules</w:t>
      </w:r>
      <w:r w:rsidR="00FB6005">
        <w:t>, the CPNI Rules, and the International Section 214 Rules</w:t>
      </w:r>
      <w:r w:rsidR="00676D73">
        <w:t xml:space="preserve">. </w:t>
      </w:r>
      <w:r w:rsidRPr="00676D73">
        <w:rPr>
          <w:szCs w:val="22"/>
        </w:rPr>
        <w:t xml:space="preserve"> </w:t>
      </w:r>
      <w:r>
        <w:t>Five9</w:t>
      </w:r>
      <w:r w:rsidRPr="00676D73">
        <w:rPr>
          <w:szCs w:val="22"/>
        </w:rPr>
        <w:t xml:space="preserve"> shall periodically review and revise the Compliance Manual as necessary to ensure that the information set forth </w:t>
      </w:r>
      <w:r w:rsidR="001F7B60">
        <w:rPr>
          <w:szCs w:val="22"/>
        </w:rPr>
        <w:t>in it</w:t>
      </w:r>
      <w:r w:rsidR="001F7B60" w:rsidRPr="00676D73">
        <w:rPr>
          <w:szCs w:val="22"/>
        </w:rPr>
        <w:t xml:space="preserve"> </w:t>
      </w:r>
      <w:r w:rsidRPr="00676D73">
        <w:rPr>
          <w:szCs w:val="22"/>
        </w:rPr>
        <w:t xml:space="preserve">remains current and complete.  </w:t>
      </w:r>
      <w:r>
        <w:t xml:space="preserve">Five9 </w:t>
      </w:r>
      <w:r w:rsidRPr="00676D73">
        <w:rPr>
          <w:szCs w:val="22"/>
        </w:rPr>
        <w:t>shall distribute any revisions to the Compliance Manual promptly to Covered Employees.</w:t>
      </w:r>
      <w:r w:rsidR="000E4FB3">
        <w:rPr>
          <w:szCs w:val="22"/>
        </w:rPr>
        <w:t xml:space="preserve">  </w:t>
      </w:r>
    </w:p>
    <w:p w:rsidR="00FC1050" w:rsidRPr="001E57B5" w:rsidRDefault="00FC1050" w:rsidP="00EF19BB">
      <w:pPr>
        <w:widowControl/>
        <w:numPr>
          <w:ilvl w:val="0"/>
          <w:numId w:val="22"/>
        </w:numPr>
        <w:tabs>
          <w:tab w:val="left" w:pos="720"/>
        </w:tabs>
        <w:spacing w:after="120"/>
        <w:rPr>
          <w:szCs w:val="22"/>
        </w:rPr>
      </w:pPr>
      <w:r w:rsidRPr="00512D09">
        <w:rPr>
          <w:b/>
          <w:szCs w:val="22"/>
          <w:u w:val="single"/>
        </w:rPr>
        <w:t>Compliance Training Program</w:t>
      </w:r>
      <w:r w:rsidRPr="00512D09">
        <w:rPr>
          <w:b/>
          <w:szCs w:val="22"/>
        </w:rPr>
        <w:t>.</w:t>
      </w:r>
      <w:r w:rsidRPr="00512D09">
        <w:rPr>
          <w:szCs w:val="22"/>
        </w:rPr>
        <w:t xml:space="preserve">  </w:t>
      </w:r>
      <w:r>
        <w:t xml:space="preserve">Five9 </w:t>
      </w:r>
      <w:r w:rsidRPr="00512D09">
        <w:rPr>
          <w:szCs w:val="22"/>
        </w:rPr>
        <w:t xml:space="preserve">shall establish and implement a Compliance Training Program on compliance with the Communications Laws, </w:t>
      </w:r>
      <w:r w:rsidR="00A80725">
        <w:t xml:space="preserve">the </w:t>
      </w:r>
      <w:r w:rsidR="00A80725" w:rsidRPr="004C57DD">
        <w:rPr>
          <w:szCs w:val="22"/>
        </w:rPr>
        <w:t xml:space="preserve">Federal Regulatory Reporting </w:t>
      </w:r>
      <w:r w:rsidR="00A80725">
        <w:rPr>
          <w:szCs w:val="22"/>
        </w:rPr>
        <w:t xml:space="preserve">and Contribution </w:t>
      </w:r>
      <w:r w:rsidR="00A80725" w:rsidRPr="004C57DD">
        <w:rPr>
          <w:szCs w:val="22"/>
        </w:rPr>
        <w:t>Rules</w:t>
      </w:r>
      <w:r w:rsidR="00A80725">
        <w:t>, the CPNI Rules, and the International Section 214 Rules</w:t>
      </w:r>
      <w:r w:rsidR="00A80725" w:rsidRPr="003F380A">
        <w:rPr>
          <w:szCs w:val="22"/>
        </w:rPr>
        <w:t xml:space="preserve"> </w:t>
      </w:r>
      <w:r w:rsidRPr="003F380A">
        <w:rPr>
          <w:szCs w:val="22"/>
        </w:rPr>
        <w:t xml:space="preserve">and the Operating Procedures.  As part of the Compliance </w:t>
      </w:r>
      <w:r w:rsidRPr="00DB202F">
        <w:t>Training</w:t>
      </w:r>
      <w:r w:rsidRPr="003F380A">
        <w:rPr>
          <w:szCs w:val="22"/>
        </w:rPr>
        <w:t xml:space="preserve"> Program, Covered Employees shall be advised of </w:t>
      </w:r>
      <w:r w:rsidRPr="003F380A">
        <w:t>Five9’s</w:t>
      </w:r>
      <w:r w:rsidRPr="003F380A">
        <w:rPr>
          <w:szCs w:val="22"/>
        </w:rPr>
        <w:t xml:space="preserve"> obligation to report any noncompliance with </w:t>
      </w:r>
      <w:r w:rsidRPr="003F380A">
        <w:t xml:space="preserve">the </w:t>
      </w:r>
      <w:r w:rsidR="00A80725" w:rsidRPr="004C57DD">
        <w:rPr>
          <w:szCs w:val="22"/>
        </w:rPr>
        <w:t xml:space="preserve">Federal Regulatory Reporting </w:t>
      </w:r>
      <w:r w:rsidR="00A80725">
        <w:rPr>
          <w:szCs w:val="22"/>
        </w:rPr>
        <w:t xml:space="preserve">and Contribution </w:t>
      </w:r>
      <w:r w:rsidR="00A80725" w:rsidRPr="004C57DD">
        <w:rPr>
          <w:szCs w:val="22"/>
        </w:rPr>
        <w:t>Rules</w:t>
      </w:r>
      <w:r w:rsidR="00A80725">
        <w:t>, the CPNI Rules, and the International Section 214 Rules</w:t>
      </w:r>
      <w:r w:rsidR="00A80725" w:rsidRPr="003F380A">
        <w:rPr>
          <w:szCs w:val="22"/>
        </w:rPr>
        <w:t xml:space="preserve"> </w:t>
      </w:r>
      <w:r w:rsidRPr="003F380A">
        <w:rPr>
          <w:szCs w:val="22"/>
        </w:rPr>
        <w:t>under</w:t>
      </w:r>
      <w:r w:rsidRPr="003F380A">
        <w:rPr>
          <w:b/>
          <w:szCs w:val="22"/>
        </w:rPr>
        <w:t xml:space="preserve"> </w:t>
      </w:r>
      <w:r w:rsidRPr="003F380A">
        <w:rPr>
          <w:szCs w:val="22"/>
        </w:rPr>
        <w:t>paragraph</w:t>
      </w:r>
      <w:r w:rsidR="00156372">
        <w:rPr>
          <w:szCs w:val="22"/>
        </w:rPr>
        <w:t xml:space="preserve"> 1</w:t>
      </w:r>
      <w:r w:rsidR="00576B6B">
        <w:rPr>
          <w:szCs w:val="22"/>
        </w:rPr>
        <w:t>6</w:t>
      </w:r>
      <w:r w:rsidR="00156372">
        <w:rPr>
          <w:szCs w:val="22"/>
        </w:rPr>
        <w:t xml:space="preserve"> </w:t>
      </w:r>
      <w:r w:rsidRPr="003F380A">
        <w:rPr>
          <w:szCs w:val="22"/>
        </w:rPr>
        <w:t>of this</w:t>
      </w:r>
      <w:r w:rsidRPr="00512D09">
        <w:rPr>
          <w:szCs w:val="22"/>
        </w:rPr>
        <w:t xml:space="preserve"> Consent Decree and shall be instructed on how to disclose noncompli</w:t>
      </w:r>
      <w:r>
        <w:rPr>
          <w:szCs w:val="22"/>
        </w:rPr>
        <w:t>ance to the Compliance Officer.</w:t>
      </w:r>
      <w:r w:rsidRPr="00512D09">
        <w:rPr>
          <w:szCs w:val="22"/>
        </w:rPr>
        <w:t xml:space="preserve"> </w:t>
      </w:r>
      <w:r>
        <w:rPr>
          <w:szCs w:val="22"/>
        </w:rPr>
        <w:t xml:space="preserve"> </w:t>
      </w:r>
      <w:r w:rsidRPr="0063373F">
        <w:rPr>
          <w:szCs w:val="22"/>
        </w:rPr>
        <w:t xml:space="preserve">All Covered Employees shall be trained pursuant to the Compliance Training Program within </w:t>
      </w:r>
      <w:r w:rsidR="00803B63">
        <w:rPr>
          <w:szCs w:val="22"/>
        </w:rPr>
        <w:t>ninety</w:t>
      </w:r>
      <w:r w:rsidR="00803B63" w:rsidRPr="001C4CF7">
        <w:rPr>
          <w:szCs w:val="22"/>
        </w:rPr>
        <w:t xml:space="preserve"> </w:t>
      </w:r>
      <w:r w:rsidRPr="001C4CF7">
        <w:rPr>
          <w:szCs w:val="22"/>
        </w:rPr>
        <w:t>(</w:t>
      </w:r>
      <w:r w:rsidR="00803B63">
        <w:rPr>
          <w:szCs w:val="22"/>
        </w:rPr>
        <w:t>9</w:t>
      </w:r>
      <w:r w:rsidR="00803B63" w:rsidRPr="001C4CF7">
        <w:rPr>
          <w:szCs w:val="22"/>
        </w:rPr>
        <w:t>0</w:t>
      </w:r>
      <w:r w:rsidRPr="001C4CF7">
        <w:rPr>
          <w:szCs w:val="22"/>
        </w:rPr>
        <w:t>) calendar days</w:t>
      </w:r>
      <w:r w:rsidRPr="008C4471">
        <w:rPr>
          <w:szCs w:val="22"/>
        </w:rPr>
        <w:t xml:space="preserve"> after the Effective Date.  A person who becomes a Covered Employee at any time after the initial Compliance Training Program shall be trained within thirty (30) calendar days after the date such person becomes a Covered Employee.  </w:t>
      </w:r>
      <w:r>
        <w:rPr>
          <w:szCs w:val="22"/>
        </w:rPr>
        <w:t>Five9</w:t>
      </w:r>
      <w:r w:rsidRPr="008C4471">
        <w:rPr>
          <w:szCs w:val="22"/>
        </w:rPr>
        <w:t xml:space="preserve"> shall repeat the compliance training on an annual basis, and shall periodically review and revise the Compliance Training Program as necessary to ensure that it remains current and complete and to enhance its effectiveness.  </w:t>
      </w:r>
    </w:p>
    <w:p w:rsidR="00FC1050" w:rsidRPr="00D162E2" w:rsidRDefault="00FC1050" w:rsidP="00EF19BB">
      <w:pPr>
        <w:pStyle w:val="ParaNum"/>
        <w:widowControl/>
        <w:numPr>
          <w:ilvl w:val="0"/>
          <w:numId w:val="10"/>
        </w:numPr>
        <w:tabs>
          <w:tab w:val="clear" w:pos="1080"/>
        </w:tabs>
      </w:pPr>
      <w:r w:rsidRPr="000211F7">
        <w:rPr>
          <w:b/>
          <w:u w:val="single"/>
        </w:rPr>
        <w:t>Reporting Noncomplianc</w:t>
      </w:r>
      <w:r w:rsidRPr="00061975">
        <w:rPr>
          <w:b/>
          <w:u w:val="single"/>
        </w:rPr>
        <w:t>e</w:t>
      </w:r>
      <w:r w:rsidRPr="003D2FF1">
        <w:rPr>
          <w:b/>
        </w:rPr>
        <w:t xml:space="preserve">. </w:t>
      </w:r>
      <w:r w:rsidRPr="004B71AB">
        <w:t xml:space="preserve"> </w:t>
      </w:r>
      <w:r>
        <w:t>Five9</w:t>
      </w:r>
      <w:r w:rsidRPr="004B71AB">
        <w:t xml:space="preserve"> shall report any noncompliance</w:t>
      </w:r>
      <w:r>
        <w:t xml:space="preserve"> </w:t>
      </w:r>
      <w:r w:rsidR="00676D73" w:rsidRPr="003F380A">
        <w:rPr>
          <w:szCs w:val="22"/>
        </w:rPr>
        <w:t>with</w:t>
      </w:r>
      <w:r w:rsidR="00F47B6C">
        <w:rPr>
          <w:szCs w:val="22"/>
        </w:rPr>
        <w:t xml:space="preserve"> (i)</w:t>
      </w:r>
      <w:r w:rsidR="00676D73" w:rsidRPr="003F380A">
        <w:rPr>
          <w:szCs w:val="22"/>
        </w:rPr>
        <w:t xml:space="preserve"> </w:t>
      </w:r>
      <w:r w:rsidR="00A80725">
        <w:t xml:space="preserve">the </w:t>
      </w:r>
      <w:r w:rsidR="00A80725" w:rsidRPr="004C57DD">
        <w:rPr>
          <w:szCs w:val="22"/>
        </w:rPr>
        <w:t xml:space="preserve">Federal Regulatory Reporting </w:t>
      </w:r>
      <w:r w:rsidR="00A80725">
        <w:rPr>
          <w:szCs w:val="22"/>
        </w:rPr>
        <w:t xml:space="preserve">and Contribution </w:t>
      </w:r>
      <w:r w:rsidR="00A80725" w:rsidRPr="004C57DD">
        <w:rPr>
          <w:szCs w:val="22"/>
        </w:rPr>
        <w:t>Rules</w:t>
      </w:r>
      <w:r w:rsidR="00A80725">
        <w:t>, the CPNI Rules, and the International Section 214 Rules</w:t>
      </w:r>
      <w:r w:rsidR="003F380A">
        <w:t xml:space="preserve"> </w:t>
      </w:r>
      <w:r>
        <w:t xml:space="preserve">and </w:t>
      </w:r>
      <w:r w:rsidR="00F47B6C">
        <w:t xml:space="preserve">(ii) </w:t>
      </w:r>
      <w:r w:rsidRPr="004B71AB">
        <w:t xml:space="preserve">with the terms and conditions of this Consent Decree within fifteen (15) calendar days after discovery of such noncompliance.  Such reports shall include a detailed explanation of:  (i) each instance of noncompliance; (ii) the steps that </w:t>
      </w:r>
      <w:r>
        <w:rPr>
          <w:szCs w:val="22"/>
        </w:rPr>
        <w:t xml:space="preserve">Five9 </w:t>
      </w:r>
      <w:r w:rsidRPr="004B71AB">
        <w:t xml:space="preserve">has taken or will take to remedy such noncompliance; (iii) the schedule on which such remedial actions will be taken; and (iv) the steps that the </w:t>
      </w:r>
      <w:r>
        <w:rPr>
          <w:szCs w:val="22"/>
        </w:rPr>
        <w:t xml:space="preserve">Five9 </w:t>
      </w:r>
      <w:r w:rsidRPr="004B71AB">
        <w:t>has taken or will take to prevent the recurrence of any such noncompliance.  All reports of noncompliance shall be submitted to the Chief, Investigations and Hearings Division, Enforcement Bureau, Federal Communications Commission, 445 12</w:t>
      </w:r>
      <w:r w:rsidRPr="000211F7">
        <w:rPr>
          <w:vertAlign w:val="superscript"/>
        </w:rPr>
        <w:t>th</w:t>
      </w:r>
      <w:r>
        <w:t xml:space="preserve"> Street, SW, Room 4-C</w:t>
      </w:r>
      <w:r w:rsidRPr="004B71AB">
        <w:t xml:space="preserve">224, Washington, DC 20554, with a copy submitted electronically to </w:t>
      </w:r>
      <w:r>
        <w:t xml:space="preserve">Jeffrey Gee </w:t>
      </w:r>
      <w:r w:rsidRPr="00C3599E">
        <w:t xml:space="preserve">at </w:t>
      </w:r>
      <w:hyperlink r:id="rId19" w:history="1">
        <w:r w:rsidR="00002999" w:rsidRPr="00002999">
          <w:rPr>
            <w:rStyle w:val="Hyperlink"/>
            <w:color w:val="auto"/>
            <w:u w:val="none"/>
          </w:rPr>
          <w:t>Jeffrey.Gee@fcc.gov</w:t>
        </w:r>
      </w:hyperlink>
      <w:r w:rsidR="00002999">
        <w:t xml:space="preserve">, Kalun Lee at </w:t>
      </w:r>
      <w:hyperlink r:id="rId20" w:history="1">
        <w:r w:rsidR="00002999" w:rsidRPr="00002999">
          <w:rPr>
            <w:rStyle w:val="Hyperlink"/>
            <w:color w:val="auto"/>
            <w:u w:val="none"/>
          </w:rPr>
          <w:t>Kalun.Lee@fcc.gov</w:t>
        </w:r>
      </w:hyperlink>
      <w:r w:rsidR="00002999">
        <w:t>,</w:t>
      </w:r>
      <w:r w:rsidR="00002999" w:rsidRPr="00002999">
        <w:t xml:space="preserve"> </w:t>
      </w:r>
      <w:r w:rsidRPr="00002999">
        <w:t xml:space="preserve">and </w:t>
      </w:r>
      <w:r w:rsidRPr="00D162E2">
        <w:t xml:space="preserve">Pam Slipakoff at </w:t>
      </w:r>
      <w:hyperlink r:id="rId21" w:history="1">
        <w:r w:rsidRPr="00D162E2">
          <w:rPr>
            <w:rStyle w:val="Hyperlink"/>
            <w:color w:val="auto"/>
            <w:u w:val="none"/>
          </w:rPr>
          <w:t>Pam.Slipakoff@fcc.gov</w:t>
        </w:r>
      </w:hyperlink>
      <w:r w:rsidRPr="00D162E2">
        <w:t>.</w:t>
      </w:r>
    </w:p>
    <w:p w:rsidR="00FC1050" w:rsidRPr="00610963" w:rsidRDefault="00FC1050" w:rsidP="00EF19BB">
      <w:pPr>
        <w:pStyle w:val="ParaNum"/>
        <w:widowControl/>
        <w:numPr>
          <w:ilvl w:val="0"/>
          <w:numId w:val="10"/>
        </w:numPr>
        <w:tabs>
          <w:tab w:val="clear" w:pos="1080"/>
        </w:tabs>
        <w:rPr>
          <w:color w:val="000000"/>
        </w:rPr>
      </w:pPr>
      <w:r w:rsidRPr="00610963">
        <w:rPr>
          <w:b/>
          <w:u w:val="single"/>
        </w:rPr>
        <w:t>Compliance Report</w:t>
      </w:r>
      <w:r w:rsidRPr="00384F62">
        <w:rPr>
          <w:b/>
          <w:u w:val="single"/>
        </w:rPr>
        <w:t>s</w:t>
      </w:r>
      <w:r w:rsidRPr="003D2FF1">
        <w:rPr>
          <w:b/>
        </w:rPr>
        <w:t>.</w:t>
      </w:r>
      <w:r w:rsidR="000E4FB3">
        <w:t xml:space="preserve">  </w:t>
      </w:r>
      <w:r w:rsidRPr="00610963">
        <w:rPr>
          <w:szCs w:val="22"/>
        </w:rPr>
        <w:t xml:space="preserve">Five9 </w:t>
      </w:r>
      <w:r w:rsidRPr="001E30F6">
        <w:t xml:space="preserve">shall file Compliance Reports with the Commission three (3) months after the Effective Date, </w:t>
      </w:r>
      <w:r>
        <w:t>twelve (12) months after the effective date, twenty-four (24) months after the Effective Date, and thirty-six (36)</w:t>
      </w:r>
      <w:r w:rsidR="00985F17">
        <w:t xml:space="preserve"> months after the effective date.</w:t>
      </w:r>
    </w:p>
    <w:p w:rsidR="00FC1050" w:rsidRPr="001E57B5" w:rsidRDefault="00FC1050" w:rsidP="00EF19BB">
      <w:pPr>
        <w:widowControl/>
        <w:numPr>
          <w:ilvl w:val="0"/>
          <w:numId w:val="23"/>
        </w:numPr>
        <w:tabs>
          <w:tab w:val="left" w:pos="720"/>
        </w:tabs>
        <w:spacing w:after="120"/>
        <w:rPr>
          <w:color w:val="000000"/>
        </w:rPr>
      </w:pPr>
      <w:r w:rsidRPr="001E30F6">
        <w:t>Each Compliance Report shall include a detailed description of</w:t>
      </w:r>
      <w:r w:rsidRPr="001E57B5">
        <w:rPr>
          <w:szCs w:val="22"/>
        </w:rPr>
        <w:t xml:space="preserve"> </w:t>
      </w:r>
      <w:r>
        <w:rPr>
          <w:szCs w:val="22"/>
        </w:rPr>
        <w:t xml:space="preserve">Five9’s </w:t>
      </w:r>
      <w:r w:rsidRPr="001E30F6">
        <w:t xml:space="preserve">efforts during the relevant period to comply with the terms and conditions of this Consent Decree.  In addition, each Compliance Report shall include a certification by </w:t>
      </w:r>
      <w:r>
        <w:t>the</w:t>
      </w:r>
      <w:r w:rsidRPr="001E30F6">
        <w:t xml:space="preserve"> Compliance Officer, </w:t>
      </w:r>
      <w:r w:rsidRPr="00264F34">
        <w:t xml:space="preserve">as an agent of and on behalf of </w:t>
      </w:r>
      <w:r>
        <w:t>Five9</w:t>
      </w:r>
      <w:r w:rsidRPr="00264F34">
        <w:t xml:space="preserve">, stating that the Compliance Officer has personal knowledge that </w:t>
      </w:r>
      <w:r>
        <w:t>Five9</w:t>
      </w:r>
      <w:r w:rsidRPr="00264F34">
        <w:t>:  (i) has e</w:t>
      </w:r>
      <w:r w:rsidRPr="004D0189">
        <w:t>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w:t>
      </w:r>
      <w:r w:rsidR="00156372">
        <w:t xml:space="preserve"> 1</w:t>
      </w:r>
      <w:r w:rsidR="00576B6B">
        <w:t>6</w:t>
      </w:r>
      <w:r w:rsidRPr="001E30F6">
        <w:t xml:space="preserve"> of this Consent Decree.</w:t>
      </w:r>
    </w:p>
    <w:p w:rsidR="00FC1050" w:rsidRPr="004D0189" w:rsidRDefault="00FC1050" w:rsidP="00EF19BB">
      <w:pPr>
        <w:widowControl/>
        <w:numPr>
          <w:ilvl w:val="0"/>
          <w:numId w:val="23"/>
        </w:numPr>
        <w:tabs>
          <w:tab w:val="left" w:pos="720"/>
        </w:tabs>
        <w:spacing w:after="120"/>
        <w:rPr>
          <w:color w:val="000000"/>
        </w:rPr>
      </w:pPr>
      <w:r w:rsidRPr="00264F34">
        <w:t>The Compliance Officer’s certification shall be accompanied by a statement explaining the basis for such certification and shall comply with Section 1.16 of the Rules a</w:t>
      </w:r>
      <w:r w:rsidRPr="004D0189">
        <w:t>nd be subscribed to as true under penalty of perjury in substantially the form set forth in Section 1.16.</w:t>
      </w:r>
      <w:r w:rsidRPr="004D0189">
        <w:rPr>
          <w:rStyle w:val="FootnoteReference"/>
        </w:rPr>
        <w:footnoteReference w:id="33"/>
      </w:r>
    </w:p>
    <w:p w:rsidR="00FC1050" w:rsidRPr="00E5576A" w:rsidRDefault="00FC1050" w:rsidP="00EF19BB">
      <w:pPr>
        <w:widowControl/>
        <w:numPr>
          <w:ilvl w:val="0"/>
          <w:numId w:val="23"/>
        </w:numPr>
        <w:tabs>
          <w:tab w:val="left" w:pos="720"/>
        </w:tabs>
        <w:spacing w:after="120"/>
        <w:rPr>
          <w:color w:val="000000"/>
        </w:rPr>
      </w:pPr>
      <w:r w:rsidRPr="00E5576A">
        <w:t xml:space="preserve">If the Compliance Officer cannot provide the requisite certification, the Compliance Officer, as an agent of and on behalf of the </w:t>
      </w:r>
      <w:r>
        <w:t>Five9</w:t>
      </w:r>
      <w:r w:rsidRPr="00E5576A">
        <w:t xml:space="preserve">, shall provide the Commission with a detailed explanation of the reason(s) why and describe fully:  (i) each instance of noncompliance; (ii) the steps that </w:t>
      </w:r>
      <w:r>
        <w:t xml:space="preserve">Five9 </w:t>
      </w:r>
      <w:r w:rsidRPr="00E5576A">
        <w:t xml:space="preserve">has taken or will take to remedy such noncompliance, including the schedule on which proposed remedial actions will be taken; and (iii) the steps that </w:t>
      </w:r>
      <w:r>
        <w:t xml:space="preserve">Five9 </w:t>
      </w:r>
      <w:r w:rsidRPr="00E5576A">
        <w:t>has taken or will take to prevent the recurrence of any such noncompliance, including the schedule on which such preventive action will be taken.</w:t>
      </w:r>
    </w:p>
    <w:p w:rsidR="00FC1050" w:rsidRPr="00BC324B" w:rsidRDefault="00FC1050" w:rsidP="00EF19BB">
      <w:pPr>
        <w:widowControl/>
        <w:numPr>
          <w:ilvl w:val="0"/>
          <w:numId w:val="23"/>
        </w:numPr>
        <w:tabs>
          <w:tab w:val="left" w:pos="720"/>
        </w:tabs>
        <w:spacing w:after="120"/>
      </w:pPr>
      <w:r w:rsidRPr="001E30F6">
        <w:t>All Compliance Reports shall be submitted to the Chief, Investigations and Hearings Division, Enforcement Bureau, Federal Communications Commission, 445 12</w:t>
      </w:r>
      <w:r w:rsidRPr="001E30F6">
        <w:rPr>
          <w:vertAlign w:val="superscript"/>
        </w:rPr>
        <w:t>th</w:t>
      </w:r>
      <w:r>
        <w:t xml:space="preserve"> Street, SW, Room</w:t>
      </w:r>
      <w:r w:rsidRPr="001E30F6">
        <w:t xml:space="preserve"> 4</w:t>
      </w:r>
      <w:r>
        <w:t>-C</w:t>
      </w:r>
      <w:r w:rsidRPr="001E30F6">
        <w:t xml:space="preserve">224, Washington, DC 20554, with a copy submitted electronically to </w:t>
      </w:r>
      <w:r>
        <w:t xml:space="preserve">Jeffrey Gee </w:t>
      </w:r>
      <w:r w:rsidRPr="00C3599E">
        <w:t xml:space="preserve">at </w:t>
      </w:r>
      <w:hyperlink r:id="rId22" w:history="1">
        <w:r w:rsidRPr="00BC324B">
          <w:rPr>
            <w:rStyle w:val="Hyperlink"/>
            <w:color w:val="auto"/>
            <w:u w:val="none"/>
          </w:rPr>
          <w:t>Jeffrey.Gee@fcc.gov</w:t>
        </w:r>
      </w:hyperlink>
      <w:r w:rsidR="00002999">
        <w:rPr>
          <w:rStyle w:val="Hyperlink"/>
          <w:color w:val="auto"/>
          <w:u w:val="none"/>
        </w:rPr>
        <w:t xml:space="preserve">, </w:t>
      </w:r>
      <w:r w:rsidR="00002999">
        <w:t>Kalun Lee at Kalun.Lee@fcc.gov,</w:t>
      </w:r>
      <w:r w:rsidR="00DD0995">
        <w:t xml:space="preserve"> </w:t>
      </w:r>
      <w:r w:rsidRPr="00BC324B">
        <w:t xml:space="preserve">and Pam Slipakoff at </w:t>
      </w:r>
      <w:hyperlink r:id="rId23" w:history="1">
        <w:r w:rsidRPr="00BC324B">
          <w:rPr>
            <w:rStyle w:val="Hyperlink"/>
            <w:color w:val="auto"/>
            <w:u w:val="none"/>
          </w:rPr>
          <w:t>Pam.Slipakoff@fcc.gov</w:t>
        </w:r>
      </w:hyperlink>
      <w:r w:rsidRPr="00BC324B">
        <w:rPr>
          <w:rStyle w:val="Hyperlink"/>
          <w:color w:val="auto"/>
          <w:u w:val="none"/>
        </w:rPr>
        <w:t>.</w:t>
      </w:r>
    </w:p>
    <w:p w:rsidR="00FC1050" w:rsidRDefault="00FC1050" w:rsidP="00EF19BB">
      <w:pPr>
        <w:pStyle w:val="ParaNum"/>
        <w:widowControl/>
        <w:numPr>
          <w:ilvl w:val="0"/>
          <w:numId w:val="10"/>
        </w:numPr>
        <w:tabs>
          <w:tab w:val="clear" w:pos="1080"/>
        </w:tabs>
        <w:rPr>
          <w:color w:val="000000"/>
        </w:rPr>
      </w:pPr>
      <w:r w:rsidRPr="001E30F6">
        <w:rPr>
          <w:b/>
          <w:u w:val="single"/>
        </w:rPr>
        <w:t>Termination Dat</w:t>
      </w:r>
      <w:r w:rsidRPr="00061975">
        <w:rPr>
          <w:b/>
          <w:u w:val="single"/>
        </w:rPr>
        <w:t>e</w:t>
      </w:r>
      <w:r w:rsidRPr="003D2FF1">
        <w:rPr>
          <w:b/>
        </w:rPr>
        <w:t>.</w:t>
      </w:r>
      <w:r w:rsidRPr="001E30F6">
        <w:t xml:space="preserve">  </w:t>
      </w:r>
      <w:r>
        <w:t>Unless stated otherwise, the requi</w:t>
      </w:r>
      <w:r w:rsidR="00156372">
        <w:t>rements set forth in paragraphs 1</w:t>
      </w:r>
      <w:r w:rsidR="00576B6B">
        <w:t>4</w:t>
      </w:r>
      <w:r w:rsidR="00156372">
        <w:t>-1</w:t>
      </w:r>
      <w:r w:rsidR="00576B6B">
        <w:t>7</w:t>
      </w:r>
      <w:r w:rsidR="00156372">
        <w:t xml:space="preserve"> </w:t>
      </w:r>
      <w:r>
        <w:t xml:space="preserve">of this Consent Decree shall expire </w:t>
      </w:r>
      <w:r w:rsidR="000E4FB3">
        <w:t>thirty-six (36) months after the Effective Date</w:t>
      </w:r>
      <w:r>
        <w:rPr>
          <w:b/>
        </w:rPr>
        <w:t>.</w:t>
      </w:r>
    </w:p>
    <w:p w:rsidR="00FC1050" w:rsidRPr="00610963" w:rsidRDefault="00FC1050" w:rsidP="00EF19BB">
      <w:pPr>
        <w:pStyle w:val="ParaNum"/>
        <w:widowControl/>
        <w:numPr>
          <w:ilvl w:val="0"/>
          <w:numId w:val="10"/>
        </w:numPr>
        <w:tabs>
          <w:tab w:val="clear" w:pos="1080"/>
        </w:tabs>
        <w:rPr>
          <w:color w:val="000000"/>
        </w:rPr>
      </w:pPr>
      <w:r w:rsidRPr="00610963">
        <w:rPr>
          <w:b/>
          <w:u w:val="single"/>
        </w:rPr>
        <w:t>Section 208 Complaints; Subsequent Investigations</w:t>
      </w:r>
      <w:r w:rsidRPr="00610963">
        <w:rPr>
          <w:b/>
        </w:rPr>
        <w:t>.</w:t>
      </w:r>
      <w:r w:rsidRPr="00DE22C3">
        <w:t xml:space="preserve">  </w:t>
      </w:r>
      <w:r w:rsidRPr="009B4E30">
        <w:t xml:space="preserve">Nothing in this Consent Decree shall prevent the Commission or its delegated authority from adjudicating complaints filed pursuant to Section 208 of the Act against </w:t>
      </w:r>
      <w:r w:rsidR="00985F17">
        <w:t>Five9</w:t>
      </w:r>
      <w:r w:rsidRPr="009B4E30">
        <w:t xml:space="preserve"> or its affiliates for alleged violations of the Act, or for any other type of alleged misconduct, regardless of when such misconduct took place.</w:t>
      </w:r>
      <w:r w:rsidR="000E4FB3" w:rsidRPr="009B4E30">
        <w:rPr>
          <w:rStyle w:val="FootnoteReference"/>
          <w:szCs w:val="22"/>
        </w:rPr>
        <w:footnoteReference w:id="34"/>
      </w:r>
      <w:r w:rsidRPr="009B4E30">
        <w:t xml:space="preserve">  The Commission’s adjudication of any such complaint will be based solely on the record developed in that proceeding.  Except as expressly provided in this Consent Decree, this Consent Decree shall not prevent the Commission from investigating new evidence of noncompliance by</w:t>
      </w:r>
      <w:r>
        <w:t xml:space="preserve"> Five9</w:t>
      </w:r>
      <w:r w:rsidRPr="009B4E30">
        <w:t xml:space="preserve"> with the Communications Laws.</w:t>
      </w:r>
    </w:p>
    <w:p w:rsidR="00FC1050" w:rsidRPr="000E1E7C" w:rsidRDefault="00827212" w:rsidP="00EF19BB">
      <w:pPr>
        <w:pStyle w:val="ParaNum"/>
        <w:widowControl/>
        <w:tabs>
          <w:tab w:val="clear" w:pos="1080"/>
          <w:tab w:val="num" w:pos="1440"/>
        </w:tabs>
        <w:rPr>
          <w:color w:val="000000"/>
        </w:rPr>
      </w:pPr>
      <w:r>
        <w:rPr>
          <w:b/>
          <w:u w:val="single"/>
        </w:rPr>
        <w:t xml:space="preserve">Civil </w:t>
      </w:r>
      <w:r w:rsidR="00FC1050" w:rsidRPr="00805442">
        <w:rPr>
          <w:b/>
          <w:u w:val="single"/>
        </w:rPr>
        <w:t>Penalti</w:t>
      </w:r>
      <w:r w:rsidR="00FC1050" w:rsidRPr="00827212">
        <w:rPr>
          <w:b/>
          <w:u w:val="single"/>
        </w:rPr>
        <w:t>es</w:t>
      </w:r>
      <w:r w:rsidR="00FC1050" w:rsidRPr="003D2FF1">
        <w:rPr>
          <w:b/>
        </w:rPr>
        <w:t>.</w:t>
      </w:r>
      <w:r w:rsidR="00FC1050" w:rsidRPr="00805442">
        <w:rPr>
          <w:b/>
        </w:rPr>
        <w:t xml:space="preserve">  </w:t>
      </w:r>
      <w:r w:rsidR="00FC1050">
        <w:t xml:space="preserve">Five9 </w:t>
      </w:r>
      <w:r w:rsidR="00FC1050" w:rsidRPr="00805442">
        <w:rPr>
          <w:rFonts w:eastAsia="MS Mincho"/>
        </w:rPr>
        <w:t xml:space="preserve">agrees that it will pay civil penalties to the United States Treasury in the </w:t>
      </w:r>
      <w:r w:rsidR="00FC1050" w:rsidRPr="000E1E7C">
        <w:rPr>
          <w:rFonts w:eastAsia="MS Mincho"/>
        </w:rPr>
        <w:t xml:space="preserve">amount of </w:t>
      </w:r>
      <w:r w:rsidR="00FC1050" w:rsidRPr="000E1E7C">
        <w:t>two million dollars ($2,000,000)</w:t>
      </w:r>
      <w:r w:rsidR="00FC1050">
        <w:t xml:space="preserve"> </w:t>
      </w:r>
      <w:r w:rsidR="00FC1050" w:rsidRPr="000E1E7C">
        <w:t>(Civil</w:t>
      </w:r>
      <w:r w:rsidR="00FC1050">
        <w:t xml:space="preserve"> Penalties</w:t>
      </w:r>
      <w:r w:rsidR="00FC1050" w:rsidRPr="0005229E">
        <w:t xml:space="preserve">); such </w:t>
      </w:r>
      <w:r w:rsidR="00FC1050">
        <w:t>Civil Penalties</w:t>
      </w:r>
      <w:r w:rsidR="00FC1050" w:rsidRPr="0005229E">
        <w:t xml:space="preserve"> to be made in</w:t>
      </w:r>
      <w:r w:rsidR="00FC1050">
        <w:t xml:space="preserve"> </w:t>
      </w:r>
      <w:r w:rsidR="00803B63">
        <w:t>twelve</w:t>
      </w:r>
      <w:r w:rsidR="00C64DDC">
        <w:t xml:space="preserve"> (</w:t>
      </w:r>
      <w:r w:rsidR="00803B63">
        <w:t>12</w:t>
      </w:r>
      <w:r w:rsidR="00C64DDC">
        <w:t>)</w:t>
      </w:r>
      <w:r w:rsidR="00FC1050" w:rsidRPr="0005229E">
        <w:t xml:space="preserve"> installments (each, an Installment Payment).  </w:t>
      </w:r>
      <w:r w:rsidR="00FC1050" w:rsidRPr="001F18AA">
        <w:t xml:space="preserve">The first Installment Payment in the amount of </w:t>
      </w:r>
      <w:r w:rsidR="00803B63">
        <w:t xml:space="preserve">one hundred sixty six thousand six hundred seventy four ($166,674) </w:t>
      </w:r>
      <w:r w:rsidR="00FC1050" w:rsidRPr="001F18AA">
        <w:t xml:space="preserve">is due within thirty (30) calendar days after the Effective Date.  </w:t>
      </w:r>
      <w:r w:rsidR="00FC1050" w:rsidRPr="001F18AA">
        <w:rPr>
          <w:szCs w:val="22"/>
        </w:rPr>
        <w:t xml:space="preserve">Thereafter, Installment Payments </w:t>
      </w:r>
      <w:r w:rsidR="00FC1050" w:rsidRPr="001F18AA">
        <w:t>in the amount</w:t>
      </w:r>
      <w:r w:rsidR="00FC1050" w:rsidRPr="001F18AA">
        <w:rPr>
          <w:szCs w:val="22"/>
        </w:rPr>
        <w:t xml:space="preserve"> of </w:t>
      </w:r>
      <w:r w:rsidR="00803B63">
        <w:t>one hundred sixty six thousand six hundred sixty six ($166,666)</w:t>
      </w:r>
      <w:r w:rsidR="00A41AD1">
        <w:t xml:space="preserve"> </w:t>
      </w:r>
      <w:r w:rsidR="00FC1050" w:rsidRPr="001F18AA">
        <w:t xml:space="preserve">are </w:t>
      </w:r>
      <w:r w:rsidR="00FC1050" w:rsidRPr="001F18AA">
        <w:rPr>
          <w:szCs w:val="22"/>
        </w:rPr>
        <w:t xml:space="preserve">due and payable </w:t>
      </w:r>
      <w:r w:rsidR="00C06F79">
        <w:rPr>
          <w:szCs w:val="22"/>
        </w:rPr>
        <w:t xml:space="preserve">quarterly </w:t>
      </w:r>
      <w:r w:rsidR="00002999" w:rsidRPr="00084B6B">
        <w:rPr>
          <w:szCs w:val="22"/>
        </w:rPr>
        <w:t xml:space="preserve">on the </w:t>
      </w:r>
      <w:r w:rsidR="00084B6B">
        <w:rPr>
          <w:szCs w:val="22"/>
        </w:rPr>
        <w:t>15</w:t>
      </w:r>
      <w:r w:rsidR="00084B6B" w:rsidRPr="00084B6B">
        <w:rPr>
          <w:szCs w:val="22"/>
          <w:vertAlign w:val="superscript"/>
        </w:rPr>
        <w:t>th</w:t>
      </w:r>
      <w:r w:rsidR="00084B6B">
        <w:rPr>
          <w:szCs w:val="22"/>
        </w:rPr>
        <w:t xml:space="preserve"> </w:t>
      </w:r>
      <w:r w:rsidR="00002999" w:rsidRPr="00084B6B">
        <w:rPr>
          <w:szCs w:val="22"/>
        </w:rPr>
        <w:t xml:space="preserve">of the month starting on October </w:t>
      </w:r>
      <w:r w:rsidR="00084B6B">
        <w:rPr>
          <w:szCs w:val="22"/>
        </w:rPr>
        <w:t>15</w:t>
      </w:r>
      <w:r w:rsidR="00002999" w:rsidRPr="00084B6B">
        <w:rPr>
          <w:szCs w:val="22"/>
        </w:rPr>
        <w:t xml:space="preserve">, 2015 </w:t>
      </w:r>
      <w:r w:rsidR="00C64DDC" w:rsidRPr="00084B6B">
        <w:rPr>
          <w:szCs w:val="22"/>
        </w:rPr>
        <w:t>with</w:t>
      </w:r>
      <w:r w:rsidR="00FC1050" w:rsidRPr="00084B6B">
        <w:rPr>
          <w:szCs w:val="22"/>
        </w:rPr>
        <w:t xml:space="preserve"> a final Installment Payment on </w:t>
      </w:r>
      <w:r w:rsidR="00C06F79" w:rsidRPr="00084B6B">
        <w:rPr>
          <w:szCs w:val="22"/>
        </w:rPr>
        <w:t xml:space="preserve">April </w:t>
      </w:r>
      <w:r w:rsidR="00084B6B">
        <w:rPr>
          <w:szCs w:val="22"/>
        </w:rPr>
        <w:t>15</w:t>
      </w:r>
      <w:r w:rsidR="00C8364A" w:rsidRPr="00084B6B">
        <w:rPr>
          <w:szCs w:val="22"/>
        </w:rPr>
        <w:t>,</w:t>
      </w:r>
      <w:r w:rsidR="00C06F79" w:rsidRPr="00084B6B">
        <w:rPr>
          <w:szCs w:val="22"/>
        </w:rPr>
        <w:t xml:space="preserve"> </w:t>
      </w:r>
      <w:r w:rsidR="00084B6B">
        <w:rPr>
          <w:szCs w:val="22"/>
        </w:rPr>
        <w:t>2018</w:t>
      </w:r>
      <w:r w:rsidR="00C06F79" w:rsidRPr="00084B6B">
        <w:rPr>
          <w:szCs w:val="22"/>
        </w:rPr>
        <w:t>.</w:t>
      </w:r>
      <w:r w:rsidR="00C06F79">
        <w:rPr>
          <w:szCs w:val="22"/>
        </w:rPr>
        <w:t xml:space="preserve">  </w:t>
      </w:r>
      <w:r w:rsidR="00FC1050">
        <w:t xml:space="preserve">Five9 </w:t>
      </w:r>
      <w:r w:rsidR="00FC1050" w:rsidRPr="0005229E">
        <w:t xml:space="preserve">shall make the first and all subsequent Installment Payments in United States Dollars without further demand or notice by the dates specified above.  </w:t>
      </w:r>
      <w:r w:rsidR="00FC1050">
        <w:t xml:space="preserve">Five9 </w:t>
      </w:r>
      <w:r w:rsidR="00FC1050" w:rsidRPr="0005229E">
        <w:t xml:space="preserve">acknowledges and agrees that upon execution of this Consent Decree the </w:t>
      </w:r>
      <w:r w:rsidR="00FC1050">
        <w:t>Civil Penalties</w:t>
      </w:r>
      <w:r w:rsidR="00FC1050" w:rsidRPr="0005229E">
        <w:t xml:space="preserve"> and each Installment Payment shall become a “Claim” or “Debt” as defined in 31 U.S.C. § 3701(b)(1).  Upon an Event of Default (as defined below), all procedures for collection as permitted by law may, at the Commission’s discretion, be initiated.  </w:t>
      </w:r>
      <w:r w:rsidR="00FC1050">
        <w:t xml:space="preserve">Five9 </w:t>
      </w:r>
      <w:r w:rsidR="00FC1050" w:rsidRPr="0005229E">
        <w:t xml:space="preserve">shall also send electronic notification of each Installment Payment to </w:t>
      </w:r>
      <w:r w:rsidR="00FC1050">
        <w:t xml:space="preserve">Jeffrey Gee </w:t>
      </w:r>
      <w:r w:rsidR="00FC1050" w:rsidRPr="00D162E2">
        <w:t xml:space="preserve">at </w:t>
      </w:r>
      <w:hyperlink r:id="rId24" w:history="1">
        <w:r w:rsidR="00FC1050" w:rsidRPr="00D162E2">
          <w:rPr>
            <w:rStyle w:val="Hyperlink"/>
            <w:color w:val="auto"/>
            <w:u w:val="none"/>
          </w:rPr>
          <w:t>Jeffrey.Gee@fcc.gov</w:t>
        </w:r>
      </w:hyperlink>
      <w:r w:rsidR="00FC1050" w:rsidRPr="00D162E2">
        <w:t xml:space="preserve">, </w:t>
      </w:r>
      <w:r w:rsidR="00C06F79">
        <w:t>Kalun Lee at Kalun.Lee@fcc.gov</w:t>
      </w:r>
      <w:r w:rsidR="00002999">
        <w:t>,</w:t>
      </w:r>
      <w:r w:rsidR="00FC1050" w:rsidRPr="00D162E2">
        <w:t xml:space="preserve"> and Pam Slipakoff </w:t>
      </w:r>
      <w:r w:rsidR="00FC1050" w:rsidRPr="00C3599E">
        <w:t>at</w:t>
      </w:r>
      <w:r w:rsidR="00FC1050" w:rsidRPr="00D162E2">
        <w:t xml:space="preserve"> </w:t>
      </w:r>
      <w:r w:rsidRPr="00DF1C88">
        <w:t xml:space="preserve">Pam.Slipakoff@fcc.gov on </w:t>
      </w:r>
      <w:r w:rsidR="00FC1050">
        <w:t>the date said payment is made.</w:t>
      </w:r>
      <w:r w:rsidR="00FC1050">
        <w:rPr>
          <w:color w:val="000000"/>
        </w:rPr>
        <w:t xml:space="preserve">  Each </w:t>
      </w:r>
      <w:r w:rsidR="00FC1050">
        <w:t>Installment Payment</w:t>
      </w:r>
      <w:r w:rsidR="00FC1050" w:rsidRPr="009B4E30">
        <w:t xml:space="preserve"> must be made by check or similar instrument, wire transfer, or credit card, and must include the Account Number and FRN referenced </w:t>
      </w:r>
      <w:r w:rsidR="00FC1050">
        <w:t>above</w:t>
      </w:r>
      <w:r w:rsidR="00FC1050" w:rsidRPr="009B4E30">
        <w:t>.  Regardless of the form of payment, a completed FCC Form 159 (Remittance Advice) must be submitted.</w:t>
      </w:r>
      <w:r w:rsidR="00FC1050" w:rsidRPr="009B4E30">
        <w:rPr>
          <w:rStyle w:val="FootnoteReference"/>
          <w:szCs w:val="22"/>
        </w:rPr>
        <w:footnoteReference w:id="35"/>
      </w:r>
      <w:r w:rsidR="00FC1050" w:rsidRPr="009B4E30">
        <w:t xml:space="preserve">  When completing the FCC Form 159, enter the Account N</w:t>
      </w:r>
      <w:r w:rsidR="00FC1050">
        <w:t xml:space="preserve">umber in block number 23A (call </w:t>
      </w:r>
      <w:r w:rsidR="00FC1050" w:rsidRPr="009B4E30">
        <w:t>sign/other ID) and enter the letters “FORF” in block number 24A (payment type code).</w:t>
      </w:r>
      <w:r w:rsidR="00FC1050">
        <w:t xml:space="preserve">  </w:t>
      </w:r>
      <w:r w:rsidR="00FC1050" w:rsidRPr="009B4E30">
        <w:t>Below are additional instructions you should follow based on the form of payment you select:</w:t>
      </w:r>
    </w:p>
    <w:p w:rsidR="00FC1050" w:rsidRPr="009B1285" w:rsidRDefault="00FC1050" w:rsidP="00EF19BB">
      <w:pPr>
        <w:pStyle w:val="ParaNum"/>
        <w:widowControl/>
        <w:numPr>
          <w:ilvl w:val="0"/>
          <w:numId w:val="1"/>
        </w:numPr>
        <w:tabs>
          <w:tab w:val="clear" w:pos="360"/>
        </w:tabs>
        <w:ind w:left="1080"/>
        <w:rPr>
          <w:rFonts w:eastAsia="ヒラギノ角ゴ Pro W3"/>
          <w:color w:val="000000"/>
        </w:rPr>
      </w:pPr>
      <w:r w:rsidRPr="00E5576A">
        <w:rPr>
          <w:rFonts w:eastAsia="MS Mincho"/>
          <w:color w:val="000000"/>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w:t>
      </w:r>
      <w:r w:rsidRPr="00E5576A">
        <w:rPr>
          <w:rFonts w:eastAsia="MS Mincho"/>
          <w:color w:val="000000"/>
        </w:rPr>
        <w:noBreakHyphen/>
        <w:t>MO</w:t>
      </w:r>
      <w:r w:rsidRPr="00E5576A">
        <w:rPr>
          <w:rFonts w:eastAsia="MS Mincho"/>
          <w:color w:val="000000"/>
        </w:rPr>
        <w:noBreakHyphen/>
        <w:t>C2</w:t>
      </w:r>
      <w:r w:rsidRPr="00E5576A">
        <w:rPr>
          <w:rFonts w:eastAsia="MS Mincho"/>
          <w:color w:val="000000"/>
        </w:rPr>
        <w:noBreakHyphen/>
        <w:t>GL, 1005 Convention Plaza, St. Louis, MO 63101.</w:t>
      </w:r>
    </w:p>
    <w:p w:rsidR="00FC1050" w:rsidRPr="009B1285" w:rsidRDefault="00FC1050" w:rsidP="00EF19BB">
      <w:pPr>
        <w:pStyle w:val="ParaNum"/>
        <w:widowControl/>
        <w:numPr>
          <w:ilvl w:val="0"/>
          <w:numId w:val="1"/>
        </w:numPr>
        <w:tabs>
          <w:tab w:val="clear" w:pos="360"/>
        </w:tabs>
        <w:ind w:left="1080"/>
        <w:rPr>
          <w:rFonts w:eastAsia="ヒラギノ角ゴ Pro W3"/>
          <w:color w:val="000000"/>
        </w:rPr>
      </w:pPr>
      <w:r w:rsidRPr="009B1285">
        <w:rPr>
          <w:rFonts w:eastAsia="ヒラギノ角ゴ Pro W3"/>
          <w:color w:val="000000"/>
        </w:rPr>
        <w:t xml:space="preserve">Payment by wire transfer must be made to ABA Number 021030004, receiving bank TREAS/NYC, and account number 27000001.  </w:t>
      </w:r>
      <w:r w:rsidRPr="009B1285">
        <w:rPr>
          <w:rFonts w:eastAsia="MS Mincho"/>
          <w:color w:val="000000"/>
        </w:rPr>
        <w:t>To complete the wire transfer and ensure appropriate crediting of the wired funds, a completed Form 159 must be faxed to U.S. Bank at (314) 418-4232 on the same business day the wire transfer is initiated.</w:t>
      </w:r>
    </w:p>
    <w:p w:rsidR="00FC1050" w:rsidRPr="009B1285" w:rsidRDefault="00FC1050" w:rsidP="00EF19BB">
      <w:pPr>
        <w:pStyle w:val="ParaNum"/>
        <w:widowControl/>
        <w:numPr>
          <w:ilvl w:val="0"/>
          <w:numId w:val="1"/>
        </w:numPr>
        <w:tabs>
          <w:tab w:val="clear" w:pos="360"/>
        </w:tabs>
        <w:ind w:left="1080"/>
        <w:rPr>
          <w:rFonts w:eastAsia="ヒラギノ角ゴ Pro W3"/>
          <w:color w:val="000000"/>
        </w:rPr>
      </w:pPr>
      <w:r w:rsidRPr="009B1285">
        <w:rPr>
          <w:rFonts w:eastAsia="ヒラギノ角ゴ Pro W3"/>
          <w:color w:val="000000"/>
        </w:rPr>
        <w:t>Payment by credit card must be made by providing the required credit card information on FCC Form 159 and signing and dating the Form 159 to authorize the credit card payment.</w:t>
      </w:r>
      <w:r w:rsidR="000E4FB3">
        <w:rPr>
          <w:rFonts w:eastAsia="ヒラギノ角ゴ Pro W3"/>
          <w:color w:val="000000"/>
        </w:rPr>
        <w:t xml:space="preserve">  </w:t>
      </w:r>
      <w:r w:rsidRPr="009B1285">
        <w:rPr>
          <w:rFonts w:eastAsia="ヒラギノ角ゴ Pro W3"/>
          <w:color w:val="000000"/>
        </w:rPr>
        <w:t xml:space="preserve">The completed Form 159 must then be mailed to Federal Communications Commission, P.O. Box 979088, St. Louis, MO 63197-9000, or sent via overnight mail to U.S. Bank—Government Lockbox #979088, SL-MO-C2-GL, 1005 Convention Plaza, St. Louis, MO 63101.  </w:t>
      </w:r>
    </w:p>
    <w:p w:rsidR="00FC1050" w:rsidRPr="00E5576A" w:rsidRDefault="00D162E2" w:rsidP="00EF19BB">
      <w:pPr>
        <w:pStyle w:val="ParaNum"/>
        <w:widowControl/>
        <w:numPr>
          <w:ilvl w:val="0"/>
          <w:numId w:val="0"/>
        </w:numPr>
        <w:rPr>
          <w:rFonts w:eastAsia="ヒラギノ角ゴ Pro W3"/>
          <w:color w:val="000000"/>
        </w:rPr>
      </w:pPr>
      <w:r>
        <w:rPr>
          <w:rFonts w:eastAsia="ヒラギノ角ゴ Pro W3"/>
          <w:color w:val="000000"/>
        </w:rPr>
        <w:t>If Five9 has questions regarding payment procedures, it should c</w:t>
      </w:r>
      <w:r w:rsidR="00FC1050" w:rsidRPr="00E5576A">
        <w:rPr>
          <w:rFonts w:eastAsia="ヒラギノ角ゴ Pro W3"/>
          <w:color w:val="000000"/>
        </w:rPr>
        <w:t>ontact the Financial Operations Group Help Desk by phone, 1-877-480-3201, or by e-mail, ARINQUIRIES@fcc.gov with any questions about methods of payment.</w:t>
      </w:r>
    </w:p>
    <w:p w:rsidR="00FC1050" w:rsidRDefault="00FC1050" w:rsidP="00EF19BB">
      <w:pPr>
        <w:pStyle w:val="ParaNum"/>
        <w:widowControl/>
        <w:tabs>
          <w:tab w:val="clear" w:pos="1080"/>
          <w:tab w:val="num" w:pos="1440"/>
        </w:tabs>
      </w:pPr>
      <w:r w:rsidRPr="00E5576A">
        <w:rPr>
          <w:b/>
          <w:u w:val="single"/>
        </w:rPr>
        <w:t>Event of Default by Nonpayme</w:t>
      </w:r>
      <w:r w:rsidRPr="00827212">
        <w:rPr>
          <w:b/>
          <w:u w:val="single"/>
        </w:rPr>
        <w:t>nt</w:t>
      </w:r>
      <w:r w:rsidRPr="003D2FF1">
        <w:rPr>
          <w:b/>
        </w:rPr>
        <w:t xml:space="preserve">.  </w:t>
      </w:r>
      <w:r>
        <w:t>Five9</w:t>
      </w:r>
      <w:r w:rsidRPr="00E5576A">
        <w:t xml:space="preserve"> agrees that an Event of Default by Nonpayment shall occur upon the failure by </w:t>
      </w:r>
      <w:r>
        <w:t>Five9</w:t>
      </w:r>
      <w:r w:rsidRPr="00E5576A">
        <w:t xml:space="preserve"> to pay the full amount of </w:t>
      </w:r>
      <w:r w:rsidR="00D162E2">
        <w:t xml:space="preserve">any Installment </w:t>
      </w:r>
      <w:r w:rsidRPr="00E5576A">
        <w:t>on or before the due date</w:t>
      </w:r>
      <w:r>
        <w:t>s</w:t>
      </w:r>
      <w:r w:rsidRPr="00E5576A">
        <w:t xml:space="preserve"> specified in this Consent Decree.</w:t>
      </w:r>
    </w:p>
    <w:p w:rsidR="00A9511F" w:rsidRPr="0005229E" w:rsidRDefault="00FC1050" w:rsidP="00EF19BB">
      <w:pPr>
        <w:pStyle w:val="ParaNum"/>
        <w:widowControl/>
        <w:tabs>
          <w:tab w:val="clear" w:pos="1080"/>
        </w:tabs>
        <w:rPr>
          <w:szCs w:val="22"/>
        </w:rPr>
      </w:pPr>
      <w:r w:rsidRPr="00A9511F">
        <w:rPr>
          <w:b/>
          <w:u w:val="single"/>
        </w:rPr>
        <w:t xml:space="preserve">Interest, Charges for Collection, and Acceleration of Maturity </w:t>
      </w:r>
      <w:r w:rsidRPr="00827212">
        <w:rPr>
          <w:b/>
          <w:u w:val="single"/>
        </w:rPr>
        <w:t>Date</w:t>
      </w:r>
      <w:r w:rsidRPr="003D2FF1">
        <w:rPr>
          <w:b/>
        </w:rPr>
        <w:t xml:space="preserve">.  </w:t>
      </w:r>
      <w:r w:rsidR="00A9511F" w:rsidRPr="0005229E">
        <w:rPr>
          <w:szCs w:val="22"/>
        </w:rPr>
        <w:t xml:space="preserve">After an Event of Default has occurred under this Consent Decree, the then unpaid amount of the </w:t>
      </w:r>
      <w:r w:rsidR="00A9511F">
        <w:rPr>
          <w:szCs w:val="22"/>
        </w:rPr>
        <w:t>Civil Penalties</w:t>
      </w:r>
      <w:r w:rsidR="00A9511F" w:rsidRPr="0005229E">
        <w:rPr>
          <w:szCs w:val="22"/>
        </w:rPr>
        <w:t xml:space="preserve"> shall accrue interest, computed using the rate of the U.S. Prime Rate in effect on the date of the Event of Default plus 4.75 percent, from the date of the Event of Default until payment in full.  Upon an Event of Default, the then unpaid amount of the </w:t>
      </w:r>
      <w:r w:rsidR="00A9511F">
        <w:rPr>
          <w:szCs w:val="22"/>
        </w:rPr>
        <w:t>Civil Penalties</w:t>
      </w:r>
      <w:r w:rsidR="00A9511F" w:rsidRPr="0005229E">
        <w:rPr>
          <w:szCs w:val="22"/>
        </w:rPr>
        <w:t xml:space="preserve">, together with interest, as aforesaid, any penalties permitted and/or required by the law, including but not limited to interest and penalties permitted under 31 U.S.C. § 3717 and administrative charge(s), plus the costs of collection, litigation, and attorneys’ fees, shall become immediately due and payable, without notice, presentment, demand, protest, or notice of protest of any kind, all of which are waived by </w:t>
      </w:r>
      <w:r w:rsidR="00A9511F">
        <w:rPr>
          <w:szCs w:val="22"/>
        </w:rPr>
        <w:t>Five9</w:t>
      </w:r>
      <w:r w:rsidR="00A9511F" w:rsidRPr="0005229E">
        <w:rPr>
          <w:szCs w:val="22"/>
        </w:rPr>
        <w:t>.</w:t>
      </w:r>
    </w:p>
    <w:p w:rsidR="00A9511F" w:rsidRPr="008C4471" w:rsidRDefault="00FC1050" w:rsidP="00EF19BB">
      <w:pPr>
        <w:pStyle w:val="ParaNum"/>
        <w:widowControl/>
        <w:tabs>
          <w:tab w:val="clear" w:pos="1080"/>
        </w:tabs>
        <w:rPr>
          <w:szCs w:val="22"/>
        </w:rPr>
      </w:pPr>
      <w:r w:rsidRPr="00061975">
        <w:rPr>
          <w:b/>
          <w:u w:val="single"/>
        </w:rPr>
        <w:t>Waivers</w:t>
      </w:r>
      <w:r w:rsidRPr="003D2FF1">
        <w:rPr>
          <w:b/>
        </w:rPr>
        <w:t>.</w:t>
      </w:r>
      <w:r w:rsidRPr="00E5576A">
        <w:t xml:space="preserve">  </w:t>
      </w:r>
      <w:r w:rsidR="00A9511F">
        <w:rPr>
          <w:szCs w:val="22"/>
        </w:rPr>
        <w:t>Five9</w:t>
      </w:r>
      <w:r w:rsidR="00A9511F" w:rsidRPr="008C4471">
        <w:rPr>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w:t>
      </w:r>
      <w:r w:rsidR="001F7B60">
        <w:rPr>
          <w:szCs w:val="22"/>
        </w:rPr>
        <w:t>in this Consent Decree</w:t>
      </w:r>
      <w:r w:rsidR="00A9511F" w:rsidRPr="008C4471">
        <w:rPr>
          <w:szCs w:val="22"/>
        </w:rPr>
        <w:t xml:space="preserve">.  </w:t>
      </w:r>
      <w:r w:rsidR="00A9511F">
        <w:rPr>
          <w:szCs w:val="22"/>
        </w:rPr>
        <w:t xml:space="preserve">Five9 </w:t>
      </w:r>
      <w:r w:rsidR="00A9511F" w:rsidRPr="008C4471">
        <w:rPr>
          <w:szCs w:val="22"/>
        </w:rPr>
        <w:t xml:space="preserve">shall retain the right to challenge Commission interpretation of the Consent Decree or any terms contained </w:t>
      </w:r>
      <w:r w:rsidR="001F7B60">
        <w:rPr>
          <w:szCs w:val="22"/>
        </w:rPr>
        <w:t>in this Consent Decree</w:t>
      </w:r>
      <w:r w:rsidR="00A9511F" w:rsidRPr="008C4471">
        <w:rPr>
          <w:szCs w:val="22"/>
        </w:rPr>
        <w:t xml:space="preserve">.  If either Party (or the United States on behalf of the Commission) brings a judicial action to enforce the terms of the Adopting Order, neither </w:t>
      </w:r>
      <w:r w:rsidR="00A9511F">
        <w:rPr>
          <w:szCs w:val="22"/>
        </w:rPr>
        <w:t>Five9</w:t>
      </w:r>
      <w:r w:rsidR="00B0075F">
        <w:rPr>
          <w:szCs w:val="22"/>
        </w:rPr>
        <w:t xml:space="preserve"> nor </w:t>
      </w:r>
      <w:r w:rsidR="00A9511F" w:rsidRPr="008C4471">
        <w:rPr>
          <w:szCs w:val="22"/>
        </w:rPr>
        <w:t xml:space="preserve">the Commission shall contest the validity of the Consent Decree or the Adopting Order, and </w:t>
      </w:r>
      <w:r w:rsidR="00A9511F">
        <w:rPr>
          <w:szCs w:val="22"/>
        </w:rPr>
        <w:t>Five9</w:t>
      </w:r>
      <w:r w:rsidR="00B0075F">
        <w:rPr>
          <w:szCs w:val="22"/>
        </w:rPr>
        <w:t xml:space="preserve"> </w:t>
      </w:r>
      <w:r w:rsidR="00A9511F" w:rsidRPr="008C4471">
        <w:rPr>
          <w:szCs w:val="22"/>
        </w:rPr>
        <w:t xml:space="preserve">shall waive any statutory right to a trial </w:t>
      </w:r>
      <w:r w:rsidR="00A9511F" w:rsidRPr="008C4471">
        <w:rPr>
          <w:i/>
          <w:szCs w:val="22"/>
        </w:rPr>
        <w:t>de novo</w:t>
      </w:r>
      <w:r w:rsidR="00A9511F" w:rsidRPr="008C4471">
        <w:rPr>
          <w:szCs w:val="22"/>
        </w:rPr>
        <w:t xml:space="preserve">.  </w:t>
      </w:r>
      <w:r w:rsidR="00A9511F">
        <w:rPr>
          <w:szCs w:val="22"/>
        </w:rPr>
        <w:t>Five9</w:t>
      </w:r>
      <w:r w:rsidR="00B0075F">
        <w:rPr>
          <w:szCs w:val="22"/>
        </w:rPr>
        <w:t xml:space="preserve"> </w:t>
      </w:r>
      <w:r w:rsidR="00A9511F" w:rsidRPr="008C4471">
        <w:rPr>
          <w:szCs w:val="22"/>
        </w:rPr>
        <w:t>hereby agrees to waive any claims it may have under the Equal Access to Justice Act relating to the matters addressed in this Consent Decree.</w:t>
      </w:r>
      <w:r w:rsidR="00827212" w:rsidRPr="008C4471">
        <w:rPr>
          <w:rStyle w:val="FootnoteReference"/>
          <w:szCs w:val="22"/>
        </w:rPr>
        <w:footnoteReference w:id="36"/>
      </w:r>
    </w:p>
    <w:p w:rsidR="005E42F1" w:rsidRPr="005E42F1" w:rsidRDefault="005E42F1" w:rsidP="00EF19BB">
      <w:pPr>
        <w:pStyle w:val="ParaNum"/>
        <w:widowControl/>
        <w:tabs>
          <w:tab w:val="clear" w:pos="1080"/>
        </w:tabs>
        <w:rPr>
          <w:szCs w:val="22"/>
        </w:rPr>
      </w:pPr>
      <w:r w:rsidRPr="005E42F1">
        <w:rPr>
          <w:b/>
          <w:szCs w:val="22"/>
          <w:u w:val="single"/>
        </w:rPr>
        <w:t>Severability</w:t>
      </w:r>
      <w:r>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A9511F" w:rsidRPr="008C4471" w:rsidRDefault="00A9511F" w:rsidP="00EF19BB">
      <w:pPr>
        <w:pStyle w:val="ParaNum"/>
        <w:widowControl/>
        <w:tabs>
          <w:tab w:val="clear" w:pos="1080"/>
        </w:tabs>
        <w:rPr>
          <w:szCs w:val="22"/>
        </w:rPr>
      </w:pPr>
      <w:r w:rsidRPr="00061975">
        <w:rPr>
          <w:b/>
          <w:szCs w:val="22"/>
          <w:u w:val="single"/>
        </w:rPr>
        <w:t>Invalidity</w:t>
      </w:r>
      <w:r w:rsidRPr="003D2FF1">
        <w:rPr>
          <w:b/>
          <w:szCs w:val="22"/>
        </w:rPr>
        <w:t xml:space="preserve">. </w:t>
      </w:r>
      <w:r w:rsidRPr="008C4471">
        <w:rPr>
          <w:szCs w:val="22"/>
        </w:rPr>
        <w:t xml:space="preserve"> In the event that this Consent Decree in its entirety is rendered invalid by any court of competent jurisdiction, it shall become null and void and may not be used in any manner in any legal proceeding.</w:t>
      </w:r>
    </w:p>
    <w:p w:rsidR="00FC1050" w:rsidRDefault="00FC1050" w:rsidP="00EF19BB">
      <w:pPr>
        <w:pStyle w:val="ParaNum"/>
        <w:widowControl/>
        <w:tabs>
          <w:tab w:val="clear" w:pos="1080"/>
          <w:tab w:val="num" w:pos="1440"/>
        </w:tabs>
      </w:pPr>
      <w:r w:rsidRPr="00A9511F">
        <w:rPr>
          <w:b/>
          <w:u w:val="single"/>
        </w:rPr>
        <w:t xml:space="preserve">Subsequent Rule or </w:t>
      </w:r>
      <w:r w:rsidRPr="00061975">
        <w:rPr>
          <w:b/>
          <w:u w:val="single"/>
        </w:rPr>
        <w:t>Order</w:t>
      </w:r>
      <w:r w:rsidRPr="003D2FF1">
        <w:rPr>
          <w:b/>
        </w:rPr>
        <w:t>.</w:t>
      </w:r>
      <w:r w:rsidRPr="00E5576A">
        <w:t xml:space="preserve">  The Parties agree that if any provision of this Consent Decree conflicts with any subsequent rule or order adopted by the Commission (except an order specifically intended to revise the terms of this Consent Decree to which </w:t>
      </w:r>
      <w:r>
        <w:t>Five9</w:t>
      </w:r>
      <w:r w:rsidRPr="00E5576A">
        <w:t xml:space="preserve"> does not expressly consent), such provision will be superseded by such Rule or Commission order.</w:t>
      </w:r>
    </w:p>
    <w:p w:rsidR="00FC1050" w:rsidRDefault="00FC1050" w:rsidP="00EF19BB">
      <w:pPr>
        <w:pStyle w:val="ParaNum"/>
        <w:widowControl/>
        <w:tabs>
          <w:tab w:val="clear" w:pos="1080"/>
          <w:tab w:val="num" w:pos="1440"/>
        </w:tabs>
      </w:pPr>
      <w:r w:rsidRPr="00610963">
        <w:rPr>
          <w:b/>
          <w:u w:val="single"/>
        </w:rPr>
        <w:t xml:space="preserve">Successors and </w:t>
      </w:r>
      <w:r w:rsidRPr="00061975">
        <w:rPr>
          <w:b/>
          <w:u w:val="single"/>
        </w:rPr>
        <w:t>Assigns</w:t>
      </w:r>
      <w:r w:rsidRPr="003D2FF1">
        <w:rPr>
          <w:b/>
        </w:rPr>
        <w:t>.</w:t>
      </w:r>
      <w:r w:rsidRPr="00E5576A">
        <w:t xml:space="preserve">  </w:t>
      </w:r>
      <w:r>
        <w:t>Five9</w:t>
      </w:r>
      <w:r w:rsidRPr="00E5576A">
        <w:t xml:space="preserve"> agrees that the provisions of this Consent Decree shall be binding on its successors, assigns, and transferees.</w:t>
      </w:r>
    </w:p>
    <w:p w:rsidR="00FC1050" w:rsidRDefault="00FC1050" w:rsidP="00EF19BB">
      <w:pPr>
        <w:pStyle w:val="ParaNum"/>
        <w:widowControl/>
        <w:tabs>
          <w:tab w:val="clear" w:pos="1080"/>
          <w:tab w:val="num" w:pos="1440"/>
        </w:tabs>
      </w:pPr>
      <w:r w:rsidRPr="00610963">
        <w:rPr>
          <w:b/>
          <w:u w:val="single"/>
        </w:rPr>
        <w:t>Final Settlement</w:t>
      </w:r>
      <w:r w:rsidRPr="00E5576A">
        <w:t>.  The Parties agree and acknowledge that this Consent Decree shall constitute a final settlement between the Parties to the Investigation.</w:t>
      </w:r>
      <w:r w:rsidR="000E4FB3">
        <w:t xml:space="preserve">  </w:t>
      </w:r>
    </w:p>
    <w:p w:rsidR="00FC1050" w:rsidRDefault="00FC1050" w:rsidP="00EF19BB">
      <w:pPr>
        <w:pStyle w:val="ParaNum"/>
        <w:widowControl/>
        <w:tabs>
          <w:tab w:val="clear" w:pos="1080"/>
          <w:tab w:val="num" w:pos="1440"/>
        </w:tabs>
      </w:pPr>
      <w:r w:rsidRPr="00610963">
        <w:rPr>
          <w:b/>
          <w:u w:val="single"/>
        </w:rPr>
        <w:t>Modification</w:t>
      </w:r>
      <w:r w:rsidRPr="00061975">
        <w:rPr>
          <w:b/>
          <w:u w:val="single"/>
        </w:rPr>
        <w:t>s</w:t>
      </w:r>
      <w:r w:rsidRPr="003D2FF1">
        <w:rPr>
          <w:b/>
        </w:rPr>
        <w:t>.</w:t>
      </w:r>
      <w:r w:rsidRPr="00911A99">
        <w:t xml:space="preserve">  This Consent Decree cannot be modified or amended without the advance written consent of both Parties.</w:t>
      </w:r>
    </w:p>
    <w:p w:rsidR="00FC1050" w:rsidRDefault="00FC1050" w:rsidP="00EF19BB">
      <w:pPr>
        <w:pStyle w:val="ParaNum"/>
        <w:widowControl/>
        <w:tabs>
          <w:tab w:val="clear" w:pos="1080"/>
          <w:tab w:val="num" w:pos="1440"/>
        </w:tabs>
      </w:pPr>
      <w:r w:rsidRPr="00610963">
        <w:rPr>
          <w:b/>
          <w:u w:val="single"/>
        </w:rPr>
        <w:t xml:space="preserve">Paragraph </w:t>
      </w:r>
      <w:r w:rsidRPr="00061975">
        <w:rPr>
          <w:b/>
          <w:u w:val="single"/>
        </w:rPr>
        <w:t>Headings</w:t>
      </w:r>
      <w:r w:rsidRPr="003D2FF1">
        <w:rPr>
          <w:b/>
        </w:rPr>
        <w:t>.</w:t>
      </w:r>
      <w:r w:rsidRPr="00911A99">
        <w:t xml:space="preserve">  The headings of the paragraphs in this Consent Decree are inserted for convenience only and are not intended to affect the meaning or interpretation of this Consent Decree.</w:t>
      </w:r>
    </w:p>
    <w:p w:rsidR="00A9511F" w:rsidRPr="008C4471" w:rsidRDefault="00A9511F" w:rsidP="00EF19BB">
      <w:pPr>
        <w:pStyle w:val="ParaNum"/>
        <w:widowControl/>
        <w:tabs>
          <w:tab w:val="clear" w:pos="1080"/>
        </w:tabs>
        <w:rPr>
          <w:szCs w:val="22"/>
        </w:rPr>
      </w:pPr>
      <w:r w:rsidRPr="008C4471">
        <w:rPr>
          <w:b/>
          <w:szCs w:val="22"/>
          <w:u w:val="single"/>
        </w:rPr>
        <w:t xml:space="preserve">Authorized </w:t>
      </w:r>
      <w:r w:rsidRPr="00061975">
        <w:rPr>
          <w:b/>
          <w:szCs w:val="22"/>
          <w:u w:val="single"/>
        </w:rPr>
        <w:t>Representative</w:t>
      </w:r>
      <w:r w:rsidRPr="003D2FF1">
        <w:rPr>
          <w:b/>
          <w:szCs w:val="22"/>
        </w:rPr>
        <w:t>.</w:t>
      </w:r>
      <w:r w:rsidRPr="008C4471">
        <w:rPr>
          <w:szCs w:val="22"/>
        </w:rPr>
        <w:t xml:space="preserve">  Each Party represents and warrants to the other Parties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FC1050" w:rsidRPr="004B71AB" w:rsidRDefault="00FC1050" w:rsidP="00EF19BB">
      <w:pPr>
        <w:pStyle w:val="ParaNum"/>
        <w:widowControl/>
        <w:tabs>
          <w:tab w:val="clear" w:pos="1080"/>
          <w:tab w:val="num" w:pos="1440"/>
        </w:tabs>
      </w:pPr>
      <w:r w:rsidRPr="00061975">
        <w:rPr>
          <w:b/>
          <w:u w:val="single"/>
        </w:rPr>
        <w:t>Counterparts</w:t>
      </w:r>
      <w:r w:rsidRPr="003D2FF1">
        <w:rPr>
          <w:b/>
        </w:rPr>
        <w:t>.</w:t>
      </w:r>
      <w:r w:rsidRPr="004B71AB">
        <w:t xml:space="preserve">  This Consent Decree may be signed in any number of counterparts (including by </w:t>
      </w:r>
      <w:r w:rsidR="00A9511F">
        <w:t xml:space="preserve">PDF or </w:t>
      </w:r>
      <w:r w:rsidRPr="004B71AB">
        <w:t>facsimile), each of which, when executed and delivered, shall be an original, and all of which counterparts together shall constitute one and the same fully executed instrument.</w:t>
      </w:r>
    </w:p>
    <w:p w:rsidR="00FC1050" w:rsidRPr="004B71AB" w:rsidRDefault="00FC1050" w:rsidP="00EF19BB">
      <w:pPr>
        <w:pStyle w:val="ParaNum"/>
        <w:widowControl/>
        <w:numPr>
          <w:ilvl w:val="0"/>
          <w:numId w:val="0"/>
        </w:numPr>
      </w:pPr>
    </w:p>
    <w:p w:rsidR="00F3252C" w:rsidRDefault="00F3252C" w:rsidP="00EF19BB">
      <w:pPr>
        <w:pStyle w:val="BodyText1"/>
        <w:keepNext/>
        <w:keepLines/>
        <w:rPr>
          <w:rFonts w:ascii="Times New Roman" w:hAnsi="Times New Roman"/>
          <w:sz w:val="22"/>
          <w:szCs w:val="22"/>
          <w:u w:val="none"/>
        </w:rPr>
      </w:pPr>
    </w:p>
    <w:p w:rsidR="00F3252C" w:rsidRPr="008C4471" w:rsidRDefault="00F3252C" w:rsidP="00EF19BB">
      <w:pPr>
        <w:keepNext/>
        <w:keepLines/>
        <w:widowControl/>
        <w:rPr>
          <w:szCs w:val="22"/>
        </w:rPr>
      </w:pPr>
      <w:r w:rsidRPr="008C4471">
        <w:rPr>
          <w:szCs w:val="22"/>
        </w:rPr>
        <w:t>________________________________</w:t>
      </w:r>
    </w:p>
    <w:p w:rsidR="00F3252C" w:rsidRPr="008C4471" w:rsidRDefault="00F3252C" w:rsidP="00EF19BB">
      <w:pPr>
        <w:pStyle w:val="BodyText1"/>
        <w:keepNext/>
        <w:keepLines/>
        <w:rPr>
          <w:rFonts w:ascii="Times New Roman" w:hAnsi="Times New Roman"/>
          <w:sz w:val="22"/>
          <w:szCs w:val="22"/>
          <w:u w:val="none"/>
        </w:rPr>
      </w:pPr>
      <w:r w:rsidRPr="008C4471">
        <w:rPr>
          <w:rFonts w:ascii="Times New Roman" w:hAnsi="Times New Roman"/>
          <w:sz w:val="22"/>
          <w:szCs w:val="22"/>
          <w:u w:val="none"/>
        </w:rPr>
        <w:t>Travis LeBlanc</w:t>
      </w:r>
    </w:p>
    <w:p w:rsidR="00F3252C" w:rsidRPr="008C4471" w:rsidRDefault="00F3252C" w:rsidP="00EF19BB">
      <w:pPr>
        <w:pStyle w:val="BodyText1"/>
        <w:keepNext/>
        <w:keepLines/>
        <w:rPr>
          <w:rFonts w:ascii="Times New Roman" w:hAnsi="Times New Roman"/>
          <w:sz w:val="22"/>
          <w:szCs w:val="22"/>
          <w:u w:val="none"/>
        </w:rPr>
      </w:pPr>
      <w:r w:rsidRPr="008C4471">
        <w:rPr>
          <w:rFonts w:ascii="Times New Roman" w:hAnsi="Times New Roman"/>
          <w:sz w:val="22"/>
          <w:szCs w:val="22"/>
          <w:u w:val="none"/>
        </w:rPr>
        <w:t>Chief</w:t>
      </w:r>
    </w:p>
    <w:p w:rsidR="00F3252C" w:rsidRPr="008C4471" w:rsidRDefault="00F3252C" w:rsidP="00EF19BB">
      <w:pPr>
        <w:pStyle w:val="BodyText1"/>
        <w:keepNext/>
        <w:keepLines/>
        <w:rPr>
          <w:rFonts w:ascii="Times New Roman" w:hAnsi="Times New Roman"/>
          <w:sz w:val="22"/>
          <w:szCs w:val="22"/>
          <w:u w:val="none"/>
        </w:rPr>
      </w:pPr>
      <w:r w:rsidRPr="008C4471">
        <w:rPr>
          <w:rFonts w:ascii="Times New Roman" w:hAnsi="Times New Roman"/>
          <w:sz w:val="22"/>
          <w:szCs w:val="22"/>
          <w:u w:val="none"/>
        </w:rPr>
        <w:t>Enforcement Bureau</w:t>
      </w:r>
    </w:p>
    <w:p w:rsidR="00F3252C" w:rsidRPr="008C4471" w:rsidRDefault="00F3252C" w:rsidP="00EF19BB">
      <w:pPr>
        <w:keepNext/>
        <w:keepLines/>
        <w:widowControl/>
        <w:rPr>
          <w:szCs w:val="22"/>
        </w:rPr>
      </w:pPr>
    </w:p>
    <w:p w:rsidR="00F3252C" w:rsidRPr="008C4471" w:rsidRDefault="00F3252C" w:rsidP="00EF19BB">
      <w:pPr>
        <w:keepNext/>
        <w:keepLines/>
        <w:widowControl/>
        <w:rPr>
          <w:szCs w:val="22"/>
        </w:rPr>
      </w:pPr>
    </w:p>
    <w:p w:rsidR="00F3252C" w:rsidRPr="008C4471" w:rsidRDefault="00F3252C" w:rsidP="00EF19BB">
      <w:pPr>
        <w:keepNext/>
        <w:keepLines/>
        <w:widowControl/>
        <w:rPr>
          <w:szCs w:val="22"/>
        </w:rPr>
      </w:pPr>
      <w:r w:rsidRPr="008C4471">
        <w:rPr>
          <w:szCs w:val="22"/>
        </w:rPr>
        <w:t>________________________________</w:t>
      </w:r>
    </w:p>
    <w:p w:rsidR="00F3252C" w:rsidRPr="008C4471" w:rsidRDefault="00F3252C" w:rsidP="00EF19BB">
      <w:pPr>
        <w:keepNext/>
        <w:keepLines/>
        <w:widowControl/>
        <w:rPr>
          <w:szCs w:val="22"/>
        </w:rPr>
      </w:pPr>
      <w:r w:rsidRPr="008C4471">
        <w:rPr>
          <w:szCs w:val="22"/>
        </w:rPr>
        <w:t>Date</w:t>
      </w:r>
    </w:p>
    <w:p w:rsidR="00F3252C" w:rsidRPr="008C4471" w:rsidRDefault="00F3252C" w:rsidP="00EF19BB">
      <w:pPr>
        <w:keepNext/>
        <w:keepLines/>
        <w:widowControl/>
        <w:rPr>
          <w:szCs w:val="22"/>
        </w:rPr>
      </w:pPr>
    </w:p>
    <w:p w:rsidR="00F3252C" w:rsidRPr="008C4471" w:rsidRDefault="00F3252C" w:rsidP="00EF19BB">
      <w:pPr>
        <w:keepNext/>
        <w:keepLines/>
        <w:widowControl/>
        <w:rPr>
          <w:szCs w:val="22"/>
        </w:rPr>
      </w:pPr>
      <w:r w:rsidRPr="008C4471">
        <w:rPr>
          <w:szCs w:val="22"/>
        </w:rPr>
        <w:tab/>
      </w:r>
      <w:r w:rsidRPr="008C4471">
        <w:rPr>
          <w:szCs w:val="22"/>
        </w:rPr>
        <w:tab/>
      </w:r>
      <w:r w:rsidRPr="008C4471">
        <w:rPr>
          <w:szCs w:val="22"/>
        </w:rPr>
        <w:tab/>
      </w:r>
    </w:p>
    <w:p w:rsidR="00F3252C" w:rsidRPr="008C4471" w:rsidRDefault="00F3252C" w:rsidP="00EF19BB">
      <w:pPr>
        <w:keepNext/>
        <w:keepLines/>
        <w:widowControl/>
        <w:rPr>
          <w:szCs w:val="22"/>
        </w:rPr>
      </w:pPr>
    </w:p>
    <w:p w:rsidR="00F3252C" w:rsidRPr="00276C63" w:rsidRDefault="00F3252C" w:rsidP="00EF19BB">
      <w:pPr>
        <w:pStyle w:val="Heading1"/>
        <w:keepLines/>
        <w:widowControl/>
        <w:numPr>
          <w:ilvl w:val="0"/>
          <w:numId w:val="0"/>
        </w:numPr>
        <w:rPr>
          <w:b w:val="0"/>
          <w:szCs w:val="22"/>
        </w:rPr>
      </w:pPr>
      <w:r w:rsidRPr="00276C63">
        <w:rPr>
          <w:b w:val="0"/>
          <w:szCs w:val="22"/>
        </w:rPr>
        <w:t>_______________________________</w:t>
      </w:r>
    </w:p>
    <w:p w:rsidR="00F3252C" w:rsidRPr="00276C63" w:rsidRDefault="00DF4B00" w:rsidP="00EF19BB">
      <w:pPr>
        <w:widowControl/>
        <w:rPr>
          <w:szCs w:val="22"/>
        </w:rPr>
      </w:pPr>
      <w:r w:rsidRPr="00276C63">
        <w:rPr>
          <w:szCs w:val="22"/>
        </w:rPr>
        <w:t xml:space="preserve">Barry Zwarenstein </w:t>
      </w:r>
      <w:r w:rsidRPr="00276C63">
        <w:rPr>
          <w:szCs w:val="22"/>
        </w:rPr>
        <w:br/>
        <w:t>Chief Financial Officer</w:t>
      </w:r>
    </w:p>
    <w:p w:rsidR="00F3252C" w:rsidRPr="00276C63" w:rsidRDefault="00F3252C" w:rsidP="00EF19BB">
      <w:pPr>
        <w:keepNext/>
        <w:keepLines/>
        <w:widowControl/>
        <w:rPr>
          <w:szCs w:val="22"/>
        </w:rPr>
      </w:pPr>
      <w:r w:rsidRPr="00276C63">
        <w:rPr>
          <w:szCs w:val="22"/>
        </w:rPr>
        <w:t>Five9, Inc.</w:t>
      </w:r>
    </w:p>
    <w:p w:rsidR="00F3252C" w:rsidRPr="00276C63" w:rsidRDefault="00F3252C" w:rsidP="00EF19BB">
      <w:pPr>
        <w:keepNext/>
        <w:keepLines/>
        <w:widowControl/>
        <w:rPr>
          <w:szCs w:val="22"/>
        </w:rPr>
      </w:pPr>
    </w:p>
    <w:p w:rsidR="00F3252C" w:rsidRPr="00276C63" w:rsidRDefault="00F3252C" w:rsidP="00EF19BB">
      <w:pPr>
        <w:keepNext/>
        <w:keepLines/>
        <w:widowControl/>
        <w:rPr>
          <w:szCs w:val="22"/>
        </w:rPr>
      </w:pPr>
    </w:p>
    <w:p w:rsidR="00F3252C" w:rsidRPr="00276C63" w:rsidRDefault="00F3252C" w:rsidP="00EF19BB">
      <w:pPr>
        <w:keepNext/>
        <w:keepLines/>
        <w:widowControl/>
        <w:rPr>
          <w:szCs w:val="22"/>
        </w:rPr>
      </w:pPr>
    </w:p>
    <w:p w:rsidR="00F3252C" w:rsidRPr="00276C63" w:rsidRDefault="00F3252C" w:rsidP="00EF19BB">
      <w:pPr>
        <w:keepNext/>
        <w:keepLines/>
        <w:widowControl/>
        <w:rPr>
          <w:szCs w:val="22"/>
        </w:rPr>
      </w:pPr>
      <w:r w:rsidRPr="00276C63">
        <w:rPr>
          <w:szCs w:val="22"/>
        </w:rPr>
        <w:t>______________________________</w:t>
      </w:r>
    </w:p>
    <w:p w:rsidR="00F3252C" w:rsidRPr="00276C63" w:rsidRDefault="00F3252C" w:rsidP="00EF19BB">
      <w:pPr>
        <w:keepNext/>
        <w:keepLines/>
        <w:widowControl/>
        <w:rPr>
          <w:szCs w:val="22"/>
        </w:rPr>
      </w:pPr>
      <w:r w:rsidRPr="00276C63">
        <w:rPr>
          <w:szCs w:val="22"/>
        </w:rPr>
        <w:t>Date</w:t>
      </w:r>
    </w:p>
    <w:p w:rsidR="00FC1050" w:rsidRPr="004B71AB" w:rsidRDefault="00FC1050" w:rsidP="00EF19BB">
      <w:pPr>
        <w:widowControl/>
      </w:pPr>
    </w:p>
    <w:p w:rsidR="00FC1050" w:rsidRPr="004B71AB" w:rsidRDefault="00FC1050" w:rsidP="00EF19BB">
      <w:pPr>
        <w:widowControl/>
        <w:rPr>
          <w:lang w:val="fr-FR"/>
        </w:rPr>
      </w:pPr>
    </w:p>
    <w:p w:rsidR="00FC1050" w:rsidRDefault="00FC1050" w:rsidP="00EF19BB">
      <w:pPr>
        <w:widowControl/>
        <w:rPr>
          <w:lang w:val="fr-FR"/>
        </w:rPr>
      </w:pPr>
    </w:p>
    <w:p w:rsidR="002C00E8" w:rsidRPr="002C00E8" w:rsidRDefault="002C00E8" w:rsidP="00EF19BB">
      <w:pPr>
        <w:pStyle w:val="Heading1"/>
        <w:widowControl/>
        <w:numPr>
          <w:ilvl w:val="0"/>
          <w:numId w:val="0"/>
        </w:numPr>
        <w:ind w:left="720" w:hanging="720"/>
      </w:pPr>
    </w:p>
    <w:sectPr w:rsidR="002C00E8" w:rsidRPr="002C00E8" w:rsidSect="001F18AA">
      <w:footnotePr>
        <w:numRestart w:val="eachSect"/>
      </w:footnotePr>
      <w:endnotePr>
        <w:numFmt w:val="decimal"/>
      </w:endnotePr>
      <w:type w:val="continuous"/>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66" w:rsidRDefault="00EC5F66">
      <w:pPr>
        <w:spacing w:line="20" w:lineRule="exact"/>
      </w:pPr>
    </w:p>
  </w:endnote>
  <w:endnote w:type="continuationSeparator" w:id="0">
    <w:p w:rsidR="00EC5F66" w:rsidRDefault="00EC5F66">
      <w:r>
        <w:t xml:space="preserve"> </w:t>
      </w:r>
    </w:p>
  </w:endnote>
  <w:endnote w:type="continuationNotice" w:id="1">
    <w:p w:rsidR="00EC5F66" w:rsidRDefault="00EC5F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0E" w:rsidRDefault="000A710E" w:rsidP="006B4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710E" w:rsidRDefault="000A7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0E" w:rsidRPr="00575313" w:rsidRDefault="000A710E" w:rsidP="006B4F88">
    <w:pPr>
      <w:pStyle w:val="Footer"/>
      <w:framePr w:wrap="around" w:vAnchor="text" w:hAnchor="margin" w:xAlign="center" w:y="1"/>
      <w:rPr>
        <w:rStyle w:val="PageNumber"/>
      </w:rPr>
    </w:pPr>
    <w:r w:rsidRPr="00575313">
      <w:rPr>
        <w:rStyle w:val="PageNumber"/>
      </w:rPr>
      <w:fldChar w:fldCharType="begin"/>
    </w:r>
    <w:r w:rsidRPr="00575313">
      <w:rPr>
        <w:rStyle w:val="PageNumber"/>
      </w:rPr>
      <w:instrText xml:space="preserve">PAGE  </w:instrText>
    </w:r>
    <w:r w:rsidRPr="00575313">
      <w:rPr>
        <w:rStyle w:val="PageNumber"/>
      </w:rPr>
      <w:fldChar w:fldCharType="separate"/>
    </w:r>
    <w:r w:rsidR="0067577E">
      <w:rPr>
        <w:rStyle w:val="PageNumber"/>
        <w:noProof/>
      </w:rPr>
      <w:t>2</w:t>
    </w:r>
    <w:r w:rsidRPr="00575313">
      <w:rPr>
        <w:rStyle w:val="PageNumber"/>
      </w:rPr>
      <w:fldChar w:fldCharType="end"/>
    </w:r>
  </w:p>
  <w:p w:rsidR="000A710E" w:rsidRPr="00EF1757" w:rsidRDefault="000A710E" w:rsidP="006B4F88">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0E" w:rsidRDefault="000A710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0E" w:rsidRDefault="000A710E" w:rsidP="0055614C">
    <w:pPr>
      <w:pStyle w:val="Footer"/>
      <w:framePr w:wrap="around" w:vAnchor="text" w:hAnchor="margin" w:xAlign="center" w:y="1"/>
    </w:pPr>
    <w:r>
      <w:fldChar w:fldCharType="begin"/>
    </w:r>
    <w:r>
      <w:instrText xml:space="preserve">PAGE  </w:instrText>
    </w:r>
    <w:r>
      <w:fldChar w:fldCharType="end"/>
    </w:r>
  </w:p>
  <w:p w:rsidR="000A710E" w:rsidRDefault="000A71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0E" w:rsidRDefault="000A710E" w:rsidP="0055614C">
    <w:pPr>
      <w:pStyle w:val="Footer"/>
      <w:framePr w:wrap="around" w:vAnchor="text" w:hAnchor="margin" w:xAlign="center" w:y="1"/>
    </w:pPr>
    <w:r>
      <w:fldChar w:fldCharType="begin"/>
    </w:r>
    <w:r>
      <w:instrText xml:space="preserve">PAGE  </w:instrText>
    </w:r>
    <w:r>
      <w:fldChar w:fldCharType="separate"/>
    </w:r>
    <w:r w:rsidR="0067577E">
      <w:rPr>
        <w:noProof/>
      </w:rPr>
      <w:t>9</w:t>
    </w:r>
    <w:r>
      <w:fldChar w:fldCharType="end"/>
    </w:r>
  </w:p>
  <w:p w:rsidR="000A710E" w:rsidRDefault="000A710E">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0E" w:rsidRDefault="000A710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66" w:rsidRDefault="00EC5F66">
      <w:r>
        <w:separator/>
      </w:r>
    </w:p>
  </w:footnote>
  <w:footnote w:type="continuationSeparator" w:id="0">
    <w:p w:rsidR="00EC5F66" w:rsidRDefault="00EC5F66" w:rsidP="00C721AC">
      <w:pPr>
        <w:spacing w:before="120"/>
        <w:rPr>
          <w:sz w:val="20"/>
        </w:rPr>
      </w:pPr>
      <w:r>
        <w:rPr>
          <w:sz w:val="20"/>
        </w:rPr>
        <w:t xml:space="preserve">(Continued from previous page)  </w:t>
      </w:r>
      <w:r>
        <w:rPr>
          <w:sz w:val="20"/>
        </w:rPr>
        <w:separator/>
      </w:r>
    </w:p>
  </w:footnote>
  <w:footnote w:type="continuationNotice" w:id="1">
    <w:p w:rsidR="00EC5F66" w:rsidRDefault="00EC5F66" w:rsidP="00C721AC">
      <w:pPr>
        <w:jc w:val="right"/>
        <w:rPr>
          <w:sz w:val="20"/>
        </w:rPr>
      </w:pPr>
      <w:r>
        <w:rPr>
          <w:sz w:val="20"/>
        </w:rPr>
        <w:t>(continued….)</w:t>
      </w:r>
    </w:p>
  </w:footnote>
  <w:footnote w:id="2">
    <w:p w:rsidR="000A710E" w:rsidRDefault="000A710E">
      <w:pPr>
        <w:pStyle w:val="FootnoteText"/>
      </w:pPr>
      <w:r>
        <w:rPr>
          <w:rStyle w:val="FootnoteReference"/>
        </w:rPr>
        <w:footnoteRef/>
      </w:r>
      <w:r>
        <w:t xml:space="preserve"> This investigation, initiated under File No. EB-12-IH-1676, was subsequently assigned File No. EB-IHD-13-00011166.</w:t>
      </w:r>
    </w:p>
  </w:footnote>
  <w:footnote w:id="3">
    <w:p w:rsidR="000A710E" w:rsidRPr="00EF19BB" w:rsidRDefault="000A710E" w:rsidP="00EF19BB">
      <w:pPr>
        <w:pStyle w:val="ParaNum"/>
        <w:numPr>
          <w:ilvl w:val="0"/>
          <w:numId w:val="0"/>
        </w:numPr>
        <w:rPr>
          <w:sz w:val="20"/>
        </w:rPr>
      </w:pPr>
      <w:r>
        <w:rPr>
          <w:rStyle w:val="FootnoteReference"/>
        </w:rPr>
        <w:footnoteRef/>
      </w:r>
      <w:r>
        <w:t xml:space="preserve"> </w:t>
      </w:r>
      <w:r w:rsidRPr="00BB27E4">
        <w:rPr>
          <w:sz w:val="20"/>
        </w:rPr>
        <w:t>47 U.S.C. §§ 214, 222, 251(e)(2), 254(d); 47 C.F.R. §§</w:t>
      </w:r>
      <w:r w:rsidRPr="00DC4F81">
        <w:rPr>
          <w:sz w:val="20"/>
          <w:lang w:val="es-ES_tradnl"/>
        </w:rPr>
        <w:t xml:space="preserve"> </w:t>
      </w:r>
      <w:r w:rsidRPr="00DC4F81">
        <w:rPr>
          <w:sz w:val="20"/>
        </w:rPr>
        <w:t xml:space="preserve">1.1154, </w:t>
      </w:r>
      <w:r w:rsidRPr="00DC4F81">
        <w:rPr>
          <w:sz w:val="20"/>
          <w:lang w:val="es-ES_tradnl"/>
        </w:rPr>
        <w:t xml:space="preserve">1.1157, 43.61, 52.17, 52.32, 54.706, 54.711, </w:t>
      </w:r>
      <w:r w:rsidRPr="00DC4F81">
        <w:rPr>
          <w:sz w:val="20"/>
        </w:rPr>
        <w:t xml:space="preserve">63.18, </w:t>
      </w:r>
      <w:r w:rsidRPr="00DC4F81">
        <w:rPr>
          <w:sz w:val="20"/>
          <w:lang w:val="es-ES_tradnl"/>
        </w:rPr>
        <w:t>64.604, 64.1195, 64.2009(e)</w:t>
      </w:r>
      <w:r w:rsidRPr="00DC4F81">
        <w:rPr>
          <w:sz w:val="20"/>
        </w:rPr>
        <w:t>.</w:t>
      </w:r>
    </w:p>
  </w:footnote>
  <w:footnote w:id="4">
    <w:p w:rsidR="00084B6B" w:rsidRDefault="00084B6B" w:rsidP="00084B6B">
      <w:pPr>
        <w:pStyle w:val="FootnoteText"/>
      </w:pPr>
      <w:r>
        <w:rPr>
          <w:rStyle w:val="FootnoteReference"/>
        </w:rPr>
        <w:footnoteRef/>
      </w:r>
      <w:r>
        <w:t xml:space="preserve"> </w:t>
      </w:r>
      <w:r w:rsidRPr="002D79A1">
        <w:rPr>
          <w:i/>
        </w:rPr>
        <w:t>See</w:t>
      </w:r>
      <w:r>
        <w:t xml:space="preserve"> 47 CFR 1.93(b).</w:t>
      </w:r>
    </w:p>
  </w:footnote>
  <w:footnote w:id="5">
    <w:p w:rsidR="000A710E" w:rsidRDefault="000A710E">
      <w:pPr>
        <w:pStyle w:val="FootnoteText"/>
      </w:pPr>
      <w:r>
        <w:rPr>
          <w:rStyle w:val="FootnoteReference"/>
        </w:rPr>
        <w:footnoteRef/>
      </w:r>
      <w:r>
        <w:t xml:space="preserve"> 47 U.S.C. §§ 154(i), 154(j), 503(b).</w:t>
      </w:r>
    </w:p>
  </w:footnote>
  <w:footnote w:id="6">
    <w:p w:rsidR="000A710E" w:rsidRDefault="000A710E">
      <w:pPr>
        <w:pStyle w:val="FootnoteText"/>
      </w:pPr>
      <w:r>
        <w:rPr>
          <w:rStyle w:val="FootnoteReference"/>
        </w:rPr>
        <w:footnoteRef/>
      </w:r>
      <w:r>
        <w:t xml:space="preserve"> 47 C.F.R. §§ 0.111, 0.311.</w:t>
      </w:r>
    </w:p>
  </w:footnote>
  <w:footnote w:id="7">
    <w:p w:rsidR="00033995" w:rsidRDefault="00033995">
      <w:pPr>
        <w:pStyle w:val="FootnoteText"/>
      </w:pPr>
      <w:r>
        <w:rPr>
          <w:rStyle w:val="FootnoteReference"/>
        </w:rPr>
        <w:footnoteRef/>
      </w:r>
      <w:r w:rsidR="00C63068">
        <w:t xml:space="preserve"> </w:t>
      </w:r>
      <w:r w:rsidR="00BB39ED">
        <w:t xml:space="preserve">Letter from Theresa Z. Cavanaugh, Chief, Investigations and Hearings Division, FCC Enforcement Bureau, to Delbert D. Smith, Esq., Counsel to Five9, Inc. (Dec. 21, 2012) (on file in EB-IHD-13-00011166) (LOI).  </w:t>
      </w:r>
      <w:r w:rsidR="00C63068">
        <w:t>This investigation, initiated under File No. EB-12-IH-1676, was subsequently assigned File No. EB-IHD-13-00011166.</w:t>
      </w:r>
      <w:r w:rsidR="00C63068" w:rsidDel="00C63068">
        <w:t xml:space="preserve"> </w:t>
      </w:r>
      <w:r w:rsidR="00C63068">
        <w:t xml:space="preserve"> </w:t>
      </w:r>
    </w:p>
  </w:footnote>
  <w:footnote w:id="8">
    <w:p w:rsidR="000A710E" w:rsidRPr="00E92991" w:rsidRDefault="000A710E" w:rsidP="006B4F88">
      <w:pPr>
        <w:pStyle w:val="FootnoteText"/>
        <w:rPr>
          <w:lang w:val="es-ES_tradnl"/>
        </w:rPr>
      </w:pPr>
      <w:r>
        <w:rPr>
          <w:rStyle w:val="FootnoteReference"/>
        </w:rPr>
        <w:footnoteRef/>
      </w:r>
      <w:r w:rsidRPr="00E92991">
        <w:rPr>
          <w:lang w:val="es-ES_tradnl"/>
        </w:rPr>
        <w:t xml:space="preserve"> 47 U.S.C</w:t>
      </w:r>
      <w:r>
        <w:rPr>
          <w:lang w:val="es-ES_tradnl"/>
        </w:rPr>
        <w:t>.</w:t>
      </w:r>
      <w:r w:rsidRPr="00E92991">
        <w:rPr>
          <w:lang w:val="es-ES_tradnl"/>
        </w:rPr>
        <w:t xml:space="preserve"> §§ </w:t>
      </w:r>
      <w:r>
        <w:rPr>
          <w:lang w:val="es-ES_tradnl"/>
        </w:rPr>
        <w:t xml:space="preserve">214, </w:t>
      </w:r>
      <w:r>
        <w:rPr>
          <w:szCs w:val="22"/>
        </w:rPr>
        <w:t>222, 251(e)(2), 254(d)</w:t>
      </w:r>
      <w:r>
        <w:rPr>
          <w:lang w:val="es-ES_tradnl"/>
        </w:rPr>
        <w:t>.</w:t>
      </w:r>
    </w:p>
  </w:footnote>
  <w:footnote w:id="9">
    <w:p w:rsidR="000A710E" w:rsidRPr="00E92991" w:rsidRDefault="000A710E" w:rsidP="006B4F88">
      <w:pPr>
        <w:pStyle w:val="FootnoteText"/>
        <w:rPr>
          <w:lang w:val="es-ES_tradnl"/>
        </w:rPr>
      </w:pPr>
      <w:r>
        <w:rPr>
          <w:rStyle w:val="FootnoteReference"/>
        </w:rPr>
        <w:footnoteRef/>
      </w:r>
      <w:r w:rsidRPr="00E92991">
        <w:rPr>
          <w:lang w:val="es-ES_tradnl"/>
        </w:rPr>
        <w:t xml:space="preserve"> </w:t>
      </w:r>
      <w:r w:rsidRPr="00E92991">
        <w:rPr>
          <w:szCs w:val="24"/>
          <w:lang w:val="es-ES_tradnl"/>
        </w:rPr>
        <w:t xml:space="preserve">47 C.F.R. §§ </w:t>
      </w:r>
      <w:r w:rsidRPr="001520F5">
        <w:rPr>
          <w:szCs w:val="24"/>
        </w:rPr>
        <w:t xml:space="preserve">1.1154, </w:t>
      </w:r>
      <w:r w:rsidRPr="00E92991">
        <w:rPr>
          <w:szCs w:val="24"/>
          <w:lang w:val="es-ES_tradnl"/>
        </w:rPr>
        <w:t>1.1157, 43.61, 52.17, 52.32, 54.706, 54.711,</w:t>
      </w:r>
      <w:r>
        <w:rPr>
          <w:szCs w:val="24"/>
          <w:lang w:val="es-ES_tradnl"/>
        </w:rPr>
        <w:t xml:space="preserve"> 63.18,</w:t>
      </w:r>
      <w:r w:rsidRPr="00E92991">
        <w:rPr>
          <w:szCs w:val="24"/>
          <w:lang w:val="es-ES_tradnl"/>
        </w:rPr>
        <w:t xml:space="preserve"> 64.604, 64.1195, 64.2009(e)</w:t>
      </w:r>
      <w:r>
        <w:rPr>
          <w:szCs w:val="24"/>
          <w:lang w:val="es-ES_tradnl"/>
        </w:rPr>
        <w:t>.</w:t>
      </w:r>
    </w:p>
  </w:footnote>
  <w:footnote w:id="10">
    <w:p w:rsidR="001437DC" w:rsidRDefault="001437DC" w:rsidP="001437DC">
      <w:pPr>
        <w:pStyle w:val="FootnoteText"/>
        <w:tabs>
          <w:tab w:val="left" w:pos="810"/>
        </w:tabs>
      </w:pPr>
      <w:r>
        <w:rPr>
          <w:rStyle w:val="FootnoteReference"/>
        </w:rPr>
        <w:footnoteRef/>
      </w:r>
      <w:r>
        <w:t xml:space="preserve"> </w:t>
      </w:r>
      <w:r>
        <w:rPr>
          <w:i/>
        </w:rPr>
        <w:t xml:space="preserve">See </w:t>
      </w:r>
      <w:r>
        <w:t>47 C.F.R. §§ 54.706, 54.711.</w:t>
      </w:r>
    </w:p>
  </w:footnote>
  <w:footnote w:id="11">
    <w:p w:rsidR="001437DC" w:rsidRDefault="001437DC" w:rsidP="001437DC">
      <w:pPr>
        <w:pStyle w:val="FootnoteText"/>
        <w:tabs>
          <w:tab w:val="left" w:pos="810"/>
        </w:tabs>
      </w:pPr>
      <w:r>
        <w:rPr>
          <w:rStyle w:val="FootnoteReference"/>
        </w:rPr>
        <w:footnoteRef/>
      </w:r>
      <w:r>
        <w:t xml:space="preserve"> </w:t>
      </w:r>
      <w:r>
        <w:rPr>
          <w:i/>
        </w:rPr>
        <w:t xml:space="preserve">See </w:t>
      </w:r>
      <w:r>
        <w:t>47 U.S.C. §§ 251(e), 254(d); 47 C.F.R. §§ 1.1154, 1.1157, 52.17, 52.32, 64.604, 64.1195.</w:t>
      </w:r>
    </w:p>
  </w:footnote>
  <w:footnote w:id="12">
    <w:p w:rsidR="000A710E" w:rsidRDefault="000A710E" w:rsidP="00F40491">
      <w:pPr>
        <w:pStyle w:val="FootnoteText"/>
      </w:pPr>
      <w:r>
        <w:rPr>
          <w:rStyle w:val="FootnoteReference"/>
        </w:rPr>
        <w:footnoteRef/>
      </w:r>
      <w:r>
        <w:t xml:space="preserve"> </w:t>
      </w:r>
      <w:r w:rsidRPr="00606F6D">
        <w:rPr>
          <w:i/>
        </w:rPr>
        <w:t xml:space="preserve">See </w:t>
      </w:r>
      <w:r>
        <w:t>47 U.S.C. § 214(a).</w:t>
      </w:r>
    </w:p>
  </w:footnote>
  <w:footnote w:id="13">
    <w:p w:rsidR="000A710E" w:rsidRDefault="000A710E" w:rsidP="00F40491">
      <w:pPr>
        <w:pStyle w:val="FootnoteText"/>
      </w:pPr>
      <w:r>
        <w:rPr>
          <w:rStyle w:val="FootnoteReference"/>
        </w:rPr>
        <w:footnoteRef/>
      </w:r>
      <w:r>
        <w:t xml:space="preserve"> </w:t>
      </w:r>
      <w:r w:rsidRPr="002912D5">
        <w:rPr>
          <w:i/>
        </w:rPr>
        <w:t>See</w:t>
      </w:r>
      <w:r>
        <w:t xml:space="preserve"> 47 C.F.R. § 63.01(a) (authorizing “[a]ny party that would be a domestic interstate communications common carrier . . . to provide domestic, interstate services to any domestic point and to construct or operate any domestic transmission line as long as it obtains all necessary authorizations from the Commission for use of radio frequencies”).</w:t>
      </w:r>
    </w:p>
  </w:footnote>
  <w:footnote w:id="14">
    <w:p w:rsidR="000A710E" w:rsidRDefault="000A710E" w:rsidP="00F40491">
      <w:pPr>
        <w:pStyle w:val="FootnoteText"/>
      </w:pPr>
      <w:r>
        <w:rPr>
          <w:rStyle w:val="FootnoteReference"/>
        </w:rPr>
        <w:footnoteRef/>
      </w:r>
      <w:r>
        <w:t xml:space="preserve"> </w:t>
      </w:r>
      <w:r w:rsidRPr="002912D5">
        <w:rPr>
          <w:i/>
        </w:rPr>
        <w:t>See Implementation of Section 402(b)(2)(A) of the Telecom. Act of 1996</w:t>
      </w:r>
      <w:r w:rsidRPr="00D87BF8">
        <w:t>,</w:t>
      </w:r>
      <w:r w:rsidRPr="002912D5">
        <w:rPr>
          <w:i/>
        </w:rPr>
        <w:t xml:space="preserve"> </w:t>
      </w:r>
      <w:r w:rsidRPr="002912D5">
        <w:t>Repor</w:t>
      </w:r>
      <w:r>
        <w:t>t and Order in CC Docket No. 97</w:t>
      </w:r>
      <w:r>
        <w:noBreakHyphen/>
      </w:r>
      <w:r w:rsidRPr="002912D5">
        <w:t>11</w:t>
      </w:r>
      <w:r w:rsidRPr="002912D5">
        <w:rPr>
          <w:i/>
        </w:rPr>
        <w:t>,</w:t>
      </w:r>
      <w:r>
        <w:t xml:space="preserve"> Second Memorandum Opinion and Order in AAD File No. 98-43, 14 FCC Rcd 11364, 11365–66, para. 2 &amp; n.8 (1999) (</w:t>
      </w:r>
      <w:r w:rsidR="00F47B6C">
        <w:t xml:space="preserve">limiting </w:t>
      </w:r>
      <w:r>
        <w:t xml:space="preserve">grant of blanket authority </w:t>
      </w:r>
      <w:r w:rsidR="00F47B6C">
        <w:t>to</w:t>
      </w:r>
      <w:r>
        <w:t xml:space="preserve"> domestic services).</w:t>
      </w:r>
    </w:p>
  </w:footnote>
  <w:footnote w:id="15">
    <w:p w:rsidR="000A710E" w:rsidRDefault="000A710E" w:rsidP="00F40491">
      <w:pPr>
        <w:pStyle w:val="FootnoteText"/>
      </w:pPr>
      <w:r>
        <w:rPr>
          <w:rStyle w:val="FootnoteReference"/>
        </w:rPr>
        <w:footnoteRef/>
      </w:r>
      <w:r>
        <w:t xml:space="preserve"> </w:t>
      </w:r>
      <w:r w:rsidRPr="002912D5">
        <w:rPr>
          <w:i/>
        </w:rPr>
        <w:t>See</w:t>
      </w:r>
      <w:r>
        <w:t xml:space="preserve"> 47 C.F.R. § 63.18; </w:t>
      </w:r>
      <w:r w:rsidRPr="009C03E5">
        <w:rPr>
          <w:i/>
        </w:rPr>
        <w:t>see also</w:t>
      </w:r>
      <w:r>
        <w:t xml:space="preserve"> </w:t>
      </w:r>
      <w:r w:rsidRPr="00D3498F">
        <w:rPr>
          <w:i/>
        </w:rPr>
        <w:t>1998 Biennial Regulatory Review – Review of International Common Carrier Regulations</w:t>
      </w:r>
      <w:r>
        <w:t>, Report and Order, 14 FCC Rcd 4909, 4912–17, paras. 8–18 (1999) (</w:t>
      </w:r>
      <w:r w:rsidRPr="00D3498F">
        <w:rPr>
          <w:i/>
        </w:rPr>
        <w:t>1998 International Biennial Review Order</w:t>
      </w:r>
      <w:r>
        <w:t>) (</w:t>
      </w:r>
      <w:r w:rsidR="00F47B6C">
        <w:t xml:space="preserve">streamlining </w:t>
      </w:r>
      <w:r>
        <w:t xml:space="preserve">authorization </w:t>
      </w:r>
      <w:r w:rsidR="00F47B6C">
        <w:t>process to provide</w:t>
      </w:r>
      <w:r>
        <w:t xml:space="preserve"> international services). </w:t>
      </w:r>
    </w:p>
  </w:footnote>
  <w:footnote w:id="16">
    <w:p w:rsidR="000A710E" w:rsidRDefault="000A710E" w:rsidP="00B66466">
      <w:pPr>
        <w:pStyle w:val="FootnoteText"/>
      </w:pPr>
      <w:r>
        <w:rPr>
          <w:rStyle w:val="FootnoteReference"/>
        </w:rPr>
        <w:footnoteRef/>
      </w:r>
      <w:r>
        <w:t xml:space="preserve"> </w:t>
      </w:r>
      <w:r w:rsidRPr="00246CC5">
        <w:t>47 C.F.R. § 43.61(a).</w:t>
      </w:r>
    </w:p>
  </w:footnote>
  <w:footnote w:id="17">
    <w:p w:rsidR="000A710E" w:rsidRPr="005E73B7" w:rsidRDefault="000A710E" w:rsidP="00123845">
      <w:pPr>
        <w:pStyle w:val="FootnoteText"/>
      </w:pPr>
      <w:r>
        <w:rPr>
          <w:rStyle w:val="FootnoteReference"/>
        </w:rPr>
        <w:footnoteRef/>
      </w:r>
      <w:r>
        <w:t xml:space="preserve"> </w:t>
      </w:r>
      <w:r w:rsidRPr="005E73B7">
        <w:rPr>
          <w:i/>
        </w:rPr>
        <w:t xml:space="preserve">See </w:t>
      </w:r>
      <w:r w:rsidRPr="005E73B7">
        <w:t>47 U.S.C § 222.</w:t>
      </w:r>
    </w:p>
  </w:footnote>
  <w:footnote w:id="18">
    <w:p w:rsidR="000A710E" w:rsidRDefault="000A710E" w:rsidP="00123845">
      <w:pPr>
        <w:pStyle w:val="FootnoteText"/>
      </w:pPr>
      <w:r>
        <w:rPr>
          <w:rStyle w:val="FootnoteReference"/>
        </w:rPr>
        <w:footnoteRef/>
      </w:r>
      <w:r>
        <w:t xml:space="preserve"> </w:t>
      </w:r>
      <w:r w:rsidRPr="005E73B7">
        <w:t>47 C.F.R. § 64.2009(e)</w:t>
      </w:r>
      <w:r>
        <w:t xml:space="preserve">; </w:t>
      </w:r>
      <w:r w:rsidRPr="00D50255">
        <w:rPr>
          <w:i/>
        </w:rPr>
        <w:t>s</w:t>
      </w:r>
      <w:r w:rsidRPr="005E73B7">
        <w:rPr>
          <w:i/>
        </w:rPr>
        <w:t>ee also</w:t>
      </w:r>
      <w:r w:rsidR="00F47B6C">
        <w:rPr>
          <w:i/>
        </w:rPr>
        <w:t xml:space="preserve"> </w:t>
      </w:r>
      <w:r w:rsidRPr="005E73B7">
        <w:rPr>
          <w:i/>
        </w:rPr>
        <w:t>Enforcement Advisory No. 2011-02</w:t>
      </w:r>
      <w:r w:rsidRPr="005E73B7">
        <w:t>,</w:t>
      </w:r>
      <w:r>
        <w:t xml:space="preserve"> </w:t>
      </w:r>
      <w:r w:rsidRPr="00D87BF8">
        <w:rPr>
          <w:i/>
        </w:rPr>
        <w:t>Telecommunications Carriers and Interconnected VoIP Providers Reminded of Requirement to File Annual Reports Certifying Compliance with Commission Rules Protecting Customer Proprietary Network Information</w:t>
      </w:r>
      <w:r>
        <w:t xml:space="preserve">, Public Notice, </w:t>
      </w:r>
      <w:r w:rsidRPr="002D2E3A">
        <w:t>26 FCC</w:t>
      </w:r>
      <w:r>
        <w:t xml:space="preserve"> </w:t>
      </w:r>
      <w:r w:rsidRPr="002D2E3A">
        <w:t>R</w:t>
      </w:r>
      <w:r>
        <w:t>cd</w:t>
      </w:r>
      <w:r w:rsidRPr="002D2E3A">
        <w:t xml:space="preserve"> 650</w:t>
      </w:r>
      <w:r w:rsidRPr="005E73B7">
        <w:t xml:space="preserve"> (</w:t>
      </w:r>
      <w:r>
        <w:t>Enf. Bur.</w:t>
      </w:r>
      <w:r w:rsidRPr="005E73B7">
        <w:t xml:space="preserve"> 2011)</w:t>
      </w:r>
      <w:r>
        <w:t xml:space="preserve">. </w:t>
      </w:r>
    </w:p>
  </w:footnote>
  <w:footnote w:id="19">
    <w:p w:rsidR="000A710E" w:rsidRPr="006B6203" w:rsidRDefault="000A710E">
      <w:pPr>
        <w:pStyle w:val="FootnoteText"/>
      </w:pPr>
      <w:r>
        <w:rPr>
          <w:rStyle w:val="FootnoteReference"/>
        </w:rPr>
        <w:footnoteRef/>
      </w:r>
      <w:r>
        <w:t xml:space="preserve"> </w:t>
      </w:r>
      <w:r w:rsidR="00090C78">
        <w:rPr>
          <w:i/>
        </w:rPr>
        <w:t>See Five9 Is the Cloud C</w:t>
      </w:r>
      <w:r>
        <w:rPr>
          <w:i/>
        </w:rPr>
        <w:t>ontact Center Software Leader</w:t>
      </w:r>
      <w:r>
        <w:t xml:space="preserve">, </w:t>
      </w:r>
      <w:r w:rsidRPr="003D2FF1">
        <w:t>http://www.five9.com/about</w:t>
      </w:r>
      <w:r>
        <w:rPr>
          <w:i/>
        </w:rPr>
        <w:t xml:space="preserve"> </w:t>
      </w:r>
      <w:r>
        <w:t xml:space="preserve">(last viewed </w:t>
      </w:r>
      <w:r w:rsidR="00090C78">
        <w:t>Nov. 24, 2014</w:t>
      </w:r>
      <w:r>
        <w:rPr>
          <w:b/>
        </w:rPr>
        <w:t xml:space="preserve">); </w:t>
      </w:r>
      <w:r>
        <w:t>Letter from Delbert D. Smith, Esq.</w:t>
      </w:r>
      <w:r w:rsidR="00B0075F">
        <w:t>,</w:t>
      </w:r>
      <w:r>
        <w:t xml:space="preserve"> Counsel to Five9, Inc.</w:t>
      </w:r>
      <w:r w:rsidR="00B0075F">
        <w:t>,</w:t>
      </w:r>
      <w:r>
        <w:t xml:space="preserve"> to Marlene H. Dortch, Secretary, Federal Communications Commission, </w:t>
      </w:r>
      <w:r w:rsidR="00714BC5">
        <w:t xml:space="preserve">at </w:t>
      </w:r>
      <w:r>
        <w:t>1 (Jan. 22, 2013) (on file in EB-IHD-13-00011166) (LOI Response).</w:t>
      </w:r>
    </w:p>
  </w:footnote>
  <w:footnote w:id="20">
    <w:p w:rsidR="000A710E" w:rsidRPr="00C22DE9" w:rsidRDefault="000A710E">
      <w:pPr>
        <w:pStyle w:val="FootnoteText"/>
      </w:pPr>
      <w:r>
        <w:rPr>
          <w:rStyle w:val="FootnoteReference"/>
        </w:rPr>
        <w:footnoteRef/>
      </w:r>
      <w:r>
        <w:t xml:space="preserve"> </w:t>
      </w:r>
      <w:r>
        <w:rPr>
          <w:i/>
        </w:rPr>
        <w:t>See id</w:t>
      </w:r>
      <w:r>
        <w:t>. at 6</w:t>
      </w:r>
      <w:r w:rsidR="003A72A1">
        <w:t>, 9</w:t>
      </w:r>
      <w:r>
        <w:t>.</w:t>
      </w:r>
    </w:p>
  </w:footnote>
  <w:footnote w:id="21">
    <w:p w:rsidR="000A710E" w:rsidRPr="00090C78" w:rsidRDefault="000A710E">
      <w:pPr>
        <w:pStyle w:val="FootnoteText"/>
        <w:rPr>
          <w:b/>
        </w:rPr>
      </w:pPr>
      <w:r>
        <w:rPr>
          <w:rStyle w:val="FootnoteReference"/>
        </w:rPr>
        <w:footnoteRef/>
      </w:r>
      <w:r>
        <w:t xml:space="preserve"> </w:t>
      </w:r>
      <w:r>
        <w:rPr>
          <w:i/>
        </w:rPr>
        <w:t>See id</w:t>
      </w:r>
      <w:r w:rsidR="003A72A1">
        <w:t xml:space="preserve">. at </w:t>
      </w:r>
      <w:r w:rsidR="00EE5429">
        <w:t>9-</w:t>
      </w:r>
      <w:r w:rsidR="003A72A1">
        <w:t>10.</w:t>
      </w:r>
    </w:p>
  </w:footnote>
  <w:footnote w:id="22">
    <w:p w:rsidR="00EE5429" w:rsidRPr="00EE5429" w:rsidRDefault="00EE5429">
      <w:pPr>
        <w:pStyle w:val="FootnoteText"/>
      </w:pPr>
      <w:r>
        <w:rPr>
          <w:rStyle w:val="FootnoteReference"/>
        </w:rPr>
        <w:footnoteRef/>
      </w:r>
      <w:r>
        <w:t xml:space="preserve"> </w:t>
      </w:r>
      <w:r>
        <w:rPr>
          <w:i/>
        </w:rPr>
        <w:t>See id</w:t>
      </w:r>
      <w:r>
        <w:t>. at 12.</w:t>
      </w:r>
    </w:p>
  </w:footnote>
  <w:footnote w:id="23">
    <w:p w:rsidR="00BE28F7" w:rsidRPr="00426186" w:rsidRDefault="00BE28F7">
      <w:pPr>
        <w:pStyle w:val="FootnoteText"/>
      </w:pPr>
      <w:r>
        <w:rPr>
          <w:rStyle w:val="FootnoteReference"/>
        </w:rPr>
        <w:footnoteRef/>
      </w:r>
      <w:r>
        <w:t xml:space="preserve"> </w:t>
      </w:r>
      <w:r w:rsidR="00426186">
        <w:rPr>
          <w:i/>
        </w:rPr>
        <w:t>See id</w:t>
      </w:r>
      <w:r w:rsidR="003A72A1">
        <w:t>. at 12.</w:t>
      </w:r>
    </w:p>
  </w:footnote>
  <w:footnote w:id="24">
    <w:p w:rsidR="000A710E" w:rsidRPr="000341D8" w:rsidRDefault="000A710E">
      <w:pPr>
        <w:pStyle w:val="FootnoteText"/>
      </w:pPr>
      <w:r>
        <w:rPr>
          <w:rStyle w:val="FootnoteReference"/>
        </w:rPr>
        <w:footnoteRef/>
      </w:r>
      <w:r>
        <w:t xml:space="preserve"> </w:t>
      </w:r>
      <w:r>
        <w:rPr>
          <w:i/>
        </w:rPr>
        <w:t>See</w:t>
      </w:r>
      <w:r>
        <w:t xml:space="preserve"> </w:t>
      </w:r>
      <w:r>
        <w:rPr>
          <w:i/>
        </w:rPr>
        <w:t>id</w:t>
      </w:r>
      <w:r>
        <w:t>. at 12; Letter from Delbert D. Smith, Esq.</w:t>
      </w:r>
      <w:r w:rsidR="00B0075F">
        <w:t>,</w:t>
      </w:r>
      <w:r>
        <w:t xml:space="preserve"> Counsel to Five9, Inc., to Kristin Berkland, Esq., Deputy General Counsel, Universal Service Administrative Company (Dec. 17, 2012).</w:t>
      </w:r>
      <w:r w:rsidR="00F47B6C">
        <w:t xml:space="preserve">  USAC is administrator of the federal USF. 47 C.F.R. § 54.701.</w:t>
      </w:r>
    </w:p>
  </w:footnote>
  <w:footnote w:id="25">
    <w:p w:rsidR="000A710E" w:rsidRPr="00C22DE9" w:rsidRDefault="000A710E">
      <w:pPr>
        <w:pStyle w:val="FootnoteText"/>
        <w:rPr>
          <w:b/>
        </w:rPr>
      </w:pPr>
      <w:r>
        <w:rPr>
          <w:rStyle w:val="FootnoteReference"/>
        </w:rPr>
        <w:footnoteRef/>
      </w:r>
      <w:r>
        <w:t xml:space="preserve"> </w:t>
      </w:r>
      <w:r>
        <w:rPr>
          <w:i/>
        </w:rPr>
        <w:t xml:space="preserve">See </w:t>
      </w:r>
      <w:r>
        <w:t>LOI Response at 11; File No. ITC-214-20130119-0017, Attachment 1.</w:t>
      </w:r>
    </w:p>
  </w:footnote>
  <w:footnote w:id="26">
    <w:p w:rsidR="000A710E" w:rsidRPr="00B74457" w:rsidRDefault="000A710E">
      <w:pPr>
        <w:pStyle w:val="FootnoteText"/>
        <w:rPr>
          <w:b/>
        </w:rPr>
      </w:pPr>
      <w:r>
        <w:rPr>
          <w:rStyle w:val="FootnoteReference"/>
        </w:rPr>
        <w:footnoteRef/>
      </w:r>
      <w:r>
        <w:t xml:space="preserve"> </w:t>
      </w:r>
      <w:r>
        <w:rPr>
          <w:i/>
        </w:rPr>
        <w:t>See</w:t>
      </w:r>
      <w:r>
        <w:t xml:space="preserve"> LOI Response at 11; File No. ITC-STA-20130120-00016.</w:t>
      </w:r>
    </w:p>
  </w:footnote>
  <w:footnote w:id="27">
    <w:p w:rsidR="000A710E" w:rsidRPr="007F52C7" w:rsidRDefault="000A710E">
      <w:pPr>
        <w:pStyle w:val="FootnoteText"/>
        <w:rPr>
          <w:i/>
        </w:rPr>
      </w:pPr>
      <w:r>
        <w:rPr>
          <w:rStyle w:val="FootnoteReference"/>
        </w:rPr>
        <w:footnoteRef/>
      </w:r>
      <w:r>
        <w:t xml:space="preserve"> </w:t>
      </w:r>
      <w:r>
        <w:rPr>
          <w:i/>
        </w:rPr>
        <w:t xml:space="preserve">See </w:t>
      </w:r>
      <w:r>
        <w:t>File No. ITC-STA-20130120-00016, Attachment 1.</w:t>
      </w:r>
    </w:p>
  </w:footnote>
  <w:footnote w:id="28">
    <w:p w:rsidR="00084B6B" w:rsidRPr="004A05D0" w:rsidRDefault="00084B6B">
      <w:pPr>
        <w:pStyle w:val="FootnoteText"/>
      </w:pPr>
      <w:r>
        <w:rPr>
          <w:rStyle w:val="FootnoteReference"/>
        </w:rPr>
        <w:footnoteRef/>
      </w:r>
      <w:r w:rsidRPr="004A05D0">
        <w:rPr>
          <w:i/>
        </w:rPr>
        <w:t xml:space="preserve"> Se</w:t>
      </w:r>
      <w:r w:rsidR="004A05D0" w:rsidRPr="004A05D0">
        <w:rPr>
          <w:i/>
        </w:rPr>
        <w:t xml:space="preserve">e International </w:t>
      </w:r>
      <w:r w:rsidR="004A05D0">
        <w:rPr>
          <w:i/>
        </w:rPr>
        <w:t>Authorizations Granted</w:t>
      </w:r>
      <w:r w:rsidR="004A05D0">
        <w:t>, Public Notice, Rep. No. TEL-01737, DA No. 15-690 (rel. Jun. 11, 2015).</w:t>
      </w:r>
    </w:p>
  </w:footnote>
  <w:footnote w:id="29">
    <w:p w:rsidR="000A710E" w:rsidRPr="000341D8" w:rsidRDefault="000A710E" w:rsidP="000341D8">
      <w:pPr>
        <w:pStyle w:val="FootnoteText"/>
      </w:pPr>
      <w:r>
        <w:rPr>
          <w:rStyle w:val="FootnoteReference"/>
        </w:rPr>
        <w:footnoteRef/>
      </w:r>
      <w:r w:rsidRPr="00E92991">
        <w:rPr>
          <w:lang w:val="es-ES_tradnl"/>
        </w:rPr>
        <w:t xml:space="preserve"> </w:t>
      </w:r>
      <w:r>
        <w:rPr>
          <w:i/>
        </w:rPr>
        <w:t>See</w:t>
      </w:r>
      <w:r>
        <w:t xml:space="preserve"> LOI. </w:t>
      </w:r>
    </w:p>
  </w:footnote>
  <w:footnote w:id="30">
    <w:p w:rsidR="000A710E" w:rsidRPr="00185B60" w:rsidRDefault="000A710E" w:rsidP="00FC1050">
      <w:pPr>
        <w:pStyle w:val="FootnoteText"/>
      </w:pPr>
      <w:r>
        <w:rPr>
          <w:rStyle w:val="FootnoteReference"/>
        </w:rPr>
        <w:footnoteRef/>
      </w:r>
      <w:r>
        <w:t xml:space="preserve"> </w:t>
      </w:r>
      <w:r>
        <w:rPr>
          <w:i/>
        </w:rPr>
        <w:t xml:space="preserve">See </w:t>
      </w:r>
      <w:r>
        <w:t>LOI Response.</w:t>
      </w:r>
    </w:p>
  </w:footnote>
  <w:footnote w:id="31">
    <w:p w:rsidR="000A710E" w:rsidRPr="00FB3981" w:rsidRDefault="000A710E">
      <w:pPr>
        <w:pStyle w:val="FootnoteText"/>
      </w:pPr>
      <w:r>
        <w:rPr>
          <w:rStyle w:val="FootnoteReference"/>
        </w:rPr>
        <w:footnoteRef/>
      </w:r>
      <w:r>
        <w:t xml:space="preserve"> </w:t>
      </w:r>
      <w:r>
        <w:rPr>
          <w:i/>
        </w:rPr>
        <w:t xml:space="preserve">See </w:t>
      </w:r>
      <w:r>
        <w:t>Letter from Delbert D. Smith, Esq.</w:t>
      </w:r>
      <w:r w:rsidR="00B0075F">
        <w:t>,</w:t>
      </w:r>
      <w:r>
        <w:t xml:space="preserve"> Counsel to Five9, Inc.</w:t>
      </w:r>
      <w:r w:rsidR="00B0075F">
        <w:t>,</w:t>
      </w:r>
      <w:r>
        <w:t xml:space="preserve"> to Theresa Z. Cavanaugh, Chief, Investigations and Hearings Division, Enforcement Bureau, Federal Communications Commission (Aug. 14, 2013) (on file in EB-IHD-13-00011166) (LOI Response Supplement).</w:t>
      </w:r>
    </w:p>
  </w:footnote>
  <w:footnote w:id="32">
    <w:p w:rsidR="000A710E" w:rsidRPr="00FB3981" w:rsidRDefault="000A710E" w:rsidP="00FB3981">
      <w:pPr>
        <w:pStyle w:val="FootnoteText"/>
      </w:pPr>
      <w:r>
        <w:rPr>
          <w:rStyle w:val="FootnoteReference"/>
        </w:rPr>
        <w:footnoteRef/>
      </w:r>
      <w:r>
        <w:t xml:space="preserve"> </w:t>
      </w:r>
      <w:r>
        <w:rPr>
          <w:i/>
        </w:rPr>
        <w:t xml:space="preserve">See </w:t>
      </w:r>
      <w:r>
        <w:t>LOI Response Supplement at 1</w:t>
      </w:r>
      <w:r>
        <w:rPr>
          <w:szCs w:val="22"/>
        </w:rPr>
        <w:t>–</w:t>
      </w:r>
      <w:r>
        <w:t>2.</w:t>
      </w:r>
    </w:p>
  </w:footnote>
  <w:footnote w:id="33">
    <w:p w:rsidR="000A710E" w:rsidRDefault="000A710E" w:rsidP="00FC1050">
      <w:pPr>
        <w:pStyle w:val="FootnoteText"/>
        <w:tabs>
          <w:tab w:val="left" w:pos="180"/>
        </w:tabs>
      </w:pPr>
      <w:r>
        <w:rPr>
          <w:rStyle w:val="FootnoteReference"/>
          <w:szCs w:val="22"/>
        </w:rPr>
        <w:footnoteRef/>
      </w:r>
      <w:r>
        <w:t xml:space="preserve"> 47 C.F.R. § 1.16.</w:t>
      </w:r>
    </w:p>
  </w:footnote>
  <w:footnote w:id="34">
    <w:p w:rsidR="000E4FB3" w:rsidRPr="00706FC8" w:rsidRDefault="000E4FB3" w:rsidP="000E4FB3">
      <w:pPr>
        <w:pStyle w:val="FootnoteText"/>
        <w:tabs>
          <w:tab w:val="left" w:pos="810"/>
        </w:tabs>
      </w:pPr>
      <w:r w:rsidRPr="00A07FCB">
        <w:rPr>
          <w:rStyle w:val="FootnoteReference"/>
        </w:rPr>
        <w:footnoteRef/>
      </w:r>
      <w:r w:rsidRPr="003F6349">
        <w:t xml:space="preserve"> </w:t>
      </w:r>
      <w:r w:rsidRPr="00A07FCB">
        <w:t>47 U.S.C. § 208.</w:t>
      </w:r>
    </w:p>
  </w:footnote>
  <w:footnote w:id="35">
    <w:p w:rsidR="000A710E" w:rsidRPr="00042447" w:rsidRDefault="000A710E" w:rsidP="00FC1050">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36">
    <w:p w:rsidR="00827212" w:rsidRPr="008678E2" w:rsidRDefault="00827212" w:rsidP="00827212">
      <w:pPr>
        <w:pStyle w:val="FootnoteText"/>
      </w:pPr>
      <w:r w:rsidRPr="008678E2">
        <w:rPr>
          <w:rStyle w:val="FootnoteReference"/>
        </w:rPr>
        <w:footnoteRef/>
      </w:r>
      <w:r w:rsidRPr="008678E2">
        <w:t xml:space="preserve"> </w:t>
      </w:r>
      <w:r w:rsidRPr="008678E2">
        <w:rPr>
          <w:i/>
        </w:rPr>
        <w:t xml:space="preserve">See </w:t>
      </w:r>
      <w:r w:rsidRPr="008678E2">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4E" w:rsidRDefault="00E3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0E" w:rsidRPr="00E87231" w:rsidRDefault="000A710E" w:rsidP="006B4F88">
    <w:pPr>
      <w:tabs>
        <w:tab w:val="center" w:pos="4680"/>
        <w:tab w:val="right" w:pos="9360"/>
      </w:tabs>
    </w:pPr>
    <w:r>
      <w:rPr>
        <w:noProof/>
      </w:rPr>
      <mc:AlternateContent>
        <mc:Choice Requires="wps">
          <w:drawing>
            <wp:anchor distT="0" distB="0" distL="114300" distR="114300" simplePos="0" relativeHeight="251661312" behindDoc="1" locked="0" layoutInCell="0" allowOverlap="1" wp14:anchorId="4CDB6420" wp14:editId="179CFFE9">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E87231">
      <w:rPr>
        <w:b/>
      </w:rPr>
      <w:tab/>
      <w:t>Federal Communications Commission</w:t>
    </w:r>
    <w:r w:rsidRPr="00E87231">
      <w:rPr>
        <w:b/>
      </w:rPr>
      <w:tab/>
    </w:r>
    <w:r>
      <w:rPr>
        <w:b/>
        <w:spacing w:val="-2"/>
      </w:rPr>
      <w:t>DA</w:t>
    </w:r>
    <w:r w:rsidRPr="00E87231">
      <w:rPr>
        <w:b/>
        <w:spacing w:val="-2"/>
      </w:rPr>
      <w:t xml:space="preserve"> </w:t>
    </w:r>
    <w:r w:rsidR="00504F46" w:rsidRPr="00E87231">
      <w:rPr>
        <w:b/>
        <w:spacing w:val="-2"/>
      </w:rPr>
      <w:t>1</w:t>
    </w:r>
    <w:r w:rsidR="00504F46">
      <w:rPr>
        <w:b/>
        <w:spacing w:val="-2"/>
      </w:rPr>
      <w:t>5</w:t>
    </w:r>
    <w:r w:rsidRPr="00E87231">
      <w:rPr>
        <w:b/>
        <w:spacing w:val="-2"/>
      </w:rPr>
      <w:t>-</w:t>
    </w:r>
    <w:r w:rsidR="00C74928">
      <w:rPr>
        <w:b/>
        <w:spacing w:val="-2"/>
      </w:rPr>
      <w:t>686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B9" w:rsidRPr="00B112B9" w:rsidRDefault="00B112B9" w:rsidP="00B112B9">
    <w:pPr>
      <w:pStyle w:val="Header"/>
    </w:pPr>
  </w:p>
  <w:p w:rsidR="000A710E" w:rsidRPr="007A113A" w:rsidRDefault="000A710E" w:rsidP="006B4F88">
    <w:pPr>
      <w:tabs>
        <w:tab w:val="center" w:pos="4680"/>
        <w:tab w:val="right" w:pos="9360"/>
      </w:tabs>
    </w:pPr>
    <w:r>
      <w:rPr>
        <w:noProof/>
      </w:rPr>
      <mc:AlternateContent>
        <mc:Choice Requires="wps">
          <w:drawing>
            <wp:anchor distT="0" distB="0" distL="114300" distR="114300" simplePos="0" relativeHeight="251660288" behindDoc="1" locked="0" layoutInCell="0" allowOverlap="1" wp14:anchorId="7D1250C7" wp14:editId="42B1D8E8">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00C74928">
      <w:rPr>
        <w:b/>
      </w:rPr>
      <w:t xml:space="preserve"> </w:t>
    </w:r>
    <w:r w:rsidRPr="00E87231">
      <w:rPr>
        <w:b/>
      </w:rPr>
      <w:tab/>
      <w:t>Federal Communications Commission</w:t>
    </w:r>
    <w:r w:rsidRPr="00E87231">
      <w:rPr>
        <w:b/>
      </w:rPr>
      <w:tab/>
    </w:r>
    <w:r>
      <w:rPr>
        <w:b/>
        <w:spacing w:val="-2"/>
      </w:rPr>
      <w:t>DA</w:t>
    </w:r>
    <w:r w:rsidRPr="00E87231">
      <w:rPr>
        <w:b/>
        <w:spacing w:val="-2"/>
      </w:rPr>
      <w:t xml:space="preserve"> </w:t>
    </w:r>
    <w:r w:rsidR="00504F46" w:rsidRPr="00E87231">
      <w:rPr>
        <w:b/>
        <w:spacing w:val="-2"/>
      </w:rPr>
      <w:t>1</w:t>
    </w:r>
    <w:r w:rsidR="00504F46">
      <w:rPr>
        <w:b/>
        <w:spacing w:val="-2"/>
      </w:rPr>
      <w:t>5</w:t>
    </w:r>
    <w:r w:rsidRPr="00E87231">
      <w:rPr>
        <w:b/>
        <w:spacing w:val="-2"/>
      </w:rPr>
      <w:t>-</w:t>
    </w:r>
    <w:r w:rsidR="00C74928">
      <w:rPr>
        <w:b/>
        <w:spacing w:val="-2"/>
      </w:rPr>
      <w:t>686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0E" w:rsidRDefault="000A710E" w:rsidP="00810B6F">
    <w:pPr>
      <w:pStyle w:val="Header"/>
      <w:rPr>
        <w:b w:val="0"/>
      </w:rPr>
    </w:pPr>
    <w:r>
      <w:tab/>
      <w:t>Federal Communications Commission</w:t>
    </w:r>
    <w:r>
      <w:tab/>
      <w:t xml:space="preserve">DA </w:t>
    </w:r>
    <w:r w:rsidR="00504F46">
      <w:t>15</w:t>
    </w:r>
    <w:r>
      <w:t>-</w:t>
    </w:r>
    <w:r w:rsidR="00C74928">
      <w:t>686</w:t>
    </w:r>
  </w:p>
  <w:p w:rsidR="000A710E" w:rsidRDefault="000A710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BDB0470" wp14:editId="5C461374">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0A710E" w:rsidRDefault="000A710E">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0E" w:rsidRDefault="000A710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7653005" wp14:editId="4FEFF25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 xml:space="preserve">DA </w:t>
    </w:r>
    <w:r w:rsidR="00504F46">
      <w:rPr>
        <w:spacing w:val="-2"/>
      </w:rPr>
      <w:t>15</w:t>
    </w:r>
    <w:r>
      <w:rPr>
        <w:spacing w:val="-2"/>
      </w:rPr>
      <w:t>-</w:t>
    </w:r>
    <w:r w:rsidR="00C74928">
      <w:rPr>
        <w:spacing w:val="-2"/>
      </w:rPr>
      <w:t>686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6C1CE2"/>
    <w:multiLevelType w:val="hybridMultilevel"/>
    <w:tmpl w:val="9620EAA2"/>
    <w:lvl w:ilvl="0" w:tplc="F50EBE5C">
      <w:start w:val="1"/>
      <w:numFmt w:val="lowerLetter"/>
      <w:lvlText w:val="(%1)"/>
      <w:lvlJc w:val="left"/>
      <w:pPr>
        <w:tabs>
          <w:tab w:val="num" w:pos="1242"/>
        </w:tabs>
        <w:ind w:left="1242" w:hanging="432"/>
      </w:pPr>
      <w:rPr>
        <w:rFonts w:cs="Times New Roman" w:hint="default"/>
        <w:b w:val="0"/>
        <w:i w:val="0"/>
        <w:sz w:val="22"/>
        <w:szCs w:val="22"/>
      </w:rPr>
    </w:lvl>
    <w:lvl w:ilvl="1" w:tplc="04090019" w:tentative="1">
      <w:start w:val="1"/>
      <w:numFmt w:val="lowerLetter"/>
      <w:lvlText w:val="%2."/>
      <w:lvlJc w:val="left"/>
      <w:pPr>
        <w:tabs>
          <w:tab w:val="num" w:pos="-342"/>
        </w:tabs>
        <w:ind w:left="-342" w:hanging="360"/>
      </w:pPr>
    </w:lvl>
    <w:lvl w:ilvl="2" w:tplc="0409001B" w:tentative="1">
      <w:start w:val="1"/>
      <w:numFmt w:val="lowerRoman"/>
      <w:lvlText w:val="%3."/>
      <w:lvlJc w:val="right"/>
      <w:pPr>
        <w:tabs>
          <w:tab w:val="num" w:pos="378"/>
        </w:tabs>
        <w:ind w:left="378" w:hanging="180"/>
      </w:pPr>
    </w:lvl>
    <w:lvl w:ilvl="3" w:tplc="0409000F" w:tentative="1">
      <w:start w:val="1"/>
      <w:numFmt w:val="decimal"/>
      <w:lvlText w:val="%4."/>
      <w:lvlJc w:val="left"/>
      <w:pPr>
        <w:tabs>
          <w:tab w:val="num" w:pos="1098"/>
        </w:tabs>
        <w:ind w:left="1098" w:hanging="360"/>
      </w:pPr>
    </w:lvl>
    <w:lvl w:ilvl="4" w:tplc="04090019" w:tentative="1">
      <w:start w:val="1"/>
      <w:numFmt w:val="lowerLetter"/>
      <w:lvlText w:val="%5."/>
      <w:lvlJc w:val="left"/>
      <w:pPr>
        <w:tabs>
          <w:tab w:val="num" w:pos="1818"/>
        </w:tabs>
        <w:ind w:left="1818" w:hanging="360"/>
      </w:pPr>
    </w:lvl>
    <w:lvl w:ilvl="5" w:tplc="0409001B" w:tentative="1">
      <w:start w:val="1"/>
      <w:numFmt w:val="lowerRoman"/>
      <w:lvlText w:val="%6."/>
      <w:lvlJc w:val="right"/>
      <w:pPr>
        <w:tabs>
          <w:tab w:val="num" w:pos="2538"/>
        </w:tabs>
        <w:ind w:left="2538" w:hanging="180"/>
      </w:pPr>
    </w:lvl>
    <w:lvl w:ilvl="6" w:tplc="0409000F" w:tentative="1">
      <w:start w:val="1"/>
      <w:numFmt w:val="decimal"/>
      <w:lvlText w:val="%7."/>
      <w:lvlJc w:val="left"/>
      <w:pPr>
        <w:tabs>
          <w:tab w:val="num" w:pos="3258"/>
        </w:tabs>
        <w:ind w:left="3258" w:hanging="360"/>
      </w:pPr>
    </w:lvl>
    <w:lvl w:ilvl="7" w:tplc="04090019" w:tentative="1">
      <w:start w:val="1"/>
      <w:numFmt w:val="lowerLetter"/>
      <w:lvlText w:val="%8."/>
      <w:lvlJc w:val="left"/>
      <w:pPr>
        <w:tabs>
          <w:tab w:val="num" w:pos="3978"/>
        </w:tabs>
        <w:ind w:left="3978" w:hanging="360"/>
      </w:pPr>
    </w:lvl>
    <w:lvl w:ilvl="8" w:tplc="0409001B" w:tentative="1">
      <w:start w:val="1"/>
      <w:numFmt w:val="lowerRoman"/>
      <w:lvlText w:val="%9."/>
      <w:lvlJc w:val="right"/>
      <w:pPr>
        <w:tabs>
          <w:tab w:val="num" w:pos="4698"/>
        </w:tabs>
        <w:ind w:left="4698" w:hanging="180"/>
      </w:pPr>
    </w:lvl>
  </w:abstractNum>
  <w:abstractNum w:abstractNumId="2">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980"/>
        </w:tabs>
        <w:ind w:left="198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0B058F8"/>
    <w:multiLevelType w:val="hybridMultilevel"/>
    <w:tmpl w:val="9620EAA2"/>
    <w:lvl w:ilvl="0" w:tplc="F50EBE5C">
      <w:start w:val="1"/>
      <w:numFmt w:val="lowerLetter"/>
      <w:lvlText w:val="(%1)"/>
      <w:lvlJc w:val="left"/>
      <w:pPr>
        <w:tabs>
          <w:tab w:val="num" w:pos="1242"/>
        </w:tabs>
        <w:ind w:left="1242" w:hanging="432"/>
      </w:pPr>
      <w:rPr>
        <w:rFonts w:cs="Times New Roman" w:hint="default"/>
        <w:b w:val="0"/>
        <w:i w:val="0"/>
        <w:sz w:val="22"/>
        <w:szCs w:val="22"/>
      </w:rPr>
    </w:lvl>
    <w:lvl w:ilvl="1" w:tplc="04090019" w:tentative="1">
      <w:start w:val="1"/>
      <w:numFmt w:val="lowerLetter"/>
      <w:lvlText w:val="%2."/>
      <w:lvlJc w:val="left"/>
      <w:pPr>
        <w:tabs>
          <w:tab w:val="num" w:pos="-342"/>
        </w:tabs>
        <w:ind w:left="-342" w:hanging="360"/>
      </w:pPr>
    </w:lvl>
    <w:lvl w:ilvl="2" w:tplc="0409001B" w:tentative="1">
      <w:start w:val="1"/>
      <w:numFmt w:val="lowerRoman"/>
      <w:lvlText w:val="%3."/>
      <w:lvlJc w:val="right"/>
      <w:pPr>
        <w:tabs>
          <w:tab w:val="num" w:pos="378"/>
        </w:tabs>
        <w:ind w:left="378" w:hanging="180"/>
      </w:pPr>
    </w:lvl>
    <w:lvl w:ilvl="3" w:tplc="0409000F" w:tentative="1">
      <w:start w:val="1"/>
      <w:numFmt w:val="decimal"/>
      <w:lvlText w:val="%4."/>
      <w:lvlJc w:val="left"/>
      <w:pPr>
        <w:tabs>
          <w:tab w:val="num" w:pos="1098"/>
        </w:tabs>
        <w:ind w:left="1098" w:hanging="360"/>
      </w:pPr>
    </w:lvl>
    <w:lvl w:ilvl="4" w:tplc="04090019" w:tentative="1">
      <w:start w:val="1"/>
      <w:numFmt w:val="lowerLetter"/>
      <w:lvlText w:val="%5."/>
      <w:lvlJc w:val="left"/>
      <w:pPr>
        <w:tabs>
          <w:tab w:val="num" w:pos="1818"/>
        </w:tabs>
        <w:ind w:left="1818" w:hanging="360"/>
      </w:pPr>
    </w:lvl>
    <w:lvl w:ilvl="5" w:tplc="0409001B" w:tentative="1">
      <w:start w:val="1"/>
      <w:numFmt w:val="lowerRoman"/>
      <w:lvlText w:val="%6."/>
      <w:lvlJc w:val="right"/>
      <w:pPr>
        <w:tabs>
          <w:tab w:val="num" w:pos="2538"/>
        </w:tabs>
        <w:ind w:left="2538" w:hanging="180"/>
      </w:pPr>
    </w:lvl>
    <w:lvl w:ilvl="6" w:tplc="0409000F" w:tentative="1">
      <w:start w:val="1"/>
      <w:numFmt w:val="decimal"/>
      <w:lvlText w:val="%7."/>
      <w:lvlJc w:val="left"/>
      <w:pPr>
        <w:tabs>
          <w:tab w:val="num" w:pos="3258"/>
        </w:tabs>
        <w:ind w:left="3258" w:hanging="360"/>
      </w:pPr>
    </w:lvl>
    <w:lvl w:ilvl="7" w:tplc="04090019" w:tentative="1">
      <w:start w:val="1"/>
      <w:numFmt w:val="lowerLetter"/>
      <w:lvlText w:val="%8."/>
      <w:lvlJc w:val="left"/>
      <w:pPr>
        <w:tabs>
          <w:tab w:val="num" w:pos="3978"/>
        </w:tabs>
        <w:ind w:left="3978" w:hanging="360"/>
      </w:pPr>
    </w:lvl>
    <w:lvl w:ilvl="8" w:tplc="0409001B" w:tentative="1">
      <w:start w:val="1"/>
      <w:numFmt w:val="lowerRoman"/>
      <w:lvlText w:val="%9."/>
      <w:lvlJc w:val="right"/>
      <w:pPr>
        <w:tabs>
          <w:tab w:val="num" w:pos="4698"/>
        </w:tabs>
        <w:ind w:left="4698" w:hanging="180"/>
      </w:pPr>
    </w:lvl>
  </w:abstractNum>
  <w:abstractNum w:abstractNumId="4">
    <w:nsid w:val="14907F2C"/>
    <w:multiLevelType w:val="hybridMultilevel"/>
    <w:tmpl w:val="A3125FC6"/>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A7588804">
      <w:start w:val="9"/>
      <w:numFmt w:val="decimal"/>
      <w:lvlText w:val="%2."/>
      <w:lvlJc w:val="left"/>
      <w:pPr>
        <w:tabs>
          <w:tab w:val="num" w:pos="1350"/>
        </w:tabs>
        <w:ind w:left="1350"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5">
    <w:nsid w:val="1D2A0864"/>
    <w:multiLevelType w:val="hybridMultilevel"/>
    <w:tmpl w:val="85EAF340"/>
    <w:lvl w:ilvl="0" w:tplc="FFFFFFFF">
      <w:start w:val="1"/>
      <w:numFmt w:val="lowerLetter"/>
      <w:lvlText w:val="(%1)"/>
      <w:lvlJc w:val="left"/>
      <w:pPr>
        <w:ind w:left="2880" w:hanging="360"/>
      </w:pPr>
      <w:rPr>
        <w:rFonts w:hint="default"/>
        <w:b w:val="0"/>
        <w:i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FFF0285"/>
    <w:multiLevelType w:val="hybridMultilevel"/>
    <w:tmpl w:val="023C21E6"/>
    <w:lvl w:ilvl="0" w:tplc="D2523CA2">
      <w:start w:val="1"/>
      <w:numFmt w:val="lowerLetter"/>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A726D3"/>
    <w:multiLevelType w:val="hybridMultilevel"/>
    <w:tmpl w:val="9620EAA2"/>
    <w:lvl w:ilvl="0" w:tplc="F50EBE5C">
      <w:start w:val="1"/>
      <w:numFmt w:val="lowerLetter"/>
      <w:lvlText w:val="(%1)"/>
      <w:lvlJc w:val="left"/>
      <w:pPr>
        <w:tabs>
          <w:tab w:val="num" w:pos="1242"/>
        </w:tabs>
        <w:ind w:left="1242" w:hanging="432"/>
      </w:pPr>
      <w:rPr>
        <w:rFonts w:cs="Times New Roman" w:hint="default"/>
        <w:b w:val="0"/>
        <w:i w:val="0"/>
        <w:sz w:val="22"/>
        <w:szCs w:val="22"/>
      </w:rPr>
    </w:lvl>
    <w:lvl w:ilvl="1" w:tplc="04090019" w:tentative="1">
      <w:start w:val="1"/>
      <w:numFmt w:val="lowerLetter"/>
      <w:lvlText w:val="%2."/>
      <w:lvlJc w:val="left"/>
      <w:pPr>
        <w:tabs>
          <w:tab w:val="num" w:pos="-342"/>
        </w:tabs>
        <w:ind w:left="-342" w:hanging="360"/>
      </w:pPr>
    </w:lvl>
    <w:lvl w:ilvl="2" w:tplc="0409001B" w:tentative="1">
      <w:start w:val="1"/>
      <w:numFmt w:val="lowerRoman"/>
      <w:lvlText w:val="%3."/>
      <w:lvlJc w:val="right"/>
      <w:pPr>
        <w:tabs>
          <w:tab w:val="num" w:pos="378"/>
        </w:tabs>
        <w:ind w:left="378" w:hanging="180"/>
      </w:pPr>
    </w:lvl>
    <w:lvl w:ilvl="3" w:tplc="0409000F" w:tentative="1">
      <w:start w:val="1"/>
      <w:numFmt w:val="decimal"/>
      <w:lvlText w:val="%4."/>
      <w:lvlJc w:val="left"/>
      <w:pPr>
        <w:tabs>
          <w:tab w:val="num" w:pos="1098"/>
        </w:tabs>
        <w:ind w:left="1098" w:hanging="360"/>
      </w:pPr>
    </w:lvl>
    <w:lvl w:ilvl="4" w:tplc="04090019" w:tentative="1">
      <w:start w:val="1"/>
      <w:numFmt w:val="lowerLetter"/>
      <w:lvlText w:val="%5."/>
      <w:lvlJc w:val="left"/>
      <w:pPr>
        <w:tabs>
          <w:tab w:val="num" w:pos="1818"/>
        </w:tabs>
        <w:ind w:left="1818" w:hanging="360"/>
      </w:pPr>
    </w:lvl>
    <w:lvl w:ilvl="5" w:tplc="0409001B" w:tentative="1">
      <w:start w:val="1"/>
      <w:numFmt w:val="lowerRoman"/>
      <w:lvlText w:val="%6."/>
      <w:lvlJc w:val="right"/>
      <w:pPr>
        <w:tabs>
          <w:tab w:val="num" w:pos="2538"/>
        </w:tabs>
        <w:ind w:left="2538" w:hanging="180"/>
      </w:pPr>
    </w:lvl>
    <w:lvl w:ilvl="6" w:tplc="0409000F" w:tentative="1">
      <w:start w:val="1"/>
      <w:numFmt w:val="decimal"/>
      <w:lvlText w:val="%7."/>
      <w:lvlJc w:val="left"/>
      <w:pPr>
        <w:tabs>
          <w:tab w:val="num" w:pos="3258"/>
        </w:tabs>
        <w:ind w:left="3258" w:hanging="360"/>
      </w:pPr>
    </w:lvl>
    <w:lvl w:ilvl="7" w:tplc="04090019" w:tentative="1">
      <w:start w:val="1"/>
      <w:numFmt w:val="lowerLetter"/>
      <w:lvlText w:val="%8."/>
      <w:lvlJc w:val="left"/>
      <w:pPr>
        <w:tabs>
          <w:tab w:val="num" w:pos="3978"/>
        </w:tabs>
        <w:ind w:left="3978" w:hanging="360"/>
      </w:pPr>
    </w:lvl>
    <w:lvl w:ilvl="8" w:tplc="0409001B" w:tentative="1">
      <w:start w:val="1"/>
      <w:numFmt w:val="lowerRoman"/>
      <w:lvlText w:val="%9."/>
      <w:lvlJc w:val="right"/>
      <w:pPr>
        <w:tabs>
          <w:tab w:val="num" w:pos="4698"/>
        </w:tabs>
        <w:ind w:left="4698"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A886BC10"/>
    <w:lvl w:ilvl="0">
      <w:start w:val="1"/>
      <w:numFmt w:val="decimal"/>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6"/>
  </w:num>
  <w:num w:numId="2">
    <w:abstractNumId w:val="12"/>
  </w:num>
  <w:num w:numId="3">
    <w:abstractNumId w:val="8"/>
  </w:num>
  <w:num w:numId="4">
    <w:abstractNumId w:val="11"/>
  </w:num>
  <w:num w:numId="5">
    <w:abstractNumId w:val="7"/>
  </w:num>
  <w:num w:numId="6">
    <w:abstractNumId w:val="0"/>
  </w:num>
  <w:num w:numId="7">
    <w:abstractNumId w:val="14"/>
  </w:num>
  <w:num w:numId="8">
    <w:abstractNumId w:val="5"/>
  </w:num>
  <w:num w:numId="9">
    <w:abstractNumId w:val="9"/>
  </w:num>
  <w:num w:numId="10">
    <w:abstractNumId w:val="12"/>
    <w:lvlOverride w:ilvl="0">
      <w:startOverride w:val="1"/>
    </w:lvlOverride>
  </w:num>
  <w:num w:numId="11">
    <w:abstractNumId w:val="1"/>
  </w:num>
  <w:num w:numId="12">
    <w:abstractNumId w:val="2"/>
  </w:num>
  <w:num w:numId="13">
    <w:abstractNumId w:val="4"/>
  </w:num>
  <w:num w:numId="14">
    <w:abstractNumId w:val="12"/>
  </w:num>
  <w:num w:numId="15">
    <w:abstractNumId w:val="12"/>
  </w:num>
  <w:num w:numId="16">
    <w:abstractNumId w:val="12"/>
  </w:num>
  <w:num w:numId="17">
    <w:abstractNumId w:val="13"/>
  </w:num>
  <w:num w:numId="18">
    <w:abstractNumId w:val="13"/>
    <w:lvlOverride w:ilvl="0">
      <w:startOverride w:val="1"/>
    </w:lvlOverride>
  </w:num>
  <w:num w:numId="19">
    <w:abstractNumId w:val="12"/>
  </w:num>
  <w:num w:numId="20">
    <w:abstractNumId w:val="12"/>
  </w:num>
  <w:num w:numId="21">
    <w:abstractNumId w:val="8"/>
  </w:num>
  <w:num w:numId="22">
    <w:abstractNumId w:val="3"/>
  </w:num>
  <w:num w:numId="23">
    <w:abstractNumId w:val="10"/>
  </w:num>
  <w:num w:numId="24">
    <w:abstractNumId w:val="12"/>
    <w:lvlOverride w:ilvl="0">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50"/>
    <w:rsid w:val="00002999"/>
    <w:rsid w:val="00006098"/>
    <w:rsid w:val="00033995"/>
    <w:rsid w:val="000341D8"/>
    <w:rsid w:val="00036039"/>
    <w:rsid w:val="00037F90"/>
    <w:rsid w:val="00053218"/>
    <w:rsid w:val="00061975"/>
    <w:rsid w:val="00065276"/>
    <w:rsid w:val="00066799"/>
    <w:rsid w:val="00067818"/>
    <w:rsid w:val="00084B6B"/>
    <w:rsid w:val="000875BF"/>
    <w:rsid w:val="00090C78"/>
    <w:rsid w:val="00096D8C"/>
    <w:rsid w:val="000A710E"/>
    <w:rsid w:val="000C0613"/>
    <w:rsid w:val="000C0B65"/>
    <w:rsid w:val="000D01E2"/>
    <w:rsid w:val="000D065F"/>
    <w:rsid w:val="000D1A87"/>
    <w:rsid w:val="000E05FE"/>
    <w:rsid w:val="000E0C8C"/>
    <w:rsid w:val="000E3D42"/>
    <w:rsid w:val="000E4FB3"/>
    <w:rsid w:val="000F5135"/>
    <w:rsid w:val="00122BD5"/>
    <w:rsid w:val="00123845"/>
    <w:rsid w:val="00133B53"/>
    <w:rsid w:val="00133F79"/>
    <w:rsid w:val="00137A2C"/>
    <w:rsid w:val="00137C60"/>
    <w:rsid w:val="001437DC"/>
    <w:rsid w:val="001551C2"/>
    <w:rsid w:val="00156372"/>
    <w:rsid w:val="00161C4F"/>
    <w:rsid w:val="00194A66"/>
    <w:rsid w:val="001954F8"/>
    <w:rsid w:val="001960C3"/>
    <w:rsid w:val="001D2890"/>
    <w:rsid w:val="001D6BCF"/>
    <w:rsid w:val="001E01CA"/>
    <w:rsid w:val="001E19D8"/>
    <w:rsid w:val="001E568E"/>
    <w:rsid w:val="001E6FF4"/>
    <w:rsid w:val="001F18AA"/>
    <w:rsid w:val="001F25DC"/>
    <w:rsid w:val="001F7B60"/>
    <w:rsid w:val="002269AF"/>
    <w:rsid w:val="002401CA"/>
    <w:rsid w:val="0024345A"/>
    <w:rsid w:val="00245D8A"/>
    <w:rsid w:val="002533AF"/>
    <w:rsid w:val="00275CF5"/>
    <w:rsid w:val="00276C63"/>
    <w:rsid w:val="0028301F"/>
    <w:rsid w:val="00285017"/>
    <w:rsid w:val="0029581C"/>
    <w:rsid w:val="002A064C"/>
    <w:rsid w:val="002A2D2E"/>
    <w:rsid w:val="002A6549"/>
    <w:rsid w:val="002A7465"/>
    <w:rsid w:val="002C00E8"/>
    <w:rsid w:val="002F4B62"/>
    <w:rsid w:val="002F6CC0"/>
    <w:rsid w:val="00302A68"/>
    <w:rsid w:val="00343749"/>
    <w:rsid w:val="0034602E"/>
    <w:rsid w:val="00362D4D"/>
    <w:rsid w:val="00365BAD"/>
    <w:rsid w:val="0036601F"/>
    <w:rsid w:val="003660ED"/>
    <w:rsid w:val="003739E5"/>
    <w:rsid w:val="00384F62"/>
    <w:rsid w:val="003A5631"/>
    <w:rsid w:val="003A72A1"/>
    <w:rsid w:val="003B0550"/>
    <w:rsid w:val="003B694F"/>
    <w:rsid w:val="003D2FF1"/>
    <w:rsid w:val="003E4781"/>
    <w:rsid w:val="003F171C"/>
    <w:rsid w:val="003F380A"/>
    <w:rsid w:val="00412FC5"/>
    <w:rsid w:val="00413BA1"/>
    <w:rsid w:val="00421438"/>
    <w:rsid w:val="00422276"/>
    <w:rsid w:val="00422A13"/>
    <w:rsid w:val="004242F1"/>
    <w:rsid w:val="00426186"/>
    <w:rsid w:val="004403D8"/>
    <w:rsid w:val="00445A00"/>
    <w:rsid w:val="00451B0F"/>
    <w:rsid w:val="004A05D0"/>
    <w:rsid w:val="004C2EE3"/>
    <w:rsid w:val="004D0D8F"/>
    <w:rsid w:val="004D7E8E"/>
    <w:rsid w:val="004E0B1D"/>
    <w:rsid w:val="004E4A22"/>
    <w:rsid w:val="00504F46"/>
    <w:rsid w:val="00510077"/>
    <w:rsid w:val="00511968"/>
    <w:rsid w:val="0052260F"/>
    <w:rsid w:val="00522689"/>
    <w:rsid w:val="0055614C"/>
    <w:rsid w:val="00576B6B"/>
    <w:rsid w:val="00593817"/>
    <w:rsid w:val="00593A5A"/>
    <w:rsid w:val="00597F96"/>
    <w:rsid w:val="005C1F4A"/>
    <w:rsid w:val="005D111D"/>
    <w:rsid w:val="005E14C2"/>
    <w:rsid w:val="005E42F1"/>
    <w:rsid w:val="005F6028"/>
    <w:rsid w:val="006052AB"/>
    <w:rsid w:val="00607BA5"/>
    <w:rsid w:val="0061180A"/>
    <w:rsid w:val="00613D6B"/>
    <w:rsid w:val="00626EB6"/>
    <w:rsid w:val="00655D03"/>
    <w:rsid w:val="00666992"/>
    <w:rsid w:val="0067577E"/>
    <w:rsid w:val="006765E4"/>
    <w:rsid w:val="00676D73"/>
    <w:rsid w:val="00683388"/>
    <w:rsid w:val="00683F84"/>
    <w:rsid w:val="00687536"/>
    <w:rsid w:val="006A046A"/>
    <w:rsid w:val="006A6A81"/>
    <w:rsid w:val="006B4F88"/>
    <w:rsid w:val="006B6203"/>
    <w:rsid w:val="006E2233"/>
    <w:rsid w:val="006F7393"/>
    <w:rsid w:val="0070224F"/>
    <w:rsid w:val="007115F7"/>
    <w:rsid w:val="00712F14"/>
    <w:rsid w:val="00714BC5"/>
    <w:rsid w:val="00734518"/>
    <w:rsid w:val="00740856"/>
    <w:rsid w:val="00743ABA"/>
    <w:rsid w:val="00785689"/>
    <w:rsid w:val="0079689C"/>
    <w:rsid w:val="0079754B"/>
    <w:rsid w:val="007A1E6D"/>
    <w:rsid w:val="007A4224"/>
    <w:rsid w:val="007B0EB2"/>
    <w:rsid w:val="007B54E2"/>
    <w:rsid w:val="007D63B4"/>
    <w:rsid w:val="007F52C7"/>
    <w:rsid w:val="00801EE0"/>
    <w:rsid w:val="00803B63"/>
    <w:rsid w:val="00810B6F"/>
    <w:rsid w:val="00813AF6"/>
    <w:rsid w:val="00820E64"/>
    <w:rsid w:val="00822CE0"/>
    <w:rsid w:val="00826827"/>
    <w:rsid w:val="00827212"/>
    <w:rsid w:val="008330D2"/>
    <w:rsid w:val="00841AB1"/>
    <w:rsid w:val="008456E9"/>
    <w:rsid w:val="00856765"/>
    <w:rsid w:val="00862837"/>
    <w:rsid w:val="008A051F"/>
    <w:rsid w:val="008B5E27"/>
    <w:rsid w:val="008C68F1"/>
    <w:rsid w:val="008D073C"/>
    <w:rsid w:val="00921803"/>
    <w:rsid w:val="00926503"/>
    <w:rsid w:val="009726D8"/>
    <w:rsid w:val="00984221"/>
    <w:rsid w:val="00985F17"/>
    <w:rsid w:val="009A7DCF"/>
    <w:rsid w:val="009B2EFD"/>
    <w:rsid w:val="009C7197"/>
    <w:rsid w:val="009F1F92"/>
    <w:rsid w:val="009F4913"/>
    <w:rsid w:val="009F76DB"/>
    <w:rsid w:val="00A04FD5"/>
    <w:rsid w:val="00A11768"/>
    <w:rsid w:val="00A1760F"/>
    <w:rsid w:val="00A233C8"/>
    <w:rsid w:val="00A2622A"/>
    <w:rsid w:val="00A32C3B"/>
    <w:rsid w:val="00A41AD1"/>
    <w:rsid w:val="00A453AD"/>
    <w:rsid w:val="00A45F4F"/>
    <w:rsid w:val="00A55973"/>
    <w:rsid w:val="00A600A9"/>
    <w:rsid w:val="00A65607"/>
    <w:rsid w:val="00A80725"/>
    <w:rsid w:val="00A8126C"/>
    <w:rsid w:val="00A9511F"/>
    <w:rsid w:val="00AA55B7"/>
    <w:rsid w:val="00AA5B9E"/>
    <w:rsid w:val="00AB1AE8"/>
    <w:rsid w:val="00AB2407"/>
    <w:rsid w:val="00AB37BC"/>
    <w:rsid w:val="00AB53DF"/>
    <w:rsid w:val="00AC6F2B"/>
    <w:rsid w:val="00AD2968"/>
    <w:rsid w:val="00AD6261"/>
    <w:rsid w:val="00AE1694"/>
    <w:rsid w:val="00AE5C78"/>
    <w:rsid w:val="00B0075F"/>
    <w:rsid w:val="00B07E5C"/>
    <w:rsid w:val="00B112B9"/>
    <w:rsid w:val="00B66466"/>
    <w:rsid w:val="00B74457"/>
    <w:rsid w:val="00B811F7"/>
    <w:rsid w:val="00BA5DC6"/>
    <w:rsid w:val="00BA6196"/>
    <w:rsid w:val="00BB39ED"/>
    <w:rsid w:val="00BC324B"/>
    <w:rsid w:val="00BC6D8C"/>
    <w:rsid w:val="00BE28F7"/>
    <w:rsid w:val="00BF0B82"/>
    <w:rsid w:val="00BF5FCA"/>
    <w:rsid w:val="00C06F79"/>
    <w:rsid w:val="00C11E7F"/>
    <w:rsid w:val="00C15BD6"/>
    <w:rsid w:val="00C21129"/>
    <w:rsid w:val="00C221E9"/>
    <w:rsid w:val="00C22DE9"/>
    <w:rsid w:val="00C34006"/>
    <w:rsid w:val="00C426B1"/>
    <w:rsid w:val="00C45D65"/>
    <w:rsid w:val="00C52F48"/>
    <w:rsid w:val="00C62E81"/>
    <w:rsid w:val="00C63068"/>
    <w:rsid w:val="00C64DDC"/>
    <w:rsid w:val="00C66160"/>
    <w:rsid w:val="00C721AC"/>
    <w:rsid w:val="00C74928"/>
    <w:rsid w:val="00C8364A"/>
    <w:rsid w:val="00C8560A"/>
    <w:rsid w:val="00C90D6A"/>
    <w:rsid w:val="00CA247E"/>
    <w:rsid w:val="00CC72B6"/>
    <w:rsid w:val="00CE4BB7"/>
    <w:rsid w:val="00D0218D"/>
    <w:rsid w:val="00D064AE"/>
    <w:rsid w:val="00D162E2"/>
    <w:rsid w:val="00D25FB5"/>
    <w:rsid w:val="00D40CD0"/>
    <w:rsid w:val="00D44223"/>
    <w:rsid w:val="00D54C7F"/>
    <w:rsid w:val="00D81C3F"/>
    <w:rsid w:val="00D84C73"/>
    <w:rsid w:val="00DA0174"/>
    <w:rsid w:val="00DA2529"/>
    <w:rsid w:val="00DB130A"/>
    <w:rsid w:val="00DB202F"/>
    <w:rsid w:val="00DB2A18"/>
    <w:rsid w:val="00DB2EBB"/>
    <w:rsid w:val="00DC10A1"/>
    <w:rsid w:val="00DC655F"/>
    <w:rsid w:val="00DD056D"/>
    <w:rsid w:val="00DD0995"/>
    <w:rsid w:val="00DD0B59"/>
    <w:rsid w:val="00DD7EBD"/>
    <w:rsid w:val="00DE1262"/>
    <w:rsid w:val="00DF1C88"/>
    <w:rsid w:val="00DF4B00"/>
    <w:rsid w:val="00DF62B6"/>
    <w:rsid w:val="00E037FA"/>
    <w:rsid w:val="00E07225"/>
    <w:rsid w:val="00E16379"/>
    <w:rsid w:val="00E2573D"/>
    <w:rsid w:val="00E3554E"/>
    <w:rsid w:val="00E45DB2"/>
    <w:rsid w:val="00E5409F"/>
    <w:rsid w:val="00E86F03"/>
    <w:rsid w:val="00EB5D46"/>
    <w:rsid w:val="00EC0526"/>
    <w:rsid w:val="00EC5F66"/>
    <w:rsid w:val="00EE5429"/>
    <w:rsid w:val="00EE6488"/>
    <w:rsid w:val="00EE7A40"/>
    <w:rsid w:val="00EF19BB"/>
    <w:rsid w:val="00F021FA"/>
    <w:rsid w:val="00F3252C"/>
    <w:rsid w:val="00F40491"/>
    <w:rsid w:val="00F47B6C"/>
    <w:rsid w:val="00F62E97"/>
    <w:rsid w:val="00F64209"/>
    <w:rsid w:val="00F759E8"/>
    <w:rsid w:val="00F8250F"/>
    <w:rsid w:val="00F91E55"/>
    <w:rsid w:val="00F93BF5"/>
    <w:rsid w:val="00F97973"/>
    <w:rsid w:val="00FA1373"/>
    <w:rsid w:val="00FB0616"/>
    <w:rsid w:val="00FB2AA7"/>
    <w:rsid w:val="00FB3981"/>
    <w:rsid w:val="00FB6005"/>
    <w:rsid w:val="00FC0CD4"/>
    <w:rsid w:val="00FC1050"/>
    <w:rsid w:val="00FD18C6"/>
    <w:rsid w:val="00FF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0E3D42"/>
    <w:pPr>
      <w:spacing w:after="120"/>
    </w:pPr>
  </w:style>
  <w:style w:type="character" w:styleId="FootnoteReference">
    <w:name w:val="footnote reference"/>
    <w:aliases w:val="Style 4,Appel note de bas de p,Style 12,(NECG) Footnote Reference,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locked/>
    <w:rsid w:val="00FC1050"/>
    <w:rPr>
      <w:rFonts w:ascii="Times New Roman Bold" w:hAnsi="Times New Roman Bold"/>
      <w:b/>
      <w:caps/>
      <w:snapToGrid w:val="0"/>
      <w:kern w:val="28"/>
      <w:sz w:val="22"/>
    </w:rPr>
  </w:style>
  <w:style w:type="character" w:customStyle="1" w:styleId="FooterChar">
    <w:name w:val="Footer Char"/>
    <w:link w:val="Footer"/>
    <w:locked/>
    <w:rsid w:val="00FC1050"/>
    <w:rPr>
      <w:snapToGrid w:val="0"/>
      <w:kern w:val="28"/>
      <w:sz w:val="22"/>
    </w:rPr>
  </w:style>
  <w:style w:type="paragraph" w:customStyle="1" w:styleId="Paranum0">
    <w:name w:val="Paranum"/>
    <w:rsid w:val="00FC1050"/>
    <w:pPr>
      <w:numPr>
        <w:numId w:val="7"/>
      </w:numPr>
      <w:tabs>
        <w:tab w:val="left" w:pos="1440"/>
      </w:tabs>
      <w:spacing w:after="240"/>
      <w:jc w:val="both"/>
    </w:pPr>
    <w:rPr>
      <w:sz w:val="22"/>
    </w:rPr>
  </w:style>
  <w:style w:type="paragraph" w:styleId="BodyText">
    <w:name w:val="Body Text"/>
    <w:aliases w:val="b"/>
    <w:basedOn w:val="Normal"/>
    <w:link w:val="BodyTextChar"/>
    <w:uiPriority w:val="99"/>
    <w:qFormat/>
    <w:rsid w:val="00FC1050"/>
    <w:pPr>
      <w:spacing w:after="240"/>
      <w:ind w:firstLine="720"/>
    </w:pPr>
  </w:style>
  <w:style w:type="character" w:customStyle="1" w:styleId="BodyTextChar">
    <w:name w:val="Body Text Char"/>
    <w:aliases w:val="b Char"/>
    <w:basedOn w:val="DefaultParagraphFont"/>
    <w:link w:val="BodyText"/>
    <w:uiPriority w:val="99"/>
    <w:rsid w:val="00FC1050"/>
    <w:rPr>
      <w:snapToGrid w:val="0"/>
      <w:kern w:val="28"/>
      <w:sz w:val="22"/>
    </w:rPr>
  </w:style>
  <w:style w:type="character" w:customStyle="1" w:styleId="FootnoteTextChar2">
    <w:name w:val="Footnote Text Char2"/>
    <w:aliases w:val="Footnote Text Char Char1,Footnote Text Char1 Char Char1,rrfootnote Char Char Char,Style 5 Char Char Char,Footnote Text Char Char Char Char1,Footnote Text Char1 Char Char Char Char1,Footnote Text Char Char Char Char Char Char1,fn Char"/>
    <w:link w:val="FootnoteText"/>
    <w:locked/>
    <w:rsid w:val="00FC1050"/>
  </w:style>
  <w:style w:type="character" w:styleId="CommentReference">
    <w:name w:val="annotation reference"/>
    <w:uiPriority w:val="99"/>
    <w:rsid w:val="00FC1050"/>
    <w:rPr>
      <w:rFonts w:cs="Times New Roman"/>
      <w:sz w:val="16"/>
    </w:rPr>
  </w:style>
  <w:style w:type="paragraph" w:styleId="CommentText">
    <w:name w:val="annotation text"/>
    <w:basedOn w:val="Normal"/>
    <w:link w:val="CommentTextChar"/>
    <w:uiPriority w:val="99"/>
    <w:rsid w:val="00FC1050"/>
    <w:rPr>
      <w:sz w:val="20"/>
    </w:rPr>
  </w:style>
  <w:style w:type="character" w:customStyle="1" w:styleId="CommentTextChar">
    <w:name w:val="Comment Text Char"/>
    <w:basedOn w:val="DefaultParagraphFont"/>
    <w:link w:val="CommentText"/>
    <w:uiPriority w:val="99"/>
    <w:rsid w:val="00FC1050"/>
    <w:rPr>
      <w:snapToGrid w:val="0"/>
      <w:kern w:val="28"/>
    </w:rPr>
  </w:style>
  <w:style w:type="character" w:customStyle="1" w:styleId="ParaNumChar">
    <w:name w:val="ParaNum Char"/>
    <w:link w:val="ParaNum"/>
    <w:uiPriority w:val="99"/>
    <w:rsid w:val="00FC1050"/>
    <w:rPr>
      <w:snapToGrid w:val="0"/>
      <w:kern w:val="28"/>
      <w:sz w:val="22"/>
    </w:rPr>
  </w:style>
  <w:style w:type="paragraph" w:customStyle="1" w:styleId="BodyText1">
    <w:name w:val="Body Text1"/>
    <w:uiPriority w:val="99"/>
    <w:rsid w:val="00FC1050"/>
    <w:rPr>
      <w:rFonts w:ascii="Times New Roman Bold" w:eastAsia="ヒラギノ角ゴ Pro W3" w:hAnsi="Times New Roman Bold"/>
      <w:color w:val="000000"/>
      <w:sz w:val="24"/>
      <w:u w:val="single"/>
    </w:rPr>
  </w:style>
  <w:style w:type="paragraph" w:styleId="BalloonText">
    <w:name w:val="Balloon Text"/>
    <w:basedOn w:val="Normal"/>
    <w:link w:val="BalloonTextChar"/>
    <w:rsid w:val="00FC1050"/>
    <w:rPr>
      <w:rFonts w:ascii="Tahoma" w:hAnsi="Tahoma" w:cs="Tahoma"/>
      <w:sz w:val="16"/>
      <w:szCs w:val="16"/>
    </w:rPr>
  </w:style>
  <w:style w:type="character" w:customStyle="1" w:styleId="BalloonTextChar">
    <w:name w:val="Balloon Text Char"/>
    <w:basedOn w:val="DefaultParagraphFont"/>
    <w:link w:val="BalloonText"/>
    <w:rsid w:val="00FC1050"/>
    <w:rPr>
      <w:rFonts w:ascii="Tahoma" w:hAnsi="Tahoma" w:cs="Tahoma"/>
      <w:snapToGrid w:val="0"/>
      <w:kern w:val="28"/>
      <w:sz w:val="16"/>
      <w:szCs w:val="16"/>
    </w:rPr>
  </w:style>
  <w:style w:type="paragraph" w:styleId="CommentSubject">
    <w:name w:val="annotation subject"/>
    <w:basedOn w:val="CommentText"/>
    <w:next w:val="CommentText"/>
    <w:link w:val="CommentSubjectChar"/>
    <w:rsid w:val="00A9511F"/>
    <w:rPr>
      <w:b/>
      <w:bCs/>
    </w:rPr>
  </w:style>
  <w:style w:type="character" w:customStyle="1" w:styleId="CommentSubjectChar">
    <w:name w:val="Comment Subject Char"/>
    <w:basedOn w:val="CommentTextChar"/>
    <w:link w:val="CommentSubject"/>
    <w:rsid w:val="00A9511F"/>
    <w:rPr>
      <w:b/>
      <w:bCs/>
      <w:snapToGrid w:val="0"/>
      <w:kern w:val="28"/>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 Char Char Char Char Char,Styl Char1"/>
    <w:locked/>
    <w:rsid w:val="006B4F88"/>
    <w:rPr>
      <w:lang w:val="en-US" w:eastAsia="en-US"/>
    </w:rPr>
  </w:style>
  <w:style w:type="paragraph" w:customStyle="1" w:styleId="par1">
    <w:name w:val="par1"/>
    <w:basedOn w:val="Normal"/>
    <w:link w:val="par1Char"/>
    <w:rsid w:val="00856765"/>
    <w:pPr>
      <w:widowControl/>
    </w:pPr>
    <w:rPr>
      <w:snapToGrid/>
      <w:kern w:val="0"/>
    </w:rPr>
  </w:style>
  <w:style w:type="character" w:customStyle="1" w:styleId="par1Char">
    <w:name w:val="par1 Char"/>
    <w:link w:val="par1"/>
    <w:locked/>
    <w:rsid w:val="00856765"/>
    <w:rPr>
      <w:sz w:val="22"/>
    </w:rPr>
  </w:style>
  <w:style w:type="character" w:styleId="FollowedHyperlink">
    <w:name w:val="FollowedHyperlink"/>
    <w:basedOn w:val="DefaultParagraphFont"/>
    <w:rsid w:val="00EB5D46"/>
    <w:rPr>
      <w:color w:val="800080" w:themeColor="followedHyperlink"/>
      <w:u w:val="single"/>
    </w:rPr>
  </w:style>
  <w:style w:type="paragraph" w:styleId="Revision">
    <w:name w:val="Revision"/>
    <w:hidden/>
    <w:uiPriority w:val="99"/>
    <w:semiHidden/>
    <w:rsid w:val="001551C2"/>
    <w:rPr>
      <w:snapToGrid w:val="0"/>
      <w:kern w:val="28"/>
      <w:sz w:val="22"/>
    </w:rPr>
  </w:style>
  <w:style w:type="character" w:customStyle="1" w:styleId="HeaderChar">
    <w:name w:val="Header Char"/>
    <w:basedOn w:val="DefaultParagraphFont"/>
    <w:link w:val="Header"/>
    <w:rsid w:val="00B112B9"/>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0E3D42"/>
    <w:pPr>
      <w:spacing w:after="120"/>
    </w:pPr>
  </w:style>
  <w:style w:type="character" w:styleId="FootnoteReference">
    <w:name w:val="footnote reference"/>
    <w:aliases w:val="Style 4,Appel note de bas de p,Style 12,(NECG) Footnote Reference,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locked/>
    <w:rsid w:val="00FC1050"/>
    <w:rPr>
      <w:rFonts w:ascii="Times New Roman Bold" w:hAnsi="Times New Roman Bold"/>
      <w:b/>
      <w:caps/>
      <w:snapToGrid w:val="0"/>
      <w:kern w:val="28"/>
      <w:sz w:val="22"/>
    </w:rPr>
  </w:style>
  <w:style w:type="character" w:customStyle="1" w:styleId="FooterChar">
    <w:name w:val="Footer Char"/>
    <w:link w:val="Footer"/>
    <w:locked/>
    <w:rsid w:val="00FC1050"/>
    <w:rPr>
      <w:snapToGrid w:val="0"/>
      <w:kern w:val="28"/>
      <w:sz w:val="22"/>
    </w:rPr>
  </w:style>
  <w:style w:type="paragraph" w:customStyle="1" w:styleId="Paranum0">
    <w:name w:val="Paranum"/>
    <w:rsid w:val="00FC1050"/>
    <w:pPr>
      <w:numPr>
        <w:numId w:val="7"/>
      </w:numPr>
      <w:tabs>
        <w:tab w:val="left" w:pos="1440"/>
      </w:tabs>
      <w:spacing w:after="240"/>
      <w:jc w:val="both"/>
    </w:pPr>
    <w:rPr>
      <w:sz w:val="22"/>
    </w:rPr>
  </w:style>
  <w:style w:type="paragraph" w:styleId="BodyText">
    <w:name w:val="Body Text"/>
    <w:aliases w:val="b"/>
    <w:basedOn w:val="Normal"/>
    <w:link w:val="BodyTextChar"/>
    <w:uiPriority w:val="99"/>
    <w:qFormat/>
    <w:rsid w:val="00FC1050"/>
    <w:pPr>
      <w:spacing w:after="240"/>
      <w:ind w:firstLine="720"/>
    </w:pPr>
  </w:style>
  <w:style w:type="character" w:customStyle="1" w:styleId="BodyTextChar">
    <w:name w:val="Body Text Char"/>
    <w:aliases w:val="b Char"/>
    <w:basedOn w:val="DefaultParagraphFont"/>
    <w:link w:val="BodyText"/>
    <w:uiPriority w:val="99"/>
    <w:rsid w:val="00FC1050"/>
    <w:rPr>
      <w:snapToGrid w:val="0"/>
      <w:kern w:val="28"/>
      <w:sz w:val="22"/>
    </w:rPr>
  </w:style>
  <w:style w:type="character" w:customStyle="1" w:styleId="FootnoteTextChar2">
    <w:name w:val="Footnote Text Char2"/>
    <w:aliases w:val="Footnote Text Char Char1,Footnote Text Char1 Char Char1,rrfootnote Char Char Char,Style 5 Char Char Char,Footnote Text Char Char Char Char1,Footnote Text Char1 Char Char Char Char1,Footnote Text Char Char Char Char Char Char1,fn Char"/>
    <w:link w:val="FootnoteText"/>
    <w:locked/>
    <w:rsid w:val="00FC1050"/>
  </w:style>
  <w:style w:type="character" w:styleId="CommentReference">
    <w:name w:val="annotation reference"/>
    <w:uiPriority w:val="99"/>
    <w:rsid w:val="00FC1050"/>
    <w:rPr>
      <w:rFonts w:cs="Times New Roman"/>
      <w:sz w:val="16"/>
    </w:rPr>
  </w:style>
  <w:style w:type="paragraph" w:styleId="CommentText">
    <w:name w:val="annotation text"/>
    <w:basedOn w:val="Normal"/>
    <w:link w:val="CommentTextChar"/>
    <w:uiPriority w:val="99"/>
    <w:rsid w:val="00FC1050"/>
    <w:rPr>
      <w:sz w:val="20"/>
    </w:rPr>
  </w:style>
  <w:style w:type="character" w:customStyle="1" w:styleId="CommentTextChar">
    <w:name w:val="Comment Text Char"/>
    <w:basedOn w:val="DefaultParagraphFont"/>
    <w:link w:val="CommentText"/>
    <w:uiPriority w:val="99"/>
    <w:rsid w:val="00FC1050"/>
    <w:rPr>
      <w:snapToGrid w:val="0"/>
      <w:kern w:val="28"/>
    </w:rPr>
  </w:style>
  <w:style w:type="character" w:customStyle="1" w:styleId="ParaNumChar">
    <w:name w:val="ParaNum Char"/>
    <w:link w:val="ParaNum"/>
    <w:uiPriority w:val="99"/>
    <w:rsid w:val="00FC1050"/>
    <w:rPr>
      <w:snapToGrid w:val="0"/>
      <w:kern w:val="28"/>
      <w:sz w:val="22"/>
    </w:rPr>
  </w:style>
  <w:style w:type="paragraph" w:customStyle="1" w:styleId="BodyText1">
    <w:name w:val="Body Text1"/>
    <w:uiPriority w:val="99"/>
    <w:rsid w:val="00FC1050"/>
    <w:rPr>
      <w:rFonts w:ascii="Times New Roman Bold" w:eastAsia="ヒラギノ角ゴ Pro W3" w:hAnsi="Times New Roman Bold"/>
      <w:color w:val="000000"/>
      <w:sz w:val="24"/>
      <w:u w:val="single"/>
    </w:rPr>
  </w:style>
  <w:style w:type="paragraph" w:styleId="BalloonText">
    <w:name w:val="Balloon Text"/>
    <w:basedOn w:val="Normal"/>
    <w:link w:val="BalloonTextChar"/>
    <w:rsid w:val="00FC1050"/>
    <w:rPr>
      <w:rFonts w:ascii="Tahoma" w:hAnsi="Tahoma" w:cs="Tahoma"/>
      <w:sz w:val="16"/>
      <w:szCs w:val="16"/>
    </w:rPr>
  </w:style>
  <w:style w:type="character" w:customStyle="1" w:styleId="BalloonTextChar">
    <w:name w:val="Balloon Text Char"/>
    <w:basedOn w:val="DefaultParagraphFont"/>
    <w:link w:val="BalloonText"/>
    <w:rsid w:val="00FC1050"/>
    <w:rPr>
      <w:rFonts w:ascii="Tahoma" w:hAnsi="Tahoma" w:cs="Tahoma"/>
      <w:snapToGrid w:val="0"/>
      <w:kern w:val="28"/>
      <w:sz w:val="16"/>
      <w:szCs w:val="16"/>
    </w:rPr>
  </w:style>
  <w:style w:type="paragraph" w:styleId="CommentSubject">
    <w:name w:val="annotation subject"/>
    <w:basedOn w:val="CommentText"/>
    <w:next w:val="CommentText"/>
    <w:link w:val="CommentSubjectChar"/>
    <w:rsid w:val="00A9511F"/>
    <w:rPr>
      <w:b/>
      <w:bCs/>
    </w:rPr>
  </w:style>
  <w:style w:type="character" w:customStyle="1" w:styleId="CommentSubjectChar">
    <w:name w:val="Comment Subject Char"/>
    <w:basedOn w:val="CommentTextChar"/>
    <w:link w:val="CommentSubject"/>
    <w:rsid w:val="00A9511F"/>
    <w:rPr>
      <w:b/>
      <w:bCs/>
      <w:snapToGrid w:val="0"/>
      <w:kern w:val="28"/>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 Char Char Char Char Char,Styl Char1"/>
    <w:locked/>
    <w:rsid w:val="006B4F88"/>
    <w:rPr>
      <w:lang w:val="en-US" w:eastAsia="en-US"/>
    </w:rPr>
  </w:style>
  <w:style w:type="paragraph" w:customStyle="1" w:styleId="par1">
    <w:name w:val="par1"/>
    <w:basedOn w:val="Normal"/>
    <w:link w:val="par1Char"/>
    <w:rsid w:val="00856765"/>
    <w:pPr>
      <w:widowControl/>
    </w:pPr>
    <w:rPr>
      <w:snapToGrid/>
      <w:kern w:val="0"/>
    </w:rPr>
  </w:style>
  <w:style w:type="character" w:customStyle="1" w:styleId="par1Char">
    <w:name w:val="par1 Char"/>
    <w:link w:val="par1"/>
    <w:locked/>
    <w:rsid w:val="00856765"/>
    <w:rPr>
      <w:sz w:val="22"/>
    </w:rPr>
  </w:style>
  <w:style w:type="character" w:styleId="FollowedHyperlink">
    <w:name w:val="FollowedHyperlink"/>
    <w:basedOn w:val="DefaultParagraphFont"/>
    <w:rsid w:val="00EB5D46"/>
    <w:rPr>
      <w:color w:val="800080" w:themeColor="followedHyperlink"/>
      <w:u w:val="single"/>
    </w:rPr>
  </w:style>
  <w:style w:type="paragraph" w:styleId="Revision">
    <w:name w:val="Revision"/>
    <w:hidden/>
    <w:uiPriority w:val="99"/>
    <w:semiHidden/>
    <w:rsid w:val="001551C2"/>
    <w:rPr>
      <w:snapToGrid w:val="0"/>
      <w:kern w:val="28"/>
      <w:sz w:val="22"/>
    </w:rPr>
  </w:style>
  <w:style w:type="character" w:customStyle="1" w:styleId="HeaderChar">
    <w:name w:val="Header Char"/>
    <w:basedOn w:val="DefaultParagraphFont"/>
    <w:link w:val="Header"/>
    <w:rsid w:val="00B112B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23212">
      <w:bodyDiv w:val="1"/>
      <w:marLeft w:val="0"/>
      <w:marRight w:val="0"/>
      <w:marTop w:val="0"/>
      <w:marBottom w:val="0"/>
      <w:divBdr>
        <w:top w:val="none" w:sz="0" w:space="0" w:color="auto"/>
        <w:left w:val="none" w:sz="0" w:space="0" w:color="auto"/>
        <w:bottom w:val="none" w:sz="0" w:space="0" w:color="auto"/>
        <w:right w:val="none" w:sz="0" w:space="0" w:color="auto"/>
      </w:divBdr>
    </w:div>
    <w:div w:id="20420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Pam.Slipakoff@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Kalun.Le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effrey.Gee@fcc.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Pam.Slipakoff@fcc.gov" TargetMode="External"/><Relationship Id="rId10" Type="http://schemas.openxmlformats.org/officeDocument/2006/relationships/footer" Target="footer1.xml"/><Relationship Id="rId19" Type="http://schemas.openxmlformats.org/officeDocument/2006/relationships/hyperlink" Target="mailto:Jeffrey.Gee@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Jeffrey.Gee@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4667</Words>
  <Characters>26348</Characters>
  <Application>Microsoft Office Word</Application>
  <DocSecurity>0</DocSecurity>
  <Lines>435</Lines>
  <Paragraphs>120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31054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2015-06-12T14:21:00Z</cp:lastPrinted>
  <dcterms:created xsi:type="dcterms:W3CDTF">2015-06-15T21:02:00Z</dcterms:created>
  <dcterms:modified xsi:type="dcterms:W3CDTF">2015-06-15T21:02:00Z</dcterms:modified>
  <cp:category> </cp:category>
  <cp:contentStatus> </cp:contentStatus>
</cp:coreProperties>
</file>