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5E407B" w:rsidRPr="007115F7" w:rsidRDefault="005E407B" w:rsidP="007115F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E407B" w:rsidRDefault="005E407B">
            <w:pPr>
              <w:tabs>
                <w:tab w:val="center" w:pos="4680"/>
              </w:tabs>
              <w:suppressAutoHyphens/>
              <w:rPr>
                <w:spacing w:val="-2"/>
              </w:rPr>
            </w:pPr>
            <w:r>
              <w:rPr>
                <w:spacing w:val="-2"/>
              </w:rPr>
              <w:t>CG Docket No. 03-123</w:t>
            </w:r>
          </w:p>
        </w:tc>
      </w:tr>
    </w:tbl>
    <w:p w:rsidR="004C2EE3" w:rsidRDefault="004C2EE3" w:rsidP="0070224F"/>
    <w:p w:rsidR="00841AB1" w:rsidRDefault="005E407B"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46A01">
        <w:rPr>
          <w:b/>
          <w:spacing w:val="-2"/>
        </w:rPr>
        <w:t>June 4,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6A01">
        <w:rPr>
          <w:b/>
          <w:spacing w:val="-2"/>
        </w:rPr>
        <w:t>June 4, 2015</w:t>
      </w:r>
    </w:p>
    <w:p w:rsidR="00822CE0" w:rsidRDefault="00822CE0"/>
    <w:p w:rsidR="004C2EE3" w:rsidRDefault="004C2EE3">
      <w:pPr>
        <w:rPr>
          <w:spacing w:val="-2"/>
        </w:rPr>
      </w:pPr>
      <w:r>
        <w:t xml:space="preserve">By </w:t>
      </w:r>
      <w:r w:rsidR="004E4A22">
        <w:t>the</w:t>
      </w:r>
      <w:r w:rsidR="002A2D2E">
        <w:t xml:space="preserve"> </w:t>
      </w:r>
      <w:r w:rsidR="005E407B">
        <w:rPr>
          <w:spacing w:val="-2"/>
        </w:rPr>
        <w:t>Acting Chief, Consumer and Governmental Affairs Bureau</w:t>
      </w:r>
      <w:r>
        <w:rPr>
          <w:spacing w:val="-2"/>
        </w:rPr>
        <w:t>:</w:t>
      </w:r>
    </w:p>
    <w:p w:rsidR="00822CE0" w:rsidRDefault="00822CE0">
      <w:pPr>
        <w:rPr>
          <w:spacing w:val="-2"/>
        </w:rPr>
      </w:pPr>
    </w:p>
    <w:p w:rsidR="00412FC5" w:rsidRDefault="00412FC5" w:rsidP="00412FC5"/>
    <w:p w:rsidR="002C00E8" w:rsidRDefault="00F400B3" w:rsidP="002C00E8">
      <w:pPr>
        <w:pStyle w:val="Heading1"/>
      </w:pPr>
      <w:r>
        <w:t>introduction</w:t>
      </w:r>
    </w:p>
    <w:p w:rsidR="00F400B3" w:rsidRDefault="00F400B3" w:rsidP="00F400B3">
      <w:pPr>
        <w:pStyle w:val="ParaNum"/>
      </w:pPr>
      <w:r>
        <w:t>In this order, the Consumer and Governmental Affairs Bureau (Bureau) grants</w:t>
      </w:r>
      <w:r w:rsidR="00826189">
        <w:t xml:space="preserve"> Sprint Corporation (Sprint) a</w:t>
      </w:r>
      <w:r w:rsidR="003B4D76">
        <w:t xml:space="preserve"> </w:t>
      </w:r>
      <w:r w:rsidR="00826189">
        <w:t xml:space="preserve">brief </w:t>
      </w:r>
      <w:r>
        <w:t xml:space="preserve">extension of a limited and temporary waiver of the Federal Communication Commission’s (FCC’s or Commission’s) </w:t>
      </w:r>
      <w:r w:rsidR="008152F1">
        <w:t>speed-of-</w:t>
      </w:r>
      <w:r>
        <w:t>answer requirements for Internet Protocol Relay (IP Relay) Service.</w:t>
      </w:r>
      <w:r w:rsidR="00D063A4">
        <w:t xml:space="preserve">  IP Relay providers are required to answer 85 percent of calls within 10 seconds, measured daily.</w:t>
      </w:r>
      <w:r w:rsidR="00D063A4">
        <w:rPr>
          <w:rStyle w:val="FootnoteReference"/>
        </w:rPr>
        <w:footnoteReference w:id="2"/>
      </w:r>
      <w:r>
        <w:t xml:space="preserve">  This extension is </w:t>
      </w:r>
      <w:r w:rsidR="00F26A5D">
        <w:t>effective</w:t>
      </w:r>
      <w:r>
        <w:t xml:space="preserve"> April 15, 2015, the expiration date of the prior waiver, and will </w:t>
      </w:r>
      <w:r w:rsidR="00D07563">
        <w:t>remain in effect through</w:t>
      </w:r>
      <w:r>
        <w:t xml:space="preserve"> June 30, 2015.</w:t>
      </w:r>
    </w:p>
    <w:p w:rsidR="00014D66" w:rsidRPr="003B4D76" w:rsidRDefault="00014D66" w:rsidP="003B4D76">
      <w:pPr>
        <w:pStyle w:val="ParaNum"/>
        <w:numPr>
          <w:ilvl w:val="0"/>
          <w:numId w:val="0"/>
        </w:numPr>
        <w:rPr>
          <w:b/>
        </w:rPr>
      </w:pPr>
      <w:r>
        <w:t>II.</w:t>
      </w:r>
      <w:r>
        <w:tab/>
      </w:r>
      <w:r>
        <w:rPr>
          <w:b/>
        </w:rPr>
        <w:t>BACKGROUND</w:t>
      </w:r>
    </w:p>
    <w:p w:rsidR="00211AE1" w:rsidRDefault="00F400B3" w:rsidP="00F400B3">
      <w:pPr>
        <w:pStyle w:val="ParaNum"/>
      </w:pPr>
      <w:r>
        <w:t>IP Relay service is a form of telecommunications relay service</w:t>
      </w:r>
      <w:r w:rsidR="00826189">
        <w:t>s</w:t>
      </w:r>
      <w:r>
        <w:t xml:space="preserve"> (TRS)</w:t>
      </w:r>
      <w:r>
        <w:rPr>
          <w:rStyle w:val="FootnoteReference"/>
        </w:rPr>
        <w:footnoteReference w:id="3"/>
      </w:r>
      <w:r>
        <w:t xml:space="preserve"> that enables an individual who is deaf, hard of hearing, deaf-blind, or has a speech disability to communicate in text using an Internet Protocol-enabled device via a communications assistant (CA) contacted via the Internet, rather than using a text telephone (TTY) and the public switched telephone network.</w:t>
      </w:r>
      <w:r>
        <w:rPr>
          <w:rStyle w:val="FootnoteReference"/>
        </w:rPr>
        <w:footnoteReference w:id="4"/>
      </w:r>
      <w:r>
        <w:t xml:space="preserve">  From July 31, 2013</w:t>
      </w:r>
      <w:r w:rsidR="008152F1">
        <w:t>,</w:t>
      </w:r>
      <w:r>
        <w:t xml:space="preserve"> through November 14, 2014, two providers offered IP Relay service –</w:t>
      </w:r>
      <w:r w:rsidR="00A5617F">
        <w:t xml:space="preserve"> </w:t>
      </w:r>
      <w:r>
        <w:t>Purple</w:t>
      </w:r>
      <w:r w:rsidR="00D56DAF">
        <w:t xml:space="preserve"> Communications, Inc. (Purple)</w:t>
      </w:r>
      <w:r w:rsidR="00222420">
        <w:t>,</w:t>
      </w:r>
      <w:r w:rsidR="00A5617F">
        <w:t xml:space="preserve"> and Sprint</w:t>
      </w:r>
      <w:r>
        <w:t>.</w:t>
      </w:r>
      <w:r>
        <w:rPr>
          <w:rStyle w:val="FootnoteReference"/>
        </w:rPr>
        <w:footnoteReference w:id="5"/>
      </w:r>
      <w:r>
        <w:t xml:space="preserve">  On October 15, 2014, Purple notified the Commission that it would cease providing IP Relay service to its existing users, effective 5:00 p.m. eastern standard time on November 15, 2014.</w:t>
      </w:r>
      <w:r>
        <w:rPr>
          <w:rStyle w:val="FootnoteReference"/>
        </w:rPr>
        <w:footnoteReference w:id="6"/>
      </w:r>
      <w:r>
        <w:t xml:space="preserve">  On November 12, 2014, Sprint filed a request for a 5-month waiver of the </w:t>
      </w:r>
      <w:r w:rsidR="008152F1">
        <w:t>speed-of-</w:t>
      </w:r>
      <w:r>
        <w:t xml:space="preserve">answer requirement </w:t>
      </w:r>
      <w:r>
        <w:lastRenderedPageBreak/>
        <w:t>for IP Relay service.</w:t>
      </w:r>
      <w:r>
        <w:rPr>
          <w:rStyle w:val="FootnoteReference"/>
        </w:rPr>
        <w:footnoteReference w:id="7"/>
      </w:r>
      <w:r>
        <w:t xml:space="preserve">  Purple ceased providing IP Relay service, as announced, on November 15, 2014, leaving Sprint as the sole provider of IP Relay service.</w:t>
      </w:r>
      <w:r w:rsidR="004E212B">
        <w:t xml:space="preserve">  </w:t>
      </w:r>
    </w:p>
    <w:p w:rsidR="00D56DAF" w:rsidRDefault="004E212B" w:rsidP="00D56DAF">
      <w:pPr>
        <w:pStyle w:val="ParaNum"/>
      </w:pPr>
      <w:r>
        <w:t>On December 12, 2014, the Bureau granted Sprint a limited waiver of the IP Relay speed</w:t>
      </w:r>
      <w:r w:rsidR="008152F1">
        <w:t>-</w:t>
      </w:r>
      <w:r>
        <w:t>of</w:t>
      </w:r>
      <w:r w:rsidR="008152F1">
        <w:t>-</w:t>
      </w:r>
      <w:r>
        <w:t>answer requirements retroactive to November 14, 2014 and ending on April 15, 2015.</w:t>
      </w:r>
      <w:r w:rsidR="004B4F6D">
        <w:rPr>
          <w:rStyle w:val="FootnoteReference"/>
        </w:rPr>
        <w:footnoteReference w:id="8"/>
      </w:r>
      <w:r w:rsidR="00D56DAF">
        <w:t xml:space="preserve">  The </w:t>
      </w:r>
      <w:r w:rsidR="00222420">
        <w:t xml:space="preserve">waiver was granted in order to </w:t>
      </w:r>
      <w:r w:rsidR="00284031">
        <w:t xml:space="preserve">allow Sprint time to adapt to the </w:t>
      </w:r>
      <w:r w:rsidR="00284031" w:rsidRPr="00284031">
        <w:t>anticipated increase in usage</w:t>
      </w:r>
      <w:r w:rsidR="00284031">
        <w:t xml:space="preserve"> of its service resulting from</w:t>
      </w:r>
      <w:r w:rsidR="00D56DAF">
        <w:t xml:space="preserve"> Purple’s departure from the IP Relay service market </w:t>
      </w:r>
      <w:r w:rsidR="00284031">
        <w:t xml:space="preserve">and to enable </w:t>
      </w:r>
      <w:r w:rsidR="00D56DAF" w:rsidRPr="004F1D45">
        <w:t xml:space="preserve">Sprint to </w:t>
      </w:r>
      <w:r w:rsidR="00D56DAF">
        <w:t xml:space="preserve">expeditiously commence service to </w:t>
      </w:r>
      <w:r w:rsidR="00284031">
        <w:t xml:space="preserve">legitimate former </w:t>
      </w:r>
      <w:r w:rsidR="00D56DAF">
        <w:t xml:space="preserve">users </w:t>
      </w:r>
      <w:r w:rsidR="00284031">
        <w:t xml:space="preserve">of Purple’s IP Relay service </w:t>
      </w:r>
      <w:r w:rsidR="00D56DAF">
        <w:t xml:space="preserve">who </w:t>
      </w:r>
      <w:r w:rsidR="002667A9">
        <w:t>had</w:t>
      </w:r>
      <w:r w:rsidR="00D56DAF">
        <w:t xml:space="preserve"> no alternative IP Relay provider</w:t>
      </w:r>
      <w:r w:rsidR="002667A9">
        <w:t xml:space="preserve"> as a result of Purple’s </w:t>
      </w:r>
      <w:r w:rsidR="00284031">
        <w:t>exit</w:t>
      </w:r>
      <w:r w:rsidR="00D56DAF" w:rsidRPr="004F1D45">
        <w:t>.</w:t>
      </w:r>
      <w:r w:rsidR="00D56DAF" w:rsidRPr="004F1D45">
        <w:rPr>
          <w:vertAlign w:val="superscript"/>
        </w:rPr>
        <w:footnoteReference w:id="9"/>
      </w:r>
      <w:r w:rsidR="00D56DAF" w:rsidRPr="004F1D45">
        <w:t xml:space="preserve">    </w:t>
      </w:r>
    </w:p>
    <w:p w:rsidR="00F400B3" w:rsidRDefault="00C54AA1" w:rsidP="00D56DAF">
      <w:pPr>
        <w:pStyle w:val="ParaNum"/>
      </w:pPr>
      <w:r>
        <w:t>Noting that</w:t>
      </w:r>
      <w:r w:rsidR="00D56DAF">
        <w:t xml:space="preserve"> </w:t>
      </w:r>
      <w:r>
        <w:t>s</w:t>
      </w:r>
      <w:r w:rsidR="00D56DAF">
        <w:t>ection 225(b)(1) of the Communications Act of 1934, as amended</w:t>
      </w:r>
      <w:r w:rsidR="009861DE">
        <w:t xml:space="preserve"> (Act)</w:t>
      </w:r>
      <w:r w:rsidR="00D56DAF">
        <w:t>, requires the Commission to ensure that TRS “are available to the extent possible and in the most efficient manner” to individuals with hearing and speech disabilities in the United States</w:t>
      </w:r>
      <w:r>
        <w:t>,</w:t>
      </w:r>
      <w:r w:rsidR="00D56DAF">
        <w:rPr>
          <w:rStyle w:val="FootnoteReference"/>
        </w:rPr>
        <w:footnoteReference w:id="10"/>
      </w:r>
      <w:r>
        <w:t xml:space="preserve"> the Bureau concluded that</w:t>
      </w:r>
      <w:r w:rsidR="00D56DAF">
        <w:t xml:space="preserve"> the overall policy of section 225 </w:t>
      </w:r>
      <w:r>
        <w:t>would</w:t>
      </w:r>
      <w:r w:rsidR="00D56DAF">
        <w:t xml:space="preserve"> be most effectively implemented by granting a limited waiver that </w:t>
      </w:r>
      <w:r>
        <w:t>would</w:t>
      </w:r>
      <w:r w:rsidR="00D56DAF">
        <w:t xml:space="preserve"> permit Sprint to focus its efforts on ensuring that service is provided with little or no interruption to those consumers with a legitimate need for IP Relay, especially those who rely on this form of TRS as their sole or primary source of functionally equivalent telephone service.</w:t>
      </w:r>
      <w:r w:rsidR="00D56DAF">
        <w:rPr>
          <w:rStyle w:val="FootnoteReference"/>
        </w:rPr>
        <w:footnoteReference w:id="11"/>
      </w:r>
      <w:r w:rsidR="00D56DAF">
        <w:t xml:space="preserve">  To </w:t>
      </w:r>
      <w:r w:rsidR="00D56DAF" w:rsidRPr="00053B0F">
        <w:t xml:space="preserve">help the Commission monitor the number of unique users </w:t>
      </w:r>
      <w:r w:rsidR="00222420">
        <w:t>migrating</w:t>
      </w:r>
      <w:r w:rsidR="00222420" w:rsidRPr="00053B0F">
        <w:t xml:space="preserve"> </w:t>
      </w:r>
      <w:r w:rsidR="00D56DAF" w:rsidRPr="00053B0F">
        <w:t>from</w:t>
      </w:r>
      <w:r w:rsidR="00D56DAF">
        <w:t xml:space="preserve"> Purple, </w:t>
      </w:r>
      <w:r w:rsidR="001D62ED">
        <w:t>the Bureau</w:t>
      </w:r>
      <w:r w:rsidR="00D56DAF">
        <w:t xml:space="preserve"> require</w:t>
      </w:r>
      <w:r w:rsidR="001D62ED">
        <w:t>d</w:t>
      </w:r>
      <w:r w:rsidR="00D56DAF">
        <w:t xml:space="preserve"> Sprint</w:t>
      </w:r>
      <w:r w:rsidR="00D56DAF" w:rsidRPr="001D62ED">
        <w:rPr>
          <w:rFonts w:ascii="TimesNewRoman" w:hAnsi="TimesNewRoman" w:cs="TimesNewRoman"/>
          <w:color w:val="010101"/>
          <w:szCs w:val="22"/>
        </w:rPr>
        <w:t xml:space="preserve"> </w:t>
      </w:r>
      <w:r w:rsidR="00D56DAF" w:rsidRPr="00053B0F">
        <w:t>to report the</w:t>
      </w:r>
      <w:r w:rsidR="00D56DAF">
        <w:t xml:space="preserve"> </w:t>
      </w:r>
      <w:r w:rsidR="00D56DAF" w:rsidRPr="00053B0F">
        <w:t xml:space="preserve">total telephone numbers ported </w:t>
      </w:r>
      <w:r w:rsidR="00D56DAF">
        <w:t>or newly assigned per month, as well as</w:t>
      </w:r>
      <w:r w:rsidR="00D56DAF" w:rsidRPr="00053B0F">
        <w:t xml:space="preserve"> the number of unique </w:t>
      </w:r>
      <w:r w:rsidR="00D56DAF">
        <w:t xml:space="preserve">registered </w:t>
      </w:r>
      <w:r w:rsidR="00D56DAF" w:rsidRPr="00053B0F">
        <w:t>users</w:t>
      </w:r>
      <w:r w:rsidR="00D56DAF">
        <w:t xml:space="preserve"> served per month during</w:t>
      </w:r>
      <w:r w:rsidR="00D56DAF" w:rsidRPr="00053B0F">
        <w:t xml:space="preserve"> the waiver period</w:t>
      </w:r>
      <w:r w:rsidR="00D56DAF">
        <w:t>.</w:t>
      </w:r>
      <w:r w:rsidR="00D56DAF" w:rsidRPr="002F4685">
        <w:rPr>
          <w:vertAlign w:val="superscript"/>
        </w:rPr>
        <w:footnoteReference w:id="12"/>
      </w:r>
    </w:p>
    <w:p w:rsidR="00A035E6" w:rsidRDefault="00A035E6" w:rsidP="00D56DAF">
      <w:pPr>
        <w:pStyle w:val="ParaNum"/>
      </w:pPr>
      <w:r>
        <w:t>On April 3, 2015</w:t>
      </w:r>
      <w:r w:rsidR="00222420">
        <w:t>,</w:t>
      </w:r>
      <w:r>
        <w:t xml:space="preserve"> Sprint </w:t>
      </w:r>
      <w:r w:rsidR="00222420">
        <w:t>requested an extension of</w:t>
      </w:r>
      <w:r>
        <w:t xml:space="preserve"> its temporary limited waiver </w:t>
      </w:r>
      <w:r w:rsidR="00222420">
        <w:t xml:space="preserve">to include the period </w:t>
      </w:r>
      <w:r>
        <w:t>from April 15, 2015</w:t>
      </w:r>
      <w:r w:rsidR="00222420">
        <w:t>,</w:t>
      </w:r>
      <w:r>
        <w:t xml:space="preserve"> through June 30, 2015.</w:t>
      </w:r>
      <w:r>
        <w:rPr>
          <w:rStyle w:val="FootnoteReference"/>
        </w:rPr>
        <w:footnoteReference w:id="13"/>
      </w:r>
      <w:r>
        <w:t xml:space="preserve">  Sprint supplemented its request on April 10 and 16, 2015.</w:t>
      </w:r>
      <w:r>
        <w:rPr>
          <w:rStyle w:val="FootnoteReference"/>
        </w:rPr>
        <w:footnoteReference w:id="14"/>
      </w:r>
    </w:p>
    <w:p w:rsidR="00C43912" w:rsidRDefault="00C43912" w:rsidP="00C43912">
      <w:pPr>
        <w:pStyle w:val="Heading1"/>
      </w:pPr>
      <w:r>
        <w:t>discussion</w:t>
      </w:r>
    </w:p>
    <w:p w:rsidR="00C43912" w:rsidRDefault="006577BA" w:rsidP="00C43912">
      <w:pPr>
        <w:pStyle w:val="ParaNum"/>
      </w:pPr>
      <w:r>
        <w:t>Sprint requests a waiver of section 64.604(b)(2)(ii) of the Commission’s rules, which requires IP Relay providers to answer 85 percent of calls within 10 seconds, measured daily.</w:t>
      </w:r>
      <w:r>
        <w:rPr>
          <w:rStyle w:val="FootnoteReference"/>
        </w:rPr>
        <w:footnoteReference w:id="15"/>
      </w:r>
      <w:r>
        <w:t xml:space="preserve">  Generally, the</w:t>
      </w:r>
      <w:r w:rsidR="000A045B">
        <w:t xml:space="preserve"> Commission’s rules may be waived for good cause shown.</w:t>
      </w:r>
      <w:r w:rsidR="000A045B">
        <w:rPr>
          <w:vertAlign w:val="superscript"/>
        </w:rPr>
        <w:footnoteReference w:id="16"/>
      </w:r>
      <w:r w:rsidR="000A045B">
        <w:t xml:space="preserve">  The Commission may exercise its discretion to waive a rule where the particular facts make strict compliance inconsistent with the public </w:t>
      </w:r>
      <w:r w:rsidR="000A045B">
        <w:lastRenderedPageBreak/>
        <w:t>interest.</w:t>
      </w:r>
      <w:r w:rsidR="000A045B">
        <w:rPr>
          <w:vertAlign w:val="superscript"/>
        </w:rPr>
        <w:footnoteReference w:id="17"/>
      </w:r>
      <w:r w:rsidR="000A045B">
        <w:t xml:space="preserve">  In addition, the Commission may take into account considerations of hardship, equity, or more effective implementation of overall policy on an individual basis.</w:t>
      </w:r>
      <w:r w:rsidR="000A045B">
        <w:rPr>
          <w:vertAlign w:val="superscript"/>
        </w:rPr>
        <w:footnoteReference w:id="18"/>
      </w:r>
      <w:r w:rsidR="000A045B">
        <w:t xml:space="preserve">  Waiver of the Commission’s rules is therefore appropriate only if special circumstances warrant a deviation from the general rule and if such a deviation will serve the public interest.</w:t>
      </w:r>
      <w:r w:rsidR="000A045B">
        <w:rPr>
          <w:vertAlign w:val="superscript"/>
        </w:rPr>
        <w:footnoteReference w:id="19"/>
      </w:r>
    </w:p>
    <w:p w:rsidR="00E160B6" w:rsidRDefault="00E160B6" w:rsidP="00C43912">
      <w:pPr>
        <w:pStyle w:val="ParaNum"/>
      </w:pPr>
      <w:r>
        <w:t xml:space="preserve">Sprint </w:t>
      </w:r>
      <w:r w:rsidR="0071070E">
        <w:t xml:space="preserve">states </w:t>
      </w:r>
      <w:r w:rsidR="00C6233D">
        <w:t>that</w:t>
      </w:r>
      <w:r w:rsidR="00DA7538" w:rsidRPr="00DA7538">
        <w:t xml:space="preserve"> </w:t>
      </w:r>
      <w:r w:rsidR="00DA7538">
        <w:t>although it planned for a</w:t>
      </w:r>
      <w:r w:rsidR="00A035E6">
        <w:t>n expected</w:t>
      </w:r>
      <w:r w:rsidR="00DA7538">
        <w:t xml:space="preserve"> spike in demand </w:t>
      </w:r>
      <w:r w:rsidR="0071070E" w:rsidRPr="0071070E">
        <w:t xml:space="preserve">for its IP Relay service </w:t>
      </w:r>
      <w:r w:rsidR="00DA7538">
        <w:t>after Purple exited the IP Relay business</w:t>
      </w:r>
      <w:r w:rsidR="00C6233D">
        <w:t xml:space="preserve"> </w:t>
      </w:r>
      <w:r w:rsidR="00DA7538">
        <w:t>in November</w:t>
      </w:r>
      <w:r w:rsidR="00C6233D">
        <w:t xml:space="preserve">, Sprint did not anticipate that demand would continue to increase at a high rate many months </w:t>
      </w:r>
      <w:r w:rsidR="00DA7538">
        <w:t>later</w:t>
      </w:r>
      <w:r w:rsidR="005E2540">
        <w:t>.</w:t>
      </w:r>
      <w:r w:rsidR="005E2540">
        <w:rPr>
          <w:rStyle w:val="FootnoteReference"/>
        </w:rPr>
        <w:footnoteReference w:id="20"/>
      </w:r>
      <w:r w:rsidR="005E2540">
        <w:t xml:space="preserve">  As a result, the </w:t>
      </w:r>
      <w:r w:rsidR="00C6233D">
        <w:t>Sprint</w:t>
      </w:r>
      <w:r w:rsidR="005E2540">
        <w:t xml:space="preserve"> </w:t>
      </w:r>
      <w:r w:rsidR="007B6FA8">
        <w:t xml:space="preserve">Initial </w:t>
      </w:r>
      <w:r w:rsidR="005E2540">
        <w:t>Waiver Request</w:t>
      </w:r>
      <w:r w:rsidR="00C6233D">
        <w:t xml:space="preserve"> </w:t>
      </w:r>
      <w:r w:rsidR="005E2540">
        <w:t>sought</w:t>
      </w:r>
      <w:r w:rsidR="00C6233D">
        <w:t xml:space="preserve"> a waiver </w:t>
      </w:r>
      <w:r w:rsidR="00A035E6">
        <w:t>that would terminate in</w:t>
      </w:r>
      <w:r w:rsidR="00C6233D">
        <w:t xml:space="preserve"> mid-April.</w:t>
      </w:r>
      <w:r w:rsidR="005E2540">
        <w:rPr>
          <w:rStyle w:val="FootnoteReference"/>
        </w:rPr>
        <w:footnoteReference w:id="21"/>
      </w:r>
      <w:r w:rsidR="00034F1C">
        <w:t xml:space="preserve">  Sprint </w:t>
      </w:r>
      <w:r w:rsidR="00C164EC">
        <w:t>maintains</w:t>
      </w:r>
      <w:r w:rsidR="00034F1C">
        <w:t xml:space="preserve"> that the waiver has proven “absolutely essential, as Sprint could not have sustained it</w:t>
      </w:r>
      <w:r w:rsidR="007B6FA8">
        <w:t>s</w:t>
      </w:r>
      <w:r w:rsidR="00034F1C">
        <w:t xml:space="preserve"> IP Relay business if </w:t>
      </w:r>
      <w:r w:rsidR="007B6FA8">
        <w:t xml:space="preserve">it </w:t>
      </w:r>
      <w:r w:rsidR="00034F1C">
        <w:t xml:space="preserve">had been denied compensation” for those days of service when it did not meet the </w:t>
      </w:r>
      <w:r w:rsidR="008152F1">
        <w:t>speed-of-answer</w:t>
      </w:r>
      <w:r w:rsidR="00034F1C">
        <w:t xml:space="preserve"> requirement.</w:t>
      </w:r>
      <w:r w:rsidR="00034F1C">
        <w:rPr>
          <w:rStyle w:val="FootnoteReference"/>
        </w:rPr>
        <w:footnoteReference w:id="22"/>
      </w:r>
      <w:r w:rsidR="00D3526D">
        <w:t xml:space="preserve">  Sprint adds that</w:t>
      </w:r>
      <w:r w:rsidR="00E709B4">
        <w:t xml:space="preserve"> because </w:t>
      </w:r>
      <w:r w:rsidR="007B6FA8">
        <w:t xml:space="preserve">many of its </w:t>
      </w:r>
      <w:r w:rsidR="00E709B4">
        <w:t xml:space="preserve">CAs </w:t>
      </w:r>
      <w:r w:rsidR="007B6FA8">
        <w:t xml:space="preserve">are employed </w:t>
      </w:r>
      <w:r w:rsidR="00E709B4">
        <w:t xml:space="preserve">for both IP Relay and </w:t>
      </w:r>
      <w:r w:rsidR="0071070E">
        <w:t xml:space="preserve">TTY-based </w:t>
      </w:r>
      <w:r w:rsidR="00E709B4">
        <w:t>relay service,</w:t>
      </w:r>
      <w:r w:rsidR="00D3526D">
        <w:t xml:space="preserve"> the increase in demand for </w:t>
      </w:r>
      <w:r w:rsidR="0071070E">
        <w:t xml:space="preserve">its </w:t>
      </w:r>
      <w:r w:rsidR="00D3526D">
        <w:t xml:space="preserve">IP Relay service </w:t>
      </w:r>
      <w:r w:rsidR="0071070E">
        <w:t xml:space="preserve">has been </w:t>
      </w:r>
      <w:r w:rsidR="00D3526D">
        <w:t xml:space="preserve">exacerbated by new increased demand for </w:t>
      </w:r>
      <w:r w:rsidR="006820F6">
        <w:t>TTY-based</w:t>
      </w:r>
      <w:r w:rsidR="00D3526D">
        <w:t xml:space="preserve"> relay service resulting from AT&amp;T exiting </w:t>
      </w:r>
      <w:r w:rsidR="00FA75A1">
        <w:t>that</w:t>
      </w:r>
      <w:r w:rsidR="00D3526D">
        <w:t xml:space="preserve"> business and Sprint having been awarded contracts in four states formerly served by AT&amp;T.</w:t>
      </w:r>
      <w:r w:rsidR="00D3526D">
        <w:rPr>
          <w:rStyle w:val="FootnoteReference"/>
        </w:rPr>
        <w:footnoteReference w:id="23"/>
      </w:r>
      <w:r w:rsidR="00E709B4">
        <w:t xml:space="preserve">  Lastly, Sprint reports that it is midway through the process of hiring a</w:t>
      </w:r>
      <w:r w:rsidR="0071070E">
        <w:t>nd</w:t>
      </w:r>
      <w:r w:rsidR="00E709B4">
        <w:t xml:space="preserve"> training CAs to meet the additional volume of IP Relay and </w:t>
      </w:r>
      <w:r w:rsidR="006820F6">
        <w:t xml:space="preserve">TTY-based </w:t>
      </w:r>
      <w:r w:rsidR="00E709B4">
        <w:t>relay traffic, and expects to have new CAs on board in May and June.</w:t>
      </w:r>
      <w:r w:rsidR="008C64AE">
        <w:rPr>
          <w:rStyle w:val="FootnoteReference"/>
        </w:rPr>
        <w:footnoteReference w:id="24"/>
      </w:r>
    </w:p>
    <w:p w:rsidR="00B514CF" w:rsidRDefault="005E31DA" w:rsidP="00C43912">
      <w:pPr>
        <w:pStyle w:val="ParaNum"/>
      </w:pPr>
      <w:r>
        <w:t>I</w:t>
      </w:r>
      <w:r w:rsidR="008C64AE">
        <w:t xml:space="preserve">n the </w:t>
      </w:r>
      <w:r w:rsidR="008C64AE">
        <w:rPr>
          <w:i/>
        </w:rPr>
        <w:t xml:space="preserve">Sprint </w:t>
      </w:r>
      <w:r w:rsidR="008152F1">
        <w:rPr>
          <w:i/>
        </w:rPr>
        <w:t>Speed-of-Answer</w:t>
      </w:r>
      <w:r w:rsidR="008C64AE">
        <w:rPr>
          <w:i/>
        </w:rPr>
        <w:t xml:space="preserve"> Waiver Order</w:t>
      </w:r>
      <w:r w:rsidR="0059038D">
        <w:t xml:space="preserve">, we </w:t>
      </w:r>
      <w:r>
        <w:t xml:space="preserve">found </w:t>
      </w:r>
      <w:r w:rsidR="0059038D">
        <w:t xml:space="preserve">that under the circumstances, a deviation from the general rule </w:t>
      </w:r>
      <w:r>
        <w:t xml:space="preserve">would </w:t>
      </w:r>
      <w:r w:rsidR="0059038D">
        <w:t>ensure “</w:t>
      </w:r>
      <w:r w:rsidR="0059038D" w:rsidRPr="00D44A8B">
        <w:t>effective implementation of overall policy</w:t>
      </w:r>
      <w:r w:rsidR="0059038D">
        <w:t>” and advance the public interest.</w:t>
      </w:r>
      <w:r w:rsidR="0059038D">
        <w:rPr>
          <w:rStyle w:val="FootnoteReference"/>
        </w:rPr>
        <w:footnoteReference w:id="25"/>
      </w:r>
      <w:r w:rsidR="0059038D">
        <w:t xml:space="preserve">  Section 225(b)(1) of the </w:t>
      </w:r>
      <w:r w:rsidR="009861DE">
        <w:t>Act</w:t>
      </w:r>
      <w:r w:rsidR="0059038D">
        <w:t xml:space="preserve"> requires the Commission to ensure that TRS “are available to the extent possible and in the most efficient manner” to individuals with hearing and speech disabilities in the United States.</w:t>
      </w:r>
      <w:r w:rsidR="0059038D">
        <w:rPr>
          <w:rStyle w:val="FootnoteReference"/>
        </w:rPr>
        <w:footnoteReference w:id="26"/>
      </w:r>
      <w:r w:rsidR="0059038D">
        <w:t xml:space="preserve">  This statutory mandate and the public interest thus require that individuals who rely upon IP Relay service to communicate by telephone receive such service.</w:t>
      </w:r>
      <w:r w:rsidR="0059038D">
        <w:rPr>
          <w:rStyle w:val="FootnoteReference"/>
        </w:rPr>
        <w:footnoteReference w:id="27"/>
      </w:r>
      <w:r w:rsidR="0059038D">
        <w:t xml:space="preserve">  </w:t>
      </w:r>
    </w:p>
    <w:p w:rsidR="00537385" w:rsidRDefault="00B514CF" w:rsidP="00C43912">
      <w:pPr>
        <w:pStyle w:val="ParaNum"/>
      </w:pPr>
      <w:r>
        <w:t xml:space="preserve">We now conclude that these same considerations warrant a </w:t>
      </w:r>
      <w:r w:rsidR="00811FCA">
        <w:t xml:space="preserve">further, </w:t>
      </w:r>
      <w:r w:rsidR="00674879">
        <w:t xml:space="preserve">but </w:t>
      </w:r>
      <w:r>
        <w:t>relatively brief</w:t>
      </w:r>
      <w:r w:rsidR="00674879">
        <w:t>,</w:t>
      </w:r>
      <w:r>
        <w:t xml:space="preserve"> extension of Sprint’s speed-of-answer waiver.  We </w:t>
      </w:r>
      <w:r w:rsidR="00811FCA">
        <w:t xml:space="preserve">are persuaded by Sprint’s showing that </w:t>
      </w:r>
      <w:r w:rsidR="00641DCC">
        <w:t>the</w:t>
      </w:r>
      <w:r w:rsidR="003B4D76">
        <w:t>re has been an unanticipated</w:t>
      </w:r>
      <w:r w:rsidR="00641DCC">
        <w:t xml:space="preserve"> increase in </w:t>
      </w:r>
      <w:r w:rsidR="003B4D76">
        <w:t xml:space="preserve">IP Relay </w:t>
      </w:r>
      <w:r w:rsidR="00641DCC">
        <w:t xml:space="preserve">call volumes, months after Purple exited the IP Relay market, </w:t>
      </w:r>
      <w:r w:rsidR="003B4D76">
        <w:t xml:space="preserve">which </w:t>
      </w:r>
      <w:r w:rsidR="00641DCC">
        <w:t xml:space="preserve"> outpace</w:t>
      </w:r>
      <w:r w:rsidR="003B4D76">
        <w:t>d</w:t>
      </w:r>
      <w:r w:rsidR="00641DCC">
        <w:t xml:space="preserve"> its ability to hire and train qualified CAs, and </w:t>
      </w:r>
      <w:r w:rsidR="003B4D76">
        <w:t xml:space="preserve">that, </w:t>
      </w:r>
      <w:r w:rsidR="00641DCC">
        <w:t>accordingly</w:t>
      </w:r>
      <w:r w:rsidR="003B4D76">
        <w:t>,</w:t>
      </w:r>
      <w:r w:rsidR="00641DCC">
        <w:t xml:space="preserve"> </w:t>
      </w:r>
      <w:r w:rsidR="00811FCA">
        <w:t>it</w:t>
      </w:r>
      <w:r w:rsidR="00641DCC">
        <w:t>s</w:t>
      </w:r>
      <w:r w:rsidR="00811FCA">
        <w:t xml:space="preserve"> </w:t>
      </w:r>
      <w:r w:rsidR="00674879">
        <w:t>predict</w:t>
      </w:r>
      <w:r w:rsidR="00641DCC">
        <w:t>ions as</w:t>
      </w:r>
      <w:r w:rsidR="00811FCA">
        <w:t xml:space="preserve"> </w:t>
      </w:r>
      <w:r w:rsidR="006141F2">
        <w:t xml:space="preserve">to </w:t>
      </w:r>
      <w:r w:rsidR="003B4D76">
        <w:t xml:space="preserve">how long a waiver would be needed </w:t>
      </w:r>
      <w:r w:rsidR="00641DCC">
        <w:t>fell short</w:t>
      </w:r>
      <w:r w:rsidR="00811FCA">
        <w:t>.</w:t>
      </w:r>
      <w:r w:rsidR="00674879">
        <w:rPr>
          <w:rStyle w:val="FootnoteReference"/>
        </w:rPr>
        <w:footnoteReference w:id="28"/>
      </w:r>
      <w:r w:rsidR="00811FCA">
        <w:t xml:space="preserve">  </w:t>
      </w:r>
      <w:r w:rsidR="002004A7">
        <w:t xml:space="preserve">Further, Sprint’s need for a waiver extension appears to be due in part to its </w:t>
      </w:r>
      <w:r w:rsidR="003B4D76">
        <w:t xml:space="preserve">having </w:t>
      </w:r>
      <w:r w:rsidR="002A4DAB">
        <w:t>expeditiously commenced service to</w:t>
      </w:r>
      <w:r w:rsidR="003B4D76">
        <w:t xml:space="preserve"> consumers</w:t>
      </w:r>
      <w:r w:rsidR="00811FCA">
        <w:t xml:space="preserve"> who would otherwise remain unserved</w:t>
      </w:r>
      <w:r w:rsidR="0059038D">
        <w:t xml:space="preserve">, </w:t>
      </w:r>
      <w:r w:rsidR="002A4DAB">
        <w:t xml:space="preserve">enabling Sprint to serve more users at current capacity, but with reduced speed-of-answer performance.  In granting Sprint the initial waiver, we placed a high priority on minimizing any interruption of service to IP Relay users who </w:t>
      </w:r>
      <w:r w:rsidR="0059038D">
        <w:t>rely on this form of TRS as their sole or primary source of functionally equivalent telephone service.</w:t>
      </w:r>
      <w:r w:rsidR="0059038D">
        <w:rPr>
          <w:rStyle w:val="FootnoteReference"/>
        </w:rPr>
        <w:footnoteReference w:id="29"/>
      </w:r>
      <w:r w:rsidR="002004A7">
        <w:t xml:space="preserve">  </w:t>
      </w:r>
      <w:r w:rsidR="002004A7" w:rsidRPr="002004A7">
        <w:t>Therefore, in these particular circumstances, we find that it is reasonable to allow Sprint additional time to continue to hire and train additional CAs,</w:t>
      </w:r>
      <w:r w:rsidR="003036E8">
        <w:t xml:space="preserve"> without </w:t>
      </w:r>
      <w:r w:rsidR="002A4DAB">
        <w:t xml:space="preserve">incurring penalties or withheld compensation </w:t>
      </w:r>
      <w:r w:rsidR="003036E8">
        <w:t>for missing the speed-of-answer requirements during this brief extension, so that IP Relay users will have uninterrupted access to this functionally equivalent service.</w:t>
      </w:r>
      <w:r w:rsidR="002004A7" w:rsidRPr="002004A7">
        <w:t xml:space="preserve">  </w:t>
      </w:r>
    </w:p>
    <w:p w:rsidR="00C86358" w:rsidRDefault="00537385" w:rsidP="004960DE">
      <w:pPr>
        <w:pStyle w:val="ParaNum"/>
      </w:pPr>
      <w:r>
        <w:t xml:space="preserve">In summary, </w:t>
      </w:r>
      <w:r w:rsidR="002004A7" w:rsidRPr="002004A7">
        <w:t xml:space="preserve">we find that the overall policy of section 225 will be most effectively implemented by extending </w:t>
      </w:r>
      <w:r>
        <w:t>Sprint’s</w:t>
      </w:r>
      <w:r w:rsidR="002004A7" w:rsidRPr="002004A7">
        <w:t xml:space="preserve"> limited waiver</w:t>
      </w:r>
      <w:r>
        <w:t xml:space="preserve"> of the speed-of-answer requirement </w:t>
      </w:r>
      <w:r w:rsidR="00F26A5D">
        <w:t xml:space="preserve">through </w:t>
      </w:r>
      <w:r>
        <w:t>June 30, 2015.</w:t>
      </w:r>
      <w:r w:rsidR="002004A7" w:rsidRPr="002004A7">
        <w:t xml:space="preserve"> </w:t>
      </w:r>
      <w:r>
        <w:t xml:space="preserve"> </w:t>
      </w:r>
      <w:r w:rsidR="0099102A">
        <w:t xml:space="preserve">As </w:t>
      </w:r>
      <w:r w:rsidR="005B15A7">
        <w:t>provided</w:t>
      </w:r>
      <w:r w:rsidR="0099102A">
        <w:t xml:space="preserve"> by the </w:t>
      </w:r>
      <w:r w:rsidR="0099102A">
        <w:rPr>
          <w:i/>
        </w:rPr>
        <w:t xml:space="preserve">Sprint </w:t>
      </w:r>
      <w:r w:rsidR="008152F1">
        <w:rPr>
          <w:i/>
        </w:rPr>
        <w:t>Speed-of-Answer</w:t>
      </w:r>
      <w:r w:rsidR="0099102A">
        <w:rPr>
          <w:i/>
        </w:rPr>
        <w:t xml:space="preserve"> Waiver Order</w:t>
      </w:r>
      <w:r w:rsidR="0099102A">
        <w:t>, t</w:t>
      </w:r>
      <w:r w:rsidR="0099102A" w:rsidRPr="002F4685">
        <w:t xml:space="preserve">he Commission </w:t>
      </w:r>
      <w:r w:rsidR="0099102A">
        <w:t xml:space="preserve">will continue to </w:t>
      </w:r>
      <w:r w:rsidR="0099102A" w:rsidRPr="002F4685">
        <w:t xml:space="preserve">monitor </w:t>
      </w:r>
      <w:r w:rsidR="0099102A">
        <w:t xml:space="preserve">Sprint’s </w:t>
      </w:r>
      <w:r w:rsidR="008152F1">
        <w:t>speed-of-answer</w:t>
      </w:r>
      <w:r w:rsidR="0099102A" w:rsidRPr="002F4685">
        <w:t xml:space="preserve"> performance </w:t>
      </w:r>
      <w:r w:rsidR="0099102A">
        <w:t xml:space="preserve">by reviewing </w:t>
      </w:r>
      <w:r w:rsidR="0099102A" w:rsidRPr="002F4685">
        <w:t>Sprint</w:t>
      </w:r>
      <w:r w:rsidR="0099102A">
        <w:t>’s</w:t>
      </w:r>
      <w:r w:rsidR="0099102A" w:rsidRPr="002F4685">
        <w:t xml:space="preserve"> </w:t>
      </w:r>
      <w:r w:rsidR="008152F1">
        <w:t>speed-of-answer</w:t>
      </w:r>
      <w:r w:rsidR="0099102A" w:rsidRPr="002F4685">
        <w:t xml:space="preserve"> compliance data and reports</w:t>
      </w:r>
      <w:r w:rsidR="0099102A">
        <w:t>, which must be submitted</w:t>
      </w:r>
      <w:r w:rsidR="0099102A" w:rsidRPr="002F4685">
        <w:t xml:space="preserve"> </w:t>
      </w:r>
      <w:r w:rsidR="0099102A">
        <w:t xml:space="preserve">to the TRS Fund administrator </w:t>
      </w:r>
      <w:r w:rsidR="0099102A" w:rsidRPr="002F4685">
        <w:t xml:space="preserve">during the waiver period, </w:t>
      </w:r>
      <w:r w:rsidR="0099102A">
        <w:t>pursuant to</w:t>
      </w:r>
      <w:r w:rsidR="0099102A" w:rsidRPr="002F4685">
        <w:t xml:space="preserve"> section 64.604(c)(5)(iii)(D) of the Commission’s rules.</w:t>
      </w:r>
      <w:r w:rsidR="0099102A">
        <w:rPr>
          <w:rStyle w:val="FootnoteReference"/>
        </w:rPr>
        <w:footnoteReference w:id="30"/>
      </w:r>
      <w:r w:rsidR="0099102A">
        <w:t xml:space="preserve">  </w:t>
      </w:r>
      <w:r w:rsidR="005B15A7">
        <w:t>W</w:t>
      </w:r>
      <w:r w:rsidR="0099102A">
        <w:t>e</w:t>
      </w:r>
      <w:r w:rsidR="005B15A7">
        <w:t xml:space="preserve"> also continue to</w:t>
      </w:r>
      <w:r w:rsidR="0099102A">
        <w:t xml:space="preserve"> require Sprint</w:t>
      </w:r>
      <w:r w:rsidR="0099102A" w:rsidRPr="00053B0F">
        <w:rPr>
          <w:rFonts w:ascii="TimesNewRoman" w:hAnsi="TimesNewRoman" w:cs="TimesNewRoman"/>
          <w:color w:val="010101"/>
          <w:szCs w:val="22"/>
        </w:rPr>
        <w:t xml:space="preserve"> </w:t>
      </w:r>
      <w:r w:rsidR="0099102A" w:rsidRPr="00053B0F">
        <w:t>to report the</w:t>
      </w:r>
      <w:r w:rsidR="0099102A">
        <w:t xml:space="preserve"> </w:t>
      </w:r>
      <w:r w:rsidR="0099102A" w:rsidRPr="00053B0F">
        <w:t xml:space="preserve">total telephone numbers ported </w:t>
      </w:r>
      <w:r w:rsidR="0099102A">
        <w:t>or newly assigned per month, as well as</w:t>
      </w:r>
      <w:r w:rsidR="0099102A" w:rsidRPr="00053B0F">
        <w:t xml:space="preserve"> the number of unique </w:t>
      </w:r>
      <w:r w:rsidR="0099102A">
        <w:t xml:space="preserve">registered </w:t>
      </w:r>
      <w:r w:rsidR="0099102A" w:rsidRPr="00053B0F">
        <w:t>users</w:t>
      </w:r>
      <w:r w:rsidR="0099102A">
        <w:t xml:space="preserve"> served per month during</w:t>
      </w:r>
      <w:r w:rsidR="0099102A" w:rsidRPr="00053B0F">
        <w:t xml:space="preserve"> the waiver period</w:t>
      </w:r>
      <w:r w:rsidR="0099102A">
        <w:t>.</w:t>
      </w:r>
      <w:r w:rsidR="0099102A" w:rsidRPr="002F4685">
        <w:rPr>
          <w:vertAlign w:val="superscript"/>
        </w:rPr>
        <w:footnoteReference w:id="31"/>
      </w:r>
    </w:p>
    <w:p w:rsidR="004960DE" w:rsidRDefault="004960DE" w:rsidP="00C43912">
      <w:pPr>
        <w:pStyle w:val="ParaNum"/>
      </w:pPr>
      <w:r>
        <w:t>A</w:t>
      </w:r>
      <w:r w:rsidRPr="004960DE">
        <w:t>s Sprint has now had ample opportunity to assess and adapt to the current trend of IP Relay service growth, we do not anticipate granting any further extensions of this speed-of-answer waiver beyond June 30, 2015.</w:t>
      </w:r>
    </w:p>
    <w:p w:rsidR="00547315" w:rsidRDefault="00547315" w:rsidP="00547315">
      <w:pPr>
        <w:pStyle w:val="ParaNum"/>
        <w:widowControl/>
        <w:tabs>
          <w:tab w:val="left" w:pos="1440"/>
        </w:tabs>
      </w:pPr>
      <w:r>
        <w:t>Accordingly, IT IS ORDERED that, pursuant to the authority contained in sections 1, 4(i) and (j), 5, and 225 of the Communications Act of 1934, as amended, 47 U.S.C. §§ 151, 154(i)</w:t>
      </w:r>
      <w:r w:rsidR="009861DE">
        <w:t xml:space="preserve">, (j), 155, </w:t>
      </w:r>
      <w:r>
        <w:t xml:space="preserve">225, and sections </w:t>
      </w:r>
      <w:r w:rsidRPr="0033280C">
        <w:rPr>
          <w:szCs w:val="22"/>
        </w:rPr>
        <w:t>0.141, 0.361, and 1.3 of the Commission’s rules, 47 C.F.R. §§ 0.141, 0.361, 1.3</w:t>
      </w:r>
      <w:r>
        <w:t>, the Request for Extension of Temporary Limited Waiver filed by Sprint Corporation on April 3, 2015, and supplemented on April 10 and 16, 2015, IS GRANTED to the extent specified herein.</w:t>
      </w:r>
    </w:p>
    <w:p w:rsidR="00037C5D" w:rsidRDefault="00547315" w:rsidP="00547315">
      <w:pPr>
        <w:pStyle w:val="ParaNum"/>
        <w:widowControl/>
      </w:pPr>
      <w:r>
        <w:t xml:space="preserve">IT IS FURTHER ORDERED that the Internet Protocol Relay Service </w:t>
      </w:r>
      <w:r w:rsidR="008152F1">
        <w:t>speed-of-answer</w:t>
      </w:r>
      <w:r>
        <w:t xml:space="preserve"> requirement, section 64.604(b)(2)(ii) of the Commission’s rules, 47 C.F.R. § 64.604(b)(2)(ii), IS WAIVED for Sprint Corporation </w:t>
      </w:r>
      <w:r w:rsidR="009528E8">
        <w:t xml:space="preserve">beginning </w:t>
      </w:r>
      <w:r w:rsidR="00B70748">
        <w:t>April 15, 2015</w:t>
      </w:r>
      <w:r w:rsidR="00F15A8D">
        <w:t xml:space="preserve"> through</w:t>
      </w:r>
      <w:r>
        <w:t xml:space="preserve"> </w:t>
      </w:r>
      <w:r w:rsidR="00B70748">
        <w:t>June 30</w:t>
      </w:r>
      <w:r>
        <w:t>, 2015, subject to the conditions stated in this Order.</w:t>
      </w:r>
    </w:p>
    <w:p w:rsidR="00037C5D" w:rsidRDefault="00037C5D">
      <w:pPr>
        <w:widowControl/>
      </w:pPr>
      <w:r>
        <w:br w:type="page"/>
      </w:r>
    </w:p>
    <w:p w:rsidR="00547315" w:rsidRDefault="00547315" w:rsidP="00547315">
      <w:pPr>
        <w:pStyle w:val="ParaNum"/>
        <w:widowControl/>
        <w:spacing w:after="0"/>
        <w:rPr>
          <w:szCs w:val="22"/>
        </w:rPr>
      </w:pPr>
      <w:r>
        <w:rPr>
          <w:szCs w:val="22"/>
        </w:rPr>
        <w:t xml:space="preserve">To request materials in accessible formats (such as Braille, large print, electronic files, or audio format), send an e-mail to </w:t>
      </w:r>
      <w:hyperlink r:id="rId8" w:history="1">
        <w:r>
          <w:rPr>
            <w:szCs w:val="22"/>
          </w:rPr>
          <w:t>fcc504@fcc.gov</w:t>
        </w:r>
      </w:hyperlink>
      <w:r>
        <w:rPr>
          <w:szCs w:val="22"/>
        </w:rPr>
        <w:t xml:space="preserve"> or call the Consumer and Governmental Affairs Bureau </w:t>
      </w:r>
    </w:p>
    <w:p w:rsidR="00547315" w:rsidRDefault="00547315" w:rsidP="00547315">
      <w:pPr>
        <w:pStyle w:val="ParaNum"/>
        <w:widowControl/>
        <w:numPr>
          <w:ilvl w:val="0"/>
          <w:numId w:val="0"/>
        </w:numPr>
        <w:tabs>
          <w:tab w:val="num" w:pos="1440"/>
        </w:tabs>
        <w:spacing w:after="0"/>
        <w:rPr>
          <w:szCs w:val="22"/>
        </w:rPr>
      </w:pPr>
      <w:r>
        <w:rPr>
          <w:szCs w:val="22"/>
        </w:rPr>
        <w:t xml:space="preserve">at (202) 418-0530 (voice) or (202) 418-0432 (TTY).  This Order may be downloaded from </w:t>
      </w:r>
      <w:r w:rsidR="0062289F">
        <w:rPr>
          <w:szCs w:val="22"/>
        </w:rPr>
        <w:t>&lt;</w:t>
      </w:r>
      <w:r w:rsidRPr="0062289F">
        <w:rPr>
          <w:szCs w:val="22"/>
        </w:rPr>
        <w:t>http://www.fcc.gov/encyclopedia/telecommunications-relay-services-trs</w:t>
      </w:r>
      <w:r w:rsidR="0062289F">
        <w:rPr>
          <w:szCs w:val="22"/>
        </w:rPr>
        <w:t>&gt;</w:t>
      </w:r>
      <w:r>
        <w:rPr>
          <w:szCs w:val="22"/>
        </w:rPr>
        <w:t xml:space="preserve">.   </w:t>
      </w:r>
    </w:p>
    <w:p w:rsidR="00547315" w:rsidRDefault="00547315" w:rsidP="00547315">
      <w:pPr>
        <w:pStyle w:val="ParaNum"/>
        <w:widowControl/>
        <w:numPr>
          <w:ilvl w:val="0"/>
          <w:numId w:val="0"/>
        </w:numPr>
        <w:tabs>
          <w:tab w:val="num" w:pos="1440"/>
        </w:tabs>
        <w:spacing w:after="0"/>
        <w:rPr>
          <w:szCs w:val="22"/>
        </w:rPr>
      </w:pPr>
    </w:p>
    <w:p w:rsidR="00547315" w:rsidRDefault="00547315" w:rsidP="00547315">
      <w:pPr>
        <w:pStyle w:val="ParaNum"/>
        <w:widowControl/>
        <w:numPr>
          <w:ilvl w:val="0"/>
          <w:numId w:val="0"/>
        </w:numPr>
        <w:tabs>
          <w:tab w:val="num" w:pos="1440"/>
        </w:tabs>
        <w:spacing w:after="0"/>
        <w:rPr>
          <w:szCs w:val="22"/>
        </w:rPr>
      </w:pPr>
    </w:p>
    <w:p w:rsidR="00547315" w:rsidRDefault="00547315" w:rsidP="00547315">
      <w:pPr>
        <w:pStyle w:val="ParaNum"/>
        <w:keepNext/>
        <w:numPr>
          <w:ilvl w:val="0"/>
          <w:numId w:val="0"/>
        </w:numPr>
        <w:spacing w:after="0"/>
        <w:ind w:left="3600" w:firstLine="720"/>
        <w:rPr>
          <w:szCs w:val="22"/>
        </w:rPr>
      </w:pPr>
      <w:r>
        <w:rPr>
          <w:szCs w:val="22"/>
        </w:rPr>
        <w:t>FEDERAL COMMUNICATIONS COMMISSION</w:t>
      </w:r>
    </w:p>
    <w:p w:rsidR="00547315" w:rsidRDefault="00547315" w:rsidP="00547315">
      <w:pPr>
        <w:pStyle w:val="ParaNum"/>
        <w:keepNext/>
        <w:numPr>
          <w:ilvl w:val="0"/>
          <w:numId w:val="0"/>
        </w:numPr>
        <w:spacing w:after="0"/>
        <w:ind w:left="3600" w:firstLine="720"/>
        <w:rPr>
          <w:szCs w:val="22"/>
        </w:rPr>
      </w:pPr>
    </w:p>
    <w:p w:rsidR="00547315" w:rsidRDefault="00547315" w:rsidP="00547315">
      <w:pPr>
        <w:pStyle w:val="ParaNum"/>
        <w:keepNext/>
        <w:numPr>
          <w:ilvl w:val="0"/>
          <w:numId w:val="0"/>
        </w:numPr>
        <w:spacing w:after="0"/>
        <w:ind w:left="3600" w:firstLine="720"/>
        <w:rPr>
          <w:szCs w:val="22"/>
        </w:rPr>
      </w:pPr>
    </w:p>
    <w:p w:rsidR="00547315" w:rsidRDefault="00547315" w:rsidP="00547315">
      <w:pPr>
        <w:pStyle w:val="ParaNum"/>
        <w:keepNext/>
        <w:numPr>
          <w:ilvl w:val="0"/>
          <w:numId w:val="0"/>
        </w:numPr>
        <w:spacing w:after="0"/>
        <w:ind w:left="3600" w:firstLine="720"/>
        <w:rPr>
          <w:szCs w:val="22"/>
        </w:rPr>
      </w:pPr>
    </w:p>
    <w:p w:rsidR="00547315" w:rsidRDefault="00547315" w:rsidP="00547315">
      <w:pPr>
        <w:pStyle w:val="ParaNum"/>
        <w:keepNext/>
        <w:numPr>
          <w:ilvl w:val="0"/>
          <w:numId w:val="0"/>
        </w:numPr>
        <w:spacing w:after="0"/>
        <w:ind w:left="3600" w:firstLine="720"/>
        <w:rPr>
          <w:szCs w:val="22"/>
        </w:rPr>
      </w:pPr>
    </w:p>
    <w:p w:rsidR="00547315" w:rsidRDefault="00ED725D" w:rsidP="00547315">
      <w:pPr>
        <w:pStyle w:val="ParaNum"/>
        <w:numPr>
          <w:ilvl w:val="0"/>
          <w:numId w:val="0"/>
        </w:numPr>
        <w:spacing w:after="0"/>
        <w:ind w:left="4320"/>
        <w:rPr>
          <w:szCs w:val="22"/>
        </w:rPr>
      </w:pPr>
      <w:r>
        <w:rPr>
          <w:szCs w:val="22"/>
        </w:rPr>
        <w:t>Alison Kutler</w:t>
      </w:r>
    </w:p>
    <w:p w:rsidR="00547315" w:rsidRDefault="00547315" w:rsidP="00547315">
      <w:pPr>
        <w:pStyle w:val="ParaNum"/>
        <w:numPr>
          <w:ilvl w:val="0"/>
          <w:numId w:val="0"/>
        </w:numPr>
        <w:spacing w:after="0"/>
        <w:ind w:left="4320"/>
        <w:rPr>
          <w:szCs w:val="22"/>
        </w:rPr>
      </w:pPr>
      <w:r>
        <w:rPr>
          <w:szCs w:val="22"/>
        </w:rPr>
        <w:t>Acting Chief</w:t>
      </w:r>
    </w:p>
    <w:p w:rsidR="00547315" w:rsidRPr="00C43912" w:rsidRDefault="00547315" w:rsidP="00547315">
      <w:pPr>
        <w:pStyle w:val="ParaNum"/>
        <w:numPr>
          <w:ilvl w:val="0"/>
          <w:numId w:val="0"/>
        </w:numPr>
        <w:spacing w:after="0"/>
        <w:ind w:left="3600" w:firstLine="720"/>
      </w:pPr>
      <w:r>
        <w:rPr>
          <w:szCs w:val="22"/>
        </w:rPr>
        <w:t>Consumer and Governmental Affairs Bureau</w:t>
      </w:r>
    </w:p>
    <w:sectPr w:rsidR="00547315" w:rsidRPr="00C4391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A6" w:rsidRDefault="004451A6">
      <w:pPr>
        <w:spacing w:line="20" w:lineRule="exact"/>
      </w:pPr>
    </w:p>
  </w:endnote>
  <w:endnote w:type="continuationSeparator" w:id="0">
    <w:p w:rsidR="004451A6" w:rsidRDefault="004451A6">
      <w:r>
        <w:t xml:space="preserve"> </w:t>
      </w:r>
    </w:p>
  </w:endnote>
  <w:endnote w:type="continuationNotice" w:id="1">
    <w:p w:rsidR="004451A6" w:rsidRDefault="004451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6238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A6" w:rsidRDefault="004451A6">
      <w:r>
        <w:separator/>
      </w:r>
    </w:p>
  </w:footnote>
  <w:footnote w:type="continuationSeparator" w:id="0">
    <w:p w:rsidR="004451A6" w:rsidRDefault="004451A6" w:rsidP="00C721AC">
      <w:pPr>
        <w:spacing w:before="120"/>
        <w:rPr>
          <w:sz w:val="20"/>
        </w:rPr>
      </w:pPr>
      <w:r>
        <w:rPr>
          <w:sz w:val="20"/>
        </w:rPr>
        <w:t xml:space="preserve">(Continued from previous page)  </w:t>
      </w:r>
      <w:r>
        <w:rPr>
          <w:sz w:val="20"/>
        </w:rPr>
        <w:separator/>
      </w:r>
    </w:p>
  </w:footnote>
  <w:footnote w:type="continuationNotice" w:id="1">
    <w:p w:rsidR="004451A6" w:rsidRDefault="004451A6" w:rsidP="00C721AC">
      <w:pPr>
        <w:jc w:val="right"/>
        <w:rPr>
          <w:sz w:val="20"/>
        </w:rPr>
      </w:pPr>
      <w:r>
        <w:rPr>
          <w:sz w:val="20"/>
        </w:rPr>
        <w:t>(continued….)</w:t>
      </w:r>
    </w:p>
  </w:footnote>
  <w:footnote w:id="2">
    <w:p w:rsidR="00D063A4" w:rsidRDefault="00D063A4" w:rsidP="00D063A4">
      <w:pPr>
        <w:pStyle w:val="FootnoteText"/>
      </w:pPr>
      <w:r>
        <w:rPr>
          <w:rStyle w:val="FootnoteReference"/>
        </w:rPr>
        <w:footnoteRef/>
      </w:r>
      <w:r>
        <w:t xml:space="preserve"> 47 C.F.R. § 64.604(b)(2)(ii).</w:t>
      </w:r>
    </w:p>
  </w:footnote>
  <w:footnote w:id="3">
    <w:p w:rsidR="00F400B3" w:rsidRDefault="00F400B3" w:rsidP="00F400B3">
      <w:pPr>
        <w:pStyle w:val="FootnoteText"/>
      </w:pPr>
      <w:r>
        <w:rPr>
          <w:rStyle w:val="FootnoteReference"/>
        </w:rPr>
        <w:footnoteRef/>
      </w:r>
      <w:r>
        <w:t xml:space="preserve"> </w:t>
      </w:r>
      <w:r w:rsidRPr="00225A5B">
        <w:t>TRS, created by Title IV of the Americans with Disabilities Act of 1990 (ADA), enables an individual who is deaf, hard of hearing, deaf-blind</w:t>
      </w:r>
      <w:r>
        <w:t xml:space="preserve">, or who has a </w:t>
      </w:r>
      <w:r w:rsidRPr="00225A5B">
        <w:t xml:space="preserve">speech disability to communicate by telephone or other device through the telephone system with another person.  </w:t>
      </w:r>
      <w:r w:rsidRPr="00225A5B">
        <w:rPr>
          <w:i/>
        </w:rPr>
        <w:t xml:space="preserve">See </w:t>
      </w:r>
      <w:r w:rsidRPr="00225A5B">
        <w:t>47 U.S.C. § 225(a)(3) (defining TRS)</w:t>
      </w:r>
      <w:r>
        <w:t>;</w:t>
      </w:r>
      <w:r>
        <w:rPr>
          <w:i/>
        </w:rPr>
        <w:t xml:space="preserve"> s</w:t>
      </w:r>
      <w:r w:rsidRPr="00225A5B">
        <w:rPr>
          <w:i/>
        </w:rPr>
        <w:t>ee generally</w:t>
      </w:r>
      <w:r w:rsidRPr="00225A5B">
        <w:t xml:space="preserve"> </w:t>
      </w:r>
      <w:r w:rsidRPr="00225A5B">
        <w:rPr>
          <w:i/>
        </w:rPr>
        <w:t>Telecommunications Relay Services and Speech-to-Speech Services for Individuals with Hearing and Speech Disabilities</w:t>
      </w:r>
      <w:r>
        <w:t>, CC Docket Nos.</w:t>
      </w:r>
      <w:r w:rsidRPr="00225A5B">
        <w:t xml:space="preserve"> 90-571</w:t>
      </w:r>
      <w:r>
        <w:t>,</w:t>
      </w:r>
      <w:r w:rsidRPr="00225A5B">
        <w:t xml:space="preserve"> 98-67</w:t>
      </w:r>
      <w:r>
        <w:t>,</w:t>
      </w:r>
      <w:r w:rsidRPr="00225A5B">
        <w:t xml:space="preserve"> 03-123, Report and Order, Order on Reconsideration, and Further Notice of Proposed Rulemaking, 19 FCC Rcd 12475, 12479-80, ¶ 3 n.18 (2004) (discussing how TRS works).</w:t>
      </w:r>
    </w:p>
  </w:footnote>
  <w:footnote w:id="4">
    <w:p w:rsidR="00F400B3" w:rsidRDefault="00F400B3" w:rsidP="00F400B3">
      <w:pPr>
        <w:pStyle w:val="FootnoteText"/>
      </w:pPr>
      <w:r>
        <w:rPr>
          <w:rStyle w:val="FootnoteReference"/>
        </w:rPr>
        <w:footnoteRef/>
      </w:r>
      <w:r>
        <w:t xml:space="preserve"> 47 C.F.R. § 64.601(a)(17).</w:t>
      </w:r>
    </w:p>
  </w:footnote>
  <w:footnote w:id="5">
    <w:p w:rsidR="00F400B3" w:rsidRDefault="00F400B3" w:rsidP="00F400B3">
      <w:pPr>
        <w:pStyle w:val="FootnoteText"/>
      </w:pPr>
      <w:r>
        <w:rPr>
          <w:rStyle w:val="FootnoteReference"/>
        </w:rPr>
        <w:footnoteRef/>
      </w:r>
      <w:r>
        <w:t xml:space="preserve"> Three other service providers – </w:t>
      </w:r>
      <w:r w:rsidRPr="00F719E1">
        <w:t>AT&amp;T Services, Inc</w:t>
      </w:r>
      <w:r>
        <w:t>., Hamilton Relay, Inc., and Sorenson Communications, Inc. (Sorenson) – previously had left the IP Relay market.</w:t>
      </w:r>
    </w:p>
  </w:footnote>
  <w:footnote w:id="6">
    <w:p w:rsidR="00F400B3" w:rsidRDefault="00F400B3" w:rsidP="00F400B3">
      <w:pPr>
        <w:pStyle w:val="FootnoteText"/>
      </w:pPr>
      <w:r>
        <w:rPr>
          <w:rStyle w:val="FootnoteReference"/>
        </w:rPr>
        <w:footnoteRef/>
      </w:r>
      <w:r>
        <w:t xml:space="preserve"> Letter from John F. Cannon, Counsel to Purple Communications, Inc., to Marlene H. Dortch, Secretary, FCC, CG Docket No. 03-123 (filed Oct. 15, 2014).  </w:t>
      </w:r>
    </w:p>
  </w:footnote>
  <w:footnote w:id="7">
    <w:p w:rsidR="00F400B3" w:rsidRDefault="00F400B3" w:rsidP="00F400B3">
      <w:pPr>
        <w:pStyle w:val="FootnoteText"/>
      </w:pPr>
      <w:r>
        <w:rPr>
          <w:rStyle w:val="FootnoteReference"/>
        </w:rPr>
        <w:footnoteRef/>
      </w:r>
      <w:r>
        <w:t xml:space="preserve"> Sprint, Request for Emergency Temporary Limited Waiver, CG Docket Nos. 10-51, 03-123 (filed Nov. 12, 2014)</w:t>
      </w:r>
      <w:r w:rsidR="005E2540">
        <w:t xml:space="preserve">  (Sprint </w:t>
      </w:r>
      <w:r w:rsidR="007B6FA8">
        <w:t xml:space="preserve">Initial </w:t>
      </w:r>
      <w:r w:rsidR="005E2540">
        <w:t>Waiver Request)</w:t>
      </w:r>
      <w:r>
        <w:t>.</w:t>
      </w:r>
    </w:p>
  </w:footnote>
  <w:footnote w:id="8">
    <w:p w:rsidR="004B4F6D" w:rsidRPr="004B4F6D" w:rsidRDefault="004B4F6D">
      <w:pPr>
        <w:pStyle w:val="FootnoteText"/>
      </w:pPr>
      <w:r>
        <w:rPr>
          <w:rStyle w:val="FootnoteReference"/>
        </w:rPr>
        <w:footnoteRef/>
      </w:r>
      <w:r>
        <w:t xml:space="preserve"> </w:t>
      </w:r>
      <w:r>
        <w:rPr>
          <w:i/>
        </w:rPr>
        <w:t>Telecommunications Relay Services and Speech-to-Speech Services for Individuals with Hearing and Speech Disabilities</w:t>
      </w:r>
      <w:r>
        <w:t>, CG Docket No. 03-123, Order, 29 FCC Rcd 14882 (2014) (</w:t>
      </w:r>
      <w:r>
        <w:rPr>
          <w:i/>
        </w:rPr>
        <w:t xml:space="preserve">Sprint </w:t>
      </w:r>
      <w:r w:rsidR="008152F1">
        <w:rPr>
          <w:i/>
        </w:rPr>
        <w:t>Speed-of-Answer</w:t>
      </w:r>
      <w:r>
        <w:rPr>
          <w:i/>
        </w:rPr>
        <w:t xml:space="preserve"> Waiver Order</w:t>
      </w:r>
      <w:r>
        <w:t>).</w:t>
      </w:r>
      <w:r w:rsidR="007D3406">
        <w:t xml:space="preserve">  The Bureau also confirmed that before Sprint may provide IP Relay service to consumers who had been using the IP Relay service offered by Purple, Sprint was required to register and verify the eligibility of each consumer</w:t>
      </w:r>
      <w:r w:rsidR="007D3406" w:rsidRPr="009C4CAC">
        <w:t xml:space="preserve"> </w:t>
      </w:r>
      <w:r w:rsidR="007D3406">
        <w:t xml:space="preserve">in conformance with all Commission requirements for registration and verification of IP Relay service users.  </w:t>
      </w:r>
      <w:r w:rsidR="007D3406">
        <w:rPr>
          <w:i/>
        </w:rPr>
        <w:t>Id.</w:t>
      </w:r>
      <w:r w:rsidR="007D3406">
        <w:t xml:space="preserve"> at 14882, </w:t>
      </w:r>
      <w:r w:rsidR="00936C41" w:rsidRPr="00936C41">
        <w:t xml:space="preserve">¶ 1, </w:t>
      </w:r>
      <w:r w:rsidR="007D3406">
        <w:t>14885-87, ¶¶ 8-11.</w:t>
      </w:r>
      <w:r>
        <w:t xml:space="preserve">  </w:t>
      </w:r>
    </w:p>
  </w:footnote>
  <w:footnote w:id="9">
    <w:p w:rsidR="00D56DAF" w:rsidRDefault="00D56DAF" w:rsidP="00D56DAF">
      <w:pPr>
        <w:pStyle w:val="FootnoteText"/>
      </w:pPr>
      <w:r>
        <w:rPr>
          <w:rStyle w:val="FootnoteReference"/>
        </w:rPr>
        <w:footnoteRef/>
      </w:r>
      <w:r>
        <w:t xml:space="preserve"> </w:t>
      </w:r>
      <w:r w:rsidR="003F7835">
        <w:rPr>
          <w:i/>
        </w:rPr>
        <w:t>Id.</w:t>
      </w:r>
      <w:r w:rsidR="002667A9">
        <w:t xml:space="preserve"> at 14884, ¶ 5.</w:t>
      </w:r>
    </w:p>
  </w:footnote>
  <w:footnote w:id="10">
    <w:p w:rsidR="00D56DAF" w:rsidRDefault="00D56DAF" w:rsidP="00D56DAF">
      <w:pPr>
        <w:pStyle w:val="FootnoteText"/>
      </w:pPr>
      <w:r>
        <w:rPr>
          <w:rStyle w:val="FootnoteReference"/>
        </w:rPr>
        <w:footnoteRef/>
      </w:r>
      <w:r>
        <w:t xml:space="preserve"> 47 U.S.C. § 225(b)(1).</w:t>
      </w:r>
    </w:p>
  </w:footnote>
  <w:footnote w:id="11">
    <w:p w:rsidR="00D56DAF" w:rsidRDefault="00D56DAF" w:rsidP="00D56DAF">
      <w:pPr>
        <w:pStyle w:val="FootnoteText"/>
      </w:pPr>
      <w:r>
        <w:rPr>
          <w:rStyle w:val="FootnoteReference"/>
        </w:rPr>
        <w:footnoteRef/>
      </w:r>
      <w:r>
        <w:t xml:space="preserve"> </w:t>
      </w:r>
      <w:r w:rsidR="00C54AA1">
        <w:rPr>
          <w:i/>
        </w:rPr>
        <w:t xml:space="preserve">Sprint </w:t>
      </w:r>
      <w:r w:rsidR="008152F1">
        <w:rPr>
          <w:i/>
        </w:rPr>
        <w:t>Speed-of-Answer</w:t>
      </w:r>
      <w:r w:rsidR="00C54AA1">
        <w:rPr>
          <w:i/>
        </w:rPr>
        <w:t xml:space="preserve"> Waiver Order</w:t>
      </w:r>
      <w:r w:rsidR="00C54AA1">
        <w:t>, 29 FCC Rcd at 14884-85, ¶ 6</w:t>
      </w:r>
      <w:r>
        <w:t xml:space="preserve">. </w:t>
      </w:r>
    </w:p>
  </w:footnote>
  <w:footnote w:id="12">
    <w:p w:rsidR="00D56DAF" w:rsidRPr="00BE63F2" w:rsidRDefault="00D56DAF" w:rsidP="00D56DAF">
      <w:pPr>
        <w:pStyle w:val="FootnoteText"/>
      </w:pPr>
      <w:r>
        <w:rPr>
          <w:rStyle w:val="FootnoteReference"/>
        </w:rPr>
        <w:footnoteRef/>
      </w:r>
      <w:r>
        <w:t xml:space="preserve"> </w:t>
      </w:r>
      <w:r w:rsidR="003F7835">
        <w:rPr>
          <w:i/>
        </w:rPr>
        <w:t>Id.</w:t>
      </w:r>
      <w:r w:rsidR="001D62ED">
        <w:t xml:space="preserve"> at 14885, ¶ 7.</w:t>
      </w:r>
    </w:p>
  </w:footnote>
  <w:footnote w:id="13">
    <w:p w:rsidR="00A035E6" w:rsidRDefault="00A035E6">
      <w:pPr>
        <w:pStyle w:val="FootnoteText"/>
      </w:pPr>
      <w:r>
        <w:rPr>
          <w:rStyle w:val="FootnoteReference"/>
        </w:rPr>
        <w:footnoteRef/>
      </w:r>
      <w:r>
        <w:t xml:space="preserve"> Sprint, Request for Extension of Temporary Limited Waiver, CG Docket Nos. 10-51, 03-123 (filed Apr</w:t>
      </w:r>
      <w:r w:rsidR="007B6FA8">
        <w:t>.</w:t>
      </w:r>
      <w:r>
        <w:t xml:space="preserve"> 3, 2015)  (Sprint Extension Request).</w:t>
      </w:r>
    </w:p>
  </w:footnote>
  <w:footnote w:id="14">
    <w:p w:rsidR="00A035E6" w:rsidRDefault="00A035E6">
      <w:pPr>
        <w:pStyle w:val="FootnoteText"/>
      </w:pPr>
      <w:r>
        <w:rPr>
          <w:rStyle w:val="FootnoteReference"/>
        </w:rPr>
        <w:footnoteRef/>
      </w:r>
      <w:r>
        <w:t xml:space="preserve"> Letter from Scott R. Freiermuth, Counsel to Sprint</w:t>
      </w:r>
      <w:r w:rsidR="000B167D">
        <w:t>,</w:t>
      </w:r>
      <w:r>
        <w:t xml:space="preserve"> to Marlene H. Dortch, Secretary, FCC, CG Docket Nos. 10-51, 03-123 (filed Apr</w:t>
      </w:r>
      <w:r w:rsidR="007B6FA8">
        <w:t>.</w:t>
      </w:r>
      <w:r>
        <w:t xml:space="preserve"> 10, 2015) (Sprint First Supplement); Letter from Scott R. Freiermuth to Marlene H. Dortch, CG Docket Nos. 10-51, 03-123 (filed Apr</w:t>
      </w:r>
      <w:r w:rsidR="007B6FA8">
        <w:t>.</w:t>
      </w:r>
      <w:r>
        <w:t xml:space="preserve"> 16, 2015) (Sprint Second Supplement).</w:t>
      </w:r>
    </w:p>
  </w:footnote>
  <w:footnote w:id="15">
    <w:p w:rsidR="006577BA" w:rsidRDefault="006577BA" w:rsidP="006577BA">
      <w:pPr>
        <w:pStyle w:val="FootnoteText"/>
      </w:pPr>
      <w:r>
        <w:rPr>
          <w:rStyle w:val="FootnoteReference"/>
        </w:rPr>
        <w:footnoteRef/>
      </w:r>
      <w:r>
        <w:t xml:space="preserve"> 47 C.F.R. § 64.604(b)(2)(ii).</w:t>
      </w:r>
      <w:r w:rsidR="007B6FA8">
        <w:t xml:space="preserve">  </w:t>
      </w:r>
      <w:r w:rsidR="007B6FA8" w:rsidRPr="007B6FA8">
        <w:rPr>
          <w:i/>
        </w:rPr>
        <w:t>See</w:t>
      </w:r>
      <w:r w:rsidR="007B6FA8">
        <w:t xml:space="preserve"> </w:t>
      </w:r>
      <w:r w:rsidR="007B6FA8" w:rsidRPr="007B6FA8">
        <w:t>Sprint Extension Request at 2-4.</w:t>
      </w:r>
    </w:p>
  </w:footnote>
  <w:footnote w:id="16">
    <w:p w:rsidR="000A045B" w:rsidRDefault="000A045B" w:rsidP="000A045B">
      <w:pPr>
        <w:pStyle w:val="FootnoteText"/>
      </w:pPr>
      <w:r>
        <w:rPr>
          <w:rStyle w:val="FootnoteReference"/>
        </w:rPr>
        <w:footnoteRef/>
      </w:r>
      <w:r>
        <w:t xml:space="preserve"> 47 C.F.R. § 1.3.</w:t>
      </w:r>
    </w:p>
  </w:footnote>
  <w:footnote w:id="17">
    <w:p w:rsidR="000A045B" w:rsidRDefault="000A045B" w:rsidP="000A045B">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18">
    <w:p w:rsidR="000A045B" w:rsidRDefault="000A045B" w:rsidP="000A045B">
      <w:pPr>
        <w:pStyle w:val="FootnoteText"/>
      </w:pPr>
      <w:r>
        <w:rPr>
          <w:rStyle w:val="FootnoteReference"/>
        </w:rPr>
        <w:footnoteRef/>
      </w:r>
      <w:r>
        <w:rPr>
          <w:i/>
        </w:rPr>
        <w:t xml:space="preserve"> WAIT Radio v. FCC</w:t>
      </w:r>
      <w:r>
        <w:t>,</w:t>
      </w:r>
      <w:r>
        <w:rPr>
          <w:i/>
        </w:rPr>
        <w:t xml:space="preserve"> </w:t>
      </w:r>
      <w:r>
        <w:t>418 F.2d 1153, 1159 (D.C. Cir. 1969) (</w:t>
      </w:r>
      <w:r>
        <w:rPr>
          <w:i/>
        </w:rPr>
        <w:t>WAIT Radio</w:t>
      </w:r>
      <w:r>
        <w:t xml:space="preserve">); </w:t>
      </w:r>
      <w:r>
        <w:rPr>
          <w:i/>
        </w:rPr>
        <w:t>Northeast Cellular</w:t>
      </w:r>
      <w:r>
        <w:t>,</w:t>
      </w:r>
      <w:r>
        <w:rPr>
          <w:i/>
        </w:rPr>
        <w:t xml:space="preserve"> </w:t>
      </w:r>
      <w:r>
        <w:t>897 F.2d at 1166.</w:t>
      </w:r>
    </w:p>
  </w:footnote>
  <w:footnote w:id="19">
    <w:p w:rsidR="000A045B" w:rsidRDefault="000A045B" w:rsidP="000A045B">
      <w:pPr>
        <w:pStyle w:val="FootnoteText"/>
      </w:pPr>
      <w:r>
        <w:rPr>
          <w:rStyle w:val="FootnoteReference"/>
        </w:rPr>
        <w:footnoteRef/>
      </w:r>
      <w:r>
        <w:t xml:space="preserve"> </w:t>
      </w:r>
      <w:r w:rsidR="003F7835">
        <w:rPr>
          <w:i/>
        </w:rPr>
        <w:t>Id</w:t>
      </w:r>
      <w:r>
        <w:t>.</w:t>
      </w:r>
    </w:p>
  </w:footnote>
  <w:footnote w:id="20">
    <w:p w:rsidR="005E2540" w:rsidRDefault="005E2540">
      <w:pPr>
        <w:pStyle w:val="FootnoteText"/>
      </w:pPr>
      <w:r>
        <w:rPr>
          <w:rStyle w:val="FootnoteReference"/>
        </w:rPr>
        <w:footnoteRef/>
      </w:r>
      <w:r>
        <w:t xml:space="preserve"> Sprint First Supplement at 2; Sprint Extension Request at </w:t>
      </w:r>
      <w:r w:rsidR="005D1053">
        <w:t>1-</w:t>
      </w:r>
      <w:r>
        <w:t>2.</w:t>
      </w:r>
    </w:p>
  </w:footnote>
  <w:footnote w:id="21">
    <w:p w:rsidR="005E2540" w:rsidRPr="005E2540" w:rsidRDefault="005E2540">
      <w:pPr>
        <w:pStyle w:val="FootnoteText"/>
      </w:pPr>
      <w:r>
        <w:rPr>
          <w:rStyle w:val="FootnoteReference"/>
        </w:rPr>
        <w:footnoteRef/>
      </w:r>
      <w:r>
        <w:t xml:space="preserve"> Sprint </w:t>
      </w:r>
      <w:r w:rsidR="007B6FA8">
        <w:t xml:space="preserve">Initial </w:t>
      </w:r>
      <w:r>
        <w:t xml:space="preserve">Waiver Request at 1; </w:t>
      </w:r>
      <w:r>
        <w:rPr>
          <w:i/>
        </w:rPr>
        <w:t>see also</w:t>
      </w:r>
      <w:r>
        <w:t xml:space="preserve"> Sprint</w:t>
      </w:r>
      <w:r w:rsidR="005D1053">
        <w:t xml:space="preserve"> First Supplement at 2.</w:t>
      </w:r>
    </w:p>
  </w:footnote>
  <w:footnote w:id="22">
    <w:p w:rsidR="006141F2" w:rsidRDefault="00034F1C">
      <w:pPr>
        <w:pStyle w:val="FootnoteText"/>
      </w:pPr>
      <w:r>
        <w:rPr>
          <w:rStyle w:val="FootnoteReference"/>
        </w:rPr>
        <w:footnoteRef/>
      </w:r>
      <w:r>
        <w:t xml:space="preserve"> Sprint Extension Request at 2.</w:t>
      </w:r>
    </w:p>
  </w:footnote>
  <w:footnote w:id="23">
    <w:p w:rsidR="00D3526D" w:rsidRDefault="00D3526D">
      <w:pPr>
        <w:pStyle w:val="FootnoteText"/>
      </w:pPr>
      <w:r>
        <w:rPr>
          <w:rStyle w:val="FootnoteReference"/>
        </w:rPr>
        <w:footnoteRef/>
      </w:r>
      <w:r>
        <w:t xml:space="preserve"> </w:t>
      </w:r>
      <w:r w:rsidR="003F7835" w:rsidRPr="003F7835">
        <w:rPr>
          <w:i/>
        </w:rPr>
        <w:t>Id</w:t>
      </w:r>
      <w:r w:rsidR="003F7835">
        <w:t>.</w:t>
      </w:r>
      <w:r>
        <w:t xml:space="preserve"> at 3-5.</w:t>
      </w:r>
    </w:p>
  </w:footnote>
  <w:footnote w:id="24">
    <w:p w:rsidR="008C64AE" w:rsidRDefault="008C64AE">
      <w:pPr>
        <w:pStyle w:val="FootnoteText"/>
      </w:pPr>
      <w:r>
        <w:rPr>
          <w:rStyle w:val="FootnoteReference"/>
        </w:rPr>
        <w:footnoteRef/>
      </w:r>
      <w:r>
        <w:t xml:space="preserve"> Sprint Second Supplement at 2; </w:t>
      </w:r>
      <w:r w:rsidRPr="008C64AE">
        <w:rPr>
          <w:i/>
        </w:rPr>
        <w:t>see also</w:t>
      </w:r>
      <w:r>
        <w:t xml:space="preserve"> </w:t>
      </w:r>
      <w:r w:rsidRPr="008C64AE">
        <w:t>Sprint</w:t>
      </w:r>
      <w:r>
        <w:t xml:space="preserve"> Extension Request at 3-4.</w:t>
      </w:r>
    </w:p>
  </w:footnote>
  <w:footnote w:id="25">
    <w:p w:rsidR="0059038D" w:rsidRDefault="0059038D" w:rsidP="0059038D">
      <w:pPr>
        <w:pStyle w:val="FootnoteText"/>
      </w:pPr>
      <w:r>
        <w:rPr>
          <w:rStyle w:val="FootnoteReference"/>
        </w:rPr>
        <w:footnoteRef/>
      </w:r>
      <w:r>
        <w:t xml:space="preserve"> </w:t>
      </w:r>
      <w:r>
        <w:rPr>
          <w:i/>
        </w:rPr>
        <w:t xml:space="preserve">Sprint </w:t>
      </w:r>
      <w:r w:rsidR="008152F1">
        <w:rPr>
          <w:i/>
        </w:rPr>
        <w:t>Speed-of-Answer</w:t>
      </w:r>
      <w:r>
        <w:rPr>
          <w:i/>
        </w:rPr>
        <w:t xml:space="preserve"> Waiver Order</w:t>
      </w:r>
      <w:r>
        <w:t>, 29 FCC Rcd at 14884, ¶ 6 (</w:t>
      </w:r>
      <w:r w:rsidRPr="00DD1736">
        <w:rPr>
          <w:i/>
        </w:rPr>
        <w:t>citing</w:t>
      </w:r>
      <w:r>
        <w:t xml:space="preserve"> </w:t>
      </w:r>
      <w:r w:rsidRPr="00D44A8B">
        <w:rPr>
          <w:i/>
        </w:rPr>
        <w:t>WAIT Radio</w:t>
      </w:r>
      <w:r w:rsidRPr="00D44A8B">
        <w:t>,</w:t>
      </w:r>
      <w:r w:rsidRPr="00D44A8B">
        <w:rPr>
          <w:i/>
        </w:rPr>
        <w:t xml:space="preserve"> </w:t>
      </w:r>
      <w:r w:rsidRPr="00D44A8B">
        <w:t xml:space="preserve">418 F.2d </w:t>
      </w:r>
      <w:r>
        <w:t>at</w:t>
      </w:r>
      <w:r w:rsidRPr="00D44A8B">
        <w:t xml:space="preserve"> 1159; </w:t>
      </w:r>
      <w:r w:rsidRPr="00D44A8B">
        <w:rPr>
          <w:i/>
        </w:rPr>
        <w:t>Northeast Cellular</w:t>
      </w:r>
      <w:r w:rsidRPr="00D44A8B">
        <w:t>,</w:t>
      </w:r>
      <w:r w:rsidRPr="00D44A8B">
        <w:rPr>
          <w:i/>
        </w:rPr>
        <w:t xml:space="preserve"> </w:t>
      </w:r>
      <w:r w:rsidRPr="00D44A8B">
        <w:t>897 F.2d at 1166</w:t>
      </w:r>
      <w:r>
        <w:t>)</w:t>
      </w:r>
      <w:r w:rsidRPr="00D44A8B">
        <w:t>.</w:t>
      </w:r>
    </w:p>
  </w:footnote>
  <w:footnote w:id="26">
    <w:p w:rsidR="0059038D" w:rsidRDefault="0059038D" w:rsidP="0059038D">
      <w:pPr>
        <w:pStyle w:val="FootnoteText"/>
      </w:pPr>
      <w:r>
        <w:rPr>
          <w:rStyle w:val="FootnoteReference"/>
        </w:rPr>
        <w:footnoteRef/>
      </w:r>
      <w:r>
        <w:t xml:space="preserve"> 47 U.S.C. § 225(b)(1).</w:t>
      </w:r>
    </w:p>
  </w:footnote>
  <w:footnote w:id="27">
    <w:p w:rsidR="0059038D" w:rsidRDefault="0059038D">
      <w:pPr>
        <w:pStyle w:val="FootnoteText"/>
      </w:pPr>
      <w:r>
        <w:rPr>
          <w:rStyle w:val="FootnoteReference"/>
        </w:rPr>
        <w:footnoteRef/>
      </w:r>
      <w:r>
        <w:t xml:space="preserve"> </w:t>
      </w:r>
      <w:r>
        <w:rPr>
          <w:i/>
        </w:rPr>
        <w:t xml:space="preserve">Sprint </w:t>
      </w:r>
      <w:r w:rsidR="008152F1">
        <w:rPr>
          <w:i/>
        </w:rPr>
        <w:t>Speed-of-Answer</w:t>
      </w:r>
      <w:r>
        <w:rPr>
          <w:i/>
        </w:rPr>
        <w:t xml:space="preserve"> Waiver Order</w:t>
      </w:r>
      <w:r>
        <w:t>, 29 FCC Rcd at 14884, ¶ 6.</w:t>
      </w:r>
    </w:p>
  </w:footnote>
  <w:footnote w:id="28">
    <w:p w:rsidR="00674879" w:rsidRDefault="00674879">
      <w:pPr>
        <w:pStyle w:val="FootnoteText"/>
      </w:pPr>
      <w:r>
        <w:rPr>
          <w:rStyle w:val="FootnoteReference"/>
        </w:rPr>
        <w:footnoteRef/>
      </w:r>
      <w:r>
        <w:t xml:space="preserve"> </w:t>
      </w:r>
      <w:r w:rsidR="003B4D76">
        <w:t xml:space="preserve">Sprint First Supplement at </w:t>
      </w:r>
      <w:r w:rsidR="00086F6E">
        <w:t xml:space="preserve">3.  </w:t>
      </w:r>
      <w:r w:rsidR="002A4DAB">
        <w:t>We note that</w:t>
      </w:r>
      <w:r w:rsidR="002A4DAB" w:rsidRPr="002A4DAB">
        <w:t>, prior to Purple’s exit, Sprint reportedly had been preparing to terminate its own IP Relay operations</w:t>
      </w:r>
      <w:r w:rsidR="002A4DAB">
        <w:t xml:space="preserve">. </w:t>
      </w:r>
      <w:r w:rsidR="002A4DAB" w:rsidRPr="002A4DAB">
        <w:t xml:space="preserve"> </w:t>
      </w:r>
      <w:r w:rsidR="002A4DAB" w:rsidRPr="002A4DAB">
        <w:rPr>
          <w:i/>
        </w:rPr>
        <w:t>See</w:t>
      </w:r>
      <w:r w:rsidR="002A4DAB" w:rsidRPr="002A4DAB">
        <w:t xml:space="preserve"> </w:t>
      </w:r>
      <w:r w:rsidR="002A4DAB" w:rsidRPr="002A4DAB">
        <w:rPr>
          <w:i/>
        </w:rPr>
        <w:t>Telecommunications Relay Services and Speech-to-Speech Services for Individuals with Hearing and Speech Disabilities</w:t>
      </w:r>
      <w:r w:rsidR="002A4DAB" w:rsidRPr="002A4DAB">
        <w:t xml:space="preserve">, CG Docket No. 03-123, Order, 29 FCC Rcd 16273, 16274, ¶ 3 (2014) (noting Sprint’s assertion that even before Purple’s announced departure, it had been planning to terminate its IP Relay service and had begun winding down its business); </w:t>
      </w:r>
      <w:r w:rsidR="002A4DAB" w:rsidRPr="002A4DAB">
        <w:rPr>
          <w:i/>
        </w:rPr>
        <w:t>see also</w:t>
      </w:r>
      <w:r w:rsidR="002A4DAB" w:rsidRPr="002A4DAB">
        <w:t xml:space="preserve"> Sprint, Request for Expedited Mid-Cycle Rate Adjustment, CG Docket Nos. 10-51, 03-123, at 8, n.10 (filed Nov. 17, 2014).</w:t>
      </w:r>
      <w:r w:rsidR="002A4DAB">
        <w:t xml:space="preserve">  </w:t>
      </w:r>
      <w:r>
        <w:t>The</w:t>
      </w:r>
      <w:r w:rsidRPr="00674879">
        <w:t xml:space="preserve"> </w:t>
      </w:r>
      <w:r>
        <w:t xml:space="preserve">reported </w:t>
      </w:r>
      <w:r w:rsidRPr="00674879">
        <w:t xml:space="preserve">growth in </w:t>
      </w:r>
      <w:r>
        <w:t xml:space="preserve">Sprint’s </w:t>
      </w:r>
      <w:r w:rsidRPr="00674879">
        <w:t>state relay service</w:t>
      </w:r>
      <w:r w:rsidR="002A4DAB">
        <w:t>, however,</w:t>
      </w:r>
      <w:r w:rsidRPr="00674879">
        <w:t xml:space="preserve"> </w:t>
      </w:r>
      <w:r>
        <w:t>does not</w:t>
      </w:r>
      <w:r w:rsidRPr="00674879">
        <w:t xml:space="preserve"> factor into our consideration of whether to grant a speed-of-answer waiver </w:t>
      </w:r>
      <w:r>
        <w:t>for Sprint’s</w:t>
      </w:r>
      <w:r w:rsidRPr="00674879">
        <w:t xml:space="preserve"> IP Relay service</w:t>
      </w:r>
      <w:r>
        <w:t>.  I</w:t>
      </w:r>
      <w:r w:rsidRPr="00674879">
        <w:t>t ha</w:t>
      </w:r>
      <w:r w:rsidR="00546A01">
        <w:t>d</w:t>
      </w:r>
      <w:r w:rsidRPr="00674879">
        <w:t xml:space="preserve"> been known for some time that AT&amp;T was planning on exiting the TRS market, and Sprint </w:t>
      </w:r>
      <w:r>
        <w:t xml:space="preserve">does not show why it could not reasonably have prepared to accommodate the growth resulting from the </w:t>
      </w:r>
      <w:r w:rsidRPr="00674879">
        <w:t>award</w:t>
      </w:r>
      <w:r>
        <w:t xml:space="preserve"> of</w:t>
      </w:r>
      <w:r w:rsidRPr="00674879">
        <w:t xml:space="preserve"> additional state relay contracts.</w:t>
      </w:r>
    </w:p>
  </w:footnote>
  <w:footnote w:id="29">
    <w:p w:rsidR="0059038D" w:rsidRDefault="0059038D" w:rsidP="0059038D">
      <w:pPr>
        <w:pStyle w:val="FootnoteText"/>
      </w:pPr>
      <w:r>
        <w:rPr>
          <w:rStyle w:val="FootnoteReference"/>
        </w:rPr>
        <w:footnoteRef/>
      </w:r>
      <w:r>
        <w:t xml:space="preserve"> </w:t>
      </w:r>
      <w:r w:rsidRPr="008A6D6C">
        <w:rPr>
          <w:i/>
        </w:rPr>
        <w:t xml:space="preserve">See </w:t>
      </w:r>
      <w:r w:rsidR="00001D02">
        <w:rPr>
          <w:i/>
        </w:rPr>
        <w:t xml:space="preserve">Sprint </w:t>
      </w:r>
      <w:r w:rsidR="008152F1">
        <w:rPr>
          <w:i/>
        </w:rPr>
        <w:t>Speed-of-Answer</w:t>
      </w:r>
      <w:r w:rsidR="00001D02">
        <w:rPr>
          <w:i/>
        </w:rPr>
        <w:t xml:space="preserve"> Waiver Order</w:t>
      </w:r>
      <w:r w:rsidR="00001D02">
        <w:t>, 29 FCC Rcd at 14884, ¶ 6</w:t>
      </w:r>
      <w:r>
        <w:t xml:space="preserve">. </w:t>
      </w:r>
    </w:p>
  </w:footnote>
  <w:footnote w:id="30">
    <w:p w:rsidR="0099102A" w:rsidRDefault="0099102A">
      <w:pPr>
        <w:pStyle w:val="FootnoteText"/>
      </w:pPr>
      <w:r>
        <w:rPr>
          <w:rStyle w:val="FootnoteReference"/>
        </w:rPr>
        <w:footnoteRef/>
      </w:r>
      <w:r>
        <w:t xml:space="preserve"> </w:t>
      </w:r>
      <w:r w:rsidR="005B15A7" w:rsidRPr="00266E27">
        <w:t>47 C.F.R. § 64.604(</w:t>
      </w:r>
      <w:r w:rsidR="005B15A7">
        <w:t>c</w:t>
      </w:r>
      <w:r w:rsidR="005B15A7" w:rsidRPr="00266E27">
        <w:t>)</w:t>
      </w:r>
      <w:r w:rsidR="005B15A7">
        <w:t>(5)</w:t>
      </w:r>
      <w:r w:rsidR="005B15A7" w:rsidRPr="00266E27">
        <w:t>(</w:t>
      </w:r>
      <w:r w:rsidR="005B15A7">
        <w:t>iii</w:t>
      </w:r>
      <w:r w:rsidR="005B15A7" w:rsidRPr="00266E27">
        <w:t>)(</w:t>
      </w:r>
      <w:r w:rsidR="005B15A7">
        <w:t>D</w:t>
      </w:r>
      <w:r w:rsidR="005B15A7" w:rsidRPr="00266E27">
        <w:t>)</w:t>
      </w:r>
      <w:r w:rsidR="005B15A7">
        <w:t xml:space="preserve">.  </w:t>
      </w:r>
      <w:r w:rsidR="005B15A7">
        <w:rPr>
          <w:i/>
        </w:rPr>
        <w:t>Se</w:t>
      </w:r>
      <w:r w:rsidRPr="008A6D6C">
        <w:rPr>
          <w:i/>
        </w:rPr>
        <w:t>e</w:t>
      </w:r>
      <w:r w:rsidR="005B15A7">
        <w:rPr>
          <w:i/>
        </w:rPr>
        <w:t xml:space="preserve"> also</w:t>
      </w:r>
      <w:r w:rsidRPr="008A6D6C">
        <w:rPr>
          <w:i/>
        </w:rPr>
        <w:t xml:space="preserve"> </w:t>
      </w:r>
      <w:r>
        <w:rPr>
          <w:i/>
        </w:rPr>
        <w:t xml:space="preserve">Sprint </w:t>
      </w:r>
      <w:r w:rsidR="008152F1">
        <w:rPr>
          <w:i/>
        </w:rPr>
        <w:t>Speed-of-Answer</w:t>
      </w:r>
      <w:r>
        <w:rPr>
          <w:i/>
        </w:rPr>
        <w:t xml:space="preserve"> Waiver Order</w:t>
      </w:r>
      <w:r>
        <w:t>, 29 FCC Rcd at 14885, ¶ 7.</w:t>
      </w:r>
    </w:p>
  </w:footnote>
  <w:footnote w:id="31">
    <w:p w:rsidR="0099102A" w:rsidRPr="00C63759" w:rsidRDefault="0099102A" w:rsidP="0099102A">
      <w:pPr>
        <w:pStyle w:val="FootnoteText"/>
      </w:pPr>
      <w:r>
        <w:rPr>
          <w:rStyle w:val="FootnoteReference"/>
        </w:rPr>
        <w:footnoteRef/>
      </w:r>
      <w:r>
        <w:t xml:space="preserve"> </w:t>
      </w:r>
      <w:r w:rsidR="00C63759">
        <w:rPr>
          <w:i/>
        </w:rPr>
        <w:t>S</w:t>
      </w:r>
      <w:r w:rsidR="005B15A7" w:rsidRPr="008A6D6C">
        <w:rPr>
          <w:i/>
        </w:rPr>
        <w:t>ee</w:t>
      </w:r>
      <w:r w:rsidR="00936C41">
        <w:t xml:space="preserve"> </w:t>
      </w:r>
      <w:r w:rsidR="00936C41" w:rsidRPr="00936C41">
        <w:rPr>
          <w:i/>
        </w:rPr>
        <w:t>id</w:t>
      </w:r>
      <w:r w:rsidR="005B15A7">
        <w:t>.</w:t>
      </w:r>
      <w:r w:rsidR="00C63759">
        <w:t xml:space="preserve">  </w:t>
      </w:r>
      <w:r>
        <w:t>These reports shall be submitted via email to TRSreports@fcc.gov, and Sprint may request confidential treatment of such information.  Sprint shall</w:t>
      </w:r>
      <w:r w:rsidR="00C63759">
        <w:t xml:space="preserve"> continue to</w:t>
      </w:r>
      <w:r>
        <w:t xml:space="preserve"> submit monthly reports on or before the 15</w:t>
      </w:r>
      <w:r w:rsidRPr="00AC221D">
        <w:rPr>
          <w:vertAlign w:val="superscript"/>
        </w:rPr>
        <w:t>th</w:t>
      </w:r>
      <w:r>
        <w:t xml:space="preserve"> of each month to cover the period of the prior month.</w:t>
      </w:r>
      <w:r w:rsidR="00C63759">
        <w:t xml:space="preserve">  </w:t>
      </w:r>
      <w:r w:rsidR="00C63759">
        <w:rPr>
          <w:i/>
        </w:rPr>
        <w:t>See id</w:t>
      </w:r>
      <w:r w:rsidR="00C63759">
        <w:t>. at 14885, n.27.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E8" w:rsidRDefault="00BB5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91514">
      <w:t>DA 15-6</w:t>
    </w:r>
    <w:r w:rsidR="00840D8C">
      <w:t>6</w:t>
    </w:r>
    <w:r w:rsidR="00291514">
      <w:t>1</w:t>
    </w:r>
  </w:p>
  <w:p w:rsidR="00D25FB5" w:rsidRDefault="005B190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20BDBDC" wp14:editId="6BFE45E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B190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91514">
      <w:rPr>
        <w:spacing w:val="-2"/>
      </w:rPr>
      <w:t>DA 15-6</w:t>
    </w:r>
    <w:r w:rsidR="00840D8C">
      <w:rPr>
        <w:spacing w:val="-2"/>
      </w:rPr>
      <w:t>6</w:t>
    </w:r>
    <w:r w:rsidR="00291514">
      <w:rPr>
        <w:spacing w:val="-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7B"/>
    <w:rsid w:val="00001D02"/>
    <w:rsid w:val="000109A9"/>
    <w:rsid w:val="00014D66"/>
    <w:rsid w:val="00033AE4"/>
    <w:rsid w:val="00034F1C"/>
    <w:rsid w:val="00036039"/>
    <w:rsid w:val="00037C5D"/>
    <w:rsid w:val="00037F90"/>
    <w:rsid w:val="000475EC"/>
    <w:rsid w:val="00086F6E"/>
    <w:rsid w:val="000875BF"/>
    <w:rsid w:val="00096D8C"/>
    <w:rsid w:val="000A045B"/>
    <w:rsid w:val="000B167D"/>
    <w:rsid w:val="000C0B65"/>
    <w:rsid w:val="000E05FE"/>
    <w:rsid w:val="000E3D42"/>
    <w:rsid w:val="00117999"/>
    <w:rsid w:val="00122BD5"/>
    <w:rsid w:val="00133F79"/>
    <w:rsid w:val="00154C21"/>
    <w:rsid w:val="001576B7"/>
    <w:rsid w:val="00194A66"/>
    <w:rsid w:val="001A172D"/>
    <w:rsid w:val="001D62ED"/>
    <w:rsid w:val="001D6BCF"/>
    <w:rsid w:val="001E01CA"/>
    <w:rsid w:val="002004A7"/>
    <w:rsid w:val="00211AE1"/>
    <w:rsid w:val="00222420"/>
    <w:rsid w:val="00227084"/>
    <w:rsid w:val="002667A9"/>
    <w:rsid w:val="00273C22"/>
    <w:rsid w:val="00275CF5"/>
    <w:rsid w:val="0028301F"/>
    <w:rsid w:val="00284031"/>
    <w:rsid w:val="00285017"/>
    <w:rsid w:val="00291514"/>
    <w:rsid w:val="002A2D2E"/>
    <w:rsid w:val="002A4DAB"/>
    <w:rsid w:val="002C00E8"/>
    <w:rsid w:val="002E29F0"/>
    <w:rsid w:val="002E540C"/>
    <w:rsid w:val="003036E8"/>
    <w:rsid w:val="003238E4"/>
    <w:rsid w:val="00330B7F"/>
    <w:rsid w:val="003425A5"/>
    <w:rsid w:val="00343749"/>
    <w:rsid w:val="003660ED"/>
    <w:rsid w:val="003B0550"/>
    <w:rsid w:val="003B4D76"/>
    <w:rsid w:val="003B694F"/>
    <w:rsid w:val="003D21DC"/>
    <w:rsid w:val="003D2454"/>
    <w:rsid w:val="003F171C"/>
    <w:rsid w:val="003F7835"/>
    <w:rsid w:val="00401D0A"/>
    <w:rsid w:val="00412FC5"/>
    <w:rsid w:val="00422276"/>
    <w:rsid w:val="004242F1"/>
    <w:rsid w:val="004451A6"/>
    <w:rsid w:val="00445A00"/>
    <w:rsid w:val="00451B0F"/>
    <w:rsid w:val="004960DE"/>
    <w:rsid w:val="004B4F6D"/>
    <w:rsid w:val="004C2EE3"/>
    <w:rsid w:val="004E212B"/>
    <w:rsid w:val="004E4A22"/>
    <w:rsid w:val="005002FD"/>
    <w:rsid w:val="00511968"/>
    <w:rsid w:val="00520309"/>
    <w:rsid w:val="00537385"/>
    <w:rsid w:val="00546A01"/>
    <w:rsid w:val="00547315"/>
    <w:rsid w:val="0055614C"/>
    <w:rsid w:val="0059038D"/>
    <w:rsid w:val="005B15A7"/>
    <w:rsid w:val="005B1908"/>
    <w:rsid w:val="005D1053"/>
    <w:rsid w:val="005E14C2"/>
    <w:rsid w:val="005E2540"/>
    <w:rsid w:val="005E31DA"/>
    <w:rsid w:val="005E407B"/>
    <w:rsid w:val="005F77AF"/>
    <w:rsid w:val="00607BA5"/>
    <w:rsid w:val="0061180A"/>
    <w:rsid w:val="00612FC9"/>
    <w:rsid w:val="006141F2"/>
    <w:rsid w:val="0062289F"/>
    <w:rsid w:val="00626EB6"/>
    <w:rsid w:val="00641DCC"/>
    <w:rsid w:val="00655D03"/>
    <w:rsid w:val="006577BA"/>
    <w:rsid w:val="00674879"/>
    <w:rsid w:val="006820F6"/>
    <w:rsid w:val="00683388"/>
    <w:rsid w:val="00683F84"/>
    <w:rsid w:val="006A6A81"/>
    <w:rsid w:val="006E7DCF"/>
    <w:rsid w:val="006F7393"/>
    <w:rsid w:val="0070224F"/>
    <w:rsid w:val="0071070E"/>
    <w:rsid w:val="007115F7"/>
    <w:rsid w:val="00785689"/>
    <w:rsid w:val="0079754B"/>
    <w:rsid w:val="007A1E6D"/>
    <w:rsid w:val="007B0EB2"/>
    <w:rsid w:val="007B6FA8"/>
    <w:rsid w:val="007C0775"/>
    <w:rsid w:val="007D3406"/>
    <w:rsid w:val="00810B6F"/>
    <w:rsid w:val="00811FCA"/>
    <w:rsid w:val="008152F1"/>
    <w:rsid w:val="008229AF"/>
    <w:rsid w:val="00822CE0"/>
    <w:rsid w:val="00826189"/>
    <w:rsid w:val="008313C3"/>
    <w:rsid w:val="00840D8C"/>
    <w:rsid w:val="00841AB1"/>
    <w:rsid w:val="00861DA4"/>
    <w:rsid w:val="00862384"/>
    <w:rsid w:val="008754B5"/>
    <w:rsid w:val="008955F5"/>
    <w:rsid w:val="008B7740"/>
    <w:rsid w:val="008C64AE"/>
    <w:rsid w:val="008C68F1"/>
    <w:rsid w:val="008C7EE0"/>
    <w:rsid w:val="00901321"/>
    <w:rsid w:val="00920483"/>
    <w:rsid w:val="00921803"/>
    <w:rsid w:val="00926503"/>
    <w:rsid w:val="00936C41"/>
    <w:rsid w:val="00941E03"/>
    <w:rsid w:val="0094372D"/>
    <w:rsid w:val="009528E8"/>
    <w:rsid w:val="009726D8"/>
    <w:rsid w:val="009861DE"/>
    <w:rsid w:val="0099102A"/>
    <w:rsid w:val="009A2827"/>
    <w:rsid w:val="009F56E9"/>
    <w:rsid w:val="009F76DB"/>
    <w:rsid w:val="00A035E6"/>
    <w:rsid w:val="00A247C4"/>
    <w:rsid w:val="00A32C3B"/>
    <w:rsid w:val="00A45F4F"/>
    <w:rsid w:val="00A5617F"/>
    <w:rsid w:val="00A600A9"/>
    <w:rsid w:val="00AA55B7"/>
    <w:rsid w:val="00AA5B9E"/>
    <w:rsid w:val="00AB2407"/>
    <w:rsid w:val="00AB53DF"/>
    <w:rsid w:val="00B07E5C"/>
    <w:rsid w:val="00B206B1"/>
    <w:rsid w:val="00B3039A"/>
    <w:rsid w:val="00B514CF"/>
    <w:rsid w:val="00B70748"/>
    <w:rsid w:val="00B811F7"/>
    <w:rsid w:val="00BA1F2B"/>
    <w:rsid w:val="00BA5DC6"/>
    <w:rsid w:val="00BA6196"/>
    <w:rsid w:val="00BB5CE8"/>
    <w:rsid w:val="00BC6D8C"/>
    <w:rsid w:val="00BE63F2"/>
    <w:rsid w:val="00BE6EFF"/>
    <w:rsid w:val="00C0074A"/>
    <w:rsid w:val="00C164EC"/>
    <w:rsid w:val="00C34006"/>
    <w:rsid w:val="00C426B1"/>
    <w:rsid w:val="00C43912"/>
    <w:rsid w:val="00C54AA1"/>
    <w:rsid w:val="00C6233D"/>
    <w:rsid w:val="00C63759"/>
    <w:rsid w:val="00C66160"/>
    <w:rsid w:val="00C721AC"/>
    <w:rsid w:val="00C81209"/>
    <w:rsid w:val="00C86358"/>
    <w:rsid w:val="00C90D6A"/>
    <w:rsid w:val="00CA247E"/>
    <w:rsid w:val="00CC72B6"/>
    <w:rsid w:val="00CE0C4F"/>
    <w:rsid w:val="00D0218D"/>
    <w:rsid w:val="00D063A4"/>
    <w:rsid w:val="00D07563"/>
    <w:rsid w:val="00D25FB5"/>
    <w:rsid w:val="00D3526D"/>
    <w:rsid w:val="00D44223"/>
    <w:rsid w:val="00D56DAF"/>
    <w:rsid w:val="00D6163D"/>
    <w:rsid w:val="00D61E97"/>
    <w:rsid w:val="00DA2529"/>
    <w:rsid w:val="00DA7538"/>
    <w:rsid w:val="00DB130A"/>
    <w:rsid w:val="00DB2EBB"/>
    <w:rsid w:val="00DC10A1"/>
    <w:rsid w:val="00DC655F"/>
    <w:rsid w:val="00DD0B59"/>
    <w:rsid w:val="00DD1736"/>
    <w:rsid w:val="00DD7EBD"/>
    <w:rsid w:val="00DF62B6"/>
    <w:rsid w:val="00E07225"/>
    <w:rsid w:val="00E160B6"/>
    <w:rsid w:val="00E52080"/>
    <w:rsid w:val="00E5409F"/>
    <w:rsid w:val="00E709B4"/>
    <w:rsid w:val="00ED725D"/>
    <w:rsid w:val="00EE6488"/>
    <w:rsid w:val="00F021FA"/>
    <w:rsid w:val="00F120E6"/>
    <w:rsid w:val="00F15A8D"/>
    <w:rsid w:val="00F26A5D"/>
    <w:rsid w:val="00F400B3"/>
    <w:rsid w:val="00F62E97"/>
    <w:rsid w:val="00F64209"/>
    <w:rsid w:val="00F93BF5"/>
    <w:rsid w:val="00FA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F400B3"/>
  </w:style>
  <w:style w:type="character" w:customStyle="1" w:styleId="ParaNumChar1">
    <w:name w:val="ParaNum Char1"/>
    <w:link w:val="ParaNum"/>
    <w:locked/>
    <w:rsid w:val="00F400B3"/>
    <w:rPr>
      <w:snapToGrid w:val="0"/>
      <w:kern w:val="28"/>
      <w:sz w:val="22"/>
    </w:rPr>
  </w:style>
  <w:style w:type="character" w:styleId="CommentReference">
    <w:name w:val="annotation reference"/>
    <w:basedOn w:val="DefaultParagraphFont"/>
    <w:rsid w:val="00222420"/>
    <w:rPr>
      <w:sz w:val="16"/>
      <w:szCs w:val="16"/>
    </w:rPr>
  </w:style>
  <w:style w:type="paragraph" w:styleId="CommentText">
    <w:name w:val="annotation text"/>
    <w:basedOn w:val="Normal"/>
    <w:link w:val="CommentTextChar"/>
    <w:rsid w:val="00222420"/>
    <w:rPr>
      <w:sz w:val="20"/>
    </w:rPr>
  </w:style>
  <w:style w:type="character" w:customStyle="1" w:styleId="CommentTextChar">
    <w:name w:val="Comment Text Char"/>
    <w:basedOn w:val="DefaultParagraphFont"/>
    <w:link w:val="CommentText"/>
    <w:rsid w:val="00222420"/>
    <w:rPr>
      <w:snapToGrid w:val="0"/>
      <w:kern w:val="28"/>
    </w:rPr>
  </w:style>
  <w:style w:type="paragraph" w:styleId="CommentSubject">
    <w:name w:val="annotation subject"/>
    <w:basedOn w:val="CommentText"/>
    <w:next w:val="CommentText"/>
    <w:link w:val="CommentSubjectChar"/>
    <w:rsid w:val="00222420"/>
    <w:rPr>
      <w:b/>
      <w:bCs/>
    </w:rPr>
  </w:style>
  <w:style w:type="character" w:customStyle="1" w:styleId="CommentSubjectChar">
    <w:name w:val="Comment Subject Char"/>
    <w:basedOn w:val="CommentTextChar"/>
    <w:link w:val="CommentSubject"/>
    <w:rsid w:val="00222420"/>
    <w:rPr>
      <w:b/>
      <w:bCs/>
      <w:snapToGrid w:val="0"/>
      <w:kern w:val="28"/>
    </w:rPr>
  </w:style>
  <w:style w:type="paragraph" w:styleId="BalloonText">
    <w:name w:val="Balloon Text"/>
    <w:basedOn w:val="Normal"/>
    <w:link w:val="BalloonTextChar"/>
    <w:rsid w:val="00222420"/>
    <w:rPr>
      <w:rFonts w:ascii="Tahoma" w:hAnsi="Tahoma" w:cs="Tahoma"/>
      <w:sz w:val="16"/>
      <w:szCs w:val="16"/>
    </w:rPr>
  </w:style>
  <w:style w:type="character" w:customStyle="1" w:styleId="BalloonTextChar">
    <w:name w:val="Balloon Text Char"/>
    <w:basedOn w:val="DefaultParagraphFont"/>
    <w:link w:val="BalloonText"/>
    <w:rsid w:val="00222420"/>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F400B3"/>
  </w:style>
  <w:style w:type="character" w:customStyle="1" w:styleId="ParaNumChar1">
    <w:name w:val="ParaNum Char1"/>
    <w:link w:val="ParaNum"/>
    <w:locked/>
    <w:rsid w:val="00F400B3"/>
    <w:rPr>
      <w:snapToGrid w:val="0"/>
      <w:kern w:val="28"/>
      <w:sz w:val="22"/>
    </w:rPr>
  </w:style>
  <w:style w:type="character" w:styleId="CommentReference">
    <w:name w:val="annotation reference"/>
    <w:basedOn w:val="DefaultParagraphFont"/>
    <w:rsid w:val="00222420"/>
    <w:rPr>
      <w:sz w:val="16"/>
      <w:szCs w:val="16"/>
    </w:rPr>
  </w:style>
  <w:style w:type="paragraph" w:styleId="CommentText">
    <w:name w:val="annotation text"/>
    <w:basedOn w:val="Normal"/>
    <w:link w:val="CommentTextChar"/>
    <w:rsid w:val="00222420"/>
    <w:rPr>
      <w:sz w:val="20"/>
    </w:rPr>
  </w:style>
  <w:style w:type="character" w:customStyle="1" w:styleId="CommentTextChar">
    <w:name w:val="Comment Text Char"/>
    <w:basedOn w:val="DefaultParagraphFont"/>
    <w:link w:val="CommentText"/>
    <w:rsid w:val="00222420"/>
    <w:rPr>
      <w:snapToGrid w:val="0"/>
      <w:kern w:val="28"/>
    </w:rPr>
  </w:style>
  <w:style w:type="paragraph" w:styleId="CommentSubject">
    <w:name w:val="annotation subject"/>
    <w:basedOn w:val="CommentText"/>
    <w:next w:val="CommentText"/>
    <w:link w:val="CommentSubjectChar"/>
    <w:rsid w:val="00222420"/>
    <w:rPr>
      <w:b/>
      <w:bCs/>
    </w:rPr>
  </w:style>
  <w:style w:type="character" w:customStyle="1" w:styleId="CommentSubjectChar">
    <w:name w:val="Comment Subject Char"/>
    <w:basedOn w:val="CommentTextChar"/>
    <w:link w:val="CommentSubject"/>
    <w:rsid w:val="00222420"/>
    <w:rPr>
      <w:b/>
      <w:bCs/>
      <w:snapToGrid w:val="0"/>
      <w:kern w:val="28"/>
    </w:rPr>
  </w:style>
  <w:style w:type="paragraph" w:styleId="BalloonText">
    <w:name w:val="Balloon Text"/>
    <w:basedOn w:val="Normal"/>
    <w:link w:val="BalloonTextChar"/>
    <w:rsid w:val="00222420"/>
    <w:rPr>
      <w:rFonts w:ascii="Tahoma" w:hAnsi="Tahoma" w:cs="Tahoma"/>
      <w:sz w:val="16"/>
      <w:szCs w:val="16"/>
    </w:rPr>
  </w:style>
  <w:style w:type="character" w:customStyle="1" w:styleId="BalloonTextChar">
    <w:name w:val="Balloon Text Char"/>
    <w:basedOn w:val="DefaultParagraphFont"/>
    <w:link w:val="BalloonText"/>
    <w:rsid w:val="00222420"/>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2010DO%20NOT%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Paragraph2010DO NOT USE</Template>
  <TotalTime>0</TotalTime>
  <Pages>3</Pages>
  <Words>1505</Words>
  <Characters>8150</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2015-05-01T18:28:00Z</cp:lastPrinted>
  <dcterms:created xsi:type="dcterms:W3CDTF">2015-06-04T14:42:00Z</dcterms:created>
  <dcterms:modified xsi:type="dcterms:W3CDTF">2015-06-04T14:42:00Z</dcterms:modified>
  <cp:category> </cp:category>
  <cp:contentStatus> </cp:contentStatus>
</cp:coreProperties>
</file>