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69" w:rsidRDefault="00505A69">
      <w:pPr>
        <w:pStyle w:val="Header"/>
        <w:tabs>
          <w:tab w:val="clear" w:pos="4320"/>
          <w:tab w:val="clear" w:pos="8640"/>
        </w:tabs>
        <w:sectPr w:rsidR="00505A69" w:rsidSect="0007073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pgNumType w:start="1"/>
          <w:cols w:space="720"/>
          <w:titlePg/>
        </w:sectPr>
      </w:pPr>
      <w:bookmarkStart w:id="1" w:name="_GoBack"/>
      <w:bookmarkEnd w:id="1"/>
    </w:p>
    <w:p w:rsidR="00505A69" w:rsidRDefault="00505A69" w:rsidP="002776BC">
      <w:pPr>
        <w:spacing w:after="120"/>
        <w:jc w:val="right"/>
        <w:rPr>
          <w:sz w:val="24"/>
        </w:rPr>
      </w:pPr>
      <w:r>
        <w:rPr>
          <w:b/>
          <w:szCs w:val="22"/>
        </w:rPr>
        <w:lastRenderedPageBreak/>
        <w:t>DA 1</w:t>
      </w:r>
      <w:r w:rsidR="00586BDF">
        <w:rPr>
          <w:b/>
          <w:szCs w:val="22"/>
        </w:rPr>
        <w:t>5</w:t>
      </w:r>
      <w:r w:rsidRPr="00505A69">
        <w:rPr>
          <w:b/>
          <w:szCs w:val="22"/>
        </w:rPr>
        <w:t>-</w:t>
      </w:r>
      <w:r w:rsidR="006025DE">
        <w:rPr>
          <w:b/>
          <w:szCs w:val="22"/>
        </w:rPr>
        <w:t>615</w:t>
      </w:r>
    </w:p>
    <w:p w:rsidR="00505A69" w:rsidRDefault="00505A69">
      <w:pPr>
        <w:spacing w:before="60"/>
        <w:jc w:val="right"/>
        <w:rPr>
          <w:sz w:val="24"/>
        </w:rPr>
      </w:pPr>
      <w:r w:rsidRPr="00505A69">
        <w:rPr>
          <w:b/>
          <w:szCs w:val="22"/>
        </w:rPr>
        <w:t xml:space="preserve">Released:  </w:t>
      </w:r>
      <w:r w:rsidR="00586BDF">
        <w:rPr>
          <w:b/>
          <w:szCs w:val="22"/>
        </w:rPr>
        <w:t>May</w:t>
      </w:r>
      <w:r w:rsidR="006025DE">
        <w:rPr>
          <w:b/>
          <w:szCs w:val="22"/>
        </w:rPr>
        <w:t xml:space="preserve"> 21</w:t>
      </w:r>
      <w:r>
        <w:rPr>
          <w:b/>
          <w:szCs w:val="22"/>
        </w:rPr>
        <w:t>, 201</w:t>
      </w:r>
      <w:r w:rsidR="00586BDF">
        <w:rPr>
          <w:b/>
          <w:szCs w:val="22"/>
        </w:rPr>
        <w:t>5</w:t>
      </w:r>
    </w:p>
    <w:p w:rsidR="00505A69" w:rsidRDefault="00505A69">
      <w:pPr>
        <w:jc w:val="right"/>
        <w:rPr>
          <w:sz w:val="24"/>
        </w:rPr>
      </w:pPr>
    </w:p>
    <w:p w:rsidR="00505A69" w:rsidRDefault="00505A69">
      <w:pPr>
        <w:spacing w:after="240"/>
        <w:jc w:val="center"/>
        <w:rPr>
          <w:b/>
          <w:sz w:val="24"/>
        </w:rPr>
      </w:pPr>
      <w:r w:rsidRPr="00505A69">
        <w:rPr>
          <w:b/>
          <w:szCs w:val="22"/>
        </w:rPr>
        <w:t xml:space="preserve">WIRELINE COMPETITION BUREAU SEEKS COMMENT ON </w:t>
      </w:r>
      <w:r w:rsidR="001A5A09">
        <w:rPr>
          <w:b/>
          <w:szCs w:val="22"/>
        </w:rPr>
        <w:t xml:space="preserve">PROPOSED </w:t>
      </w:r>
      <w:r w:rsidRPr="00505A69">
        <w:rPr>
          <w:b/>
          <w:szCs w:val="22"/>
        </w:rPr>
        <w:t xml:space="preserve">ELIGIBLE SERVICES LIST FOR </w:t>
      </w:r>
      <w:r w:rsidR="001A5A09">
        <w:rPr>
          <w:b/>
          <w:szCs w:val="22"/>
        </w:rPr>
        <w:t xml:space="preserve">THE E-RATE </w:t>
      </w:r>
      <w:r w:rsidRPr="00505A69">
        <w:rPr>
          <w:b/>
          <w:szCs w:val="22"/>
        </w:rPr>
        <w:t>PROGRAM</w:t>
      </w:r>
    </w:p>
    <w:p w:rsidR="00505A69" w:rsidRPr="00505A69" w:rsidRDefault="007D3E45" w:rsidP="00505A69">
      <w:pPr>
        <w:spacing w:after="240"/>
        <w:jc w:val="center"/>
        <w:rPr>
          <w:b/>
          <w:spacing w:val="-2"/>
          <w:szCs w:val="22"/>
          <w:lang w:val="sv-SE"/>
        </w:rPr>
      </w:pPr>
      <w:r>
        <w:rPr>
          <w:b/>
          <w:spacing w:val="-2"/>
          <w:szCs w:val="22"/>
          <w:lang w:val="sv-SE"/>
        </w:rPr>
        <w:t>W</w:t>
      </w:r>
      <w:r w:rsidR="00505A69">
        <w:rPr>
          <w:b/>
          <w:spacing w:val="-2"/>
          <w:szCs w:val="22"/>
          <w:lang w:val="sv-SE"/>
        </w:rPr>
        <w:t xml:space="preserve">C Docket No. </w:t>
      </w:r>
      <w:r>
        <w:rPr>
          <w:b/>
          <w:spacing w:val="-2"/>
          <w:szCs w:val="22"/>
          <w:lang w:val="sv-SE"/>
        </w:rPr>
        <w:t>13</w:t>
      </w:r>
      <w:r w:rsidR="00A9289D">
        <w:rPr>
          <w:b/>
          <w:spacing w:val="-2"/>
          <w:szCs w:val="22"/>
          <w:lang w:val="sv-SE"/>
        </w:rPr>
        <w:t>-</w:t>
      </w:r>
      <w:r>
        <w:rPr>
          <w:b/>
          <w:spacing w:val="-2"/>
          <w:szCs w:val="22"/>
          <w:lang w:val="sv-SE"/>
        </w:rPr>
        <w:t>184</w:t>
      </w:r>
    </w:p>
    <w:p w:rsidR="00505A69" w:rsidRPr="00505A69" w:rsidRDefault="00505A69" w:rsidP="00505A69">
      <w:pPr>
        <w:tabs>
          <w:tab w:val="left" w:pos="-720"/>
        </w:tabs>
        <w:suppressAutoHyphens/>
        <w:outlineLvl w:val="0"/>
        <w:rPr>
          <w:szCs w:val="22"/>
        </w:rPr>
      </w:pPr>
      <w:r w:rsidRPr="00505A69">
        <w:rPr>
          <w:b/>
          <w:szCs w:val="22"/>
        </w:rPr>
        <w:t xml:space="preserve">Comment Date:  </w:t>
      </w:r>
      <w:r w:rsidR="006025DE">
        <w:rPr>
          <w:b/>
          <w:szCs w:val="22"/>
        </w:rPr>
        <w:t>June 22, 2015</w:t>
      </w:r>
    </w:p>
    <w:p w:rsidR="00505A69" w:rsidRPr="00505A69" w:rsidRDefault="00505A69" w:rsidP="00505A69">
      <w:pPr>
        <w:tabs>
          <w:tab w:val="left" w:pos="-720"/>
        </w:tabs>
        <w:suppressAutoHyphens/>
        <w:outlineLvl w:val="0"/>
        <w:rPr>
          <w:b/>
          <w:szCs w:val="22"/>
        </w:rPr>
      </w:pPr>
      <w:r w:rsidRPr="00505A69">
        <w:rPr>
          <w:b/>
          <w:szCs w:val="22"/>
        </w:rPr>
        <w:t xml:space="preserve">Reply Comment Date:  </w:t>
      </w:r>
      <w:r w:rsidR="006025DE">
        <w:rPr>
          <w:b/>
          <w:szCs w:val="22"/>
        </w:rPr>
        <w:t>July 6, 2015</w:t>
      </w:r>
    </w:p>
    <w:p w:rsidR="00505A69" w:rsidRPr="00505A69" w:rsidRDefault="00505A69" w:rsidP="00505A69">
      <w:pPr>
        <w:spacing w:before="120"/>
        <w:rPr>
          <w:szCs w:val="22"/>
        </w:rPr>
      </w:pPr>
    </w:p>
    <w:p w:rsidR="00865AC6" w:rsidRPr="002776BC" w:rsidRDefault="00505A69" w:rsidP="002776BC">
      <w:pPr>
        <w:spacing w:after="120"/>
        <w:ind w:firstLine="720"/>
        <w:rPr>
          <w:szCs w:val="22"/>
        </w:rPr>
      </w:pPr>
      <w:r w:rsidRPr="00505A69">
        <w:rPr>
          <w:szCs w:val="22"/>
        </w:rPr>
        <w:t xml:space="preserve">The Wireline Competition Bureau (Bureau) seeks comment on </w:t>
      </w:r>
      <w:r w:rsidR="00EC5454">
        <w:rPr>
          <w:szCs w:val="22"/>
        </w:rPr>
        <w:t>the attached</w:t>
      </w:r>
      <w:r w:rsidRPr="00505A69">
        <w:rPr>
          <w:szCs w:val="22"/>
        </w:rPr>
        <w:t xml:space="preserve"> </w:t>
      </w:r>
      <w:r w:rsidR="001A5A09">
        <w:rPr>
          <w:szCs w:val="22"/>
        </w:rPr>
        <w:t xml:space="preserve">proposed </w:t>
      </w:r>
      <w:r w:rsidRPr="00505A69">
        <w:rPr>
          <w:szCs w:val="22"/>
        </w:rPr>
        <w:t>eligible services list (ESL) for the schools and libraries universal support mechanism (</w:t>
      </w:r>
      <w:r w:rsidR="001A5A09">
        <w:rPr>
          <w:szCs w:val="22"/>
        </w:rPr>
        <w:t xml:space="preserve">more commonly known </w:t>
      </w:r>
      <w:r w:rsidRPr="00505A69">
        <w:rPr>
          <w:szCs w:val="22"/>
        </w:rPr>
        <w:t>as the E-rat</w:t>
      </w:r>
      <w:r w:rsidR="00586BDF">
        <w:rPr>
          <w:szCs w:val="22"/>
        </w:rPr>
        <w:t>e program) for funding year 2016</w:t>
      </w:r>
      <w:r w:rsidRPr="00505A69">
        <w:rPr>
          <w:szCs w:val="22"/>
        </w:rPr>
        <w:t>.</w:t>
      </w:r>
      <w:r w:rsidRPr="00505A69">
        <w:rPr>
          <w:szCs w:val="22"/>
          <w:vertAlign w:val="superscript"/>
        </w:rPr>
        <w:footnoteReference w:id="1"/>
      </w:r>
      <w:r w:rsidRPr="00505A69">
        <w:rPr>
          <w:szCs w:val="22"/>
        </w:rPr>
        <w:t xml:space="preserve">  </w:t>
      </w:r>
      <w:r w:rsidR="001A5A09">
        <w:rPr>
          <w:szCs w:val="22"/>
        </w:rPr>
        <w:t>We invite stakeholders to comment on any aspect of the proposed ESL, and particularly welcome comments based on applicants</w:t>
      </w:r>
      <w:r w:rsidR="00B26694">
        <w:rPr>
          <w:szCs w:val="22"/>
        </w:rPr>
        <w:t>’</w:t>
      </w:r>
      <w:r w:rsidR="001A5A09">
        <w:rPr>
          <w:szCs w:val="22"/>
        </w:rPr>
        <w:t xml:space="preserve"> and other interested parties</w:t>
      </w:r>
      <w:r w:rsidR="00B26694">
        <w:rPr>
          <w:szCs w:val="22"/>
        </w:rPr>
        <w:t>’</w:t>
      </w:r>
      <w:r w:rsidR="001A5A09">
        <w:rPr>
          <w:szCs w:val="22"/>
        </w:rPr>
        <w:t xml:space="preserve"> experience with using the ESLs for recent funding years.  Below</w:t>
      </w:r>
      <w:r w:rsidR="005E5358">
        <w:rPr>
          <w:szCs w:val="22"/>
        </w:rPr>
        <w:t xml:space="preserve">, we </w:t>
      </w:r>
      <w:r w:rsidR="001A5A09">
        <w:rPr>
          <w:szCs w:val="22"/>
        </w:rPr>
        <w:t>identify the more significant changes between the funding year 2015 ESL an</w:t>
      </w:r>
      <w:r w:rsidR="00B26694">
        <w:rPr>
          <w:szCs w:val="22"/>
        </w:rPr>
        <w:t>d</w:t>
      </w:r>
      <w:r w:rsidR="001A5A09">
        <w:rPr>
          <w:szCs w:val="22"/>
        </w:rPr>
        <w:t xml:space="preserve"> the proposed funding year 2016 ESL, and seek comment on whether we should adopt or modify those changes</w:t>
      </w:r>
      <w:r w:rsidR="009013FB">
        <w:rPr>
          <w:szCs w:val="22"/>
        </w:rPr>
        <w:t>:</w:t>
      </w:r>
      <w:r w:rsidR="00C06DC4">
        <w:rPr>
          <w:rStyle w:val="FootnoteReference"/>
          <w:szCs w:val="22"/>
        </w:rPr>
        <w:footnoteReference w:id="2"/>
      </w:r>
    </w:p>
    <w:p w:rsidR="002776BC" w:rsidRDefault="00255B61" w:rsidP="002776BC">
      <w:pPr>
        <w:pStyle w:val="ListParagraph"/>
        <w:numPr>
          <w:ilvl w:val="0"/>
          <w:numId w:val="22"/>
        </w:numPr>
        <w:spacing w:after="120"/>
        <w:rPr>
          <w:szCs w:val="22"/>
        </w:rPr>
      </w:pPr>
      <w:r w:rsidRPr="00744304">
        <w:rPr>
          <w:szCs w:val="22"/>
        </w:rPr>
        <w:t xml:space="preserve">In the </w:t>
      </w:r>
      <w:r w:rsidRPr="00744304">
        <w:rPr>
          <w:i/>
          <w:szCs w:val="22"/>
        </w:rPr>
        <w:t>Second E-rate Modernization Order</w:t>
      </w:r>
      <w:r w:rsidR="002E6193" w:rsidRPr="00744304">
        <w:rPr>
          <w:szCs w:val="22"/>
        </w:rPr>
        <w:t>,</w:t>
      </w:r>
      <w:r w:rsidRPr="00744304">
        <w:rPr>
          <w:szCs w:val="22"/>
        </w:rPr>
        <w:t xml:space="preserve"> </w:t>
      </w:r>
      <w:r w:rsidR="002E6193" w:rsidRPr="00744304">
        <w:rPr>
          <w:szCs w:val="22"/>
        </w:rPr>
        <w:t xml:space="preserve">the Commission expanded the options available for purchasing affordable high-speed connectivity by equalizing the treatment of lit and dark fiber </w:t>
      </w:r>
      <w:r w:rsidR="0046391C" w:rsidRPr="00744304">
        <w:rPr>
          <w:szCs w:val="22"/>
        </w:rPr>
        <w:t xml:space="preserve">and allowing applicants to self-provision high-speed broadband </w:t>
      </w:r>
      <w:r w:rsidR="008D11A1">
        <w:rPr>
          <w:szCs w:val="22"/>
        </w:rPr>
        <w:t>networks</w:t>
      </w:r>
      <w:r w:rsidR="0046391C" w:rsidRPr="00744304">
        <w:rPr>
          <w:szCs w:val="22"/>
        </w:rPr>
        <w:t xml:space="preserve"> if the applicant is able to demonstrate that self-provisioning is the most cost-effective option</w:t>
      </w:r>
      <w:r w:rsidR="00311BF1">
        <w:rPr>
          <w:szCs w:val="22"/>
        </w:rPr>
        <w:t xml:space="preserve"> and is able to satisfy certain other conditions</w:t>
      </w:r>
      <w:r w:rsidR="0046391C" w:rsidRPr="00744304">
        <w:rPr>
          <w:szCs w:val="22"/>
        </w:rPr>
        <w:t>.</w:t>
      </w:r>
      <w:r w:rsidR="0046391C">
        <w:rPr>
          <w:rStyle w:val="FootnoteReference"/>
          <w:szCs w:val="22"/>
        </w:rPr>
        <w:footnoteReference w:id="3"/>
      </w:r>
      <w:r w:rsidR="005C4BDC" w:rsidRPr="00744304">
        <w:rPr>
          <w:szCs w:val="22"/>
        </w:rPr>
        <w:t xml:space="preserve">  The proposed ESL </w:t>
      </w:r>
      <w:r w:rsidR="003337B0">
        <w:rPr>
          <w:szCs w:val="22"/>
        </w:rPr>
        <w:t>reflects the</w:t>
      </w:r>
      <w:r w:rsidR="00546F1F">
        <w:rPr>
          <w:szCs w:val="22"/>
        </w:rPr>
        <w:t xml:space="preserve"> changes in eligibility for </w:t>
      </w:r>
      <w:r w:rsidR="00A9289D">
        <w:rPr>
          <w:szCs w:val="22"/>
        </w:rPr>
        <w:t>dark fiber</w:t>
      </w:r>
      <w:r w:rsidR="005C4BDC" w:rsidRPr="00744304">
        <w:rPr>
          <w:szCs w:val="22"/>
        </w:rPr>
        <w:t xml:space="preserve">, and adds </w:t>
      </w:r>
      <w:r w:rsidR="00A9289D">
        <w:rPr>
          <w:szCs w:val="22"/>
        </w:rPr>
        <w:t xml:space="preserve">explanatory “notes” regarding leased lit and </w:t>
      </w:r>
      <w:r w:rsidR="005C4BDC" w:rsidRPr="00744304">
        <w:rPr>
          <w:szCs w:val="22"/>
        </w:rPr>
        <w:t xml:space="preserve">dark </w:t>
      </w:r>
      <w:r w:rsidR="00A9289D">
        <w:rPr>
          <w:szCs w:val="22"/>
        </w:rPr>
        <w:t xml:space="preserve">fiber </w:t>
      </w:r>
      <w:r w:rsidR="00A26197">
        <w:rPr>
          <w:szCs w:val="22"/>
        </w:rPr>
        <w:t xml:space="preserve">and self-provisioned </w:t>
      </w:r>
      <w:r w:rsidR="00A9289D">
        <w:rPr>
          <w:szCs w:val="22"/>
        </w:rPr>
        <w:t>broadband networks</w:t>
      </w:r>
      <w:r w:rsidR="00A26197">
        <w:rPr>
          <w:szCs w:val="22"/>
        </w:rPr>
        <w:t xml:space="preserve"> </w:t>
      </w:r>
      <w:r w:rsidR="00A9289D">
        <w:rPr>
          <w:szCs w:val="22"/>
        </w:rPr>
        <w:t>in</w:t>
      </w:r>
      <w:r w:rsidR="005C4BDC" w:rsidRPr="00744304">
        <w:rPr>
          <w:szCs w:val="22"/>
        </w:rPr>
        <w:t xml:space="preserve"> the </w:t>
      </w:r>
      <w:r w:rsidR="00433CC1">
        <w:rPr>
          <w:szCs w:val="22"/>
        </w:rPr>
        <w:t xml:space="preserve">“Digital transmission and Internet access” entry of the </w:t>
      </w:r>
      <w:r w:rsidR="000F5796">
        <w:rPr>
          <w:szCs w:val="22"/>
        </w:rPr>
        <w:t>Category O</w:t>
      </w:r>
      <w:r w:rsidR="00A26197">
        <w:rPr>
          <w:szCs w:val="22"/>
        </w:rPr>
        <w:t xml:space="preserve">ne </w:t>
      </w:r>
      <w:r w:rsidR="00A9289D">
        <w:rPr>
          <w:szCs w:val="22"/>
        </w:rPr>
        <w:t>section</w:t>
      </w:r>
      <w:r w:rsidR="00913A44">
        <w:rPr>
          <w:szCs w:val="22"/>
        </w:rPr>
        <w:t xml:space="preserve">.  </w:t>
      </w:r>
      <w:r w:rsidR="00525F7E">
        <w:rPr>
          <w:szCs w:val="22"/>
        </w:rPr>
        <w:t xml:space="preserve">The </w:t>
      </w:r>
      <w:r w:rsidR="008C5D85">
        <w:rPr>
          <w:szCs w:val="22"/>
        </w:rPr>
        <w:t xml:space="preserve">notes </w:t>
      </w:r>
      <w:r w:rsidR="00A9289D">
        <w:rPr>
          <w:szCs w:val="22"/>
        </w:rPr>
        <w:t xml:space="preserve">explain </w:t>
      </w:r>
      <w:r w:rsidR="008C5D85">
        <w:rPr>
          <w:szCs w:val="22"/>
        </w:rPr>
        <w:t>that applicants must seek competitive bids for</w:t>
      </w:r>
      <w:r w:rsidR="00525F7E">
        <w:rPr>
          <w:szCs w:val="22"/>
        </w:rPr>
        <w:t xml:space="preserve"> network maintenance and operation</w:t>
      </w:r>
      <w:r w:rsidR="008C5D85">
        <w:rPr>
          <w:szCs w:val="22"/>
        </w:rPr>
        <w:t>, and all other eligible services and equipment,</w:t>
      </w:r>
      <w:r w:rsidR="00525F7E">
        <w:rPr>
          <w:szCs w:val="22"/>
        </w:rPr>
        <w:t xml:space="preserve"> </w:t>
      </w:r>
      <w:r w:rsidR="008C5D85">
        <w:rPr>
          <w:szCs w:val="22"/>
        </w:rPr>
        <w:t>in order to receive E-rate support.</w:t>
      </w:r>
      <w:r w:rsidR="00525F7E">
        <w:rPr>
          <w:szCs w:val="22"/>
        </w:rPr>
        <w:t xml:space="preserve">  </w:t>
      </w:r>
      <w:r w:rsidR="00913A44">
        <w:rPr>
          <w:szCs w:val="22"/>
        </w:rPr>
        <w:t xml:space="preserve">The </w:t>
      </w:r>
      <w:r w:rsidR="00A9289D">
        <w:rPr>
          <w:szCs w:val="22"/>
        </w:rPr>
        <w:lastRenderedPageBreak/>
        <w:t>proposed ESL</w:t>
      </w:r>
      <w:r w:rsidR="00913A44">
        <w:rPr>
          <w:szCs w:val="22"/>
        </w:rPr>
        <w:t xml:space="preserve"> also adds a </w:t>
      </w:r>
      <w:r w:rsidR="007A285E">
        <w:rPr>
          <w:szCs w:val="22"/>
        </w:rPr>
        <w:t>description of eligible special constructi</w:t>
      </w:r>
      <w:r w:rsidR="000F5796">
        <w:rPr>
          <w:szCs w:val="22"/>
        </w:rPr>
        <w:t>on or installation charges for Category O</w:t>
      </w:r>
      <w:r w:rsidR="007A285E">
        <w:rPr>
          <w:szCs w:val="22"/>
        </w:rPr>
        <w:t>ne services</w:t>
      </w:r>
      <w:r w:rsidR="005B2242">
        <w:rPr>
          <w:szCs w:val="22"/>
        </w:rPr>
        <w:t xml:space="preserve">.  We seek comment on these </w:t>
      </w:r>
      <w:r w:rsidR="00546F1F">
        <w:rPr>
          <w:szCs w:val="22"/>
        </w:rPr>
        <w:t xml:space="preserve">proposed </w:t>
      </w:r>
      <w:r w:rsidR="00A26197">
        <w:rPr>
          <w:szCs w:val="22"/>
        </w:rPr>
        <w:t>revisions</w:t>
      </w:r>
      <w:r w:rsidR="005B2242">
        <w:rPr>
          <w:szCs w:val="22"/>
        </w:rPr>
        <w:t>.</w:t>
      </w:r>
    </w:p>
    <w:p w:rsidR="002776BC" w:rsidRPr="002776BC" w:rsidRDefault="002776BC" w:rsidP="002776BC">
      <w:pPr>
        <w:pStyle w:val="ListParagraph"/>
        <w:spacing w:after="120"/>
        <w:ind w:left="1494"/>
        <w:rPr>
          <w:sz w:val="12"/>
          <w:szCs w:val="12"/>
        </w:rPr>
      </w:pPr>
    </w:p>
    <w:p w:rsidR="002776BC" w:rsidRDefault="000F5796" w:rsidP="002776BC">
      <w:pPr>
        <w:pStyle w:val="ListParagraph"/>
        <w:numPr>
          <w:ilvl w:val="0"/>
          <w:numId w:val="22"/>
        </w:numPr>
        <w:rPr>
          <w:szCs w:val="22"/>
        </w:rPr>
      </w:pPr>
      <w:r w:rsidRPr="002776BC">
        <w:rPr>
          <w:szCs w:val="22"/>
        </w:rPr>
        <w:t xml:space="preserve">The proposed ESL adds equipment </w:t>
      </w:r>
      <w:r w:rsidR="00EA3F01" w:rsidRPr="002776BC">
        <w:rPr>
          <w:szCs w:val="22"/>
        </w:rPr>
        <w:t>necessary to make a broadband</w:t>
      </w:r>
      <w:r w:rsidRPr="002776BC">
        <w:rPr>
          <w:szCs w:val="22"/>
        </w:rPr>
        <w:t xml:space="preserve"> service </w:t>
      </w:r>
      <w:r w:rsidR="00EA3F01" w:rsidRPr="002776BC">
        <w:rPr>
          <w:szCs w:val="22"/>
        </w:rPr>
        <w:t xml:space="preserve">functional </w:t>
      </w:r>
      <w:r w:rsidRPr="002776BC">
        <w:rPr>
          <w:szCs w:val="22"/>
        </w:rPr>
        <w:t xml:space="preserve">to the </w:t>
      </w:r>
      <w:r w:rsidR="00433CC1" w:rsidRPr="002776BC">
        <w:rPr>
          <w:szCs w:val="22"/>
        </w:rPr>
        <w:t xml:space="preserve">list of eligible costs for </w:t>
      </w:r>
      <w:r w:rsidR="00433CC1" w:rsidRPr="002776BC">
        <w:rPr>
          <w:bCs/>
          <w:szCs w:val="22"/>
        </w:rPr>
        <w:t>leased lit fiber, dark fiber, and self-provisioned broadband networks</w:t>
      </w:r>
      <w:r w:rsidRPr="002776BC">
        <w:rPr>
          <w:szCs w:val="22"/>
        </w:rPr>
        <w:t xml:space="preserve">.  This clarification is </w:t>
      </w:r>
      <w:r w:rsidR="00EA3F01" w:rsidRPr="002776BC">
        <w:rPr>
          <w:szCs w:val="22"/>
        </w:rPr>
        <w:t>necessary to fully equalize the treatment of lit and dark fiber</w:t>
      </w:r>
      <w:r w:rsidR="00EC5454" w:rsidRPr="002776BC">
        <w:rPr>
          <w:szCs w:val="22"/>
        </w:rPr>
        <w:t xml:space="preserve"> and to support self-provisioned broadband networks</w:t>
      </w:r>
      <w:r w:rsidR="00EA3F01" w:rsidRPr="002776BC">
        <w:rPr>
          <w:szCs w:val="22"/>
        </w:rPr>
        <w:t>.</w:t>
      </w:r>
      <w:r w:rsidR="00EF26D1">
        <w:rPr>
          <w:rStyle w:val="FootnoteReference"/>
          <w:szCs w:val="22"/>
        </w:rPr>
        <w:footnoteReference w:id="4"/>
      </w:r>
      <w:r w:rsidRPr="002776BC">
        <w:rPr>
          <w:szCs w:val="22"/>
        </w:rPr>
        <w:t xml:space="preserve">  We seek comment on this proposed clarification.</w:t>
      </w:r>
    </w:p>
    <w:p w:rsidR="002776BC" w:rsidRPr="002776BC" w:rsidRDefault="002776BC" w:rsidP="002776BC">
      <w:pPr>
        <w:rPr>
          <w:sz w:val="12"/>
          <w:szCs w:val="12"/>
        </w:rPr>
      </w:pPr>
    </w:p>
    <w:p w:rsidR="000F5796" w:rsidRDefault="007D1724" w:rsidP="002776BC">
      <w:pPr>
        <w:pStyle w:val="ListParagraph"/>
        <w:numPr>
          <w:ilvl w:val="0"/>
          <w:numId w:val="22"/>
        </w:numPr>
        <w:rPr>
          <w:szCs w:val="22"/>
        </w:rPr>
      </w:pPr>
      <w:r>
        <w:rPr>
          <w:szCs w:val="22"/>
        </w:rPr>
        <w:t xml:space="preserve">In the </w:t>
      </w:r>
      <w:r w:rsidRPr="00744304">
        <w:rPr>
          <w:i/>
          <w:szCs w:val="22"/>
        </w:rPr>
        <w:t>Second E-rate Modernization Order</w:t>
      </w:r>
      <w:r>
        <w:rPr>
          <w:szCs w:val="22"/>
        </w:rPr>
        <w:t>, the Commission clarified its cost allocation requirements for circuits that carry both voice and data services.</w:t>
      </w:r>
      <w:r>
        <w:rPr>
          <w:rStyle w:val="FootnoteReference"/>
          <w:szCs w:val="22"/>
        </w:rPr>
        <w:footnoteReference w:id="5"/>
      </w:r>
      <w:r>
        <w:rPr>
          <w:szCs w:val="22"/>
        </w:rPr>
        <w:t xml:space="preserve">  </w:t>
      </w:r>
      <w:r w:rsidR="00782555">
        <w:rPr>
          <w:color w:val="000000"/>
          <w:szCs w:val="22"/>
        </w:rPr>
        <w:t>The full cost of c</w:t>
      </w:r>
      <w:r w:rsidR="00782555" w:rsidRPr="00ED59BD">
        <w:rPr>
          <w:color w:val="000000"/>
          <w:szCs w:val="22"/>
        </w:rPr>
        <w:t xml:space="preserve">ircuits dedicated solely to voice service, including </w:t>
      </w:r>
      <w:bookmarkStart w:id="2" w:name="SR;29164"/>
      <w:bookmarkStart w:id="3" w:name="SearchTerm"/>
      <w:bookmarkEnd w:id="2"/>
      <w:r w:rsidR="00782555">
        <w:rPr>
          <w:color w:val="000000"/>
        </w:rPr>
        <w:t>PRIs</w:t>
      </w:r>
      <w:r w:rsidR="00782555" w:rsidRPr="00ED59BD">
        <w:rPr>
          <w:color w:val="000000"/>
          <w:szCs w:val="22"/>
        </w:rPr>
        <w:t>, SIP trun</w:t>
      </w:r>
      <w:r w:rsidR="00782555">
        <w:rPr>
          <w:color w:val="000000"/>
          <w:szCs w:val="22"/>
        </w:rPr>
        <w:t xml:space="preserve">ks, and VoIP provider circuits are </w:t>
      </w:r>
      <w:r w:rsidR="00782555" w:rsidRPr="00ED59BD">
        <w:rPr>
          <w:color w:val="000000"/>
          <w:szCs w:val="22"/>
        </w:rPr>
        <w:t xml:space="preserve">subject to the voice services </w:t>
      </w:r>
      <w:bookmarkStart w:id="4" w:name="SR;29184"/>
      <w:bookmarkEnd w:id="4"/>
      <w:r w:rsidR="00782555">
        <w:rPr>
          <w:color w:val="000000"/>
        </w:rPr>
        <w:t>phase down</w:t>
      </w:r>
      <w:bookmarkEnd w:id="3"/>
      <w:r w:rsidR="00782555">
        <w:rPr>
          <w:color w:val="000000"/>
        </w:rPr>
        <w:t>, while the costs for bundled voice and data services provided over a single circuit, must be cost allocated.</w:t>
      </w:r>
      <w:r w:rsidR="00782555">
        <w:rPr>
          <w:rStyle w:val="FootnoteReference"/>
          <w:color w:val="000000"/>
        </w:rPr>
        <w:footnoteReference w:id="6"/>
      </w:r>
      <w:r w:rsidR="00782555">
        <w:rPr>
          <w:color w:val="000000"/>
        </w:rPr>
        <w:t xml:space="preserve"> </w:t>
      </w:r>
      <w:r w:rsidR="00782555">
        <w:rPr>
          <w:szCs w:val="22"/>
        </w:rPr>
        <w:t xml:space="preserve"> </w:t>
      </w:r>
      <w:r w:rsidR="0076527F">
        <w:rPr>
          <w:szCs w:val="22"/>
        </w:rPr>
        <w:t xml:space="preserve">Because </w:t>
      </w:r>
      <w:r w:rsidR="0076527F" w:rsidRPr="006E3382">
        <w:rPr>
          <w:szCs w:val="22"/>
        </w:rPr>
        <w:t>Integrated Services Digital Network</w:t>
      </w:r>
      <w:r w:rsidR="0076527F">
        <w:rPr>
          <w:szCs w:val="22"/>
        </w:rPr>
        <w:t xml:space="preserve"> (ISDN) is typically provisioned as a voice service, and the Bureau has referred to ISDN synonymously with PRI circuits</w:t>
      </w:r>
      <w:r w:rsidR="0076527F" w:rsidDel="0076527F">
        <w:rPr>
          <w:szCs w:val="22"/>
        </w:rPr>
        <w:t xml:space="preserve"> </w:t>
      </w:r>
      <w:r w:rsidR="0076527F">
        <w:rPr>
          <w:szCs w:val="22"/>
        </w:rPr>
        <w:t>in the ESL,</w:t>
      </w:r>
      <w:r w:rsidR="0076527F">
        <w:rPr>
          <w:rStyle w:val="FootnoteReference"/>
          <w:szCs w:val="22"/>
        </w:rPr>
        <w:footnoteReference w:id="7"/>
      </w:r>
      <w:r w:rsidR="0076527F">
        <w:rPr>
          <w:szCs w:val="22"/>
        </w:rPr>
        <w:t xml:space="preserve"> t</w:t>
      </w:r>
      <w:r w:rsidR="008C26B9">
        <w:rPr>
          <w:szCs w:val="22"/>
        </w:rPr>
        <w:t xml:space="preserve">he proposed ESL </w:t>
      </w:r>
      <w:r w:rsidR="00070733">
        <w:rPr>
          <w:szCs w:val="22"/>
        </w:rPr>
        <w:t>adds</w:t>
      </w:r>
      <w:r w:rsidR="008C26B9">
        <w:rPr>
          <w:szCs w:val="22"/>
        </w:rPr>
        <w:t xml:space="preserve"> ISDN to the list of eligible voice services</w:t>
      </w:r>
      <w:r w:rsidR="00311BF1">
        <w:rPr>
          <w:szCs w:val="22"/>
        </w:rPr>
        <w:t xml:space="preserve">.  However, </w:t>
      </w:r>
      <w:r w:rsidR="002C4A39">
        <w:rPr>
          <w:szCs w:val="22"/>
        </w:rPr>
        <w:t xml:space="preserve">for </w:t>
      </w:r>
      <w:r w:rsidR="0076527F">
        <w:rPr>
          <w:szCs w:val="22"/>
        </w:rPr>
        <w:t>applicant</w:t>
      </w:r>
      <w:r w:rsidR="002C4A39">
        <w:rPr>
          <w:szCs w:val="22"/>
        </w:rPr>
        <w:t>s that may be</w:t>
      </w:r>
      <w:r w:rsidR="0076527F">
        <w:rPr>
          <w:szCs w:val="22"/>
        </w:rPr>
        <w:t xml:space="preserve"> receiving</w:t>
      </w:r>
      <w:r w:rsidR="00311BF1">
        <w:rPr>
          <w:szCs w:val="22"/>
        </w:rPr>
        <w:t xml:space="preserve"> ISDN</w:t>
      </w:r>
      <w:r w:rsidR="0076527F">
        <w:rPr>
          <w:szCs w:val="22"/>
        </w:rPr>
        <w:t xml:space="preserve"> as bundled voice and data service, </w:t>
      </w:r>
      <w:r w:rsidR="002C4A39">
        <w:rPr>
          <w:szCs w:val="22"/>
        </w:rPr>
        <w:t xml:space="preserve">ISDN also remains </w:t>
      </w:r>
      <w:r w:rsidR="0076527F">
        <w:rPr>
          <w:szCs w:val="22"/>
        </w:rPr>
        <w:t xml:space="preserve">listed </w:t>
      </w:r>
      <w:r w:rsidR="002C4A39">
        <w:rPr>
          <w:szCs w:val="22"/>
        </w:rPr>
        <w:t xml:space="preserve">in the ESL </w:t>
      </w:r>
      <w:r w:rsidR="0076527F">
        <w:rPr>
          <w:szCs w:val="22"/>
        </w:rPr>
        <w:t>as an eligible digital t</w:t>
      </w:r>
      <w:r w:rsidR="002C4A39">
        <w:rPr>
          <w:szCs w:val="22"/>
        </w:rPr>
        <w:t xml:space="preserve">ransmission service so that a </w:t>
      </w:r>
      <w:r w:rsidR="0076527F">
        <w:rPr>
          <w:szCs w:val="22"/>
        </w:rPr>
        <w:t xml:space="preserve">cost allocation </w:t>
      </w:r>
      <w:r w:rsidR="002C4A39">
        <w:rPr>
          <w:szCs w:val="22"/>
        </w:rPr>
        <w:t xml:space="preserve">can be sought </w:t>
      </w:r>
      <w:r w:rsidR="0076527F">
        <w:rPr>
          <w:szCs w:val="22"/>
        </w:rPr>
        <w:t>for the data portion of the service that is not subject to the voice phase down</w:t>
      </w:r>
      <w:r w:rsidR="008C26B9">
        <w:rPr>
          <w:szCs w:val="22"/>
        </w:rPr>
        <w:t>.</w:t>
      </w:r>
      <w:r w:rsidR="00546F1F">
        <w:rPr>
          <w:szCs w:val="22"/>
        </w:rPr>
        <w:t xml:space="preserve">  We seek comment on this proposed c</w:t>
      </w:r>
      <w:r w:rsidR="00782555">
        <w:rPr>
          <w:szCs w:val="22"/>
        </w:rPr>
        <w:t>larification</w:t>
      </w:r>
      <w:r w:rsidR="00546F1F">
        <w:rPr>
          <w:szCs w:val="22"/>
        </w:rPr>
        <w:t xml:space="preserve">. </w:t>
      </w:r>
    </w:p>
    <w:p w:rsidR="002776BC" w:rsidRPr="002776BC" w:rsidRDefault="002776BC" w:rsidP="002776BC">
      <w:pPr>
        <w:rPr>
          <w:sz w:val="12"/>
          <w:szCs w:val="12"/>
        </w:rPr>
      </w:pPr>
    </w:p>
    <w:p w:rsidR="00744304" w:rsidRDefault="00E7349A" w:rsidP="007B2C13">
      <w:pPr>
        <w:pStyle w:val="ListParagraph"/>
        <w:numPr>
          <w:ilvl w:val="0"/>
          <w:numId w:val="22"/>
        </w:numPr>
        <w:rPr>
          <w:szCs w:val="22"/>
        </w:rPr>
      </w:pPr>
      <w:r>
        <w:rPr>
          <w:szCs w:val="22"/>
        </w:rPr>
        <w:t xml:space="preserve">In the </w:t>
      </w:r>
      <w:r>
        <w:rPr>
          <w:i/>
          <w:szCs w:val="22"/>
        </w:rPr>
        <w:t>Sixth Report and Order</w:t>
      </w:r>
      <w:r>
        <w:rPr>
          <w:szCs w:val="22"/>
        </w:rPr>
        <w:t xml:space="preserve">, the Commission </w:t>
      </w:r>
      <w:r w:rsidR="00546F1F">
        <w:rPr>
          <w:szCs w:val="22"/>
        </w:rPr>
        <w:t xml:space="preserve">decided </w:t>
      </w:r>
      <w:r>
        <w:rPr>
          <w:szCs w:val="22"/>
        </w:rPr>
        <w:t>that basic firewall protection that is included as part of an Internet access service would continue to be an eligible feature of Internet access service.</w:t>
      </w:r>
      <w:r>
        <w:rPr>
          <w:rStyle w:val="FootnoteReference"/>
          <w:szCs w:val="22"/>
        </w:rPr>
        <w:footnoteReference w:id="8"/>
      </w:r>
      <w:r>
        <w:rPr>
          <w:szCs w:val="22"/>
        </w:rPr>
        <w:t xml:space="preserve">  The Bureau subsequently clarified that firewall components separate from basic firewall protection provided as a standard component of Internet access service are eligible internal connections.</w:t>
      </w:r>
      <w:r>
        <w:rPr>
          <w:rStyle w:val="FootnoteReference"/>
          <w:szCs w:val="22"/>
        </w:rPr>
        <w:footnoteReference w:id="9"/>
      </w:r>
      <w:r>
        <w:rPr>
          <w:szCs w:val="22"/>
        </w:rPr>
        <w:t xml:space="preserve">  The proposed ESL clarifies the eligibility of firewall services and components consistent with this precedent.  We seek comment on these proposed clarifications.</w:t>
      </w:r>
    </w:p>
    <w:p w:rsidR="00A30E60" w:rsidRPr="002776BC" w:rsidRDefault="00A30E60" w:rsidP="000C40F8">
      <w:pPr>
        <w:rPr>
          <w:sz w:val="12"/>
          <w:szCs w:val="12"/>
        </w:rPr>
      </w:pPr>
    </w:p>
    <w:p w:rsidR="005E5358" w:rsidRDefault="00963557" w:rsidP="002776BC">
      <w:pPr>
        <w:pStyle w:val="ListParagraph"/>
        <w:numPr>
          <w:ilvl w:val="0"/>
          <w:numId w:val="22"/>
        </w:numPr>
        <w:spacing w:after="120"/>
        <w:rPr>
          <w:szCs w:val="22"/>
        </w:rPr>
      </w:pPr>
      <w:r>
        <w:rPr>
          <w:szCs w:val="22"/>
        </w:rPr>
        <w:t xml:space="preserve">Last year, the </w:t>
      </w:r>
      <w:r w:rsidR="00544FBB">
        <w:rPr>
          <w:szCs w:val="22"/>
        </w:rPr>
        <w:t>Bureau</w:t>
      </w:r>
      <w:r>
        <w:rPr>
          <w:szCs w:val="22"/>
        </w:rPr>
        <w:t xml:space="preserve"> restructur</w:t>
      </w:r>
      <w:r w:rsidR="00544FBB">
        <w:rPr>
          <w:szCs w:val="22"/>
        </w:rPr>
        <w:t>ed</w:t>
      </w:r>
      <w:r>
        <w:rPr>
          <w:szCs w:val="22"/>
        </w:rPr>
        <w:t xml:space="preserve"> the ESL </w:t>
      </w:r>
      <w:r w:rsidR="000F5796">
        <w:rPr>
          <w:szCs w:val="22"/>
        </w:rPr>
        <w:t>into Category O</w:t>
      </w:r>
      <w:r>
        <w:rPr>
          <w:szCs w:val="22"/>
        </w:rPr>
        <w:t xml:space="preserve">ne and </w:t>
      </w:r>
      <w:r w:rsidR="000F5796">
        <w:rPr>
          <w:szCs w:val="22"/>
        </w:rPr>
        <w:t>C</w:t>
      </w:r>
      <w:r>
        <w:rPr>
          <w:szCs w:val="22"/>
        </w:rPr>
        <w:t>ategory</w:t>
      </w:r>
      <w:r w:rsidR="000F5796">
        <w:rPr>
          <w:szCs w:val="22"/>
        </w:rPr>
        <w:t xml:space="preserve"> T</w:t>
      </w:r>
      <w:r>
        <w:rPr>
          <w:szCs w:val="22"/>
        </w:rPr>
        <w:t>wo services</w:t>
      </w:r>
      <w:r w:rsidR="00544FBB">
        <w:rPr>
          <w:szCs w:val="22"/>
        </w:rPr>
        <w:t xml:space="preserve"> as directed in the </w:t>
      </w:r>
      <w:r w:rsidR="00544FBB">
        <w:rPr>
          <w:i/>
          <w:szCs w:val="22"/>
        </w:rPr>
        <w:t>E-rate Modernization Order</w:t>
      </w:r>
      <w:r w:rsidR="00544FBB">
        <w:rPr>
          <w:szCs w:val="22"/>
        </w:rPr>
        <w:t>.</w:t>
      </w:r>
      <w:r w:rsidR="00544FBB">
        <w:rPr>
          <w:rStyle w:val="FootnoteReference"/>
          <w:szCs w:val="22"/>
        </w:rPr>
        <w:footnoteReference w:id="10"/>
      </w:r>
      <w:r w:rsidR="00544FBB">
        <w:rPr>
          <w:szCs w:val="22"/>
        </w:rPr>
        <w:t xml:space="preserve">  The Bureau also streamlined the list of supported services </w:t>
      </w:r>
      <w:r w:rsidR="00E010ED">
        <w:rPr>
          <w:szCs w:val="22"/>
        </w:rPr>
        <w:t xml:space="preserve">in the </w:t>
      </w:r>
      <w:r w:rsidR="00544FBB">
        <w:rPr>
          <w:szCs w:val="22"/>
        </w:rPr>
        <w:t>ESL</w:t>
      </w:r>
      <w:r w:rsidR="00E010ED">
        <w:rPr>
          <w:szCs w:val="22"/>
        </w:rPr>
        <w:t xml:space="preserve"> to better tailor support towards high-capacity broadband and eliminate</w:t>
      </w:r>
      <w:r w:rsidR="00492E50">
        <w:rPr>
          <w:szCs w:val="22"/>
        </w:rPr>
        <w:t>d</w:t>
      </w:r>
      <w:r w:rsidR="00E010ED">
        <w:rPr>
          <w:szCs w:val="22"/>
        </w:rPr>
        <w:t xml:space="preserve"> </w:t>
      </w:r>
      <w:r w:rsidR="00255B61">
        <w:rPr>
          <w:szCs w:val="22"/>
        </w:rPr>
        <w:t xml:space="preserve">or phased down </w:t>
      </w:r>
      <w:r w:rsidR="00E010ED">
        <w:rPr>
          <w:szCs w:val="22"/>
        </w:rPr>
        <w:t>support for services that do not provide broadband.</w:t>
      </w:r>
      <w:r w:rsidR="00544FBB">
        <w:rPr>
          <w:i/>
          <w:szCs w:val="22"/>
        </w:rPr>
        <w:t xml:space="preserve"> </w:t>
      </w:r>
      <w:r w:rsidR="00544FBB">
        <w:rPr>
          <w:szCs w:val="22"/>
        </w:rPr>
        <w:t xml:space="preserve"> </w:t>
      </w:r>
      <w:r w:rsidR="00492E50">
        <w:rPr>
          <w:szCs w:val="22"/>
        </w:rPr>
        <w:t xml:space="preserve">We seek comment on </w:t>
      </w:r>
      <w:r w:rsidR="00546F1F">
        <w:rPr>
          <w:szCs w:val="22"/>
        </w:rPr>
        <w:t>applicants’ and other stakeholders’</w:t>
      </w:r>
      <w:r w:rsidR="00255B61">
        <w:rPr>
          <w:szCs w:val="22"/>
        </w:rPr>
        <w:t xml:space="preserve"> experience with the new ESL during FY 2015 application process and </w:t>
      </w:r>
      <w:r w:rsidR="00492E50">
        <w:rPr>
          <w:szCs w:val="22"/>
        </w:rPr>
        <w:t xml:space="preserve">invite commenters to suggest other </w:t>
      </w:r>
      <w:r w:rsidR="00492E50">
        <w:rPr>
          <w:szCs w:val="22"/>
        </w:rPr>
        <w:lastRenderedPageBreak/>
        <w:t>changes to the organization of the ESL to make it a more useful tool during the E-rate application process.</w:t>
      </w:r>
    </w:p>
    <w:p w:rsidR="00505A69" w:rsidRPr="00505A69" w:rsidRDefault="00505A69" w:rsidP="002776BC">
      <w:pPr>
        <w:spacing w:after="120"/>
        <w:ind w:firstLine="720"/>
        <w:rPr>
          <w:szCs w:val="22"/>
        </w:rPr>
      </w:pPr>
      <w:r w:rsidRPr="00505A69">
        <w:rPr>
          <w:szCs w:val="22"/>
        </w:rPr>
        <w:t>Pursuant to sections 1.415 and 1.419 of the Commission’s rules,</w:t>
      </w:r>
      <w:r w:rsidRPr="00505A69">
        <w:rPr>
          <w:vertAlign w:val="superscript"/>
        </w:rPr>
        <w:footnoteReference w:id="11"/>
      </w:r>
      <w:r w:rsidRPr="00505A69">
        <w:rPr>
          <w:szCs w:val="22"/>
        </w:rPr>
        <w:t xml:space="preserve"> interested parties may file comments on or before </w:t>
      </w:r>
      <w:r w:rsidR="00C06291">
        <w:rPr>
          <w:b/>
          <w:szCs w:val="22"/>
        </w:rPr>
        <w:t>June</w:t>
      </w:r>
      <w:r w:rsidRPr="00505A69">
        <w:rPr>
          <w:b/>
          <w:szCs w:val="22"/>
        </w:rPr>
        <w:t xml:space="preserve"> </w:t>
      </w:r>
      <w:r w:rsidR="006025DE">
        <w:rPr>
          <w:b/>
          <w:szCs w:val="22"/>
        </w:rPr>
        <w:t>22</w:t>
      </w:r>
      <w:r w:rsidRPr="00505A69">
        <w:rPr>
          <w:b/>
          <w:szCs w:val="22"/>
        </w:rPr>
        <w:t>, 201</w:t>
      </w:r>
      <w:r w:rsidR="00C06291">
        <w:rPr>
          <w:b/>
          <w:szCs w:val="22"/>
        </w:rPr>
        <w:t>5</w:t>
      </w:r>
      <w:r w:rsidRPr="00505A69">
        <w:rPr>
          <w:szCs w:val="22"/>
        </w:rPr>
        <w:t xml:space="preserve"> and reply comments on or before </w:t>
      </w:r>
      <w:r w:rsidR="002776BC">
        <w:rPr>
          <w:b/>
          <w:szCs w:val="22"/>
        </w:rPr>
        <w:t>Ju</w:t>
      </w:r>
      <w:r w:rsidR="006025DE">
        <w:rPr>
          <w:b/>
          <w:szCs w:val="22"/>
        </w:rPr>
        <w:t>ly</w:t>
      </w:r>
      <w:r w:rsidR="002776BC">
        <w:rPr>
          <w:b/>
          <w:szCs w:val="22"/>
        </w:rPr>
        <w:t xml:space="preserve"> </w:t>
      </w:r>
      <w:r w:rsidR="006025DE">
        <w:rPr>
          <w:b/>
          <w:szCs w:val="22"/>
        </w:rPr>
        <w:t>6</w:t>
      </w:r>
      <w:r w:rsidRPr="00505A69">
        <w:rPr>
          <w:b/>
          <w:szCs w:val="22"/>
        </w:rPr>
        <w:t>, 201</w:t>
      </w:r>
      <w:r w:rsidR="00C06291">
        <w:rPr>
          <w:b/>
          <w:szCs w:val="22"/>
        </w:rPr>
        <w:t>5</w:t>
      </w:r>
      <w:r w:rsidRPr="00505A69">
        <w:rPr>
          <w:szCs w:val="22"/>
        </w:rPr>
        <w:t>.  All comments are to reference</w:t>
      </w:r>
      <w:r w:rsidRPr="00505A69">
        <w:rPr>
          <w:b/>
          <w:szCs w:val="22"/>
        </w:rPr>
        <w:t xml:space="preserve"> </w:t>
      </w:r>
      <w:r w:rsidR="007D3E45">
        <w:rPr>
          <w:b/>
          <w:spacing w:val="-2"/>
          <w:szCs w:val="22"/>
          <w:lang w:val="sv-SE"/>
        </w:rPr>
        <w:t>WC</w:t>
      </w:r>
      <w:r w:rsidR="003767C2">
        <w:rPr>
          <w:b/>
          <w:spacing w:val="-2"/>
          <w:szCs w:val="22"/>
          <w:lang w:val="sv-SE"/>
        </w:rPr>
        <w:t xml:space="preserve"> Docket No. </w:t>
      </w:r>
      <w:r w:rsidR="007D3E45">
        <w:rPr>
          <w:b/>
          <w:spacing w:val="-2"/>
          <w:szCs w:val="22"/>
          <w:lang w:val="sv-SE"/>
        </w:rPr>
        <w:t>13</w:t>
      </w:r>
      <w:r w:rsidR="003767C2">
        <w:rPr>
          <w:b/>
          <w:spacing w:val="-2"/>
          <w:szCs w:val="22"/>
          <w:lang w:val="sv-SE"/>
        </w:rPr>
        <w:t>-</w:t>
      </w:r>
      <w:r w:rsidR="007D3E45">
        <w:rPr>
          <w:b/>
          <w:spacing w:val="-2"/>
          <w:szCs w:val="22"/>
          <w:lang w:val="sv-SE"/>
        </w:rPr>
        <w:t>184</w:t>
      </w:r>
      <w:r w:rsidR="0012236E">
        <w:rPr>
          <w:b/>
          <w:spacing w:val="-2"/>
          <w:szCs w:val="22"/>
          <w:lang w:val="sv-SE"/>
        </w:rPr>
        <w:t xml:space="preserve"> </w:t>
      </w:r>
      <w:r w:rsidRPr="00505A69">
        <w:rPr>
          <w:spacing w:val="-2"/>
          <w:szCs w:val="22"/>
          <w:lang w:val="sv-SE"/>
        </w:rPr>
        <w:t xml:space="preserve">and </w:t>
      </w:r>
      <w:r w:rsidRPr="00505A69">
        <w:rPr>
          <w:szCs w:val="22"/>
        </w:rPr>
        <w:t>may be filed by paper or by using the Commission’s Electronic Comment Filing System (ECFS).</w:t>
      </w:r>
    </w:p>
    <w:p w:rsidR="00505A69" w:rsidRDefault="00505A69" w:rsidP="002776BC">
      <w:pPr>
        <w:numPr>
          <w:ilvl w:val="0"/>
          <w:numId w:val="14"/>
        </w:numPr>
        <w:spacing w:after="120"/>
        <w:ind w:left="1440"/>
        <w:contextualSpacing/>
      </w:pPr>
      <w:r w:rsidRPr="00505A69">
        <w:t xml:space="preserve">Electronic Filers:  Comments may be filed electronically using the Internet by accessing the ECFS:  </w:t>
      </w:r>
      <w:hyperlink r:id="rId15" w:history="1">
        <w:r w:rsidRPr="00505A69">
          <w:rPr>
            <w:color w:val="0000FF"/>
            <w:u w:val="single"/>
          </w:rPr>
          <w:t>http://fjallfoss.fcc.gov/ecfs2/</w:t>
        </w:r>
      </w:hyperlink>
      <w:r w:rsidRPr="00505A69">
        <w:t>.</w:t>
      </w:r>
    </w:p>
    <w:p w:rsidR="002776BC" w:rsidRPr="002776BC" w:rsidRDefault="002776BC" w:rsidP="002776BC">
      <w:pPr>
        <w:spacing w:after="120"/>
        <w:ind w:left="1440"/>
        <w:contextualSpacing/>
        <w:rPr>
          <w:sz w:val="12"/>
          <w:szCs w:val="12"/>
        </w:rPr>
      </w:pPr>
    </w:p>
    <w:p w:rsidR="00505A69" w:rsidRDefault="00505A69" w:rsidP="002776BC">
      <w:pPr>
        <w:numPr>
          <w:ilvl w:val="0"/>
          <w:numId w:val="14"/>
        </w:numPr>
        <w:spacing w:after="120"/>
        <w:ind w:left="1440"/>
        <w:contextualSpacing/>
      </w:pPr>
      <w:r w:rsidRPr="00505A69">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776BC" w:rsidRPr="002776BC" w:rsidRDefault="002776BC" w:rsidP="002776BC">
      <w:pPr>
        <w:spacing w:after="120"/>
        <w:contextualSpacing/>
        <w:rPr>
          <w:sz w:val="12"/>
          <w:szCs w:val="12"/>
        </w:rPr>
      </w:pPr>
    </w:p>
    <w:p w:rsidR="00505A69" w:rsidRPr="00505A69" w:rsidRDefault="00505A69" w:rsidP="008A6A23">
      <w:r w:rsidRPr="00505A69">
        <w:t>Filings can be sent by hand or messenger delivery, by commercial overnight courier, or by first-class or overnight U.S. Postal Service mail.  All filings must be addressed to the Commission’s Secretary, Office of the Secretary, Federal Communications Commission.</w:t>
      </w:r>
    </w:p>
    <w:p w:rsidR="00505A69" w:rsidRPr="002776BC" w:rsidRDefault="00505A69" w:rsidP="00505A69">
      <w:pPr>
        <w:rPr>
          <w:sz w:val="12"/>
          <w:szCs w:val="12"/>
        </w:rPr>
      </w:pPr>
    </w:p>
    <w:p w:rsidR="00505A69" w:rsidRPr="00505A69" w:rsidRDefault="00505A69" w:rsidP="00505A69">
      <w:pPr>
        <w:numPr>
          <w:ilvl w:val="1"/>
          <w:numId w:val="14"/>
        </w:numPr>
        <w:contextualSpacing/>
      </w:pPr>
      <w:r w:rsidRPr="00505A69">
        <w:t>All hand-delivered or messenger-delivered paper filings for the Commission’s Secretary must be delivered to FCC Headquarters at 445 12</w:t>
      </w:r>
      <w:r w:rsidRPr="00505A69">
        <w:rPr>
          <w:vertAlign w:val="superscript"/>
        </w:rPr>
        <w:t>th</w:t>
      </w:r>
      <w:r w:rsidRPr="00505A69">
        <w:t xml:space="preserve"> St., SW, Room TW-A325, Washington, DC 20554.  The filing hours are 8:00 a.m. to 7:00 p.m.  All hand deliveries must be held together with rubber bands or fasteners.  Any envelopes and boxes must be disposed of </w:t>
      </w:r>
      <w:r w:rsidRPr="00505A69">
        <w:rPr>
          <w:u w:val="single"/>
        </w:rPr>
        <w:t>before</w:t>
      </w:r>
      <w:r w:rsidRPr="00505A69">
        <w:t xml:space="preserve"> entering the building.  </w:t>
      </w:r>
    </w:p>
    <w:p w:rsidR="00505A69" w:rsidRPr="002776BC" w:rsidRDefault="00505A69" w:rsidP="00505A69">
      <w:pPr>
        <w:ind w:left="1080"/>
        <w:rPr>
          <w:sz w:val="12"/>
          <w:szCs w:val="12"/>
        </w:rPr>
      </w:pPr>
    </w:p>
    <w:p w:rsidR="00505A69" w:rsidRPr="00505A69" w:rsidRDefault="00505A69" w:rsidP="00505A69">
      <w:pPr>
        <w:numPr>
          <w:ilvl w:val="0"/>
          <w:numId w:val="15"/>
        </w:numPr>
        <w:contextualSpacing/>
      </w:pPr>
      <w:r w:rsidRPr="00505A69">
        <w:t>Commercial overnight mail (other than U.S. Postal Service Express Mail and Priority Mail) must be sent to 9300 East Hampton Drive, Capitol Heights, MD  20743.</w:t>
      </w:r>
    </w:p>
    <w:p w:rsidR="00505A69" w:rsidRPr="002776BC" w:rsidRDefault="00505A69" w:rsidP="00505A69">
      <w:pPr>
        <w:rPr>
          <w:sz w:val="12"/>
          <w:szCs w:val="12"/>
        </w:rPr>
      </w:pPr>
    </w:p>
    <w:p w:rsidR="00505A69" w:rsidRPr="00505A69" w:rsidRDefault="00505A69" w:rsidP="00505A69">
      <w:pPr>
        <w:numPr>
          <w:ilvl w:val="0"/>
          <w:numId w:val="15"/>
        </w:numPr>
        <w:contextualSpacing/>
      </w:pPr>
      <w:r w:rsidRPr="00505A69">
        <w:t>U.S. Postal Service first-class, Express, and Priority mail must be addressed to 445 12</w:t>
      </w:r>
      <w:r w:rsidRPr="00505A69">
        <w:rPr>
          <w:vertAlign w:val="superscript"/>
        </w:rPr>
        <w:t>th</w:t>
      </w:r>
      <w:r w:rsidRPr="00505A69">
        <w:t xml:space="preserve"> Street, SW, Washington DC 20554.</w:t>
      </w:r>
    </w:p>
    <w:p w:rsidR="00505A69" w:rsidRPr="002776BC" w:rsidRDefault="00505A69" w:rsidP="00505A69">
      <w:pPr>
        <w:ind w:left="720"/>
        <w:contextualSpacing/>
        <w:rPr>
          <w:sz w:val="12"/>
          <w:szCs w:val="12"/>
        </w:rPr>
      </w:pPr>
    </w:p>
    <w:p w:rsidR="00505A69" w:rsidRDefault="00505A69" w:rsidP="002776BC">
      <w:pPr>
        <w:spacing w:after="120"/>
      </w:pPr>
      <w:r w:rsidRPr="00505A69">
        <w:t xml:space="preserve">In addition, we request that one copy of each pleading be sent to each of the following: </w:t>
      </w:r>
    </w:p>
    <w:p w:rsidR="002776BC" w:rsidRPr="002776BC" w:rsidRDefault="002776BC" w:rsidP="002776BC">
      <w:pPr>
        <w:rPr>
          <w:sz w:val="12"/>
          <w:szCs w:val="12"/>
        </w:rPr>
      </w:pPr>
    </w:p>
    <w:p w:rsidR="00893F8F" w:rsidRDefault="002E7702" w:rsidP="00893F8F">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Charles Eberle</w:t>
      </w:r>
      <w:r w:rsidR="00505A69" w:rsidRPr="00505A69">
        <w:rPr>
          <w:szCs w:val="22"/>
        </w:rPr>
        <w:t xml:space="preserve">, Telecommunications Access Policy Division, Wireline Competition Bureau, 445 12th Street, SW, Room 6-A365, Washington, DC 20554; e-mail: </w:t>
      </w:r>
      <w:hyperlink r:id="rId16" w:history="1">
        <w:r w:rsidRPr="0081451C">
          <w:rPr>
            <w:rStyle w:val="Hyperlink"/>
            <w:szCs w:val="22"/>
          </w:rPr>
          <w:t>Charles.Eberle@fcc.gov</w:t>
        </w:r>
      </w:hyperlink>
      <w:r w:rsidR="00505A69" w:rsidRPr="00505A69">
        <w:rPr>
          <w:szCs w:val="22"/>
        </w:rPr>
        <w:t>;</w:t>
      </w:r>
    </w:p>
    <w:p w:rsidR="003767C2" w:rsidRPr="002776BC" w:rsidRDefault="003767C2" w:rsidP="003767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 w:val="12"/>
          <w:szCs w:val="12"/>
        </w:rPr>
      </w:pPr>
    </w:p>
    <w:p w:rsidR="003767C2" w:rsidRPr="00893F8F" w:rsidRDefault="002E7702" w:rsidP="00893F8F">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Cara Voth</w:t>
      </w:r>
      <w:r w:rsidR="003767C2">
        <w:rPr>
          <w:szCs w:val="22"/>
        </w:rPr>
        <w:t xml:space="preserve">, </w:t>
      </w:r>
      <w:r w:rsidR="003767C2" w:rsidRPr="00505A69">
        <w:rPr>
          <w:szCs w:val="22"/>
        </w:rPr>
        <w:t>Telecommunications Access Policy Division, Wireline Competition Bur</w:t>
      </w:r>
      <w:r w:rsidR="003767C2">
        <w:rPr>
          <w:szCs w:val="22"/>
        </w:rPr>
        <w:t>eau, 445 12th Street, SW, Room 5-B530</w:t>
      </w:r>
      <w:r w:rsidR="003767C2" w:rsidRPr="00505A69">
        <w:rPr>
          <w:szCs w:val="22"/>
        </w:rPr>
        <w:t xml:space="preserve">, Washington, DC 20554; e-mail: </w:t>
      </w:r>
      <w:hyperlink r:id="rId17" w:history="1">
        <w:r w:rsidRPr="0081451C">
          <w:rPr>
            <w:rStyle w:val="Hyperlink"/>
            <w:szCs w:val="22"/>
          </w:rPr>
          <w:t>Cara.Voth@fcc.gov</w:t>
        </w:r>
      </w:hyperlink>
      <w:r w:rsidR="003767C2">
        <w:rPr>
          <w:szCs w:val="22"/>
        </w:rPr>
        <w:t>;</w:t>
      </w:r>
    </w:p>
    <w:p w:rsidR="00505A69" w:rsidRPr="002776BC" w:rsidRDefault="00505A69" w:rsidP="00505A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 w:val="12"/>
          <w:szCs w:val="12"/>
        </w:rPr>
      </w:pPr>
    </w:p>
    <w:p w:rsidR="00505A69" w:rsidRPr="002776BC" w:rsidRDefault="00505A69" w:rsidP="002776BC">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505A69">
        <w:t>Charles Tyler</w:t>
      </w:r>
      <w:r w:rsidRPr="00505A69">
        <w:rPr>
          <w:szCs w:val="22"/>
        </w:rPr>
        <w:t xml:space="preserve">, Telecommunications Access Policy Division, Wireline Competition Bureau, 445 12th Street, SW, Room 5-B521, Washington, DC 20554; e-mail: </w:t>
      </w:r>
      <w:hyperlink r:id="rId18" w:history="1">
        <w:r w:rsidRPr="00505A69">
          <w:rPr>
            <w:color w:val="0000FF"/>
            <w:szCs w:val="22"/>
            <w:u w:val="single"/>
          </w:rPr>
          <w:t>Charles.Tyler@fcc.gov</w:t>
        </w:r>
      </w:hyperlink>
      <w:r w:rsidRPr="00505A69">
        <w:rPr>
          <w:szCs w:val="22"/>
        </w:rPr>
        <w:t>.</w:t>
      </w:r>
    </w:p>
    <w:p w:rsidR="00505A69" w:rsidRPr="00505A69" w:rsidRDefault="00505A69" w:rsidP="00505A69">
      <w:pPr>
        <w:tabs>
          <w:tab w:val="left" w:pos="1080"/>
        </w:tabs>
        <w:spacing w:after="120"/>
        <w:rPr>
          <w:szCs w:val="22"/>
        </w:rPr>
      </w:pPr>
      <w:r w:rsidRPr="00505A69">
        <w:rPr>
          <w:szCs w:val="22"/>
          <w:u w:val="single"/>
        </w:rPr>
        <w:t>People with Disabilities</w:t>
      </w:r>
      <w:r w:rsidRPr="00505A69">
        <w:rPr>
          <w:szCs w:val="22"/>
        </w:rPr>
        <w:t xml:space="preserve">.  To request materials in accessible formats for people with disabilities (braille, large print, electronic files, audio format), send an e-mail to </w:t>
      </w:r>
      <w:hyperlink r:id="rId19" w:history="1">
        <w:r w:rsidRPr="00505A69">
          <w:rPr>
            <w:color w:val="0000FF"/>
            <w:szCs w:val="22"/>
            <w:u w:val="single"/>
          </w:rPr>
          <w:t>fcc504@fcc.gov</w:t>
        </w:r>
      </w:hyperlink>
      <w:r w:rsidRPr="00505A69">
        <w:rPr>
          <w:szCs w:val="22"/>
        </w:rPr>
        <w:t xml:space="preserve"> or call the Consumer &amp; Governmental Affairs Bureau at 202-418-0530 (voice), 202-418-0432 (tty).</w:t>
      </w:r>
    </w:p>
    <w:p w:rsidR="00505A69" w:rsidRPr="00505A69" w:rsidRDefault="00505A69" w:rsidP="002776BC">
      <w:pPr>
        <w:tabs>
          <w:tab w:val="left" w:pos="1080"/>
        </w:tabs>
        <w:spacing w:after="120"/>
        <w:rPr>
          <w:szCs w:val="22"/>
        </w:rPr>
      </w:pPr>
      <w:r w:rsidRPr="00505A69">
        <w:rPr>
          <w:szCs w:val="22"/>
          <w:u w:val="single"/>
        </w:rPr>
        <w:t>Availability of Documents</w:t>
      </w:r>
      <w:r w:rsidRPr="00505A69">
        <w:rPr>
          <w:szCs w:val="22"/>
        </w:rPr>
        <w:t xml:space="preserve">.  Comments, reply comments, and </w:t>
      </w:r>
      <w:r w:rsidRPr="00505A69">
        <w:rPr>
          <w:i/>
          <w:szCs w:val="22"/>
        </w:rPr>
        <w:t>ex parte</w:t>
      </w:r>
      <w:r w:rsidRPr="00505A69">
        <w:rPr>
          <w:szCs w:val="22"/>
        </w:rPr>
        <w:t xml:space="preserve"> submissions will be publically available online via ECFS.</w:t>
      </w:r>
      <w:r w:rsidRPr="00505A69">
        <w:rPr>
          <w:szCs w:val="22"/>
          <w:vertAlign w:val="superscript"/>
        </w:rPr>
        <w:footnoteReference w:id="12"/>
      </w:r>
      <w:r w:rsidRPr="00505A69">
        <w:rPr>
          <w:szCs w:val="22"/>
        </w:rPr>
        <w:t xml:space="preserve">  These documents will also be available for public inspection during regular business hours in the FCC Reference Information Center, which is located in Room CY-A257 at FCC Headquarters, 445 12</w:t>
      </w:r>
      <w:r w:rsidRPr="00505A69">
        <w:rPr>
          <w:szCs w:val="22"/>
          <w:vertAlign w:val="superscript"/>
        </w:rPr>
        <w:t>th</w:t>
      </w:r>
      <w:r w:rsidRPr="00505A69">
        <w:rPr>
          <w:szCs w:val="22"/>
        </w:rPr>
        <w:t xml:space="preserve"> Street, SW, Washington, DC 20554.  The Reference Information Center is open to the public Monday through Thursday from 8:00 a.m. to 4:30 p.m. and Friday from 8:00 a.m. to 11:30 a.m.</w:t>
      </w:r>
    </w:p>
    <w:p w:rsidR="00505A69" w:rsidRPr="00505A69" w:rsidRDefault="00505A69" w:rsidP="002776BC">
      <w:pPr>
        <w:autoSpaceDE w:val="0"/>
        <w:autoSpaceDN w:val="0"/>
        <w:adjustRightInd w:val="0"/>
        <w:spacing w:after="120"/>
        <w:ind w:firstLine="720"/>
        <w:rPr>
          <w:szCs w:val="22"/>
        </w:rPr>
      </w:pPr>
      <w:r w:rsidRPr="00505A69">
        <w:rPr>
          <w:szCs w:val="22"/>
        </w:rPr>
        <w:t xml:space="preserve">The proceeding this Notice initiates shall be treated as a “permit-but-disclose” proceeding in accordance with the Commission’s </w:t>
      </w:r>
      <w:r w:rsidRPr="00505A69">
        <w:rPr>
          <w:i/>
          <w:iCs/>
          <w:szCs w:val="22"/>
        </w:rPr>
        <w:t xml:space="preserve">ex parte </w:t>
      </w:r>
      <w:r w:rsidRPr="00505A69">
        <w:rPr>
          <w:szCs w:val="22"/>
        </w:rPr>
        <w:t>rules.</w:t>
      </w:r>
      <w:r w:rsidRPr="00505A69">
        <w:rPr>
          <w:szCs w:val="22"/>
          <w:vertAlign w:val="superscript"/>
        </w:rPr>
        <w:footnoteReference w:id="13"/>
      </w:r>
      <w:r w:rsidRPr="00505A69">
        <w:rPr>
          <w:szCs w:val="22"/>
        </w:rPr>
        <w:t xml:space="preserve">  Persons making </w:t>
      </w:r>
      <w:r w:rsidRPr="00505A69">
        <w:rPr>
          <w:i/>
          <w:szCs w:val="22"/>
        </w:rPr>
        <w:t xml:space="preserve">ex parte </w:t>
      </w:r>
      <w:r w:rsidRPr="00505A6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05A69">
        <w:rPr>
          <w:i/>
          <w:iCs/>
          <w:szCs w:val="22"/>
        </w:rPr>
        <w:t xml:space="preserve">ex parte </w:t>
      </w:r>
      <w:r w:rsidRPr="00505A69">
        <w:rPr>
          <w:szCs w:val="22"/>
        </w:rPr>
        <w:t xml:space="preserve">presentations are reminded that memoranda summarizing the presentation must (1) list all persons attending or otherwise participating in the meeting at which the </w:t>
      </w:r>
      <w:r w:rsidRPr="00505A69">
        <w:rPr>
          <w:i/>
          <w:iCs/>
          <w:szCs w:val="22"/>
        </w:rPr>
        <w:t xml:space="preserve">ex parte </w:t>
      </w:r>
      <w:r w:rsidRPr="00505A6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05A69">
        <w:rPr>
          <w:i/>
          <w:iCs/>
          <w:szCs w:val="22"/>
        </w:rPr>
        <w:t xml:space="preserve">ex parte </w:t>
      </w:r>
      <w:r w:rsidRPr="00505A69">
        <w:rPr>
          <w:szCs w:val="22"/>
        </w:rPr>
        <w:t xml:space="preserve">meetings are deemed to be written </w:t>
      </w:r>
      <w:r w:rsidRPr="00505A69">
        <w:rPr>
          <w:i/>
          <w:iCs/>
          <w:szCs w:val="22"/>
        </w:rPr>
        <w:t>ex parte</w:t>
      </w:r>
      <w:r w:rsidRPr="00505A69">
        <w:rPr>
          <w:szCs w:val="22"/>
        </w:rPr>
        <w:t xml:space="preserve"> presentations and must be filed consistent with rule 1.1206(b).  In proceedings governed by rule 1.49(f) or for which the Commission has made available a method of electronic filing, written </w:t>
      </w:r>
      <w:r w:rsidRPr="00505A69">
        <w:rPr>
          <w:i/>
          <w:iCs/>
          <w:szCs w:val="22"/>
        </w:rPr>
        <w:t xml:space="preserve">ex parte </w:t>
      </w:r>
      <w:r w:rsidRPr="00505A69">
        <w:rPr>
          <w:szCs w:val="22"/>
        </w:rPr>
        <w:t xml:space="preserve">presentations and memoranda summarizing oral </w:t>
      </w:r>
      <w:r w:rsidRPr="00505A69">
        <w:rPr>
          <w:i/>
          <w:iCs/>
          <w:szCs w:val="22"/>
        </w:rPr>
        <w:t xml:space="preserve">ex parte </w:t>
      </w:r>
      <w:r w:rsidRPr="00505A69">
        <w:rPr>
          <w:szCs w:val="22"/>
        </w:rPr>
        <w:t>presentations, and all attachments thereto, must be filed through the electronic comment filing system available for that proceeding, and must be filed in their native format (</w:t>
      </w:r>
      <w:r w:rsidRPr="00505A69">
        <w:rPr>
          <w:i/>
          <w:iCs/>
          <w:szCs w:val="22"/>
        </w:rPr>
        <w:t>e.g.</w:t>
      </w:r>
      <w:r w:rsidRPr="00505A69">
        <w:rPr>
          <w:szCs w:val="22"/>
        </w:rPr>
        <w:t xml:space="preserve">, .doc, .xml, .ppt, searchable .pdf).  Participants in this proceeding should familiarize themselves with the Commission’s </w:t>
      </w:r>
      <w:r w:rsidRPr="00505A69">
        <w:rPr>
          <w:i/>
          <w:iCs/>
          <w:szCs w:val="22"/>
        </w:rPr>
        <w:t xml:space="preserve">ex parte </w:t>
      </w:r>
      <w:r w:rsidRPr="00505A69">
        <w:rPr>
          <w:szCs w:val="22"/>
        </w:rPr>
        <w:t>rules.</w:t>
      </w:r>
    </w:p>
    <w:p w:rsidR="00505A69" w:rsidRPr="00505A69" w:rsidRDefault="00505A69" w:rsidP="002776BC">
      <w:pPr>
        <w:ind w:firstLine="720"/>
        <w:rPr>
          <w:szCs w:val="22"/>
        </w:rPr>
      </w:pPr>
      <w:r w:rsidRPr="00505A69">
        <w:rPr>
          <w:szCs w:val="22"/>
        </w:rPr>
        <w:t xml:space="preserve">For further information, please contact </w:t>
      </w:r>
      <w:r w:rsidR="003767C2">
        <w:rPr>
          <w:szCs w:val="22"/>
        </w:rPr>
        <w:t>Charles Eberle</w:t>
      </w:r>
      <w:r w:rsidR="000D2CA4">
        <w:rPr>
          <w:szCs w:val="22"/>
        </w:rPr>
        <w:t xml:space="preserve"> or Cara Voth</w:t>
      </w:r>
      <w:r w:rsidRPr="00505A69">
        <w:rPr>
          <w:szCs w:val="22"/>
        </w:rPr>
        <w:t>, Telecommunications Access Policy Division, Wireline Competition Bureau at (202) 418-7400 or TTY (202) 418-0484.</w:t>
      </w:r>
    </w:p>
    <w:p w:rsidR="00505A69" w:rsidRPr="00505A69" w:rsidRDefault="00505A69" w:rsidP="00505A69">
      <w:pPr>
        <w:ind w:firstLine="720"/>
        <w:rPr>
          <w:szCs w:val="22"/>
        </w:rPr>
      </w:pPr>
    </w:p>
    <w:p w:rsidR="00DF4B1F" w:rsidRDefault="00505A69" w:rsidP="000D2CA4">
      <w:pPr>
        <w:spacing w:before="120" w:after="240"/>
        <w:jc w:val="center"/>
        <w:rPr>
          <w:b/>
        </w:rPr>
        <w:sectPr w:rsidR="00DF4B1F" w:rsidSect="00070733">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720" w:right="1440" w:bottom="1440" w:left="1440" w:header="720" w:footer="1440" w:gutter="0"/>
          <w:pgNumType w:start="1"/>
          <w:cols w:space="720"/>
          <w:titlePg/>
          <w:docGrid w:linePitch="299"/>
        </w:sectPr>
      </w:pPr>
      <w:r w:rsidRPr="00505A69">
        <w:rPr>
          <w:b/>
        </w:rPr>
        <w:t>- FCC -</w:t>
      </w:r>
    </w:p>
    <w:p w:rsidR="006432BF" w:rsidRPr="00DF4B1F" w:rsidRDefault="00907E32" w:rsidP="00045A60">
      <w:pPr>
        <w:jc w:val="center"/>
        <w:rPr>
          <w:b/>
          <w:szCs w:val="22"/>
        </w:rPr>
      </w:pPr>
      <w:r w:rsidRPr="00DF4B1F">
        <w:rPr>
          <w:b/>
          <w:szCs w:val="22"/>
        </w:rPr>
        <w:t>ATTACHMENT</w:t>
      </w:r>
    </w:p>
    <w:p w:rsidR="006432BF" w:rsidRPr="00FF77C9" w:rsidRDefault="006432BF" w:rsidP="00A151C5">
      <w:pPr>
        <w:rPr>
          <w:b/>
          <w:sz w:val="24"/>
          <w:szCs w:val="24"/>
        </w:rPr>
      </w:pPr>
    </w:p>
    <w:p w:rsidR="00DF4B1F" w:rsidRDefault="00DF4B1F" w:rsidP="00DF4B1F">
      <w:pPr>
        <w:jc w:val="center"/>
        <w:rPr>
          <w:b/>
          <w:sz w:val="24"/>
          <w:szCs w:val="24"/>
        </w:rPr>
      </w:pPr>
      <w:r w:rsidRPr="006E3382">
        <w:rPr>
          <w:b/>
          <w:sz w:val="24"/>
          <w:szCs w:val="24"/>
        </w:rPr>
        <w:t>Schools and Libraries Universal Service Support Mechanism – Eligible Services List</w:t>
      </w:r>
    </w:p>
    <w:p w:rsidR="00DF4B1F" w:rsidRPr="006E3382" w:rsidRDefault="00DF4B1F" w:rsidP="00DF4B1F">
      <w:pPr>
        <w:jc w:val="center"/>
        <w:rPr>
          <w:b/>
          <w:sz w:val="24"/>
          <w:szCs w:val="24"/>
        </w:rPr>
      </w:pPr>
      <w:r>
        <w:rPr>
          <w:b/>
          <w:sz w:val="24"/>
          <w:szCs w:val="24"/>
        </w:rPr>
        <w:t>(DRAFT)</w:t>
      </w:r>
    </w:p>
    <w:p w:rsidR="00DF4B1F" w:rsidRPr="006E3382" w:rsidRDefault="00DF4B1F" w:rsidP="00DF4B1F">
      <w:pPr>
        <w:jc w:val="center"/>
        <w:rPr>
          <w:szCs w:val="22"/>
          <w:u w:val="single"/>
        </w:rPr>
      </w:pPr>
    </w:p>
    <w:p w:rsidR="00DF4B1F" w:rsidRPr="006E3382" w:rsidRDefault="00DF4B1F" w:rsidP="00DF4B1F">
      <w:pPr>
        <w:jc w:val="center"/>
        <w:rPr>
          <w:bCs/>
          <w:szCs w:val="22"/>
        </w:rPr>
      </w:pPr>
      <w:r>
        <w:rPr>
          <w:bCs/>
          <w:szCs w:val="22"/>
        </w:rPr>
        <w:t>(W</w:t>
      </w:r>
      <w:r w:rsidRPr="006E3382">
        <w:rPr>
          <w:bCs/>
          <w:szCs w:val="22"/>
        </w:rPr>
        <w:t xml:space="preserve">C Docket No. </w:t>
      </w:r>
      <w:r>
        <w:rPr>
          <w:bCs/>
          <w:szCs w:val="22"/>
        </w:rPr>
        <w:t>13-184</w:t>
      </w:r>
      <w:r w:rsidRPr="006E3382">
        <w:rPr>
          <w:bCs/>
          <w:szCs w:val="22"/>
        </w:rPr>
        <w:t>)</w:t>
      </w:r>
    </w:p>
    <w:p w:rsidR="00DF4B1F" w:rsidRPr="006E3382" w:rsidRDefault="00DF4B1F" w:rsidP="00DF4B1F">
      <w:pPr>
        <w:jc w:val="both"/>
        <w:rPr>
          <w:bCs/>
          <w:szCs w:val="22"/>
        </w:rPr>
      </w:pPr>
    </w:p>
    <w:p w:rsidR="00DF4B1F" w:rsidRPr="006E3382" w:rsidRDefault="00DF4B1F" w:rsidP="00DF4B1F">
      <w:pPr>
        <w:rPr>
          <w:szCs w:val="22"/>
        </w:rPr>
      </w:pPr>
      <w:r w:rsidRPr="006E3382">
        <w:rPr>
          <w:szCs w:val="22"/>
        </w:rPr>
        <w:t xml:space="preserve">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w:t>
      </w:r>
      <w:r>
        <w:rPr>
          <w:szCs w:val="22"/>
        </w:rPr>
        <w:t xml:space="preserve"> E</w:t>
      </w:r>
      <w:r w:rsidRPr="006E3382">
        <w:rPr>
          <w:szCs w:val="22"/>
        </w:rPr>
        <w:t>ligible schools and libraries may seek E-rate support for eligible Category One telecommunications services, telecommunications, and Internet access and Category Two internal connections, basic maintenance, and managed internal broadband services</w:t>
      </w:r>
      <w:r>
        <w:rPr>
          <w:szCs w:val="22"/>
        </w:rPr>
        <w:t xml:space="preserve"> as identified herein</w:t>
      </w:r>
      <w:r w:rsidRPr="006E3382" w:rsidDel="00907FA5">
        <w:rPr>
          <w:snapToGrid w:val="0"/>
          <w:szCs w:val="22"/>
        </w:rPr>
        <w:t xml:space="preserve">.  </w:t>
      </w:r>
      <w:r w:rsidRPr="006E3382">
        <w:rPr>
          <w:snapToGrid w:val="0"/>
          <w:szCs w:val="22"/>
        </w:rPr>
        <w:t>47 C.F.R. §§ 54.5, 54.500, and 54.502(a).</w:t>
      </w:r>
      <w:r w:rsidRPr="006E3382">
        <w:rPr>
          <w:szCs w:val="22"/>
        </w:rPr>
        <w:t xml:space="preserve">  </w:t>
      </w:r>
    </w:p>
    <w:p w:rsidR="00DF4B1F" w:rsidRPr="006E3382" w:rsidRDefault="00DF4B1F" w:rsidP="00DF4B1F">
      <w:pPr>
        <w:tabs>
          <w:tab w:val="left" w:pos="5943"/>
        </w:tabs>
        <w:rPr>
          <w:szCs w:val="22"/>
        </w:rPr>
      </w:pPr>
      <w:r>
        <w:rPr>
          <w:szCs w:val="22"/>
        </w:rPr>
        <w:tab/>
      </w:r>
    </w:p>
    <w:p w:rsidR="00DF4B1F" w:rsidRDefault="00DF4B1F" w:rsidP="00DF4B1F">
      <w:pPr>
        <w:rPr>
          <w:szCs w:val="22"/>
        </w:rPr>
      </w:pPr>
      <w:r w:rsidRPr="006E3382">
        <w:rPr>
          <w:szCs w:val="22"/>
        </w:rPr>
        <w:t xml:space="preserve">Additional guidance from USAC about the E-rate application process and about eligible services, including a glossary of terms, is available at USAC’s website at </w:t>
      </w:r>
      <w:r w:rsidRPr="006E3382">
        <w:rPr>
          <w:color w:val="0000FF"/>
          <w:szCs w:val="22"/>
          <w:u w:val="single"/>
        </w:rPr>
        <w:t>http://www.usac.org/sl/</w:t>
      </w:r>
      <w:r w:rsidRPr="006E3382">
        <w:rPr>
          <w:szCs w:val="22"/>
        </w:rPr>
        <w:t>.  Th</w:t>
      </w:r>
      <w:r>
        <w:rPr>
          <w:szCs w:val="22"/>
        </w:rPr>
        <w:t>e</w:t>
      </w:r>
      <w:r w:rsidRPr="006E3382">
        <w:rPr>
          <w:szCs w:val="22"/>
        </w:rPr>
        <w:t xml:space="preserv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dated</w:t>
      </w:r>
      <w:r>
        <w:rPr>
          <w:szCs w:val="22"/>
        </w:rPr>
        <w:t xml:space="preserve"> [[Month XX, 2015]],</w:t>
      </w:r>
      <w:r w:rsidRPr="006E3382">
        <w:rPr>
          <w:szCs w:val="22"/>
        </w:rPr>
        <w:t xml:space="preserve"> implements changes adopted in the </w:t>
      </w:r>
      <w:r w:rsidRPr="006E3382">
        <w:rPr>
          <w:i/>
          <w:szCs w:val="22"/>
        </w:rPr>
        <w:t xml:space="preserve">E-rate Modernization Order </w:t>
      </w:r>
      <w:r w:rsidRPr="006E3382">
        <w:rPr>
          <w:szCs w:val="22"/>
        </w:rPr>
        <w:t>(FCC 14-99)</w:t>
      </w:r>
      <w:r>
        <w:rPr>
          <w:szCs w:val="22"/>
        </w:rPr>
        <w:t xml:space="preserve"> and in the </w:t>
      </w:r>
      <w:r>
        <w:rPr>
          <w:i/>
          <w:szCs w:val="22"/>
        </w:rPr>
        <w:t>S</w:t>
      </w:r>
      <w:r w:rsidRPr="001F0C66">
        <w:rPr>
          <w:i/>
          <w:szCs w:val="22"/>
        </w:rPr>
        <w:t xml:space="preserve">econd </w:t>
      </w:r>
      <w:r>
        <w:rPr>
          <w:i/>
          <w:szCs w:val="22"/>
        </w:rPr>
        <w:t xml:space="preserve">E-rate </w:t>
      </w:r>
      <w:r w:rsidRPr="001F0C66">
        <w:rPr>
          <w:i/>
          <w:szCs w:val="22"/>
        </w:rPr>
        <w:t>Modernization Order</w:t>
      </w:r>
      <w:r>
        <w:rPr>
          <w:szCs w:val="22"/>
        </w:rPr>
        <w:t xml:space="preserve"> (FCC 14-189)</w:t>
      </w:r>
      <w:r w:rsidRPr="006E3382">
        <w:rPr>
          <w:szCs w:val="22"/>
        </w:rPr>
        <w:t>, and therefore represents a change from prior funding years.  This ESL applies to funding requests for Funding Year 201</w:t>
      </w:r>
      <w:r>
        <w:rPr>
          <w:szCs w:val="22"/>
        </w:rPr>
        <w:t>6</w:t>
      </w:r>
      <w:r w:rsidRPr="006E3382">
        <w:rPr>
          <w:szCs w:val="22"/>
        </w:rPr>
        <w:t>.</w:t>
      </w: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Default="00DF4B1F" w:rsidP="00DF4B1F">
      <w:pPr>
        <w:rPr>
          <w:szCs w:val="22"/>
        </w:rPr>
      </w:pPr>
    </w:p>
    <w:p w:rsidR="00DF4B1F" w:rsidRPr="00DF4B1F" w:rsidRDefault="00DF4B1F" w:rsidP="00DF4B1F">
      <w:pPr>
        <w:spacing w:after="120"/>
        <w:rPr>
          <w:b/>
          <w:szCs w:val="22"/>
          <w:u w:val="single"/>
        </w:rPr>
      </w:pPr>
      <w:r w:rsidRPr="006E3382">
        <w:rPr>
          <w:b/>
          <w:u w:val="single"/>
        </w:rPr>
        <w:t>Category One</w:t>
      </w:r>
    </w:p>
    <w:p w:rsidR="00DF4B1F" w:rsidRPr="006E3382" w:rsidRDefault="00DF4B1F" w:rsidP="00DF4B1F">
      <w:pPr>
        <w:rPr>
          <w:bCs/>
        </w:rPr>
      </w:pPr>
      <w:r w:rsidRPr="006E3382">
        <w:rPr>
          <w:szCs w:val="22"/>
        </w:rPr>
        <w:t xml:space="preserve">The first category of supported services, Category One, includes the services needed to support broadband connectivity to schools and libraries.  </w:t>
      </w:r>
      <w:r w:rsidRPr="006E3382">
        <w:t>Category One lists the telecommunications services, telecommunications, and Internet access for which E-rate applicants may seek discounts.  Eligible Category One services are listed in the entries for digital transmission services and Internet access, and voice services</w:t>
      </w:r>
      <w:r w:rsidRPr="006E3382">
        <w:rPr>
          <w:bCs/>
        </w:rPr>
        <w:t xml:space="preserve">.  This category consists of the services that provide broadband to eligible locations including data links that connect multiple points, services used to </w:t>
      </w:r>
      <w:r w:rsidRPr="006E3382">
        <w:t>connect eligible locations to the Internet, and services that provide basic conduit access to the Internet.  M</w:t>
      </w:r>
      <w:r w:rsidRPr="006E3382">
        <w:rPr>
          <w:bCs/>
        </w:rPr>
        <w:t xml:space="preserve">aintenance and technical support appropriate to maintain reliable operation are eligible for support when provided as a component of these services.  Voice services, as described below, </w:t>
      </w:r>
      <w:r w:rsidRPr="006E3382">
        <w:t xml:space="preserve">are subject to a phase down of support beginning in </w:t>
      </w:r>
      <w:r>
        <w:t>F</w:t>
      </w:r>
      <w:r w:rsidRPr="006E3382">
        <w:t xml:space="preserve">unding </w:t>
      </w:r>
      <w:r>
        <w:t>Y</w:t>
      </w:r>
      <w:r w:rsidRPr="006E3382">
        <w:t xml:space="preserve">ear </w:t>
      </w:r>
      <w:r>
        <w:t xml:space="preserve">(FY) </w:t>
      </w:r>
      <w:r w:rsidRPr="006E3382">
        <w:t xml:space="preserve">2015.  </w:t>
      </w:r>
    </w:p>
    <w:p w:rsidR="00DF4B1F" w:rsidRPr="006E3382" w:rsidRDefault="00DF4B1F" w:rsidP="00DF4B1F">
      <w:pPr>
        <w:jc w:val="both"/>
        <w:rPr>
          <w:bCs/>
        </w:rPr>
      </w:pPr>
      <w:r w:rsidRPr="006E3382">
        <w:rPr>
          <w:bCs/>
        </w:rPr>
        <w:tab/>
      </w:r>
    </w:p>
    <w:tbl>
      <w:tblPr>
        <w:tblStyle w:val="TableGrid1"/>
        <w:tblW w:w="0" w:type="auto"/>
        <w:jc w:val="center"/>
        <w:tblInd w:w="780" w:type="dxa"/>
        <w:tblLook w:val="04A0" w:firstRow="1" w:lastRow="0" w:firstColumn="1" w:lastColumn="0" w:noHBand="0" w:noVBand="1"/>
      </w:tblPr>
      <w:tblGrid>
        <w:gridCol w:w="5868"/>
      </w:tblGrid>
      <w:tr w:rsidR="00DF4B1F" w:rsidRPr="006E3382" w:rsidTr="00901FB6">
        <w:trPr>
          <w:jc w:val="center"/>
        </w:trPr>
        <w:tc>
          <w:tcPr>
            <w:tcW w:w="5868" w:type="dxa"/>
          </w:tcPr>
          <w:p w:rsidR="00DF4B1F" w:rsidRDefault="00DF4B1F" w:rsidP="00DF4B1F">
            <w:pPr>
              <w:jc w:val="center"/>
              <w:rPr>
                <w:b/>
                <w:szCs w:val="22"/>
              </w:rPr>
            </w:pPr>
            <w:r w:rsidRPr="006E3382">
              <w:rPr>
                <w:b/>
                <w:szCs w:val="22"/>
              </w:rPr>
              <w:t>D</w:t>
            </w:r>
            <w:r>
              <w:rPr>
                <w:b/>
                <w:szCs w:val="22"/>
              </w:rPr>
              <w:t>igital</w:t>
            </w:r>
            <w:r w:rsidRPr="006E3382">
              <w:rPr>
                <w:b/>
                <w:szCs w:val="22"/>
              </w:rPr>
              <w:t xml:space="preserve"> transmission services and Internet access.</w:t>
            </w:r>
          </w:p>
          <w:p w:rsidR="00DF4B1F" w:rsidRPr="006E3382" w:rsidRDefault="00DF4B1F" w:rsidP="00DF4B1F">
            <w:pPr>
              <w:jc w:val="center"/>
              <w:rPr>
                <w:b/>
                <w:szCs w:val="22"/>
              </w:rPr>
            </w:pPr>
          </w:p>
          <w:p w:rsidR="00DF4B1F" w:rsidRPr="006E3382" w:rsidRDefault="00DF4B1F" w:rsidP="00901FB6">
            <w:pPr>
              <w:jc w:val="both"/>
              <w:rPr>
                <w:szCs w:val="22"/>
              </w:rPr>
            </w:pPr>
            <w:r w:rsidRPr="006E3382">
              <w:rPr>
                <w:szCs w:val="22"/>
              </w:rPr>
              <w:t>D</w:t>
            </w:r>
            <w:r>
              <w:rPr>
                <w:szCs w:val="22"/>
              </w:rPr>
              <w:t>igital</w:t>
            </w:r>
            <w:r w:rsidRPr="006E3382">
              <w:rPr>
                <w:szCs w:val="22"/>
              </w:rPr>
              <w:t xml:space="preserve"> transmission services and Internet access are eligible in Category One.  These services include:</w:t>
            </w:r>
          </w:p>
          <w:p w:rsidR="00DF4B1F" w:rsidRPr="006E3382" w:rsidRDefault="00DF4B1F" w:rsidP="00DF4B1F">
            <w:pPr>
              <w:numPr>
                <w:ilvl w:val="0"/>
                <w:numId w:val="23"/>
              </w:numPr>
              <w:contextualSpacing/>
              <w:jc w:val="both"/>
              <w:rPr>
                <w:szCs w:val="22"/>
              </w:rPr>
            </w:pPr>
            <w:r w:rsidRPr="006E3382">
              <w:rPr>
                <w:szCs w:val="22"/>
              </w:rPr>
              <w:t xml:space="preserve">Asynchronous Transfer Mode (ATM) </w:t>
            </w:r>
          </w:p>
          <w:p w:rsidR="00DF4B1F" w:rsidRPr="006E3382" w:rsidRDefault="00DF4B1F" w:rsidP="00DF4B1F">
            <w:pPr>
              <w:numPr>
                <w:ilvl w:val="0"/>
                <w:numId w:val="23"/>
              </w:numPr>
              <w:contextualSpacing/>
              <w:jc w:val="both"/>
              <w:rPr>
                <w:szCs w:val="22"/>
              </w:rPr>
            </w:pPr>
            <w:r w:rsidRPr="006E3382">
              <w:rPr>
                <w:szCs w:val="22"/>
              </w:rPr>
              <w:t xml:space="preserve">Broadband over Power Lines </w:t>
            </w:r>
          </w:p>
          <w:p w:rsidR="00DF4B1F" w:rsidRPr="006E3382" w:rsidRDefault="00DF4B1F" w:rsidP="00DF4B1F">
            <w:pPr>
              <w:numPr>
                <w:ilvl w:val="0"/>
                <w:numId w:val="23"/>
              </w:numPr>
              <w:contextualSpacing/>
              <w:jc w:val="both"/>
              <w:rPr>
                <w:szCs w:val="22"/>
              </w:rPr>
            </w:pPr>
            <w:r w:rsidRPr="006E3382">
              <w:rPr>
                <w:szCs w:val="22"/>
              </w:rPr>
              <w:t>Cable Modem</w:t>
            </w:r>
          </w:p>
          <w:p w:rsidR="00DF4B1F" w:rsidRPr="006E3382" w:rsidRDefault="00DF4B1F" w:rsidP="00DF4B1F">
            <w:pPr>
              <w:numPr>
                <w:ilvl w:val="0"/>
                <w:numId w:val="23"/>
              </w:numPr>
              <w:contextualSpacing/>
              <w:jc w:val="both"/>
              <w:rPr>
                <w:szCs w:val="22"/>
              </w:rPr>
            </w:pPr>
            <w:r w:rsidRPr="006E3382">
              <w:rPr>
                <w:szCs w:val="22"/>
              </w:rPr>
              <w:t>Digital Subscriber Line (DSL)</w:t>
            </w:r>
          </w:p>
          <w:p w:rsidR="00DF4B1F" w:rsidRPr="006E3382" w:rsidRDefault="00DF4B1F" w:rsidP="00DF4B1F">
            <w:pPr>
              <w:numPr>
                <w:ilvl w:val="0"/>
                <w:numId w:val="23"/>
              </w:numPr>
              <w:contextualSpacing/>
              <w:jc w:val="both"/>
              <w:rPr>
                <w:szCs w:val="22"/>
              </w:rPr>
            </w:pPr>
            <w:r w:rsidRPr="006E3382">
              <w:rPr>
                <w:szCs w:val="22"/>
              </w:rPr>
              <w:t>DS-1 (T-1), DS-3 (T-3), and Fractional T-1 or T-3</w:t>
            </w:r>
          </w:p>
          <w:p w:rsidR="00DF4B1F" w:rsidRPr="006E3382" w:rsidRDefault="00DF4B1F" w:rsidP="00DF4B1F">
            <w:pPr>
              <w:numPr>
                <w:ilvl w:val="0"/>
                <w:numId w:val="23"/>
              </w:numPr>
              <w:contextualSpacing/>
              <w:jc w:val="both"/>
              <w:rPr>
                <w:szCs w:val="22"/>
              </w:rPr>
            </w:pPr>
            <w:r w:rsidRPr="006E3382">
              <w:rPr>
                <w:szCs w:val="22"/>
              </w:rPr>
              <w:t xml:space="preserve">Ethernet </w:t>
            </w:r>
          </w:p>
          <w:p w:rsidR="00DF4B1F" w:rsidRDefault="00DF4B1F" w:rsidP="00DF4B1F">
            <w:pPr>
              <w:numPr>
                <w:ilvl w:val="0"/>
                <w:numId w:val="23"/>
              </w:numPr>
              <w:contextualSpacing/>
              <w:jc w:val="both"/>
              <w:rPr>
                <w:szCs w:val="22"/>
              </w:rPr>
            </w:pPr>
            <w:r w:rsidRPr="006E3382">
              <w:rPr>
                <w:szCs w:val="22"/>
              </w:rPr>
              <w:t>Integrated Services Digital Network</w:t>
            </w:r>
            <w:r>
              <w:rPr>
                <w:szCs w:val="22"/>
              </w:rPr>
              <w:t xml:space="preserve"> (ISDN)</w:t>
            </w:r>
          </w:p>
          <w:p w:rsidR="00DF4B1F" w:rsidRDefault="00DF4B1F" w:rsidP="00DF4B1F">
            <w:pPr>
              <w:numPr>
                <w:ilvl w:val="0"/>
                <w:numId w:val="23"/>
              </w:numPr>
              <w:contextualSpacing/>
              <w:jc w:val="both"/>
              <w:rPr>
                <w:szCs w:val="22"/>
              </w:rPr>
            </w:pPr>
            <w:r>
              <w:rPr>
                <w:szCs w:val="22"/>
              </w:rPr>
              <w:t>Leased Lit Fiber</w:t>
            </w:r>
          </w:p>
          <w:p w:rsidR="00DF4B1F" w:rsidRDefault="00DF4B1F" w:rsidP="00DF4B1F">
            <w:pPr>
              <w:numPr>
                <w:ilvl w:val="0"/>
                <w:numId w:val="23"/>
              </w:numPr>
              <w:contextualSpacing/>
              <w:jc w:val="both"/>
              <w:rPr>
                <w:szCs w:val="22"/>
              </w:rPr>
            </w:pPr>
            <w:r>
              <w:rPr>
                <w:szCs w:val="22"/>
              </w:rPr>
              <w:t>Dark Fiber</w:t>
            </w:r>
          </w:p>
          <w:p w:rsidR="00DF4B1F" w:rsidRPr="006E3382" w:rsidRDefault="00DF4B1F" w:rsidP="00DF4B1F">
            <w:pPr>
              <w:numPr>
                <w:ilvl w:val="0"/>
                <w:numId w:val="23"/>
              </w:numPr>
              <w:contextualSpacing/>
              <w:jc w:val="both"/>
              <w:rPr>
                <w:szCs w:val="22"/>
              </w:rPr>
            </w:pPr>
            <w:r>
              <w:rPr>
                <w:szCs w:val="22"/>
              </w:rPr>
              <w:t>Self-Provisioned Broadband Networks</w:t>
            </w:r>
          </w:p>
          <w:p w:rsidR="00DF4B1F" w:rsidRPr="006E3382" w:rsidRDefault="00DF4B1F" w:rsidP="00DF4B1F">
            <w:pPr>
              <w:numPr>
                <w:ilvl w:val="0"/>
                <w:numId w:val="23"/>
              </w:numPr>
              <w:contextualSpacing/>
              <w:jc w:val="both"/>
              <w:rPr>
                <w:szCs w:val="22"/>
              </w:rPr>
            </w:pPr>
            <w:r w:rsidRPr="006E3382">
              <w:rPr>
                <w:szCs w:val="22"/>
              </w:rPr>
              <w:t xml:space="preserve">Frame Relay </w:t>
            </w:r>
          </w:p>
          <w:p w:rsidR="00DF4B1F" w:rsidRPr="006E3382" w:rsidRDefault="00DF4B1F" w:rsidP="00DF4B1F">
            <w:pPr>
              <w:numPr>
                <w:ilvl w:val="0"/>
                <w:numId w:val="23"/>
              </w:numPr>
              <w:contextualSpacing/>
              <w:jc w:val="both"/>
              <w:rPr>
                <w:szCs w:val="22"/>
              </w:rPr>
            </w:pPr>
            <w:r w:rsidRPr="006E3382">
              <w:rPr>
                <w:szCs w:val="22"/>
              </w:rPr>
              <w:t xml:space="preserve">Multi-Protocol Label Switching (MPLS) </w:t>
            </w:r>
          </w:p>
          <w:p w:rsidR="00DF4B1F" w:rsidRPr="006E3382" w:rsidRDefault="00DF4B1F" w:rsidP="00DF4B1F">
            <w:pPr>
              <w:numPr>
                <w:ilvl w:val="0"/>
                <w:numId w:val="23"/>
              </w:numPr>
              <w:contextualSpacing/>
              <w:jc w:val="both"/>
              <w:rPr>
                <w:szCs w:val="22"/>
              </w:rPr>
            </w:pPr>
            <w:r w:rsidRPr="006E3382">
              <w:rPr>
                <w:szCs w:val="22"/>
              </w:rPr>
              <w:t xml:space="preserve">OC-1, OC-3, OC-12, OC-n </w:t>
            </w:r>
          </w:p>
          <w:p w:rsidR="00DF4B1F" w:rsidRPr="006E3382" w:rsidRDefault="00DF4B1F" w:rsidP="00DF4B1F">
            <w:pPr>
              <w:numPr>
                <w:ilvl w:val="0"/>
                <w:numId w:val="23"/>
              </w:numPr>
              <w:contextualSpacing/>
              <w:jc w:val="both"/>
              <w:rPr>
                <w:szCs w:val="22"/>
              </w:rPr>
            </w:pPr>
            <w:r w:rsidRPr="006E3382">
              <w:rPr>
                <w:szCs w:val="22"/>
              </w:rPr>
              <w:t xml:space="preserve">Satellite Service </w:t>
            </w:r>
          </w:p>
          <w:p w:rsidR="00DF4B1F" w:rsidRPr="006E3382" w:rsidRDefault="00DF4B1F" w:rsidP="00DF4B1F">
            <w:pPr>
              <w:numPr>
                <w:ilvl w:val="0"/>
                <w:numId w:val="23"/>
              </w:numPr>
              <w:contextualSpacing/>
              <w:jc w:val="both"/>
              <w:rPr>
                <w:szCs w:val="22"/>
              </w:rPr>
            </w:pPr>
            <w:r w:rsidRPr="006E3382">
              <w:rPr>
                <w:szCs w:val="22"/>
              </w:rPr>
              <w:t xml:space="preserve">Switched Multimegabit Data Service </w:t>
            </w:r>
          </w:p>
          <w:p w:rsidR="00DF4B1F" w:rsidRPr="006E3382" w:rsidRDefault="00DF4B1F" w:rsidP="00DF4B1F">
            <w:pPr>
              <w:numPr>
                <w:ilvl w:val="0"/>
                <w:numId w:val="23"/>
              </w:numPr>
              <w:contextualSpacing/>
              <w:jc w:val="both"/>
              <w:rPr>
                <w:szCs w:val="22"/>
              </w:rPr>
            </w:pPr>
            <w:r w:rsidRPr="006E3382">
              <w:rPr>
                <w:szCs w:val="22"/>
              </w:rPr>
              <w:t>Telephone dial-up</w:t>
            </w:r>
          </w:p>
          <w:p w:rsidR="00DF4B1F" w:rsidRDefault="00DF4B1F" w:rsidP="00DF4B1F">
            <w:pPr>
              <w:numPr>
                <w:ilvl w:val="0"/>
                <w:numId w:val="23"/>
              </w:numPr>
              <w:spacing w:after="120"/>
              <w:contextualSpacing/>
              <w:jc w:val="both"/>
              <w:rPr>
                <w:szCs w:val="22"/>
              </w:rPr>
            </w:pPr>
            <w:r w:rsidRPr="006E3382">
              <w:rPr>
                <w:szCs w:val="22"/>
              </w:rPr>
              <w:t>Wireless services (e.g., microwave)</w:t>
            </w:r>
          </w:p>
          <w:p w:rsidR="00DF4B1F" w:rsidRPr="00DF4B1F" w:rsidRDefault="00DF4B1F" w:rsidP="00DF4B1F">
            <w:pPr>
              <w:spacing w:after="120"/>
              <w:ind w:left="360"/>
              <w:contextualSpacing/>
              <w:jc w:val="both"/>
              <w:rPr>
                <w:sz w:val="12"/>
                <w:szCs w:val="12"/>
              </w:rPr>
            </w:pPr>
          </w:p>
          <w:p w:rsidR="00DF4B1F" w:rsidRDefault="00DF4B1F" w:rsidP="00901FB6">
            <w:pPr>
              <w:contextualSpacing/>
              <w:jc w:val="both"/>
              <w:rPr>
                <w:bCs/>
                <w:szCs w:val="22"/>
              </w:rPr>
            </w:pPr>
            <w:r w:rsidRPr="00054440">
              <w:rPr>
                <w:bCs/>
                <w:i/>
                <w:szCs w:val="22"/>
              </w:rPr>
              <w:t>Notes</w:t>
            </w:r>
            <w:r>
              <w:rPr>
                <w:bCs/>
                <w:szCs w:val="22"/>
              </w:rPr>
              <w:t xml:space="preserve">: (1) </w:t>
            </w:r>
            <w:r w:rsidRPr="004015EF">
              <w:rPr>
                <w:bCs/>
                <w:szCs w:val="22"/>
              </w:rPr>
              <w:t xml:space="preserve">E-rate support is available for leased lit fiber, dark fiber, and self-provisioned </w:t>
            </w:r>
            <w:r>
              <w:rPr>
                <w:bCs/>
                <w:szCs w:val="22"/>
              </w:rPr>
              <w:t>broadband networks</w:t>
            </w:r>
            <w:r w:rsidRPr="004015EF">
              <w:rPr>
                <w:bCs/>
                <w:szCs w:val="22"/>
              </w:rPr>
              <w:t xml:space="preserve"> as described in the </w:t>
            </w:r>
            <w:r w:rsidRPr="00450E71">
              <w:rPr>
                <w:bCs/>
                <w:i/>
                <w:szCs w:val="22"/>
              </w:rPr>
              <w:t>Second E-rate Modernization Order</w:t>
            </w:r>
            <w:r w:rsidRPr="004015EF">
              <w:rPr>
                <w:bCs/>
                <w:szCs w:val="22"/>
              </w:rPr>
              <w:t xml:space="preserve"> (FCC 14-189).  Eligible </w:t>
            </w:r>
            <w:r>
              <w:rPr>
                <w:bCs/>
                <w:szCs w:val="22"/>
              </w:rPr>
              <w:t>costs</w:t>
            </w:r>
            <w:r w:rsidRPr="004015EF">
              <w:rPr>
                <w:bCs/>
                <w:szCs w:val="22"/>
              </w:rPr>
              <w:t xml:space="preserve"> include monthly charges, special construction, modulating electronics, equipment necessary to make a broadband service functional, and maintenance and operation charges.  All equipment and services, including maintenance and operation, must be competitively bid.  </w:t>
            </w:r>
          </w:p>
          <w:p w:rsidR="00DF4B1F" w:rsidRPr="00DF4B1F" w:rsidRDefault="00DF4B1F" w:rsidP="00901FB6">
            <w:pPr>
              <w:contextualSpacing/>
              <w:jc w:val="both"/>
              <w:rPr>
                <w:bCs/>
                <w:sz w:val="12"/>
                <w:szCs w:val="12"/>
              </w:rPr>
            </w:pPr>
          </w:p>
          <w:p w:rsidR="00DF4B1F" w:rsidRDefault="00DF4B1F" w:rsidP="00901FB6">
            <w:pPr>
              <w:contextualSpacing/>
              <w:jc w:val="both"/>
              <w:rPr>
                <w:bCs/>
                <w:szCs w:val="22"/>
              </w:rPr>
            </w:pPr>
            <w:r>
              <w:rPr>
                <w:bCs/>
                <w:szCs w:val="22"/>
              </w:rPr>
              <w:t>(2) Applicants may seek s</w:t>
            </w:r>
            <w:r w:rsidRPr="00054440">
              <w:rPr>
                <w:bCs/>
                <w:szCs w:val="22"/>
              </w:rPr>
              <w:t>pecial</w:t>
            </w:r>
            <w:r>
              <w:rPr>
                <w:bCs/>
                <w:szCs w:val="22"/>
              </w:rPr>
              <w:t xml:space="preserve"> construction funding for the upfront, non-recurring costs of deployment of new or upgraded facilities, including design and engineering, project management, and construction of network facilities.</w:t>
            </w:r>
          </w:p>
          <w:p w:rsidR="00DF4B1F" w:rsidRPr="00DF4B1F" w:rsidRDefault="00DF4B1F" w:rsidP="00901FB6">
            <w:pPr>
              <w:contextualSpacing/>
              <w:jc w:val="both"/>
              <w:rPr>
                <w:bCs/>
                <w:sz w:val="12"/>
                <w:szCs w:val="12"/>
              </w:rPr>
            </w:pPr>
          </w:p>
          <w:p w:rsidR="00DF4B1F" w:rsidRPr="00DF4B1F" w:rsidRDefault="00DF4B1F" w:rsidP="00901FB6">
            <w:pPr>
              <w:contextualSpacing/>
              <w:jc w:val="both"/>
              <w:rPr>
                <w:bCs/>
                <w:szCs w:val="22"/>
              </w:rPr>
            </w:pPr>
            <w:r>
              <w:rPr>
                <w:bCs/>
                <w:szCs w:val="22"/>
              </w:rPr>
              <w:t xml:space="preserve">(3) </w:t>
            </w:r>
            <w:r w:rsidRPr="004015EF">
              <w:rPr>
                <w:bCs/>
                <w:szCs w:val="22"/>
              </w:rPr>
              <w:t xml:space="preserve">Staff salaries and labor costs for personnel </w:t>
            </w:r>
            <w:r>
              <w:rPr>
                <w:bCs/>
                <w:szCs w:val="22"/>
              </w:rPr>
              <w:t xml:space="preserve">of the applicant or underlying beneficiary </w:t>
            </w:r>
            <w:r w:rsidRPr="004015EF">
              <w:rPr>
                <w:bCs/>
                <w:szCs w:val="22"/>
              </w:rPr>
              <w:t>are not E-rate eligible</w:t>
            </w:r>
            <w:r>
              <w:rPr>
                <w:bCs/>
                <w:szCs w:val="22"/>
              </w:rPr>
              <w:t>.</w:t>
            </w:r>
          </w:p>
        </w:tc>
      </w:tr>
    </w:tbl>
    <w:p w:rsidR="00DF4B1F" w:rsidRPr="006E3382" w:rsidRDefault="00DF4B1F" w:rsidP="00DF4B1F">
      <w:pPr>
        <w:spacing w:after="200" w:line="276" w:lineRule="auto"/>
        <w:rPr>
          <w:bCs/>
          <w:szCs w:val="22"/>
          <w:u w:val="single"/>
        </w:rPr>
      </w:pPr>
    </w:p>
    <w:tbl>
      <w:tblPr>
        <w:tblStyle w:val="TableGrid1"/>
        <w:tblW w:w="0" w:type="auto"/>
        <w:jc w:val="center"/>
        <w:tblInd w:w="780" w:type="dxa"/>
        <w:tblLook w:val="04A0" w:firstRow="1" w:lastRow="0" w:firstColumn="1" w:lastColumn="0" w:noHBand="0" w:noVBand="1"/>
      </w:tblPr>
      <w:tblGrid>
        <w:gridCol w:w="5868"/>
      </w:tblGrid>
      <w:tr w:rsidR="00DF4B1F" w:rsidRPr="006E3382" w:rsidTr="00901FB6">
        <w:trPr>
          <w:jc w:val="center"/>
        </w:trPr>
        <w:tc>
          <w:tcPr>
            <w:tcW w:w="5868" w:type="dxa"/>
          </w:tcPr>
          <w:p w:rsidR="00DF4B1F" w:rsidRPr="006E3382" w:rsidRDefault="00DF4B1F" w:rsidP="00901FB6">
            <w:pPr>
              <w:jc w:val="center"/>
              <w:rPr>
                <w:b/>
                <w:szCs w:val="22"/>
              </w:rPr>
            </w:pPr>
            <w:r w:rsidRPr="006E3382">
              <w:rPr>
                <w:bCs/>
                <w:sz w:val="20"/>
              </w:rPr>
              <w:br w:type="page"/>
            </w:r>
            <w:r w:rsidRPr="006E3382">
              <w:rPr>
                <w:b/>
                <w:szCs w:val="22"/>
              </w:rPr>
              <w:t>Eligible voice services.</w:t>
            </w:r>
          </w:p>
          <w:p w:rsidR="00DF4B1F" w:rsidRPr="00DF4B1F" w:rsidRDefault="00DF4B1F" w:rsidP="00901FB6">
            <w:pPr>
              <w:jc w:val="both"/>
              <w:rPr>
                <w:b/>
                <w:szCs w:val="22"/>
              </w:rPr>
            </w:pPr>
          </w:p>
          <w:p w:rsidR="00DF4B1F" w:rsidRPr="006E3382" w:rsidRDefault="00DF4B1F" w:rsidP="00901FB6">
            <w:pPr>
              <w:jc w:val="both"/>
              <w:rPr>
                <w:szCs w:val="22"/>
              </w:rPr>
            </w:pPr>
            <w:r w:rsidRPr="006E3382">
              <w:rPr>
                <w:szCs w:val="22"/>
              </w:rPr>
              <w:t xml:space="preserve">Eligible voice services are subject to an annual 20 percentage point phase down of E-rate support beginning in </w:t>
            </w:r>
            <w:r>
              <w:rPr>
                <w:szCs w:val="22"/>
              </w:rPr>
              <w:t>FY</w:t>
            </w:r>
            <w:r w:rsidRPr="006E3382">
              <w:rPr>
                <w:szCs w:val="22"/>
              </w:rPr>
              <w:t xml:space="preserve"> 2015, as described in the </w:t>
            </w:r>
            <w:r w:rsidRPr="006E3382">
              <w:rPr>
                <w:i/>
                <w:szCs w:val="22"/>
              </w:rPr>
              <w:t>E-rate Modernization Order</w:t>
            </w:r>
            <w:r w:rsidRPr="006E3382">
              <w:rPr>
                <w:szCs w:val="22"/>
              </w:rPr>
              <w:t xml:space="preserve">.  </w:t>
            </w:r>
            <w:r>
              <w:rPr>
                <w:szCs w:val="22"/>
              </w:rPr>
              <w:t xml:space="preserve">For FY 2016, the effective reduced discount rate will be 40 percentage points.  </w:t>
            </w:r>
            <w:r w:rsidRPr="006E3382">
              <w:rPr>
                <w:szCs w:val="22"/>
              </w:rPr>
              <w:t>The reduced discount rate for voice services will apply to all applicants and all costs for the provision of telephone services and circuit capacity dedicated to providing voice services including:</w:t>
            </w:r>
          </w:p>
          <w:p w:rsidR="00DF4B1F" w:rsidRPr="00DF4B1F" w:rsidRDefault="00DF4B1F" w:rsidP="00901FB6">
            <w:pPr>
              <w:jc w:val="both"/>
              <w:rPr>
                <w:szCs w:val="22"/>
              </w:rPr>
            </w:pPr>
          </w:p>
          <w:p w:rsidR="00DF4B1F" w:rsidRPr="006E3382" w:rsidRDefault="00DF4B1F" w:rsidP="00DF4B1F">
            <w:pPr>
              <w:numPr>
                <w:ilvl w:val="0"/>
                <w:numId w:val="24"/>
              </w:numPr>
              <w:contextualSpacing/>
              <w:jc w:val="both"/>
              <w:rPr>
                <w:szCs w:val="22"/>
              </w:rPr>
            </w:pPr>
            <w:r w:rsidRPr="006E3382">
              <w:rPr>
                <w:szCs w:val="22"/>
              </w:rPr>
              <w:t>Centrex</w:t>
            </w:r>
          </w:p>
          <w:p w:rsidR="00DF4B1F" w:rsidRPr="006E3382" w:rsidRDefault="00DF4B1F" w:rsidP="00DF4B1F">
            <w:pPr>
              <w:numPr>
                <w:ilvl w:val="0"/>
                <w:numId w:val="24"/>
              </w:numPr>
              <w:contextualSpacing/>
              <w:jc w:val="both"/>
              <w:rPr>
                <w:szCs w:val="22"/>
              </w:rPr>
            </w:pPr>
            <w:r w:rsidRPr="006E3382">
              <w:rPr>
                <w:szCs w:val="22"/>
              </w:rPr>
              <w:t>Integrated Services Digital Network</w:t>
            </w:r>
            <w:r>
              <w:rPr>
                <w:szCs w:val="22"/>
              </w:rPr>
              <w:t xml:space="preserve"> (ISDN)</w:t>
            </w:r>
          </w:p>
          <w:p w:rsidR="00DF4B1F" w:rsidRPr="006E3382" w:rsidRDefault="00DF4B1F" w:rsidP="00DF4B1F">
            <w:pPr>
              <w:numPr>
                <w:ilvl w:val="0"/>
                <w:numId w:val="24"/>
              </w:numPr>
              <w:contextualSpacing/>
              <w:jc w:val="both"/>
              <w:rPr>
                <w:szCs w:val="22"/>
              </w:rPr>
            </w:pPr>
            <w:r w:rsidRPr="006E3382">
              <w:rPr>
                <w:szCs w:val="22"/>
              </w:rPr>
              <w:t>Interconnected voice over Internet protocol (VoIP)</w:t>
            </w:r>
          </w:p>
          <w:p w:rsidR="00DF4B1F" w:rsidRPr="006E3382" w:rsidRDefault="00DF4B1F" w:rsidP="00DF4B1F">
            <w:pPr>
              <w:numPr>
                <w:ilvl w:val="0"/>
                <w:numId w:val="24"/>
              </w:numPr>
              <w:contextualSpacing/>
              <w:jc w:val="both"/>
              <w:rPr>
                <w:szCs w:val="22"/>
              </w:rPr>
            </w:pPr>
            <w:r w:rsidRPr="006E3382">
              <w:rPr>
                <w:szCs w:val="22"/>
              </w:rPr>
              <w:t>Local, long distance, and 800</w:t>
            </w:r>
            <w:r>
              <w:rPr>
                <w:szCs w:val="22"/>
              </w:rPr>
              <w:t xml:space="preserve"> (toll-free)</w:t>
            </w:r>
            <w:r w:rsidRPr="006E3382">
              <w:rPr>
                <w:szCs w:val="22"/>
              </w:rPr>
              <w:t xml:space="preserve"> service</w:t>
            </w:r>
          </w:p>
          <w:p w:rsidR="00DF4B1F" w:rsidRPr="006E3382" w:rsidRDefault="00DF4B1F" w:rsidP="00DF4B1F">
            <w:pPr>
              <w:numPr>
                <w:ilvl w:val="0"/>
                <w:numId w:val="24"/>
              </w:numPr>
              <w:contextualSpacing/>
              <w:jc w:val="both"/>
              <w:rPr>
                <w:szCs w:val="22"/>
              </w:rPr>
            </w:pPr>
            <w:r w:rsidRPr="006E3382">
              <w:rPr>
                <w:szCs w:val="22"/>
              </w:rPr>
              <w:t>Plain old telephone service (POTS)</w:t>
            </w:r>
          </w:p>
          <w:p w:rsidR="00DF4B1F" w:rsidRPr="006E3382" w:rsidRDefault="00DF4B1F" w:rsidP="00DF4B1F">
            <w:pPr>
              <w:numPr>
                <w:ilvl w:val="0"/>
                <w:numId w:val="24"/>
              </w:numPr>
              <w:contextualSpacing/>
              <w:jc w:val="both"/>
              <w:rPr>
                <w:szCs w:val="22"/>
              </w:rPr>
            </w:pPr>
            <w:r w:rsidRPr="006E3382">
              <w:rPr>
                <w:szCs w:val="22"/>
              </w:rPr>
              <w:t>Radio loop</w:t>
            </w:r>
          </w:p>
          <w:p w:rsidR="00DF4B1F" w:rsidRPr="006E3382" w:rsidRDefault="00DF4B1F" w:rsidP="00DF4B1F">
            <w:pPr>
              <w:numPr>
                <w:ilvl w:val="0"/>
                <w:numId w:val="24"/>
              </w:numPr>
              <w:contextualSpacing/>
              <w:jc w:val="both"/>
              <w:rPr>
                <w:szCs w:val="22"/>
              </w:rPr>
            </w:pPr>
            <w:r w:rsidRPr="006E3382">
              <w:rPr>
                <w:szCs w:val="22"/>
              </w:rPr>
              <w:t xml:space="preserve">Satellite telephone service </w:t>
            </w:r>
          </w:p>
          <w:p w:rsidR="00DF4B1F" w:rsidRPr="006E3382" w:rsidRDefault="00DF4B1F" w:rsidP="00DF4B1F">
            <w:pPr>
              <w:numPr>
                <w:ilvl w:val="0"/>
                <w:numId w:val="24"/>
              </w:numPr>
              <w:contextualSpacing/>
              <w:jc w:val="both"/>
              <w:rPr>
                <w:szCs w:val="22"/>
              </w:rPr>
            </w:pPr>
            <w:r w:rsidRPr="006E3382">
              <w:rPr>
                <w:szCs w:val="22"/>
              </w:rPr>
              <w:t>Shared telephone service (only the portion of the shared services relating to the eligible use and location may receive discounts)</w:t>
            </w:r>
          </w:p>
          <w:p w:rsidR="00DF4B1F" w:rsidRPr="006E3382" w:rsidRDefault="00DF4B1F" w:rsidP="00DF4B1F">
            <w:pPr>
              <w:numPr>
                <w:ilvl w:val="0"/>
                <w:numId w:val="24"/>
              </w:numPr>
              <w:contextualSpacing/>
              <w:jc w:val="both"/>
              <w:rPr>
                <w:sz w:val="20"/>
              </w:rPr>
            </w:pPr>
            <w:r w:rsidRPr="006E3382">
              <w:rPr>
                <w:szCs w:val="22"/>
              </w:rPr>
              <w:t>Wireless telephone service including cellular voice and excluding data and text messaging</w:t>
            </w:r>
          </w:p>
        </w:tc>
      </w:tr>
    </w:tbl>
    <w:p w:rsidR="00DF4B1F" w:rsidRPr="006E3382" w:rsidRDefault="00DF4B1F" w:rsidP="00DF4B1F">
      <w:pPr>
        <w:jc w:val="both"/>
        <w:rPr>
          <w:bCs/>
          <w:szCs w:val="22"/>
          <w:u w:val="single"/>
        </w:rPr>
      </w:pPr>
    </w:p>
    <w:p w:rsidR="00DF4B1F" w:rsidRPr="006E3382" w:rsidRDefault="00DF4B1F" w:rsidP="00DF4B1F">
      <w:pPr>
        <w:jc w:val="both"/>
        <w:rPr>
          <w:szCs w:val="22"/>
        </w:rPr>
      </w:pPr>
      <w:r w:rsidRPr="006E3382" w:rsidDel="00CE5FC4">
        <w:rPr>
          <w:szCs w:val="22"/>
        </w:rPr>
        <w:t xml:space="preserve"> </w:t>
      </w:r>
    </w:p>
    <w:p w:rsidR="00DF4B1F" w:rsidRPr="006E3382" w:rsidRDefault="00DF4B1F" w:rsidP="00DF4B1F">
      <w:pPr>
        <w:spacing w:after="200" w:line="276" w:lineRule="auto"/>
        <w:rPr>
          <w:szCs w:val="22"/>
        </w:rPr>
      </w:pPr>
      <w:r w:rsidRPr="006E3382">
        <w:rPr>
          <w:szCs w:val="22"/>
        </w:rPr>
        <w:br w:type="page"/>
      </w:r>
    </w:p>
    <w:p w:rsidR="00DF4B1F" w:rsidRPr="006E3382" w:rsidRDefault="00DF4B1F" w:rsidP="00DF4B1F">
      <w:pPr>
        <w:jc w:val="center"/>
        <w:rPr>
          <w:b/>
          <w:bCs/>
          <w:szCs w:val="22"/>
        </w:rPr>
      </w:pPr>
      <w:r w:rsidRPr="006E3382">
        <w:rPr>
          <w:b/>
          <w:bCs/>
          <w:szCs w:val="22"/>
        </w:rPr>
        <w:t xml:space="preserve">Eligibility </w:t>
      </w:r>
      <w:r>
        <w:rPr>
          <w:b/>
          <w:bCs/>
          <w:szCs w:val="22"/>
        </w:rPr>
        <w:t>explanations</w:t>
      </w:r>
      <w:r w:rsidRPr="006E3382">
        <w:rPr>
          <w:b/>
          <w:bCs/>
          <w:szCs w:val="22"/>
        </w:rPr>
        <w:t xml:space="preserve"> for certain Category One services:</w:t>
      </w:r>
    </w:p>
    <w:p w:rsidR="00DF4B1F" w:rsidRPr="006E3382" w:rsidRDefault="00DF4B1F" w:rsidP="00DF4B1F">
      <w:pPr>
        <w:jc w:val="both"/>
        <w:rPr>
          <w:b/>
        </w:rPr>
      </w:pPr>
    </w:p>
    <w:tbl>
      <w:tblPr>
        <w:tblStyle w:val="TableGrid1"/>
        <w:tblW w:w="0" w:type="auto"/>
        <w:tblInd w:w="720" w:type="dxa"/>
        <w:tblLook w:val="04A0" w:firstRow="1" w:lastRow="0" w:firstColumn="1" w:lastColumn="0" w:noHBand="0" w:noVBand="1"/>
      </w:tblPr>
      <w:tblGrid>
        <w:gridCol w:w="8856"/>
      </w:tblGrid>
      <w:tr w:rsidR="00DF4B1F" w:rsidRPr="006E3382" w:rsidTr="00901FB6">
        <w:tc>
          <w:tcPr>
            <w:tcW w:w="8856" w:type="dxa"/>
          </w:tcPr>
          <w:p w:rsidR="00DF4B1F" w:rsidRDefault="00DF4B1F" w:rsidP="00901FB6">
            <w:pPr>
              <w:contextualSpacing/>
              <w:jc w:val="both"/>
              <w:rPr>
                <w:szCs w:val="22"/>
              </w:rPr>
            </w:pPr>
            <w:r w:rsidRPr="006E3382">
              <w:rPr>
                <w:b/>
                <w:szCs w:val="22"/>
              </w:rPr>
              <w:t>Internet access</w:t>
            </w:r>
            <w:r w:rsidRPr="006E3382">
              <w:rPr>
                <w:szCs w:val="22"/>
              </w:rPr>
              <w:t xml:space="preserve"> – Eligible Internet access may include features such as basic firewall protection, domain name service, and dynamic host configuration when these features are provided as a standard component of a vendor’s Internet access</w:t>
            </w:r>
            <w:r>
              <w:rPr>
                <w:szCs w:val="22"/>
              </w:rPr>
              <w:t xml:space="preserve"> service</w:t>
            </w:r>
            <w:r w:rsidRPr="006E3382">
              <w:rPr>
                <w:szCs w:val="22"/>
              </w:rPr>
              <w:t xml:space="preserve">.  </w:t>
            </w:r>
            <w:r w:rsidRPr="006E3382">
              <w:rPr>
                <w:color w:val="010101"/>
                <w:szCs w:val="22"/>
              </w:rPr>
              <w:t xml:space="preserve">Firewall protection </w:t>
            </w:r>
            <w:r>
              <w:rPr>
                <w:color w:val="010101"/>
                <w:szCs w:val="22"/>
              </w:rPr>
              <w:t>that is</w:t>
            </w:r>
            <w:r w:rsidRPr="006E3382">
              <w:rPr>
                <w:color w:val="010101"/>
                <w:szCs w:val="22"/>
              </w:rPr>
              <w:t xml:space="preserve"> provided by a vendor other than the Internet access provider </w:t>
            </w:r>
            <w:r>
              <w:rPr>
                <w:color w:val="010101"/>
                <w:szCs w:val="22"/>
              </w:rPr>
              <w:t>or</w:t>
            </w:r>
            <w:r w:rsidRPr="006E3382">
              <w:rPr>
                <w:color w:val="010101"/>
                <w:szCs w:val="22"/>
              </w:rPr>
              <w:t xml:space="preserve"> priced out separately</w:t>
            </w:r>
            <w:r>
              <w:rPr>
                <w:color w:val="010101"/>
                <w:szCs w:val="22"/>
              </w:rPr>
              <w:t xml:space="preserve"> will be considered a Category Two internal connections component</w:t>
            </w:r>
            <w:r w:rsidRPr="006E3382">
              <w:rPr>
                <w:color w:val="010101"/>
                <w:szCs w:val="22"/>
              </w:rPr>
              <w:t xml:space="preserve">. </w:t>
            </w:r>
            <w:r w:rsidRPr="006E3382">
              <w:rPr>
                <w:b/>
                <w:color w:val="010101"/>
                <w:szCs w:val="22"/>
              </w:rPr>
              <w:t xml:space="preserve"> </w:t>
            </w:r>
            <w:r w:rsidRPr="006E3382">
              <w:rPr>
                <w:szCs w:val="22"/>
              </w:rPr>
              <w:t xml:space="preserve">Examples of items that are ineligible components of Internet access include applications, content, e-mail, and </w:t>
            </w:r>
            <w:r>
              <w:rPr>
                <w:szCs w:val="22"/>
              </w:rPr>
              <w:t xml:space="preserve">end-user devices and </w:t>
            </w:r>
            <w:r w:rsidRPr="006E3382">
              <w:rPr>
                <w:szCs w:val="22"/>
              </w:rPr>
              <w:t>equipment such as computers, laptops, tablets.</w:t>
            </w:r>
          </w:p>
          <w:p w:rsidR="00DF4B1F" w:rsidRPr="006E3382" w:rsidRDefault="00DF4B1F" w:rsidP="00901FB6">
            <w:pPr>
              <w:contextualSpacing/>
              <w:jc w:val="both"/>
              <w:rPr>
                <w:bCs/>
                <w:szCs w:val="22"/>
                <w:u w:val="single"/>
              </w:rPr>
            </w:pPr>
          </w:p>
        </w:tc>
      </w:tr>
      <w:tr w:rsidR="00DF4B1F" w:rsidRPr="006E3382" w:rsidTr="00901FB6">
        <w:tc>
          <w:tcPr>
            <w:tcW w:w="8856" w:type="dxa"/>
          </w:tcPr>
          <w:p w:rsidR="00DF4B1F" w:rsidRPr="006E3382" w:rsidRDefault="00DF4B1F" w:rsidP="00901FB6">
            <w:pPr>
              <w:jc w:val="both"/>
              <w:rPr>
                <w:szCs w:val="22"/>
              </w:rPr>
            </w:pPr>
            <w:r w:rsidRPr="006E3382">
              <w:rPr>
                <w:b/>
                <w:szCs w:val="22"/>
              </w:rPr>
              <w:t>Wireless services</w:t>
            </w:r>
            <w:r w:rsidRPr="006E3382">
              <w:rPr>
                <w:szCs w:val="22"/>
              </w:rPr>
              <w:t xml:space="preserve"> </w:t>
            </w:r>
            <w:r w:rsidRPr="006E3382">
              <w:rPr>
                <w:b/>
                <w:szCs w:val="22"/>
              </w:rPr>
              <w:t>and wireless Internet access</w:t>
            </w:r>
            <w:r>
              <w:rPr>
                <w:b/>
                <w:szCs w:val="22"/>
              </w:rPr>
              <w:t xml:space="preserve"> </w:t>
            </w:r>
            <w:r w:rsidRPr="006E3382">
              <w:rPr>
                <w:szCs w:val="22"/>
              </w:rPr>
              <w:t>–</w:t>
            </w:r>
            <w:r>
              <w:rPr>
                <w:szCs w:val="22"/>
              </w:rPr>
              <w:t xml:space="preserve"> As clarified in the </w:t>
            </w:r>
            <w:r w:rsidRPr="003A47F5">
              <w:rPr>
                <w:i/>
                <w:szCs w:val="22"/>
              </w:rPr>
              <w:t>Second E-rate Modernization Order</w:t>
            </w:r>
            <w:r>
              <w:rPr>
                <w:szCs w:val="22"/>
              </w:rPr>
              <w:t>, d</w:t>
            </w:r>
            <w:r w:rsidRPr="006E3382">
              <w:rPr>
                <w:szCs w:val="22"/>
              </w:rPr>
              <w:t xml:space="preserve">ata plans and air cards for mobile devices are </w:t>
            </w:r>
            <w:r w:rsidRPr="006E3382" w:rsidDel="008839FB">
              <w:rPr>
                <w:szCs w:val="22"/>
              </w:rPr>
              <w:t xml:space="preserve">eligible </w:t>
            </w:r>
            <w:r w:rsidRPr="006E3382">
              <w:rPr>
                <w:szCs w:val="22"/>
              </w:rPr>
              <w:t xml:space="preserve">only in instances when the school or library seeking support demonstrates that the individual data plans are the most </w:t>
            </w:r>
            <w:r w:rsidRPr="006E3382" w:rsidDel="008839FB">
              <w:rPr>
                <w:szCs w:val="22"/>
              </w:rPr>
              <w:t>cost</w:t>
            </w:r>
            <w:r w:rsidRPr="006E3382">
              <w:rPr>
                <w:szCs w:val="22"/>
              </w:rPr>
              <w:t>-</w:t>
            </w:r>
            <w:r w:rsidRPr="006E3382" w:rsidDel="008839FB">
              <w:rPr>
                <w:szCs w:val="22"/>
              </w:rPr>
              <w:t xml:space="preserve">effective </w:t>
            </w:r>
            <w:r w:rsidRPr="006E3382">
              <w:rPr>
                <w:szCs w:val="22"/>
              </w:rPr>
              <w:t>option for providing internal broadband access for mobile devices</w:t>
            </w:r>
            <w:r>
              <w:rPr>
                <w:szCs w:val="22"/>
              </w:rPr>
              <w:t xml:space="preserve"> at schools and libraries</w:t>
            </w:r>
            <w:r w:rsidRPr="006E3382" w:rsidDel="008839FB">
              <w:rPr>
                <w:szCs w:val="22"/>
              </w:rPr>
              <w:t xml:space="preserve">. </w:t>
            </w:r>
            <w:r w:rsidRPr="006E3382">
              <w:rPr>
                <w:szCs w:val="22"/>
              </w:rPr>
              <w:t xml:space="preserve"> </w:t>
            </w:r>
            <w:r>
              <w:rPr>
                <w:szCs w:val="22"/>
              </w:rPr>
              <w:t>Applicants should compare the cost of data plans or air cards for mobile devices to the total cost of all components necessary to deliver connectivity to the end user device, including the cost of Internet access and digital transmission service to the school or library.  Seeking support for data plans or air cards for mobile devices for use in a school or library with an existing broadband connection and wireless local area network implicates the E-rate program’s prohibition on request for duplicative services.</w:t>
            </w:r>
          </w:p>
          <w:p w:rsidR="00DF4B1F" w:rsidRPr="006E3382" w:rsidRDefault="00DF4B1F" w:rsidP="00901FB6">
            <w:pPr>
              <w:jc w:val="both"/>
              <w:rPr>
                <w:szCs w:val="22"/>
              </w:rPr>
            </w:pPr>
          </w:p>
          <w:p w:rsidR="00DF4B1F" w:rsidRDefault="00DF4B1F" w:rsidP="00901FB6">
            <w:pPr>
              <w:contextualSpacing/>
              <w:jc w:val="both"/>
              <w:rPr>
                <w:szCs w:val="22"/>
              </w:rPr>
            </w:pPr>
            <w:r w:rsidRPr="006E3382" w:rsidDel="008839FB">
              <w:rPr>
                <w:szCs w:val="22"/>
              </w:rPr>
              <w:t>Off-campus use</w:t>
            </w:r>
            <w:r w:rsidRPr="006E3382">
              <w:rPr>
                <w:szCs w:val="22"/>
              </w:rPr>
              <w:t xml:space="preserve">, even if used for an educational purpose, is ineligible for support and </w:t>
            </w:r>
            <w:r w:rsidRPr="006E3382" w:rsidDel="008839FB">
              <w:rPr>
                <w:szCs w:val="22"/>
              </w:rPr>
              <w:t>must be cost allocated</w:t>
            </w:r>
            <w:r w:rsidRPr="006E3382">
              <w:rPr>
                <w:szCs w:val="22"/>
              </w:rPr>
              <w:t xml:space="preserve"> out of any funding request</w:t>
            </w:r>
            <w:r w:rsidRPr="006E3382" w:rsidDel="008839FB">
              <w:rPr>
                <w:szCs w:val="22"/>
              </w:rPr>
              <w:t>.</w:t>
            </w:r>
          </w:p>
          <w:p w:rsidR="00DF4B1F" w:rsidRDefault="00DF4B1F" w:rsidP="00901FB6">
            <w:pPr>
              <w:contextualSpacing/>
              <w:jc w:val="both"/>
              <w:rPr>
                <w:szCs w:val="22"/>
              </w:rPr>
            </w:pPr>
          </w:p>
          <w:p w:rsidR="00DF4B1F" w:rsidRDefault="00DF4B1F" w:rsidP="00901FB6">
            <w:pPr>
              <w:contextualSpacing/>
              <w:jc w:val="both"/>
              <w:rPr>
                <w:szCs w:val="22"/>
              </w:rPr>
            </w:pPr>
            <w:r w:rsidRPr="006E3382">
              <w:rPr>
                <w:szCs w:val="22"/>
              </w:rPr>
              <w:t>Managed internal broadband services, such as managed Wi-Fi, are eligible only for Category Two support.</w:t>
            </w:r>
          </w:p>
          <w:p w:rsidR="00DF4B1F" w:rsidRPr="006E3382" w:rsidRDefault="00DF4B1F" w:rsidP="00901FB6">
            <w:pPr>
              <w:contextualSpacing/>
              <w:jc w:val="both"/>
              <w:rPr>
                <w:b/>
                <w:szCs w:val="22"/>
              </w:rPr>
            </w:pPr>
          </w:p>
        </w:tc>
      </w:tr>
    </w:tbl>
    <w:p w:rsidR="00DF4B1F" w:rsidRPr="006E3382" w:rsidRDefault="00DF4B1F" w:rsidP="00DF4B1F">
      <w:pPr>
        <w:ind w:left="720"/>
        <w:contextualSpacing/>
        <w:jc w:val="both"/>
        <w:rPr>
          <w:bCs/>
          <w:szCs w:val="22"/>
          <w:u w:val="single"/>
        </w:rPr>
      </w:pPr>
    </w:p>
    <w:p w:rsidR="00DF4B1F" w:rsidRPr="006E3382" w:rsidRDefault="00DF4B1F" w:rsidP="00DF4B1F">
      <w:pPr>
        <w:ind w:left="720"/>
        <w:contextualSpacing/>
        <w:jc w:val="both"/>
      </w:pPr>
    </w:p>
    <w:p w:rsidR="00DF4B1F" w:rsidRPr="006E3382" w:rsidRDefault="00DF4B1F" w:rsidP="00DF4B1F">
      <w:pPr>
        <w:jc w:val="both"/>
      </w:pPr>
    </w:p>
    <w:p w:rsidR="00DF4B1F" w:rsidRPr="006E3382" w:rsidRDefault="00DF4B1F" w:rsidP="00DF4B1F">
      <w:pPr>
        <w:jc w:val="both"/>
      </w:pPr>
    </w:p>
    <w:p w:rsidR="00DF4B1F" w:rsidRPr="006E3382" w:rsidRDefault="00DF4B1F" w:rsidP="00DF4B1F">
      <w:pPr>
        <w:jc w:val="both"/>
      </w:pPr>
      <w:r w:rsidRPr="006E3382">
        <w:br w:type="page"/>
      </w:r>
    </w:p>
    <w:p w:rsidR="00DF4B1F" w:rsidRPr="006E3382" w:rsidRDefault="00DF4B1F" w:rsidP="00DF4B1F">
      <w:pPr>
        <w:contextualSpacing/>
        <w:rPr>
          <w:b/>
        </w:rPr>
      </w:pPr>
      <w:r w:rsidRPr="006E3382">
        <w:rPr>
          <w:b/>
          <w:u w:val="single"/>
        </w:rPr>
        <w:t>Category Two</w:t>
      </w:r>
    </w:p>
    <w:p w:rsidR="00DF4B1F" w:rsidRPr="006E3382" w:rsidRDefault="00DF4B1F" w:rsidP="00DF4B1F">
      <w:pPr>
        <w:ind w:left="1080"/>
        <w:contextualSpacing/>
        <w:jc w:val="both"/>
      </w:pPr>
    </w:p>
    <w:p w:rsidR="00DF4B1F" w:rsidRPr="006E3382" w:rsidRDefault="00DF4B1F" w:rsidP="00DF4B1F">
      <w:pPr>
        <w:rPr>
          <w:rFonts w:ascii="Verdana" w:hAnsi="Verdana"/>
          <w:bCs/>
          <w:szCs w:val="22"/>
        </w:rPr>
      </w:pPr>
      <w:r w:rsidRPr="006E3382">
        <w:t xml:space="preserve">The second category of equipment and services eligible for E-rate support, Category Two, includes </w:t>
      </w:r>
      <w:r w:rsidRPr="006E3382" w:rsidDel="00907FA5">
        <w:rPr>
          <w:szCs w:val="22"/>
        </w:rPr>
        <w:t>the internal connections needed for broadband connectivity within schools and libraries</w:t>
      </w:r>
      <w:r w:rsidRPr="006E3382">
        <w:t xml:space="preserve">.  Support is limited to the </w:t>
      </w:r>
      <w:r w:rsidRPr="006E3382">
        <w:rPr>
          <w:bCs/>
        </w:rPr>
        <w:t xml:space="preserve">internal </w:t>
      </w:r>
      <w:r w:rsidRPr="006E3382">
        <w:rPr>
          <w:snapToGrid w:val="0"/>
        </w:rPr>
        <w:t xml:space="preserve">connections </w:t>
      </w:r>
      <w:r w:rsidRPr="006E3382">
        <w:t xml:space="preserve">necessary to </w:t>
      </w:r>
      <w:r w:rsidRPr="006E3382">
        <w:rPr>
          <w:snapToGrid w:val="0"/>
        </w:rPr>
        <w:t>bring broadband into, and provide it throughout, schools and libraries</w:t>
      </w:r>
      <w:r w:rsidRPr="006E3382">
        <w:t>.  These are broadband connections used for educational purposes within, between, or among instructional buildings that comprise a school campus or library branch, and basic maintenance of these connections, as well as s</w:t>
      </w:r>
      <w:r w:rsidRPr="006E3382">
        <w:rPr>
          <w:snapToGrid w:val="0"/>
        </w:rPr>
        <w:t>ervices that manage and operate owned or leased broadband internal connections (e.g.,</w:t>
      </w:r>
      <w:r w:rsidRPr="006E3382">
        <w:rPr>
          <w:i/>
          <w:snapToGrid w:val="0"/>
        </w:rPr>
        <w:t xml:space="preserve"> </w:t>
      </w:r>
      <w:r w:rsidRPr="006E3382">
        <w:rPr>
          <w:snapToGrid w:val="0"/>
        </w:rPr>
        <w:t xml:space="preserve">managed internal broadband services or managed Wi-Fi).  </w:t>
      </w:r>
      <w:r>
        <w:rPr>
          <w:szCs w:val="22"/>
        </w:rPr>
        <w:t>C</w:t>
      </w:r>
      <w:r w:rsidRPr="006E3382">
        <w:rPr>
          <w:szCs w:val="22"/>
        </w:rPr>
        <w:t xml:space="preserve">ategory </w:t>
      </w:r>
      <w:r>
        <w:rPr>
          <w:szCs w:val="22"/>
        </w:rPr>
        <w:t xml:space="preserve">Two support is subject to per-school or per-library </w:t>
      </w:r>
      <w:r w:rsidRPr="006E3382">
        <w:rPr>
          <w:szCs w:val="22"/>
        </w:rPr>
        <w:t>budget</w:t>
      </w:r>
      <w:r>
        <w:rPr>
          <w:szCs w:val="22"/>
        </w:rPr>
        <w:t>s as</w:t>
      </w:r>
      <w:r w:rsidRPr="006E3382">
        <w:rPr>
          <w:szCs w:val="22"/>
        </w:rPr>
        <w:t xml:space="preserve"> set forth in the </w:t>
      </w:r>
      <w:r w:rsidRPr="006E3382">
        <w:rPr>
          <w:i/>
          <w:szCs w:val="22"/>
        </w:rPr>
        <w:t>E-rate Modernization Order</w:t>
      </w:r>
      <w:r>
        <w:rPr>
          <w:szCs w:val="22"/>
        </w:rPr>
        <w:t xml:space="preserve"> and </w:t>
      </w:r>
      <w:r>
        <w:rPr>
          <w:i/>
          <w:szCs w:val="22"/>
        </w:rPr>
        <w:t>Second E-rate Modernization Order</w:t>
      </w:r>
      <w:r w:rsidRPr="006E3382">
        <w:rPr>
          <w:szCs w:val="22"/>
        </w:rPr>
        <w:t>.</w:t>
      </w:r>
      <w:r w:rsidRPr="006E3382">
        <w:rPr>
          <w:rFonts w:ascii="Verdana" w:hAnsi="Verdana"/>
          <w:bCs/>
          <w:szCs w:val="22"/>
        </w:rPr>
        <w:t xml:space="preserve">  </w:t>
      </w:r>
      <w:r w:rsidRPr="006E3382">
        <w:rPr>
          <w:szCs w:val="22"/>
        </w:rPr>
        <w:t>The eligible components and services in Category Two are:</w:t>
      </w:r>
    </w:p>
    <w:p w:rsidR="00DF4B1F" w:rsidRPr="006E3382" w:rsidRDefault="00DF4B1F" w:rsidP="00DF4B1F">
      <w:pPr>
        <w:ind w:left="720"/>
        <w:jc w:val="both"/>
        <w:rPr>
          <w:szCs w:val="22"/>
        </w:rPr>
      </w:pPr>
    </w:p>
    <w:tbl>
      <w:tblPr>
        <w:tblStyle w:val="TableGrid1"/>
        <w:tblW w:w="0" w:type="auto"/>
        <w:jc w:val="center"/>
        <w:tblInd w:w="795" w:type="dxa"/>
        <w:tblLook w:val="04A0" w:firstRow="1" w:lastRow="0" w:firstColumn="1" w:lastColumn="0" w:noHBand="0" w:noVBand="1"/>
      </w:tblPr>
      <w:tblGrid>
        <w:gridCol w:w="5868"/>
      </w:tblGrid>
      <w:tr w:rsidR="00DF4B1F" w:rsidRPr="006E3382" w:rsidTr="00901FB6">
        <w:trPr>
          <w:jc w:val="center"/>
        </w:trPr>
        <w:tc>
          <w:tcPr>
            <w:tcW w:w="5868" w:type="dxa"/>
          </w:tcPr>
          <w:p w:rsidR="00DF4B1F" w:rsidRDefault="00DF4B1F" w:rsidP="00901FB6">
            <w:pPr>
              <w:jc w:val="center"/>
              <w:rPr>
                <w:b/>
                <w:szCs w:val="22"/>
              </w:rPr>
            </w:pPr>
            <w:r w:rsidRPr="006E3382">
              <w:rPr>
                <w:b/>
                <w:szCs w:val="22"/>
              </w:rPr>
              <w:t>Eligible Broadband Internal Connections</w:t>
            </w:r>
          </w:p>
          <w:p w:rsidR="00DF4B1F" w:rsidRPr="006E3382" w:rsidRDefault="00DF4B1F" w:rsidP="00901FB6">
            <w:pPr>
              <w:jc w:val="center"/>
              <w:rPr>
                <w:szCs w:val="22"/>
              </w:rPr>
            </w:pP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Access points used in a local area network (LAN) or wireless local area network (WLAN) environment (such as wireless access points) </w:t>
            </w:r>
          </w:p>
          <w:p w:rsidR="00DF4B1F" w:rsidRPr="006E3382" w:rsidRDefault="00DF4B1F" w:rsidP="00DF4B1F">
            <w:pPr>
              <w:numPr>
                <w:ilvl w:val="0"/>
                <w:numId w:val="19"/>
              </w:numPr>
              <w:contextualSpacing/>
              <w:jc w:val="both"/>
              <w:rPr>
                <w:szCs w:val="22"/>
              </w:rPr>
            </w:pPr>
            <w:r w:rsidRPr="006E3382">
              <w:rPr>
                <w:szCs w:val="22"/>
              </w:rPr>
              <w:t xml:space="preserve">Antennas, cabling, connectors, and related components used for internal broadband connections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Caching </w:t>
            </w:r>
          </w:p>
          <w:p w:rsidR="00DF4B1F" w:rsidRPr="006E3382" w:rsidRDefault="00DF4B1F" w:rsidP="00DF4B1F">
            <w:pPr>
              <w:numPr>
                <w:ilvl w:val="0"/>
                <w:numId w:val="19"/>
              </w:numPr>
              <w:contextualSpacing/>
              <w:jc w:val="both"/>
              <w:rPr>
                <w:rFonts w:ascii="Verdana" w:hAnsi="Verdana"/>
                <w:bCs/>
                <w:szCs w:val="22"/>
              </w:rPr>
            </w:pPr>
            <w:r w:rsidRPr="006E3382">
              <w:rPr>
                <w:szCs w:val="22"/>
              </w:rPr>
              <w:t>Firewall services and components</w:t>
            </w:r>
            <w:r>
              <w:rPr>
                <w:szCs w:val="22"/>
              </w:rPr>
              <w:t xml:space="preserve"> separate from basic firewall protection provided as a standard component of a vendor’s Internet access service.</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Switches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Routers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Racks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Uninterruptible Power Supply (UPS)/Battery Backup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Wireless controller systems </w:t>
            </w:r>
          </w:p>
          <w:p w:rsidR="00DF4B1F" w:rsidRPr="006E3382" w:rsidRDefault="00DF4B1F" w:rsidP="00DF4B1F">
            <w:pPr>
              <w:numPr>
                <w:ilvl w:val="0"/>
                <w:numId w:val="19"/>
              </w:numPr>
              <w:contextualSpacing/>
              <w:jc w:val="both"/>
              <w:rPr>
                <w:rFonts w:ascii="Verdana" w:hAnsi="Verdana"/>
                <w:bCs/>
                <w:szCs w:val="22"/>
              </w:rPr>
            </w:pPr>
            <w:r w:rsidRPr="006E3382">
              <w:rPr>
                <w:szCs w:val="22"/>
              </w:rPr>
              <w:t xml:space="preserve">Software supporting the components on this list used to distribute high-speed broadband throughout school buildings and libraries </w:t>
            </w:r>
          </w:p>
          <w:p w:rsidR="00DF4B1F" w:rsidRPr="006E3382" w:rsidRDefault="00DF4B1F" w:rsidP="00901FB6">
            <w:pPr>
              <w:jc w:val="both"/>
              <w:rPr>
                <w:bCs/>
                <w:szCs w:val="22"/>
              </w:rPr>
            </w:pPr>
          </w:p>
          <w:p w:rsidR="00DF4B1F" w:rsidRDefault="00DF4B1F" w:rsidP="00901FB6">
            <w:pPr>
              <w:jc w:val="both"/>
              <w:rPr>
                <w:szCs w:val="22"/>
              </w:rPr>
            </w:pPr>
            <w:r w:rsidRPr="006E3382">
              <w:rPr>
                <w:i/>
                <w:szCs w:val="22"/>
              </w:rPr>
              <w:t>Notes</w:t>
            </w:r>
            <w:r w:rsidRPr="006E3382">
              <w:rPr>
                <w:szCs w:val="22"/>
              </w:rPr>
              <w:t xml:space="preserve">: </w:t>
            </w:r>
            <w:r w:rsidRPr="006E3382">
              <w:rPr>
                <w:szCs w:val="22"/>
              </w:rPr>
              <w:tab/>
              <w:t>(1) Functionalities listed above that can be virtualized in the cloud, and equipment that combines eligible functionalities, like routing and switching, are also eligible.</w:t>
            </w:r>
          </w:p>
          <w:p w:rsidR="00DF4B1F" w:rsidRPr="006E3382" w:rsidRDefault="00DF4B1F" w:rsidP="00901FB6">
            <w:pPr>
              <w:jc w:val="both"/>
              <w:rPr>
                <w:szCs w:val="22"/>
              </w:rPr>
            </w:pPr>
          </w:p>
          <w:p w:rsidR="00DF4B1F" w:rsidRDefault="00DF4B1F" w:rsidP="00901FB6">
            <w:pPr>
              <w:jc w:val="both"/>
              <w:rPr>
                <w:szCs w:val="22"/>
              </w:rPr>
            </w:pPr>
            <w:r w:rsidRPr="006E3382">
              <w:rPr>
                <w:szCs w:val="22"/>
              </w:rPr>
              <w:t xml:space="preserve">(2) </w:t>
            </w:r>
            <w:r w:rsidRPr="006E3382">
              <w:rPr>
                <w:bCs/>
                <w:szCs w:val="22"/>
              </w:rPr>
              <w:t>A manufacturer’s multi-year warranty for a period up to three years that is provided as an integral part of an eligible component, without a separately identifiable cost, may be incl</w:t>
            </w:r>
            <w:r w:rsidRPr="006E3382">
              <w:rPr>
                <w:szCs w:val="22"/>
              </w:rPr>
              <w:t>uded in the cost of the component.</w:t>
            </w:r>
          </w:p>
          <w:p w:rsidR="00DF4B1F" w:rsidRPr="006E3382" w:rsidRDefault="00DF4B1F" w:rsidP="00901FB6">
            <w:pPr>
              <w:jc w:val="both"/>
              <w:rPr>
                <w:szCs w:val="22"/>
              </w:rPr>
            </w:pPr>
          </w:p>
          <w:p w:rsidR="00DF4B1F" w:rsidRDefault="00DF4B1F" w:rsidP="00901FB6">
            <w:pPr>
              <w:jc w:val="both"/>
              <w:rPr>
                <w:szCs w:val="22"/>
              </w:rPr>
            </w:pPr>
            <w:r w:rsidRPr="006E3382">
              <w:rPr>
                <w:szCs w:val="22"/>
              </w:rPr>
              <w:t xml:space="preserve">(3) </w:t>
            </w:r>
            <w:r>
              <w:rPr>
                <w:szCs w:val="22"/>
              </w:rPr>
              <w:t>C</w:t>
            </w:r>
            <w:r w:rsidRPr="006E3382">
              <w:rPr>
                <w:szCs w:val="22"/>
              </w:rPr>
              <w:t>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DF4B1F" w:rsidRPr="0030236F" w:rsidRDefault="00DF4B1F" w:rsidP="00901FB6">
            <w:pPr>
              <w:jc w:val="both"/>
              <w:rPr>
                <w:szCs w:val="22"/>
              </w:rPr>
            </w:pPr>
          </w:p>
        </w:tc>
      </w:tr>
    </w:tbl>
    <w:p w:rsidR="00DF4B1F" w:rsidRPr="006E3382" w:rsidRDefault="00DF4B1F" w:rsidP="00DF4B1F">
      <w:pPr>
        <w:jc w:val="both"/>
        <w:rPr>
          <w:szCs w:val="22"/>
        </w:rPr>
      </w:pPr>
    </w:p>
    <w:p w:rsidR="00DF4B1F" w:rsidRPr="006E3382" w:rsidRDefault="00DF4B1F" w:rsidP="00DF4B1F">
      <w:pPr>
        <w:ind w:left="360"/>
        <w:jc w:val="both"/>
        <w:rPr>
          <w:rFonts w:eastAsia="Calibri"/>
          <w:szCs w:val="22"/>
        </w:rPr>
      </w:pPr>
      <w:r w:rsidRPr="006E3382">
        <w:rPr>
          <w:rFonts w:eastAsia="Calibri"/>
          <w:szCs w:val="22"/>
        </w:rPr>
        <w:br w:type="page"/>
      </w:r>
    </w:p>
    <w:tbl>
      <w:tblPr>
        <w:tblStyle w:val="TableGrid1"/>
        <w:tblW w:w="0" w:type="auto"/>
        <w:jc w:val="center"/>
        <w:tblInd w:w="770" w:type="dxa"/>
        <w:tblLook w:val="04A0" w:firstRow="1" w:lastRow="0" w:firstColumn="1" w:lastColumn="0" w:noHBand="0" w:noVBand="1"/>
      </w:tblPr>
      <w:tblGrid>
        <w:gridCol w:w="5958"/>
      </w:tblGrid>
      <w:tr w:rsidR="00DF4B1F" w:rsidRPr="006E3382" w:rsidTr="00901FB6">
        <w:trPr>
          <w:jc w:val="center"/>
        </w:trPr>
        <w:tc>
          <w:tcPr>
            <w:tcW w:w="5958" w:type="dxa"/>
          </w:tcPr>
          <w:p w:rsidR="00DF4B1F" w:rsidRDefault="00DF4B1F" w:rsidP="00901FB6">
            <w:pPr>
              <w:keepNext/>
              <w:keepLines/>
              <w:jc w:val="center"/>
              <w:rPr>
                <w:b/>
                <w:snapToGrid w:val="0"/>
                <w:szCs w:val="22"/>
              </w:rPr>
            </w:pPr>
            <w:r w:rsidRPr="006E3382">
              <w:rPr>
                <w:b/>
                <w:snapToGrid w:val="0"/>
                <w:szCs w:val="22"/>
              </w:rPr>
              <w:t>Eligible Managed Internal Broadband Services</w:t>
            </w:r>
          </w:p>
          <w:p w:rsidR="00DF4B1F" w:rsidRPr="006E3382" w:rsidRDefault="00DF4B1F" w:rsidP="00901FB6">
            <w:pPr>
              <w:keepNext/>
              <w:keepLines/>
              <w:jc w:val="both"/>
              <w:rPr>
                <w:szCs w:val="22"/>
              </w:rPr>
            </w:pPr>
          </w:p>
          <w:p w:rsidR="00DF4B1F" w:rsidRPr="006E3382" w:rsidRDefault="00DF4B1F" w:rsidP="00DF4B1F">
            <w:pPr>
              <w:keepNext/>
              <w:keepLines/>
              <w:numPr>
                <w:ilvl w:val="0"/>
                <w:numId w:val="28"/>
              </w:numPr>
              <w:contextualSpacing/>
              <w:jc w:val="both"/>
              <w:rPr>
                <w:snapToGrid w:val="0"/>
                <w:szCs w:val="22"/>
              </w:rPr>
            </w:pPr>
            <w:r w:rsidRPr="006E3382">
              <w:rPr>
                <w:snapToGrid w:val="0"/>
                <w:szCs w:val="22"/>
              </w:rPr>
              <w:t>Services provided by a third party for the operation, management, and monitoring of eligible broadband internal connections are eligible managed internal broadband services (e.g., managed Wi-Fi).</w:t>
            </w:r>
          </w:p>
          <w:p w:rsidR="00DF4B1F" w:rsidRPr="006E3382" w:rsidRDefault="00DF4B1F" w:rsidP="00DF4B1F">
            <w:pPr>
              <w:keepLines/>
              <w:numPr>
                <w:ilvl w:val="0"/>
                <w:numId w:val="28"/>
              </w:numPr>
              <w:contextualSpacing/>
              <w:jc w:val="both"/>
              <w:rPr>
                <w:szCs w:val="22"/>
              </w:rPr>
            </w:pPr>
            <w:r w:rsidRPr="006E3382">
              <w:rPr>
                <w:snapToGrid w:val="0"/>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r w:rsidRPr="006E3382">
              <w:rPr>
                <w:snapToGrid w:val="0"/>
                <w:sz w:val="20"/>
                <w:szCs w:val="22"/>
              </w:rPr>
              <w:t xml:space="preserve"> </w:t>
            </w:r>
            <w:r w:rsidRPr="006E3382">
              <w:rPr>
                <w:sz w:val="20"/>
                <w:szCs w:val="22"/>
              </w:rPr>
              <w:t xml:space="preserve">  </w:t>
            </w:r>
          </w:p>
          <w:p w:rsidR="00DF4B1F" w:rsidRPr="0030236F" w:rsidRDefault="00DF4B1F" w:rsidP="00DF4B1F">
            <w:pPr>
              <w:keepLines/>
              <w:numPr>
                <w:ilvl w:val="0"/>
                <w:numId w:val="28"/>
              </w:numPr>
              <w:contextualSpacing/>
              <w:jc w:val="both"/>
              <w:rPr>
                <w:snapToGrid w:val="0"/>
                <w:kern w:val="28"/>
                <w:sz w:val="20"/>
              </w:rPr>
            </w:pPr>
            <w:r w:rsidRPr="006E3382">
              <w:rPr>
                <w:snapToGrid w:val="0"/>
                <w:szCs w:val="22"/>
              </w:rPr>
              <w:t xml:space="preserve">In some </w:t>
            </w:r>
            <w:r>
              <w:rPr>
                <w:snapToGrid w:val="0"/>
                <w:szCs w:val="22"/>
              </w:rPr>
              <w:t xml:space="preserve">eligible </w:t>
            </w:r>
            <w:r w:rsidRPr="006E3382">
              <w:rPr>
                <w:snapToGrid w:val="0"/>
                <w:szCs w:val="22"/>
              </w:rPr>
              <w:t xml:space="preserve">managed services models, the third party manager owns and installs the equipment and school and library applicants lease the equipment as part of the managed services contract.  </w:t>
            </w:r>
            <w:r w:rsidRPr="006E3382">
              <w:rPr>
                <w:szCs w:val="22"/>
              </w:rPr>
              <w:t>In other cases, the school or library may own the equipment, but have a third party manage it for them</w:t>
            </w:r>
            <w:r w:rsidRPr="006E3382">
              <w:rPr>
                <w:sz w:val="20"/>
                <w:szCs w:val="22"/>
              </w:rPr>
              <w:t xml:space="preserve">.   </w:t>
            </w:r>
          </w:p>
          <w:p w:rsidR="00DF4B1F" w:rsidRPr="006E3382" w:rsidRDefault="00DF4B1F" w:rsidP="00901FB6">
            <w:pPr>
              <w:keepLines/>
              <w:ind w:left="720"/>
              <w:contextualSpacing/>
              <w:jc w:val="both"/>
              <w:rPr>
                <w:snapToGrid w:val="0"/>
                <w:sz w:val="20"/>
              </w:rPr>
            </w:pPr>
            <w:r w:rsidRPr="006E3382">
              <w:rPr>
                <w:sz w:val="20"/>
                <w:szCs w:val="22"/>
              </w:rPr>
              <w:t xml:space="preserve"> </w:t>
            </w:r>
          </w:p>
        </w:tc>
      </w:tr>
    </w:tbl>
    <w:p w:rsidR="00DF4B1F" w:rsidRPr="006E3382" w:rsidRDefault="00DF4B1F" w:rsidP="00DF4B1F">
      <w:pPr>
        <w:contextualSpacing/>
        <w:jc w:val="both"/>
        <w:rPr>
          <w:b/>
          <w:bCs/>
          <w:szCs w:val="22"/>
        </w:rPr>
      </w:pPr>
    </w:p>
    <w:p w:rsidR="00DF4B1F" w:rsidRPr="006E3382" w:rsidRDefault="00DF4B1F" w:rsidP="00DF4B1F">
      <w:pPr>
        <w:jc w:val="both"/>
        <w:rPr>
          <w:szCs w:val="22"/>
        </w:rPr>
      </w:pPr>
    </w:p>
    <w:tbl>
      <w:tblPr>
        <w:tblStyle w:val="TableGrid1"/>
        <w:tblW w:w="0" w:type="auto"/>
        <w:jc w:val="center"/>
        <w:tblInd w:w="760" w:type="dxa"/>
        <w:tblLook w:val="04A0" w:firstRow="1" w:lastRow="0" w:firstColumn="1" w:lastColumn="0" w:noHBand="0" w:noVBand="1"/>
      </w:tblPr>
      <w:tblGrid>
        <w:gridCol w:w="5868"/>
      </w:tblGrid>
      <w:tr w:rsidR="00DF4B1F" w:rsidRPr="006E3382" w:rsidTr="00901FB6">
        <w:trPr>
          <w:jc w:val="center"/>
        </w:trPr>
        <w:tc>
          <w:tcPr>
            <w:tcW w:w="5868" w:type="dxa"/>
          </w:tcPr>
          <w:p w:rsidR="00DF4B1F" w:rsidRPr="006E3382" w:rsidRDefault="00DF4B1F" w:rsidP="00901FB6">
            <w:pPr>
              <w:jc w:val="center"/>
              <w:rPr>
                <w:szCs w:val="22"/>
              </w:rPr>
            </w:pPr>
            <w:r w:rsidRPr="006E3382">
              <w:rPr>
                <w:b/>
                <w:szCs w:val="22"/>
              </w:rPr>
              <w:t>Basic Maintenance of Eligible Broadband Internal Connections</w:t>
            </w:r>
          </w:p>
          <w:p w:rsidR="00DF4B1F" w:rsidRPr="006E3382" w:rsidRDefault="00DF4B1F" w:rsidP="00901FB6">
            <w:pPr>
              <w:jc w:val="both"/>
              <w:rPr>
                <w:b/>
                <w:szCs w:val="22"/>
              </w:rPr>
            </w:pPr>
          </w:p>
          <w:p w:rsidR="00DF4B1F" w:rsidRPr="006E3382" w:rsidRDefault="00DF4B1F" w:rsidP="00901FB6">
            <w:pPr>
              <w:jc w:val="both"/>
              <w:rPr>
                <w:bCs/>
                <w:szCs w:val="22"/>
              </w:rPr>
            </w:pPr>
            <w:r w:rsidRPr="006E3382">
              <w:rPr>
                <w:szCs w:val="22"/>
              </w:rPr>
              <w:t>E-rate support is available for basic m</w:t>
            </w:r>
            <w:r w:rsidRPr="006E3382">
              <w:rPr>
                <w:bCs/>
                <w:szCs w:val="22"/>
              </w:rPr>
              <w:t xml:space="preserve">aintenance and technical support appropriate to maintain reliable operation when provided for eligible broadband internal connections.  </w:t>
            </w:r>
          </w:p>
          <w:p w:rsidR="00DF4B1F" w:rsidRPr="006E3382" w:rsidRDefault="00DF4B1F" w:rsidP="00901FB6">
            <w:pPr>
              <w:jc w:val="both"/>
              <w:rPr>
                <w:bCs/>
                <w:szCs w:val="22"/>
              </w:rPr>
            </w:pPr>
          </w:p>
          <w:p w:rsidR="00DF4B1F" w:rsidRPr="006E3382" w:rsidRDefault="00DF4B1F" w:rsidP="00901FB6">
            <w:pPr>
              <w:jc w:val="both"/>
              <w:rPr>
                <w:bCs/>
                <w:szCs w:val="22"/>
              </w:rPr>
            </w:pPr>
            <w:r w:rsidRPr="006E3382">
              <w:rPr>
                <w:bCs/>
                <w:szCs w:val="22"/>
              </w:rPr>
              <w:t>The following basic maintenance services are eligible:</w:t>
            </w:r>
          </w:p>
          <w:p w:rsidR="00DF4B1F" w:rsidRPr="006E3382" w:rsidRDefault="00DF4B1F" w:rsidP="00DF4B1F">
            <w:pPr>
              <w:numPr>
                <w:ilvl w:val="0"/>
                <w:numId w:val="27"/>
              </w:numPr>
              <w:contextualSpacing/>
              <w:jc w:val="both"/>
              <w:rPr>
                <w:szCs w:val="22"/>
              </w:rPr>
            </w:pPr>
            <w:r w:rsidRPr="006E3382">
              <w:rPr>
                <w:szCs w:val="22"/>
              </w:rPr>
              <w:t>Repair and upkeep of eligible hardware</w:t>
            </w:r>
          </w:p>
          <w:p w:rsidR="00DF4B1F" w:rsidRPr="006E3382" w:rsidRDefault="00DF4B1F" w:rsidP="00DF4B1F">
            <w:pPr>
              <w:numPr>
                <w:ilvl w:val="0"/>
                <w:numId w:val="27"/>
              </w:numPr>
              <w:contextualSpacing/>
              <w:jc w:val="both"/>
              <w:rPr>
                <w:szCs w:val="22"/>
              </w:rPr>
            </w:pPr>
            <w:r w:rsidRPr="006E3382">
              <w:rPr>
                <w:szCs w:val="22"/>
              </w:rPr>
              <w:t>Wire and cable maintenance</w:t>
            </w:r>
          </w:p>
          <w:p w:rsidR="00DF4B1F" w:rsidRPr="006E3382" w:rsidRDefault="00DF4B1F" w:rsidP="00DF4B1F">
            <w:pPr>
              <w:numPr>
                <w:ilvl w:val="0"/>
                <w:numId w:val="27"/>
              </w:numPr>
              <w:contextualSpacing/>
              <w:jc w:val="both"/>
              <w:rPr>
                <w:szCs w:val="22"/>
              </w:rPr>
            </w:pPr>
            <w:r w:rsidRPr="006E3382">
              <w:rPr>
                <w:szCs w:val="22"/>
              </w:rPr>
              <w:t xml:space="preserve">Configuration changes </w:t>
            </w:r>
          </w:p>
          <w:p w:rsidR="00DF4B1F" w:rsidRPr="006E3382" w:rsidRDefault="00DF4B1F" w:rsidP="00DF4B1F">
            <w:pPr>
              <w:numPr>
                <w:ilvl w:val="0"/>
                <w:numId w:val="27"/>
              </w:numPr>
              <w:contextualSpacing/>
              <w:jc w:val="both"/>
              <w:rPr>
                <w:szCs w:val="22"/>
              </w:rPr>
            </w:pPr>
            <w:r w:rsidRPr="006E3382">
              <w:rPr>
                <w:szCs w:val="22"/>
              </w:rPr>
              <w:t xml:space="preserve">Basic technical support including online and telephone based technical support </w:t>
            </w:r>
          </w:p>
          <w:p w:rsidR="00DF4B1F" w:rsidRPr="0030236F" w:rsidRDefault="00DF4B1F" w:rsidP="00DF4B1F">
            <w:pPr>
              <w:numPr>
                <w:ilvl w:val="0"/>
                <w:numId w:val="27"/>
              </w:numPr>
              <w:contextualSpacing/>
              <w:jc w:val="both"/>
              <w:rPr>
                <w:b/>
                <w:sz w:val="20"/>
                <w:szCs w:val="22"/>
              </w:rPr>
            </w:pPr>
            <w:r w:rsidRPr="006E3382">
              <w:rPr>
                <w:rFonts w:eastAsia="Calibri"/>
                <w:szCs w:val="22"/>
              </w:rPr>
              <w:t>Software upgrades and patches</w:t>
            </w:r>
            <w:r w:rsidRPr="006E3382">
              <w:rPr>
                <w:szCs w:val="22"/>
              </w:rPr>
              <w:t xml:space="preserve"> including b</w:t>
            </w:r>
            <w:r w:rsidRPr="006E3382">
              <w:rPr>
                <w:rFonts w:eastAsia="Calibri"/>
                <w:szCs w:val="22"/>
              </w:rPr>
              <w:t>ug fixes and security patches</w:t>
            </w:r>
          </w:p>
          <w:p w:rsidR="00DF4B1F" w:rsidRPr="006E3382" w:rsidRDefault="00DF4B1F" w:rsidP="00901FB6">
            <w:pPr>
              <w:ind w:left="720"/>
              <w:contextualSpacing/>
              <w:jc w:val="both"/>
              <w:rPr>
                <w:b/>
                <w:sz w:val="20"/>
                <w:szCs w:val="22"/>
              </w:rPr>
            </w:pPr>
          </w:p>
        </w:tc>
      </w:tr>
    </w:tbl>
    <w:p w:rsidR="00DF4B1F" w:rsidRPr="006E3382" w:rsidRDefault="00DF4B1F" w:rsidP="00DF4B1F">
      <w:pPr>
        <w:jc w:val="both"/>
        <w:rPr>
          <w:szCs w:val="22"/>
          <w:u w:val="single"/>
        </w:rPr>
      </w:pPr>
    </w:p>
    <w:p w:rsidR="00DF4B1F" w:rsidRPr="006E3382" w:rsidRDefault="00DF4B1F" w:rsidP="00DF4B1F">
      <w:pPr>
        <w:spacing w:after="200" w:line="276" w:lineRule="auto"/>
        <w:rPr>
          <w:b/>
          <w:bCs/>
          <w:szCs w:val="22"/>
        </w:rPr>
      </w:pPr>
      <w:r w:rsidRPr="006E3382">
        <w:rPr>
          <w:b/>
          <w:bCs/>
          <w:szCs w:val="22"/>
        </w:rPr>
        <w:br w:type="page"/>
      </w:r>
    </w:p>
    <w:p w:rsidR="00DF4B1F" w:rsidRPr="006E3382" w:rsidRDefault="00DF4B1F" w:rsidP="00DF4B1F">
      <w:pPr>
        <w:contextualSpacing/>
        <w:jc w:val="center"/>
        <w:rPr>
          <w:b/>
          <w:bCs/>
          <w:szCs w:val="22"/>
        </w:rPr>
      </w:pPr>
      <w:r w:rsidRPr="006E3382">
        <w:rPr>
          <w:b/>
          <w:bCs/>
          <w:szCs w:val="22"/>
        </w:rPr>
        <w:t>Eligibility limitations for Category Two:</w:t>
      </w:r>
    </w:p>
    <w:p w:rsidR="00DF4B1F" w:rsidRPr="006E3382" w:rsidRDefault="00DF4B1F" w:rsidP="00DF4B1F">
      <w:pPr>
        <w:contextualSpacing/>
        <w:jc w:val="both"/>
        <w:rPr>
          <w:b/>
          <w:bCs/>
          <w:szCs w:val="22"/>
        </w:rPr>
      </w:pPr>
    </w:p>
    <w:tbl>
      <w:tblPr>
        <w:tblStyle w:val="TableGrid1"/>
        <w:tblW w:w="0" w:type="auto"/>
        <w:tblLook w:val="04A0" w:firstRow="1" w:lastRow="0" w:firstColumn="1" w:lastColumn="0" w:noHBand="0" w:noVBand="1"/>
      </w:tblPr>
      <w:tblGrid>
        <w:gridCol w:w="9576"/>
      </w:tblGrid>
      <w:tr w:rsidR="00DF4B1F" w:rsidRPr="006E3382" w:rsidTr="00901FB6">
        <w:tc>
          <w:tcPr>
            <w:tcW w:w="9576" w:type="dxa"/>
          </w:tcPr>
          <w:p w:rsidR="00DF4B1F" w:rsidRDefault="00DF4B1F" w:rsidP="00901FB6">
            <w:pPr>
              <w:contextualSpacing/>
              <w:jc w:val="both"/>
              <w:rPr>
                <w:szCs w:val="22"/>
              </w:rPr>
            </w:pPr>
            <w:r w:rsidRPr="006E3382">
              <w:rPr>
                <w:b/>
                <w:bCs/>
                <w:szCs w:val="22"/>
              </w:rPr>
              <w:t>Eligibility limitations for managed internal broadband services</w:t>
            </w:r>
            <w:r w:rsidRPr="006E3382">
              <w:rPr>
                <w:bCs/>
                <w:szCs w:val="22"/>
              </w:rPr>
              <w:t xml:space="preserve"> - </w:t>
            </w:r>
            <w:r w:rsidRPr="006E3382">
              <w:rPr>
                <w:snapToGrid w:val="0"/>
                <w:szCs w:val="22"/>
              </w:rPr>
              <w:t>The equipment eligible for support as part of a managed internal broadband service may include only equipment listed as a broadband internal connections component above.</w:t>
            </w:r>
            <w:r w:rsidRPr="006E3382">
              <w:rPr>
                <w:szCs w:val="22"/>
              </w:rPr>
              <w:t xml:space="preserve">  Upfront charges that are part of a managed service contract are eligible for E-rate support except to the extent that the upfront charges are for any ineligible internal connections (e.g.</w:t>
            </w:r>
            <w:r w:rsidRPr="006E3382">
              <w:rPr>
                <w:i/>
                <w:szCs w:val="22"/>
              </w:rPr>
              <w:t>,</w:t>
            </w:r>
            <w:r w:rsidRPr="006E3382">
              <w:rPr>
                <w:szCs w:val="22"/>
              </w:rPr>
              <w:t xml:space="preserve"> servers other than those that are necessary to provide caching) which, if included in the contract, must be cost allocated out of any funding request.</w:t>
            </w:r>
          </w:p>
          <w:p w:rsidR="00DF4B1F" w:rsidRPr="006E3382" w:rsidRDefault="00DF4B1F" w:rsidP="00901FB6">
            <w:pPr>
              <w:contextualSpacing/>
              <w:jc w:val="both"/>
              <w:rPr>
                <w:b/>
                <w:bCs/>
                <w:szCs w:val="22"/>
              </w:rPr>
            </w:pPr>
            <w:r w:rsidRPr="006E3382">
              <w:rPr>
                <w:szCs w:val="22"/>
              </w:rPr>
              <w:t xml:space="preserve"> </w:t>
            </w:r>
          </w:p>
        </w:tc>
      </w:tr>
      <w:tr w:rsidR="00DF4B1F" w:rsidRPr="006E3382" w:rsidTr="00901FB6">
        <w:tc>
          <w:tcPr>
            <w:tcW w:w="9576" w:type="dxa"/>
          </w:tcPr>
          <w:p w:rsidR="00DF4B1F" w:rsidRPr="006E3382" w:rsidRDefault="00DF4B1F" w:rsidP="00901FB6">
            <w:pPr>
              <w:contextualSpacing/>
              <w:jc w:val="both"/>
              <w:rPr>
                <w:rFonts w:ascii="Verdana" w:hAnsi="Verdana"/>
                <w:bCs/>
                <w:szCs w:val="22"/>
              </w:rPr>
            </w:pPr>
            <w:r w:rsidRPr="006E3382">
              <w:rPr>
                <w:b/>
                <w:szCs w:val="22"/>
              </w:rPr>
              <w:t>Eligibility limitations for basic maintenance</w:t>
            </w:r>
            <w:r w:rsidRPr="006E3382">
              <w:rPr>
                <w:szCs w:val="22"/>
              </w:rPr>
              <w:t xml:space="preserve"> – Basic maintenance is eligible for support only if it is a component of a maintenance agreement or contract for eligible broadband internal connections.  The agreement or contract must specifically identify the eligible </w:t>
            </w:r>
            <w:r>
              <w:rPr>
                <w:szCs w:val="22"/>
              </w:rPr>
              <w:t xml:space="preserve">internal connections </w:t>
            </w:r>
            <w:r w:rsidRPr="006E3382">
              <w:rPr>
                <w:szCs w:val="22"/>
              </w:rPr>
              <w:t>covered, including product name, model number, and location.  Support for basic maintenance will be paid for the actual work performed under the agreement or contract.  Basic maintenance does not include:</w:t>
            </w:r>
          </w:p>
          <w:p w:rsidR="00DF4B1F" w:rsidRPr="006E3382" w:rsidRDefault="00DF4B1F" w:rsidP="00DF4B1F">
            <w:pPr>
              <w:numPr>
                <w:ilvl w:val="0"/>
                <w:numId w:val="20"/>
              </w:numPr>
              <w:contextualSpacing/>
              <w:jc w:val="both"/>
              <w:rPr>
                <w:rFonts w:ascii="Verdana" w:hAnsi="Verdana"/>
                <w:bCs/>
                <w:szCs w:val="22"/>
              </w:rPr>
            </w:pPr>
            <w:r w:rsidRPr="006E3382">
              <w:rPr>
                <w:szCs w:val="22"/>
              </w:rPr>
              <w:t>Services that maintain ineligible equipment</w:t>
            </w:r>
          </w:p>
          <w:p w:rsidR="00DF4B1F" w:rsidRPr="006E3382" w:rsidRDefault="00DF4B1F" w:rsidP="00DF4B1F">
            <w:pPr>
              <w:numPr>
                <w:ilvl w:val="0"/>
                <w:numId w:val="20"/>
              </w:numPr>
              <w:contextualSpacing/>
              <w:jc w:val="both"/>
              <w:rPr>
                <w:rFonts w:ascii="Verdana" w:hAnsi="Verdana"/>
                <w:bCs/>
                <w:szCs w:val="22"/>
              </w:rPr>
            </w:pPr>
            <w:r w:rsidRPr="006E3382">
              <w:rPr>
                <w:szCs w:val="22"/>
              </w:rPr>
              <w:t xml:space="preserve">Upfront estimates that cover the full cost of every piece of eligible equipment  </w:t>
            </w:r>
          </w:p>
          <w:p w:rsidR="00DF4B1F" w:rsidRPr="006E3382" w:rsidRDefault="00DF4B1F" w:rsidP="00DF4B1F">
            <w:pPr>
              <w:numPr>
                <w:ilvl w:val="0"/>
                <w:numId w:val="20"/>
              </w:numPr>
              <w:contextualSpacing/>
              <w:jc w:val="both"/>
              <w:rPr>
                <w:rFonts w:ascii="Verdana" w:hAnsi="Verdana"/>
                <w:bCs/>
                <w:szCs w:val="22"/>
              </w:rPr>
            </w:pPr>
            <w:r w:rsidRPr="006E3382">
              <w:rPr>
                <w:szCs w:val="22"/>
              </w:rPr>
              <w:t>Services that enhance the utility of equipment beyond the transport of information, or diagnostic services in excess of those necessary to maintain the equipment’s ability to transport information</w:t>
            </w:r>
          </w:p>
          <w:p w:rsidR="00DF4B1F" w:rsidRPr="006E3382" w:rsidRDefault="00DF4B1F" w:rsidP="00DF4B1F">
            <w:pPr>
              <w:numPr>
                <w:ilvl w:val="0"/>
                <w:numId w:val="20"/>
              </w:numPr>
              <w:contextualSpacing/>
              <w:jc w:val="both"/>
              <w:rPr>
                <w:rFonts w:ascii="Verdana" w:hAnsi="Verdana"/>
                <w:bCs/>
                <w:szCs w:val="22"/>
              </w:rPr>
            </w:pPr>
            <w:r w:rsidRPr="006E3382">
              <w:rPr>
                <w:szCs w:val="22"/>
              </w:rPr>
              <w:t>Network management services, including 24-hour network monitoring</w:t>
            </w:r>
          </w:p>
          <w:p w:rsidR="00DF4B1F" w:rsidRPr="006E3382" w:rsidRDefault="00DF4B1F" w:rsidP="00DF4B1F">
            <w:pPr>
              <w:numPr>
                <w:ilvl w:val="0"/>
                <w:numId w:val="20"/>
              </w:numPr>
              <w:contextualSpacing/>
              <w:jc w:val="both"/>
              <w:rPr>
                <w:rFonts w:ascii="Verdana" w:hAnsi="Verdana"/>
                <w:bCs/>
                <w:szCs w:val="22"/>
              </w:rPr>
            </w:pPr>
            <w:r w:rsidRPr="006E3382">
              <w:rPr>
                <w:bCs/>
                <w:szCs w:val="22"/>
              </w:rPr>
              <w:t>On</w:t>
            </w:r>
            <w:r w:rsidRPr="006E3382">
              <w:rPr>
                <w:szCs w:val="22"/>
              </w:rPr>
              <w:t>-site technical support (i.e., contractor duty station at the applicant site) unless applicants present sufficient evidence of cost-effectiveness</w:t>
            </w:r>
          </w:p>
          <w:p w:rsidR="00DF4B1F" w:rsidRPr="0030236F" w:rsidRDefault="00DF4B1F" w:rsidP="00DF4B1F">
            <w:pPr>
              <w:numPr>
                <w:ilvl w:val="0"/>
                <w:numId w:val="20"/>
              </w:numPr>
              <w:contextualSpacing/>
              <w:jc w:val="both"/>
              <w:rPr>
                <w:b/>
                <w:bCs/>
                <w:sz w:val="20"/>
                <w:szCs w:val="22"/>
              </w:rPr>
            </w:pPr>
            <w:r w:rsidRPr="006E3382">
              <w:rPr>
                <w:szCs w:val="22"/>
              </w:rPr>
              <w:t>Unbundled warranties</w:t>
            </w:r>
          </w:p>
          <w:p w:rsidR="00DF4B1F" w:rsidRPr="006E3382" w:rsidRDefault="00DF4B1F" w:rsidP="00901FB6">
            <w:pPr>
              <w:ind w:left="360"/>
              <w:contextualSpacing/>
              <w:jc w:val="both"/>
              <w:rPr>
                <w:b/>
                <w:bCs/>
                <w:sz w:val="20"/>
                <w:szCs w:val="22"/>
              </w:rPr>
            </w:pPr>
          </w:p>
        </w:tc>
      </w:tr>
    </w:tbl>
    <w:p w:rsidR="00DF4B1F" w:rsidRPr="006E3382" w:rsidRDefault="00DF4B1F" w:rsidP="00DF4B1F">
      <w:pPr>
        <w:contextualSpacing/>
        <w:jc w:val="both"/>
        <w:rPr>
          <w:b/>
          <w:bCs/>
          <w:szCs w:val="22"/>
        </w:rPr>
      </w:pPr>
    </w:p>
    <w:p w:rsidR="00DF4B1F" w:rsidRPr="006E3382" w:rsidRDefault="00DF4B1F" w:rsidP="00DF4B1F">
      <w:pPr>
        <w:jc w:val="both"/>
        <w:rPr>
          <w:szCs w:val="22"/>
        </w:rPr>
      </w:pPr>
    </w:p>
    <w:p w:rsidR="00DF4B1F" w:rsidRPr="006E3382" w:rsidRDefault="00DF4B1F" w:rsidP="00DF4B1F">
      <w:pPr>
        <w:spacing w:after="200" w:line="276" w:lineRule="auto"/>
        <w:jc w:val="both"/>
        <w:rPr>
          <w:szCs w:val="22"/>
        </w:rPr>
      </w:pPr>
      <w:r w:rsidRPr="006E3382">
        <w:rPr>
          <w:szCs w:val="22"/>
        </w:rPr>
        <w:br w:type="page"/>
      </w:r>
    </w:p>
    <w:p w:rsidR="00DF4B1F" w:rsidRPr="006E3382" w:rsidRDefault="00DF4B1F" w:rsidP="00DF4B1F">
      <w:pPr>
        <w:jc w:val="center"/>
        <w:rPr>
          <w:b/>
          <w:bCs/>
          <w:szCs w:val="22"/>
          <w:u w:val="single"/>
        </w:rPr>
      </w:pPr>
      <w:r w:rsidRPr="006E3382">
        <w:rPr>
          <w:b/>
          <w:bCs/>
          <w:szCs w:val="22"/>
          <w:u w:val="single"/>
        </w:rPr>
        <w:t>Miscellaneous</w:t>
      </w:r>
    </w:p>
    <w:p w:rsidR="00DF4B1F" w:rsidRPr="006E3382" w:rsidRDefault="00DF4B1F" w:rsidP="00DF4B1F">
      <w:pPr>
        <w:ind w:left="360"/>
        <w:jc w:val="both"/>
        <w:rPr>
          <w:bCs/>
          <w:szCs w:val="22"/>
          <w:u w:val="single"/>
        </w:rPr>
      </w:pPr>
    </w:p>
    <w:p w:rsidR="00DF4B1F" w:rsidRPr="006E3382" w:rsidRDefault="00DF4B1F" w:rsidP="00DF4B1F">
      <w:pPr>
        <w:jc w:val="both"/>
      </w:pPr>
      <w:r w:rsidRPr="006E3382">
        <w:t xml:space="preserve">As described below, various miscellaneous services associated with </w:t>
      </w:r>
      <w:r>
        <w:t>Category One or</w:t>
      </w:r>
      <w:r w:rsidRPr="006E3382">
        <w:t xml:space="preserve"> </w:t>
      </w:r>
      <w:r>
        <w:t xml:space="preserve">Category Two </w:t>
      </w:r>
      <w:r w:rsidRPr="006E3382">
        <w:t xml:space="preserve">are eligible for support.  Applicants should request </w:t>
      </w:r>
      <w:r>
        <w:t xml:space="preserve">eligible </w:t>
      </w:r>
      <w:r w:rsidRPr="006E3382">
        <w:t>miscellaneous services in the same category as the associated service being obtained or installed.</w:t>
      </w:r>
    </w:p>
    <w:p w:rsidR="00DF4B1F" w:rsidRPr="006E3382" w:rsidRDefault="00DF4B1F" w:rsidP="00DF4B1F">
      <w:pPr>
        <w:jc w:val="both"/>
        <w:rPr>
          <w:bCs/>
        </w:rPr>
      </w:pPr>
      <w:r w:rsidRPr="006E3382">
        <w:rPr>
          <w:bCs/>
        </w:rPr>
        <w:tab/>
      </w:r>
    </w:p>
    <w:tbl>
      <w:tblPr>
        <w:tblStyle w:val="TableGrid1"/>
        <w:tblW w:w="0" w:type="auto"/>
        <w:jc w:val="center"/>
        <w:tblInd w:w="795" w:type="dxa"/>
        <w:tblLook w:val="04A0" w:firstRow="1" w:lastRow="0" w:firstColumn="1" w:lastColumn="0" w:noHBand="0" w:noVBand="1"/>
      </w:tblPr>
      <w:tblGrid>
        <w:gridCol w:w="5868"/>
      </w:tblGrid>
      <w:tr w:rsidR="00DF4B1F" w:rsidRPr="006E3382" w:rsidTr="00901FB6">
        <w:trPr>
          <w:jc w:val="center"/>
        </w:trPr>
        <w:tc>
          <w:tcPr>
            <w:tcW w:w="5868" w:type="dxa"/>
          </w:tcPr>
          <w:p w:rsidR="00DF4B1F" w:rsidRPr="006E3382" w:rsidRDefault="00DF4B1F" w:rsidP="00901FB6">
            <w:pPr>
              <w:jc w:val="center"/>
              <w:rPr>
                <w:b/>
                <w:szCs w:val="22"/>
              </w:rPr>
            </w:pPr>
            <w:r w:rsidRPr="006E3382">
              <w:rPr>
                <w:b/>
                <w:szCs w:val="22"/>
              </w:rPr>
              <w:t>Fees</w:t>
            </w:r>
          </w:p>
          <w:p w:rsidR="00DF4B1F" w:rsidRDefault="00DF4B1F" w:rsidP="00901FB6">
            <w:pPr>
              <w:jc w:val="both"/>
              <w:rPr>
                <w:bCs/>
                <w:szCs w:val="22"/>
              </w:rPr>
            </w:pPr>
          </w:p>
          <w:p w:rsidR="00DF4B1F" w:rsidRPr="006E3382" w:rsidRDefault="00DF4B1F" w:rsidP="00901FB6">
            <w:pPr>
              <w:jc w:val="both"/>
              <w:rPr>
                <w:rFonts w:eastAsiaTheme="minorHAnsi"/>
                <w:bCs/>
                <w:szCs w:val="22"/>
              </w:rPr>
            </w:pPr>
            <w:r w:rsidRPr="006E3382">
              <w:rPr>
                <w:bCs/>
                <w:szCs w:val="22"/>
              </w:rPr>
              <w:t>Fees and charges that are a necessary component of an eligible product or service are eligible including:</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Change fees</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Contingency fees are eligible if they are reasonable and a regular business practice of the service provider.  Contingency fees will be reimbursed only if the work is performed.</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Freight assurance fees</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 xml:space="preserve">Lease </w:t>
            </w:r>
            <w:r>
              <w:rPr>
                <w:rFonts w:eastAsiaTheme="minorHAnsi"/>
                <w:bCs/>
                <w:szCs w:val="22"/>
              </w:rPr>
              <w:t xml:space="preserve">or </w:t>
            </w:r>
            <w:r w:rsidRPr="006E3382">
              <w:rPr>
                <w:rFonts w:eastAsiaTheme="minorHAnsi"/>
                <w:bCs/>
                <w:szCs w:val="22"/>
              </w:rPr>
              <w:t>rent</w:t>
            </w:r>
            <w:r>
              <w:rPr>
                <w:rFonts w:eastAsiaTheme="minorHAnsi"/>
                <w:bCs/>
                <w:szCs w:val="22"/>
              </w:rPr>
              <w:t>al</w:t>
            </w:r>
            <w:r w:rsidRPr="006E3382">
              <w:rPr>
                <w:rFonts w:eastAsiaTheme="minorHAnsi"/>
                <w:bCs/>
                <w:szCs w:val="22"/>
              </w:rPr>
              <w:t xml:space="preserve"> </w:t>
            </w:r>
            <w:r>
              <w:rPr>
                <w:rFonts w:eastAsiaTheme="minorHAnsi"/>
                <w:bCs/>
                <w:szCs w:val="22"/>
              </w:rPr>
              <w:t xml:space="preserve">fees </w:t>
            </w:r>
            <w:r w:rsidRPr="006E3382">
              <w:rPr>
                <w:rFonts w:eastAsiaTheme="minorHAnsi"/>
                <w:bCs/>
                <w:szCs w:val="22"/>
              </w:rPr>
              <w:t>o</w:t>
            </w:r>
            <w:r>
              <w:rPr>
                <w:rFonts w:eastAsiaTheme="minorHAnsi"/>
                <w:bCs/>
                <w:szCs w:val="22"/>
              </w:rPr>
              <w:t>n</w:t>
            </w:r>
            <w:r w:rsidRPr="006E3382">
              <w:rPr>
                <w:rFonts w:eastAsiaTheme="minorHAnsi"/>
                <w:bCs/>
                <w:szCs w:val="22"/>
              </w:rPr>
              <w:t xml:space="preserve"> eligible </w:t>
            </w:r>
            <w:r>
              <w:rPr>
                <w:rFonts w:eastAsiaTheme="minorHAnsi"/>
                <w:bCs/>
                <w:szCs w:val="22"/>
              </w:rPr>
              <w:t>equipment</w:t>
            </w:r>
            <w:r w:rsidRPr="006E3382">
              <w:rPr>
                <w:rFonts w:eastAsiaTheme="minorHAnsi"/>
                <w:bCs/>
                <w:szCs w:val="22"/>
              </w:rPr>
              <w:t xml:space="preserve"> </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Per diem and/or travel time costs are eligible only if a contract with a vendor for the eligible product or services specifically provides for these costs</w:t>
            </w:r>
          </w:p>
          <w:p w:rsidR="00DF4B1F" w:rsidRPr="006E3382" w:rsidRDefault="00DF4B1F" w:rsidP="00DF4B1F">
            <w:pPr>
              <w:numPr>
                <w:ilvl w:val="0"/>
                <w:numId w:val="25"/>
              </w:numPr>
              <w:contextualSpacing/>
              <w:jc w:val="both"/>
              <w:rPr>
                <w:rFonts w:eastAsiaTheme="minorHAnsi"/>
                <w:bCs/>
                <w:szCs w:val="22"/>
              </w:rPr>
            </w:pPr>
            <w:r w:rsidRPr="006E3382">
              <w:rPr>
                <w:rFonts w:eastAsiaTheme="minorHAnsi"/>
                <w:bCs/>
                <w:szCs w:val="22"/>
              </w:rPr>
              <w:t>Shipping charges</w:t>
            </w:r>
          </w:p>
          <w:p w:rsidR="00DF4B1F" w:rsidRPr="0030236F" w:rsidRDefault="00DF4B1F" w:rsidP="00DF4B1F">
            <w:pPr>
              <w:numPr>
                <w:ilvl w:val="0"/>
                <w:numId w:val="25"/>
              </w:numPr>
              <w:contextualSpacing/>
              <w:jc w:val="both"/>
              <w:rPr>
                <w:b/>
                <w:bCs/>
                <w:sz w:val="20"/>
                <w:szCs w:val="22"/>
              </w:rPr>
            </w:pPr>
            <w:r w:rsidRPr="006E3382">
              <w:rPr>
                <w:rFonts w:eastAsiaTheme="minorHAnsi"/>
                <w:bCs/>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p w:rsidR="00DF4B1F" w:rsidRPr="006E3382" w:rsidRDefault="00DF4B1F" w:rsidP="00901FB6">
            <w:pPr>
              <w:ind w:left="360"/>
              <w:contextualSpacing/>
              <w:jc w:val="both"/>
              <w:rPr>
                <w:b/>
                <w:bCs/>
                <w:sz w:val="20"/>
                <w:szCs w:val="22"/>
              </w:rPr>
            </w:pPr>
          </w:p>
        </w:tc>
      </w:tr>
      <w:tr w:rsidR="00DF4B1F" w:rsidRPr="006E3382" w:rsidTr="00901FB6">
        <w:trPr>
          <w:trHeight w:val="3554"/>
          <w:jc w:val="center"/>
        </w:trPr>
        <w:tc>
          <w:tcPr>
            <w:tcW w:w="5868" w:type="dxa"/>
          </w:tcPr>
          <w:p w:rsidR="00DF4B1F" w:rsidRPr="006E3382" w:rsidRDefault="00DF4B1F" w:rsidP="00901FB6">
            <w:pPr>
              <w:jc w:val="center"/>
              <w:rPr>
                <w:b/>
                <w:bCs/>
                <w:szCs w:val="22"/>
              </w:rPr>
            </w:pPr>
            <w:r w:rsidRPr="006E3382">
              <w:rPr>
                <w:b/>
                <w:bCs/>
                <w:szCs w:val="22"/>
              </w:rPr>
              <w:t>Installation, activation, and initial configuration</w:t>
            </w:r>
          </w:p>
          <w:p w:rsidR="00DF4B1F" w:rsidRDefault="00DF4B1F" w:rsidP="00901FB6">
            <w:pPr>
              <w:jc w:val="both"/>
              <w:rPr>
                <w:bCs/>
                <w:szCs w:val="22"/>
              </w:rPr>
            </w:pPr>
          </w:p>
          <w:p w:rsidR="00DF4B1F" w:rsidRPr="006E3382" w:rsidRDefault="00DF4B1F" w:rsidP="00901FB6">
            <w:pPr>
              <w:jc w:val="both"/>
              <w:rPr>
                <w:bCs/>
                <w:szCs w:val="22"/>
              </w:rPr>
            </w:pPr>
            <w:r w:rsidRPr="006E3382">
              <w:rPr>
                <w:bCs/>
                <w:szCs w:val="22"/>
              </w:rPr>
              <w:t>Installation, activation, and initial configuration of eligible components are eligible.  These services may include:</w:t>
            </w:r>
          </w:p>
          <w:p w:rsidR="00DF4B1F" w:rsidRPr="006E3382" w:rsidRDefault="00DF4B1F" w:rsidP="00DF4B1F">
            <w:pPr>
              <w:numPr>
                <w:ilvl w:val="0"/>
                <w:numId w:val="26"/>
              </w:numPr>
              <w:contextualSpacing/>
              <w:jc w:val="both"/>
              <w:rPr>
                <w:bCs/>
                <w:szCs w:val="22"/>
              </w:rPr>
            </w:pPr>
            <w:r>
              <w:rPr>
                <w:bCs/>
                <w:szCs w:val="22"/>
              </w:rPr>
              <w:t>D</w:t>
            </w:r>
            <w:r w:rsidRPr="006E3382">
              <w:rPr>
                <w:bCs/>
                <w:szCs w:val="22"/>
              </w:rPr>
              <w:t>esign and engineering costs if these services are provided as an integral component of the installation of the relevant services</w:t>
            </w:r>
          </w:p>
          <w:p w:rsidR="00DF4B1F" w:rsidRDefault="00DF4B1F" w:rsidP="00DF4B1F">
            <w:pPr>
              <w:numPr>
                <w:ilvl w:val="0"/>
                <w:numId w:val="26"/>
              </w:numPr>
              <w:contextualSpacing/>
              <w:jc w:val="both"/>
              <w:rPr>
                <w:bCs/>
                <w:szCs w:val="22"/>
              </w:rPr>
            </w:pPr>
            <w:r>
              <w:rPr>
                <w:bCs/>
                <w:szCs w:val="22"/>
              </w:rPr>
              <w:t>P</w:t>
            </w:r>
            <w:r w:rsidRPr="006E3382">
              <w:rPr>
                <w:bCs/>
                <w:szCs w:val="22"/>
              </w:rPr>
              <w:t>roject management costs if these services are provided as an integral component of the installation of the relevant services</w:t>
            </w:r>
          </w:p>
          <w:p w:rsidR="00DF4B1F" w:rsidRPr="0030236F" w:rsidRDefault="00DF4B1F" w:rsidP="00DF4B1F">
            <w:pPr>
              <w:numPr>
                <w:ilvl w:val="0"/>
                <w:numId w:val="26"/>
              </w:numPr>
              <w:contextualSpacing/>
              <w:jc w:val="both"/>
              <w:rPr>
                <w:bCs/>
                <w:sz w:val="20"/>
                <w:szCs w:val="22"/>
              </w:rPr>
            </w:pPr>
            <w:r w:rsidRPr="006E3382">
              <w:rPr>
                <w:bCs/>
                <w:szCs w:val="22"/>
              </w:rPr>
              <w:t>On-site training is eligible as a part of installation services</w:t>
            </w:r>
            <w:r w:rsidRPr="006E3382">
              <w:rPr>
                <w:szCs w:val="22"/>
              </w:rPr>
              <w:t xml:space="preserve"> but only if it is basic instruction on the use of eligible equipment, directly associated with equipment installation, and is part of the contract or agreement for the equipment.</w:t>
            </w:r>
            <w:r w:rsidRPr="006E3382">
              <w:rPr>
                <w:bCs/>
                <w:szCs w:val="22"/>
              </w:rPr>
              <w:t xml:space="preserve">  Training must occur coincidently or </w:t>
            </w:r>
            <w:r w:rsidRPr="006E3382">
              <w:rPr>
                <w:szCs w:val="22"/>
              </w:rPr>
              <w:t>within a reasonable time after installation.</w:t>
            </w:r>
          </w:p>
          <w:p w:rsidR="00DF4B1F" w:rsidRPr="006E3382" w:rsidRDefault="00DF4B1F" w:rsidP="00901FB6">
            <w:pPr>
              <w:ind w:left="720"/>
              <w:contextualSpacing/>
              <w:jc w:val="both"/>
              <w:rPr>
                <w:bCs/>
                <w:sz w:val="20"/>
                <w:szCs w:val="22"/>
              </w:rPr>
            </w:pPr>
          </w:p>
        </w:tc>
      </w:tr>
    </w:tbl>
    <w:p w:rsidR="006432BF" w:rsidRDefault="006432BF" w:rsidP="00045A60">
      <w:pPr>
        <w:jc w:val="center"/>
        <w:rPr>
          <w:bCs/>
          <w:szCs w:val="22"/>
        </w:rPr>
      </w:pPr>
    </w:p>
    <w:sectPr w:rsidR="006432BF" w:rsidSect="00DF4B1F">
      <w:footerReference w:type="default" r:id="rId26"/>
      <w:headerReference w:type="first" r:id="rId27"/>
      <w:pgSz w:w="12240" w:h="15840" w:code="1"/>
      <w:pgMar w:top="720" w:right="1440" w:bottom="1440" w:left="1440" w:header="720" w:footer="144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52" w:rsidRDefault="00C17452">
      <w:r>
        <w:separator/>
      </w:r>
    </w:p>
  </w:endnote>
  <w:endnote w:type="continuationSeparator" w:id="0">
    <w:p w:rsidR="00C17452" w:rsidRDefault="00C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C" w:rsidRDefault="00335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29766"/>
      <w:docPartObj>
        <w:docPartGallery w:val="Page Numbers (Bottom of Page)"/>
        <w:docPartUnique/>
      </w:docPartObj>
    </w:sdtPr>
    <w:sdtEndPr>
      <w:rPr>
        <w:noProof/>
      </w:rPr>
    </w:sdtEndPr>
    <w:sdtContent>
      <w:p w:rsidR="0082274C" w:rsidRDefault="0082274C">
        <w:pPr>
          <w:pStyle w:val="Footer"/>
          <w:jc w:val="center"/>
        </w:pPr>
        <w:r>
          <w:fldChar w:fldCharType="begin"/>
        </w:r>
        <w:r>
          <w:instrText xml:space="preserve"> PAGE   \* MERGEFORMAT </w:instrText>
        </w:r>
        <w:r>
          <w:fldChar w:fldCharType="separate"/>
        </w:r>
        <w:r w:rsidR="00530ED4">
          <w:rPr>
            <w:noProof/>
          </w:rPr>
          <w:t>6</w:t>
        </w:r>
        <w:r>
          <w:rPr>
            <w:noProof/>
          </w:rPr>
          <w:fldChar w:fldCharType="end"/>
        </w:r>
      </w:p>
    </w:sdtContent>
  </w:sdt>
  <w:p w:rsidR="0082274C" w:rsidRDefault="00822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C" w:rsidRDefault="00335D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73" w:rsidRDefault="002624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23" w:rsidRPr="00557EAB" w:rsidRDefault="00082A4D">
    <w:pPr>
      <w:pStyle w:val="Footer"/>
      <w:jc w:val="center"/>
      <w:rPr>
        <w:sz w:val="20"/>
      </w:rPr>
    </w:pPr>
    <w:r>
      <w:rPr>
        <w:sz w:val="20"/>
      </w:rPr>
      <w:fldChar w:fldCharType="begin"/>
    </w:r>
    <w:r>
      <w:rPr>
        <w:sz w:val="20"/>
      </w:rPr>
      <w:instrText xml:space="preserve"> PAGE  \* Arabic  \* MERGEFORMAT </w:instrText>
    </w:r>
    <w:r>
      <w:rPr>
        <w:sz w:val="20"/>
      </w:rPr>
      <w:fldChar w:fldCharType="separate"/>
    </w:r>
    <w:r w:rsidR="002624A2">
      <w:rPr>
        <w:noProof/>
        <w:sz w:val="20"/>
      </w:rPr>
      <w:t>2</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23" w:rsidRPr="00557EAB" w:rsidRDefault="00DA3D11" w:rsidP="00557EAB">
    <w:pPr>
      <w:pStyle w:val="Footer"/>
      <w:jc w:val="center"/>
      <w:rPr>
        <w:sz w:val="20"/>
      </w:rPr>
    </w:pPr>
    <w:r w:rsidRPr="00557EAB">
      <w:rPr>
        <w:sz w:val="20"/>
      </w:rPr>
      <w:t>(Draft) Schools and Libraries Eligible S</w:t>
    </w:r>
    <w:r w:rsidR="00DF4B1F">
      <w:rPr>
        <w:sz w:val="20"/>
      </w:rPr>
      <w:t>ervices List – Funding Year 2016</w:t>
    </w:r>
  </w:p>
  <w:p w:rsidR="00345323" w:rsidRPr="00557EAB" w:rsidRDefault="00DA3D11" w:rsidP="00557EAB">
    <w:pPr>
      <w:pStyle w:val="Footer"/>
      <w:jc w:val="center"/>
      <w:rPr>
        <w:sz w:val="20"/>
      </w:rPr>
    </w:pPr>
    <w:r w:rsidRPr="00557EAB">
      <w:rPr>
        <w:sz w:val="20"/>
      </w:rPr>
      <w:fldChar w:fldCharType="begin"/>
    </w:r>
    <w:r w:rsidRPr="00557EAB">
      <w:rPr>
        <w:sz w:val="20"/>
      </w:rPr>
      <w:instrText xml:space="preserve"> PAGE   \* MERGEFORMAT </w:instrText>
    </w:r>
    <w:r w:rsidRPr="00557EAB">
      <w:rPr>
        <w:sz w:val="20"/>
      </w:rPr>
      <w:fldChar w:fldCharType="separate"/>
    </w:r>
    <w:r w:rsidR="0086484A">
      <w:rPr>
        <w:noProof/>
        <w:sz w:val="20"/>
      </w:rPr>
      <w:t>1</w:t>
    </w:r>
    <w:r w:rsidRPr="00557EAB">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1F" w:rsidRPr="00557EAB" w:rsidRDefault="00DF4B1F" w:rsidP="00DF4B1F">
    <w:pPr>
      <w:pStyle w:val="Footer"/>
      <w:jc w:val="center"/>
      <w:rPr>
        <w:sz w:val="20"/>
      </w:rPr>
    </w:pPr>
    <w:r w:rsidRPr="00557EAB">
      <w:rPr>
        <w:sz w:val="20"/>
      </w:rPr>
      <w:t>(Draft) Schools and Libraries Eligible S</w:t>
    </w:r>
    <w:r>
      <w:rPr>
        <w:sz w:val="20"/>
      </w:rPr>
      <w:t>ervices List – Funding Year 2016</w:t>
    </w:r>
  </w:p>
  <w:p w:rsidR="00DF4B1F" w:rsidRPr="00557EAB" w:rsidRDefault="00DF4B1F">
    <w:pPr>
      <w:pStyle w:val="Footer"/>
      <w:jc w:val="center"/>
      <w:rPr>
        <w:sz w:val="20"/>
      </w:rPr>
    </w:pPr>
    <w:r>
      <w:rPr>
        <w:sz w:val="20"/>
      </w:rPr>
      <w:fldChar w:fldCharType="begin"/>
    </w:r>
    <w:r>
      <w:rPr>
        <w:sz w:val="20"/>
      </w:rPr>
      <w:instrText xml:space="preserve"> PAGE  \* Arabic  \* MERGEFORMAT </w:instrText>
    </w:r>
    <w:r>
      <w:rPr>
        <w:sz w:val="20"/>
      </w:rPr>
      <w:fldChar w:fldCharType="separate"/>
    </w:r>
    <w:r w:rsidR="0086484A">
      <w:rPr>
        <w:noProof/>
        <w:sz w:val="20"/>
      </w:rPr>
      <w:t>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52" w:rsidRDefault="00C17452">
      <w:r>
        <w:separator/>
      </w:r>
    </w:p>
  </w:footnote>
  <w:footnote w:type="continuationSeparator" w:id="0">
    <w:p w:rsidR="00C17452" w:rsidRDefault="00C17452">
      <w:r>
        <w:continuationSeparator/>
      </w:r>
    </w:p>
  </w:footnote>
  <w:footnote w:id="1">
    <w:p w:rsidR="0082274C" w:rsidRPr="00407A9E" w:rsidRDefault="0082274C" w:rsidP="001E6A7E">
      <w:pPr>
        <w:pStyle w:val="FootnoteText"/>
        <w:spacing w:after="120"/>
        <w:rPr>
          <w:sz w:val="20"/>
        </w:rPr>
      </w:pPr>
      <w:r w:rsidRPr="00407A9E">
        <w:rPr>
          <w:rStyle w:val="FootnoteReference"/>
          <w:sz w:val="20"/>
        </w:rPr>
        <w:footnoteRef/>
      </w:r>
      <w:r w:rsidRPr="00407A9E">
        <w:rPr>
          <w:sz w:val="20"/>
        </w:rPr>
        <w:t xml:space="preserve"> </w:t>
      </w:r>
      <w:r w:rsidRPr="00407A9E">
        <w:rPr>
          <w:i/>
          <w:sz w:val="20"/>
        </w:rPr>
        <w:t xml:space="preserve">See </w:t>
      </w:r>
      <w:r w:rsidRPr="00407A9E">
        <w:rPr>
          <w:sz w:val="20"/>
        </w:rPr>
        <w:t>47 C.F.R. § 54.502 (detailing the procedures for seeking comment on a draft ESL for the E-rate program for the upcoming funding year)</w:t>
      </w:r>
      <w:r w:rsidR="003337B0" w:rsidRPr="00407A9E">
        <w:rPr>
          <w:sz w:val="20"/>
        </w:rPr>
        <w:t>;</w:t>
      </w:r>
      <w:r w:rsidRPr="00407A9E">
        <w:rPr>
          <w:sz w:val="20"/>
        </w:rPr>
        <w:t xml:space="preserve"> </w:t>
      </w:r>
      <w:r w:rsidR="00907E32" w:rsidRPr="00407A9E">
        <w:rPr>
          <w:sz w:val="20"/>
        </w:rPr>
        <w:t>Attachment</w:t>
      </w:r>
      <w:r w:rsidR="00184317" w:rsidRPr="00407A9E">
        <w:rPr>
          <w:sz w:val="20"/>
        </w:rPr>
        <w:t xml:space="preserve">, </w:t>
      </w:r>
      <w:r w:rsidRPr="00407A9E">
        <w:rPr>
          <w:sz w:val="20"/>
        </w:rPr>
        <w:t>Draft Schools and Libraries Eligible Serv</w:t>
      </w:r>
      <w:r w:rsidR="00544FBB" w:rsidRPr="00407A9E">
        <w:rPr>
          <w:sz w:val="20"/>
        </w:rPr>
        <w:t>ices List for Funding Year 2016</w:t>
      </w:r>
      <w:r w:rsidRPr="00407A9E">
        <w:rPr>
          <w:sz w:val="20"/>
        </w:rPr>
        <w:t>.</w:t>
      </w:r>
    </w:p>
  </w:footnote>
  <w:footnote w:id="2">
    <w:p w:rsidR="00C06DC4" w:rsidRPr="002B3B65" w:rsidRDefault="00C06DC4" w:rsidP="006753EA">
      <w:pPr>
        <w:pStyle w:val="FootnoteText"/>
        <w:spacing w:after="120"/>
        <w:rPr>
          <w:sz w:val="20"/>
        </w:rPr>
      </w:pPr>
      <w:r w:rsidRPr="002B3B65">
        <w:rPr>
          <w:rStyle w:val="FootnoteReference"/>
          <w:sz w:val="20"/>
        </w:rPr>
        <w:footnoteRef/>
      </w:r>
      <w:r w:rsidRPr="002B3B65">
        <w:rPr>
          <w:sz w:val="20"/>
        </w:rPr>
        <w:t xml:space="preserve"> </w:t>
      </w:r>
      <w:r w:rsidR="00D03E51">
        <w:rPr>
          <w:sz w:val="20"/>
        </w:rPr>
        <w:t xml:space="preserve">Petitions for reconsideration of the Commission’s Second E-rate Modernization Order are pending before the Commission, but we do not invite requests for reconsideration of the E-rate Modernization Orders as part of this notice seeking comment on the proposed funding year 2016 ESL.  </w:t>
      </w:r>
      <w:r w:rsidR="000C5AA9" w:rsidRPr="002B3B65">
        <w:rPr>
          <w:i/>
          <w:sz w:val="20"/>
        </w:rPr>
        <w:t xml:space="preserve">See </w:t>
      </w:r>
      <w:r w:rsidR="00407A9E" w:rsidRPr="002B3B65">
        <w:rPr>
          <w:i/>
          <w:sz w:val="20"/>
        </w:rPr>
        <w:t>Modernizing the E-rate Program for Schools and Libraries</w:t>
      </w:r>
      <w:r w:rsidR="00407A9E" w:rsidRPr="002B3B65">
        <w:rPr>
          <w:sz w:val="20"/>
        </w:rPr>
        <w:t>, WC Docket No. 13-184, Order and Further Notice of Proposed Rulemaking, 29 FCC Rcd 8870 (2014) (</w:t>
      </w:r>
      <w:r w:rsidR="00407A9E" w:rsidRPr="002B3B65">
        <w:rPr>
          <w:i/>
          <w:sz w:val="20"/>
        </w:rPr>
        <w:t>E-rate Modernization Order</w:t>
      </w:r>
      <w:r w:rsidR="00407A9E" w:rsidRPr="002B3B65">
        <w:rPr>
          <w:sz w:val="20"/>
        </w:rPr>
        <w:t xml:space="preserve">); </w:t>
      </w:r>
      <w:r w:rsidR="00407A9E" w:rsidRPr="00407A9E">
        <w:rPr>
          <w:i/>
          <w:sz w:val="20"/>
        </w:rPr>
        <w:t>Modernizing the E-rate Program for S</w:t>
      </w:r>
      <w:r w:rsidR="00407A9E" w:rsidRPr="00B51CAE">
        <w:rPr>
          <w:i/>
          <w:sz w:val="20"/>
        </w:rPr>
        <w:t>chools and Libraries</w:t>
      </w:r>
      <w:r w:rsidR="00407A9E" w:rsidRPr="002776BC">
        <w:rPr>
          <w:i/>
          <w:sz w:val="20"/>
        </w:rPr>
        <w:t xml:space="preserve">, </w:t>
      </w:r>
      <w:r w:rsidR="00407A9E" w:rsidRPr="0025680D">
        <w:rPr>
          <w:i/>
          <w:sz w:val="20"/>
        </w:rPr>
        <w:t>Connect America Fund</w:t>
      </w:r>
      <w:r w:rsidR="00407A9E" w:rsidRPr="0025680D">
        <w:rPr>
          <w:sz w:val="20"/>
        </w:rPr>
        <w:t>, WC Docket Nos. 13-184, 10-90, Second Report and Order and Order on Reconsideration, 29 FCC Rcd 15538 (2014) (</w:t>
      </w:r>
      <w:r w:rsidR="00407A9E" w:rsidRPr="0025680D">
        <w:rPr>
          <w:i/>
          <w:sz w:val="20"/>
        </w:rPr>
        <w:t>Second E-rate Modernization Order</w:t>
      </w:r>
      <w:r w:rsidR="00407A9E" w:rsidRPr="0025680D">
        <w:rPr>
          <w:sz w:val="20"/>
        </w:rPr>
        <w:t>).</w:t>
      </w:r>
      <w:r w:rsidR="00407A9E" w:rsidRPr="002B3B65">
        <w:rPr>
          <w:sz w:val="20"/>
        </w:rPr>
        <w:t xml:space="preserve"> </w:t>
      </w:r>
    </w:p>
  </w:footnote>
  <w:footnote w:id="3">
    <w:p w:rsidR="0046391C" w:rsidRPr="0025680D" w:rsidRDefault="0046391C" w:rsidP="006753EA">
      <w:pPr>
        <w:pStyle w:val="FootnoteText"/>
        <w:spacing w:after="120"/>
        <w:rPr>
          <w:sz w:val="20"/>
        </w:rPr>
      </w:pPr>
      <w:r w:rsidRPr="00407A9E">
        <w:rPr>
          <w:rStyle w:val="FootnoteReference"/>
          <w:sz w:val="20"/>
        </w:rPr>
        <w:footnoteRef/>
      </w:r>
      <w:r w:rsidR="00407A9E" w:rsidRPr="0025680D">
        <w:rPr>
          <w:i/>
          <w:sz w:val="20"/>
        </w:rPr>
        <w:t>Second E-rate Modernization Order</w:t>
      </w:r>
      <w:r w:rsidR="00407A9E" w:rsidRPr="0025680D">
        <w:rPr>
          <w:sz w:val="20"/>
        </w:rPr>
        <w:t>, 29 FCC Rcd at</w:t>
      </w:r>
      <w:r w:rsidR="00F46C72" w:rsidRPr="0025680D">
        <w:rPr>
          <w:sz w:val="20"/>
        </w:rPr>
        <w:t xml:space="preserve"> 15549</w:t>
      </w:r>
      <w:r w:rsidR="0095791D" w:rsidRPr="0025680D">
        <w:rPr>
          <w:sz w:val="20"/>
        </w:rPr>
        <w:t>,</w:t>
      </w:r>
      <w:r w:rsidR="00F46C72" w:rsidRPr="0025680D">
        <w:rPr>
          <w:sz w:val="20"/>
        </w:rPr>
        <w:t xml:space="preserve"> paras. 30-54.</w:t>
      </w:r>
    </w:p>
  </w:footnote>
  <w:footnote w:id="4">
    <w:p w:rsidR="00EF26D1" w:rsidRPr="0025680D" w:rsidRDefault="00EF26D1" w:rsidP="006753EA">
      <w:pPr>
        <w:pStyle w:val="FootnoteText"/>
        <w:spacing w:after="120"/>
        <w:rPr>
          <w:sz w:val="20"/>
        </w:rPr>
      </w:pPr>
      <w:r w:rsidRPr="0025680D">
        <w:rPr>
          <w:rStyle w:val="FootnoteReference"/>
          <w:sz w:val="20"/>
        </w:rPr>
        <w:footnoteRef/>
      </w:r>
      <w:r w:rsidRPr="0025680D">
        <w:rPr>
          <w:sz w:val="20"/>
        </w:rPr>
        <w:t xml:space="preserve"> </w:t>
      </w:r>
      <w:r w:rsidR="00EA3F01" w:rsidRPr="0025680D">
        <w:rPr>
          <w:i/>
          <w:sz w:val="20"/>
        </w:rPr>
        <w:t>See Second E-rate Modernization Order</w:t>
      </w:r>
      <w:r w:rsidR="00EA3F01" w:rsidRPr="0025680D">
        <w:rPr>
          <w:sz w:val="20"/>
        </w:rPr>
        <w:t xml:space="preserve">, </w:t>
      </w:r>
      <w:r w:rsidR="00992BCB" w:rsidRPr="0025680D">
        <w:rPr>
          <w:sz w:val="20"/>
        </w:rPr>
        <w:t>29 FCC Rcd at 15552, para. 35 (</w:t>
      </w:r>
      <w:r w:rsidR="00992BCB" w:rsidRPr="0025680D">
        <w:rPr>
          <w:i/>
          <w:sz w:val="20"/>
        </w:rPr>
        <w:t>citing Rural Health Care Support Mechanism</w:t>
      </w:r>
      <w:r w:rsidR="00992BCB" w:rsidRPr="0025680D">
        <w:rPr>
          <w:sz w:val="20"/>
        </w:rPr>
        <w:t>, WC Docket No. 02-60, Report and Order, 27 FCC Rcd 16678,</w:t>
      </w:r>
      <w:r w:rsidR="00992BCB" w:rsidRPr="0025680D">
        <w:rPr>
          <w:i/>
          <w:sz w:val="20"/>
        </w:rPr>
        <w:t xml:space="preserve"> </w:t>
      </w:r>
      <w:r w:rsidR="00992BCB" w:rsidRPr="0025680D">
        <w:rPr>
          <w:sz w:val="20"/>
        </w:rPr>
        <w:t>16738, para. 131 (2012)</w:t>
      </w:r>
      <w:r w:rsidR="00E854EE" w:rsidRPr="0025680D">
        <w:rPr>
          <w:sz w:val="20"/>
        </w:rPr>
        <w:t>)</w:t>
      </w:r>
      <w:r w:rsidR="00992BCB" w:rsidRPr="0025680D">
        <w:rPr>
          <w:sz w:val="20"/>
        </w:rPr>
        <w:t>.</w:t>
      </w:r>
    </w:p>
  </w:footnote>
  <w:footnote w:id="5">
    <w:p w:rsidR="007D1724" w:rsidRPr="0025680D" w:rsidRDefault="007D1724" w:rsidP="006753EA">
      <w:pPr>
        <w:pStyle w:val="FootnoteText"/>
        <w:spacing w:after="120"/>
        <w:rPr>
          <w:sz w:val="20"/>
        </w:rPr>
      </w:pPr>
      <w:r w:rsidRPr="002B3B65">
        <w:rPr>
          <w:rStyle w:val="FootnoteReference"/>
          <w:sz w:val="20"/>
        </w:rPr>
        <w:footnoteRef/>
      </w:r>
      <w:r w:rsidRPr="002B3B65">
        <w:rPr>
          <w:sz w:val="20"/>
        </w:rPr>
        <w:t xml:space="preserve"> </w:t>
      </w:r>
      <w:r w:rsidR="00782555" w:rsidRPr="00407A9E">
        <w:rPr>
          <w:i/>
          <w:sz w:val="20"/>
        </w:rPr>
        <w:t xml:space="preserve">Id. </w:t>
      </w:r>
      <w:r w:rsidR="00782555" w:rsidRPr="00B51CAE">
        <w:rPr>
          <w:sz w:val="20"/>
        </w:rPr>
        <w:t>at 15602, para. 162.</w:t>
      </w:r>
    </w:p>
  </w:footnote>
  <w:footnote w:id="6">
    <w:p w:rsidR="00782555" w:rsidRPr="00B51CAE" w:rsidRDefault="00782555" w:rsidP="006753EA">
      <w:pPr>
        <w:pStyle w:val="FootnoteText"/>
        <w:spacing w:after="120"/>
        <w:rPr>
          <w:i/>
          <w:sz w:val="20"/>
        </w:rPr>
      </w:pPr>
      <w:r w:rsidRPr="002B3B65">
        <w:rPr>
          <w:rStyle w:val="FootnoteReference"/>
          <w:sz w:val="20"/>
        </w:rPr>
        <w:footnoteRef/>
      </w:r>
      <w:r w:rsidRPr="002B3B65">
        <w:rPr>
          <w:sz w:val="20"/>
        </w:rPr>
        <w:t xml:space="preserve"> </w:t>
      </w:r>
      <w:r w:rsidRPr="00407A9E">
        <w:rPr>
          <w:i/>
          <w:sz w:val="20"/>
        </w:rPr>
        <w:t xml:space="preserve">Id. </w:t>
      </w:r>
    </w:p>
  </w:footnote>
  <w:footnote w:id="7">
    <w:p w:rsidR="0076527F" w:rsidRPr="0025680D" w:rsidRDefault="0076527F" w:rsidP="006753EA">
      <w:pPr>
        <w:pStyle w:val="FootnoteText"/>
        <w:spacing w:after="120"/>
        <w:rPr>
          <w:sz w:val="20"/>
        </w:rPr>
      </w:pPr>
      <w:r w:rsidRPr="002B3B65">
        <w:rPr>
          <w:rStyle w:val="FootnoteReference"/>
          <w:sz w:val="20"/>
        </w:rPr>
        <w:footnoteRef/>
      </w:r>
      <w:r w:rsidRPr="00407A9E">
        <w:rPr>
          <w:sz w:val="20"/>
        </w:rPr>
        <w:t xml:space="preserve"> </w:t>
      </w:r>
      <w:r w:rsidRPr="00B51CAE">
        <w:rPr>
          <w:i/>
          <w:sz w:val="20"/>
        </w:rPr>
        <w:t>Schools and Libraries Universal Service Support Mechanism</w:t>
      </w:r>
      <w:r w:rsidRPr="0025680D">
        <w:rPr>
          <w:sz w:val="20"/>
        </w:rPr>
        <w:t>, CC Docket No. 02-6, Order, 28 FCC Rcd 1</w:t>
      </w:r>
      <w:r w:rsidR="002C4A39" w:rsidRPr="0025680D">
        <w:rPr>
          <w:sz w:val="20"/>
        </w:rPr>
        <w:t>4583</w:t>
      </w:r>
      <w:r w:rsidR="009E12EE" w:rsidRPr="0025680D">
        <w:rPr>
          <w:sz w:val="20"/>
        </w:rPr>
        <w:t>, App. B – Eligible Services List</w:t>
      </w:r>
      <w:r w:rsidRPr="0025680D">
        <w:rPr>
          <w:sz w:val="20"/>
        </w:rPr>
        <w:t xml:space="preserve"> (Wireline Comp. Bur. 2013)</w:t>
      </w:r>
      <w:r w:rsidR="002C4A39" w:rsidRPr="0025680D">
        <w:rPr>
          <w:sz w:val="20"/>
        </w:rPr>
        <w:t xml:space="preserve"> (</w:t>
      </w:r>
      <w:r w:rsidR="009E12EE" w:rsidRPr="0025680D">
        <w:rPr>
          <w:sz w:val="20"/>
        </w:rPr>
        <w:t>explaining that</w:t>
      </w:r>
      <w:r w:rsidR="002C4A39" w:rsidRPr="0025680D">
        <w:rPr>
          <w:sz w:val="20"/>
        </w:rPr>
        <w:t xml:space="preserve"> ISDN </w:t>
      </w:r>
      <w:r w:rsidR="009E12EE" w:rsidRPr="0025680D">
        <w:rPr>
          <w:sz w:val="20"/>
        </w:rPr>
        <w:t>is</w:t>
      </w:r>
      <w:r w:rsidR="002C4A39" w:rsidRPr="0025680D">
        <w:rPr>
          <w:sz w:val="20"/>
        </w:rPr>
        <w:t xml:space="preserve"> synonymous with BRI and PRI</w:t>
      </w:r>
      <w:r w:rsidR="009E12EE" w:rsidRPr="0025680D">
        <w:rPr>
          <w:sz w:val="20"/>
        </w:rPr>
        <w:t>)</w:t>
      </w:r>
      <w:r w:rsidRPr="0025680D">
        <w:rPr>
          <w:sz w:val="20"/>
        </w:rPr>
        <w:t>.</w:t>
      </w:r>
    </w:p>
  </w:footnote>
  <w:footnote w:id="8">
    <w:p w:rsidR="00E7349A" w:rsidRPr="0025680D" w:rsidRDefault="00E7349A" w:rsidP="006753EA">
      <w:pPr>
        <w:pStyle w:val="FootnoteText"/>
        <w:spacing w:after="120"/>
        <w:rPr>
          <w:sz w:val="20"/>
        </w:rPr>
      </w:pPr>
      <w:r w:rsidRPr="0025680D">
        <w:rPr>
          <w:rStyle w:val="FootnoteReference"/>
          <w:sz w:val="20"/>
        </w:rPr>
        <w:footnoteRef/>
      </w:r>
      <w:r w:rsidRPr="0025680D">
        <w:rPr>
          <w:sz w:val="20"/>
        </w:rPr>
        <w:t xml:space="preserve"> </w:t>
      </w:r>
      <w:r w:rsidR="00687CF1" w:rsidRPr="0025680D">
        <w:rPr>
          <w:i/>
          <w:sz w:val="20"/>
        </w:rPr>
        <w:t>See Schools and Libraries Universal Service Support Mechanism, A National Broadband Plan for Our Future</w:t>
      </w:r>
      <w:r w:rsidR="00687CF1" w:rsidRPr="0025680D">
        <w:rPr>
          <w:sz w:val="20"/>
        </w:rPr>
        <w:t>, CC Docket N</w:t>
      </w:r>
      <w:r w:rsidR="00E854EE" w:rsidRPr="0025680D">
        <w:rPr>
          <w:sz w:val="20"/>
        </w:rPr>
        <w:t>o</w:t>
      </w:r>
      <w:r w:rsidR="00687CF1" w:rsidRPr="0025680D">
        <w:rPr>
          <w:sz w:val="20"/>
        </w:rPr>
        <w:t>. 02-6, GN Docket No. 09-51, Sixth Report and Order, 25 FCC Rcd 18762, 18808-18809, para. 105 (2010)</w:t>
      </w:r>
      <w:r w:rsidR="00E854EE" w:rsidRPr="0025680D">
        <w:rPr>
          <w:sz w:val="20"/>
        </w:rPr>
        <w:t xml:space="preserve"> (</w:t>
      </w:r>
      <w:r w:rsidR="00E854EE" w:rsidRPr="0025680D">
        <w:rPr>
          <w:i/>
          <w:sz w:val="20"/>
        </w:rPr>
        <w:t>Sixth Report and Order</w:t>
      </w:r>
      <w:r w:rsidR="00E854EE" w:rsidRPr="0025680D">
        <w:rPr>
          <w:sz w:val="20"/>
        </w:rPr>
        <w:t>)</w:t>
      </w:r>
      <w:r w:rsidR="00687CF1" w:rsidRPr="0025680D">
        <w:rPr>
          <w:sz w:val="20"/>
        </w:rPr>
        <w:t>.</w:t>
      </w:r>
    </w:p>
  </w:footnote>
  <w:footnote w:id="9">
    <w:p w:rsidR="00E7349A" w:rsidRPr="0025680D" w:rsidRDefault="00E7349A" w:rsidP="006753EA">
      <w:pPr>
        <w:pStyle w:val="FootnoteText"/>
        <w:spacing w:after="120"/>
        <w:rPr>
          <w:sz w:val="20"/>
        </w:rPr>
      </w:pPr>
      <w:r w:rsidRPr="0025680D">
        <w:rPr>
          <w:rStyle w:val="FootnoteReference"/>
          <w:sz w:val="20"/>
        </w:rPr>
        <w:footnoteRef/>
      </w:r>
      <w:r w:rsidRPr="0025680D">
        <w:rPr>
          <w:sz w:val="20"/>
        </w:rPr>
        <w:t xml:space="preserve"> </w:t>
      </w:r>
      <w:r w:rsidR="00C85007" w:rsidRPr="0025680D">
        <w:rPr>
          <w:i/>
          <w:sz w:val="20"/>
        </w:rPr>
        <w:t>Schools and Libraries Universal Service Support Mechanism</w:t>
      </w:r>
      <w:r w:rsidR="00C85007" w:rsidRPr="0025680D">
        <w:rPr>
          <w:sz w:val="20"/>
        </w:rPr>
        <w:t>, CC Docket No. 02-6, Order, 26 FCC Rcd 13280, 13284, para. 14 (Wireline Comp. Bur. 2011).</w:t>
      </w:r>
    </w:p>
  </w:footnote>
  <w:footnote w:id="10">
    <w:p w:rsidR="00544FBB" w:rsidRPr="00B51CAE" w:rsidRDefault="00544FBB" w:rsidP="006753EA">
      <w:pPr>
        <w:pStyle w:val="FootnoteText"/>
        <w:spacing w:after="120"/>
        <w:rPr>
          <w:i/>
          <w:sz w:val="20"/>
        </w:rPr>
      </w:pPr>
      <w:r w:rsidRPr="0025680D">
        <w:rPr>
          <w:rStyle w:val="FootnoteReference"/>
          <w:sz w:val="20"/>
        </w:rPr>
        <w:footnoteRef/>
      </w:r>
      <w:r w:rsidRPr="0025680D">
        <w:rPr>
          <w:sz w:val="20"/>
        </w:rPr>
        <w:t xml:space="preserve"> </w:t>
      </w:r>
      <w:r w:rsidR="00782C28" w:rsidRPr="0025680D">
        <w:rPr>
          <w:i/>
          <w:sz w:val="20"/>
        </w:rPr>
        <w:t xml:space="preserve">See Schools and Libraries Universal Service Support Mechanism et al., </w:t>
      </w:r>
      <w:r w:rsidR="00782C28" w:rsidRPr="0025680D">
        <w:rPr>
          <w:sz w:val="20"/>
        </w:rPr>
        <w:t xml:space="preserve">CC Docket No. 02-6 </w:t>
      </w:r>
      <w:r w:rsidR="00782C28" w:rsidRPr="002776BC">
        <w:rPr>
          <w:sz w:val="20"/>
        </w:rPr>
        <w:t>et al</w:t>
      </w:r>
      <w:r w:rsidR="002776BC">
        <w:rPr>
          <w:sz w:val="20"/>
        </w:rPr>
        <w:t>.,</w:t>
      </w:r>
      <w:r w:rsidR="003D4A04" w:rsidRPr="0025680D">
        <w:rPr>
          <w:i/>
          <w:sz w:val="20"/>
        </w:rPr>
        <w:t xml:space="preserve"> </w:t>
      </w:r>
      <w:r w:rsidR="003D4A04" w:rsidRPr="0025680D">
        <w:rPr>
          <w:sz w:val="20"/>
        </w:rPr>
        <w:t>Order</w:t>
      </w:r>
      <w:r w:rsidR="00846AA6" w:rsidRPr="0025680D">
        <w:rPr>
          <w:sz w:val="20"/>
        </w:rPr>
        <w:t xml:space="preserve">, 29 FCC Rcd </w:t>
      </w:r>
      <w:r w:rsidR="00782C28" w:rsidRPr="0025680D">
        <w:rPr>
          <w:sz w:val="20"/>
        </w:rPr>
        <w:t>13404 (Wireline Comp. Bur. 2014)</w:t>
      </w:r>
      <w:r w:rsidR="003B2A4A" w:rsidRPr="00B51CAE">
        <w:rPr>
          <w:sz w:val="20"/>
        </w:rPr>
        <w:t>.</w:t>
      </w:r>
    </w:p>
  </w:footnote>
  <w:footnote w:id="11">
    <w:p w:rsidR="0082274C" w:rsidRPr="0025680D" w:rsidRDefault="0082274C" w:rsidP="006753EA">
      <w:pPr>
        <w:pStyle w:val="FootnoteText"/>
        <w:spacing w:after="120"/>
        <w:rPr>
          <w:sz w:val="20"/>
        </w:rPr>
      </w:pPr>
      <w:r w:rsidRPr="0025680D">
        <w:rPr>
          <w:rStyle w:val="FootnoteReference"/>
          <w:sz w:val="20"/>
        </w:rPr>
        <w:footnoteRef/>
      </w:r>
      <w:r w:rsidRPr="0025680D">
        <w:rPr>
          <w:sz w:val="20"/>
        </w:rPr>
        <w:t xml:space="preserve"> 47 C.F.R. §§ 1.415, 1.419.</w:t>
      </w:r>
    </w:p>
  </w:footnote>
  <w:footnote w:id="12">
    <w:p w:rsidR="0082274C" w:rsidRPr="0025680D" w:rsidRDefault="0082274C" w:rsidP="006753EA">
      <w:pPr>
        <w:pStyle w:val="FootnoteText"/>
        <w:spacing w:after="120"/>
        <w:rPr>
          <w:sz w:val="20"/>
        </w:rPr>
      </w:pPr>
      <w:r w:rsidRPr="0025680D">
        <w:rPr>
          <w:rStyle w:val="FootnoteReference"/>
          <w:sz w:val="20"/>
        </w:rPr>
        <w:footnoteRef/>
      </w:r>
      <w:r w:rsidRPr="0025680D">
        <w:rPr>
          <w:sz w:val="20"/>
        </w:rPr>
        <w:t xml:space="preserve"> Documents will generally be available electronically in ASCII, Microsoft Word, and/or Adobe Acrobat.</w:t>
      </w:r>
    </w:p>
  </w:footnote>
  <w:footnote w:id="13">
    <w:p w:rsidR="0082274C" w:rsidRPr="0025680D" w:rsidRDefault="0082274C" w:rsidP="006753EA">
      <w:pPr>
        <w:pStyle w:val="FootnoteText"/>
        <w:spacing w:after="120"/>
        <w:rPr>
          <w:i/>
          <w:iCs/>
          <w:sz w:val="20"/>
        </w:rPr>
      </w:pPr>
      <w:r w:rsidRPr="0025680D">
        <w:rPr>
          <w:rStyle w:val="FootnoteReference"/>
          <w:sz w:val="20"/>
        </w:rPr>
        <w:footnoteRef/>
      </w:r>
      <w:r w:rsidRPr="0025680D">
        <w:rPr>
          <w:sz w:val="20"/>
        </w:rPr>
        <w:t xml:space="preserve"> 47 C.F.R. §§ 1.1200 </w:t>
      </w:r>
      <w:r w:rsidRPr="0025680D">
        <w:rPr>
          <w:i/>
          <w:iCs/>
          <w:sz w:val="20"/>
        </w:rPr>
        <w:t>et seq.</w:t>
      </w:r>
    </w:p>
    <w:p w:rsidR="0082274C" w:rsidRPr="0025680D" w:rsidRDefault="0082274C" w:rsidP="00505A69">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2C" w:rsidRDefault="00335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4C" w:rsidRDefault="0082274C">
    <w:pPr>
      <w:pStyle w:val="Header"/>
      <w:rPr>
        <w:rFonts w:ascii="Arial" w:hAnsi="Arial"/>
        <w:b/>
        <w:sz w:val="24"/>
      </w:rPr>
    </w:pPr>
    <w:r>
      <w:rPr>
        <w:rFonts w:ascii="Arial" w:hAnsi="Arial"/>
        <w:b/>
        <w:sz w:val="24"/>
      </w:rPr>
      <w:t>Non-public draft – for internal use only</w:t>
    </w:r>
  </w:p>
  <w:p w:rsidR="0082274C" w:rsidRDefault="00822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4C" w:rsidRDefault="0082274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3D8752E" wp14:editId="421419DC">
          <wp:simplePos x="0" y="0"/>
          <wp:positionH relativeFrom="column">
            <wp:posOffset>678180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830F6F3" wp14:editId="297E7C94">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74C" w:rsidRDefault="0082274C">
                          <w:pPr>
                            <w:rPr>
                              <w:rFonts w:ascii="Arial" w:hAnsi="Arial"/>
                              <w:b/>
                            </w:rPr>
                          </w:pPr>
                          <w:r>
                            <w:rPr>
                              <w:rFonts w:ascii="Arial" w:hAnsi="Arial"/>
                              <w:b/>
                            </w:rPr>
                            <w:t>Federal Communications Commission</w:t>
                          </w:r>
                        </w:p>
                        <w:p w:rsidR="0082274C" w:rsidRDefault="008227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2274C" w:rsidRDefault="0082274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2274C" w:rsidRDefault="0082274C">
                    <w:pPr>
                      <w:rPr>
                        <w:rFonts w:ascii="Arial" w:hAnsi="Arial"/>
                        <w:b/>
                      </w:rPr>
                    </w:pPr>
                    <w:r>
                      <w:rPr>
                        <w:rFonts w:ascii="Arial" w:hAnsi="Arial"/>
                        <w:b/>
                      </w:rPr>
                      <w:t>Federal Communications Commission</w:t>
                    </w:r>
                  </w:p>
                  <w:p w:rsidR="0082274C" w:rsidRDefault="008227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2274C" w:rsidRDefault="0082274C">
                    <w:pPr>
                      <w:rPr>
                        <w:rFonts w:ascii="Arial" w:hAnsi="Arial"/>
                        <w:sz w:val="24"/>
                      </w:rPr>
                    </w:pPr>
                    <w:r>
                      <w:rPr>
                        <w:rFonts w:ascii="Arial" w:hAnsi="Arial"/>
                        <w:b/>
                      </w:rPr>
                      <w:t>Washington, D.C. 20554</w:t>
                    </w:r>
                  </w:p>
                </w:txbxContent>
              </v:textbox>
            </v:shape>
          </w:pict>
        </mc:Fallback>
      </mc:AlternateContent>
    </w:r>
    <w:r w:rsidR="002776BC">
      <w:rPr>
        <w:rFonts w:ascii="News Gothic MT" w:hAnsi="News Gothic MT"/>
        <w:b/>
        <w:kern w:val="28"/>
        <w:sz w:val="96"/>
      </w:rPr>
      <w:t xml:space="preserve">    </w:t>
    </w:r>
    <w:r>
      <w:rPr>
        <w:rFonts w:ascii="News Gothic MT" w:hAnsi="News Gothic MT"/>
        <w:b/>
        <w:kern w:val="28"/>
        <w:sz w:val="96"/>
      </w:rPr>
      <w:t>PUBLIC NOTICE</w:t>
    </w:r>
  </w:p>
  <w:p w:rsidR="0082274C" w:rsidRDefault="002776B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47E0B5C" wp14:editId="2286C135">
              <wp:simplePos x="0" y="0"/>
              <wp:positionH relativeFrom="column">
                <wp:posOffset>3778250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74C" w:rsidRDefault="0082274C">
                          <w:pPr>
                            <w:spacing w:before="40"/>
                            <w:jc w:val="right"/>
                            <w:rPr>
                              <w:rFonts w:ascii="Arial" w:hAnsi="Arial"/>
                              <w:b/>
                              <w:sz w:val="16"/>
                            </w:rPr>
                          </w:pPr>
                          <w:r>
                            <w:rPr>
                              <w:rFonts w:ascii="Arial" w:hAnsi="Arial"/>
                              <w:b/>
                              <w:sz w:val="16"/>
                            </w:rPr>
                            <w:t>News Media Information 202 / 418-0500</w:t>
                          </w:r>
                        </w:p>
                        <w:p w:rsidR="0082274C" w:rsidRDefault="0082274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274C" w:rsidRDefault="0082274C">
                          <w:pPr>
                            <w:jc w:val="right"/>
                            <w:rPr>
                              <w:rFonts w:ascii="Arial" w:hAnsi="Arial"/>
                              <w:b/>
                              <w:sz w:val="16"/>
                            </w:rPr>
                          </w:pPr>
                          <w:r>
                            <w:rPr>
                              <w:rFonts w:ascii="Arial" w:hAnsi="Arial"/>
                              <w:b/>
                              <w:sz w:val="16"/>
                            </w:rPr>
                            <w:t>TTY: 1-888-835-5322</w:t>
                          </w:r>
                        </w:p>
                        <w:p w:rsidR="0082274C" w:rsidRDefault="0082274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7.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" o:allowincell="f" stroked="f">
              <v:textbox inset=",0,,0">
                <w:txbxContent>
                  <w:p w:rsidR="0082274C" w:rsidRDefault="0082274C">
                    <w:pPr>
                      <w:spacing w:before="40"/>
                      <w:jc w:val="right"/>
                      <w:rPr>
                        <w:rFonts w:ascii="Arial" w:hAnsi="Arial"/>
                        <w:b/>
                        <w:sz w:val="16"/>
                      </w:rPr>
                    </w:pPr>
                    <w:r>
                      <w:rPr>
                        <w:rFonts w:ascii="Arial" w:hAnsi="Arial"/>
                        <w:b/>
                        <w:sz w:val="16"/>
                      </w:rPr>
                      <w:t>News Media Information 202 / 418-0500</w:t>
                    </w:r>
                  </w:p>
                  <w:p w:rsidR="0082274C" w:rsidRDefault="0082274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2274C" w:rsidRDefault="0082274C">
                    <w:pPr>
                      <w:jc w:val="right"/>
                      <w:rPr>
                        <w:rFonts w:ascii="Arial" w:hAnsi="Arial"/>
                        <w:b/>
                        <w:sz w:val="16"/>
                      </w:rPr>
                    </w:pPr>
                    <w:r>
                      <w:rPr>
                        <w:rFonts w:ascii="Arial" w:hAnsi="Arial"/>
                        <w:b/>
                        <w:sz w:val="16"/>
                      </w:rPr>
                      <w:t>TTY: 1-888-835-5322</w:t>
                    </w:r>
                  </w:p>
                  <w:p w:rsidR="0082274C" w:rsidRDefault="0082274C">
                    <w:pPr>
                      <w:jc w:val="right"/>
                    </w:pPr>
                  </w:p>
                </w:txbxContent>
              </v:textbox>
            </v:shape>
          </w:pict>
        </mc:Fallback>
      </mc:AlternateContent>
    </w:r>
    <w:r w:rsidR="0082274C">
      <w:rPr>
        <w:rFonts w:ascii="Arial" w:hAnsi="Arial"/>
        <w:b/>
        <w:noProof/>
      </w:rPr>
      <mc:AlternateContent>
        <mc:Choice Requires="wps">
          <w:drawing>
            <wp:anchor distT="0" distB="0" distL="114300" distR="114300" simplePos="0" relativeHeight="251657216" behindDoc="0" locked="0" layoutInCell="0" allowOverlap="1" wp14:anchorId="26AEE09A" wp14:editId="1DEB3F53">
              <wp:simplePos x="0" y="0"/>
              <wp:positionH relativeFrom="column">
                <wp:posOffset>476250</wp:posOffset>
              </wp:positionH>
              <wp:positionV relativeFrom="paragraph">
                <wp:posOffset>702310</wp:posOffset>
              </wp:positionV>
              <wp:extent cx="59436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5.3pt" to="50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RU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i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" o:allowincell="f"/>
          </w:pict>
        </mc:Fallback>
      </mc:AlternateContent>
    </w:r>
  </w:p>
  <w:p w:rsidR="001D269C" w:rsidRDefault="001D26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73" w:rsidRDefault="002624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23" w:rsidRPr="002776BC" w:rsidRDefault="002624A2" w:rsidP="002776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23" w:rsidRDefault="00DA3D11">
    <w:pPr>
      <w:pStyle w:val="Header"/>
      <w:tabs>
        <w:tab w:val="clear" w:pos="4320"/>
        <w:tab w:val="clear" w:pos="8640"/>
        <w:tab w:val="center" w:pos="4680"/>
        <w:tab w:val="right" w:pos="9360"/>
      </w:tabs>
      <w:rPr>
        <w:b/>
      </w:rPr>
    </w:pPr>
    <w:r>
      <w:rPr>
        <w:b/>
      </w:rPr>
      <w:tab/>
      <w:t>Federal Communications Commission</w:t>
    </w:r>
    <w:r>
      <w:rPr>
        <w:b/>
      </w:rPr>
      <w:tab/>
      <w:t xml:space="preserve">DA 14-xxx </w:t>
    </w:r>
  </w:p>
  <w:p w:rsidR="00345323" w:rsidRPr="00FF7FC4" w:rsidRDefault="00DA3D11">
    <w:pPr>
      <w:pStyle w:val="Header"/>
      <w:tabs>
        <w:tab w:val="clear" w:pos="8640"/>
        <w:tab w:val="right" w:pos="9360"/>
      </w:tabs>
      <w:rPr>
        <w:sz w:val="18"/>
        <w:szCs w:val="18"/>
      </w:rPr>
    </w:pPr>
    <w:r>
      <w:rPr>
        <w:noProof/>
      </w:rPr>
      <mc:AlternateContent>
        <mc:Choice Requires="wps">
          <w:drawing>
            <wp:anchor distT="0" distB="0" distL="114300" distR="114300" simplePos="0" relativeHeight="251661312" behindDoc="0" locked="0" layoutInCell="0" allowOverlap="1" wp14:anchorId="281245E5" wp14:editId="60103A01">
              <wp:simplePos x="0" y="0"/>
              <wp:positionH relativeFrom="column">
                <wp:posOffset>0</wp:posOffset>
              </wp:positionH>
              <wp:positionV relativeFrom="paragraph">
                <wp:posOffset>22225</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BftW3kSAgAA&#10;KQQAAA4AAAAAAAAAAAAAAAAALgIAAGRycy9lMm9Eb2MueG1sUEsBAi0AFAAGAAgAAAAhAO4pKK7Y&#10;AAAABAEAAA8AAAAAAAAAAAAAAAAAbAQAAGRycy9kb3ducmV2LnhtbFBLBQYAAAAABAAEAPMAAABx&#10;BQAAAAA=&#10;" o:allowincell="f" strokeweight="1.5pt"/>
          </w:pict>
        </mc:Fallback>
      </mc:AlternateContent>
    </w:r>
    <w:r>
      <w:rPr>
        <w:sz w:val="18"/>
        <w:szCs w:val="18"/>
      </w:rPr>
      <w:t>Non-public draft – For Internal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1F" w:rsidRPr="00FF7FC4" w:rsidRDefault="00DF4B1F" w:rsidP="00DF4B1F">
    <w:pPr>
      <w:pStyle w:val="Header"/>
      <w:tabs>
        <w:tab w:val="clear" w:pos="4320"/>
        <w:tab w:val="clear" w:pos="8640"/>
        <w:tab w:val="center" w:pos="4680"/>
        <w:tab w:val="right" w:pos="9360"/>
      </w:tabs>
      <w:rPr>
        <w:sz w:val="18"/>
        <w:szCs w:val="18"/>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7C9"/>
    <w:multiLevelType w:val="hybridMultilevel"/>
    <w:tmpl w:val="6B3A1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96BA3"/>
    <w:multiLevelType w:val="hybridMultilevel"/>
    <w:tmpl w:val="20C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742C4"/>
    <w:multiLevelType w:val="hybridMultilevel"/>
    <w:tmpl w:val="B9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0CC45D7"/>
    <w:multiLevelType w:val="hybridMultilevel"/>
    <w:tmpl w:val="FF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2B582DA0"/>
    <w:lvl w:ilvl="0">
      <w:start w:val="1"/>
      <w:numFmt w:val="decimal"/>
      <w:pStyle w:val="ParaNumCharCharCharCharChar"/>
      <w:lvlText w:val="%1."/>
      <w:lvlJc w:val="left"/>
      <w:pPr>
        <w:tabs>
          <w:tab w:val="num" w:pos="990"/>
        </w:tabs>
        <w:ind w:left="-90" w:firstLine="720"/>
      </w:pPr>
      <w:rPr>
        <w:rFonts w:cs="Times New Roman"/>
        <w:b w:val="0"/>
        <w:sz w:val="24"/>
        <w:szCs w:val="24"/>
      </w:rPr>
    </w:lvl>
  </w:abstractNum>
  <w:abstractNum w:abstractNumId="16">
    <w:nsid w:val="64874EEE"/>
    <w:multiLevelType w:val="hybridMultilevel"/>
    <w:tmpl w:val="ABD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4527B"/>
    <w:multiLevelType w:val="hybridMultilevel"/>
    <w:tmpl w:val="DF3CA2B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815D2B"/>
    <w:multiLevelType w:val="hybridMultilevel"/>
    <w:tmpl w:val="EF5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12A23"/>
    <w:multiLevelType w:val="hybridMultilevel"/>
    <w:tmpl w:val="87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8"/>
  </w:num>
  <w:num w:numId="13">
    <w:abstractNumId w:val="9"/>
  </w:num>
  <w:num w:numId="14">
    <w:abstractNumId w:val="4"/>
  </w:num>
  <w:num w:numId="15">
    <w:abstractNumId w:val="2"/>
  </w:num>
  <w:num w:numId="16">
    <w:abstractNumId w:val="0"/>
  </w:num>
  <w:num w:numId="17">
    <w:abstractNumId w:val="15"/>
  </w:num>
  <w:num w:numId="18">
    <w:abstractNumId w:val="7"/>
  </w:num>
  <w:num w:numId="19">
    <w:abstractNumId w:val="6"/>
  </w:num>
  <w:num w:numId="20">
    <w:abstractNumId w:val="18"/>
  </w:num>
  <w:num w:numId="21">
    <w:abstractNumId w:val="14"/>
  </w:num>
  <w:num w:numId="22">
    <w:abstractNumId w:val="17"/>
  </w:num>
  <w:num w:numId="23">
    <w:abstractNumId w:val="21"/>
  </w:num>
  <w:num w:numId="24">
    <w:abstractNumId w:val="1"/>
  </w:num>
  <w:num w:numId="25">
    <w:abstractNumId w:val="19"/>
  </w:num>
  <w:num w:numId="26">
    <w:abstractNumId w:val="20"/>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69"/>
    <w:rsid w:val="00003F10"/>
    <w:rsid w:val="000050CB"/>
    <w:rsid w:val="0002568E"/>
    <w:rsid w:val="00055299"/>
    <w:rsid w:val="00055BB4"/>
    <w:rsid w:val="00057EF5"/>
    <w:rsid w:val="00060D7F"/>
    <w:rsid w:val="00061243"/>
    <w:rsid w:val="00064250"/>
    <w:rsid w:val="00070733"/>
    <w:rsid w:val="000719B2"/>
    <w:rsid w:val="00082A4D"/>
    <w:rsid w:val="000910D0"/>
    <w:rsid w:val="000A5416"/>
    <w:rsid w:val="000A5A9D"/>
    <w:rsid w:val="000C40F8"/>
    <w:rsid w:val="000C5AA9"/>
    <w:rsid w:val="000D2CA4"/>
    <w:rsid w:val="000D3F60"/>
    <w:rsid w:val="000E2B05"/>
    <w:rsid w:val="000E4194"/>
    <w:rsid w:val="000F0323"/>
    <w:rsid w:val="000F5796"/>
    <w:rsid w:val="0011324D"/>
    <w:rsid w:val="0012043F"/>
    <w:rsid w:val="00121109"/>
    <w:rsid w:val="0012236E"/>
    <w:rsid w:val="001239D8"/>
    <w:rsid w:val="0016223B"/>
    <w:rsid w:val="00163175"/>
    <w:rsid w:val="001745E4"/>
    <w:rsid w:val="00182E0F"/>
    <w:rsid w:val="00184317"/>
    <w:rsid w:val="001937A7"/>
    <w:rsid w:val="001A5A09"/>
    <w:rsid w:val="001B742C"/>
    <w:rsid w:val="001D2209"/>
    <w:rsid w:val="001D269C"/>
    <w:rsid w:val="001D370D"/>
    <w:rsid w:val="001D40CA"/>
    <w:rsid w:val="001E28C2"/>
    <w:rsid w:val="001E663A"/>
    <w:rsid w:val="001E6A7E"/>
    <w:rsid w:val="00203954"/>
    <w:rsid w:val="00212E7D"/>
    <w:rsid w:val="00214758"/>
    <w:rsid w:val="002351E4"/>
    <w:rsid w:val="00236A1B"/>
    <w:rsid w:val="00237146"/>
    <w:rsid w:val="00242EB4"/>
    <w:rsid w:val="00244387"/>
    <w:rsid w:val="002478C4"/>
    <w:rsid w:val="00255B61"/>
    <w:rsid w:val="0025680D"/>
    <w:rsid w:val="002624A2"/>
    <w:rsid w:val="002776BC"/>
    <w:rsid w:val="002B3B65"/>
    <w:rsid w:val="002C4A39"/>
    <w:rsid w:val="002C4DD0"/>
    <w:rsid w:val="002E43F6"/>
    <w:rsid w:val="002E6193"/>
    <w:rsid w:val="002E7702"/>
    <w:rsid w:val="00311BF1"/>
    <w:rsid w:val="003337B0"/>
    <w:rsid w:val="00335D2C"/>
    <w:rsid w:val="0035344B"/>
    <w:rsid w:val="00362120"/>
    <w:rsid w:val="003745C9"/>
    <w:rsid w:val="003767C2"/>
    <w:rsid w:val="003B2A4A"/>
    <w:rsid w:val="003D4A04"/>
    <w:rsid w:val="003F5290"/>
    <w:rsid w:val="00400845"/>
    <w:rsid w:val="004057AB"/>
    <w:rsid w:val="00407A9E"/>
    <w:rsid w:val="00415917"/>
    <w:rsid w:val="00421A0E"/>
    <w:rsid w:val="00433CC1"/>
    <w:rsid w:val="00437E60"/>
    <w:rsid w:val="0046264B"/>
    <w:rsid w:val="00462671"/>
    <w:rsid w:val="0046391C"/>
    <w:rsid w:val="0047603D"/>
    <w:rsid w:val="00486333"/>
    <w:rsid w:val="00490D57"/>
    <w:rsid w:val="00492E50"/>
    <w:rsid w:val="00492F13"/>
    <w:rsid w:val="004B1851"/>
    <w:rsid w:val="004C5B63"/>
    <w:rsid w:val="004F324F"/>
    <w:rsid w:val="00503510"/>
    <w:rsid w:val="00505A69"/>
    <w:rsid w:val="005217AE"/>
    <w:rsid w:val="00525F7E"/>
    <w:rsid w:val="00530ED4"/>
    <w:rsid w:val="00534362"/>
    <w:rsid w:val="00536320"/>
    <w:rsid w:val="005406D7"/>
    <w:rsid w:val="00544FBB"/>
    <w:rsid w:val="00546F1F"/>
    <w:rsid w:val="0054746E"/>
    <w:rsid w:val="005479B5"/>
    <w:rsid w:val="00564B3F"/>
    <w:rsid w:val="00581DFE"/>
    <w:rsid w:val="00586BDF"/>
    <w:rsid w:val="005A3B93"/>
    <w:rsid w:val="005B2242"/>
    <w:rsid w:val="005B4E06"/>
    <w:rsid w:val="005C4BDC"/>
    <w:rsid w:val="005E5358"/>
    <w:rsid w:val="005E72BD"/>
    <w:rsid w:val="005F421E"/>
    <w:rsid w:val="006025DE"/>
    <w:rsid w:val="00604E3F"/>
    <w:rsid w:val="00626E77"/>
    <w:rsid w:val="0063085C"/>
    <w:rsid w:val="006432BF"/>
    <w:rsid w:val="00644301"/>
    <w:rsid w:val="00652147"/>
    <w:rsid w:val="0065724B"/>
    <w:rsid w:val="006753EA"/>
    <w:rsid w:val="006756D9"/>
    <w:rsid w:val="00676EC6"/>
    <w:rsid w:val="00681E82"/>
    <w:rsid w:val="00687CF1"/>
    <w:rsid w:val="006A6817"/>
    <w:rsid w:val="006B72E7"/>
    <w:rsid w:val="006C1C43"/>
    <w:rsid w:val="006D5EBD"/>
    <w:rsid w:val="006D6959"/>
    <w:rsid w:val="006E070F"/>
    <w:rsid w:val="006E75DD"/>
    <w:rsid w:val="006F410F"/>
    <w:rsid w:val="007120A0"/>
    <w:rsid w:val="00715C0C"/>
    <w:rsid w:val="0073171B"/>
    <w:rsid w:val="00742349"/>
    <w:rsid w:val="00744304"/>
    <w:rsid w:val="00750DFB"/>
    <w:rsid w:val="00754168"/>
    <w:rsid w:val="007547A8"/>
    <w:rsid w:val="00756AE0"/>
    <w:rsid w:val="007644E3"/>
    <w:rsid w:val="0076527F"/>
    <w:rsid w:val="00774C1C"/>
    <w:rsid w:val="0077747A"/>
    <w:rsid w:val="007823B0"/>
    <w:rsid w:val="00782555"/>
    <w:rsid w:val="00782C28"/>
    <w:rsid w:val="00783C22"/>
    <w:rsid w:val="007A285E"/>
    <w:rsid w:val="007B2C13"/>
    <w:rsid w:val="007D14E8"/>
    <w:rsid w:val="007D1724"/>
    <w:rsid w:val="007D3E45"/>
    <w:rsid w:val="007D4049"/>
    <w:rsid w:val="007E5806"/>
    <w:rsid w:val="007E75E5"/>
    <w:rsid w:val="007F21D9"/>
    <w:rsid w:val="007F226D"/>
    <w:rsid w:val="007F3262"/>
    <w:rsid w:val="007F59EA"/>
    <w:rsid w:val="00815CB3"/>
    <w:rsid w:val="0081643C"/>
    <w:rsid w:val="00820119"/>
    <w:rsid w:val="0082274C"/>
    <w:rsid w:val="00846AA6"/>
    <w:rsid w:val="008602AA"/>
    <w:rsid w:val="008621AB"/>
    <w:rsid w:val="008633BC"/>
    <w:rsid w:val="0086484A"/>
    <w:rsid w:val="0086562A"/>
    <w:rsid w:val="00865AC6"/>
    <w:rsid w:val="00886CDD"/>
    <w:rsid w:val="00893720"/>
    <w:rsid w:val="00893F8F"/>
    <w:rsid w:val="008A3B7B"/>
    <w:rsid w:val="008A6A23"/>
    <w:rsid w:val="008C26B9"/>
    <w:rsid w:val="008C2F65"/>
    <w:rsid w:val="008C540E"/>
    <w:rsid w:val="008C5D85"/>
    <w:rsid w:val="008C7A91"/>
    <w:rsid w:val="008D11A1"/>
    <w:rsid w:val="008D2C66"/>
    <w:rsid w:val="008E7B47"/>
    <w:rsid w:val="008F192F"/>
    <w:rsid w:val="00900402"/>
    <w:rsid w:val="009013FB"/>
    <w:rsid w:val="00907E32"/>
    <w:rsid w:val="00913A44"/>
    <w:rsid w:val="00955826"/>
    <w:rsid w:val="0095791D"/>
    <w:rsid w:val="00963557"/>
    <w:rsid w:val="009644CF"/>
    <w:rsid w:val="00976389"/>
    <w:rsid w:val="00981BAA"/>
    <w:rsid w:val="00982E7A"/>
    <w:rsid w:val="0098349B"/>
    <w:rsid w:val="00992BCB"/>
    <w:rsid w:val="00997F22"/>
    <w:rsid w:val="009A2932"/>
    <w:rsid w:val="009B41BB"/>
    <w:rsid w:val="009E10CE"/>
    <w:rsid w:val="009E12EE"/>
    <w:rsid w:val="00A03D75"/>
    <w:rsid w:val="00A12577"/>
    <w:rsid w:val="00A26152"/>
    <w:rsid w:val="00A26197"/>
    <w:rsid w:val="00A30E60"/>
    <w:rsid w:val="00A53FAF"/>
    <w:rsid w:val="00A54431"/>
    <w:rsid w:val="00A64A78"/>
    <w:rsid w:val="00A71A6C"/>
    <w:rsid w:val="00A83E48"/>
    <w:rsid w:val="00A87336"/>
    <w:rsid w:val="00A92198"/>
    <w:rsid w:val="00A9289D"/>
    <w:rsid w:val="00AA0A16"/>
    <w:rsid w:val="00AD19A9"/>
    <w:rsid w:val="00AD3A81"/>
    <w:rsid w:val="00AE21F6"/>
    <w:rsid w:val="00AE4C78"/>
    <w:rsid w:val="00AF3670"/>
    <w:rsid w:val="00B07F2B"/>
    <w:rsid w:val="00B26694"/>
    <w:rsid w:val="00B51CAE"/>
    <w:rsid w:val="00B77ED4"/>
    <w:rsid w:val="00B956E7"/>
    <w:rsid w:val="00B95A7E"/>
    <w:rsid w:val="00B97910"/>
    <w:rsid w:val="00B97CD4"/>
    <w:rsid w:val="00BA1AEE"/>
    <w:rsid w:val="00BB4401"/>
    <w:rsid w:val="00BF7AEE"/>
    <w:rsid w:val="00C06291"/>
    <w:rsid w:val="00C06DC4"/>
    <w:rsid w:val="00C17452"/>
    <w:rsid w:val="00C31773"/>
    <w:rsid w:val="00C342B1"/>
    <w:rsid w:val="00C43BA9"/>
    <w:rsid w:val="00C542EC"/>
    <w:rsid w:val="00C5612B"/>
    <w:rsid w:val="00C623C1"/>
    <w:rsid w:val="00C70B2A"/>
    <w:rsid w:val="00C813A1"/>
    <w:rsid w:val="00C85007"/>
    <w:rsid w:val="00CA7FCB"/>
    <w:rsid w:val="00CB4FFE"/>
    <w:rsid w:val="00CC712A"/>
    <w:rsid w:val="00CD32F5"/>
    <w:rsid w:val="00CF3C58"/>
    <w:rsid w:val="00CF5F8F"/>
    <w:rsid w:val="00D03E51"/>
    <w:rsid w:val="00D257AA"/>
    <w:rsid w:val="00D341A4"/>
    <w:rsid w:val="00D60FB1"/>
    <w:rsid w:val="00D84C5D"/>
    <w:rsid w:val="00D96384"/>
    <w:rsid w:val="00DA3D11"/>
    <w:rsid w:val="00DC18EA"/>
    <w:rsid w:val="00DD1D0D"/>
    <w:rsid w:val="00DF4B1F"/>
    <w:rsid w:val="00DF4F02"/>
    <w:rsid w:val="00DF74C0"/>
    <w:rsid w:val="00E010ED"/>
    <w:rsid w:val="00E01D3E"/>
    <w:rsid w:val="00E1143D"/>
    <w:rsid w:val="00E12C80"/>
    <w:rsid w:val="00E131E0"/>
    <w:rsid w:val="00E17FE1"/>
    <w:rsid w:val="00E21B42"/>
    <w:rsid w:val="00E21D72"/>
    <w:rsid w:val="00E22C33"/>
    <w:rsid w:val="00E24CAE"/>
    <w:rsid w:val="00E254D4"/>
    <w:rsid w:val="00E34566"/>
    <w:rsid w:val="00E46064"/>
    <w:rsid w:val="00E53505"/>
    <w:rsid w:val="00E605BC"/>
    <w:rsid w:val="00E7349A"/>
    <w:rsid w:val="00E82D32"/>
    <w:rsid w:val="00E854EE"/>
    <w:rsid w:val="00E95606"/>
    <w:rsid w:val="00E9787E"/>
    <w:rsid w:val="00EA3F01"/>
    <w:rsid w:val="00EC5454"/>
    <w:rsid w:val="00EF26D1"/>
    <w:rsid w:val="00F1335D"/>
    <w:rsid w:val="00F174F8"/>
    <w:rsid w:val="00F20915"/>
    <w:rsid w:val="00F4229F"/>
    <w:rsid w:val="00F46C72"/>
    <w:rsid w:val="00F601B3"/>
    <w:rsid w:val="00F7025A"/>
    <w:rsid w:val="00F726E3"/>
    <w:rsid w:val="00F9534D"/>
    <w:rsid w:val="00FA5BA8"/>
    <w:rsid w:val="00FC1090"/>
    <w:rsid w:val="00FC5144"/>
    <w:rsid w:val="00FF3BB6"/>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basedOn w:val="DefaultParagraphFont"/>
    <w:uiPriority w:val="99"/>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stylenumberedparagraphs11ptchar">
    <w:name w:val="stylenumberedparagraphs11ptchar"/>
    <w:rsid w:val="00A03D75"/>
  </w:style>
  <w:style w:type="paragraph" w:customStyle="1" w:styleId="ParaNumCharCharCharCharChar">
    <w:name w:val="ParaNum Char Char Char Char Char"/>
    <w:basedOn w:val="Normal"/>
    <w:rsid w:val="00E1143D"/>
    <w:pPr>
      <w:widowControl w:val="0"/>
      <w:numPr>
        <w:numId w:val="17"/>
      </w:numPr>
      <w:spacing w:after="220"/>
      <w:jc w:val="both"/>
    </w:pPr>
    <w:rPr>
      <w:kern w:val="28"/>
    </w:rPr>
  </w:style>
  <w:style w:type="character" w:customStyle="1" w:styleId="FooterChar">
    <w:name w:val="Footer Char"/>
    <w:basedOn w:val="DefaultParagraphFont"/>
    <w:link w:val="Footer"/>
    <w:uiPriority w:val="99"/>
    <w:rsid w:val="000A5416"/>
    <w:rPr>
      <w:sz w:val="22"/>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2"/>
    <w:basedOn w:val="DefaultParagraphFont"/>
    <w:link w:val="FootnoteText"/>
    <w:semiHidden/>
    <w:rsid w:val="00E24CAE"/>
    <w:rPr>
      <w:sz w:val="22"/>
    </w:rPr>
  </w:style>
  <w:style w:type="paragraph" w:styleId="BalloonText">
    <w:name w:val="Balloon Text"/>
    <w:basedOn w:val="Normal"/>
    <w:link w:val="BalloonTextChar"/>
    <w:uiPriority w:val="99"/>
    <w:semiHidden/>
    <w:unhideWhenUsed/>
    <w:rsid w:val="00AE21F6"/>
    <w:rPr>
      <w:rFonts w:ascii="Tahoma" w:hAnsi="Tahoma" w:cs="Tahoma"/>
      <w:sz w:val="16"/>
      <w:szCs w:val="16"/>
    </w:rPr>
  </w:style>
  <w:style w:type="character" w:customStyle="1" w:styleId="BalloonTextChar">
    <w:name w:val="Balloon Text Char"/>
    <w:basedOn w:val="DefaultParagraphFont"/>
    <w:link w:val="BalloonText"/>
    <w:uiPriority w:val="99"/>
    <w:semiHidden/>
    <w:rsid w:val="00AE21F6"/>
    <w:rPr>
      <w:rFonts w:ascii="Tahoma" w:hAnsi="Tahoma" w:cs="Tahoma"/>
      <w:sz w:val="16"/>
      <w:szCs w:val="16"/>
    </w:rPr>
  </w:style>
  <w:style w:type="character" w:styleId="CommentReference">
    <w:name w:val="annotation reference"/>
    <w:basedOn w:val="DefaultParagraphFont"/>
    <w:uiPriority w:val="99"/>
    <w:semiHidden/>
    <w:unhideWhenUsed/>
    <w:rsid w:val="00604E3F"/>
    <w:rPr>
      <w:sz w:val="16"/>
      <w:szCs w:val="16"/>
    </w:rPr>
  </w:style>
  <w:style w:type="paragraph" w:styleId="CommentText">
    <w:name w:val="annotation text"/>
    <w:basedOn w:val="Normal"/>
    <w:link w:val="CommentTextChar"/>
    <w:uiPriority w:val="99"/>
    <w:unhideWhenUsed/>
    <w:rsid w:val="00604E3F"/>
    <w:rPr>
      <w:sz w:val="20"/>
    </w:rPr>
  </w:style>
  <w:style w:type="character" w:customStyle="1" w:styleId="CommentTextChar">
    <w:name w:val="Comment Text Char"/>
    <w:basedOn w:val="DefaultParagraphFont"/>
    <w:link w:val="CommentText"/>
    <w:uiPriority w:val="99"/>
    <w:rsid w:val="00604E3F"/>
  </w:style>
  <w:style w:type="paragraph" w:styleId="CommentSubject">
    <w:name w:val="annotation subject"/>
    <w:basedOn w:val="CommentText"/>
    <w:next w:val="CommentText"/>
    <w:link w:val="CommentSubjectChar"/>
    <w:uiPriority w:val="99"/>
    <w:semiHidden/>
    <w:unhideWhenUsed/>
    <w:rsid w:val="00604E3F"/>
    <w:rPr>
      <w:b/>
      <w:bCs/>
    </w:rPr>
  </w:style>
  <w:style w:type="character" w:customStyle="1" w:styleId="CommentSubjectChar">
    <w:name w:val="Comment Subject Char"/>
    <w:basedOn w:val="CommentTextChar"/>
    <w:link w:val="CommentSubject"/>
    <w:uiPriority w:val="99"/>
    <w:semiHidden/>
    <w:rsid w:val="00604E3F"/>
    <w:rPr>
      <w:b/>
      <w:bCs/>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ocked/>
    <w:rsid w:val="007E75E5"/>
    <w:rPr>
      <w:rFonts w:ascii="Times New Roman" w:eastAsia="Times New Roman" w:hAnsi="Times New Roman" w:cs="Times New Roman"/>
      <w:sz w:val="20"/>
      <w:szCs w:val="20"/>
    </w:rPr>
  </w:style>
  <w:style w:type="paragraph" w:styleId="NormalWeb">
    <w:name w:val="Normal (Web)"/>
    <w:basedOn w:val="Normal"/>
    <w:rsid w:val="006432BF"/>
    <w:pPr>
      <w:spacing w:before="100" w:beforeAutospacing="1" w:after="100" w:afterAutospacing="1"/>
    </w:pPr>
    <w:rPr>
      <w:rFonts w:ascii="Verdana" w:hAnsi="Verdana"/>
      <w:sz w:val="20"/>
    </w:rPr>
  </w:style>
  <w:style w:type="paragraph" w:styleId="ListParagraph">
    <w:name w:val="List Paragraph"/>
    <w:basedOn w:val="Normal"/>
    <w:uiPriority w:val="34"/>
    <w:qFormat/>
    <w:rsid w:val="006432BF"/>
    <w:pPr>
      <w:ind w:left="720"/>
      <w:contextualSpacing/>
    </w:pPr>
  </w:style>
  <w:style w:type="table" w:styleId="TableGrid">
    <w:name w:val="Table Grid"/>
    <w:basedOn w:val="TableNormal"/>
    <w:uiPriority w:val="59"/>
    <w:rsid w:val="00643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F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basedOn w:val="DefaultParagraphFont"/>
    <w:uiPriority w:val="99"/>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stylenumberedparagraphs11ptchar">
    <w:name w:val="stylenumberedparagraphs11ptchar"/>
    <w:rsid w:val="00A03D75"/>
  </w:style>
  <w:style w:type="paragraph" w:customStyle="1" w:styleId="ParaNumCharCharCharCharChar">
    <w:name w:val="ParaNum Char Char Char Char Char"/>
    <w:basedOn w:val="Normal"/>
    <w:rsid w:val="00E1143D"/>
    <w:pPr>
      <w:widowControl w:val="0"/>
      <w:numPr>
        <w:numId w:val="17"/>
      </w:numPr>
      <w:spacing w:after="220"/>
      <w:jc w:val="both"/>
    </w:pPr>
    <w:rPr>
      <w:kern w:val="28"/>
    </w:rPr>
  </w:style>
  <w:style w:type="character" w:customStyle="1" w:styleId="FooterChar">
    <w:name w:val="Footer Char"/>
    <w:basedOn w:val="DefaultParagraphFont"/>
    <w:link w:val="Footer"/>
    <w:uiPriority w:val="99"/>
    <w:rsid w:val="000A5416"/>
    <w:rPr>
      <w:sz w:val="22"/>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2"/>
    <w:basedOn w:val="DefaultParagraphFont"/>
    <w:link w:val="FootnoteText"/>
    <w:semiHidden/>
    <w:rsid w:val="00E24CAE"/>
    <w:rPr>
      <w:sz w:val="22"/>
    </w:rPr>
  </w:style>
  <w:style w:type="paragraph" w:styleId="BalloonText">
    <w:name w:val="Balloon Text"/>
    <w:basedOn w:val="Normal"/>
    <w:link w:val="BalloonTextChar"/>
    <w:uiPriority w:val="99"/>
    <w:semiHidden/>
    <w:unhideWhenUsed/>
    <w:rsid w:val="00AE21F6"/>
    <w:rPr>
      <w:rFonts w:ascii="Tahoma" w:hAnsi="Tahoma" w:cs="Tahoma"/>
      <w:sz w:val="16"/>
      <w:szCs w:val="16"/>
    </w:rPr>
  </w:style>
  <w:style w:type="character" w:customStyle="1" w:styleId="BalloonTextChar">
    <w:name w:val="Balloon Text Char"/>
    <w:basedOn w:val="DefaultParagraphFont"/>
    <w:link w:val="BalloonText"/>
    <w:uiPriority w:val="99"/>
    <w:semiHidden/>
    <w:rsid w:val="00AE21F6"/>
    <w:rPr>
      <w:rFonts w:ascii="Tahoma" w:hAnsi="Tahoma" w:cs="Tahoma"/>
      <w:sz w:val="16"/>
      <w:szCs w:val="16"/>
    </w:rPr>
  </w:style>
  <w:style w:type="character" w:styleId="CommentReference">
    <w:name w:val="annotation reference"/>
    <w:basedOn w:val="DefaultParagraphFont"/>
    <w:uiPriority w:val="99"/>
    <w:semiHidden/>
    <w:unhideWhenUsed/>
    <w:rsid w:val="00604E3F"/>
    <w:rPr>
      <w:sz w:val="16"/>
      <w:szCs w:val="16"/>
    </w:rPr>
  </w:style>
  <w:style w:type="paragraph" w:styleId="CommentText">
    <w:name w:val="annotation text"/>
    <w:basedOn w:val="Normal"/>
    <w:link w:val="CommentTextChar"/>
    <w:uiPriority w:val="99"/>
    <w:unhideWhenUsed/>
    <w:rsid w:val="00604E3F"/>
    <w:rPr>
      <w:sz w:val="20"/>
    </w:rPr>
  </w:style>
  <w:style w:type="character" w:customStyle="1" w:styleId="CommentTextChar">
    <w:name w:val="Comment Text Char"/>
    <w:basedOn w:val="DefaultParagraphFont"/>
    <w:link w:val="CommentText"/>
    <w:uiPriority w:val="99"/>
    <w:rsid w:val="00604E3F"/>
  </w:style>
  <w:style w:type="paragraph" w:styleId="CommentSubject">
    <w:name w:val="annotation subject"/>
    <w:basedOn w:val="CommentText"/>
    <w:next w:val="CommentText"/>
    <w:link w:val="CommentSubjectChar"/>
    <w:uiPriority w:val="99"/>
    <w:semiHidden/>
    <w:unhideWhenUsed/>
    <w:rsid w:val="00604E3F"/>
    <w:rPr>
      <w:b/>
      <w:bCs/>
    </w:rPr>
  </w:style>
  <w:style w:type="character" w:customStyle="1" w:styleId="CommentSubjectChar">
    <w:name w:val="Comment Subject Char"/>
    <w:basedOn w:val="CommentTextChar"/>
    <w:link w:val="CommentSubject"/>
    <w:uiPriority w:val="99"/>
    <w:semiHidden/>
    <w:rsid w:val="00604E3F"/>
    <w:rPr>
      <w:b/>
      <w:bCs/>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ocked/>
    <w:rsid w:val="007E75E5"/>
    <w:rPr>
      <w:rFonts w:ascii="Times New Roman" w:eastAsia="Times New Roman" w:hAnsi="Times New Roman" w:cs="Times New Roman"/>
      <w:sz w:val="20"/>
      <w:szCs w:val="20"/>
    </w:rPr>
  </w:style>
  <w:style w:type="paragraph" w:styleId="NormalWeb">
    <w:name w:val="Normal (Web)"/>
    <w:basedOn w:val="Normal"/>
    <w:rsid w:val="006432BF"/>
    <w:pPr>
      <w:spacing w:before="100" w:beforeAutospacing="1" w:after="100" w:afterAutospacing="1"/>
    </w:pPr>
    <w:rPr>
      <w:rFonts w:ascii="Verdana" w:hAnsi="Verdana"/>
      <w:sz w:val="20"/>
    </w:rPr>
  </w:style>
  <w:style w:type="paragraph" w:styleId="ListParagraph">
    <w:name w:val="List Paragraph"/>
    <w:basedOn w:val="Normal"/>
    <w:uiPriority w:val="34"/>
    <w:qFormat/>
    <w:rsid w:val="006432BF"/>
    <w:pPr>
      <w:ind w:left="720"/>
      <w:contextualSpacing/>
    </w:pPr>
  </w:style>
  <w:style w:type="table" w:styleId="TableGrid">
    <w:name w:val="Table Grid"/>
    <w:basedOn w:val="TableNormal"/>
    <w:uiPriority w:val="59"/>
    <w:rsid w:val="00643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F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harles.Tyler@fcc.gov"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ara.Voth@fcc.go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Charles.Eberle@fcc.gov" TargetMode="External"/><Relationship Id="rId20" Type="http://schemas.openxmlformats.org/officeDocument/2006/relationships/header" Target="head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fjallfoss.fcc.gov/ecfs2/"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cc504@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3417</Words>
  <Characters>20063</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23552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2015-05-19T20:06:00Z</cp:lastPrinted>
  <dcterms:created xsi:type="dcterms:W3CDTF">2015-05-21T19:41:00Z</dcterms:created>
  <dcterms:modified xsi:type="dcterms:W3CDTF">2015-05-21T19:41:00Z</dcterms:modified>
  <cp:category> </cp:category>
  <cp:contentStatus> </cp:contentStatus>
</cp:coreProperties>
</file>