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tc>
          <w:tcPr>
            <w:tcW w:w="4698" w:type="dxa"/>
          </w:tcPr>
          <w:p w:rsidR="004C2EE3" w:rsidRPr="00193A4F" w:rsidRDefault="004C2EE3">
            <w:pPr>
              <w:tabs>
                <w:tab w:val="center" w:pos="4680"/>
              </w:tabs>
              <w:suppressAutoHyphens/>
              <w:rPr>
                <w:spacing w:val="-2"/>
                <w:szCs w:val="22"/>
              </w:rPr>
            </w:pPr>
            <w:r w:rsidRPr="00193A4F">
              <w:rPr>
                <w:spacing w:val="-2"/>
                <w:szCs w:val="22"/>
              </w:rPr>
              <w:t>In the Matter of</w:t>
            </w:r>
          </w:p>
          <w:p w:rsidR="004C2EE3" w:rsidRPr="00193A4F" w:rsidRDefault="004C2EE3">
            <w:pPr>
              <w:tabs>
                <w:tab w:val="center" w:pos="4680"/>
              </w:tabs>
              <w:suppressAutoHyphens/>
              <w:rPr>
                <w:spacing w:val="-2"/>
                <w:szCs w:val="22"/>
              </w:rPr>
            </w:pPr>
          </w:p>
          <w:p w:rsidR="00515A5F" w:rsidRDefault="00515A5F" w:rsidP="00515A5F">
            <w:pPr>
              <w:ind w:right="-18"/>
            </w:pPr>
            <w:r>
              <w:t xml:space="preserve">RB Communications, Inc., d/b/a Starfone </w:t>
            </w:r>
          </w:p>
          <w:p w:rsidR="004C2EE3" w:rsidRPr="00193A4F" w:rsidRDefault="004C2EE3" w:rsidP="007115F7">
            <w:pPr>
              <w:tabs>
                <w:tab w:val="center" w:pos="4680"/>
              </w:tabs>
              <w:suppressAutoHyphens/>
              <w:rPr>
                <w:spacing w:val="-2"/>
                <w:szCs w:val="22"/>
              </w:rPr>
            </w:pPr>
          </w:p>
        </w:tc>
        <w:tc>
          <w:tcPr>
            <w:tcW w:w="630" w:type="dxa"/>
          </w:tcPr>
          <w:p w:rsidR="004C2EE3" w:rsidRPr="00193A4F" w:rsidRDefault="004C2EE3">
            <w:pPr>
              <w:tabs>
                <w:tab w:val="center" w:pos="4680"/>
              </w:tabs>
              <w:suppressAutoHyphens/>
              <w:rPr>
                <w:b/>
                <w:spacing w:val="-2"/>
                <w:szCs w:val="22"/>
              </w:rPr>
            </w:pPr>
            <w:r w:rsidRPr="00193A4F">
              <w:rPr>
                <w:b/>
                <w:spacing w:val="-2"/>
                <w:szCs w:val="22"/>
              </w:rPr>
              <w:t>)</w:t>
            </w:r>
          </w:p>
          <w:p w:rsidR="004C2EE3" w:rsidRPr="002A6579" w:rsidRDefault="004C2EE3">
            <w:pPr>
              <w:tabs>
                <w:tab w:val="center" w:pos="4680"/>
              </w:tabs>
              <w:suppressAutoHyphens/>
              <w:rPr>
                <w:b/>
                <w:spacing w:val="-2"/>
                <w:szCs w:val="22"/>
              </w:rPr>
            </w:pPr>
            <w:r w:rsidRPr="00193A4F">
              <w:rPr>
                <w:b/>
                <w:spacing w:val="-2"/>
                <w:szCs w:val="22"/>
              </w:rPr>
              <w:t>)</w:t>
            </w:r>
          </w:p>
          <w:p w:rsidR="004C2EE3" w:rsidRPr="002A6579" w:rsidRDefault="004C2EE3">
            <w:pPr>
              <w:tabs>
                <w:tab w:val="center" w:pos="4680"/>
              </w:tabs>
              <w:suppressAutoHyphens/>
              <w:rPr>
                <w:b/>
                <w:spacing w:val="-2"/>
                <w:szCs w:val="22"/>
              </w:rPr>
            </w:pPr>
            <w:r w:rsidRPr="00193A4F">
              <w:rPr>
                <w:b/>
                <w:spacing w:val="-2"/>
                <w:szCs w:val="22"/>
              </w:rPr>
              <w:t>)</w:t>
            </w:r>
          </w:p>
          <w:p w:rsidR="004C2EE3" w:rsidRPr="002A6579" w:rsidRDefault="004C2EE3">
            <w:pPr>
              <w:tabs>
                <w:tab w:val="center" w:pos="4680"/>
              </w:tabs>
              <w:suppressAutoHyphens/>
              <w:rPr>
                <w:b/>
                <w:spacing w:val="-2"/>
                <w:szCs w:val="22"/>
              </w:rPr>
            </w:pPr>
            <w:r w:rsidRPr="00193A4F">
              <w:rPr>
                <w:b/>
                <w:spacing w:val="-2"/>
                <w:szCs w:val="22"/>
              </w:rPr>
              <w:t>)</w:t>
            </w:r>
          </w:p>
          <w:p w:rsidR="009B6595" w:rsidRPr="00515A5F" w:rsidRDefault="004C2EE3" w:rsidP="00515A5F">
            <w:pPr>
              <w:tabs>
                <w:tab w:val="center" w:pos="4680"/>
              </w:tabs>
              <w:suppressAutoHyphens/>
              <w:rPr>
                <w:b/>
                <w:spacing w:val="-2"/>
                <w:szCs w:val="22"/>
              </w:rPr>
            </w:pPr>
            <w:r w:rsidRPr="00193A4F">
              <w:rPr>
                <w:b/>
                <w:spacing w:val="-2"/>
                <w:szCs w:val="22"/>
              </w:rPr>
              <w:t>)</w:t>
            </w:r>
          </w:p>
        </w:tc>
        <w:tc>
          <w:tcPr>
            <w:tcW w:w="4248" w:type="dxa"/>
          </w:tcPr>
          <w:p w:rsidR="009B6595" w:rsidRPr="002A6579" w:rsidRDefault="00515A5F" w:rsidP="002D0E6B">
            <w:pPr>
              <w:widowControl/>
              <w:tabs>
                <w:tab w:val="center" w:pos="4680"/>
              </w:tabs>
              <w:suppressAutoHyphens/>
              <w:rPr>
                <w:szCs w:val="22"/>
              </w:rPr>
            </w:pPr>
            <w:r w:rsidRPr="00193A4F">
              <w:rPr>
                <w:szCs w:val="22"/>
              </w:rPr>
              <w:t xml:space="preserve">File No.:  </w:t>
            </w:r>
            <w:r w:rsidRPr="00045B23">
              <w:t>EB-IH</w:t>
            </w:r>
            <w:r>
              <w:t>D-13</w:t>
            </w:r>
            <w:r w:rsidRPr="00045B23">
              <w:t>-</w:t>
            </w:r>
            <w:r>
              <w:t>00011657</w:t>
            </w:r>
          </w:p>
          <w:p w:rsidR="009B6595" w:rsidRPr="002A6579" w:rsidRDefault="009B6595" w:rsidP="002D0E6B">
            <w:pPr>
              <w:widowControl/>
              <w:tabs>
                <w:tab w:val="center" w:pos="4680"/>
              </w:tabs>
              <w:suppressAutoHyphens/>
              <w:rPr>
                <w:szCs w:val="22"/>
              </w:rPr>
            </w:pPr>
          </w:p>
          <w:p w:rsidR="00515A5F" w:rsidRPr="00193A4F" w:rsidRDefault="00515A5F" w:rsidP="00515A5F">
            <w:pPr>
              <w:widowControl/>
              <w:tabs>
                <w:tab w:val="center" w:pos="4680"/>
              </w:tabs>
              <w:suppressAutoHyphens/>
              <w:rPr>
                <w:szCs w:val="22"/>
              </w:rPr>
            </w:pPr>
            <w:r w:rsidRPr="00193A4F">
              <w:rPr>
                <w:szCs w:val="22"/>
              </w:rPr>
              <w:t xml:space="preserve">NAL/Acct. No.:  </w:t>
            </w:r>
            <w:r w:rsidRPr="00045B23">
              <w:rPr>
                <w:bCs/>
              </w:rPr>
              <w:t>201232080018</w:t>
            </w:r>
          </w:p>
          <w:p w:rsidR="002D0E6B" w:rsidRPr="00193A4F" w:rsidRDefault="002D0E6B" w:rsidP="002D0E6B">
            <w:pPr>
              <w:widowControl/>
              <w:tabs>
                <w:tab w:val="center" w:pos="4680"/>
              </w:tabs>
              <w:suppressAutoHyphens/>
              <w:rPr>
                <w:szCs w:val="22"/>
              </w:rPr>
            </w:pPr>
          </w:p>
          <w:p w:rsidR="002D0E6B" w:rsidRPr="002A6579" w:rsidRDefault="00515A5F" w:rsidP="002D0E6B">
            <w:pPr>
              <w:widowControl/>
              <w:tabs>
                <w:tab w:val="center" w:pos="4680"/>
              </w:tabs>
              <w:suppressAutoHyphens/>
              <w:rPr>
                <w:szCs w:val="22"/>
              </w:rPr>
            </w:pPr>
            <w:r w:rsidRPr="00193A4F">
              <w:rPr>
                <w:szCs w:val="22"/>
              </w:rPr>
              <w:t xml:space="preserve">FRN:  </w:t>
            </w:r>
            <w:r>
              <w:t>0012951612</w:t>
            </w:r>
          </w:p>
          <w:p w:rsidR="004C2EE3" w:rsidRPr="00193A4F" w:rsidRDefault="004C2EE3">
            <w:pPr>
              <w:tabs>
                <w:tab w:val="center" w:pos="4680"/>
              </w:tabs>
              <w:suppressAutoHyphens/>
              <w:rPr>
                <w:snapToGrid/>
                <w:spacing w:val="-2"/>
                <w:szCs w:val="22"/>
              </w:rPr>
            </w:pPr>
          </w:p>
        </w:tc>
      </w:tr>
    </w:tbl>
    <w:p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rsidR="004C2EE3" w:rsidRPr="00193A4F" w:rsidRDefault="004C2EE3">
      <w:pPr>
        <w:tabs>
          <w:tab w:val="left" w:pos="-720"/>
        </w:tabs>
        <w:suppressAutoHyphens/>
        <w:spacing w:line="227" w:lineRule="auto"/>
        <w:rPr>
          <w:spacing w:val="-2"/>
          <w:szCs w:val="22"/>
        </w:rPr>
      </w:pPr>
    </w:p>
    <w:p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2745B6">
        <w:rPr>
          <w:b/>
          <w:szCs w:val="22"/>
        </w:rPr>
        <w:t>May 11, 2015</w:t>
      </w:r>
      <w:r w:rsidRPr="00193A4F">
        <w:rPr>
          <w:b/>
          <w:spacing w:val="-2"/>
          <w:szCs w:val="22"/>
        </w:rPr>
        <w:tab/>
      </w:r>
      <w:r w:rsidR="00822CE0" w:rsidRPr="00193A4F">
        <w:rPr>
          <w:b/>
          <w:spacing w:val="-2"/>
          <w:szCs w:val="22"/>
        </w:rPr>
        <w:t>Released</w:t>
      </w:r>
      <w:r w:rsidRPr="00193A4F">
        <w:rPr>
          <w:b/>
          <w:spacing w:val="-2"/>
          <w:szCs w:val="22"/>
        </w:rPr>
        <w:t>:</w:t>
      </w:r>
      <w:r w:rsidR="00822CE0" w:rsidRPr="00193A4F">
        <w:rPr>
          <w:b/>
          <w:spacing w:val="-2"/>
          <w:szCs w:val="22"/>
        </w:rPr>
        <w:t xml:space="preserve"> </w:t>
      </w:r>
      <w:r w:rsidRPr="00193A4F">
        <w:rPr>
          <w:b/>
          <w:spacing w:val="-2"/>
          <w:szCs w:val="22"/>
        </w:rPr>
        <w:t xml:space="preserve"> </w:t>
      </w:r>
      <w:r w:rsidR="002745B6">
        <w:rPr>
          <w:b/>
          <w:szCs w:val="22"/>
        </w:rPr>
        <w:t>May 11, 2015</w:t>
      </w:r>
    </w:p>
    <w:p w:rsidR="00822CE0" w:rsidRPr="00193A4F" w:rsidRDefault="00822CE0">
      <w:pPr>
        <w:rPr>
          <w:szCs w:val="22"/>
        </w:rPr>
      </w:pPr>
    </w:p>
    <w:p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C30F3A">
        <w:rPr>
          <w:szCs w:val="22"/>
        </w:rPr>
        <w:t xml:space="preserve">Deputy </w:t>
      </w:r>
      <w:r w:rsidR="00160A7F" w:rsidRPr="00193A4F">
        <w:rPr>
          <w:szCs w:val="22"/>
        </w:rPr>
        <w:t>Chief, Enforcement Bureau</w:t>
      </w:r>
      <w:r w:rsidRPr="00193A4F">
        <w:rPr>
          <w:spacing w:val="-2"/>
          <w:szCs w:val="22"/>
        </w:rPr>
        <w:t>:</w:t>
      </w:r>
    </w:p>
    <w:p w:rsidR="00350348" w:rsidRDefault="00350348">
      <w:pPr>
        <w:rPr>
          <w:spacing w:val="-2"/>
          <w:szCs w:val="22"/>
          <w:vertAlign w:val="subscript"/>
        </w:rPr>
      </w:pPr>
    </w:p>
    <w:p w:rsidR="00441C16" w:rsidRPr="00193A4F" w:rsidRDefault="00441C16" w:rsidP="00441C16">
      <w:pPr>
        <w:pStyle w:val="Heading1"/>
      </w:pPr>
      <w:r>
        <w:t>Introduction</w:t>
      </w:r>
    </w:p>
    <w:p w:rsidR="00160A7F" w:rsidRPr="00193A4F" w:rsidRDefault="00BD4B7D" w:rsidP="00441C16">
      <w:pPr>
        <w:pStyle w:val="ParaNum"/>
        <w:tabs>
          <w:tab w:val="clear" w:pos="1080"/>
        </w:tabs>
        <w:rPr>
          <w:szCs w:val="22"/>
        </w:rPr>
      </w:pPr>
      <w:r>
        <w:t xml:space="preserve">We deny </w:t>
      </w:r>
      <w:r w:rsidRPr="00742618">
        <w:t xml:space="preserve">the Petition for Reconsideration filed by </w:t>
      </w:r>
      <w:r w:rsidRPr="00A118DE">
        <w:t xml:space="preserve">RB Communications, Inc., d/b/a Starfone (Starfone or the Company) </w:t>
      </w:r>
      <w:r w:rsidRPr="00742618">
        <w:t xml:space="preserve">seeking reconsideration of the </w:t>
      </w:r>
      <w:r w:rsidRPr="001A1948">
        <w:rPr>
          <w:i/>
        </w:rPr>
        <w:t>Forfeiture Order</w:t>
      </w:r>
      <w:r>
        <w:t xml:space="preserve"> </w:t>
      </w:r>
      <w:r w:rsidR="00C21DF5">
        <w:t xml:space="preserve">issued by </w:t>
      </w:r>
      <w:r>
        <w:t>the Commission</w:t>
      </w:r>
      <w:r w:rsidR="00C30F3A">
        <w:t xml:space="preserve"> </w:t>
      </w:r>
      <w:r w:rsidR="00C30F3A">
        <w:rPr>
          <w:szCs w:val="22"/>
        </w:rPr>
        <w:t>because it relies on arguments that have been fully considered and rejected by the Commission in this proceeding</w:t>
      </w:r>
      <w:r w:rsidR="00C30F3A" w:rsidRPr="002A6579">
        <w:rPr>
          <w:szCs w:val="22"/>
        </w:rPr>
        <w:t>.</w:t>
      </w:r>
      <w:r w:rsidR="00C30F3A" w:rsidRPr="002A6579">
        <w:rPr>
          <w:rStyle w:val="FootnoteReference"/>
          <w:szCs w:val="22"/>
        </w:rPr>
        <w:footnoteReference w:id="2"/>
      </w:r>
      <w:r w:rsidR="00C30F3A" w:rsidRPr="00193A4F">
        <w:rPr>
          <w:szCs w:val="22"/>
        </w:rPr>
        <w:t xml:space="preserve">  </w:t>
      </w:r>
      <w:r>
        <w:t>In th</w:t>
      </w:r>
      <w:r w:rsidR="00C21DF5">
        <w:t>e</w:t>
      </w:r>
      <w:r w:rsidRPr="00742618">
        <w:t xml:space="preserve"> </w:t>
      </w:r>
      <w:r w:rsidR="00C21DF5">
        <w:rPr>
          <w:i/>
        </w:rPr>
        <w:t xml:space="preserve">Forfeiture </w:t>
      </w:r>
      <w:r w:rsidRPr="001A1948">
        <w:rPr>
          <w:i/>
        </w:rPr>
        <w:t>Order</w:t>
      </w:r>
      <w:r w:rsidRPr="00742618">
        <w:t xml:space="preserve">, the Commission imposed a </w:t>
      </w:r>
      <w:r w:rsidR="00827D80">
        <w:t>penalty o</w:t>
      </w:r>
      <w:r w:rsidRPr="00742618">
        <w:t xml:space="preserve">f </w:t>
      </w:r>
      <w:r w:rsidRPr="00A118DE">
        <w:t>$</w:t>
      </w:r>
      <w:r>
        <w:t>408,668</w:t>
      </w:r>
      <w:r w:rsidRPr="00A118DE">
        <w:t xml:space="preserve"> </w:t>
      </w:r>
      <w:r w:rsidRPr="00742618">
        <w:t xml:space="preserve">against Starfone for </w:t>
      </w:r>
      <w:r w:rsidRPr="00A118DE">
        <w:t xml:space="preserve">providing interstate and international telecommunications services over </w:t>
      </w:r>
      <w:r>
        <w:t>a four-</w:t>
      </w:r>
      <w:r w:rsidRPr="00A118DE">
        <w:t>year</w:t>
      </w:r>
      <w:r>
        <w:t xml:space="preserve"> period</w:t>
      </w:r>
      <w:r w:rsidRPr="00A118DE">
        <w:t xml:space="preserve"> without </w:t>
      </w:r>
      <w:r>
        <w:t xml:space="preserve">first </w:t>
      </w:r>
      <w:r w:rsidRPr="00A118DE">
        <w:t>meeting important regulatory obligations.</w:t>
      </w:r>
      <w:r w:rsidR="000D0D57">
        <w:rPr>
          <w:rStyle w:val="FootnoteReference"/>
        </w:rPr>
        <w:footnoteReference w:id="3"/>
      </w:r>
      <w:r w:rsidR="00C30F3A">
        <w:t xml:space="preserve"> </w:t>
      </w:r>
      <w:r w:rsidR="005C2126">
        <w:t xml:space="preserve"> </w:t>
      </w:r>
      <w:r w:rsidR="00C30F3A">
        <w:t>Starfone does not dispute that these violations occurred.</w:t>
      </w:r>
    </w:p>
    <w:p w:rsidR="003818A3" w:rsidRPr="00441C16" w:rsidRDefault="003818A3" w:rsidP="003818A3">
      <w:pPr>
        <w:pStyle w:val="Heading1"/>
      </w:pPr>
      <w:bookmarkStart w:id="1" w:name="_Ref386210436"/>
      <w:r>
        <w:t>BACKGROUND</w:t>
      </w:r>
    </w:p>
    <w:p w:rsidR="00C97490" w:rsidRDefault="001A1948" w:rsidP="00C97490">
      <w:pPr>
        <w:pStyle w:val="ParaNum"/>
        <w:tabs>
          <w:tab w:val="clear" w:pos="1080"/>
        </w:tabs>
        <w:rPr>
          <w:szCs w:val="22"/>
        </w:rPr>
      </w:pPr>
      <w:r w:rsidRPr="00F32480">
        <w:t xml:space="preserve">On April 13, 2012, the Commission adopted the </w:t>
      </w:r>
      <w:r w:rsidRPr="003818A3">
        <w:rPr>
          <w:i/>
        </w:rPr>
        <w:t>Starfone NAL</w:t>
      </w:r>
      <w:r w:rsidRPr="00F32480">
        <w:t>, which found that Starfone</w:t>
      </w:r>
      <w:r>
        <w:t xml:space="preserve"> had apparently violated Section 214 of the Communications </w:t>
      </w:r>
      <w:r w:rsidRPr="00F32480">
        <w:t>Act</w:t>
      </w:r>
      <w:r>
        <w:t xml:space="preserve"> of 1934, as amended (Act)</w:t>
      </w:r>
      <w:r w:rsidRPr="00F32480">
        <w:t xml:space="preserve"> </w:t>
      </w:r>
      <w:r>
        <w:t>and multiple Commission rules (Rules) and proposed a forfeiture of $408,668 for these violations.</w:t>
      </w:r>
      <w:r w:rsidRPr="00F32480">
        <w:rPr>
          <w:rStyle w:val="FootnoteReference"/>
        </w:rPr>
        <w:footnoteReference w:id="4"/>
      </w:r>
      <w:r w:rsidRPr="00F32480">
        <w:t xml:space="preserve"> </w:t>
      </w:r>
      <w:r>
        <w:t xml:space="preserve"> </w:t>
      </w:r>
      <w:bookmarkEnd w:id="1"/>
    </w:p>
    <w:p w:rsidR="003818A3" w:rsidRPr="00C97490" w:rsidRDefault="00441C16" w:rsidP="00C97490">
      <w:pPr>
        <w:pStyle w:val="ParaNum"/>
        <w:tabs>
          <w:tab w:val="clear" w:pos="1080"/>
        </w:tabs>
        <w:rPr>
          <w:szCs w:val="22"/>
        </w:rPr>
      </w:pPr>
      <w:r>
        <w:t xml:space="preserve">In its response </w:t>
      </w:r>
      <w:r w:rsidRPr="00F32480">
        <w:t xml:space="preserve">to the </w:t>
      </w:r>
      <w:r w:rsidRPr="00C97490">
        <w:rPr>
          <w:i/>
        </w:rPr>
        <w:t>Starfone NAL,</w:t>
      </w:r>
      <w:r w:rsidRPr="00F32480">
        <w:t xml:space="preserve"> Starfone </w:t>
      </w:r>
      <w:r>
        <w:t xml:space="preserve">did </w:t>
      </w:r>
      <w:r w:rsidRPr="00F32480">
        <w:t xml:space="preserve">not dispute that it </w:t>
      </w:r>
      <w:r>
        <w:t xml:space="preserve">had </w:t>
      </w:r>
      <w:r w:rsidRPr="00F32480">
        <w:t>violated the Act and the Rules</w:t>
      </w:r>
      <w:r>
        <w:t xml:space="preserve"> but argued that the proposed forfeiture should be reduced</w:t>
      </w:r>
      <w:r w:rsidRPr="00E44D1D">
        <w:t xml:space="preserve"> </w:t>
      </w:r>
      <w:r>
        <w:t xml:space="preserve">because, among other reasons, </w:t>
      </w:r>
      <w:r w:rsidRPr="00F32480">
        <w:t xml:space="preserve">imposition of the full forfeiture would </w:t>
      </w:r>
      <w:r>
        <w:t xml:space="preserve">inflict </w:t>
      </w:r>
      <w:r w:rsidRPr="00F32480">
        <w:t xml:space="preserve">undue economic hardship </w:t>
      </w:r>
      <w:r>
        <w:t xml:space="preserve">on the Company </w:t>
      </w:r>
      <w:r w:rsidRPr="00F32480">
        <w:t>and could cause</w:t>
      </w:r>
      <w:r>
        <w:t xml:space="preserve"> it </w:t>
      </w:r>
      <w:r w:rsidRPr="00F32480">
        <w:t>to go out of business.</w:t>
      </w:r>
      <w:bookmarkStart w:id="2" w:name="_Ref384382958"/>
      <w:r>
        <w:rPr>
          <w:rStyle w:val="FootnoteReference"/>
        </w:rPr>
        <w:footnoteReference w:id="5"/>
      </w:r>
      <w:bookmarkEnd w:id="2"/>
      <w:r>
        <w:t xml:space="preserve">  In support of this inability to pay argument, Starfone submitted its tax returns for 2011, 2012, and 2013.</w:t>
      </w:r>
      <w:r>
        <w:rPr>
          <w:rStyle w:val="FootnoteReference"/>
        </w:rPr>
        <w:footnoteReference w:id="6"/>
      </w:r>
    </w:p>
    <w:p w:rsidR="00C97490" w:rsidRPr="00C97490" w:rsidRDefault="00441C16" w:rsidP="006317EC">
      <w:pPr>
        <w:pStyle w:val="ParaNum"/>
        <w:widowControl/>
        <w:tabs>
          <w:tab w:val="clear" w:pos="1080"/>
        </w:tabs>
        <w:rPr>
          <w:szCs w:val="22"/>
        </w:rPr>
      </w:pPr>
      <w:r>
        <w:lastRenderedPageBreak/>
        <w:t xml:space="preserve">On May 23, 2014, the Commission released the </w:t>
      </w:r>
      <w:r w:rsidRPr="003818A3">
        <w:rPr>
          <w:i/>
        </w:rPr>
        <w:t>Starfone Forfeiture Order</w:t>
      </w:r>
      <w:r>
        <w:t xml:space="preserve"> in which it imposed a penalty of $408,668, the full amount previously proposed in the </w:t>
      </w:r>
      <w:r w:rsidRPr="003818A3">
        <w:rPr>
          <w:i/>
        </w:rPr>
        <w:t>NAL</w:t>
      </w:r>
      <w:r w:rsidRPr="005966C7">
        <w:t>.</w:t>
      </w:r>
      <w:r>
        <w:rPr>
          <w:rStyle w:val="FootnoteReference"/>
        </w:rPr>
        <w:footnoteReference w:id="7"/>
      </w:r>
      <w:r>
        <w:t xml:space="preserve">  In that </w:t>
      </w:r>
      <w:r w:rsidRPr="003818A3">
        <w:rPr>
          <w:i/>
        </w:rPr>
        <w:t>Order</w:t>
      </w:r>
      <w:r>
        <w:t xml:space="preserve">, the Commission addressed and rejected Starfone’s request that the forfeiture proposed in the </w:t>
      </w:r>
      <w:r w:rsidRPr="003818A3">
        <w:rPr>
          <w:i/>
        </w:rPr>
        <w:t>NAL</w:t>
      </w:r>
      <w:r>
        <w:t xml:space="preserve"> be reduced based upon the Company’s asserted inability to pay.</w:t>
      </w:r>
      <w:r>
        <w:rPr>
          <w:rStyle w:val="FootnoteReference"/>
        </w:rPr>
        <w:footnoteReference w:id="8"/>
      </w:r>
      <w:r>
        <w:t xml:space="preserve">  </w:t>
      </w:r>
    </w:p>
    <w:p w:rsidR="003818A3" w:rsidRPr="003818A3" w:rsidRDefault="00441C16" w:rsidP="003818A3">
      <w:pPr>
        <w:pStyle w:val="ParaNum"/>
        <w:tabs>
          <w:tab w:val="clear" w:pos="1080"/>
        </w:tabs>
        <w:rPr>
          <w:szCs w:val="22"/>
        </w:rPr>
      </w:pPr>
      <w:r>
        <w:t>On June 16, 2014, Starfone, now represented by different counsel, filed its Petition for Reconsideration.</w:t>
      </w:r>
      <w:r>
        <w:rPr>
          <w:rStyle w:val="FootnoteReference"/>
        </w:rPr>
        <w:footnoteReference w:id="9"/>
      </w:r>
      <w:r>
        <w:t xml:space="preserve">  In that Petition</w:t>
      </w:r>
      <w:r w:rsidRPr="003818A3">
        <w:rPr>
          <w:i/>
        </w:rPr>
        <w:t>,</w:t>
      </w:r>
      <w:r w:rsidRPr="00F32480">
        <w:t xml:space="preserve"> Starfone</w:t>
      </w:r>
      <w:r>
        <w:t xml:space="preserve"> states it “does </w:t>
      </w:r>
      <w:r w:rsidRPr="00F32480">
        <w:t xml:space="preserve">not </w:t>
      </w:r>
      <w:r>
        <w:t>deny</w:t>
      </w:r>
      <w:r w:rsidRPr="00F32480">
        <w:t xml:space="preserve"> </w:t>
      </w:r>
      <w:r>
        <w:t xml:space="preserve">the substantive allegations in the </w:t>
      </w:r>
      <w:r w:rsidRPr="0006513F">
        <w:t>Forfeiture Order</w:t>
      </w:r>
      <w:r>
        <w:t>.”</w:t>
      </w:r>
      <w:r>
        <w:rPr>
          <w:rStyle w:val="FootnoteReference"/>
        </w:rPr>
        <w:footnoteReference w:id="10"/>
      </w:r>
      <w:r>
        <w:t xml:space="preserve">  Nevertheless, Starfone argues that the proposed forfeiture should be reduced because </w:t>
      </w:r>
      <w:r w:rsidRPr="00F32480">
        <w:t xml:space="preserve">imposition of the full forfeiture on the </w:t>
      </w:r>
      <w:r>
        <w:t>C</w:t>
      </w:r>
      <w:r w:rsidRPr="00F32480">
        <w:t xml:space="preserve">ompany would </w:t>
      </w:r>
      <w:r>
        <w:t xml:space="preserve">likely </w:t>
      </w:r>
      <w:r w:rsidRPr="00F32480">
        <w:t xml:space="preserve">cause </w:t>
      </w:r>
      <w:r>
        <w:t xml:space="preserve">it </w:t>
      </w:r>
      <w:r w:rsidRPr="00F32480">
        <w:t>to go out of business.</w:t>
      </w:r>
      <w:r>
        <w:rPr>
          <w:rStyle w:val="FootnoteReference"/>
        </w:rPr>
        <w:footnoteReference w:id="11"/>
      </w:r>
      <w:r>
        <w:t xml:space="preserve">  In support of this inability to pay argument, Starfone again submitted its tax returns for 2011, 2012, and 2013, which, it contends, “contain revenue data not previously presented to the Commission and facts which have changed since the last opportunity to respond.”</w:t>
      </w:r>
      <w:r>
        <w:rPr>
          <w:rStyle w:val="FootnoteReference"/>
        </w:rPr>
        <w:footnoteReference w:id="12"/>
      </w:r>
    </w:p>
    <w:p w:rsidR="003818A3" w:rsidRPr="00441C16" w:rsidRDefault="003818A3" w:rsidP="003818A3">
      <w:pPr>
        <w:pStyle w:val="Heading1"/>
      </w:pPr>
      <w:r>
        <w:t>Discussion</w:t>
      </w:r>
    </w:p>
    <w:p w:rsidR="003818A3" w:rsidRDefault="001A1948" w:rsidP="003818A3">
      <w:pPr>
        <w:pStyle w:val="ParaNum"/>
        <w:tabs>
          <w:tab w:val="clear" w:pos="1080"/>
        </w:tabs>
        <w:rPr>
          <w:szCs w:val="22"/>
        </w:rPr>
      </w:pPr>
      <w:r w:rsidRPr="003818A3">
        <w:rPr>
          <w:snapToGrid/>
        </w:rPr>
        <w:t>Petitions for reconsideration are granted only in limited circumstances.  Reconsideration is appropriate only where the petitioner either demonstrates a material error or omission in the original order or raises additional facts not known or not existing until after the petitioner’s last opportunity to present such matters.</w:t>
      </w:r>
      <w:r w:rsidRPr="005355A6">
        <w:rPr>
          <w:snapToGrid/>
          <w:vertAlign w:val="superscript"/>
        </w:rPr>
        <w:footnoteReference w:id="13"/>
      </w:r>
      <w:r w:rsidRPr="003818A3">
        <w:rPr>
          <w:snapToGrid/>
        </w:rPr>
        <w:t xml:space="preserve">  A petition for reconsideration that simply reiterates arguments that were previously considered and rejected will be denied.</w:t>
      </w:r>
      <w:r w:rsidRPr="00695892">
        <w:rPr>
          <w:snapToGrid/>
          <w:vertAlign w:val="superscript"/>
        </w:rPr>
        <w:footnoteReference w:id="14"/>
      </w:r>
      <w:r w:rsidRPr="003818A3">
        <w:rPr>
          <w:snapToGrid/>
        </w:rPr>
        <w:t xml:space="preserve">  Further, the Rules permit the Bureau to dismiss or deny petitions for reconsideration “that plainly do not warrant consideration by the Commission.”</w:t>
      </w:r>
      <w:r>
        <w:rPr>
          <w:rStyle w:val="FootnoteReference"/>
          <w:snapToGrid/>
        </w:rPr>
        <w:footnoteReference w:id="15"/>
      </w:r>
      <w:r w:rsidRPr="003818A3">
        <w:rPr>
          <w:snapToGrid/>
        </w:rPr>
        <w:t xml:space="preserve">  This includes situations in which the petition “rel[ies] on arguments that have been fully considered and rejected by the Commission within the same proceeding.”</w:t>
      </w:r>
      <w:r w:rsidRPr="00695892">
        <w:rPr>
          <w:snapToGrid/>
          <w:vertAlign w:val="superscript"/>
        </w:rPr>
        <w:footnoteReference w:id="16"/>
      </w:r>
      <w:r w:rsidRPr="003818A3">
        <w:rPr>
          <w:snapToGrid/>
        </w:rPr>
        <w:t xml:space="preserve">  </w:t>
      </w:r>
    </w:p>
    <w:p w:rsidR="001A1948" w:rsidRPr="003818A3" w:rsidRDefault="001A1948" w:rsidP="003818A3">
      <w:pPr>
        <w:pStyle w:val="ParaNum"/>
        <w:tabs>
          <w:tab w:val="clear" w:pos="1080"/>
        </w:tabs>
        <w:rPr>
          <w:szCs w:val="22"/>
        </w:rPr>
      </w:pPr>
      <w:r w:rsidRPr="003818A3">
        <w:rPr>
          <w:snapToGrid/>
        </w:rPr>
        <w:t xml:space="preserve">Starfone’s Petition for Reconsideration fails to present information warranting reconsideration, and in fact simply reiterates arguments that the Commission fully considered and rejected in the </w:t>
      </w:r>
      <w:r w:rsidRPr="003818A3">
        <w:rPr>
          <w:i/>
          <w:snapToGrid/>
        </w:rPr>
        <w:t>Starfone Forfeiture Order</w:t>
      </w:r>
      <w:r w:rsidRPr="003818A3">
        <w:rPr>
          <w:snapToGrid/>
        </w:rPr>
        <w:t>.</w:t>
      </w:r>
      <w:r>
        <w:rPr>
          <w:rStyle w:val="FootnoteReference"/>
          <w:snapToGrid/>
        </w:rPr>
        <w:footnoteReference w:id="17"/>
      </w:r>
      <w:r w:rsidRPr="003818A3">
        <w:rPr>
          <w:snapToGrid/>
        </w:rPr>
        <w:t xml:space="preserve">   </w:t>
      </w:r>
      <w:r>
        <w:t>B</w:t>
      </w:r>
      <w:r w:rsidRPr="003818A3">
        <w:rPr>
          <w:snapToGrid/>
        </w:rPr>
        <w:t xml:space="preserve">ecause Starfone fails to raise facts that were not previously known </w:t>
      </w:r>
      <w:r w:rsidRPr="003818A3">
        <w:rPr>
          <w:snapToGrid/>
        </w:rPr>
        <w:lastRenderedPageBreak/>
        <w:t xml:space="preserve">or existing but simply raises arguments previously considered and rejected by the Commission, we deny its </w:t>
      </w:r>
      <w:r>
        <w:t>petition pursuant to Section</w:t>
      </w:r>
      <w:r w:rsidRPr="00742618">
        <w:t xml:space="preserve"> </w:t>
      </w:r>
      <w:r>
        <w:t xml:space="preserve">405 of the Act and Section </w:t>
      </w:r>
      <w:r w:rsidRPr="00742618">
        <w:t xml:space="preserve">1.106 of the </w:t>
      </w:r>
      <w:r>
        <w:t>Rules</w:t>
      </w:r>
      <w:r w:rsidRPr="00742618">
        <w:t>.</w:t>
      </w:r>
      <w:r w:rsidRPr="00193A4F">
        <w:rPr>
          <w:rStyle w:val="FootnoteReference"/>
          <w:szCs w:val="22"/>
        </w:rPr>
        <w:footnoteReference w:id="18"/>
      </w:r>
      <w:r w:rsidRPr="00193A4F">
        <w:t xml:space="preserve"> </w:t>
      </w:r>
    </w:p>
    <w:p w:rsidR="00441C16" w:rsidRPr="00075925" w:rsidRDefault="00441C16" w:rsidP="00441C16">
      <w:pPr>
        <w:pStyle w:val="Heading1"/>
        <w:rPr>
          <w:snapToGrid/>
        </w:rPr>
      </w:pPr>
      <w:r>
        <w:t xml:space="preserve">ORDERING CLAUSES </w:t>
      </w:r>
    </w:p>
    <w:p w:rsidR="006F6E7B" w:rsidRPr="00193A4F" w:rsidRDefault="00441C16" w:rsidP="006E5991">
      <w:pPr>
        <w:pStyle w:val="ParaNum"/>
        <w:tabs>
          <w:tab w:val="clear" w:pos="1080"/>
        </w:tabs>
        <w:rPr>
          <w:szCs w:val="22"/>
        </w:rPr>
      </w:pPr>
      <w:r w:rsidRPr="00193A4F">
        <w:t xml:space="preserve">Accordingly, </w:t>
      </w:r>
      <w:r w:rsidRPr="00193A4F">
        <w:rPr>
          <w:b/>
        </w:rPr>
        <w:t xml:space="preserve">IT IS ORDERED </w:t>
      </w:r>
      <w:r w:rsidRPr="00193A4F">
        <w:t xml:space="preserve">that, pursuant to Section 405 of the Communications Act of 1934, as amended (Act), and Section 1.106 of the Rules, the Petition for Reconsideration filed by </w:t>
      </w:r>
      <w:r w:rsidRPr="00A118DE">
        <w:t>RB Communications, Inc., d/b/a Starfone</w:t>
      </w:r>
      <w:r>
        <w:t xml:space="preserve"> on June 16, 2014</w:t>
      </w:r>
      <w:r w:rsidRPr="00193A4F">
        <w:rPr>
          <w:spacing w:val="-2"/>
        </w:rPr>
        <w:t xml:space="preserve"> is hereby </w:t>
      </w:r>
      <w:r w:rsidRPr="00193A4F">
        <w:rPr>
          <w:b/>
        </w:rPr>
        <w:t>DENIED</w:t>
      </w:r>
      <w:r w:rsidRPr="00193A4F">
        <w:t>.</w:t>
      </w:r>
      <w:r w:rsidRPr="00193A4F">
        <w:rPr>
          <w:rStyle w:val="FootnoteReference"/>
        </w:rPr>
        <w:footnoteReference w:id="19"/>
      </w:r>
    </w:p>
    <w:p w:rsidR="009C3F66" w:rsidRPr="00193A4F" w:rsidRDefault="00441C16" w:rsidP="006E5991">
      <w:pPr>
        <w:pStyle w:val="ParaNum"/>
        <w:tabs>
          <w:tab w:val="clear" w:pos="1080"/>
        </w:tabs>
      </w:pPr>
      <w:r w:rsidRPr="00193A4F">
        <w:rPr>
          <w:b/>
          <w:szCs w:val="22"/>
        </w:rPr>
        <w:t>IT IS FURTHER ORDERED</w:t>
      </w:r>
      <w:r w:rsidRPr="00193A4F">
        <w:rPr>
          <w:szCs w:val="22"/>
        </w:rPr>
        <w:t xml:space="preserve"> that a copy of this Memorandum Opinion and Order</w:t>
      </w:r>
      <w:r w:rsidRPr="00193A4F">
        <w:t xml:space="preserve"> </w:t>
      </w:r>
      <w:r w:rsidRPr="004749BE">
        <w:rPr>
          <w:color w:val="000000" w:themeColor="text1"/>
          <w:szCs w:val="22"/>
        </w:rPr>
        <w:t xml:space="preserve">shall be sent by first class mail and certified mail, return receipt requested, to </w:t>
      </w:r>
      <w:r>
        <w:t>Jonathan S. Marashlian, Marashlian &amp; Donahue, LLC, 1420 Spring Hill Road, Suite 401, McLean, VA 22102</w:t>
      </w:r>
      <w:r w:rsidRPr="004749BE">
        <w:rPr>
          <w:color w:val="000000" w:themeColor="text1"/>
          <w:szCs w:val="22"/>
        </w:rPr>
        <w:t>.</w:t>
      </w:r>
    </w:p>
    <w:p w:rsidR="002A6579" w:rsidRDefault="002A6579" w:rsidP="0083291F">
      <w:pPr>
        <w:rPr>
          <w:szCs w:val="22"/>
        </w:rPr>
      </w:pPr>
    </w:p>
    <w:p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rsidR="0083291F" w:rsidRDefault="0083291F" w:rsidP="0083291F">
      <w:pPr>
        <w:rPr>
          <w:szCs w:val="22"/>
        </w:rPr>
      </w:pPr>
    </w:p>
    <w:p w:rsidR="00F52C83" w:rsidRPr="00193A4F" w:rsidRDefault="00F52C83" w:rsidP="0083291F">
      <w:pPr>
        <w:rPr>
          <w:szCs w:val="22"/>
        </w:rPr>
      </w:pPr>
    </w:p>
    <w:p w:rsidR="002D0E6B" w:rsidRPr="00193A4F" w:rsidRDefault="002D0E6B" w:rsidP="002D0E6B">
      <w:pPr>
        <w:rPr>
          <w:szCs w:val="22"/>
        </w:rPr>
      </w:pPr>
    </w:p>
    <w:p w:rsidR="002D0E6B" w:rsidRPr="00193A4F" w:rsidRDefault="002D0E6B"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C30F3A">
        <w:rPr>
          <w:szCs w:val="22"/>
        </w:rPr>
        <w:t>Paula L. Blizzard</w:t>
      </w:r>
    </w:p>
    <w:p w:rsidR="00160A7F" w:rsidRPr="00193A4F" w:rsidRDefault="00160A7F"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C30F3A">
        <w:rPr>
          <w:szCs w:val="22"/>
        </w:rPr>
        <w:t xml:space="preserve">Deputy </w:t>
      </w:r>
      <w:r w:rsidRPr="00193A4F">
        <w:rPr>
          <w:szCs w:val="22"/>
        </w:rPr>
        <w:t>Chief</w:t>
      </w:r>
    </w:p>
    <w:p w:rsidR="00B7594D" w:rsidRPr="006E5991" w:rsidRDefault="00160A7F" w:rsidP="008908CE">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05" w:rsidRDefault="00C06F05" w:rsidP="006E5991">
      <w:r>
        <w:separator/>
      </w:r>
    </w:p>
  </w:endnote>
  <w:endnote w:type="continuationSeparator" w:id="0">
    <w:p w:rsidR="00C06F05" w:rsidRDefault="00C06F05" w:rsidP="00B23CDC">
      <w:r>
        <w:continuationSeparator/>
      </w:r>
    </w:p>
  </w:endnote>
  <w:endnote w:type="continuationNotice" w:id="1">
    <w:p w:rsidR="00C06F05" w:rsidRDefault="00C06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F2" w:rsidRDefault="00A67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54536"/>
      <w:docPartObj>
        <w:docPartGallery w:val="Page Numbers (Bottom of Page)"/>
        <w:docPartUnique/>
      </w:docPartObj>
    </w:sdtPr>
    <w:sdtEndPr>
      <w:rPr>
        <w:noProof/>
      </w:rPr>
    </w:sdtEndPr>
    <w:sdtContent>
      <w:p w:rsidR="00F52C83" w:rsidRDefault="00F52C83">
        <w:pPr>
          <w:pStyle w:val="Footer"/>
          <w:jc w:val="center"/>
        </w:pPr>
        <w:r>
          <w:fldChar w:fldCharType="begin"/>
        </w:r>
        <w:r>
          <w:instrText xml:space="preserve"> PAGE   \* MERGEFORMAT </w:instrText>
        </w:r>
        <w:r>
          <w:fldChar w:fldCharType="separate"/>
        </w:r>
        <w:r w:rsidR="00CD6EF8">
          <w:rPr>
            <w:noProof/>
          </w:rPr>
          <w:t>2</w:t>
        </w:r>
        <w:r>
          <w:rPr>
            <w:noProof/>
          </w:rPr>
          <w:fldChar w:fldCharType="end"/>
        </w:r>
      </w:p>
    </w:sdtContent>
  </w:sdt>
  <w:p w:rsidR="00F52C83" w:rsidRDefault="00F52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F2" w:rsidRDefault="00A6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05" w:rsidRDefault="00C06F05" w:rsidP="00B23CDC">
      <w:r>
        <w:separator/>
      </w:r>
    </w:p>
  </w:footnote>
  <w:footnote w:type="continuationSeparator" w:id="0">
    <w:p w:rsidR="00C06F05" w:rsidRPr="006E5991" w:rsidRDefault="00C06F05" w:rsidP="006E5991">
      <w:r>
        <w:continuationSeparator/>
      </w:r>
    </w:p>
  </w:footnote>
  <w:footnote w:type="continuationNotice" w:id="1">
    <w:p w:rsidR="00C06F05" w:rsidRPr="006E5991" w:rsidRDefault="00C06F05" w:rsidP="006E5991"/>
  </w:footnote>
  <w:footnote w:id="2">
    <w:p w:rsidR="00C30F3A" w:rsidRPr="00193A4F" w:rsidRDefault="00C30F3A" w:rsidP="00C30F3A">
      <w:pPr>
        <w:pStyle w:val="FootnoteText"/>
      </w:pPr>
      <w:r w:rsidRPr="00193A4F">
        <w:rPr>
          <w:rStyle w:val="FootnoteReference"/>
        </w:rPr>
        <w:footnoteRef/>
      </w:r>
      <w:r w:rsidRPr="00193A4F">
        <w:t xml:space="preserve"> </w:t>
      </w:r>
      <w:r>
        <w:t xml:space="preserve">47 C.F.R. </w:t>
      </w:r>
      <w:r w:rsidRPr="00193A4F">
        <w:t>§</w:t>
      </w:r>
      <w:r>
        <w:t xml:space="preserve"> </w:t>
      </w:r>
      <w:r w:rsidRPr="002A6579">
        <w:t>1.106(p)</w:t>
      </w:r>
      <w:r>
        <w:t>(3)</w:t>
      </w:r>
      <w:r w:rsidRPr="00193A4F">
        <w:t>.</w:t>
      </w:r>
    </w:p>
  </w:footnote>
  <w:footnote w:id="3">
    <w:p w:rsidR="000D0D57" w:rsidRDefault="000D0D57">
      <w:pPr>
        <w:pStyle w:val="FootnoteText"/>
      </w:pPr>
      <w:r>
        <w:rPr>
          <w:rStyle w:val="FootnoteReference"/>
        </w:rPr>
        <w:footnoteRef/>
      </w:r>
      <w:r>
        <w:t xml:space="preserve"> </w:t>
      </w:r>
      <w:r w:rsidRPr="0030738C">
        <w:rPr>
          <w:i/>
        </w:rPr>
        <w:t>RB Comm</w:t>
      </w:r>
      <w:r>
        <w:rPr>
          <w:i/>
        </w:rPr>
        <w:t>c’</w:t>
      </w:r>
      <w:r w:rsidRPr="0030738C">
        <w:rPr>
          <w:i/>
        </w:rPr>
        <w:t>ns, Inc., d/b/a Starfone,</w:t>
      </w:r>
      <w:r w:rsidRPr="0030738C">
        <w:t xml:space="preserve"> Forfeiture Order, </w:t>
      </w:r>
      <w:r>
        <w:t>29 FCC Rcd 5668 (2014) (</w:t>
      </w:r>
      <w:r w:rsidRPr="004E7AB1">
        <w:rPr>
          <w:i/>
        </w:rPr>
        <w:t>Starfone Forfeiture Order</w:t>
      </w:r>
      <w:r w:rsidR="00C21DF5">
        <w:t xml:space="preserve"> or </w:t>
      </w:r>
      <w:r w:rsidR="00C21DF5">
        <w:rPr>
          <w:i/>
        </w:rPr>
        <w:t>Forfeiture Order</w:t>
      </w:r>
      <w:r>
        <w:t xml:space="preserve">), </w:t>
      </w:r>
      <w:r w:rsidRPr="00FB6FEE">
        <w:rPr>
          <w:i/>
        </w:rPr>
        <w:t xml:space="preserve">collection action filed </w:t>
      </w:r>
      <w:r>
        <w:rPr>
          <w:i/>
        </w:rPr>
        <w:t>sub nom. U.S.</w:t>
      </w:r>
      <w:r w:rsidRPr="004A763B">
        <w:rPr>
          <w:i/>
        </w:rPr>
        <w:t xml:space="preserve"> v. RB Comm</w:t>
      </w:r>
      <w:r>
        <w:rPr>
          <w:i/>
        </w:rPr>
        <w:t>c’</w:t>
      </w:r>
      <w:r w:rsidRPr="004A763B">
        <w:rPr>
          <w:i/>
        </w:rPr>
        <w:t>ns, Inc., d/b/a Starfone</w:t>
      </w:r>
      <w:r>
        <w:t>, C.D. Cal. Case No. CV 14-5584 CAS (JPRx) (filed July 2014).</w:t>
      </w:r>
    </w:p>
  </w:footnote>
  <w:footnote w:id="4">
    <w:p w:rsidR="001A1948" w:rsidRPr="00FB6FEE" w:rsidRDefault="001A1948" w:rsidP="001A1948">
      <w:pPr>
        <w:pStyle w:val="FootnoteText"/>
        <w:rPr>
          <w:i/>
        </w:rPr>
      </w:pPr>
      <w:r w:rsidRPr="0030738C">
        <w:rPr>
          <w:rStyle w:val="FootnoteReference"/>
        </w:rPr>
        <w:footnoteRef/>
      </w:r>
      <w:r w:rsidRPr="0030738C">
        <w:t xml:space="preserve"> </w:t>
      </w:r>
      <w:r w:rsidRPr="0030738C">
        <w:rPr>
          <w:i/>
        </w:rPr>
        <w:t>RB Comm</w:t>
      </w:r>
      <w:r>
        <w:rPr>
          <w:i/>
        </w:rPr>
        <w:t>c’</w:t>
      </w:r>
      <w:r w:rsidRPr="0030738C">
        <w:rPr>
          <w:i/>
        </w:rPr>
        <w:t>ns, Inc., d/b/a Starfone,</w:t>
      </w:r>
      <w:r w:rsidRPr="0030738C">
        <w:t xml:space="preserve"> Notice of Apparent Liability for Forfeiture and Order, 27 FCC Rcd 4393</w:t>
      </w:r>
      <w:r>
        <w:t xml:space="preserve">, </w:t>
      </w:r>
      <w:r w:rsidRPr="0030738C">
        <w:t>4396</w:t>
      </w:r>
      <w:r>
        <w:t xml:space="preserve"> (2012) (</w:t>
      </w:r>
      <w:r w:rsidRPr="004E7AB1">
        <w:rPr>
          <w:i/>
        </w:rPr>
        <w:t>Starfone NAL</w:t>
      </w:r>
      <w:r>
        <w:t xml:space="preserve">), </w:t>
      </w:r>
      <w:r>
        <w:rPr>
          <w:i/>
        </w:rPr>
        <w:t xml:space="preserve">forfeiture issued, </w:t>
      </w:r>
      <w:r w:rsidRPr="004E7AB1">
        <w:rPr>
          <w:i/>
        </w:rPr>
        <w:t>Starfone Forfeiture Order</w:t>
      </w:r>
      <w:r>
        <w:t xml:space="preserve">, </w:t>
      </w:r>
      <w:r w:rsidR="006A1706">
        <w:t xml:space="preserve">29 FCC Rcd 5668, </w:t>
      </w:r>
      <w:r w:rsidRPr="00FB6FEE">
        <w:rPr>
          <w:i/>
        </w:rPr>
        <w:t xml:space="preserve">collection action filed </w:t>
      </w:r>
      <w:r>
        <w:rPr>
          <w:i/>
        </w:rPr>
        <w:t>sub nom. U.S.</w:t>
      </w:r>
      <w:r w:rsidRPr="004A763B">
        <w:rPr>
          <w:i/>
        </w:rPr>
        <w:t xml:space="preserve"> v. RB Comm</w:t>
      </w:r>
      <w:r>
        <w:rPr>
          <w:i/>
        </w:rPr>
        <w:t>c’</w:t>
      </w:r>
      <w:r w:rsidRPr="004A763B">
        <w:rPr>
          <w:i/>
        </w:rPr>
        <w:t>ns, Inc., d/b/a Starfone</w:t>
      </w:r>
      <w:r>
        <w:t xml:space="preserve">, C.D. Cal. Case No. CV 14-5584 CAS (JPRx). </w:t>
      </w:r>
    </w:p>
  </w:footnote>
  <w:footnote w:id="5">
    <w:p w:rsidR="00441C16" w:rsidRPr="00F465FF" w:rsidRDefault="00441C16" w:rsidP="00441C16">
      <w:pPr>
        <w:pStyle w:val="FootnoteText"/>
      </w:pPr>
      <w:r>
        <w:rPr>
          <w:rStyle w:val="FootnoteReference"/>
        </w:rPr>
        <w:footnoteRef/>
      </w:r>
      <w:r>
        <w:t xml:space="preserve"> </w:t>
      </w:r>
      <w:r w:rsidRPr="00F32480">
        <w:rPr>
          <w:i/>
        </w:rPr>
        <w:t>See</w:t>
      </w:r>
      <w:r w:rsidRPr="00F32480">
        <w:t xml:space="preserve"> Response of RB Communications, Inc. to Notice of Apparent Liability Requesting Consent Decree Negotiations </w:t>
      </w:r>
      <w:r>
        <w:t>at 3, 7</w:t>
      </w:r>
      <w:r w:rsidRPr="00F32480">
        <w:t xml:space="preserve"> (filed June 8, 2012) (on file in EB-</w:t>
      </w:r>
      <w:r w:rsidRPr="00F31BD4">
        <w:t>IHD-13-00011</w:t>
      </w:r>
      <w:r>
        <w:t>657</w:t>
      </w:r>
      <w:r w:rsidRPr="00F32480">
        <w:t>)</w:t>
      </w:r>
      <w:r>
        <w:t>.</w:t>
      </w:r>
    </w:p>
  </w:footnote>
  <w:footnote w:id="6">
    <w:p w:rsidR="00441C16" w:rsidRDefault="00441C16" w:rsidP="00441C16">
      <w:pPr>
        <w:pStyle w:val="FootnoteText"/>
      </w:pPr>
      <w:r>
        <w:rPr>
          <w:rStyle w:val="FootnoteReference"/>
        </w:rPr>
        <w:footnoteRef/>
      </w:r>
      <w:r>
        <w:t xml:space="preserve"> </w:t>
      </w:r>
      <w:r w:rsidRPr="006876D6">
        <w:rPr>
          <w:i/>
        </w:rPr>
        <w:t>See</w:t>
      </w:r>
      <w:r w:rsidRPr="006876D6">
        <w:t xml:space="preserve"> Email </w:t>
      </w:r>
      <w:r>
        <w:t>from Edward A. Maldonado</w:t>
      </w:r>
      <w:r w:rsidRPr="006876D6">
        <w:t xml:space="preserve">, </w:t>
      </w:r>
      <w:r>
        <w:t>Law Office of Edward A. Maldonado, PA, Maldonado Law Group</w:t>
      </w:r>
      <w:r w:rsidRPr="006876D6">
        <w:t xml:space="preserve">, to </w:t>
      </w:r>
      <w:r>
        <w:t>Margaret Dailey</w:t>
      </w:r>
      <w:r w:rsidRPr="006876D6">
        <w:t>, FCC Enforcement Bureau (</w:t>
      </w:r>
      <w:r>
        <w:t>Mar. 13</w:t>
      </w:r>
      <w:r w:rsidRPr="006876D6">
        <w:t xml:space="preserve">, 2014) (enclosing </w:t>
      </w:r>
      <w:r>
        <w:t xml:space="preserve">2013 tax returns for Starfone); </w:t>
      </w:r>
      <w:r w:rsidRPr="006876D6">
        <w:t xml:space="preserve">Email </w:t>
      </w:r>
      <w:r>
        <w:t>from Edward A. Maldonado</w:t>
      </w:r>
      <w:r w:rsidRPr="006876D6">
        <w:t xml:space="preserve">, </w:t>
      </w:r>
      <w:r>
        <w:t>Law Office of Edward A. Maldonado, PA, Maldonado Law Group</w:t>
      </w:r>
      <w:r w:rsidRPr="006876D6">
        <w:t xml:space="preserve">, to </w:t>
      </w:r>
      <w:r>
        <w:t>Margaret Dailey</w:t>
      </w:r>
      <w:r w:rsidRPr="006876D6">
        <w:t>, FCC Enforcement Bureau (</w:t>
      </w:r>
      <w:r>
        <w:t>Feb. 24</w:t>
      </w:r>
      <w:r w:rsidRPr="006876D6">
        <w:t xml:space="preserve">, 2014) (enclosing </w:t>
      </w:r>
      <w:r>
        <w:t>2011 and 2012 tax returns for Starfone)</w:t>
      </w:r>
      <w:r w:rsidRPr="006876D6">
        <w:t xml:space="preserve"> </w:t>
      </w:r>
      <w:r>
        <w:t xml:space="preserve">(collectively Starfone’s March 13, 2014 </w:t>
      </w:r>
      <w:r w:rsidR="006A1706">
        <w:t xml:space="preserve">and February 24, 2014 </w:t>
      </w:r>
      <w:r>
        <w:t xml:space="preserve">emails) </w:t>
      </w:r>
      <w:r w:rsidRPr="006876D6">
        <w:t>(on file in EB-IHD-1</w:t>
      </w:r>
      <w:r>
        <w:t>3</w:t>
      </w:r>
      <w:r w:rsidRPr="006876D6">
        <w:t>-0001</w:t>
      </w:r>
      <w:r>
        <w:t>1657</w:t>
      </w:r>
      <w:r w:rsidRPr="006876D6">
        <w:t xml:space="preserve">).  </w:t>
      </w:r>
    </w:p>
  </w:footnote>
  <w:footnote w:id="7">
    <w:p w:rsidR="00441C16" w:rsidRDefault="00441C16" w:rsidP="00441C16">
      <w:pPr>
        <w:pStyle w:val="FootnoteText"/>
      </w:pPr>
      <w:r>
        <w:rPr>
          <w:rStyle w:val="FootnoteReference"/>
        </w:rPr>
        <w:footnoteRef/>
      </w:r>
      <w:r>
        <w:t xml:space="preserve"> </w:t>
      </w:r>
      <w:r w:rsidRPr="004E7AB1">
        <w:rPr>
          <w:i/>
        </w:rPr>
        <w:t>See</w:t>
      </w:r>
      <w:r>
        <w:t xml:space="preserve"> </w:t>
      </w:r>
      <w:r w:rsidRPr="004E7AB1">
        <w:rPr>
          <w:i/>
        </w:rPr>
        <w:t>Starfone Forfeiture Order</w:t>
      </w:r>
      <w:r>
        <w:t>, 29 FCC Rcd at 5674–75, para. 21</w:t>
      </w:r>
      <w:r w:rsidRPr="0030738C">
        <w:t>.</w:t>
      </w:r>
    </w:p>
  </w:footnote>
  <w:footnote w:id="8">
    <w:p w:rsidR="00441C16" w:rsidRDefault="00441C16" w:rsidP="00441C16">
      <w:pPr>
        <w:pStyle w:val="FootnoteText"/>
      </w:pPr>
      <w:r>
        <w:rPr>
          <w:rStyle w:val="FootnoteReference"/>
        </w:rPr>
        <w:footnoteRef/>
      </w:r>
      <w:r>
        <w:t xml:space="preserve"> </w:t>
      </w:r>
      <w:r w:rsidRPr="005966C7">
        <w:rPr>
          <w:i/>
        </w:rPr>
        <w:t>See id</w:t>
      </w:r>
      <w:r>
        <w:rPr>
          <w:i/>
        </w:rPr>
        <w:t>.</w:t>
      </w:r>
      <w:r w:rsidRPr="005966C7">
        <w:t xml:space="preserve"> </w:t>
      </w:r>
      <w:r>
        <w:t>at 5674, para. 19.</w:t>
      </w:r>
    </w:p>
  </w:footnote>
  <w:footnote w:id="9">
    <w:p w:rsidR="00441C16" w:rsidRDefault="00441C16" w:rsidP="00441C16">
      <w:pPr>
        <w:pStyle w:val="FootnoteText"/>
      </w:pPr>
      <w:r>
        <w:rPr>
          <w:rStyle w:val="FootnoteReference"/>
        </w:rPr>
        <w:footnoteRef/>
      </w:r>
      <w:r>
        <w:t xml:space="preserve"> </w:t>
      </w:r>
      <w:r w:rsidRPr="00F32480">
        <w:rPr>
          <w:i/>
        </w:rPr>
        <w:t>See</w:t>
      </w:r>
      <w:r w:rsidRPr="00F32480">
        <w:t xml:space="preserve"> </w:t>
      </w:r>
      <w:r>
        <w:t xml:space="preserve">Petition for Reconsideration of </w:t>
      </w:r>
      <w:r w:rsidRPr="00F32480">
        <w:t xml:space="preserve">RB Communications, Inc. (filed June </w:t>
      </w:r>
      <w:r>
        <w:t>16</w:t>
      </w:r>
      <w:r w:rsidRPr="00F32480">
        <w:t>, 201</w:t>
      </w:r>
      <w:r>
        <w:t>4</w:t>
      </w:r>
      <w:r w:rsidRPr="00F32480">
        <w:t>) (on file in EB-</w:t>
      </w:r>
      <w:r w:rsidRPr="00F31BD4">
        <w:t>IHD-13-00011</w:t>
      </w:r>
      <w:r>
        <w:t>657</w:t>
      </w:r>
      <w:r w:rsidRPr="00F32480">
        <w:t>) (</w:t>
      </w:r>
      <w:r>
        <w:t>Starfone Petition for Reconsideration</w:t>
      </w:r>
      <w:r w:rsidRPr="00F32480">
        <w:t>)</w:t>
      </w:r>
      <w:r>
        <w:t>.</w:t>
      </w:r>
    </w:p>
  </w:footnote>
  <w:footnote w:id="10">
    <w:p w:rsidR="00441C16" w:rsidRDefault="00441C16" w:rsidP="00441C16">
      <w:pPr>
        <w:pStyle w:val="FootnoteText"/>
      </w:pPr>
      <w:r>
        <w:rPr>
          <w:rStyle w:val="FootnoteReference"/>
        </w:rPr>
        <w:footnoteRef/>
      </w:r>
      <w:r>
        <w:t xml:space="preserve"> </w:t>
      </w:r>
      <w:r w:rsidRPr="00D87CBF">
        <w:rPr>
          <w:i/>
        </w:rPr>
        <w:t>Id</w:t>
      </w:r>
      <w:r>
        <w:t>. at 3, para. 6.</w:t>
      </w:r>
    </w:p>
  </w:footnote>
  <w:footnote w:id="11">
    <w:p w:rsidR="00441C16" w:rsidRPr="00F465FF" w:rsidRDefault="00441C16" w:rsidP="00441C16">
      <w:pPr>
        <w:pStyle w:val="FootnoteText"/>
      </w:pPr>
      <w:r>
        <w:rPr>
          <w:rStyle w:val="FootnoteReference"/>
        </w:rPr>
        <w:footnoteRef/>
      </w:r>
      <w:r>
        <w:t xml:space="preserve"> </w:t>
      </w:r>
      <w:r w:rsidRPr="0006513F">
        <w:rPr>
          <w:i/>
        </w:rPr>
        <w:t>See</w:t>
      </w:r>
      <w:r>
        <w:t xml:space="preserve"> </w:t>
      </w:r>
      <w:r>
        <w:rPr>
          <w:i/>
        </w:rPr>
        <w:t>id.</w:t>
      </w:r>
      <w:r w:rsidR="00C97490">
        <w:t xml:space="preserve">, </w:t>
      </w:r>
      <w:r>
        <w:t>para. 7.</w:t>
      </w:r>
    </w:p>
  </w:footnote>
  <w:footnote w:id="12">
    <w:p w:rsidR="00441C16" w:rsidRDefault="00441C16" w:rsidP="00441C16">
      <w:pPr>
        <w:pStyle w:val="FootnoteText"/>
      </w:pPr>
      <w:r>
        <w:rPr>
          <w:rStyle w:val="FootnoteReference"/>
        </w:rPr>
        <w:footnoteRef/>
      </w:r>
      <w:r>
        <w:t xml:space="preserve"> </w:t>
      </w:r>
      <w:r w:rsidRPr="003C0E5C">
        <w:rPr>
          <w:i/>
        </w:rPr>
        <w:t>Id</w:t>
      </w:r>
      <w:r>
        <w:t>. at 4, para 12.</w:t>
      </w:r>
    </w:p>
  </w:footnote>
  <w:footnote w:id="13">
    <w:p w:rsidR="001A1948" w:rsidRDefault="001A1948" w:rsidP="001A1948">
      <w:pPr>
        <w:pStyle w:val="FootnoteText"/>
      </w:pPr>
      <w:r>
        <w:rPr>
          <w:rStyle w:val="FootnoteReference"/>
        </w:rPr>
        <w:footnoteRef/>
      </w:r>
      <w:r>
        <w:t xml:space="preserve"> </w:t>
      </w:r>
      <w:r>
        <w:rPr>
          <w:i/>
        </w:rPr>
        <w:t>See</w:t>
      </w:r>
      <w:r>
        <w:t xml:space="preserve"> </w:t>
      </w:r>
      <w:r w:rsidRPr="00950306">
        <w:rPr>
          <w:i/>
        </w:rPr>
        <w:t>EZ Sacramento, Inc.</w:t>
      </w:r>
      <w:r>
        <w:t>, Memorandum Opinion and Order, 15 FCC Rcd</w:t>
      </w:r>
      <w:r w:rsidR="00827D80">
        <w:t xml:space="preserve"> 18257, para. 2 (Enf. Bur.</w:t>
      </w:r>
      <w:r>
        <w:t xml:space="preserve"> 2000) (citing </w:t>
      </w:r>
      <w:r w:rsidRPr="00AB56A9">
        <w:rPr>
          <w:i/>
        </w:rPr>
        <w:t>WWIZ, Inc.</w:t>
      </w:r>
      <w:r>
        <w:t xml:space="preserve">, Memorandum Opinion and Order, 37 FCC 685, 686 (1964), </w:t>
      </w:r>
      <w:r w:rsidRPr="00AB56A9">
        <w:rPr>
          <w:i/>
        </w:rPr>
        <w:t>aff’d sub nom. Lorain Journal Co. v. FCC</w:t>
      </w:r>
      <w:r>
        <w:t xml:space="preserve">, 351 F.2d 824 (D.C. Cir. 1965), </w:t>
      </w:r>
      <w:r w:rsidRPr="00AB56A9">
        <w:rPr>
          <w:i/>
        </w:rPr>
        <w:t>cert. denied</w:t>
      </w:r>
      <w:r>
        <w:t xml:space="preserve">, 383 U.S. 967 (1966); 47 C.F.R. § 1.106(c)); </w:t>
      </w:r>
      <w:r w:rsidRPr="00AB56A9">
        <w:rPr>
          <w:i/>
        </w:rPr>
        <w:t>see also Ely Radio, LLC</w:t>
      </w:r>
      <w:r>
        <w:t>, Memorandum Opinion and Order, 27 FCC Rcd 7608, 7610, para. 6 (Enf. Bur. 2012).</w:t>
      </w:r>
    </w:p>
  </w:footnote>
  <w:footnote w:id="14">
    <w:p w:rsidR="001A1948" w:rsidRDefault="001A1948" w:rsidP="001A1948">
      <w:pPr>
        <w:pStyle w:val="FootnoteText"/>
      </w:pPr>
      <w:r>
        <w:rPr>
          <w:rStyle w:val="FootnoteReference"/>
        </w:rPr>
        <w:footnoteRef/>
      </w:r>
      <w:r>
        <w:t xml:space="preserve"> </w:t>
      </w:r>
      <w:r>
        <w:rPr>
          <w:i/>
        </w:rPr>
        <w:t xml:space="preserve">See </w:t>
      </w:r>
      <w:r w:rsidRPr="009D5BBC">
        <w:rPr>
          <w:i/>
        </w:rPr>
        <w:t>WWIZ, Inc.</w:t>
      </w:r>
      <w:r>
        <w:t>, 37 FCC at 686, para. 2 (reconsideration “will not be granted merely for the purpose of again debating matters on which the tribunal has once deliberated and spoken”).</w:t>
      </w:r>
    </w:p>
  </w:footnote>
  <w:footnote w:id="15">
    <w:p w:rsidR="001A1948" w:rsidRDefault="001A1948" w:rsidP="001A1948">
      <w:pPr>
        <w:pStyle w:val="FootnoteText"/>
      </w:pPr>
      <w:r>
        <w:rPr>
          <w:rStyle w:val="FootnoteReference"/>
        </w:rPr>
        <w:footnoteRef/>
      </w:r>
      <w:r>
        <w:t xml:space="preserve"> 47 C.F.R. § 1.106(p); </w:t>
      </w:r>
      <w:r>
        <w:rPr>
          <w:i/>
        </w:rPr>
        <w:t xml:space="preserve">see also </w:t>
      </w:r>
      <w:r w:rsidRPr="00950306">
        <w:rPr>
          <w:i/>
        </w:rPr>
        <w:t>Amendment of Certain of the Comm</w:t>
      </w:r>
      <w:r>
        <w:rPr>
          <w:i/>
        </w:rPr>
        <w:t>’</w:t>
      </w:r>
      <w:r w:rsidRPr="00950306">
        <w:rPr>
          <w:i/>
        </w:rPr>
        <w:t xml:space="preserve">n’s Part 1 Rules of Practice </w:t>
      </w:r>
      <w:r>
        <w:rPr>
          <w:i/>
        </w:rPr>
        <w:t>&amp;</w:t>
      </w:r>
      <w:r w:rsidRPr="00950306">
        <w:rPr>
          <w:i/>
        </w:rPr>
        <w:t xml:space="preserve"> Procedure </w:t>
      </w:r>
      <w:r>
        <w:rPr>
          <w:i/>
        </w:rPr>
        <w:t>&amp;</w:t>
      </w:r>
      <w:r w:rsidRPr="00950306">
        <w:rPr>
          <w:i/>
        </w:rPr>
        <w:t xml:space="preserve"> Part 0 Rules of Comm</w:t>
      </w:r>
      <w:r>
        <w:rPr>
          <w:i/>
        </w:rPr>
        <w:t>’</w:t>
      </w:r>
      <w:r w:rsidRPr="00950306">
        <w:rPr>
          <w:i/>
        </w:rPr>
        <w:t>n Org</w:t>
      </w:r>
      <w:r>
        <w:rPr>
          <w:i/>
        </w:rPr>
        <w:t>.</w:t>
      </w:r>
      <w:r>
        <w:t xml:space="preserve">, </w:t>
      </w:r>
      <w:r w:rsidRPr="00950306">
        <w:t>Report and Order</w:t>
      </w:r>
      <w:r>
        <w:t xml:space="preserve">, 26 FCC Rcd 1594, 1606, paras. 27-28 (2011). </w:t>
      </w:r>
    </w:p>
  </w:footnote>
  <w:footnote w:id="16">
    <w:p w:rsidR="001A1948" w:rsidRDefault="001A1948" w:rsidP="001A1948">
      <w:pPr>
        <w:pStyle w:val="FootnoteText"/>
      </w:pPr>
      <w:r>
        <w:rPr>
          <w:rStyle w:val="FootnoteReference"/>
        </w:rPr>
        <w:footnoteRef/>
      </w:r>
      <w:r>
        <w:t xml:space="preserve"> 47 C.F.R. § 1.106(p)(3).</w:t>
      </w:r>
    </w:p>
  </w:footnote>
  <w:footnote w:id="17">
    <w:p w:rsidR="001A1948" w:rsidRDefault="001A1948" w:rsidP="001A1948">
      <w:pPr>
        <w:pStyle w:val="FootnoteText"/>
      </w:pPr>
      <w:r>
        <w:rPr>
          <w:rStyle w:val="FootnoteReference"/>
        </w:rPr>
        <w:footnoteRef/>
      </w:r>
      <w:r>
        <w:t xml:space="preserve"> Starfone argues in its petition that the forfeiture should be reduced because its </w:t>
      </w:r>
      <w:r w:rsidRPr="00F32480">
        <w:t xml:space="preserve">imposition would cause </w:t>
      </w:r>
      <w:r>
        <w:t xml:space="preserve">the Company </w:t>
      </w:r>
      <w:r w:rsidRPr="00F32480">
        <w:t>to go out of business</w:t>
      </w:r>
      <w:r>
        <w:t xml:space="preserve">.  Starfone made an identical argument after issuance of the </w:t>
      </w:r>
      <w:r w:rsidRPr="00164E74">
        <w:rPr>
          <w:i/>
        </w:rPr>
        <w:t>NAL</w:t>
      </w:r>
      <w:r>
        <w:t xml:space="preserve"> and presented the same revenue data in support of it.  In the </w:t>
      </w:r>
      <w:r w:rsidRPr="00164E74">
        <w:rPr>
          <w:i/>
        </w:rPr>
        <w:t>Starfone Forfeiture Order</w:t>
      </w:r>
      <w:r>
        <w:t xml:space="preserve">, the Commission explicitly “decline[d] to downwardly adjust the proposed forfeiture notwithstanding Starfone’s inability to pay request.”  </w:t>
      </w:r>
      <w:r w:rsidRPr="00806427">
        <w:rPr>
          <w:i/>
        </w:rPr>
        <w:t>Starfone Forfeiture Order</w:t>
      </w:r>
      <w:r>
        <w:t xml:space="preserve">, 29 FCC Rcd at 5674, para. 19.  Moreover, when it took this action, the Commission had before it Starfone’s tax returns for 2011, 2012, and 2013, which Starfone’s prior counsel had submitted in support of the Company’s inability to pay request.  </w:t>
      </w:r>
      <w:r w:rsidRPr="00806427">
        <w:rPr>
          <w:i/>
        </w:rPr>
        <w:t>Compare</w:t>
      </w:r>
      <w:r>
        <w:t xml:space="preserve"> Exhibits A-C of Starfone Petition for Reconsideration </w:t>
      </w:r>
      <w:r w:rsidRPr="00806427">
        <w:rPr>
          <w:i/>
        </w:rPr>
        <w:t>with</w:t>
      </w:r>
      <w:r>
        <w:t xml:space="preserve"> attachments to Starfone’s March 13, 2014 and February 24, 2014 emails.  Thus, contrary to Starfone’s claim, its petition does not contain data or facts not previously presented to the Commission.</w:t>
      </w:r>
    </w:p>
  </w:footnote>
  <w:footnote w:id="18">
    <w:p w:rsidR="001A1948" w:rsidRPr="00193A4F" w:rsidRDefault="001A1948" w:rsidP="001A1948">
      <w:pPr>
        <w:pStyle w:val="FootnoteText"/>
      </w:pPr>
      <w:r w:rsidRPr="00193A4F">
        <w:rPr>
          <w:rStyle w:val="FootnoteReference"/>
        </w:rPr>
        <w:footnoteRef/>
      </w:r>
      <w:r w:rsidRPr="00193A4F">
        <w:t xml:space="preserve"> </w:t>
      </w:r>
      <w:r>
        <w:t xml:space="preserve">47 U.S.C. </w:t>
      </w:r>
      <w:r w:rsidRPr="00193A4F">
        <w:t>§</w:t>
      </w:r>
      <w:r>
        <w:t xml:space="preserve"> 405; 4</w:t>
      </w:r>
      <w:r w:rsidRPr="00193A4F">
        <w:t>7 C.F.R. § 1.106.</w:t>
      </w:r>
    </w:p>
  </w:footnote>
  <w:footnote w:id="19">
    <w:p w:rsidR="00441C16" w:rsidRPr="00193A4F" w:rsidRDefault="00441C16" w:rsidP="00441C16">
      <w:pPr>
        <w:pStyle w:val="FootnoteText"/>
      </w:pPr>
      <w:r w:rsidRPr="00193A4F">
        <w:rPr>
          <w:rStyle w:val="FootnoteReference"/>
        </w:rPr>
        <w:footnoteRef/>
      </w:r>
      <w:r w:rsidRPr="00193A4F">
        <w:t xml:space="preserve"> 47 U.S.C. § 405; 47 C.F.R. § 1.106.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F2" w:rsidRDefault="00A67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3F1754F6" wp14:editId="7D232746">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515A5F">
      <w:rPr>
        <w:spacing w:val="-2"/>
      </w:rPr>
      <w:t>DA</w:t>
    </w:r>
    <w:r w:rsidRPr="004749BE">
      <w:rPr>
        <w:spacing w:val="-2"/>
      </w:rPr>
      <w:t xml:space="preserve"> </w:t>
    </w:r>
    <w:r w:rsidR="00515A5F">
      <w:rPr>
        <w:spacing w:val="-2"/>
      </w:rPr>
      <w:t>15-</w:t>
    </w:r>
    <w:r w:rsidR="0075174B">
      <w:rPr>
        <w:spacing w:val="-2"/>
      </w:rPr>
      <w:t>567</w:t>
    </w:r>
  </w:p>
  <w:p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481FB10C" wp14:editId="02D8019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515A5F">
      <w:rPr>
        <w:spacing w:val="-2"/>
      </w:rPr>
      <w:t>DA</w:t>
    </w:r>
    <w:r w:rsidRPr="002A6579">
      <w:rPr>
        <w:spacing w:val="-2"/>
      </w:rPr>
      <w:t xml:space="preserve"> </w:t>
    </w:r>
    <w:r w:rsidR="00515A5F">
      <w:rPr>
        <w:spacing w:val="-2"/>
      </w:rPr>
      <w:t>15-</w:t>
    </w:r>
    <w:r w:rsidR="0075174B">
      <w:rPr>
        <w:spacing w:val="-2"/>
      </w:rPr>
      <w:t>567</w:t>
    </w:r>
  </w:p>
  <w:p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8">
    <w:nsid w:val="63F323A6"/>
    <w:multiLevelType w:val="hybridMultilevel"/>
    <w:tmpl w:val="67A6C612"/>
    <w:lvl w:ilvl="0" w:tplc="712E8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9"/>
  </w:num>
  <w:num w:numId="8">
    <w:abstractNumId w:val="4"/>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 w:numId="21">
    <w:abstractNumId w:val="8"/>
  </w:num>
  <w:num w:numId="22">
    <w:abstractNumId w:val="7"/>
    <w:lvlOverride w:ilvl="0">
      <w:startOverride w:val="1"/>
    </w:lvlOverride>
  </w:num>
  <w:num w:numId="2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36039"/>
    <w:rsid w:val="00037F90"/>
    <w:rsid w:val="00070C69"/>
    <w:rsid w:val="0008058C"/>
    <w:rsid w:val="000875BF"/>
    <w:rsid w:val="0009224B"/>
    <w:rsid w:val="00096D8C"/>
    <w:rsid w:val="000A3765"/>
    <w:rsid w:val="000C0B65"/>
    <w:rsid w:val="000C0D26"/>
    <w:rsid w:val="000C16E9"/>
    <w:rsid w:val="000D0D57"/>
    <w:rsid w:val="000E05FE"/>
    <w:rsid w:val="000E2358"/>
    <w:rsid w:val="000E28BB"/>
    <w:rsid w:val="000E3D42"/>
    <w:rsid w:val="000F527C"/>
    <w:rsid w:val="00114FA6"/>
    <w:rsid w:val="00122BD5"/>
    <w:rsid w:val="00133F79"/>
    <w:rsid w:val="00160A7F"/>
    <w:rsid w:val="00162EA6"/>
    <w:rsid w:val="00193A4F"/>
    <w:rsid w:val="00194A66"/>
    <w:rsid w:val="001A1948"/>
    <w:rsid w:val="001B2C60"/>
    <w:rsid w:val="001B6AB2"/>
    <w:rsid w:val="001D6BCF"/>
    <w:rsid w:val="001D7942"/>
    <w:rsid w:val="001E01CA"/>
    <w:rsid w:val="00211EE5"/>
    <w:rsid w:val="00242C09"/>
    <w:rsid w:val="00251755"/>
    <w:rsid w:val="002745B6"/>
    <w:rsid w:val="00275CF5"/>
    <w:rsid w:val="0028301F"/>
    <w:rsid w:val="00285017"/>
    <w:rsid w:val="00285D0C"/>
    <w:rsid w:val="002A2D2E"/>
    <w:rsid w:val="002A6579"/>
    <w:rsid w:val="002B5ED5"/>
    <w:rsid w:val="002C00E8"/>
    <w:rsid w:val="002D0E6B"/>
    <w:rsid w:val="002D351E"/>
    <w:rsid w:val="002F33C8"/>
    <w:rsid w:val="00303F13"/>
    <w:rsid w:val="003178AB"/>
    <w:rsid w:val="00343749"/>
    <w:rsid w:val="00350348"/>
    <w:rsid w:val="00355E8E"/>
    <w:rsid w:val="00357336"/>
    <w:rsid w:val="003660ED"/>
    <w:rsid w:val="00366F30"/>
    <w:rsid w:val="003818A3"/>
    <w:rsid w:val="00383085"/>
    <w:rsid w:val="003B0550"/>
    <w:rsid w:val="003B694F"/>
    <w:rsid w:val="003B72C8"/>
    <w:rsid w:val="003F171C"/>
    <w:rsid w:val="00402558"/>
    <w:rsid w:val="00412FC5"/>
    <w:rsid w:val="00422276"/>
    <w:rsid w:val="004242F1"/>
    <w:rsid w:val="00434BAC"/>
    <w:rsid w:val="00441C16"/>
    <w:rsid w:val="00445A00"/>
    <w:rsid w:val="00446243"/>
    <w:rsid w:val="004519A1"/>
    <w:rsid w:val="00451B0F"/>
    <w:rsid w:val="00462DF9"/>
    <w:rsid w:val="00486E95"/>
    <w:rsid w:val="004B2A7F"/>
    <w:rsid w:val="004C2EE3"/>
    <w:rsid w:val="004E36FF"/>
    <w:rsid w:val="004E4A22"/>
    <w:rsid w:val="00511968"/>
    <w:rsid w:val="00515A5F"/>
    <w:rsid w:val="005224CB"/>
    <w:rsid w:val="00533CAC"/>
    <w:rsid w:val="00534310"/>
    <w:rsid w:val="0055614C"/>
    <w:rsid w:val="0055746A"/>
    <w:rsid w:val="005605B5"/>
    <w:rsid w:val="00573650"/>
    <w:rsid w:val="00586D68"/>
    <w:rsid w:val="005C2126"/>
    <w:rsid w:val="005C5606"/>
    <w:rsid w:val="005C760D"/>
    <w:rsid w:val="005E14C2"/>
    <w:rsid w:val="005E6DE0"/>
    <w:rsid w:val="00607BA5"/>
    <w:rsid w:val="0061180A"/>
    <w:rsid w:val="00620339"/>
    <w:rsid w:val="00626EB6"/>
    <w:rsid w:val="006305B1"/>
    <w:rsid w:val="006317EC"/>
    <w:rsid w:val="00655D03"/>
    <w:rsid w:val="006770B5"/>
    <w:rsid w:val="00683388"/>
    <w:rsid w:val="00683F84"/>
    <w:rsid w:val="00684135"/>
    <w:rsid w:val="006A1706"/>
    <w:rsid w:val="006A593E"/>
    <w:rsid w:val="006A6A81"/>
    <w:rsid w:val="006A6B3E"/>
    <w:rsid w:val="006B2271"/>
    <w:rsid w:val="006C1286"/>
    <w:rsid w:val="006C1D07"/>
    <w:rsid w:val="006E5991"/>
    <w:rsid w:val="006F6E7B"/>
    <w:rsid w:val="006F7393"/>
    <w:rsid w:val="0070224F"/>
    <w:rsid w:val="007115F7"/>
    <w:rsid w:val="007225B2"/>
    <w:rsid w:val="00726FCD"/>
    <w:rsid w:val="00734B1E"/>
    <w:rsid w:val="007433C9"/>
    <w:rsid w:val="0075070D"/>
    <w:rsid w:val="0075174B"/>
    <w:rsid w:val="00785689"/>
    <w:rsid w:val="007903A8"/>
    <w:rsid w:val="0079754B"/>
    <w:rsid w:val="007A1E6D"/>
    <w:rsid w:val="007B0EB2"/>
    <w:rsid w:val="007B3EF2"/>
    <w:rsid w:val="007B71BE"/>
    <w:rsid w:val="007D0E8E"/>
    <w:rsid w:val="00800AA8"/>
    <w:rsid w:val="00800B3C"/>
    <w:rsid w:val="00810B6F"/>
    <w:rsid w:val="00822CE0"/>
    <w:rsid w:val="00823F6C"/>
    <w:rsid w:val="00827D80"/>
    <w:rsid w:val="0083291F"/>
    <w:rsid w:val="00841AB1"/>
    <w:rsid w:val="008469D5"/>
    <w:rsid w:val="00864DA0"/>
    <w:rsid w:val="008908CE"/>
    <w:rsid w:val="008A36DD"/>
    <w:rsid w:val="008A5F2D"/>
    <w:rsid w:val="008C68F1"/>
    <w:rsid w:val="008C7956"/>
    <w:rsid w:val="008E026D"/>
    <w:rsid w:val="00901425"/>
    <w:rsid w:val="00916167"/>
    <w:rsid w:val="00917FA4"/>
    <w:rsid w:val="0092117B"/>
    <w:rsid w:val="00921803"/>
    <w:rsid w:val="00926503"/>
    <w:rsid w:val="00933174"/>
    <w:rsid w:val="00933976"/>
    <w:rsid w:val="00956E8C"/>
    <w:rsid w:val="00965C5A"/>
    <w:rsid w:val="00965F30"/>
    <w:rsid w:val="00972589"/>
    <w:rsid w:val="009726D8"/>
    <w:rsid w:val="00991638"/>
    <w:rsid w:val="009B6595"/>
    <w:rsid w:val="009C3F66"/>
    <w:rsid w:val="009D7109"/>
    <w:rsid w:val="009F76DB"/>
    <w:rsid w:val="00A173E4"/>
    <w:rsid w:val="00A2383F"/>
    <w:rsid w:val="00A32C3B"/>
    <w:rsid w:val="00A45F4F"/>
    <w:rsid w:val="00A600A9"/>
    <w:rsid w:val="00A675F2"/>
    <w:rsid w:val="00A81EDF"/>
    <w:rsid w:val="00AA55B7"/>
    <w:rsid w:val="00AA5B9E"/>
    <w:rsid w:val="00AB02A7"/>
    <w:rsid w:val="00AB2407"/>
    <w:rsid w:val="00AB53DF"/>
    <w:rsid w:val="00AC7A18"/>
    <w:rsid w:val="00AE005D"/>
    <w:rsid w:val="00AE6364"/>
    <w:rsid w:val="00B07E5C"/>
    <w:rsid w:val="00B20659"/>
    <w:rsid w:val="00B23CDC"/>
    <w:rsid w:val="00B37F19"/>
    <w:rsid w:val="00B41958"/>
    <w:rsid w:val="00B47B17"/>
    <w:rsid w:val="00B74C83"/>
    <w:rsid w:val="00B7594D"/>
    <w:rsid w:val="00B811F7"/>
    <w:rsid w:val="00B86C07"/>
    <w:rsid w:val="00B9450D"/>
    <w:rsid w:val="00B97820"/>
    <w:rsid w:val="00BA5DC6"/>
    <w:rsid w:val="00BA6196"/>
    <w:rsid w:val="00BA6ACC"/>
    <w:rsid w:val="00BB6153"/>
    <w:rsid w:val="00BC037B"/>
    <w:rsid w:val="00BC5908"/>
    <w:rsid w:val="00BC6D8C"/>
    <w:rsid w:val="00BD4B7D"/>
    <w:rsid w:val="00BD76CC"/>
    <w:rsid w:val="00C06F05"/>
    <w:rsid w:val="00C1193E"/>
    <w:rsid w:val="00C20BB7"/>
    <w:rsid w:val="00C21DF5"/>
    <w:rsid w:val="00C30F3A"/>
    <w:rsid w:val="00C34006"/>
    <w:rsid w:val="00C35607"/>
    <w:rsid w:val="00C426B1"/>
    <w:rsid w:val="00C43A2F"/>
    <w:rsid w:val="00C63B0B"/>
    <w:rsid w:val="00C66160"/>
    <w:rsid w:val="00C66C7F"/>
    <w:rsid w:val="00C721AC"/>
    <w:rsid w:val="00C90D6A"/>
    <w:rsid w:val="00C94F1E"/>
    <w:rsid w:val="00C97490"/>
    <w:rsid w:val="00CA247E"/>
    <w:rsid w:val="00CA6277"/>
    <w:rsid w:val="00CC72B6"/>
    <w:rsid w:val="00CD6EF8"/>
    <w:rsid w:val="00CF26FC"/>
    <w:rsid w:val="00CF4791"/>
    <w:rsid w:val="00D0218D"/>
    <w:rsid w:val="00D10AA4"/>
    <w:rsid w:val="00D25FB5"/>
    <w:rsid w:val="00D26F9D"/>
    <w:rsid w:val="00D30AFD"/>
    <w:rsid w:val="00D43FDF"/>
    <w:rsid w:val="00D44223"/>
    <w:rsid w:val="00D46F58"/>
    <w:rsid w:val="00D66312"/>
    <w:rsid w:val="00D67325"/>
    <w:rsid w:val="00DA2529"/>
    <w:rsid w:val="00DB130A"/>
    <w:rsid w:val="00DB2EBB"/>
    <w:rsid w:val="00DC10A1"/>
    <w:rsid w:val="00DC655F"/>
    <w:rsid w:val="00DD0B59"/>
    <w:rsid w:val="00DD7EBD"/>
    <w:rsid w:val="00DE1D2E"/>
    <w:rsid w:val="00DE3EBF"/>
    <w:rsid w:val="00DF2E51"/>
    <w:rsid w:val="00DF62B6"/>
    <w:rsid w:val="00E025F4"/>
    <w:rsid w:val="00E07225"/>
    <w:rsid w:val="00E1189D"/>
    <w:rsid w:val="00E42FDE"/>
    <w:rsid w:val="00E5409F"/>
    <w:rsid w:val="00E550A1"/>
    <w:rsid w:val="00E57EA6"/>
    <w:rsid w:val="00E72A40"/>
    <w:rsid w:val="00E7655F"/>
    <w:rsid w:val="00E815FC"/>
    <w:rsid w:val="00EC0BC7"/>
    <w:rsid w:val="00EE6488"/>
    <w:rsid w:val="00EF61B1"/>
    <w:rsid w:val="00F021FA"/>
    <w:rsid w:val="00F052FC"/>
    <w:rsid w:val="00F22689"/>
    <w:rsid w:val="00F416B1"/>
    <w:rsid w:val="00F52C83"/>
    <w:rsid w:val="00F548B2"/>
    <w:rsid w:val="00F62E97"/>
    <w:rsid w:val="00F64209"/>
    <w:rsid w:val="00F6699A"/>
    <w:rsid w:val="00F86BAB"/>
    <w:rsid w:val="00F90AF8"/>
    <w:rsid w:val="00F93BF5"/>
    <w:rsid w:val="00F966B9"/>
    <w:rsid w:val="00F9736C"/>
    <w:rsid w:val="00FC4D92"/>
    <w:rsid w:val="00FD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F52C83"/>
    <w:rPr>
      <w:snapToGrid w:val="0"/>
      <w:kern w:val="28"/>
      <w:sz w:val="22"/>
    </w:rPr>
  </w:style>
  <w:style w:type="paragraph" w:styleId="ListParagraph">
    <w:name w:val="List Paragraph"/>
    <w:basedOn w:val="Normal"/>
    <w:uiPriority w:val="34"/>
    <w:qFormat/>
    <w:rsid w:val="00441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F52C83"/>
    <w:rPr>
      <w:snapToGrid w:val="0"/>
      <w:kern w:val="28"/>
      <w:sz w:val="22"/>
    </w:rPr>
  </w:style>
  <w:style w:type="paragraph" w:styleId="ListParagraph">
    <w:name w:val="List Paragraph"/>
    <w:basedOn w:val="Normal"/>
    <w:uiPriority w:val="34"/>
    <w:qFormat/>
    <w:rsid w:val="0044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692</Words>
  <Characters>3870</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2015-04-24T18:41:00Z</cp:lastPrinted>
  <dcterms:created xsi:type="dcterms:W3CDTF">2015-05-11T16:24:00Z</dcterms:created>
  <dcterms:modified xsi:type="dcterms:W3CDTF">2015-05-11T16:24:00Z</dcterms:modified>
  <cp:category> </cp:category>
  <cp:contentStatus> </cp:contentStatus>
</cp:coreProperties>
</file>