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151C8" w14:textId="288AC046" w:rsidR="00A2712B" w:rsidRDefault="00A2712B">
      <w:pPr>
        <w:jc w:val="center"/>
        <w:rPr>
          <w:b/>
          <w:bCs/>
        </w:rPr>
      </w:pPr>
      <w:bookmarkStart w:id="0" w:name="_GoBack"/>
      <w:bookmarkEnd w:id="0"/>
      <w:r>
        <w:rPr>
          <w:b/>
          <w:bCs/>
        </w:rPr>
        <w:t>Before the</w:t>
      </w:r>
    </w:p>
    <w:p w14:paraId="4B5B25CB" w14:textId="77777777" w:rsidR="00A2712B" w:rsidRDefault="00A2712B">
      <w:pPr>
        <w:jc w:val="center"/>
        <w:rPr>
          <w:b/>
          <w:bCs/>
        </w:rPr>
      </w:pPr>
      <w:r>
        <w:rPr>
          <w:b/>
          <w:bCs/>
        </w:rPr>
        <w:t>Federal Communications Commission</w:t>
      </w:r>
    </w:p>
    <w:p w14:paraId="02C5C92C" w14:textId="77777777" w:rsidR="00A2712B" w:rsidRDefault="00A2712B">
      <w:pPr>
        <w:jc w:val="center"/>
        <w:rPr>
          <w:b/>
          <w:bCs/>
        </w:rPr>
      </w:pPr>
      <w:r>
        <w:rPr>
          <w:b/>
          <w:bCs/>
        </w:rPr>
        <w:t>Washington, D.C. 20554</w:t>
      </w:r>
    </w:p>
    <w:p w14:paraId="78C34A17" w14:textId="77777777" w:rsidR="00A2712B" w:rsidRDefault="00A2712B">
      <w:pPr>
        <w:jc w:val="center"/>
        <w:rPr>
          <w:b/>
          <w:bCs/>
        </w:rPr>
      </w:pPr>
    </w:p>
    <w:p w14:paraId="76FE3B88" w14:textId="77777777" w:rsidR="00A2712B" w:rsidRDefault="00A2712B"/>
    <w:tbl>
      <w:tblPr>
        <w:tblW w:w="9360" w:type="dxa"/>
        <w:tblLayout w:type="fixed"/>
        <w:tblLook w:val="0000" w:firstRow="0" w:lastRow="0" w:firstColumn="0" w:lastColumn="0" w:noHBand="0" w:noVBand="0"/>
      </w:tblPr>
      <w:tblGrid>
        <w:gridCol w:w="4643"/>
        <w:gridCol w:w="714"/>
        <w:gridCol w:w="4003"/>
      </w:tblGrid>
      <w:tr w:rsidR="00A2712B" w14:paraId="2143CC67" w14:textId="77777777">
        <w:tc>
          <w:tcPr>
            <w:tcW w:w="4698" w:type="dxa"/>
            <w:tcBorders>
              <w:top w:val="nil"/>
              <w:left w:val="nil"/>
              <w:bottom w:val="nil"/>
              <w:right w:val="nil"/>
            </w:tcBorders>
          </w:tcPr>
          <w:p w14:paraId="123EC5D2" w14:textId="77777777" w:rsidR="00A2712B" w:rsidRDefault="00A2712B">
            <w:r>
              <w:t>In the Matter of</w:t>
            </w:r>
          </w:p>
          <w:p w14:paraId="0D37D50C" w14:textId="77777777" w:rsidR="00A2712B" w:rsidRDefault="00A2712B"/>
          <w:p w14:paraId="31F4D2F9" w14:textId="77777777" w:rsidR="00A2712B" w:rsidRDefault="00A2712B">
            <w:r>
              <w:t>Universal Service Contribution Methodology</w:t>
            </w:r>
          </w:p>
          <w:p w14:paraId="184E7B58" w14:textId="77777777" w:rsidR="00A2712B" w:rsidRDefault="00A2712B"/>
          <w:p w14:paraId="15DE8D21" w14:textId="77777777" w:rsidR="00A2712B" w:rsidRDefault="00326005">
            <w:r>
              <w:t>Request for Waiver by Experior Networks</w:t>
            </w:r>
          </w:p>
        </w:tc>
        <w:tc>
          <w:tcPr>
            <w:tcW w:w="720" w:type="dxa"/>
            <w:tcBorders>
              <w:top w:val="nil"/>
              <w:left w:val="nil"/>
              <w:bottom w:val="nil"/>
              <w:right w:val="nil"/>
            </w:tcBorders>
          </w:tcPr>
          <w:p w14:paraId="15D8DA45" w14:textId="77777777" w:rsidR="00A2712B" w:rsidRDefault="00A2712B">
            <w:pPr>
              <w:rPr>
                <w:b/>
                <w:bCs/>
              </w:rPr>
            </w:pPr>
            <w:r>
              <w:rPr>
                <w:b/>
                <w:bCs/>
              </w:rPr>
              <w:t>)</w:t>
            </w:r>
          </w:p>
          <w:p w14:paraId="3B3A5425" w14:textId="77777777" w:rsidR="00A2712B" w:rsidRDefault="00A2712B">
            <w:pPr>
              <w:rPr>
                <w:b/>
                <w:bCs/>
              </w:rPr>
            </w:pPr>
            <w:r>
              <w:rPr>
                <w:b/>
                <w:bCs/>
              </w:rPr>
              <w:t>)</w:t>
            </w:r>
          </w:p>
          <w:p w14:paraId="47BAE96E" w14:textId="77777777" w:rsidR="00A2712B" w:rsidRDefault="00A2712B">
            <w:pPr>
              <w:rPr>
                <w:b/>
                <w:bCs/>
              </w:rPr>
            </w:pPr>
            <w:r>
              <w:rPr>
                <w:b/>
                <w:bCs/>
              </w:rPr>
              <w:t>)</w:t>
            </w:r>
          </w:p>
          <w:p w14:paraId="689A0091" w14:textId="77777777" w:rsidR="00A2712B" w:rsidRDefault="00A2712B">
            <w:pPr>
              <w:rPr>
                <w:b/>
                <w:bCs/>
              </w:rPr>
            </w:pPr>
            <w:r>
              <w:rPr>
                <w:b/>
                <w:bCs/>
              </w:rPr>
              <w:t>)</w:t>
            </w:r>
          </w:p>
          <w:p w14:paraId="7714B22F" w14:textId="77777777" w:rsidR="00A2712B" w:rsidRDefault="00A2712B">
            <w:pPr>
              <w:rPr>
                <w:b/>
                <w:bCs/>
              </w:rPr>
            </w:pPr>
            <w:r>
              <w:rPr>
                <w:b/>
                <w:bCs/>
              </w:rPr>
              <w:t>)</w:t>
            </w:r>
          </w:p>
          <w:p w14:paraId="7004AA69" w14:textId="77777777" w:rsidR="00A2712B" w:rsidRDefault="00A2712B">
            <w:pPr>
              <w:rPr>
                <w:b/>
                <w:bCs/>
              </w:rPr>
            </w:pPr>
            <w:r>
              <w:rPr>
                <w:b/>
                <w:bCs/>
              </w:rPr>
              <w:t>)</w:t>
            </w:r>
          </w:p>
        </w:tc>
        <w:tc>
          <w:tcPr>
            <w:tcW w:w="4050" w:type="dxa"/>
            <w:tcBorders>
              <w:top w:val="nil"/>
              <w:left w:val="nil"/>
              <w:bottom w:val="nil"/>
              <w:right w:val="nil"/>
            </w:tcBorders>
          </w:tcPr>
          <w:p w14:paraId="7E0A695D" w14:textId="77777777" w:rsidR="00A2712B" w:rsidRDefault="00A2712B"/>
          <w:p w14:paraId="7079124A" w14:textId="77777777" w:rsidR="00A2712B" w:rsidRDefault="00A2712B"/>
          <w:p w14:paraId="6FBF844F" w14:textId="77777777" w:rsidR="00A2712B" w:rsidRDefault="00A2712B">
            <w:r>
              <w:t>WC Docket No. 06-122</w:t>
            </w:r>
          </w:p>
        </w:tc>
      </w:tr>
      <w:tr w:rsidR="00A2712B" w14:paraId="6455CECC" w14:textId="77777777">
        <w:tc>
          <w:tcPr>
            <w:tcW w:w="4698" w:type="dxa"/>
            <w:tcBorders>
              <w:top w:val="nil"/>
              <w:left w:val="nil"/>
              <w:bottom w:val="nil"/>
              <w:right w:val="nil"/>
            </w:tcBorders>
          </w:tcPr>
          <w:p w14:paraId="41054F14" w14:textId="77777777" w:rsidR="00084049" w:rsidRDefault="001B3BAF" w:rsidP="001B3BAF">
            <w:r>
              <w:t>Request for Review by Coaxial Cable Television Corporation of Decision of Universal Service Administrator</w:t>
            </w:r>
          </w:p>
        </w:tc>
        <w:tc>
          <w:tcPr>
            <w:tcW w:w="720" w:type="dxa"/>
            <w:tcBorders>
              <w:top w:val="nil"/>
              <w:left w:val="nil"/>
              <w:bottom w:val="nil"/>
              <w:right w:val="nil"/>
            </w:tcBorders>
          </w:tcPr>
          <w:p w14:paraId="03B78CEF" w14:textId="77777777" w:rsidR="00A2712B" w:rsidRDefault="001B3BAF">
            <w:pPr>
              <w:rPr>
                <w:b/>
                <w:bCs/>
              </w:rPr>
            </w:pPr>
            <w:r>
              <w:rPr>
                <w:b/>
                <w:bCs/>
              </w:rPr>
              <w:t>)</w:t>
            </w:r>
          </w:p>
          <w:p w14:paraId="33A6580F" w14:textId="77777777" w:rsidR="001B3BAF" w:rsidRDefault="001B3BAF">
            <w:pPr>
              <w:rPr>
                <w:b/>
                <w:bCs/>
              </w:rPr>
            </w:pPr>
            <w:r>
              <w:rPr>
                <w:b/>
                <w:bCs/>
              </w:rPr>
              <w:t>)</w:t>
            </w:r>
          </w:p>
          <w:p w14:paraId="0F8D09E0" w14:textId="77777777" w:rsidR="001B3BAF" w:rsidRDefault="001B3BAF">
            <w:pPr>
              <w:rPr>
                <w:b/>
                <w:bCs/>
              </w:rPr>
            </w:pPr>
            <w:r>
              <w:rPr>
                <w:b/>
                <w:bCs/>
              </w:rPr>
              <w:t>)</w:t>
            </w:r>
          </w:p>
        </w:tc>
        <w:tc>
          <w:tcPr>
            <w:tcW w:w="4050" w:type="dxa"/>
            <w:tcBorders>
              <w:top w:val="nil"/>
              <w:left w:val="nil"/>
              <w:bottom w:val="nil"/>
              <w:right w:val="nil"/>
            </w:tcBorders>
          </w:tcPr>
          <w:p w14:paraId="30C0825C" w14:textId="77777777" w:rsidR="00A2712B" w:rsidRDefault="00A2712B"/>
        </w:tc>
      </w:tr>
    </w:tbl>
    <w:p w14:paraId="4AEB5DF9" w14:textId="77777777" w:rsidR="00A2712B" w:rsidRDefault="00A2712B">
      <w:pPr>
        <w:jc w:val="center"/>
        <w:rPr>
          <w:b/>
          <w:bCs/>
        </w:rPr>
      </w:pPr>
    </w:p>
    <w:p w14:paraId="4280E895" w14:textId="77777777" w:rsidR="00A2712B" w:rsidRDefault="00A2712B">
      <w:pPr>
        <w:jc w:val="center"/>
        <w:rPr>
          <w:b/>
          <w:bCs/>
        </w:rPr>
      </w:pPr>
      <w:r>
        <w:rPr>
          <w:b/>
          <w:bCs/>
        </w:rPr>
        <w:t xml:space="preserve">ORDER </w:t>
      </w:r>
    </w:p>
    <w:p w14:paraId="66676EC6" w14:textId="77777777" w:rsidR="00A2712B" w:rsidRDefault="00A2712B"/>
    <w:p w14:paraId="2911892F" w14:textId="144C19DF" w:rsidR="00A2712B" w:rsidRDefault="00A2712B">
      <w:pPr>
        <w:tabs>
          <w:tab w:val="right" w:pos="9360"/>
        </w:tabs>
        <w:rPr>
          <w:b/>
          <w:bCs/>
        </w:rPr>
      </w:pPr>
      <w:r>
        <w:rPr>
          <w:b/>
          <w:bCs/>
        </w:rPr>
        <w:t xml:space="preserve">Adopted:  </w:t>
      </w:r>
      <w:r w:rsidR="006D37B9">
        <w:rPr>
          <w:b/>
          <w:bCs/>
        </w:rPr>
        <w:t>May</w:t>
      </w:r>
      <w:r w:rsidR="00C86A03">
        <w:rPr>
          <w:b/>
          <w:bCs/>
        </w:rPr>
        <w:t xml:space="preserve"> </w:t>
      </w:r>
      <w:r w:rsidR="00296FD5">
        <w:rPr>
          <w:b/>
          <w:bCs/>
        </w:rPr>
        <w:t>11</w:t>
      </w:r>
      <w:r w:rsidR="00A21BD4">
        <w:rPr>
          <w:b/>
          <w:bCs/>
        </w:rPr>
        <w:t>, 2015</w:t>
      </w:r>
      <w:r>
        <w:rPr>
          <w:b/>
          <w:bCs/>
        </w:rPr>
        <w:tab/>
        <w:t xml:space="preserve">Released:  </w:t>
      </w:r>
      <w:r w:rsidR="006D37B9">
        <w:rPr>
          <w:b/>
          <w:bCs/>
        </w:rPr>
        <w:t>May</w:t>
      </w:r>
      <w:r w:rsidR="002232BF">
        <w:rPr>
          <w:b/>
          <w:bCs/>
        </w:rPr>
        <w:t xml:space="preserve"> </w:t>
      </w:r>
      <w:r w:rsidR="00296FD5">
        <w:rPr>
          <w:b/>
          <w:bCs/>
        </w:rPr>
        <w:t>11</w:t>
      </w:r>
      <w:r w:rsidR="00A21BD4">
        <w:rPr>
          <w:b/>
          <w:bCs/>
        </w:rPr>
        <w:t>, 2015</w:t>
      </w:r>
    </w:p>
    <w:p w14:paraId="20C88F17" w14:textId="77777777" w:rsidR="00A2712B" w:rsidRDefault="00A2712B"/>
    <w:p w14:paraId="492635FA" w14:textId="36212439" w:rsidR="00A2712B" w:rsidRDefault="00A2712B">
      <w:pPr>
        <w:tabs>
          <w:tab w:val="left" w:pos="5760"/>
        </w:tabs>
        <w:spacing w:after="220"/>
      </w:pPr>
      <w:r>
        <w:t xml:space="preserve">By the </w:t>
      </w:r>
      <w:r w:rsidR="00AC34BB">
        <w:t xml:space="preserve">Deputy </w:t>
      </w:r>
      <w:r>
        <w:t xml:space="preserve">Chief, </w:t>
      </w:r>
      <w:r w:rsidR="00517C1F">
        <w:t>Wireline Competition Bureau</w:t>
      </w:r>
      <w:r>
        <w:t>:</w:t>
      </w:r>
    </w:p>
    <w:p w14:paraId="59F1A2BE" w14:textId="77777777" w:rsidR="007170ED" w:rsidRDefault="007170ED" w:rsidP="007170ED">
      <w:pPr>
        <w:pStyle w:val="Heading1"/>
      </w:pPr>
      <w:r>
        <w:t>Introduction</w:t>
      </w:r>
    </w:p>
    <w:p w14:paraId="25FD3495" w14:textId="04E173C1" w:rsidR="007115BE" w:rsidRPr="007115BE" w:rsidRDefault="00847C9A" w:rsidP="00B83A1E">
      <w:pPr>
        <w:pStyle w:val="ParaNum"/>
        <w:tabs>
          <w:tab w:val="clear" w:pos="1080"/>
          <w:tab w:val="num" w:pos="360"/>
        </w:tabs>
      </w:pPr>
      <w:r>
        <w:t xml:space="preserve">In this Order, we </w:t>
      </w:r>
      <w:r w:rsidR="00987C96">
        <w:rPr>
          <w:lang w:val="en-US"/>
        </w:rPr>
        <w:t xml:space="preserve">address </w:t>
      </w:r>
      <w:r w:rsidR="006250A0">
        <w:rPr>
          <w:lang w:val="en-US"/>
        </w:rPr>
        <w:t>a request fo</w:t>
      </w:r>
      <w:r w:rsidR="00852E82">
        <w:rPr>
          <w:lang w:val="en-US"/>
        </w:rPr>
        <w:t xml:space="preserve">r waiver filed by Experior </w:t>
      </w:r>
      <w:r w:rsidR="00037F1F">
        <w:rPr>
          <w:lang w:val="en-US"/>
        </w:rPr>
        <w:t>Networks</w:t>
      </w:r>
      <w:r w:rsidR="006250A0">
        <w:rPr>
          <w:lang w:val="en-US"/>
        </w:rPr>
        <w:t xml:space="preserve"> (Experior)</w:t>
      </w:r>
      <w:r w:rsidR="006250A0" w:rsidRPr="006250A0">
        <w:rPr>
          <w:vertAlign w:val="superscript"/>
          <w:lang w:val="en-US" w:eastAsia="en-US"/>
        </w:rPr>
        <w:t xml:space="preserve"> </w:t>
      </w:r>
      <w:r w:rsidR="006250A0" w:rsidRPr="006250A0">
        <w:rPr>
          <w:vertAlign w:val="superscript"/>
          <w:lang w:val="en-US" w:eastAsia="en-US"/>
        </w:rPr>
        <w:footnoteReference w:id="2"/>
      </w:r>
      <w:r w:rsidR="006250A0">
        <w:rPr>
          <w:lang w:val="en-US"/>
        </w:rPr>
        <w:t xml:space="preserve"> and a request for review </w:t>
      </w:r>
      <w:r w:rsidR="00244237">
        <w:rPr>
          <w:lang w:val="en-US"/>
        </w:rPr>
        <w:t>of a decision of the Universal Service Administrative Company (U</w:t>
      </w:r>
      <w:r w:rsidR="00690AEC">
        <w:rPr>
          <w:lang w:val="en-US"/>
        </w:rPr>
        <w:t>S</w:t>
      </w:r>
      <w:r w:rsidR="00244237">
        <w:rPr>
          <w:lang w:val="en-US"/>
        </w:rPr>
        <w:t xml:space="preserve">AC) </w:t>
      </w:r>
      <w:r w:rsidR="006250A0">
        <w:rPr>
          <w:lang w:val="en-US"/>
        </w:rPr>
        <w:t>filed by Coaxial Cable Television Corporation (Coaxial)</w:t>
      </w:r>
      <w:r w:rsidR="00244237">
        <w:rPr>
          <w:lang w:val="en-US"/>
        </w:rPr>
        <w:t>.</w:t>
      </w:r>
      <w:r w:rsidR="008A004B">
        <w:rPr>
          <w:rStyle w:val="FootnoteReference"/>
          <w:lang w:val="en-US"/>
        </w:rPr>
        <w:footnoteReference w:id="3"/>
      </w:r>
      <w:r w:rsidR="006250A0">
        <w:rPr>
          <w:lang w:val="en-US"/>
        </w:rPr>
        <w:t xml:space="preserve"> </w:t>
      </w:r>
      <w:r w:rsidR="00852E82">
        <w:rPr>
          <w:lang w:val="en-US"/>
        </w:rPr>
        <w:t xml:space="preserve"> </w:t>
      </w:r>
      <w:r w:rsidR="0087229E">
        <w:rPr>
          <w:lang w:val="en-US"/>
        </w:rPr>
        <w:t xml:space="preserve">Both </w:t>
      </w:r>
      <w:r w:rsidR="00244237">
        <w:rPr>
          <w:lang w:val="en-US"/>
        </w:rPr>
        <w:t>Experior and Coaxial (collectively, Petitioners)</w:t>
      </w:r>
      <w:r w:rsidR="006250A0">
        <w:rPr>
          <w:lang w:val="en-US"/>
        </w:rPr>
        <w:t xml:space="preserve"> </w:t>
      </w:r>
      <w:r w:rsidR="00CD37DC">
        <w:rPr>
          <w:lang w:val="en-US"/>
        </w:rPr>
        <w:t xml:space="preserve">were </w:t>
      </w:r>
      <w:r w:rsidR="00CD37DC">
        <w:rPr>
          <w:i/>
          <w:lang w:val="en-US"/>
        </w:rPr>
        <w:t xml:space="preserve">de minimis </w:t>
      </w:r>
      <w:r w:rsidR="00CD37DC">
        <w:rPr>
          <w:lang w:val="en-US"/>
        </w:rPr>
        <w:t xml:space="preserve">providers of voice over internet protocol (VoIP) that failed to file their Forms 499-A during the </w:t>
      </w:r>
      <w:r w:rsidR="00166CE6">
        <w:rPr>
          <w:lang w:val="en-US"/>
        </w:rPr>
        <w:t xml:space="preserve">initial </w:t>
      </w:r>
      <w:r w:rsidR="00CD37DC">
        <w:rPr>
          <w:lang w:val="en-US"/>
        </w:rPr>
        <w:t xml:space="preserve">years </w:t>
      </w:r>
      <w:r w:rsidR="00166CE6">
        <w:rPr>
          <w:lang w:val="en-US"/>
        </w:rPr>
        <w:t xml:space="preserve">in which </w:t>
      </w:r>
      <w:r w:rsidR="00CD37DC">
        <w:rPr>
          <w:lang w:val="en-US"/>
        </w:rPr>
        <w:t>they provided service.</w:t>
      </w:r>
      <w:r w:rsidR="00CD37DC">
        <w:rPr>
          <w:rStyle w:val="FootnoteReference"/>
          <w:lang w:val="en-US"/>
        </w:rPr>
        <w:footnoteReference w:id="4"/>
      </w:r>
      <w:r w:rsidR="00CD37DC">
        <w:rPr>
          <w:lang w:val="en-US"/>
        </w:rPr>
        <w:t xml:space="preserve">  </w:t>
      </w:r>
      <w:r w:rsidR="00240995">
        <w:rPr>
          <w:lang w:val="en-US"/>
        </w:rPr>
        <w:t xml:space="preserve">When </w:t>
      </w:r>
      <w:r w:rsidR="00CD37DC">
        <w:rPr>
          <w:lang w:val="en-US"/>
        </w:rPr>
        <w:t>Petitioners discovered their error, they s</w:t>
      </w:r>
      <w:r w:rsidR="006250A0">
        <w:rPr>
          <w:lang w:val="en-US"/>
        </w:rPr>
        <w:t xml:space="preserve">ubmitted </w:t>
      </w:r>
      <w:r w:rsidR="00CD37DC">
        <w:rPr>
          <w:lang w:val="en-US"/>
        </w:rPr>
        <w:t xml:space="preserve">the </w:t>
      </w:r>
      <w:r w:rsidR="008A004B">
        <w:rPr>
          <w:lang w:val="en-US"/>
        </w:rPr>
        <w:t xml:space="preserve">FCC </w:t>
      </w:r>
      <w:r w:rsidR="006250A0">
        <w:rPr>
          <w:lang w:val="en-US"/>
        </w:rPr>
        <w:t xml:space="preserve">Forms 499-A for multiple </w:t>
      </w:r>
      <w:r w:rsidR="007115BE">
        <w:rPr>
          <w:lang w:val="en-US"/>
        </w:rPr>
        <w:t xml:space="preserve">filing </w:t>
      </w:r>
      <w:r w:rsidR="006250A0">
        <w:rPr>
          <w:lang w:val="en-US"/>
        </w:rPr>
        <w:t xml:space="preserve">years </w:t>
      </w:r>
      <w:r w:rsidR="00166CE6">
        <w:rPr>
          <w:lang w:val="en-US"/>
        </w:rPr>
        <w:t xml:space="preserve">in order </w:t>
      </w:r>
      <w:r w:rsidR="00240995">
        <w:rPr>
          <w:lang w:val="en-US"/>
        </w:rPr>
        <w:t xml:space="preserve">to come </w:t>
      </w:r>
      <w:r w:rsidR="00152F9E">
        <w:rPr>
          <w:lang w:val="en-US"/>
        </w:rPr>
        <w:t>into</w:t>
      </w:r>
      <w:r w:rsidR="00240995">
        <w:rPr>
          <w:lang w:val="en-US"/>
        </w:rPr>
        <w:t xml:space="preserve"> compliance with the Commission’s </w:t>
      </w:r>
      <w:r w:rsidR="00152F9E">
        <w:rPr>
          <w:lang w:val="en-US"/>
        </w:rPr>
        <w:t>filing requirements.</w:t>
      </w:r>
      <w:r w:rsidR="00152F9E">
        <w:rPr>
          <w:rStyle w:val="FootnoteReference"/>
          <w:lang w:val="en-US"/>
        </w:rPr>
        <w:footnoteReference w:id="5"/>
      </w:r>
      <w:r w:rsidR="006250A0">
        <w:rPr>
          <w:lang w:val="en-US"/>
        </w:rPr>
        <w:t xml:space="preserve">  </w:t>
      </w:r>
      <w:r w:rsidR="008E26EF">
        <w:rPr>
          <w:lang w:val="en-US"/>
        </w:rPr>
        <w:t>Each</w:t>
      </w:r>
      <w:r w:rsidR="00240995">
        <w:rPr>
          <w:lang w:val="en-US"/>
        </w:rPr>
        <w:t xml:space="preserve"> Petitioner, however, </w:t>
      </w:r>
      <w:r w:rsidR="006250A0" w:rsidRPr="00244237">
        <w:rPr>
          <w:lang w:val="en-US"/>
        </w:rPr>
        <w:t>committed</w:t>
      </w:r>
      <w:r w:rsidR="006250A0">
        <w:rPr>
          <w:lang w:val="en-US"/>
        </w:rPr>
        <w:t xml:space="preserve"> </w:t>
      </w:r>
      <w:r w:rsidR="007115BE">
        <w:rPr>
          <w:lang w:val="en-US"/>
        </w:rPr>
        <w:t xml:space="preserve">a </w:t>
      </w:r>
      <w:r w:rsidR="00862AC4">
        <w:rPr>
          <w:lang w:val="en-US"/>
        </w:rPr>
        <w:t xml:space="preserve">ministerial </w:t>
      </w:r>
      <w:r w:rsidR="00240995">
        <w:rPr>
          <w:lang w:val="en-US"/>
        </w:rPr>
        <w:t xml:space="preserve">reporting </w:t>
      </w:r>
      <w:r w:rsidR="00862AC4">
        <w:rPr>
          <w:lang w:val="en-US"/>
        </w:rPr>
        <w:t>error</w:t>
      </w:r>
      <w:r w:rsidR="006250A0">
        <w:rPr>
          <w:lang w:val="en-US"/>
        </w:rPr>
        <w:t xml:space="preserve"> on </w:t>
      </w:r>
      <w:r w:rsidR="007115BE">
        <w:rPr>
          <w:lang w:val="en-US"/>
        </w:rPr>
        <w:t>their respective Forms 499-A</w:t>
      </w:r>
      <w:r w:rsidR="008E26EF">
        <w:rPr>
          <w:lang w:val="en-US"/>
        </w:rPr>
        <w:t>,</w:t>
      </w:r>
      <w:r w:rsidR="007115BE">
        <w:rPr>
          <w:lang w:val="en-US"/>
        </w:rPr>
        <w:t xml:space="preserve"> </w:t>
      </w:r>
      <w:r w:rsidR="00037F1F">
        <w:rPr>
          <w:lang w:val="en-US"/>
        </w:rPr>
        <w:t>which</w:t>
      </w:r>
      <w:r w:rsidR="00152F9E">
        <w:rPr>
          <w:lang w:val="en-US"/>
        </w:rPr>
        <w:t xml:space="preserve"> </w:t>
      </w:r>
      <w:r w:rsidR="008E26EF">
        <w:rPr>
          <w:lang w:val="en-US"/>
        </w:rPr>
        <w:t xml:space="preserve">resulted in them being incorrectly shown as </w:t>
      </w:r>
      <w:r w:rsidR="00240995">
        <w:rPr>
          <w:lang w:val="en-US"/>
        </w:rPr>
        <w:t xml:space="preserve">over the threshold to qualify for </w:t>
      </w:r>
      <w:r w:rsidR="00240995">
        <w:rPr>
          <w:i/>
          <w:lang w:val="en-US"/>
        </w:rPr>
        <w:t>de minimis</w:t>
      </w:r>
      <w:r w:rsidR="00240995">
        <w:rPr>
          <w:lang w:val="en-US"/>
        </w:rPr>
        <w:t xml:space="preserve"> status</w:t>
      </w:r>
      <w:r w:rsidR="00862AC4">
        <w:rPr>
          <w:lang w:val="en-US"/>
        </w:rPr>
        <w:t>.</w:t>
      </w:r>
      <w:r w:rsidR="008A004B">
        <w:rPr>
          <w:rStyle w:val="FootnoteReference"/>
          <w:lang w:val="en-US"/>
        </w:rPr>
        <w:footnoteReference w:id="6"/>
      </w:r>
      <w:r w:rsidR="00862AC4">
        <w:rPr>
          <w:lang w:val="en-US"/>
        </w:rPr>
        <w:t xml:space="preserve">  </w:t>
      </w:r>
      <w:r w:rsidR="00AA0EF5">
        <w:rPr>
          <w:lang w:val="en-US"/>
        </w:rPr>
        <w:t>USAC</w:t>
      </w:r>
      <w:r w:rsidR="00852E82">
        <w:rPr>
          <w:lang w:val="en-US"/>
        </w:rPr>
        <w:t xml:space="preserve"> </w:t>
      </w:r>
      <w:r w:rsidR="00862AC4">
        <w:rPr>
          <w:lang w:val="en-US"/>
        </w:rPr>
        <w:t xml:space="preserve">permitted </w:t>
      </w:r>
      <w:r w:rsidR="00690AEC">
        <w:rPr>
          <w:lang w:val="en-US"/>
        </w:rPr>
        <w:t xml:space="preserve">Petitioners </w:t>
      </w:r>
      <w:r w:rsidR="00862AC4">
        <w:rPr>
          <w:lang w:val="en-US"/>
        </w:rPr>
        <w:t>to revise the</w:t>
      </w:r>
      <w:r w:rsidR="008A004B">
        <w:rPr>
          <w:lang w:val="en-US"/>
        </w:rPr>
        <w:t>ir</w:t>
      </w:r>
      <w:r w:rsidR="00862AC4">
        <w:rPr>
          <w:lang w:val="en-US"/>
        </w:rPr>
        <w:t xml:space="preserve"> current </w:t>
      </w:r>
      <w:r w:rsidR="008E38B2">
        <w:rPr>
          <w:lang w:val="en-US"/>
        </w:rPr>
        <w:t xml:space="preserve">filing </w:t>
      </w:r>
      <w:r w:rsidR="00862AC4">
        <w:rPr>
          <w:lang w:val="en-US"/>
        </w:rPr>
        <w:t>year’</w:t>
      </w:r>
      <w:r w:rsidR="008A004B">
        <w:rPr>
          <w:lang w:val="en-US"/>
        </w:rPr>
        <w:t>s F</w:t>
      </w:r>
      <w:r w:rsidR="00862AC4">
        <w:rPr>
          <w:lang w:val="en-US"/>
        </w:rPr>
        <w:t>orm</w:t>
      </w:r>
      <w:r w:rsidR="00152F9E">
        <w:rPr>
          <w:lang w:val="en-US"/>
        </w:rPr>
        <w:t>s</w:t>
      </w:r>
      <w:r w:rsidR="00862AC4">
        <w:rPr>
          <w:lang w:val="en-US"/>
        </w:rPr>
        <w:t xml:space="preserve"> </w:t>
      </w:r>
      <w:r w:rsidR="00152F9E">
        <w:rPr>
          <w:lang w:val="en-US"/>
        </w:rPr>
        <w:t>499</w:t>
      </w:r>
      <w:r w:rsidR="00690AEC">
        <w:rPr>
          <w:lang w:val="en-US"/>
        </w:rPr>
        <w:t>,</w:t>
      </w:r>
      <w:r w:rsidR="00152F9E">
        <w:rPr>
          <w:lang w:val="en-US"/>
        </w:rPr>
        <w:t xml:space="preserve"> </w:t>
      </w:r>
      <w:r w:rsidR="00862AC4">
        <w:rPr>
          <w:lang w:val="en-US"/>
        </w:rPr>
        <w:t xml:space="preserve">but rejected </w:t>
      </w:r>
      <w:r w:rsidR="00690AEC">
        <w:rPr>
          <w:lang w:val="en-US"/>
        </w:rPr>
        <w:t xml:space="preserve">revised </w:t>
      </w:r>
      <w:r w:rsidR="00152F9E">
        <w:rPr>
          <w:lang w:val="en-US"/>
        </w:rPr>
        <w:t>Form</w:t>
      </w:r>
      <w:r w:rsidR="00690AEC">
        <w:rPr>
          <w:lang w:val="en-US"/>
        </w:rPr>
        <w:t>s</w:t>
      </w:r>
      <w:r w:rsidR="00152F9E">
        <w:rPr>
          <w:lang w:val="en-US"/>
        </w:rPr>
        <w:t xml:space="preserve"> 499-A </w:t>
      </w:r>
      <w:r w:rsidR="008A004B">
        <w:rPr>
          <w:lang w:val="en-US"/>
        </w:rPr>
        <w:t xml:space="preserve">for previous years </w:t>
      </w:r>
      <w:r w:rsidR="00862AC4">
        <w:rPr>
          <w:lang w:val="en-US"/>
        </w:rPr>
        <w:t xml:space="preserve">because the revisions were submitted after the twelve-month deadline for </w:t>
      </w:r>
      <w:r w:rsidR="0087229E">
        <w:rPr>
          <w:lang w:val="en-US"/>
        </w:rPr>
        <w:t xml:space="preserve">submitting </w:t>
      </w:r>
      <w:r w:rsidR="00862AC4">
        <w:rPr>
          <w:lang w:val="en-US"/>
        </w:rPr>
        <w:t>revis</w:t>
      </w:r>
      <w:r w:rsidR="0087229E">
        <w:rPr>
          <w:lang w:val="en-US"/>
        </w:rPr>
        <w:t xml:space="preserve">ions to the </w:t>
      </w:r>
      <w:r w:rsidR="00E500AA">
        <w:rPr>
          <w:lang w:val="en-US"/>
        </w:rPr>
        <w:t>Form</w:t>
      </w:r>
      <w:r w:rsidR="00862AC4">
        <w:rPr>
          <w:lang w:val="en-US"/>
        </w:rPr>
        <w:t xml:space="preserve"> 499-A.</w:t>
      </w:r>
      <w:r w:rsidR="008E38B2">
        <w:rPr>
          <w:rStyle w:val="FootnoteReference"/>
          <w:lang w:val="en-US"/>
        </w:rPr>
        <w:footnoteReference w:id="7"/>
      </w:r>
      <w:r w:rsidR="00862AC4">
        <w:rPr>
          <w:lang w:val="en-US"/>
        </w:rPr>
        <w:t xml:space="preserve">  </w:t>
      </w:r>
    </w:p>
    <w:p w14:paraId="7DD6FEA2" w14:textId="4A257989" w:rsidR="00987C96" w:rsidRPr="00BA3799" w:rsidRDefault="0076189B" w:rsidP="00B83A1E">
      <w:pPr>
        <w:pStyle w:val="ParaNum"/>
        <w:tabs>
          <w:tab w:val="clear" w:pos="1080"/>
          <w:tab w:val="num" w:pos="360"/>
        </w:tabs>
      </w:pPr>
      <w:r>
        <w:rPr>
          <w:lang w:val="en-US"/>
        </w:rPr>
        <w:lastRenderedPageBreak/>
        <w:t xml:space="preserve">As discussed below, we find that in the limited circumstances </w:t>
      </w:r>
      <w:r w:rsidR="00862AC4">
        <w:rPr>
          <w:lang w:val="en-US"/>
        </w:rPr>
        <w:t xml:space="preserve">presented, good cause </w:t>
      </w:r>
      <w:r w:rsidR="00614ABD">
        <w:rPr>
          <w:lang w:val="en-US"/>
        </w:rPr>
        <w:t xml:space="preserve">exists </w:t>
      </w:r>
      <w:r w:rsidR="00862AC4">
        <w:rPr>
          <w:lang w:val="en-US"/>
        </w:rPr>
        <w:t xml:space="preserve">to waive the one-year revision deadline.  Accordingly, we </w:t>
      </w:r>
      <w:r w:rsidR="00574CAE">
        <w:rPr>
          <w:lang w:val="en-US"/>
        </w:rPr>
        <w:t>grant</w:t>
      </w:r>
      <w:r w:rsidR="0087229E">
        <w:rPr>
          <w:lang w:val="en-US"/>
        </w:rPr>
        <w:t xml:space="preserve"> Petitioners</w:t>
      </w:r>
      <w:r w:rsidR="00574CAE">
        <w:rPr>
          <w:lang w:val="en-US"/>
        </w:rPr>
        <w:t>’ request</w:t>
      </w:r>
      <w:r w:rsidR="00862AC4">
        <w:rPr>
          <w:lang w:val="en-US"/>
        </w:rPr>
        <w:t>s</w:t>
      </w:r>
      <w:r w:rsidR="00463835">
        <w:rPr>
          <w:lang w:val="en-US"/>
        </w:rPr>
        <w:t xml:space="preserve"> </w:t>
      </w:r>
      <w:r w:rsidR="0087229E">
        <w:rPr>
          <w:lang w:val="en-US"/>
        </w:rPr>
        <w:t xml:space="preserve">to </w:t>
      </w:r>
      <w:r w:rsidR="00463835">
        <w:rPr>
          <w:lang w:val="en-US"/>
        </w:rPr>
        <w:t xml:space="preserve">waive </w:t>
      </w:r>
      <w:r w:rsidR="008E26EF">
        <w:rPr>
          <w:lang w:val="en-US"/>
        </w:rPr>
        <w:t xml:space="preserve">the </w:t>
      </w:r>
      <w:r w:rsidR="00574CAE">
        <w:rPr>
          <w:lang w:val="en-US"/>
        </w:rPr>
        <w:t xml:space="preserve">FCC Form 499-A </w:t>
      </w:r>
      <w:r w:rsidR="00463835">
        <w:rPr>
          <w:lang w:val="en-US"/>
        </w:rPr>
        <w:t xml:space="preserve">revision </w:t>
      </w:r>
      <w:r w:rsidR="00574CAE">
        <w:rPr>
          <w:lang w:val="en-US"/>
        </w:rPr>
        <w:t>deadline</w:t>
      </w:r>
      <w:r w:rsidR="00463835">
        <w:rPr>
          <w:lang w:val="en-US"/>
        </w:rPr>
        <w:t xml:space="preserve"> </w:t>
      </w:r>
      <w:r w:rsidR="00240995">
        <w:rPr>
          <w:lang w:val="en-US"/>
        </w:rPr>
        <w:t xml:space="preserve">for the filing years at issue </w:t>
      </w:r>
      <w:r w:rsidR="00463835">
        <w:rPr>
          <w:lang w:val="en-US"/>
        </w:rPr>
        <w:t>to</w:t>
      </w:r>
      <w:r w:rsidR="00DD559D">
        <w:rPr>
          <w:lang w:val="en-US"/>
        </w:rPr>
        <w:t xml:space="preserve"> </w:t>
      </w:r>
      <w:r w:rsidR="0087229E">
        <w:rPr>
          <w:lang w:val="en-US"/>
        </w:rPr>
        <w:t xml:space="preserve">provide </w:t>
      </w:r>
      <w:r w:rsidR="00DE7AD2">
        <w:rPr>
          <w:lang w:val="en-US"/>
        </w:rPr>
        <w:t>an opp</w:t>
      </w:r>
      <w:r w:rsidR="0087229E">
        <w:rPr>
          <w:lang w:val="en-US"/>
        </w:rPr>
        <w:t>ortunity for them to</w:t>
      </w:r>
      <w:r w:rsidR="00DE7AD2">
        <w:rPr>
          <w:lang w:val="en-US"/>
        </w:rPr>
        <w:t xml:space="preserve"> correct the error that </w:t>
      </w:r>
      <w:r w:rsidR="00E500AA">
        <w:rPr>
          <w:lang w:val="en-US"/>
        </w:rPr>
        <w:t xml:space="preserve">incorrectly </w:t>
      </w:r>
      <w:r w:rsidR="00DE7AD2">
        <w:rPr>
          <w:lang w:val="en-US"/>
        </w:rPr>
        <w:t>placed them in non-</w:t>
      </w:r>
      <w:r w:rsidR="00DE7AD2">
        <w:rPr>
          <w:i/>
          <w:lang w:val="en-US"/>
        </w:rPr>
        <w:t xml:space="preserve">de minimis </w:t>
      </w:r>
      <w:r w:rsidR="00DE7AD2">
        <w:rPr>
          <w:lang w:val="en-US"/>
        </w:rPr>
        <w:t>status</w:t>
      </w:r>
      <w:r>
        <w:rPr>
          <w:lang w:val="en-US"/>
        </w:rPr>
        <w:t>.</w:t>
      </w:r>
      <w:r w:rsidR="0010429F">
        <w:rPr>
          <w:lang w:val="en-US"/>
        </w:rPr>
        <w:t xml:space="preserve"> We note that we are not waiving any late fees, interest, or penalties that </w:t>
      </w:r>
      <w:r w:rsidR="008E26EF">
        <w:rPr>
          <w:lang w:val="en-US"/>
        </w:rPr>
        <w:t>may</w:t>
      </w:r>
      <w:r w:rsidR="0010429F">
        <w:rPr>
          <w:lang w:val="en-US"/>
        </w:rPr>
        <w:t xml:space="preserve"> be associated with these late-filed forms.</w:t>
      </w:r>
      <w:r w:rsidR="007672FF">
        <w:rPr>
          <w:rStyle w:val="FootnoteReference"/>
          <w:lang w:val="en-US"/>
        </w:rPr>
        <w:footnoteReference w:id="8"/>
      </w:r>
      <w:r w:rsidR="0010429F">
        <w:rPr>
          <w:lang w:val="en-US"/>
        </w:rPr>
        <w:t xml:space="preserve"> </w:t>
      </w:r>
      <w:r>
        <w:rPr>
          <w:lang w:val="en-US"/>
        </w:rPr>
        <w:t xml:space="preserve"> We</w:t>
      </w:r>
      <w:r w:rsidR="00574CAE">
        <w:rPr>
          <w:lang w:val="en-US"/>
        </w:rPr>
        <w:t xml:space="preserve"> direct USAC to accept Experior and Coaxial’s revised </w:t>
      </w:r>
      <w:r w:rsidR="007115BE">
        <w:rPr>
          <w:lang w:val="en-US"/>
        </w:rPr>
        <w:t>FCC Forms</w:t>
      </w:r>
      <w:r w:rsidR="00E47A3F">
        <w:rPr>
          <w:lang w:val="en-US"/>
        </w:rPr>
        <w:t xml:space="preserve"> </w:t>
      </w:r>
      <w:r w:rsidR="007115BE">
        <w:rPr>
          <w:lang w:val="en-US"/>
        </w:rPr>
        <w:t xml:space="preserve">499 for the years at issue and to </w:t>
      </w:r>
      <w:r w:rsidR="00D74589">
        <w:rPr>
          <w:lang w:val="en-US"/>
        </w:rPr>
        <w:t xml:space="preserve">adjust invoices and </w:t>
      </w:r>
      <w:r w:rsidR="007115BE">
        <w:rPr>
          <w:lang w:val="en-US"/>
        </w:rPr>
        <w:t>provide refunds as appropriate</w:t>
      </w:r>
      <w:r w:rsidR="00DE7AD2">
        <w:rPr>
          <w:lang w:val="en-US"/>
        </w:rPr>
        <w:t>, consistent with the terms of this order</w:t>
      </w:r>
      <w:r w:rsidR="007115BE">
        <w:rPr>
          <w:lang w:val="en-US"/>
        </w:rPr>
        <w:t>.</w:t>
      </w:r>
    </w:p>
    <w:p w14:paraId="3BF38A22" w14:textId="77777777" w:rsidR="00BA3799" w:rsidRDefault="007170ED" w:rsidP="007170ED">
      <w:pPr>
        <w:pStyle w:val="Heading1"/>
      </w:pPr>
      <w:r>
        <w:t>Background</w:t>
      </w:r>
    </w:p>
    <w:p w14:paraId="090708CE" w14:textId="77777777" w:rsidR="00B83A1E" w:rsidRDefault="00B83A1E" w:rsidP="00B83A1E">
      <w:pPr>
        <w:pStyle w:val="Heading2"/>
      </w:pPr>
      <w:r>
        <w:t>The Commission’s Rules</w:t>
      </w:r>
    </w:p>
    <w:p w14:paraId="6DE98121" w14:textId="77777777" w:rsidR="0087229E" w:rsidRDefault="0052225E" w:rsidP="0052225E">
      <w:pPr>
        <w:numPr>
          <w:ilvl w:val="0"/>
          <w:numId w:val="2"/>
        </w:numPr>
        <w:tabs>
          <w:tab w:val="clear" w:pos="1080"/>
        </w:tabs>
        <w:spacing w:after="120"/>
        <w:rPr>
          <w:kern w:val="28"/>
        </w:rPr>
      </w:pPr>
      <w:r w:rsidRPr="0052225E">
        <w:rPr>
          <w:kern w:val="28"/>
        </w:rPr>
        <w:t>Section 254(d) of the Communications Act of 1934, as amended,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sidRPr="0052225E">
        <w:rPr>
          <w:kern w:val="28"/>
          <w:vertAlign w:val="superscript"/>
        </w:rPr>
        <w:footnoteReference w:id="9"/>
      </w:r>
      <w:r w:rsidRPr="0052225E">
        <w:rPr>
          <w:kern w:val="28"/>
        </w:rPr>
        <w:t xml:space="preserve">  Pursuant to the Commission’s rules, carriers and certain other providers of interstate telecommunications are required to file FCC Form 499-A with USAC.</w:t>
      </w:r>
      <w:r w:rsidRPr="0052225E">
        <w:rPr>
          <w:kern w:val="28"/>
          <w:vertAlign w:val="superscript"/>
        </w:rPr>
        <w:footnoteReference w:id="10"/>
      </w:r>
      <w:r w:rsidRPr="0052225E">
        <w:rPr>
          <w:kern w:val="28"/>
        </w:rPr>
        <w:t xml:space="preserve">  </w:t>
      </w:r>
    </w:p>
    <w:p w14:paraId="320BB4F8" w14:textId="37334D96" w:rsidR="0052225E" w:rsidRDefault="0087229E" w:rsidP="0052225E">
      <w:pPr>
        <w:numPr>
          <w:ilvl w:val="0"/>
          <w:numId w:val="2"/>
        </w:numPr>
        <w:tabs>
          <w:tab w:val="clear" w:pos="1080"/>
        </w:tabs>
        <w:spacing w:after="120"/>
        <w:rPr>
          <w:kern w:val="28"/>
        </w:rPr>
      </w:pPr>
      <w:r w:rsidRPr="00FE6958">
        <w:t xml:space="preserve">Contributors are required to file </w:t>
      </w:r>
      <w:r>
        <w:t xml:space="preserve">their </w:t>
      </w:r>
      <w:r w:rsidRPr="00FE6958">
        <w:t>FCC Form</w:t>
      </w:r>
      <w:r>
        <w:t>s</w:t>
      </w:r>
      <w:r w:rsidRPr="00FE6958">
        <w:t xml:space="preserve"> 499-A by April 1 of each year reporting, among other things, the prior year’s revenues.</w:t>
      </w:r>
      <w:r w:rsidRPr="00FE6958">
        <w:rPr>
          <w:vertAlign w:val="superscript"/>
        </w:rPr>
        <w:footnoteReference w:id="11"/>
      </w:r>
      <w:r w:rsidRPr="00FE6958">
        <w:t xml:space="preserve">  A filer that discovers errors in the revenue data that it has reported corrects those errors by fi</w:t>
      </w:r>
      <w:r>
        <w:t>ling a revised FCC Form 499-A</w:t>
      </w:r>
      <w:r w:rsidRPr="00FE6958">
        <w:t xml:space="preserve">. </w:t>
      </w:r>
      <w:r>
        <w:t>The filer must submit a revised Form 499-A by March 31 of the year after the original filing due date.</w:t>
      </w:r>
      <w:r w:rsidRPr="00FE6958">
        <w:rPr>
          <w:vertAlign w:val="superscript"/>
        </w:rPr>
        <w:footnoteReference w:id="12"/>
      </w:r>
      <w:r w:rsidRPr="00FE6958">
        <w:t xml:space="preserve">  </w:t>
      </w:r>
      <w:r w:rsidR="00B83291">
        <w:t xml:space="preserve">The purpose of the one-year deadline for submitting revisions to the Form 499-A is, among other things, to help ensure the stability and sufficiency of the federal universal </w:t>
      </w:r>
      <w:r w:rsidR="00B83291" w:rsidRPr="00037F1F">
        <w:t>fund, improve the integrity of the universal service contribution methodology, and promote efficiency in administration of the universal service support mechanisms.</w:t>
      </w:r>
      <w:r w:rsidR="00B83291">
        <w:rPr>
          <w:rStyle w:val="FootnoteReference"/>
        </w:rPr>
        <w:footnoteReference w:id="13"/>
      </w:r>
      <w:r w:rsidR="00B83291">
        <w:t xml:space="preserve">  </w:t>
      </w:r>
      <w:r w:rsidRPr="00DD559D">
        <w:t>The Commission’s rules direct USAC to assess interest and penalties on contributors that fail to timely file their Form 499-A.</w:t>
      </w:r>
      <w:r w:rsidRPr="00DD559D">
        <w:rPr>
          <w:vertAlign w:val="superscript"/>
        </w:rPr>
        <w:footnoteReference w:id="14"/>
      </w:r>
      <w:r w:rsidRPr="00DD559D">
        <w:t xml:space="preserve">  </w:t>
      </w:r>
    </w:p>
    <w:p w14:paraId="062A49D1" w14:textId="5527436D" w:rsidR="00B83A1E" w:rsidRPr="00296FD5" w:rsidRDefault="0052225E" w:rsidP="00296FD5">
      <w:pPr>
        <w:numPr>
          <w:ilvl w:val="0"/>
          <w:numId w:val="2"/>
        </w:numPr>
        <w:tabs>
          <w:tab w:val="clear" w:pos="1080"/>
        </w:tabs>
        <w:spacing w:after="120"/>
        <w:rPr>
          <w:kern w:val="28"/>
        </w:rPr>
      </w:pPr>
      <w:r w:rsidRPr="00B83A1E">
        <w:t xml:space="preserve">  </w:t>
      </w:r>
      <w:r w:rsidR="0087229E" w:rsidRPr="0087229E">
        <w:t>All providers of interconnected VoIP services</w:t>
      </w:r>
      <w:r w:rsidR="00296FD5">
        <w:t>—</w:t>
      </w:r>
      <w:r w:rsidR="0087229E" w:rsidRPr="0087229E">
        <w:t xml:space="preserve">including those that satisfy the </w:t>
      </w:r>
      <w:r w:rsidR="0087229E" w:rsidRPr="00296FD5">
        <w:rPr>
          <w:i/>
        </w:rPr>
        <w:t xml:space="preserve">de minimis </w:t>
      </w:r>
      <w:r w:rsidR="0087229E" w:rsidRPr="0087229E">
        <w:t>exemption</w:t>
      </w:r>
      <w:r w:rsidR="00296FD5">
        <w:t>—</w:t>
      </w:r>
      <w:r w:rsidR="0087229E" w:rsidRPr="0087229E">
        <w:t>are required to register with the Commission in order to facilitate the Commission’s enforcement of the obligations imposed on providers of interconnected VoIP services.</w:t>
      </w:r>
      <w:r w:rsidR="0087229E" w:rsidRPr="0087229E">
        <w:rPr>
          <w:vertAlign w:val="superscript"/>
        </w:rPr>
        <w:footnoteReference w:id="15"/>
      </w:r>
      <w:r w:rsidR="0087229E" w:rsidRPr="0087229E">
        <w:t xml:space="preserve">  Although interconnected VoIP providers that qualify for the </w:t>
      </w:r>
      <w:r w:rsidR="0087229E" w:rsidRPr="00296FD5">
        <w:rPr>
          <w:i/>
        </w:rPr>
        <w:t>de minimis</w:t>
      </w:r>
      <w:r w:rsidR="0087229E" w:rsidRPr="0087229E">
        <w:t xml:space="preserve"> exemption are not required to make</w:t>
      </w:r>
      <w:r w:rsidR="00244237">
        <w:t xml:space="preserve"> </w:t>
      </w:r>
      <w:r w:rsidR="0087229E" w:rsidRPr="0087229E">
        <w:t>USF</w:t>
      </w:r>
      <w:r w:rsidR="00244237">
        <w:t xml:space="preserve"> </w:t>
      </w:r>
      <w:r w:rsidR="0087229E" w:rsidRPr="0087229E">
        <w:t xml:space="preserve">contributions, they are required to </w:t>
      </w:r>
      <w:r w:rsidR="0087229E" w:rsidRPr="00296FD5">
        <w:rPr>
          <w:szCs w:val="23"/>
        </w:rPr>
        <w:t>file the annual FCC Forms 499-A for purposes of contributing to other regulatory programs</w:t>
      </w:r>
      <w:r w:rsidR="00E47A3F" w:rsidRPr="00296FD5">
        <w:rPr>
          <w:szCs w:val="23"/>
        </w:rPr>
        <w:t>.</w:t>
      </w:r>
      <w:r w:rsidR="0087229E" w:rsidRPr="0087229E">
        <w:rPr>
          <w:szCs w:val="23"/>
          <w:vertAlign w:val="superscript"/>
        </w:rPr>
        <w:footnoteReference w:id="16"/>
      </w:r>
    </w:p>
    <w:p w14:paraId="1F5E817D" w14:textId="0DD4983E" w:rsidR="00B83A1E" w:rsidRPr="00B83A1E" w:rsidRDefault="00B83A1E" w:rsidP="00B83A1E">
      <w:pPr>
        <w:pStyle w:val="Heading2"/>
      </w:pPr>
      <w:r>
        <w:t xml:space="preserve">Requests for </w:t>
      </w:r>
      <w:r w:rsidR="0010429F">
        <w:t>Waiver</w:t>
      </w:r>
    </w:p>
    <w:p w14:paraId="079A527C" w14:textId="3C5F8C25" w:rsidR="00A2712B" w:rsidRPr="00BA3799" w:rsidRDefault="00BA3799" w:rsidP="00B83A1E">
      <w:pPr>
        <w:pStyle w:val="ParaNum"/>
        <w:tabs>
          <w:tab w:val="clear" w:pos="1080"/>
          <w:tab w:val="num" w:pos="360"/>
        </w:tabs>
      </w:pPr>
      <w:r>
        <w:rPr>
          <w:i/>
          <w:lang w:val="en-US"/>
        </w:rPr>
        <w:t>Experior</w:t>
      </w:r>
      <w:r w:rsidR="00672046">
        <w:rPr>
          <w:i/>
          <w:lang w:val="en-US"/>
        </w:rPr>
        <w:t xml:space="preserve"> Request f</w:t>
      </w:r>
      <w:r w:rsidR="00D93100">
        <w:rPr>
          <w:i/>
          <w:lang w:val="en-US"/>
        </w:rPr>
        <w:t xml:space="preserve">or Waiver. </w:t>
      </w:r>
      <w:r>
        <w:rPr>
          <w:i/>
          <w:lang w:val="en-US"/>
        </w:rPr>
        <w:t xml:space="preserve"> </w:t>
      </w:r>
      <w:r w:rsidR="005A05E2">
        <w:t xml:space="preserve">Experior </w:t>
      </w:r>
      <w:r w:rsidR="00700020">
        <w:t>filed for and received a Filer ID</w:t>
      </w:r>
      <w:r w:rsidR="009E037B" w:rsidRPr="00C92409">
        <w:rPr>
          <w:lang w:val="en-US"/>
        </w:rPr>
        <w:t xml:space="preserve"> </w:t>
      </w:r>
      <w:r w:rsidR="009E037B">
        <w:rPr>
          <w:lang w:val="en-US"/>
        </w:rPr>
        <w:t>in</w:t>
      </w:r>
      <w:r w:rsidR="009E037B" w:rsidRPr="00C92409">
        <w:rPr>
          <w:lang w:val="en-US"/>
        </w:rPr>
        <w:t xml:space="preserve"> March</w:t>
      </w:r>
      <w:r w:rsidR="000403B7">
        <w:t xml:space="preserve"> 2014, at which time</w:t>
      </w:r>
      <w:r w:rsidR="00700020">
        <w:t xml:space="preserve"> </w:t>
      </w:r>
      <w:r w:rsidR="00700020" w:rsidRPr="00C17320">
        <w:rPr>
          <w:lang w:val="en-US"/>
        </w:rPr>
        <w:t>it</w:t>
      </w:r>
      <w:r w:rsidR="00700020">
        <w:t xml:space="preserve"> filed Form</w:t>
      </w:r>
      <w:r w:rsidR="00D14D91" w:rsidRPr="00C17320">
        <w:rPr>
          <w:lang w:val="en-US"/>
        </w:rPr>
        <w:t>s</w:t>
      </w:r>
      <w:r w:rsidR="00700020">
        <w:t xml:space="preserve"> 499-A for both 2014 and 2013</w:t>
      </w:r>
      <w:r w:rsidR="009554D9">
        <w:rPr>
          <w:lang w:val="en-US"/>
        </w:rPr>
        <w:t xml:space="preserve"> (</w:t>
      </w:r>
      <w:r w:rsidR="00BA71B5" w:rsidRPr="00C17320">
        <w:rPr>
          <w:lang w:val="en-US"/>
        </w:rPr>
        <w:t>for calendar year revenues for 2013 and 2012, respectively</w:t>
      </w:r>
      <w:r w:rsidR="009554D9">
        <w:rPr>
          <w:lang w:val="en-US"/>
        </w:rPr>
        <w:t>)</w:t>
      </w:r>
      <w:r w:rsidR="00D14D91" w:rsidRPr="00C17320">
        <w:rPr>
          <w:lang w:val="en-US"/>
        </w:rPr>
        <w:t>.</w:t>
      </w:r>
      <w:r w:rsidR="00BA71B5">
        <w:rPr>
          <w:rStyle w:val="FootnoteReference"/>
          <w:lang w:val="en-US"/>
        </w:rPr>
        <w:footnoteReference w:id="17"/>
      </w:r>
      <w:r w:rsidR="00D14D91" w:rsidRPr="00C17320">
        <w:rPr>
          <w:lang w:val="en-US"/>
        </w:rPr>
        <w:t xml:space="preserve"> </w:t>
      </w:r>
      <w:r w:rsidR="00BA71B5" w:rsidRPr="00C17320">
        <w:rPr>
          <w:lang w:val="en-US"/>
        </w:rPr>
        <w:t xml:space="preserve"> </w:t>
      </w:r>
      <w:r w:rsidR="005F6706">
        <w:rPr>
          <w:lang w:val="en-US"/>
        </w:rPr>
        <w:t xml:space="preserve">On July 22, 2014, </w:t>
      </w:r>
      <w:r w:rsidR="009E037B">
        <w:rPr>
          <w:lang w:val="en-US"/>
        </w:rPr>
        <w:t xml:space="preserve">USAC determined that Experior was </w:t>
      </w:r>
      <w:r w:rsidR="009E037B">
        <w:rPr>
          <w:i/>
          <w:lang w:val="en-US"/>
        </w:rPr>
        <w:t xml:space="preserve">de minimis </w:t>
      </w:r>
      <w:r w:rsidR="009E037B">
        <w:rPr>
          <w:lang w:val="en-US"/>
        </w:rPr>
        <w:t>for calendar year 2013</w:t>
      </w:r>
      <w:r w:rsidR="005F6706">
        <w:rPr>
          <w:lang w:val="en-US"/>
        </w:rPr>
        <w:t>, based on the information reported on its 2014 Form 499-A</w:t>
      </w:r>
      <w:r w:rsidR="00C92409">
        <w:rPr>
          <w:lang w:val="en-US"/>
        </w:rPr>
        <w:t>.</w:t>
      </w:r>
      <w:r w:rsidR="009E037B">
        <w:rPr>
          <w:rStyle w:val="FootnoteReference"/>
          <w:lang w:val="en-US"/>
        </w:rPr>
        <w:footnoteReference w:id="18"/>
      </w:r>
      <w:r w:rsidR="009E037B">
        <w:rPr>
          <w:lang w:val="en-US"/>
        </w:rPr>
        <w:t xml:space="preserve">  </w:t>
      </w:r>
      <w:r w:rsidR="00152F9E" w:rsidRPr="00C17320">
        <w:rPr>
          <w:lang w:val="en-US"/>
        </w:rPr>
        <w:t xml:space="preserve">Experior </w:t>
      </w:r>
      <w:r w:rsidR="005F6706">
        <w:rPr>
          <w:lang w:val="en-US"/>
        </w:rPr>
        <w:t xml:space="preserve">then </w:t>
      </w:r>
      <w:r w:rsidR="009E037B">
        <w:rPr>
          <w:lang w:val="en-US"/>
        </w:rPr>
        <w:t>discovered that it had</w:t>
      </w:r>
      <w:r w:rsidR="00152F9E">
        <w:rPr>
          <w:lang w:val="en-US"/>
        </w:rPr>
        <w:t xml:space="preserve"> </w:t>
      </w:r>
      <w:r w:rsidR="00152F9E" w:rsidRPr="00C17320">
        <w:rPr>
          <w:lang w:val="en-US"/>
        </w:rPr>
        <w:t>mistakenly reported all revenues, including internet and</w:t>
      </w:r>
      <w:r w:rsidR="009E037B">
        <w:rPr>
          <w:lang w:val="en-US"/>
        </w:rPr>
        <w:t xml:space="preserve"> interconnected </w:t>
      </w:r>
      <w:r w:rsidR="00152F9E" w:rsidRPr="00C17320">
        <w:rPr>
          <w:lang w:val="en-US"/>
        </w:rPr>
        <w:t xml:space="preserve">VoIP, on Line 404.4 of </w:t>
      </w:r>
      <w:r w:rsidR="00152F9E">
        <w:rPr>
          <w:lang w:val="en-US"/>
        </w:rPr>
        <w:t>the</w:t>
      </w:r>
      <w:r w:rsidR="009E037B">
        <w:rPr>
          <w:lang w:val="en-US"/>
        </w:rPr>
        <w:t xml:space="preserve"> 2013 Form 499-A</w:t>
      </w:r>
      <w:r w:rsidR="00B27C4E">
        <w:rPr>
          <w:lang w:val="en-US"/>
        </w:rPr>
        <w:t>, which reported revenues for calendar year 2012</w:t>
      </w:r>
      <w:r w:rsidR="009E037B">
        <w:rPr>
          <w:lang w:val="en-US"/>
        </w:rPr>
        <w:t>.</w:t>
      </w:r>
      <w:r w:rsidR="00152F9E">
        <w:rPr>
          <w:rStyle w:val="FootnoteReference"/>
          <w:lang w:val="en-US"/>
        </w:rPr>
        <w:footnoteReference w:id="19"/>
      </w:r>
      <w:r w:rsidR="00152F9E" w:rsidRPr="00C17320">
        <w:rPr>
          <w:lang w:val="en-US"/>
        </w:rPr>
        <w:t xml:space="preserve"> </w:t>
      </w:r>
      <w:r w:rsidR="009E037B">
        <w:rPr>
          <w:lang w:val="en-US"/>
        </w:rPr>
        <w:t xml:space="preserve"> Experior attempted to revise its 2013 Form 499-A</w:t>
      </w:r>
      <w:r w:rsidR="003874CD">
        <w:rPr>
          <w:lang w:val="en-US"/>
        </w:rPr>
        <w:t>,</w:t>
      </w:r>
      <w:r w:rsidR="009E037B">
        <w:rPr>
          <w:lang w:val="en-US"/>
        </w:rPr>
        <w:t xml:space="preserve"> but USAC </w:t>
      </w:r>
      <w:r w:rsidR="003874CD">
        <w:rPr>
          <w:lang w:val="en-US"/>
        </w:rPr>
        <w:t xml:space="preserve">rejected the corrected submission because it </w:t>
      </w:r>
      <w:r w:rsidR="00411330">
        <w:rPr>
          <w:lang w:val="en-US"/>
        </w:rPr>
        <w:t>was filed more than one year from its original due date.</w:t>
      </w:r>
      <w:r w:rsidR="003F3AE3">
        <w:rPr>
          <w:rStyle w:val="FootnoteReference"/>
          <w:lang w:val="en-US"/>
        </w:rPr>
        <w:footnoteReference w:id="20"/>
      </w:r>
      <w:r w:rsidR="00700020" w:rsidRPr="00C17320">
        <w:rPr>
          <w:lang w:val="en-US"/>
        </w:rPr>
        <w:t xml:space="preserve"> </w:t>
      </w:r>
      <w:r w:rsidR="000403B7">
        <w:rPr>
          <w:lang w:val="en-US"/>
        </w:rPr>
        <w:t xml:space="preserve"> </w:t>
      </w:r>
      <w:r w:rsidR="00BA71B5" w:rsidRPr="00C17320">
        <w:rPr>
          <w:lang w:val="en-US"/>
        </w:rPr>
        <w:t xml:space="preserve"> </w:t>
      </w:r>
      <w:r w:rsidR="00166CE6">
        <w:t xml:space="preserve">Experior states that it would qualify for </w:t>
      </w:r>
      <w:r w:rsidR="00166CE6">
        <w:rPr>
          <w:i/>
        </w:rPr>
        <w:t xml:space="preserve">de minimis </w:t>
      </w:r>
      <w:r w:rsidR="00166CE6">
        <w:t>status in 2012 because it had earned less revenue in that year than in 2013</w:t>
      </w:r>
      <w:r w:rsidR="00166CE6">
        <w:rPr>
          <w:lang w:val="en-US"/>
        </w:rPr>
        <w:t xml:space="preserve">, and </w:t>
      </w:r>
      <w:r w:rsidR="00CD37DC">
        <w:rPr>
          <w:lang w:val="en-US"/>
        </w:rPr>
        <w:t>requests that the Commission waive the one year filing deadline to allow USAC to accept its revised 2013 FCC Form 499-A.</w:t>
      </w:r>
      <w:r w:rsidR="00CD37DC">
        <w:rPr>
          <w:rStyle w:val="FootnoteReference"/>
          <w:lang w:val="en-US"/>
        </w:rPr>
        <w:footnoteReference w:id="21"/>
      </w:r>
    </w:p>
    <w:p w14:paraId="465B09C2" w14:textId="79E7D3E8" w:rsidR="00BA3799" w:rsidRPr="004D43B0" w:rsidRDefault="00BA3799" w:rsidP="00841BC5">
      <w:pPr>
        <w:numPr>
          <w:ilvl w:val="0"/>
          <w:numId w:val="2"/>
        </w:numPr>
        <w:tabs>
          <w:tab w:val="clear" w:pos="1080"/>
        </w:tabs>
        <w:spacing w:after="120"/>
      </w:pPr>
      <w:r>
        <w:rPr>
          <w:i/>
        </w:rPr>
        <w:t>Coaxial Cable</w:t>
      </w:r>
      <w:r>
        <w:t xml:space="preserve"> </w:t>
      </w:r>
      <w:r w:rsidR="00D93100" w:rsidRPr="00D93100">
        <w:rPr>
          <w:i/>
        </w:rPr>
        <w:t>Request for Waiver</w:t>
      </w:r>
      <w:r w:rsidR="00D93100">
        <w:t xml:space="preserve">. </w:t>
      </w:r>
      <w:r w:rsidR="005A6BD9">
        <w:t xml:space="preserve"> </w:t>
      </w:r>
      <w:r w:rsidR="009A16D6">
        <w:t>In 2013, Coaxial</w:t>
      </w:r>
      <w:r w:rsidR="00C4584F">
        <w:t>, a</w:t>
      </w:r>
      <w:r w:rsidR="007672FF">
        <w:t>n interconnected</w:t>
      </w:r>
      <w:r w:rsidR="00C4584F">
        <w:t xml:space="preserve"> VoI</w:t>
      </w:r>
      <w:r w:rsidR="00EB7720">
        <w:t>P provider</w:t>
      </w:r>
      <w:r w:rsidR="00A112AA">
        <w:t>,</w:t>
      </w:r>
      <w:r w:rsidR="009A16D6">
        <w:t xml:space="preserve"> discovered that </w:t>
      </w:r>
      <w:r w:rsidR="00455A72">
        <w:t xml:space="preserve">for several years </w:t>
      </w:r>
      <w:r w:rsidR="009A16D6">
        <w:t xml:space="preserve">it had failed to file </w:t>
      </w:r>
      <w:r w:rsidR="00EB7720">
        <w:t xml:space="preserve">its </w:t>
      </w:r>
      <w:r w:rsidR="009A16D6">
        <w:t>annual Form 499-A.</w:t>
      </w:r>
      <w:r w:rsidR="009A16D6">
        <w:rPr>
          <w:rStyle w:val="FootnoteReference"/>
        </w:rPr>
        <w:footnoteReference w:id="22"/>
      </w:r>
      <w:r w:rsidR="00EB7720">
        <w:t xml:space="preserve">  O</w:t>
      </w:r>
      <w:r w:rsidR="00D93100">
        <w:t xml:space="preserve">n August 29, 2013, </w:t>
      </w:r>
      <w:r>
        <w:t xml:space="preserve">Coaxial </w:t>
      </w:r>
      <w:r w:rsidR="00D93100">
        <w:t>filed its Forms 499-A for the years 2007 through 2013.</w:t>
      </w:r>
      <w:r w:rsidR="00D93100">
        <w:rPr>
          <w:rStyle w:val="FootnoteReference"/>
        </w:rPr>
        <w:footnoteReference w:id="23"/>
      </w:r>
      <w:r w:rsidR="00D34760">
        <w:t xml:space="preserve">  </w:t>
      </w:r>
      <w:r w:rsidR="00455A72">
        <w:t xml:space="preserve">Coaxial’s Forms 499-A for these years </w:t>
      </w:r>
      <w:r w:rsidR="00D34760">
        <w:t>contained an identical error</w:t>
      </w:r>
      <w:r w:rsidR="005A6BD9">
        <w:t xml:space="preserve"> that </w:t>
      </w:r>
      <w:r w:rsidR="00AA0EF5">
        <w:t>made it appear</w:t>
      </w:r>
      <w:r w:rsidR="00411330">
        <w:t xml:space="preserve"> that </w:t>
      </w:r>
      <w:r w:rsidR="005A6BD9">
        <w:t>Coaxial was</w:t>
      </w:r>
      <w:r w:rsidR="00166CE6">
        <w:t xml:space="preserve"> not </w:t>
      </w:r>
      <w:r w:rsidR="00455A72" w:rsidRPr="00120271">
        <w:rPr>
          <w:i/>
        </w:rPr>
        <w:t>de minimis</w:t>
      </w:r>
      <w:r w:rsidR="00455A72">
        <w:t xml:space="preserve"> for 2011, 2012, and 2013.</w:t>
      </w:r>
      <w:r w:rsidR="00455A72">
        <w:rPr>
          <w:rStyle w:val="FootnoteReference"/>
        </w:rPr>
        <w:footnoteReference w:id="24"/>
      </w:r>
      <w:r w:rsidR="00455A72">
        <w:t xml:space="preserve">  </w:t>
      </w:r>
      <w:r w:rsidR="00CD37DC">
        <w:t>Coaxial submitted revisions to the forms</w:t>
      </w:r>
      <w:r w:rsidR="00166CE6">
        <w:t xml:space="preserve"> to correct the errors.</w:t>
      </w:r>
      <w:r w:rsidR="009554D9">
        <w:t xml:space="preserve">  </w:t>
      </w:r>
      <w:r w:rsidR="00C45F02">
        <w:t>USAC accepted Coa</w:t>
      </w:r>
      <w:r w:rsidR="009A16D6">
        <w:t xml:space="preserve">xial’s </w:t>
      </w:r>
      <w:r w:rsidR="00E51FC8">
        <w:t xml:space="preserve">revised 2013 Form </w:t>
      </w:r>
      <w:r w:rsidR="009A16D6">
        <w:t>499-A</w:t>
      </w:r>
      <w:r w:rsidR="00A81DDA">
        <w:t>,</w:t>
      </w:r>
      <w:r w:rsidR="009A16D6">
        <w:t xml:space="preserve"> </w:t>
      </w:r>
      <w:r w:rsidR="00C45F02">
        <w:t xml:space="preserve">but rejected its </w:t>
      </w:r>
      <w:r w:rsidR="00E51FC8">
        <w:t xml:space="preserve">revised </w:t>
      </w:r>
      <w:r w:rsidR="00C45F02">
        <w:t>2011 and 2012 Form</w:t>
      </w:r>
      <w:r w:rsidR="00411330">
        <w:t>s</w:t>
      </w:r>
      <w:r w:rsidR="009554D9">
        <w:t xml:space="preserve"> 499-A, </w:t>
      </w:r>
      <w:r w:rsidR="00411330">
        <w:t>because the forms were filed more than one</w:t>
      </w:r>
      <w:r w:rsidR="00CD37DC">
        <w:t xml:space="preserve"> </w:t>
      </w:r>
      <w:r w:rsidR="00455A72">
        <w:t xml:space="preserve">year from </w:t>
      </w:r>
      <w:r w:rsidR="00411330">
        <w:t xml:space="preserve">their original </w:t>
      </w:r>
      <w:r w:rsidR="00455A72">
        <w:t>due</w:t>
      </w:r>
      <w:r w:rsidR="00411330">
        <w:t xml:space="preserve"> date</w:t>
      </w:r>
      <w:r w:rsidR="00C45F02">
        <w:t>.</w:t>
      </w:r>
      <w:r w:rsidR="00C45F02">
        <w:rPr>
          <w:rStyle w:val="FootnoteReference"/>
        </w:rPr>
        <w:footnoteReference w:id="25"/>
      </w:r>
      <w:r w:rsidR="00CD37DC">
        <w:t xml:space="preserve">  Coaxial requests that the Commission reverse USAC’s decision to reject Coaxial’s revised 2011 and 2012 FCC Form 499-A.</w:t>
      </w:r>
    </w:p>
    <w:p w14:paraId="2D921F7C" w14:textId="77777777" w:rsidR="007170ED" w:rsidRDefault="007170ED" w:rsidP="007170ED">
      <w:pPr>
        <w:pStyle w:val="Heading1"/>
      </w:pPr>
      <w:r>
        <w:t>discussion</w:t>
      </w:r>
    </w:p>
    <w:p w14:paraId="59CEA0E0" w14:textId="77777777" w:rsidR="00B83A1E" w:rsidRDefault="00B83A1E" w:rsidP="00841BC5">
      <w:pPr>
        <w:numPr>
          <w:ilvl w:val="0"/>
          <w:numId w:val="2"/>
        </w:numPr>
        <w:tabs>
          <w:tab w:val="clear" w:pos="1080"/>
        </w:tabs>
        <w:spacing w:after="120"/>
      </w:pPr>
      <w:r w:rsidRPr="00B83A1E">
        <w:t>The Commission may waive any provision of its rules for good cause shown.</w:t>
      </w:r>
      <w:r w:rsidRPr="000403B7">
        <w:rPr>
          <w:vertAlign w:val="superscript"/>
        </w:rPr>
        <w:footnoteReference w:id="26"/>
      </w:r>
      <w:r w:rsidRPr="00B83A1E">
        <w:t xml:space="preserve">  A rule may be waived where the particular facts make strict compliance inconsistent with the public interest.</w:t>
      </w:r>
      <w:r w:rsidRPr="000403B7">
        <w:rPr>
          <w:vertAlign w:val="superscript"/>
        </w:rPr>
        <w:footnoteReference w:id="27"/>
      </w:r>
      <w:r w:rsidRPr="00B83A1E">
        <w:t xml:space="preserve">  In addition, the Commission may take into account considerations of hardship, equity, or more effective implementation of overall policy on an individual basis.</w:t>
      </w:r>
      <w:r w:rsidRPr="000403B7">
        <w:rPr>
          <w:vertAlign w:val="superscript"/>
        </w:rPr>
        <w:footnoteReference w:id="28"/>
      </w:r>
      <w:r w:rsidRPr="00B83A1E">
        <w:t xml:space="preserve">  In sum, waiver is appropriate if special circumstances warrant a deviation from the general rule, and such deviation would better serve the public interest than strict adherence to the general rule.</w:t>
      </w:r>
      <w:r w:rsidRPr="000403B7">
        <w:rPr>
          <w:vertAlign w:val="superscript"/>
        </w:rPr>
        <w:footnoteReference w:id="29"/>
      </w:r>
    </w:p>
    <w:p w14:paraId="66FEA07E" w14:textId="36111E11" w:rsidR="00CE0744" w:rsidRPr="00117655" w:rsidRDefault="00F26896" w:rsidP="00841BC5">
      <w:pPr>
        <w:numPr>
          <w:ilvl w:val="0"/>
          <w:numId w:val="2"/>
        </w:numPr>
        <w:tabs>
          <w:tab w:val="clear" w:pos="1080"/>
        </w:tabs>
        <w:spacing w:after="120"/>
        <w:rPr>
          <w:lang w:val="x-none"/>
        </w:rPr>
      </w:pPr>
      <w:r>
        <w:t>In both</w:t>
      </w:r>
      <w:r w:rsidR="007170ED">
        <w:t xml:space="preserve"> case</w:t>
      </w:r>
      <w:r>
        <w:t>s,</w:t>
      </w:r>
      <w:r w:rsidR="007170ED">
        <w:t xml:space="preserve"> </w:t>
      </w:r>
      <w:r w:rsidR="00244237">
        <w:t>Petitioners filed Forms 49</w:t>
      </w:r>
      <w:r w:rsidR="00E47A3F">
        <w:t>9</w:t>
      </w:r>
      <w:r w:rsidR="00244237">
        <w:t>-</w:t>
      </w:r>
      <w:r w:rsidR="00E546B5">
        <w:t xml:space="preserve">A for multiple years </w:t>
      </w:r>
      <w:r w:rsidR="007C1467">
        <w:t xml:space="preserve">concurrently.  </w:t>
      </w:r>
      <w:r w:rsidR="009554D9">
        <w:t>Experior committed an error in</w:t>
      </w:r>
      <w:r w:rsidR="005F6706">
        <w:t xml:space="preserve"> </w:t>
      </w:r>
      <w:r w:rsidR="009554D9">
        <w:t>one of the two years’ Form</w:t>
      </w:r>
      <w:r w:rsidR="00C92409">
        <w:t>s</w:t>
      </w:r>
      <w:r w:rsidR="009554D9">
        <w:t xml:space="preserve"> 499-A</w:t>
      </w:r>
      <w:r w:rsidR="008D5176">
        <w:t>,</w:t>
      </w:r>
      <w:r w:rsidR="005F6706">
        <w:t xml:space="preserve"> and Coaxial’s </w:t>
      </w:r>
      <w:r w:rsidR="00C221D8">
        <w:t>filings</w:t>
      </w:r>
      <w:r w:rsidR="00455A72">
        <w:t xml:space="preserve"> </w:t>
      </w:r>
      <w:r w:rsidR="00A74A58">
        <w:t>contained</w:t>
      </w:r>
      <w:r w:rsidR="001A3002">
        <w:t xml:space="preserve"> </w:t>
      </w:r>
      <w:r w:rsidR="00841BC5">
        <w:t>an</w:t>
      </w:r>
      <w:r w:rsidR="007170ED">
        <w:t xml:space="preserve"> identical </w:t>
      </w:r>
      <w:r w:rsidR="00841BC5">
        <w:t>ministerial error</w:t>
      </w:r>
      <w:r w:rsidR="00DD4FB2">
        <w:t xml:space="preserve"> </w:t>
      </w:r>
      <w:r w:rsidR="00E546B5">
        <w:t>that w</w:t>
      </w:r>
      <w:r w:rsidR="005F6706">
        <w:t>as repeated in each year’s Form</w:t>
      </w:r>
      <w:r w:rsidR="00C92409">
        <w:t xml:space="preserve"> </w:t>
      </w:r>
      <w:r w:rsidR="009554D9">
        <w:t>499-A</w:t>
      </w:r>
      <w:r w:rsidR="00C92409">
        <w:t>.</w:t>
      </w:r>
      <w:r w:rsidR="005F6706">
        <w:rPr>
          <w:rStyle w:val="FootnoteReference"/>
        </w:rPr>
        <w:footnoteReference w:id="30"/>
      </w:r>
      <w:r w:rsidR="005F6706">
        <w:t xml:space="preserve">  But</w:t>
      </w:r>
      <w:r w:rsidR="00E546B5">
        <w:t xml:space="preserve"> for their respective errors, b</w:t>
      </w:r>
      <w:r w:rsidR="00455A72">
        <w:t xml:space="preserve">oth </w:t>
      </w:r>
      <w:r w:rsidR="00244237">
        <w:t xml:space="preserve">Petitioners </w:t>
      </w:r>
      <w:r w:rsidR="00D92EB7">
        <w:t xml:space="preserve">would have qualified for </w:t>
      </w:r>
      <w:r w:rsidR="00D92EB7" w:rsidRPr="00C221D8">
        <w:rPr>
          <w:i/>
        </w:rPr>
        <w:t xml:space="preserve">de minimis </w:t>
      </w:r>
      <w:r w:rsidR="00D92EB7">
        <w:t>status</w:t>
      </w:r>
      <w:r w:rsidR="005F6706">
        <w:t xml:space="preserve"> for those years</w:t>
      </w:r>
      <w:r w:rsidR="00455A72">
        <w:t>.</w:t>
      </w:r>
      <w:r w:rsidR="007C1467">
        <w:rPr>
          <w:rStyle w:val="FootnoteReference"/>
        </w:rPr>
        <w:footnoteReference w:id="31"/>
      </w:r>
      <w:r w:rsidR="00D92EB7">
        <w:t xml:space="preserve">  </w:t>
      </w:r>
      <w:r w:rsidR="00CE0744">
        <w:t xml:space="preserve">In both cases, </w:t>
      </w:r>
      <w:r w:rsidR="009A0D7D">
        <w:t xml:space="preserve">USAC accepted Petitioners’ </w:t>
      </w:r>
      <w:r w:rsidR="00D56DB0">
        <w:t xml:space="preserve">revised </w:t>
      </w:r>
      <w:r w:rsidR="00244237">
        <w:t xml:space="preserve">Form 499-A </w:t>
      </w:r>
      <w:r w:rsidR="00D56DB0">
        <w:t xml:space="preserve">for the current year, but </w:t>
      </w:r>
      <w:r w:rsidR="00841BC5">
        <w:t xml:space="preserve">the companies </w:t>
      </w:r>
      <w:r w:rsidR="009A0D7D">
        <w:t xml:space="preserve">were unable to correct </w:t>
      </w:r>
      <w:r w:rsidR="007A63D9">
        <w:t xml:space="preserve">the same mistakes in </w:t>
      </w:r>
      <w:r w:rsidR="009A0D7D">
        <w:t xml:space="preserve">their submissions for </w:t>
      </w:r>
      <w:r w:rsidR="00D56DB0">
        <w:t>previ</w:t>
      </w:r>
      <w:r w:rsidR="00120271">
        <w:t>o</w:t>
      </w:r>
      <w:r w:rsidR="00D56DB0">
        <w:t xml:space="preserve">us years </w:t>
      </w:r>
      <w:r w:rsidR="009A0D7D">
        <w:t>because the revisions were filed</w:t>
      </w:r>
      <w:r w:rsidR="00244237">
        <w:t xml:space="preserve"> more than a year from their original due date</w:t>
      </w:r>
      <w:r w:rsidR="00D92EB7">
        <w:t>.</w:t>
      </w:r>
      <w:r w:rsidR="00132C9B">
        <w:rPr>
          <w:rStyle w:val="FootnoteReference"/>
        </w:rPr>
        <w:footnoteReference w:id="32"/>
      </w:r>
      <w:r w:rsidR="00D92EB7">
        <w:t xml:space="preserve">  </w:t>
      </w:r>
      <w:r w:rsidR="005A6BD9">
        <w:t xml:space="preserve"> </w:t>
      </w:r>
      <w:r w:rsidR="00841BC5">
        <w:t xml:space="preserve"> </w:t>
      </w:r>
    </w:p>
    <w:p w14:paraId="679DEF01" w14:textId="5E4EBAEE" w:rsidR="00EA18D6" w:rsidRDefault="00B83291" w:rsidP="00165AFF">
      <w:pPr>
        <w:numPr>
          <w:ilvl w:val="0"/>
          <w:numId w:val="2"/>
        </w:numPr>
        <w:tabs>
          <w:tab w:val="clear" w:pos="1080"/>
        </w:tabs>
        <w:spacing w:after="120"/>
      </w:pPr>
      <w:r>
        <w:t>W</w:t>
      </w:r>
      <w:r w:rsidR="00244237">
        <w:t>e</w:t>
      </w:r>
      <w:r w:rsidR="00D56DB0">
        <w:t xml:space="preserve"> rarely grant requests for waiver of </w:t>
      </w:r>
      <w:r w:rsidR="00117655">
        <w:t>th</w:t>
      </w:r>
      <w:r w:rsidR="00AA0EF5">
        <w:t>e one-year</w:t>
      </w:r>
      <w:r w:rsidR="00117655">
        <w:t xml:space="preserve"> deadline</w:t>
      </w:r>
      <w:r>
        <w:t xml:space="preserve"> for revisions to FCC Form 499</w:t>
      </w:r>
      <w:r w:rsidR="00117655">
        <w:t>.</w:t>
      </w:r>
      <w:r w:rsidR="00117655">
        <w:rPr>
          <w:rStyle w:val="FootnoteReference"/>
        </w:rPr>
        <w:footnoteReference w:id="33"/>
      </w:r>
      <w:r w:rsidR="00117655">
        <w:t xml:space="preserve">  </w:t>
      </w:r>
      <w:r w:rsidR="00D57010">
        <w:t xml:space="preserve"> </w:t>
      </w:r>
      <w:r w:rsidR="00EA18D6">
        <w:t xml:space="preserve">In the limited circumstances presented here, however, we find that equitable considerations weigh in favor of granting the waiver request.  </w:t>
      </w:r>
      <w:r>
        <w:t xml:space="preserve">In each case, the </w:t>
      </w:r>
      <w:r w:rsidR="003673B8">
        <w:t>Petitioner</w:t>
      </w:r>
      <w:r w:rsidR="004E02E1">
        <w:t xml:space="preserve"> </w:t>
      </w:r>
      <w:r w:rsidR="007923A1">
        <w:t xml:space="preserve">would have owed </w:t>
      </w:r>
      <w:r w:rsidR="00166CE6">
        <w:t>no contributions at all</w:t>
      </w:r>
      <w:r w:rsidR="007923A1">
        <w:t xml:space="preserve"> if </w:t>
      </w:r>
      <w:r w:rsidR="007232E7">
        <w:t>it</w:t>
      </w:r>
      <w:r w:rsidR="007923A1">
        <w:t xml:space="preserve"> had filed correctly</w:t>
      </w:r>
      <w:r w:rsidR="004E02E1">
        <w:t xml:space="preserve">. </w:t>
      </w:r>
      <w:r>
        <w:t xml:space="preserve"> </w:t>
      </w:r>
      <w:r w:rsidR="00165AFF">
        <w:t>S</w:t>
      </w:r>
      <w:r w:rsidR="003673B8">
        <w:t>ince neither Petitioner was re</w:t>
      </w:r>
      <w:r w:rsidR="004E02E1">
        <w:t xml:space="preserve">quired to contribute to the Fund during </w:t>
      </w:r>
      <w:r w:rsidR="003673B8">
        <w:t>the</w:t>
      </w:r>
      <w:r w:rsidR="004E02E1">
        <w:t xml:space="preserve"> years </w:t>
      </w:r>
      <w:r w:rsidR="003673B8">
        <w:t xml:space="preserve">at issue, </w:t>
      </w:r>
      <w:r w:rsidR="00EA18D6">
        <w:t xml:space="preserve">their </w:t>
      </w:r>
      <w:r w:rsidR="0098613A">
        <w:t xml:space="preserve">failure to file the </w:t>
      </w:r>
      <w:r w:rsidR="00EA18D6">
        <w:t xml:space="preserve">Forms 499 </w:t>
      </w:r>
      <w:r w:rsidR="0098613A">
        <w:t xml:space="preserve">on time </w:t>
      </w:r>
      <w:r w:rsidR="00EA18D6">
        <w:t>caused minimal harm to the Fund</w:t>
      </w:r>
      <w:r w:rsidR="0098613A">
        <w:t>.</w:t>
      </w:r>
      <w:r w:rsidR="000138C0">
        <w:rPr>
          <w:rStyle w:val="FootnoteReference"/>
        </w:rPr>
        <w:footnoteReference w:id="34"/>
      </w:r>
      <w:r w:rsidR="004E02E1">
        <w:t xml:space="preserve">  </w:t>
      </w:r>
    </w:p>
    <w:p w14:paraId="30E6E543" w14:textId="29F0210B" w:rsidR="00DD559D" w:rsidRDefault="00C4584F" w:rsidP="00117655">
      <w:pPr>
        <w:numPr>
          <w:ilvl w:val="0"/>
          <w:numId w:val="2"/>
        </w:numPr>
        <w:tabs>
          <w:tab w:val="clear" w:pos="1080"/>
        </w:tabs>
        <w:spacing w:after="120"/>
      </w:pPr>
      <w:r>
        <w:t>We emphasize that n</w:t>
      </w:r>
      <w:r w:rsidR="00DD559D">
        <w:t xml:space="preserve">otwithstanding our decision </w:t>
      </w:r>
      <w:r>
        <w:t>above, we are not waiving any l</w:t>
      </w:r>
      <w:r w:rsidR="00DD559D">
        <w:t xml:space="preserve">ate fees </w:t>
      </w:r>
      <w:r>
        <w:t>or interest associated with these late-filed F</w:t>
      </w:r>
      <w:r w:rsidR="00DD559D">
        <w:t>orms.</w:t>
      </w:r>
      <w:r w:rsidR="003B60C7">
        <w:rPr>
          <w:rStyle w:val="FootnoteReference"/>
        </w:rPr>
        <w:footnoteReference w:id="35"/>
      </w:r>
      <w:r w:rsidR="003B60C7">
        <w:t xml:space="preserve">  </w:t>
      </w:r>
      <w:r w:rsidR="00DD559D" w:rsidRPr="00DD559D">
        <w:t xml:space="preserve">The Commission’s rules direct USAC to assess interest and penalties on contributors that fail </w:t>
      </w:r>
      <w:r>
        <w:t>to timely file their Form 499-A.</w:t>
      </w:r>
      <w:r w:rsidR="00DD559D" w:rsidRPr="00DD559D">
        <w:rPr>
          <w:vertAlign w:val="superscript"/>
        </w:rPr>
        <w:footnoteReference w:id="36"/>
      </w:r>
      <w:r w:rsidR="00DD559D" w:rsidRPr="00DD559D">
        <w:t xml:space="preserve">  </w:t>
      </w:r>
      <w:r w:rsidR="004552DF">
        <w:t>Consistent with precedent, t</w:t>
      </w:r>
      <w:r>
        <w:t>o the extent Petitioners have been assessed late fees for their failure to timely file their Forms 499</w:t>
      </w:r>
      <w:r w:rsidR="00B83291">
        <w:t>,</w:t>
      </w:r>
      <w:r>
        <w:t xml:space="preserve"> they are liable for those amounts.</w:t>
      </w:r>
      <w:r w:rsidR="004552DF">
        <w:rPr>
          <w:rStyle w:val="FootnoteReference"/>
        </w:rPr>
        <w:footnoteReference w:id="37"/>
      </w:r>
      <w:r>
        <w:t xml:space="preserve">  </w:t>
      </w:r>
    </w:p>
    <w:p w14:paraId="24F60466" w14:textId="2ACC40C6" w:rsidR="00DD559D" w:rsidRPr="00B83A1E" w:rsidRDefault="008D5176" w:rsidP="00117655">
      <w:pPr>
        <w:numPr>
          <w:ilvl w:val="0"/>
          <w:numId w:val="2"/>
        </w:numPr>
        <w:tabs>
          <w:tab w:val="clear" w:pos="1080"/>
        </w:tabs>
        <w:spacing w:after="120"/>
      </w:pPr>
      <w:r>
        <w:t>W</w:t>
      </w:r>
      <w:r w:rsidR="00DD559D">
        <w:t xml:space="preserve">e </w:t>
      </w:r>
      <w:r w:rsidR="00DD559D" w:rsidRPr="00DD559D">
        <w:t>find that in the limited circumstances presented</w:t>
      </w:r>
      <w:r w:rsidR="00DD559D">
        <w:t xml:space="preserve"> here</w:t>
      </w:r>
      <w:r w:rsidR="00DD559D" w:rsidRPr="00DD559D">
        <w:t xml:space="preserve">, good cause exists to waive the one-year revision deadline.  </w:t>
      </w:r>
      <w:r w:rsidR="003F6FA8">
        <w:t>Accordingly, we grant Experior</w:t>
      </w:r>
      <w:r w:rsidR="00DD559D" w:rsidRPr="00DD559D">
        <w:t xml:space="preserve"> and Coaxial’s requests and waive FCC Form 499-A revision deadline to allow the companies an opportunity to correct the error that </w:t>
      </w:r>
      <w:r w:rsidR="003B60C7">
        <w:t xml:space="preserve">disqualified them from </w:t>
      </w:r>
      <w:r w:rsidR="00DD559D" w:rsidRPr="00DD559D">
        <w:rPr>
          <w:i/>
        </w:rPr>
        <w:t xml:space="preserve">de minimis </w:t>
      </w:r>
      <w:r w:rsidR="00DD559D" w:rsidRPr="00DD559D">
        <w:t>status.  We direct USAC to accept Experior and Coaxial’s revised FCC Forms</w:t>
      </w:r>
      <w:r w:rsidR="00E47A3F">
        <w:t xml:space="preserve"> </w:t>
      </w:r>
      <w:r w:rsidR="00DD559D" w:rsidRPr="00DD559D">
        <w:t>499 for the years at issue and to adjust invoices and provide refunds as appropriate, consistent with the terms of this order.</w:t>
      </w:r>
    </w:p>
    <w:p w14:paraId="0D13745B" w14:textId="77777777" w:rsidR="007170ED" w:rsidRDefault="007170ED" w:rsidP="007170ED">
      <w:pPr>
        <w:pStyle w:val="Heading1"/>
      </w:pPr>
      <w:r>
        <w:t>Ordering Clauses</w:t>
      </w:r>
    </w:p>
    <w:p w14:paraId="3E637C7C" w14:textId="77777777" w:rsidR="00A2712B" w:rsidRPr="00E51FC8" w:rsidRDefault="00A2712B" w:rsidP="00D74589">
      <w:pPr>
        <w:numPr>
          <w:ilvl w:val="0"/>
          <w:numId w:val="2"/>
        </w:numPr>
        <w:tabs>
          <w:tab w:val="clear" w:pos="1080"/>
        </w:tabs>
        <w:spacing w:after="120"/>
        <w:rPr>
          <w:color w:val="000000"/>
          <w:lang w:val="x-none"/>
        </w:rPr>
      </w:pPr>
      <w:r>
        <w:rPr>
          <w:color w:val="000000"/>
        </w:rPr>
        <w:t xml:space="preserve">ACCORDINGLY, IT IS ORDERED that, pursuant to the authority contained in sections </w:t>
      </w:r>
      <w:r w:rsidR="00356DBD">
        <w:rPr>
          <w:color w:val="000000"/>
        </w:rPr>
        <w:t xml:space="preserve">4(i) and 254(d) of the Communications Act, 47 U.S.C. §§ 4(i), 254(d), and </w:t>
      </w:r>
      <w:r w:rsidR="00446F7B">
        <w:rPr>
          <w:color w:val="000000"/>
        </w:rPr>
        <w:t>the authority delegated by sections 0.91, 0.291, and 1.3</w:t>
      </w:r>
      <w:r w:rsidR="00356DBD">
        <w:rPr>
          <w:color w:val="000000"/>
        </w:rPr>
        <w:t xml:space="preserve"> of the Commission’s rules, 47 C.F.R. §§ 0.91, 0.291, </w:t>
      </w:r>
      <w:r w:rsidR="00446F7B">
        <w:rPr>
          <w:color w:val="000000"/>
        </w:rPr>
        <w:t xml:space="preserve">and 1.3, </w:t>
      </w:r>
      <w:r w:rsidR="00356DBD">
        <w:rPr>
          <w:color w:val="000000"/>
        </w:rPr>
        <w:t>the request</w:t>
      </w:r>
      <w:r w:rsidR="00621224">
        <w:rPr>
          <w:color w:val="000000"/>
        </w:rPr>
        <w:t xml:space="preserve"> for </w:t>
      </w:r>
      <w:r w:rsidR="00356DBD">
        <w:rPr>
          <w:color w:val="000000"/>
        </w:rPr>
        <w:t>waiver filed by Experior Networks on Oct</w:t>
      </w:r>
      <w:r w:rsidR="00446F7B">
        <w:rPr>
          <w:color w:val="000000"/>
        </w:rPr>
        <w:t>ober</w:t>
      </w:r>
      <w:r w:rsidR="00356DBD">
        <w:rPr>
          <w:color w:val="000000"/>
        </w:rPr>
        <w:t xml:space="preserve"> 17, 2014 </w:t>
      </w:r>
      <w:r w:rsidR="00356DBD" w:rsidRPr="00E51FC8">
        <w:rPr>
          <w:caps/>
          <w:color w:val="000000"/>
        </w:rPr>
        <w:t>is</w:t>
      </w:r>
      <w:r w:rsidR="00EB7720" w:rsidRPr="00E51FC8">
        <w:rPr>
          <w:caps/>
          <w:color w:val="000000"/>
        </w:rPr>
        <w:t xml:space="preserve"> GRANTED</w:t>
      </w:r>
      <w:r w:rsidR="00D74589" w:rsidRPr="00E51FC8">
        <w:rPr>
          <w:color w:val="000000"/>
          <w:szCs w:val="19"/>
        </w:rPr>
        <w:t>.</w:t>
      </w:r>
    </w:p>
    <w:p w14:paraId="09AB6815" w14:textId="387BC561" w:rsidR="00EB7720" w:rsidRPr="00D74589" w:rsidRDefault="00EB7720" w:rsidP="00D74589">
      <w:pPr>
        <w:numPr>
          <w:ilvl w:val="0"/>
          <w:numId w:val="2"/>
        </w:numPr>
        <w:tabs>
          <w:tab w:val="clear" w:pos="1080"/>
        </w:tabs>
        <w:spacing w:after="120"/>
        <w:rPr>
          <w:color w:val="000000"/>
          <w:lang w:val="x-none"/>
        </w:rPr>
      </w:pPr>
      <w:r>
        <w:rPr>
          <w:color w:val="000000"/>
        </w:rPr>
        <w:t>ACCORDINGLY, IT IS ORDERED that, pursuant to the authority contained in sections 4(i) and 254(d) of the Communications Act, 47 U.S.C. §§ 4(i), 254(d), and the authority delegated by sections 0.91, 0.291, and 1.3 of the Commission’s rules, 47 C.F.R. §§ 0.91, 0.291, and 1.3, the request for waiver filed by Coaxial Cable</w:t>
      </w:r>
      <w:r w:rsidRPr="00EB7720">
        <w:t xml:space="preserve"> </w:t>
      </w:r>
      <w:r>
        <w:t xml:space="preserve">Television Corporation on March 7, </w:t>
      </w:r>
      <w:r w:rsidRPr="00E51FC8">
        <w:t>2014</w:t>
      </w:r>
      <w:r w:rsidRPr="00E51FC8">
        <w:rPr>
          <w:color w:val="000000"/>
        </w:rPr>
        <w:t xml:space="preserve"> </w:t>
      </w:r>
      <w:r w:rsidRPr="00E51FC8">
        <w:rPr>
          <w:caps/>
          <w:color w:val="000000"/>
        </w:rPr>
        <w:t>is</w:t>
      </w:r>
      <w:r w:rsidR="00D74589" w:rsidRPr="00E51FC8">
        <w:rPr>
          <w:caps/>
          <w:color w:val="000000"/>
        </w:rPr>
        <w:t xml:space="preserve"> grANTED</w:t>
      </w:r>
      <w:r>
        <w:rPr>
          <w:color w:val="000000"/>
          <w:szCs w:val="19"/>
        </w:rPr>
        <w:t>.</w:t>
      </w:r>
    </w:p>
    <w:p w14:paraId="0FC4A89A" w14:textId="77777777" w:rsidR="00A2712B" w:rsidRDefault="00A2712B" w:rsidP="00D74589">
      <w:pPr>
        <w:numPr>
          <w:ilvl w:val="0"/>
          <w:numId w:val="2"/>
        </w:numPr>
        <w:tabs>
          <w:tab w:val="clear" w:pos="1080"/>
        </w:tabs>
        <w:spacing w:after="120"/>
        <w:rPr>
          <w:color w:val="000000"/>
        </w:rPr>
      </w:pPr>
      <w:r>
        <w:rPr>
          <w:rFonts w:cs="TimesNewRoman"/>
          <w:color w:val="010101"/>
        </w:rPr>
        <w:t xml:space="preserve">IT IS </w:t>
      </w:r>
      <w:r w:rsidRPr="00D74589">
        <w:rPr>
          <w:color w:val="000000"/>
        </w:rPr>
        <w:t>FURTHER</w:t>
      </w:r>
      <w:r>
        <w:rPr>
          <w:rFonts w:cs="TimesNewRoman"/>
          <w:color w:val="010101"/>
        </w:rPr>
        <w:t xml:space="preserve"> ORDERED that, pursuant to section 1.102(b)(1) of the Commission’s rules, 47 C.F.R. § 1.102(b)(1), this order SHALL BE EFFECTIVE upon release</w:t>
      </w:r>
      <w:r>
        <w:rPr>
          <w:color w:val="000000"/>
          <w:szCs w:val="19"/>
        </w:rPr>
        <w:t>.</w:t>
      </w:r>
    </w:p>
    <w:p w14:paraId="0684CD8D" w14:textId="77777777" w:rsidR="00A2712B" w:rsidRDefault="00A2712B">
      <w:pPr>
        <w:autoSpaceDE w:val="0"/>
        <w:autoSpaceDN w:val="0"/>
        <w:adjustRightInd w:val="0"/>
        <w:rPr>
          <w:color w:val="000000"/>
        </w:rPr>
      </w:pPr>
    </w:p>
    <w:p w14:paraId="2FCE5724" w14:textId="77777777" w:rsidR="00A2712B" w:rsidRDefault="00A2712B">
      <w:pPr>
        <w:rPr>
          <w:color w:val="000000"/>
        </w:rPr>
      </w:pPr>
    </w:p>
    <w:p w14:paraId="19F1CD68" w14:textId="77777777" w:rsidR="00A2712B" w:rsidRDefault="00A2712B">
      <w:r>
        <w:tab/>
      </w:r>
      <w:r>
        <w:tab/>
      </w:r>
      <w:r>
        <w:tab/>
      </w:r>
      <w:r>
        <w:tab/>
      </w:r>
      <w:r>
        <w:tab/>
      </w:r>
      <w:r>
        <w:tab/>
        <w:t>FEDERAL COMMUNICATIONS COMMISSION</w:t>
      </w:r>
    </w:p>
    <w:p w14:paraId="6C61D3A3" w14:textId="77777777" w:rsidR="00A2712B" w:rsidRDefault="00A2712B">
      <w:pPr>
        <w:rPr>
          <w:color w:val="000000"/>
        </w:rPr>
      </w:pPr>
    </w:p>
    <w:p w14:paraId="000111A6" w14:textId="77777777" w:rsidR="00A2712B" w:rsidRDefault="00A2712B">
      <w:pPr>
        <w:rPr>
          <w:color w:val="000000"/>
        </w:rPr>
      </w:pPr>
    </w:p>
    <w:p w14:paraId="440EC37A" w14:textId="77777777" w:rsidR="00A2712B" w:rsidRDefault="00A2712B">
      <w:pPr>
        <w:rPr>
          <w:color w:val="000000"/>
        </w:rPr>
      </w:pPr>
    </w:p>
    <w:p w14:paraId="056E05AD" w14:textId="77777777" w:rsidR="00A2712B" w:rsidRDefault="00A2712B">
      <w:pPr>
        <w:rPr>
          <w:color w:val="000000"/>
        </w:rPr>
      </w:pPr>
    </w:p>
    <w:p w14:paraId="68DC83D4" w14:textId="57B88D31" w:rsidR="00981FED" w:rsidRPr="00981FED" w:rsidRDefault="00A2712B" w:rsidP="00981FED">
      <w:pPr>
        <w:rPr>
          <w:color w:val="000000"/>
        </w:rPr>
      </w:pPr>
      <w:r>
        <w:rPr>
          <w:color w:val="000000"/>
        </w:rPr>
        <w:tab/>
      </w:r>
      <w:r>
        <w:rPr>
          <w:color w:val="000000"/>
        </w:rPr>
        <w:tab/>
      </w:r>
      <w:r>
        <w:rPr>
          <w:color w:val="000000"/>
        </w:rPr>
        <w:tab/>
      </w:r>
      <w:r>
        <w:rPr>
          <w:color w:val="000000"/>
        </w:rPr>
        <w:tab/>
      </w:r>
      <w:r>
        <w:rPr>
          <w:color w:val="000000"/>
        </w:rPr>
        <w:tab/>
      </w:r>
      <w:r>
        <w:rPr>
          <w:color w:val="000000"/>
        </w:rPr>
        <w:tab/>
      </w:r>
      <w:r w:rsidR="00AC34BB">
        <w:rPr>
          <w:color w:val="000000"/>
        </w:rPr>
        <w:t>Carol E. Mattey</w:t>
      </w:r>
    </w:p>
    <w:p w14:paraId="6EBA4EE1" w14:textId="0D661BEC" w:rsidR="00981FED" w:rsidRPr="00981FED" w:rsidRDefault="00AC34BB" w:rsidP="00981FED">
      <w:pPr>
        <w:ind w:left="3600" w:firstLine="720"/>
        <w:rPr>
          <w:color w:val="000000"/>
        </w:rPr>
      </w:pPr>
      <w:r>
        <w:rPr>
          <w:color w:val="000000"/>
        </w:rPr>
        <w:t xml:space="preserve">Deputy </w:t>
      </w:r>
      <w:r w:rsidR="00981FED" w:rsidRPr="00981FED">
        <w:rPr>
          <w:color w:val="000000"/>
        </w:rPr>
        <w:t>Chief</w:t>
      </w:r>
    </w:p>
    <w:p w14:paraId="150EAC4F" w14:textId="77777777" w:rsidR="00A2712B" w:rsidRDefault="00981FED" w:rsidP="00981FED">
      <w:pPr>
        <w:ind w:left="3600" w:firstLine="720"/>
        <w:rPr>
          <w:color w:val="000000"/>
        </w:rPr>
      </w:pPr>
      <w:r w:rsidRPr="00981FED">
        <w:rPr>
          <w:color w:val="000000"/>
        </w:rPr>
        <w:t>Wireline Competition Bureau</w:t>
      </w:r>
    </w:p>
    <w:p w14:paraId="6EF504AD" w14:textId="77777777" w:rsidR="00574CAE" w:rsidRDefault="00574CAE" w:rsidP="00981FED">
      <w:pPr>
        <w:ind w:left="3600" w:firstLine="720"/>
        <w:rPr>
          <w:color w:val="000000"/>
        </w:rPr>
      </w:pPr>
    </w:p>
    <w:sectPr w:rsidR="00574CA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9B837" w14:textId="77777777" w:rsidR="007C1219" w:rsidRDefault="007C1219">
      <w:pPr>
        <w:spacing w:line="20" w:lineRule="exact"/>
      </w:pPr>
    </w:p>
  </w:endnote>
  <w:endnote w:type="continuationSeparator" w:id="0">
    <w:p w14:paraId="456A6CBD" w14:textId="77777777" w:rsidR="007C1219" w:rsidRDefault="007C1219">
      <w:r>
        <w:t xml:space="preserve"> </w:t>
      </w:r>
    </w:p>
  </w:endnote>
  <w:endnote w:type="continuationNotice" w:id="1">
    <w:p w14:paraId="3C71C1F7" w14:textId="77777777" w:rsidR="007C1219" w:rsidRDefault="007C12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D9372" w14:textId="77777777" w:rsidR="00A2712B" w:rsidRDefault="00A2712B">
    <w:pPr>
      <w:pStyle w:val="Footer"/>
      <w:framePr w:wrap="around" w:vAnchor="text" w:hAnchor="margin" w:xAlign="center" w:y="1"/>
    </w:pPr>
    <w:r>
      <w:fldChar w:fldCharType="begin"/>
    </w:r>
    <w:r>
      <w:instrText xml:space="preserve">PAGE  </w:instrText>
    </w:r>
    <w:r>
      <w:fldChar w:fldCharType="end"/>
    </w:r>
  </w:p>
  <w:p w14:paraId="28EE441F" w14:textId="77777777" w:rsidR="00A2712B" w:rsidRDefault="00A27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295E" w14:textId="77777777" w:rsidR="00A2712B" w:rsidRDefault="00A2712B">
    <w:pPr>
      <w:pStyle w:val="Footer"/>
      <w:framePr w:wrap="around" w:vAnchor="text" w:hAnchor="margin" w:xAlign="center" w:y="1"/>
    </w:pPr>
    <w:r>
      <w:fldChar w:fldCharType="begin"/>
    </w:r>
    <w:r>
      <w:instrText xml:space="preserve">PAGE  </w:instrText>
    </w:r>
    <w:r>
      <w:fldChar w:fldCharType="separate"/>
    </w:r>
    <w:r w:rsidR="00701136">
      <w:rPr>
        <w:noProof/>
      </w:rPr>
      <w:t>6</w:t>
    </w:r>
    <w:r>
      <w:fldChar w:fldCharType="end"/>
    </w:r>
  </w:p>
  <w:p w14:paraId="5BA6E1CD" w14:textId="77777777" w:rsidR="00A2712B" w:rsidRDefault="00A2712B">
    <w:pPr>
      <w:rPr>
        <w:noProof/>
        <w:color w:val="0000FF"/>
        <w:sz w:val="20"/>
      </w:rPr>
    </w:pPr>
  </w:p>
  <w:p w14:paraId="2C314978" w14:textId="77777777" w:rsidR="00A2712B" w:rsidRDefault="00A2712B">
    <w:pPr>
      <w:spacing w:before="140" w:line="100" w:lineRule="exact"/>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0801A" w14:textId="77777777" w:rsidR="00A2712B" w:rsidRDefault="00A2712B">
    <w:pPr>
      <w:rPr>
        <w:rFonts w:ascii="Times New Roman Bold" w:hAnsi="Times New Roman Bold"/>
        <w:b/>
      </w:rPr>
    </w:pPr>
  </w:p>
  <w:p w14:paraId="14BF2942" w14:textId="77777777" w:rsidR="00A2712B" w:rsidRDefault="00A2712B">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3A78C" w14:textId="77777777" w:rsidR="007C1219" w:rsidRDefault="007C1219">
      <w:pPr>
        <w:spacing w:before="120"/>
        <w:rPr>
          <w:sz w:val="20"/>
        </w:rPr>
      </w:pPr>
      <w:r>
        <w:rPr>
          <w:sz w:val="20"/>
        </w:rPr>
        <w:separator/>
      </w:r>
    </w:p>
  </w:footnote>
  <w:footnote w:type="continuationSeparator" w:id="0">
    <w:p w14:paraId="51575D19" w14:textId="77777777" w:rsidR="007C1219" w:rsidRDefault="007C1219">
      <w:pPr>
        <w:spacing w:before="120"/>
        <w:rPr>
          <w:sz w:val="20"/>
        </w:rPr>
      </w:pPr>
      <w:r>
        <w:rPr>
          <w:sz w:val="20"/>
        </w:rPr>
        <w:t xml:space="preserve">(. . . continued from previous page)  </w:t>
      </w:r>
      <w:r>
        <w:rPr>
          <w:sz w:val="20"/>
        </w:rPr>
        <w:separator/>
      </w:r>
    </w:p>
  </w:footnote>
  <w:footnote w:type="continuationNotice" w:id="1">
    <w:p w14:paraId="256D5EE7" w14:textId="77777777" w:rsidR="007C1219" w:rsidRDefault="007C1219">
      <w:pPr>
        <w:jc w:val="right"/>
        <w:rPr>
          <w:sz w:val="20"/>
        </w:rPr>
      </w:pPr>
      <w:r>
        <w:rPr>
          <w:sz w:val="20"/>
        </w:rPr>
        <w:t>(continued . . .)</w:t>
      </w:r>
    </w:p>
  </w:footnote>
  <w:footnote w:id="2">
    <w:p w14:paraId="164925E4" w14:textId="7053AB9B" w:rsidR="006250A0" w:rsidRDefault="006250A0" w:rsidP="006250A0">
      <w:pPr>
        <w:pStyle w:val="FootnoteText"/>
      </w:pPr>
      <w:r>
        <w:rPr>
          <w:rStyle w:val="FootnoteReference"/>
        </w:rPr>
        <w:footnoteRef/>
      </w:r>
      <w:r>
        <w:t xml:space="preserve"> </w:t>
      </w:r>
      <w:r>
        <w:rPr>
          <w:i/>
        </w:rPr>
        <w:t xml:space="preserve">See </w:t>
      </w:r>
      <w:r>
        <w:t xml:space="preserve">Letter from Chris Henshaw, </w:t>
      </w:r>
      <w:r w:rsidR="00013DCF">
        <w:t xml:space="preserve">CEO, </w:t>
      </w:r>
      <w:r>
        <w:t xml:space="preserve">Experior Networks, to the Federal Communications Commission, WC Docket </w:t>
      </w:r>
      <w:r w:rsidR="008D5176">
        <w:t xml:space="preserve">No. </w:t>
      </w:r>
      <w:r>
        <w:t>06-122 (filed Oct. 17, 2014) (</w:t>
      </w:r>
      <w:r w:rsidR="00614ABD">
        <w:t xml:space="preserve">Experior </w:t>
      </w:r>
      <w:r>
        <w:t>Request for Waiver).</w:t>
      </w:r>
    </w:p>
  </w:footnote>
  <w:footnote w:id="3">
    <w:p w14:paraId="0F3F6436" w14:textId="77777777" w:rsidR="008A004B" w:rsidRDefault="008A004B" w:rsidP="008A004B">
      <w:pPr>
        <w:pStyle w:val="FootnoteText"/>
      </w:pPr>
      <w:r>
        <w:rPr>
          <w:rStyle w:val="FootnoteReference"/>
        </w:rPr>
        <w:footnoteRef/>
      </w:r>
      <w:r>
        <w:t xml:space="preserve"> Request for Review by Coaxial Cable Television Corporation of Decision of Universal Ser</w:t>
      </w:r>
      <w:r w:rsidR="004420F1">
        <w:t>vice Administrator, WC Docket No</w:t>
      </w:r>
      <w:r>
        <w:t xml:space="preserve">. 06-122 (filed Mar. 7, 2014) (Coaxial Request for Waiver).  We note that although Coaxial styled its petition as a “Request for Review,” the company is seeking a waiver of our rules.  We therefore refer to Coaxial’s petition as a </w:t>
      </w:r>
      <w:r w:rsidR="00517C1F">
        <w:t>“</w:t>
      </w:r>
      <w:r>
        <w:t xml:space="preserve">Request for Waiver.” </w:t>
      </w:r>
    </w:p>
  </w:footnote>
  <w:footnote w:id="4">
    <w:p w14:paraId="0DF430EE" w14:textId="77777777" w:rsidR="00CD37DC" w:rsidRDefault="00CD37DC">
      <w:pPr>
        <w:pStyle w:val="FootnoteText"/>
      </w:pPr>
      <w:r>
        <w:rPr>
          <w:rStyle w:val="FootnoteReference"/>
        </w:rPr>
        <w:footnoteRef/>
      </w:r>
      <w:r>
        <w:t xml:space="preserve"> Experior Request for Waiver at 1; Coaxial Request for Waiver at 4-5.</w:t>
      </w:r>
    </w:p>
  </w:footnote>
  <w:footnote w:id="5">
    <w:p w14:paraId="6C05CE9C" w14:textId="169FB682" w:rsidR="00152F9E" w:rsidRPr="00152F9E" w:rsidRDefault="00152F9E">
      <w:pPr>
        <w:pStyle w:val="FootnoteText"/>
        <w:rPr>
          <w:i/>
        </w:rPr>
      </w:pPr>
      <w:r>
        <w:rPr>
          <w:rStyle w:val="FootnoteReference"/>
        </w:rPr>
        <w:footnoteRef/>
      </w:r>
      <w:r>
        <w:t xml:space="preserve"> Experior Request for Waiver at 1; Coaxial Request for Waiver at 1-2.  </w:t>
      </w:r>
    </w:p>
  </w:footnote>
  <w:footnote w:id="6">
    <w:p w14:paraId="35D420B2" w14:textId="42BBDB8E" w:rsidR="008A004B" w:rsidRDefault="008A004B">
      <w:pPr>
        <w:pStyle w:val="FootnoteText"/>
      </w:pPr>
      <w:r>
        <w:rPr>
          <w:rStyle w:val="FootnoteReference"/>
        </w:rPr>
        <w:footnoteRef/>
      </w:r>
      <w:r>
        <w:t xml:space="preserve"> </w:t>
      </w:r>
      <w:r w:rsidR="00240995">
        <w:t xml:space="preserve">Experior reported all of its recurring revenues on line 404.4 instead of </w:t>
      </w:r>
      <w:r w:rsidR="00E47A3F">
        <w:t xml:space="preserve">only </w:t>
      </w:r>
      <w:r w:rsidR="00240995">
        <w:t xml:space="preserve">the VoIP revenues. </w:t>
      </w:r>
      <w:r w:rsidR="007646B4">
        <w:t xml:space="preserve"> </w:t>
      </w:r>
      <w:r w:rsidR="00DE7AD2">
        <w:t>Experior Request for Waiver at 1</w:t>
      </w:r>
      <w:r w:rsidR="00E47A3F">
        <w:t xml:space="preserve">. </w:t>
      </w:r>
      <w:r w:rsidR="007646B4">
        <w:t xml:space="preserve"> </w:t>
      </w:r>
      <w:r w:rsidR="00DE7AD2">
        <w:t>Coaxial</w:t>
      </w:r>
      <w:r w:rsidR="00240995">
        <w:t xml:space="preserve"> reported all of its revenue as assessable for universal service fund purposes instead of only its interstate and international revenue. </w:t>
      </w:r>
      <w:r w:rsidR="007646B4">
        <w:t xml:space="preserve"> </w:t>
      </w:r>
      <w:r w:rsidR="00240995">
        <w:t>Coaxial</w:t>
      </w:r>
      <w:r w:rsidR="00DE7AD2">
        <w:t xml:space="preserve"> Request for Waiver at</w:t>
      </w:r>
      <w:r w:rsidR="00240995">
        <w:t xml:space="preserve"> 5</w:t>
      </w:r>
      <w:r w:rsidR="004420F1">
        <w:t>.</w:t>
      </w:r>
    </w:p>
  </w:footnote>
  <w:footnote w:id="7">
    <w:p w14:paraId="25F72767" w14:textId="77777777" w:rsidR="008E38B2" w:rsidRDefault="008E38B2">
      <w:pPr>
        <w:pStyle w:val="FootnoteText"/>
      </w:pPr>
      <w:r>
        <w:rPr>
          <w:rStyle w:val="FootnoteReference"/>
        </w:rPr>
        <w:footnoteRef/>
      </w:r>
      <w:r>
        <w:t xml:space="preserve"> </w:t>
      </w:r>
      <w:r w:rsidR="00DE7AD2">
        <w:t>Experior Request for Waiver at 1; Coaxial Request for Waiver at</w:t>
      </w:r>
      <w:r w:rsidR="00240995">
        <w:t xml:space="preserve"> 6-8.</w:t>
      </w:r>
    </w:p>
  </w:footnote>
  <w:footnote w:id="8">
    <w:p w14:paraId="15AF72FC" w14:textId="7FA69B3A" w:rsidR="007672FF" w:rsidRPr="007672FF" w:rsidRDefault="007672FF">
      <w:pPr>
        <w:pStyle w:val="FootnoteText"/>
        <w:rPr>
          <w:i/>
        </w:rPr>
      </w:pPr>
      <w:r>
        <w:rPr>
          <w:rStyle w:val="FootnoteReference"/>
        </w:rPr>
        <w:footnoteRef/>
      </w:r>
      <w:r>
        <w:t xml:space="preserve"> </w:t>
      </w:r>
      <w:r w:rsidRPr="003874CD">
        <w:rPr>
          <w:i/>
        </w:rPr>
        <w:t xml:space="preserve">See </w:t>
      </w:r>
      <w:r w:rsidR="003874CD" w:rsidRPr="003874CD">
        <w:rPr>
          <w:i/>
        </w:rPr>
        <w:t xml:space="preserve">infra </w:t>
      </w:r>
      <w:r w:rsidRPr="003874CD">
        <w:t>para. 12</w:t>
      </w:r>
      <w:r w:rsidR="00C92409">
        <w:t>.</w:t>
      </w:r>
      <w:r w:rsidRPr="003874CD">
        <w:t xml:space="preserve"> </w:t>
      </w:r>
    </w:p>
  </w:footnote>
  <w:footnote w:id="9">
    <w:p w14:paraId="19FC868E" w14:textId="77777777" w:rsidR="0052225E" w:rsidRDefault="0052225E" w:rsidP="0052225E">
      <w:pPr>
        <w:pStyle w:val="FootnoteText"/>
      </w:pPr>
      <w:r>
        <w:rPr>
          <w:rStyle w:val="FootnoteReference"/>
        </w:rPr>
        <w:footnoteRef/>
      </w:r>
      <w:r>
        <w:t xml:space="preserve"> 47 U.S.C. § 254(d).</w:t>
      </w:r>
    </w:p>
  </w:footnote>
  <w:footnote w:id="10">
    <w:p w14:paraId="07C2BD72" w14:textId="473B22F5" w:rsidR="0052225E" w:rsidRDefault="0052225E" w:rsidP="0052225E">
      <w:pPr>
        <w:pStyle w:val="FootnoteText"/>
      </w:pPr>
      <w:r>
        <w:rPr>
          <w:rStyle w:val="FootnoteReference"/>
        </w:rPr>
        <w:footnoteRef/>
      </w:r>
      <w:r>
        <w:t xml:space="preserve"> </w:t>
      </w:r>
      <w:r>
        <w:rPr>
          <w:i/>
        </w:rPr>
        <w:t>See</w:t>
      </w:r>
      <w:r>
        <w:t xml:space="preserve"> 47 C.F.R. §§ 54.706, 54.711, 54.713 (requiring all telecommunications carriers providing interstate telecommunications services and certain other providers of interstate telecommunications to file FCC Form 49</w:t>
      </w:r>
      <w:r w:rsidR="00F63566">
        <w:t xml:space="preserve">9-A); </w:t>
      </w:r>
      <w:r w:rsidR="00296FD5">
        <w:t xml:space="preserve">USAC, </w:t>
      </w:r>
      <w:r w:rsidR="00296FD5">
        <w:rPr>
          <w:i/>
        </w:rPr>
        <w:t>Contributors:</w:t>
      </w:r>
      <w:r w:rsidR="006D37B9">
        <w:t xml:space="preserve"> </w:t>
      </w:r>
      <w:r w:rsidR="006D37B9" w:rsidRPr="00296FD5">
        <w:rPr>
          <w:i/>
        </w:rPr>
        <w:t>What and How to File</w:t>
      </w:r>
      <w:r w:rsidR="006D37B9">
        <w:t xml:space="preserve">, </w:t>
      </w:r>
      <w:hyperlink r:id="rId1" w:history="1">
        <w:r w:rsidR="006D37B9" w:rsidRPr="00C27F69">
          <w:rPr>
            <w:rStyle w:val="Hyperlink"/>
          </w:rPr>
          <w:t>http://usac.org/cont/filers/what-and-how-to-file.aspx</w:t>
        </w:r>
      </w:hyperlink>
      <w:r w:rsidR="006D37B9">
        <w:t xml:space="preserve"> (last visited May </w:t>
      </w:r>
      <w:r w:rsidR="00296FD5">
        <w:t>11</w:t>
      </w:r>
      <w:r w:rsidR="006D37B9">
        <w:t>, 2015)</w:t>
      </w:r>
      <w:r w:rsidR="00AA0EF5">
        <w:t xml:space="preserve">. </w:t>
      </w:r>
    </w:p>
  </w:footnote>
  <w:footnote w:id="11">
    <w:p w14:paraId="54EA794F" w14:textId="1F387D94" w:rsidR="0087229E" w:rsidRPr="00A112AA" w:rsidRDefault="0087229E" w:rsidP="0087229E">
      <w:pPr>
        <w:pStyle w:val="FootnoteText"/>
      </w:pPr>
      <w:r w:rsidRPr="00F94D30">
        <w:rPr>
          <w:rStyle w:val="FootnoteReference"/>
        </w:rPr>
        <w:footnoteRef/>
      </w:r>
      <w:r w:rsidRPr="00F94D30">
        <w:t xml:space="preserve"> </w:t>
      </w:r>
      <w:r>
        <w:t xml:space="preserve">The Commission requires </w:t>
      </w:r>
      <w:r w:rsidR="008E26EF">
        <w:t>universal service fund (</w:t>
      </w:r>
      <w:r>
        <w:t>USF</w:t>
      </w:r>
      <w:r w:rsidR="00B27C4E">
        <w:t xml:space="preserve"> or Fund</w:t>
      </w:r>
      <w:r w:rsidR="008E26EF">
        <w:t>)</w:t>
      </w:r>
      <w:r>
        <w:t xml:space="preserve"> contributors to provide certain revenue information on a quarterly and annual basis.  </w:t>
      </w:r>
      <w:r>
        <w:rPr>
          <w:i/>
        </w:rPr>
        <w:t xml:space="preserve">See </w:t>
      </w:r>
      <w:r w:rsidRPr="00A70EA2">
        <w:t>47 C.F.R. §</w:t>
      </w:r>
      <w:r>
        <w:t xml:space="preserve"> 54.711(a) (setting forth reporting requirements in accordance with Commission announcements in the Federal Register).  The filing schedule is set forth in the instructions to FCC Form 499-A.  Under the current filing schedule, the annual FCC Form 499-A is due April 1 of each year, and the quarterly FCC Form 499-Q is due on February 1, May 1, August 1, and November 1.  </w:t>
      </w:r>
      <w:r>
        <w:rPr>
          <w:i/>
        </w:rPr>
        <w:t>See, e.g.</w:t>
      </w:r>
      <w:r w:rsidRPr="00296FD5">
        <w:t>,</w:t>
      </w:r>
      <w:r>
        <w:rPr>
          <w:i/>
        </w:rPr>
        <w:t xml:space="preserve"> Comprehensive Review of the Universal Service Fund Management, Administration and Oversight et al.</w:t>
      </w:r>
      <w:r w:rsidRPr="00296FD5">
        <w:t>,</w:t>
      </w:r>
      <w:r>
        <w:rPr>
          <w:i/>
        </w:rPr>
        <w:t xml:space="preserve"> </w:t>
      </w:r>
      <w:r>
        <w:t xml:space="preserve">WC Docket Nos. 05-195 </w:t>
      </w:r>
      <w:r w:rsidRPr="00296FD5">
        <w:t>et al.,</w:t>
      </w:r>
      <w:r>
        <w:rPr>
          <w:i/>
        </w:rPr>
        <w:t xml:space="preserve"> </w:t>
      </w:r>
      <w:r>
        <w:t>Report and Order, 22 FCC Rcd 16372, 16376, para. 9 n.15 (2007)</w:t>
      </w:r>
      <w:r w:rsidR="00A112AA">
        <w:t xml:space="preserve"> (</w:t>
      </w:r>
      <w:r w:rsidR="00A112AA">
        <w:rPr>
          <w:i/>
        </w:rPr>
        <w:t>Comprehensive Review Order</w:t>
      </w:r>
      <w:r w:rsidR="00A112AA">
        <w:t>).</w:t>
      </w:r>
    </w:p>
  </w:footnote>
  <w:footnote w:id="12">
    <w:p w14:paraId="423C9CB2" w14:textId="5025207B" w:rsidR="0087229E" w:rsidRPr="00F94D30" w:rsidRDefault="0087229E" w:rsidP="0087229E">
      <w:pPr>
        <w:pStyle w:val="FootnoteText"/>
      </w:pPr>
      <w:r w:rsidRPr="00F94D30">
        <w:rPr>
          <w:rStyle w:val="FootnoteReference"/>
        </w:rPr>
        <w:footnoteRef/>
      </w:r>
      <w:r w:rsidRPr="00F94D30">
        <w:t xml:space="preserve"> </w:t>
      </w:r>
      <w:r w:rsidR="008D5176">
        <w:rPr>
          <w:i/>
        </w:rPr>
        <w:t>Federal-State Joint Board on Universal Service, 1998 Biennial Regulatory Review-Streamlined Contributor Reporting Requirements Associated With Administration of Telecommunications Relay Service, North American Numbering Plan, Local Number Portability</w:t>
      </w:r>
      <w:r w:rsidR="00296FD5">
        <w:rPr>
          <w:i/>
        </w:rPr>
        <w:t>,</w:t>
      </w:r>
      <w:r w:rsidR="008D5176">
        <w:rPr>
          <w:i/>
        </w:rPr>
        <w:t xml:space="preserve"> and Universal Service Support Mechanisms, Changes to the Board of Directors of the National Exchange Carrier Associations, Inc.</w:t>
      </w:r>
      <w:r w:rsidR="008D5176" w:rsidRPr="00296FD5">
        <w:t>,</w:t>
      </w:r>
      <w:r w:rsidR="008D5176">
        <w:rPr>
          <w:i/>
        </w:rPr>
        <w:t xml:space="preserve"> </w:t>
      </w:r>
      <w:r w:rsidR="008D5176">
        <w:t>CC Docket Nos. 96-45, 98-171, 97-21, Order, 20 FCC Rcd 1012, 1013, para. 10 (2004) (</w:t>
      </w:r>
      <w:r w:rsidR="008D5176" w:rsidRPr="00F94D30">
        <w:rPr>
          <w:i/>
        </w:rPr>
        <w:t>One-Year Deadline Order</w:t>
      </w:r>
      <w:r w:rsidR="008D5176">
        <w:t xml:space="preserve">).  </w:t>
      </w:r>
      <w:r w:rsidRPr="00FE6958">
        <w:t xml:space="preserve">In the </w:t>
      </w:r>
      <w:r w:rsidRPr="00FE6958">
        <w:rPr>
          <w:i/>
        </w:rPr>
        <w:t>One-Year Deadline Order</w:t>
      </w:r>
      <w:r w:rsidRPr="00FE6958">
        <w:t>, the Bureau adopted a deadline for filing revisions to FCC Form 499-A.  The Bureau found that a firm one-year deadline for revisions that would result in reduced contributions would improve administrative efficiency and provide certainty, stability and sufficiency for the funds covered by FCC Form 499-</w:t>
      </w:r>
      <w:r>
        <w:t>A</w:t>
      </w:r>
      <w:r w:rsidRPr="00FE6958">
        <w:t xml:space="preserve">s.  </w:t>
      </w:r>
    </w:p>
  </w:footnote>
  <w:footnote w:id="13">
    <w:p w14:paraId="7BF3132B" w14:textId="77777777" w:rsidR="00B83291" w:rsidRDefault="00B83291" w:rsidP="00B83291">
      <w:pPr>
        <w:pStyle w:val="FootnoteText"/>
      </w:pPr>
      <w:r>
        <w:rPr>
          <w:rStyle w:val="FootnoteReference"/>
        </w:rPr>
        <w:footnoteRef/>
      </w:r>
      <w:r>
        <w:rPr>
          <w:i/>
        </w:rPr>
        <w:t>One-Year Deadline Order</w:t>
      </w:r>
      <w:r>
        <w:t>, 20 FCC Rcd at 1013, para. 10.</w:t>
      </w:r>
    </w:p>
  </w:footnote>
  <w:footnote w:id="14">
    <w:p w14:paraId="2A544011" w14:textId="08F71B33" w:rsidR="0087229E" w:rsidRDefault="0087229E" w:rsidP="0087229E">
      <w:pPr>
        <w:pStyle w:val="FootnoteText"/>
      </w:pPr>
      <w:r>
        <w:rPr>
          <w:rStyle w:val="FootnoteReference"/>
        </w:rPr>
        <w:footnoteRef/>
      </w:r>
      <w:r>
        <w:t xml:space="preserve"> 47 C.F.R. § 54.708; 47 C.F.R. §713(a) 47 C.F.R. § (b), (c); </w:t>
      </w:r>
      <w:r>
        <w:rPr>
          <w:i/>
        </w:rPr>
        <w:t xml:space="preserve">Comprehensive Review </w:t>
      </w:r>
      <w:r w:rsidRPr="00A112AA">
        <w:rPr>
          <w:i/>
        </w:rPr>
        <w:t>Order</w:t>
      </w:r>
      <w:r>
        <w:t xml:space="preserve">, 22 FCC Rcd </w:t>
      </w:r>
      <w:r w:rsidR="00296FD5">
        <w:t>at</w:t>
      </w:r>
      <w:r w:rsidR="00A70EA2">
        <w:t xml:space="preserve"> 16379-80, para. 14 (2007)</w:t>
      </w:r>
      <w:r w:rsidR="00A112AA">
        <w:t>.</w:t>
      </w:r>
    </w:p>
  </w:footnote>
  <w:footnote w:id="15">
    <w:p w14:paraId="7D2A9920" w14:textId="0ADB32FF" w:rsidR="0087229E" w:rsidRDefault="0087229E" w:rsidP="0087229E">
      <w:pPr>
        <w:pStyle w:val="FootnoteText"/>
      </w:pPr>
      <w:r>
        <w:rPr>
          <w:rStyle w:val="FootnoteReference"/>
        </w:rPr>
        <w:footnoteRef/>
      </w:r>
      <w:r>
        <w:t xml:space="preserve"> </w:t>
      </w:r>
      <w:r>
        <w:rPr>
          <w:i/>
        </w:rPr>
        <w:t>Universal Service Contribution Methodology et al.</w:t>
      </w:r>
      <w:r w:rsidRPr="006D37B9">
        <w:t>¸</w:t>
      </w:r>
      <w:r>
        <w:t>WC Docket No. 06-122 et al., Report and Order and Notice of Proposed Rulemaking, 21 FCC Rcd 7518, 7548-49, para</w:t>
      </w:r>
      <w:r w:rsidR="006D37B9">
        <w:t>.</w:t>
      </w:r>
      <w:r>
        <w:t xml:space="preserve"> 61 (2006). </w:t>
      </w:r>
    </w:p>
  </w:footnote>
  <w:footnote w:id="16">
    <w:p w14:paraId="66414F5E" w14:textId="63E081C8" w:rsidR="0087229E" w:rsidRDefault="0087229E" w:rsidP="0087229E">
      <w:pPr>
        <w:pStyle w:val="FootnoteText"/>
      </w:pPr>
      <w:r>
        <w:rPr>
          <w:rStyle w:val="FootnoteReference"/>
        </w:rPr>
        <w:footnoteRef/>
      </w:r>
      <w:r>
        <w:t xml:space="preserve"> </w:t>
      </w:r>
      <w:r>
        <w:rPr>
          <w:i/>
        </w:rPr>
        <w:t xml:space="preserve">See </w:t>
      </w:r>
      <w:r>
        <w:t xml:space="preserve">47 C.F.R. § 54.708 (filing obligations of </w:t>
      </w:r>
      <w:r>
        <w:rPr>
          <w:i/>
        </w:rPr>
        <w:t>de minimis</w:t>
      </w:r>
      <w:r>
        <w:t xml:space="preserve"> VoIP providers); </w:t>
      </w:r>
      <w:r>
        <w:rPr>
          <w:i/>
        </w:rPr>
        <w:t xml:space="preserve">see also </w:t>
      </w:r>
      <w:r>
        <w:t>47 C.F.R.  § 64.601(b), 64.604 (requiring every VoIP provider (including interconnected and non-intercon</w:t>
      </w:r>
      <w:r w:rsidR="009E037B">
        <w:t>nected) to contribute to the Telecommunications Relay Service</w:t>
      </w:r>
      <w:r>
        <w:t xml:space="preserve"> fund); </w:t>
      </w:r>
      <w:r w:rsidRPr="00680E3D">
        <w:t>47 C.F.R</w:t>
      </w:r>
      <w:r>
        <w:rPr>
          <w:i/>
        </w:rPr>
        <w:t xml:space="preserve">. </w:t>
      </w:r>
      <w:r>
        <w:t xml:space="preserve">§ 52.17 (requiring interconnected VoIP </w:t>
      </w:r>
      <w:r w:rsidR="009E037B">
        <w:t>providers to contribute to North American Numbering Administration</w:t>
      </w:r>
      <w:r>
        <w:t>)</w:t>
      </w:r>
      <w:r w:rsidR="00A70EA2">
        <w:t xml:space="preserve">; 47 C.F.R. § 52.17 (requiring </w:t>
      </w:r>
      <w:r>
        <w:t>interconnected VoIP providers to co</w:t>
      </w:r>
      <w:r w:rsidR="009E037B">
        <w:t>ntribute towards the cost of Local Number Portability</w:t>
      </w:r>
      <w:r>
        <w:t xml:space="preserve">).  </w:t>
      </w:r>
      <w:r>
        <w:rPr>
          <w:i/>
        </w:rPr>
        <w:t>See also, e.g</w:t>
      </w:r>
      <w:r w:rsidRPr="006D37B9">
        <w:t>.,</w:t>
      </w:r>
      <w:r>
        <w:rPr>
          <w:i/>
        </w:rPr>
        <w:t xml:space="preserve"> </w:t>
      </w:r>
      <w:r>
        <w:t xml:space="preserve">2014 FCC Form 499-A Instructions at 33-34.  </w:t>
      </w:r>
    </w:p>
  </w:footnote>
  <w:footnote w:id="17">
    <w:p w14:paraId="728EB4F8" w14:textId="77777777" w:rsidR="00BA71B5" w:rsidRPr="00D74589" w:rsidRDefault="00BA71B5">
      <w:pPr>
        <w:pStyle w:val="FootnoteText"/>
        <w:rPr>
          <w:i/>
        </w:rPr>
      </w:pPr>
      <w:r>
        <w:rPr>
          <w:rStyle w:val="FootnoteReference"/>
        </w:rPr>
        <w:footnoteRef/>
      </w:r>
      <w:r>
        <w:t xml:space="preserve"> </w:t>
      </w:r>
      <w:r w:rsidR="001C72C2">
        <w:t>Experior Request for Waiver at 1.</w:t>
      </w:r>
      <w:r w:rsidR="00D74589" w:rsidRPr="00D74589">
        <w:t xml:space="preserve"> </w:t>
      </w:r>
      <w:r w:rsidR="00D74589">
        <w:t xml:space="preserve"> </w:t>
      </w:r>
    </w:p>
  </w:footnote>
  <w:footnote w:id="18">
    <w:p w14:paraId="67C1768B" w14:textId="77777777" w:rsidR="009E037B" w:rsidRPr="009E037B" w:rsidRDefault="009E037B">
      <w:pPr>
        <w:pStyle w:val="FootnoteText"/>
        <w:rPr>
          <w:i/>
        </w:rPr>
      </w:pPr>
      <w:r>
        <w:rPr>
          <w:rStyle w:val="FootnoteReference"/>
        </w:rPr>
        <w:footnoteRef/>
      </w:r>
      <w:r>
        <w:t xml:space="preserve"> </w:t>
      </w:r>
      <w:r>
        <w:rPr>
          <w:i/>
        </w:rPr>
        <w:t>Id.</w:t>
      </w:r>
    </w:p>
  </w:footnote>
  <w:footnote w:id="19">
    <w:p w14:paraId="03ED946E" w14:textId="77777777" w:rsidR="00152F9E" w:rsidRPr="00152F9E" w:rsidRDefault="00152F9E">
      <w:pPr>
        <w:pStyle w:val="FootnoteText"/>
        <w:rPr>
          <w:i/>
        </w:rPr>
      </w:pPr>
      <w:r>
        <w:rPr>
          <w:rStyle w:val="FootnoteReference"/>
        </w:rPr>
        <w:footnoteRef/>
      </w:r>
      <w:r>
        <w:t xml:space="preserve"> </w:t>
      </w:r>
      <w:r>
        <w:rPr>
          <w:i/>
        </w:rPr>
        <w:t>Id.</w:t>
      </w:r>
    </w:p>
  </w:footnote>
  <w:footnote w:id="20">
    <w:p w14:paraId="4C6402F2" w14:textId="2BFEE854" w:rsidR="003F3AE3" w:rsidRPr="00411330" w:rsidRDefault="003F3AE3">
      <w:pPr>
        <w:pStyle w:val="FootnoteText"/>
      </w:pPr>
      <w:r>
        <w:rPr>
          <w:rStyle w:val="FootnoteReference"/>
        </w:rPr>
        <w:footnoteRef/>
      </w:r>
      <w:r>
        <w:t xml:space="preserve"> </w:t>
      </w:r>
      <w:r w:rsidR="00767106">
        <w:rPr>
          <w:i/>
        </w:rPr>
        <w:t xml:space="preserve">Id. </w:t>
      </w:r>
      <w:r w:rsidR="00767106">
        <w:t xml:space="preserve"> </w:t>
      </w:r>
    </w:p>
  </w:footnote>
  <w:footnote w:id="21">
    <w:p w14:paraId="33D1E697" w14:textId="77777777" w:rsidR="00CD37DC" w:rsidRPr="00CD37DC" w:rsidRDefault="00CD37DC">
      <w:pPr>
        <w:pStyle w:val="FootnoteText"/>
        <w:rPr>
          <w:i/>
        </w:rPr>
      </w:pPr>
      <w:r>
        <w:rPr>
          <w:rStyle w:val="FootnoteReference"/>
        </w:rPr>
        <w:footnoteRef/>
      </w:r>
      <w:r>
        <w:t xml:space="preserve"> </w:t>
      </w:r>
      <w:r>
        <w:rPr>
          <w:i/>
        </w:rPr>
        <w:t>Id.</w:t>
      </w:r>
    </w:p>
  </w:footnote>
  <w:footnote w:id="22">
    <w:p w14:paraId="1687FF2E" w14:textId="77777777" w:rsidR="009A16D6" w:rsidRDefault="009A16D6">
      <w:pPr>
        <w:pStyle w:val="FootnoteText"/>
      </w:pPr>
      <w:r>
        <w:rPr>
          <w:rStyle w:val="FootnoteReference"/>
        </w:rPr>
        <w:footnoteRef/>
      </w:r>
      <w:r>
        <w:t xml:space="preserve"> </w:t>
      </w:r>
      <w:r w:rsidR="001C72C2">
        <w:t>Coaxial Requ</w:t>
      </w:r>
      <w:r>
        <w:t>est for</w:t>
      </w:r>
      <w:r w:rsidR="001C72C2">
        <w:t xml:space="preserve"> Waiver</w:t>
      </w:r>
      <w:r>
        <w:t xml:space="preserve"> at 1-2.</w:t>
      </w:r>
    </w:p>
  </w:footnote>
  <w:footnote w:id="23">
    <w:p w14:paraId="7A5556C2" w14:textId="77777777" w:rsidR="00D93100" w:rsidRPr="00D3207F" w:rsidRDefault="00D93100">
      <w:pPr>
        <w:pStyle w:val="FootnoteText"/>
      </w:pPr>
      <w:r>
        <w:rPr>
          <w:rStyle w:val="FootnoteReference"/>
        </w:rPr>
        <w:footnoteRef/>
      </w:r>
      <w:r>
        <w:t xml:space="preserve"> </w:t>
      </w:r>
      <w:r w:rsidR="00A70EA2">
        <w:rPr>
          <w:i/>
        </w:rPr>
        <w:t xml:space="preserve">Id. </w:t>
      </w:r>
      <w:r w:rsidR="00037F1F">
        <w:t xml:space="preserve">at </w:t>
      </w:r>
      <w:r w:rsidR="00D34760">
        <w:t xml:space="preserve">5. </w:t>
      </w:r>
    </w:p>
  </w:footnote>
  <w:footnote w:id="24">
    <w:p w14:paraId="36EE4285" w14:textId="181E240D" w:rsidR="00455A72" w:rsidRPr="00A112AA" w:rsidRDefault="00455A72">
      <w:pPr>
        <w:pStyle w:val="FootnoteText"/>
      </w:pPr>
      <w:r>
        <w:rPr>
          <w:rStyle w:val="FootnoteReference"/>
        </w:rPr>
        <w:footnoteRef/>
      </w:r>
      <w:r>
        <w:t xml:space="preserve"> </w:t>
      </w:r>
      <w:r w:rsidR="00A70EA2">
        <w:rPr>
          <w:i/>
        </w:rPr>
        <w:t xml:space="preserve">Id. </w:t>
      </w:r>
      <w:r w:rsidR="00CD37DC">
        <w:t xml:space="preserve">at 2, 5. </w:t>
      </w:r>
      <w:r w:rsidR="00244237">
        <w:rPr>
          <w:i/>
        </w:rPr>
        <w:t xml:space="preserve"> </w:t>
      </w:r>
      <w:r w:rsidR="00120271">
        <w:t>Coaxial mistakenly reported its total V</w:t>
      </w:r>
      <w:r w:rsidR="00E47A3F">
        <w:t>o</w:t>
      </w:r>
      <w:r w:rsidR="00120271">
        <w:t xml:space="preserve">IP revenue as assessable for USF purposes instead of only its interstate and international revenue.  </w:t>
      </w:r>
      <w:r w:rsidR="00411330">
        <w:rPr>
          <w:i/>
        </w:rPr>
        <w:t>Id.</w:t>
      </w:r>
      <w:r w:rsidR="00120271">
        <w:t xml:space="preserve">  </w:t>
      </w:r>
      <w:r>
        <w:t xml:space="preserve">Coaxial states that despite the </w:t>
      </w:r>
      <w:r w:rsidR="00411330">
        <w:t xml:space="preserve">fact that the same error was committed on </w:t>
      </w:r>
      <w:r>
        <w:t>its For</w:t>
      </w:r>
      <w:r w:rsidR="00120271">
        <w:t>m</w:t>
      </w:r>
      <w:r>
        <w:t>s 499-A f</w:t>
      </w:r>
      <w:r w:rsidR="001C72C2">
        <w:t xml:space="preserve">or </w:t>
      </w:r>
      <w:r w:rsidR="00411330">
        <w:t xml:space="preserve">filing years </w:t>
      </w:r>
      <w:r w:rsidR="001C72C2">
        <w:t>2007 through 2010</w:t>
      </w:r>
      <w:r w:rsidR="00411330">
        <w:t xml:space="preserve">, </w:t>
      </w:r>
      <w:r w:rsidR="00B27C4E">
        <w:t xml:space="preserve">there was no need to revise the Forms 499 for the earlier years because </w:t>
      </w:r>
      <w:r w:rsidR="00411330">
        <w:t>Coaxial was</w:t>
      </w:r>
      <w:r>
        <w:t xml:space="preserve"> a </w:t>
      </w:r>
      <w:r>
        <w:rPr>
          <w:i/>
        </w:rPr>
        <w:t>de minimis</w:t>
      </w:r>
      <w:r>
        <w:t xml:space="preserve"> contributor </w:t>
      </w:r>
      <w:r w:rsidR="00244237">
        <w:t xml:space="preserve">for those years </w:t>
      </w:r>
      <w:r w:rsidR="00411330">
        <w:t>based on the</w:t>
      </w:r>
      <w:r w:rsidR="00244237">
        <w:t xml:space="preserve"> amount of </w:t>
      </w:r>
      <w:r w:rsidR="00B27C4E">
        <w:t xml:space="preserve">total </w:t>
      </w:r>
      <w:r w:rsidR="00244237">
        <w:t>revenue reported</w:t>
      </w:r>
      <w:r w:rsidR="00411330">
        <w:t xml:space="preserve">.  </w:t>
      </w:r>
      <w:r>
        <w:t xml:space="preserve">Coaxial </w:t>
      </w:r>
      <w:r w:rsidR="00411330">
        <w:t xml:space="preserve">states that it </w:t>
      </w:r>
      <w:r>
        <w:t xml:space="preserve">has not sought to revise </w:t>
      </w:r>
      <w:r w:rsidR="00411330">
        <w:t xml:space="preserve">the Forms 499 for those years </w:t>
      </w:r>
      <w:r>
        <w:t>since doing so would have no financial impact</w:t>
      </w:r>
      <w:r w:rsidR="00411330">
        <w:t xml:space="preserve"> on the company</w:t>
      </w:r>
      <w:r>
        <w:t>.</w:t>
      </w:r>
      <w:r w:rsidR="00120271">
        <w:t xml:space="preserve">  </w:t>
      </w:r>
      <w:r w:rsidR="00A112AA">
        <w:rPr>
          <w:i/>
        </w:rPr>
        <w:t>Id.</w:t>
      </w:r>
      <w:r w:rsidR="00A112AA">
        <w:t xml:space="preserve"> at </w:t>
      </w:r>
      <w:r w:rsidR="006D37B9">
        <w:t>5</w:t>
      </w:r>
      <w:r w:rsidR="00A70EA2">
        <w:t xml:space="preserve"> </w:t>
      </w:r>
      <w:r w:rsidR="00A112AA">
        <w:t>n.9.</w:t>
      </w:r>
    </w:p>
  </w:footnote>
  <w:footnote w:id="25">
    <w:p w14:paraId="6D7AAD79" w14:textId="77777777" w:rsidR="00C45F02" w:rsidRDefault="00C45F02">
      <w:pPr>
        <w:pStyle w:val="FootnoteText"/>
      </w:pPr>
      <w:r>
        <w:rPr>
          <w:rStyle w:val="FootnoteReference"/>
        </w:rPr>
        <w:footnoteRef/>
      </w:r>
      <w:r>
        <w:t xml:space="preserve"> </w:t>
      </w:r>
      <w:r w:rsidR="00244237">
        <w:rPr>
          <w:i/>
        </w:rPr>
        <w:t xml:space="preserve">Id. </w:t>
      </w:r>
      <w:r>
        <w:t>at 2.</w:t>
      </w:r>
    </w:p>
  </w:footnote>
  <w:footnote w:id="26">
    <w:p w14:paraId="165DEDE6" w14:textId="77777777" w:rsidR="00B83A1E" w:rsidRDefault="00B83A1E" w:rsidP="00B83A1E">
      <w:pPr>
        <w:pStyle w:val="FootnoteText"/>
      </w:pPr>
      <w:r>
        <w:rPr>
          <w:rStyle w:val="FootnoteReference"/>
        </w:rPr>
        <w:footnoteRef/>
      </w:r>
      <w:r>
        <w:t xml:space="preserve"> 47 C.F.R. § 1.3.</w:t>
      </w:r>
    </w:p>
  </w:footnote>
  <w:footnote w:id="27">
    <w:p w14:paraId="2C7C5C9C" w14:textId="77777777" w:rsidR="00B83A1E" w:rsidRDefault="00B83A1E" w:rsidP="00B83A1E">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28">
    <w:p w14:paraId="39F98E29" w14:textId="77777777" w:rsidR="00B83A1E" w:rsidRDefault="00B83A1E" w:rsidP="00B83A1E">
      <w:pPr>
        <w:pStyle w:val="FootnoteText"/>
      </w:pPr>
      <w:r>
        <w:rPr>
          <w:rStyle w:val="FootnoteReference"/>
        </w:rPr>
        <w:footnoteRef/>
      </w:r>
      <w:r>
        <w:t xml:space="preserve"> </w:t>
      </w:r>
      <w:r>
        <w:rPr>
          <w:i/>
        </w:rPr>
        <w:t>WAIT Radio v. FCC</w:t>
      </w:r>
      <w:r>
        <w:t xml:space="preserve">, 418 F.2d 1153, 1159 (D.C. Cir. 1969), </w:t>
      </w:r>
      <w:r>
        <w:rPr>
          <w:i/>
        </w:rPr>
        <w:t>aff’d</w:t>
      </w:r>
      <w:r>
        <w:t xml:space="preserve">, 459 F.2d 1203 (D.C. Cir. 1972); </w:t>
      </w:r>
      <w:r>
        <w:rPr>
          <w:i/>
        </w:rPr>
        <w:t>Northeast Cellular</w:t>
      </w:r>
      <w:r>
        <w:t>, 897 F.2d at 1166.</w:t>
      </w:r>
    </w:p>
  </w:footnote>
  <w:footnote w:id="29">
    <w:p w14:paraId="35CF8B4B" w14:textId="77777777" w:rsidR="00B83A1E" w:rsidRDefault="00B83A1E" w:rsidP="00B83A1E">
      <w:pPr>
        <w:pStyle w:val="FootnoteText"/>
      </w:pPr>
      <w:r>
        <w:rPr>
          <w:rStyle w:val="FootnoteReference"/>
        </w:rPr>
        <w:footnoteRef/>
      </w:r>
      <w:r>
        <w:t xml:space="preserve"> </w:t>
      </w:r>
      <w:r>
        <w:rPr>
          <w:i/>
        </w:rPr>
        <w:t>NetworkIP, LLC v. FCC</w:t>
      </w:r>
      <w:r>
        <w:t xml:space="preserve">, 548 F.3d 116, 127 (D.C. Cir. 2008) (stating that in addition to the public interest being well-served, there must also be a sufficiently “unique situation” to grant waiver); </w:t>
      </w:r>
      <w:r>
        <w:rPr>
          <w:i/>
        </w:rPr>
        <w:t>Northeast Cellular</w:t>
      </w:r>
      <w:r>
        <w:t>, 897 F.2d at 1166.</w:t>
      </w:r>
    </w:p>
  </w:footnote>
  <w:footnote w:id="30">
    <w:p w14:paraId="761F9243" w14:textId="77777777" w:rsidR="005F6706" w:rsidRDefault="005F6706">
      <w:pPr>
        <w:pStyle w:val="FootnoteText"/>
      </w:pPr>
      <w:r>
        <w:rPr>
          <w:rStyle w:val="FootnoteReference"/>
        </w:rPr>
        <w:footnoteRef/>
      </w:r>
      <w:r>
        <w:t xml:space="preserve"> Experior Request for Waiver at 1; Coaxial Request for Waiver at 2, 5.</w:t>
      </w:r>
    </w:p>
  </w:footnote>
  <w:footnote w:id="31">
    <w:p w14:paraId="343B0243" w14:textId="3B5DDA66" w:rsidR="007C1467" w:rsidRDefault="007C1467">
      <w:pPr>
        <w:pStyle w:val="FootnoteText"/>
      </w:pPr>
      <w:r>
        <w:rPr>
          <w:rStyle w:val="FootnoteReference"/>
        </w:rPr>
        <w:footnoteRef/>
      </w:r>
      <w:r>
        <w:t xml:space="preserve"> </w:t>
      </w:r>
      <w:r w:rsidR="007A63D9">
        <w:t xml:space="preserve">Experior Request for Waiver </w:t>
      </w:r>
      <w:r w:rsidR="005F6706">
        <w:t xml:space="preserve">at 1; Coaxial Request for Waiver </w:t>
      </w:r>
      <w:r w:rsidR="007A63D9">
        <w:t>at 2-3.</w:t>
      </w:r>
    </w:p>
  </w:footnote>
  <w:footnote w:id="32">
    <w:p w14:paraId="56D289CC" w14:textId="77777777" w:rsidR="00132C9B" w:rsidRDefault="00132C9B">
      <w:pPr>
        <w:pStyle w:val="FootnoteText"/>
      </w:pPr>
      <w:r>
        <w:rPr>
          <w:rStyle w:val="FootnoteReference"/>
        </w:rPr>
        <w:footnoteRef/>
      </w:r>
      <w:r w:rsidR="007A63D9">
        <w:t xml:space="preserve"> Experior Request for Waiver at 1; Coaxial Request for Waiver at 2.</w:t>
      </w:r>
    </w:p>
  </w:footnote>
  <w:footnote w:id="33">
    <w:p w14:paraId="3F7C32BB" w14:textId="2526057D" w:rsidR="00117655" w:rsidRPr="00037F1F" w:rsidRDefault="00117655" w:rsidP="00117655">
      <w:pPr>
        <w:pStyle w:val="FootnoteText"/>
      </w:pPr>
      <w:r>
        <w:rPr>
          <w:rStyle w:val="FootnoteReference"/>
        </w:rPr>
        <w:footnoteRef/>
      </w:r>
      <w:r>
        <w:t xml:space="preserve"> </w:t>
      </w:r>
      <w:r w:rsidR="003B60C7">
        <w:t xml:space="preserve"> </w:t>
      </w:r>
      <w:r>
        <w:rPr>
          <w:i/>
        </w:rPr>
        <w:t>See, e.g.</w:t>
      </w:r>
      <w:r w:rsidRPr="00296FD5">
        <w:t>,</w:t>
      </w:r>
      <w:r>
        <w:rPr>
          <w:i/>
        </w:rPr>
        <w:t xml:space="preserve"> Universal Service Contribution Methodology, Request for Waiver by Mercury Wireless</w:t>
      </w:r>
      <w:r w:rsidRPr="006D37B9">
        <w:t>,</w:t>
      </w:r>
      <w:r>
        <w:rPr>
          <w:i/>
        </w:rPr>
        <w:t xml:space="preserve"> </w:t>
      </w:r>
      <w:r>
        <w:t xml:space="preserve">WC Docket </w:t>
      </w:r>
      <w:r w:rsidR="008D5176">
        <w:t xml:space="preserve">No. </w:t>
      </w:r>
      <w:r>
        <w:t>06-122, Order, 27 FCC Rcd 11178 (Wireline Comp. Bur. 2012)</w:t>
      </w:r>
      <w:r w:rsidR="00296FD5">
        <w:t xml:space="preserve"> (</w:t>
      </w:r>
      <w:r w:rsidR="00296FD5" w:rsidRPr="00296FD5">
        <w:rPr>
          <w:i/>
        </w:rPr>
        <w:t>Mercury Wireless Order</w:t>
      </w:r>
      <w:r w:rsidR="00296FD5">
        <w:t>)</w:t>
      </w:r>
      <w:r>
        <w:t xml:space="preserve">; </w:t>
      </w:r>
      <w:r>
        <w:rPr>
          <w:i/>
        </w:rPr>
        <w:t>Universal Service Contribution Methodology, Federal-State Joint Board on Universal Service, Requests for Review of Decisions of Universal Service Administrator by Airband Communications, Inc., et.al</w:t>
      </w:r>
      <w:r w:rsidRPr="006D37B9">
        <w:t>,</w:t>
      </w:r>
      <w:r>
        <w:rPr>
          <w:i/>
        </w:rPr>
        <w:t xml:space="preserve"> </w:t>
      </w:r>
      <w:r>
        <w:t>WC Docket No. 06-122, CC Docket No. 96-45, Order, 25 FCC Rcd 10</w:t>
      </w:r>
      <w:r w:rsidR="00AC34BB">
        <w:t>861 (Wireline Comp. Bur. 2010)</w:t>
      </w:r>
      <w:r>
        <w:t xml:space="preserve">. </w:t>
      </w:r>
      <w:r w:rsidR="00B83291">
        <w:t xml:space="preserve">  </w:t>
      </w:r>
    </w:p>
  </w:footnote>
  <w:footnote w:id="34">
    <w:p w14:paraId="61C71FE2" w14:textId="77777777" w:rsidR="000138C0" w:rsidRPr="0010429F" w:rsidRDefault="000138C0">
      <w:pPr>
        <w:pStyle w:val="FootnoteText"/>
        <w:rPr>
          <w:i/>
        </w:rPr>
      </w:pPr>
      <w:r>
        <w:rPr>
          <w:rStyle w:val="FootnoteReference"/>
        </w:rPr>
        <w:footnoteRef/>
      </w:r>
      <w:r>
        <w:t xml:space="preserve"> </w:t>
      </w:r>
      <w:r>
        <w:rPr>
          <w:i/>
        </w:rPr>
        <w:t>See, e.g.</w:t>
      </w:r>
      <w:r w:rsidRPr="00296FD5">
        <w:t>,</w:t>
      </w:r>
      <w:r>
        <w:rPr>
          <w:i/>
        </w:rPr>
        <w:t xml:space="preserve"> </w:t>
      </w:r>
      <w:r w:rsidR="00E47A3F">
        <w:rPr>
          <w:i/>
        </w:rPr>
        <w:t>2007 Comprehensive Review Order</w:t>
      </w:r>
      <w:r w:rsidR="000361EA">
        <w:t xml:space="preserve">, 22 FCC Rcd </w:t>
      </w:r>
      <w:r w:rsidR="00E47A3F">
        <w:t>at</w:t>
      </w:r>
      <w:r w:rsidR="000361EA">
        <w:t xml:space="preserve"> 16378, para. 1</w:t>
      </w:r>
      <w:r w:rsidR="00A81DDA">
        <w:t>2</w:t>
      </w:r>
      <w:r w:rsidR="00E47A3F">
        <w:t xml:space="preserve"> </w:t>
      </w:r>
      <w:r w:rsidR="000361EA">
        <w:t>(discussing the harms to the Fund caused by late payments by contributors).</w:t>
      </w:r>
    </w:p>
  </w:footnote>
  <w:footnote w:id="35">
    <w:p w14:paraId="2F1F170A" w14:textId="77777777" w:rsidR="003B60C7" w:rsidRDefault="003B60C7">
      <w:pPr>
        <w:pStyle w:val="FootnoteText"/>
      </w:pPr>
      <w:r>
        <w:rPr>
          <w:rStyle w:val="FootnoteReference"/>
        </w:rPr>
        <w:footnoteRef/>
      </w:r>
      <w:r>
        <w:t xml:space="preserve"> We note that neither Petitioner has requested waiver of late fees.</w:t>
      </w:r>
    </w:p>
  </w:footnote>
  <w:footnote w:id="36">
    <w:p w14:paraId="56C3B0B9" w14:textId="3C55A3EE" w:rsidR="00DD559D" w:rsidRDefault="00DD559D" w:rsidP="00DD559D">
      <w:pPr>
        <w:pStyle w:val="FootnoteText"/>
      </w:pPr>
      <w:r>
        <w:rPr>
          <w:rStyle w:val="FootnoteReference"/>
        </w:rPr>
        <w:footnoteRef/>
      </w:r>
      <w:r>
        <w:t xml:space="preserve"> </w:t>
      </w:r>
      <w:r w:rsidR="00C92139" w:rsidRPr="0087417E">
        <w:rPr>
          <w:i/>
          <w:iCs/>
          <w:snapToGrid w:val="0"/>
        </w:rPr>
        <w:t xml:space="preserve">See </w:t>
      </w:r>
      <w:r w:rsidR="00C92139" w:rsidRPr="0087417E">
        <w:t xml:space="preserve">47 C.F.R. § 54.713(a) (“A contributor that fails to file a Telecommunications Reporting Worksheet and subsequently is billed by the Administrator shall pay the amount for which it is billed”), (c) (“If a universal service fund contributor is more than 30 days delinquent in filing a Telecommunications Reporting Worksheet Form 499-A or 499-Q, the Administrator shall assess an administrative remedial collection charge equal to the greater of $100 or an amount computed using the rate of the U.S. prime rate (in effect on the date the applicable Worksheet is due) plus 3.5 percent, of the amount due per the Administrator’s calculations.”); </w:t>
      </w:r>
      <w:r w:rsidR="00C92139" w:rsidRPr="0087417E">
        <w:rPr>
          <w:i/>
        </w:rPr>
        <w:t xml:space="preserve">Comprehensive Review </w:t>
      </w:r>
      <w:r w:rsidR="00C92139" w:rsidRPr="00296FD5">
        <w:rPr>
          <w:i/>
        </w:rPr>
        <w:t>Order</w:t>
      </w:r>
      <w:r w:rsidR="00C92139" w:rsidRPr="0087417E">
        <w:t>, 22 FCC Rcd</w:t>
      </w:r>
      <w:r w:rsidR="00296FD5">
        <w:t xml:space="preserve"> at</w:t>
      </w:r>
      <w:r w:rsidR="00C92139" w:rsidRPr="0087417E">
        <w:t xml:space="preserve"> 16379-80, para. 14 (“[I]f a contributor is more than 30 days delinquent in filing an FCC Form 499-A or 499-Q</w:t>
      </w:r>
      <w:r w:rsidR="00296FD5">
        <w:t xml:space="preserve"> . . .</w:t>
      </w:r>
      <w:r w:rsidR="00C92139" w:rsidRPr="0087417E">
        <w:t xml:space="preserve"> [t]he sanction will be the greater of $100 </w:t>
      </w:r>
      <w:r w:rsidR="00C92139" w:rsidRPr="00A23F81">
        <w:t>per month</w:t>
      </w:r>
      <w:r w:rsidR="00C92139" w:rsidRPr="0087417E">
        <w:t xml:space="preserve"> or the amount derived from a rate of interest equal to the U.S. prime rate plus 3.5 percent assessed on the amount due</w:t>
      </w:r>
      <w:r w:rsidR="00296FD5">
        <w:t>.</w:t>
      </w:r>
      <w:r w:rsidR="00C92139" w:rsidRPr="0087417E">
        <w:t>”)</w:t>
      </w:r>
      <w:r w:rsidR="00A81DDA">
        <w:t>.</w:t>
      </w:r>
    </w:p>
  </w:footnote>
  <w:footnote w:id="37">
    <w:p w14:paraId="2C5F9E19" w14:textId="3AA65D42" w:rsidR="004552DF" w:rsidRPr="004552DF" w:rsidRDefault="004552DF" w:rsidP="004552DF">
      <w:pPr>
        <w:pStyle w:val="FootnoteText"/>
        <w:rPr>
          <w:lang w:eastAsia="x-none"/>
        </w:rPr>
      </w:pPr>
      <w:r>
        <w:rPr>
          <w:rStyle w:val="FootnoteReference"/>
        </w:rPr>
        <w:footnoteRef/>
      </w:r>
      <w:r>
        <w:t xml:space="preserve"> </w:t>
      </w:r>
      <w:r w:rsidRPr="004552DF">
        <w:rPr>
          <w:i/>
          <w:lang w:eastAsia="x-none"/>
        </w:rPr>
        <w:t>See</w:t>
      </w:r>
      <w:r w:rsidR="008D5176">
        <w:rPr>
          <w:i/>
          <w:lang w:eastAsia="x-none"/>
        </w:rPr>
        <w:t>, e.g.</w:t>
      </w:r>
      <w:r w:rsidR="008D5176" w:rsidRPr="00296FD5">
        <w:rPr>
          <w:lang w:eastAsia="x-none"/>
        </w:rPr>
        <w:t>,</w:t>
      </w:r>
      <w:r w:rsidR="008D5176">
        <w:rPr>
          <w:i/>
          <w:lang w:eastAsia="x-none"/>
        </w:rPr>
        <w:t xml:space="preserve"> </w:t>
      </w:r>
      <w:r w:rsidR="001D65DB" w:rsidRPr="00296FD5">
        <w:rPr>
          <w:i/>
        </w:rPr>
        <w:t>Mercury Wireless Order</w:t>
      </w:r>
      <w:r w:rsidR="001D65DB" w:rsidRPr="004552DF">
        <w:rPr>
          <w:lang w:val="x-none" w:eastAsia="x-none"/>
        </w:rPr>
        <w:t xml:space="preserve">, 27 FCC Rcd 11178 (denying </w:t>
      </w:r>
      <w:r w:rsidR="001D65DB" w:rsidRPr="004552DF">
        <w:rPr>
          <w:lang w:eastAsia="x-none"/>
        </w:rPr>
        <w:t xml:space="preserve">a </w:t>
      </w:r>
      <w:r w:rsidR="001D65DB" w:rsidRPr="004552DF">
        <w:rPr>
          <w:lang w:val="x-none" w:eastAsia="x-none"/>
        </w:rPr>
        <w:t xml:space="preserve">request for waiver where the company claimed to be unaware of its obligation to file </w:t>
      </w:r>
      <w:r w:rsidR="001D65DB" w:rsidRPr="004552DF">
        <w:rPr>
          <w:lang w:eastAsia="x-none"/>
        </w:rPr>
        <w:t xml:space="preserve">an FCC </w:t>
      </w:r>
      <w:r w:rsidR="001D65DB" w:rsidRPr="004552DF">
        <w:rPr>
          <w:lang w:val="x-none" w:eastAsia="x-none"/>
        </w:rPr>
        <w:t>Form 499-A for the years at issue)</w:t>
      </w:r>
      <w:r w:rsidR="001D65DB">
        <w:rPr>
          <w:lang w:eastAsia="x-none"/>
        </w:rPr>
        <w:t xml:space="preserve">; </w:t>
      </w:r>
      <w:r w:rsidRPr="004552DF">
        <w:rPr>
          <w:i/>
          <w:lang w:val="x-none" w:eastAsia="x-none"/>
        </w:rPr>
        <w:t>Universal Service Contribution Methodology, Request for Waiver by BelWave Communications</w:t>
      </w:r>
      <w:r w:rsidRPr="006D37B9">
        <w:rPr>
          <w:lang w:val="x-none" w:eastAsia="x-none"/>
        </w:rPr>
        <w:t>,</w:t>
      </w:r>
      <w:r w:rsidRPr="004552DF">
        <w:rPr>
          <w:i/>
          <w:lang w:val="x-none" w:eastAsia="x-none"/>
        </w:rPr>
        <w:t xml:space="preserve"> </w:t>
      </w:r>
      <w:r w:rsidRPr="004552DF">
        <w:rPr>
          <w:lang w:val="x-none" w:eastAsia="x-none"/>
        </w:rPr>
        <w:t>WC Docket 06-122, Order, 27 FCC Rcd 11176 (Wireline Comp. Bur. 2012)</w:t>
      </w:r>
      <w:r w:rsidRPr="004552DF">
        <w:rPr>
          <w:lang w:eastAsia="x-none"/>
        </w:rPr>
        <w:t xml:space="preserve"> (</w:t>
      </w:r>
      <w:r w:rsidRPr="004552DF">
        <w:rPr>
          <w:lang w:val="x-none" w:eastAsia="x-none"/>
        </w:rPr>
        <w:t xml:space="preserve">denying </w:t>
      </w:r>
      <w:r w:rsidRPr="004552DF">
        <w:rPr>
          <w:lang w:eastAsia="x-none"/>
        </w:rPr>
        <w:t xml:space="preserve">a </w:t>
      </w:r>
      <w:r w:rsidRPr="004552DF">
        <w:rPr>
          <w:lang w:val="x-none" w:eastAsia="x-none"/>
        </w:rPr>
        <w:t xml:space="preserve">request for waiver of late filing fees where </w:t>
      </w:r>
      <w:r w:rsidRPr="004552DF">
        <w:rPr>
          <w:lang w:eastAsia="x-none"/>
        </w:rPr>
        <w:t xml:space="preserve">the </w:t>
      </w:r>
      <w:r w:rsidRPr="004552DF">
        <w:rPr>
          <w:lang w:val="x-none" w:eastAsia="x-none"/>
        </w:rPr>
        <w:t xml:space="preserve">company claimed it was unaware of its obligation to file </w:t>
      </w:r>
      <w:r w:rsidRPr="004552DF">
        <w:rPr>
          <w:lang w:eastAsia="x-none"/>
        </w:rPr>
        <w:t xml:space="preserve">an </w:t>
      </w:r>
      <w:r w:rsidRPr="004552DF">
        <w:rPr>
          <w:lang w:val="x-none" w:eastAsia="x-none"/>
        </w:rPr>
        <w:t xml:space="preserve">FCC Form 499-A for the years at issue); </w:t>
      </w:r>
      <w:r w:rsidRPr="004552DF">
        <w:rPr>
          <w:i/>
          <w:lang w:val="x-none" w:eastAsia="x-none"/>
        </w:rPr>
        <w:t>Requests for Review of a Decision of the Universal Service Administrator by Achilles Networks, Inc., et al.</w:t>
      </w:r>
      <w:r w:rsidRPr="006D37B9">
        <w:rPr>
          <w:lang w:val="x-none" w:eastAsia="x-none"/>
        </w:rPr>
        <w:t>,</w:t>
      </w:r>
      <w:r w:rsidRPr="004552DF">
        <w:rPr>
          <w:i/>
          <w:lang w:val="x-none" w:eastAsia="x-none"/>
        </w:rPr>
        <w:t xml:space="preserve"> </w:t>
      </w:r>
      <w:r w:rsidRPr="004552DF">
        <w:rPr>
          <w:lang w:val="x-none" w:eastAsia="x-none"/>
        </w:rPr>
        <w:t>WC Docket</w:t>
      </w:r>
      <w:r w:rsidR="008D5176">
        <w:rPr>
          <w:lang w:eastAsia="x-none"/>
        </w:rPr>
        <w:t xml:space="preserve"> No.</w:t>
      </w:r>
      <w:r w:rsidRPr="004552DF">
        <w:rPr>
          <w:lang w:val="x-none" w:eastAsia="x-none"/>
        </w:rPr>
        <w:t xml:space="preserve"> 06-122, Order, 25 FCC Rcd 4646 (Wireline Comp. Bur. 2012) (denying requests for reversal of late fees associated with the untimely filing of </w:t>
      </w:r>
      <w:r w:rsidRPr="004552DF">
        <w:rPr>
          <w:lang w:eastAsia="x-none"/>
        </w:rPr>
        <w:t xml:space="preserve">the </w:t>
      </w:r>
      <w:r w:rsidR="008D5176">
        <w:rPr>
          <w:lang w:val="x-none" w:eastAsia="x-none"/>
        </w:rPr>
        <w:t>FCC Forms 499-A and 499-Q)</w:t>
      </w:r>
      <w:r w:rsidRPr="004552DF">
        <w:rPr>
          <w:lang w:val="x-none" w:eastAsia="x-none"/>
        </w:rPr>
        <w:t xml:space="preserve">.  </w:t>
      </w:r>
    </w:p>
    <w:p w14:paraId="6B40E658" w14:textId="77777777" w:rsidR="004552DF" w:rsidRDefault="004552D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2FD6" w14:textId="77777777" w:rsidR="0003398D" w:rsidRDefault="00033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9FD4" w14:textId="21EFC54A" w:rsidR="00A2712B" w:rsidRDefault="00A2712B">
    <w:pPr>
      <w:pStyle w:val="Header"/>
      <w:pBdr>
        <w:bottom w:val="single" w:sz="12" w:space="1" w:color="auto"/>
      </w:pBdr>
      <w:rPr>
        <w:b w:val="0"/>
      </w:rPr>
    </w:pPr>
    <w:r>
      <w:tab/>
      <w:t>Federal Communications Commission</w:t>
    </w:r>
    <w:r>
      <w:tab/>
      <w:t xml:space="preserve">DA </w:t>
    </w:r>
    <w:r w:rsidR="001B3BAF">
      <w:t>15-</w:t>
    </w:r>
    <w:r w:rsidR="001A09AC">
      <w:t>565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9F38" w14:textId="795549EF" w:rsidR="00A2712B" w:rsidRDefault="00A2712B">
    <w:pPr>
      <w:pStyle w:val="Header"/>
      <w:pBdr>
        <w:bottom w:val="single" w:sz="12" w:space="1" w:color="auto"/>
      </w:pBdr>
      <w:rPr>
        <w:b w:val="0"/>
      </w:rPr>
    </w:pPr>
    <w:r>
      <w:tab/>
      <w:t>Federal Communications Commission</w:t>
    </w:r>
    <w:r>
      <w:tab/>
    </w:r>
    <w:r>
      <w:rPr>
        <w:spacing w:val="-2"/>
      </w:rPr>
      <w:t xml:space="preserve">DA </w:t>
    </w:r>
    <w:r w:rsidR="001B3BAF">
      <w:rPr>
        <w:spacing w:val="-2"/>
      </w:rPr>
      <w:t>15</w:t>
    </w:r>
    <w:r w:rsidR="00BF32EF">
      <w:rPr>
        <w:spacing w:val="-2"/>
      </w:rPr>
      <w:t>-</w:t>
    </w:r>
    <w:r w:rsidR="001A09AC">
      <w:rPr>
        <w:spacing w:val="-2"/>
      </w:rPr>
      <w:t>565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BAD0F86"/>
    <w:multiLevelType w:val="multilevel"/>
    <w:tmpl w:val="9CD2AA6E"/>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360"/>
        </w:tabs>
        <w:ind w:firstLine="720"/>
      </w:pPr>
      <w:rPr>
        <w:rFonts w:ascii="Times New Roman" w:hAnsi="Times New Roman" w:cs="Times New Roman" w:hint="default"/>
        <w:b w:val="0"/>
        <w:i w:val="0"/>
        <w:caps w:val="0"/>
        <w:strike w:val="0"/>
        <w:dstrike w:val="0"/>
        <w:shadow w:val="0"/>
        <w:emboss w:val="0"/>
        <w:imprint w:val="0"/>
        <w:vanish w:val="0"/>
        <w:color w:val="auto"/>
        <w:sz w:val="22"/>
        <w:u w:val="none"/>
        <w:vertAlign w:val="base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1182925"/>
    <w:multiLevelType w:val="singleLevel"/>
    <w:tmpl w:val="E6943790"/>
    <w:lvl w:ilvl="0">
      <w:start w:val="1"/>
      <w:numFmt w:val="decimal"/>
      <w:pStyle w:val="ParaNum"/>
      <w:lvlText w:val="%1."/>
      <w:lvlJc w:val="left"/>
      <w:pPr>
        <w:tabs>
          <w:tab w:val="num" w:pos="1080"/>
        </w:tabs>
        <w:ind w:left="0" w:firstLine="720"/>
      </w:pPr>
      <w:rPr>
        <w:rFonts w:ascii="Times New Roman" w:hAnsi="Times New Roman" w:cs="Times New Roman" w:hint="default"/>
      </w:r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5">
    <w:nsid w:val="71D07877"/>
    <w:multiLevelType w:val="hybridMultilevel"/>
    <w:tmpl w:val="46BAC09A"/>
    <w:lvl w:ilvl="0" w:tplc="06B6E646">
      <w:start w:val="1"/>
      <w:numFmt w:val="upperLetter"/>
      <w:pStyle w:val="Heading2"/>
      <w:lvlText w:val="%1."/>
      <w:lvlJc w:val="left"/>
      <w:pPr>
        <w:tabs>
          <w:tab w:val="num" w:pos="1440"/>
        </w:tabs>
        <w:ind w:left="1440" w:hanging="720"/>
      </w:pPr>
      <w:rPr>
        <w:rFonts w:hint="default"/>
      </w:rPr>
    </w:lvl>
    <w:lvl w:ilvl="1" w:tplc="A8E85E98">
      <w:start w:val="1"/>
      <w:numFmt w:val="lowerLetter"/>
      <w:lvlText w:val="%2."/>
      <w:lvlJc w:val="left"/>
      <w:pPr>
        <w:tabs>
          <w:tab w:val="num" w:pos="2160"/>
        </w:tabs>
        <w:ind w:left="2160" w:hanging="360"/>
      </w:pPr>
    </w:lvl>
    <w:lvl w:ilvl="2" w:tplc="3FDA018A" w:tentative="1">
      <w:start w:val="1"/>
      <w:numFmt w:val="lowerRoman"/>
      <w:lvlText w:val="%3."/>
      <w:lvlJc w:val="right"/>
      <w:pPr>
        <w:tabs>
          <w:tab w:val="num" w:pos="2880"/>
        </w:tabs>
        <w:ind w:left="2880" w:hanging="180"/>
      </w:pPr>
    </w:lvl>
    <w:lvl w:ilvl="3" w:tplc="565A1BCC" w:tentative="1">
      <w:start w:val="1"/>
      <w:numFmt w:val="decimal"/>
      <w:lvlText w:val="%4."/>
      <w:lvlJc w:val="left"/>
      <w:pPr>
        <w:tabs>
          <w:tab w:val="num" w:pos="3600"/>
        </w:tabs>
        <w:ind w:left="3600" w:hanging="360"/>
      </w:pPr>
    </w:lvl>
    <w:lvl w:ilvl="4" w:tplc="B64AD10A" w:tentative="1">
      <w:start w:val="1"/>
      <w:numFmt w:val="lowerLetter"/>
      <w:lvlText w:val="%5."/>
      <w:lvlJc w:val="left"/>
      <w:pPr>
        <w:tabs>
          <w:tab w:val="num" w:pos="4320"/>
        </w:tabs>
        <w:ind w:left="4320" w:hanging="360"/>
      </w:pPr>
    </w:lvl>
    <w:lvl w:ilvl="5" w:tplc="1570BFE0" w:tentative="1">
      <w:start w:val="1"/>
      <w:numFmt w:val="lowerRoman"/>
      <w:lvlText w:val="%6."/>
      <w:lvlJc w:val="right"/>
      <w:pPr>
        <w:tabs>
          <w:tab w:val="num" w:pos="5040"/>
        </w:tabs>
        <w:ind w:left="5040" w:hanging="180"/>
      </w:pPr>
    </w:lvl>
    <w:lvl w:ilvl="6" w:tplc="AD1A4226" w:tentative="1">
      <w:start w:val="1"/>
      <w:numFmt w:val="decimal"/>
      <w:lvlText w:val="%7."/>
      <w:lvlJc w:val="left"/>
      <w:pPr>
        <w:tabs>
          <w:tab w:val="num" w:pos="5760"/>
        </w:tabs>
        <w:ind w:left="5760" w:hanging="360"/>
      </w:pPr>
    </w:lvl>
    <w:lvl w:ilvl="7" w:tplc="2326CBAE" w:tentative="1">
      <w:start w:val="1"/>
      <w:numFmt w:val="lowerLetter"/>
      <w:lvlText w:val="%8."/>
      <w:lvlJc w:val="left"/>
      <w:pPr>
        <w:tabs>
          <w:tab w:val="num" w:pos="6480"/>
        </w:tabs>
        <w:ind w:left="6480" w:hanging="360"/>
      </w:pPr>
    </w:lvl>
    <w:lvl w:ilvl="8" w:tplc="63E27496" w:tentative="1">
      <w:start w:val="1"/>
      <w:numFmt w:val="lowerRoman"/>
      <w:lvlText w:val="%9."/>
      <w:lvlJc w:val="right"/>
      <w:pPr>
        <w:tabs>
          <w:tab w:val="num" w:pos="7200"/>
        </w:tabs>
        <w:ind w:left="7200" w:hanging="180"/>
      </w:p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6"/>
  </w:num>
  <w:num w:numId="2">
    <w:abstractNumId w:val="23"/>
  </w:num>
  <w:num w:numId="3">
    <w:abstractNumId w:val="8"/>
  </w:num>
  <w:num w:numId="4">
    <w:abstractNumId w:val="19"/>
  </w:num>
  <w:num w:numId="5">
    <w:abstractNumId w:val="7"/>
  </w:num>
  <w:num w:numId="6">
    <w:abstractNumId w:val="0"/>
  </w:num>
  <w:num w:numId="7">
    <w:abstractNumId w:val="25"/>
  </w:num>
  <w:num w:numId="8">
    <w:abstractNumId w:val="2"/>
  </w:num>
  <w:num w:numId="9">
    <w:abstractNumId w:val="20"/>
  </w:num>
  <w:num w:numId="10">
    <w:abstractNumId w:val="24"/>
  </w:num>
  <w:num w:numId="11">
    <w:abstractNumId w:val="26"/>
  </w:num>
  <w:num w:numId="12">
    <w:abstractNumId w:val="5"/>
  </w:num>
  <w:num w:numId="13">
    <w:abstractNumId w:val="9"/>
  </w:num>
  <w:num w:numId="14">
    <w:abstractNumId w:val="22"/>
  </w:num>
  <w:num w:numId="15">
    <w:abstractNumId w:val="17"/>
  </w:num>
  <w:num w:numId="16">
    <w:abstractNumId w:val="10"/>
  </w:num>
  <w:num w:numId="17">
    <w:abstractNumId w:val="15"/>
  </w:num>
  <w:num w:numId="18">
    <w:abstractNumId w:val="14"/>
  </w:num>
  <w:num w:numId="19">
    <w:abstractNumId w:val="11"/>
  </w:num>
  <w:num w:numId="20">
    <w:abstractNumId w:val="21"/>
  </w:num>
  <w:num w:numId="21">
    <w:abstractNumId w:val="3"/>
  </w:num>
  <w:num w:numId="22">
    <w:abstractNumId w:val="4"/>
  </w:num>
  <w:num w:numId="23">
    <w:abstractNumId w:val="12"/>
  </w:num>
  <w:num w:numId="24">
    <w:abstractNumId w:val="1"/>
  </w:num>
  <w:num w:numId="25">
    <w:abstractNumId w:val="13"/>
  </w:num>
  <w:num w:numId="26">
    <w:abstractNumId w:val="18"/>
  </w:num>
  <w:num w:numId="27">
    <w:abstractNumId w:val="25"/>
    <w:lvlOverride w:ilvl="0">
      <w:startOverride w:val="1"/>
    </w:lvlOverride>
  </w:num>
  <w:num w:numId="28">
    <w:abstractNumId w:val="25"/>
    <w:lvlOverride w:ilvl="0">
      <w:startOverride w:val="1"/>
    </w:lvlOverride>
  </w:num>
  <w:num w:numId="29">
    <w:abstractNumId w:val="16"/>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2EF"/>
    <w:rsid w:val="000012D9"/>
    <w:rsid w:val="00006576"/>
    <w:rsid w:val="000138C0"/>
    <w:rsid w:val="00013DCF"/>
    <w:rsid w:val="0003398D"/>
    <w:rsid w:val="000361EA"/>
    <w:rsid w:val="00037F1F"/>
    <w:rsid w:val="000403B7"/>
    <w:rsid w:val="0004423F"/>
    <w:rsid w:val="00050663"/>
    <w:rsid w:val="000621ED"/>
    <w:rsid w:val="00076EE5"/>
    <w:rsid w:val="00084049"/>
    <w:rsid w:val="000A7EF0"/>
    <w:rsid w:val="000F0DE8"/>
    <w:rsid w:val="0010429F"/>
    <w:rsid w:val="00117655"/>
    <w:rsid w:val="00120271"/>
    <w:rsid w:val="00123C0A"/>
    <w:rsid w:val="001318ED"/>
    <w:rsid w:val="00132C9B"/>
    <w:rsid w:val="00152F9E"/>
    <w:rsid w:val="00162BFE"/>
    <w:rsid w:val="00165AFF"/>
    <w:rsid w:val="00166CE6"/>
    <w:rsid w:val="001856C8"/>
    <w:rsid w:val="001A09AC"/>
    <w:rsid w:val="001A3002"/>
    <w:rsid w:val="001B3BAF"/>
    <w:rsid w:val="001C72C2"/>
    <w:rsid w:val="001D65DB"/>
    <w:rsid w:val="001E18E2"/>
    <w:rsid w:val="002232BF"/>
    <w:rsid w:val="002237C3"/>
    <w:rsid w:val="00240995"/>
    <w:rsid w:val="00244237"/>
    <w:rsid w:val="00254F40"/>
    <w:rsid w:val="00264E3C"/>
    <w:rsid w:val="002759FA"/>
    <w:rsid w:val="00296FD5"/>
    <w:rsid w:val="002A5F99"/>
    <w:rsid w:val="002E04B9"/>
    <w:rsid w:val="002F09F4"/>
    <w:rsid w:val="003033F8"/>
    <w:rsid w:val="00326005"/>
    <w:rsid w:val="003277FC"/>
    <w:rsid w:val="00356DBD"/>
    <w:rsid w:val="003673B8"/>
    <w:rsid w:val="00384C8B"/>
    <w:rsid w:val="003874CD"/>
    <w:rsid w:val="003B60C7"/>
    <w:rsid w:val="003D59CF"/>
    <w:rsid w:val="003F3AE3"/>
    <w:rsid w:val="003F6FA8"/>
    <w:rsid w:val="00404754"/>
    <w:rsid w:val="00407D65"/>
    <w:rsid w:val="00411330"/>
    <w:rsid w:val="004113CD"/>
    <w:rsid w:val="00411719"/>
    <w:rsid w:val="004420F1"/>
    <w:rsid w:val="00446F7B"/>
    <w:rsid w:val="004552DF"/>
    <w:rsid w:val="00455A72"/>
    <w:rsid w:val="00463835"/>
    <w:rsid w:val="00494291"/>
    <w:rsid w:val="004C33A1"/>
    <w:rsid w:val="004C5647"/>
    <w:rsid w:val="004D0516"/>
    <w:rsid w:val="004D43B0"/>
    <w:rsid w:val="004E02E1"/>
    <w:rsid w:val="004E07A9"/>
    <w:rsid w:val="00500CE1"/>
    <w:rsid w:val="00517C1F"/>
    <w:rsid w:val="00520BC9"/>
    <w:rsid w:val="0052225E"/>
    <w:rsid w:val="00522DFB"/>
    <w:rsid w:val="00527C8E"/>
    <w:rsid w:val="005530D4"/>
    <w:rsid w:val="00555F31"/>
    <w:rsid w:val="0057053E"/>
    <w:rsid w:val="00574CAE"/>
    <w:rsid w:val="005A05E2"/>
    <w:rsid w:val="005A6BD9"/>
    <w:rsid w:val="005B38F3"/>
    <w:rsid w:val="005D2817"/>
    <w:rsid w:val="005D6DE3"/>
    <w:rsid w:val="005F1B6E"/>
    <w:rsid w:val="005F6706"/>
    <w:rsid w:val="00614ABD"/>
    <w:rsid w:val="00621224"/>
    <w:rsid w:val="006250A0"/>
    <w:rsid w:val="00643DA7"/>
    <w:rsid w:val="006705DF"/>
    <w:rsid w:val="00672046"/>
    <w:rsid w:val="00690AEC"/>
    <w:rsid w:val="00693CE4"/>
    <w:rsid w:val="00693DC8"/>
    <w:rsid w:val="006A5B9F"/>
    <w:rsid w:val="006D37B9"/>
    <w:rsid w:val="006D53C5"/>
    <w:rsid w:val="00700020"/>
    <w:rsid w:val="00701136"/>
    <w:rsid w:val="007115BE"/>
    <w:rsid w:val="007170ED"/>
    <w:rsid w:val="007232E7"/>
    <w:rsid w:val="00755E44"/>
    <w:rsid w:val="0076189B"/>
    <w:rsid w:val="007646B4"/>
    <w:rsid w:val="00766066"/>
    <w:rsid w:val="00767106"/>
    <w:rsid w:val="007672FF"/>
    <w:rsid w:val="007733D7"/>
    <w:rsid w:val="00790F7E"/>
    <w:rsid w:val="007923A1"/>
    <w:rsid w:val="007A63D9"/>
    <w:rsid w:val="007C1219"/>
    <w:rsid w:val="007C1467"/>
    <w:rsid w:val="007C1879"/>
    <w:rsid w:val="007F45DB"/>
    <w:rsid w:val="007F6815"/>
    <w:rsid w:val="00812E48"/>
    <w:rsid w:val="008300E5"/>
    <w:rsid w:val="00841BC5"/>
    <w:rsid w:val="00847C9A"/>
    <w:rsid w:val="00852E82"/>
    <w:rsid w:val="00862AC4"/>
    <w:rsid w:val="0087229E"/>
    <w:rsid w:val="008929D8"/>
    <w:rsid w:val="00897688"/>
    <w:rsid w:val="008A004B"/>
    <w:rsid w:val="008B052D"/>
    <w:rsid w:val="008D5176"/>
    <w:rsid w:val="008D77F5"/>
    <w:rsid w:val="008E26EF"/>
    <w:rsid w:val="008E38B2"/>
    <w:rsid w:val="008F36E7"/>
    <w:rsid w:val="00905A68"/>
    <w:rsid w:val="00917C6F"/>
    <w:rsid w:val="0094783C"/>
    <w:rsid w:val="009554D9"/>
    <w:rsid w:val="00970D51"/>
    <w:rsid w:val="00981FED"/>
    <w:rsid w:val="00984106"/>
    <w:rsid w:val="0098613A"/>
    <w:rsid w:val="0098673A"/>
    <w:rsid w:val="00986EC0"/>
    <w:rsid w:val="00987C96"/>
    <w:rsid w:val="009A0D7D"/>
    <w:rsid w:val="009A16D6"/>
    <w:rsid w:val="009A20F4"/>
    <w:rsid w:val="009A4648"/>
    <w:rsid w:val="009A62EE"/>
    <w:rsid w:val="009C256F"/>
    <w:rsid w:val="009D0548"/>
    <w:rsid w:val="009D51F7"/>
    <w:rsid w:val="009E037B"/>
    <w:rsid w:val="009E355A"/>
    <w:rsid w:val="009E5A27"/>
    <w:rsid w:val="009E5DFA"/>
    <w:rsid w:val="009F7E83"/>
    <w:rsid w:val="00A112AA"/>
    <w:rsid w:val="00A138A9"/>
    <w:rsid w:val="00A21BD4"/>
    <w:rsid w:val="00A23F81"/>
    <w:rsid w:val="00A2712B"/>
    <w:rsid w:val="00A35B8F"/>
    <w:rsid w:val="00A40BCF"/>
    <w:rsid w:val="00A61418"/>
    <w:rsid w:val="00A70EA2"/>
    <w:rsid w:val="00A7107F"/>
    <w:rsid w:val="00A74A58"/>
    <w:rsid w:val="00A81DDA"/>
    <w:rsid w:val="00A96AD0"/>
    <w:rsid w:val="00AA0EF5"/>
    <w:rsid w:val="00AA31BF"/>
    <w:rsid w:val="00AC2466"/>
    <w:rsid w:val="00AC34BB"/>
    <w:rsid w:val="00AD5408"/>
    <w:rsid w:val="00AE21DC"/>
    <w:rsid w:val="00B03A65"/>
    <w:rsid w:val="00B07C8B"/>
    <w:rsid w:val="00B10971"/>
    <w:rsid w:val="00B27C4E"/>
    <w:rsid w:val="00B3229C"/>
    <w:rsid w:val="00B83291"/>
    <w:rsid w:val="00B83A1E"/>
    <w:rsid w:val="00BA3799"/>
    <w:rsid w:val="00BA71B5"/>
    <w:rsid w:val="00BA76AA"/>
    <w:rsid w:val="00BB71E5"/>
    <w:rsid w:val="00BC4773"/>
    <w:rsid w:val="00BF32EF"/>
    <w:rsid w:val="00C10372"/>
    <w:rsid w:val="00C155A7"/>
    <w:rsid w:val="00C17320"/>
    <w:rsid w:val="00C221D8"/>
    <w:rsid w:val="00C30B94"/>
    <w:rsid w:val="00C4584F"/>
    <w:rsid w:val="00C45F02"/>
    <w:rsid w:val="00C663EF"/>
    <w:rsid w:val="00C86A03"/>
    <w:rsid w:val="00C92139"/>
    <w:rsid w:val="00C92409"/>
    <w:rsid w:val="00CA52B9"/>
    <w:rsid w:val="00CB4CAF"/>
    <w:rsid w:val="00CD37DC"/>
    <w:rsid w:val="00CE0744"/>
    <w:rsid w:val="00CF30A7"/>
    <w:rsid w:val="00D14D91"/>
    <w:rsid w:val="00D15B54"/>
    <w:rsid w:val="00D17B5E"/>
    <w:rsid w:val="00D3207F"/>
    <w:rsid w:val="00D34760"/>
    <w:rsid w:val="00D41CAB"/>
    <w:rsid w:val="00D5054E"/>
    <w:rsid w:val="00D56DB0"/>
    <w:rsid w:val="00D57010"/>
    <w:rsid w:val="00D74589"/>
    <w:rsid w:val="00D92EB7"/>
    <w:rsid w:val="00D93100"/>
    <w:rsid w:val="00DB3C72"/>
    <w:rsid w:val="00DD4FB2"/>
    <w:rsid w:val="00DD559D"/>
    <w:rsid w:val="00DE7AD2"/>
    <w:rsid w:val="00E10212"/>
    <w:rsid w:val="00E264C1"/>
    <w:rsid w:val="00E47A3F"/>
    <w:rsid w:val="00E500AA"/>
    <w:rsid w:val="00E51FC8"/>
    <w:rsid w:val="00E52BC5"/>
    <w:rsid w:val="00E537D9"/>
    <w:rsid w:val="00E546B5"/>
    <w:rsid w:val="00E739F0"/>
    <w:rsid w:val="00E821F3"/>
    <w:rsid w:val="00EA18D6"/>
    <w:rsid w:val="00EB3E8B"/>
    <w:rsid w:val="00EB7720"/>
    <w:rsid w:val="00EC5884"/>
    <w:rsid w:val="00EE2D05"/>
    <w:rsid w:val="00F1725C"/>
    <w:rsid w:val="00F26896"/>
    <w:rsid w:val="00F57A12"/>
    <w:rsid w:val="00F63566"/>
    <w:rsid w:val="00FA2DF8"/>
    <w:rsid w:val="00FC2357"/>
    <w:rsid w:val="00FE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numPr>
        <w:numId w:val="3"/>
      </w:numPr>
      <w:tabs>
        <w:tab w:val="left" w:pos="720"/>
      </w:tabs>
      <w:suppressAutoHyphens/>
      <w:spacing w:before="240" w:after="120"/>
      <w:outlineLvl w:val="0"/>
    </w:pPr>
    <w:rPr>
      <w:rFonts w:ascii="Times New Roman Bold" w:hAnsi="Times New Roman Bold"/>
      <w:b/>
      <w:caps/>
    </w:rPr>
  </w:style>
  <w:style w:type="paragraph" w:styleId="Heading2">
    <w:name w:val="heading 2"/>
    <w:basedOn w:val="Normal"/>
    <w:next w:val="ParaNum"/>
    <w:qFormat/>
    <w:pPr>
      <w:keepNext/>
      <w:widowControl w:val="0"/>
      <w:numPr>
        <w:numId w:val="7"/>
      </w:numPr>
      <w:spacing w:before="240"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rPr>
      <w:lang w:val="x-none" w:eastAsia="x-none"/>
    </w:r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f"/>
    <w:link w:val="FootnoteTextChar2"/>
    <w:uiPriority w:val="99"/>
    <w:pPr>
      <w:spacing w:after="120"/>
    </w:pPr>
  </w:style>
  <w:style w:type="character" w:styleId="FootnoteReference">
    <w:name w:val="footnote reference"/>
    <w:aliases w:val="Style 12,(NECG) Footnote Reference,o,fr,Appel note de bas de p,Style 124,Style 3,Style 17,FR,Style 13,Footnote Reference/,Style 6"/>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aliases w:val="Cha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ParaNumChar">
    <w:name w:val="ParaNum Char"/>
    <w:link w:val="ParaNum"/>
    <w:rPr>
      <w:sz w:val="22"/>
      <w:lang w:val="x-none" w:eastAsia="x-non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2,f Char"/>
    <w:link w:val="FootnoteText"/>
    <w:uiPriority w:val="99"/>
    <w:locked/>
    <w:rPr>
      <w:lang w:val="en-US" w:eastAsia="en-US" w:bidi="ar-SA"/>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aliases w:val="Char Char"/>
    <w:link w:val="Footer"/>
    <w:locked/>
    <w:rPr>
      <w:sz w:val="22"/>
    </w:rPr>
  </w:style>
  <w:style w:type="character" w:customStyle="1" w:styleId="StyleNumberedparagraphs11ptChar">
    <w:name w:val="Style Numbered paragraphs + 11 pt Char"/>
    <w:rPr>
      <w:rFonts w:cs="Times New Roman"/>
      <w:sz w:val="22"/>
      <w:lang w:val="en-US" w:eastAsia="en-US" w:bidi="ar-SA"/>
    </w:rPr>
  </w:style>
  <w:style w:type="paragraph" w:customStyle="1" w:styleId="Numberedparagraphs">
    <w:name w:val="Numbered paragraphs"/>
    <w:basedOn w:val="Normal"/>
    <w:pPr>
      <w:tabs>
        <w:tab w:val="num" w:pos="1080"/>
      </w:tabs>
      <w:spacing w:after="220"/>
      <w:ind w:firstLine="720"/>
    </w:pPr>
    <w:rPr>
      <w:sz w:val="24"/>
    </w:rPr>
  </w:style>
  <w:style w:type="character" w:customStyle="1" w:styleId="searchterm1">
    <w:name w:val="searchterm1"/>
    <w:rPr>
      <w:rFonts w:cs="Times New Roman"/>
      <w:b/>
      <w:bCs/>
      <w:shd w:val="clear" w:color="auto" w:fill="FFFF00"/>
    </w:rPr>
  </w:style>
  <w:style w:type="character" w:customStyle="1" w:styleId="bestsection1">
    <w:name w:val="bestsection1"/>
    <w:rPr>
      <w:rFonts w:cs="Times New Roman"/>
      <w:color w:val="FF0000"/>
    </w:rPr>
  </w:style>
  <w:style w:type="character" w:customStyle="1" w:styleId="documentbody1">
    <w:name w:val="documentbody1"/>
    <w:rPr>
      <w:rFonts w:ascii="Verdana" w:hAnsi="Verdana" w:cs="Times New Roman"/>
      <w:sz w:val="19"/>
      <w:szCs w:val="19"/>
    </w:rPr>
  </w:style>
  <w:style w:type="character" w:customStyle="1" w:styleId="italics1">
    <w:name w:val="italics1"/>
    <w:rPr>
      <w:rFonts w:cs="Times New Roman"/>
      <w:i/>
      <w:iCs/>
    </w:rPr>
  </w:style>
  <w:style w:type="character" w:customStyle="1" w:styleId="informationalsmall3">
    <w:name w:val="informationalsmall3"/>
    <w:rPr>
      <w:rFonts w:ascii="Verdana" w:hAnsi="Verdana" w:cs="Times New Roman"/>
      <w:sz w:val="14"/>
      <w:szCs w:val="14"/>
    </w:rPr>
  </w:style>
  <w:style w:type="character" w:styleId="FollowedHyperlink">
    <w:name w:val="FollowedHyperlink"/>
    <w:rPr>
      <w:rFonts w:cs="Times New Roman"/>
      <w:color w:val="800080"/>
      <w:u w:val="single"/>
    </w:rPr>
  </w:style>
  <w:style w:type="character" w:customStyle="1" w:styleId="CharCharChar">
    <w:name w:val="Char Char Char"/>
    <w:rPr>
      <w:rFonts w:cs="Times New Roman"/>
      <w:sz w:val="22"/>
      <w:lang w:val="en-US" w:eastAsia="en-US" w:bidi="ar-SA"/>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Caption">
    <w:name w:val="caption"/>
    <w:basedOn w:val="Normal"/>
    <w:next w:val="Normal"/>
    <w:qFormat/>
    <w:pPr>
      <w:spacing w:before="120" w:after="120"/>
    </w:pPr>
    <w:rPr>
      <w:b/>
    </w:rPr>
  </w:style>
  <w:style w:type="character" w:customStyle="1" w:styleId="EndnoteTextChar">
    <w:name w:val="Endnote Text Char"/>
    <w:basedOn w:val="DefaultParagraphFont"/>
    <w:link w:val="EndnoteText"/>
    <w:locked/>
  </w:style>
  <w:style w:type="paragraph" w:styleId="ListParagraph">
    <w:name w:val="List Paragraph"/>
    <w:basedOn w:val="Normal"/>
    <w:qFormat/>
    <w:pPr>
      <w:ind w:left="720"/>
    </w:pPr>
  </w:style>
  <w:style w:type="paragraph" w:customStyle="1" w:styleId="NumberedList">
    <w:name w:val="Numbered List"/>
    <w:basedOn w:val="Normal"/>
    <w:pPr>
      <w:numPr>
        <w:numId w:val="9"/>
      </w:numPr>
      <w:tabs>
        <w:tab w:val="clear" w:pos="1080"/>
      </w:tabs>
      <w:spacing w:after="220"/>
      <w:ind w:firstLine="0"/>
    </w:pPr>
  </w:style>
  <w:style w:type="paragraph" w:styleId="Title">
    <w:name w:val="Title"/>
    <w:basedOn w:val="Normal"/>
    <w:link w:val="TitleChar"/>
    <w:qFormat/>
    <w:pPr>
      <w:jc w:val="center"/>
    </w:pPr>
    <w:rPr>
      <w:b/>
      <w:lang w:val="x-none" w:eastAsia="x-none"/>
    </w:rPr>
  </w:style>
  <w:style w:type="character" w:customStyle="1" w:styleId="TitleChar">
    <w:name w:val="Title Char"/>
    <w:link w:val="Title"/>
    <w:rPr>
      <w:b/>
      <w:sz w:val="22"/>
    </w:rPr>
  </w:style>
  <w:style w:type="character" w:customStyle="1" w:styleId="FootnoteTextChar3">
    <w:name w:val="Footnote Text Char3"/>
    <w:aliases w:val="ALTS FOOTNOTE Char4,fn Char4,Footnote Text Char2 Char Char4,Footnote Text Char1 Char Char Char4,Footnote Text Char Char2 Char Char Char4,Footnote Text Char4 Char Char Char Char Char4,Footnote Text Char1 Char1,fn C Char3"/>
    <w:rPr>
      <w:lang w:val="en-US" w:eastAsia="en-US" w:bidi="ar-SA"/>
    </w:rPr>
  </w:style>
  <w:style w:type="character" w:customStyle="1" w:styleId="FootnoteTextChar1Char">
    <w:name w:val="Footnote Text Char1 Char"/>
    <w:aliases w:val="ALTS FOOTNOTE Char Char,fn Char Char,Footnote Text Char Char Char,Footnote Text Char2 Char Char Char,Footnote Text Char1 Char Char Char Char,Footnote Text Char Char2 Char Char Char Char,ALTS FOOTNOTE Char1,fn Char1, Char Char6"/>
    <w:locked/>
    <w:rPr>
      <w:rFonts w:ascii="Times New Roman" w:hAnsi="Times New Roman" w:cs="Times New Roman"/>
    </w:rPr>
  </w:style>
  <w:style w:type="character" w:customStyle="1" w:styleId="ParaNumCharChar">
    <w:name w:val="ParaNum Char Char"/>
    <w:rPr>
      <w:rFonts w:ascii="Times New Roman" w:hAnsi="Times New Roman"/>
      <w:sz w:val="22"/>
      <w:szCs w:val="22"/>
    </w:rPr>
  </w:style>
  <w:style w:type="character" w:customStyle="1" w:styleId="searchterm">
    <w:name w:val="searchterm"/>
    <w:basedOn w:val="DefaultParagraphFont"/>
  </w:style>
  <w:style w:type="character" w:customStyle="1" w:styleId="starpage">
    <w:name w:val="starpage"/>
    <w:basedOn w:val="DefaultParagraphFont"/>
  </w:style>
  <w:style w:type="paragraph" w:styleId="Revision">
    <w:name w:val="Revision"/>
    <w:hidden/>
    <w:uiPriority w:val="99"/>
    <w:semiHidden/>
    <w:rPr>
      <w:sz w:val="22"/>
    </w:rPr>
  </w:style>
  <w:style w:type="character" w:customStyle="1" w:styleId="apple-converted-space">
    <w:name w:val="apple-converted-space"/>
    <w:rsid w:val="00987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numPr>
        <w:numId w:val="3"/>
      </w:numPr>
      <w:tabs>
        <w:tab w:val="left" w:pos="720"/>
      </w:tabs>
      <w:suppressAutoHyphens/>
      <w:spacing w:before="240" w:after="120"/>
      <w:outlineLvl w:val="0"/>
    </w:pPr>
    <w:rPr>
      <w:rFonts w:ascii="Times New Roman Bold" w:hAnsi="Times New Roman Bold"/>
      <w:b/>
      <w:caps/>
    </w:rPr>
  </w:style>
  <w:style w:type="paragraph" w:styleId="Heading2">
    <w:name w:val="heading 2"/>
    <w:basedOn w:val="Normal"/>
    <w:next w:val="ParaNum"/>
    <w:qFormat/>
    <w:pPr>
      <w:keepNext/>
      <w:widowControl w:val="0"/>
      <w:numPr>
        <w:numId w:val="7"/>
      </w:numPr>
      <w:spacing w:before="240"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rPr>
      <w:lang w:val="x-none" w:eastAsia="x-none"/>
    </w:r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f"/>
    <w:link w:val="FootnoteTextChar2"/>
    <w:uiPriority w:val="99"/>
    <w:pPr>
      <w:spacing w:after="120"/>
    </w:pPr>
  </w:style>
  <w:style w:type="character" w:styleId="FootnoteReference">
    <w:name w:val="footnote reference"/>
    <w:aliases w:val="Style 12,(NECG) Footnote Reference,o,fr,Appel note de bas de p,Style 124,Style 3,Style 17,FR,Style 13,Footnote Reference/,Style 6"/>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aliases w:val="Cha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ParaNumChar">
    <w:name w:val="ParaNum Char"/>
    <w:link w:val="ParaNum"/>
    <w:rPr>
      <w:sz w:val="22"/>
      <w:lang w:val="x-none" w:eastAsia="x-non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2,f Char"/>
    <w:link w:val="FootnoteText"/>
    <w:uiPriority w:val="99"/>
    <w:locked/>
    <w:rPr>
      <w:lang w:val="en-US" w:eastAsia="en-US" w:bidi="ar-SA"/>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aliases w:val="Char Char"/>
    <w:link w:val="Footer"/>
    <w:locked/>
    <w:rPr>
      <w:sz w:val="22"/>
    </w:rPr>
  </w:style>
  <w:style w:type="character" w:customStyle="1" w:styleId="StyleNumberedparagraphs11ptChar">
    <w:name w:val="Style Numbered paragraphs + 11 pt Char"/>
    <w:rPr>
      <w:rFonts w:cs="Times New Roman"/>
      <w:sz w:val="22"/>
      <w:lang w:val="en-US" w:eastAsia="en-US" w:bidi="ar-SA"/>
    </w:rPr>
  </w:style>
  <w:style w:type="paragraph" w:customStyle="1" w:styleId="Numberedparagraphs">
    <w:name w:val="Numbered paragraphs"/>
    <w:basedOn w:val="Normal"/>
    <w:pPr>
      <w:tabs>
        <w:tab w:val="num" w:pos="1080"/>
      </w:tabs>
      <w:spacing w:after="220"/>
      <w:ind w:firstLine="720"/>
    </w:pPr>
    <w:rPr>
      <w:sz w:val="24"/>
    </w:rPr>
  </w:style>
  <w:style w:type="character" w:customStyle="1" w:styleId="searchterm1">
    <w:name w:val="searchterm1"/>
    <w:rPr>
      <w:rFonts w:cs="Times New Roman"/>
      <w:b/>
      <w:bCs/>
      <w:shd w:val="clear" w:color="auto" w:fill="FFFF00"/>
    </w:rPr>
  </w:style>
  <w:style w:type="character" w:customStyle="1" w:styleId="bestsection1">
    <w:name w:val="bestsection1"/>
    <w:rPr>
      <w:rFonts w:cs="Times New Roman"/>
      <w:color w:val="FF0000"/>
    </w:rPr>
  </w:style>
  <w:style w:type="character" w:customStyle="1" w:styleId="documentbody1">
    <w:name w:val="documentbody1"/>
    <w:rPr>
      <w:rFonts w:ascii="Verdana" w:hAnsi="Verdana" w:cs="Times New Roman"/>
      <w:sz w:val="19"/>
      <w:szCs w:val="19"/>
    </w:rPr>
  </w:style>
  <w:style w:type="character" w:customStyle="1" w:styleId="italics1">
    <w:name w:val="italics1"/>
    <w:rPr>
      <w:rFonts w:cs="Times New Roman"/>
      <w:i/>
      <w:iCs/>
    </w:rPr>
  </w:style>
  <w:style w:type="character" w:customStyle="1" w:styleId="informationalsmall3">
    <w:name w:val="informationalsmall3"/>
    <w:rPr>
      <w:rFonts w:ascii="Verdana" w:hAnsi="Verdana" w:cs="Times New Roman"/>
      <w:sz w:val="14"/>
      <w:szCs w:val="14"/>
    </w:rPr>
  </w:style>
  <w:style w:type="character" w:styleId="FollowedHyperlink">
    <w:name w:val="FollowedHyperlink"/>
    <w:rPr>
      <w:rFonts w:cs="Times New Roman"/>
      <w:color w:val="800080"/>
      <w:u w:val="single"/>
    </w:rPr>
  </w:style>
  <w:style w:type="character" w:customStyle="1" w:styleId="CharCharChar">
    <w:name w:val="Char Char Char"/>
    <w:rPr>
      <w:rFonts w:cs="Times New Roman"/>
      <w:sz w:val="22"/>
      <w:lang w:val="en-US" w:eastAsia="en-US" w:bidi="ar-SA"/>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Caption">
    <w:name w:val="caption"/>
    <w:basedOn w:val="Normal"/>
    <w:next w:val="Normal"/>
    <w:qFormat/>
    <w:pPr>
      <w:spacing w:before="120" w:after="120"/>
    </w:pPr>
    <w:rPr>
      <w:b/>
    </w:rPr>
  </w:style>
  <w:style w:type="character" w:customStyle="1" w:styleId="EndnoteTextChar">
    <w:name w:val="Endnote Text Char"/>
    <w:basedOn w:val="DefaultParagraphFont"/>
    <w:link w:val="EndnoteText"/>
    <w:locked/>
  </w:style>
  <w:style w:type="paragraph" w:styleId="ListParagraph">
    <w:name w:val="List Paragraph"/>
    <w:basedOn w:val="Normal"/>
    <w:qFormat/>
    <w:pPr>
      <w:ind w:left="720"/>
    </w:pPr>
  </w:style>
  <w:style w:type="paragraph" w:customStyle="1" w:styleId="NumberedList">
    <w:name w:val="Numbered List"/>
    <w:basedOn w:val="Normal"/>
    <w:pPr>
      <w:numPr>
        <w:numId w:val="9"/>
      </w:numPr>
      <w:tabs>
        <w:tab w:val="clear" w:pos="1080"/>
      </w:tabs>
      <w:spacing w:after="220"/>
      <w:ind w:firstLine="0"/>
    </w:pPr>
  </w:style>
  <w:style w:type="paragraph" w:styleId="Title">
    <w:name w:val="Title"/>
    <w:basedOn w:val="Normal"/>
    <w:link w:val="TitleChar"/>
    <w:qFormat/>
    <w:pPr>
      <w:jc w:val="center"/>
    </w:pPr>
    <w:rPr>
      <w:b/>
      <w:lang w:val="x-none" w:eastAsia="x-none"/>
    </w:rPr>
  </w:style>
  <w:style w:type="character" w:customStyle="1" w:styleId="TitleChar">
    <w:name w:val="Title Char"/>
    <w:link w:val="Title"/>
    <w:rPr>
      <w:b/>
      <w:sz w:val="22"/>
    </w:rPr>
  </w:style>
  <w:style w:type="character" w:customStyle="1" w:styleId="FootnoteTextChar3">
    <w:name w:val="Footnote Text Char3"/>
    <w:aliases w:val="ALTS FOOTNOTE Char4,fn Char4,Footnote Text Char2 Char Char4,Footnote Text Char1 Char Char Char4,Footnote Text Char Char2 Char Char Char4,Footnote Text Char4 Char Char Char Char Char4,Footnote Text Char1 Char1,fn C Char3"/>
    <w:rPr>
      <w:lang w:val="en-US" w:eastAsia="en-US" w:bidi="ar-SA"/>
    </w:rPr>
  </w:style>
  <w:style w:type="character" w:customStyle="1" w:styleId="FootnoteTextChar1Char">
    <w:name w:val="Footnote Text Char1 Char"/>
    <w:aliases w:val="ALTS FOOTNOTE Char Char,fn Char Char,Footnote Text Char Char Char,Footnote Text Char2 Char Char Char,Footnote Text Char1 Char Char Char Char,Footnote Text Char Char2 Char Char Char Char,ALTS FOOTNOTE Char1,fn Char1, Char Char6"/>
    <w:locked/>
    <w:rPr>
      <w:rFonts w:ascii="Times New Roman" w:hAnsi="Times New Roman" w:cs="Times New Roman"/>
    </w:rPr>
  </w:style>
  <w:style w:type="character" w:customStyle="1" w:styleId="ParaNumCharChar">
    <w:name w:val="ParaNum Char Char"/>
    <w:rPr>
      <w:rFonts w:ascii="Times New Roman" w:hAnsi="Times New Roman"/>
      <w:sz w:val="22"/>
      <w:szCs w:val="22"/>
    </w:rPr>
  </w:style>
  <w:style w:type="character" w:customStyle="1" w:styleId="searchterm">
    <w:name w:val="searchterm"/>
    <w:basedOn w:val="DefaultParagraphFont"/>
  </w:style>
  <w:style w:type="character" w:customStyle="1" w:styleId="starpage">
    <w:name w:val="starpage"/>
    <w:basedOn w:val="DefaultParagraphFont"/>
  </w:style>
  <w:style w:type="paragraph" w:styleId="Revision">
    <w:name w:val="Revision"/>
    <w:hidden/>
    <w:uiPriority w:val="99"/>
    <w:semiHidden/>
    <w:rPr>
      <w:sz w:val="22"/>
    </w:rPr>
  </w:style>
  <w:style w:type="character" w:customStyle="1" w:styleId="apple-converted-space">
    <w:name w:val="apple-converted-space"/>
    <w:rsid w:val="0098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sac.org/cont/filers/what-and-how-to-fil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1502</Words>
  <Characters>8023</Characters>
  <Application>Microsoft Office Word</Application>
  <DocSecurity>0</DocSecurity>
  <Lines>144</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9547</CharactersWithSpaces>
  <SharedDoc>false</SharedDoc>
  <HyperlinkBase> </HyperlinkBase>
  <HLinks>
    <vt:vector size="6" baseType="variant">
      <vt:variant>
        <vt:i4>1310805</vt:i4>
      </vt:variant>
      <vt:variant>
        <vt:i4>0</vt:i4>
      </vt:variant>
      <vt:variant>
        <vt:i4>0</vt:i4>
      </vt:variant>
      <vt:variant>
        <vt:i4>5</vt:i4>
      </vt:variant>
      <vt:variant>
        <vt:lpwstr>http://www.usac.org/cont/499/filing-schedule.aspx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2013-05-03T21:14:00Z</cp:lastPrinted>
  <dcterms:created xsi:type="dcterms:W3CDTF">2015-05-11T15:57:00Z</dcterms:created>
  <dcterms:modified xsi:type="dcterms:W3CDTF">2015-05-11T15:57:00Z</dcterms:modified>
  <cp:category> </cp:category>
  <cp:contentStatus> </cp:contentStatus>
</cp:coreProperties>
</file>