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FA5063" w14:textId="77777777" w:rsidR="00EC2E9E" w:rsidRDefault="00EC2E9E">
      <w:pPr>
        <w:jc w:val="center"/>
        <w:rPr>
          <w:b/>
        </w:rPr>
      </w:pPr>
      <w:bookmarkStart w:id="0" w:name="_GoBack"/>
      <w:bookmarkEnd w:id="0"/>
      <w:r>
        <w:rPr>
          <w:b/>
        </w:rPr>
        <w:t>Before the</w:t>
      </w:r>
    </w:p>
    <w:p w14:paraId="5BEAD468" w14:textId="77777777" w:rsidR="00EC2E9E" w:rsidRDefault="00EC2E9E">
      <w:pPr>
        <w:jc w:val="center"/>
        <w:rPr>
          <w:b/>
        </w:rPr>
      </w:pPr>
      <w:r>
        <w:rPr>
          <w:b/>
        </w:rPr>
        <w:t>Federal Communications Commission</w:t>
      </w:r>
    </w:p>
    <w:p w14:paraId="5AE38FF1" w14:textId="77777777" w:rsidR="00EC2E9E" w:rsidRDefault="00EC2E9E">
      <w:pPr>
        <w:jc w:val="center"/>
        <w:rPr>
          <w:b/>
        </w:rPr>
      </w:pPr>
      <w:r>
        <w:rPr>
          <w:b/>
        </w:rPr>
        <w:t>Washington, D.C. 20554</w:t>
      </w:r>
    </w:p>
    <w:p w14:paraId="6715FB8C" w14:textId="77777777" w:rsidR="00EC2E9E" w:rsidRDefault="00EC2E9E"/>
    <w:p w14:paraId="51601262" w14:textId="77777777" w:rsidR="00EC2E9E" w:rsidRDefault="00EC2E9E"/>
    <w:tbl>
      <w:tblPr>
        <w:tblW w:w="0" w:type="auto"/>
        <w:tblLayout w:type="fixed"/>
        <w:tblLook w:val="0000" w:firstRow="0" w:lastRow="0" w:firstColumn="0" w:lastColumn="0" w:noHBand="0" w:noVBand="0"/>
      </w:tblPr>
      <w:tblGrid>
        <w:gridCol w:w="4914"/>
        <w:gridCol w:w="720"/>
        <w:gridCol w:w="4230"/>
      </w:tblGrid>
      <w:tr w:rsidR="00EC2E9E" w14:paraId="1851E3DE" w14:textId="77777777">
        <w:trPr>
          <w:trHeight w:val="253"/>
        </w:trPr>
        <w:tc>
          <w:tcPr>
            <w:tcW w:w="4914" w:type="dxa"/>
            <w:vMerge w:val="restart"/>
          </w:tcPr>
          <w:p w14:paraId="6DAE2259" w14:textId="77777777" w:rsidR="00EC2E9E" w:rsidRDefault="00EC2E9E">
            <w:pPr>
              <w:snapToGrid w:val="0"/>
              <w:ind w:right="-18"/>
            </w:pPr>
            <w:r>
              <w:t>In the Matter of</w:t>
            </w:r>
          </w:p>
          <w:p w14:paraId="4C68ADFD" w14:textId="77777777" w:rsidR="00EC2E9E" w:rsidRDefault="00EC2E9E">
            <w:pPr>
              <w:ind w:right="-18"/>
            </w:pPr>
          </w:p>
          <w:p w14:paraId="66E78DE9" w14:textId="77777777" w:rsidR="00EC2E9E" w:rsidRDefault="00EC2E9E">
            <w:pPr>
              <w:ind w:right="-18"/>
            </w:pPr>
          </w:p>
          <w:p w14:paraId="5C3C1D07" w14:textId="77777777" w:rsidR="00665EBA" w:rsidRDefault="00665EBA">
            <w:pPr>
              <w:ind w:right="-18"/>
              <w:rPr>
                <w:rFonts w:ascii="Times" w:hAnsi="Times"/>
              </w:rPr>
            </w:pPr>
            <w:r>
              <w:rPr>
                <w:rFonts w:ascii="Times" w:hAnsi="Times"/>
              </w:rPr>
              <w:t>EchoStar Technologies L.L.C.</w:t>
            </w:r>
          </w:p>
          <w:p w14:paraId="09327947" w14:textId="77777777" w:rsidR="00665EBA" w:rsidRPr="00665EBA" w:rsidRDefault="006B676C">
            <w:pPr>
              <w:ind w:right="-18"/>
              <w:rPr>
                <w:rFonts w:ascii="Times" w:hAnsi="Times"/>
              </w:rPr>
            </w:pPr>
            <w:r>
              <w:rPr>
                <w:rFonts w:ascii="Times" w:hAnsi="Times"/>
              </w:rPr>
              <w:t>Funai Electric Co., Ltd.</w:t>
            </w:r>
          </w:p>
          <w:p w14:paraId="70634333" w14:textId="77777777" w:rsidR="00EC2E9E" w:rsidRDefault="00EC2E9E">
            <w:pPr>
              <w:ind w:right="-18"/>
            </w:pPr>
          </w:p>
          <w:p w14:paraId="2B15F463" w14:textId="77777777" w:rsidR="00EC2E9E" w:rsidRDefault="00394BE6">
            <w:pPr>
              <w:ind w:right="-18"/>
            </w:pPr>
            <w:r>
              <w:t>Petition</w:t>
            </w:r>
            <w:r w:rsidR="00EC2E9E">
              <w:t xml:space="preserve"> for Waiver of Section 15.11</w:t>
            </w:r>
            <w:r>
              <w:t>7</w:t>
            </w:r>
            <w:r w:rsidR="00EC2E9E">
              <w:t>(b</w:t>
            </w:r>
            <w:r w:rsidR="00A31EF1">
              <w:t xml:space="preserve">) </w:t>
            </w:r>
            <w:r w:rsidR="00A31EF1">
              <w:br/>
            </w:r>
            <w:r w:rsidR="00EC2E9E">
              <w:t>of the Commission’s Rules</w:t>
            </w:r>
          </w:p>
          <w:p w14:paraId="044D535C" w14:textId="77777777" w:rsidR="00EC2E9E" w:rsidRDefault="00EC2E9E">
            <w:pPr>
              <w:ind w:right="-18"/>
            </w:pPr>
          </w:p>
        </w:tc>
        <w:tc>
          <w:tcPr>
            <w:tcW w:w="720" w:type="dxa"/>
            <w:vMerge w:val="restart"/>
          </w:tcPr>
          <w:p w14:paraId="25839849" w14:textId="77777777" w:rsidR="00EC2E9E" w:rsidRDefault="00EC2E9E">
            <w:pPr>
              <w:snapToGrid w:val="0"/>
              <w:rPr>
                <w:b/>
              </w:rPr>
            </w:pPr>
            <w:r>
              <w:rPr>
                <w:b/>
              </w:rPr>
              <w:t>)</w:t>
            </w:r>
          </w:p>
          <w:p w14:paraId="4475F446" w14:textId="77777777" w:rsidR="00EC2E9E" w:rsidRDefault="00EC2E9E">
            <w:pPr>
              <w:rPr>
                <w:b/>
              </w:rPr>
            </w:pPr>
            <w:r>
              <w:rPr>
                <w:b/>
              </w:rPr>
              <w:t>)</w:t>
            </w:r>
          </w:p>
          <w:p w14:paraId="7C28ED67" w14:textId="77777777" w:rsidR="00EC2E9E" w:rsidRDefault="00EC2E9E">
            <w:pPr>
              <w:rPr>
                <w:b/>
              </w:rPr>
            </w:pPr>
            <w:r>
              <w:rPr>
                <w:b/>
              </w:rPr>
              <w:t>)</w:t>
            </w:r>
          </w:p>
          <w:p w14:paraId="49288FAA" w14:textId="77777777" w:rsidR="00EC2E9E" w:rsidRDefault="00EC2E9E">
            <w:pPr>
              <w:rPr>
                <w:b/>
              </w:rPr>
            </w:pPr>
            <w:r>
              <w:rPr>
                <w:b/>
              </w:rPr>
              <w:t>)</w:t>
            </w:r>
          </w:p>
          <w:p w14:paraId="341C415A" w14:textId="77777777" w:rsidR="00EC2E9E" w:rsidRDefault="00EC2E9E">
            <w:pPr>
              <w:rPr>
                <w:b/>
              </w:rPr>
            </w:pPr>
            <w:r>
              <w:rPr>
                <w:b/>
              </w:rPr>
              <w:t>)</w:t>
            </w:r>
          </w:p>
          <w:p w14:paraId="3B03F64F" w14:textId="77777777" w:rsidR="00EC2E9E" w:rsidRDefault="00EC2E9E">
            <w:pPr>
              <w:rPr>
                <w:b/>
              </w:rPr>
            </w:pPr>
            <w:r>
              <w:rPr>
                <w:b/>
              </w:rPr>
              <w:t>)</w:t>
            </w:r>
          </w:p>
          <w:p w14:paraId="220CFBA9" w14:textId="77777777" w:rsidR="00EC2E9E" w:rsidRDefault="00EC2E9E">
            <w:pPr>
              <w:rPr>
                <w:b/>
              </w:rPr>
            </w:pPr>
            <w:r>
              <w:rPr>
                <w:b/>
              </w:rPr>
              <w:t>)</w:t>
            </w:r>
          </w:p>
          <w:p w14:paraId="671F3665" w14:textId="77777777" w:rsidR="00EC2E9E" w:rsidRDefault="00EC2E9E">
            <w:pPr>
              <w:rPr>
                <w:b/>
              </w:rPr>
            </w:pPr>
            <w:r>
              <w:rPr>
                <w:b/>
              </w:rPr>
              <w:t>)</w:t>
            </w:r>
          </w:p>
          <w:p w14:paraId="33769CC8" w14:textId="77777777" w:rsidR="00EC2E9E" w:rsidRDefault="00EC2E9E">
            <w:pPr>
              <w:rPr>
                <w:b/>
              </w:rPr>
            </w:pPr>
            <w:r>
              <w:rPr>
                <w:b/>
              </w:rPr>
              <w:t>)</w:t>
            </w:r>
          </w:p>
          <w:p w14:paraId="68696132" w14:textId="77777777" w:rsidR="00EC2E9E" w:rsidRDefault="00EC2E9E">
            <w:pPr>
              <w:rPr>
                <w:b/>
              </w:rPr>
            </w:pPr>
          </w:p>
        </w:tc>
        <w:tc>
          <w:tcPr>
            <w:tcW w:w="4230" w:type="dxa"/>
            <w:vMerge w:val="restart"/>
          </w:tcPr>
          <w:p w14:paraId="2DC2B260" w14:textId="77777777" w:rsidR="00EC2E9E" w:rsidRDefault="00EC2E9E">
            <w:pPr>
              <w:snapToGrid w:val="0"/>
            </w:pPr>
          </w:p>
          <w:p w14:paraId="2141E657" w14:textId="77777777" w:rsidR="00EC2E9E" w:rsidRDefault="00EC2E9E"/>
          <w:p w14:paraId="782E6CCC" w14:textId="77777777" w:rsidR="00EC2E9E" w:rsidRDefault="00EC2E9E">
            <w:pPr>
              <w:rPr>
                <w:spacing w:val="-2"/>
              </w:rPr>
            </w:pPr>
          </w:p>
          <w:p w14:paraId="2810BC1B" w14:textId="77777777" w:rsidR="00EC2E9E" w:rsidRDefault="00EC2E9E">
            <w:pPr>
              <w:rPr>
                <w:spacing w:val="-2"/>
              </w:rPr>
            </w:pPr>
            <w:r>
              <w:rPr>
                <w:spacing w:val="-2"/>
              </w:rPr>
              <w:t xml:space="preserve">MB Docket No. </w:t>
            </w:r>
            <w:r w:rsidR="0050401E">
              <w:rPr>
                <w:spacing w:val="-2"/>
              </w:rPr>
              <w:t>15-47</w:t>
            </w:r>
          </w:p>
          <w:p w14:paraId="250D242A" w14:textId="77777777" w:rsidR="0050401E" w:rsidRDefault="0050401E">
            <w:pPr>
              <w:rPr>
                <w:spacing w:val="-2"/>
              </w:rPr>
            </w:pPr>
            <w:r>
              <w:rPr>
                <w:spacing w:val="-2"/>
              </w:rPr>
              <w:t>MB Docket No. 15-42</w:t>
            </w:r>
          </w:p>
          <w:p w14:paraId="04311642" w14:textId="77777777" w:rsidR="00EC2E9E" w:rsidRDefault="00EC2E9E">
            <w:pPr>
              <w:rPr>
                <w:spacing w:val="-2"/>
              </w:rPr>
            </w:pPr>
          </w:p>
          <w:p w14:paraId="6A2FA1E3" w14:textId="77777777" w:rsidR="00EC2E9E" w:rsidRDefault="00EC2E9E">
            <w:pPr>
              <w:rPr>
                <w:spacing w:val="-2"/>
              </w:rPr>
            </w:pPr>
          </w:p>
          <w:p w14:paraId="40627F58" w14:textId="77777777" w:rsidR="00EC2E9E" w:rsidRDefault="00EC2E9E">
            <w:pPr>
              <w:rPr>
                <w:spacing w:val="-2"/>
              </w:rPr>
            </w:pPr>
          </w:p>
          <w:p w14:paraId="1DBC32CE" w14:textId="77777777" w:rsidR="00EC2E9E" w:rsidRDefault="00EC2E9E">
            <w:pPr>
              <w:rPr>
                <w:spacing w:val="-2"/>
              </w:rPr>
            </w:pPr>
          </w:p>
          <w:p w14:paraId="57F5C886" w14:textId="77777777" w:rsidR="00EC2E9E" w:rsidRDefault="00EC2E9E">
            <w:pPr>
              <w:rPr>
                <w:spacing w:val="-2"/>
              </w:rPr>
            </w:pPr>
          </w:p>
          <w:p w14:paraId="0B1AA5A8" w14:textId="77777777" w:rsidR="00EC2E9E" w:rsidRDefault="00EC2E9E"/>
        </w:tc>
      </w:tr>
    </w:tbl>
    <w:p w14:paraId="189F7A37" w14:textId="77777777" w:rsidR="00EC2E9E" w:rsidRDefault="00EC2E9E">
      <w:pPr>
        <w:spacing w:before="120"/>
        <w:jc w:val="center"/>
        <w:rPr>
          <w:b/>
          <w:spacing w:val="-2"/>
        </w:rPr>
      </w:pPr>
      <w:r>
        <w:rPr>
          <w:b/>
          <w:spacing w:val="-2"/>
        </w:rPr>
        <w:t>MEMORANDUM OPINION AND ORDER</w:t>
      </w:r>
    </w:p>
    <w:p w14:paraId="39205D28" w14:textId="77777777" w:rsidR="00EC2E9E" w:rsidRDefault="00EC2E9E"/>
    <w:p w14:paraId="29A2A4D2" w14:textId="190BDC9D" w:rsidR="00EC2E9E" w:rsidRDefault="00EC2E9E">
      <w:pPr>
        <w:tabs>
          <w:tab w:val="right" w:pos="9360"/>
        </w:tabs>
        <w:rPr>
          <w:b/>
        </w:rPr>
      </w:pPr>
      <w:r>
        <w:rPr>
          <w:b/>
        </w:rPr>
        <w:t xml:space="preserve">Adopted:  </w:t>
      </w:r>
      <w:r w:rsidR="00EB2165">
        <w:rPr>
          <w:b/>
        </w:rPr>
        <w:t xml:space="preserve">May 1, 2015                                                                                           </w:t>
      </w:r>
      <w:r>
        <w:rPr>
          <w:b/>
        </w:rPr>
        <w:t>Released:</w:t>
      </w:r>
      <w:r w:rsidR="00EB2165">
        <w:rPr>
          <w:b/>
        </w:rPr>
        <w:t xml:space="preserve">  May 4, 2015</w:t>
      </w:r>
      <w:r>
        <w:rPr>
          <w:b/>
        </w:rPr>
        <w:t xml:space="preserve">  </w:t>
      </w:r>
    </w:p>
    <w:p w14:paraId="5F99C53C" w14:textId="77777777" w:rsidR="00EC2E9E" w:rsidRDefault="00EC2E9E">
      <w:pPr>
        <w:tabs>
          <w:tab w:val="left" w:pos="5760"/>
        </w:tabs>
        <w:rPr>
          <w:b/>
        </w:rPr>
      </w:pPr>
    </w:p>
    <w:p w14:paraId="29306A70" w14:textId="77777777" w:rsidR="00EC2E9E" w:rsidRDefault="00EC2E9E">
      <w:pPr>
        <w:tabs>
          <w:tab w:val="left" w:pos="5760"/>
        </w:tabs>
        <w:rPr>
          <w:spacing w:val="-2"/>
        </w:rPr>
      </w:pPr>
      <w:r>
        <w:t xml:space="preserve">By the </w:t>
      </w:r>
      <w:r>
        <w:rPr>
          <w:spacing w:val="-2"/>
        </w:rPr>
        <w:t>Chief, Media Bureau:</w:t>
      </w:r>
    </w:p>
    <w:p w14:paraId="417003C8" w14:textId="77777777" w:rsidR="00EC2E9E" w:rsidRDefault="00EC2E9E"/>
    <w:p w14:paraId="014DF93C" w14:textId="77777777" w:rsidR="00EC2E9E" w:rsidRDefault="00EC2E9E"/>
    <w:p w14:paraId="275F23A7" w14:textId="77777777" w:rsidR="00EC2E9E" w:rsidRPr="00B76894" w:rsidRDefault="00EC2E9E">
      <w:pPr>
        <w:pStyle w:val="Heading1"/>
        <w:widowControl/>
        <w:tabs>
          <w:tab w:val="left" w:pos="2160"/>
        </w:tabs>
      </w:pPr>
      <w:r w:rsidRPr="00B76894">
        <w:t>INTRODUCTION</w:t>
      </w:r>
    </w:p>
    <w:p w14:paraId="07E781A2" w14:textId="33BDC9DD" w:rsidR="00EC2E9E" w:rsidRPr="00B76894" w:rsidRDefault="00EC2E9E" w:rsidP="000B1CA2">
      <w:pPr>
        <w:pStyle w:val="ParaNum"/>
        <w:widowControl/>
        <w:tabs>
          <w:tab w:val="left" w:pos="0"/>
        </w:tabs>
        <w:jc w:val="left"/>
      </w:pPr>
      <w:r w:rsidRPr="00B76894">
        <w:t>In this Order, we grant</w:t>
      </w:r>
      <w:r w:rsidR="006A1058">
        <w:t>, subject to conditions,</w:t>
      </w:r>
      <w:r w:rsidR="00605150" w:rsidRPr="00B76894">
        <w:t xml:space="preserve"> </w:t>
      </w:r>
      <w:r w:rsidR="00C20358">
        <w:t xml:space="preserve">EchoStar Technologies L.L.C.’s (“EchoStar”) and </w:t>
      </w:r>
      <w:r w:rsidR="006B676C" w:rsidRPr="00B76894">
        <w:rPr>
          <w:rFonts w:ascii="Times" w:hAnsi="Times"/>
        </w:rPr>
        <w:t>Funai Electric Co., Ltd.</w:t>
      </w:r>
      <w:r w:rsidR="00807733">
        <w:rPr>
          <w:rFonts w:ascii="Times" w:hAnsi="Times"/>
        </w:rPr>
        <w:t>’s</w:t>
      </w:r>
      <w:r w:rsidR="006B676C" w:rsidRPr="00B76894">
        <w:rPr>
          <w:rFonts w:ascii="Times" w:hAnsi="Times"/>
        </w:rPr>
        <w:t xml:space="preserve"> (“Funai”) </w:t>
      </w:r>
      <w:r w:rsidRPr="00B76894">
        <w:t>unopposed request</w:t>
      </w:r>
      <w:r w:rsidR="00661173">
        <w:t>s</w:t>
      </w:r>
      <w:r w:rsidRPr="00B76894">
        <w:t xml:space="preserve"> for waiver of </w:t>
      </w:r>
      <w:r w:rsidR="00807733">
        <w:t xml:space="preserve">Section 15.117(b) of our rules </w:t>
      </w:r>
      <w:r w:rsidR="00E630B9" w:rsidRPr="00B76894">
        <w:t>to</w:t>
      </w:r>
      <w:r w:rsidR="00C20358">
        <w:t xml:space="preserve"> allow: </w:t>
      </w:r>
      <w:r w:rsidR="00575D56">
        <w:t xml:space="preserve">(1) EchoStar to import, market, and sell </w:t>
      </w:r>
      <w:r w:rsidR="00C20358">
        <w:t xml:space="preserve">a new model of </w:t>
      </w:r>
      <w:r w:rsidR="001F0175">
        <w:t xml:space="preserve">its </w:t>
      </w:r>
      <w:r w:rsidR="00C20358">
        <w:t>“SlingLoaded”</w:t>
      </w:r>
      <w:r w:rsidR="00575D56">
        <w:t xml:space="preserve"> high-definition</w:t>
      </w:r>
      <w:r w:rsidR="00C20358">
        <w:t xml:space="preserve">, </w:t>
      </w:r>
      <w:r w:rsidR="001F0175">
        <w:t>I</w:t>
      </w:r>
      <w:r w:rsidR="00C20358">
        <w:t>nternet-enabled, digital video recorder (“the SlingLoaded DVR”)</w:t>
      </w:r>
      <w:r w:rsidR="00575D56">
        <w:t xml:space="preserve"> that does not include an analog tuner;</w:t>
      </w:r>
      <w:r w:rsidR="00575D56" w:rsidRPr="00B76894">
        <w:rPr>
          <w:rStyle w:val="FootnoteReference"/>
        </w:rPr>
        <w:footnoteReference w:id="2"/>
      </w:r>
      <w:r w:rsidR="00661173">
        <w:t xml:space="preserve"> and</w:t>
      </w:r>
      <w:r w:rsidR="00575D56">
        <w:t xml:space="preserve"> (2) </w:t>
      </w:r>
      <w:r w:rsidR="006B676C" w:rsidRPr="00B76894">
        <w:t>Funai</w:t>
      </w:r>
      <w:r w:rsidR="00753D69" w:rsidRPr="00B76894">
        <w:t xml:space="preserve"> </w:t>
      </w:r>
      <w:r w:rsidR="000B1CA2" w:rsidRPr="00B76894">
        <w:t xml:space="preserve">to </w:t>
      </w:r>
      <w:r w:rsidR="000B1CA2" w:rsidRPr="00B76894">
        <w:rPr>
          <w:rFonts w:ascii="Times" w:hAnsi="Times"/>
        </w:rPr>
        <w:t>manufacture, import, market, and sell its next-generation hard disk drive/digital video disk (“HDD/DVD”) recorders that do not include analog tuners.</w:t>
      </w:r>
      <w:r w:rsidR="00EE0754" w:rsidRPr="00B76894">
        <w:rPr>
          <w:rStyle w:val="FootnoteReference"/>
        </w:rPr>
        <w:footnoteReference w:id="3"/>
      </w:r>
      <w:r w:rsidR="006F2D46" w:rsidRPr="00B76894">
        <w:t xml:space="preserve"> </w:t>
      </w:r>
      <w:r w:rsidR="00EE0754" w:rsidRPr="00B76894">
        <w:t xml:space="preserve"> </w:t>
      </w:r>
      <w:r w:rsidR="00807733" w:rsidRPr="00B76894">
        <w:t>Section 15.117(b) of the Commission’s rules</w:t>
      </w:r>
      <w:r w:rsidR="00807733" w:rsidRPr="00B76894" w:rsidDel="00807733">
        <w:t xml:space="preserve"> </w:t>
      </w:r>
      <w:r w:rsidR="00807733">
        <w:t>requires TV broadcast receivers to</w:t>
      </w:r>
      <w:r w:rsidR="00807733" w:rsidRPr="00B76894">
        <w:t xml:space="preserve"> </w:t>
      </w:r>
      <w:r w:rsidR="00A12525" w:rsidRPr="00B76894">
        <w:t>“be capable of adequately receiving all channels allocated by the Commission to the television broadcast service</w:t>
      </w:r>
      <w:r w:rsidR="00807733">
        <w:t>.</w:t>
      </w:r>
      <w:r w:rsidR="00A12525" w:rsidRPr="00B76894">
        <w:t>”</w:t>
      </w:r>
      <w:r w:rsidR="00590F66" w:rsidRPr="00B76894">
        <w:rPr>
          <w:rStyle w:val="FootnoteReference"/>
          <w:rFonts w:ascii="Times" w:hAnsi="Times"/>
        </w:rPr>
        <w:footnoteReference w:id="4"/>
      </w:r>
      <w:r w:rsidR="00E630B9" w:rsidRPr="00B76894">
        <w:rPr>
          <w:rFonts w:ascii="Times" w:hAnsi="Times"/>
        </w:rPr>
        <w:t xml:space="preserve">  </w:t>
      </w:r>
      <w:r w:rsidRPr="00B76894">
        <w:t xml:space="preserve">We conclude that waiver is in the public interest because it will </w:t>
      </w:r>
      <w:r w:rsidR="00AD6061" w:rsidRPr="00B76894">
        <w:t>enhance consumer choice for retail equipment</w:t>
      </w:r>
      <w:r w:rsidR="00BC147C" w:rsidRPr="00B76894">
        <w:t>, offer consumers an a</w:t>
      </w:r>
      <w:r w:rsidR="00D52645" w:rsidRPr="00B76894">
        <w:t xml:space="preserve">dditional way to access </w:t>
      </w:r>
      <w:r w:rsidR="00AD6061" w:rsidRPr="00B76894">
        <w:t xml:space="preserve">video programming, </w:t>
      </w:r>
      <w:r w:rsidR="007D2183" w:rsidRPr="00B76894">
        <w:t xml:space="preserve">and </w:t>
      </w:r>
      <w:r w:rsidRPr="00B76894">
        <w:t xml:space="preserve">reduce </w:t>
      </w:r>
      <w:r w:rsidR="00706F0E" w:rsidRPr="00B76894">
        <w:t>the</w:t>
      </w:r>
      <w:r w:rsidRPr="00B76894">
        <w:t xml:space="preserve"> cost and power consumption </w:t>
      </w:r>
      <w:r w:rsidR="00706F0E" w:rsidRPr="00B76894">
        <w:t xml:space="preserve">of </w:t>
      </w:r>
      <w:r w:rsidR="00AD6061" w:rsidRPr="00B76894">
        <w:t>the</w:t>
      </w:r>
      <w:r w:rsidR="00676329">
        <w:t xml:space="preserve"> </w:t>
      </w:r>
      <w:r w:rsidR="002A0905">
        <w:t xml:space="preserve">SlingLoaded DVR and </w:t>
      </w:r>
      <w:r w:rsidR="00676329">
        <w:t>HDD/DVD recorders</w:t>
      </w:r>
      <w:r w:rsidR="00AD6061" w:rsidRPr="00B76894">
        <w:t xml:space="preserve">.  </w:t>
      </w:r>
      <w:r w:rsidR="00160A0F">
        <w:t>We note that</w:t>
      </w:r>
      <w:r w:rsidR="005B2527" w:rsidRPr="00B76894">
        <w:t xml:space="preserve">, </w:t>
      </w:r>
      <w:r w:rsidR="002A0905">
        <w:t xml:space="preserve">EchoStar and </w:t>
      </w:r>
      <w:r w:rsidR="00565A88" w:rsidRPr="00B76894">
        <w:t>Funai</w:t>
      </w:r>
      <w:r w:rsidR="00160A0F">
        <w:t xml:space="preserve"> have</w:t>
      </w:r>
      <w:r w:rsidR="00565A88" w:rsidRPr="00B76894">
        <w:t xml:space="preserve"> </w:t>
      </w:r>
      <w:r w:rsidR="00291577" w:rsidRPr="00B76894">
        <w:t xml:space="preserve">voluntary </w:t>
      </w:r>
      <w:r w:rsidR="00160A0F" w:rsidRPr="00B76894">
        <w:t>commit</w:t>
      </w:r>
      <w:r w:rsidR="00160A0F">
        <w:t>ted</w:t>
      </w:r>
      <w:r w:rsidR="00160A0F" w:rsidRPr="00B76894">
        <w:t xml:space="preserve"> </w:t>
      </w:r>
      <w:r w:rsidR="0081108F" w:rsidRPr="00B76894">
        <w:t xml:space="preserve">to </w:t>
      </w:r>
      <w:r w:rsidR="00BC147C" w:rsidRPr="00B76894">
        <w:t xml:space="preserve">educate </w:t>
      </w:r>
      <w:r w:rsidR="00291577" w:rsidRPr="00B76894">
        <w:t>consumer</w:t>
      </w:r>
      <w:r w:rsidR="00BC147C" w:rsidRPr="00B76894">
        <w:t>s</w:t>
      </w:r>
      <w:r w:rsidR="00291577" w:rsidRPr="00B76894">
        <w:t xml:space="preserve"> and retailer</w:t>
      </w:r>
      <w:r w:rsidR="00BC147C" w:rsidRPr="00B76894">
        <w:t>s</w:t>
      </w:r>
      <w:r w:rsidR="00291577" w:rsidRPr="00B76894">
        <w:t xml:space="preserve"> on the capabilities and limitations of </w:t>
      </w:r>
      <w:r w:rsidR="002A0905">
        <w:rPr>
          <w:rStyle w:val="apple-style-span"/>
          <w:color w:val="000000"/>
          <w:shd w:val="clear" w:color="auto" w:fill="FFFFFF"/>
        </w:rPr>
        <w:t>their</w:t>
      </w:r>
      <w:r w:rsidR="004360DB">
        <w:rPr>
          <w:rStyle w:val="apple-style-span"/>
          <w:color w:val="000000"/>
          <w:shd w:val="clear" w:color="auto" w:fill="FFFFFF"/>
        </w:rPr>
        <w:t xml:space="preserve"> </w:t>
      </w:r>
      <w:r w:rsidR="000E3475">
        <w:rPr>
          <w:rStyle w:val="apple-style-span"/>
          <w:color w:val="000000"/>
          <w:shd w:val="clear" w:color="auto" w:fill="FFFFFF"/>
        </w:rPr>
        <w:t>equipment’s</w:t>
      </w:r>
      <w:r w:rsidR="002A0905">
        <w:rPr>
          <w:rStyle w:val="apple-style-span"/>
          <w:color w:val="000000"/>
          <w:shd w:val="clear" w:color="auto" w:fill="FFFFFF"/>
        </w:rPr>
        <w:t xml:space="preserve"> </w:t>
      </w:r>
      <w:r w:rsidR="00565A88" w:rsidRPr="00B76894">
        <w:rPr>
          <w:rStyle w:val="apple-style-span"/>
          <w:color w:val="000000"/>
          <w:shd w:val="clear" w:color="auto" w:fill="FFFFFF"/>
        </w:rPr>
        <w:t>functionality</w:t>
      </w:r>
      <w:r w:rsidR="00BD2084" w:rsidRPr="00BD2084">
        <w:t xml:space="preserve"> </w:t>
      </w:r>
      <w:r w:rsidR="00BD2084">
        <w:t>t</w:t>
      </w:r>
      <w:r w:rsidR="00BD2084" w:rsidRPr="00B76894">
        <w:t>o avoid possible confusion about the devices’ capabilities and limitations regarding the reception of over-the-air analog signals</w:t>
      </w:r>
      <w:r w:rsidR="00565A88" w:rsidRPr="00B76894">
        <w:t>.</w:t>
      </w:r>
      <w:r w:rsidR="00007459" w:rsidRPr="00B76894">
        <w:rPr>
          <w:rStyle w:val="FootnoteReference"/>
        </w:rPr>
        <w:footnoteReference w:id="5"/>
      </w:r>
      <w:r w:rsidR="00291577" w:rsidRPr="00B76894">
        <w:t xml:space="preserve"> </w:t>
      </w:r>
    </w:p>
    <w:p w14:paraId="5764D929" w14:textId="77777777" w:rsidR="00EC2E9E" w:rsidRDefault="00EC2E9E">
      <w:pPr>
        <w:pStyle w:val="Heading1"/>
        <w:widowControl/>
        <w:tabs>
          <w:tab w:val="left" w:pos="2160"/>
        </w:tabs>
        <w:jc w:val="left"/>
      </w:pPr>
      <w:r>
        <w:lastRenderedPageBreak/>
        <w:t>BACKGROUND</w:t>
      </w:r>
    </w:p>
    <w:p w14:paraId="52EBF005" w14:textId="3E49F456" w:rsidR="00EC2E9E" w:rsidRDefault="00855544" w:rsidP="000C7895">
      <w:pPr>
        <w:pStyle w:val="ParaNum"/>
        <w:widowControl/>
        <w:jc w:val="left"/>
      </w:pPr>
      <w:r>
        <w:t xml:space="preserve">The </w:t>
      </w:r>
      <w:r w:rsidRPr="00494293">
        <w:t>All Channel Receiver Act of 1962</w:t>
      </w:r>
      <w:r w:rsidR="00537A6E">
        <w:t xml:space="preserve"> </w:t>
      </w:r>
      <w:r w:rsidR="00257A84">
        <w:t>grants</w:t>
      </w:r>
      <w:r w:rsidR="00537A6E">
        <w:t xml:space="preserve"> the Commission the “authority to require that apparatus designed to receive television pictures broadcast simultaneously with sound be capable of adequately receiving all frequencies allocated by the Commission to television broadcasting when such apparatus is shipped in interstate commerce, or is imported from any foreign country into the United </w:t>
      </w:r>
      <w:r w:rsidR="00537A6E" w:rsidRPr="005B64CF">
        <w:rPr>
          <w:szCs w:val="22"/>
        </w:rPr>
        <w:t>States, for sale or resale to the public.”</w:t>
      </w:r>
      <w:r w:rsidR="00537A6E" w:rsidRPr="005B64CF">
        <w:rPr>
          <w:rStyle w:val="FootnoteReference"/>
          <w:szCs w:val="22"/>
        </w:rPr>
        <w:footnoteReference w:id="6"/>
      </w:r>
      <w:r w:rsidR="00537A6E" w:rsidRPr="005B64CF">
        <w:rPr>
          <w:szCs w:val="22"/>
        </w:rPr>
        <w:t xml:space="preserve">  The Commission </w:t>
      </w:r>
      <w:r w:rsidR="00E9681D" w:rsidRPr="005B64CF">
        <w:rPr>
          <w:szCs w:val="22"/>
        </w:rPr>
        <w:t xml:space="preserve">first </w:t>
      </w:r>
      <w:r w:rsidR="00537A6E" w:rsidRPr="005B64CF">
        <w:rPr>
          <w:szCs w:val="22"/>
        </w:rPr>
        <w:t xml:space="preserve">exercised this authority </w:t>
      </w:r>
      <w:r w:rsidR="005329AD" w:rsidRPr="005B64CF">
        <w:rPr>
          <w:szCs w:val="22"/>
        </w:rPr>
        <w:t>in 19</w:t>
      </w:r>
      <w:r w:rsidR="005B64CF" w:rsidRPr="005B64CF">
        <w:rPr>
          <w:szCs w:val="22"/>
        </w:rPr>
        <w:t>62</w:t>
      </w:r>
      <w:r w:rsidR="005329AD" w:rsidRPr="005B64CF">
        <w:rPr>
          <w:szCs w:val="22"/>
        </w:rPr>
        <w:t xml:space="preserve"> by</w:t>
      </w:r>
      <w:r w:rsidR="00537A6E" w:rsidRPr="005B64CF">
        <w:rPr>
          <w:szCs w:val="22"/>
        </w:rPr>
        <w:t xml:space="preserve"> adopting Section </w:t>
      </w:r>
      <w:r w:rsidR="005329AD" w:rsidRPr="005B64CF">
        <w:rPr>
          <w:szCs w:val="22"/>
        </w:rPr>
        <w:t>15.</w:t>
      </w:r>
      <w:r w:rsidR="005B64CF" w:rsidRPr="005B64CF">
        <w:rPr>
          <w:szCs w:val="22"/>
        </w:rPr>
        <w:t>70(a)</w:t>
      </w:r>
      <w:r w:rsidR="002D2F47">
        <w:rPr>
          <w:szCs w:val="22"/>
        </w:rPr>
        <w:t xml:space="preserve"> of the Commission’s rules</w:t>
      </w:r>
      <w:r w:rsidR="0003759D">
        <w:rPr>
          <w:szCs w:val="22"/>
        </w:rPr>
        <w:t>.</w:t>
      </w:r>
      <w:r w:rsidR="005B64CF">
        <w:rPr>
          <w:rStyle w:val="FootnoteReference"/>
          <w:szCs w:val="22"/>
          <w:lang w:eastAsia="en-US"/>
        </w:rPr>
        <w:footnoteReference w:id="7"/>
      </w:r>
      <w:r w:rsidR="005B64CF" w:rsidRPr="005B64CF">
        <w:rPr>
          <w:szCs w:val="22"/>
          <w:lang w:eastAsia="en-US"/>
        </w:rPr>
        <w:t xml:space="preserve">  </w:t>
      </w:r>
      <w:r w:rsidR="005B64CF">
        <w:rPr>
          <w:szCs w:val="22"/>
        </w:rPr>
        <w:t>Th</w:t>
      </w:r>
      <w:r w:rsidR="002D2F47">
        <w:rPr>
          <w:szCs w:val="22"/>
        </w:rPr>
        <w:t>e successor to th</w:t>
      </w:r>
      <w:r w:rsidR="005B64CF">
        <w:rPr>
          <w:szCs w:val="22"/>
        </w:rPr>
        <w:t>is rule</w:t>
      </w:r>
      <w:r w:rsidR="002D2F47">
        <w:rPr>
          <w:szCs w:val="22"/>
        </w:rPr>
        <w:t>, now codified</w:t>
      </w:r>
      <w:r w:rsidR="005B64CF">
        <w:rPr>
          <w:szCs w:val="22"/>
        </w:rPr>
        <w:t xml:space="preserve"> at Section </w:t>
      </w:r>
      <w:r w:rsidR="00D712EC">
        <w:rPr>
          <w:szCs w:val="22"/>
        </w:rPr>
        <w:t>15.117(b)</w:t>
      </w:r>
      <w:r w:rsidR="00617BC5">
        <w:rPr>
          <w:szCs w:val="22"/>
        </w:rPr>
        <w:t xml:space="preserve">, </w:t>
      </w:r>
      <w:r w:rsidR="00D712EC">
        <w:rPr>
          <w:szCs w:val="22"/>
        </w:rPr>
        <w:t>states</w:t>
      </w:r>
      <w:r w:rsidR="002D2F47">
        <w:rPr>
          <w:szCs w:val="22"/>
        </w:rPr>
        <w:t xml:space="preserve"> that</w:t>
      </w:r>
      <w:r w:rsidR="00D712EC">
        <w:rPr>
          <w:szCs w:val="22"/>
        </w:rPr>
        <w:t xml:space="preserve"> </w:t>
      </w:r>
      <w:r w:rsidR="00537A6E" w:rsidRPr="005B64CF">
        <w:rPr>
          <w:szCs w:val="22"/>
        </w:rPr>
        <w:t>“TV broadcast receivers shall be capable of adequately receiving all channels allocated by the Commission to the television broadcast service.”</w:t>
      </w:r>
      <w:r w:rsidR="00537A6E" w:rsidRPr="005B64CF">
        <w:rPr>
          <w:rStyle w:val="FootnoteReference"/>
          <w:szCs w:val="22"/>
        </w:rPr>
        <w:footnoteReference w:id="8"/>
      </w:r>
      <w:r w:rsidR="0093337D">
        <w:rPr>
          <w:szCs w:val="22"/>
        </w:rPr>
        <w:t xml:space="preserve">  A “TV broadcast receiver” is defined as a “device designed to receive television pictures that are broadcast simultaneously with sound on the television channels authorized under part 73 of this chapter.</w:t>
      </w:r>
      <w:r w:rsidR="00F978E3">
        <w:rPr>
          <w:szCs w:val="22"/>
        </w:rPr>
        <w:t>”</w:t>
      </w:r>
      <w:r w:rsidR="0093337D">
        <w:rPr>
          <w:rStyle w:val="FootnoteReference"/>
          <w:szCs w:val="22"/>
        </w:rPr>
        <w:footnoteReference w:id="9"/>
      </w:r>
      <w:r w:rsidR="00D712EC">
        <w:rPr>
          <w:szCs w:val="22"/>
        </w:rPr>
        <w:t xml:space="preserve">  </w:t>
      </w:r>
      <w:bookmarkStart w:id="1" w:name="SR;1883"/>
      <w:bookmarkStart w:id="2" w:name="SR;1884"/>
      <w:bookmarkEnd w:id="1"/>
      <w:bookmarkEnd w:id="2"/>
      <w:r w:rsidR="0074744C">
        <w:rPr>
          <w:szCs w:val="22"/>
        </w:rPr>
        <w:t>For purposes of this rule, the term “TV broadcast receivers</w:t>
      </w:r>
      <w:r w:rsidR="002D59FA">
        <w:rPr>
          <w:szCs w:val="22"/>
        </w:rPr>
        <w:t>”</w:t>
      </w:r>
      <w:r w:rsidR="0074744C">
        <w:rPr>
          <w:szCs w:val="22"/>
        </w:rPr>
        <w:t xml:space="preserve"> includes </w:t>
      </w:r>
      <w:r w:rsidR="002D59FA">
        <w:rPr>
          <w:szCs w:val="22"/>
        </w:rPr>
        <w:t>“</w:t>
      </w:r>
      <w:r w:rsidR="0074744C">
        <w:rPr>
          <w:szCs w:val="22"/>
        </w:rPr>
        <w:t>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w:t>
      </w:r>
      <w:r w:rsidR="0074744C">
        <w:rPr>
          <w:rStyle w:val="FootnoteReference"/>
          <w:szCs w:val="22"/>
        </w:rPr>
        <w:footnoteReference w:id="10"/>
      </w:r>
      <w:r w:rsidR="0074744C">
        <w:rPr>
          <w:szCs w:val="22"/>
        </w:rPr>
        <w:t xml:space="preserve">  </w:t>
      </w:r>
      <w:r w:rsidR="00D712EC">
        <w:rPr>
          <w:szCs w:val="22"/>
        </w:rPr>
        <w:t xml:space="preserve">The purpose of this rule </w:t>
      </w:r>
      <w:r w:rsidR="00805B2F">
        <w:rPr>
          <w:szCs w:val="22"/>
        </w:rPr>
        <w:t>wa</w:t>
      </w:r>
      <w:r w:rsidR="00D712EC">
        <w:rPr>
          <w:szCs w:val="22"/>
        </w:rPr>
        <w:t xml:space="preserve">s to ensure that television broadcast receivers </w:t>
      </w:r>
      <w:r w:rsidR="007358CE">
        <w:rPr>
          <w:szCs w:val="22"/>
        </w:rPr>
        <w:t>r</w:t>
      </w:r>
      <w:r w:rsidR="00D712EC">
        <w:rPr>
          <w:szCs w:val="22"/>
        </w:rPr>
        <w:t>eceive all television broadcast channels irrespective of the channel’s place in the broadcast spectrum.</w:t>
      </w:r>
      <w:r w:rsidR="00D712EC">
        <w:rPr>
          <w:rStyle w:val="FootnoteReference"/>
          <w:szCs w:val="22"/>
        </w:rPr>
        <w:footnoteReference w:id="11"/>
      </w:r>
      <w:r w:rsidR="00965D0A" w:rsidRPr="00D061A5">
        <w:rPr>
          <w:rStyle w:val="apple-style-span"/>
          <w:color w:val="000000"/>
          <w:shd w:val="clear" w:color="auto" w:fill="FFFFFF"/>
        </w:rPr>
        <w:t xml:space="preserve">  </w:t>
      </w:r>
      <w:r w:rsidR="006A24F3">
        <w:rPr>
          <w:rStyle w:val="apple-style-span"/>
          <w:color w:val="000000"/>
          <w:shd w:val="clear" w:color="auto" w:fill="FFFFFF"/>
        </w:rPr>
        <w:t xml:space="preserve">In October 2014, the </w:t>
      </w:r>
      <w:r w:rsidR="001119B0">
        <w:rPr>
          <w:rStyle w:val="apple-style-span"/>
          <w:color w:val="000000"/>
          <w:shd w:val="clear" w:color="auto" w:fill="FFFFFF"/>
        </w:rPr>
        <w:t xml:space="preserve">Commission </w:t>
      </w:r>
      <w:r w:rsidR="0024393E">
        <w:rPr>
          <w:rStyle w:val="apple-style-span"/>
          <w:color w:val="000000"/>
          <w:shd w:val="clear" w:color="auto" w:fill="FFFFFF"/>
        </w:rPr>
        <w:t xml:space="preserve">simultaneously </w:t>
      </w:r>
      <w:r w:rsidR="001119B0">
        <w:rPr>
          <w:rStyle w:val="apple-style-span"/>
          <w:color w:val="000000"/>
          <w:shd w:val="clear" w:color="auto" w:fill="FFFFFF"/>
        </w:rPr>
        <w:lastRenderedPageBreak/>
        <w:t xml:space="preserve">tentatively concluded that it should postpone the analog transition deadline for LPTV and TV translator stations in light of </w:t>
      </w:r>
      <w:r w:rsidR="0024393E">
        <w:rPr>
          <w:rStyle w:val="apple-style-span"/>
          <w:color w:val="000000"/>
          <w:shd w:val="clear" w:color="auto" w:fill="FFFFFF"/>
        </w:rPr>
        <w:t>the upcoming incentive auction and</w:t>
      </w:r>
      <w:r w:rsidR="006A24F3">
        <w:rPr>
          <w:rStyle w:val="apple-style-span"/>
          <w:color w:val="000000"/>
          <w:shd w:val="clear" w:color="auto" w:fill="FFFFFF"/>
        </w:rPr>
        <w:t xml:space="preserve"> sought comment on a proposal to </w:t>
      </w:r>
      <w:r w:rsidR="0024393E">
        <w:rPr>
          <w:rStyle w:val="apple-style-span"/>
          <w:color w:val="000000"/>
          <w:shd w:val="clear" w:color="auto" w:fill="FFFFFF"/>
        </w:rPr>
        <w:t xml:space="preserve">nevertheless </w:t>
      </w:r>
      <w:r w:rsidR="006A24F3">
        <w:rPr>
          <w:rStyle w:val="apple-style-span"/>
          <w:color w:val="000000"/>
          <w:shd w:val="clear" w:color="auto" w:fill="FFFFFF"/>
        </w:rPr>
        <w:t>eliminate the</w:t>
      </w:r>
      <w:r w:rsidR="001119B0">
        <w:rPr>
          <w:rStyle w:val="apple-style-span"/>
          <w:color w:val="000000"/>
          <w:shd w:val="clear" w:color="auto" w:fill="FFFFFF"/>
        </w:rPr>
        <w:t xml:space="preserve"> analog tuner requirement</w:t>
      </w:r>
      <w:r w:rsidR="006A24F3">
        <w:rPr>
          <w:rStyle w:val="apple-style-span"/>
          <w:color w:val="000000"/>
          <w:shd w:val="clear" w:color="auto" w:fill="FFFFFF"/>
        </w:rPr>
        <w:t>.</w:t>
      </w:r>
      <w:r w:rsidR="006A24F3">
        <w:rPr>
          <w:rStyle w:val="FootnoteReference"/>
          <w:color w:val="000000"/>
          <w:shd w:val="clear" w:color="auto" w:fill="FFFFFF"/>
        </w:rPr>
        <w:footnoteReference w:id="12"/>
      </w:r>
    </w:p>
    <w:p w14:paraId="4063C430" w14:textId="77777777" w:rsidR="00F7572E" w:rsidRDefault="00CF2B00" w:rsidP="000A522E">
      <w:pPr>
        <w:pStyle w:val="ParaNum"/>
        <w:jc w:val="left"/>
      </w:pPr>
      <w:r w:rsidRPr="007C5CA4">
        <w:rPr>
          <w:color w:val="000000" w:themeColor="text1"/>
        </w:rPr>
        <w:t>The Commission has previously granted waivers of the analog tuner requirement to EchoStar</w:t>
      </w:r>
      <w:r w:rsidR="00747C18" w:rsidRPr="007C5CA4">
        <w:rPr>
          <w:rStyle w:val="FootnoteReference"/>
          <w:color w:val="000000" w:themeColor="text1"/>
          <w:szCs w:val="22"/>
        </w:rPr>
        <w:footnoteReference w:id="13"/>
      </w:r>
      <w:r w:rsidR="00747C18" w:rsidRPr="007C5CA4">
        <w:rPr>
          <w:rStyle w:val="apple-style-span"/>
          <w:color w:val="000000" w:themeColor="text1"/>
          <w:shd w:val="clear" w:color="auto" w:fill="FFFFFF"/>
        </w:rPr>
        <w:t xml:space="preserve"> </w:t>
      </w:r>
      <w:r w:rsidRPr="007C5CA4">
        <w:rPr>
          <w:color w:val="000000" w:themeColor="text1"/>
        </w:rPr>
        <w:t>and TiVo, Inc. (“TiVo”)</w:t>
      </w:r>
      <w:r w:rsidR="00161369">
        <w:rPr>
          <w:color w:val="000000" w:themeColor="text1"/>
        </w:rPr>
        <w:t xml:space="preserve"> </w:t>
      </w:r>
      <w:r w:rsidR="002A51A4">
        <w:rPr>
          <w:color w:val="000000" w:themeColor="text1"/>
        </w:rPr>
        <w:t>based on similar</w:t>
      </w:r>
      <w:r w:rsidR="00161369">
        <w:rPr>
          <w:color w:val="000000" w:themeColor="text1"/>
        </w:rPr>
        <w:t xml:space="preserve"> circumstances</w:t>
      </w:r>
      <w:r w:rsidRPr="007C5CA4">
        <w:rPr>
          <w:color w:val="000000" w:themeColor="text1"/>
        </w:rPr>
        <w:t>.</w:t>
      </w:r>
      <w:r w:rsidRPr="007C5CA4">
        <w:rPr>
          <w:rStyle w:val="FootnoteReference"/>
          <w:color w:val="000000" w:themeColor="text1"/>
          <w:szCs w:val="22"/>
        </w:rPr>
        <w:footnoteReference w:id="14"/>
      </w:r>
      <w:r w:rsidRPr="007C5CA4">
        <w:rPr>
          <w:rStyle w:val="apple-style-span"/>
          <w:color w:val="000000" w:themeColor="text1"/>
          <w:shd w:val="clear" w:color="auto" w:fill="FFFFFF"/>
        </w:rPr>
        <w:t xml:space="preserve"> </w:t>
      </w:r>
      <w:r w:rsidR="00727F80" w:rsidRPr="007C5CA4">
        <w:rPr>
          <w:color w:val="000000" w:themeColor="text1"/>
        </w:rPr>
        <w:t>On</w:t>
      </w:r>
      <w:r w:rsidR="00AD6061" w:rsidRPr="007C5CA4">
        <w:rPr>
          <w:color w:val="000000" w:themeColor="text1"/>
        </w:rPr>
        <w:t xml:space="preserve"> August </w:t>
      </w:r>
      <w:r w:rsidR="00727F80" w:rsidRPr="007C5CA4">
        <w:rPr>
          <w:color w:val="000000" w:themeColor="text1"/>
        </w:rPr>
        <w:t xml:space="preserve">9, </w:t>
      </w:r>
      <w:r w:rsidR="00AD6061" w:rsidRPr="007C5CA4">
        <w:rPr>
          <w:color w:val="000000" w:themeColor="text1"/>
        </w:rPr>
        <w:t>2013, the Media Bureau granted TiVo</w:t>
      </w:r>
      <w:r w:rsidR="00996179" w:rsidRPr="007C5CA4">
        <w:rPr>
          <w:color w:val="000000" w:themeColor="text1"/>
        </w:rPr>
        <w:t xml:space="preserve">’s </w:t>
      </w:r>
      <w:r w:rsidR="00007459" w:rsidRPr="007C5CA4">
        <w:rPr>
          <w:color w:val="000000" w:themeColor="text1"/>
        </w:rPr>
        <w:t>unopposed request for</w:t>
      </w:r>
      <w:r w:rsidR="00AD6061" w:rsidRPr="007C5CA4">
        <w:rPr>
          <w:color w:val="000000" w:themeColor="text1"/>
        </w:rPr>
        <w:t xml:space="preserve"> waiver of </w:t>
      </w:r>
      <w:r w:rsidR="00277E0A" w:rsidRPr="007C5CA4">
        <w:rPr>
          <w:color w:val="000000" w:themeColor="text1"/>
        </w:rPr>
        <w:t>both the broadcast and cable</w:t>
      </w:r>
      <w:r w:rsidR="006D2124" w:rsidRPr="007C5CA4">
        <w:rPr>
          <w:color w:val="000000" w:themeColor="text1"/>
        </w:rPr>
        <w:t xml:space="preserve"> analog</w:t>
      </w:r>
      <w:r w:rsidR="00277E0A" w:rsidRPr="007C5CA4">
        <w:rPr>
          <w:color w:val="000000" w:themeColor="text1"/>
        </w:rPr>
        <w:t xml:space="preserve"> tuner rules</w:t>
      </w:r>
      <w:r w:rsidR="00AF3945" w:rsidRPr="007C5CA4">
        <w:rPr>
          <w:color w:val="000000" w:themeColor="text1"/>
        </w:rPr>
        <w:t>,</w:t>
      </w:r>
      <w:r w:rsidR="00277E0A" w:rsidRPr="007C5CA4">
        <w:rPr>
          <w:rStyle w:val="FootnoteReference"/>
          <w:color w:val="000000" w:themeColor="text1"/>
        </w:rPr>
        <w:footnoteReference w:id="15"/>
      </w:r>
      <w:r w:rsidR="00B060C3">
        <w:rPr>
          <w:color w:val="000000" w:themeColor="text1"/>
        </w:rPr>
        <w:t xml:space="preserve"> and on September 30, 2013, the </w:t>
      </w:r>
      <w:r w:rsidR="00B060C3" w:rsidRPr="007C5CA4">
        <w:rPr>
          <w:color w:val="000000" w:themeColor="text1"/>
        </w:rPr>
        <w:t xml:space="preserve">Media Bureau granted </w:t>
      </w:r>
      <w:r w:rsidR="00B060C3">
        <w:rPr>
          <w:color w:val="000000" w:themeColor="text1"/>
        </w:rPr>
        <w:t>EchoStar</w:t>
      </w:r>
      <w:r w:rsidR="00B060C3" w:rsidRPr="007C5CA4">
        <w:rPr>
          <w:color w:val="000000" w:themeColor="text1"/>
        </w:rPr>
        <w:t>’s unopposed request for waiver of the broadcast</w:t>
      </w:r>
      <w:r w:rsidR="00AF3945" w:rsidRPr="007C5CA4">
        <w:rPr>
          <w:color w:val="000000" w:themeColor="text1"/>
        </w:rPr>
        <w:t xml:space="preserve"> </w:t>
      </w:r>
      <w:r w:rsidR="00B060C3">
        <w:rPr>
          <w:color w:val="000000" w:themeColor="text1"/>
        </w:rPr>
        <w:t xml:space="preserve">tuner rule.  The Bureau </w:t>
      </w:r>
      <w:r w:rsidR="00B060C3" w:rsidRPr="007C5CA4">
        <w:rPr>
          <w:color w:val="000000" w:themeColor="text1"/>
        </w:rPr>
        <w:t>conclud</w:t>
      </w:r>
      <w:r w:rsidR="00B060C3">
        <w:rPr>
          <w:color w:val="000000" w:themeColor="text1"/>
        </w:rPr>
        <w:t>ed</w:t>
      </w:r>
      <w:r w:rsidR="00B060C3" w:rsidRPr="007C5CA4">
        <w:rPr>
          <w:color w:val="000000" w:themeColor="text1"/>
        </w:rPr>
        <w:t xml:space="preserve"> </w:t>
      </w:r>
      <w:r w:rsidR="00DC4E88">
        <w:rPr>
          <w:color w:val="000000" w:themeColor="text1"/>
        </w:rPr>
        <w:t xml:space="preserve">that </w:t>
      </w:r>
      <w:r w:rsidR="00AF3945" w:rsidRPr="007C5CA4">
        <w:rPr>
          <w:color w:val="000000" w:themeColor="text1"/>
        </w:rPr>
        <w:t xml:space="preserve">waiver was in the public interest </w:t>
      </w:r>
      <w:r w:rsidR="002A51A4">
        <w:rPr>
          <w:color w:val="000000" w:themeColor="text1"/>
        </w:rPr>
        <w:t xml:space="preserve">in these cases </w:t>
      </w:r>
      <w:r w:rsidR="00AF3945" w:rsidRPr="007C5CA4">
        <w:rPr>
          <w:color w:val="000000" w:themeColor="text1"/>
        </w:rPr>
        <w:t xml:space="preserve">because </w:t>
      </w:r>
      <w:r w:rsidR="00DC4E88">
        <w:rPr>
          <w:color w:val="000000" w:themeColor="text1"/>
        </w:rPr>
        <w:t>it</w:t>
      </w:r>
      <w:r w:rsidR="00B060C3">
        <w:rPr>
          <w:color w:val="000000" w:themeColor="text1"/>
        </w:rPr>
        <w:t xml:space="preserve"> </w:t>
      </w:r>
      <w:r w:rsidR="00AF3945" w:rsidRPr="007C5CA4">
        <w:rPr>
          <w:color w:val="000000" w:themeColor="text1"/>
        </w:rPr>
        <w:t>would reduce the cost and power consumption</w:t>
      </w:r>
      <w:r w:rsidR="0010544B">
        <w:rPr>
          <w:color w:val="000000" w:themeColor="text1"/>
        </w:rPr>
        <w:t xml:space="preserve"> of</w:t>
      </w:r>
      <w:r w:rsidR="00AF3945" w:rsidRPr="007C5CA4">
        <w:rPr>
          <w:color w:val="000000" w:themeColor="text1"/>
        </w:rPr>
        <w:t xml:space="preserve"> </w:t>
      </w:r>
      <w:r w:rsidR="00B060C3">
        <w:rPr>
          <w:color w:val="000000" w:themeColor="text1"/>
        </w:rPr>
        <w:t>the devices</w:t>
      </w:r>
      <w:r w:rsidR="00AF3945" w:rsidRPr="007C5CA4">
        <w:rPr>
          <w:color w:val="000000" w:themeColor="text1"/>
        </w:rPr>
        <w:t xml:space="preserve"> and </w:t>
      </w:r>
      <w:r w:rsidR="00B060C3">
        <w:rPr>
          <w:color w:val="000000" w:themeColor="text1"/>
        </w:rPr>
        <w:t>provide consumers with less expensive choices.</w:t>
      </w:r>
      <w:r w:rsidR="00AF3945" w:rsidRPr="007C5CA4">
        <w:rPr>
          <w:rStyle w:val="FootnoteReference"/>
          <w:color w:val="000000" w:themeColor="text1"/>
        </w:rPr>
        <w:footnoteReference w:id="16"/>
      </w:r>
      <w:r w:rsidR="00AF3945" w:rsidRPr="007C5CA4">
        <w:rPr>
          <w:color w:val="000000" w:themeColor="text1"/>
        </w:rPr>
        <w:t xml:space="preserve"> </w:t>
      </w:r>
      <w:r w:rsidR="00AD6061" w:rsidRPr="007C5CA4">
        <w:rPr>
          <w:color w:val="000000" w:themeColor="text1"/>
        </w:rPr>
        <w:t xml:space="preserve"> </w:t>
      </w:r>
      <w:r w:rsidR="001F3347" w:rsidRPr="007C5CA4">
        <w:rPr>
          <w:color w:val="000000" w:themeColor="text1"/>
        </w:rPr>
        <w:t xml:space="preserve">With respect </w:t>
      </w:r>
      <w:r w:rsidR="001F3347">
        <w:t xml:space="preserve">to the </w:t>
      </w:r>
      <w:r w:rsidR="001C265A">
        <w:t xml:space="preserve">Section 15.117(b) analog </w:t>
      </w:r>
      <w:r w:rsidR="007D2183">
        <w:t>broadcast tuner</w:t>
      </w:r>
      <w:r w:rsidR="001F3347">
        <w:t xml:space="preserve"> </w:t>
      </w:r>
      <w:r w:rsidR="0006170C">
        <w:t>r</w:t>
      </w:r>
      <w:r w:rsidR="001C265A">
        <w:t>equirement</w:t>
      </w:r>
      <w:r w:rsidR="007D2183">
        <w:t>,</w:t>
      </w:r>
      <w:r w:rsidR="0006170C">
        <w:t xml:space="preserve"> t</w:t>
      </w:r>
      <w:r w:rsidR="00AD6061">
        <w:t>he Bu</w:t>
      </w:r>
      <w:r w:rsidR="00161369">
        <w:t>reau concluded that the waiver would</w:t>
      </w:r>
      <w:r w:rsidR="00AE6DBC">
        <w:t xml:space="preserve"> </w:t>
      </w:r>
      <w:r w:rsidR="00161369">
        <w:t>“</w:t>
      </w:r>
      <w:r w:rsidR="00AE6DBC">
        <w:t>cause minimal inconvenience and disruption to consumers”</w:t>
      </w:r>
      <w:r w:rsidR="0006170C">
        <w:t xml:space="preserve"> because</w:t>
      </w:r>
      <w:r w:rsidR="002A51A4">
        <w:t xml:space="preserve"> </w:t>
      </w:r>
      <w:r w:rsidR="00E22A1C">
        <w:t>all full-power television</w:t>
      </w:r>
      <w:r w:rsidR="00AB1828">
        <w:t xml:space="preserve"> broadcast stations and many low-</w:t>
      </w:r>
      <w:r w:rsidR="00E22A1C">
        <w:t xml:space="preserve">power </w:t>
      </w:r>
      <w:r w:rsidR="00AB1828">
        <w:t>stations stopped broadcasting analog signals more than five years ago.</w:t>
      </w:r>
      <w:r w:rsidR="00E22A1C" w:rsidRPr="00E22A1C">
        <w:rPr>
          <w:rStyle w:val="FootnoteReference"/>
        </w:rPr>
        <w:t xml:space="preserve"> </w:t>
      </w:r>
      <w:r w:rsidR="00E22A1C">
        <w:rPr>
          <w:rStyle w:val="FootnoteReference"/>
        </w:rPr>
        <w:footnoteReference w:id="17"/>
      </w:r>
      <w:r w:rsidR="00E22A1C">
        <w:t xml:space="preserve"> </w:t>
      </w:r>
      <w:r w:rsidR="00F26D31">
        <w:t xml:space="preserve"> </w:t>
      </w:r>
      <w:r w:rsidR="00E22A1C">
        <w:t xml:space="preserve">The Bureau </w:t>
      </w:r>
      <w:r w:rsidR="00870C8C">
        <w:t xml:space="preserve">stated </w:t>
      </w:r>
      <w:r w:rsidR="00E22A1C">
        <w:t>that the few c</w:t>
      </w:r>
      <w:r w:rsidR="00161369">
        <w:t xml:space="preserve">onsumers </w:t>
      </w:r>
      <w:r w:rsidR="00E22A1C">
        <w:t xml:space="preserve">who </w:t>
      </w:r>
      <w:r w:rsidR="00F737AC">
        <w:t xml:space="preserve">still </w:t>
      </w:r>
      <w:r w:rsidR="00E22A1C">
        <w:t>received analog signals could</w:t>
      </w:r>
      <w:r w:rsidR="00161369">
        <w:t xml:space="preserve"> “</w:t>
      </w:r>
      <w:r w:rsidR="00AE6DBC">
        <w:t>rely on the analog tuning functionality required to be in the television sets they already own</w:t>
      </w:r>
      <w:r w:rsidR="00161369">
        <w:t>ed</w:t>
      </w:r>
      <w:r w:rsidR="00AE6DBC">
        <w:t xml:space="preserve"> to view analog low-power broadcast stations.</w:t>
      </w:r>
      <w:r w:rsidR="0087438E">
        <w:t>”</w:t>
      </w:r>
      <w:r w:rsidR="0006170C">
        <w:rPr>
          <w:rStyle w:val="FootnoteReference"/>
        </w:rPr>
        <w:footnoteReference w:id="18"/>
      </w:r>
      <w:r w:rsidR="0006170C">
        <w:t xml:space="preserve"> </w:t>
      </w:r>
      <w:r w:rsidR="00AD6061">
        <w:t>The Bureau conditioned the waiver</w:t>
      </w:r>
      <w:r w:rsidR="0087438E">
        <w:t>s</w:t>
      </w:r>
      <w:r w:rsidR="00AD6061">
        <w:t xml:space="preserve"> on TiVo</w:t>
      </w:r>
      <w:r w:rsidR="0087438E">
        <w:t xml:space="preserve"> and EchoStar’s</w:t>
      </w:r>
      <w:r w:rsidR="00AD6061">
        <w:t xml:space="preserve"> </w:t>
      </w:r>
      <w:r w:rsidR="00AE6DBC">
        <w:t>voluntary</w:t>
      </w:r>
      <w:r w:rsidR="003552C0">
        <w:t xml:space="preserve"> </w:t>
      </w:r>
      <w:r w:rsidR="00AD6061">
        <w:t>consumer education campaign</w:t>
      </w:r>
      <w:r w:rsidR="0087438E">
        <w:t>s</w:t>
      </w:r>
      <w:r w:rsidR="00AD6061">
        <w:t>,</w:t>
      </w:r>
      <w:r w:rsidR="00AD6061">
        <w:rPr>
          <w:rStyle w:val="FootnoteReference"/>
        </w:rPr>
        <w:footnoteReference w:id="19"/>
      </w:r>
      <w:r w:rsidR="00AD6061">
        <w:t xml:space="preserve"> which the Bureau concluded was necessary because a small subset of consumers </w:t>
      </w:r>
      <w:r w:rsidR="0087438E">
        <w:t xml:space="preserve">continues to </w:t>
      </w:r>
      <w:r w:rsidR="00AD6061">
        <w:t>need to understand the limits of the devices.</w:t>
      </w:r>
      <w:r w:rsidR="00AD6061">
        <w:rPr>
          <w:rStyle w:val="FootnoteReference"/>
        </w:rPr>
        <w:footnoteReference w:id="20"/>
      </w:r>
    </w:p>
    <w:p w14:paraId="4E6A2D25" w14:textId="77777777" w:rsidR="00AD6061" w:rsidRDefault="00AD6061" w:rsidP="009122E5">
      <w:pPr>
        <w:pStyle w:val="ParaNum"/>
        <w:jc w:val="left"/>
      </w:pPr>
      <w:r>
        <w:lastRenderedPageBreak/>
        <w:t xml:space="preserve">On </w:t>
      </w:r>
      <w:r w:rsidR="00B060C3">
        <w:t>F</w:t>
      </w:r>
      <w:r w:rsidR="000931E1">
        <w:t xml:space="preserve">ebruary </w:t>
      </w:r>
      <w:r w:rsidR="00B060C3">
        <w:t>6</w:t>
      </w:r>
      <w:r>
        <w:t xml:space="preserve">, </w:t>
      </w:r>
      <w:r w:rsidR="00B060C3">
        <w:t>2015</w:t>
      </w:r>
      <w:r>
        <w:t xml:space="preserve">, </w:t>
      </w:r>
      <w:r w:rsidR="00B060C3">
        <w:t xml:space="preserve">Funai </w:t>
      </w:r>
      <w:r>
        <w:t>filed a request for waiver of Section 15.117(b) of the Commission’s rules</w:t>
      </w:r>
      <w:r w:rsidR="00C505FD">
        <w:t xml:space="preserve"> with respect to its </w:t>
      </w:r>
      <w:r w:rsidR="006972A3">
        <w:t>HDD/DVD</w:t>
      </w:r>
      <w:r w:rsidR="005A26BD">
        <w:t xml:space="preserve"> </w:t>
      </w:r>
      <w:r w:rsidR="00EA7577">
        <w:t>devices.</w:t>
      </w:r>
      <w:r w:rsidR="00EA7577">
        <w:rPr>
          <w:rStyle w:val="FootnoteReference"/>
        </w:rPr>
        <w:footnoteReference w:id="21"/>
      </w:r>
      <w:r w:rsidR="00EA7577">
        <w:t xml:space="preserve"> On February 13, 2015, EchoStar filed a similar request with respect to its SlingLoaded DVR.</w:t>
      </w:r>
      <w:r w:rsidR="00EA7577" w:rsidRPr="00EA7577">
        <w:rPr>
          <w:rStyle w:val="FootnoteReference"/>
        </w:rPr>
        <w:t xml:space="preserve"> </w:t>
      </w:r>
      <w:r w:rsidR="00EA7577">
        <w:rPr>
          <w:rStyle w:val="FootnoteReference"/>
        </w:rPr>
        <w:footnoteReference w:id="22"/>
      </w:r>
      <w:r w:rsidR="00EA7577">
        <w:t xml:space="preserve"> </w:t>
      </w:r>
      <w:r w:rsidR="0087438E">
        <w:t>Funai</w:t>
      </w:r>
      <w:r w:rsidR="005A26BD">
        <w:t xml:space="preserve"> </w:t>
      </w:r>
      <w:r w:rsidR="00EA7577">
        <w:t xml:space="preserve">and EchoStar </w:t>
      </w:r>
      <w:r w:rsidR="005A26BD">
        <w:t xml:space="preserve">emphasized </w:t>
      </w:r>
      <w:r w:rsidR="00A87D81">
        <w:t xml:space="preserve">that consumers who </w:t>
      </w:r>
      <w:r w:rsidR="003D2129">
        <w:t>want to receive analog signals will continue to be able to do so via the</w:t>
      </w:r>
      <w:r w:rsidR="0087438E">
        <w:t xml:space="preserve"> tuners included in their</w:t>
      </w:r>
      <w:r w:rsidR="003D2129">
        <w:t xml:space="preserve"> televisions</w:t>
      </w:r>
      <w:r w:rsidR="00C202EB">
        <w:t>, since</w:t>
      </w:r>
      <w:r w:rsidR="00A7469A">
        <w:t xml:space="preserve"> the SlingLoaded DVR and the HDD/DVD recorders are generally used in conjunction with a television set.</w:t>
      </w:r>
      <w:r w:rsidR="003D2129">
        <w:rPr>
          <w:rStyle w:val="FootnoteReference"/>
        </w:rPr>
        <w:footnoteReference w:id="23"/>
      </w:r>
      <w:r w:rsidR="00D108BC">
        <w:t xml:space="preserve">  </w:t>
      </w:r>
      <w:r w:rsidR="0087438E">
        <w:t xml:space="preserve">Funai </w:t>
      </w:r>
      <w:r w:rsidR="00A7469A">
        <w:t xml:space="preserve">and EchoStar </w:t>
      </w:r>
      <w:r w:rsidR="00291577">
        <w:t>voluntarily made several consumer education commitments to ensure that consumers and retailers are aware of the devices’ capabilities and limitations.</w:t>
      </w:r>
      <w:r w:rsidR="00291577">
        <w:rPr>
          <w:rStyle w:val="FootnoteReference"/>
        </w:rPr>
        <w:footnoteReference w:id="24"/>
      </w:r>
      <w:r w:rsidR="00291577">
        <w:t xml:space="preserve">  </w:t>
      </w:r>
      <w:r w:rsidR="001F33A6">
        <w:t>No commenters filed in opposition to these waiver requests.</w:t>
      </w:r>
    </w:p>
    <w:p w14:paraId="5A52B7C3" w14:textId="77777777" w:rsidR="00EC2E9E" w:rsidRDefault="00EC2E9E">
      <w:pPr>
        <w:pStyle w:val="Heading1"/>
        <w:widowControl/>
        <w:tabs>
          <w:tab w:val="left" w:pos="2160"/>
        </w:tabs>
        <w:jc w:val="left"/>
      </w:pPr>
      <w:r>
        <w:t>Discussion</w:t>
      </w:r>
    </w:p>
    <w:p w14:paraId="32608D15" w14:textId="7932D637" w:rsidR="00733392" w:rsidRDefault="00EC2E9E" w:rsidP="00D033BB">
      <w:pPr>
        <w:pStyle w:val="ParaNum"/>
        <w:widowControl/>
        <w:tabs>
          <w:tab w:val="left" w:pos="0"/>
        </w:tabs>
        <w:jc w:val="left"/>
      </w:pPr>
      <w:r>
        <w:t xml:space="preserve">We find good cause to grant </w:t>
      </w:r>
      <w:r w:rsidR="00723B12">
        <w:t xml:space="preserve">EchoStar’s and </w:t>
      </w:r>
      <w:r w:rsidR="00CC4B1D">
        <w:t>Funai</w:t>
      </w:r>
      <w:r w:rsidR="003D2129">
        <w:t xml:space="preserve">’s </w:t>
      </w:r>
      <w:r>
        <w:t>request</w:t>
      </w:r>
      <w:r w:rsidR="000931E1">
        <w:t>s</w:t>
      </w:r>
      <w:r>
        <w:t xml:space="preserve"> </w:t>
      </w:r>
      <w:r w:rsidR="00C16E90">
        <w:t>for waiver</w:t>
      </w:r>
      <w:r>
        <w:t>.</w:t>
      </w:r>
      <w:r>
        <w:rPr>
          <w:rStyle w:val="FootnoteReference"/>
        </w:rPr>
        <w:footnoteReference w:id="25"/>
      </w:r>
      <w:r>
        <w:t xml:space="preserve">  </w:t>
      </w:r>
      <w:r w:rsidR="00C07625">
        <w:t xml:space="preserve">EchoStar and </w:t>
      </w:r>
      <w:r w:rsidR="00437E25">
        <w:t>Funai</w:t>
      </w:r>
      <w:r w:rsidR="00C07625">
        <w:t xml:space="preserve"> present</w:t>
      </w:r>
      <w:r w:rsidR="00281147">
        <w:t xml:space="preserve"> specific benefits </w:t>
      </w:r>
      <w:r w:rsidR="00C07625">
        <w:t>to support their</w:t>
      </w:r>
      <w:r w:rsidR="00281147">
        <w:t xml:space="preserve"> waiver request</w:t>
      </w:r>
      <w:r w:rsidR="006F1B90">
        <w:t>s</w:t>
      </w:r>
      <w:r w:rsidR="001401BB">
        <w:t xml:space="preserve">, including </w:t>
      </w:r>
      <w:r w:rsidR="00733392">
        <w:t xml:space="preserve">promoting competition for retail devices, </w:t>
      </w:r>
      <w:r w:rsidR="001401BB">
        <w:t xml:space="preserve">cost savings, </w:t>
      </w:r>
      <w:r w:rsidR="007D2183">
        <w:t xml:space="preserve">and </w:t>
      </w:r>
      <w:r w:rsidR="001401BB">
        <w:t>energy efficiency</w:t>
      </w:r>
      <w:r w:rsidR="00281147">
        <w:t xml:space="preserve">.  </w:t>
      </w:r>
    </w:p>
    <w:p w14:paraId="3D111EEB" w14:textId="192DF3AF" w:rsidR="00B87F5A" w:rsidRPr="00571194" w:rsidRDefault="00C202EB" w:rsidP="00974F85">
      <w:pPr>
        <w:pStyle w:val="ParaNum"/>
        <w:widowControl/>
        <w:tabs>
          <w:tab w:val="left" w:pos="0"/>
        </w:tabs>
        <w:jc w:val="left"/>
      </w:pPr>
      <w:r w:rsidRPr="00C202EB">
        <w:rPr>
          <w:color w:val="000000"/>
          <w:shd w:val="clear" w:color="auto" w:fill="FFFFFF"/>
          <w:lang w:eastAsia="en-US"/>
        </w:rPr>
        <w:t xml:space="preserve">EchoStar and </w:t>
      </w:r>
      <w:r w:rsidR="00B87F5A" w:rsidRPr="00C202EB">
        <w:rPr>
          <w:color w:val="000000"/>
          <w:shd w:val="clear" w:color="auto" w:fill="FFFFFF"/>
          <w:lang w:eastAsia="en-US"/>
        </w:rPr>
        <w:t>Funai</w:t>
      </w:r>
      <w:r w:rsidRPr="00C202EB">
        <w:rPr>
          <w:color w:val="000000"/>
          <w:shd w:val="clear" w:color="auto" w:fill="FFFFFF"/>
          <w:lang w:eastAsia="en-US"/>
        </w:rPr>
        <w:t xml:space="preserve"> claim</w:t>
      </w:r>
      <w:r w:rsidR="00B87F5A" w:rsidRPr="00C202EB">
        <w:rPr>
          <w:color w:val="000000"/>
          <w:shd w:val="clear" w:color="auto" w:fill="FFFFFF"/>
          <w:lang w:eastAsia="en-US"/>
        </w:rPr>
        <w:t xml:space="preserve"> that from a product developme</w:t>
      </w:r>
      <w:r w:rsidR="00132150">
        <w:rPr>
          <w:color w:val="000000"/>
          <w:shd w:val="clear" w:color="auto" w:fill="FFFFFF"/>
          <w:lang w:eastAsia="en-US"/>
        </w:rPr>
        <w:t>nt perspective, a digital-only device</w:t>
      </w:r>
      <w:r w:rsidR="00B87F5A" w:rsidRPr="00C202EB">
        <w:rPr>
          <w:color w:val="000000"/>
          <w:shd w:val="clear" w:color="auto" w:fill="FFFFFF"/>
          <w:lang w:eastAsia="en-US"/>
        </w:rPr>
        <w:t xml:space="preserve"> has several advantages over equipment</w:t>
      </w:r>
      <w:r w:rsidR="00B87F5A" w:rsidRPr="00B87F5A">
        <w:rPr>
          <w:color w:val="000000"/>
          <w:shd w:val="clear" w:color="auto" w:fill="FFFFFF"/>
          <w:lang w:eastAsia="en-US"/>
        </w:rPr>
        <w:t xml:space="preserve"> using both analog and digital tuners:</w:t>
      </w:r>
      <w:r w:rsidR="00B9684E">
        <w:rPr>
          <w:color w:val="000000"/>
          <w:shd w:val="clear" w:color="auto" w:fill="FFFFFF"/>
          <w:lang w:eastAsia="en-US"/>
        </w:rPr>
        <w:t xml:space="preserve"> </w:t>
      </w:r>
      <w:r w:rsidR="00B87F5A" w:rsidRPr="00B87F5A">
        <w:rPr>
          <w:color w:val="000000"/>
          <w:shd w:val="clear" w:color="auto" w:fill="FFFFFF"/>
          <w:lang w:eastAsia="en-US"/>
        </w:rPr>
        <w:t xml:space="preserve"> the digital-only models involve less design complexity, avoid substantial operating costs that are </w:t>
      </w:r>
      <w:r w:rsidR="00B87F5A" w:rsidRPr="00561B56">
        <w:rPr>
          <w:color w:val="000000"/>
          <w:shd w:val="clear" w:color="auto" w:fill="FFFFFF"/>
          <w:lang w:eastAsia="en-US"/>
        </w:rPr>
        <w:t>generally associated with additional hardware, software, and licensing fees, and consume less energy.</w:t>
      </w:r>
      <w:r w:rsidR="00B87F5A" w:rsidRPr="00561B56">
        <w:rPr>
          <w:color w:val="000000"/>
          <w:shd w:val="clear" w:color="auto" w:fill="FFFFFF"/>
          <w:vertAlign w:val="superscript"/>
          <w:lang w:eastAsia="en-US"/>
        </w:rPr>
        <w:t xml:space="preserve"> </w:t>
      </w:r>
      <w:r w:rsidR="00B87F5A" w:rsidRPr="00561B56">
        <w:rPr>
          <w:color w:val="000000"/>
          <w:shd w:val="clear" w:color="auto" w:fill="FFFFFF"/>
          <w:vertAlign w:val="superscript"/>
          <w:lang w:eastAsia="en-US"/>
        </w:rPr>
        <w:footnoteReference w:id="26"/>
      </w:r>
      <w:r w:rsidR="00132150" w:rsidRPr="00561B56">
        <w:rPr>
          <w:color w:val="000000"/>
          <w:shd w:val="clear" w:color="auto" w:fill="FFFFFF"/>
          <w:lang w:eastAsia="en-US"/>
        </w:rPr>
        <w:t xml:space="preserve"> They maintain</w:t>
      </w:r>
      <w:r w:rsidR="00B87F5A" w:rsidRPr="00561B56">
        <w:rPr>
          <w:color w:val="000000"/>
          <w:shd w:val="clear" w:color="auto" w:fill="FFFFFF"/>
          <w:lang w:eastAsia="en-US"/>
        </w:rPr>
        <w:t xml:space="preserve"> that</w:t>
      </w:r>
      <w:r w:rsidR="00B87F5A" w:rsidRPr="00B87F5A">
        <w:rPr>
          <w:color w:val="000000"/>
          <w:shd w:val="clear" w:color="auto" w:fill="FFFFFF"/>
          <w:lang w:eastAsia="en-US"/>
        </w:rPr>
        <w:t xml:space="preserve"> these advantages will result in lower costs, which can be passed down to consumers </w:t>
      </w:r>
      <w:r w:rsidR="006A24F3">
        <w:rPr>
          <w:color w:val="000000"/>
          <w:shd w:val="clear" w:color="auto" w:fill="FFFFFF"/>
          <w:lang w:eastAsia="en-US"/>
        </w:rPr>
        <w:t>and also</w:t>
      </w:r>
      <w:r w:rsidR="00B87F5A" w:rsidRPr="00B87F5A">
        <w:rPr>
          <w:color w:val="000000"/>
          <w:shd w:val="clear" w:color="auto" w:fill="FFFFFF"/>
          <w:lang w:eastAsia="en-US"/>
        </w:rPr>
        <w:t xml:space="preserve"> promote a strong, competitive market.</w:t>
      </w:r>
      <w:r w:rsidR="00B87F5A" w:rsidRPr="00B87F5A">
        <w:rPr>
          <w:color w:val="000000"/>
          <w:shd w:val="clear" w:color="auto" w:fill="FFFFFF"/>
          <w:vertAlign w:val="superscript"/>
          <w:lang w:eastAsia="en-US"/>
        </w:rPr>
        <w:footnoteReference w:id="27"/>
      </w:r>
      <w:r w:rsidR="00B87F5A" w:rsidRPr="00B87F5A">
        <w:rPr>
          <w:color w:val="000000"/>
          <w:shd w:val="clear" w:color="auto" w:fill="FFFFFF"/>
          <w:lang w:eastAsia="en-US"/>
        </w:rPr>
        <w:t xml:space="preserve">  Funai asserts that requiring an analog tuner would be burdensome and unnecessary as it would “increase the complexity of design which could delay market entry and augment product cost due to additionally required encoding hardware, intellectual property licensing, and analog licensing costs.”</w:t>
      </w:r>
      <w:r w:rsidR="00B87F5A" w:rsidRPr="00B87F5A">
        <w:rPr>
          <w:color w:val="000000"/>
          <w:shd w:val="clear" w:color="auto" w:fill="FFFFFF"/>
          <w:vertAlign w:val="superscript"/>
          <w:lang w:eastAsia="en-US"/>
        </w:rPr>
        <w:footnoteReference w:id="28"/>
      </w:r>
      <w:r w:rsidR="00B87F5A" w:rsidRPr="00B87F5A">
        <w:rPr>
          <w:color w:val="000000"/>
          <w:shd w:val="clear" w:color="auto" w:fill="FFFFFF"/>
          <w:lang w:eastAsia="en-US"/>
        </w:rPr>
        <w:t xml:space="preserve"> </w:t>
      </w:r>
      <w:r w:rsidR="003935FE">
        <w:rPr>
          <w:color w:val="000000"/>
          <w:shd w:val="clear" w:color="auto" w:fill="FFFFFF"/>
          <w:lang w:eastAsia="en-US"/>
        </w:rPr>
        <w:t xml:space="preserve">Further, EchoStar </w:t>
      </w:r>
      <w:r w:rsidR="00561B56">
        <w:rPr>
          <w:color w:val="000000"/>
          <w:shd w:val="clear" w:color="auto" w:fill="FFFFFF"/>
          <w:lang w:eastAsia="en-US"/>
        </w:rPr>
        <w:t>claims that insertion of an analog tuner would make the device “far more bulky and less appealing to consumers, adding significantly to its manufacturing costs, and ultimately, to the retail price.”</w:t>
      </w:r>
      <w:r w:rsidR="00561B56" w:rsidRPr="00561B56">
        <w:rPr>
          <w:color w:val="000000"/>
          <w:shd w:val="clear" w:color="auto" w:fill="FFFFFF"/>
          <w:vertAlign w:val="superscript"/>
          <w:lang w:eastAsia="en-US"/>
        </w:rPr>
        <w:t xml:space="preserve"> </w:t>
      </w:r>
      <w:r w:rsidR="00561B56" w:rsidRPr="00B87F5A">
        <w:rPr>
          <w:color w:val="000000"/>
          <w:shd w:val="clear" w:color="auto" w:fill="FFFFFF"/>
          <w:vertAlign w:val="superscript"/>
          <w:lang w:eastAsia="en-US"/>
        </w:rPr>
        <w:footnoteReference w:id="29"/>
      </w:r>
      <w:r w:rsidR="00561B56">
        <w:rPr>
          <w:color w:val="000000"/>
          <w:shd w:val="clear" w:color="auto" w:fill="FFFFFF"/>
          <w:lang w:eastAsia="en-US"/>
        </w:rPr>
        <w:t xml:space="preserve"> </w:t>
      </w:r>
      <w:r w:rsidR="00983079">
        <w:rPr>
          <w:color w:val="000000"/>
          <w:shd w:val="clear" w:color="auto" w:fill="FFFFFF"/>
          <w:lang w:eastAsia="en-US"/>
        </w:rPr>
        <w:t>EchoStar and Funai state that granting their</w:t>
      </w:r>
      <w:r w:rsidR="00B87F5A" w:rsidRPr="00B87F5A">
        <w:rPr>
          <w:color w:val="000000"/>
          <w:shd w:val="clear" w:color="auto" w:fill="FFFFFF"/>
          <w:lang w:eastAsia="en-US"/>
        </w:rPr>
        <w:t xml:space="preserve"> requested waiver</w:t>
      </w:r>
      <w:r w:rsidR="00983079">
        <w:rPr>
          <w:color w:val="000000"/>
          <w:shd w:val="clear" w:color="auto" w:fill="FFFFFF"/>
          <w:lang w:eastAsia="en-US"/>
        </w:rPr>
        <w:t>s</w:t>
      </w:r>
      <w:r w:rsidR="00B87F5A" w:rsidRPr="00B87F5A">
        <w:rPr>
          <w:color w:val="000000"/>
          <w:shd w:val="clear" w:color="auto" w:fill="FFFFFF"/>
          <w:lang w:eastAsia="en-US"/>
        </w:rPr>
        <w:t xml:space="preserve"> would have a minimal impact on consumers, for the vast majority of </w:t>
      </w:r>
      <w:r w:rsidR="00983079">
        <w:rPr>
          <w:color w:val="000000"/>
          <w:shd w:val="clear" w:color="auto" w:fill="FFFFFF"/>
          <w:lang w:eastAsia="en-US"/>
        </w:rPr>
        <w:t>their</w:t>
      </w:r>
      <w:r w:rsidR="00B87F5A" w:rsidRPr="00B87F5A">
        <w:rPr>
          <w:color w:val="000000"/>
          <w:shd w:val="clear" w:color="auto" w:fill="FFFFFF"/>
          <w:lang w:eastAsia="en-US"/>
        </w:rPr>
        <w:t xml:space="preserve"> target market (consumers who have cable subscriptions and set-top boxes, </w:t>
      </w:r>
      <w:r w:rsidR="00983079">
        <w:rPr>
          <w:color w:val="000000"/>
          <w:shd w:val="clear" w:color="auto" w:fill="FFFFFF"/>
          <w:lang w:eastAsia="en-US"/>
        </w:rPr>
        <w:t xml:space="preserve">as well as </w:t>
      </w:r>
      <w:r w:rsidR="00B87F5A" w:rsidRPr="00B87F5A">
        <w:rPr>
          <w:color w:val="000000"/>
          <w:shd w:val="clear" w:color="auto" w:fill="FFFFFF"/>
          <w:lang w:eastAsia="en-US"/>
        </w:rPr>
        <w:t>consumers who use other devices, including television sets that already contain analog tuners) would be entirely unaffected by the elimination of an analog tuner from</w:t>
      </w:r>
      <w:r w:rsidR="00983079">
        <w:rPr>
          <w:color w:val="000000"/>
          <w:shd w:val="clear" w:color="auto" w:fill="FFFFFF"/>
          <w:lang w:eastAsia="en-US"/>
        </w:rPr>
        <w:t xml:space="preserve"> the SlingLoaded DVR and</w:t>
      </w:r>
      <w:r w:rsidR="00B87F5A" w:rsidRPr="00B87F5A">
        <w:rPr>
          <w:color w:val="000000"/>
          <w:shd w:val="clear" w:color="auto" w:fill="FFFFFF"/>
          <w:lang w:eastAsia="en-US"/>
        </w:rPr>
        <w:t xml:space="preserve"> HDD/DVD recorder</w:t>
      </w:r>
      <w:r w:rsidR="00983079">
        <w:rPr>
          <w:color w:val="000000"/>
          <w:shd w:val="clear" w:color="auto" w:fill="FFFFFF"/>
          <w:lang w:eastAsia="en-US"/>
        </w:rPr>
        <w:t>s</w:t>
      </w:r>
      <w:r w:rsidR="00B87F5A" w:rsidRPr="00B87F5A">
        <w:rPr>
          <w:color w:val="000000"/>
          <w:shd w:val="clear" w:color="auto" w:fill="FFFFFF"/>
          <w:lang w:eastAsia="en-US"/>
        </w:rPr>
        <w:t>.</w:t>
      </w:r>
      <w:r w:rsidR="00B87F5A" w:rsidRPr="00B87F5A">
        <w:rPr>
          <w:color w:val="000000"/>
          <w:shd w:val="clear" w:color="auto" w:fill="FFFFFF"/>
          <w:vertAlign w:val="superscript"/>
          <w:lang w:eastAsia="en-US"/>
        </w:rPr>
        <w:t xml:space="preserve"> </w:t>
      </w:r>
      <w:r w:rsidR="00B87F5A" w:rsidRPr="00B87F5A">
        <w:rPr>
          <w:color w:val="000000"/>
          <w:shd w:val="clear" w:color="auto" w:fill="FFFFFF"/>
          <w:vertAlign w:val="superscript"/>
          <w:lang w:eastAsia="en-US"/>
        </w:rPr>
        <w:footnoteReference w:id="30"/>
      </w:r>
      <w:r w:rsidR="00B87F5A" w:rsidRPr="00B87F5A">
        <w:rPr>
          <w:color w:val="000000"/>
          <w:shd w:val="clear" w:color="auto" w:fill="FFFFFF"/>
          <w:lang w:eastAsia="en-US"/>
        </w:rPr>
        <w:t xml:space="preserve"> </w:t>
      </w:r>
      <w:r w:rsidR="00BC4E77">
        <w:rPr>
          <w:color w:val="000000"/>
          <w:shd w:val="clear" w:color="auto" w:fill="FFFFFF"/>
          <w:lang w:eastAsia="en-US"/>
        </w:rPr>
        <w:t>EchoStar and Funai claim</w:t>
      </w:r>
      <w:r w:rsidR="00B87F5A" w:rsidRPr="00B87F5A">
        <w:rPr>
          <w:color w:val="000000"/>
          <w:shd w:val="clear" w:color="auto" w:fill="FFFFFF"/>
          <w:lang w:eastAsia="en-US"/>
        </w:rPr>
        <w:t xml:space="preserve"> that the insertion of an analog tuner </w:t>
      </w:r>
      <w:r w:rsidR="00BC4E77">
        <w:rPr>
          <w:color w:val="000000"/>
          <w:shd w:val="clear" w:color="auto" w:fill="FFFFFF"/>
          <w:lang w:eastAsia="en-US"/>
        </w:rPr>
        <w:t xml:space="preserve">in their equipment </w:t>
      </w:r>
      <w:r w:rsidR="00B87F5A" w:rsidRPr="00B87F5A">
        <w:rPr>
          <w:color w:val="000000"/>
          <w:shd w:val="clear" w:color="auto" w:fill="FFFFFF"/>
          <w:lang w:eastAsia="en-US"/>
        </w:rPr>
        <w:t>would</w:t>
      </w:r>
      <w:r w:rsidR="002D2E15">
        <w:rPr>
          <w:color w:val="000000"/>
          <w:shd w:val="clear" w:color="auto" w:fill="FFFFFF"/>
        </w:rPr>
        <w:t xml:space="preserve"> not be necessary </w:t>
      </w:r>
      <w:r w:rsidR="006A24F3">
        <w:rPr>
          <w:color w:val="000000"/>
          <w:shd w:val="clear" w:color="auto" w:fill="FFFFFF"/>
          <w:lang w:eastAsia="en-US"/>
        </w:rPr>
        <w:t xml:space="preserve">even for consumers who receive analog </w:t>
      </w:r>
      <w:r w:rsidR="006A24F3">
        <w:rPr>
          <w:color w:val="000000"/>
          <w:shd w:val="clear" w:color="auto" w:fill="FFFFFF"/>
          <w:lang w:eastAsia="en-US"/>
        </w:rPr>
        <w:lastRenderedPageBreak/>
        <w:t>signals</w:t>
      </w:r>
      <w:r w:rsidR="00BC4E77">
        <w:rPr>
          <w:color w:val="000000"/>
          <w:shd w:val="clear" w:color="auto" w:fill="FFFFFF"/>
          <w:lang w:eastAsia="en-US"/>
        </w:rPr>
        <w:t>, considering that their</w:t>
      </w:r>
      <w:r w:rsidR="00B87F5A" w:rsidRPr="00B87F5A">
        <w:rPr>
          <w:color w:val="000000"/>
          <w:shd w:val="clear" w:color="auto" w:fill="FFFFFF"/>
          <w:lang w:eastAsia="en-US"/>
        </w:rPr>
        <w:t xml:space="preserve"> product</w:t>
      </w:r>
      <w:r w:rsidR="00BC4E77">
        <w:rPr>
          <w:color w:val="000000"/>
          <w:shd w:val="clear" w:color="auto" w:fill="FFFFFF"/>
          <w:lang w:eastAsia="en-US"/>
        </w:rPr>
        <w:t xml:space="preserve">s </w:t>
      </w:r>
      <w:r w:rsidR="00BC4E77" w:rsidRPr="00571194">
        <w:rPr>
          <w:color w:val="000000"/>
          <w:shd w:val="clear" w:color="auto" w:fill="FFFFFF"/>
          <w:lang w:eastAsia="en-US"/>
        </w:rPr>
        <w:t>are</w:t>
      </w:r>
      <w:r w:rsidR="00B87F5A" w:rsidRPr="00571194">
        <w:rPr>
          <w:color w:val="000000"/>
          <w:shd w:val="clear" w:color="auto" w:fill="FFFFFF"/>
          <w:lang w:eastAsia="en-US"/>
        </w:rPr>
        <w:t xml:space="preserve"> ordinarily used in conjunction with a television set, which is already required to include analog tuners. </w:t>
      </w:r>
      <w:r w:rsidR="00B87F5A" w:rsidRPr="00571194">
        <w:rPr>
          <w:color w:val="000000"/>
          <w:shd w:val="clear" w:color="auto" w:fill="FFFFFF"/>
          <w:vertAlign w:val="superscript"/>
          <w:lang w:eastAsia="en-US"/>
        </w:rPr>
        <w:footnoteReference w:id="31"/>
      </w:r>
    </w:p>
    <w:p w14:paraId="54DBF15D" w14:textId="0A508636" w:rsidR="00DE643C" w:rsidRPr="00DE643C" w:rsidRDefault="00720470" w:rsidP="00A7473D">
      <w:pPr>
        <w:pStyle w:val="ParaNum"/>
        <w:widowControl/>
        <w:tabs>
          <w:tab w:val="left" w:pos="0"/>
        </w:tabs>
        <w:jc w:val="left"/>
      </w:pPr>
      <w:r w:rsidRPr="00586389">
        <w:t>Based on th</w:t>
      </w:r>
      <w:r w:rsidR="00B9684E">
        <w:t>e</w:t>
      </w:r>
      <w:r w:rsidRPr="00586389">
        <w:t xml:space="preserve"> record, w</w:t>
      </w:r>
      <w:r w:rsidR="00117EA2" w:rsidRPr="00586389">
        <w:t>e</w:t>
      </w:r>
      <w:r w:rsidR="00733392" w:rsidRPr="00586389">
        <w:t xml:space="preserve"> </w:t>
      </w:r>
      <w:r w:rsidRPr="00586389">
        <w:t xml:space="preserve">find </w:t>
      </w:r>
      <w:r w:rsidR="00733392" w:rsidRPr="00586389">
        <w:t xml:space="preserve">that the retail availability of the </w:t>
      </w:r>
      <w:r w:rsidR="008B13D6">
        <w:t xml:space="preserve">SlingLoaded DVR and the </w:t>
      </w:r>
      <w:r w:rsidR="00586389" w:rsidRPr="00586389">
        <w:t>HDD/DVD recorders</w:t>
      </w:r>
      <w:r w:rsidR="00733392" w:rsidRPr="00586389">
        <w:t xml:space="preserve"> would enhance consumer choice</w:t>
      </w:r>
      <w:r w:rsidR="009F0909" w:rsidRPr="00586389">
        <w:t xml:space="preserve"> and that </w:t>
      </w:r>
      <w:r w:rsidR="00586389">
        <w:t xml:space="preserve">granting </w:t>
      </w:r>
      <w:r w:rsidR="008B13D6">
        <w:t xml:space="preserve">EchoStar’s and </w:t>
      </w:r>
      <w:r w:rsidR="00586389">
        <w:t xml:space="preserve">Funai’s </w:t>
      </w:r>
      <w:r w:rsidR="008B13D6">
        <w:t>request</w:t>
      </w:r>
      <w:r w:rsidR="006F1B90">
        <w:t>s</w:t>
      </w:r>
      <w:r w:rsidR="008B13D6">
        <w:t xml:space="preserve"> </w:t>
      </w:r>
      <w:r w:rsidR="00C57838">
        <w:t xml:space="preserve">for </w:t>
      </w:r>
      <w:r w:rsidR="00586389">
        <w:t xml:space="preserve">waiver is in the public interest. </w:t>
      </w:r>
      <w:r w:rsidR="00117EA2" w:rsidRPr="00C57838">
        <w:t xml:space="preserve">We </w:t>
      </w:r>
      <w:r w:rsidRPr="00C57838">
        <w:t xml:space="preserve">are </w:t>
      </w:r>
      <w:r w:rsidR="00117EA2" w:rsidRPr="00C57838">
        <w:t xml:space="preserve">also </w:t>
      </w:r>
      <w:r w:rsidRPr="00C57838">
        <w:t xml:space="preserve">persuaded </w:t>
      </w:r>
      <w:r w:rsidR="00733392" w:rsidRPr="00C57838">
        <w:t>that the required addition of an analog broadcast tuner in strict compliance with Section 15.117(b) would increase the cost, size, and energy consumption</w:t>
      </w:r>
      <w:r w:rsidR="009F0909" w:rsidRPr="00C57838">
        <w:t xml:space="preserve"> of the devices</w:t>
      </w:r>
      <w:r w:rsidR="0038629C" w:rsidRPr="00C57838">
        <w:t xml:space="preserve">, potentially </w:t>
      </w:r>
      <w:r w:rsidR="00C57838">
        <w:t>delaying market entry and</w:t>
      </w:r>
      <w:r w:rsidR="00A66EAA">
        <w:t xml:space="preserve"> undermining the policy of the rule</w:t>
      </w:r>
      <w:r w:rsidR="000B4087" w:rsidRPr="00A7473D">
        <w:t>.</w:t>
      </w:r>
      <w:r w:rsidR="000B4087" w:rsidRPr="00A7473D">
        <w:rPr>
          <w:rStyle w:val="FootnoteReference"/>
        </w:rPr>
        <w:footnoteReference w:id="32"/>
      </w:r>
      <w:r w:rsidR="0038629C" w:rsidRPr="00A7473D">
        <w:t xml:space="preserve"> </w:t>
      </w:r>
      <w:r w:rsidR="000B4087" w:rsidRPr="00A7473D">
        <w:t xml:space="preserve">As </w:t>
      </w:r>
      <w:r w:rsidR="006972A3">
        <w:t>CEA stated in its comments</w:t>
      </w:r>
      <w:r w:rsidR="000B4087" w:rsidRPr="00A7473D">
        <w:t>,</w:t>
      </w:r>
      <w:r w:rsidR="006972A3">
        <w:t xml:space="preserve"> waiver is consistent with Bureau precedent and will result in the same </w:t>
      </w:r>
      <w:r w:rsidR="000B4087" w:rsidRPr="00A7473D">
        <w:t>“</w:t>
      </w:r>
      <w:r w:rsidR="006972A3">
        <w:t>cost, weight, energy, and environmental savings</w:t>
      </w:r>
      <w:r w:rsidR="00A7473D">
        <w:t>”</w:t>
      </w:r>
      <w:r w:rsidR="006972A3">
        <w:t xml:space="preserve"> that the Bureau based previous waivers on.</w:t>
      </w:r>
      <w:r w:rsidR="00A7473D" w:rsidRPr="00A7473D">
        <w:rPr>
          <w:rStyle w:val="FootnoteReference"/>
        </w:rPr>
        <w:footnoteReference w:id="33"/>
      </w:r>
      <w:r w:rsidR="00A7473D">
        <w:t xml:space="preserve"> </w:t>
      </w:r>
    </w:p>
    <w:p w14:paraId="0E06A37C" w14:textId="4BE1F4EC" w:rsidR="00631B98" w:rsidRPr="00770F17" w:rsidRDefault="009F0909" w:rsidP="00612037">
      <w:pPr>
        <w:pStyle w:val="ParaNum"/>
        <w:widowControl/>
        <w:tabs>
          <w:tab w:val="left" w:pos="0"/>
        </w:tabs>
        <w:jc w:val="left"/>
      </w:pPr>
      <w:r>
        <w:t>In addit</w:t>
      </w:r>
      <w:r w:rsidR="00C60867">
        <w:t>ion to finding that the inclusion</w:t>
      </w:r>
      <w:r>
        <w:t xml:space="preserve"> of an analog tuner </w:t>
      </w:r>
      <w:r w:rsidR="00CE2CEE">
        <w:t>would unduly add to the cost, size, and energy consumption of the devices</w:t>
      </w:r>
      <w:r>
        <w:t>, we also find that w</w:t>
      </w:r>
      <w:r w:rsidR="00C16E90">
        <w:t>aiv</w:t>
      </w:r>
      <w:r w:rsidR="00691E9B">
        <w:t>ing the analog</w:t>
      </w:r>
      <w:r w:rsidR="003D2129">
        <w:t xml:space="preserve"> broadcast</w:t>
      </w:r>
      <w:r w:rsidR="00691E9B">
        <w:t xml:space="preserve"> tuner requirements</w:t>
      </w:r>
      <w:r w:rsidR="00C16E90">
        <w:t xml:space="preserve"> will have </w:t>
      </w:r>
      <w:r w:rsidR="001218B3">
        <w:t xml:space="preserve">a </w:t>
      </w:r>
      <w:r w:rsidR="001218B3" w:rsidRPr="00CF0459">
        <w:rPr>
          <w:i/>
        </w:rPr>
        <w:t>de minimis</w:t>
      </w:r>
      <w:r w:rsidR="00C16E90">
        <w:t xml:space="preserve"> effect on consumers</w:t>
      </w:r>
      <w:r>
        <w:t xml:space="preserve">.  </w:t>
      </w:r>
      <w:r w:rsidR="00EC2E9E">
        <w:t>As discussed above, the Commission adopted Section 15.11</w:t>
      </w:r>
      <w:r w:rsidR="00674F6B">
        <w:t>7</w:t>
      </w:r>
      <w:r w:rsidR="00EC2E9E">
        <w:t>(b)</w:t>
      </w:r>
      <w:r w:rsidR="00674F6B">
        <w:t xml:space="preserve"> </w:t>
      </w:r>
      <w:r w:rsidR="00EC2E9E">
        <w:t xml:space="preserve">to </w:t>
      </w:r>
      <w:r w:rsidR="007358CE">
        <w:rPr>
          <w:szCs w:val="22"/>
        </w:rPr>
        <w:t xml:space="preserve">ensure that television broadcast receivers </w:t>
      </w:r>
      <w:r w:rsidR="00D439B7">
        <w:rPr>
          <w:szCs w:val="22"/>
        </w:rPr>
        <w:t xml:space="preserve">are “capable of adequately </w:t>
      </w:r>
      <w:r w:rsidR="007358CE">
        <w:rPr>
          <w:szCs w:val="22"/>
        </w:rPr>
        <w:t>receiv</w:t>
      </w:r>
      <w:r w:rsidR="00D439B7">
        <w:rPr>
          <w:szCs w:val="22"/>
        </w:rPr>
        <w:t>ing</w:t>
      </w:r>
      <w:r w:rsidR="007358CE">
        <w:rPr>
          <w:szCs w:val="22"/>
        </w:rPr>
        <w:t xml:space="preserve"> all </w:t>
      </w:r>
      <w:r w:rsidR="00D439B7">
        <w:rPr>
          <w:szCs w:val="22"/>
        </w:rPr>
        <w:t xml:space="preserve">channels allocated by the Commission to the </w:t>
      </w:r>
      <w:r w:rsidR="007358CE">
        <w:rPr>
          <w:szCs w:val="22"/>
        </w:rPr>
        <w:t xml:space="preserve">television broadcast </w:t>
      </w:r>
      <w:r w:rsidR="00D439B7">
        <w:rPr>
          <w:szCs w:val="22"/>
        </w:rPr>
        <w:t>service</w:t>
      </w:r>
      <w:r w:rsidR="00925564">
        <w:rPr>
          <w:szCs w:val="22"/>
        </w:rPr>
        <w:t>.</w:t>
      </w:r>
      <w:r w:rsidR="008B1A5D">
        <w:rPr>
          <w:szCs w:val="22"/>
        </w:rPr>
        <w:t>”</w:t>
      </w:r>
      <w:r w:rsidR="00D439B7">
        <w:rPr>
          <w:rStyle w:val="FootnoteReference"/>
          <w:szCs w:val="22"/>
        </w:rPr>
        <w:footnoteReference w:id="34"/>
      </w:r>
      <w:r w:rsidR="00EC2E9E">
        <w:t xml:space="preserve">  </w:t>
      </w:r>
      <w:r w:rsidR="005C57EB">
        <w:t>A</w:t>
      </w:r>
      <w:r w:rsidR="00925564">
        <w:t xml:space="preserve">ll full-power television is </w:t>
      </w:r>
      <w:r w:rsidR="008B1A5D">
        <w:t xml:space="preserve">now </w:t>
      </w:r>
      <w:r w:rsidR="005C57EB" w:rsidRPr="00D4649E">
        <w:t xml:space="preserve">broadcast in </w:t>
      </w:r>
      <w:r w:rsidR="00925564" w:rsidRPr="00D4649E">
        <w:t>digital and</w:t>
      </w:r>
      <w:r w:rsidR="007B0519" w:rsidRPr="00D4649E">
        <w:t xml:space="preserve"> Class A broadcast stations must cease analog broadcasting by </w:t>
      </w:r>
      <w:r w:rsidR="00925564" w:rsidRPr="00D4649E">
        <w:t>September 1, 2015</w:t>
      </w:r>
      <w:r w:rsidR="007B0519" w:rsidRPr="00D4649E">
        <w:t>.</w:t>
      </w:r>
      <w:r w:rsidR="00D4649E">
        <w:rPr>
          <w:rStyle w:val="FootnoteReference"/>
          <w:szCs w:val="22"/>
        </w:rPr>
        <w:footnoteReference w:id="35"/>
      </w:r>
      <w:r w:rsidR="00D4649E">
        <w:t xml:space="preserve"> </w:t>
      </w:r>
      <w:r w:rsidR="007B0519" w:rsidRPr="00D4649E">
        <w:t>And</w:t>
      </w:r>
      <w:r w:rsidR="007B0519">
        <w:t>,</w:t>
      </w:r>
      <w:r w:rsidR="00BE4B71">
        <w:t xml:space="preserve"> </w:t>
      </w:r>
      <w:r w:rsidR="007B0519">
        <w:t>n</w:t>
      </w:r>
      <w:r w:rsidR="001119B0">
        <w:t xml:space="preserve">otwithstanding the fact that </w:t>
      </w:r>
      <w:r w:rsidR="000E0F7B">
        <w:t xml:space="preserve">the </w:t>
      </w:r>
      <w:r w:rsidR="001119B0">
        <w:t xml:space="preserve">Commission has </w:t>
      </w:r>
      <w:r w:rsidR="00160A0F">
        <w:t>suspended</w:t>
      </w:r>
      <w:r w:rsidR="001119B0">
        <w:t xml:space="preserve"> the DTV conversion deadline for LPTV and TV translator station in light of the upcoming incentive auction</w:t>
      </w:r>
      <w:r w:rsidR="00612037">
        <w:t>,</w:t>
      </w:r>
      <w:r w:rsidR="006A24F3">
        <w:t xml:space="preserve"> 56% of LPTV</w:t>
      </w:r>
      <w:r w:rsidR="00160A0F">
        <w:t xml:space="preserve"> and </w:t>
      </w:r>
      <w:r w:rsidR="006A24F3">
        <w:t>80% of TV translator stations have completed their conversion to digital</w:t>
      </w:r>
      <w:r w:rsidR="00EB706B">
        <w:t>.</w:t>
      </w:r>
      <w:r w:rsidR="00EB706B">
        <w:rPr>
          <w:rStyle w:val="FootnoteReference"/>
        </w:rPr>
        <w:footnoteReference w:id="36"/>
      </w:r>
      <w:r w:rsidR="00EB706B" w:rsidDel="00EB706B">
        <w:t xml:space="preserve"> </w:t>
      </w:r>
      <w:r w:rsidR="00271D8D">
        <w:t xml:space="preserve"> </w:t>
      </w:r>
      <w:r w:rsidR="00797FD6">
        <w:t>Therefore,</w:t>
      </w:r>
      <w:r w:rsidR="00BE4B71">
        <w:t xml:space="preserve"> </w:t>
      </w:r>
      <w:r w:rsidR="00797FD6">
        <w:t xml:space="preserve">the overwhelming majority of </w:t>
      </w:r>
      <w:r w:rsidR="00CD3C6E">
        <w:t>broadcast viewers</w:t>
      </w:r>
      <w:r w:rsidR="007D5604">
        <w:t xml:space="preserve"> </w:t>
      </w:r>
      <w:r w:rsidR="00CD3C6E">
        <w:t xml:space="preserve">currently view only digital </w:t>
      </w:r>
      <w:r w:rsidR="00485D3B">
        <w:t xml:space="preserve">broadcast </w:t>
      </w:r>
      <w:r w:rsidR="00CD3C6E">
        <w:t>signals</w:t>
      </w:r>
      <w:r w:rsidR="007B0519">
        <w:t>.</w:t>
      </w:r>
      <w:r w:rsidR="00DB560C" w:rsidRPr="00DB560C">
        <w:rPr>
          <w:rStyle w:val="FootnoteReference"/>
        </w:rPr>
        <w:t xml:space="preserve"> </w:t>
      </w:r>
      <w:r w:rsidR="00DB560C">
        <w:rPr>
          <w:rStyle w:val="FootnoteReference"/>
        </w:rPr>
        <w:footnoteReference w:id="37"/>
      </w:r>
      <w:r w:rsidR="00DB560C" w:rsidDel="00EB706B">
        <w:t xml:space="preserve"> </w:t>
      </w:r>
      <w:r w:rsidR="007B0519">
        <w:t>A</w:t>
      </w:r>
      <w:r w:rsidR="00BE4B71">
        <w:t xml:space="preserve">fter </w:t>
      </w:r>
      <w:r w:rsidR="00CD3C6E">
        <w:t xml:space="preserve">the </w:t>
      </w:r>
      <w:r w:rsidR="00BE4B71">
        <w:t>low</w:t>
      </w:r>
      <w:r w:rsidR="00485D3B">
        <w:t>-</w:t>
      </w:r>
      <w:r w:rsidR="00BE4B71">
        <w:t>power digital transition</w:t>
      </w:r>
      <w:r w:rsidR="00485D3B">
        <w:t xml:space="preserve">, </w:t>
      </w:r>
      <w:r w:rsidR="00CD3C6E">
        <w:t xml:space="preserve">broadcast viewers </w:t>
      </w:r>
      <w:r w:rsidR="00485D3B">
        <w:t xml:space="preserve">will </w:t>
      </w:r>
      <w:r w:rsidR="00CD3C6E">
        <w:t xml:space="preserve">receive only digital </w:t>
      </w:r>
      <w:r w:rsidR="00485D3B">
        <w:t xml:space="preserve">broadcast </w:t>
      </w:r>
      <w:r w:rsidR="00CD3C6E">
        <w:t>signals</w:t>
      </w:r>
      <w:r w:rsidR="00485D3B">
        <w:t>.</w:t>
      </w:r>
      <w:r w:rsidR="00401C57">
        <w:t xml:space="preserve"> </w:t>
      </w:r>
      <w:r w:rsidR="0024393E">
        <w:t>In light of this fact, the Commission sought comment on eliminating the analog tuner requirement in advance of the termination of all analog broadcasts.</w:t>
      </w:r>
      <w:r w:rsidR="0024393E">
        <w:rPr>
          <w:rStyle w:val="FootnoteReference"/>
        </w:rPr>
        <w:footnoteReference w:id="38"/>
      </w:r>
      <w:r w:rsidR="0024393E">
        <w:t xml:space="preserve">  </w:t>
      </w:r>
    </w:p>
    <w:p w14:paraId="41E240CD" w14:textId="26D26B05" w:rsidR="00271D8D" w:rsidRPr="00770F17" w:rsidRDefault="00612037" w:rsidP="00485430">
      <w:pPr>
        <w:pStyle w:val="ParaNum"/>
        <w:widowControl/>
        <w:tabs>
          <w:tab w:val="left" w:pos="0"/>
        </w:tabs>
        <w:jc w:val="left"/>
      </w:pPr>
      <w:r w:rsidRPr="00770F17">
        <w:t xml:space="preserve">We believe that any </w:t>
      </w:r>
      <w:r w:rsidR="00B233BB">
        <w:t xml:space="preserve">potential </w:t>
      </w:r>
      <w:r w:rsidRPr="00770F17">
        <w:t xml:space="preserve">inconvenience this waiver may cause will be outweighed by the benefits of granting it, especially in light of </w:t>
      </w:r>
      <w:r w:rsidR="00160A0F">
        <w:t>EchoStar and Funai’s</w:t>
      </w:r>
      <w:r w:rsidR="00160A0F" w:rsidRPr="00770F17">
        <w:t xml:space="preserve"> </w:t>
      </w:r>
      <w:r w:rsidRPr="00770F17">
        <w:t>consumer a</w:t>
      </w:r>
      <w:r w:rsidR="00050231">
        <w:t xml:space="preserve">nd retailer education </w:t>
      </w:r>
      <w:r w:rsidR="00160A0F">
        <w:t>commitments</w:t>
      </w:r>
      <w:r w:rsidRPr="00770F17">
        <w:t xml:space="preserve">. </w:t>
      </w:r>
      <w:r w:rsidR="001854AF" w:rsidRPr="00770F17">
        <w:t xml:space="preserve">EchoStar and </w:t>
      </w:r>
      <w:r w:rsidR="00AB09EE" w:rsidRPr="00770F17">
        <w:t>Funai</w:t>
      </w:r>
      <w:r w:rsidR="00561F29" w:rsidRPr="00770F17">
        <w:t xml:space="preserve"> </w:t>
      </w:r>
      <w:r w:rsidR="00160A0F">
        <w:t xml:space="preserve">made </w:t>
      </w:r>
      <w:r w:rsidR="00561F29" w:rsidRPr="00770F17">
        <w:t>voluntary commitment</w:t>
      </w:r>
      <w:r w:rsidR="00FC4F1F">
        <w:t>s</w:t>
      </w:r>
      <w:r w:rsidR="00561F29" w:rsidRPr="00770F17">
        <w:t xml:space="preserve"> to</w:t>
      </w:r>
      <w:r w:rsidR="00750A80" w:rsidRPr="00770F17">
        <w:t xml:space="preserve"> educate</w:t>
      </w:r>
      <w:r w:rsidR="000C6955">
        <w:t xml:space="preserve"> consumers and retailers about the capabilities and limitations of the SlingLoaded DVR and the HDD/DVD recorders. </w:t>
      </w:r>
      <w:r w:rsidR="00586A7E">
        <w:t xml:space="preserve">  Each company commits to </w:t>
      </w:r>
      <w:r w:rsidR="00586A7E" w:rsidRPr="00586A7E">
        <w:t xml:space="preserve">(i) provide retailers with an in-store product information data sheet and consumer education materials describing their respective devices’ functionality; (ii) clearly disclose in product guides that their devices lack the ability to receive over-the-air analog signals; and (iii) offer a program allowing free 30-day return or exchange if the customer purchased a HDD/DVD recorder or SlingLoaded DVR with the </w:t>
      </w:r>
      <w:r w:rsidR="00586A7E" w:rsidRPr="00586A7E">
        <w:lastRenderedPageBreak/>
        <w:t>mistaken belief that it receives analog services.</w:t>
      </w:r>
      <w:r w:rsidR="00750A80" w:rsidRPr="00770F17">
        <w:rPr>
          <w:rStyle w:val="FootnoteReference"/>
        </w:rPr>
        <w:footnoteReference w:id="39"/>
      </w:r>
      <w:r w:rsidR="006E4AB0">
        <w:t xml:space="preserve"> </w:t>
      </w:r>
      <w:r w:rsidR="007F6E44">
        <w:t>We believe that these commitments will adequately protect any consumers that this waiver will affect.</w:t>
      </w:r>
      <w:r w:rsidR="00586A7E">
        <w:rPr>
          <w:rStyle w:val="FootnoteReference"/>
        </w:rPr>
        <w:footnoteReference w:id="40"/>
      </w:r>
      <w:r w:rsidR="007F6E44">
        <w:t xml:space="preserve"> </w:t>
      </w:r>
      <w:r w:rsidR="006A1058">
        <w:t xml:space="preserve"> </w:t>
      </w:r>
    </w:p>
    <w:p w14:paraId="1FDCCFD7" w14:textId="77777777" w:rsidR="00EC2E9E" w:rsidRPr="00770F17" w:rsidRDefault="00EC2E9E">
      <w:pPr>
        <w:pStyle w:val="Heading1"/>
        <w:keepLines/>
        <w:widowControl/>
        <w:tabs>
          <w:tab w:val="left" w:pos="2160"/>
        </w:tabs>
        <w:jc w:val="left"/>
      </w:pPr>
      <w:r w:rsidRPr="00770F17">
        <w:t>ordering clauses</w:t>
      </w:r>
    </w:p>
    <w:p w14:paraId="751E3D00" w14:textId="04B0B75E" w:rsidR="00EC2E9E" w:rsidRDefault="00EC2E9E" w:rsidP="00E127D6">
      <w:pPr>
        <w:pStyle w:val="ParaNum"/>
        <w:keepNext/>
        <w:keepLines/>
        <w:widowControl/>
        <w:tabs>
          <w:tab w:val="left" w:pos="0"/>
        </w:tabs>
        <w:jc w:val="left"/>
      </w:pPr>
      <w:r>
        <w:t xml:space="preserve">Accordingly, </w:t>
      </w:r>
      <w:r w:rsidRPr="00E127D6">
        <w:rPr>
          <w:b/>
        </w:rPr>
        <w:t>IT IS ORDERED</w:t>
      </w:r>
      <w:r>
        <w:t xml:space="preserve"> that, pursuant to Section 1.3 of the Commission’s rules, 47 C.F.R. § 1.3, the request</w:t>
      </w:r>
      <w:r w:rsidR="006F1B90">
        <w:t>s</w:t>
      </w:r>
      <w:r>
        <w:t xml:space="preserve"> for waiver </w:t>
      </w:r>
      <w:r w:rsidR="00E127D6">
        <w:t xml:space="preserve">of Section 15.117(b) of the Commission’s rules, 47 C.F.R. </w:t>
      </w:r>
      <w:r w:rsidR="00E127D6" w:rsidRPr="00E739D7">
        <w:t>§</w:t>
      </w:r>
      <w:r w:rsidR="00E127D6">
        <w:t xml:space="preserve">15.117(b), </w:t>
      </w:r>
      <w:r>
        <w:t>filed by</w:t>
      </w:r>
      <w:r w:rsidR="00AB09EE">
        <w:t xml:space="preserve"> </w:t>
      </w:r>
      <w:r w:rsidR="009A320E">
        <w:t xml:space="preserve">EchoStar Technologies L.L.C. and </w:t>
      </w:r>
      <w:r w:rsidR="00AB09EE">
        <w:t>Funai Electric Co.</w:t>
      </w:r>
      <w:r>
        <w:t>,</w:t>
      </w:r>
      <w:r w:rsidR="00AB09EE">
        <w:t xml:space="preserve"> Ltd.</w:t>
      </w:r>
      <w:r>
        <w:t xml:space="preserve"> </w:t>
      </w:r>
      <w:r w:rsidR="006F1B90">
        <w:rPr>
          <w:b/>
        </w:rPr>
        <w:t>ARE</w:t>
      </w:r>
      <w:r>
        <w:t xml:space="preserve"> </w:t>
      </w:r>
      <w:r w:rsidRPr="00E127D6">
        <w:rPr>
          <w:b/>
          <w:bCs/>
        </w:rPr>
        <w:t>GRANTED</w:t>
      </w:r>
      <w:r>
        <w:t>.</w:t>
      </w:r>
    </w:p>
    <w:p w14:paraId="2417174C" w14:textId="77777777" w:rsidR="00975D7F" w:rsidRDefault="00EC2E9E" w:rsidP="000C7895">
      <w:pPr>
        <w:pStyle w:val="ParaNum"/>
        <w:keepNext/>
        <w:widowControl/>
        <w:tabs>
          <w:tab w:val="left" w:pos="0"/>
        </w:tabs>
        <w:jc w:val="left"/>
      </w:pPr>
      <w:r>
        <w:t>This action is taken pursuant to authority delegated by Section 0.283 of the Commission’s rul</w:t>
      </w:r>
      <w:r w:rsidR="00975D7F">
        <w:t>es, 47 C.F.R. § 0.283</w:t>
      </w:r>
      <w:r w:rsidR="00646E3C">
        <w:t>.</w:t>
      </w:r>
    </w:p>
    <w:p w14:paraId="54AD33BB" w14:textId="7319A8A7" w:rsidR="00337954" w:rsidRDefault="00975D7F" w:rsidP="00337954">
      <w:pPr>
        <w:pStyle w:val="ParaNum"/>
        <w:widowControl/>
        <w:numPr>
          <w:ilvl w:val="0"/>
          <w:numId w:val="0"/>
        </w:numPr>
        <w:tabs>
          <w:tab w:val="left" w:pos="0"/>
        </w:tabs>
        <w:ind w:left="720"/>
        <w:jc w:val="left"/>
      </w:pPr>
      <w:r>
        <w:tab/>
      </w:r>
      <w:r>
        <w:tab/>
      </w:r>
      <w:r>
        <w:tab/>
      </w:r>
      <w:r>
        <w:tab/>
      </w:r>
      <w:r w:rsidR="00EC2E9E">
        <w:t>FEDERAL COMMUNICATIONS COMMISSION</w:t>
      </w:r>
    </w:p>
    <w:p w14:paraId="6ACB93B5" w14:textId="77777777" w:rsidR="007C1533" w:rsidRDefault="007C1533" w:rsidP="007C1533">
      <w:pPr>
        <w:pStyle w:val="ParaNum"/>
        <w:widowControl/>
        <w:numPr>
          <w:ilvl w:val="0"/>
          <w:numId w:val="0"/>
        </w:numPr>
        <w:tabs>
          <w:tab w:val="left" w:pos="0"/>
        </w:tabs>
        <w:spacing w:after="0"/>
        <w:ind w:left="720"/>
      </w:pPr>
      <w:r>
        <w:tab/>
      </w:r>
      <w:r>
        <w:tab/>
      </w:r>
      <w:r>
        <w:tab/>
      </w:r>
      <w:r>
        <w:tab/>
      </w:r>
    </w:p>
    <w:p w14:paraId="3723BA32" w14:textId="77777777" w:rsidR="007C1533" w:rsidRDefault="007C1533" w:rsidP="007C1533">
      <w:pPr>
        <w:pStyle w:val="ParaNum"/>
        <w:widowControl/>
        <w:numPr>
          <w:ilvl w:val="0"/>
          <w:numId w:val="0"/>
        </w:numPr>
        <w:tabs>
          <w:tab w:val="left" w:pos="0"/>
        </w:tabs>
        <w:spacing w:after="0"/>
        <w:ind w:left="720"/>
      </w:pPr>
      <w:r>
        <w:tab/>
      </w:r>
      <w:r>
        <w:tab/>
      </w:r>
      <w:r>
        <w:tab/>
      </w:r>
      <w:r>
        <w:tab/>
      </w:r>
    </w:p>
    <w:p w14:paraId="00CFAF34" w14:textId="1D5388E4" w:rsidR="007C1533" w:rsidRDefault="007C1533" w:rsidP="007C1533">
      <w:pPr>
        <w:pStyle w:val="ParaNum"/>
        <w:widowControl/>
        <w:numPr>
          <w:ilvl w:val="0"/>
          <w:numId w:val="0"/>
        </w:numPr>
        <w:tabs>
          <w:tab w:val="left" w:pos="0"/>
        </w:tabs>
        <w:spacing w:after="0"/>
        <w:ind w:left="720"/>
      </w:pPr>
      <w:r>
        <w:tab/>
      </w:r>
      <w:r>
        <w:tab/>
      </w:r>
      <w:r>
        <w:tab/>
      </w:r>
      <w:r>
        <w:tab/>
        <w:t>William T. Lake</w:t>
      </w:r>
      <w:r w:rsidR="00337954">
        <w:t xml:space="preserve">         </w:t>
      </w:r>
    </w:p>
    <w:p w14:paraId="5927CCF6" w14:textId="1BC4DCB0" w:rsidR="00EC2E9E" w:rsidRDefault="007C1533" w:rsidP="007C1533">
      <w:pPr>
        <w:pStyle w:val="ParaNum"/>
        <w:widowControl/>
        <w:numPr>
          <w:ilvl w:val="0"/>
          <w:numId w:val="0"/>
        </w:numPr>
        <w:tabs>
          <w:tab w:val="left" w:pos="0"/>
        </w:tabs>
        <w:ind w:left="720"/>
      </w:pPr>
      <w:r>
        <w:tab/>
      </w:r>
      <w:r>
        <w:tab/>
      </w:r>
      <w:r>
        <w:tab/>
      </w:r>
      <w:r>
        <w:tab/>
      </w:r>
      <w:r w:rsidR="00EC2E9E">
        <w:t>Chief, Media Bureau</w:t>
      </w:r>
    </w:p>
    <w:p w14:paraId="66EED381" w14:textId="77777777" w:rsidR="00EC2E9E" w:rsidRDefault="00EC2E9E">
      <w:pPr>
        <w:keepNext/>
        <w:keepLines/>
        <w:ind w:left="4320"/>
      </w:pPr>
    </w:p>
    <w:p w14:paraId="7334E968" w14:textId="77777777" w:rsidR="00956FD7" w:rsidRDefault="00956FD7" w:rsidP="00956FD7">
      <w:pPr>
        <w:keepNext/>
        <w:keepLines/>
      </w:pPr>
    </w:p>
    <w:p w14:paraId="4FEB2A0D" w14:textId="77777777" w:rsidR="00EC2E9E" w:rsidRDefault="00EC2E9E">
      <w:pPr>
        <w:keepNext/>
        <w:keepLines/>
        <w:ind w:left="720"/>
      </w:pPr>
    </w:p>
    <w:sectPr w:rsidR="00EC2E9E" w:rsidSect="00EF08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93" w:left="1440" w:header="720" w:footer="144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F2BC2" w15:done="0"/>
  <w15:commentEx w15:paraId="3C15B669" w15:done="0"/>
  <w15:commentEx w15:paraId="690E86BE" w15:done="0"/>
  <w15:commentEx w15:paraId="0721DF71" w15:done="0"/>
  <w15:commentEx w15:paraId="6D541BFC" w15:done="0"/>
  <w15:commentEx w15:paraId="665EBFF5" w15:done="0"/>
  <w15:commentEx w15:paraId="4EC28124" w15:done="0"/>
  <w15:commentEx w15:paraId="16E11FD1" w15:done="0"/>
  <w15:commentEx w15:paraId="58EF031A" w15:done="0"/>
  <w15:commentEx w15:paraId="558E5151" w15:done="0"/>
  <w15:commentEx w15:paraId="4FD279B3" w15:done="0"/>
  <w15:commentEx w15:paraId="5893A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C8BDD" w14:textId="77777777" w:rsidR="009A2DA2" w:rsidRDefault="009A2DA2">
      <w:r>
        <w:separator/>
      </w:r>
    </w:p>
  </w:endnote>
  <w:endnote w:type="continuationSeparator" w:id="0">
    <w:p w14:paraId="4A387D23" w14:textId="77777777" w:rsidR="009A2DA2" w:rsidRDefault="009A2DA2">
      <w:r>
        <w:continuationSeparator/>
      </w:r>
    </w:p>
  </w:endnote>
  <w:endnote w:type="continuationNotice" w:id="1">
    <w:p w14:paraId="606059CE" w14:textId="77777777" w:rsidR="009A2DA2" w:rsidRDefault="009A2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44EC" w14:textId="77777777"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end"/>
    </w:r>
  </w:p>
  <w:p w14:paraId="15C908CC" w14:textId="77777777" w:rsidR="00EC2E9E" w:rsidRDefault="00EC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5BA6" w14:textId="77777777"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separate"/>
    </w:r>
    <w:r w:rsidR="00E312E1">
      <w:rPr>
        <w:rStyle w:val="PageNumber"/>
        <w:noProof/>
      </w:rPr>
      <w:t>4</w:t>
    </w:r>
    <w:r>
      <w:rPr>
        <w:rStyle w:val="PageNumber"/>
      </w:rPr>
      <w:fldChar w:fldCharType="end"/>
    </w:r>
  </w:p>
  <w:p w14:paraId="4F8FDC8D" w14:textId="77777777" w:rsidR="00EC2E9E" w:rsidRDefault="00EC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BC2F" w14:textId="77777777" w:rsidR="00CA251B" w:rsidRDefault="00CA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78F4" w14:textId="77777777" w:rsidR="009A2DA2" w:rsidRDefault="009A2DA2">
      <w:r>
        <w:separator/>
      </w:r>
    </w:p>
  </w:footnote>
  <w:footnote w:type="continuationSeparator" w:id="0">
    <w:p w14:paraId="16338C85" w14:textId="77777777" w:rsidR="009A2DA2" w:rsidRDefault="009A2DA2">
      <w:r>
        <w:continuationSeparator/>
      </w:r>
    </w:p>
  </w:footnote>
  <w:footnote w:type="continuationNotice" w:id="1">
    <w:p w14:paraId="4197E5B3" w14:textId="77777777" w:rsidR="009A2DA2" w:rsidRDefault="009A2DA2"/>
  </w:footnote>
  <w:footnote w:id="2">
    <w:p w14:paraId="1E75DE97" w14:textId="77777777" w:rsidR="00575D56" w:rsidRPr="00297703" w:rsidRDefault="00575D56" w:rsidP="00575D56">
      <w:pPr>
        <w:pStyle w:val="FootnoteText"/>
        <w:jc w:val="left"/>
      </w:pPr>
      <w:r>
        <w:rPr>
          <w:rStyle w:val="FootnoteReference"/>
        </w:rPr>
        <w:footnoteRef/>
      </w:r>
      <w:r>
        <w:t xml:space="preserve"> EchoStar Petition at 1.  </w:t>
      </w:r>
    </w:p>
  </w:footnote>
  <w:footnote w:id="3">
    <w:p w14:paraId="2AE9093E" w14:textId="77777777" w:rsidR="00EE0754" w:rsidRPr="00297703" w:rsidRDefault="00EE0754" w:rsidP="000C7895">
      <w:pPr>
        <w:pStyle w:val="FootnoteText"/>
        <w:jc w:val="left"/>
      </w:pPr>
      <w:r>
        <w:rPr>
          <w:rStyle w:val="FootnoteReference"/>
        </w:rPr>
        <w:footnoteRef/>
      </w:r>
      <w:r w:rsidR="000B1CA2">
        <w:t xml:space="preserve"> Funai</w:t>
      </w:r>
      <w:r>
        <w:t xml:space="preserve"> Petition </w:t>
      </w:r>
      <w:r w:rsidR="000B1CA2">
        <w:t xml:space="preserve">at 1.  </w:t>
      </w:r>
    </w:p>
  </w:footnote>
  <w:footnote w:id="4">
    <w:p w14:paraId="491466D1" w14:textId="3E57DE31" w:rsidR="00590F66" w:rsidRDefault="00590F66" w:rsidP="000C7895">
      <w:pPr>
        <w:pStyle w:val="FootnoteText"/>
        <w:jc w:val="left"/>
      </w:pPr>
      <w:r>
        <w:rPr>
          <w:rStyle w:val="FootnoteReference"/>
        </w:rPr>
        <w:footnoteRef/>
      </w:r>
      <w:r>
        <w:t xml:space="preserve"> </w:t>
      </w:r>
      <w:r w:rsidRPr="00E739D7">
        <w:rPr>
          <w:i/>
        </w:rPr>
        <w:t>See</w:t>
      </w:r>
      <w:r w:rsidRPr="00E739D7">
        <w:t xml:space="preserve"> 47 C.F.R. § 15.117(b)</w:t>
      </w:r>
      <w:r w:rsidR="00A12525">
        <w:t>.</w:t>
      </w:r>
      <w:r w:rsidR="007A34A4">
        <w:t xml:space="preserve">  </w:t>
      </w:r>
      <w:r w:rsidR="006C4B52">
        <w:t>Pursuant to t</w:t>
      </w:r>
      <w:r w:rsidR="00A85E0A">
        <w:t>his provision</w:t>
      </w:r>
      <w:r w:rsidR="006C4B52">
        <w:t>,</w:t>
      </w:r>
      <w:r w:rsidR="00A85E0A">
        <w:t xml:space="preserve"> TV broadcast receivers </w:t>
      </w:r>
      <w:r w:rsidR="006C4B52">
        <w:t xml:space="preserve">must currently </w:t>
      </w:r>
      <w:r w:rsidR="00A85E0A">
        <w:t xml:space="preserve">be capable of receiving both analog and digital broadcast </w:t>
      </w:r>
      <w:r w:rsidR="00A85E0A" w:rsidRPr="00050231">
        <w:t xml:space="preserve">signals.  </w:t>
      </w:r>
      <w:r w:rsidR="00E25926" w:rsidRPr="00050231">
        <w:t>L</w:t>
      </w:r>
      <w:r w:rsidR="007A34A4" w:rsidRPr="00050231">
        <w:t>ow-power, Class A, and translator over-the-air</w:t>
      </w:r>
      <w:r w:rsidR="006C4B52" w:rsidRPr="00050231">
        <w:t xml:space="preserve"> stations</w:t>
      </w:r>
      <w:r w:rsidR="007A34A4" w:rsidRPr="00050231">
        <w:t xml:space="preserve"> (collectively, “</w:t>
      </w:r>
      <w:r w:rsidR="00AB1828" w:rsidRPr="00050231">
        <w:t>low-</w:t>
      </w:r>
      <w:r w:rsidR="003D7B73" w:rsidRPr="00050231">
        <w:t>power television stations</w:t>
      </w:r>
      <w:r w:rsidR="007A34A4" w:rsidRPr="00050231">
        <w:t xml:space="preserve">”) </w:t>
      </w:r>
      <w:r w:rsidR="003419CA" w:rsidRPr="00050231">
        <w:t xml:space="preserve">that have not already gone all-digital </w:t>
      </w:r>
      <w:r w:rsidR="00A85E0A" w:rsidRPr="00050231">
        <w:t xml:space="preserve">are permitted to use </w:t>
      </w:r>
      <w:r w:rsidR="00050231" w:rsidRPr="00050231">
        <w:t>the analog broadcasting standard.</w:t>
      </w:r>
      <w:r w:rsidR="00050231">
        <w:t xml:space="preserve"> </w:t>
      </w:r>
    </w:p>
  </w:footnote>
  <w:footnote w:id="5">
    <w:p w14:paraId="2EB92ADB" w14:textId="67689169" w:rsidR="00007459" w:rsidRPr="00565A88" w:rsidRDefault="00007459" w:rsidP="000C7895">
      <w:pPr>
        <w:pStyle w:val="FootnoteText"/>
      </w:pPr>
      <w:r w:rsidRPr="00B76894">
        <w:rPr>
          <w:rStyle w:val="FootnoteReference"/>
        </w:rPr>
        <w:footnoteRef/>
      </w:r>
      <w:r w:rsidRPr="00B76894">
        <w:t xml:space="preserve"> </w:t>
      </w:r>
      <w:r w:rsidR="00565A88" w:rsidRPr="00B76894">
        <w:t>Funai Petition at 5</w:t>
      </w:r>
      <w:r w:rsidR="00160A0F">
        <w:t>; EchoStar Petition at 6-7</w:t>
      </w:r>
      <w:r w:rsidR="00565A88" w:rsidRPr="00B76894">
        <w:t>.</w:t>
      </w:r>
      <w:r w:rsidR="00565A88" w:rsidRPr="00565A88">
        <w:t xml:space="preserve"> </w:t>
      </w:r>
    </w:p>
  </w:footnote>
  <w:footnote w:id="6">
    <w:p w14:paraId="10ADDF9D" w14:textId="77777777" w:rsidR="00537A6E" w:rsidRPr="00E739D7" w:rsidRDefault="00537A6E" w:rsidP="000C7895">
      <w:pPr>
        <w:pStyle w:val="FootnoteText"/>
        <w:jc w:val="left"/>
      </w:pPr>
      <w:r w:rsidRPr="00E739D7">
        <w:rPr>
          <w:rStyle w:val="FootnoteReference"/>
        </w:rPr>
        <w:footnoteRef/>
      </w:r>
      <w:r w:rsidRPr="00E739D7">
        <w:t xml:space="preserve"> 47 U.S.C. § 303(s)</w:t>
      </w:r>
      <w:r w:rsidR="00494293">
        <w:t>;</w:t>
      </w:r>
      <w:r w:rsidR="002D2F47">
        <w:t xml:space="preserve"> </w:t>
      </w:r>
      <w:r w:rsidR="002B58D7">
        <w:t>the All Channel Receiver Act of 1962</w:t>
      </w:r>
      <w:r w:rsidR="002B58D7" w:rsidRPr="002B58D7">
        <w:t>, Pub. L. No. 87-529, 76 Stat. 150</w:t>
      </w:r>
      <w:r w:rsidR="002B58D7">
        <w:t>.</w:t>
      </w:r>
      <w:r w:rsidR="00263FA2">
        <w:t xml:space="preserve">  </w:t>
      </w:r>
      <w:r w:rsidR="00263FA2">
        <w:rPr>
          <w:i/>
        </w:rPr>
        <w:t xml:space="preserve">See also </w:t>
      </w:r>
      <w:r w:rsidR="00263FA2">
        <w:t>S. Rep. 1526, 87</w:t>
      </w:r>
      <w:r w:rsidR="00263FA2" w:rsidRPr="00316381">
        <w:rPr>
          <w:vertAlign w:val="superscript"/>
        </w:rPr>
        <w:t>th</w:t>
      </w:r>
      <w:r w:rsidR="00263FA2">
        <w:t xml:space="preserve"> Cong., 2</w:t>
      </w:r>
      <w:r w:rsidR="00263FA2" w:rsidRPr="00316381">
        <w:rPr>
          <w:vertAlign w:val="superscript"/>
        </w:rPr>
        <w:t>nd</w:t>
      </w:r>
      <w:r w:rsidR="00263FA2">
        <w:t xml:space="preserve"> Sess. 1962 </w:t>
      </w:r>
      <w:r w:rsidR="00263FA2">
        <w:rPr>
          <w:i/>
        </w:rPr>
        <w:t xml:space="preserve">reprinted at </w:t>
      </w:r>
      <w:r w:rsidR="00263FA2">
        <w:t>1962 U.S.C.C.A.N. 1873, 1875 (discussing “the relative scarcity of television receivers in the United States which are capable of receiving the signals of UHF stations” (only about 16%), which “prevents effective competition between UHF and VHF stations which operate in the same market”).</w:t>
      </w:r>
    </w:p>
  </w:footnote>
  <w:footnote w:id="7">
    <w:p w14:paraId="79684B85" w14:textId="77777777" w:rsidR="005B64CF" w:rsidRPr="00E739D7" w:rsidRDefault="005B64CF" w:rsidP="000C7895">
      <w:pPr>
        <w:pStyle w:val="FootnoteText"/>
        <w:jc w:val="left"/>
      </w:pPr>
      <w:r w:rsidRPr="00E739D7">
        <w:rPr>
          <w:rStyle w:val="FootnoteReference"/>
        </w:rPr>
        <w:footnoteRef/>
      </w:r>
      <w:r w:rsidRPr="00E739D7">
        <w:t xml:space="preserve"> All-Channel Television Broadcast Receivers, 27 Fed. Reg. 11,698, 11,700 (Nov. 28, 1962)</w:t>
      </w:r>
      <w:r w:rsidR="002D2F47">
        <w:t xml:space="preserve">; </w:t>
      </w:r>
      <w:r w:rsidR="0003759D">
        <w:t>47 C.F.R. § 15.70(a) (1962) (current version at 47 C.F.R. § 15.117(b))</w:t>
      </w:r>
      <w:r w:rsidR="002D2F47">
        <w:t xml:space="preserve"> (</w:t>
      </w:r>
      <w:r w:rsidR="002D2F47" w:rsidRPr="002D2F47">
        <w:t>“[a]ll television broadcast receivers manufactured after April 30, 1964, and shipped in interstate commerce or imported from any country into the United States, for sale or resale to the public, shall be capable of adequately receiving all channels allocated by the Commission to the television broadcast service.”</w:t>
      </w:r>
      <w:r w:rsidR="0003759D">
        <w:t>)</w:t>
      </w:r>
      <w:r w:rsidRPr="00E739D7">
        <w:t>.</w:t>
      </w:r>
    </w:p>
  </w:footnote>
  <w:footnote w:id="8">
    <w:p w14:paraId="31262414" w14:textId="77777777" w:rsidR="00537A6E" w:rsidRPr="00D021D0" w:rsidRDefault="00537A6E" w:rsidP="000C7895">
      <w:pPr>
        <w:pStyle w:val="FootnoteText"/>
        <w:jc w:val="left"/>
      </w:pPr>
      <w:r w:rsidRPr="00E739D7">
        <w:rPr>
          <w:rStyle w:val="FootnoteReference"/>
        </w:rPr>
        <w:footnoteRef/>
      </w:r>
      <w:r w:rsidRPr="00E739D7">
        <w:t xml:space="preserve"> </w:t>
      </w:r>
      <w:r w:rsidRPr="00E739D7">
        <w:rPr>
          <w:i/>
        </w:rPr>
        <w:t>See Revision of Part 15 of the Rules regarding the operation of radio frequency devices without an individual license</w:t>
      </w:r>
      <w:r w:rsidRPr="00E739D7">
        <w:t xml:space="preserve">, 4 FCC Rcd 3493, 3517, ¶ 139 </w:t>
      </w:r>
      <w:r w:rsidR="00D712EC" w:rsidRPr="00E739D7">
        <w:t xml:space="preserve">(1989) </w:t>
      </w:r>
      <w:r w:rsidRPr="00E739D7">
        <w:t>(adopting 47 C.F.R. § 15.117(b)</w:t>
      </w:r>
      <w:r w:rsidR="00D712EC" w:rsidRPr="00E739D7">
        <w:t>)</w:t>
      </w:r>
      <w:r w:rsidRPr="00E739D7">
        <w:t>.</w:t>
      </w:r>
      <w:r w:rsidR="00CC5E65">
        <w:t xml:space="preserve">  </w:t>
      </w:r>
      <w:r w:rsidR="00CC5E65" w:rsidRPr="00CC5E65">
        <w:t xml:space="preserve">A previous Commission statement could be interpreted to reflect some flexibility with respect to the application of this </w:t>
      </w:r>
      <w:r w:rsidR="009E0F86" w:rsidRPr="00CC5E65">
        <w:t>r</w:t>
      </w:r>
      <w:r w:rsidR="009E0F86">
        <w:t>ule</w:t>
      </w:r>
      <w:r w:rsidR="00CC5E65" w:rsidRPr="00CC5E65">
        <w:t>.</w:t>
      </w:r>
      <w:r w:rsidR="00CC5E65">
        <w:t xml:space="preserve">  </w:t>
      </w:r>
      <w:r w:rsidR="00CC5E65">
        <w:rPr>
          <w:i/>
        </w:rPr>
        <w:t xml:space="preserve">See </w:t>
      </w:r>
      <w:r w:rsidR="00D021D0" w:rsidRPr="000C732C">
        <w:rPr>
          <w:i/>
        </w:rPr>
        <w:t>Advanced Television Systems And Their Impact Upon The Existing Television Broadcast Service</w:t>
      </w:r>
      <w:r w:rsidR="00D021D0" w:rsidRPr="00D021D0">
        <w:t xml:space="preserve">, </w:t>
      </w:r>
      <w:r w:rsidR="00D021D0">
        <w:t xml:space="preserve">Fifth Report and Order, </w:t>
      </w:r>
      <w:r w:rsidR="00D021D0" w:rsidRPr="00D021D0">
        <w:t>12 FCC Rcd 12809, 12855-6 (1997)</w:t>
      </w:r>
      <w:r w:rsidR="00D021D0">
        <w:t xml:space="preserve"> (“</w:t>
      </w:r>
      <w:r w:rsidR="00D021D0" w:rsidRPr="00D021D0">
        <w:t xml:space="preserve">We do not believe that our goals would be advanced by mandating that all digital receivers receive and display NTSC signals and DTV signals, regardless of format, aspect ratio, or progressive or interlaced scanning, as broadcasters argue. </w:t>
      </w:r>
      <w:r w:rsidR="008D715F">
        <w:t xml:space="preserve"> </w:t>
      </w:r>
      <w:r w:rsidR="00D021D0" w:rsidRPr="00D021D0">
        <w:t xml:space="preserve">We expect that equipment manufacturers will make available to consumers digital receivers that receive both NTSC and DTV signals. </w:t>
      </w:r>
      <w:r w:rsidR="008D715F">
        <w:t xml:space="preserve"> </w:t>
      </w:r>
      <w:r w:rsidR="00D021D0" w:rsidRPr="00D021D0">
        <w:t>However, we will not preclude equipment manufacturers from designing digital receivers that do not receive NTSC signals.</w:t>
      </w:r>
      <w:r w:rsidR="00D021D0">
        <w:t xml:space="preserve">”).  </w:t>
      </w:r>
      <w:r w:rsidR="00A2587B">
        <w:t>However,</w:t>
      </w:r>
      <w:r w:rsidR="00D021D0">
        <w:t xml:space="preserve"> on its face, Section </w:t>
      </w:r>
      <w:r w:rsidR="00D021D0" w:rsidRPr="00E739D7">
        <w:t>15.117(b</w:t>
      </w:r>
      <w:r w:rsidR="00D021D0">
        <w:t xml:space="preserve">) </w:t>
      </w:r>
      <w:r w:rsidR="00AA687E">
        <w:t xml:space="preserve">of the rules </w:t>
      </w:r>
      <w:r w:rsidR="00D021D0">
        <w:t>requires</w:t>
      </w:r>
      <w:r w:rsidR="003A13C2">
        <w:t xml:space="preserve"> a television broadcast receiver to be able to receive “</w:t>
      </w:r>
      <w:r w:rsidR="003A13C2" w:rsidRPr="002D2F47">
        <w:t>all channels allocated by the Commission to the television broadcast service</w:t>
      </w:r>
      <w:r w:rsidR="003A13C2">
        <w:t xml:space="preserve">.”  </w:t>
      </w:r>
      <w:r w:rsidR="003A13C2" w:rsidRPr="00E739D7">
        <w:t>47 C.F.R. § 15.117(b)</w:t>
      </w:r>
      <w:r w:rsidR="003A13C2">
        <w:t xml:space="preserve">; </w:t>
      </w:r>
      <w:r w:rsidR="003A13C2">
        <w:rPr>
          <w:i/>
        </w:rPr>
        <w:t>see also</w:t>
      </w:r>
      <w:r w:rsidR="003A13C2">
        <w:t xml:space="preserve"> Office of Engineering and Technology Laboratory Division K</w:t>
      </w:r>
      <w:r w:rsidR="002D2E15">
        <w:t xml:space="preserve">nowledge Database (available at </w:t>
      </w:r>
      <w:r w:rsidR="003A13C2">
        <w:t xml:space="preserve">https://apps.fcc.gov/oetcf/kdb/forms/FTSSearchResultPage.cfm?switch=P&amp;id=42863), Publication Number 218634 (rel. Dec. 17, 2009) (confirming Section 15.117(b)’s dual ATSC/NTSC tuner requirement).  </w:t>
      </w:r>
    </w:p>
  </w:footnote>
  <w:footnote w:id="9">
    <w:p w14:paraId="1F42E95C" w14:textId="77777777" w:rsidR="0093337D" w:rsidRDefault="0093337D" w:rsidP="000C7895">
      <w:pPr>
        <w:pStyle w:val="FootnoteText"/>
        <w:jc w:val="left"/>
      </w:pPr>
      <w:r>
        <w:rPr>
          <w:rStyle w:val="FootnoteReference"/>
        </w:rPr>
        <w:footnoteRef/>
      </w:r>
      <w:r>
        <w:t xml:space="preserve"> </w:t>
      </w:r>
      <w:r w:rsidRPr="00E739D7">
        <w:t>47 C.F.R. § 15.</w:t>
      </w:r>
      <w:r>
        <w:t>3(w).</w:t>
      </w:r>
    </w:p>
  </w:footnote>
  <w:footnote w:id="10">
    <w:p w14:paraId="64FF3CF2" w14:textId="77777777" w:rsidR="0074744C" w:rsidRDefault="0074744C" w:rsidP="000C7895">
      <w:pPr>
        <w:pStyle w:val="FootnoteText"/>
        <w:jc w:val="left"/>
      </w:pPr>
      <w:r>
        <w:rPr>
          <w:rStyle w:val="FootnoteReference"/>
        </w:rPr>
        <w:footnoteRef/>
      </w:r>
      <w:r>
        <w:t xml:space="preserve"> </w:t>
      </w:r>
      <w:r w:rsidRPr="00E739D7">
        <w:t>47 C.F.R. § 15.117(</w:t>
      </w:r>
      <w:r>
        <w:t>a).</w:t>
      </w:r>
    </w:p>
  </w:footnote>
  <w:footnote w:id="11">
    <w:p w14:paraId="2ED1F78B" w14:textId="0961F57E" w:rsidR="00D712EC" w:rsidRPr="00604E8E" w:rsidRDefault="00D712EC" w:rsidP="000C7895">
      <w:pPr>
        <w:pStyle w:val="FootnoteText"/>
        <w:jc w:val="left"/>
      </w:pPr>
      <w:r w:rsidRPr="00E739D7">
        <w:rPr>
          <w:rStyle w:val="FootnoteReference"/>
        </w:rPr>
        <w:footnoteRef/>
      </w:r>
      <w:r w:rsidRPr="00E739D7">
        <w:t xml:space="preserve"> All-Channel Television Broadcast Receivers, 27 Fed. Reg. 11,698 (Nov. 28, 1962).</w:t>
      </w:r>
      <w:r w:rsidR="00C34929">
        <w:t xml:space="preserve">  When the Commission defined</w:t>
      </w:r>
      <w:r w:rsidR="00A2587B">
        <w:t xml:space="preserve"> a</w:t>
      </w:r>
      <w:r w:rsidR="00C34929">
        <w:t xml:space="preserve"> TV broadcast receiver to include “</w:t>
      </w:r>
      <w:r w:rsidR="00C34929">
        <w:rPr>
          <w:szCs w:val="22"/>
        </w:rPr>
        <w:t xml:space="preserve">TV interface devices and set-top devices that are intended to provide audio-video signals to a video monitor,” it was focused on whether those devices should include digital </w:t>
      </w:r>
      <w:r w:rsidR="00284D54">
        <w:rPr>
          <w:szCs w:val="22"/>
        </w:rPr>
        <w:t xml:space="preserve">broadcast </w:t>
      </w:r>
      <w:r w:rsidR="00C34929">
        <w:rPr>
          <w:szCs w:val="22"/>
        </w:rPr>
        <w:t>receiver</w:t>
      </w:r>
      <w:r w:rsidR="00284D54">
        <w:rPr>
          <w:szCs w:val="22"/>
        </w:rPr>
        <w:t>s</w:t>
      </w:r>
      <w:r w:rsidR="00C34929">
        <w:rPr>
          <w:szCs w:val="22"/>
        </w:rPr>
        <w:t xml:space="preserve"> because of the impending DTV transition</w:t>
      </w:r>
      <w:r w:rsidR="00284D54">
        <w:rPr>
          <w:szCs w:val="22"/>
        </w:rPr>
        <w:t>, rather than whether devices should include analog broadcast receivers</w:t>
      </w:r>
      <w:r w:rsidR="00C34929">
        <w:rPr>
          <w:szCs w:val="22"/>
        </w:rPr>
        <w:t xml:space="preserve">.  </w:t>
      </w:r>
      <w:r w:rsidR="00C34929" w:rsidRPr="000C732C">
        <w:rPr>
          <w:i/>
          <w:szCs w:val="22"/>
        </w:rPr>
        <w:t>See</w:t>
      </w:r>
      <w:r w:rsidR="00C34929">
        <w:rPr>
          <w:szCs w:val="22"/>
        </w:rPr>
        <w:t xml:space="preserve"> </w:t>
      </w:r>
      <w:r w:rsidR="00C34929" w:rsidRPr="000C732C">
        <w:rPr>
          <w:i/>
          <w:szCs w:val="22"/>
        </w:rPr>
        <w:t>Review of the Commission's Rules and Policies Affecting the Conversion to Digital Television</w:t>
      </w:r>
      <w:r w:rsidR="00C34929">
        <w:rPr>
          <w:szCs w:val="22"/>
        </w:rPr>
        <w:t xml:space="preserve">, 17 FCC Rcd 15978, 15995-15999, ¶¶ 39-46 </w:t>
      </w:r>
      <w:r w:rsidR="00746B1A">
        <w:rPr>
          <w:szCs w:val="22"/>
        </w:rPr>
        <w:t>(2002)</w:t>
      </w:r>
      <w:r w:rsidR="009B3ED2">
        <w:rPr>
          <w:szCs w:val="22"/>
        </w:rPr>
        <w:t xml:space="preserve"> </w:t>
      </w:r>
      <w:r w:rsidR="00C34929">
        <w:rPr>
          <w:szCs w:val="22"/>
        </w:rPr>
        <w:t>(“</w:t>
      </w:r>
      <w:r w:rsidR="00C34929" w:rsidRPr="00C34929">
        <w:rPr>
          <w:szCs w:val="22"/>
        </w:rPr>
        <w:t>Consistent with the intent of Congress that we not use our authority under the ACRA to set broad standards for television receivers, we believe that the rules implementing the DTV tuner requirements should avoid imposing new performance standards on DTV except as necessary to ensure that receivers can adequately tune DTV signals on all of the television channels.</w:t>
      </w:r>
      <w:r w:rsidR="00C34929">
        <w:rPr>
          <w:szCs w:val="22"/>
        </w:rPr>
        <w:t>”).</w:t>
      </w:r>
      <w:r w:rsidR="00284D54">
        <w:rPr>
          <w:szCs w:val="22"/>
        </w:rPr>
        <w:t xml:space="preserve">  </w:t>
      </w:r>
    </w:p>
  </w:footnote>
  <w:footnote w:id="12">
    <w:p w14:paraId="48124AFD" w14:textId="0D1A3026" w:rsidR="006A24F3" w:rsidRDefault="006A24F3" w:rsidP="000C7895">
      <w:pPr>
        <w:pStyle w:val="FootnoteText"/>
      </w:pPr>
      <w:r>
        <w:rPr>
          <w:rStyle w:val="FootnoteReference"/>
        </w:rPr>
        <w:footnoteRef/>
      </w:r>
      <w:r>
        <w:t xml:space="preserve"> </w:t>
      </w:r>
      <w:r w:rsidRPr="000C7895">
        <w:rPr>
          <w:i/>
        </w:rPr>
        <w:t xml:space="preserve">Amendment of Parts 73 and 74 of the Commission’s Rules to </w:t>
      </w:r>
      <w:r w:rsidR="00AB1828">
        <w:rPr>
          <w:i/>
        </w:rPr>
        <w:t>Establish Rules for Digital Low-</w:t>
      </w:r>
      <w:r w:rsidRPr="000C7895">
        <w:rPr>
          <w:i/>
        </w:rPr>
        <w:t>Power Television and Television Translator Stations; Expanding the Economic and Innovation Opportunities of Spectrum Through Incentive Auctions; Amendment of Part 15 of the Commission’s Rules to Eliminate the Analog Tuner Requirement</w:t>
      </w:r>
      <w:r>
        <w:t xml:space="preserve">; Third Notice of Proposed Rulemaking, </w:t>
      </w:r>
      <w:r w:rsidRPr="006A24F3">
        <w:t>29 FCC Rcd 12536</w:t>
      </w:r>
      <w:r>
        <w:t>, 12556-8, ¶¶ 54-58 (2014) (“</w:t>
      </w:r>
      <w:r w:rsidR="001119B0">
        <w:rPr>
          <w:i/>
        </w:rPr>
        <w:t>LPTV DTV T</w:t>
      </w:r>
      <w:r w:rsidRPr="000C7895">
        <w:rPr>
          <w:i/>
        </w:rPr>
        <w:t>hird N</w:t>
      </w:r>
      <w:r w:rsidR="001119B0">
        <w:rPr>
          <w:i/>
        </w:rPr>
        <w:t>otice</w:t>
      </w:r>
      <w:r>
        <w:t>”).</w:t>
      </w:r>
      <w:r w:rsidR="008D1F25">
        <w:t xml:space="preserve"> This proceeding is pending. </w:t>
      </w:r>
    </w:p>
  </w:footnote>
  <w:footnote w:id="13">
    <w:p w14:paraId="00D3AE4C" w14:textId="77777777" w:rsidR="00747C18" w:rsidRPr="00CF2B00" w:rsidRDefault="00747C18" w:rsidP="00747C18">
      <w:pPr>
        <w:pStyle w:val="FootnoteText"/>
        <w:jc w:val="left"/>
      </w:pPr>
      <w:r w:rsidRPr="00E739D7">
        <w:rPr>
          <w:rStyle w:val="FootnoteReference"/>
        </w:rPr>
        <w:footnoteRef/>
      </w:r>
      <w:r w:rsidRPr="00E739D7">
        <w:t xml:space="preserve"> </w:t>
      </w:r>
      <w:r>
        <w:t xml:space="preserve">On June 21, 2013, </w:t>
      </w:r>
      <w:r w:rsidR="00DA65A6">
        <w:t>EchoStar requested a waiver of the “all channels” requirement in Section 15.117(b) of the Commission’s Rules, 47 C.F.R. §15.117(b), to permit the importation, marketing, and retail sale of two models of the Channe</w:t>
      </w:r>
      <w:r w:rsidR="00D21093">
        <w:t>l Master K77, high-definition, I</w:t>
      </w:r>
      <w:r w:rsidR="00DA65A6">
        <w:t xml:space="preserve">nternet-enabled, digital </w:t>
      </w:r>
      <w:r w:rsidR="00770E27">
        <w:t>video recorders (“DVRs”) that could receive digital, over-the-air broadcast signals</w:t>
      </w:r>
      <w:r w:rsidR="00900FFD">
        <w:t xml:space="preserve">, but did not include an analog broadcast tuner. </w:t>
      </w:r>
    </w:p>
  </w:footnote>
  <w:footnote w:id="14">
    <w:p w14:paraId="53D239AE" w14:textId="77777777" w:rsidR="00CF2B00" w:rsidRPr="00CF2B00" w:rsidRDefault="00CF2B00" w:rsidP="000C7895">
      <w:pPr>
        <w:pStyle w:val="FootnoteText"/>
        <w:jc w:val="left"/>
      </w:pPr>
      <w:r w:rsidRPr="00E739D7">
        <w:rPr>
          <w:rStyle w:val="FootnoteReference"/>
        </w:rPr>
        <w:footnoteRef/>
      </w:r>
      <w:r w:rsidRPr="00E739D7">
        <w:t xml:space="preserve"> </w:t>
      </w:r>
      <w:r>
        <w:rPr>
          <w:i/>
        </w:rPr>
        <w:t>See, e.g., EchoStar Technologies L.L.C. Petition for Waiver of Section 15.117(b) of the Commission’s Rules</w:t>
      </w:r>
      <w:r>
        <w:t xml:space="preserve">, MB Docket No. 13-177, Memorandum Opinion and Order, 28 FCC Rcd 14000, </w:t>
      </w:r>
      <w:r w:rsidR="00B060C3">
        <w:t xml:space="preserve">14004, </w:t>
      </w:r>
      <w:r>
        <w:t>¶ 7 (2013) (“</w:t>
      </w:r>
      <w:r w:rsidRPr="00CF2B00">
        <w:rPr>
          <w:i/>
        </w:rPr>
        <w:t>EchoStar MO&amp;O</w:t>
      </w:r>
      <w:r>
        <w:t xml:space="preserve">”); </w:t>
      </w:r>
      <w:r>
        <w:rPr>
          <w:i/>
        </w:rPr>
        <w:t>TiVo, Inc. Petition for Waiver of Sections 15.117(b), 15.118(b), 15.123(b)(1), 15.123(c), and 15.123(d) of the Commission’s Rules</w:t>
      </w:r>
      <w:r>
        <w:t>, MB Docket No. 11-105, Memorandum Opinion and Order, 28 FCC Rcd 12181, 12181, ¶ 1 (2013) (“</w:t>
      </w:r>
      <w:r w:rsidRPr="00CF2B00">
        <w:rPr>
          <w:i/>
        </w:rPr>
        <w:t>TiVo MO&amp;O</w:t>
      </w:r>
      <w:r>
        <w:t xml:space="preserve">”). </w:t>
      </w:r>
    </w:p>
  </w:footnote>
  <w:footnote w:id="15">
    <w:p w14:paraId="42FB9829" w14:textId="77777777" w:rsidR="00277E0A" w:rsidRDefault="00277E0A" w:rsidP="000C7895">
      <w:pPr>
        <w:pStyle w:val="FootnoteText"/>
        <w:jc w:val="left"/>
      </w:pPr>
      <w:r>
        <w:rPr>
          <w:rStyle w:val="FootnoteReference"/>
        </w:rPr>
        <w:footnoteRef/>
      </w:r>
      <w:r>
        <w:t xml:space="preserve"> 47 C.F.R. § 15.117(b) (governing broadcast t</w:t>
      </w:r>
      <w:r w:rsidR="00DA65A6">
        <w:t>uner requirements); 47 C.F.R. §</w:t>
      </w:r>
      <w:r>
        <w:t>15.118(b) (governing cable tuner requirements).</w:t>
      </w:r>
    </w:p>
  </w:footnote>
  <w:footnote w:id="16">
    <w:p w14:paraId="49093AEE" w14:textId="77777777" w:rsidR="00AF3945" w:rsidRPr="00AF3945" w:rsidRDefault="00AF3945" w:rsidP="000C7895">
      <w:pPr>
        <w:pStyle w:val="FootnoteText"/>
        <w:jc w:val="left"/>
      </w:pPr>
      <w:r>
        <w:rPr>
          <w:rStyle w:val="FootnoteReference"/>
        </w:rPr>
        <w:footnoteRef/>
      </w:r>
      <w:r>
        <w:t xml:space="preserve"> </w:t>
      </w:r>
      <w:r>
        <w:rPr>
          <w:i/>
        </w:rPr>
        <w:t>TiVo MO&amp;O</w:t>
      </w:r>
      <w:r>
        <w:t>, 28 FCC Rcd at 12181, 12185, ¶¶ 1, 6</w:t>
      </w:r>
      <w:r w:rsidR="00B060C3">
        <w:t xml:space="preserve">; </w:t>
      </w:r>
      <w:r w:rsidR="00B060C3" w:rsidRPr="000C7895">
        <w:rPr>
          <w:i/>
        </w:rPr>
        <w:t>EchoStar MO&amp;O</w:t>
      </w:r>
      <w:r w:rsidR="00B060C3">
        <w:t>, 28 FCC Rcd at 14003-4, ¶ 6</w:t>
      </w:r>
      <w:r>
        <w:t xml:space="preserve">.  </w:t>
      </w:r>
    </w:p>
  </w:footnote>
  <w:footnote w:id="17">
    <w:p w14:paraId="022694BB" w14:textId="77777777" w:rsidR="00E22A1C" w:rsidRPr="0006170C" w:rsidRDefault="00E22A1C" w:rsidP="00E22A1C">
      <w:pPr>
        <w:pStyle w:val="FootnoteText"/>
        <w:jc w:val="left"/>
      </w:pPr>
      <w:r>
        <w:rPr>
          <w:rStyle w:val="FootnoteReference"/>
        </w:rPr>
        <w:footnoteRef/>
      </w:r>
      <w:r>
        <w:t xml:space="preserve"> </w:t>
      </w:r>
      <w:r w:rsidR="00B95E67">
        <w:rPr>
          <w:i/>
        </w:rPr>
        <w:t>Id.</w:t>
      </w:r>
    </w:p>
  </w:footnote>
  <w:footnote w:id="18">
    <w:p w14:paraId="1D247C5D" w14:textId="77777777" w:rsidR="0006170C" w:rsidRPr="0006170C" w:rsidRDefault="0006170C" w:rsidP="000C7895">
      <w:pPr>
        <w:pStyle w:val="FootnoteText"/>
        <w:jc w:val="left"/>
      </w:pPr>
      <w:r>
        <w:rPr>
          <w:rStyle w:val="FootnoteReference"/>
        </w:rPr>
        <w:footnoteRef/>
      </w:r>
      <w:r>
        <w:t xml:space="preserve"> </w:t>
      </w:r>
      <w:r w:rsidR="00AE6DBC">
        <w:rPr>
          <w:i/>
        </w:rPr>
        <w:t xml:space="preserve">See </w:t>
      </w:r>
      <w:r w:rsidR="00AE6DBC">
        <w:t xml:space="preserve">47 C.F.R. §§ 15.3(w); 15.117(a), (b); </w:t>
      </w:r>
      <w:r>
        <w:rPr>
          <w:i/>
        </w:rPr>
        <w:t xml:space="preserve">TiVo </w:t>
      </w:r>
      <w:r w:rsidR="00B060C3" w:rsidRPr="00CF2B00">
        <w:rPr>
          <w:i/>
        </w:rPr>
        <w:t>MO&amp;O</w:t>
      </w:r>
      <w:r w:rsidR="00D7622B">
        <w:t xml:space="preserve">, </w:t>
      </w:r>
      <w:r w:rsidR="00B060C3">
        <w:t xml:space="preserve">28 FCC Rcd at 12186, </w:t>
      </w:r>
      <w:r w:rsidR="00D7622B">
        <w:t xml:space="preserve">¶ </w:t>
      </w:r>
      <w:r w:rsidR="00AE6DBC">
        <w:t>8</w:t>
      </w:r>
      <w:r>
        <w:t>.</w:t>
      </w:r>
      <w:r w:rsidR="0087438E">
        <w:t xml:space="preserve">  </w:t>
      </w:r>
      <w:r w:rsidR="0087438E" w:rsidRPr="000C7895">
        <w:rPr>
          <w:i/>
        </w:rPr>
        <w:t>See also</w:t>
      </w:r>
      <w:r w:rsidR="0087438E" w:rsidRPr="0087438E">
        <w:rPr>
          <w:i/>
        </w:rPr>
        <w:t xml:space="preserve"> </w:t>
      </w:r>
      <w:r w:rsidR="0087438E" w:rsidRPr="002150A1">
        <w:rPr>
          <w:i/>
        </w:rPr>
        <w:t>EchoStar MO&amp;O</w:t>
      </w:r>
      <w:r w:rsidR="0087438E">
        <w:t>, 28 FCC Rcd at 14004-5, ¶ 7.</w:t>
      </w:r>
    </w:p>
  </w:footnote>
  <w:footnote w:id="19">
    <w:p w14:paraId="1BC3B8A2" w14:textId="77777777" w:rsidR="00AD6061" w:rsidRPr="009839DC" w:rsidRDefault="00AD6061" w:rsidP="000C7895">
      <w:pPr>
        <w:pStyle w:val="FootnoteText"/>
        <w:jc w:val="left"/>
      </w:pPr>
      <w:r>
        <w:rPr>
          <w:rStyle w:val="FootnoteReference"/>
        </w:rPr>
        <w:footnoteRef/>
      </w:r>
      <w:r>
        <w:t xml:space="preserve"> </w:t>
      </w:r>
      <w:r w:rsidR="0087438E">
        <w:rPr>
          <w:i/>
        </w:rPr>
        <w:t xml:space="preserve">TiVo </w:t>
      </w:r>
      <w:r w:rsidR="0087438E" w:rsidRPr="00CF2B00">
        <w:rPr>
          <w:i/>
        </w:rPr>
        <w:t>MO&amp;O</w:t>
      </w:r>
      <w:r w:rsidR="0087438E">
        <w:t xml:space="preserve">, 28 FCC Rcd 12187, ¶ 9; </w:t>
      </w:r>
      <w:r w:rsidR="0087438E" w:rsidRPr="002150A1">
        <w:rPr>
          <w:i/>
        </w:rPr>
        <w:t>EchoStar MO&amp;O</w:t>
      </w:r>
      <w:r w:rsidR="0087438E">
        <w:t>, 28 FCC Rcd at 1400</w:t>
      </w:r>
      <w:r w:rsidR="006A24F3">
        <w:t>5-6</w:t>
      </w:r>
      <w:r w:rsidR="0087438E">
        <w:t>, ¶ 8.</w:t>
      </w:r>
    </w:p>
  </w:footnote>
  <w:footnote w:id="20">
    <w:p w14:paraId="3E8ED5D9" w14:textId="77777777" w:rsidR="00AD6061" w:rsidRPr="009839DC" w:rsidRDefault="00AD6061" w:rsidP="000C7895">
      <w:pPr>
        <w:pStyle w:val="FootnoteText"/>
        <w:jc w:val="left"/>
      </w:pPr>
      <w:r>
        <w:rPr>
          <w:rStyle w:val="FootnoteReference"/>
        </w:rPr>
        <w:footnoteRef/>
      </w:r>
      <w:r>
        <w:t xml:space="preserve"> </w:t>
      </w:r>
      <w:r w:rsidR="00D41712">
        <w:rPr>
          <w:i/>
        </w:rPr>
        <w:t>Id</w:t>
      </w:r>
      <w:r w:rsidRPr="000C7895">
        <w:t>.</w:t>
      </w:r>
      <w:r>
        <w:t xml:space="preserve"> </w:t>
      </w:r>
    </w:p>
  </w:footnote>
  <w:footnote w:id="21">
    <w:p w14:paraId="08AECC1D" w14:textId="77777777" w:rsidR="00EA7577" w:rsidRDefault="00EA7577" w:rsidP="00EA7577">
      <w:pPr>
        <w:pStyle w:val="FootnoteText"/>
        <w:jc w:val="left"/>
      </w:pPr>
      <w:r>
        <w:rPr>
          <w:rStyle w:val="FootnoteReference"/>
        </w:rPr>
        <w:footnoteRef/>
      </w:r>
      <w:r>
        <w:t xml:space="preserve"> Funai Petition at 1.</w:t>
      </w:r>
    </w:p>
  </w:footnote>
  <w:footnote w:id="22">
    <w:p w14:paraId="34D925B0" w14:textId="77777777" w:rsidR="00EA7577" w:rsidRDefault="00EA7577" w:rsidP="00EA7577">
      <w:pPr>
        <w:pStyle w:val="FootnoteText"/>
        <w:jc w:val="left"/>
      </w:pPr>
      <w:r>
        <w:rPr>
          <w:rStyle w:val="FootnoteReference"/>
        </w:rPr>
        <w:footnoteRef/>
      </w:r>
      <w:r>
        <w:t xml:space="preserve"> EchoStar Petition at 1.</w:t>
      </w:r>
    </w:p>
  </w:footnote>
  <w:footnote w:id="23">
    <w:p w14:paraId="0987B0C6" w14:textId="77777777" w:rsidR="003D2129" w:rsidRDefault="003D2129" w:rsidP="000C7895">
      <w:pPr>
        <w:pStyle w:val="FootnoteText"/>
        <w:jc w:val="left"/>
      </w:pPr>
      <w:r>
        <w:rPr>
          <w:rStyle w:val="FootnoteReference"/>
        </w:rPr>
        <w:footnoteRef/>
      </w:r>
      <w:r w:rsidR="007C37DD">
        <w:t xml:space="preserve"> </w:t>
      </w:r>
      <w:r w:rsidR="00A7469A">
        <w:t>Funai Petition at 3, 7-8; EchoStar Petition at 4-5.</w:t>
      </w:r>
    </w:p>
  </w:footnote>
  <w:footnote w:id="24">
    <w:p w14:paraId="35955B9F" w14:textId="77777777" w:rsidR="00291577" w:rsidRPr="00297703" w:rsidRDefault="00291577" w:rsidP="000C7895">
      <w:pPr>
        <w:pStyle w:val="FootnoteText"/>
        <w:jc w:val="left"/>
      </w:pPr>
      <w:r>
        <w:rPr>
          <w:rStyle w:val="FootnoteReference"/>
        </w:rPr>
        <w:footnoteRef/>
      </w:r>
      <w:r>
        <w:t xml:space="preserve"> </w:t>
      </w:r>
      <w:r w:rsidR="00A7469A">
        <w:t xml:space="preserve">Funai Petition at 8-9; EchoStar Petition at 6-7. </w:t>
      </w:r>
    </w:p>
  </w:footnote>
  <w:footnote w:id="25">
    <w:p w14:paraId="3DE8A560" w14:textId="77777777" w:rsidR="00EC2E9E" w:rsidRPr="00E739D7" w:rsidRDefault="00EC2E9E" w:rsidP="000C7895">
      <w:pPr>
        <w:pStyle w:val="FootnoteText"/>
        <w:jc w:val="left"/>
      </w:pPr>
      <w:r w:rsidRPr="00E739D7">
        <w:rPr>
          <w:rStyle w:val="FootnoteReference"/>
        </w:rPr>
        <w:footnoteRef/>
      </w:r>
      <w:r w:rsidRPr="00E739D7">
        <w:t xml:space="preserve"> Section 1.3 of the Commission’s rules states that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47 C.F.R. § 1.3.</w:t>
      </w:r>
    </w:p>
  </w:footnote>
  <w:footnote w:id="26">
    <w:p w14:paraId="211D19B6" w14:textId="77777777" w:rsidR="00B87F5A" w:rsidRDefault="00B87F5A" w:rsidP="000C7895">
      <w:pPr>
        <w:autoSpaceDE w:val="0"/>
        <w:autoSpaceDN w:val="0"/>
        <w:adjustRightInd w:val="0"/>
        <w:spacing w:after="120"/>
        <w:rPr>
          <w:sz w:val="20"/>
        </w:rPr>
      </w:pPr>
      <w:r>
        <w:rPr>
          <w:rStyle w:val="FootnoteReference"/>
          <w:sz w:val="20"/>
        </w:rPr>
        <w:footnoteRef/>
      </w:r>
      <w:r w:rsidR="00C202EB">
        <w:rPr>
          <w:sz w:val="20"/>
        </w:rPr>
        <w:t xml:space="preserve"> Funai Petition at 3; EchoStar Petition at 5. </w:t>
      </w:r>
    </w:p>
  </w:footnote>
  <w:footnote w:id="27">
    <w:p w14:paraId="747019AE" w14:textId="77777777" w:rsidR="00B87F5A" w:rsidRDefault="00B87F5A" w:rsidP="000C7895">
      <w:pPr>
        <w:pStyle w:val="FootnoteText"/>
      </w:pPr>
      <w:r>
        <w:rPr>
          <w:rStyle w:val="FootnoteReference"/>
        </w:rPr>
        <w:footnoteRef/>
      </w:r>
      <w:r>
        <w:t xml:space="preserve"> </w:t>
      </w:r>
      <w:r w:rsidR="00561B56">
        <w:t xml:space="preserve">Funai Petition at 4; EchoStar Petition at 5. </w:t>
      </w:r>
    </w:p>
  </w:footnote>
  <w:footnote w:id="28">
    <w:p w14:paraId="0B961BC1" w14:textId="77777777" w:rsidR="00B87F5A" w:rsidRDefault="00B87F5A" w:rsidP="000C7895">
      <w:pPr>
        <w:pStyle w:val="FootnoteText"/>
      </w:pPr>
      <w:r>
        <w:rPr>
          <w:rStyle w:val="FootnoteReference"/>
        </w:rPr>
        <w:footnoteRef/>
      </w:r>
      <w:r>
        <w:t xml:space="preserve"> </w:t>
      </w:r>
      <w:r w:rsidR="00561B56">
        <w:t>Funai Petition</w:t>
      </w:r>
      <w:r>
        <w:t xml:space="preserve"> at 6.</w:t>
      </w:r>
    </w:p>
  </w:footnote>
  <w:footnote w:id="29">
    <w:p w14:paraId="18B37230" w14:textId="77777777" w:rsidR="00561B56" w:rsidRPr="00561B56" w:rsidRDefault="00561B56" w:rsidP="00561B56">
      <w:pPr>
        <w:pStyle w:val="FootnoteText"/>
      </w:pPr>
      <w:r>
        <w:rPr>
          <w:rStyle w:val="FootnoteReference"/>
        </w:rPr>
        <w:footnoteRef/>
      </w:r>
      <w:r>
        <w:t xml:space="preserve"> EchoStar Petition at 5. </w:t>
      </w:r>
    </w:p>
  </w:footnote>
  <w:footnote w:id="30">
    <w:p w14:paraId="37306252" w14:textId="77777777" w:rsidR="00B87F5A" w:rsidRDefault="00B87F5A" w:rsidP="000C7895">
      <w:pPr>
        <w:pStyle w:val="FootnoteText"/>
      </w:pPr>
      <w:r>
        <w:rPr>
          <w:rStyle w:val="FootnoteReference"/>
        </w:rPr>
        <w:footnoteRef/>
      </w:r>
      <w:r>
        <w:t xml:space="preserve"> </w:t>
      </w:r>
      <w:r w:rsidR="00983079">
        <w:t xml:space="preserve">Funai Petition at 4, 7; EchoStar Petition at 6. </w:t>
      </w:r>
    </w:p>
  </w:footnote>
  <w:footnote w:id="31">
    <w:p w14:paraId="5638B72F" w14:textId="77777777" w:rsidR="00B87F5A" w:rsidRDefault="00B87F5A" w:rsidP="000C7895">
      <w:pPr>
        <w:pStyle w:val="FootnoteText"/>
      </w:pPr>
      <w:r>
        <w:rPr>
          <w:rStyle w:val="FootnoteReference"/>
        </w:rPr>
        <w:footnoteRef/>
      </w:r>
      <w:r>
        <w:t xml:space="preserve"> </w:t>
      </w:r>
      <w:r w:rsidR="00BC4E77">
        <w:t xml:space="preserve">Funai Petition at 7; EchoStar Petition at 6. </w:t>
      </w:r>
    </w:p>
  </w:footnote>
  <w:footnote w:id="32">
    <w:p w14:paraId="58D86648" w14:textId="77777777" w:rsidR="000B4087" w:rsidRPr="00C57838" w:rsidRDefault="000B4087" w:rsidP="000C7895">
      <w:pPr>
        <w:pStyle w:val="FootnoteText"/>
        <w:jc w:val="left"/>
      </w:pPr>
      <w:r>
        <w:rPr>
          <w:rStyle w:val="FootnoteReference"/>
        </w:rPr>
        <w:footnoteRef/>
      </w:r>
      <w:r w:rsidR="00C57838">
        <w:t xml:space="preserve"> </w:t>
      </w:r>
      <w:r w:rsidR="000A491A">
        <w:t xml:space="preserve">Funai Petition </w:t>
      </w:r>
      <w:r w:rsidR="00C57838">
        <w:t>at 6</w:t>
      </w:r>
      <w:r w:rsidR="00A66EAA">
        <w:t>-7</w:t>
      </w:r>
      <w:r w:rsidR="000A491A">
        <w:t xml:space="preserve">; EchoStar Petition at 5. </w:t>
      </w:r>
    </w:p>
  </w:footnote>
  <w:footnote w:id="33">
    <w:p w14:paraId="00D8BAB1" w14:textId="77777777" w:rsidR="00A7473D" w:rsidRPr="00C57838" w:rsidRDefault="00A7473D" w:rsidP="000C7895">
      <w:pPr>
        <w:pStyle w:val="FootnoteText"/>
        <w:jc w:val="left"/>
      </w:pPr>
      <w:r>
        <w:rPr>
          <w:rStyle w:val="FootnoteReference"/>
        </w:rPr>
        <w:footnoteRef/>
      </w:r>
      <w:r w:rsidR="004201B6">
        <w:t xml:space="preserve"> </w:t>
      </w:r>
      <w:r>
        <w:t xml:space="preserve">Consumer Electronics Association </w:t>
      </w:r>
      <w:r w:rsidR="000C7895">
        <w:t xml:space="preserve">Comments </w:t>
      </w:r>
      <w:r>
        <w:t xml:space="preserve">at 2. </w:t>
      </w:r>
    </w:p>
  </w:footnote>
  <w:footnote w:id="34">
    <w:p w14:paraId="157EC64F" w14:textId="77777777" w:rsidR="00D439B7" w:rsidRDefault="00D439B7" w:rsidP="000C7895">
      <w:pPr>
        <w:pStyle w:val="FootnoteText"/>
        <w:jc w:val="left"/>
      </w:pPr>
      <w:r>
        <w:rPr>
          <w:rStyle w:val="FootnoteReference"/>
        </w:rPr>
        <w:footnoteRef/>
      </w:r>
      <w:r>
        <w:t xml:space="preserve"> 47 C.F.R. § 15.117(b).</w:t>
      </w:r>
    </w:p>
  </w:footnote>
  <w:footnote w:id="35">
    <w:p w14:paraId="23E20BC8" w14:textId="0855294C" w:rsidR="00D4649E" w:rsidRPr="00160A0F" w:rsidRDefault="00D4649E" w:rsidP="00C327A6">
      <w:pPr>
        <w:pStyle w:val="FootnoteText"/>
      </w:pPr>
      <w:r>
        <w:rPr>
          <w:rStyle w:val="FootnoteReference"/>
        </w:rPr>
        <w:footnoteRef/>
      </w:r>
      <w:r>
        <w:t xml:space="preserve"> </w:t>
      </w:r>
      <w:r>
        <w:rPr>
          <w:i/>
        </w:rPr>
        <w:t>LPTV DTV Third Notice</w:t>
      </w:r>
      <w:r>
        <w:t xml:space="preserve">, </w:t>
      </w:r>
      <w:r w:rsidRPr="006A24F3">
        <w:t>29 FCC Rcd</w:t>
      </w:r>
      <w:r>
        <w:t xml:space="preserve"> at 12539, </w:t>
      </w:r>
      <w:r w:rsidR="00212A86">
        <w:t xml:space="preserve">¶ 5. </w:t>
      </w:r>
      <w:r w:rsidR="00160A0F" w:rsidRPr="00C327A6">
        <w:rPr>
          <w:i/>
        </w:rPr>
        <w:t>But see</w:t>
      </w:r>
      <w:r w:rsidR="00160A0F">
        <w:t xml:space="preserve"> </w:t>
      </w:r>
      <w:r w:rsidR="00160A0F" w:rsidRPr="00C327A6">
        <w:rPr>
          <w:i/>
        </w:rPr>
        <w:t>Suspension of September 1, 2015 Digital Transition Date for Low Power Television and TV Translator Stations</w:t>
      </w:r>
      <w:r w:rsidR="00160A0F">
        <w:t>, Public Notice, DA 15-486 (MB rel. April 24, 2015).</w:t>
      </w:r>
    </w:p>
  </w:footnote>
  <w:footnote w:id="36">
    <w:p w14:paraId="4D39509A" w14:textId="245D48D9" w:rsidR="00EB706B" w:rsidRDefault="00EB706B" w:rsidP="000C7895">
      <w:pPr>
        <w:pStyle w:val="FootnoteText"/>
        <w:jc w:val="left"/>
      </w:pPr>
      <w:r>
        <w:rPr>
          <w:rStyle w:val="FootnoteReference"/>
        </w:rPr>
        <w:footnoteRef/>
      </w:r>
      <w:r>
        <w:t xml:space="preserve"> </w:t>
      </w:r>
      <w:r w:rsidR="00212A86">
        <w:rPr>
          <w:i/>
        </w:rPr>
        <w:t>Id.</w:t>
      </w:r>
      <w:r w:rsidR="00212A86" w:rsidRPr="00485430">
        <w:rPr>
          <w:i/>
        </w:rPr>
        <w:t xml:space="preserve"> </w:t>
      </w:r>
      <w:r w:rsidR="006A24F3">
        <w:t>at 12557, ¶ 54.</w:t>
      </w:r>
    </w:p>
  </w:footnote>
  <w:footnote w:id="37">
    <w:p w14:paraId="2AD60BCC" w14:textId="77777777" w:rsidR="00DB560C" w:rsidRPr="00DB560C" w:rsidRDefault="00DB560C" w:rsidP="00DB560C">
      <w:pPr>
        <w:pStyle w:val="FootnoteText"/>
        <w:jc w:val="left"/>
      </w:pPr>
      <w:r>
        <w:rPr>
          <w:rStyle w:val="FootnoteReference"/>
        </w:rPr>
        <w:footnoteRef/>
      </w:r>
      <w:r>
        <w:t xml:space="preserve"> </w:t>
      </w:r>
      <w:r w:rsidR="00804434">
        <w:t xml:space="preserve">This waiver will only affect broadcast television viewers, not cable or satellite viewers. </w:t>
      </w:r>
    </w:p>
  </w:footnote>
  <w:footnote w:id="38">
    <w:p w14:paraId="708F6181" w14:textId="77777777" w:rsidR="0024393E" w:rsidRPr="0024393E" w:rsidRDefault="0024393E">
      <w:pPr>
        <w:pStyle w:val="FootnoteText"/>
      </w:pPr>
      <w:r>
        <w:rPr>
          <w:rStyle w:val="FootnoteReference"/>
        </w:rPr>
        <w:footnoteRef/>
      </w:r>
      <w:r>
        <w:t xml:space="preserve"> </w:t>
      </w:r>
      <w:r>
        <w:rPr>
          <w:i/>
        </w:rPr>
        <w:t>LPTV DTV Third Notice</w:t>
      </w:r>
      <w:r>
        <w:t>, 29 FCC Rcd at 12556-7, ¶ 54.</w:t>
      </w:r>
    </w:p>
  </w:footnote>
  <w:footnote w:id="39">
    <w:p w14:paraId="5C09CE71" w14:textId="77777777" w:rsidR="00750A80" w:rsidRDefault="00750A80" w:rsidP="00750A80">
      <w:pPr>
        <w:pStyle w:val="FootnoteText"/>
        <w:jc w:val="left"/>
      </w:pPr>
      <w:r>
        <w:rPr>
          <w:rStyle w:val="FootnoteReference"/>
        </w:rPr>
        <w:footnoteRef/>
      </w:r>
      <w:r>
        <w:t xml:space="preserve"> EchoStar Petition at 6-7</w:t>
      </w:r>
      <w:r w:rsidR="00586A7E">
        <w:t>;</w:t>
      </w:r>
      <w:r w:rsidR="00586A7E" w:rsidRPr="00586A7E">
        <w:t xml:space="preserve"> </w:t>
      </w:r>
      <w:r w:rsidR="00586A7E">
        <w:t>Funai Petition at 8-9</w:t>
      </w:r>
      <w:r>
        <w:t xml:space="preserve">. </w:t>
      </w:r>
      <w:r w:rsidR="00586A7E">
        <w:rPr>
          <w:i/>
        </w:rPr>
        <w:t>See also EchoStar Technologies L.L.C. Petition for Waiver of Section 15.117(b) of the Commission’s Rules</w:t>
      </w:r>
      <w:r w:rsidR="00586A7E">
        <w:t>, MB Docket No. 13-177, Memorandum Opinion and Order, 28 FCC Rcd 14000, 14005, ¶ 8 (2013) (“</w:t>
      </w:r>
      <w:r w:rsidR="00586A7E" w:rsidRPr="00CF2B00">
        <w:rPr>
          <w:i/>
        </w:rPr>
        <w:t>EchoStar MO&amp;O</w:t>
      </w:r>
      <w:r w:rsidR="00586A7E">
        <w:t>”)</w:t>
      </w:r>
    </w:p>
  </w:footnote>
  <w:footnote w:id="40">
    <w:p w14:paraId="7F41B0CB" w14:textId="77777777" w:rsidR="00586A7E" w:rsidRDefault="00586A7E" w:rsidP="007B3B84">
      <w:pPr>
        <w:pStyle w:val="FootnoteText"/>
        <w:jc w:val="left"/>
      </w:pPr>
      <w:r>
        <w:rPr>
          <w:rStyle w:val="FootnoteReference"/>
        </w:rPr>
        <w:footnoteRef/>
      </w:r>
      <w:r>
        <w:t xml:space="preserve"> As EchoStar requests, these obligations will be lifted “if the Commission in the pending rulemaking proceeding declines . . . to impose consumer protection or education measures.”  EchoStar Petition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F924" w14:textId="77777777" w:rsidR="00CA251B" w:rsidRDefault="00CA2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6398" w14:textId="47B347A1" w:rsidR="00EC2E9E" w:rsidRDefault="00EC2E9E">
    <w:pPr>
      <w:pStyle w:val="Header"/>
      <w:tabs>
        <w:tab w:val="clear" w:pos="4320"/>
        <w:tab w:val="clear" w:pos="8640"/>
        <w:tab w:val="center" w:pos="4680"/>
        <w:tab w:val="right" w:pos="9360"/>
      </w:tabs>
      <w:rPr>
        <w:b/>
      </w:rPr>
    </w:pPr>
    <w:r>
      <w:rPr>
        <w:b/>
      </w:rPr>
      <w:tab/>
      <w:t>Federal Communications Commission</w:t>
    </w:r>
    <w:r>
      <w:rPr>
        <w:b/>
      </w:rPr>
      <w:tab/>
      <w:t xml:space="preserve">DA </w:t>
    </w:r>
    <w:r w:rsidR="004607BE">
      <w:rPr>
        <w:b/>
      </w:rPr>
      <w:t>15</w:t>
    </w:r>
    <w:r>
      <w:rPr>
        <w:b/>
      </w:rPr>
      <w:t>-</w:t>
    </w:r>
    <w:r w:rsidR="00EB2165">
      <w:rPr>
        <w:b/>
      </w:rPr>
      <w:t>533</w:t>
    </w:r>
  </w:p>
  <w:p w14:paraId="26817DD6" w14:textId="77777777"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7216" behindDoc="1" locked="0" layoutInCell="1" allowOverlap="1" wp14:anchorId="3FFFDEDF" wp14:editId="5615EC59">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" strokeweight=".53mm">
              <v:stroke joinstyle="miter"/>
            </v:line>
          </w:pict>
        </mc:Fallback>
      </mc:AlternateContent>
    </w:r>
  </w:p>
  <w:p w14:paraId="50C53662" w14:textId="77777777" w:rsidR="00EC2E9E" w:rsidRDefault="00EC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ED9B" w14:textId="0FEA5B89" w:rsidR="00EC2E9E" w:rsidRDefault="00EC2E9E">
    <w:pPr>
      <w:pStyle w:val="Header"/>
      <w:tabs>
        <w:tab w:val="clear" w:pos="4320"/>
        <w:tab w:val="clear" w:pos="8640"/>
        <w:tab w:val="center" w:pos="4680"/>
        <w:tab w:val="right" w:pos="9360"/>
      </w:tabs>
      <w:rPr>
        <w:b/>
      </w:rPr>
    </w:pPr>
    <w:r>
      <w:rPr>
        <w:b/>
      </w:rPr>
      <w:tab/>
      <w:t>Federal Communications Commission</w:t>
    </w:r>
    <w:r>
      <w:rPr>
        <w:b/>
      </w:rPr>
      <w:tab/>
      <w:t xml:space="preserve">DA </w:t>
    </w:r>
    <w:r w:rsidR="004607BE">
      <w:rPr>
        <w:b/>
      </w:rPr>
      <w:t>15</w:t>
    </w:r>
    <w:r>
      <w:rPr>
        <w:b/>
      </w:rPr>
      <w:t>-</w:t>
    </w:r>
    <w:r w:rsidR="00EB2165">
      <w:rPr>
        <w:b/>
      </w:rPr>
      <w:t>533</w:t>
    </w:r>
  </w:p>
  <w:p w14:paraId="14D535D8" w14:textId="77777777"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8240" behindDoc="1" locked="0" layoutInCell="1" allowOverlap="1" wp14:anchorId="6AB0053B" wp14:editId="7DC58E08">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" strokeweight=".53mm">
              <v:stroke joinstyle="miter"/>
            </v:line>
          </w:pict>
        </mc:Fallback>
      </mc:AlternateContent>
    </w:r>
  </w:p>
  <w:p w14:paraId="527F4D79" w14:textId="77777777" w:rsidR="00EC2E9E" w:rsidRDefault="00EC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720"/>
        </w:tabs>
        <w:ind w:left="720" w:hanging="720"/>
      </w:pPr>
      <w:rPr>
        <w:rFonts w:ascii="Times New Roman" w:hAnsi="Times New Roman"/>
        <w:b/>
        <w:i w:val="0"/>
        <w:caps w:val="0"/>
        <w:smallCaps w:val="0"/>
        <w:strike w:val="0"/>
        <w:dstrike w:val="0"/>
        <w:vanish w:val="0"/>
        <w:position w:val="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rPr>
        <w:rFonts w:ascii="Tahoma" w:hAnsi="Tahoma"/>
        <w:b/>
        <w:i w:val="0"/>
        <w:caps w:val="0"/>
        <w:smallCaps w:val="0"/>
        <w:strike w:val="0"/>
        <w:dstrike w:val="0"/>
        <w:vanish w:val="0"/>
        <w:position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320"/>
        </w:tabs>
        <w:ind w:left="4320" w:firstLine="0"/>
      </w:pPr>
    </w:lvl>
    <w:lvl w:ilvl="7">
      <w:start w:val="1"/>
      <w:numFmt w:val="lowerLetter"/>
      <w:pStyle w:val="Heading8"/>
      <w:lvlText w:val="(%8)"/>
      <w:lvlJc w:val="left"/>
      <w:pPr>
        <w:tabs>
          <w:tab w:val="num" w:pos="5040"/>
        </w:tabs>
        <w:ind w:left="5040" w:firstLine="0"/>
      </w:pPr>
    </w:lvl>
    <w:lvl w:ilvl="8">
      <w:start w:val="1"/>
      <w:numFmt w:val="lowerRoman"/>
      <w:pStyle w:val="Heading9"/>
      <w:lvlText w:val="(%9)"/>
      <w:lvlJc w:val="left"/>
      <w:pPr>
        <w:tabs>
          <w:tab w:val="num" w:pos="5760"/>
        </w:tabs>
        <w:ind w:left="5760" w:firstLine="0"/>
      </w:pPr>
      <w:rPr>
        <w:b/>
        <w:i w:val="0"/>
        <w:sz w:val="22"/>
      </w:rPr>
    </w:lvl>
  </w:abstractNum>
  <w:abstractNum w:abstractNumId="1">
    <w:nsid w:val="00000002"/>
    <w:multiLevelType w:val="singleLevel"/>
    <w:tmpl w:val="93E665D0"/>
    <w:lvl w:ilvl="0">
      <w:start w:val="1"/>
      <w:numFmt w:val="decimal"/>
      <w:pStyle w:val="ParaNum"/>
      <w:lvlText w:val="%1."/>
      <w:lvlJc w:val="left"/>
      <w:pPr>
        <w:tabs>
          <w:tab w:val="num" w:pos="0"/>
        </w:tabs>
        <w:ind w:left="0" w:firstLine="720"/>
      </w:pPr>
      <w:rPr>
        <w:rFonts w:ascii="Times New Roman" w:hAnsi="Times New Roman" w:cs="Times New Roman" w:hint="default"/>
      </w:rPr>
    </w:lvl>
  </w:abstractNum>
  <w:abstractNum w:abstractNumId="2">
    <w:nsid w:val="091A5E7B"/>
    <w:multiLevelType w:val="hybridMultilevel"/>
    <w:tmpl w:val="BE5680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0"/>
  </w:num>
  <w:num w:numId="22">
    <w:abstractNumId w:val="0"/>
  </w:num>
  <w:num w:numId="23">
    <w:abstractNumId w:val="0"/>
  </w:num>
  <w:num w:numId="24">
    <w:abstractNumId w:val="1"/>
    <w:lvlOverride w:ilvl="0">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E6"/>
    <w:rsid w:val="00000D5C"/>
    <w:rsid w:val="00002E88"/>
    <w:rsid w:val="00003E54"/>
    <w:rsid w:val="000052F6"/>
    <w:rsid w:val="000064A0"/>
    <w:rsid w:val="00007459"/>
    <w:rsid w:val="00011B87"/>
    <w:rsid w:val="00012C91"/>
    <w:rsid w:val="0001785B"/>
    <w:rsid w:val="0002100E"/>
    <w:rsid w:val="0002267A"/>
    <w:rsid w:val="00024A24"/>
    <w:rsid w:val="00032F1C"/>
    <w:rsid w:val="00033241"/>
    <w:rsid w:val="0003759D"/>
    <w:rsid w:val="00042085"/>
    <w:rsid w:val="00043C5E"/>
    <w:rsid w:val="00044150"/>
    <w:rsid w:val="000473F3"/>
    <w:rsid w:val="00050231"/>
    <w:rsid w:val="00056954"/>
    <w:rsid w:val="0006170C"/>
    <w:rsid w:val="00066F26"/>
    <w:rsid w:val="000715FB"/>
    <w:rsid w:val="000723A8"/>
    <w:rsid w:val="0008002D"/>
    <w:rsid w:val="00080B8A"/>
    <w:rsid w:val="0008401B"/>
    <w:rsid w:val="00084A0D"/>
    <w:rsid w:val="000854DF"/>
    <w:rsid w:val="0008716E"/>
    <w:rsid w:val="00090793"/>
    <w:rsid w:val="000931E1"/>
    <w:rsid w:val="000974FE"/>
    <w:rsid w:val="00097A6E"/>
    <w:rsid w:val="000A0576"/>
    <w:rsid w:val="000A2D8D"/>
    <w:rsid w:val="000A491A"/>
    <w:rsid w:val="000A522E"/>
    <w:rsid w:val="000A6E11"/>
    <w:rsid w:val="000A78D9"/>
    <w:rsid w:val="000B1CA2"/>
    <w:rsid w:val="000B248E"/>
    <w:rsid w:val="000B4087"/>
    <w:rsid w:val="000C5336"/>
    <w:rsid w:val="000C5AA6"/>
    <w:rsid w:val="000C6955"/>
    <w:rsid w:val="000C6B24"/>
    <w:rsid w:val="000C732C"/>
    <w:rsid w:val="000C7895"/>
    <w:rsid w:val="000D0452"/>
    <w:rsid w:val="000D185E"/>
    <w:rsid w:val="000D1D47"/>
    <w:rsid w:val="000D1D7C"/>
    <w:rsid w:val="000D2115"/>
    <w:rsid w:val="000D69C6"/>
    <w:rsid w:val="000E0F7B"/>
    <w:rsid w:val="000E11F2"/>
    <w:rsid w:val="000E3475"/>
    <w:rsid w:val="000E70FD"/>
    <w:rsid w:val="000E73D1"/>
    <w:rsid w:val="000F47AF"/>
    <w:rsid w:val="000F63D7"/>
    <w:rsid w:val="0010544B"/>
    <w:rsid w:val="001119B0"/>
    <w:rsid w:val="00116952"/>
    <w:rsid w:val="001173E5"/>
    <w:rsid w:val="00117EA2"/>
    <w:rsid w:val="00120E2F"/>
    <w:rsid w:val="001211AE"/>
    <w:rsid w:val="001218B3"/>
    <w:rsid w:val="00131FCF"/>
    <w:rsid w:val="00132150"/>
    <w:rsid w:val="001401BB"/>
    <w:rsid w:val="001455B7"/>
    <w:rsid w:val="00145792"/>
    <w:rsid w:val="00145EB4"/>
    <w:rsid w:val="001570F3"/>
    <w:rsid w:val="0016028F"/>
    <w:rsid w:val="00160A0F"/>
    <w:rsid w:val="00161369"/>
    <w:rsid w:val="00162E37"/>
    <w:rsid w:val="00172D3C"/>
    <w:rsid w:val="001752A0"/>
    <w:rsid w:val="00176C15"/>
    <w:rsid w:val="0018372C"/>
    <w:rsid w:val="001854AF"/>
    <w:rsid w:val="001861E7"/>
    <w:rsid w:val="0019414B"/>
    <w:rsid w:val="00196593"/>
    <w:rsid w:val="001A3DAC"/>
    <w:rsid w:val="001A4B8C"/>
    <w:rsid w:val="001A5EBA"/>
    <w:rsid w:val="001A790A"/>
    <w:rsid w:val="001A7E69"/>
    <w:rsid w:val="001B1C6B"/>
    <w:rsid w:val="001B2F88"/>
    <w:rsid w:val="001C0656"/>
    <w:rsid w:val="001C0C94"/>
    <w:rsid w:val="001C1015"/>
    <w:rsid w:val="001C265A"/>
    <w:rsid w:val="001C4491"/>
    <w:rsid w:val="001C595D"/>
    <w:rsid w:val="001D03E4"/>
    <w:rsid w:val="001D3B31"/>
    <w:rsid w:val="001D5423"/>
    <w:rsid w:val="001E0E72"/>
    <w:rsid w:val="001E67DD"/>
    <w:rsid w:val="001F0175"/>
    <w:rsid w:val="001F3347"/>
    <w:rsid w:val="001F33A6"/>
    <w:rsid w:val="001F469F"/>
    <w:rsid w:val="001F5B29"/>
    <w:rsid w:val="001F6466"/>
    <w:rsid w:val="0020514A"/>
    <w:rsid w:val="00206DD8"/>
    <w:rsid w:val="00207067"/>
    <w:rsid w:val="00210364"/>
    <w:rsid w:val="00210CEC"/>
    <w:rsid w:val="00212A86"/>
    <w:rsid w:val="0021561F"/>
    <w:rsid w:val="002209A0"/>
    <w:rsid w:val="00233A78"/>
    <w:rsid w:val="00236590"/>
    <w:rsid w:val="0024393E"/>
    <w:rsid w:val="00244362"/>
    <w:rsid w:val="002502FF"/>
    <w:rsid w:val="002544FC"/>
    <w:rsid w:val="00255923"/>
    <w:rsid w:val="00257208"/>
    <w:rsid w:val="00257A84"/>
    <w:rsid w:val="00261391"/>
    <w:rsid w:val="002618D5"/>
    <w:rsid w:val="0026328E"/>
    <w:rsid w:val="00263FA2"/>
    <w:rsid w:val="002649D4"/>
    <w:rsid w:val="00271D8D"/>
    <w:rsid w:val="00271E57"/>
    <w:rsid w:val="0027591A"/>
    <w:rsid w:val="00277E0A"/>
    <w:rsid w:val="00281147"/>
    <w:rsid w:val="002835BD"/>
    <w:rsid w:val="00284D54"/>
    <w:rsid w:val="00291577"/>
    <w:rsid w:val="00294A2F"/>
    <w:rsid w:val="00297154"/>
    <w:rsid w:val="00297703"/>
    <w:rsid w:val="002A048A"/>
    <w:rsid w:val="002A0905"/>
    <w:rsid w:val="002A10A7"/>
    <w:rsid w:val="002A5085"/>
    <w:rsid w:val="002A51A4"/>
    <w:rsid w:val="002B58D7"/>
    <w:rsid w:val="002B643E"/>
    <w:rsid w:val="002B6A03"/>
    <w:rsid w:val="002C42E5"/>
    <w:rsid w:val="002D1FBD"/>
    <w:rsid w:val="002D2BED"/>
    <w:rsid w:val="002D2E15"/>
    <w:rsid w:val="002D2F47"/>
    <w:rsid w:val="002D53E3"/>
    <w:rsid w:val="002D59FA"/>
    <w:rsid w:val="002E402B"/>
    <w:rsid w:val="002E75A0"/>
    <w:rsid w:val="002F0D5A"/>
    <w:rsid w:val="002F0DCB"/>
    <w:rsid w:val="002F3AFF"/>
    <w:rsid w:val="002F7C29"/>
    <w:rsid w:val="002F7EFC"/>
    <w:rsid w:val="00303617"/>
    <w:rsid w:val="00305104"/>
    <w:rsid w:val="00306D4E"/>
    <w:rsid w:val="00315118"/>
    <w:rsid w:val="0032562B"/>
    <w:rsid w:val="00333B1D"/>
    <w:rsid w:val="003375B2"/>
    <w:rsid w:val="00337954"/>
    <w:rsid w:val="003419CA"/>
    <w:rsid w:val="003477EE"/>
    <w:rsid w:val="00351F30"/>
    <w:rsid w:val="0035252E"/>
    <w:rsid w:val="003552C0"/>
    <w:rsid w:val="00357113"/>
    <w:rsid w:val="00357747"/>
    <w:rsid w:val="003609A1"/>
    <w:rsid w:val="0036111A"/>
    <w:rsid w:val="00365C1C"/>
    <w:rsid w:val="003675F7"/>
    <w:rsid w:val="00374507"/>
    <w:rsid w:val="003771CD"/>
    <w:rsid w:val="00381C92"/>
    <w:rsid w:val="00382585"/>
    <w:rsid w:val="00384FC7"/>
    <w:rsid w:val="003856F3"/>
    <w:rsid w:val="0038629C"/>
    <w:rsid w:val="0038764D"/>
    <w:rsid w:val="00390D03"/>
    <w:rsid w:val="003923D8"/>
    <w:rsid w:val="00392642"/>
    <w:rsid w:val="003928EE"/>
    <w:rsid w:val="003935FE"/>
    <w:rsid w:val="00394BE6"/>
    <w:rsid w:val="003A13C2"/>
    <w:rsid w:val="003A6769"/>
    <w:rsid w:val="003B34FF"/>
    <w:rsid w:val="003B5199"/>
    <w:rsid w:val="003B5B01"/>
    <w:rsid w:val="003B6795"/>
    <w:rsid w:val="003C6075"/>
    <w:rsid w:val="003D2129"/>
    <w:rsid w:val="003D5D72"/>
    <w:rsid w:val="003D6271"/>
    <w:rsid w:val="003D7436"/>
    <w:rsid w:val="003D7B73"/>
    <w:rsid w:val="003E0D5D"/>
    <w:rsid w:val="003E420E"/>
    <w:rsid w:val="003E4377"/>
    <w:rsid w:val="003F0DF2"/>
    <w:rsid w:val="003F7A86"/>
    <w:rsid w:val="00401C57"/>
    <w:rsid w:val="00402CC6"/>
    <w:rsid w:val="0040329D"/>
    <w:rsid w:val="00403B06"/>
    <w:rsid w:val="00403B7A"/>
    <w:rsid w:val="00403CA5"/>
    <w:rsid w:val="00406A74"/>
    <w:rsid w:val="00407C30"/>
    <w:rsid w:val="0041448E"/>
    <w:rsid w:val="00415053"/>
    <w:rsid w:val="004201B6"/>
    <w:rsid w:val="004231A3"/>
    <w:rsid w:val="00423F6D"/>
    <w:rsid w:val="00424A68"/>
    <w:rsid w:val="00425953"/>
    <w:rsid w:val="00430260"/>
    <w:rsid w:val="004320A4"/>
    <w:rsid w:val="0043509D"/>
    <w:rsid w:val="004360DB"/>
    <w:rsid w:val="004373F9"/>
    <w:rsid w:val="00437E25"/>
    <w:rsid w:val="00442057"/>
    <w:rsid w:val="004518BB"/>
    <w:rsid w:val="0045291A"/>
    <w:rsid w:val="004607BE"/>
    <w:rsid w:val="004645F3"/>
    <w:rsid w:val="0046708B"/>
    <w:rsid w:val="00472211"/>
    <w:rsid w:val="0047501D"/>
    <w:rsid w:val="004808A1"/>
    <w:rsid w:val="004844CF"/>
    <w:rsid w:val="00485430"/>
    <w:rsid w:val="00485D3B"/>
    <w:rsid w:val="00494293"/>
    <w:rsid w:val="004948BC"/>
    <w:rsid w:val="00496935"/>
    <w:rsid w:val="004A3EFC"/>
    <w:rsid w:val="004A47B5"/>
    <w:rsid w:val="004B415A"/>
    <w:rsid w:val="004C72E5"/>
    <w:rsid w:val="004D1A40"/>
    <w:rsid w:val="004E0318"/>
    <w:rsid w:val="004E22F1"/>
    <w:rsid w:val="004E7C98"/>
    <w:rsid w:val="004F1424"/>
    <w:rsid w:val="0050401E"/>
    <w:rsid w:val="00510A8A"/>
    <w:rsid w:val="00512CCC"/>
    <w:rsid w:val="00517127"/>
    <w:rsid w:val="00522FF8"/>
    <w:rsid w:val="0053226B"/>
    <w:rsid w:val="005329AD"/>
    <w:rsid w:val="005334CD"/>
    <w:rsid w:val="00534F1B"/>
    <w:rsid w:val="00535467"/>
    <w:rsid w:val="00537A6E"/>
    <w:rsid w:val="00540411"/>
    <w:rsid w:val="00540AF7"/>
    <w:rsid w:val="00547C83"/>
    <w:rsid w:val="00552916"/>
    <w:rsid w:val="00561A91"/>
    <w:rsid w:val="00561B56"/>
    <w:rsid w:val="00561F29"/>
    <w:rsid w:val="00565206"/>
    <w:rsid w:val="00565A88"/>
    <w:rsid w:val="00566822"/>
    <w:rsid w:val="00571194"/>
    <w:rsid w:val="00573C1F"/>
    <w:rsid w:val="00575A0E"/>
    <w:rsid w:val="00575D56"/>
    <w:rsid w:val="00580345"/>
    <w:rsid w:val="0058438C"/>
    <w:rsid w:val="00586389"/>
    <w:rsid w:val="00586A7E"/>
    <w:rsid w:val="0058764B"/>
    <w:rsid w:val="00590F66"/>
    <w:rsid w:val="005917AA"/>
    <w:rsid w:val="005A26BD"/>
    <w:rsid w:val="005A2D77"/>
    <w:rsid w:val="005A4C44"/>
    <w:rsid w:val="005A60DF"/>
    <w:rsid w:val="005A6E17"/>
    <w:rsid w:val="005B2527"/>
    <w:rsid w:val="005B64CF"/>
    <w:rsid w:val="005B6A60"/>
    <w:rsid w:val="005C57EB"/>
    <w:rsid w:val="005C7D1D"/>
    <w:rsid w:val="005D0E00"/>
    <w:rsid w:val="005D29E2"/>
    <w:rsid w:val="005D7F93"/>
    <w:rsid w:val="005E2E07"/>
    <w:rsid w:val="005F39F7"/>
    <w:rsid w:val="005F3F4F"/>
    <w:rsid w:val="005F7132"/>
    <w:rsid w:val="006026F6"/>
    <w:rsid w:val="006031FA"/>
    <w:rsid w:val="00603226"/>
    <w:rsid w:val="00604E8E"/>
    <w:rsid w:val="00605150"/>
    <w:rsid w:val="00605534"/>
    <w:rsid w:val="00612037"/>
    <w:rsid w:val="00615E23"/>
    <w:rsid w:val="00617BC5"/>
    <w:rsid w:val="00621792"/>
    <w:rsid w:val="00622CDB"/>
    <w:rsid w:val="00627B09"/>
    <w:rsid w:val="006303F6"/>
    <w:rsid w:val="00631B98"/>
    <w:rsid w:val="00631DA5"/>
    <w:rsid w:val="00646E3C"/>
    <w:rsid w:val="006503ED"/>
    <w:rsid w:val="00650A15"/>
    <w:rsid w:val="006533A4"/>
    <w:rsid w:val="00654A4F"/>
    <w:rsid w:val="00661173"/>
    <w:rsid w:val="00665EBA"/>
    <w:rsid w:val="006703F4"/>
    <w:rsid w:val="006744FB"/>
    <w:rsid w:val="00674F6B"/>
    <w:rsid w:val="00676329"/>
    <w:rsid w:val="00681F8B"/>
    <w:rsid w:val="00683917"/>
    <w:rsid w:val="00684BE4"/>
    <w:rsid w:val="0069022A"/>
    <w:rsid w:val="00690B64"/>
    <w:rsid w:val="00691E9B"/>
    <w:rsid w:val="006931F0"/>
    <w:rsid w:val="00693F71"/>
    <w:rsid w:val="006972A3"/>
    <w:rsid w:val="006A1058"/>
    <w:rsid w:val="006A24F3"/>
    <w:rsid w:val="006A64A4"/>
    <w:rsid w:val="006B2514"/>
    <w:rsid w:val="006B4C79"/>
    <w:rsid w:val="006B676C"/>
    <w:rsid w:val="006C2825"/>
    <w:rsid w:val="006C4B52"/>
    <w:rsid w:val="006C6138"/>
    <w:rsid w:val="006C6A63"/>
    <w:rsid w:val="006C6DDE"/>
    <w:rsid w:val="006D2124"/>
    <w:rsid w:val="006D2E16"/>
    <w:rsid w:val="006D4492"/>
    <w:rsid w:val="006D4B6B"/>
    <w:rsid w:val="006D7F38"/>
    <w:rsid w:val="006E1C5A"/>
    <w:rsid w:val="006E4AB0"/>
    <w:rsid w:val="006F1A7A"/>
    <w:rsid w:val="006F1B90"/>
    <w:rsid w:val="006F1FC4"/>
    <w:rsid w:val="006F2D46"/>
    <w:rsid w:val="006F3C81"/>
    <w:rsid w:val="007003D7"/>
    <w:rsid w:val="00706111"/>
    <w:rsid w:val="00706F0E"/>
    <w:rsid w:val="0070796F"/>
    <w:rsid w:val="00712BA7"/>
    <w:rsid w:val="00713C23"/>
    <w:rsid w:val="00713FE6"/>
    <w:rsid w:val="00716384"/>
    <w:rsid w:val="00720470"/>
    <w:rsid w:val="007232FC"/>
    <w:rsid w:val="00723B12"/>
    <w:rsid w:val="007249DF"/>
    <w:rsid w:val="0072606B"/>
    <w:rsid w:val="00727F80"/>
    <w:rsid w:val="007308C0"/>
    <w:rsid w:val="00733392"/>
    <w:rsid w:val="007358CE"/>
    <w:rsid w:val="00735D69"/>
    <w:rsid w:val="007402CD"/>
    <w:rsid w:val="007423FB"/>
    <w:rsid w:val="00742758"/>
    <w:rsid w:val="00743535"/>
    <w:rsid w:val="00743801"/>
    <w:rsid w:val="00746B1A"/>
    <w:rsid w:val="0074744C"/>
    <w:rsid w:val="00747C18"/>
    <w:rsid w:val="00750A80"/>
    <w:rsid w:val="00751CA7"/>
    <w:rsid w:val="0075245A"/>
    <w:rsid w:val="00753C81"/>
    <w:rsid w:val="00753D69"/>
    <w:rsid w:val="007553C9"/>
    <w:rsid w:val="00770E27"/>
    <w:rsid w:val="00770F17"/>
    <w:rsid w:val="00771EFA"/>
    <w:rsid w:val="007757DE"/>
    <w:rsid w:val="00792309"/>
    <w:rsid w:val="00792DD8"/>
    <w:rsid w:val="007966B7"/>
    <w:rsid w:val="00797FD6"/>
    <w:rsid w:val="007A194B"/>
    <w:rsid w:val="007A2B18"/>
    <w:rsid w:val="007A34A4"/>
    <w:rsid w:val="007B03E9"/>
    <w:rsid w:val="007B0519"/>
    <w:rsid w:val="007B2DEB"/>
    <w:rsid w:val="007B3B84"/>
    <w:rsid w:val="007C1533"/>
    <w:rsid w:val="007C3133"/>
    <w:rsid w:val="007C37DD"/>
    <w:rsid w:val="007C3E38"/>
    <w:rsid w:val="007C48BD"/>
    <w:rsid w:val="007C5CA4"/>
    <w:rsid w:val="007C6B0E"/>
    <w:rsid w:val="007C7234"/>
    <w:rsid w:val="007D2183"/>
    <w:rsid w:val="007D5604"/>
    <w:rsid w:val="007E35E2"/>
    <w:rsid w:val="007E402C"/>
    <w:rsid w:val="007E4EA0"/>
    <w:rsid w:val="007E5C04"/>
    <w:rsid w:val="007F6AE5"/>
    <w:rsid w:val="007F6C88"/>
    <w:rsid w:val="007F6E44"/>
    <w:rsid w:val="007F6F4A"/>
    <w:rsid w:val="00803A53"/>
    <w:rsid w:val="00804434"/>
    <w:rsid w:val="00805B2F"/>
    <w:rsid w:val="00806DD1"/>
    <w:rsid w:val="00807733"/>
    <w:rsid w:val="0081108F"/>
    <w:rsid w:val="0081381F"/>
    <w:rsid w:val="0081758E"/>
    <w:rsid w:val="0083100B"/>
    <w:rsid w:val="00834B9E"/>
    <w:rsid w:val="00836EF0"/>
    <w:rsid w:val="008372A6"/>
    <w:rsid w:val="008402B2"/>
    <w:rsid w:val="00845F26"/>
    <w:rsid w:val="00850BA4"/>
    <w:rsid w:val="00851D96"/>
    <w:rsid w:val="00855544"/>
    <w:rsid w:val="00856AC6"/>
    <w:rsid w:val="00856C32"/>
    <w:rsid w:val="008614A4"/>
    <w:rsid w:val="00861AAC"/>
    <w:rsid w:val="00863928"/>
    <w:rsid w:val="00863F0A"/>
    <w:rsid w:val="008649CC"/>
    <w:rsid w:val="0087071D"/>
    <w:rsid w:val="00870C8C"/>
    <w:rsid w:val="0087438E"/>
    <w:rsid w:val="00875DB3"/>
    <w:rsid w:val="00897E50"/>
    <w:rsid w:val="008A4584"/>
    <w:rsid w:val="008B13D6"/>
    <w:rsid w:val="008B1A5D"/>
    <w:rsid w:val="008C00E3"/>
    <w:rsid w:val="008C0722"/>
    <w:rsid w:val="008C7C5E"/>
    <w:rsid w:val="008D1F25"/>
    <w:rsid w:val="008D22F9"/>
    <w:rsid w:val="008D36EE"/>
    <w:rsid w:val="008D715F"/>
    <w:rsid w:val="008D7989"/>
    <w:rsid w:val="008E7793"/>
    <w:rsid w:val="008E7A0A"/>
    <w:rsid w:val="008F0DF4"/>
    <w:rsid w:val="008F12A7"/>
    <w:rsid w:val="00900FFD"/>
    <w:rsid w:val="00901C16"/>
    <w:rsid w:val="0090429A"/>
    <w:rsid w:val="00905A20"/>
    <w:rsid w:val="0090600E"/>
    <w:rsid w:val="00910B0F"/>
    <w:rsid w:val="009122E5"/>
    <w:rsid w:val="00917651"/>
    <w:rsid w:val="00920A6E"/>
    <w:rsid w:val="00922A5C"/>
    <w:rsid w:val="00925564"/>
    <w:rsid w:val="00925593"/>
    <w:rsid w:val="00927E12"/>
    <w:rsid w:val="0093337D"/>
    <w:rsid w:val="00935DFE"/>
    <w:rsid w:val="0093799C"/>
    <w:rsid w:val="00943E8B"/>
    <w:rsid w:val="009462C6"/>
    <w:rsid w:val="0094669F"/>
    <w:rsid w:val="00951A09"/>
    <w:rsid w:val="00951AB8"/>
    <w:rsid w:val="00952DBA"/>
    <w:rsid w:val="00956FD7"/>
    <w:rsid w:val="00962A47"/>
    <w:rsid w:val="00965D0A"/>
    <w:rsid w:val="00967986"/>
    <w:rsid w:val="009713BA"/>
    <w:rsid w:val="00973E10"/>
    <w:rsid w:val="00974F85"/>
    <w:rsid w:val="00975D7F"/>
    <w:rsid w:val="00977CC2"/>
    <w:rsid w:val="009800CF"/>
    <w:rsid w:val="00983079"/>
    <w:rsid w:val="00983327"/>
    <w:rsid w:val="00984283"/>
    <w:rsid w:val="00985093"/>
    <w:rsid w:val="0099080B"/>
    <w:rsid w:val="00990B63"/>
    <w:rsid w:val="00991B13"/>
    <w:rsid w:val="00991FC8"/>
    <w:rsid w:val="00996179"/>
    <w:rsid w:val="009A0564"/>
    <w:rsid w:val="009A197C"/>
    <w:rsid w:val="009A2DA2"/>
    <w:rsid w:val="009A320E"/>
    <w:rsid w:val="009B163D"/>
    <w:rsid w:val="009B3ED2"/>
    <w:rsid w:val="009C00F7"/>
    <w:rsid w:val="009C05CD"/>
    <w:rsid w:val="009C0C19"/>
    <w:rsid w:val="009C153F"/>
    <w:rsid w:val="009C5FE4"/>
    <w:rsid w:val="009D0781"/>
    <w:rsid w:val="009D70A4"/>
    <w:rsid w:val="009D78F3"/>
    <w:rsid w:val="009E0F86"/>
    <w:rsid w:val="009E1D5C"/>
    <w:rsid w:val="009E62F8"/>
    <w:rsid w:val="009E6F9D"/>
    <w:rsid w:val="009E7C8F"/>
    <w:rsid w:val="009F0909"/>
    <w:rsid w:val="009F1551"/>
    <w:rsid w:val="00A04B1C"/>
    <w:rsid w:val="00A04C4A"/>
    <w:rsid w:val="00A053ED"/>
    <w:rsid w:val="00A115D1"/>
    <w:rsid w:val="00A12525"/>
    <w:rsid w:val="00A17693"/>
    <w:rsid w:val="00A20944"/>
    <w:rsid w:val="00A212CB"/>
    <w:rsid w:val="00A23F53"/>
    <w:rsid w:val="00A24668"/>
    <w:rsid w:val="00A24C71"/>
    <w:rsid w:val="00A2587B"/>
    <w:rsid w:val="00A31EF1"/>
    <w:rsid w:val="00A31FE0"/>
    <w:rsid w:val="00A350F6"/>
    <w:rsid w:val="00A40010"/>
    <w:rsid w:val="00A43EF9"/>
    <w:rsid w:val="00A508B5"/>
    <w:rsid w:val="00A52B26"/>
    <w:rsid w:val="00A566E3"/>
    <w:rsid w:val="00A63D03"/>
    <w:rsid w:val="00A64217"/>
    <w:rsid w:val="00A66EAA"/>
    <w:rsid w:val="00A66F29"/>
    <w:rsid w:val="00A70C64"/>
    <w:rsid w:val="00A7216A"/>
    <w:rsid w:val="00A7469A"/>
    <w:rsid w:val="00A7473D"/>
    <w:rsid w:val="00A76174"/>
    <w:rsid w:val="00A80A53"/>
    <w:rsid w:val="00A85E0A"/>
    <w:rsid w:val="00A87D81"/>
    <w:rsid w:val="00A93EC2"/>
    <w:rsid w:val="00AA4793"/>
    <w:rsid w:val="00AA4C4F"/>
    <w:rsid w:val="00AA566C"/>
    <w:rsid w:val="00AA594A"/>
    <w:rsid w:val="00AA687E"/>
    <w:rsid w:val="00AA6F86"/>
    <w:rsid w:val="00AB09EE"/>
    <w:rsid w:val="00AB1828"/>
    <w:rsid w:val="00AB725A"/>
    <w:rsid w:val="00AC0D82"/>
    <w:rsid w:val="00AC0F17"/>
    <w:rsid w:val="00AD0D6B"/>
    <w:rsid w:val="00AD6061"/>
    <w:rsid w:val="00AD7599"/>
    <w:rsid w:val="00AE0763"/>
    <w:rsid w:val="00AE66D6"/>
    <w:rsid w:val="00AE6DBC"/>
    <w:rsid w:val="00AF0A54"/>
    <w:rsid w:val="00AF3945"/>
    <w:rsid w:val="00AF4D53"/>
    <w:rsid w:val="00AF4F91"/>
    <w:rsid w:val="00B0368C"/>
    <w:rsid w:val="00B0371E"/>
    <w:rsid w:val="00B05114"/>
    <w:rsid w:val="00B05B87"/>
    <w:rsid w:val="00B060C3"/>
    <w:rsid w:val="00B14432"/>
    <w:rsid w:val="00B15349"/>
    <w:rsid w:val="00B233BB"/>
    <w:rsid w:val="00B249E5"/>
    <w:rsid w:val="00B41536"/>
    <w:rsid w:val="00B449C1"/>
    <w:rsid w:val="00B50AC1"/>
    <w:rsid w:val="00B51F76"/>
    <w:rsid w:val="00B575AB"/>
    <w:rsid w:val="00B620DB"/>
    <w:rsid w:val="00B62B04"/>
    <w:rsid w:val="00B73A4F"/>
    <w:rsid w:val="00B755B5"/>
    <w:rsid w:val="00B76894"/>
    <w:rsid w:val="00B82F29"/>
    <w:rsid w:val="00B83200"/>
    <w:rsid w:val="00B87F5A"/>
    <w:rsid w:val="00B90C4F"/>
    <w:rsid w:val="00B957E5"/>
    <w:rsid w:val="00B95E67"/>
    <w:rsid w:val="00B9684E"/>
    <w:rsid w:val="00BA75BD"/>
    <w:rsid w:val="00BB2D36"/>
    <w:rsid w:val="00BB41BD"/>
    <w:rsid w:val="00BB441E"/>
    <w:rsid w:val="00BB500F"/>
    <w:rsid w:val="00BC147C"/>
    <w:rsid w:val="00BC4E77"/>
    <w:rsid w:val="00BD0917"/>
    <w:rsid w:val="00BD2084"/>
    <w:rsid w:val="00BD2A20"/>
    <w:rsid w:val="00BD423A"/>
    <w:rsid w:val="00BE082E"/>
    <w:rsid w:val="00BE49EF"/>
    <w:rsid w:val="00BE4B71"/>
    <w:rsid w:val="00BE63DA"/>
    <w:rsid w:val="00BF31B9"/>
    <w:rsid w:val="00BF3485"/>
    <w:rsid w:val="00BF3CB0"/>
    <w:rsid w:val="00BF7C93"/>
    <w:rsid w:val="00C04345"/>
    <w:rsid w:val="00C0615D"/>
    <w:rsid w:val="00C0741F"/>
    <w:rsid w:val="00C07625"/>
    <w:rsid w:val="00C11DEB"/>
    <w:rsid w:val="00C16E90"/>
    <w:rsid w:val="00C17799"/>
    <w:rsid w:val="00C17C3B"/>
    <w:rsid w:val="00C202EB"/>
    <w:rsid w:val="00C20358"/>
    <w:rsid w:val="00C2078D"/>
    <w:rsid w:val="00C23666"/>
    <w:rsid w:val="00C2472D"/>
    <w:rsid w:val="00C27C64"/>
    <w:rsid w:val="00C327A6"/>
    <w:rsid w:val="00C341F2"/>
    <w:rsid w:val="00C345AA"/>
    <w:rsid w:val="00C34929"/>
    <w:rsid w:val="00C355C0"/>
    <w:rsid w:val="00C3614B"/>
    <w:rsid w:val="00C426CA"/>
    <w:rsid w:val="00C4640B"/>
    <w:rsid w:val="00C505FD"/>
    <w:rsid w:val="00C5555B"/>
    <w:rsid w:val="00C5718E"/>
    <w:rsid w:val="00C57838"/>
    <w:rsid w:val="00C57F40"/>
    <w:rsid w:val="00C60867"/>
    <w:rsid w:val="00C64C16"/>
    <w:rsid w:val="00C6725C"/>
    <w:rsid w:val="00C67A5F"/>
    <w:rsid w:val="00C70A88"/>
    <w:rsid w:val="00C71CE9"/>
    <w:rsid w:val="00C74594"/>
    <w:rsid w:val="00C75436"/>
    <w:rsid w:val="00C76C56"/>
    <w:rsid w:val="00C906A2"/>
    <w:rsid w:val="00C9251C"/>
    <w:rsid w:val="00CA0BB7"/>
    <w:rsid w:val="00CA251B"/>
    <w:rsid w:val="00CA549F"/>
    <w:rsid w:val="00CA589F"/>
    <w:rsid w:val="00CA6E9B"/>
    <w:rsid w:val="00CC29EC"/>
    <w:rsid w:val="00CC491E"/>
    <w:rsid w:val="00CC4B1D"/>
    <w:rsid w:val="00CC5358"/>
    <w:rsid w:val="00CC5E65"/>
    <w:rsid w:val="00CC62AD"/>
    <w:rsid w:val="00CD03EA"/>
    <w:rsid w:val="00CD3C6E"/>
    <w:rsid w:val="00CE04C4"/>
    <w:rsid w:val="00CE0F7B"/>
    <w:rsid w:val="00CE2CEE"/>
    <w:rsid w:val="00CE4280"/>
    <w:rsid w:val="00CF0459"/>
    <w:rsid w:val="00CF28B6"/>
    <w:rsid w:val="00CF2B00"/>
    <w:rsid w:val="00D012B7"/>
    <w:rsid w:val="00D021D0"/>
    <w:rsid w:val="00D033BB"/>
    <w:rsid w:val="00D061A5"/>
    <w:rsid w:val="00D07115"/>
    <w:rsid w:val="00D108BC"/>
    <w:rsid w:val="00D11966"/>
    <w:rsid w:val="00D17983"/>
    <w:rsid w:val="00D21093"/>
    <w:rsid w:val="00D30D58"/>
    <w:rsid w:val="00D32F91"/>
    <w:rsid w:val="00D3518C"/>
    <w:rsid w:val="00D368B2"/>
    <w:rsid w:val="00D41712"/>
    <w:rsid w:val="00D41EEE"/>
    <w:rsid w:val="00D43310"/>
    <w:rsid w:val="00D439B7"/>
    <w:rsid w:val="00D46241"/>
    <w:rsid w:val="00D4649E"/>
    <w:rsid w:val="00D473B0"/>
    <w:rsid w:val="00D52645"/>
    <w:rsid w:val="00D548DF"/>
    <w:rsid w:val="00D57B6C"/>
    <w:rsid w:val="00D6073C"/>
    <w:rsid w:val="00D62FA6"/>
    <w:rsid w:val="00D640B3"/>
    <w:rsid w:val="00D712EC"/>
    <w:rsid w:val="00D72CE4"/>
    <w:rsid w:val="00D7349B"/>
    <w:rsid w:val="00D7622B"/>
    <w:rsid w:val="00D7630A"/>
    <w:rsid w:val="00D80BD1"/>
    <w:rsid w:val="00D92C99"/>
    <w:rsid w:val="00D97B2F"/>
    <w:rsid w:val="00DA65A6"/>
    <w:rsid w:val="00DB18B8"/>
    <w:rsid w:val="00DB560C"/>
    <w:rsid w:val="00DC4E88"/>
    <w:rsid w:val="00DC7041"/>
    <w:rsid w:val="00DD4687"/>
    <w:rsid w:val="00DE2615"/>
    <w:rsid w:val="00DE5FA0"/>
    <w:rsid w:val="00DE643C"/>
    <w:rsid w:val="00DF059B"/>
    <w:rsid w:val="00DF3C9B"/>
    <w:rsid w:val="00DF653E"/>
    <w:rsid w:val="00DF7D86"/>
    <w:rsid w:val="00E0456A"/>
    <w:rsid w:val="00E05923"/>
    <w:rsid w:val="00E10854"/>
    <w:rsid w:val="00E127D6"/>
    <w:rsid w:val="00E16B7E"/>
    <w:rsid w:val="00E22A1C"/>
    <w:rsid w:val="00E24E4F"/>
    <w:rsid w:val="00E25926"/>
    <w:rsid w:val="00E2721F"/>
    <w:rsid w:val="00E312E1"/>
    <w:rsid w:val="00E31D55"/>
    <w:rsid w:val="00E335C0"/>
    <w:rsid w:val="00E33DA5"/>
    <w:rsid w:val="00E363DC"/>
    <w:rsid w:val="00E42CDE"/>
    <w:rsid w:val="00E50990"/>
    <w:rsid w:val="00E51F7D"/>
    <w:rsid w:val="00E52055"/>
    <w:rsid w:val="00E52DBF"/>
    <w:rsid w:val="00E630B9"/>
    <w:rsid w:val="00E67EDA"/>
    <w:rsid w:val="00E739D7"/>
    <w:rsid w:val="00E90963"/>
    <w:rsid w:val="00E92754"/>
    <w:rsid w:val="00E9681D"/>
    <w:rsid w:val="00E96AF4"/>
    <w:rsid w:val="00E97FC1"/>
    <w:rsid w:val="00EA2BE6"/>
    <w:rsid w:val="00EA46FD"/>
    <w:rsid w:val="00EA4958"/>
    <w:rsid w:val="00EA7577"/>
    <w:rsid w:val="00EB2165"/>
    <w:rsid w:val="00EB29F6"/>
    <w:rsid w:val="00EB3669"/>
    <w:rsid w:val="00EB4022"/>
    <w:rsid w:val="00EB706B"/>
    <w:rsid w:val="00EC1367"/>
    <w:rsid w:val="00EC2E9E"/>
    <w:rsid w:val="00EC407D"/>
    <w:rsid w:val="00EC4829"/>
    <w:rsid w:val="00ED0729"/>
    <w:rsid w:val="00ED08FB"/>
    <w:rsid w:val="00ED0CD6"/>
    <w:rsid w:val="00ED1939"/>
    <w:rsid w:val="00ED19B8"/>
    <w:rsid w:val="00EE0284"/>
    <w:rsid w:val="00EE0754"/>
    <w:rsid w:val="00EE0E62"/>
    <w:rsid w:val="00EE1ABD"/>
    <w:rsid w:val="00EE1C15"/>
    <w:rsid w:val="00EE3B23"/>
    <w:rsid w:val="00EE6CE5"/>
    <w:rsid w:val="00EE7F14"/>
    <w:rsid w:val="00EF086C"/>
    <w:rsid w:val="00EF43AE"/>
    <w:rsid w:val="00F118E6"/>
    <w:rsid w:val="00F11EA4"/>
    <w:rsid w:val="00F11FE5"/>
    <w:rsid w:val="00F12571"/>
    <w:rsid w:val="00F13397"/>
    <w:rsid w:val="00F16D9E"/>
    <w:rsid w:val="00F26D31"/>
    <w:rsid w:val="00F33799"/>
    <w:rsid w:val="00F36A62"/>
    <w:rsid w:val="00F37E39"/>
    <w:rsid w:val="00F41BB4"/>
    <w:rsid w:val="00F531C6"/>
    <w:rsid w:val="00F542B6"/>
    <w:rsid w:val="00F634A8"/>
    <w:rsid w:val="00F723BC"/>
    <w:rsid w:val="00F737AC"/>
    <w:rsid w:val="00F7572E"/>
    <w:rsid w:val="00F763B5"/>
    <w:rsid w:val="00F80084"/>
    <w:rsid w:val="00F83905"/>
    <w:rsid w:val="00F90DDB"/>
    <w:rsid w:val="00F96CF3"/>
    <w:rsid w:val="00F978E3"/>
    <w:rsid w:val="00FA1EF1"/>
    <w:rsid w:val="00FA7480"/>
    <w:rsid w:val="00FB1FAB"/>
    <w:rsid w:val="00FB2113"/>
    <w:rsid w:val="00FB307A"/>
    <w:rsid w:val="00FB5DF7"/>
    <w:rsid w:val="00FC246F"/>
    <w:rsid w:val="00FC434B"/>
    <w:rsid w:val="00FC4F1F"/>
    <w:rsid w:val="00FD0408"/>
    <w:rsid w:val="00FD5D4D"/>
    <w:rsid w:val="00FD75C6"/>
    <w:rsid w:val="00FE18EB"/>
    <w:rsid w:val="00FF066C"/>
    <w:rsid w:val="00FF1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40">
      <w:bodyDiv w:val="1"/>
      <w:marLeft w:val="0"/>
      <w:marRight w:val="0"/>
      <w:marTop w:val="0"/>
      <w:marBottom w:val="0"/>
      <w:divBdr>
        <w:top w:val="none" w:sz="0" w:space="0" w:color="auto"/>
        <w:left w:val="none" w:sz="0" w:space="0" w:color="auto"/>
        <w:bottom w:val="none" w:sz="0" w:space="0" w:color="auto"/>
        <w:right w:val="none" w:sz="0" w:space="0" w:color="auto"/>
      </w:divBdr>
      <w:divsChild>
        <w:div w:id="1062828828">
          <w:marLeft w:val="0"/>
          <w:marRight w:val="0"/>
          <w:marTop w:val="0"/>
          <w:marBottom w:val="0"/>
          <w:divBdr>
            <w:top w:val="none" w:sz="0" w:space="0" w:color="auto"/>
            <w:left w:val="none" w:sz="0" w:space="0" w:color="auto"/>
            <w:bottom w:val="none" w:sz="0" w:space="0" w:color="auto"/>
            <w:right w:val="none" w:sz="0" w:space="0" w:color="auto"/>
          </w:divBdr>
        </w:div>
        <w:div w:id="554243416">
          <w:marLeft w:val="0"/>
          <w:marRight w:val="0"/>
          <w:marTop w:val="0"/>
          <w:marBottom w:val="0"/>
          <w:divBdr>
            <w:top w:val="none" w:sz="0" w:space="0" w:color="auto"/>
            <w:left w:val="none" w:sz="0" w:space="0" w:color="auto"/>
            <w:bottom w:val="none" w:sz="0" w:space="0" w:color="auto"/>
            <w:right w:val="none" w:sz="0" w:space="0" w:color="auto"/>
          </w:divBdr>
        </w:div>
        <w:div w:id="1385788493">
          <w:marLeft w:val="0"/>
          <w:marRight w:val="0"/>
          <w:marTop w:val="0"/>
          <w:marBottom w:val="0"/>
          <w:divBdr>
            <w:top w:val="none" w:sz="0" w:space="0" w:color="auto"/>
            <w:left w:val="none" w:sz="0" w:space="0" w:color="auto"/>
            <w:bottom w:val="none" w:sz="0" w:space="0" w:color="auto"/>
            <w:right w:val="none" w:sz="0" w:space="0" w:color="auto"/>
          </w:divBdr>
        </w:div>
        <w:div w:id="1708137623">
          <w:marLeft w:val="0"/>
          <w:marRight w:val="0"/>
          <w:marTop w:val="0"/>
          <w:marBottom w:val="0"/>
          <w:divBdr>
            <w:top w:val="none" w:sz="0" w:space="0" w:color="auto"/>
            <w:left w:val="none" w:sz="0" w:space="0" w:color="auto"/>
            <w:bottom w:val="none" w:sz="0" w:space="0" w:color="auto"/>
            <w:right w:val="none" w:sz="0" w:space="0" w:color="auto"/>
          </w:divBdr>
        </w:div>
        <w:div w:id="1736004253">
          <w:marLeft w:val="0"/>
          <w:marRight w:val="0"/>
          <w:marTop w:val="0"/>
          <w:marBottom w:val="0"/>
          <w:divBdr>
            <w:top w:val="none" w:sz="0" w:space="0" w:color="auto"/>
            <w:left w:val="none" w:sz="0" w:space="0" w:color="auto"/>
            <w:bottom w:val="none" w:sz="0" w:space="0" w:color="auto"/>
            <w:right w:val="none" w:sz="0" w:space="0" w:color="auto"/>
          </w:divBdr>
        </w:div>
        <w:div w:id="1592276540">
          <w:marLeft w:val="0"/>
          <w:marRight w:val="0"/>
          <w:marTop w:val="0"/>
          <w:marBottom w:val="0"/>
          <w:divBdr>
            <w:top w:val="none" w:sz="0" w:space="0" w:color="auto"/>
            <w:left w:val="none" w:sz="0" w:space="0" w:color="auto"/>
            <w:bottom w:val="none" w:sz="0" w:space="0" w:color="auto"/>
            <w:right w:val="none" w:sz="0" w:space="0" w:color="auto"/>
          </w:divBdr>
        </w:div>
        <w:div w:id="949704083">
          <w:marLeft w:val="0"/>
          <w:marRight w:val="0"/>
          <w:marTop w:val="0"/>
          <w:marBottom w:val="0"/>
          <w:divBdr>
            <w:top w:val="none" w:sz="0" w:space="0" w:color="auto"/>
            <w:left w:val="none" w:sz="0" w:space="0" w:color="auto"/>
            <w:bottom w:val="none" w:sz="0" w:space="0" w:color="auto"/>
            <w:right w:val="none" w:sz="0" w:space="0" w:color="auto"/>
          </w:divBdr>
        </w:div>
        <w:div w:id="45494089">
          <w:marLeft w:val="0"/>
          <w:marRight w:val="0"/>
          <w:marTop w:val="0"/>
          <w:marBottom w:val="0"/>
          <w:divBdr>
            <w:top w:val="none" w:sz="0" w:space="0" w:color="auto"/>
            <w:left w:val="none" w:sz="0" w:space="0" w:color="auto"/>
            <w:bottom w:val="none" w:sz="0" w:space="0" w:color="auto"/>
            <w:right w:val="none" w:sz="0" w:space="0" w:color="auto"/>
          </w:divBdr>
        </w:div>
        <w:div w:id="687800508">
          <w:marLeft w:val="0"/>
          <w:marRight w:val="0"/>
          <w:marTop w:val="0"/>
          <w:marBottom w:val="0"/>
          <w:divBdr>
            <w:top w:val="none" w:sz="0" w:space="0" w:color="auto"/>
            <w:left w:val="none" w:sz="0" w:space="0" w:color="auto"/>
            <w:bottom w:val="none" w:sz="0" w:space="0" w:color="auto"/>
            <w:right w:val="none" w:sz="0" w:space="0" w:color="auto"/>
          </w:divBdr>
        </w:div>
        <w:div w:id="964971082">
          <w:marLeft w:val="0"/>
          <w:marRight w:val="0"/>
          <w:marTop w:val="0"/>
          <w:marBottom w:val="0"/>
          <w:divBdr>
            <w:top w:val="none" w:sz="0" w:space="0" w:color="auto"/>
            <w:left w:val="none" w:sz="0" w:space="0" w:color="auto"/>
            <w:bottom w:val="none" w:sz="0" w:space="0" w:color="auto"/>
            <w:right w:val="none" w:sz="0" w:space="0" w:color="auto"/>
          </w:divBdr>
        </w:div>
        <w:div w:id="559563377">
          <w:marLeft w:val="0"/>
          <w:marRight w:val="0"/>
          <w:marTop w:val="0"/>
          <w:marBottom w:val="0"/>
          <w:divBdr>
            <w:top w:val="none" w:sz="0" w:space="0" w:color="auto"/>
            <w:left w:val="none" w:sz="0" w:space="0" w:color="auto"/>
            <w:bottom w:val="none" w:sz="0" w:space="0" w:color="auto"/>
            <w:right w:val="none" w:sz="0" w:space="0" w:color="auto"/>
          </w:divBdr>
        </w:div>
        <w:div w:id="1983345221">
          <w:marLeft w:val="0"/>
          <w:marRight w:val="0"/>
          <w:marTop w:val="0"/>
          <w:marBottom w:val="0"/>
          <w:divBdr>
            <w:top w:val="none" w:sz="0" w:space="0" w:color="auto"/>
            <w:left w:val="none" w:sz="0" w:space="0" w:color="auto"/>
            <w:bottom w:val="none" w:sz="0" w:space="0" w:color="auto"/>
            <w:right w:val="none" w:sz="0" w:space="0" w:color="auto"/>
          </w:divBdr>
        </w:div>
        <w:div w:id="1858159213">
          <w:marLeft w:val="0"/>
          <w:marRight w:val="0"/>
          <w:marTop w:val="0"/>
          <w:marBottom w:val="0"/>
          <w:divBdr>
            <w:top w:val="none" w:sz="0" w:space="0" w:color="auto"/>
            <w:left w:val="none" w:sz="0" w:space="0" w:color="auto"/>
            <w:bottom w:val="none" w:sz="0" w:space="0" w:color="auto"/>
            <w:right w:val="none" w:sz="0" w:space="0" w:color="auto"/>
          </w:divBdr>
        </w:div>
        <w:div w:id="1804233061">
          <w:marLeft w:val="0"/>
          <w:marRight w:val="0"/>
          <w:marTop w:val="0"/>
          <w:marBottom w:val="0"/>
          <w:divBdr>
            <w:top w:val="none" w:sz="0" w:space="0" w:color="auto"/>
            <w:left w:val="none" w:sz="0" w:space="0" w:color="auto"/>
            <w:bottom w:val="none" w:sz="0" w:space="0" w:color="auto"/>
            <w:right w:val="none" w:sz="0" w:space="0" w:color="auto"/>
          </w:divBdr>
        </w:div>
        <w:div w:id="1915310436">
          <w:marLeft w:val="0"/>
          <w:marRight w:val="0"/>
          <w:marTop w:val="0"/>
          <w:marBottom w:val="0"/>
          <w:divBdr>
            <w:top w:val="none" w:sz="0" w:space="0" w:color="auto"/>
            <w:left w:val="none" w:sz="0" w:space="0" w:color="auto"/>
            <w:bottom w:val="none" w:sz="0" w:space="0" w:color="auto"/>
            <w:right w:val="none" w:sz="0" w:space="0" w:color="auto"/>
          </w:divBdr>
        </w:div>
        <w:div w:id="288824192">
          <w:marLeft w:val="0"/>
          <w:marRight w:val="0"/>
          <w:marTop w:val="0"/>
          <w:marBottom w:val="0"/>
          <w:divBdr>
            <w:top w:val="none" w:sz="0" w:space="0" w:color="auto"/>
            <w:left w:val="none" w:sz="0" w:space="0" w:color="auto"/>
            <w:bottom w:val="none" w:sz="0" w:space="0" w:color="auto"/>
            <w:right w:val="none" w:sz="0" w:space="0" w:color="auto"/>
          </w:divBdr>
        </w:div>
        <w:div w:id="268003879">
          <w:marLeft w:val="0"/>
          <w:marRight w:val="0"/>
          <w:marTop w:val="0"/>
          <w:marBottom w:val="0"/>
          <w:divBdr>
            <w:top w:val="none" w:sz="0" w:space="0" w:color="auto"/>
            <w:left w:val="none" w:sz="0" w:space="0" w:color="auto"/>
            <w:bottom w:val="none" w:sz="0" w:space="0" w:color="auto"/>
            <w:right w:val="none" w:sz="0" w:space="0" w:color="auto"/>
          </w:divBdr>
        </w:div>
        <w:div w:id="1885873262">
          <w:marLeft w:val="0"/>
          <w:marRight w:val="0"/>
          <w:marTop w:val="0"/>
          <w:marBottom w:val="0"/>
          <w:divBdr>
            <w:top w:val="none" w:sz="0" w:space="0" w:color="auto"/>
            <w:left w:val="none" w:sz="0" w:space="0" w:color="auto"/>
            <w:bottom w:val="none" w:sz="0" w:space="0" w:color="auto"/>
            <w:right w:val="none" w:sz="0" w:space="0" w:color="auto"/>
          </w:divBdr>
        </w:div>
        <w:div w:id="881091146">
          <w:marLeft w:val="0"/>
          <w:marRight w:val="0"/>
          <w:marTop w:val="0"/>
          <w:marBottom w:val="0"/>
          <w:divBdr>
            <w:top w:val="none" w:sz="0" w:space="0" w:color="auto"/>
            <w:left w:val="none" w:sz="0" w:space="0" w:color="auto"/>
            <w:bottom w:val="none" w:sz="0" w:space="0" w:color="auto"/>
            <w:right w:val="none" w:sz="0" w:space="0" w:color="auto"/>
          </w:divBdr>
        </w:div>
        <w:div w:id="1298800774">
          <w:marLeft w:val="0"/>
          <w:marRight w:val="0"/>
          <w:marTop w:val="0"/>
          <w:marBottom w:val="0"/>
          <w:divBdr>
            <w:top w:val="none" w:sz="0" w:space="0" w:color="auto"/>
            <w:left w:val="none" w:sz="0" w:space="0" w:color="auto"/>
            <w:bottom w:val="none" w:sz="0" w:space="0" w:color="auto"/>
            <w:right w:val="none" w:sz="0" w:space="0" w:color="auto"/>
          </w:divBdr>
        </w:div>
        <w:div w:id="901716406">
          <w:marLeft w:val="0"/>
          <w:marRight w:val="0"/>
          <w:marTop w:val="0"/>
          <w:marBottom w:val="0"/>
          <w:divBdr>
            <w:top w:val="none" w:sz="0" w:space="0" w:color="auto"/>
            <w:left w:val="none" w:sz="0" w:space="0" w:color="auto"/>
            <w:bottom w:val="none" w:sz="0" w:space="0" w:color="auto"/>
            <w:right w:val="none" w:sz="0" w:space="0" w:color="auto"/>
          </w:divBdr>
        </w:div>
        <w:div w:id="2028630065">
          <w:marLeft w:val="0"/>
          <w:marRight w:val="0"/>
          <w:marTop w:val="0"/>
          <w:marBottom w:val="0"/>
          <w:divBdr>
            <w:top w:val="none" w:sz="0" w:space="0" w:color="auto"/>
            <w:left w:val="none" w:sz="0" w:space="0" w:color="auto"/>
            <w:bottom w:val="none" w:sz="0" w:space="0" w:color="auto"/>
            <w:right w:val="none" w:sz="0" w:space="0" w:color="auto"/>
          </w:divBdr>
        </w:div>
        <w:div w:id="908081030">
          <w:marLeft w:val="0"/>
          <w:marRight w:val="0"/>
          <w:marTop w:val="0"/>
          <w:marBottom w:val="0"/>
          <w:divBdr>
            <w:top w:val="none" w:sz="0" w:space="0" w:color="auto"/>
            <w:left w:val="none" w:sz="0" w:space="0" w:color="auto"/>
            <w:bottom w:val="none" w:sz="0" w:space="0" w:color="auto"/>
            <w:right w:val="none" w:sz="0" w:space="0" w:color="auto"/>
          </w:divBdr>
        </w:div>
        <w:div w:id="887113007">
          <w:marLeft w:val="0"/>
          <w:marRight w:val="0"/>
          <w:marTop w:val="0"/>
          <w:marBottom w:val="0"/>
          <w:divBdr>
            <w:top w:val="none" w:sz="0" w:space="0" w:color="auto"/>
            <w:left w:val="none" w:sz="0" w:space="0" w:color="auto"/>
            <w:bottom w:val="none" w:sz="0" w:space="0" w:color="auto"/>
            <w:right w:val="none" w:sz="0" w:space="0" w:color="auto"/>
          </w:divBdr>
        </w:div>
        <w:div w:id="895506384">
          <w:marLeft w:val="0"/>
          <w:marRight w:val="0"/>
          <w:marTop w:val="0"/>
          <w:marBottom w:val="0"/>
          <w:divBdr>
            <w:top w:val="none" w:sz="0" w:space="0" w:color="auto"/>
            <w:left w:val="none" w:sz="0" w:space="0" w:color="auto"/>
            <w:bottom w:val="none" w:sz="0" w:space="0" w:color="auto"/>
            <w:right w:val="none" w:sz="0" w:space="0" w:color="auto"/>
          </w:divBdr>
        </w:div>
        <w:div w:id="2032798403">
          <w:marLeft w:val="0"/>
          <w:marRight w:val="0"/>
          <w:marTop w:val="0"/>
          <w:marBottom w:val="0"/>
          <w:divBdr>
            <w:top w:val="none" w:sz="0" w:space="0" w:color="auto"/>
            <w:left w:val="none" w:sz="0" w:space="0" w:color="auto"/>
            <w:bottom w:val="none" w:sz="0" w:space="0" w:color="auto"/>
            <w:right w:val="none" w:sz="0" w:space="0" w:color="auto"/>
          </w:divBdr>
        </w:div>
        <w:div w:id="2027444241">
          <w:marLeft w:val="0"/>
          <w:marRight w:val="0"/>
          <w:marTop w:val="0"/>
          <w:marBottom w:val="0"/>
          <w:divBdr>
            <w:top w:val="none" w:sz="0" w:space="0" w:color="auto"/>
            <w:left w:val="none" w:sz="0" w:space="0" w:color="auto"/>
            <w:bottom w:val="none" w:sz="0" w:space="0" w:color="auto"/>
            <w:right w:val="none" w:sz="0" w:space="0" w:color="auto"/>
          </w:divBdr>
        </w:div>
        <w:div w:id="418672383">
          <w:marLeft w:val="0"/>
          <w:marRight w:val="0"/>
          <w:marTop w:val="0"/>
          <w:marBottom w:val="0"/>
          <w:divBdr>
            <w:top w:val="none" w:sz="0" w:space="0" w:color="auto"/>
            <w:left w:val="none" w:sz="0" w:space="0" w:color="auto"/>
            <w:bottom w:val="none" w:sz="0" w:space="0" w:color="auto"/>
            <w:right w:val="none" w:sz="0" w:space="0" w:color="auto"/>
          </w:divBdr>
        </w:div>
        <w:div w:id="1236626082">
          <w:marLeft w:val="0"/>
          <w:marRight w:val="0"/>
          <w:marTop w:val="0"/>
          <w:marBottom w:val="0"/>
          <w:divBdr>
            <w:top w:val="none" w:sz="0" w:space="0" w:color="auto"/>
            <w:left w:val="none" w:sz="0" w:space="0" w:color="auto"/>
            <w:bottom w:val="none" w:sz="0" w:space="0" w:color="auto"/>
            <w:right w:val="none" w:sz="0" w:space="0" w:color="auto"/>
          </w:divBdr>
        </w:div>
        <w:div w:id="1738279068">
          <w:marLeft w:val="0"/>
          <w:marRight w:val="0"/>
          <w:marTop w:val="0"/>
          <w:marBottom w:val="0"/>
          <w:divBdr>
            <w:top w:val="none" w:sz="0" w:space="0" w:color="auto"/>
            <w:left w:val="none" w:sz="0" w:space="0" w:color="auto"/>
            <w:bottom w:val="none" w:sz="0" w:space="0" w:color="auto"/>
            <w:right w:val="none" w:sz="0" w:space="0" w:color="auto"/>
          </w:divBdr>
        </w:div>
        <w:div w:id="1668945997">
          <w:marLeft w:val="0"/>
          <w:marRight w:val="0"/>
          <w:marTop w:val="0"/>
          <w:marBottom w:val="0"/>
          <w:divBdr>
            <w:top w:val="none" w:sz="0" w:space="0" w:color="auto"/>
            <w:left w:val="none" w:sz="0" w:space="0" w:color="auto"/>
            <w:bottom w:val="none" w:sz="0" w:space="0" w:color="auto"/>
            <w:right w:val="none" w:sz="0" w:space="0" w:color="auto"/>
          </w:divBdr>
        </w:div>
        <w:div w:id="1682465703">
          <w:marLeft w:val="0"/>
          <w:marRight w:val="0"/>
          <w:marTop w:val="0"/>
          <w:marBottom w:val="0"/>
          <w:divBdr>
            <w:top w:val="none" w:sz="0" w:space="0" w:color="auto"/>
            <w:left w:val="none" w:sz="0" w:space="0" w:color="auto"/>
            <w:bottom w:val="none" w:sz="0" w:space="0" w:color="auto"/>
            <w:right w:val="none" w:sz="0" w:space="0" w:color="auto"/>
          </w:divBdr>
        </w:div>
        <w:div w:id="529807235">
          <w:marLeft w:val="0"/>
          <w:marRight w:val="0"/>
          <w:marTop w:val="0"/>
          <w:marBottom w:val="0"/>
          <w:divBdr>
            <w:top w:val="none" w:sz="0" w:space="0" w:color="auto"/>
            <w:left w:val="none" w:sz="0" w:space="0" w:color="auto"/>
            <w:bottom w:val="none" w:sz="0" w:space="0" w:color="auto"/>
            <w:right w:val="none" w:sz="0" w:space="0" w:color="auto"/>
          </w:divBdr>
        </w:div>
        <w:div w:id="884681660">
          <w:marLeft w:val="0"/>
          <w:marRight w:val="0"/>
          <w:marTop w:val="0"/>
          <w:marBottom w:val="0"/>
          <w:divBdr>
            <w:top w:val="none" w:sz="0" w:space="0" w:color="auto"/>
            <w:left w:val="none" w:sz="0" w:space="0" w:color="auto"/>
            <w:bottom w:val="none" w:sz="0" w:space="0" w:color="auto"/>
            <w:right w:val="none" w:sz="0" w:space="0" w:color="auto"/>
          </w:divBdr>
        </w:div>
        <w:div w:id="1466702695">
          <w:marLeft w:val="0"/>
          <w:marRight w:val="0"/>
          <w:marTop w:val="0"/>
          <w:marBottom w:val="0"/>
          <w:divBdr>
            <w:top w:val="none" w:sz="0" w:space="0" w:color="auto"/>
            <w:left w:val="none" w:sz="0" w:space="0" w:color="auto"/>
            <w:bottom w:val="none" w:sz="0" w:space="0" w:color="auto"/>
            <w:right w:val="none" w:sz="0" w:space="0" w:color="auto"/>
          </w:divBdr>
        </w:div>
        <w:div w:id="1392382146">
          <w:marLeft w:val="0"/>
          <w:marRight w:val="0"/>
          <w:marTop w:val="0"/>
          <w:marBottom w:val="0"/>
          <w:divBdr>
            <w:top w:val="none" w:sz="0" w:space="0" w:color="auto"/>
            <w:left w:val="none" w:sz="0" w:space="0" w:color="auto"/>
            <w:bottom w:val="none" w:sz="0" w:space="0" w:color="auto"/>
            <w:right w:val="none" w:sz="0" w:space="0" w:color="auto"/>
          </w:divBdr>
        </w:div>
        <w:div w:id="1754472394">
          <w:marLeft w:val="0"/>
          <w:marRight w:val="0"/>
          <w:marTop w:val="0"/>
          <w:marBottom w:val="0"/>
          <w:divBdr>
            <w:top w:val="none" w:sz="0" w:space="0" w:color="auto"/>
            <w:left w:val="none" w:sz="0" w:space="0" w:color="auto"/>
            <w:bottom w:val="none" w:sz="0" w:space="0" w:color="auto"/>
            <w:right w:val="none" w:sz="0" w:space="0" w:color="auto"/>
          </w:divBdr>
        </w:div>
        <w:div w:id="322320992">
          <w:marLeft w:val="0"/>
          <w:marRight w:val="0"/>
          <w:marTop w:val="0"/>
          <w:marBottom w:val="0"/>
          <w:divBdr>
            <w:top w:val="none" w:sz="0" w:space="0" w:color="auto"/>
            <w:left w:val="none" w:sz="0" w:space="0" w:color="auto"/>
            <w:bottom w:val="none" w:sz="0" w:space="0" w:color="auto"/>
            <w:right w:val="none" w:sz="0" w:space="0" w:color="auto"/>
          </w:divBdr>
        </w:div>
        <w:div w:id="315380471">
          <w:marLeft w:val="0"/>
          <w:marRight w:val="0"/>
          <w:marTop w:val="0"/>
          <w:marBottom w:val="0"/>
          <w:divBdr>
            <w:top w:val="none" w:sz="0" w:space="0" w:color="auto"/>
            <w:left w:val="none" w:sz="0" w:space="0" w:color="auto"/>
            <w:bottom w:val="none" w:sz="0" w:space="0" w:color="auto"/>
            <w:right w:val="none" w:sz="0" w:space="0" w:color="auto"/>
          </w:divBdr>
        </w:div>
        <w:div w:id="2002654546">
          <w:marLeft w:val="0"/>
          <w:marRight w:val="0"/>
          <w:marTop w:val="0"/>
          <w:marBottom w:val="0"/>
          <w:divBdr>
            <w:top w:val="none" w:sz="0" w:space="0" w:color="auto"/>
            <w:left w:val="none" w:sz="0" w:space="0" w:color="auto"/>
            <w:bottom w:val="none" w:sz="0" w:space="0" w:color="auto"/>
            <w:right w:val="none" w:sz="0" w:space="0" w:color="auto"/>
          </w:divBdr>
        </w:div>
        <w:div w:id="1776444389">
          <w:marLeft w:val="0"/>
          <w:marRight w:val="0"/>
          <w:marTop w:val="0"/>
          <w:marBottom w:val="0"/>
          <w:divBdr>
            <w:top w:val="none" w:sz="0" w:space="0" w:color="auto"/>
            <w:left w:val="none" w:sz="0" w:space="0" w:color="auto"/>
            <w:bottom w:val="none" w:sz="0" w:space="0" w:color="auto"/>
            <w:right w:val="none" w:sz="0" w:space="0" w:color="auto"/>
          </w:divBdr>
        </w:div>
        <w:div w:id="1937519606">
          <w:marLeft w:val="0"/>
          <w:marRight w:val="0"/>
          <w:marTop w:val="0"/>
          <w:marBottom w:val="0"/>
          <w:divBdr>
            <w:top w:val="none" w:sz="0" w:space="0" w:color="auto"/>
            <w:left w:val="none" w:sz="0" w:space="0" w:color="auto"/>
            <w:bottom w:val="none" w:sz="0" w:space="0" w:color="auto"/>
            <w:right w:val="none" w:sz="0" w:space="0" w:color="auto"/>
          </w:divBdr>
        </w:div>
        <w:div w:id="2096511178">
          <w:marLeft w:val="0"/>
          <w:marRight w:val="0"/>
          <w:marTop w:val="0"/>
          <w:marBottom w:val="0"/>
          <w:divBdr>
            <w:top w:val="none" w:sz="0" w:space="0" w:color="auto"/>
            <w:left w:val="none" w:sz="0" w:space="0" w:color="auto"/>
            <w:bottom w:val="none" w:sz="0" w:space="0" w:color="auto"/>
            <w:right w:val="none" w:sz="0" w:space="0" w:color="auto"/>
          </w:divBdr>
        </w:div>
        <w:div w:id="1209142576">
          <w:marLeft w:val="0"/>
          <w:marRight w:val="0"/>
          <w:marTop w:val="0"/>
          <w:marBottom w:val="0"/>
          <w:divBdr>
            <w:top w:val="none" w:sz="0" w:space="0" w:color="auto"/>
            <w:left w:val="none" w:sz="0" w:space="0" w:color="auto"/>
            <w:bottom w:val="none" w:sz="0" w:space="0" w:color="auto"/>
            <w:right w:val="none" w:sz="0" w:space="0" w:color="auto"/>
          </w:divBdr>
        </w:div>
        <w:div w:id="2009092168">
          <w:marLeft w:val="0"/>
          <w:marRight w:val="0"/>
          <w:marTop w:val="0"/>
          <w:marBottom w:val="0"/>
          <w:divBdr>
            <w:top w:val="none" w:sz="0" w:space="0" w:color="auto"/>
            <w:left w:val="none" w:sz="0" w:space="0" w:color="auto"/>
            <w:bottom w:val="none" w:sz="0" w:space="0" w:color="auto"/>
            <w:right w:val="none" w:sz="0" w:space="0" w:color="auto"/>
          </w:divBdr>
        </w:div>
      </w:divsChild>
    </w:div>
    <w:div w:id="198854992">
      <w:bodyDiv w:val="1"/>
      <w:marLeft w:val="0"/>
      <w:marRight w:val="0"/>
      <w:marTop w:val="0"/>
      <w:marBottom w:val="0"/>
      <w:divBdr>
        <w:top w:val="none" w:sz="0" w:space="0" w:color="auto"/>
        <w:left w:val="none" w:sz="0" w:space="0" w:color="auto"/>
        <w:bottom w:val="none" w:sz="0" w:space="0" w:color="auto"/>
        <w:right w:val="none" w:sz="0" w:space="0" w:color="auto"/>
      </w:divBdr>
    </w:div>
    <w:div w:id="597256509">
      <w:bodyDiv w:val="1"/>
      <w:marLeft w:val="0"/>
      <w:marRight w:val="0"/>
      <w:marTop w:val="0"/>
      <w:marBottom w:val="0"/>
      <w:divBdr>
        <w:top w:val="none" w:sz="0" w:space="0" w:color="auto"/>
        <w:left w:val="none" w:sz="0" w:space="0" w:color="auto"/>
        <w:bottom w:val="none" w:sz="0" w:space="0" w:color="auto"/>
        <w:right w:val="none" w:sz="0" w:space="0" w:color="auto"/>
      </w:divBdr>
    </w:div>
    <w:div w:id="671644419">
      <w:bodyDiv w:val="1"/>
      <w:marLeft w:val="0"/>
      <w:marRight w:val="0"/>
      <w:marTop w:val="0"/>
      <w:marBottom w:val="0"/>
      <w:divBdr>
        <w:top w:val="none" w:sz="0" w:space="0" w:color="auto"/>
        <w:left w:val="none" w:sz="0" w:space="0" w:color="auto"/>
        <w:bottom w:val="none" w:sz="0" w:space="0" w:color="auto"/>
        <w:right w:val="none" w:sz="0" w:space="0" w:color="auto"/>
      </w:divBdr>
    </w:div>
    <w:div w:id="787548071">
      <w:bodyDiv w:val="1"/>
      <w:marLeft w:val="0"/>
      <w:marRight w:val="0"/>
      <w:marTop w:val="0"/>
      <w:marBottom w:val="0"/>
      <w:divBdr>
        <w:top w:val="none" w:sz="0" w:space="0" w:color="auto"/>
        <w:left w:val="none" w:sz="0" w:space="0" w:color="auto"/>
        <w:bottom w:val="none" w:sz="0" w:space="0" w:color="auto"/>
        <w:right w:val="none" w:sz="0" w:space="0" w:color="auto"/>
      </w:divBdr>
    </w:div>
    <w:div w:id="886987546">
      <w:bodyDiv w:val="1"/>
      <w:marLeft w:val="0"/>
      <w:marRight w:val="0"/>
      <w:marTop w:val="0"/>
      <w:marBottom w:val="0"/>
      <w:divBdr>
        <w:top w:val="none" w:sz="0" w:space="0" w:color="auto"/>
        <w:left w:val="none" w:sz="0" w:space="0" w:color="auto"/>
        <w:bottom w:val="none" w:sz="0" w:space="0" w:color="auto"/>
        <w:right w:val="none" w:sz="0" w:space="0" w:color="auto"/>
      </w:divBdr>
    </w:div>
    <w:div w:id="1078748846">
      <w:bodyDiv w:val="1"/>
      <w:marLeft w:val="0"/>
      <w:marRight w:val="0"/>
      <w:marTop w:val="0"/>
      <w:marBottom w:val="0"/>
      <w:divBdr>
        <w:top w:val="none" w:sz="0" w:space="0" w:color="auto"/>
        <w:left w:val="none" w:sz="0" w:space="0" w:color="auto"/>
        <w:bottom w:val="none" w:sz="0" w:space="0" w:color="auto"/>
        <w:right w:val="none" w:sz="0" w:space="0" w:color="auto"/>
      </w:divBdr>
    </w:div>
    <w:div w:id="1448112517">
      <w:bodyDiv w:val="1"/>
      <w:marLeft w:val="0"/>
      <w:marRight w:val="0"/>
      <w:marTop w:val="0"/>
      <w:marBottom w:val="0"/>
      <w:divBdr>
        <w:top w:val="none" w:sz="0" w:space="0" w:color="auto"/>
        <w:left w:val="none" w:sz="0" w:space="0" w:color="auto"/>
        <w:bottom w:val="none" w:sz="0" w:space="0" w:color="auto"/>
        <w:right w:val="none" w:sz="0" w:space="0" w:color="auto"/>
      </w:divBdr>
    </w:div>
    <w:div w:id="19187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9461</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11257</CharactersWithSpaces>
  <SharedDoc>false</SharedDoc>
  <HyperlinkBase> </HyperlinkBase>
  <HLinks>
    <vt:vector size="6" baseType="variant">
      <vt:variant>
        <vt:i4>1703962</vt:i4>
      </vt:variant>
      <vt:variant>
        <vt:i4>3</vt:i4>
      </vt:variant>
      <vt:variant>
        <vt:i4>0</vt:i4>
      </vt:variant>
      <vt:variant>
        <vt:i4>5</vt:i4>
      </vt:variant>
      <vt:variant>
        <vt:lpwstr>http://www.snl.com/interactivex/article.aspx?ID=17175069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2015-05-04T19:05:00Z</cp:lastPrinted>
  <dcterms:created xsi:type="dcterms:W3CDTF">2015-05-04T20:04:00Z</dcterms:created>
  <dcterms:modified xsi:type="dcterms:W3CDTF">2015-05-04T20:04:00Z</dcterms:modified>
  <cp:category> </cp:category>
  <cp:contentStatus> </cp:contentStatus>
</cp:coreProperties>
</file>