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Updating Part 1 Competitive Bidding Rules</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 xml:space="preserve">Expanding the Economic and Innovation Opportunities of Spectrum Through Incentive Auctions  </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 xml:space="preserve">Petition of DIRECTV Group, Inc. and </w:t>
            </w:r>
          </w:p>
          <w:p w:rsidR="00AA0E51" w:rsidRPr="0063192A" w:rsidRDefault="00AA0E51" w:rsidP="00AA0E51">
            <w:pPr>
              <w:tabs>
                <w:tab w:val="center" w:pos="4680"/>
              </w:tabs>
              <w:suppressAutoHyphens/>
              <w:rPr>
                <w:spacing w:val="-2"/>
              </w:rPr>
            </w:pPr>
            <w:r w:rsidRPr="0063192A">
              <w:rPr>
                <w:spacing w:val="-2"/>
              </w:rPr>
              <w:t>EchoStar LLC for Expedited Rulemaking to Amend Section 1.2105(a)(2)(xi) and 1.2106(a) of the Commission’s Rules and/or for Interim Conditional Waiver</w:t>
            </w:r>
          </w:p>
          <w:p w:rsidR="00AA0E51" w:rsidRPr="0063192A" w:rsidRDefault="00AA0E51" w:rsidP="00AA0E51">
            <w:pPr>
              <w:tabs>
                <w:tab w:val="center" w:pos="4680"/>
              </w:tabs>
              <w:suppressAutoHyphens/>
              <w:rPr>
                <w:spacing w:val="-2"/>
              </w:rPr>
            </w:pPr>
          </w:p>
          <w:p w:rsidR="004C2EE3" w:rsidRDefault="00AA0E51" w:rsidP="00AA0E51">
            <w:pPr>
              <w:tabs>
                <w:tab w:val="center" w:pos="4680"/>
              </w:tabs>
              <w:suppressAutoHyphens/>
              <w:rPr>
                <w:spacing w:val="-2"/>
              </w:rPr>
            </w:pPr>
            <w:r w:rsidRPr="0063192A">
              <w:rPr>
                <w:spacing w:val="-2"/>
              </w:rPr>
              <w:t>Implementation of the Commercial Spectrum Enhancement Act and Modernization of the Commission’s Competitive Bidding Rules and Procedures</w:t>
            </w:r>
          </w:p>
          <w:p w:rsidR="00AA0E51" w:rsidRPr="007115F7" w:rsidRDefault="00AA0E51" w:rsidP="00AA0E51">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AA0E51" w:rsidRDefault="004C2EE3" w:rsidP="00AA0E51">
            <w:pPr>
              <w:tabs>
                <w:tab w:val="center" w:pos="4680"/>
              </w:tabs>
              <w:suppressAutoHyphens/>
              <w:rPr>
                <w:b/>
                <w:spacing w:val="-2"/>
              </w:rPr>
            </w:pPr>
            <w:r>
              <w:rPr>
                <w:b/>
                <w:spacing w:val="-2"/>
              </w:rPr>
              <w:t>)</w:t>
            </w:r>
            <w:r w:rsidR="00AA0E51">
              <w:rPr>
                <w:b/>
                <w:spacing w:val="-2"/>
              </w:rPr>
              <w:t xml:space="preserve"> </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 xml:space="preserve">) </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4C2EE3" w:rsidRPr="00AA0E51" w:rsidRDefault="004C2EE3" w:rsidP="00AA0E51">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AA0E51" w:rsidRPr="0063192A" w:rsidRDefault="00AA0E51" w:rsidP="00AA0E51">
            <w:pPr>
              <w:tabs>
                <w:tab w:val="center" w:pos="4680"/>
              </w:tabs>
              <w:suppressAutoHyphens/>
              <w:rPr>
                <w:spacing w:val="-2"/>
              </w:rPr>
            </w:pPr>
            <w:r w:rsidRPr="0063192A">
              <w:rPr>
                <w:spacing w:val="-2"/>
              </w:rPr>
              <w:t>WT Docket No. 14-170</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GN Docket No. 12-268</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RM-11395</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Default="00AA0E51" w:rsidP="00AA0E51">
            <w:pPr>
              <w:tabs>
                <w:tab w:val="center" w:pos="4680"/>
              </w:tabs>
              <w:suppressAutoHyphens/>
              <w:rPr>
                <w:spacing w:val="-2"/>
              </w:rPr>
            </w:pPr>
          </w:p>
          <w:p w:rsidR="004C2EE3" w:rsidRDefault="00AA0E51" w:rsidP="00AA0E51">
            <w:pPr>
              <w:tabs>
                <w:tab w:val="center" w:pos="4680"/>
              </w:tabs>
              <w:suppressAutoHyphens/>
              <w:rPr>
                <w:spacing w:val="-2"/>
              </w:rPr>
            </w:pPr>
            <w:r w:rsidRPr="0063192A">
              <w:rPr>
                <w:spacing w:val="-2"/>
              </w:rPr>
              <w:t>WT Docket No. 05-211</w:t>
            </w:r>
          </w:p>
        </w:tc>
      </w:tr>
    </w:tbl>
    <w:p w:rsidR="004C2EE3" w:rsidRDefault="004C2EE3" w:rsidP="0070224F"/>
    <w:p w:rsidR="00841AB1" w:rsidRDefault="00AA0E5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E75F3">
        <w:rPr>
          <w:spacing w:val="-2"/>
        </w:rPr>
        <w:t xml:space="preserve">January </w:t>
      </w:r>
      <w:r w:rsidR="0092267B">
        <w:rPr>
          <w:spacing w:val="-2"/>
        </w:rPr>
        <w:t>13,</w:t>
      </w:r>
      <w:r w:rsidR="00964672" w:rsidRPr="00964672">
        <w:rPr>
          <w:spacing w:val="-2"/>
        </w:rPr>
        <w:t xml:space="preserve"> 201</w:t>
      </w:r>
      <w:r w:rsidR="00CE75F3">
        <w:rPr>
          <w:spacing w:val="-2"/>
        </w:rPr>
        <w:t>5</w:t>
      </w:r>
      <w:r w:rsidR="00964672">
        <w:rPr>
          <w:spacing w:val="-2"/>
        </w:rPr>
        <w:t xml:space="preserve"> </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75F3">
        <w:rPr>
          <w:spacing w:val="-2"/>
        </w:rPr>
        <w:t xml:space="preserve">January </w:t>
      </w:r>
      <w:r w:rsidR="0092267B">
        <w:rPr>
          <w:spacing w:val="-2"/>
        </w:rPr>
        <w:t>13</w:t>
      </w:r>
      <w:r w:rsidR="00964672" w:rsidRPr="00964672">
        <w:rPr>
          <w:spacing w:val="-2"/>
        </w:rPr>
        <w:t>, 201</w:t>
      </w:r>
      <w:r w:rsidR="00CE75F3">
        <w:rPr>
          <w:spacing w:val="-2"/>
        </w:rPr>
        <w:t>5</w:t>
      </w:r>
    </w:p>
    <w:p w:rsidR="00822CE0" w:rsidRDefault="00822CE0"/>
    <w:p w:rsidR="00AA0E51" w:rsidRPr="00001B84" w:rsidRDefault="00AA0E51" w:rsidP="00AA0E51">
      <w:pPr>
        <w:rPr>
          <w:b/>
        </w:rPr>
      </w:pPr>
      <w:r w:rsidRPr="00001B84">
        <w:rPr>
          <w:b/>
          <w:spacing w:val="-2"/>
        </w:rPr>
        <w:t xml:space="preserve">Comment Date:  </w:t>
      </w:r>
      <w:r>
        <w:rPr>
          <w:b/>
          <w:spacing w:val="-2"/>
        </w:rPr>
        <w:tab/>
      </w:r>
      <w:r w:rsidR="00CE75F3">
        <w:rPr>
          <w:spacing w:val="-2"/>
        </w:rPr>
        <w:t>February 6</w:t>
      </w:r>
      <w:r>
        <w:rPr>
          <w:spacing w:val="-2"/>
        </w:rPr>
        <w:t>, 2015</w:t>
      </w:r>
      <w:r>
        <w:rPr>
          <w:b/>
          <w:spacing w:val="-2"/>
        </w:rPr>
        <w:t xml:space="preserve"> </w:t>
      </w:r>
    </w:p>
    <w:p w:rsidR="00AA0E51" w:rsidRDefault="00AA0E51" w:rsidP="00AA0E51">
      <w:pPr>
        <w:rPr>
          <w:spacing w:val="-2"/>
        </w:rPr>
      </w:pPr>
      <w:r w:rsidRPr="00001B84">
        <w:rPr>
          <w:b/>
          <w:spacing w:val="-2"/>
        </w:rPr>
        <w:t xml:space="preserve">Reply Date:  </w:t>
      </w:r>
      <w:r>
        <w:rPr>
          <w:spacing w:val="-2"/>
        </w:rPr>
        <w:t xml:space="preserve"> </w:t>
      </w:r>
      <w:r>
        <w:rPr>
          <w:spacing w:val="-2"/>
        </w:rPr>
        <w:tab/>
      </w:r>
      <w:r>
        <w:rPr>
          <w:spacing w:val="-2"/>
        </w:rPr>
        <w:tab/>
        <w:t xml:space="preserve">February </w:t>
      </w:r>
      <w:r w:rsidR="00CE75F3">
        <w:rPr>
          <w:spacing w:val="-2"/>
        </w:rPr>
        <w:t>26</w:t>
      </w:r>
      <w:r>
        <w:rPr>
          <w:spacing w:val="-2"/>
        </w:rPr>
        <w:t>, 2015</w:t>
      </w:r>
    </w:p>
    <w:p w:rsidR="00AA0E51" w:rsidRPr="00AA0E51" w:rsidRDefault="00AA0E51" w:rsidP="00AA0E51"/>
    <w:p w:rsidR="004C2EE3" w:rsidRDefault="004C2EE3">
      <w:pPr>
        <w:rPr>
          <w:spacing w:val="-2"/>
        </w:rPr>
      </w:pPr>
      <w:r>
        <w:t>By</w:t>
      </w:r>
      <w:r w:rsidR="00AA0E51">
        <w:t xml:space="preserve"> the Chief, Wireless Telecommunications Bureau</w:t>
      </w:r>
      <w:r>
        <w:rPr>
          <w:spacing w:val="-2"/>
        </w:rPr>
        <w:t>:</w:t>
      </w:r>
    </w:p>
    <w:p w:rsidR="002C00E8" w:rsidRDefault="00CE75F3" w:rsidP="00AA0E51">
      <w:pPr>
        <w:pStyle w:val="Heading1"/>
        <w:numPr>
          <w:ilvl w:val="0"/>
          <w:numId w:val="0"/>
        </w:numPr>
      </w:pPr>
      <w:r>
        <w:t xml:space="preserve"> </w:t>
      </w:r>
    </w:p>
    <w:p w:rsidR="00CE75F3" w:rsidRDefault="00AA0E51" w:rsidP="00CE75F3">
      <w:pPr>
        <w:pStyle w:val="ParaNum"/>
      </w:pPr>
      <w:r>
        <w:t xml:space="preserve">This order </w:t>
      </w:r>
      <w:r w:rsidR="00860CEA">
        <w:t xml:space="preserve">further </w:t>
      </w:r>
      <w:r>
        <w:t xml:space="preserve">extends the </w:t>
      </w:r>
      <w:r w:rsidR="00E00684">
        <w:t xml:space="preserve">deadlines for </w:t>
      </w:r>
      <w:r>
        <w:t>comment and reply comment in response to the Notice of Proposed Rule Making</w:t>
      </w:r>
      <w:r w:rsidR="00E5619E">
        <w:t xml:space="preserve"> (</w:t>
      </w:r>
      <w:r w:rsidR="00E5619E">
        <w:rPr>
          <w:i/>
        </w:rPr>
        <w:t>NPRM</w:t>
      </w:r>
      <w:r w:rsidR="00E5619E">
        <w:t>)</w:t>
      </w:r>
      <w:r>
        <w:t xml:space="preserve"> in the above-captioned proceeding in the interest of developing a comprehensive record.  On our own motion, we extend the comment deadline to </w:t>
      </w:r>
      <w:r w:rsidR="00CE75F3">
        <w:t>February 6</w:t>
      </w:r>
      <w:r>
        <w:t xml:space="preserve">, 2015, and the </w:t>
      </w:r>
      <w:r w:rsidR="00E00684">
        <w:t xml:space="preserve">comment </w:t>
      </w:r>
      <w:r>
        <w:t xml:space="preserve">reply deadline to February </w:t>
      </w:r>
      <w:r w:rsidR="00CE75F3">
        <w:t>26</w:t>
      </w:r>
      <w:r>
        <w:t xml:space="preserve">, 2015.  </w:t>
      </w:r>
    </w:p>
    <w:p w:rsidR="004F1D9A" w:rsidRDefault="00E5619E" w:rsidP="00DD55CF">
      <w:pPr>
        <w:pStyle w:val="ParaNum"/>
      </w:pPr>
      <w:r>
        <w:t xml:space="preserve">On October 1, 2014, the Commission adopted the </w:t>
      </w:r>
      <w:r>
        <w:rPr>
          <w:i/>
        </w:rPr>
        <w:t>NPRM</w:t>
      </w:r>
      <w:r>
        <w:t xml:space="preserve"> in which it </w:t>
      </w:r>
      <w:r w:rsidRPr="00F81D8A">
        <w:t>propose</w:t>
      </w:r>
      <w:r>
        <w:t>s</w:t>
      </w:r>
      <w:r w:rsidRPr="00F81D8A">
        <w:t xml:space="preserve"> to reform </w:t>
      </w:r>
      <w:r w:rsidR="000D3DDB">
        <w:t xml:space="preserve">certain </w:t>
      </w:r>
      <w:r w:rsidRPr="00F81D8A">
        <w:t xml:space="preserve">of </w:t>
      </w:r>
      <w:r>
        <w:t>its</w:t>
      </w:r>
      <w:r w:rsidRPr="00F81D8A">
        <w:t xml:space="preserve"> general Part 1 rules governing competitive bidding for spectrum licenses to reflect changes in the marketplace</w:t>
      </w:r>
      <w:r>
        <w:t>.</w:t>
      </w:r>
      <w:r w:rsidR="006420D4" w:rsidRPr="005E6F22">
        <w:rPr>
          <w:rStyle w:val="FootnoteReference"/>
          <w:sz w:val="22"/>
        </w:rPr>
        <w:footnoteReference w:id="2"/>
      </w:r>
      <w:r>
        <w:t xml:space="preserve">  </w:t>
      </w:r>
      <w:r w:rsidR="00D0439B">
        <w:t xml:space="preserve">The Commission expressed its intention </w:t>
      </w:r>
      <w:r w:rsidR="00D0439B" w:rsidRPr="00F81D8A">
        <w:t>to act on the issues raise</w:t>
      </w:r>
      <w:r w:rsidR="00D0439B">
        <w:t xml:space="preserve">d in the </w:t>
      </w:r>
      <w:r w:rsidR="00D0439B">
        <w:rPr>
          <w:i/>
        </w:rPr>
        <w:t>NPRM</w:t>
      </w:r>
      <w:r w:rsidR="00D0439B" w:rsidRPr="00F81D8A">
        <w:t xml:space="preserve"> </w:t>
      </w:r>
      <w:r w:rsidR="001C56D0">
        <w:t xml:space="preserve">in time </w:t>
      </w:r>
      <w:r w:rsidR="00D0439B" w:rsidRPr="00F81D8A">
        <w:t>to allow all parties to account for any ch</w:t>
      </w:r>
      <w:r w:rsidR="00D0439B">
        <w:t>anges while planning for the broadcast incentive auction.</w:t>
      </w:r>
      <w:r w:rsidR="00D0439B">
        <w:rPr>
          <w:rStyle w:val="FootnoteReference"/>
        </w:rPr>
        <w:footnoteReference w:id="3"/>
      </w:r>
      <w:r w:rsidR="00D0439B">
        <w:t xml:space="preserve">  </w:t>
      </w:r>
      <w:r>
        <w:t>Deadlines for comments and reply comments were initially announced in the Federal Register</w:t>
      </w:r>
      <w:r w:rsidR="001F3BEA">
        <w:t xml:space="preserve"> on November 14, 2014</w:t>
      </w:r>
      <w:r>
        <w:t>.</w:t>
      </w:r>
      <w:r w:rsidR="00AB549C">
        <w:rPr>
          <w:rStyle w:val="FootnoteReference"/>
        </w:rPr>
        <w:footnoteReference w:id="4"/>
      </w:r>
      <w:r>
        <w:t xml:space="preserve">  </w:t>
      </w:r>
    </w:p>
    <w:p w:rsidR="00CE75F3" w:rsidRDefault="00AB549C" w:rsidP="00DD55CF">
      <w:pPr>
        <w:pStyle w:val="ParaNum"/>
      </w:pPr>
      <w:r>
        <w:lastRenderedPageBreak/>
        <w:t xml:space="preserve">On November 13, 2014, bidding commenced in Auction 97, which </w:t>
      </w:r>
      <w:r w:rsidR="00C4239E">
        <w:t xml:space="preserve">offers </w:t>
      </w:r>
      <w:r w:rsidR="001C56D0">
        <w:t xml:space="preserve">AWS-3 </w:t>
      </w:r>
      <w:r w:rsidR="00E00684">
        <w:t xml:space="preserve">licenses covering </w:t>
      </w:r>
      <w:r w:rsidR="00C4239E">
        <w:t xml:space="preserve">the greatest amount of </w:t>
      </w:r>
      <w:r w:rsidR="00E00684">
        <w:t xml:space="preserve">spectrum suitable for </w:t>
      </w:r>
      <w:r w:rsidR="00C4239E">
        <w:t xml:space="preserve">mobile broadband </w:t>
      </w:r>
      <w:r w:rsidR="00E00684">
        <w:t xml:space="preserve">services </w:t>
      </w:r>
      <w:r w:rsidR="00C4239E">
        <w:t xml:space="preserve">since </w:t>
      </w:r>
      <w:r w:rsidR="00E00684">
        <w:t xml:space="preserve">the </w:t>
      </w:r>
      <w:r w:rsidR="00C4239E">
        <w:t>2008 auction of 700 MHz licenses (Auction 73).</w:t>
      </w:r>
      <w:r w:rsidR="00C4239E">
        <w:rPr>
          <w:rStyle w:val="FootnoteReference"/>
        </w:rPr>
        <w:footnoteReference w:id="5"/>
      </w:r>
      <w:r w:rsidR="00C4239E">
        <w:t xml:space="preserve">  </w:t>
      </w:r>
      <w:r w:rsidR="003379C3">
        <w:t xml:space="preserve">Because the bidding </w:t>
      </w:r>
      <w:r w:rsidR="00A04D03">
        <w:t xml:space="preserve">in </w:t>
      </w:r>
      <w:r w:rsidR="0081575A">
        <w:t>Auction 97</w:t>
      </w:r>
      <w:r w:rsidR="003379C3">
        <w:t xml:space="preserve"> remained ongoing during the second week of December,</w:t>
      </w:r>
      <w:r w:rsidR="0081575A">
        <w:t xml:space="preserve"> </w:t>
      </w:r>
      <w:r w:rsidR="003379C3">
        <w:t>t</w:t>
      </w:r>
      <w:r w:rsidR="00A04D03">
        <w:t>he Bureau</w:t>
      </w:r>
      <w:r w:rsidR="000374E6">
        <w:t>,</w:t>
      </w:r>
      <w:r w:rsidR="00A04D03">
        <w:t xml:space="preserve"> on its own motion</w:t>
      </w:r>
      <w:r w:rsidR="000374E6">
        <w:t>,</w:t>
      </w:r>
      <w:r w:rsidR="00A04D03">
        <w:t xml:space="preserve"> extended the deadlines for filing comments and replies </w:t>
      </w:r>
      <w:r w:rsidR="00C05662">
        <w:t xml:space="preserve">in this matter </w:t>
      </w:r>
      <w:r w:rsidR="00A04D03">
        <w:t>by approximately a month</w:t>
      </w:r>
      <w:r w:rsidR="000374E6">
        <w:t xml:space="preserve"> to increase the likelihood that interested parties would be able to take into account more complete information about the results of the bidding in Auction 97</w:t>
      </w:r>
      <w:r w:rsidR="00A04D03">
        <w:t>.</w:t>
      </w:r>
      <w:r w:rsidR="00860CEA">
        <w:rPr>
          <w:rStyle w:val="FootnoteReference"/>
        </w:rPr>
        <w:footnoteReference w:id="6"/>
      </w:r>
      <w:r w:rsidR="00A04D03">
        <w:t xml:space="preserve">  </w:t>
      </w:r>
    </w:p>
    <w:p w:rsidR="00AA0E51" w:rsidRDefault="00A04D03" w:rsidP="00C05662">
      <w:pPr>
        <w:pStyle w:val="ParaNum"/>
      </w:pPr>
      <w:r>
        <w:t xml:space="preserve">Auction 97 has not yet concluded.  </w:t>
      </w:r>
      <w:r w:rsidR="00E00684">
        <w:t xml:space="preserve">Extending the </w:t>
      </w:r>
      <w:r w:rsidR="00242CC9">
        <w:t xml:space="preserve">deadlines for </w:t>
      </w:r>
      <w:r w:rsidR="00E00684">
        <w:t>comment</w:t>
      </w:r>
      <w:r w:rsidR="00242CC9">
        <w:t>s</w:t>
      </w:r>
      <w:r w:rsidR="00E00684">
        <w:t xml:space="preserve"> and reply comment</w:t>
      </w:r>
      <w:r w:rsidR="00242CC9">
        <w:t xml:space="preserve">s in </w:t>
      </w:r>
      <w:r w:rsidR="00C05662">
        <w:t>this proceeding</w:t>
      </w:r>
      <w:r w:rsidR="00EB410A">
        <w:t xml:space="preserve"> </w:t>
      </w:r>
      <w:r>
        <w:t xml:space="preserve">for an additional two weeks </w:t>
      </w:r>
      <w:r w:rsidR="00EB410A">
        <w:t xml:space="preserve">as set forth herein </w:t>
      </w:r>
      <w:r w:rsidR="00860CEA">
        <w:t xml:space="preserve">should </w:t>
      </w:r>
      <w:r w:rsidR="005E28D8">
        <w:t xml:space="preserve">continue to serve our objective of </w:t>
      </w:r>
      <w:r w:rsidR="00E00684">
        <w:t>increas</w:t>
      </w:r>
      <w:r w:rsidR="005E28D8">
        <w:t>ing</w:t>
      </w:r>
      <w:r w:rsidR="00E00684">
        <w:t xml:space="preserve"> the likelihood that interested parties will </w:t>
      </w:r>
      <w:r w:rsidR="000B2AD1">
        <w:t xml:space="preserve">be able to take into account </w:t>
      </w:r>
      <w:r w:rsidR="00E00684">
        <w:t xml:space="preserve">more complete information about the </w:t>
      </w:r>
      <w:r w:rsidR="000B2AD1">
        <w:t xml:space="preserve">results of the </w:t>
      </w:r>
      <w:r w:rsidR="00E00684">
        <w:t>bidding</w:t>
      </w:r>
      <w:r w:rsidR="00C05662">
        <w:t xml:space="preserve">. </w:t>
      </w:r>
      <w:r w:rsidR="000B2AD1">
        <w:t xml:space="preserve"> </w:t>
      </w:r>
      <w:r w:rsidR="00C05662">
        <w:t xml:space="preserve">Although </w:t>
      </w:r>
      <w:r w:rsidR="006D0807">
        <w:t xml:space="preserve">extensions of time are </w:t>
      </w:r>
      <w:r w:rsidR="00C05662">
        <w:t>not routinely grant</w:t>
      </w:r>
      <w:r w:rsidR="006D0807">
        <w:t>ed</w:t>
      </w:r>
      <w:r w:rsidR="003B5358">
        <w:t>,</w:t>
      </w:r>
      <w:r w:rsidR="006F6317">
        <w:rPr>
          <w:rStyle w:val="FootnoteReference"/>
        </w:rPr>
        <w:footnoteReference w:id="7"/>
      </w:r>
      <w:r w:rsidR="00C05662">
        <w:t xml:space="preserve"> </w:t>
      </w:r>
      <w:r w:rsidR="00DB2CCF">
        <w:t xml:space="preserve">we </w:t>
      </w:r>
      <w:r w:rsidR="00C05662">
        <w:t xml:space="preserve">do so here </w:t>
      </w:r>
      <w:r w:rsidR="00DB2CCF">
        <w:t>to</w:t>
      </w:r>
      <w:r w:rsidR="00242CC9">
        <w:t xml:space="preserve"> </w:t>
      </w:r>
      <w:r w:rsidR="000B2AD1">
        <w:t>promote</w:t>
      </w:r>
      <w:r w:rsidR="00AB75DB">
        <w:t xml:space="preserve"> </w:t>
      </w:r>
      <w:r w:rsidR="00AB4820">
        <w:t xml:space="preserve">more </w:t>
      </w:r>
      <w:r w:rsidR="009C09A2">
        <w:t>thoroughly considered comments and replies</w:t>
      </w:r>
      <w:r w:rsidR="00AB4820">
        <w:t xml:space="preserve"> </w:t>
      </w:r>
      <w:r w:rsidR="00E92E29">
        <w:t>in this proceeding</w:t>
      </w:r>
      <w:r w:rsidR="006201CF">
        <w:t xml:space="preserve">, </w:t>
      </w:r>
      <w:r w:rsidR="00C05662">
        <w:t xml:space="preserve">which is </w:t>
      </w:r>
      <w:r w:rsidR="006201CF">
        <w:t>our first comprehensive look at these rules in years</w:t>
      </w:r>
      <w:r w:rsidR="009C09A2">
        <w:t>.</w:t>
      </w:r>
      <w:r w:rsidR="002D5DF4">
        <w:t xml:space="preserve"> </w:t>
      </w:r>
      <w:r w:rsidR="009C09A2">
        <w:t xml:space="preserve"> We conclude that extending the deadlines as set forth above should provide sufficient additional time for interested parties</w:t>
      </w:r>
      <w:r w:rsidR="003379C3">
        <w:t>,</w:t>
      </w:r>
      <w:r w:rsidR="009C09A2">
        <w:t xml:space="preserve"> </w:t>
      </w:r>
      <w:r w:rsidR="002D5DF4">
        <w:t>without jeopardizing</w:t>
      </w:r>
      <w:r w:rsidR="00C05662">
        <w:t xml:space="preserve"> </w:t>
      </w:r>
      <w:r w:rsidR="006201CF">
        <w:t xml:space="preserve">the Commission’s </w:t>
      </w:r>
      <w:r w:rsidR="002D5DF4">
        <w:t xml:space="preserve">ability to act on the </w:t>
      </w:r>
      <w:r w:rsidR="002D5DF4" w:rsidRPr="009C09A2">
        <w:rPr>
          <w:i/>
        </w:rPr>
        <w:t xml:space="preserve">NPRM </w:t>
      </w:r>
      <w:r w:rsidR="001F3BEA">
        <w:t xml:space="preserve">sufficiently </w:t>
      </w:r>
      <w:r w:rsidR="002D5DF4">
        <w:t>in advance of the upcoming broadcast incentive auction</w:t>
      </w:r>
      <w:r w:rsidR="00AB4820">
        <w:t xml:space="preserve">.  </w:t>
      </w:r>
      <w:r w:rsidR="009C09A2">
        <w:t>We note, however, that g</w:t>
      </w:r>
      <w:r w:rsidR="009C09A2" w:rsidRPr="009C09A2">
        <w:t xml:space="preserve">iven the Commission's </w:t>
      </w:r>
      <w:r w:rsidR="003379C3">
        <w:t xml:space="preserve">anticipated </w:t>
      </w:r>
      <w:r w:rsidR="009C09A2" w:rsidRPr="009C09A2">
        <w:t xml:space="preserve">schedule for the broadcast incentive auction, further extensions for comments in this proceeding </w:t>
      </w:r>
      <w:r w:rsidR="003379C3">
        <w:t xml:space="preserve">may </w:t>
      </w:r>
      <w:r w:rsidR="009C09A2" w:rsidRPr="009C09A2">
        <w:t xml:space="preserve">not </w:t>
      </w:r>
      <w:r w:rsidR="003379C3">
        <w:t>be feasible</w:t>
      </w:r>
      <w:r w:rsidR="009C09A2" w:rsidRPr="009C09A2">
        <w:t>.</w:t>
      </w:r>
      <w:r w:rsidR="00C05602">
        <w:t xml:space="preserve">  </w:t>
      </w:r>
    </w:p>
    <w:p w:rsidR="00E5619E" w:rsidRDefault="00E5619E" w:rsidP="00E5619E">
      <w:pPr>
        <w:pStyle w:val="ParaNum"/>
      </w:pPr>
      <w:r>
        <w:t>Accordingly, IT IS ORDERED that, pursuant to sections 4(i), 4(j), and 5(c) of the Communications Act of 1934, as amended, 47 U.S.C. §§ 154(i), 154(j), 155(c), and pursuant to the authority delegated in Sections 0.131 and 0.331 of the Commission’s rules, 47 C.F.R. §§ 0.13</w:t>
      </w:r>
      <w:r w:rsidR="00A2799D">
        <w:t xml:space="preserve">1, </w:t>
      </w:r>
      <w:r>
        <w:t>0.331, WE EXTEND the comment and reply comment deadlines in response to the Notice of Proposed Rule Making in the above proceeding as discussed herein.</w:t>
      </w:r>
    </w:p>
    <w:p w:rsidR="00E5619E" w:rsidRDefault="00E5619E" w:rsidP="00E5619E">
      <w:pPr>
        <w:pStyle w:val="Numberedparagraphs"/>
        <w:tabs>
          <w:tab w:val="clear" w:pos="1080"/>
          <w:tab w:val="clear" w:pos="1440"/>
        </w:tabs>
        <w:spacing w:after="0"/>
        <w:ind w:firstLine="0"/>
        <w:rPr>
          <w:sz w:val="22"/>
        </w:rPr>
      </w:pPr>
    </w:p>
    <w:p w:rsidR="00E5619E" w:rsidRDefault="00E5619E" w:rsidP="00E5619E">
      <w:pPr>
        <w:keepNext/>
        <w:keepLines/>
        <w:ind w:left="4320"/>
        <w:outlineLvl w:val="0"/>
      </w:pPr>
      <w:r>
        <w:t>FEDERAL COMMUNICATIONS COMMISSION</w:t>
      </w: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3600"/>
        <w:outlineLvl w:val="0"/>
      </w:pPr>
      <w:r>
        <w:tab/>
        <w:t xml:space="preserve">Roger </w:t>
      </w:r>
      <w:r w:rsidR="003762CD">
        <w:t xml:space="preserve">C. </w:t>
      </w:r>
      <w:r>
        <w:t xml:space="preserve">Sherman </w:t>
      </w:r>
    </w:p>
    <w:p w:rsidR="00E5619E" w:rsidRDefault="00E5619E" w:rsidP="00E5619E">
      <w:pPr>
        <w:keepNext/>
        <w:keepLines/>
        <w:ind w:left="3600"/>
        <w:outlineLvl w:val="0"/>
      </w:pPr>
      <w:r>
        <w:tab/>
        <w:t>Chief, Wireless Telecommunications Bureau</w:t>
      </w:r>
    </w:p>
    <w:p w:rsidR="00E5619E" w:rsidRPr="00AA0E51" w:rsidRDefault="00E5619E" w:rsidP="00E5619E">
      <w:pPr>
        <w:pStyle w:val="ParaNum"/>
        <w:numPr>
          <w:ilvl w:val="0"/>
          <w:numId w:val="0"/>
        </w:numPr>
        <w:ind w:left="720"/>
      </w:pPr>
    </w:p>
    <w:sectPr w:rsidR="00E5619E" w:rsidRPr="00AA0E5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65" w:rsidRDefault="005E2865">
      <w:pPr>
        <w:spacing w:line="20" w:lineRule="exact"/>
      </w:pPr>
    </w:p>
  </w:endnote>
  <w:endnote w:type="continuationSeparator" w:id="0">
    <w:p w:rsidR="005E2865" w:rsidRDefault="005E2865">
      <w:r>
        <w:t xml:space="preserve"> </w:t>
      </w:r>
    </w:p>
  </w:endnote>
  <w:endnote w:type="continuationNotice" w:id="1">
    <w:p w:rsidR="005E2865" w:rsidRDefault="005E28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A5AE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65" w:rsidRDefault="005E2865">
      <w:r>
        <w:separator/>
      </w:r>
    </w:p>
  </w:footnote>
  <w:footnote w:type="continuationSeparator" w:id="0">
    <w:p w:rsidR="005E2865" w:rsidRDefault="005E2865" w:rsidP="00C721AC">
      <w:pPr>
        <w:spacing w:before="120"/>
        <w:rPr>
          <w:sz w:val="20"/>
        </w:rPr>
      </w:pPr>
      <w:r>
        <w:rPr>
          <w:sz w:val="20"/>
        </w:rPr>
        <w:t xml:space="preserve">(Continued from previous page)  </w:t>
      </w:r>
      <w:r>
        <w:rPr>
          <w:sz w:val="20"/>
        </w:rPr>
        <w:separator/>
      </w:r>
    </w:p>
  </w:footnote>
  <w:footnote w:type="continuationNotice" w:id="1">
    <w:p w:rsidR="005E2865" w:rsidRDefault="005E2865" w:rsidP="00C721AC">
      <w:pPr>
        <w:jc w:val="right"/>
        <w:rPr>
          <w:sz w:val="20"/>
        </w:rPr>
      </w:pPr>
      <w:r>
        <w:rPr>
          <w:sz w:val="20"/>
        </w:rPr>
        <w:t>(continued….)</w:t>
      </w:r>
    </w:p>
  </w:footnote>
  <w:footnote w:id="2">
    <w:p w:rsidR="006420D4" w:rsidRPr="006420D4" w:rsidRDefault="006420D4">
      <w:pPr>
        <w:pStyle w:val="FootnoteText"/>
      </w:pPr>
      <w:r>
        <w:rPr>
          <w:rStyle w:val="FootnoteReference"/>
        </w:rPr>
        <w:footnoteRef/>
      </w:r>
      <w:r>
        <w:t xml:space="preserve"> </w:t>
      </w:r>
      <w:r w:rsidRPr="006420D4">
        <w:t>Updating Part 1 Competitive Bidding Rules</w:t>
      </w:r>
      <w:r>
        <w:t xml:space="preserve">, </w:t>
      </w:r>
      <w:r>
        <w:rPr>
          <w:i/>
        </w:rPr>
        <w:t>Notice of Proposed Rule Making</w:t>
      </w:r>
      <w:r>
        <w:t xml:space="preserve">, 29 FCC Rcd 12426 (2014).  </w:t>
      </w:r>
    </w:p>
  </w:footnote>
  <w:footnote w:id="3">
    <w:p w:rsidR="00D0439B" w:rsidRPr="00D0439B" w:rsidRDefault="00D0439B">
      <w:pPr>
        <w:pStyle w:val="FootnoteText"/>
      </w:pPr>
      <w:r>
        <w:rPr>
          <w:rStyle w:val="FootnoteReference"/>
        </w:rPr>
        <w:footnoteRef/>
      </w:r>
      <w:r>
        <w:t xml:space="preserve"> </w:t>
      </w:r>
      <w:r>
        <w:rPr>
          <w:i/>
        </w:rPr>
        <w:t>Id.</w:t>
      </w:r>
      <w:r>
        <w:t xml:space="preserve">, 29 FCC Rcd at 12427 ¶ 1. </w:t>
      </w:r>
    </w:p>
  </w:footnote>
  <w:footnote w:id="4">
    <w:p w:rsidR="00AB549C" w:rsidRPr="00AB549C" w:rsidRDefault="00AB549C">
      <w:pPr>
        <w:pStyle w:val="FootnoteText"/>
      </w:pPr>
      <w:r>
        <w:rPr>
          <w:rStyle w:val="FootnoteReference"/>
        </w:rPr>
        <w:footnoteRef/>
      </w:r>
      <w:r>
        <w:t xml:space="preserve"> The initial deadlines for comments and replies were December 29, 2014, and January 20, 2015, respectively.  </w:t>
      </w:r>
      <w:r>
        <w:rPr>
          <w:i/>
        </w:rPr>
        <w:t xml:space="preserve">See </w:t>
      </w:r>
      <w:r>
        <w:t xml:space="preserve">79 Fed. Reg. 68172 (Nov. 14, 2014). </w:t>
      </w:r>
    </w:p>
  </w:footnote>
  <w:footnote w:id="5">
    <w:p w:rsidR="00C4239E" w:rsidRDefault="00C4239E">
      <w:pPr>
        <w:pStyle w:val="FootnoteText"/>
      </w:pPr>
      <w:r>
        <w:rPr>
          <w:rStyle w:val="FootnoteReference"/>
        </w:rPr>
        <w:footnoteRef/>
      </w:r>
      <w:r>
        <w:t xml:space="preserve"> Auction 97 makes available 1,614 licenses covering 65 megahertz of spectrum in the </w:t>
      </w:r>
      <w:r w:rsidRPr="00C4239E">
        <w:t>1695-1710 MHz, 1755-1780 MHz, and 2155-2180 MHz bands ("AWS-3" bands)</w:t>
      </w:r>
      <w:r>
        <w:t xml:space="preserve">.  Auction 73 offered 1,099 licenses covering 62 megahertz in the </w:t>
      </w:r>
      <w:r w:rsidRPr="00C4239E">
        <w:t>698-806 MHz band (“700 MHz Band”)</w:t>
      </w:r>
      <w:r>
        <w:t xml:space="preserve">.  </w:t>
      </w:r>
    </w:p>
  </w:footnote>
  <w:footnote w:id="6">
    <w:p w:rsidR="00860CEA" w:rsidRDefault="00860CEA">
      <w:pPr>
        <w:pStyle w:val="FootnoteText"/>
      </w:pPr>
      <w:r>
        <w:rPr>
          <w:rStyle w:val="FootnoteReference"/>
        </w:rPr>
        <w:footnoteRef/>
      </w:r>
      <w:r>
        <w:t xml:space="preserve"> On December 8, 2014, the deadline</w:t>
      </w:r>
      <w:r w:rsidR="003379C3">
        <w:t>s</w:t>
      </w:r>
      <w:r>
        <w:t xml:space="preserve"> for comments and replies were extended to January 23, 2015, and February 12, 2015, respectively.  </w:t>
      </w:r>
      <w:r w:rsidRPr="006F6317">
        <w:rPr>
          <w:i/>
        </w:rPr>
        <w:t>See</w:t>
      </w:r>
      <w:r>
        <w:t xml:space="preserve"> </w:t>
      </w:r>
      <w:r w:rsidRPr="006420D4">
        <w:t>Updating Part 1 Competitive Bidding Rules</w:t>
      </w:r>
      <w:r>
        <w:t xml:space="preserve">, </w:t>
      </w:r>
      <w:r>
        <w:rPr>
          <w:i/>
        </w:rPr>
        <w:t>Order</w:t>
      </w:r>
      <w:r>
        <w:t>, DA 14-1784 (</w:t>
      </w:r>
      <w:r w:rsidR="005E28D8">
        <w:t xml:space="preserve">rel. Dec. 8, </w:t>
      </w:r>
      <w:r>
        <w:t>2014).</w:t>
      </w:r>
    </w:p>
  </w:footnote>
  <w:footnote w:id="7">
    <w:p w:rsidR="006F6317" w:rsidRDefault="006F6317">
      <w:pPr>
        <w:pStyle w:val="FootnoteText"/>
      </w:pPr>
      <w:r>
        <w:rPr>
          <w:rStyle w:val="FootnoteReference"/>
        </w:rPr>
        <w:footnoteRef/>
      </w:r>
      <w:r>
        <w:t xml:space="preserve"> </w:t>
      </w:r>
      <w:r w:rsidRPr="00745481">
        <w:t>47 C.F.R. § 1.46</w:t>
      </w:r>
      <w:r>
        <w:t>(a)</w:t>
      </w:r>
      <w:r w:rsidRPr="0074548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D" w:rsidRDefault="0039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87F4B">
      <w:t xml:space="preserve">DA </w:t>
    </w:r>
    <w:r w:rsidR="00860CEA">
      <w:t>15</w:t>
    </w:r>
    <w:r w:rsidR="00F87F4B">
      <w:t>-</w:t>
    </w:r>
    <w:r w:rsidR="009A51B7">
      <w:t>52</w:t>
    </w:r>
  </w:p>
  <w:p w:rsidR="00D25FB5" w:rsidRDefault="000C5A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0AFBB76" wp14:editId="20B7978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C5A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860CEA">
      <w:rPr>
        <w:spacing w:val="-2"/>
      </w:rPr>
      <w:t>15-</w:t>
    </w:r>
    <w:r w:rsidR="009A51B7">
      <w:rPr>
        <w:spacing w:val="-2"/>
      </w:rPr>
      <w:t>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48"/>
    <w:rsid w:val="00036039"/>
    <w:rsid w:val="000374E6"/>
    <w:rsid w:val="00037F90"/>
    <w:rsid w:val="00082F76"/>
    <w:rsid w:val="000875BF"/>
    <w:rsid w:val="00096D8C"/>
    <w:rsid w:val="000A5640"/>
    <w:rsid w:val="000B2AD1"/>
    <w:rsid w:val="000C0B65"/>
    <w:rsid w:val="000C5A48"/>
    <w:rsid w:val="000D3DDB"/>
    <w:rsid w:val="000E05FE"/>
    <w:rsid w:val="000E3D42"/>
    <w:rsid w:val="00122BD5"/>
    <w:rsid w:val="00133F79"/>
    <w:rsid w:val="00194A66"/>
    <w:rsid w:val="001A0D8B"/>
    <w:rsid w:val="001A6DF2"/>
    <w:rsid w:val="001C56D0"/>
    <w:rsid w:val="001C6E33"/>
    <w:rsid w:val="001D6BCF"/>
    <w:rsid w:val="001E01CA"/>
    <w:rsid w:val="001F3BEA"/>
    <w:rsid w:val="00210E4F"/>
    <w:rsid w:val="00232578"/>
    <w:rsid w:val="00242975"/>
    <w:rsid w:val="00242CC9"/>
    <w:rsid w:val="0024522D"/>
    <w:rsid w:val="00263C76"/>
    <w:rsid w:val="00272A1A"/>
    <w:rsid w:val="00275CF5"/>
    <w:rsid w:val="0028301F"/>
    <w:rsid w:val="00285017"/>
    <w:rsid w:val="002A2D2E"/>
    <w:rsid w:val="002C00E8"/>
    <w:rsid w:val="002D5DF4"/>
    <w:rsid w:val="002F6CB7"/>
    <w:rsid w:val="003379C3"/>
    <w:rsid w:val="00343749"/>
    <w:rsid w:val="003660ED"/>
    <w:rsid w:val="003762CD"/>
    <w:rsid w:val="00393BAD"/>
    <w:rsid w:val="00396CC1"/>
    <w:rsid w:val="003A5AEA"/>
    <w:rsid w:val="003B0550"/>
    <w:rsid w:val="003B5358"/>
    <w:rsid w:val="003B694F"/>
    <w:rsid w:val="003F171C"/>
    <w:rsid w:val="00412FC5"/>
    <w:rsid w:val="00422276"/>
    <w:rsid w:val="004242F1"/>
    <w:rsid w:val="004266A2"/>
    <w:rsid w:val="00440C29"/>
    <w:rsid w:val="00445A00"/>
    <w:rsid w:val="0044612D"/>
    <w:rsid w:val="00451B0F"/>
    <w:rsid w:val="00476F2D"/>
    <w:rsid w:val="0049285E"/>
    <w:rsid w:val="004C2EE3"/>
    <w:rsid w:val="004D35C3"/>
    <w:rsid w:val="004E4A22"/>
    <w:rsid w:val="004F1D9A"/>
    <w:rsid w:val="00511968"/>
    <w:rsid w:val="00524459"/>
    <w:rsid w:val="0055614C"/>
    <w:rsid w:val="005E14C2"/>
    <w:rsid w:val="005E2865"/>
    <w:rsid w:val="005E28D8"/>
    <w:rsid w:val="005E49CA"/>
    <w:rsid w:val="005E6F22"/>
    <w:rsid w:val="00607BA5"/>
    <w:rsid w:val="0061180A"/>
    <w:rsid w:val="006201CF"/>
    <w:rsid w:val="00626EB6"/>
    <w:rsid w:val="006420D4"/>
    <w:rsid w:val="00655D03"/>
    <w:rsid w:val="00683388"/>
    <w:rsid w:val="00683F84"/>
    <w:rsid w:val="006A6A81"/>
    <w:rsid w:val="006D0807"/>
    <w:rsid w:val="006F6317"/>
    <w:rsid w:val="006F7393"/>
    <w:rsid w:val="0070224F"/>
    <w:rsid w:val="007115F7"/>
    <w:rsid w:val="00716B50"/>
    <w:rsid w:val="00723942"/>
    <w:rsid w:val="00785689"/>
    <w:rsid w:val="0079754B"/>
    <w:rsid w:val="007A1E6D"/>
    <w:rsid w:val="007A5E24"/>
    <w:rsid w:val="007B0EB2"/>
    <w:rsid w:val="007F0037"/>
    <w:rsid w:val="00810B6F"/>
    <w:rsid w:val="0081575A"/>
    <w:rsid w:val="00822CE0"/>
    <w:rsid w:val="00824452"/>
    <w:rsid w:val="008367A3"/>
    <w:rsid w:val="00841AB1"/>
    <w:rsid w:val="00857A41"/>
    <w:rsid w:val="00860CEA"/>
    <w:rsid w:val="00867F2C"/>
    <w:rsid w:val="008C68F1"/>
    <w:rsid w:val="00921803"/>
    <w:rsid w:val="0092267B"/>
    <w:rsid w:val="00926503"/>
    <w:rsid w:val="009548AD"/>
    <w:rsid w:val="00964672"/>
    <w:rsid w:val="009726D8"/>
    <w:rsid w:val="009A51B7"/>
    <w:rsid w:val="009C09A2"/>
    <w:rsid w:val="009F76DB"/>
    <w:rsid w:val="00A04D03"/>
    <w:rsid w:val="00A2799D"/>
    <w:rsid w:val="00A32C3B"/>
    <w:rsid w:val="00A45B14"/>
    <w:rsid w:val="00A45F4F"/>
    <w:rsid w:val="00A600A9"/>
    <w:rsid w:val="00A66CFA"/>
    <w:rsid w:val="00AA0E51"/>
    <w:rsid w:val="00AA55B7"/>
    <w:rsid w:val="00AA5B9E"/>
    <w:rsid w:val="00AB2407"/>
    <w:rsid w:val="00AB4820"/>
    <w:rsid w:val="00AB53DF"/>
    <w:rsid w:val="00AB549C"/>
    <w:rsid w:val="00AB75DB"/>
    <w:rsid w:val="00AE2F1F"/>
    <w:rsid w:val="00B07E5C"/>
    <w:rsid w:val="00B23144"/>
    <w:rsid w:val="00B43D95"/>
    <w:rsid w:val="00B46F9C"/>
    <w:rsid w:val="00B811F7"/>
    <w:rsid w:val="00BA0888"/>
    <w:rsid w:val="00BA5DC6"/>
    <w:rsid w:val="00BA6196"/>
    <w:rsid w:val="00BC6D8C"/>
    <w:rsid w:val="00C05602"/>
    <w:rsid w:val="00C05662"/>
    <w:rsid w:val="00C34006"/>
    <w:rsid w:val="00C4239E"/>
    <w:rsid w:val="00C426B1"/>
    <w:rsid w:val="00C66160"/>
    <w:rsid w:val="00C721AC"/>
    <w:rsid w:val="00C90D6A"/>
    <w:rsid w:val="00CA247E"/>
    <w:rsid w:val="00CB08F1"/>
    <w:rsid w:val="00CC72B6"/>
    <w:rsid w:val="00CE75F3"/>
    <w:rsid w:val="00D0218D"/>
    <w:rsid w:val="00D0439B"/>
    <w:rsid w:val="00D25FB5"/>
    <w:rsid w:val="00D44223"/>
    <w:rsid w:val="00DA2529"/>
    <w:rsid w:val="00DA770E"/>
    <w:rsid w:val="00DB130A"/>
    <w:rsid w:val="00DB2CCF"/>
    <w:rsid w:val="00DB2EBB"/>
    <w:rsid w:val="00DC10A1"/>
    <w:rsid w:val="00DC655F"/>
    <w:rsid w:val="00DD0B59"/>
    <w:rsid w:val="00DD55CF"/>
    <w:rsid w:val="00DD7EBD"/>
    <w:rsid w:val="00DF62B6"/>
    <w:rsid w:val="00E00684"/>
    <w:rsid w:val="00E07225"/>
    <w:rsid w:val="00E5409F"/>
    <w:rsid w:val="00E5619E"/>
    <w:rsid w:val="00E730AC"/>
    <w:rsid w:val="00E92E29"/>
    <w:rsid w:val="00EA12A5"/>
    <w:rsid w:val="00EB3460"/>
    <w:rsid w:val="00EB410A"/>
    <w:rsid w:val="00EE29C1"/>
    <w:rsid w:val="00EE6488"/>
    <w:rsid w:val="00F021FA"/>
    <w:rsid w:val="00F62E97"/>
    <w:rsid w:val="00F64209"/>
    <w:rsid w:val="00F87F4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9515">
      <w:bodyDiv w:val="1"/>
      <w:marLeft w:val="0"/>
      <w:marRight w:val="0"/>
      <w:marTop w:val="0"/>
      <w:marBottom w:val="0"/>
      <w:divBdr>
        <w:top w:val="none" w:sz="0" w:space="0" w:color="auto"/>
        <w:left w:val="none" w:sz="0" w:space="0" w:color="auto"/>
        <w:bottom w:val="none" w:sz="0" w:space="0" w:color="auto"/>
        <w:right w:val="none" w:sz="0" w:space="0" w:color="auto"/>
      </w:divBdr>
      <w:divsChild>
        <w:div w:id="344787733">
          <w:marLeft w:val="0"/>
          <w:marRight w:val="0"/>
          <w:marTop w:val="0"/>
          <w:marBottom w:val="0"/>
          <w:divBdr>
            <w:top w:val="none" w:sz="0" w:space="0" w:color="auto"/>
            <w:left w:val="none" w:sz="0" w:space="0" w:color="auto"/>
            <w:bottom w:val="none" w:sz="0" w:space="0" w:color="auto"/>
            <w:right w:val="none" w:sz="0" w:space="0" w:color="auto"/>
          </w:divBdr>
          <w:divsChild>
            <w:div w:id="293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32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700">
          <w:marLeft w:val="0"/>
          <w:marRight w:val="0"/>
          <w:marTop w:val="0"/>
          <w:marBottom w:val="0"/>
          <w:divBdr>
            <w:top w:val="none" w:sz="0" w:space="0" w:color="auto"/>
            <w:left w:val="none" w:sz="0" w:space="0" w:color="auto"/>
            <w:bottom w:val="none" w:sz="0" w:space="0" w:color="auto"/>
            <w:right w:val="none" w:sz="0" w:space="0" w:color="auto"/>
          </w:divBdr>
          <w:divsChild>
            <w:div w:id="18894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garet.Wiener\AppData\Local\Microsoft\Windows\Temporary%20Internet%20Files\Content.MSO\430749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43074934</Template>
  <TotalTime>0</TotalTime>
  <Pages>2</Pages>
  <Words>597</Words>
  <Characters>3195</Characters>
  <Application>Microsoft Office Word</Application>
  <DocSecurity>0</DocSecurity>
  <Lines>107</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2015-01-13T19:14:00Z</dcterms:created>
  <dcterms:modified xsi:type="dcterms:W3CDTF">2015-01-13T19:14:00Z</dcterms:modified>
  <cp:category> </cp:category>
  <cp:contentStatus> </cp:contentStatus>
</cp:coreProperties>
</file>