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31" w:rsidRPr="008441A8" w:rsidRDefault="00595B31" w:rsidP="00595B31">
      <w:pPr>
        <w:pStyle w:val="Header"/>
        <w:jc w:val="right"/>
        <w:rPr>
          <w:b/>
          <w:szCs w:val="22"/>
        </w:rPr>
      </w:pPr>
      <w:bookmarkStart w:id="0" w:name="_GoBack"/>
      <w:bookmarkEnd w:id="0"/>
      <w:r w:rsidRPr="008441A8">
        <w:rPr>
          <w:b/>
          <w:szCs w:val="22"/>
        </w:rPr>
        <w:t>DA 15-</w:t>
      </w:r>
      <w:r w:rsidR="00E4180B">
        <w:rPr>
          <w:b/>
          <w:szCs w:val="22"/>
        </w:rPr>
        <w:t>483</w:t>
      </w:r>
    </w:p>
    <w:p w:rsidR="00595B31" w:rsidRPr="008441A8" w:rsidRDefault="003E2FBC" w:rsidP="00595B31">
      <w:pPr>
        <w:pStyle w:val="Header"/>
        <w:jc w:val="right"/>
        <w:rPr>
          <w:b/>
          <w:szCs w:val="22"/>
        </w:rPr>
      </w:pPr>
      <w:r w:rsidRPr="008441A8">
        <w:rPr>
          <w:b/>
          <w:szCs w:val="22"/>
        </w:rPr>
        <w:t xml:space="preserve">April </w:t>
      </w:r>
      <w:r w:rsidR="006B4DDB">
        <w:rPr>
          <w:b/>
          <w:szCs w:val="22"/>
        </w:rPr>
        <w:t>23</w:t>
      </w:r>
      <w:r w:rsidR="00595B31" w:rsidRPr="008441A8">
        <w:rPr>
          <w:b/>
          <w:szCs w:val="22"/>
        </w:rPr>
        <w:t>, 2015</w:t>
      </w:r>
    </w:p>
    <w:p w:rsidR="00595B31" w:rsidRPr="008441A8" w:rsidRDefault="00595B31" w:rsidP="00595B31">
      <w:pPr>
        <w:jc w:val="right"/>
        <w:rPr>
          <w:szCs w:val="22"/>
        </w:rPr>
      </w:pPr>
    </w:p>
    <w:p w:rsidR="00595B31" w:rsidRPr="008441A8" w:rsidRDefault="00595B31" w:rsidP="00595B31">
      <w:pPr>
        <w:jc w:val="center"/>
        <w:rPr>
          <w:b/>
          <w:caps/>
          <w:color w:val="000000"/>
          <w:szCs w:val="22"/>
        </w:rPr>
      </w:pPr>
      <w:r w:rsidRPr="008441A8">
        <w:rPr>
          <w:b/>
          <w:caps/>
          <w:szCs w:val="22"/>
        </w:rPr>
        <w:t xml:space="preserve">Public safety and homeland security bureau </w:t>
      </w:r>
      <w:r w:rsidR="003E2FBC" w:rsidRPr="008441A8">
        <w:rPr>
          <w:b/>
          <w:caps/>
          <w:szCs w:val="22"/>
        </w:rPr>
        <w:t>APPROVES</w:t>
      </w:r>
      <w:r w:rsidR="00B33540" w:rsidRPr="008441A8">
        <w:rPr>
          <w:b/>
          <w:caps/>
          <w:szCs w:val="22"/>
        </w:rPr>
        <w:t xml:space="preserve"> RECOMMENDED </w:t>
      </w:r>
      <w:r w:rsidRPr="008441A8">
        <w:rPr>
          <w:b/>
          <w:caps/>
          <w:szCs w:val="22"/>
        </w:rPr>
        <w:t>NATIONWIDE CHANNELS FOR DEPLOYABLE TRUNKED SYSTEMS IN THE 700 MHZ NARROWBAND</w:t>
      </w:r>
      <w:r w:rsidR="00B33540" w:rsidRPr="008441A8">
        <w:rPr>
          <w:b/>
          <w:caps/>
          <w:szCs w:val="22"/>
        </w:rPr>
        <w:t xml:space="preserve"> PUBLIC SAFETY BAND</w:t>
      </w:r>
    </w:p>
    <w:p w:rsidR="00595B31" w:rsidRPr="008441A8" w:rsidRDefault="00595B31" w:rsidP="00595B31">
      <w:pPr>
        <w:jc w:val="center"/>
        <w:rPr>
          <w:b/>
          <w:caps/>
          <w:color w:val="000000"/>
          <w:szCs w:val="22"/>
        </w:rPr>
      </w:pPr>
    </w:p>
    <w:p w:rsidR="00595B31" w:rsidRPr="008441A8" w:rsidRDefault="00595B31" w:rsidP="00595B31">
      <w:pPr>
        <w:spacing w:after="240"/>
        <w:jc w:val="center"/>
        <w:rPr>
          <w:b/>
          <w:szCs w:val="22"/>
        </w:rPr>
      </w:pPr>
      <w:r w:rsidRPr="008441A8">
        <w:rPr>
          <w:b/>
          <w:szCs w:val="22"/>
        </w:rPr>
        <w:t>PS Docket No. 13-87 and WT Docket</w:t>
      </w:r>
      <w:r w:rsidR="00FD3522">
        <w:rPr>
          <w:b/>
          <w:szCs w:val="22"/>
        </w:rPr>
        <w:t xml:space="preserve"> No.</w:t>
      </w:r>
      <w:r w:rsidRPr="008441A8">
        <w:rPr>
          <w:b/>
          <w:szCs w:val="22"/>
        </w:rPr>
        <w:t xml:space="preserve"> 02-378</w:t>
      </w:r>
    </w:p>
    <w:p w:rsidR="00595B31" w:rsidRPr="008441A8" w:rsidRDefault="00595B31" w:rsidP="00004006">
      <w:pPr>
        <w:rPr>
          <w:szCs w:val="22"/>
        </w:rPr>
      </w:pPr>
      <w:r w:rsidRPr="008441A8">
        <w:rPr>
          <w:szCs w:val="22"/>
        </w:rPr>
        <w:tab/>
        <w:t xml:space="preserve">By this </w:t>
      </w:r>
      <w:r w:rsidRPr="008441A8">
        <w:rPr>
          <w:i/>
          <w:szCs w:val="22"/>
        </w:rPr>
        <w:t>Public Notice</w:t>
      </w:r>
      <w:r w:rsidRPr="008441A8">
        <w:rPr>
          <w:szCs w:val="22"/>
        </w:rPr>
        <w:t>, the Public Safety and Ho</w:t>
      </w:r>
      <w:r w:rsidR="00B105A9">
        <w:rPr>
          <w:szCs w:val="22"/>
        </w:rPr>
        <w:t xml:space="preserve">meland Security Bureau (Bureau) </w:t>
      </w:r>
      <w:r w:rsidR="003E2FBC" w:rsidRPr="008441A8">
        <w:rPr>
          <w:szCs w:val="22"/>
        </w:rPr>
        <w:t xml:space="preserve">approves </w:t>
      </w:r>
      <w:r w:rsidRPr="008441A8">
        <w:rPr>
          <w:szCs w:val="22"/>
        </w:rPr>
        <w:t xml:space="preserve">a recommended set of six channels </w:t>
      </w:r>
      <w:r w:rsidR="00FD3522">
        <w:rPr>
          <w:szCs w:val="22"/>
        </w:rPr>
        <w:t xml:space="preserve">for use </w:t>
      </w:r>
      <w:r w:rsidRPr="008441A8">
        <w:rPr>
          <w:szCs w:val="22"/>
        </w:rPr>
        <w:t xml:space="preserve">nationwide </w:t>
      </w:r>
      <w:r w:rsidR="00FD3522">
        <w:rPr>
          <w:szCs w:val="22"/>
        </w:rPr>
        <w:t xml:space="preserve">by </w:t>
      </w:r>
      <w:r w:rsidRPr="008441A8">
        <w:rPr>
          <w:szCs w:val="22"/>
        </w:rPr>
        <w:t>700 MHz deployable trunked systems.  Th</w:t>
      </w:r>
      <w:r w:rsidR="00FD3522">
        <w:rPr>
          <w:szCs w:val="22"/>
        </w:rPr>
        <w:t xml:space="preserve">is </w:t>
      </w:r>
      <w:r w:rsidRPr="008441A8">
        <w:rPr>
          <w:szCs w:val="22"/>
        </w:rPr>
        <w:t xml:space="preserve">channel set </w:t>
      </w:r>
      <w:r w:rsidR="00247A24">
        <w:rPr>
          <w:szCs w:val="22"/>
        </w:rPr>
        <w:t xml:space="preserve">was </w:t>
      </w:r>
      <w:r w:rsidRPr="008441A8">
        <w:rPr>
          <w:szCs w:val="22"/>
        </w:rPr>
        <w:t>recommended by the National Public Safety Telecommunications Council and the National Regional Planning Council.</w:t>
      </w:r>
      <w:r w:rsidRPr="008441A8">
        <w:rPr>
          <w:rStyle w:val="FootnoteReference"/>
          <w:szCs w:val="22"/>
        </w:rPr>
        <w:footnoteReference w:id="1"/>
      </w:r>
      <w:r w:rsidR="001A591C" w:rsidRPr="008441A8">
        <w:rPr>
          <w:szCs w:val="22"/>
        </w:rPr>
        <w:t xml:space="preserve">  </w:t>
      </w:r>
    </w:p>
    <w:p w:rsidR="00595B31" w:rsidRDefault="00595B31" w:rsidP="00B105A9">
      <w:pPr>
        <w:rPr>
          <w:szCs w:val="22"/>
        </w:rPr>
      </w:pPr>
    </w:p>
    <w:p w:rsidR="002D1ACA" w:rsidRPr="00B105A9" w:rsidRDefault="002D1ACA" w:rsidP="00B105A9">
      <w:pPr>
        <w:rPr>
          <w:szCs w:val="22"/>
          <w:u w:val="single"/>
        </w:rPr>
      </w:pPr>
      <w:r w:rsidRPr="00B105A9">
        <w:rPr>
          <w:szCs w:val="22"/>
          <w:u w:val="single"/>
        </w:rPr>
        <w:t>Former Reserve Channels</w:t>
      </w:r>
    </w:p>
    <w:p w:rsidR="002D1ACA" w:rsidRPr="008441A8" w:rsidRDefault="002D1ACA" w:rsidP="00B105A9">
      <w:pPr>
        <w:rPr>
          <w:szCs w:val="22"/>
        </w:rPr>
      </w:pPr>
    </w:p>
    <w:p w:rsidR="00E62F4C" w:rsidRDefault="00595B31" w:rsidP="00004006">
      <w:pPr>
        <w:pStyle w:val="FootnoteText"/>
        <w:rPr>
          <w:szCs w:val="22"/>
        </w:rPr>
      </w:pPr>
      <w:r w:rsidRPr="008441A8">
        <w:rPr>
          <w:szCs w:val="22"/>
        </w:rPr>
        <w:tab/>
        <w:t xml:space="preserve">On October 17, 2014, the Commission adopted a </w:t>
      </w:r>
      <w:r w:rsidRPr="008441A8">
        <w:rPr>
          <w:i/>
          <w:iCs/>
          <w:szCs w:val="22"/>
        </w:rPr>
        <w:t>Report and Order</w:t>
      </w:r>
      <w:r w:rsidRPr="008441A8">
        <w:rPr>
          <w:szCs w:val="22"/>
        </w:rPr>
        <w:t xml:space="preserve"> </w:t>
      </w:r>
      <w:r w:rsidR="002D1ACA">
        <w:rPr>
          <w:szCs w:val="22"/>
        </w:rPr>
        <w:t xml:space="preserve">which </w:t>
      </w:r>
      <w:r w:rsidRPr="008441A8">
        <w:rPr>
          <w:szCs w:val="22"/>
        </w:rPr>
        <w:t xml:space="preserve">released the </w:t>
      </w:r>
      <w:r w:rsidR="00333242" w:rsidRPr="008441A8">
        <w:rPr>
          <w:szCs w:val="22"/>
        </w:rPr>
        <w:t>twenty</w:t>
      </w:r>
      <w:r w:rsidR="00333242">
        <w:rPr>
          <w:szCs w:val="22"/>
        </w:rPr>
        <w:t>-</w:t>
      </w:r>
      <w:r w:rsidR="00333242" w:rsidRPr="008441A8">
        <w:rPr>
          <w:szCs w:val="22"/>
        </w:rPr>
        <w:t xml:space="preserve">four </w:t>
      </w:r>
      <w:r w:rsidRPr="008441A8">
        <w:rPr>
          <w:szCs w:val="22"/>
        </w:rPr>
        <w:t xml:space="preserve">narrowband reserve channels (12.5 kHz </w:t>
      </w:r>
      <w:r w:rsidR="00333242">
        <w:rPr>
          <w:szCs w:val="22"/>
        </w:rPr>
        <w:t>bandwidth</w:t>
      </w:r>
      <w:r w:rsidRPr="008441A8">
        <w:rPr>
          <w:szCs w:val="22"/>
        </w:rPr>
        <w:t xml:space="preserve">) to </w:t>
      </w:r>
      <w:r w:rsidR="002D1ACA">
        <w:rPr>
          <w:szCs w:val="22"/>
        </w:rPr>
        <w:t xml:space="preserve">the </w:t>
      </w:r>
      <w:r w:rsidRPr="008441A8">
        <w:rPr>
          <w:szCs w:val="22"/>
        </w:rPr>
        <w:t xml:space="preserve">General Use </w:t>
      </w:r>
      <w:r w:rsidR="002D1ACA">
        <w:rPr>
          <w:szCs w:val="22"/>
        </w:rPr>
        <w:t xml:space="preserve">category </w:t>
      </w:r>
      <w:r w:rsidRPr="008441A8">
        <w:rPr>
          <w:szCs w:val="22"/>
        </w:rPr>
        <w:t>under the administration of the 700 MHz Regional Planning Committees (RPCs) for the benefit of state and local public safety licensees.</w:t>
      </w:r>
      <w:r w:rsidRPr="008441A8">
        <w:rPr>
          <w:rStyle w:val="FootnoteReference"/>
          <w:szCs w:val="22"/>
        </w:rPr>
        <w:footnoteReference w:id="2"/>
      </w:r>
      <w:r w:rsidRPr="008441A8">
        <w:rPr>
          <w:szCs w:val="22"/>
        </w:rPr>
        <w:t xml:space="preserve">  </w:t>
      </w:r>
    </w:p>
    <w:p w:rsidR="00E62F4C" w:rsidRDefault="00E62F4C" w:rsidP="00004006">
      <w:pPr>
        <w:pStyle w:val="FootnoteText"/>
        <w:rPr>
          <w:szCs w:val="22"/>
        </w:rPr>
      </w:pPr>
      <w:r>
        <w:rPr>
          <w:szCs w:val="22"/>
        </w:rPr>
        <w:tab/>
      </w:r>
      <w:r w:rsidR="002D1ACA">
        <w:rPr>
          <w:szCs w:val="22"/>
        </w:rPr>
        <w:t xml:space="preserve">In its </w:t>
      </w:r>
      <w:r w:rsidR="002D1ACA" w:rsidRPr="00B105A9">
        <w:rPr>
          <w:i/>
          <w:szCs w:val="22"/>
        </w:rPr>
        <w:t>Report and Order</w:t>
      </w:r>
      <w:r w:rsidR="002D1ACA">
        <w:rPr>
          <w:szCs w:val="22"/>
        </w:rPr>
        <w:t>, t</w:t>
      </w:r>
      <w:r w:rsidR="00595B31" w:rsidRPr="008441A8">
        <w:rPr>
          <w:szCs w:val="22"/>
        </w:rPr>
        <w:t>he Commission authorized the RPCs to assign up to eight 12.5 kHz former reserve channels for deployable trunked systems</w:t>
      </w:r>
      <w:r w:rsidR="006C0C10">
        <w:rPr>
          <w:szCs w:val="22"/>
        </w:rPr>
        <w:t>.</w:t>
      </w:r>
      <w:r w:rsidR="003A4CAD">
        <w:rPr>
          <w:rStyle w:val="FootnoteReference"/>
          <w:szCs w:val="22"/>
        </w:rPr>
        <w:footnoteReference w:id="3"/>
      </w:r>
      <w:r w:rsidR="006C0C10">
        <w:rPr>
          <w:szCs w:val="22"/>
        </w:rPr>
        <w:t xml:space="preserve">  The </w:t>
      </w:r>
      <w:r w:rsidR="00543F32">
        <w:rPr>
          <w:szCs w:val="22"/>
        </w:rPr>
        <w:t xml:space="preserve">only exception being </w:t>
      </w:r>
      <w:r w:rsidR="006C0C10">
        <w:rPr>
          <w:szCs w:val="22"/>
        </w:rPr>
        <w:t>that i</w:t>
      </w:r>
      <w:r w:rsidR="00543F32">
        <w:rPr>
          <w:szCs w:val="22"/>
        </w:rPr>
        <w:t xml:space="preserve">t directed RPCs to offer priority access </w:t>
      </w:r>
      <w:r w:rsidR="00FD3522">
        <w:rPr>
          <w:szCs w:val="22"/>
        </w:rPr>
        <w:t xml:space="preserve">to </w:t>
      </w:r>
      <w:r w:rsidR="00543F32">
        <w:rPr>
          <w:szCs w:val="22"/>
        </w:rPr>
        <w:t>all twenty-four former reserve channels to public safety</w:t>
      </w:r>
      <w:r w:rsidR="00F74710">
        <w:rPr>
          <w:szCs w:val="22"/>
        </w:rPr>
        <w:t xml:space="preserve"> incumbents relocating from the</w:t>
      </w:r>
      <w:r w:rsidR="00543F32">
        <w:rPr>
          <w:szCs w:val="22"/>
        </w:rPr>
        <w:t xml:space="preserve"> T-Band</w:t>
      </w:r>
      <w:r w:rsidR="00F74710">
        <w:rPr>
          <w:szCs w:val="22"/>
        </w:rPr>
        <w:t>.</w:t>
      </w:r>
      <w:r w:rsidR="002A1020">
        <w:rPr>
          <w:rStyle w:val="FootnoteReference"/>
          <w:szCs w:val="22"/>
        </w:rPr>
        <w:footnoteReference w:id="4"/>
      </w:r>
      <w:r w:rsidRPr="00E62F4C">
        <w:rPr>
          <w:szCs w:val="22"/>
        </w:rPr>
        <w:t xml:space="preserve">  </w:t>
      </w:r>
    </w:p>
    <w:p w:rsidR="00595B31" w:rsidRDefault="009A7AF6">
      <w:pPr>
        <w:pStyle w:val="FootnoteText"/>
        <w:rPr>
          <w:szCs w:val="22"/>
        </w:rPr>
      </w:pPr>
      <w:r>
        <w:rPr>
          <w:szCs w:val="22"/>
        </w:rPr>
        <w:tab/>
      </w:r>
      <w:r w:rsidR="006C0C10">
        <w:rPr>
          <w:szCs w:val="22"/>
        </w:rPr>
        <w:t>T</w:t>
      </w:r>
      <w:r w:rsidR="00595B31" w:rsidRPr="008441A8">
        <w:rPr>
          <w:szCs w:val="22"/>
        </w:rPr>
        <w:t xml:space="preserve">he Commission also encouraged NPSTC and the NRPC to </w:t>
      </w:r>
      <w:r w:rsidR="006C0C10">
        <w:rPr>
          <w:szCs w:val="22"/>
        </w:rPr>
        <w:t xml:space="preserve">identify a </w:t>
      </w:r>
      <w:r w:rsidR="00595B31" w:rsidRPr="008441A8">
        <w:rPr>
          <w:szCs w:val="22"/>
        </w:rPr>
        <w:t xml:space="preserve">discrete </w:t>
      </w:r>
      <w:r w:rsidR="006C0C10">
        <w:rPr>
          <w:szCs w:val="22"/>
        </w:rPr>
        <w:t xml:space="preserve">set of </w:t>
      </w:r>
      <w:r w:rsidR="002A1020">
        <w:rPr>
          <w:szCs w:val="22"/>
        </w:rPr>
        <w:t xml:space="preserve">former reserve </w:t>
      </w:r>
      <w:r w:rsidR="00595B31" w:rsidRPr="008441A8">
        <w:rPr>
          <w:szCs w:val="22"/>
        </w:rPr>
        <w:t xml:space="preserve">channels </w:t>
      </w:r>
      <w:r w:rsidR="006C0C10">
        <w:rPr>
          <w:szCs w:val="22"/>
        </w:rPr>
        <w:t>to support deployable trunked systems on a nationwide basis</w:t>
      </w:r>
      <w:r w:rsidR="003A4CAD">
        <w:rPr>
          <w:szCs w:val="22"/>
        </w:rPr>
        <w:t xml:space="preserve"> which could be</w:t>
      </w:r>
      <w:r w:rsidR="00B105A9">
        <w:rPr>
          <w:szCs w:val="22"/>
        </w:rPr>
        <w:t xml:space="preserve"> </w:t>
      </w:r>
      <w:r w:rsidR="003A4CAD">
        <w:rPr>
          <w:szCs w:val="22"/>
        </w:rPr>
        <w:lastRenderedPageBreak/>
        <w:t>incorporated into regional plans.</w:t>
      </w:r>
      <w:r w:rsidR="002A1020">
        <w:rPr>
          <w:rStyle w:val="FootnoteReference"/>
          <w:szCs w:val="22"/>
        </w:rPr>
        <w:footnoteReference w:id="5"/>
      </w:r>
      <w:r w:rsidR="003A4CAD">
        <w:rPr>
          <w:szCs w:val="22"/>
        </w:rPr>
        <w:t xml:space="preserve">  It gave NPSTC and NRPC </w:t>
      </w:r>
      <w:r w:rsidR="00595B31" w:rsidRPr="008441A8">
        <w:rPr>
          <w:szCs w:val="22"/>
        </w:rPr>
        <w:t xml:space="preserve">three months </w:t>
      </w:r>
      <w:r w:rsidR="003A4CAD">
        <w:rPr>
          <w:szCs w:val="22"/>
        </w:rPr>
        <w:t xml:space="preserve">from </w:t>
      </w:r>
      <w:r w:rsidR="00595B31" w:rsidRPr="008441A8">
        <w:rPr>
          <w:szCs w:val="22"/>
        </w:rPr>
        <w:t xml:space="preserve">the publication of the </w:t>
      </w:r>
      <w:r w:rsidR="00595B31" w:rsidRPr="008441A8">
        <w:rPr>
          <w:i/>
          <w:szCs w:val="22"/>
        </w:rPr>
        <w:t>Report and Order</w:t>
      </w:r>
      <w:r w:rsidR="00595B31" w:rsidRPr="008441A8">
        <w:rPr>
          <w:szCs w:val="22"/>
        </w:rPr>
        <w:t xml:space="preserve"> in the Federal Register (</w:t>
      </w:r>
      <w:r w:rsidR="00595B31" w:rsidRPr="008441A8">
        <w:rPr>
          <w:i/>
          <w:szCs w:val="22"/>
        </w:rPr>
        <w:t>i.e.</w:t>
      </w:r>
      <w:r w:rsidR="00595B31" w:rsidRPr="008441A8">
        <w:rPr>
          <w:szCs w:val="22"/>
        </w:rPr>
        <w:t xml:space="preserve"> </w:t>
      </w:r>
      <w:r w:rsidR="00FD3522">
        <w:rPr>
          <w:szCs w:val="22"/>
        </w:rPr>
        <w:t xml:space="preserve">until </w:t>
      </w:r>
      <w:r w:rsidR="00595B31" w:rsidRPr="008441A8">
        <w:rPr>
          <w:szCs w:val="22"/>
        </w:rPr>
        <w:t>March 2, 2015)</w:t>
      </w:r>
      <w:r w:rsidR="003A4CAD">
        <w:rPr>
          <w:szCs w:val="22"/>
        </w:rPr>
        <w:t xml:space="preserve"> to complete </w:t>
      </w:r>
      <w:r w:rsidR="00F74710">
        <w:rPr>
          <w:szCs w:val="22"/>
        </w:rPr>
        <w:t xml:space="preserve">their </w:t>
      </w:r>
      <w:r w:rsidR="003A4CAD">
        <w:rPr>
          <w:szCs w:val="22"/>
        </w:rPr>
        <w:t>recommendation</w:t>
      </w:r>
      <w:r w:rsidR="00595B31" w:rsidRPr="008441A8">
        <w:rPr>
          <w:szCs w:val="22"/>
        </w:rPr>
        <w:t>.</w:t>
      </w:r>
      <w:r w:rsidR="002A1020">
        <w:rPr>
          <w:rStyle w:val="FootnoteReference"/>
          <w:szCs w:val="22"/>
        </w:rPr>
        <w:footnoteReference w:id="6"/>
      </w:r>
      <w:r w:rsidR="00595B31" w:rsidRPr="008441A8">
        <w:rPr>
          <w:szCs w:val="22"/>
        </w:rPr>
        <w:t xml:space="preserve">   </w:t>
      </w:r>
    </w:p>
    <w:p w:rsidR="009A7AF6" w:rsidRPr="00B105A9" w:rsidRDefault="009A7AF6">
      <w:pPr>
        <w:pStyle w:val="FootnoteText"/>
        <w:rPr>
          <w:szCs w:val="22"/>
          <w:u w:val="single"/>
        </w:rPr>
      </w:pPr>
      <w:r w:rsidRPr="00B105A9">
        <w:rPr>
          <w:szCs w:val="22"/>
          <w:u w:val="single"/>
        </w:rPr>
        <w:t xml:space="preserve">NPSTC and NRPC </w:t>
      </w:r>
      <w:r>
        <w:rPr>
          <w:szCs w:val="22"/>
          <w:u w:val="single"/>
        </w:rPr>
        <w:t>Recommend</w:t>
      </w:r>
      <w:r w:rsidR="00836909">
        <w:rPr>
          <w:szCs w:val="22"/>
          <w:u w:val="single"/>
        </w:rPr>
        <w:t xml:space="preserve">ed Channels </w:t>
      </w:r>
      <w:r>
        <w:rPr>
          <w:szCs w:val="22"/>
          <w:u w:val="single"/>
        </w:rPr>
        <w:t>for Deployable Trunked Systems</w:t>
      </w:r>
    </w:p>
    <w:p w:rsidR="00595B31" w:rsidRDefault="00595B31">
      <w:pPr>
        <w:pStyle w:val="FootnoteText"/>
        <w:rPr>
          <w:szCs w:val="22"/>
        </w:rPr>
      </w:pPr>
      <w:r w:rsidRPr="008441A8">
        <w:rPr>
          <w:szCs w:val="22"/>
        </w:rPr>
        <w:tab/>
        <w:t xml:space="preserve">On February 13, 2015, NPSTC and the NRPC recommended a </w:t>
      </w:r>
      <w:r w:rsidR="00836909">
        <w:rPr>
          <w:szCs w:val="22"/>
        </w:rPr>
        <w:t xml:space="preserve">set </w:t>
      </w:r>
      <w:r w:rsidRPr="008441A8">
        <w:rPr>
          <w:szCs w:val="22"/>
        </w:rPr>
        <w:t xml:space="preserve">of six </w:t>
      </w:r>
      <w:r w:rsidR="00836909">
        <w:rPr>
          <w:szCs w:val="22"/>
        </w:rPr>
        <w:t xml:space="preserve">former reserve channels </w:t>
      </w:r>
      <w:r w:rsidR="00FD3522">
        <w:rPr>
          <w:szCs w:val="22"/>
        </w:rPr>
        <w:t xml:space="preserve">(12.5 kHz bandwidth) </w:t>
      </w:r>
      <w:r w:rsidRPr="008441A8">
        <w:rPr>
          <w:szCs w:val="22"/>
        </w:rPr>
        <w:t xml:space="preserve">to be allocated nationwide for 700 MHz deployable systems.  The NPSTC/NRPC </w:t>
      </w:r>
      <w:r w:rsidR="00836909">
        <w:rPr>
          <w:szCs w:val="22"/>
        </w:rPr>
        <w:t>r</w:t>
      </w:r>
      <w:r w:rsidRPr="008441A8">
        <w:rPr>
          <w:szCs w:val="22"/>
        </w:rPr>
        <w:t xml:space="preserve">ecommended </w:t>
      </w:r>
      <w:r w:rsidR="00836909">
        <w:rPr>
          <w:szCs w:val="22"/>
        </w:rPr>
        <w:t>c</w:t>
      </w:r>
      <w:r w:rsidRPr="008441A8">
        <w:rPr>
          <w:szCs w:val="22"/>
        </w:rPr>
        <w:t>hannel</w:t>
      </w:r>
      <w:r w:rsidR="00836909">
        <w:rPr>
          <w:szCs w:val="22"/>
        </w:rPr>
        <w:t>s</w:t>
      </w:r>
      <w:r w:rsidRPr="008441A8">
        <w:rPr>
          <w:szCs w:val="22"/>
        </w:rPr>
        <w:t xml:space="preserve"> </w:t>
      </w:r>
      <w:r w:rsidR="00836909">
        <w:rPr>
          <w:szCs w:val="22"/>
        </w:rPr>
        <w:t>are listed below</w:t>
      </w:r>
      <w:r w:rsidRPr="008441A8">
        <w:rPr>
          <w:szCs w:val="22"/>
        </w:rPr>
        <w:t xml:space="preserve">:  </w:t>
      </w:r>
    </w:p>
    <w:p w:rsidR="009A7AF6" w:rsidRPr="008441A8" w:rsidRDefault="009A7AF6">
      <w:pPr>
        <w:pStyle w:val="FootnoteT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95B31" w:rsidRPr="008441A8" w:rsidTr="003E2FBC">
        <w:tc>
          <w:tcPr>
            <w:tcW w:w="2394" w:type="dxa"/>
            <w:shd w:val="clear" w:color="auto" w:fill="auto"/>
          </w:tcPr>
          <w:p w:rsidR="00595B31" w:rsidRPr="008441A8" w:rsidRDefault="00595B31">
            <w:pPr>
              <w:pStyle w:val="FootnoteText"/>
              <w:jc w:val="center"/>
              <w:rPr>
                <w:szCs w:val="22"/>
              </w:rPr>
            </w:pPr>
            <w:r w:rsidRPr="008441A8">
              <w:rPr>
                <w:szCs w:val="22"/>
              </w:rPr>
              <w:t xml:space="preserve">Deployable Trunked Channel </w:t>
            </w:r>
          </w:p>
        </w:tc>
        <w:tc>
          <w:tcPr>
            <w:tcW w:w="2394" w:type="dxa"/>
            <w:shd w:val="clear" w:color="auto" w:fill="auto"/>
          </w:tcPr>
          <w:p w:rsidR="00595B31" w:rsidRPr="008441A8" w:rsidRDefault="00595B31">
            <w:pPr>
              <w:pStyle w:val="FootnoteText"/>
              <w:jc w:val="center"/>
              <w:rPr>
                <w:szCs w:val="22"/>
              </w:rPr>
            </w:pPr>
            <w:r w:rsidRPr="008441A8">
              <w:rPr>
                <w:szCs w:val="22"/>
              </w:rPr>
              <w:t>Channel Number</w:t>
            </w:r>
          </w:p>
        </w:tc>
        <w:tc>
          <w:tcPr>
            <w:tcW w:w="2394" w:type="dxa"/>
            <w:shd w:val="clear" w:color="auto" w:fill="auto"/>
          </w:tcPr>
          <w:p w:rsidR="00595B31" w:rsidRPr="008441A8" w:rsidRDefault="00595B31">
            <w:pPr>
              <w:pStyle w:val="FootnoteText"/>
              <w:jc w:val="center"/>
              <w:rPr>
                <w:szCs w:val="22"/>
              </w:rPr>
            </w:pPr>
            <w:r w:rsidRPr="008441A8">
              <w:rPr>
                <w:szCs w:val="22"/>
              </w:rPr>
              <w:t>12.5 kHz Center Frequency</w:t>
            </w:r>
          </w:p>
        </w:tc>
        <w:tc>
          <w:tcPr>
            <w:tcW w:w="2394" w:type="dxa"/>
            <w:shd w:val="clear" w:color="auto" w:fill="auto"/>
          </w:tcPr>
          <w:p w:rsidR="00595B31" w:rsidRPr="008441A8" w:rsidRDefault="00C60368">
            <w:pPr>
              <w:pStyle w:val="FootnoteText"/>
              <w:jc w:val="center"/>
              <w:rPr>
                <w:szCs w:val="22"/>
              </w:rPr>
            </w:pPr>
            <w:r>
              <w:rPr>
                <w:szCs w:val="22"/>
              </w:rPr>
              <w:t xml:space="preserve">Separation from Lower-Adjacent Deployable Trunked Channel </w:t>
            </w:r>
            <w:r w:rsidR="00595B31" w:rsidRPr="008441A8">
              <w:rPr>
                <w:szCs w:val="22"/>
              </w:rPr>
              <w:t>(kHz)</w:t>
            </w:r>
          </w:p>
        </w:tc>
      </w:tr>
      <w:tr w:rsidR="00595B31" w:rsidRPr="008441A8" w:rsidTr="003E2FBC">
        <w:tc>
          <w:tcPr>
            <w:tcW w:w="2394" w:type="dxa"/>
            <w:shd w:val="clear" w:color="auto" w:fill="auto"/>
          </w:tcPr>
          <w:p w:rsidR="00595B31" w:rsidRPr="008441A8" w:rsidRDefault="00595B31" w:rsidP="00004006">
            <w:pPr>
              <w:pStyle w:val="FootnoteText"/>
              <w:jc w:val="center"/>
              <w:rPr>
                <w:szCs w:val="22"/>
              </w:rPr>
            </w:pPr>
            <w:r w:rsidRPr="008441A8">
              <w:rPr>
                <w:szCs w:val="22"/>
              </w:rPr>
              <w:t>A</w:t>
            </w:r>
          </w:p>
        </w:tc>
        <w:tc>
          <w:tcPr>
            <w:tcW w:w="2394" w:type="dxa"/>
            <w:shd w:val="clear" w:color="auto" w:fill="auto"/>
          </w:tcPr>
          <w:p w:rsidR="00595B31" w:rsidRPr="008441A8" w:rsidRDefault="00595B31">
            <w:pPr>
              <w:pStyle w:val="FootnoteText"/>
              <w:jc w:val="center"/>
              <w:rPr>
                <w:szCs w:val="22"/>
              </w:rPr>
            </w:pPr>
            <w:r w:rsidRPr="008441A8">
              <w:rPr>
                <w:szCs w:val="22"/>
              </w:rPr>
              <w:t>37-38</w:t>
            </w:r>
          </w:p>
        </w:tc>
        <w:tc>
          <w:tcPr>
            <w:tcW w:w="2394" w:type="dxa"/>
            <w:shd w:val="clear" w:color="auto" w:fill="auto"/>
          </w:tcPr>
          <w:p w:rsidR="00595B31" w:rsidRPr="008441A8" w:rsidRDefault="00595B31">
            <w:pPr>
              <w:pStyle w:val="FootnoteText"/>
              <w:jc w:val="center"/>
              <w:rPr>
                <w:szCs w:val="22"/>
              </w:rPr>
            </w:pPr>
            <w:r w:rsidRPr="008441A8">
              <w:rPr>
                <w:szCs w:val="22"/>
              </w:rPr>
              <w:t>769.23125</w:t>
            </w:r>
          </w:p>
        </w:tc>
        <w:tc>
          <w:tcPr>
            <w:tcW w:w="2394" w:type="dxa"/>
            <w:shd w:val="clear" w:color="auto" w:fill="auto"/>
          </w:tcPr>
          <w:p w:rsidR="00595B31" w:rsidRPr="008441A8" w:rsidRDefault="00595B31">
            <w:pPr>
              <w:pStyle w:val="FootnoteText"/>
              <w:jc w:val="center"/>
              <w:rPr>
                <w:szCs w:val="22"/>
              </w:rPr>
            </w:pPr>
            <w:r w:rsidRPr="008441A8">
              <w:rPr>
                <w:szCs w:val="22"/>
              </w:rPr>
              <w:t>N/A</w:t>
            </w:r>
          </w:p>
        </w:tc>
      </w:tr>
      <w:tr w:rsidR="00595B31" w:rsidRPr="008441A8" w:rsidTr="003E2FBC">
        <w:tc>
          <w:tcPr>
            <w:tcW w:w="2394" w:type="dxa"/>
            <w:shd w:val="clear" w:color="auto" w:fill="auto"/>
          </w:tcPr>
          <w:p w:rsidR="00595B31" w:rsidRPr="008441A8" w:rsidRDefault="00595B31" w:rsidP="00004006">
            <w:pPr>
              <w:pStyle w:val="FootnoteText"/>
              <w:jc w:val="center"/>
              <w:rPr>
                <w:szCs w:val="22"/>
              </w:rPr>
            </w:pPr>
            <w:r w:rsidRPr="008441A8">
              <w:rPr>
                <w:szCs w:val="22"/>
              </w:rPr>
              <w:t>B</w:t>
            </w:r>
          </w:p>
        </w:tc>
        <w:tc>
          <w:tcPr>
            <w:tcW w:w="2394" w:type="dxa"/>
            <w:shd w:val="clear" w:color="auto" w:fill="auto"/>
          </w:tcPr>
          <w:p w:rsidR="00595B31" w:rsidRPr="008441A8" w:rsidRDefault="00595B31">
            <w:pPr>
              <w:pStyle w:val="FootnoteText"/>
              <w:jc w:val="center"/>
              <w:rPr>
                <w:szCs w:val="22"/>
              </w:rPr>
            </w:pPr>
            <w:r w:rsidRPr="008441A8">
              <w:rPr>
                <w:szCs w:val="22"/>
              </w:rPr>
              <w:t>61-62</w:t>
            </w:r>
          </w:p>
        </w:tc>
        <w:tc>
          <w:tcPr>
            <w:tcW w:w="2394" w:type="dxa"/>
            <w:shd w:val="clear" w:color="auto" w:fill="auto"/>
          </w:tcPr>
          <w:p w:rsidR="00595B31" w:rsidRPr="008441A8" w:rsidRDefault="00595B31">
            <w:pPr>
              <w:pStyle w:val="FootnoteText"/>
              <w:jc w:val="center"/>
              <w:rPr>
                <w:szCs w:val="22"/>
              </w:rPr>
            </w:pPr>
            <w:r w:rsidRPr="008441A8">
              <w:rPr>
                <w:szCs w:val="22"/>
              </w:rPr>
              <w:t>769.38125</w:t>
            </w:r>
          </w:p>
        </w:tc>
        <w:tc>
          <w:tcPr>
            <w:tcW w:w="2394" w:type="dxa"/>
            <w:shd w:val="clear" w:color="auto" w:fill="auto"/>
          </w:tcPr>
          <w:p w:rsidR="00595B31" w:rsidRPr="008441A8" w:rsidRDefault="00595B31">
            <w:pPr>
              <w:pStyle w:val="FootnoteText"/>
              <w:jc w:val="center"/>
              <w:rPr>
                <w:szCs w:val="22"/>
              </w:rPr>
            </w:pPr>
            <w:r w:rsidRPr="008441A8">
              <w:rPr>
                <w:szCs w:val="22"/>
              </w:rPr>
              <w:t>150</w:t>
            </w:r>
          </w:p>
        </w:tc>
      </w:tr>
      <w:tr w:rsidR="00595B31" w:rsidRPr="008441A8" w:rsidTr="003E2FBC">
        <w:tc>
          <w:tcPr>
            <w:tcW w:w="2394" w:type="dxa"/>
            <w:shd w:val="clear" w:color="auto" w:fill="auto"/>
          </w:tcPr>
          <w:p w:rsidR="00595B31" w:rsidRPr="008441A8" w:rsidRDefault="00595B31" w:rsidP="00004006">
            <w:pPr>
              <w:pStyle w:val="FootnoteText"/>
              <w:jc w:val="center"/>
              <w:rPr>
                <w:szCs w:val="22"/>
              </w:rPr>
            </w:pPr>
            <w:r w:rsidRPr="008441A8">
              <w:rPr>
                <w:szCs w:val="22"/>
              </w:rPr>
              <w:t>C</w:t>
            </w:r>
          </w:p>
        </w:tc>
        <w:tc>
          <w:tcPr>
            <w:tcW w:w="2394" w:type="dxa"/>
            <w:shd w:val="clear" w:color="auto" w:fill="auto"/>
          </w:tcPr>
          <w:p w:rsidR="00595B31" w:rsidRPr="008441A8" w:rsidRDefault="00595B31">
            <w:pPr>
              <w:pStyle w:val="FootnoteText"/>
              <w:jc w:val="center"/>
              <w:rPr>
                <w:szCs w:val="22"/>
              </w:rPr>
            </w:pPr>
            <w:r w:rsidRPr="008441A8">
              <w:rPr>
                <w:szCs w:val="22"/>
              </w:rPr>
              <w:t>117-118</w:t>
            </w:r>
          </w:p>
        </w:tc>
        <w:tc>
          <w:tcPr>
            <w:tcW w:w="2394" w:type="dxa"/>
            <w:shd w:val="clear" w:color="auto" w:fill="auto"/>
          </w:tcPr>
          <w:p w:rsidR="00595B31" w:rsidRPr="008441A8" w:rsidRDefault="00595B31">
            <w:pPr>
              <w:pStyle w:val="FootnoteText"/>
              <w:jc w:val="center"/>
              <w:rPr>
                <w:szCs w:val="22"/>
              </w:rPr>
            </w:pPr>
            <w:r w:rsidRPr="008441A8">
              <w:rPr>
                <w:szCs w:val="22"/>
              </w:rPr>
              <w:t>769.73125</w:t>
            </w:r>
          </w:p>
        </w:tc>
        <w:tc>
          <w:tcPr>
            <w:tcW w:w="2394" w:type="dxa"/>
            <w:shd w:val="clear" w:color="auto" w:fill="auto"/>
          </w:tcPr>
          <w:p w:rsidR="00595B31" w:rsidRPr="008441A8" w:rsidRDefault="00595B31">
            <w:pPr>
              <w:pStyle w:val="FootnoteText"/>
              <w:jc w:val="center"/>
              <w:rPr>
                <w:szCs w:val="22"/>
              </w:rPr>
            </w:pPr>
            <w:r w:rsidRPr="008441A8">
              <w:rPr>
                <w:szCs w:val="22"/>
              </w:rPr>
              <w:t>350</w:t>
            </w:r>
          </w:p>
        </w:tc>
      </w:tr>
      <w:tr w:rsidR="00595B31" w:rsidRPr="008441A8" w:rsidTr="003E2FBC">
        <w:tc>
          <w:tcPr>
            <w:tcW w:w="2394" w:type="dxa"/>
            <w:shd w:val="clear" w:color="auto" w:fill="auto"/>
          </w:tcPr>
          <w:p w:rsidR="00595B31" w:rsidRPr="008441A8" w:rsidRDefault="00595B31" w:rsidP="00004006">
            <w:pPr>
              <w:pStyle w:val="FootnoteText"/>
              <w:jc w:val="center"/>
              <w:rPr>
                <w:szCs w:val="22"/>
              </w:rPr>
            </w:pPr>
            <w:r w:rsidRPr="008441A8">
              <w:rPr>
                <w:szCs w:val="22"/>
              </w:rPr>
              <w:t>D</w:t>
            </w:r>
          </w:p>
        </w:tc>
        <w:tc>
          <w:tcPr>
            <w:tcW w:w="2394" w:type="dxa"/>
            <w:shd w:val="clear" w:color="auto" w:fill="auto"/>
          </w:tcPr>
          <w:p w:rsidR="00595B31" w:rsidRPr="008441A8" w:rsidRDefault="00595B31">
            <w:pPr>
              <w:pStyle w:val="FootnoteText"/>
              <w:jc w:val="center"/>
              <w:rPr>
                <w:szCs w:val="22"/>
              </w:rPr>
            </w:pPr>
            <w:r w:rsidRPr="008441A8">
              <w:rPr>
                <w:szCs w:val="22"/>
              </w:rPr>
              <w:t>141-142</w:t>
            </w:r>
          </w:p>
        </w:tc>
        <w:tc>
          <w:tcPr>
            <w:tcW w:w="2394" w:type="dxa"/>
            <w:shd w:val="clear" w:color="auto" w:fill="auto"/>
          </w:tcPr>
          <w:p w:rsidR="00595B31" w:rsidRPr="008441A8" w:rsidRDefault="00595B31">
            <w:pPr>
              <w:pStyle w:val="FootnoteText"/>
              <w:jc w:val="center"/>
              <w:rPr>
                <w:szCs w:val="22"/>
              </w:rPr>
            </w:pPr>
            <w:r w:rsidRPr="008441A8">
              <w:rPr>
                <w:szCs w:val="22"/>
              </w:rPr>
              <w:t>769.88125</w:t>
            </w:r>
          </w:p>
        </w:tc>
        <w:tc>
          <w:tcPr>
            <w:tcW w:w="2394" w:type="dxa"/>
            <w:shd w:val="clear" w:color="auto" w:fill="auto"/>
          </w:tcPr>
          <w:p w:rsidR="00595B31" w:rsidRPr="008441A8" w:rsidRDefault="00595B31">
            <w:pPr>
              <w:pStyle w:val="FootnoteText"/>
              <w:jc w:val="center"/>
              <w:rPr>
                <w:szCs w:val="22"/>
              </w:rPr>
            </w:pPr>
            <w:r w:rsidRPr="008441A8">
              <w:rPr>
                <w:szCs w:val="22"/>
              </w:rPr>
              <w:t>150</w:t>
            </w:r>
          </w:p>
        </w:tc>
      </w:tr>
      <w:tr w:rsidR="00595B31" w:rsidRPr="008441A8" w:rsidTr="003E2FBC">
        <w:tc>
          <w:tcPr>
            <w:tcW w:w="2394" w:type="dxa"/>
            <w:shd w:val="clear" w:color="auto" w:fill="auto"/>
          </w:tcPr>
          <w:p w:rsidR="00595B31" w:rsidRPr="008441A8" w:rsidRDefault="00595B31" w:rsidP="00004006">
            <w:pPr>
              <w:pStyle w:val="FootnoteText"/>
              <w:jc w:val="center"/>
              <w:rPr>
                <w:szCs w:val="22"/>
              </w:rPr>
            </w:pPr>
            <w:r w:rsidRPr="008441A8">
              <w:rPr>
                <w:szCs w:val="22"/>
              </w:rPr>
              <w:t>E</w:t>
            </w:r>
          </w:p>
        </w:tc>
        <w:tc>
          <w:tcPr>
            <w:tcW w:w="2394" w:type="dxa"/>
            <w:shd w:val="clear" w:color="auto" w:fill="auto"/>
          </w:tcPr>
          <w:p w:rsidR="00595B31" w:rsidRPr="008441A8" w:rsidRDefault="00595B31">
            <w:pPr>
              <w:pStyle w:val="FootnoteText"/>
              <w:jc w:val="center"/>
              <w:rPr>
                <w:szCs w:val="22"/>
              </w:rPr>
            </w:pPr>
            <w:r w:rsidRPr="008441A8">
              <w:rPr>
                <w:szCs w:val="22"/>
              </w:rPr>
              <w:t>883-884</w:t>
            </w:r>
          </w:p>
        </w:tc>
        <w:tc>
          <w:tcPr>
            <w:tcW w:w="2394" w:type="dxa"/>
            <w:shd w:val="clear" w:color="auto" w:fill="auto"/>
          </w:tcPr>
          <w:p w:rsidR="00595B31" w:rsidRPr="008441A8" w:rsidRDefault="00595B31">
            <w:pPr>
              <w:pStyle w:val="FootnoteText"/>
              <w:jc w:val="center"/>
              <w:rPr>
                <w:szCs w:val="22"/>
              </w:rPr>
            </w:pPr>
            <w:r w:rsidRPr="008441A8">
              <w:rPr>
                <w:szCs w:val="22"/>
              </w:rPr>
              <w:t>774.51875</w:t>
            </w:r>
            <w:r w:rsidR="00C60368">
              <w:rPr>
                <w:rStyle w:val="FootnoteReference"/>
                <w:szCs w:val="22"/>
              </w:rPr>
              <w:footnoteReference w:id="7"/>
            </w:r>
            <w:r w:rsidRPr="008441A8">
              <w:rPr>
                <w:szCs w:val="22"/>
              </w:rPr>
              <w:t xml:space="preserve"> </w:t>
            </w:r>
          </w:p>
        </w:tc>
        <w:tc>
          <w:tcPr>
            <w:tcW w:w="2394" w:type="dxa"/>
            <w:shd w:val="clear" w:color="auto" w:fill="auto"/>
          </w:tcPr>
          <w:p w:rsidR="00595B31" w:rsidRPr="008441A8" w:rsidRDefault="00595B31">
            <w:pPr>
              <w:pStyle w:val="FootnoteText"/>
              <w:jc w:val="center"/>
              <w:rPr>
                <w:szCs w:val="22"/>
              </w:rPr>
            </w:pPr>
            <w:r w:rsidRPr="008441A8">
              <w:rPr>
                <w:szCs w:val="22"/>
              </w:rPr>
              <w:t>4500</w:t>
            </w:r>
          </w:p>
        </w:tc>
      </w:tr>
      <w:tr w:rsidR="00595B31" w:rsidRPr="008441A8" w:rsidTr="003E2FBC">
        <w:tc>
          <w:tcPr>
            <w:tcW w:w="2394" w:type="dxa"/>
            <w:shd w:val="clear" w:color="auto" w:fill="auto"/>
          </w:tcPr>
          <w:p w:rsidR="00595B31" w:rsidRPr="008441A8" w:rsidRDefault="00595B31" w:rsidP="00004006">
            <w:pPr>
              <w:pStyle w:val="FootnoteText"/>
              <w:jc w:val="center"/>
              <w:rPr>
                <w:szCs w:val="22"/>
              </w:rPr>
            </w:pPr>
            <w:r w:rsidRPr="008441A8">
              <w:rPr>
                <w:szCs w:val="22"/>
              </w:rPr>
              <w:t>F</w:t>
            </w:r>
          </w:p>
        </w:tc>
        <w:tc>
          <w:tcPr>
            <w:tcW w:w="2394" w:type="dxa"/>
            <w:shd w:val="clear" w:color="auto" w:fill="auto"/>
          </w:tcPr>
          <w:p w:rsidR="00595B31" w:rsidRPr="008441A8" w:rsidRDefault="00595B31">
            <w:pPr>
              <w:pStyle w:val="FootnoteText"/>
              <w:jc w:val="center"/>
              <w:rPr>
                <w:szCs w:val="22"/>
              </w:rPr>
            </w:pPr>
            <w:r w:rsidRPr="008441A8">
              <w:rPr>
                <w:szCs w:val="22"/>
              </w:rPr>
              <w:t>939-940</w:t>
            </w:r>
          </w:p>
        </w:tc>
        <w:tc>
          <w:tcPr>
            <w:tcW w:w="2394" w:type="dxa"/>
            <w:shd w:val="clear" w:color="auto" w:fill="auto"/>
          </w:tcPr>
          <w:p w:rsidR="00595B31" w:rsidRPr="008441A8" w:rsidRDefault="00595B31">
            <w:pPr>
              <w:pStyle w:val="FootnoteText"/>
              <w:jc w:val="center"/>
              <w:rPr>
                <w:szCs w:val="22"/>
              </w:rPr>
            </w:pPr>
            <w:r w:rsidRPr="008441A8">
              <w:rPr>
                <w:szCs w:val="22"/>
              </w:rPr>
              <w:t>774.86875</w:t>
            </w:r>
            <w:r w:rsidR="00C60368">
              <w:rPr>
                <w:rStyle w:val="FootnoteReference"/>
                <w:szCs w:val="22"/>
              </w:rPr>
              <w:footnoteReference w:id="8"/>
            </w:r>
            <w:r w:rsidRPr="008441A8">
              <w:rPr>
                <w:szCs w:val="22"/>
              </w:rPr>
              <w:t xml:space="preserve"> </w:t>
            </w:r>
          </w:p>
        </w:tc>
        <w:tc>
          <w:tcPr>
            <w:tcW w:w="2394" w:type="dxa"/>
            <w:shd w:val="clear" w:color="auto" w:fill="auto"/>
          </w:tcPr>
          <w:p w:rsidR="00595B31" w:rsidRPr="008441A8" w:rsidRDefault="00595B31">
            <w:pPr>
              <w:pStyle w:val="FootnoteText"/>
              <w:jc w:val="center"/>
              <w:rPr>
                <w:szCs w:val="22"/>
              </w:rPr>
            </w:pPr>
            <w:r w:rsidRPr="008441A8">
              <w:rPr>
                <w:szCs w:val="22"/>
              </w:rPr>
              <w:t>350</w:t>
            </w:r>
          </w:p>
        </w:tc>
      </w:tr>
    </w:tbl>
    <w:p w:rsidR="00595B31" w:rsidRPr="008441A8" w:rsidRDefault="00595B31" w:rsidP="00004006">
      <w:pPr>
        <w:pStyle w:val="FootnoteText"/>
        <w:rPr>
          <w:szCs w:val="22"/>
        </w:rPr>
      </w:pPr>
    </w:p>
    <w:p w:rsidR="00333242" w:rsidRDefault="00595B31">
      <w:pPr>
        <w:rPr>
          <w:szCs w:val="22"/>
        </w:rPr>
      </w:pPr>
      <w:r w:rsidRPr="008441A8">
        <w:rPr>
          <w:szCs w:val="22"/>
        </w:rPr>
        <w:tab/>
      </w:r>
      <w:r w:rsidR="003E2FBC" w:rsidRPr="008441A8">
        <w:rPr>
          <w:szCs w:val="22"/>
        </w:rPr>
        <w:t xml:space="preserve">On March 3, the Public Safety and Homeland Security Bureau issued a </w:t>
      </w:r>
      <w:r w:rsidR="003E2FBC" w:rsidRPr="008441A8">
        <w:rPr>
          <w:i/>
          <w:szCs w:val="22"/>
        </w:rPr>
        <w:t>Public Notice</w:t>
      </w:r>
      <w:r w:rsidR="003E2FBC" w:rsidRPr="008441A8">
        <w:rPr>
          <w:szCs w:val="22"/>
        </w:rPr>
        <w:t xml:space="preserve"> seeking comment on the recommended channels.</w:t>
      </w:r>
      <w:r w:rsidR="00333242">
        <w:rPr>
          <w:rStyle w:val="FootnoteReference"/>
          <w:szCs w:val="22"/>
        </w:rPr>
        <w:footnoteReference w:id="9"/>
      </w:r>
      <w:r w:rsidR="003E2FBC" w:rsidRPr="008441A8">
        <w:rPr>
          <w:szCs w:val="22"/>
        </w:rPr>
        <w:t xml:space="preserve">  On April 2, 2015, the </w:t>
      </w:r>
      <w:r w:rsidR="008441A8" w:rsidRPr="008441A8">
        <w:rPr>
          <w:color w:val="231F20"/>
          <w:szCs w:val="22"/>
        </w:rPr>
        <w:t>Association of Public-Safety Communications Officials-International, Inc.</w:t>
      </w:r>
      <w:r w:rsidR="003E2FBC" w:rsidRPr="008441A8">
        <w:rPr>
          <w:szCs w:val="22"/>
        </w:rPr>
        <w:t xml:space="preserve"> filed comments urging approval of the NPSTC/NRPC recommended channels.</w:t>
      </w:r>
      <w:r w:rsidR="003E2FBC" w:rsidRPr="008441A8">
        <w:rPr>
          <w:rStyle w:val="FootnoteReference"/>
          <w:szCs w:val="22"/>
        </w:rPr>
        <w:footnoteReference w:id="10"/>
      </w:r>
      <w:r w:rsidR="003E2FBC" w:rsidRPr="008441A8">
        <w:rPr>
          <w:szCs w:val="22"/>
        </w:rPr>
        <w:t xml:space="preserve">  </w:t>
      </w:r>
    </w:p>
    <w:p w:rsidR="00333242" w:rsidRDefault="00333242">
      <w:pPr>
        <w:rPr>
          <w:szCs w:val="22"/>
        </w:rPr>
      </w:pPr>
    </w:p>
    <w:p w:rsidR="00595B31" w:rsidRPr="008441A8" w:rsidRDefault="003E2FBC" w:rsidP="00B105A9">
      <w:pPr>
        <w:ind w:firstLine="720"/>
        <w:rPr>
          <w:szCs w:val="22"/>
        </w:rPr>
      </w:pPr>
      <w:r w:rsidRPr="008441A8">
        <w:rPr>
          <w:szCs w:val="22"/>
        </w:rPr>
        <w:t xml:space="preserve">Accordingly, we hereby approve the recommended channels as </w:t>
      </w:r>
      <w:r w:rsidR="00333242">
        <w:rPr>
          <w:szCs w:val="22"/>
        </w:rPr>
        <w:t xml:space="preserve">set </w:t>
      </w:r>
      <w:r w:rsidRPr="008441A8">
        <w:rPr>
          <w:szCs w:val="22"/>
        </w:rPr>
        <w:t>forth above.</w:t>
      </w:r>
      <w:r w:rsidR="008969B9">
        <w:rPr>
          <w:szCs w:val="22"/>
        </w:rPr>
        <w:t xml:space="preserve">  RPC</w:t>
      </w:r>
      <w:r w:rsidR="00333242">
        <w:rPr>
          <w:szCs w:val="22"/>
        </w:rPr>
        <w:t xml:space="preserve">s may now incorporate these channels into their plans for deployable trunked systems provided any region with a T-Band market must give priority </w:t>
      </w:r>
      <w:r w:rsidR="00FD3522">
        <w:rPr>
          <w:szCs w:val="22"/>
        </w:rPr>
        <w:t xml:space="preserve">to </w:t>
      </w:r>
      <w:r w:rsidR="00333242">
        <w:rPr>
          <w:szCs w:val="22"/>
        </w:rPr>
        <w:t>these channels</w:t>
      </w:r>
      <w:r w:rsidR="008969B9">
        <w:rPr>
          <w:szCs w:val="22"/>
        </w:rPr>
        <w:t>, in that market,</w:t>
      </w:r>
      <w:r w:rsidR="00333242">
        <w:rPr>
          <w:szCs w:val="22"/>
        </w:rPr>
        <w:t xml:space="preserve"> to a</w:t>
      </w:r>
      <w:r w:rsidR="00FD3522">
        <w:rPr>
          <w:szCs w:val="22"/>
        </w:rPr>
        <w:t xml:space="preserve">ny </w:t>
      </w:r>
      <w:r w:rsidR="00333242">
        <w:rPr>
          <w:szCs w:val="22"/>
        </w:rPr>
        <w:t>public safety T-band incumbent</w:t>
      </w:r>
      <w:r w:rsidR="00FD3522">
        <w:rPr>
          <w:szCs w:val="22"/>
        </w:rPr>
        <w:t xml:space="preserve"> seeking to </w:t>
      </w:r>
      <w:r w:rsidR="008969B9">
        <w:rPr>
          <w:szCs w:val="22"/>
        </w:rPr>
        <w:t>relocate from the T-band</w:t>
      </w:r>
      <w:r w:rsidR="00333242">
        <w:rPr>
          <w:szCs w:val="22"/>
        </w:rPr>
        <w:t>.</w:t>
      </w:r>
      <w:r w:rsidRPr="008441A8">
        <w:rPr>
          <w:rStyle w:val="FootnoteReference"/>
          <w:szCs w:val="22"/>
        </w:rPr>
        <w:footnoteReference w:id="11"/>
      </w:r>
      <w:r w:rsidRPr="008441A8">
        <w:rPr>
          <w:szCs w:val="22"/>
        </w:rPr>
        <w:t xml:space="preserve">  </w:t>
      </w:r>
    </w:p>
    <w:p w:rsidR="003E2FBC" w:rsidRPr="008441A8" w:rsidRDefault="003E2FBC" w:rsidP="00004006">
      <w:pPr>
        <w:rPr>
          <w:szCs w:val="22"/>
        </w:rPr>
      </w:pPr>
    </w:p>
    <w:p w:rsidR="003E2FBC" w:rsidRPr="008441A8" w:rsidRDefault="003E2FBC" w:rsidP="00004006">
      <w:pPr>
        <w:ind w:firstLine="720"/>
        <w:rPr>
          <w:szCs w:val="22"/>
        </w:rPr>
      </w:pPr>
      <w:r w:rsidRPr="008441A8">
        <w:rPr>
          <w:szCs w:val="22"/>
        </w:rPr>
        <w:t xml:space="preserve">For further information, contact John A. Evanoff, Attorney-Advisor, Policy and Licensing Division, Public Safety and Homeland Security Bureau at (202) 418-0848, or via email to john.evanoff@fcc.gov.  </w:t>
      </w:r>
    </w:p>
    <w:p w:rsidR="003E2FBC" w:rsidRPr="008441A8" w:rsidRDefault="003E2FBC">
      <w:pPr>
        <w:rPr>
          <w:szCs w:val="22"/>
        </w:rPr>
      </w:pPr>
    </w:p>
    <w:p w:rsidR="003E2FBC" w:rsidRPr="008441A8" w:rsidRDefault="003E2FBC">
      <w:pPr>
        <w:rPr>
          <w:szCs w:val="22"/>
        </w:rPr>
      </w:pPr>
      <w:r w:rsidRPr="008441A8">
        <w:rPr>
          <w:szCs w:val="22"/>
        </w:rPr>
        <w:tab/>
        <w:t>Action by the Deputy Chief, Policy and Licensing Division, Public Safety and Homeland Security Bureau.</w:t>
      </w:r>
    </w:p>
    <w:p w:rsidR="003E2FBC" w:rsidRPr="008441A8" w:rsidRDefault="003E2FBC">
      <w:pPr>
        <w:rPr>
          <w:szCs w:val="22"/>
        </w:rPr>
      </w:pPr>
    </w:p>
    <w:p w:rsidR="003E2FBC" w:rsidRPr="008441A8" w:rsidRDefault="003E2FBC">
      <w:pPr>
        <w:jc w:val="center"/>
        <w:rPr>
          <w:szCs w:val="22"/>
        </w:rPr>
      </w:pPr>
      <w:r w:rsidRPr="008441A8">
        <w:rPr>
          <w:szCs w:val="22"/>
        </w:rPr>
        <w:t>– FCC –</w:t>
      </w:r>
    </w:p>
    <w:p w:rsidR="003E2FBC" w:rsidRPr="003E2FBC" w:rsidRDefault="003E2FBC">
      <w:pPr>
        <w:pStyle w:val="FootnoteText"/>
        <w:rPr>
          <w:b/>
          <w:szCs w:val="22"/>
        </w:rPr>
      </w:pPr>
    </w:p>
    <w:p w:rsidR="0007109F" w:rsidRPr="003E2FBC" w:rsidRDefault="0007109F">
      <w:pPr>
        <w:rPr>
          <w:szCs w:val="22"/>
        </w:rPr>
      </w:pPr>
    </w:p>
    <w:sectPr w:rsidR="0007109F" w:rsidRPr="003E2FB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38" w:rsidRDefault="00226638">
      <w:r>
        <w:separator/>
      </w:r>
    </w:p>
  </w:endnote>
  <w:endnote w:type="continuationSeparator" w:id="0">
    <w:p w:rsidR="00226638" w:rsidRDefault="0022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EA" w:rsidRDefault="00895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EA" w:rsidRDefault="00895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EA" w:rsidRDefault="00895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38" w:rsidRDefault="00226638">
      <w:r>
        <w:separator/>
      </w:r>
    </w:p>
  </w:footnote>
  <w:footnote w:type="continuationSeparator" w:id="0">
    <w:p w:rsidR="00226638" w:rsidRDefault="00226638">
      <w:r>
        <w:continuationSeparator/>
      </w:r>
    </w:p>
  </w:footnote>
  <w:footnote w:id="1">
    <w:p w:rsidR="003E2FBC" w:rsidRPr="00004006" w:rsidRDefault="003E2FBC" w:rsidP="00B105A9">
      <w:pPr>
        <w:pStyle w:val="FootnoteText"/>
        <w:spacing w:after="120"/>
        <w:rPr>
          <w:sz w:val="20"/>
        </w:rPr>
      </w:pPr>
      <w:r w:rsidRPr="00004006">
        <w:rPr>
          <w:rStyle w:val="FootnoteReference"/>
          <w:sz w:val="20"/>
        </w:rPr>
        <w:footnoteRef/>
      </w:r>
      <w:r w:rsidRPr="00004006">
        <w:rPr>
          <w:sz w:val="20"/>
        </w:rPr>
        <w:t xml:space="preserve"> </w:t>
      </w:r>
      <w:r w:rsidRPr="00004006">
        <w:rPr>
          <w:i/>
          <w:sz w:val="20"/>
        </w:rPr>
        <w:t>See</w:t>
      </w:r>
      <w:r w:rsidRPr="00004006">
        <w:rPr>
          <w:sz w:val="20"/>
        </w:rPr>
        <w:t xml:space="preserve"> Letter to David G. Simpson, Rear Admiral (ret.),  Chief, Public Safety and Homeland Security Bureau, from Ralph Haller, Chair, National Public Safety Telecommunications Council and William J. Carter, Chair, National Regional Planning Council </w:t>
      </w:r>
      <w:r w:rsidRPr="00004006">
        <w:rPr>
          <w:i/>
          <w:sz w:val="20"/>
        </w:rPr>
        <w:t>re</w:t>
      </w:r>
      <w:r w:rsidRPr="00004006">
        <w:rPr>
          <w:sz w:val="20"/>
        </w:rPr>
        <w:t xml:space="preserve"> PS Docket 13-87 and WT Docket 02-</w:t>
      </w:r>
      <w:r w:rsidR="00AC4839">
        <w:rPr>
          <w:sz w:val="20"/>
        </w:rPr>
        <w:t>3</w:t>
      </w:r>
      <w:r w:rsidRPr="00004006">
        <w:rPr>
          <w:sz w:val="20"/>
        </w:rPr>
        <w:t>78 (dated Feb. 13, 2015) (NPSTC/NRPC Letter).</w:t>
      </w:r>
    </w:p>
  </w:footnote>
  <w:footnote w:id="2">
    <w:p w:rsidR="003E2FBC" w:rsidRPr="00B105A9" w:rsidRDefault="003E2FBC" w:rsidP="00B105A9">
      <w:pPr>
        <w:pStyle w:val="FootnoteText"/>
        <w:spacing w:after="120"/>
        <w:rPr>
          <w:i/>
          <w:sz w:val="20"/>
        </w:rPr>
      </w:pPr>
      <w:r w:rsidRPr="00004006">
        <w:rPr>
          <w:rStyle w:val="FootnoteReference"/>
          <w:sz w:val="20"/>
        </w:rPr>
        <w:footnoteRef/>
      </w:r>
      <w:r w:rsidRPr="00004006">
        <w:rPr>
          <w:sz w:val="20"/>
        </w:rPr>
        <w:t xml:space="preserve"> </w:t>
      </w:r>
      <w:r w:rsidR="003A4CAD" w:rsidRPr="00004006">
        <w:rPr>
          <w:sz w:val="20"/>
        </w:rPr>
        <w:t>Proposed Amendments to the Service Rules Governing Public Safety Narrowband Operations in the 769-775/799-805 MHz Bands,  PS Docket No. 13-87, PS Docket No. 06-229, WT Docket No. 96-86, RM-11433, RM-11577,</w:t>
      </w:r>
      <w:r w:rsidR="003A4CAD" w:rsidRPr="00004006">
        <w:rPr>
          <w:i/>
          <w:sz w:val="20"/>
        </w:rPr>
        <w:t xml:space="preserve"> </w:t>
      </w:r>
      <w:r w:rsidR="003A4CAD" w:rsidRPr="00004006">
        <w:rPr>
          <w:i/>
          <w:iCs/>
          <w:sz w:val="20"/>
        </w:rPr>
        <w:t>Report and Order</w:t>
      </w:r>
      <w:r w:rsidR="003A4CAD" w:rsidRPr="00004006">
        <w:rPr>
          <w:iCs/>
          <w:sz w:val="20"/>
        </w:rPr>
        <w:t xml:space="preserve">, 29 FCC Rcd 13283, 13297 </w:t>
      </w:r>
      <w:r w:rsidR="003A4CAD" w:rsidRPr="00004006">
        <w:rPr>
          <w:sz w:val="20"/>
        </w:rPr>
        <w:t>¶ 39</w:t>
      </w:r>
      <w:r w:rsidR="003A4CAD" w:rsidRPr="00004006">
        <w:rPr>
          <w:iCs/>
          <w:sz w:val="20"/>
        </w:rPr>
        <w:t xml:space="preserve"> (2014) </w:t>
      </w:r>
      <w:r w:rsidR="003A4CAD" w:rsidRPr="00004006">
        <w:rPr>
          <w:sz w:val="20"/>
        </w:rPr>
        <w:t>(</w:t>
      </w:r>
      <w:r w:rsidR="003A4CAD" w:rsidRPr="00004006">
        <w:rPr>
          <w:i/>
          <w:iCs/>
          <w:sz w:val="20"/>
        </w:rPr>
        <w:t>Report and Order</w:t>
      </w:r>
      <w:r w:rsidR="003A4CAD" w:rsidRPr="00004006">
        <w:rPr>
          <w:sz w:val="20"/>
        </w:rPr>
        <w:t xml:space="preserve">).  </w:t>
      </w:r>
      <w:r w:rsidR="003A4CAD" w:rsidRPr="00004006">
        <w:rPr>
          <w:i/>
          <w:sz w:val="20"/>
        </w:rPr>
        <w:t xml:space="preserve">See also </w:t>
      </w:r>
      <w:r w:rsidR="003A4CAD" w:rsidRPr="00004006">
        <w:rPr>
          <w:sz w:val="20"/>
        </w:rPr>
        <w:t>47 C.F.R. § 90.531(b)(2).</w:t>
      </w:r>
    </w:p>
  </w:footnote>
  <w:footnote w:id="3">
    <w:p w:rsidR="003A4CAD" w:rsidRPr="00B105A9" w:rsidRDefault="003A4CAD" w:rsidP="00B105A9">
      <w:pPr>
        <w:pStyle w:val="FootnoteText"/>
        <w:spacing w:after="120"/>
        <w:rPr>
          <w:sz w:val="20"/>
        </w:rPr>
      </w:pPr>
      <w:r w:rsidRPr="00B105A9">
        <w:rPr>
          <w:rStyle w:val="FootnoteReference"/>
          <w:sz w:val="20"/>
        </w:rPr>
        <w:footnoteRef/>
      </w:r>
      <w:r w:rsidRPr="00B105A9">
        <w:rPr>
          <w:sz w:val="20"/>
        </w:rPr>
        <w:t xml:space="preserve"> </w:t>
      </w:r>
      <w:r w:rsidRPr="00004006">
        <w:rPr>
          <w:i/>
          <w:iCs/>
          <w:sz w:val="20"/>
        </w:rPr>
        <w:t>Report and Order</w:t>
      </w:r>
      <w:r w:rsidRPr="00004006">
        <w:rPr>
          <w:iCs/>
          <w:sz w:val="20"/>
        </w:rPr>
        <w:t xml:space="preserve">, 29 FCC Rcd </w:t>
      </w:r>
      <w:r w:rsidR="002A1020" w:rsidRPr="00004006">
        <w:rPr>
          <w:iCs/>
          <w:sz w:val="20"/>
        </w:rPr>
        <w:t xml:space="preserve">13299 at </w:t>
      </w:r>
      <w:r w:rsidR="002A1020" w:rsidRPr="00004006">
        <w:rPr>
          <w:sz w:val="20"/>
        </w:rPr>
        <w:t>¶ 46.</w:t>
      </w:r>
    </w:p>
  </w:footnote>
  <w:footnote w:id="4">
    <w:p w:rsidR="002A1020" w:rsidRPr="00B105A9" w:rsidRDefault="002A1020" w:rsidP="00B105A9">
      <w:pPr>
        <w:pStyle w:val="FootnoteText"/>
        <w:spacing w:after="120"/>
        <w:rPr>
          <w:sz w:val="20"/>
        </w:rPr>
      </w:pPr>
      <w:r w:rsidRPr="00B105A9">
        <w:rPr>
          <w:rStyle w:val="FootnoteReference"/>
          <w:sz w:val="20"/>
        </w:rPr>
        <w:footnoteRef/>
      </w:r>
      <w:r w:rsidRPr="00B105A9">
        <w:rPr>
          <w:sz w:val="20"/>
        </w:rPr>
        <w:t xml:space="preserve"> </w:t>
      </w:r>
      <w:r w:rsidRPr="00B105A9">
        <w:rPr>
          <w:i/>
          <w:sz w:val="20"/>
        </w:rPr>
        <w:t>Id.</w:t>
      </w:r>
      <w:r w:rsidRPr="00B105A9">
        <w:rPr>
          <w:sz w:val="20"/>
        </w:rPr>
        <w:t xml:space="preserve"> at 13298 </w:t>
      </w:r>
      <w:r w:rsidRPr="00004006">
        <w:rPr>
          <w:sz w:val="20"/>
        </w:rPr>
        <w:t xml:space="preserve">¶ 43.  The T-Band </w:t>
      </w:r>
      <w:r w:rsidR="00836909" w:rsidRPr="00004006">
        <w:rPr>
          <w:sz w:val="20"/>
        </w:rPr>
        <w:t xml:space="preserve">refers to the 470-512 MHz band.  </w:t>
      </w:r>
      <w:r w:rsidR="00836909" w:rsidRPr="00004006">
        <w:rPr>
          <w:i/>
          <w:sz w:val="20"/>
        </w:rPr>
        <w:t xml:space="preserve">See </w:t>
      </w:r>
      <w:r w:rsidR="00836909" w:rsidRPr="00004006">
        <w:rPr>
          <w:sz w:val="20"/>
        </w:rPr>
        <w:t xml:space="preserve">Subpart L of Part 90 of the Commission’s rules.  </w:t>
      </w:r>
    </w:p>
  </w:footnote>
  <w:footnote w:id="5">
    <w:p w:rsidR="002A1020" w:rsidRPr="00B105A9" w:rsidRDefault="002A1020" w:rsidP="00B105A9">
      <w:pPr>
        <w:pStyle w:val="FootnoteText"/>
        <w:spacing w:after="120"/>
        <w:rPr>
          <w:sz w:val="20"/>
        </w:rPr>
      </w:pPr>
      <w:r w:rsidRPr="00B105A9">
        <w:rPr>
          <w:rStyle w:val="FootnoteReference"/>
          <w:sz w:val="20"/>
        </w:rPr>
        <w:footnoteRef/>
      </w:r>
      <w:r w:rsidRPr="00B105A9">
        <w:rPr>
          <w:sz w:val="20"/>
        </w:rPr>
        <w:t xml:space="preserve"> </w:t>
      </w:r>
      <w:r w:rsidR="00836909" w:rsidRPr="00004006">
        <w:rPr>
          <w:i/>
          <w:iCs/>
          <w:sz w:val="20"/>
        </w:rPr>
        <w:t>Report and Order</w:t>
      </w:r>
      <w:r w:rsidR="00836909" w:rsidRPr="00004006">
        <w:rPr>
          <w:iCs/>
          <w:sz w:val="20"/>
        </w:rPr>
        <w:t xml:space="preserve">, 29 FCC Rcd </w:t>
      </w:r>
      <w:r w:rsidRPr="00B105A9">
        <w:rPr>
          <w:sz w:val="20"/>
        </w:rPr>
        <w:t xml:space="preserve">13299 </w:t>
      </w:r>
      <w:r w:rsidR="00836909" w:rsidRPr="00004006">
        <w:rPr>
          <w:sz w:val="20"/>
        </w:rPr>
        <w:t xml:space="preserve">at </w:t>
      </w:r>
      <w:r w:rsidRPr="00004006">
        <w:rPr>
          <w:sz w:val="20"/>
        </w:rPr>
        <w:t>¶ 46.</w:t>
      </w:r>
    </w:p>
  </w:footnote>
  <w:footnote w:id="6">
    <w:p w:rsidR="002A1020" w:rsidRPr="00B105A9" w:rsidRDefault="002A1020" w:rsidP="00B105A9">
      <w:pPr>
        <w:pStyle w:val="FootnoteText"/>
        <w:spacing w:after="120"/>
        <w:rPr>
          <w:sz w:val="20"/>
        </w:rPr>
      </w:pPr>
      <w:r w:rsidRPr="00B105A9">
        <w:rPr>
          <w:rStyle w:val="FootnoteReference"/>
          <w:sz w:val="20"/>
        </w:rPr>
        <w:footnoteRef/>
      </w:r>
      <w:r w:rsidRPr="00B105A9">
        <w:rPr>
          <w:sz w:val="20"/>
        </w:rPr>
        <w:t xml:space="preserve"> </w:t>
      </w:r>
      <w:r w:rsidRPr="00B105A9">
        <w:rPr>
          <w:i/>
          <w:sz w:val="20"/>
        </w:rPr>
        <w:t>Id.</w:t>
      </w:r>
    </w:p>
  </w:footnote>
  <w:footnote w:id="7">
    <w:p w:rsidR="00C60368" w:rsidRPr="00B105A9" w:rsidRDefault="00C60368" w:rsidP="00B105A9">
      <w:pPr>
        <w:pStyle w:val="FootnoteText"/>
        <w:spacing w:after="120"/>
        <w:rPr>
          <w:sz w:val="20"/>
        </w:rPr>
      </w:pPr>
      <w:r w:rsidRPr="00B105A9">
        <w:rPr>
          <w:rStyle w:val="FootnoteReference"/>
          <w:sz w:val="20"/>
        </w:rPr>
        <w:footnoteRef/>
      </w:r>
      <w:r w:rsidRPr="00B105A9">
        <w:rPr>
          <w:sz w:val="20"/>
        </w:rPr>
        <w:t xml:space="preserve"> NPSTC and NRPC recommend this channel as the primary control channel (CC-P).</w:t>
      </w:r>
    </w:p>
  </w:footnote>
  <w:footnote w:id="8">
    <w:p w:rsidR="00C60368" w:rsidRPr="00B105A9" w:rsidRDefault="00C60368" w:rsidP="00B105A9">
      <w:pPr>
        <w:pStyle w:val="FootnoteText"/>
        <w:spacing w:after="120"/>
        <w:rPr>
          <w:sz w:val="20"/>
        </w:rPr>
      </w:pPr>
      <w:r w:rsidRPr="00B105A9">
        <w:rPr>
          <w:rStyle w:val="FootnoteReference"/>
          <w:sz w:val="20"/>
        </w:rPr>
        <w:footnoteRef/>
      </w:r>
      <w:r w:rsidRPr="00B105A9">
        <w:rPr>
          <w:sz w:val="20"/>
        </w:rPr>
        <w:t xml:space="preserve"> NPSTC and NRPC recommend this channel as the alternate control channel (CC-A). </w:t>
      </w:r>
    </w:p>
  </w:footnote>
  <w:footnote w:id="9">
    <w:p w:rsidR="00333242" w:rsidRPr="00B105A9" w:rsidRDefault="00333242" w:rsidP="00B105A9">
      <w:pPr>
        <w:pStyle w:val="FootnoteText"/>
        <w:spacing w:after="120"/>
        <w:rPr>
          <w:sz w:val="20"/>
        </w:rPr>
      </w:pPr>
      <w:r w:rsidRPr="00B105A9">
        <w:rPr>
          <w:rStyle w:val="FootnoteReference"/>
          <w:sz w:val="20"/>
        </w:rPr>
        <w:footnoteRef/>
      </w:r>
      <w:r w:rsidRPr="00B105A9">
        <w:rPr>
          <w:sz w:val="20"/>
        </w:rPr>
        <w:t xml:space="preserve"> </w:t>
      </w:r>
      <w:r w:rsidRPr="00B105A9">
        <w:rPr>
          <w:i/>
          <w:sz w:val="20"/>
        </w:rPr>
        <w:t xml:space="preserve">See </w:t>
      </w:r>
      <w:r w:rsidRPr="00B105A9">
        <w:rPr>
          <w:sz w:val="20"/>
        </w:rPr>
        <w:t xml:space="preserve">Public Safety and Homeland Security Bureau Seeks Comment on Recommended Nationwide Channels for Deployable Trunked Systems in the 700 MHz Narrowband Public Safety Band, </w:t>
      </w:r>
      <w:r w:rsidRPr="00B105A9">
        <w:rPr>
          <w:i/>
          <w:sz w:val="20"/>
        </w:rPr>
        <w:t>Public Notice,</w:t>
      </w:r>
      <w:r w:rsidRPr="00B105A9">
        <w:rPr>
          <w:sz w:val="20"/>
        </w:rPr>
        <w:t xml:space="preserve"> PS Docket No. 13-87 and WT Docket 02-378, DA 15-278 (PSHSB </w:t>
      </w:r>
      <w:r w:rsidR="00232DAB">
        <w:rPr>
          <w:sz w:val="20"/>
        </w:rPr>
        <w:t>rel. Mar. 3, 2015</w:t>
      </w:r>
      <w:r w:rsidRPr="00B105A9">
        <w:rPr>
          <w:sz w:val="20"/>
        </w:rPr>
        <w:t xml:space="preserve">).  </w:t>
      </w:r>
    </w:p>
  </w:footnote>
  <w:footnote w:id="10">
    <w:p w:rsidR="003E2FBC" w:rsidRPr="00004006" w:rsidRDefault="003E2FBC" w:rsidP="00B105A9">
      <w:pPr>
        <w:pStyle w:val="FootnoteText"/>
        <w:spacing w:after="120"/>
        <w:rPr>
          <w:sz w:val="20"/>
        </w:rPr>
      </w:pPr>
      <w:r w:rsidRPr="00004006">
        <w:rPr>
          <w:rStyle w:val="FootnoteReference"/>
          <w:sz w:val="20"/>
        </w:rPr>
        <w:footnoteRef/>
      </w:r>
      <w:r w:rsidRPr="00004006">
        <w:rPr>
          <w:sz w:val="20"/>
        </w:rPr>
        <w:t xml:space="preserve"> </w:t>
      </w:r>
      <w:r w:rsidR="008441A8" w:rsidRPr="00004006">
        <w:rPr>
          <w:i/>
          <w:sz w:val="20"/>
        </w:rPr>
        <w:t>See</w:t>
      </w:r>
      <w:r w:rsidR="008441A8" w:rsidRPr="00004006">
        <w:rPr>
          <w:sz w:val="20"/>
        </w:rPr>
        <w:t xml:space="preserve"> Comments of </w:t>
      </w:r>
      <w:r w:rsidR="008441A8" w:rsidRPr="00004006">
        <w:rPr>
          <w:color w:val="231F20"/>
          <w:sz w:val="20"/>
        </w:rPr>
        <w:t>Association of Public-Safety Communications Officials-International, Inc. (Apr. 2, 2015).</w:t>
      </w:r>
    </w:p>
  </w:footnote>
  <w:footnote w:id="11">
    <w:p w:rsidR="003E2FBC" w:rsidRPr="00004006" w:rsidRDefault="003E2FBC" w:rsidP="00B105A9">
      <w:pPr>
        <w:pStyle w:val="FootnoteText"/>
        <w:spacing w:after="120"/>
        <w:rPr>
          <w:sz w:val="20"/>
        </w:rPr>
      </w:pPr>
      <w:r w:rsidRPr="00004006">
        <w:rPr>
          <w:rStyle w:val="FootnoteReference"/>
          <w:sz w:val="20"/>
        </w:rPr>
        <w:footnoteRef/>
      </w:r>
      <w:r w:rsidRPr="00004006">
        <w:rPr>
          <w:sz w:val="20"/>
        </w:rPr>
        <w:t xml:space="preserve"> </w:t>
      </w:r>
      <w:r w:rsidR="008441A8" w:rsidRPr="00004006">
        <w:rPr>
          <w:sz w:val="20"/>
        </w:rPr>
        <w:t xml:space="preserve">Regional Planning Committees </w:t>
      </w:r>
      <w:r w:rsidR="00232DAB">
        <w:rPr>
          <w:sz w:val="20"/>
        </w:rPr>
        <w:t xml:space="preserve">must </w:t>
      </w:r>
      <w:r w:rsidR="008441A8" w:rsidRPr="00004006">
        <w:rPr>
          <w:sz w:val="20"/>
        </w:rPr>
        <w:t xml:space="preserve">file plan amendments to reflect the revised 700 MHz narrowband </w:t>
      </w:r>
      <w:r w:rsidR="00232DAB">
        <w:rPr>
          <w:sz w:val="20"/>
        </w:rPr>
        <w:t xml:space="preserve">segment </w:t>
      </w:r>
      <w:r w:rsidR="00F62519" w:rsidRPr="00004006">
        <w:rPr>
          <w:sz w:val="20"/>
        </w:rPr>
        <w:t>no later than</w:t>
      </w:r>
      <w:r w:rsidR="008441A8" w:rsidRPr="00004006">
        <w:rPr>
          <w:sz w:val="20"/>
        </w:rPr>
        <w:t xml:space="preserve"> October 30, 2015.  </w:t>
      </w:r>
      <w:r w:rsidR="008441A8" w:rsidRPr="00004006">
        <w:rPr>
          <w:i/>
          <w:sz w:val="20"/>
        </w:rPr>
        <w:t>See</w:t>
      </w:r>
      <w:r w:rsidR="008441A8" w:rsidRPr="00004006">
        <w:rPr>
          <w:sz w:val="20"/>
        </w:rPr>
        <w:t xml:space="preserve"> Proposed Amendments to the Service Rules Governing Public Safety Narrowband Operations in the 769-775/799-805 MHz Bands, </w:t>
      </w:r>
      <w:r w:rsidR="008441A8" w:rsidRPr="00232DAB">
        <w:rPr>
          <w:i/>
          <w:sz w:val="20"/>
        </w:rPr>
        <w:t>et al</w:t>
      </w:r>
      <w:r w:rsidR="008441A8" w:rsidRPr="00004006">
        <w:rPr>
          <w:sz w:val="20"/>
        </w:rPr>
        <w:t xml:space="preserve">, PS Docket 13-87, PS Docket 06-229, WT Docket 96-86, RM 11433 and RM 11577, </w:t>
      </w:r>
      <w:r w:rsidR="008441A8" w:rsidRPr="00004006">
        <w:rPr>
          <w:i/>
          <w:sz w:val="20"/>
        </w:rPr>
        <w:t>Order</w:t>
      </w:r>
      <w:r w:rsidR="008441A8" w:rsidRPr="00004006">
        <w:rPr>
          <w:sz w:val="20"/>
        </w:rPr>
        <w:t xml:space="preserve">, DA 15-476 (PSHSB rel. Apr. 20,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EA" w:rsidRDefault="00895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EA" w:rsidRDefault="00895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BC" w:rsidRPr="003F4FFA" w:rsidRDefault="003E2FBC" w:rsidP="0012032F">
    <w:pPr>
      <w:pStyle w:val="Header"/>
      <w:tabs>
        <w:tab w:val="clear" w:pos="4320"/>
        <w:tab w:val="clear" w:pos="8640"/>
      </w:tabs>
      <w:spacing w:before="4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2B8C1109" wp14:editId="377657B8">
          <wp:simplePos x="0" y="0"/>
          <wp:positionH relativeFrom="column">
            <wp:posOffset>18415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Pr>
        <w:rFonts w:ascii="News Gothic MT" w:hAnsi="News Gothic MT"/>
        <w:b/>
        <w:kern w:val="28"/>
        <w:sz w:val="96"/>
      </w:rPr>
      <w:tab/>
    </w:r>
    <w:r w:rsidR="00CC68EE">
      <w:rPr>
        <w:rFonts w:ascii="News Gothic MT" w:hAnsi="News Gothic MT"/>
        <w:b/>
        <w:kern w:val="28"/>
        <w:sz w:val="96"/>
      </w:rPr>
      <w:t xml:space="preserve"> </w:t>
    </w:r>
    <w:r>
      <w:rPr>
        <w:rFonts w:ascii="Arial" w:hAnsi="Arial" w:cs="Arial"/>
        <w:b/>
        <w:kern w:val="28"/>
        <w:sz w:val="96"/>
      </w:rPr>
      <w:t xml:space="preserve">PUBLIC </w:t>
    </w:r>
    <w:r w:rsidRPr="003F4FFA">
      <w:rPr>
        <w:rFonts w:ascii="Arial" w:hAnsi="Arial" w:cs="Arial"/>
        <w:b/>
        <w:kern w:val="28"/>
        <w:sz w:val="96"/>
      </w:rPr>
      <w:t>NOTICE</w:t>
    </w:r>
  </w:p>
  <w:p w:rsidR="003E2FBC" w:rsidRDefault="003E2FBC" w:rsidP="0012032F">
    <w:pPr>
      <w:pStyle w:val="Header"/>
      <w:tabs>
        <w:tab w:val="clear" w:pos="4320"/>
        <w:tab w:val="clear" w:pos="8640"/>
        <w:tab w:val="left" w:pos="108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683521E5" wp14:editId="59623F2F">
              <wp:simplePos x="0" y="0"/>
              <wp:positionH relativeFrom="column">
                <wp:posOffset>-85725</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BC" w:rsidRDefault="003E2FBC">
                          <w:pPr>
                            <w:rPr>
                              <w:rFonts w:ascii="Arial" w:hAnsi="Arial"/>
                              <w:b/>
                            </w:rPr>
                          </w:pPr>
                          <w:r>
                            <w:rPr>
                              <w:rFonts w:ascii="Arial" w:hAnsi="Arial"/>
                              <w:b/>
                            </w:rPr>
                            <w:t>Federal Communications Commission</w:t>
                          </w:r>
                        </w:p>
                        <w:p w:rsidR="003E2FBC" w:rsidRDefault="003E2F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2FBC" w:rsidRDefault="003E2FB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" o:allowincell="f" stroked="f">
              <v:textbox>
                <w:txbxContent>
                  <w:p w:rsidR="003E2FBC" w:rsidRDefault="003E2FBC">
                    <w:pPr>
                      <w:rPr>
                        <w:rFonts w:ascii="Arial" w:hAnsi="Arial"/>
                        <w:b/>
                      </w:rPr>
                    </w:pPr>
                    <w:r>
                      <w:rPr>
                        <w:rFonts w:ascii="Arial" w:hAnsi="Arial"/>
                        <w:b/>
                      </w:rPr>
                      <w:t>Federal Communications Commission</w:t>
                    </w:r>
                  </w:p>
                  <w:p w:rsidR="003E2FBC" w:rsidRDefault="003E2F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E2FBC" w:rsidRDefault="003E2FBC">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2F971AA" wp14:editId="668A719B">
              <wp:simplePos x="0" y="0"/>
              <wp:positionH relativeFrom="column">
                <wp:posOffset>20320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4.95pt" to="465.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EAD71A4" wp14:editId="3EED904C">
              <wp:simplePos x="0" y="0"/>
              <wp:positionH relativeFrom="column">
                <wp:posOffset>3381375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BC" w:rsidRDefault="003E2FBC">
                          <w:pPr>
                            <w:spacing w:before="40"/>
                            <w:jc w:val="right"/>
                            <w:rPr>
                              <w:rFonts w:ascii="Arial" w:hAnsi="Arial"/>
                              <w:b/>
                              <w:sz w:val="16"/>
                            </w:rPr>
                          </w:pPr>
                          <w:r>
                            <w:rPr>
                              <w:rFonts w:ascii="Arial" w:hAnsi="Arial"/>
                              <w:b/>
                              <w:sz w:val="16"/>
                            </w:rPr>
                            <w:t>News Media Information 202 / 418-0500</w:t>
                          </w:r>
                        </w:p>
                        <w:p w:rsidR="003E2FBC" w:rsidRDefault="003E2FB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E2FBC" w:rsidRDefault="003E2FBC">
                          <w:pPr>
                            <w:jc w:val="right"/>
                            <w:rPr>
                              <w:rFonts w:ascii="Arial" w:hAnsi="Arial"/>
                              <w:b/>
                              <w:sz w:val="16"/>
                            </w:rPr>
                          </w:pPr>
                          <w:r>
                            <w:rPr>
                              <w:rFonts w:ascii="Arial" w:hAnsi="Arial"/>
                              <w:b/>
                              <w:sz w:val="16"/>
                            </w:rPr>
                            <w:t>TTY: 1-888-835-5322</w:t>
                          </w:r>
                        </w:p>
                        <w:p w:rsidR="003E2FBC" w:rsidRDefault="003E2FBC" w:rsidP="0012032F">
                          <w:pPr>
                            <w:ind w:right="270"/>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6.2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" o:allowincell="f" stroked="f">
              <v:textbox inset=",0,,0">
                <w:txbxContent>
                  <w:p w:rsidR="003E2FBC" w:rsidRDefault="003E2FBC">
                    <w:pPr>
                      <w:spacing w:before="40"/>
                      <w:jc w:val="right"/>
                      <w:rPr>
                        <w:rFonts w:ascii="Arial" w:hAnsi="Arial"/>
                        <w:b/>
                        <w:sz w:val="16"/>
                      </w:rPr>
                    </w:pPr>
                    <w:r>
                      <w:rPr>
                        <w:rFonts w:ascii="Arial" w:hAnsi="Arial"/>
                        <w:b/>
                        <w:sz w:val="16"/>
                      </w:rPr>
                      <w:t>News Media Information 202 / 418-0500</w:t>
                    </w:r>
                  </w:p>
                  <w:p w:rsidR="003E2FBC" w:rsidRDefault="003E2FB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E2FBC" w:rsidRDefault="003E2FBC">
                    <w:pPr>
                      <w:jc w:val="right"/>
                      <w:rPr>
                        <w:rFonts w:ascii="Arial" w:hAnsi="Arial"/>
                        <w:b/>
                        <w:sz w:val="16"/>
                      </w:rPr>
                    </w:pPr>
                    <w:r>
                      <w:rPr>
                        <w:rFonts w:ascii="Arial" w:hAnsi="Arial"/>
                        <w:b/>
                        <w:sz w:val="16"/>
                      </w:rPr>
                      <w:t>TTY: 1-888-835-5322</w:t>
                    </w:r>
                  </w:p>
                  <w:p w:rsidR="003E2FBC" w:rsidRDefault="003E2FBC" w:rsidP="0012032F">
                    <w:pPr>
                      <w:ind w:right="270"/>
                      <w:jc w:val="right"/>
                    </w:pPr>
                  </w:p>
                </w:txbxContent>
              </v:textbox>
            </v:shape>
          </w:pict>
        </mc:Fallback>
      </mc:AlternateContent>
    </w:r>
  </w:p>
  <w:p w:rsidR="003E2FBC" w:rsidRDefault="003E2FBC" w:rsidP="0012032F">
    <w:pPr>
      <w:pStyle w:val="Header"/>
      <w:tabs>
        <w:tab w:val="clear" w:pos="4320"/>
        <w:tab w:val="clear" w:pos="864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94D"/>
    <w:multiLevelType w:val="hybridMultilevel"/>
    <w:tmpl w:val="791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02DF8"/>
    <w:multiLevelType w:val="hybridMultilevel"/>
    <w:tmpl w:val="723A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F325C"/>
    <w:multiLevelType w:val="hybridMultilevel"/>
    <w:tmpl w:val="80025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78A6B69"/>
    <w:multiLevelType w:val="hybridMultilevel"/>
    <w:tmpl w:val="EA4CF8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5C372A"/>
    <w:multiLevelType w:val="hybridMultilevel"/>
    <w:tmpl w:val="FE48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AA82407"/>
    <w:multiLevelType w:val="hybridMultilevel"/>
    <w:tmpl w:val="4E70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3F65A0"/>
    <w:multiLevelType w:val="hybridMultilevel"/>
    <w:tmpl w:val="D3A4C810"/>
    <w:lvl w:ilvl="0" w:tplc="5EC6675C">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BD2719"/>
    <w:multiLevelType w:val="hybridMultilevel"/>
    <w:tmpl w:val="3D3C9E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A281330"/>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num w:numId="1">
    <w:abstractNumId w:val="10"/>
  </w:num>
  <w:num w:numId="2">
    <w:abstractNumId w:val="9"/>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7"/>
  </w:num>
  <w:num w:numId="12">
    <w:abstractNumId w:val="5"/>
  </w:num>
  <w:num w:numId="13">
    <w:abstractNumId w:val="13"/>
  </w:num>
  <w:num w:numId="14">
    <w:abstractNumId w:val="11"/>
  </w:num>
  <w:num w:numId="15">
    <w:abstractNumId w:val="6"/>
  </w:num>
  <w:num w:numId="16">
    <w:abstractNumId w:val="14"/>
  </w:num>
  <w:num w:numId="17">
    <w:abstractNumId w:val="1"/>
  </w:num>
  <w:num w:numId="18">
    <w:abstractNumId w:val="0"/>
  </w:num>
  <w:num w:numId="19">
    <w:abstractNumId w:val="2"/>
  </w:num>
  <w:num w:numId="20">
    <w:abstractNumId w:val="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FA"/>
    <w:rsid w:val="00004006"/>
    <w:rsid w:val="000265AE"/>
    <w:rsid w:val="0007109F"/>
    <w:rsid w:val="0012032F"/>
    <w:rsid w:val="001A591C"/>
    <w:rsid w:val="001C217C"/>
    <w:rsid w:val="00226638"/>
    <w:rsid w:val="00232DAB"/>
    <w:rsid w:val="00247A24"/>
    <w:rsid w:val="002A1020"/>
    <w:rsid w:val="002C15B7"/>
    <w:rsid w:val="002D1ACA"/>
    <w:rsid w:val="00333242"/>
    <w:rsid w:val="003448F2"/>
    <w:rsid w:val="003A4CAD"/>
    <w:rsid w:val="003E2FBC"/>
    <w:rsid w:val="003F4FFA"/>
    <w:rsid w:val="004231EA"/>
    <w:rsid w:val="00495464"/>
    <w:rsid w:val="00530E83"/>
    <w:rsid w:val="00543F32"/>
    <w:rsid w:val="00587C81"/>
    <w:rsid w:val="00595B31"/>
    <w:rsid w:val="005F0BB5"/>
    <w:rsid w:val="00602577"/>
    <w:rsid w:val="00675A7E"/>
    <w:rsid w:val="006B4DDB"/>
    <w:rsid w:val="006C0C10"/>
    <w:rsid w:val="00705E0F"/>
    <w:rsid w:val="00726ECE"/>
    <w:rsid w:val="00785A2E"/>
    <w:rsid w:val="007B38C3"/>
    <w:rsid w:val="007D5549"/>
    <w:rsid w:val="00836909"/>
    <w:rsid w:val="008441A8"/>
    <w:rsid w:val="008550A4"/>
    <w:rsid w:val="008634D6"/>
    <w:rsid w:val="008952EA"/>
    <w:rsid w:val="008969B9"/>
    <w:rsid w:val="008A4A64"/>
    <w:rsid w:val="008D29AE"/>
    <w:rsid w:val="009A7AF6"/>
    <w:rsid w:val="009C50E5"/>
    <w:rsid w:val="00A93F6B"/>
    <w:rsid w:val="00AC4839"/>
    <w:rsid w:val="00B105A9"/>
    <w:rsid w:val="00B2473A"/>
    <w:rsid w:val="00B33540"/>
    <w:rsid w:val="00C055A7"/>
    <w:rsid w:val="00C60368"/>
    <w:rsid w:val="00CA563D"/>
    <w:rsid w:val="00CC68EE"/>
    <w:rsid w:val="00CE4CB6"/>
    <w:rsid w:val="00D17DC0"/>
    <w:rsid w:val="00D60EFF"/>
    <w:rsid w:val="00E03A11"/>
    <w:rsid w:val="00E25659"/>
    <w:rsid w:val="00E4180B"/>
    <w:rsid w:val="00E62F4C"/>
    <w:rsid w:val="00EC3D29"/>
    <w:rsid w:val="00EF4B03"/>
    <w:rsid w:val="00F62519"/>
    <w:rsid w:val="00F74710"/>
    <w:rsid w:val="00FD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Style 17,FR,Style 6,Footnote Reference/"/>
    <w:uiPriority w:val="99"/>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 w:type="character" w:customStyle="1" w:styleId="HeaderChar">
    <w:name w:val="Header Char"/>
    <w:basedOn w:val="DefaultParagraphFont"/>
    <w:link w:val="Header"/>
    <w:rsid w:val="00595B31"/>
    <w:rPr>
      <w:sz w:val="22"/>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uiPriority w:val="99"/>
    <w:rsid w:val="00595B31"/>
    <w:rPr>
      <w:sz w:val="22"/>
    </w:rPr>
  </w:style>
  <w:style w:type="paragraph" w:styleId="BalloonText">
    <w:name w:val="Balloon Text"/>
    <w:basedOn w:val="Normal"/>
    <w:link w:val="BalloonTextChar"/>
    <w:uiPriority w:val="99"/>
    <w:semiHidden/>
    <w:unhideWhenUsed/>
    <w:rsid w:val="00E62F4C"/>
    <w:rPr>
      <w:rFonts w:ascii="Tahoma" w:hAnsi="Tahoma" w:cs="Tahoma"/>
      <w:sz w:val="16"/>
      <w:szCs w:val="16"/>
    </w:rPr>
  </w:style>
  <w:style w:type="character" w:customStyle="1" w:styleId="BalloonTextChar">
    <w:name w:val="Balloon Text Char"/>
    <w:basedOn w:val="DefaultParagraphFont"/>
    <w:link w:val="BalloonText"/>
    <w:uiPriority w:val="99"/>
    <w:semiHidden/>
    <w:rsid w:val="00E62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Style 17,FR,Style 6,Footnote Reference/"/>
    <w:uiPriority w:val="99"/>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2032F"/>
    <w:pPr>
      <w:ind w:left="720"/>
      <w:contextualSpacing/>
    </w:pPr>
  </w:style>
  <w:style w:type="paragraph" w:customStyle="1" w:styleId="Default">
    <w:name w:val="Default"/>
    <w:rsid w:val="00C055A7"/>
    <w:pPr>
      <w:autoSpaceDE w:val="0"/>
      <w:autoSpaceDN w:val="0"/>
      <w:adjustRightInd w:val="0"/>
    </w:pPr>
    <w:rPr>
      <w:color w:val="000000"/>
      <w:sz w:val="24"/>
      <w:szCs w:val="24"/>
    </w:rPr>
  </w:style>
  <w:style w:type="character" w:customStyle="1" w:styleId="HeaderChar">
    <w:name w:val="Header Char"/>
    <w:basedOn w:val="DefaultParagraphFont"/>
    <w:link w:val="Header"/>
    <w:rsid w:val="00595B31"/>
    <w:rPr>
      <w:sz w:val="22"/>
    </w:r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uiPriority w:val="99"/>
    <w:rsid w:val="00595B31"/>
    <w:rPr>
      <w:sz w:val="22"/>
    </w:rPr>
  </w:style>
  <w:style w:type="paragraph" w:styleId="BalloonText">
    <w:name w:val="Balloon Text"/>
    <w:basedOn w:val="Normal"/>
    <w:link w:val="BalloonTextChar"/>
    <w:uiPriority w:val="99"/>
    <w:semiHidden/>
    <w:unhideWhenUsed/>
    <w:rsid w:val="00E62F4C"/>
    <w:rPr>
      <w:rFonts w:ascii="Tahoma" w:hAnsi="Tahoma" w:cs="Tahoma"/>
      <w:sz w:val="16"/>
      <w:szCs w:val="16"/>
    </w:rPr>
  </w:style>
  <w:style w:type="character" w:customStyle="1" w:styleId="BalloonTextChar">
    <w:name w:val="Balloon Text Char"/>
    <w:basedOn w:val="DefaultParagraphFont"/>
    <w:link w:val="BalloonText"/>
    <w:uiPriority w:val="99"/>
    <w:semiHidden/>
    <w:rsid w:val="00E62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A2529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A252948</Template>
  <TotalTime>0</TotalTime>
  <Pages>2</Pages>
  <Words>461</Words>
  <Characters>2622</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2015-04-23T13:44:00Z</dcterms:created>
  <dcterms:modified xsi:type="dcterms:W3CDTF">2015-04-23T13:44:00Z</dcterms:modified>
  <cp:category> </cp:category>
  <cp:contentStatus> </cp:contentStatus>
</cp:coreProperties>
</file>