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962B06" w:rsidRPr="00962B06" w:rsidRDefault="00962B06" w:rsidP="00962B06">
      <w:pPr>
        <w:widowControl/>
        <w:suppressAutoHyphens/>
        <w:jc w:val="right"/>
        <w:rPr>
          <w:b/>
          <w:color w:val="000000"/>
        </w:rPr>
      </w:pPr>
      <w:r w:rsidRPr="00962B06">
        <w:rPr>
          <w:b/>
          <w:color w:val="000000"/>
        </w:rPr>
        <w:lastRenderedPageBreak/>
        <w:t>DA 1</w:t>
      </w:r>
      <w:r w:rsidR="00680D2D">
        <w:rPr>
          <w:b/>
          <w:color w:val="000000"/>
        </w:rPr>
        <w:t>5-47</w:t>
      </w:r>
    </w:p>
    <w:p w:rsidR="00962B06" w:rsidRPr="00962B06" w:rsidRDefault="00962B06" w:rsidP="00962B06">
      <w:pPr>
        <w:widowControl/>
        <w:suppressAutoHyphens/>
        <w:spacing w:after="240"/>
        <w:jc w:val="right"/>
        <w:rPr>
          <w:b/>
          <w:color w:val="000000"/>
        </w:rPr>
      </w:pPr>
      <w:r w:rsidRPr="00962B06">
        <w:rPr>
          <w:b/>
          <w:color w:val="000000"/>
        </w:rPr>
        <w:t xml:space="preserve">Released:  </w:t>
      </w:r>
      <w:r w:rsidR="00AC59DC">
        <w:rPr>
          <w:b/>
          <w:color w:val="000000"/>
        </w:rPr>
        <w:t>January 12</w:t>
      </w:r>
      <w:r w:rsidRPr="00962B06">
        <w:rPr>
          <w:b/>
          <w:color w:val="000000"/>
        </w:rPr>
        <w:t>, 201</w:t>
      </w:r>
      <w:r w:rsidR="00AC59DC">
        <w:rPr>
          <w:b/>
          <w:color w:val="000000"/>
        </w:rPr>
        <w:t>5</w:t>
      </w:r>
    </w:p>
    <w:p w:rsidR="00962B06" w:rsidRPr="00962B06" w:rsidRDefault="00962B06" w:rsidP="00962B06">
      <w:pPr>
        <w:widowControl/>
        <w:suppressAutoHyphens/>
        <w:jc w:val="center"/>
        <w:rPr>
          <w:b/>
          <w:szCs w:val="22"/>
        </w:rPr>
      </w:pPr>
      <w:r w:rsidRPr="00962B06">
        <w:rPr>
          <w:b/>
          <w:szCs w:val="22"/>
        </w:rPr>
        <w:t>DOMESTIC SECTION 214 APPLICATION GRANTED FOR THE TRANSFER OF CONTROL OF HIBERNIA ATLANTIC U.S. LLC AND HIBERNIA MEDIA, LLC TO KCK LIMITED</w:t>
      </w:r>
    </w:p>
    <w:p w:rsidR="00962B06" w:rsidRPr="00962B06" w:rsidRDefault="00962B06" w:rsidP="00962B06">
      <w:pPr>
        <w:widowControl/>
        <w:suppressAutoHyphens/>
        <w:jc w:val="center"/>
        <w:rPr>
          <w:b/>
          <w:color w:val="000000"/>
          <w:szCs w:val="22"/>
        </w:rPr>
      </w:pPr>
    </w:p>
    <w:p w:rsidR="00962B06" w:rsidRPr="00962B06" w:rsidRDefault="00962B06" w:rsidP="00962B06">
      <w:pPr>
        <w:widowControl/>
        <w:suppressAutoHyphens/>
        <w:spacing w:after="240"/>
        <w:jc w:val="center"/>
        <w:rPr>
          <w:b/>
          <w:color w:val="000000"/>
          <w:szCs w:val="22"/>
        </w:rPr>
      </w:pPr>
      <w:r w:rsidRPr="00962B06">
        <w:rPr>
          <w:b/>
          <w:color w:val="000000"/>
          <w:szCs w:val="22"/>
        </w:rPr>
        <w:t>WC Docket No. 14-138</w:t>
      </w:r>
    </w:p>
    <w:p w:rsidR="00962B06" w:rsidRPr="00962B06" w:rsidRDefault="00962B06" w:rsidP="00962B06">
      <w:pPr>
        <w:autoSpaceDE w:val="0"/>
        <w:autoSpaceDN w:val="0"/>
        <w:adjustRightInd w:val="0"/>
        <w:ind w:firstLine="720"/>
        <w:rPr>
          <w:snapToGrid/>
          <w:kern w:val="0"/>
          <w:szCs w:val="22"/>
        </w:rPr>
      </w:pPr>
      <w:r w:rsidRPr="00962B06">
        <w:rPr>
          <w:snapToGrid/>
          <w:kern w:val="0"/>
          <w:szCs w:val="22"/>
        </w:rPr>
        <w:t>On August 21, 2014, Columbia Ventures Corporation (CVC), KCK Limited (KCK), and Murosa Development S.À R.L. (Murosa) (collectively, Applicants) filed an application pursuant to section 63.03 of the Commission’s rules to transfer control of Hibernia Atlantic U.S. LLC (HB Atlantic) and Hibernia Media, LLC (HB Media) to KCK.</w:t>
      </w:r>
      <w:r w:rsidRPr="00962B06">
        <w:rPr>
          <w:snapToGrid/>
          <w:kern w:val="0"/>
          <w:szCs w:val="22"/>
          <w:vertAlign w:val="superscript"/>
        </w:rPr>
        <w:footnoteReference w:id="1"/>
      </w:r>
      <w:r w:rsidRPr="00962B06">
        <w:rPr>
          <w:snapToGrid/>
          <w:kern w:val="0"/>
        </w:rPr>
        <w:t xml:space="preserve">  </w:t>
      </w:r>
      <w:r w:rsidRPr="00962B06">
        <w:rPr>
          <w:snapToGrid/>
          <w:kern w:val="0"/>
          <w:szCs w:val="22"/>
        </w:rPr>
        <w:t>HB Atlantic and HB Media</w:t>
      </w:r>
      <w:r w:rsidR="00F26762">
        <w:rPr>
          <w:snapToGrid/>
          <w:kern w:val="0"/>
          <w:szCs w:val="22"/>
        </w:rPr>
        <w:t>, wholly-owned subsidiaries of Hibernia NGS</w:t>
      </w:r>
      <w:r w:rsidR="00F13AE1">
        <w:rPr>
          <w:snapToGrid/>
          <w:kern w:val="0"/>
          <w:szCs w:val="22"/>
        </w:rPr>
        <w:t xml:space="preserve"> Limited (Hibernia NGS)</w:t>
      </w:r>
      <w:r w:rsidR="00F26762">
        <w:rPr>
          <w:snapToGrid/>
          <w:kern w:val="0"/>
          <w:szCs w:val="22"/>
        </w:rPr>
        <w:t>,</w:t>
      </w:r>
      <w:r w:rsidRPr="00962B06">
        <w:rPr>
          <w:snapToGrid/>
          <w:kern w:val="0"/>
          <w:szCs w:val="22"/>
        </w:rPr>
        <w:t xml:space="preserve"> provide broadband and competitive interstate telecommunications services in multiple states.  </w:t>
      </w:r>
      <w:r w:rsidRPr="00962B06">
        <w:rPr>
          <w:szCs w:val="22"/>
        </w:rPr>
        <w:t xml:space="preserve">KCK is an investment entity incorporated under the laws of the British Virgin Islands </w:t>
      </w:r>
      <w:r w:rsidR="00F26762">
        <w:rPr>
          <w:szCs w:val="22"/>
        </w:rPr>
        <w:t>and</w:t>
      </w:r>
      <w:r w:rsidRPr="00962B06">
        <w:rPr>
          <w:szCs w:val="22"/>
        </w:rPr>
        <w:t xml:space="preserve"> does not hold domestic section 214 authority.  </w:t>
      </w:r>
    </w:p>
    <w:p w:rsidR="00962B06" w:rsidRPr="00962B06" w:rsidRDefault="00962B06" w:rsidP="00962B06">
      <w:pPr>
        <w:ind w:firstLine="720"/>
        <w:rPr>
          <w:szCs w:val="22"/>
        </w:rPr>
      </w:pPr>
    </w:p>
    <w:p w:rsidR="00962B06" w:rsidRPr="00962B06" w:rsidRDefault="00962B06" w:rsidP="00962B06">
      <w:pPr>
        <w:ind w:firstLine="720"/>
        <w:rPr>
          <w:snapToGrid/>
          <w:kern w:val="0"/>
        </w:rPr>
      </w:pPr>
      <w:r w:rsidRPr="00962B06">
        <w:rPr>
          <w:szCs w:val="22"/>
        </w:rPr>
        <w:t>On September 4, 201</w:t>
      </w:r>
      <w:r w:rsidR="0043525F">
        <w:rPr>
          <w:szCs w:val="22"/>
        </w:rPr>
        <w:t>4</w:t>
      </w:r>
      <w:r w:rsidRPr="00962B06">
        <w:rPr>
          <w:szCs w:val="22"/>
        </w:rPr>
        <w:t>, the Wireline Competition Bureau (Bureau) released a Public Notice requesting comment on this application.</w:t>
      </w:r>
      <w:r w:rsidRPr="00962B06">
        <w:rPr>
          <w:szCs w:val="22"/>
          <w:vertAlign w:val="superscript"/>
        </w:rPr>
        <w:footnoteReference w:id="2"/>
      </w:r>
      <w:r w:rsidRPr="00962B06">
        <w:rPr>
          <w:szCs w:val="22"/>
        </w:rPr>
        <w:t xml:space="preserve">  </w:t>
      </w:r>
      <w:r w:rsidRPr="00962B06">
        <w:rPr>
          <w:snapToGrid/>
          <w:kern w:val="0"/>
        </w:rPr>
        <w:t xml:space="preserve">On September 17, 2014, the Department of Justice, including the Federal Bureau of Investigation, with the concurrence of  the Department of Homeland Security </w:t>
      </w:r>
      <w:r w:rsidRPr="00962B06">
        <w:rPr>
          <w:snapToGrid/>
          <w:kern w:val="0"/>
          <w:szCs w:val="24"/>
        </w:rPr>
        <w:t>(collectively, the Executive Branch Agencies)</w:t>
      </w:r>
      <w:r w:rsidRPr="00962B06">
        <w:rPr>
          <w:snapToGrid/>
          <w:kern w:val="0"/>
        </w:rPr>
        <w:t>, filed a letter requesting that the Commission defer action</w:t>
      </w:r>
      <w:r w:rsidRPr="00962B06">
        <w:rPr>
          <w:snapToGrid/>
          <w:kern w:val="0"/>
          <w:szCs w:val="24"/>
        </w:rPr>
        <w:t xml:space="preserve"> on this application while they reviewed potential national security, law enforcement, and public safety issues</w:t>
      </w:r>
      <w:r w:rsidRPr="00962B06">
        <w:rPr>
          <w:snapToGrid/>
          <w:kern w:val="0"/>
        </w:rPr>
        <w:t>.</w:t>
      </w:r>
      <w:r w:rsidRPr="00962B06">
        <w:rPr>
          <w:snapToGrid/>
          <w:kern w:val="0"/>
          <w:vertAlign w:val="superscript"/>
        </w:rPr>
        <w:footnoteReference w:id="3"/>
      </w:r>
      <w:r w:rsidRPr="00962B06">
        <w:rPr>
          <w:snapToGrid/>
          <w:kern w:val="0"/>
        </w:rPr>
        <w:t xml:space="preserve">  </w:t>
      </w:r>
      <w:r w:rsidRPr="00962B06">
        <w:rPr>
          <w:color w:val="000000"/>
          <w:szCs w:val="22"/>
        </w:rPr>
        <w:t>We deferred action on the application in response to the Executive Branch Agencies’ request.</w:t>
      </w:r>
      <w:r w:rsidRPr="00962B06">
        <w:rPr>
          <w:szCs w:val="22"/>
          <w:vertAlign w:val="superscript"/>
        </w:rPr>
        <w:footnoteReference w:id="4"/>
      </w:r>
      <w:r w:rsidRPr="00962B06">
        <w:rPr>
          <w:snapToGrid/>
          <w:kern w:val="0"/>
          <w:szCs w:val="22"/>
        </w:rPr>
        <w:t xml:space="preserve">   </w:t>
      </w:r>
    </w:p>
    <w:p w:rsidR="00962B06" w:rsidRPr="00962B06" w:rsidRDefault="00962B06" w:rsidP="00962B06">
      <w:pPr>
        <w:ind w:firstLine="720"/>
        <w:jc w:val="left"/>
        <w:rPr>
          <w:color w:val="000000"/>
          <w:szCs w:val="22"/>
        </w:rPr>
      </w:pPr>
    </w:p>
    <w:p w:rsidR="00962B06" w:rsidRPr="00962B06" w:rsidRDefault="00962B06" w:rsidP="00962B06">
      <w:pPr>
        <w:ind w:firstLine="720"/>
        <w:jc w:val="left"/>
        <w:rPr>
          <w:color w:val="000000"/>
          <w:szCs w:val="22"/>
        </w:rPr>
      </w:pPr>
      <w:r w:rsidRPr="00962B06">
        <w:rPr>
          <w:szCs w:val="22"/>
        </w:rPr>
        <w:t xml:space="preserve">On December 23, 2014, the </w:t>
      </w:r>
      <w:r w:rsidR="0043525F">
        <w:rPr>
          <w:szCs w:val="22"/>
        </w:rPr>
        <w:t>Department of Homeland Security</w:t>
      </w:r>
      <w:r w:rsidR="00A13B8B">
        <w:rPr>
          <w:szCs w:val="22"/>
        </w:rPr>
        <w:t>, on behalf of the Department of Justice and Department of Defense,</w:t>
      </w:r>
      <w:r w:rsidRPr="00962B06">
        <w:rPr>
          <w:szCs w:val="22"/>
        </w:rPr>
        <w:t xml:space="preserve"> submitted a Petition to Adopt Conditions to Authorizations and Licenses (Petition).</w:t>
      </w:r>
      <w:r w:rsidRPr="00962B06">
        <w:rPr>
          <w:szCs w:val="22"/>
          <w:vertAlign w:val="superscript"/>
        </w:rPr>
        <w:footnoteReference w:id="5"/>
      </w:r>
      <w:r w:rsidRPr="00962B06">
        <w:rPr>
          <w:szCs w:val="22"/>
        </w:rPr>
        <w:t xml:space="preserve">  In the Petition, the </w:t>
      </w:r>
      <w:r w:rsidR="0043525F">
        <w:rPr>
          <w:szCs w:val="22"/>
        </w:rPr>
        <w:t xml:space="preserve">Department of Homeland </w:t>
      </w:r>
      <w:r w:rsidR="00C65CB5">
        <w:rPr>
          <w:szCs w:val="22"/>
        </w:rPr>
        <w:t>Security</w:t>
      </w:r>
      <w:r w:rsidRPr="00962B06">
        <w:rPr>
          <w:szCs w:val="22"/>
        </w:rPr>
        <w:t xml:space="preserve"> advise</w:t>
      </w:r>
      <w:r w:rsidR="00A13B8B">
        <w:rPr>
          <w:szCs w:val="22"/>
        </w:rPr>
        <w:t>s</w:t>
      </w:r>
      <w:r w:rsidRPr="00962B06">
        <w:rPr>
          <w:szCs w:val="22"/>
        </w:rPr>
        <w:t xml:space="preserve"> the Commission that </w:t>
      </w:r>
      <w:r w:rsidR="00A13B8B">
        <w:rPr>
          <w:szCs w:val="22"/>
        </w:rPr>
        <w:t>it has</w:t>
      </w:r>
      <w:r w:rsidRPr="00962B06">
        <w:rPr>
          <w:szCs w:val="22"/>
        </w:rPr>
        <w:t xml:space="preserve"> no objection to the Commission granting its consent in this proceeding, provided the </w:t>
      </w:r>
      <w:r w:rsidRPr="00962B06">
        <w:rPr>
          <w:color w:val="000000"/>
          <w:szCs w:val="22"/>
        </w:rPr>
        <w:t xml:space="preserve">Commission </w:t>
      </w:r>
      <w:r w:rsidRPr="00962B06">
        <w:rPr>
          <w:color w:val="000000"/>
          <w:szCs w:val="22"/>
        </w:rPr>
        <w:lastRenderedPageBreak/>
        <w:t>conditions its approval on the assurance of Hibernia NGS and KCK to abide by the commitments and undertakings set forth in the December 15, 2014 Letter of Assurance (2014 LOA) between the Department of Justice, Department of Homeland Security, and Department of Defense</w:t>
      </w:r>
      <w:r w:rsidR="00A13B8B">
        <w:rPr>
          <w:color w:val="000000"/>
          <w:szCs w:val="22"/>
        </w:rPr>
        <w:t>,</w:t>
      </w:r>
      <w:r w:rsidRPr="00962B06">
        <w:rPr>
          <w:color w:val="000000"/>
          <w:szCs w:val="22"/>
        </w:rPr>
        <w:t xml:space="preserve"> and Hibernia NGS and KCK, as well as the commitments and undertakings set forth in the September 30, 2010 Letter of Assurance (2010 LOA) from Hibernia Group ehf to the Department of Homeland Security, Department of Justice, and Department of Defense, as revised by the 2014 LOA, and as further described in the Petition.</w:t>
      </w:r>
      <w:bookmarkStart w:id="1" w:name="SearchTerm"/>
      <w:r w:rsidRPr="00962B06">
        <w:rPr>
          <w:szCs w:val="22"/>
          <w:vertAlign w:val="superscript"/>
        </w:rPr>
        <w:footnoteReference w:id="6"/>
      </w:r>
      <w:r w:rsidRPr="00962B06">
        <w:rPr>
          <w:color w:val="000000"/>
          <w:szCs w:val="22"/>
        </w:rPr>
        <w:t xml:space="preserve">  The Department of Homeland Security filed the </w:t>
      </w:r>
      <w:bookmarkStart w:id="2" w:name="SR;381"/>
      <w:bookmarkEnd w:id="2"/>
      <w:r w:rsidRPr="00962B06">
        <w:rPr>
          <w:color w:val="000000"/>
          <w:szCs w:val="22"/>
        </w:rPr>
        <w:t>Petition, 2014 LOA, and 2010 LOA</w:t>
      </w:r>
      <w:bookmarkStart w:id="3" w:name="SR;383"/>
      <w:bookmarkEnd w:id="3"/>
      <w:r w:rsidRPr="00962B06">
        <w:rPr>
          <w:color w:val="000000"/>
          <w:szCs w:val="22"/>
        </w:rPr>
        <w:t xml:space="preserve"> in WC Docket No. 14-138 on December 23, 2014.</w:t>
      </w:r>
      <w:bookmarkStart w:id="4" w:name="FN[FN8]"/>
      <w:bookmarkEnd w:id="4"/>
    </w:p>
    <w:p w:rsidR="00962B06" w:rsidRPr="00962B06" w:rsidRDefault="00962B06" w:rsidP="00962B06">
      <w:pPr>
        <w:ind w:firstLine="720"/>
        <w:jc w:val="left"/>
        <w:rPr>
          <w:color w:val="000000"/>
          <w:szCs w:val="22"/>
        </w:rPr>
      </w:pPr>
    </w:p>
    <w:p w:rsidR="00962B06" w:rsidRPr="00962B06" w:rsidRDefault="00962B06" w:rsidP="00962B06">
      <w:pPr>
        <w:ind w:firstLine="720"/>
        <w:jc w:val="left"/>
        <w:rPr>
          <w:color w:val="000000"/>
          <w:szCs w:val="22"/>
        </w:rPr>
      </w:pPr>
      <w:bookmarkStart w:id="5" w:name="sp_999_1"/>
      <w:bookmarkStart w:id="6" w:name="SDU_1"/>
      <w:bookmarkEnd w:id="5"/>
      <w:bookmarkEnd w:id="6"/>
      <w:r w:rsidRPr="00962B06">
        <w:rPr>
          <w:color w:val="000000"/>
          <w:szCs w:val="22"/>
        </w:rPr>
        <w:t xml:space="preserve">The Bureau finds, upon consideration of the record, that grant of the application, subject to compliance with the </w:t>
      </w:r>
      <w:r w:rsidR="00E85381">
        <w:rPr>
          <w:color w:val="000000"/>
          <w:szCs w:val="22"/>
        </w:rPr>
        <w:t>Petition</w:t>
      </w:r>
      <w:bookmarkStart w:id="7" w:name="SR;414"/>
      <w:bookmarkStart w:id="8" w:name="SR;416"/>
      <w:bookmarkEnd w:id="1"/>
      <w:bookmarkEnd w:id="7"/>
      <w:bookmarkEnd w:id="8"/>
      <w:r w:rsidR="00A13B8B">
        <w:rPr>
          <w:color w:val="000000"/>
          <w:szCs w:val="22"/>
        </w:rPr>
        <w:t xml:space="preserve"> and Letters of Assurances</w:t>
      </w:r>
      <w:r w:rsidRPr="00962B06">
        <w:rPr>
          <w:color w:val="000000"/>
          <w:szCs w:val="22"/>
        </w:rPr>
        <w:t>, will serve the public interest, convenience, and necessity.  Upon consummation of the transaction, the resulting entity will have a market share in the U.S. interstate interexchange market of less than 10 percent, and will provide competitive telephone exchange services or exchange access services exclusively in geographic areas served by a dominant local exchange carrier in the U.S. that is not a party to the transaction.  In addition, no party to the transaction is dominant with respect to any domestic service.</w:t>
      </w:r>
    </w:p>
    <w:p w:rsidR="00962B06" w:rsidRPr="00962B06" w:rsidRDefault="00962B06" w:rsidP="00962B06">
      <w:pPr>
        <w:ind w:firstLine="720"/>
        <w:jc w:val="left"/>
        <w:rPr>
          <w:color w:val="000000"/>
          <w:szCs w:val="22"/>
        </w:rPr>
      </w:pPr>
    </w:p>
    <w:p w:rsidR="00962B06" w:rsidRPr="00962B06" w:rsidRDefault="00962B06" w:rsidP="00962B06">
      <w:pPr>
        <w:ind w:firstLine="720"/>
        <w:jc w:val="left"/>
      </w:pPr>
      <w:r w:rsidRPr="00962B06">
        <w:rPr>
          <w:color w:val="000000"/>
          <w:szCs w:val="22"/>
        </w:rPr>
        <w:t>Consistent with Commission precedent, the Bureau accords the appropriate level of deference to the Executive Branch Agencies' expertise on national security and law enforcement issues.</w:t>
      </w:r>
      <w:bookmarkStart w:id="9" w:name="FN[FN9]"/>
      <w:bookmarkEnd w:id="9"/>
      <w:r w:rsidRPr="00962B06">
        <w:rPr>
          <w:szCs w:val="22"/>
          <w:vertAlign w:val="superscript"/>
        </w:rPr>
        <w:t xml:space="preserve"> </w:t>
      </w:r>
      <w:r w:rsidRPr="00962B06">
        <w:rPr>
          <w:szCs w:val="22"/>
          <w:vertAlign w:val="superscript"/>
        </w:rPr>
        <w:footnoteReference w:id="7"/>
      </w:r>
      <w:r w:rsidRPr="00962B06">
        <w:rPr>
          <w:color w:val="000000"/>
          <w:szCs w:val="22"/>
        </w:rPr>
        <w:t xml:space="preserve">   Therefore, pursuant to section 214 of the Act, 47 U.S.C. § 214, and sections 0.91 and 0.291 of the Commission's rules, 47 C.F.R. §§ 0.91, 0.291, the Bureau hereby grants the Application discussed in this Public Notice subject to compliance with the </w:t>
      </w:r>
      <w:r w:rsidR="00A13B8B">
        <w:rPr>
          <w:color w:val="000000"/>
          <w:szCs w:val="22"/>
        </w:rPr>
        <w:t>Petition and Letters of Assurances</w:t>
      </w:r>
      <w:r w:rsidRPr="00962B06">
        <w:rPr>
          <w:color w:val="000000"/>
          <w:szCs w:val="22"/>
        </w:rPr>
        <w:t xml:space="preserve"> described above.  </w:t>
      </w:r>
      <w:r w:rsidRPr="00962B06">
        <w:t xml:space="preserve">A failure to comply with and/or remain in compliance with any of the provisions of the </w:t>
      </w:r>
      <w:r w:rsidR="00A13B8B">
        <w:t xml:space="preserve">Petition and </w:t>
      </w:r>
      <w:r w:rsidRPr="00962B06">
        <w:t>Letters of Assurances 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 </w:t>
      </w:r>
    </w:p>
    <w:p w:rsidR="00962B06" w:rsidRPr="00962B06" w:rsidRDefault="00962B06" w:rsidP="00962B06">
      <w:pPr>
        <w:ind w:firstLine="720"/>
        <w:jc w:val="left"/>
        <w:rPr>
          <w:color w:val="000000"/>
          <w:szCs w:val="22"/>
        </w:rPr>
      </w:pPr>
    </w:p>
    <w:p w:rsidR="00962B06" w:rsidRPr="00962B06" w:rsidRDefault="00962B06" w:rsidP="00962B06">
      <w:pPr>
        <w:ind w:firstLine="720"/>
        <w:jc w:val="left"/>
        <w:rPr>
          <w:color w:val="000000"/>
          <w:szCs w:val="22"/>
        </w:rPr>
      </w:pPr>
      <w:r w:rsidRPr="00962B06">
        <w:rPr>
          <w:color w:val="000000"/>
          <w:szCs w:val="22"/>
        </w:rPr>
        <w:t>Pursuant to section 1.103 of the Commission's rules, 47 C.F.R. § 1.103, the grant is effective upon release of this Public Notice.</w:t>
      </w:r>
      <w:bookmarkStart w:id="10" w:name="FN[FN11]"/>
      <w:bookmarkEnd w:id="10"/>
      <w:r w:rsidRPr="00962B06">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11" w:name="FN[FN12]"/>
      <w:bookmarkEnd w:id="11"/>
    </w:p>
    <w:p w:rsidR="00962B06" w:rsidRPr="00962B06" w:rsidRDefault="00962B06" w:rsidP="00962B06">
      <w:pPr>
        <w:ind w:firstLine="720"/>
        <w:jc w:val="left"/>
        <w:rPr>
          <w:color w:val="000000"/>
          <w:szCs w:val="22"/>
        </w:rPr>
      </w:pPr>
      <w:bookmarkStart w:id="12" w:name="sp_999_2"/>
      <w:bookmarkStart w:id="13" w:name="SDU_2"/>
      <w:bookmarkEnd w:id="12"/>
      <w:bookmarkEnd w:id="13"/>
    </w:p>
    <w:p w:rsidR="00962B06" w:rsidRPr="00962B06" w:rsidRDefault="00962B06" w:rsidP="00962B06">
      <w:pPr>
        <w:ind w:firstLine="720"/>
        <w:jc w:val="left"/>
        <w:rPr>
          <w:b/>
          <w:color w:val="000000"/>
        </w:rPr>
      </w:pPr>
      <w:r w:rsidRPr="00962B06">
        <w:rPr>
          <w:color w:val="000000"/>
          <w:szCs w:val="22"/>
        </w:rPr>
        <w:t>For further information, please contact Jodie May, Wireline Competition Bureau, Competition Policy Division, (202) 418-0913.</w:t>
      </w:r>
    </w:p>
    <w:p w:rsidR="00C519D4" w:rsidRDefault="00C519D4" w:rsidP="00962B06">
      <w:pPr>
        <w:widowControl/>
        <w:suppressAutoHyphens/>
        <w:jc w:val="right"/>
        <w:rPr>
          <w:color w:val="000000"/>
          <w:szCs w:val="22"/>
        </w:rPr>
      </w:pPr>
    </w:p>
    <w:sectPr w:rsidR="00C519D4">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F3" w:rsidRDefault="00C528F3">
      <w:pPr>
        <w:spacing w:line="20" w:lineRule="exact"/>
      </w:pPr>
    </w:p>
  </w:endnote>
  <w:endnote w:type="continuationSeparator" w:id="0">
    <w:p w:rsidR="00C528F3" w:rsidRDefault="00C528F3">
      <w:r>
        <w:t xml:space="preserve"> </w:t>
      </w:r>
    </w:p>
  </w:endnote>
  <w:endnote w:type="continuationNotice" w:id="1">
    <w:p w:rsidR="00C528F3" w:rsidRDefault="00C528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BDA" w:rsidRDefault="003F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4FB">
      <w:rPr>
        <w:rStyle w:val="PageNumber"/>
        <w:noProof/>
      </w:rPr>
      <w:t>2</w:t>
    </w:r>
    <w:r>
      <w:rPr>
        <w:rStyle w:val="PageNumber"/>
      </w:rPr>
      <w:fldChar w:fldCharType="end"/>
    </w:r>
  </w:p>
  <w:p w:rsidR="003F5BDA" w:rsidRDefault="003F5BDA">
    <w:pPr>
      <w:pStyle w:val="Footer"/>
    </w:pPr>
  </w:p>
  <w:p w:rsidR="003F5BDA" w:rsidRDefault="003F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F3" w:rsidRDefault="00C528F3">
      <w:r>
        <w:separator/>
      </w:r>
    </w:p>
  </w:footnote>
  <w:footnote w:type="continuationSeparator" w:id="0">
    <w:p w:rsidR="00C528F3" w:rsidRDefault="00C528F3">
      <w:r>
        <w:continuationSeparator/>
      </w:r>
    </w:p>
  </w:footnote>
  <w:footnote w:id="1">
    <w:p w:rsidR="00962B06" w:rsidRDefault="00962B06" w:rsidP="00962B06">
      <w:pPr>
        <w:pStyle w:val="FootnoteText"/>
      </w:pPr>
      <w:r>
        <w:rPr>
          <w:rStyle w:val="FootnoteReference"/>
        </w:rPr>
        <w:footnoteRef/>
      </w:r>
      <w:r>
        <w:t xml:space="preserve">  47 C.F.R § 63.03; 47 U.S.C. § 214.  </w:t>
      </w:r>
      <w:r w:rsidRPr="00014310">
        <w:rPr>
          <w:i/>
        </w:rPr>
        <w:t>Domestic Section 214 Application Filed for the Transfer of Control of Hibernia Atlantic U.S. LLC and Hibernia Media, LLC to KCK Limited</w:t>
      </w:r>
      <w:r>
        <w:t>, WC Docket No. 14-138, 29 FCC Rcd 10496 (Wireline Comp. Bur. 2014) (</w:t>
      </w:r>
      <w:r w:rsidRPr="00E60217">
        <w:rPr>
          <w:i/>
        </w:rPr>
        <w:t>Hibernia Public Notice</w:t>
      </w:r>
      <w:r>
        <w:t xml:space="preserve">).    </w:t>
      </w:r>
      <w:r w:rsidRPr="00B1304D">
        <w:t xml:space="preserve">        </w:t>
      </w:r>
      <w:r>
        <w:t xml:space="preserve">       </w:t>
      </w:r>
    </w:p>
  </w:footnote>
  <w:footnote w:id="2">
    <w:p w:rsidR="00962B06" w:rsidRDefault="00962B06" w:rsidP="00962B06">
      <w:pPr>
        <w:pStyle w:val="FootnoteText"/>
      </w:pPr>
      <w:r>
        <w:rPr>
          <w:rStyle w:val="FootnoteReference"/>
        </w:rPr>
        <w:footnoteRef/>
      </w:r>
      <w:r>
        <w:t xml:space="preserve"> </w:t>
      </w:r>
      <w:r>
        <w:rPr>
          <w:i/>
        </w:rPr>
        <w:t>Hibernia Public Notice</w:t>
      </w:r>
      <w:r>
        <w:t xml:space="preserve"> at 1-2.</w:t>
      </w:r>
      <w:r>
        <w:rPr>
          <w:i/>
        </w:rPr>
        <w:t xml:space="preserve"> </w:t>
      </w:r>
    </w:p>
  </w:footnote>
  <w:footnote w:id="3">
    <w:p w:rsidR="00962B06" w:rsidRDefault="00962B06" w:rsidP="00962B06">
      <w:pPr>
        <w:pStyle w:val="FootnoteText"/>
      </w:pPr>
      <w:r>
        <w:rPr>
          <w:rStyle w:val="FootnoteReference"/>
        </w:rPr>
        <w:footnoteRef/>
      </w:r>
      <w:r>
        <w:t xml:space="preserve">  </w:t>
      </w:r>
      <w:r>
        <w:rPr>
          <w:i/>
        </w:rPr>
        <w:t>See</w:t>
      </w:r>
      <w:r>
        <w:t xml:space="preserve"> </w:t>
      </w:r>
      <w:r>
        <w:rPr>
          <w:rFonts w:ascii="Times New (W1)" w:hAnsi="Times New (W1)"/>
        </w:rPr>
        <w:t>Letter from Joanne P. Ongman, U.S. Department of Justice, to Marlene H. Dortch, FCC, WC</w:t>
      </w:r>
      <w:r>
        <w:t xml:space="preserve"> Docket No. 14-138 </w:t>
      </w:r>
      <w:r>
        <w:rPr>
          <w:rFonts w:ascii="Times New (W1)" w:hAnsi="Times New (W1)"/>
        </w:rPr>
        <w:t>(filed Sept. 17, 2014).</w:t>
      </w:r>
    </w:p>
  </w:footnote>
  <w:footnote w:id="4">
    <w:p w:rsidR="00962B06" w:rsidRDefault="00962B06" w:rsidP="00962B06">
      <w:pPr>
        <w:pStyle w:val="FootnoteText"/>
      </w:pPr>
      <w:r>
        <w:rPr>
          <w:rStyle w:val="FootnoteReference"/>
        </w:rPr>
        <w:footnoteRef/>
      </w:r>
      <w:r>
        <w:t xml:space="preserve"> </w:t>
      </w:r>
      <w:r w:rsidRPr="00BD7F40">
        <w:rPr>
          <w:i/>
        </w:rPr>
        <w:t>Notice of Removal of Domestic Section 214 Application from Streamlined Treatment</w:t>
      </w:r>
      <w:r>
        <w:t>, WC Docket No. 14-138, Public Notice, DA 14-1389 (Wireline Comp. Bur. 2014).</w:t>
      </w:r>
    </w:p>
  </w:footnote>
  <w:footnote w:id="5">
    <w:p w:rsidR="00962B06" w:rsidRDefault="00962B06" w:rsidP="00962B06">
      <w:pPr>
        <w:pStyle w:val="FootnoteText"/>
      </w:pPr>
      <w:r>
        <w:rPr>
          <w:rStyle w:val="FootnoteReference"/>
        </w:rPr>
        <w:footnoteRef/>
      </w:r>
      <w:r>
        <w:t xml:space="preserve"> Petition to Adopt Conditions to Authorizations and Licenses, WC Docket No. 14-138 and File No. SCL-T/C-20140820-00007, ITC-T/C-20140820-00242, ITC-T/C-20140820-00244 (filed Dec. 23, 2014).</w:t>
      </w:r>
    </w:p>
  </w:footnote>
  <w:footnote w:id="6">
    <w:p w:rsidR="00962B06" w:rsidRPr="00BD7F40" w:rsidRDefault="00962B06" w:rsidP="00962B06">
      <w:pPr>
        <w:pStyle w:val="FootnoteText"/>
      </w:pPr>
      <w:r>
        <w:rPr>
          <w:rStyle w:val="FootnoteReference"/>
        </w:rPr>
        <w:footnoteRef/>
      </w:r>
      <w:r>
        <w:t xml:space="preserve"> </w:t>
      </w:r>
      <w:r>
        <w:rPr>
          <w:i/>
        </w:rPr>
        <w:t>Id</w:t>
      </w:r>
      <w:r>
        <w:t>. at 1-2.</w:t>
      </w:r>
    </w:p>
  </w:footnote>
  <w:footnote w:id="7">
    <w:p w:rsidR="00962B06" w:rsidRDefault="00962B06" w:rsidP="00962B06">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BE" w:rsidRDefault="00623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BE" w:rsidRDefault="00623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F5BDA" w:rsidRPr="00FC365D" w:rsidRDefault="003F5BDA">
    <w:pPr>
      <w:suppressAutoHyphens/>
      <w:ind w:firstLine="1080"/>
      <w:rPr>
        <w:rFonts w:ascii="Arial" w:hAnsi="Arial" w:cs="Arial"/>
      </w:rPr>
    </w:pPr>
    <w:r w:rsidRPr="00FC365D">
      <w:rPr>
        <w:rFonts w:ascii="Arial" w:hAnsi="Arial" w:cs="Arial"/>
        <w:b/>
        <w:sz w:val="96"/>
      </w:rPr>
      <w:t>PUBLIC NOTICE</w:t>
    </w:r>
  </w:p>
  <w:p w:rsidR="003F5BDA" w:rsidRDefault="003F5BDA">
    <w:pPr>
      <w:suppressAutoHyphens/>
      <w:rPr>
        <w:rFonts w:ascii="Arial Narrow" w:hAnsi="Arial Narrow"/>
      </w:rPr>
    </w:pP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713CC" w:rsidRDefault="00C713CC"/>
                </w:txbxContent>
              </v:textbox>
            </v:shape>
          </w:pict>
        </mc:Fallback>
      </mc:AlternateContent>
    </w:r>
    <w:r>
      <w:rPr>
        <w:rFonts w:ascii="Arial Narrow" w:hAnsi="Arial Narrow"/>
        <w:b/>
      </w:rPr>
      <w:tab/>
    </w:r>
    <w:r>
      <w:rPr>
        <w:rFonts w:ascii="Arial Narrow" w:hAnsi="Arial Narrow"/>
        <w:b/>
      </w:rPr>
      <w:tab/>
      <w:t>Federal Communications Commission</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F5BDA" w:rsidRDefault="003F5BD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F5BDA" w:rsidRDefault="003F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313DF"/>
    <w:rsid w:val="001502AB"/>
    <w:rsid w:val="001741A2"/>
    <w:rsid w:val="00193AD9"/>
    <w:rsid w:val="001A2900"/>
    <w:rsid w:val="001C5026"/>
    <w:rsid w:val="001D3B79"/>
    <w:rsid w:val="001E0491"/>
    <w:rsid w:val="001E2194"/>
    <w:rsid w:val="001F35A7"/>
    <w:rsid w:val="002031AA"/>
    <w:rsid w:val="002332AE"/>
    <w:rsid w:val="0025758D"/>
    <w:rsid w:val="002660CA"/>
    <w:rsid w:val="002713ED"/>
    <w:rsid w:val="00280C79"/>
    <w:rsid w:val="002A190A"/>
    <w:rsid w:val="002F1DB3"/>
    <w:rsid w:val="00332A75"/>
    <w:rsid w:val="00337F45"/>
    <w:rsid w:val="00386CC8"/>
    <w:rsid w:val="003B0DA1"/>
    <w:rsid w:val="003F5BDA"/>
    <w:rsid w:val="003F65D3"/>
    <w:rsid w:val="004307A1"/>
    <w:rsid w:val="00431FEE"/>
    <w:rsid w:val="004329A8"/>
    <w:rsid w:val="0043525F"/>
    <w:rsid w:val="0046465E"/>
    <w:rsid w:val="00482113"/>
    <w:rsid w:val="0048479A"/>
    <w:rsid w:val="004A430F"/>
    <w:rsid w:val="004E3E49"/>
    <w:rsid w:val="0051444D"/>
    <w:rsid w:val="00516A52"/>
    <w:rsid w:val="0055115C"/>
    <w:rsid w:val="00561368"/>
    <w:rsid w:val="00582863"/>
    <w:rsid w:val="005A034B"/>
    <w:rsid w:val="005B45F7"/>
    <w:rsid w:val="005C2E3A"/>
    <w:rsid w:val="005C699D"/>
    <w:rsid w:val="005D06B7"/>
    <w:rsid w:val="005D65C6"/>
    <w:rsid w:val="00613D3A"/>
    <w:rsid w:val="006233BE"/>
    <w:rsid w:val="006354FB"/>
    <w:rsid w:val="00662087"/>
    <w:rsid w:val="00680D2D"/>
    <w:rsid w:val="006A1653"/>
    <w:rsid w:val="006B306A"/>
    <w:rsid w:val="006E1B37"/>
    <w:rsid w:val="006E676D"/>
    <w:rsid w:val="006F03B1"/>
    <w:rsid w:val="00737A33"/>
    <w:rsid w:val="00753D9B"/>
    <w:rsid w:val="00790772"/>
    <w:rsid w:val="00792D42"/>
    <w:rsid w:val="007C516C"/>
    <w:rsid w:val="007D7028"/>
    <w:rsid w:val="00811DEC"/>
    <w:rsid w:val="008156B7"/>
    <w:rsid w:val="00832582"/>
    <w:rsid w:val="00861A39"/>
    <w:rsid w:val="00882966"/>
    <w:rsid w:val="008926F3"/>
    <w:rsid w:val="008D10DE"/>
    <w:rsid w:val="008F0F3A"/>
    <w:rsid w:val="009228DB"/>
    <w:rsid w:val="00923B0D"/>
    <w:rsid w:val="00962B06"/>
    <w:rsid w:val="00976A0D"/>
    <w:rsid w:val="009C18B5"/>
    <w:rsid w:val="009D575C"/>
    <w:rsid w:val="00A053DD"/>
    <w:rsid w:val="00A13B8B"/>
    <w:rsid w:val="00A54227"/>
    <w:rsid w:val="00AB3613"/>
    <w:rsid w:val="00AC4D23"/>
    <w:rsid w:val="00AC59DC"/>
    <w:rsid w:val="00AD00CB"/>
    <w:rsid w:val="00AD15CC"/>
    <w:rsid w:val="00AE5BD8"/>
    <w:rsid w:val="00B07540"/>
    <w:rsid w:val="00B27B33"/>
    <w:rsid w:val="00B4654A"/>
    <w:rsid w:val="00B62906"/>
    <w:rsid w:val="00B90FC6"/>
    <w:rsid w:val="00B96B1D"/>
    <w:rsid w:val="00BD28C4"/>
    <w:rsid w:val="00BD7F40"/>
    <w:rsid w:val="00C0202D"/>
    <w:rsid w:val="00C17675"/>
    <w:rsid w:val="00C30043"/>
    <w:rsid w:val="00C519D4"/>
    <w:rsid w:val="00C528F3"/>
    <w:rsid w:val="00C54A49"/>
    <w:rsid w:val="00C627C4"/>
    <w:rsid w:val="00C63F47"/>
    <w:rsid w:val="00C65CB5"/>
    <w:rsid w:val="00C713CC"/>
    <w:rsid w:val="00C85D84"/>
    <w:rsid w:val="00CA2B5D"/>
    <w:rsid w:val="00CB77F1"/>
    <w:rsid w:val="00CE1B11"/>
    <w:rsid w:val="00D002F7"/>
    <w:rsid w:val="00D1029A"/>
    <w:rsid w:val="00D2187C"/>
    <w:rsid w:val="00D62A9F"/>
    <w:rsid w:val="00D64483"/>
    <w:rsid w:val="00E00BB1"/>
    <w:rsid w:val="00E073A7"/>
    <w:rsid w:val="00E6043D"/>
    <w:rsid w:val="00E60CA9"/>
    <w:rsid w:val="00E65229"/>
    <w:rsid w:val="00E815C0"/>
    <w:rsid w:val="00E85381"/>
    <w:rsid w:val="00E90E75"/>
    <w:rsid w:val="00E95A59"/>
    <w:rsid w:val="00EB7B82"/>
    <w:rsid w:val="00EE199A"/>
    <w:rsid w:val="00F0706E"/>
    <w:rsid w:val="00F10037"/>
    <w:rsid w:val="00F13AE1"/>
    <w:rsid w:val="00F26762"/>
    <w:rsid w:val="00F41498"/>
    <w:rsid w:val="00F90C6E"/>
    <w:rsid w:val="00FA022E"/>
    <w:rsid w:val="00FA4A1D"/>
    <w:rsid w:val="00FA56B2"/>
    <w:rsid w:val="00FB2FE2"/>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3921</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4638</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2015-01-12T17:32:00Z</dcterms:created>
  <dcterms:modified xsi:type="dcterms:W3CDTF">2015-01-12T17:32:00Z</dcterms:modified>
  <cp:category> </cp:category>
  <cp:contentStatus> </cp:contentStatus>
</cp:coreProperties>
</file>