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854" w:rsidRPr="00331410" w:rsidRDefault="00050854" w:rsidP="00BF1922">
      <w:pPr>
        <w:widowControl/>
        <w:tabs>
          <w:tab w:val="center" w:pos="4770"/>
        </w:tabs>
        <w:suppressAutoHyphens/>
        <w:jc w:val="center"/>
        <w:outlineLvl w:val="0"/>
        <w:rPr>
          <w:b/>
          <w:spacing w:val="-2"/>
          <w:sz w:val="22"/>
          <w:szCs w:val="22"/>
        </w:rPr>
      </w:pPr>
      <w:bookmarkStart w:id="0" w:name="_GoBack"/>
      <w:bookmarkEnd w:id="0"/>
      <w:r w:rsidRPr="00331410">
        <w:rPr>
          <w:b/>
          <w:spacing w:val="-2"/>
          <w:sz w:val="22"/>
          <w:szCs w:val="22"/>
        </w:rPr>
        <w:t>Before the</w:t>
      </w:r>
    </w:p>
    <w:p w:rsidR="004C6D99" w:rsidRPr="00331410" w:rsidRDefault="004C6D99" w:rsidP="00BF1922">
      <w:pPr>
        <w:widowControl/>
        <w:tabs>
          <w:tab w:val="center" w:pos="4770"/>
        </w:tabs>
        <w:suppressAutoHyphens/>
        <w:jc w:val="center"/>
        <w:outlineLvl w:val="0"/>
        <w:rPr>
          <w:b/>
          <w:spacing w:val="-2"/>
          <w:sz w:val="22"/>
          <w:szCs w:val="22"/>
        </w:rPr>
      </w:pPr>
      <w:r w:rsidRPr="00331410">
        <w:rPr>
          <w:b/>
          <w:spacing w:val="-2"/>
          <w:sz w:val="22"/>
          <w:szCs w:val="22"/>
        </w:rPr>
        <w:t>Federal Communications Commission</w:t>
      </w:r>
    </w:p>
    <w:p w:rsidR="00050854" w:rsidRPr="00331410" w:rsidRDefault="004C6D99" w:rsidP="00BF1922">
      <w:pPr>
        <w:widowControl/>
        <w:tabs>
          <w:tab w:val="center" w:pos="4770"/>
        </w:tabs>
        <w:suppressAutoHyphens/>
        <w:jc w:val="center"/>
        <w:outlineLvl w:val="0"/>
        <w:rPr>
          <w:b/>
          <w:sz w:val="22"/>
          <w:szCs w:val="22"/>
        </w:rPr>
      </w:pPr>
      <w:smartTag w:uri="urn:schemas-microsoft-com:office:smarttags" w:element="place">
        <w:smartTag w:uri="urn:schemas-microsoft-com:office:smarttags" w:element="City">
          <w:r w:rsidRPr="00331410">
            <w:rPr>
              <w:b/>
              <w:sz w:val="22"/>
              <w:szCs w:val="22"/>
            </w:rPr>
            <w:t>Washington</w:t>
          </w:r>
        </w:smartTag>
        <w:r w:rsidRPr="00331410">
          <w:rPr>
            <w:b/>
            <w:sz w:val="22"/>
            <w:szCs w:val="22"/>
          </w:rPr>
          <w:t xml:space="preserve">, </w:t>
        </w:r>
        <w:smartTag w:uri="urn:schemas-microsoft-com:office:smarttags" w:element="State">
          <w:r w:rsidRPr="00331410">
            <w:rPr>
              <w:b/>
              <w:sz w:val="22"/>
              <w:szCs w:val="22"/>
            </w:rPr>
            <w:t>D.C.</w:t>
          </w:r>
        </w:smartTag>
        <w:r w:rsidRPr="00331410">
          <w:rPr>
            <w:b/>
            <w:sz w:val="22"/>
            <w:szCs w:val="22"/>
          </w:rPr>
          <w:t xml:space="preserve"> </w:t>
        </w:r>
        <w:smartTag w:uri="urn:schemas-microsoft-com:office:smarttags" w:element="PostalCode">
          <w:r w:rsidRPr="00331410">
            <w:rPr>
              <w:b/>
              <w:sz w:val="22"/>
              <w:szCs w:val="22"/>
            </w:rPr>
            <w:t>20554</w:t>
          </w:r>
        </w:smartTag>
      </w:smartTag>
    </w:p>
    <w:p w:rsidR="00050854" w:rsidRDefault="00050854" w:rsidP="00BF1922">
      <w:pPr>
        <w:widowControl/>
        <w:tabs>
          <w:tab w:val="center" w:pos="4680"/>
        </w:tabs>
        <w:suppressAutoHyphens/>
        <w:spacing w:line="240" w:lineRule="atLeast"/>
        <w:jc w:val="both"/>
        <w:outlineLvl w:val="0"/>
        <w:rPr>
          <w:b/>
          <w:spacing w:val="-2"/>
          <w:sz w:val="24"/>
        </w:rPr>
      </w:pPr>
    </w:p>
    <w:tbl>
      <w:tblPr>
        <w:tblW w:w="9720" w:type="dxa"/>
        <w:jc w:val="center"/>
        <w:tblInd w:w="108" w:type="dxa"/>
        <w:tblLayout w:type="fixed"/>
        <w:tblLook w:val="0000" w:firstRow="0" w:lastRow="0" w:firstColumn="0" w:lastColumn="0" w:noHBand="0" w:noVBand="0"/>
      </w:tblPr>
      <w:tblGrid>
        <w:gridCol w:w="4770"/>
        <w:gridCol w:w="270"/>
        <w:gridCol w:w="4680"/>
      </w:tblGrid>
      <w:tr w:rsidR="00050854" w:rsidRPr="00E34AAE" w:rsidTr="00571009">
        <w:trPr>
          <w:jc w:val="center"/>
        </w:trPr>
        <w:tc>
          <w:tcPr>
            <w:tcW w:w="4770" w:type="dxa"/>
          </w:tcPr>
          <w:p w:rsidR="00050854" w:rsidRPr="00E34AAE" w:rsidRDefault="00050854" w:rsidP="00303D60">
            <w:pPr>
              <w:widowControl/>
              <w:rPr>
                <w:sz w:val="22"/>
                <w:szCs w:val="22"/>
              </w:rPr>
            </w:pPr>
            <w:r w:rsidRPr="00E34AAE">
              <w:rPr>
                <w:spacing w:val="-2"/>
                <w:sz w:val="22"/>
                <w:szCs w:val="22"/>
              </w:rPr>
              <w:t>In the Matter of</w:t>
            </w:r>
            <w:r w:rsidRPr="00E34AAE">
              <w:rPr>
                <w:sz w:val="22"/>
                <w:szCs w:val="22"/>
              </w:rPr>
              <w:t xml:space="preserve"> </w:t>
            </w:r>
          </w:p>
          <w:p w:rsidR="00050854" w:rsidRPr="00E34AAE" w:rsidRDefault="00050854" w:rsidP="00BF1922">
            <w:pPr>
              <w:widowControl/>
              <w:rPr>
                <w:sz w:val="22"/>
                <w:szCs w:val="22"/>
              </w:rPr>
            </w:pPr>
          </w:p>
          <w:p w:rsidR="00050854" w:rsidRPr="00303D60" w:rsidRDefault="00C5037A" w:rsidP="00303D60">
            <w:pPr>
              <w:widowControl/>
              <w:rPr>
                <w:spacing w:val="-2"/>
                <w:sz w:val="22"/>
                <w:szCs w:val="22"/>
              </w:rPr>
            </w:pPr>
            <w:r>
              <w:rPr>
                <w:spacing w:val="-2"/>
                <w:sz w:val="22"/>
                <w:szCs w:val="22"/>
              </w:rPr>
              <w:t>Luis Angel Ayora</w:t>
            </w:r>
          </w:p>
          <w:p w:rsidR="00303D60" w:rsidRPr="00303D60" w:rsidRDefault="00303D60" w:rsidP="00303D60">
            <w:pPr>
              <w:widowControl/>
              <w:rPr>
                <w:sz w:val="22"/>
                <w:szCs w:val="22"/>
              </w:rPr>
            </w:pPr>
          </w:p>
          <w:p w:rsidR="00050854" w:rsidRPr="003407D0" w:rsidRDefault="00C5037A" w:rsidP="00C5037A">
            <w:pPr>
              <w:widowControl/>
              <w:rPr>
                <w:sz w:val="22"/>
              </w:rPr>
            </w:pPr>
            <w:r>
              <w:rPr>
                <w:sz w:val="22"/>
                <w:szCs w:val="22"/>
              </w:rPr>
              <w:t>Queens</w:t>
            </w:r>
            <w:r w:rsidR="00245B5D" w:rsidRPr="00303D60">
              <w:rPr>
                <w:sz w:val="22"/>
                <w:szCs w:val="22"/>
              </w:rPr>
              <w:t xml:space="preserve">, </w:t>
            </w:r>
            <w:r>
              <w:rPr>
                <w:sz w:val="22"/>
                <w:szCs w:val="22"/>
              </w:rPr>
              <w:t>New York</w:t>
            </w:r>
          </w:p>
        </w:tc>
        <w:tc>
          <w:tcPr>
            <w:tcW w:w="270" w:type="dxa"/>
          </w:tcPr>
          <w:p w:rsidR="00050854" w:rsidRPr="00E34AAE" w:rsidRDefault="00050854" w:rsidP="00BF1922">
            <w:pPr>
              <w:widowControl/>
              <w:tabs>
                <w:tab w:val="center" w:pos="4680"/>
              </w:tabs>
              <w:suppressAutoHyphens/>
              <w:spacing w:line="240" w:lineRule="atLeast"/>
              <w:jc w:val="both"/>
              <w:outlineLvl w:val="0"/>
              <w:rPr>
                <w:sz w:val="22"/>
                <w:szCs w:val="22"/>
              </w:rPr>
            </w:pPr>
            <w:r w:rsidRPr="00E34AAE">
              <w:rPr>
                <w:sz w:val="22"/>
                <w:szCs w:val="22"/>
              </w:rPr>
              <w:t>)</w:t>
            </w:r>
          </w:p>
          <w:p w:rsidR="00050854" w:rsidRPr="00E34AAE" w:rsidRDefault="00050854" w:rsidP="00BF1922">
            <w:pPr>
              <w:widowControl/>
              <w:tabs>
                <w:tab w:val="center" w:pos="4680"/>
              </w:tabs>
              <w:suppressAutoHyphens/>
              <w:spacing w:line="240" w:lineRule="atLeast"/>
              <w:jc w:val="both"/>
              <w:outlineLvl w:val="0"/>
              <w:rPr>
                <w:sz w:val="22"/>
                <w:szCs w:val="22"/>
              </w:rPr>
            </w:pPr>
            <w:r w:rsidRPr="00E34AAE">
              <w:rPr>
                <w:sz w:val="22"/>
                <w:szCs w:val="22"/>
              </w:rPr>
              <w:t>)</w:t>
            </w:r>
          </w:p>
          <w:p w:rsidR="00050854" w:rsidRPr="00E34AAE" w:rsidRDefault="00050854" w:rsidP="00BF1922">
            <w:pPr>
              <w:widowControl/>
              <w:tabs>
                <w:tab w:val="center" w:pos="4680"/>
              </w:tabs>
              <w:suppressAutoHyphens/>
              <w:spacing w:line="240" w:lineRule="atLeast"/>
              <w:jc w:val="both"/>
              <w:outlineLvl w:val="0"/>
              <w:rPr>
                <w:sz w:val="22"/>
                <w:szCs w:val="22"/>
              </w:rPr>
            </w:pPr>
            <w:r w:rsidRPr="00E34AAE">
              <w:rPr>
                <w:sz w:val="22"/>
                <w:szCs w:val="22"/>
              </w:rPr>
              <w:t>)</w:t>
            </w:r>
          </w:p>
          <w:p w:rsidR="00050854" w:rsidRPr="00E34AAE" w:rsidRDefault="00050854" w:rsidP="00BF1922">
            <w:pPr>
              <w:widowControl/>
              <w:tabs>
                <w:tab w:val="center" w:pos="4680"/>
              </w:tabs>
              <w:suppressAutoHyphens/>
              <w:spacing w:line="240" w:lineRule="atLeast"/>
              <w:jc w:val="both"/>
              <w:outlineLvl w:val="0"/>
              <w:rPr>
                <w:sz w:val="22"/>
                <w:szCs w:val="22"/>
              </w:rPr>
            </w:pPr>
            <w:r w:rsidRPr="00E34AAE">
              <w:rPr>
                <w:sz w:val="22"/>
                <w:szCs w:val="22"/>
              </w:rPr>
              <w:t>)</w:t>
            </w:r>
          </w:p>
          <w:p w:rsidR="00050854" w:rsidRPr="00E34AAE" w:rsidRDefault="00050854" w:rsidP="00BF1922">
            <w:pPr>
              <w:widowControl/>
              <w:tabs>
                <w:tab w:val="center" w:pos="4680"/>
              </w:tabs>
              <w:suppressAutoHyphens/>
              <w:spacing w:line="240" w:lineRule="atLeast"/>
              <w:jc w:val="both"/>
              <w:outlineLvl w:val="0"/>
              <w:rPr>
                <w:sz w:val="22"/>
                <w:szCs w:val="22"/>
              </w:rPr>
            </w:pPr>
            <w:r w:rsidRPr="00E34AAE">
              <w:rPr>
                <w:sz w:val="22"/>
                <w:szCs w:val="22"/>
              </w:rPr>
              <w:t>)</w:t>
            </w:r>
          </w:p>
        </w:tc>
        <w:tc>
          <w:tcPr>
            <w:tcW w:w="4680" w:type="dxa"/>
          </w:tcPr>
          <w:p w:rsidR="003E2AD5" w:rsidRDefault="003E2AD5" w:rsidP="00BF1922">
            <w:pPr>
              <w:widowControl/>
              <w:rPr>
                <w:spacing w:val="-2"/>
                <w:sz w:val="22"/>
                <w:szCs w:val="22"/>
              </w:rPr>
            </w:pPr>
          </w:p>
          <w:p w:rsidR="005F002F" w:rsidRDefault="005F002F" w:rsidP="00BF1922">
            <w:pPr>
              <w:widowControl/>
              <w:ind w:left="702"/>
              <w:rPr>
                <w:spacing w:val="-2"/>
                <w:sz w:val="22"/>
                <w:szCs w:val="22"/>
              </w:rPr>
            </w:pPr>
          </w:p>
          <w:p w:rsidR="00780C18" w:rsidRPr="00303D60" w:rsidRDefault="00050854" w:rsidP="00303D60">
            <w:pPr>
              <w:widowControl/>
              <w:ind w:left="706"/>
              <w:rPr>
                <w:sz w:val="22"/>
                <w:szCs w:val="22"/>
              </w:rPr>
            </w:pPr>
            <w:r w:rsidRPr="00303D60">
              <w:rPr>
                <w:sz w:val="22"/>
                <w:szCs w:val="22"/>
              </w:rPr>
              <w:t>File N</w:t>
            </w:r>
            <w:r w:rsidR="00A16AF9" w:rsidRPr="00303D60">
              <w:rPr>
                <w:sz w:val="22"/>
                <w:szCs w:val="22"/>
              </w:rPr>
              <w:t>o.</w:t>
            </w:r>
            <w:r w:rsidR="003E2AD5" w:rsidRPr="00303D60">
              <w:rPr>
                <w:sz w:val="22"/>
                <w:szCs w:val="22"/>
              </w:rPr>
              <w:t xml:space="preserve">:  </w:t>
            </w:r>
            <w:r w:rsidR="00780C18" w:rsidRPr="00303D60">
              <w:rPr>
                <w:sz w:val="22"/>
                <w:szCs w:val="22"/>
              </w:rPr>
              <w:t>EB-FIELD</w:t>
            </w:r>
            <w:r w:rsidR="001F6C9A">
              <w:rPr>
                <w:sz w:val="22"/>
                <w:szCs w:val="22"/>
              </w:rPr>
              <w:t>NER</w:t>
            </w:r>
            <w:r w:rsidR="00245B5D" w:rsidRPr="00303D60">
              <w:rPr>
                <w:sz w:val="22"/>
                <w:szCs w:val="22"/>
              </w:rPr>
              <w:t>-1</w:t>
            </w:r>
            <w:r w:rsidR="00C5037A">
              <w:rPr>
                <w:sz w:val="22"/>
                <w:szCs w:val="22"/>
              </w:rPr>
              <w:t>3</w:t>
            </w:r>
            <w:r w:rsidR="00245B5D" w:rsidRPr="00303D60">
              <w:rPr>
                <w:sz w:val="22"/>
                <w:szCs w:val="22"/>
              </w:rPr>
              <w:t>-000</w:t>
            </w:r>
            <w:r w:rsidR="00C5037A">
              <w:rPr>
                <w:sz w:val="22"/>
                <w:szCs w:val="22"/>
              </w:rPr>
              <w:t>102</w:t>
            </w:r>
            <w:r w:rsidR="0016758C">
              <w:rPr>
                <w:sz w:val="22"/>
                <w:szCs w:val="22"/>
              </w:rPr>
              <w:t>76</w:t>
            </w:r>
            <w:r w:rsidR="00780C18" w:rsidRPr="00303D60">
              <w:rPr>
                <w:sz w:val="22"/>
                <w:szCs w:val="22"/>
              </w:rPr>
              <w:t xml:space="preserve"> </w:t>
            </w:r>
          </w:p>
          <w:p w:rsidR="00050854" w:rsidRPr="00303D60" w:rsidRDefault="00050854" w:rsidP="00303D60">
            <w:pPr>
              <w:widowControl/>
              <w:ind w:left="706"/>
              <w:rPr>
                <w:sz w:val="22"/>
                <w:szCs w:val="22"/>
              </w:rPr>
            </w:pPr>
            <w:r w:rsidRPr="00303D60">
              <w:rPr>
                <w:sz w:val="22"/>
                <w:szCs w:val="22"/>
              </w:rPr>
              <w:t>NAL/Acct. No.</w:t>
            </w:r>
            <w:r w:rsidR="003E2AD5" w:rsidRPr="00303D60">
              <w:rPr>
                <w:sz w:val="22"/>
                <w:szCs w:val="22"/>
              </w:rPr>
              <w:t>:</w:t>
            </w:r>
            <w:r w:rsidR="00E847E3" w:rsidRPr="00303D60">
              <w:rPr>
                <w:sz w:val="22"/>
                <w:szCs w:val="22"/>
              </w:rPr>
              <w:t xml:space="preserve">  </w:t>
            </w:r>
            <w:r w:rsidR="00EE1725" w:rsidRPr="003817A3">
              <w:rPr>
                <w:sz w:val="22"/>
                <w:szCs w:val="22"/>
              </w:rPr>
              <w:t>201</w:t>
            </w:r>
            <w:r w:rsidR="00EE1725">
              <w:rPr>
                <w:sz w:val="22"/>
                <w:szCs w:val="22"/>
              </w:rPr>
              <w:t>5</w:t>
            </w:r>
            <w:r w:rsidR="00EE1725" w:rsidRPr="003817A3">
              <w:rPr>
                <w:sz w:val="22"/>
                <w:szCs w:val="22"/>
              </w:rPr>
              <w:t>32</w:t>
            </w:r>
            <w:r w:rsidR="00EE1725">
              <w:rPr>
                <w:sz w:val="22"/>
                <w:szCs w:val="22"/>
              </w:rPr>
              <w:t>38</w:t>
            </w:r>
            <w:r w:rsidR="00EE1725" w:rsidRPr="003817A3">
              <w:rPr>
                <w:sz w:val="22"/>
                <w:szCs w:val="22"/>
              </w:rPr>
              <w:t>000</w:t>
            </w:r>
            <w:r w:rsidR="00EE1725">
              <w:rPr>
                <w:sz w:val="22"/>
                <w:szCs w:val="22"/>
              </w:rPr>
              <w:t>1</w:t>
            </w:r>
          </w:p>
          <w:p w:rsidR="008B58B7" w:rsidRPr="00303D60" w:rsidRDefault="00303D60" w:rsidP="00303D60">
            <w:pPr>
              <w:widowControl/>
              <w:ind w:left="706"/>
              <w:rPr>
                <w:sz w:val="22"/>
                <w:szCs w:val="22"/>
              </w:rPr>
            </w:pPr>
            <w:r w:rsidRPr="00303D60">
              <w:rPr>
                <w:sz w:val="22"/>
                <w:szCs w:val="22"/>
              </w:rPr>
              <w:t>FRN</w:t>
            </w:r>
            <w:r w:rsidR="005F002F" w:rsidRPr="00303D60">
              <w:rPr>
                <w:sz w:val="22"/>
                <w:szCs w:val="22"/>
              </w:rPr>
              <w:t xml:space="preserve">:  </w:t>
            </w:r>
            <w:r w:rsidR="00EE1725" w:rsidRPr="004251DE">
              <w:rPr>
                <w:sz w:val="22"/>
                <w:szCs w:val="22"/>
              </w:rPr>
              <w:t>00</w:t>
            </w:r>
            <w:r w:rsidR="00EE1725">
              <w:rPr>
                <w:sz w:val="22"/>
                <w:szCs w:val="22"/>
              </w:rPr>
              <w:t>24507154</w:t>
            </w:r>
          </w:p>
          <w:p w:rsidR="00050854" w:rsidRPr="008B58B7" w:rsidRDefault="00050854" w:rsidP="00BF1922">
            <w:pPr>
              <w:widowControl/>
              <w:rPr>
                <w:color w:val="FF00FF"/>
                <w:sz w:val="22"/>
                <w:szCs w:val="22"/>
              </w:rPr>
            </w:pPr>
          </w:p>
        </w:tc>
      </w:tr>
    </w:tbl>
    <w:p w:rsidR="00050854" w:rsidRPr="00331410" w:rsidRDefault="00050854" w:rsidP="000C5769">
      <w:pPr>
        <w:pStyle w:val="Heading2"/>
        <w:widowControl/>
        <w:numPr>
          <w:ilvl w:val="0"/>
          <w:numId w:val="0"/>
        </w:numPr>
        <w:jc w:val="center"/>
        <w:rPr>
          <w:sz w:val="22"/>
          <w:szCs w:val="22"/>
        </w:rPr>
      </w:pPr>
      <w:r w:rsidRPr="00331410">
        <w:rPr>
          <w:sz w:val="22"/>
          <w:szCs w:val="22"/>
        </w:rPr>
        <w:t>NOTICE OF APPARENT LIABILITY FOR FORFEITURE</w:t>
      </w:r>
    </w:p>
    <w:p w:rsidR="00050854" w:rsidRPr="004251DE" w:rsidRDefault="007E2E05" w:rsidP="00BF1922">
      <w:pPr>
        <w:widowControl/>
        <w:rPr>
          <w:b/>
          <w:color w:val="000000" w:themeColor="text1"/>
          <w:spacing w:val="-2"/>
          <w:sz w:val="22"/>
          <w:szCs w:val="22"/>
        </w:rPr>
      </w:pPr>
      <w:r w:rsidRPr="00382459">
        <w:rPr>
          <w:b/>
          <w:sz w:val="22"/>
          <w:szCs w:val="22"/>
        </w:rPr>
        <w:t>Adopted:</w:t>
      </w:r>
      <w:r w:rsidR="004251DE" w:rsidRPr="00382459">
        <w:rPr>
          <w:b/>
          <w:sz w:val="22"/>
          <w:szCs w:val="22"/>
        </w:rPr>
        <w:t xml:space="preserve">  </w:t>
      </w:r>
      <w:r w:rsidR="00382459" w:rsidRPr="00382459">
        <w:rPr>
          <w:b/>
          <w:sz w:val="22"/>
          <w:szCs w:val="22"/>
        </w:rPr>
        <w:t>April</w:t>
      </w:r>
      <w:r w:rsidR="00C5037A" w:rsidRPr="00382459">
        <w:rPr>
          <w:b/>
          <w:sz w:val="22"/>
          <w:szCs w:val="22"/>
        </w:rPr>
        <w:t xml:space="preserve"> </w:t>
      </w:r>
      <w:r w:rsidR="00EE1725">
        <w:rPr>
          <w:b/>
          <w:sz w:val="22"/>
          <w:szCs w:val="22"/>
        </w:rPr>
        <w:t>14</w:t>
      </w:r>
      <w:r w:rsidR="004251DE" w:rsidRPr="00382459">
        <w:rPr>
          <w:b/>
          <w:sz w:val="22"/>
          <w:szCs w:val="22"/>
        </w:rPr>
        <w:t>, 201</w:t>
      </w:r>
      <w:r w:rsidR="00382459">
        <w:rPr>
          <w:b/>
          <w:sz w:val="22"/>
          <w:szCs w:val="22"/>
        </w:rPr>
        <w:t>5</w:t>
      </w:r>
      <w:r>
        <w:rPr>
          <w:sz w:val="22"/>
          <w:szCs w:val="22"/>
        </w:rPr>
        <w:tab/>
      </w:r>
      <w:r>
        <w:rPr>
          <w:sz w:val="22"/>
          <w:szCs w:val="22"/>
        </w:rPr>
        <w:tab/>
      </w:r>
      <w:r>
        <w:rPr>
          <w:sz w:val="22"/>
          <w:szCs w:val="22"/>
        </w:rPr>
        <w:tab/>
      </w:r>
      <w:r>
        <w:rPr>
          <w:sz w:val="22"/>
          <w:szCs w:val="22"/>
        </w:rPr>
        <w:tab/>
      </w:r>
      <w:r>
        <w:rPr>
          <w:sz w:val="22"/>
          <w:szCs w:val="22"/>
        </w:rPr>
        <w:tab/>
      </w:r>
      <w:r w:rsidR="004251DE">
        <w:rPr>
          <w:sz w:val="22"/>
          <w:szCs w:val="22"/>
        </w:rPr>
        <w:tab/>
      </w:r>
      <w:r w:rsidR="00050854" w:rsidRPr="00382459">
        <w:rPr>
          <w:b/>
          <w:sz w:val="22"/>
          <w:szCs w:val="22"/>
        </w:rPr>
        <w:t>Released</w:t>
      </w:r>
      <w:r w:rsidR="00050854" w:rsidRPr="00382459">
        <w:rPr>
          <w:b/>
          <w:color w:val="000000" w:themeColor="text1"/>
          <w:sz w:val="22"/>
          <w:szCs w:val="22"/>
        </w:rPr>
        <w:t xml:space="preserve">: </w:t>
      </w:r>
      <w:r w:rsidR="004251DE" w:rsidRPr="00382459">
        <w:rPr>
          <w:b/>
          <w:color w:val="000000" w:themeColor="text1"/>
          <w:sz w:val="22"/>
          <w:szCs w:val="22"/>
        </w:rPr>
        <w:t xml:space="preserve"> </w:t>
      </w:r>
      <w:r w:rsidR="00382459">
        <w:rPr>
          <w:b/>
          <w:color w:val="000000" w:themeColor="text1"/>
          <w:sz w:val="22"/>
          <w:szCs w:val="22"/>
        </w:rPr>
        <w:t>April</w:t>
      </w:r>
      <w:r w:rsidR="00C5037A" w:rsidRPr="00382459">
        <w:rPr>
          <w:b/>
          <w:color w:val="000000" w:themeColor="text1"/>
          <w:sz w:val="22"/>
          <w:szCs w:val="22"/>
        </w:rPr>
        <w:t xml:space="preserve"> </w:t>
      </w:r>
      <w:r w:rsidR="00EE1725">
        <w:rPr>
          <w:b/>
          <w:color w:val="000000" w:themeColor="text1"/>
          <w:sz w:val="22"/>
          <w:szCs w:val="22"/>
        </w:rPr>
        <w:t>14</w:t>
      </w:r>
      <w:r w:rsidR="004251DE" w:rsidRPr="00382459">
        <w:rPr>
          <w:b/>
          <w:color w:val="000000" w:themeColor="text1"/>
          <w:sz w:val="22"/>
          <w:szCs w:val="22"/>
        </w:rPr>
        <w:t>, 201</w:t>
      </w:r>
      <w:r w:rsidR="00382459">
        <w:rPr>
          <w:b/>
          <w:color w:val="000000" w:themeColor="text1"/>
          <w:sz w:val="22"/>
          <w:szCs w:val="22"/>
        </w:rPr>
        <w:t>5</w:t>
      </w:r>
    </w:p>
    <w:p w:rsidR="00050854" w:rsidRPr="004251DE" w:rsidRDefault="00050854" w:rsidP="00BF1922">
      <w:pPr>
        <w:widowControl/>
        <w:tabs>
          <w:tab w:val="left" w:pos="0"/>
          <w:tab w:val="left" w:pos="720"/>
          <w:tab w:val="left" w:pos="5760"/>
        </w:tabs>
        <w:suppressAutoHyphens/>
        <w:spacing w:line="240" w:lineRule="atLeast"/>
        <w:jc w:val="both"/>
        <w:rPr>
          <w:color w:val="000000" w:themeColor="text1"/>
          <w:spacing w:val="-2"/>
          <w:sz w:val="22"/>
          <w:szCs w:val="22"/>
        </w:rPr>
      </w:pPr>
    </w:p>
    <w:p w:rsidR="00C5037A" w:rsidRPr="00C5037A" w:rsidRDefault="00C5037A" w:rsidP="00C5037A">
      <w:pPr>
        <w:widowControl/>
        <w:tabs>
          <w:tab w:val="left" w:pos="0"/>
          <w:tab w:val="left" w:pos="720"/>
          <w:tab w:val="left" w:pos="5760"/>
        </w:tabs>
        <w:suppressAutoHyphens/>
        <w:spacing w:line="240" w:lineRule="atLeast"/>
        <w:rPr>
          <w:spacing w:val="-2"/>
          <w:sz w:val="22"/>
          <w:szCs w:val="22"/>
        </w:rPr>
      </w:pPr>
      <w:r w:rsidRPr="00C5037A">
        <w:rPr>
          <w:spacing w:val="-2"/>
          <w:sz w:val="22"/>
          <w:szCs w:val="22"/>
        </w:rPr>
        <w:t xml:space="preserve">By the District Director, </w:t>
      </w:r>
      <w:smartTag w:uri="urn:schemas-microsoft-com:office:smarttags" w:element="place">
        <w:smartTag w:uri="urn:schemas-microsoft-com:office:smarttags" w:element="State">
          <w:r w:rsidRPr="00C5037A">
            <w:rPr>
              <w:spacing w:val="-2"/>
              <w:sz w:val="22"/>
              <w:szCs w:val="22"/>
            </w:rPr>
            <w:t>New York</w:t>
          </w:r>
        </w:smartTag>
      </w:smartTag>
      <w:r w:rsidRPr="00C5037A">
        <w:rPr>
          <w:spacing w:val="-2"/>
          <w:sz w:val="22"/>
          <w:szCs w:val="22"/>
        </w:rPr>
        <w:t xml:space="preserve"> Office, Northeast Region, Enforcement Bureau:</w:t>
      </w:r>
    </w:p>
    <w:p w:rsidR="00AE3A0F" w:rsidRPr="00E34AAE" w:rsidRDefault="00AE3A0F" w:rsidP="00BF1922">
      <w:pPr>
        <w:widowControl/>
        <w:tabs>
          <w:tab w:val="left" w:pos="0"/>
        </w:tabs>
        <w:suppressAutoHyphens/>
        <w:spacing w:line="240" w:lineRule="atLeast"/>
        <w:jc w:val="both"/>
        <w:rPr>
          <w:sz w:val="22"/>
          <w:szCs w:val="22"/>
        </w:rPr>
      </w:pPr>
    </w:p>
    <w:p w:rsidR="00990FB6" w:rsidRPr="002A6200" w:rsidRDefault="00990FB6" w:rsidP="004A326D">
      <w:pPr>
        <w:pStyle w:val="Heading1"/>
        <w:widowControl/>
        <w:spacing w:after="120"/>
        <w:rPr>
          <w:sz w:val="22"/>
          <w:szCs w:val="22"/>
        </w:rPr>
      </w:pPr>
      <w:r w:rsidRPr="002A6200">
        <w:rPr>
          <w:sz w:val="22"/>
          <w:szCs w:val="22"/>
        </w:rPr>
        <w:t>INTRODUCTION</w:t>
      </w:r>
    </w:p>
    <w:p w:rsidR="00050854" w:rsidRPr="0031433F" w:rsidRDefault="0057443E" w:rsidP="0031433F">
      <w:pPr>
        <w:widowControl/>
        <w:numPr>
          <w:ilvl w:val="0"/>
          <w:numId w:val="22"/>
        </w:numPr>
        <w:tabs>
          <w:tab w:val="clear" w:pos="1260"/>
          <w:tab w:val="left" w:pos="0"/>
          <w:tab w:val="num" w:pos="1440"/>
        </w:tabs>
        <w:suppressAutoHyphens/>
        <w:spacing w:after="120"/>
        <w:ind w:left="0"/>
        <w:rPr>
          <w:spacing w:val="-2"/>
          <w:sz w:val="22"/>
          <w:szCs w:val="22"/>
        </w:rPr>
      </w:pPr>
      <w:r w:rsidRPr="002A6200">
        <w:rPr>
          <w:spacing w:val="-2"/>
          <w:sz w:val="22"/>
          <w:szCs w:val="22"/>
        </w:rPr>
        <w:t>We propose a penalty of $</w:t>
      </w:r>
      <w:r w:rsidR="00515AC0" w:rsidRPr="002A6200">
        <w:rPr>
          <w:spacing w:val="-2"/>
          <w:sz w:val="22"/>
          <w:szCs w:val="22"/>
        </w:rPr>
        <w:t>2</w:t>
      </w:r>
      <w:r w:rsidR="00FC0F5A" w:rsidRPr="002A6200">
        <w:rPr>
          <w:spacing w:val="-2"/>
          <w:sz w:val="22"/>
          <w:szCs w:val="22"/>
        </w:rPr>
        <w:t>0</w:t>
      </w:r>
      <w:r w:rsidRPr="002A6200">
        <w:rPr>
          <w:spacing w:val="-2"/>
          <w:sz w:val="22"/>
          <w:szCs w:val="22"/>
        </w:rPr>
        <w:t xml:space="preserve">,000 against </w:t>
      </w:r>
      <w:r w:rsidR="001869BF" w:rsidRPr="002A6200">
        <w:rPr>
          <w:spacing w:val="-2"/>
          <w:sz w:val="22"/>
          <w:szCs w:val="22"/>
        </w:rPr>
        <w:t>Luis Angel Ayora</w:t>
      </w:r>
      <w:r w:rsidRPr="002A6200">
        <w:rPr>
          <w:spacing w:val="-2"/>
          <w:sz w:val="22"/>
          <w:szCs w:val="22"/>
        </w:rPr>
        <w:t xml:space="preserve"> f</w:t>
      </w:r>
      <w:r w:rsidR="002A6200" w:rsidRPr="002A6200">
        <w:rPr>
          <w:spacing w:val="-2"/>
          <w:sz w:val="22"/>
          <w:szCs w:val="22"/>
        </w:rPr>
        <w:t xml:space="preserve">or apparently operating a pirate FM radio </w:t>
      </w:r>
      <w:r w:rsidRPr="002A6200">
        <w:rPr>
          <w:spacing w:val="-2"/>
          <w:sz w:val="22"/>
          <w:szCs w:val="22"/>
        </w:rPr>
        <w:t xml:space="preserve">station in </w:t>
      </w:r>
      <w:r w:rsidR="001869BF" w:rsidRPr="002A6200">
        <w:rPr>
          <w:spacing w:val="-2"/>
          <w:sz w:val="22"/>
          <w:szCs w:val="22"/>
        </w:rPr>
        <w:t>Queens</w:t>
      </w:r>
      <w:r w:rsidRPr="002A6200">
        <w:rPr>
          <w:spacing w:val="-2"/>
          <w:sz w:val="22"/>
          <w:szCs w:val="22"/>
        </w:rPr>
        <w:t xml:space="preserve">, </w:t>
      </w:r>
      <w:r w:rsidR="001869BF" w:rsidRPr="002A6200">
        <w:rPr>
          <w:spacing w:val="-2"/>
          <w:sz w:val="22"/>
          <w:szCs w:val="22"/>
        </w:rPr>
        <w:t>New York</w:t>
      </w:r>
      <w:r w:rsidRPr="002A6200">
        <w:rPr>
          <w:spacing w:val="-2"/>
          <w:sz w:val="22"/>
          <w:szCs w:val="22"/>
        </w:rPr>
        <w:t xml:space="preserve">.  </w:t>
      </w:r>
      <w:r w:rsidR="002A6200">
        <w:rPr>
          <w:spacing w:val="-2"/>
          <w:sz w:val="22"/>
          <w:szCs w:val="22"/>
        </w:rPr>
        <w:t xml:space="preserve">Pirate radio operations may interfere with and pose competitive harm to licensed broadcasters and </w:t>
      </w:r>
      <w:r w:rsidR="0031433F">
        <w:rPr>
          <w:spacing w:val="-2"/>
          <w:sz w:val="22"/>
          <w:szCs w:val="22"/>
        </w:rPr>
        <w:t>undermine the Commission’s ability to manage the nation’s radio spectrum.</w:t>
      </w:r>
      <w:r w:rsidR="002A6200">
        <w:rPr>
          <w:spacing w:val="-2"/>
          <w:sz w:val="22"/>
          <w:szCs w:val="22"/>
        </w:rPr>
        <w:t xml:space="preserve"> </w:t>
      </w:r>
      <w:r w:rsidR="00676352">
        <w:rPr>
          <w:spacing w:val="-2"/>
          <w:sz w:val="22"/>
          <w:szCs w:val="22"/>
        </w:rPr>
        <w:t xml:space="preserve"> </w:t>
      </w:r>
      <w:r w:rsidRPr="0031433F">
        <w:rPr>
          <w:spacing w:val="-2"/>
          <w:sz w:val="22"/>
          <w:szCs w:val="22"/>
        </w:rPr>
        <w:t xml:space="preserve">The Commission </w:t>
      </w:r>
      <w:r w:rsidR="00803F94" w:rsidRPr="0031433F">
        <w:rPr>
          <w:spacing w:val="-2"/>
          <w:sz w:val="22"/>
          <w:szCs w:val="22"/>
        </w:rPr>
        <w:t xml:space="preserve">repeatedly </w:t>
      </w:r>
      <w:r w:rsidRPr="0031433F">
        <w:rPr>
          <w:spacing w:val="-2"/>
          <w:sz w:val="22"/>
          <w:szCs w:val="22"/>
        </w:rPr>
        <w:t>warned Mr.</w:t>
      </w:r>
      <w:r w:rsidR="00810553" w:rsidRPr="0031433F">
        <w:rPr>
          <w:spacing w:val="-2"/>
          <w:sz w:val="22"/>
          <w:szCs w:val="22"/>
        </w:rPr>
        <w:t xml:space="preserve"> </w:t>
      </w:r>
      <w:r w:rsidR="001869BF" w:rsidRPr="0031433F">
        <w:rPr>
          <w:spacing w:val="-2"/>
          <w:sz w:val="22"/>
          <w:szCs w:val="22"/>
        </w:rPr>
        <w:t>Ayora</w:t>
      </w:r>
      <w:r w:rsidRPr="0031433F">
        <w:rPr>
          <w:spacing w:val="-2"/>
          <w:sz w:val="22"/>
          <w:szCs w:val="22"/>
        </w:rPr>
        <w:t xml:space="preserve"> that </w:t>
      </w:r>
      <w:r w:rsidR="002A6200" w:rsidRPr="0031433F">
        <w:rPr>
          <w:spacing w:val="-2"/>
          <w:sz w:val="22"/>
          <w:szCs w:val="22"/>
        </w:rPr>
        <w:t>pirate radio operations are illegal</w:t>
      </w:r>
      <w:r w:rsidRPr="0031433F">
        <w:rPr>
          <w:spacing w:val="-2"/>
          <w:sz w:val="22"/>
          <w:szCs w:val="22"/>
        </w:rPr>
        <w:t>, but he nevertheles</w:t>
      </w:r>
      <w:r w:rsidR="002A6200" w:rsidRPr="0031433F">
        <w:rPr>
          <w:spacing w:val="-2"/>
          <w:sz w:val="22"/>
          <w:szCs w:val="22"/>
        </w:rPr>
        <w:t>s continued to operate</w:t>
      </w:r>
      <w:r w:rsidR="00676352">
        <w:rPr>
          <w:spacing w:val="-2"/>
          <w:sz w:val="22"/>
          <w:szCs w:val="22"/>
        </w:rPr>
        <w:t xml:space="preserve"> his unlicensed station</w:t>
      </w:r>
      <w:r w:rsidRPr="0031433F">
        <w:rPr>
          <w:spacing w:val="-2"/>
          <w:sz w:val="22"/>
          <w:szCs w:val="22"/>
        </w:rPr>
        <w:t xml:space="preserve">.  The fact that Mr. </w:t>
      </w:r>
      <w:r w:rsidR="001869BF" w:rsidRPr="0031433F">
        <w:rPr>
          <w:spacing w:val="-2"/>
          <w:sz w:val="22"/>
          <w:szCs w:val="22"/>
        </w:rPr>
        <w:t>Ayora</w:t>
      </w:r>
      <w:r w:rsidRPr="0031433F">
        <w:rPr>
          <w:spacing w:val="-2"/>
          <w:sz w:val="22"/>
          <w:szCs w:val="22"/>
        </w:rPr>
        <w:t xml:space="preserve"> </w:t>
      </w:r>
      <w:r w:rsidR="002A6200" w:rsidRPr="0031433F">
        <w:rPr>
          <w:spacing w:val="-2"/>
          <w:sz w:val="22"/>
          <w:szCs w:val="22"/>
        </w:rPr>
        <w:t xml:space="preserve">continued to operate without authorization notwithstanding </w:t>
      </w:r>
      <w:r w:rsidRPr="0031433F">
        <w:rPr>
          <w:spacing w:val="-2"/>
          <w:sz w:val="22"/>
          <w:szCs w:val="22"/>
        </w:rPr>
        <w:t>the Commission’s warning</w:t>
      </w:r>
      <w:r w:rsidR="0033665C" w:rsidRPr="0031433F">
        <w:rPr>
          <w:spacing w:val="-2"/>
          <w:sz w:val="22"/>
          <w:szCs w:val="22"/>
        </w:rPr>
        <w:t>s</w:t>
      </w:r>
      <w:r w:rsidRPr="0031433F">
        <w:rPr>
          <w:spacing w:val="-2"/>
          <w:sz w:val="22"/>
          <w:szCs w:val="22"/>
        </w:rPr>
        <w:t xml:space="preserve"> demonstrates a deliberate disregard for the Commission’s authorit</w:t>
      </w:r>
      <w:r w:rsidR="006876EC" w:rsidRPr="0031433F">
        <w:rPr>
          <w:spacing w:val="-2"/>
          <w:sz w:val="22"/>
          <w:szCs w:val="22"/>
        </w:rPr>
        <w:t xml:space="preserve">y and its rules, warranting a </w:t>
      </w:r>
      <w:r w:rsidR="0033665C" w:rsidRPr="0031433F">
        <w:rPr>
          <w:spacing w:val="-2"/>
          <w:sz w:val="22"/>
          <w:szCs w:val="22"/>
        </w:rPr>
        <w:t>significant</w:t>
      </w:r>
      <w:r w:rsidR="002A6200" w:rsidRPr="0031433F">
        <w:rPr>
          <w:spacing w:val="-2"/>
          <w:sz w:val="22"/>
          <w:szCs w:val="22"/>
        </w:rPr>
        <w:t xml:space="preserve"> penalty</w:t>
      </w:r>
      <w:r w:rsidRPr="0031433F">
        <w:rPr>
          <w:spacing w:val="-2"/>
          <w:sz w:val="22"/>
          <w:szCs w:val="22"/>
        </w:rPr>
        <w:t>.</w:t>
      </w:r>
      <w:r w:rsidR="003A7878" w:rsidRPr="0031433F">
        <w:rPr>
          <w:spacing w:val="-2"/>
          <w:sz w:val="22"/>
          <w:szCs w:val="22"/>
        </w:rPr>
        <w:t xml:space="preserve"> </w:t>
      </w:r>
    </w:p>
    <w:p w:rsidR="00050854" w:rsidRPr="002A6200" w:rsidRDefault="00050854" w:rsidP="004A326D">
      <w:pPr>
        <w:pStyle w:val="Heading1"/>
        <w:widowControl/>
        <w:spacing w:after="120"/>
        <w:rPr>
          <w:spacing w:val="-2"/>
          <w:sz w:val="22"/>
          <w:szCs w:val="22"/>
        </w:rPr>
      </w:pPr>
      <w:r w:rsidRPr="002A6200">
        <w:rPr>
          <w:sz w:val="22"/>
          <w:szCs w:val="22"/>
        </w:rPr>
        <w:t>BACKGROUND</w:t>
      </w:r>
    </w:p>
    <w:p w:rsidR="004B6284" w:rsidRPr="00F838FF" w:rsidRDefault="00382459" w:rsidP="00F838FF">
      <w:pPr>
        <w:widowControl/>
        <w:numPr>
          <w:ilvl w:val="0"/>
          <w:numId w:val="22"/>
        </w:numPr>
        <w:tabs>
          <w:tab w:val="clear" w:pos="1260"/>
          <w:tab w:val="left" w:pos="0"/>
          <w:tab w:val="num" w:pos="1440"/>
        </w:tabs>
        <w:suppressAutoHyphens/>
        <w:spacing w:after="120"/>
        <w:ind w:left="0"/>
        <w:rPr>
          <w:spacing w:val="-2"/>
          <w:sz w:val="22"/>
          <w:szCs w:val="22"/>
        </w:rPr>
      </w:pPr>
      <w:r w:rsidRPr="002A6200">
        <w:rPr>
          <w:color w:val="000000"/>
          <w:sz w:val="22"/>
          <w:szCs w:val="22"/>
        </w:rPr>
        <w:t>Mr. Ayora</w:t>
      </w:r>
      <w:r w:rsidR="00676352">
        <w:rPr>
          <w:color w:val="000000"/>
          <w:sz w:val="22"/>
          <w:szCs w:val="22"/>
        </w:rPr>
        <w:t xml:space="preserve"> has a </w:t>
      </w:r>
      <w:r w:rsidR="0031433F">
        <w:rPr>
          <w:color w:val="000000"/>
          <w:sz w:val="22"/>
          <w:szCs w:val="22"/>
        </w:rPr>
        <w:t xml:space="preserve">history of operating </w:t>
      </w:r>
      <w:r w:rsidRPr="002A6200">
        <w:rPr>
          <w:color w:val="000000"/>
          <w:sz w:val="22"/>
          <w:szCs w:val="22"/>
        </w:rPr>
        <w:t>unlicensed FM radio station</w:t>
      </w:r>
      <w:r w:rsidR="0031433F">
        <w:rPr>
          <w:color w:val="000000"/>
          <w:sz w:val="22"/>
          <w:szCs w:val="22"/>
        </w:rPr>
        <w:t>s</w:t>
      </w:r>
      <w:r w:rsidRPr="002A6200">
        <w:rPr>
          <w:color w:val="000000"/>
          <w:sz w:val="22"/>
          <w:szCs w:val="22"/>
        </w:rPr>
        <w:t xml:space="preserve"> in Queens, New York</w:t>
      </w:r>
      <w:r w:rsidR="006F2F81" w:rsidRPr="002A6200">
        <w:rPr>
          <w:color w:val="000000"/>
          <w:sz w:val="22"/>
          <w:szCs w:val="22"/>
        </w:rPr>
        <w:t>.</w:t>
      </w:r>
      <w:r w:rsidR="00676352">
        <w:rPr>
          <w:color w:val="000000"/>
          <w:sz w:val="22"/>
          <w:szCs w:val="22"/>
        </w:rPr>
        <w:t xml:space="preserve">  In</w:t>
      </w:r>
      <w:r w:rsidR="00F838FF">
        <w:rPr>
          <w:color w:val="000000"/>
          <w:sz w:val="22"/>
          <w:szCs w:val="22"/>
        </w:rPr>
        <w:t xml:space="preserve"> 2013, Mr. Ayora received three Notices of Unlicensed Operation for operating a pirate station on </w:t>
      </w:r>
      <w:r w:rsidR="00F838FF" w:rsidRPr="0031433F">
        <w:rPr>
          <w:spacing w:val="-2"/>
          <w:sz w:val="22"/>
          <w:szCs w:val="22"/>
        </w:rPr>
        <w:t>91.9 MHz</w:t>
      </w:r>
      <w:r w:rsidR="00F838FF">
        <w:rPr>
          <w:spacing w:val="-2"/>
          <w:sz w:val="22"/>
          <w:szCs w:val="22"/>
        </w:rPr>
        <w:t xml:space="preserve"> from various locations within Queens.  </w:t>
      </w:r>
      <w:r w:rsidR="0031433F" w:rsidRPr="00F838FF">
        <w:rPr>
          <w:color w:val="000000"/>
          <w:sz w:val="22"/>
          <w:szCs w:val="22"/>
        </w:rPr>
        <w:t>On May 29</w:t>
      </w:r>
      <w:r w:rsidR="00F838FF">
        <w:rPr>
          <w:color w:val="000000"/>
          <w:sz w:val="22"/>
          <w:szCs w:val="22"/>
        </w:rPr>
        <w:t>, 2014, in response to</w:t>
      </w:r>
      <w:r w:rsidR="00BE75E9">
        <w:rPr>
          <w:color w:val="000000"/>
          <w:sz w:val="22"/>
          <w:szCs w:val="22"/>
        </w:rPr>
        <w:t xml:space="preserve"> </w:t>
      </w:r>
      <w:r w:rsidR="0031433F" w:rsidRPr="00F838FF">
        <w:rPr>
          <w:color w:val="000000"/>
          <w:sz w:val="22"/>
          <w:szCs w:val="22"/>
        </w:rPr>
        <w:t>complaints</w:t>
      </w:r>
      <w:r w:rsidR="00BE75E9">
        <w:rPr>
          <w:color w:val="000000"/>
          <w:sz w:val="22"/>
          <w:szCs w:val="22"/>
        </w:rPr>
        <w:t xml:space="preserve"> of unauthorized operations</w:t>
      </w:r>
      <w:r w:rsidR="0031433F" w:rsidRPr="00F838FF">
        <w:rPr>
          <w:color w:val="000000"/>
          <w:sz w:val="22"/>
          <w:szCs w:val="22"/>
        </w:rPr>
        <w:t xml:space="preserve">, agents from the New York Office located the source of </w:t>
      </w:r>
      <w:r w:rsidR="00C25C7E" w:rsidRPr="00F838FF">
        <w:rPr>
          <w:spacing w:val="-2"/>
          <w:sz w:val="22"/>
          <w:szCs w:val="22"/>
        </w:rPr>
        <w:t>radio transmissions</w:t>
      </w:r>
      <w:r w:rsidR="00C6354F" w:rsidRPr="00F838FF">
        <w:rPr>
          <w:spacing w:val="-2"/>
          <w:sz w:val="22"/>
          <w:szCs w:val="22"/>
        </w:rPr>
        <w:t xml:space="preserve"> on 91.9 MHz to an </w:t>
      </w:r>
      <w:r w:rsidR="00C25C7E" w:rsidRPr="00F838FF">
        <w:rPr>
          <w:spacing w:val="-2"/>
          <w:sz w:val="22"/>
          <w:szCs w:val="22"/>
        </w:rPr>
        <w:t xml:space="preserve">FM transmitter antenna located at an </w:t>
      </w:r>
      <w:r w:rsidR="00C6354F" w:rsidRPr="00F838FF">
        <w:rPr>
          <w:spacing w:val="-2"/>
          <w:sz w:val="22"/>
          <w:szCs w:val="22"/>
        </w:rPr>
        <w:t>apartment building at 41-15</w:t>
      </w:r>
      <w:r w:rsidR="0031433F" w:rsidRPr="00F838FF">
        <w:rPr>
          <w:spacing w:val="-2"/>
          <w:sz w:val="22"/>
          <w:szCs w:val="22"/>
        </w:rPr>
        <w:t xml:space="preserve"> Warren Street in Queens.  </w:t>
      </w:r>
      <w:r w:rsidR="00C25C7E" w:rsidRPr="00F838FF">
        <w:rPr>
          <w:spacing w:val="-2"/>
          <w:sz w:val="22"/>
          <w:szCs w:val="22"/>
        </w:rPr>
        <w:t>T</w:t>
      </w:r>
      <w:r w:rsidR="00C6354F" w:rsidRPr="00F838FF">
        <w:rPr>
          <w:spacing w:val="-2"/>
          <w:sz w:val="22"/>
          <w:szCs w:val="22"/>
        </w:rPr>
        <w:t>he agents took field strength measurements of the station’s signal and determined that it exceeded the limits for operation under Part 15 of the</w:t>
      </w:r>
      <w:r w:rsidR="007323A6" w:rsidRPr="00F838FF">
        <w:rPr>
          <w:spacing w:val="-2"/>
          <w:sz w:val="22"/>
          <w:szCs w:val="22"/>
        </w:rPr>
        <w:t xml:space="preserve"> Commission’s rules (</w:t>
      </w:r>
      <w:r w:rsidR="00C6354F" w:rsidRPr="00F838FF">
        <w:rPr>
          <w:spacing w:val="-2"/>
          <w:sz w:val="22"/>
          <w:szCs w:val="22"/>
        </w:rPr>
        <w:t>Rules</w:t>
      </w:r>
      <w:r w:rsidR="007323A6" w:rsidRPr="00F838FF">
        <w:rPr>
          <w:spacing w:val="-2"/>
          <w:sz w:val="22"/>
          <w:szCs w:val="22"/>
        </w:rPr>
        <w:t>)</w:t>
      </w:r>
      <w:r w:rsidR="007323A6" w:rsidRPr="007323A6">
        <w:rPr>
          <w:spacing w:val="-2"/>
          <w:sz w:val="22"/>
          <w:szCs w:val="22"/>
          <w:vertAlign w:val="superscript"/>
        </w:rPr>
        <w:footnoteReference w:id="2"/>
      </w:r>
      <w:r w:rsidR="00C6354F" w:rsidRPr="00F838FF">
        <w:rPr>
          <w:spacing w:val="-2"/>
          <w:sz w:val="22"/>
          <w:szCs w:val="22"/>
        </w:rPr>
        <w:t xml:space="preserve"> and therefore required a license.  According to Commission records, no authorization had been issued to Mr. Ayora, or to anyone else, for the operation of an FM broadcast station at or near this building.</w:t>
      </w:r>
      <w:r w:rsidR="00F838FF">
        <w:rPr>
          <w:spacing w:val="-2"/>
          <w:sz w:val="22"/>
          <w:szCs w:val="22"/>
        </w:rPr>
        <w:t xml:space="preserve">  A</w:t>
      </w:r>
      <w:r w:rsidR="00F838FF" w:rsidRPr="00F838FF">
        <w:rPr>
          <w:spacing w:val="-2"/>
          <w:sz w:val="22"/>
          <w:szCs w:val="22"/>
        </w:rPr>
        <w:t xml:space="preserve">gents </w:t>
      </w:r>
      <w:r w:rsidR="00C6354F" w:rsidRPr="00F838FF">
        <w:rPr>
          <w:spacing w:val="-2"/>
          <w:sz w:val="22"/>
          <w:szCs w:val="22"/>
        </w:rPr>
        <w:t>spoke to the owner of the building</w:t>
      </w:r>
      <w:r w:rsidR="00F838FF" w:rsidRPr="00F838FF">
        <w:rPr>
          <w:spacing w:val="-2"/>
          <w:sz w:val="22"/>
          <w:szCs w:val="22"/>
        </w:rPr>
        <w:t>,</w:t>
      </w:r>
      <w:r w:rsidR="00C6354F" w:rsidRPr="00F838FF">
        <w:rPr>
          <w:spacing w:val="-2"/>
          <w:sz w:val="22"/>
          <w:szCs w:val="22"/>
        </w:rPr>
        <w:t xml:space="preserve"> who </w:t>
      </w:r>
      <w:r w:rsidR="00F838FF" w:rsidRPr="00F838FF">
        <w:rPr>
          <w:spacing w:val="-2"/>
          <w:sz w:val="22"/>
          <w:szCs w:val="22"/>
        </w:rPr>
        <w:t>identified</w:t>
      </w:r>
      <w:r w:rsidR="00F838FF">
        <w:rPr>
          <w:spacing w:val="-2"/>
          <w:sz w:val="22"/>
          <w:szCs w:val="22"/>
        </w:rPr>
        <w:t xml:space="preserve"> Angel Ayora as the owner of an</w:t>
      </w:r>
      <w:r w:rsidR="00F838FF" w:rsidRPr="00F838FF">
        <w:rPr>
          <w:spacing w:val="-2"/>
          <w:sz w:val="22"/>
          <w:szCs w:val="22"/>
        </w:rPr>
        <w:t xml:space="preserve"> unauthorized radio transmitter located in the basement.  </w:t>
      </w:r>
      <w:r w:rsidR="00C6354F" w:rsidRPr="00F838FF">
        <w:rPr>
          <w:spacing w:val="-2"/>
          <w:sz w:val="22"/>
          <w:szCs w:val="22"/>
        </w:rPr>
        <w:t>The ow</w:t>
      </w:r>
      <w:r w:rsidR="00F838FF">
        <w:rPr>
          <w:spacing w:val="-2"/>
          <w:sz w:val="22"/>
          <w:szCs w:val="22"/>
        </w:rPr>
        <w:t>ner of the building called Mr.</w:t>
      </w:r>
      <w:r w:rsidR="00C6354F" w:rsidRPr="00F838FF">
        <w:rPr>
          <w:spacing w:val="-2"/>
          <w:sz w:val="22"/>
          <w:szCs w:val="22"/>
        </w:rPr>
        <w:t xml:space="preserve"> Ayora</w:t>
      </w:r>
      <w:r w:rsidR="00F838FF" w:rsidRPr="00F838FF">
        <w:rPr>
          <w:spacing w:val="-2"/>
          <w:sz w:val="22"/>
          <w:szCs w:val="22"/>
        </w:rPr>
        <w:t>,</w:t>
      </w:r>
      <w:r w:rsidR="00C6354F" w:rsidRPr="00F838FF">
        <w:rPr>
          <w:spacing w:val="-2"/>
          <w:sz w:val="22"/>
          <w:szCs w:val="22"/>
        </w:rPr>
        <w:t xml:space="preserve"> who came to the building to claim the equipment.  </w:t>
      </w:r>
      <w:r w:rsidR="00F838FF">
        <w:rPr>
          <w:spacing w:val="-2"/>
          <w:sz w:val="22"/>
          <w:szCs w:val="22"/>
        </w:rPr>
        <w:t xml:space="preserve">Mr. Ayora admitted </w:t>
      </w:r>
      <w:r w:rsidR="00F838FF" w:rsidRPr="00F838FF">
        <w:rPr>
          <w:spacing w:val="-2"/>
          <w:sz w:val="22"/>
          <w:szCs w:val="22"/>
        </w:rPr>
        <w:t xml:space="preserve">that he </w:t>
      </w:r>
      <w:r w:rsidR="00F838FF">
        <w:rPr>
          <w:spacing w:val="-2"/>
          <w:sz w:val="22"/>
          <w:szCs w:val="22"/>
        </w:rPr>
        <w:t xml:space="preserve">owned and installed the equipment and </w:t>
      </w:r>
      <w:r w:rsidR="00F838FF" w:rsidRPr="00F838FF">
        <w:rPr>
          <w:spacing w:val="-2"/>
          <w:sz w:val="22"/>
          <w:szCs w:val="22"/>
        </w:rPr>
        <w:t xml:space="preserve">operated </w:t>
      </w:r>
      <w:r w:rsidR="006D7FF1" w:rsidRPr="00F838FF">
        <w:rPr>
          <w:spacing w:val="-2"/>
          <w:sz w:val="22"/>
          <w:szCs w:val="22"/>
        </w:rPr>
        <w:t>the unlicensed station</w:t>
      </w:r>
      <w:r w:rsidR="00913E7A" w:rsidRPr="00F838FF">
        <w:rPr>
          <w:spacing w:val="-2"/>
          <w:sz w:val="22"/>
          <w:szCs w:val="22"/>
        </w:rPr>
        <w:t xml:space="preserve">.  The agents </w:t>
      </w:r>
      <w:r w:rsidR="00BE75E9">
        <w:rPr>
          <w:spacing w:val="-2"/>
          <w:sz w:val="22"/>
          <w:szCs w:val="22"/>
        </w:rPr>
        <w:t xml:space="preserve">delivered a </w:t>
      </w:r>
      <w:r w:rsidR="00853004" w:rsidRPr="00F838FF">
        <w:rPr>
          <w:spacing w:val="-2"/>
          <w:sz w:val="22"/>
          <w:szCs w:val="22"/>
        </w:rPr>
        <w:t xml:space="preserve">Notice of Unlicensed Operation to Mr. Ayora and </w:t>
      </w:r>
      <w:r w:rsidR="00913E7A" w:rsidRPr="00F838FF">
        <w:rPr>
          <w:spacing w:val="-2"/>
          <w:sz w:val="22"/>
          <w:szCs w:val="22"/>
        </w:rPr>
        <w:t>verbally warned</w:t>
      </w:r>
      <w:r w:rsidR="00853004" w:rsidRPr="00F838FF">
        <w:rPr>
          <w:spacing w:val="-2"/>
          <w:sz w:val="22"/>
          <w:szCs w:val="22"/>
        </w:rPr>
        <w:t xml:space="preserve"> him</w:t>
      </w:r>
      <w:r w:rsidR="00913E7A" w:rsidRPr="00F838FF">
        <w:rPr>
          <w:spacing w:val="-2"/>
          <w:sz w:val="22"/>
          <w:szCs w:val="22"/>
        </w:rPr>
        <w:t xml:space="preserve"> </w:t>
      </w:r>
      <w:r w:rsidR="00C6354F" w:rsidRPr="00F838FF">
        <w:rPr>
          <w:spacing w:val="-2"/>
          <w:sz w:val="22"/>
          <w:szCs w:val="22"/>
        </w:rPr>
        <w:t xml:space="preserve">that operation of the unlicensed </w:t>
      </w:r>
      <w:r w:rsidR="004B6284" w:rsidRPr="00F838FF">
        <w:rPr>
          <w:spacing w:val="-2"/>
          <w:sz w:val="22"/>
          <w:szCs w:val="22"/>
        </w:rPr>
        <w:t xml:space="preserve">FM </w:t>
      </w:r>
      <w:r w:rsidR="00C6354F" w:rsidRPr="00F838FF">
        <w:rPr>
          <w:spacing w:val="-2"/>
          <w:sz w:val="22"/>
          <w:szCs w:val="22"/>
        </w:rPr>
        <w:t xml:space="preserve">radio </w:t>
      </w:r>
      <w:r w:rsidR="0030752B" w:rsidRPr="00F838FF">
        <w:rPr>
          <w:spacing w:val="-2"/>
          <w:sz w:val="22"/>
          <w:szCs w:val="22"/>
        </w:rPr>
        <w:t xml:space="preserve">at 41-15 Warren Street </w:t>
      </w:r>
      <w:r w:rsidR="00C6354F" w:rsidRPr="00F838FF">
        <w:rPr>
          <w:spacing w:val="-2"/>
          <w:sz w:val="22"/>
          <w:szCs w:val="22"/>
        </w:rPr>
        <w:t xml:space="preserve">station </w:t>
      </w:r>
      <w:r w:rsidR="0030752B">
        <w:rPr>
          <w:spacing w:val="-2"/>
          <w:sz w:val="22"/>
          <w:szCs w:val="22"/>
        </w:rPr>
        <w:t>violated</w:t>
      </w:r>
      <w:r w:rsidR="0030752B" w:rsidRPr="000305FC">
        <w:rPr>
          <w:spacing w:val="-2"/>
          <w:sz w:val="22"/>
          <w:szCs w:val="22"/>
        </w:rPr>
        <w:t xml:space="preserve"> Section 301 of the Communications Act of 1934, as amended (Act)</w:t>
      </w:r>
      <w:r w:rsidR="004B6284" w:rsidRPr="00F838FF">
        <w:rPr>
          <w:spacing w:val="-2"/>
          <w:sz w:val="22"/>
          <w:szCs w:val="22"/>
        </w:rPr>
        <w:t>, must cease immediately</w:t>
      </w:r>
      <w:r w:rsidR="00BE75E9">
        <w:rPr>
          <w:spacing w:val="-2"/>
          <w:sz w:val="22"/>
          <w:szCs w:val="22"/>
        </w:rPr>
        <w:t>, and could subject him</w:t>
      </w:r>
      <w:r w:rsidR="004B6284" w:rsidRPr="00F838FF">
        <w:rPr>
          <w:spacing w:val="-2"/>
          <w:sz w:val="22"/>
          <w:szCs w:val="22"/>
        </w:rPr>
        <w:t xml:space="preserve"> to significant forfeitures.</w:t>
      </w:r>
      <w:r w:rsidR="0030752B">
        <w:rPr>
          <w:spacing w:val="-2"/>
          <w:sz w:val="22"/>
          <w:szCs w:val="22"/>
        </w:rPr>
        <w:t xml:space="preserve">  </w:t>
      </w:r>
      <w:r w:rsidR="0030752B" w:rsidRPr="000305FC">
        <w:rPr>
          <w:spacing w:val="-2"/>
          <w:sz w:val="22"/>
          <w:szCs w:val="22"/>
        </w:rPr>
        <w:t>Mr. Ayora did not respond to the Notice.</w:t>
      </w:r>
      <w:r w:rsidR="004B6284" w:rsidRPr="00F838FF">
        <w:rPr>
          <w:spacing w:val="-2"/>
          <w:sz w:val="22"/>
          <w:szCs w:val="22"/>
        </w:rPr>
        <w:t xml:space="preserve">  </w:t>
      </w:r>
      <w:r w:rsidR="00C6354F" w:rsidRPr="00F838FF">
        <w:rPr>
          <w:spacing w:val="-2"/>
          <w:sz w:val="22"/>
          <w:szCs w:val="22"/>
        </w:rPr>
        <w:t xml:space="preserve"> </w:t>
      </w:r>
    </w:p>
    <w:p w:rsidR="00B50DC1" w:rsidRPr="000305FC" w:rsidRDefault="004B6284" w:rsidP="000305FC">
      <w:pPr>
        <w:widowControl/>
        <w:numPr>
          <w:ilvl w:val="0"/>
          <w:numId w:val="22"/>
        </w:numPr>
        <w:tabs>
          <w:tab w:val="clear" w:pos="1260"/>
          <w:tab w:val="left" w:pos="0"/>
          <w:tab w:val="num" w:pos="1440"/>
        </w:tabs>
        <w:suppressAutoHyphens/>
        <w:spacing w:after="120"/>
        <w:ind w:left="0"/>
        <w:rPr>
          <w:spacing w:val="-2"/>
          <w:sz w:val="22"/>
          <w:szCs w:val="22"/>
        </w:rPr>
      </w:pPr>
      <w:r w:rsidRPr="004B6284">
        <w:rPr>
          <w:spacing w:val="-2"/>
          <w:sz w:val="22"/>
          <w:szCs w:val="22"/>
        </w:rPr>
        <w:t>On January 13, 2015,</w:t>
      </w:r>
      <w:r w:rsidR="00B81F38">
        <w:rPr>
          <w:spacing w:val="-2"/>
          <w:sz w:val="22"/>
          <w:szCs w:val="22"/>
        </w:rPr>
        <w:t xml:space="preserve"> in response to additional complaints of unlicensed operation</w:t>
      </w:r>
      <w:r w:rsidR="00676352">
        <w:rPr>
          <w:spacing w:val="-2"/>
          <w:sz w:val="22"/>
          <w:szCs w:val="22"/>
        </w:rPr>
        <w:t>s</w:t>
      </w:r>
      <w:r w:rsidR="00B81F38">
        <w:rPr>
          <w:spacing w:val="-2"/>
          <w:sz w:val="22"/>
          <w:szCs w:val="22"/>
        </w:rPr>
        <w:t>,</w:t>
      </w:r>
      <w:r w:rsidRPr="004B6284">
        <w:rPr>
          <w:spacing w:val="-2"/>
          <w:sz w:val="22"/>
          <w:szCs w:val="22"/>
        </w:rPr>
        <w:t xml:space="preserve"> agents from the New York Office located the source radio frequency transmissions on the frequency 91.9 MHz to a multi-family dwelling at 40-54 Junc</w:t>
      </w:r>
      <w:r w:rsidR="00BE75E9">
        <w:rPr>
          <w:spacing w:val="-2"/>
          <w:sz w:val="22"/>
          <w:szCs w:val="22"/>
        </w:rPr>
        <w:t>tion Boulevard in</w:t>
      </w:r>
      <w:r w:rsidR="00676352">
        <w:rPr>
          <w:spacing w:val="-2"/>
          <w:sz w:val="22"/>
          <w:szCs w:val="22"/>
        </w:rPr>
        <w:t xml:space="preserve"> Queens</w:t>
      </w:r>
      <w:r w:rsidRPr="004B6284">
        <w:rPr>
          <w:spacing w:val="-2"/>
          <w:sz w:val="22"/>
          <w:szCs w:val="22"/>
        </w:rPr>
        <w:t xml:space="preserve">.  </w:t>
      </w:r>
      <w:r w:rsidRPr="004B6284">
        <w:rPr>
          <w:color w:val="000000"/>
          <w:sz w:val="22"/>
          <w:szCs w:val="22"/>
        </w:rPr>
        <w:t xml:space="preserve">The agents </w:t>
      </w:r>
      <w:r w:rsidR="00BE75E9">
        <w:rPr>
          <w:color w:val="000000"/>
          <w:sz w:val="22"/>
          <w:szCs w:val="22"/>
        </w:rPr>
        <w:t xml:space="preserve">observed </w:t>
      </w:r>
      <w:r w:rsidRPr="004B6284">
        <w:rPr>
          <w:color w:val="000000"/>
          <w:sz w:val="22"/>
          <w:szCs w:val="22"/>
        </w:rPr>
        <w:t xml:space="preserve">a coaxial cable </w:t>
      </w:r>
      <w:r w:rsidR="00BE75E9">
        <w:rPr>
          <w:color w:val="000000"/>
          <w:sz w:val="22"/>
          <w:szCs w:val="22"/>
        </w:rPr>
        <w:lastRenderedPageBreak/>
        <w:t xml:space="preserve">running from </w:t>
      </w:r>
      <w:r w:rsidR="00676352">
        <w:rPr>
          <w:color w:val="000000"/>
          <w:sz w:val="22"/>
          <w:szCs w:val="22"/>
        </w:rPr>
        <w:t xml:space="preserve">the dwelling to </w:t>
      </w:r>
      <w:r w:rsidR="00BE75E9">
        <w:rPr>
          <w:color w:val="000000"/>
          <w:sz w:val="22"/>
          <w:szCs w:val="22"/>
        </w:rPr>
        <w:t xml:space="preserve">an </w:t>
      </w:r>
      <w:r w:rsidR="00676352">
        <w:rPr>
          <w:color w:val="000000"/>
          <w:sz w:val="22"/>
          <w:szCs w:val="22"/>
        </w:rPr>
        <w:t xml:space="preserve">FM transmitter </w:t>
      </w:r>
      <w:r w:rsidRPr="004B6284">
        <w:rPr>
          <w:color w:val="000000"/>
          <w:sz w:val="22"/>
          <w:szCs w:val="22"/>
        </w:rPr>
        <w:t>an</w:t>
      </w:r>
      <w:r w:rsidR="00676352">
        <w:rPr>
          <w:color w:val="000000"/>
          <w:sz w:val="22"/>
          <w:szCs w:val="22"/>
        </w:rPr>
        <w:t>tenna</w:t>
      </w:r>
      <w:r w:rsidRPr="004B6284">
        <w:rPr>
          <w:spacing w:val="-2"/>
          <w:sz w:val="22"/>
          <w:szCs w:val="22"/>
        </w:rPr>
        <w:t xml:space="preserve">.  </w:t>
      </w:r>
      <w:r w:rsidR="00D16C2A">
        <w:rPr>
          <w:spacing w:val="-2"/>
          <w:sz w:val="22"/>
          <w:szCs w:val="22"/>
        </w:rPr>
        <w:t>T</w:t>
      </w:r>
      <w:r w:rsidRPr="004B6284">
        <w:rPr>
          <w:spacing w:val="-2"/>
          <w:sz w:val="22"/>
          <w:szCs w:val="22"/>
        </w:rPr>
        <w:t xml:space="preserve">he agents took field strength measurements of the station’s signal and </w:t>
      </w:r>
      <w:r w:rsidR="00676352">
        <w:rPr>
          <w:spacing w:val="-2"/>
          <w:sz w:val="22"/>
          <w:szCs w:val="22"/>
        </w:rPr>
        <w:t xml:space="preserve">again </w:t>
      </w:r>
      <w:r w:rsidRPr="004B6284">
        <w:rPr>
          <w:spacing w:val="-2"/>
          <w:sz w:val="22"/>
          <w:szCs w:val="22"/>
        </w:rPr>
        <w:t>determined that it exceeded the limits for operation under Part 15 of the Rules and therefore required a license.</w:t>
      </w:r>
      <w:r w:rsidR="00BE75E9">
        <w:rPr>
          <w:spacing w:val="-2"/>
          <w:sz w:val="22"/>
          <w:szCs w:val="22"/>
        </w:rPr>
        <w:t xml:space="preserve">  </w:t>
      </w:r>
      <w:r w:rsidR="000305FC">
        <w:rPr>
          <w:spacing w:val="-2"/>
          <w:sz w:val="22"/>
          <w:szCs w:val="22"/>
        </w:rPr>
        <w:t>The agents heard the station playing advertisements and identifying itself as</w:t>
      </w:r>
      <w:r w:rsidR="00BE75E9" w:rsidRPr="000305FC">
        <w:rPr>
          <w:spacing w:val="-2"/>
          <w:sz w:val="22"/>
          <w:szCs w:val="22"/>
        </w:rPr>
        <w:t xml:space="preserve"> “Impacto 2,” a station name used by Mr. Ayora during previous unlicensed operations on 91.9 MHz.  A check of the Commission’s records confirmed that </w:t>
      </w:r>
      <w:r w:rsidRPr="000305FC">
        <w:rPr>
          <w:spacing w:val="-2"/>
          <w:sz w:val="22"/>
          <w:szCs w:val="22"/>
        </w:rPr>
        <w:t>no authorization had been issued to Mr. Ayora, or to anyone else, for the operation of an FM broadcast station at or near this residence.</w:t>
      </w:r>
      <w:r w:rsidR="00BE75E9" w:rsidRPr="000305FC">
        <w:rPr>
          <w:spacing w:val="-2"/>
          <w:sz w:val="22"/>
          <w:szCs w:val="22"/>
        </w:rPr>
        <w:t xml:space="preserve">  </w:t>
      </w:r>
      <w:r w:rsidRPr="000305FC">
        <w:rPr>
          <w:spacing w:val="-2"/>
          <w:sz w:val="22"/>
          <w:szCs w:val="22"/>
        </w:rPr>
        <w:t xml:space="preserve">On February 18, 2015, the New York Office </w:t>
      </w:r>
      <w:r w:rsidR="000305FC" w:rsidRPr="000305FC">
        <w:rPr>
          <w:spacing w:val="-2"/>
          <w:sz w:val="22"/>
          <w:szCs w:val="22"/>
        </w:rPr>
        <w:t xml:space="preserve">issued </w:t>
      </w:r>
      <w:r w:rsidRPr="000305FC">
        <w:rPr>
          <w:spacing w:val="-2"/>
          <w:sz w:val="22"/>
          <w:szCs w:val="22"/>
        </w:rPr>
        <w:t xml:space="preserve">a Notice of Unlicensed Operation to </w:t>
      </w:r>
      <w:r w:rsidR="000305FC" w:rsidRPr="000305FC">
        <w:rPr>
          <w:spacing w:val="-2"/>
          <w:sz w:val="22"/>
          <w:szCs w:val="22"/>
        </w:rPr>
        <w:t>Mr. Ayora stating his</w:t>
      </w:r>
      <w:r w:rsidRPr="000305FC">
        <w:rPr>
          <w:spacing w:val="-2"/>
          <w:sz w:val="22"/>
          <w:szCs w:val="22"/>
        </w:rPr>
        <w:t xml:space="preserve"> operation of a radio station at 40-54 Junct</w:t>
      </w:r>
      <w:r w:rsidR="0030752B">
        <w:rPr>
          <w:spacing w:val="-2"/>
          <w:sz w:val="22"/>
          <w:szCs w:val="22"/>
        </w:rPr>
        <w:t>ion Boulevard on frequency 91.9 MHz violated</w:t>
      </w:r>
      <w:r w:rsidR="0030752B" w:rsidRPr="000305FC">
        <w:rPr>
          <w:spacing w:val="-2"/>
          <w:sz w:val="22"/>
          <w:szCs w:val="22"/>
        </w:rPr>
        <w:t xml:space="preserve"> Section 301 of the Act</w:t>
      </w:r>
      <w:r w:rsidR="0030752B" w:rsidRPr="00F838FF">
        <w:rPr>
          <w:spacing w:val="-2"/>
          <w:sz w:val="22"/>
          <w:szCs w:val="22"/>
        </w:rPr>
        <w:t>, must cease immediately</w:t>
      </w:r>
      <w:r w:rsidR="0030752B">
        <w:rPr>
          <w:spacing w:val="-2"/>
          <w:sz w:val="22"/>
          <w:szCs w:val="22"/>
        </w:rPr>
        <w:t>, and could subject him to significant forfeitures</w:t>
      </w:r>
      <w:r w:rsidR="000305FC" w:rsidRPr="000305FC">
        <w:rPr>
          <w:spacing w:val="-2"/>
          <w:sz w:val="22"/>
          <w:szCs w:val="22"/>
        </w:rPr>
        <w:t>.</w:t>
      </w:r>
      <w:r w:rsidR="0030752B">
        <w:rPr>
          <w:spacing w:val="-2"/>
          <w:sz w:val="22"/>
          <w:szCs w:val="22"/>
        </w:rPr>
        <w:t xml:space="preserve">  Again, </w:t>
      </w:r>
      <w:r w:rsidRPr="000305FC">
        <w:rPr>
          <w:spacing w:val="-2"/>
          <w:sz w:val="22"/>
          <w:szCs w:val="22"/>
        </w:rPr>
        <w:t>Mr. Ayora did not respond to the Notice.</w:t>
      </w:r>
    </w:p>
    <w:p w:rsidR="00050854" w:rsidRDefault="00050854" w:rsidP="004A326D">
      <w:pPr>
        <w:pStyle w:val="Heading1"/>
        <w:widowControl/>
        <w:spacing w:after="120"/>
        <w:rPr>
          <w:sz w:val="22"/>
          <w:szCs w:val="22"/>
        </w:rPr>
      </w:pPr>
      <w:r w:rsidRPr="003F3CFD">
        <w:rPr>
          <w:sz w:val="22"/>
          <w:szCs w:val="22"/>
        </w:rPr>
        <w:t>DISCUSSION</w:t>
      </w:r>
    </w:p>
    <w:p w:rsidR="00092DD6" w:rsidRPr="00B02EF6" w:rsidRDefault="000305FC" w:rsidP="004A326D">
      <w:pPr>
        <w:widowControl/>
        <w:numPr>
          <w:ilvl w:val="0"/>
          <w:numId w:val="22"/>
        </w:numPr>
        <w:tabs>
          <w:tab w:val="clear" w:pos="1260"/>
          <w:tab w:val="num" w:pos="1440"/>
          <w:tab w:val="left" w:pos="4680"/>
          <w:tab w:val="left" w:pos="5760"/>
        </w:tabs>
        <w:spacing w:after="120"/>
        <w:ind w:left="0"/>
        <w:rPr>
          <w:spacing w:val="-3"/>
          <w:sz w:val="22"/>
          <w:szCs w:val="22"/>
        </w:rPr>
      </w:pPr>
      <w:r>
        <w:rPr>
          <w:spacing w:val="-3"/>
          <w:sz w:val="22"/>
          <w:szCs w:val="22"/>
        </w:rPr>
        <w:t>We find that Mr. Ayora apparently willfully and repeatedly violated Section 301 of the Act by operating a pirate FM station</w:t>
      </w:r>
      <w:r w:rsidR="00676352">
        <w:rPr>
          <w:spacing w:val="-3"/>
          <w:sz w:val="22"/>
          <w:szCs w:val="22"/>
        </w:rPr>
        <w:t xml:space="preserve"> in Queens</w:t>
      </w:r>
      <w:r>
        <w:rPr>
          <w:spacing w:val="-3"/>
          <w:sz w:val="22"/>
          <w:szCs w:val="22"/>
        </w:rPr>
        <w:t xml:space="preserve">.  </w:t>
      </w:r>
      <w:r w:rsidR="008914FA" w:rsidRPr="00E34AAE">
        <w:rPr>
          <w:spacing w:val="-3"/>
          <w:sz w:val="22"/>
          <w:szCs w:val="22"/>
        </w:rPr>
        <w:t xml:space="preserve">Section 503(b) of the </w:t>
      </w:r>
      <w:r w:rsidR="008914FA">
        <w:rPr>
          <w:spacing w:val="-3"/>
          <w:sz w:val="22"/>
          <w:szCs w:val="22"/>
        </w:rPr>
        <w:t xml:space="preserve">Act </w:t>
      </w:r>
      <w:r w:rsidR="008914FA" w:rsidRPr="00E34AAE">
        <w:rPr>
          <w:spacing w:val="-3"/>
          <w:sz w:val="22"/>
          <w:szCs w:val="22"/>
        </w:rPr>
        <w:t xml:space="preserve">provides that any person who willfully </w:t>
      </w:r>
      <w:r w:rsidR="008914FA">
        <w:rPr>
          <w:spacing w:val="-3"/>
          <w:sz w:val="22"/>
          <w:szCs w:val="22"/>
        </w:rPr>
        <w:t xml:space="preserve">or repeatedly </w:t>
      </w:r>
      <w:r w:rsidR="008914FA" w:rsidRPr="00E34AAE">
        <w:rPr>
          <w:spacing w:val="-3"/>
          <w:sz w:val="22"/>
          <w:szCs w:val="22"/>
        </w:rPr>
        <w:t xml:space="preserve">fails to comply substantially with the terms and conditions of any license, or willfully </w:t>
      </w:r>
      <w:r w:rsidR="008914FA">
        <w:rPr>
          <w:spacing w:val="-3"/>
          <w:sz w:val="22"/>
          <w:szCs w:val="22"/>
        </w:rPr>
        <w:t xml:space="preserve">or repeatedly </w:t>
      </w:r>
      <w:r w:rsidR="008914FA" w:rsidRPr="00E34AAE">
        <w:rPr>
          <w:spacing w:val="-3"/>
          <w:sz w:val="22"/>
          <w:szCs w:val="22"/>
        </w:rPr>
        <w:t>fails to comply with any of the provisions of the Act or of any rule, regulation</w:t>
      </w:r>
      <w:r w:rsidR="008914FA">
        <w:rPr>
          <w:spacing w:val="-3"/>
          <w:sz w:val="22"/>
          <w:szCs w:val="22"/>
        </w:rPr>
        <w:t>,</w:t>
      </w:r>
      <w:r w:rsidR="008914FA" w:rsidRPr="00E34AAE">
        <w:rPr>
          <w:spacing w:val="-3"/>
          <w:sz w:val="22"/>
          <w:szCs w:val="22"/>
        </w:rPr>
        <w:t xml:space="preserve"> or order issued by the Commission thereunder, shall be liable for a forfeiture penalty.</w:t>
      </w:r>
      <w:r w:rsidR="008914FA">
        <w:rPr>
          <w:rStyle w:val="FootnoteReference"/>
          <w:spacing w:val="-3"/>
          <w:sz w:val="22"/>
          <w:szCs w:val="22"/>
        </w:rPr>
        <w:footnoteReference w:id="3"/>
      </w:r>
      <w:r w:rsidR="008914FA" w:rsidRPr="00E34AAE">
        <w:rPr>
          <w:spacing w:val="-3"/>
          <w:sz w:val="22"/>
          <w:szCs w:val="22"/>
        </w:rPr>
        <w:t xml:space="preserve">  </w:t>
      </w:r>
      <w:r w:rsidR="008914FA" w:rsidRPr="00A12D37">
        <w:rPr>
          <w:color w:val="000000"/>
          <w:spacing w:val="-3"/>
          <w:sz w:val="22"/>
          <w:szCs w:val="22"/>
        </w:rPr>
        <w:t xml:space="preserve">Section 312(f)(1) of the Act defines </w:t>
      </w:r>
      <w:r w:rsidR="008914FA">
        <w:rPr>
          <w:color w:val="000000"/>
          <w:spacing w:val="-3"/>
          <w:sz w:val="22"/>
          <w:szCs w:val="22"/>
        </w:rPr>
        <w:t>“</w:t>
      </w:r>
      <w:r w:rsidR="008914FA" w:rsidRPr="00A12D37">
        <w:rPr>
          <w:color w:val="000000"/>
          <w:spacing w:val="-3"/>
          <w:sz w:val="22"/>
          <w:szCs w:val="22"/>
        </w:rPr>
        <w:t>willful</w:t>
      </w:r>
      <w:r w:rsidR="008914FA">
        <w:rPr>
          <w:color w:val="000000"/>
          <w:spacing w:val="-3"/>
          <w:sz w:val="22"/>
          <w:szCs w:val="22"/>
        </w:rPr>
        <w:t>”</w:t>
      </w:r>
      <w:r w:rsidR="008914FA" w:rsidRPr="00A12D37">
        <w:rPr>
          <w:color w:val="000000"/>
          <w:spacing w:val="-3"/>
          <w:sz w:val="22"/>
          <w:szCs w:val="22"/>
        </w:rPr>
        <w:t xml:space="preserve"> as the “conscious and deliberate commission or omission of [any] act, irrespective of any intent to violate” the law.</w:t>
      </w:r>
      <w:r w:rsidR="008914FA" w:rsidRPr="00A12D37">
        <w:rPr>
          <w:rStyle w:val="FootnoteReference"/>
          <w:color w:val="000000"/>
          <w:spacing w:val="-3"/>
          <w:sz w:val="22"/>
          <w:szCs w:val="22"/>
        </w:rPr>
        <w:footnoteReference w:id="4"/>
      </w:r>
      <w:r w:rsidR="008914FA" w:rsidRPr="00A12D37">
        <w:rPr>
          <w:color w:val="000000"/>
          <w:spacing w:val="-3"/>
          <w:sz w:val="22"/>
          <w:szCs w:val="22"/>
        </w:rPr>
        <w:t xml:space="preserve">  The legislative history to </w:t>
      </w:r>
      <w:r w:rsidR="008914FA">
        <w:rPr>
          <w:color w:val="000000"/>
          <w:spacing w:val="-3"/>
          <w:sz w:val="22"/>
          <w:szCs w:val="22"/>
        </w:rPr>
        <w:t>S</w:t>
      </w:r>
      <w:r w:rsidR="008914FA" w:rsidRPr="00A12D37">
        <w:rPr>
          <w:color w:val="000000"/>
          <w:spacing w:val="-3"/>
          <w:sz w:val="22"/>
          <w:szCs w:val="22"/>
        </w:rPr>
        <w:t xml:space="preserve">ection 312(f)(1) of the Act clarifies that this definition of willful applies to both </w:t>
      </w:r>
      <w:r w:rsidR="008914FA">
        <w:rPr>
          <w:color w:val="000000"/>
          <w:spacing w:val="-3"/>
          <w:sz w:val="22"/>
          <w:szCs w:val="22"/>
        </w:rPr>
        <w:t>S</w:t>
      </w:r>
      <w:r w:rsidR="008914FA" w:rsidRPr="00A12D37">
        <w:rPr>
          <w:color w:val="000000"/>
          <w:spacing w:val="-3"/>
          <w:sz w:val="22"/>
          <w:szCs w:val="22"/>
        </w:rPr>
        <w:t>ection</w:t>
      </w:r>
      <w:r w:rsidR="008914FA">
        <w:rPr>
          <w:color w:val="000000"/>
          <w:spacing w:val="-3"/>
          <w:sz w:val="22"/>
          <w:szCs w:val="22"/>
        </w:rPr>
        <w:t>s</w:t>
      </w:r>
      <w:r w:rsidR="008914FA" w:rsidRPr="00A12D37">
        <w:rPr>
          <w:color w:val="000000"/>
          <w:spacing w:val="-3"/>
          <w:sz w:val="22"/>
          <w:szCs w:val="22"/>
        </w:rPr>
        <w:t xml:space="preserve"> 312 and 503(b) of the Act</w:t>
      </w:r>
      <w:r w:rsidR="008914FA">
        <w:rPr>
          <w:color w:val="000000"/>
          <w:spacing w:val="-3"/>
          <w:sz w:val="22"/>
          <w:szCs w:val="22"/>
        </w:rPr>
        <w:t>,</w:t>
      </w:r>
      <w:r w:rsidR="008914FA" w:rsidRPr="00A12D37">
        <w:rPr>
          <w:rStyle w:val="FootnoteReference"/>
          <w:color w:val="000000"/>
          <w:spacing w:val="-3"/>
          <w:sz w:val="22"/>
          <w:szCs w:val="22"/>
        </w:rPr>
        <w:footnoteReference w:id="5"/>
      </w:r>
      <w:r w:rsidR="008914FA" w:rsidRPr="00A12D37">
        <w:rPr>
          <w:color w:val="000000"/>
          <w:spacing w:val="-3"/>
          <w:sz w:val="22"/>
          <w:szCs w:val="22"/>
        </w:rPr>
        <w:t xml:space="preserve"> and the Commission has so interpreted the term in the </w:t>
      </w:r>
      <w:r w:rsidR="008914FA">
        <w:rPr>
          <w:color w:val="000000"/>
          <w:spacing w:val="-3"/>
          <w:sz w:val="22"/>
          <w:szCs w:val="22"/>
        </w:rPr>
        <w:t>S</w:t>
      </w:r>
      <w:r w:rsidR="008914FA" w:rsidRPr="00A12D37">
        <w:rPr>
          <w:color w:val="000000"/>
          <w:spacing w:val="-3"/>
          <w:sz w:val="22"/>
          <w:szCs w:val="22"/>
        </w:rPr>
        <w:t>ection 503(b) context.</w:t>
      </w:r>
      <w:r w:rsidR="008914FA" w:rsidRPr="00A12D37">
        <w:rPr>
          <w:rStyle w:val="FootnoteReference"/>
          <w:color w:val="000000"/>
          <w:spacing w:val="-3"/>
          <w:sz w:val="22"/>
          <w:szCs w:val="22"/>
        </w:rPr>
        <w:footnoteReference w:id="6"/>
      </w:r>
      <w:r w:rsidR="008914FA" w:rsidRPr="00A12D37">
        <w:rPr>
          <w:color w:val="000000"/>
          <w:spacing w:val="-3"/>
          <w:sz w:val="22"/>
          <w:szCs w:val="22"/>
        </w:rPr>
        <w:t xml:space="preserve">  </w:t>
      </w:r>
      <w:r w:rsidR="008914FA" w:rsidRPr="00A12D37">
        <w:rPr>
          <w:color w:val="000000"/>
          <w:sz w:val="22"/>
          <w:szCs w:val="22"/>
        </w:rPr>
        <w:t>The Commission may also assess a forfeiture for violations that are merely repeated, and not willful.</w:t>
      </w:r>
      <w:r w:rsidR="008914FA" w:rsidRPr="00A12D37">
        <w:rPr>
          <w:rStyle w:val="FootnoteReference"/>
          <w:color w:val="000000"/>
          <w:sz w:val="22"/>
          <w:szCs w:val="22"/>
        </w:rPr>
        <w:footnoteReference w:id="7"/>
      </w:r>
      <w:r w:rsidR="008914FA" w:rsidRPr="00A12D37">
        <w:rPr>
          <w:color w:val="000000"/>
        </w:rPr>
        <w:t xml:space="preserve">  </w:t>
      </w:r>
      <w:r w:rsidR="008914FA" w:rsidRPr="00A12D37">
        <w:rPr>
          <w:color w:val="000000"/>
          <w:spacing w:val="-3"/>
          <w:sz w:val="22"/>
          <w:szCs w:val="22"/>
        </w:rPr>
        <w:t>The term “repeated” means the commission or omission of such act more than once or for more than one day.</w:t>
      </w:r>
      <w:r w:rsidR="008914FA" w:rsidRPr="00A12D37">
        <w:rPr>
          <w:rStyle w:val="FootnoteReference"/>
          <w:color w:val="000000"/>
          <w:spacing w:val="-3"/>
          <w:sz w:val="22"/>
          <w:szCs w:val="22"/>
        </w:rPr>
        <w:footnoteReference w:id="8"/>
      </w:r>
      <w:r w:rsidR="008914FA" w:rsidRPr="00A12D37">
        <w:rPr>
          <w:color w:val="000000"/>
          <w:spacing w:val="-3"/>
          <w:sz w:val="22"/>
          <w:szCs w:val="22"/>
        </w:rPr>
        <w:t xml:space="preserve"> </w:t>
      </w:r>
    </w:p>
    <w:p w:rsidR="008914FA" w:rsidRPr="00E02219" w:rsidRDefault="008914FA" w:rsidP="0030752B">
      <w:pPr>
        <w:widowControl/>
        <w:spacing w:after="120"/>
        <w:ind w:left="1440" w:hanging="720"/>
        <w:rPr>
          <w:spacing w:val="-3"/>
          <w:sz w:val="22"/>
          <w:szCs w:val="22"/>
        </w:rPr>
      </w:pPr>
      <w:r w:rsidRPr="00E02219">
        <w:rPr>
          <w:b/>
          <w:spacing w:val="-3"/>
          <w:sz w:val="22"/>
          <w:szCs w:val="22"/>
        </w:rPr>
        <w:t>A.</w:t>
      </w:r>
      <w:r w:rsidRPr="00E02219">
        <w:rPr>
          <w:b/>
          <w:spacing w:val="-3"/>
          <w:sz w:val="22"/>
          <w:szCs w:val="22"/>
        </w:rPr>
        <w:tab/>
      </w:r>
      <w:r w:rsidR="0030752B">
        <w:rPr>
          <w:b/>
          <w:spacing w:val="-3"/>
          <w:sz w:val="22"/>
          <w:szCs w:val="22"/>
        </w:rPr>
        <w:t xml:space="preserve">Mr. Ayora Apparently Violated Section 301 of the Act by Operating an </w:t>
      </w:r>
      <w:r w:rsidRPr="00E02219">
        <w:rPr>
          <w:b/>
          <w:spacing w:val="-3"/>
          <w:sz w:val="22"/>
          <w:szCs w:val="22"/>
        </w:rPr>
        <w:t xml:space="preserve">Unlicensed Broadcast </w:t>
      </w:r>
      <w:r w:rsidR="0030752B">
        <w:rPr>
          <w:b/>
          <w:spacing w:val="-3"/>
          <w:sz w:val="22"/>
          <w:szCs w:val="22"/>
        </w:rPr>
        <w:t>Station</w:t>
      </w:r>
    </w:p>
    <w:p w:rsidR="00693BA0" w:rsidRPr="008914FA" w:rsidRDefault="00EE5FE0" w:rsidP="008E13EE">
      <w:pPr>
        <w:widowControl/>
        <w:numPr>
          <w:ilvl w:val="0"/>
          <w:numId w:val="22"/>
        </w:numPr>
        <w:tabs>
          <w:tab w:val="clear" w:pos="1260"/>
          <w:tab w:val="num" w:pos="1440"/>
          <w:tab w:val="left" w:pos="4680"/>
          <w:tab w:val="left" w:pos="5760"/>
        </w:tabs>
        <w:spacing w:after="120"/>
        <w:ind w:left="0"/>
      </w:pPr>
      <w:r w:rsidRPr="009D216A">
        <w:rPr>
          <w:color w:val="000000"/>
          <w:spacing w:val="-2"/>
          <w:sz w:val="22"/>
          <w:szCs w:val="22"/>
        </w:rPr>
        <w:t xml:space="preserve">We find that the </w:t>
      </w:r>
      <w:r w:rsidR="008914FA" w:rsidRPr="009D216A">
        <w:rPr>
          <w:color w:val="000000"/>
          <w:spacing w:val="-2"/>
          <w:sz w:val="22"/>
          <w:szCs w:val="22"/>
        </w:rPr>
        <w:t xml:space="preserve">evidence in this case is sufficient to establish that Mr. </w:t>
      </w:r>
      <w:r w:rsidR="003B2568" w:rsidRPr="009D216A">
        <w:rPr>
          <w:color w:val="000000"/>
          <w:spacing w:val="-2"/>
          <w:sz w:val="22"/>
          <w:szCs w:val="22"/>
        </w:rPr>
        <w:t>Ayora</w:t>
      </w:r>
      <w:r w:rsidR="008914FA" w:rsidRPr="009D216A">
        <w:rPr>
          <w:color w:val="000000"/>
          <w:spacing w:val="-2"/>
          <w:sz w:val="22"/>
          <w:szCs w:val="22"/>
        </w:rPr>
        <w:t xml:space="preserve"> </w:t>
      </w:r>
      <w:r w:rsidR="006C73C9">
        <w:rPr>
          <w:color w:val="000000"/>
          <w:spacing w:val="-2"/>
          <w:sz w:val="22"/>
          <w:szCs w:val="22"/>
        </w:rPr>
        <w:t xml:space="preserve">willfully and repeatedly </w:t>
      </w:r>
      <w:r w:rsidR="008914FA" w:rsidRPr="009D216A">
        <w:rPr>
          <w:color w:val="000000"/>
          <w:spacing w:val="-2"/>
          <w:sz w:val="22"/>
          <w:szCs w:val="22"/>
        </w:rPr>
        <w:t xml:space="preserve">violated Section 301 of the Act.  </w:t>
      </w:r>
      <w:r w:rsidR="008914FA" w:rsidRPr="009D216A">
        <w:rPr>
          <w:spacing w:val="-3"/>
          <w:sz w:val="22"/>
          <w:szCs w:val="22"/>
        </w:rPr>
        <w:t>Section 301 of the Act states that no person shall use or operate any apparatus for the</w:t>
      </w:r>
      <w:r w:rsidR="008914FA" w:rsidRPr="009D216A">
        <w:rPr>
          <w:spacing w:val="-2"/>
          <w:sz w:val="22"/>
          <w:szCs w:val="22"/>
        </w:rPr>
        <w:t xml:space="preserve"> transmission of energy or communications or signals by radio within the United States, except under and in accordance with the</w:t>
      </w:r>
      <w:r w:rsidR="008914FA" w:rsidRPr="009D216A">
        <w:rPr>
          <w:color w:val="000000"/>
          <w:spacing w:val="-2"/>
          <w:sz w:val="22"/>
          <w:szCs w:val="22"/>
        </w:rPr>
        <w:t xml:space="preserve"> Act and with a license granted under the provisions of the Act.</w:t>
      </w:r>
      <w:r w:rsidR="008914FA" w:rsidRPr="00122932">
        <w:rPr>
          <w:rStyle w:val="FootnoteReference"/>
          <w:color w:val="000000"/>
          <w:sz w:val="22"/>
          <w:szCs w:val="22"/>
        </w:rPr>
        <w:footnoteReference w:id="9"/>
      </w:r>
      <w:r w:rsidR="008914FA" w:rsidRPr="009D216A">
        <w:rPr>
          <w:color w:val="000000"/>
          <w:spacing w:val="-2"/>
          <w:sz w:val="22"/>
          <w:szCs w:val="22"/>
        </w:rPr>
        <w:t xml:space="preserve">  </w:t>
      </w:r>
      <w:r w:rsidR="0003441C" w:rsidRPr="009D216A">
        <w:rPr>
          <w:color w:val="000000"/>
          <w:spacing w:val="-2"/>
          <w:sz w:val="22"/>
          <w:szCs w:val="22"/>
        </w:rPr>
        <w:lastRenderedPageBreak/>
        <w:t>Agent</w:t>
      </w:r>
      <w:r w:rsidR="0030752B">
        <w:rPr>
          <w:color w:val="000000"/>
          <w:spacing w:val="-2"/>
          <w:sz w:val="22"/>
          <w:szCs w:val="22"/>
        </w:rPr>
        <w:t xml:space="preserve">s from the New York Office determined that Mr. Ayora operated an unlicensed broadcast station on 91.9 MHz </w:t>
      </w:r>
      <w:r w:rsidR="006C73C9">
        <w:rPr>
          <w:color w:val="000000"/>
          <w:spacing w:val="-2"/>
          <w:sz w:val="22"/>
          <w:szCs w:val="22"/>
        </w:rPr>
        <w:t xml:space="preserve">on separate occasions </w:t>
      </w:r>
      <w:r w:rsidR="0030752B">
        <w:rPr>
          <w:color w:val="000000"/>
          <w:spacing w:val="-2"/>
          <w:sz w:val="22"/>
          <w:szCs w:val="22"/>
        </w:rPr>
        <w:t xml:space="preserve">from </w:t>
      </w:r>
      <w:r w:rsidR="008E13EE">
        <w:rPr>
          <w:color w:val="000000"/>
          <w:spacing w:val="-2"/>
          <w:sz w:val="22"/>
          <w:szCs w:val="22"/>
        </w:rPr>
        <w:t xml:space="preserve">41-15 Warren Street and 40-54 Junction Boulevard in Queens.  Commission records </w:t>
      </w:r>
      <w:r w:rsidR="008E13EE">
        <w:rPr>
          <w:color w:val="000000"/>
          <w:sz w:val="22"/>
          <w:szCs w:val="22"/>
        </w:rPr>
        <w:t>reveal</w:t>
      </w:r>
      <w:r w:rsidR="0065566D" w:rsidRPr="008E13EE">
        <w:rPr>
          <w:color w:val="000000"/>
          <w:sz w:val="22"/>
          <w:szCs w:val="22"/>
        </w:rPr>
        <w:t xml:space="preserve"> that no license or authorization was issued to Mr. Ayora, or to anyone else, to operate a radio station on </w:t>
      </w:r>
      <w:r w:rsidR="00687318" w:rsidRPr="008E13EE">
        <w:rPr>
          <w:color w:val="000000"/>
          <w:sz w:val="22"/>
          <w:szCs w:val="22"/>
        </w:rPr>
        <w:t>91.9</w:t>
      </w:r>
      <w:r w:rsidR="0065566D" w:rsidRPr="008E13EE">
        <w:rPr>
          <w:color w:val="000000"/>
          <w:sz w:val="22"/>
          <w:szCs w:val="22"/>
        </w:rPr>
        <w:t xml:space="preserve"> MHz at </w:t>
      </w:r>
      <w:r w:rsidR="007323A6" w:rsidRPr="008E13EE">
        <w:rPr>
          <w:color w:val="000000"/>
          <w:sz w:val="22"/>
          <w:szCs w:val="22"/>
        </w:rPr>
        <w:t>either</w:t>
      </w:r>
      <w:r w:rsidR="0065566D" w:rsidRPr="008E13EE">
        <w:rPr>
          <w:color w:val="000000"/>
          <w:sz w:val="22"/>
          <w:szCs w:val="22"/>
        </w:rPr>
        <w:t xml:space="preserve"> of these locations.  </w:t>
      </w:r>
      <w:r w:rsidR="00C1549C" w:rsidRPr="008E13EE">
        <w:rPr>
          <w:spacing w:val="-2"/>
          <w:sz w:val="22"/>
          <w:szCs w:val="22"/>
        </w:rPr>
        <w:t>As a result</w:t>
      </w:r>
      <w:r w:rsidR="008914FA" w:rsidRPr="008E13EE">
        <w:rPr>
          <w:spacing w:val="-2"/>
          <w:sz w:val="22"/>
          <w:szCs w:val="22"/>
        </w:rPr>
        <w:t xml:space="preserve">, we find that Mr. </w:t>
      </w:r>
      <w:r w:rsidR="0003441C" w:rsidRPr="008E13EE">
        <w:rPr>
          <w:spacing w:val="-2"/>
          <w:sz w:val="22"/>
          <w:szCs w:val="22"/>
        </w:rPr>
        <w:t xml:space="preserve">Ayora </w:t>
      </w:r>
      <w:r w:rsidR="008914FA" w:rsidRPr="008E13EE">
        <w:rPr>
          <w:spacing w:val="-2"/>
          <w:sz w:val="22"/>
          <w:szCs w:val="22"/>
        </w:rPr>
        <w:t>apparently willfully and repeatedly violated Section 301 of the Act by o</w:t>
      </w:r>
      <w:r w:rsidR="008914FA" w:rsidRPr="008E13EE">
        <w:rPr>
          <w:color w:val="000000"/>
          <w:spacing w:val="-2"/>
          <w:sz w:val="22"/>
          <w:szCs w:val="22"/>
        </w:rPr>
        <w:t>perating radio transmission equipment without the required Commission authorization</w:t>
      </w:r>
      <w:r w:rsidR="00E168AE" w:rsidRPr="008E13EE">
        <w:rPr>
          <w:color w:val="000000"/>
          <w:spacing w:val="-2"/>
          <w:sz w:val="22"/>
          <w:szCs w:val="22"/>
        </w:rPr>
        <w:t xml:space="preserve"> </w:t>
      </w:r>
      <w:r w:rsidR="00687318" w:rsidRPr="008E13EE">
        <w:rPr>
          <w:color w:val="000000"/>
          <w:spacing w:val="-2"/>
          <w:sz w:val="22"/>
          <w:szCs w:val="22"/>
        </w:rPr>
        <w:t>from multiple locations in Queens</w:t>
      </w:r>
      <w:r w:rsidR="0003441C" w:rsidRPr="008E13EE">
        <w:rPr>
          <w:color w:val="000000"/>
          <w:spacing w:val="-2"/>
          <w:sz w:val="22"/>
          <w:szCs w:val="22"/>
        </w:rPr>
        <w:t>.</w:t>
      </w:r>
      <w:r w:rsidR="00693BA0" w:rsidRPr="008914FA">
        <w:t xml:space="preserve"> </w:t>
      </w:r>
    </w:p>
    <w:p w:rsidR="00F46870" w:rsidRPr="00214820" w:rsidRDefault="00F46870" w:rsidP="004A326D">
      <w:pPr>
        <w:widowControl/>
        <w:numPr>
          <w:ilvl w:val="0"/>
          <w:numId w:val="25"/>
        </w:numPr>
        <w:tabs>
          <w:tab w:val="left" w:pos="0"/>
          <w:tab w:val="left" w:pos="720"/>
        </w:tabs>
        <w:suppressAutoHyphens/>
        <w:spacing w:after="120"/>
        <w:rPr>
          <w:b/>
          <w:spacing w:val="-2"/>
          <w:sz w:val="22"/>
          <w:szCs w:val="22"/>
        </w:rPr>
      </w:pPr>
      <w:r>
        <w:rPr>
          <w:b/>
          <w:spacing w:val="-2"/>
          <w:sz w:val="22"/>
          <w:szCs w:val="22"/>
        </w:rPr>
        <w:t>Prop</w:t>
      </w:r>
      <w:r w:rsidR="00094435">
        <w:rPr>
          <w:b/>
          <w:spacing w:val="-2"/>
          <w:sz w:val="22"/>
          <w:szCs w:val="22"/>
        </w:rPr>
        <w:t>osed Forfeiture</w:t>
      </w:r>
    </w:p>
    <w:p w:rsidR="000F21CD" w:rsidRPr="000F21CD" w:rsidRDefault="008E13EE" w:rsidP="000F21CD">
      <w:pPr>
        <w:widowControl/>
        <w:numPr>
          <w:ilvl w:val="0"/>
          <w:numId w:val="22"/>
        </w:numPr>
        <w:tabs>
          <w:tab w:val="clear" w:pos="1260"/>
          <w:tab w:val="left" w:pos="0"/>
          <w:tab w:val="num" w:pos="1440"/>
        </w:tabs>
        <w:suppressAutoHyphens/>
        <w:spacing w:after="120"/>
        <w:ind w:left="0"/>
        <w:rPr>
          <w:spacing w:val="-2"/>
          <w:sz w:val="22"/>
          <w:szCs w:val="22"/>
        </w:rPr>
      </w:pPr>
      <w:r w:rsidRPr="000F21CD">
        <w:rPr>
          <w:spacing w:val="-2"/>
          <w:sz w:val="22"/>
          <w:szCs w:val="22"/>
        </w:rPr>
        <w:t>Mr. Ayora’s repeated unauthorized operation of a pirate FM station warrant</w:t>
      </w:r>
      <w:r w:rsidR="006C73C9">
        <w:rPr>
          <w:spacing w:val="-2"/>
          <w:sz w:val="22"/>
          <w:szCs w:val="22"/>
        </w:rPr>
        <w:t xml:space="preserve">s a significant penalty.  </w:t>
      </w:r>
      <w:r w:rsidRPr="000F21CD">
        <w:rPr>
          <w:spacing w:val="-2"/>
          <w:sz w:val="22"/>
          <w:szCs w:val="22"/>
        </w:rPr>
        <w:t>Section 503(b)(2) of the Act authorizes us to assess a forfeiture against Mr. Ayora of up to $16,000 for each day of a continuing violation, up to a statutory maximum of $122,500 for a single act or failure to act.</w:t>
      </w:r>
      <w:r w:rsidRPr="000F21CD">
        <w:rPr>
          <w:rStyle w:val="FootnoteReference"/>
          <w:spacing w:val="-2"/>
          <w:sz w:val="22"/>
          <w:szCs w:val="22"/>
        </w:rPr>
        <w:footnoteReference w:id="10"/>
      </w:r>
      <w:r w:rsidR="000F21CD">
        <w:rPr>
          <w:spacing w:val="-2"/>
          <w:sz w:val="22"/>
          <w:szCs w:val="22"/>
        </w:rPr>
        <w:t xml:space="preserve">  </w:t>
      </w:r>
      <w:r w:rsidR="000F21CD" w:rsidRPr="000F21CD">
        <w:rPr>
          <w:sz w:val="22"/>
          <w:szCs w:val="22"/>
        </w:rPr>
        <w:t>In exercising our forfeiture authority, we must consider the “nature, circumstances, extent, and gravity of the violation and, with respect to the violator, the degree of culpability, any history of prior offenses, ability to pay, and such other matters as justice may require.”</w:t>
      </w:r>
      <w:r w:rsidR="000F21CD" w:rsidRPr="000F21CD">
        <w:rPr>
          <w:rStyle w:val="FootnoteReference"/>
          <w:color w:val="000000" w:themeColor="text1"/>
          <w:sz w:val="22"/>
          <w:szCs w:val="22"/>
        </w:rPr>
        <w:footnoteReference w:id="11"/>
      </w:r>
      <w:r w:rsidR="000F21CD" w:rsidRPr="000F21CD">
        <w:rPr>
          <w:spacing w:val="-2"/>
          <w:sz w:val="22"/>
          <w:szCs w:val="22"/>
        </w:rPr>
        <w:t xml:space="preserve">  </w:t>
      </w:r>
      <w:r w:rsidR="000F21CD" w:rsidRPr="000F21CD">
        <w:rPr>
          <w:sz w:val="22"/>
          <w:szCs w:val="22"/>
        </w:rPr>
        <w:t>In addition, the Commission has established forfeiture guidelines; they establish base penalties for certain violations and identify criteria that we consider when determining the appropriate penalty in any given case.</w:t>
      </w:r>
      <w:r w:rsidR="000F21CD" w:rsidRPr="000F21CD">
        <w:rPr>
          <w:rStyle w:val="FootnoteReference"/>
          <w:color w:val="000000" w:themeColor="text1"/>
          <w:sz w:val="22"/>
          <w:szCs w:val="22"/>
        </w:rPr>
        <w:footnoteReference w:id="12"/>
      </w:r>
      <w:r w:rsidR="000F21CD" w:rsidRPr="000F21CD">
        <w:rPr>
          <w:sz w:val="22"/>
          <w:szCs w:val="22"/>
        </w:rPr>
        <w:t xml:space="preserve">  Under these guidelines, we may adjust a forfeiture upward for violations that are egregious, intentional, or repeated, or that cause substantial harm or generate substantial economic gain for the violator.</w:t>
      </w:r>
      <w:r w:rsidR="000F21CD" w:rsidRPr="000F21CD">
        <w:rPr>
          <w:rStyle w:val="FootnoteReference"/>
          <w:color w:val="000000" w:themeColor="text1"/>
          <w:sz w:val="22"/>
          <w:szCs w:val="22"/>
        </w:rPr>
        <w:footnoteReference w:id="13"/>
      </w:r>
      <w:r w:rsidR="000F21CD">
        <w:rPr>
          <w:sz w:val="22"/>
          <w:szCs w:val="22"/>
        </w:rPr>
        <w:t xml:space="preserve">  </w:t>
      </w:r>
    </w:p>
    <w:p w:rsidR="00050854" w:rsidRPr="000F21CD" w:rsidRDefault="000F21CD" w:rsidP="000F21CD">
      <w:pPr>
        <w:widowControl/>
        <w:numPr>
          <w:ilvl w:val="0"/>
          <w:numId w:val="22"/>
        </w:numPr>
        <w:tabs>
          <w:tab w:val="clear" w:pos="1260"/>
          <w:tab w:val="left" w:pos="0"/>
          <w:tab w:val="num" w:pos="1440"/>
        </w:tabs>
        <w:suppressAutoHyphens/>
        <w:spacing w:after="120"/>
        <w:ind w:left="0"/>
        <w:rPr>
          <w:spacing w:val="-2"/>
          <w:sz w:val="22"/>
          <w:szCs w:val="22"/>
        </w:rPr>
      </w:pPr>
      <w:r>
        <w:rPr>
          <w:sz w:val="22"/>
          <w:szCs w:val="22"/>
        </w:rPr>
        <w:t>T</w:t>
      </w:r>
      <w:r w:rsidR="00E168AE" w:rsidRPr="000F21CD">
        <w:rPr>
          <w:spacing w:val="-2"/>
          <w:sz w:val="22"/>
          <w:szCs w:val="22"/>
        </w:rPr>
        <w:t>he Commission’s</w:t>
      </w:r>
      <w:r w:rsidR="00E168AE" w:rsidRPr="000F21CD">
        <w:rPr>
          <w:i/>
          <w:spacing w:val="-2"/>
          <w:sz w:val="22"/>
          <w:szCs w:val="22"/>
        </w:rPr>
        <w:t xml:space="preserve"> Forfeiture Policy Statement</w:t>
      </w:r>
      <w:r>
        <w:rPr>
          <w:spacing w:val="-2"/>
          <w:sz w:val="22"/>
          <w:szCs w:val="22"/>
        </w:rPr>
        <w:t xml:space="preserve"> and Section 1.80 of the Rules set a base forfeiture of $10,000 for</w:t>
      </w:r>
      <w:r w:rsidR="00E168AE" w:rsidRPr="000F21CD">
        <w:rPr>
          <w:spacing w:val="-2"/>
          <w:sz w:val="22"/>
          <w:szCs w:val="22"/>
        </w:rPr>
        <w:t xml:space="preserve"> </w:t>
      </w:r>
      <w:r w:rsidR="00E168AE" w:rsidRPr="000F21CD">
        <w:rPr>
          <w:color w:val="000000"/>
          <w:spacing w:val="-2"/>
          <w:sz w:val="22"/>
          <w:szCs w:val="22"/>
        </w:rPr>
        <w:t xml:space="preserve">operation </w:t>
      </w:r>
      <w:r>
        <w:rPr>
          <w:color w:val="000000"/>
          <w:spacing w:val="-2"/>
          <w:sz w:val="22"/>
          <w:szCs w:val="22"/>
        </w:rPr>
        <w:t xml:space="preserve">of a radio station </w:t>
      </w:r>
      <w:r w:rsidR="00E168AE" w:rsidRPr="000F21CD">
        <w:rPr>
          <w:color w:val="000000"/>
          <w:spacing w:val="-2"/>
          <w:sz w:val="22"/>
          <w:szCs w:val="22"/>
        </w:rPr>
        <w:t>without an instru</w:t>
      </w:r>
      <w:r>
        <w:rPr>
          <w:color w:val="000000"/>
          <w:spacing w:val="-2"/>
          <w:sz w:val="22"/>
          <w:szCs w:val="22"/>
        </w:rPr>
        <w:t>ment of authorization</w:t>
      </w:r>
      <w:r w:rsidR="00E168AE" w:rsidRPr="000F21CD">
        <w:rPr>
          <w:color w:val="000000"/>
          <w:spacing w:val="-2"/>
          <w:sz w:val="22"/>
          <w:szCs w:val="22"/>
        </w:rPr>
        <w:t>.</w:t>
      </w:r>
      <w:r w:rsidR="00E168AE" w:rsidRPr="006856C3">
        <w:rPr>
          <w:rStyle w:val="FootnoteReference"/>
          <w:color w:val="000000"/>
          <w:spacing w:val="-2"/>
          <w:sz w:val="22"/>
          <w:szCs w:val="22"/>
        </w:rPr>
        <w:footnoteReference w:id="14"/>
      </w:r>
      <w:r w:rsidR="00E168AE" w:rsidRPr="000F21CD">
        <w:rPr>
          <w:color w:val="000000"/>
          <w:spacing w:val="-2"/>
          <w:sz w:val="22"/>
          <w:szCs w:val="22"/>
        </w:rPr>
        <w:t xml:space="preserve">  </w:t>
      </w:r>
      <w:r>
        <w:rPr>
          <w:color w:val="000000"/>
          <w:spacing w:val="-2"/>
          <w:sz w:val="22"/>
          <w:szCs w:val="22"/>
        </w:rPr>
        <w:t>However,</w:t>
      </w:r>
      <w:r>
        <w:rPr>
          <w:spacing w:val="-2"/>
          <w:sz w:val="22"/>
          <w:szCs w:val="22"/>
        </w:rPr>
        <w:t xml:space="preserve"> t</w:t>
      </w:r>
      <w:r w:rsidRPr="000F21CD">
        <w:rPr>
          <w:spacing w:val="-2"/>
          <w:sz w:val="22"/>
          <w:szCs w:val="22"/>
        </w:rPr>
        <w:t>he fact that Mr. Ayora would commit the same violation multiple times after being warned repeatedly th</w:t>
      </w:r>
      <w:r w:rsidR="006C73C9">
        <w:rPr>
          <w:spacing w:val="-2"/>
          <w:sz w:val="22"/>
          <w:szCs w:val="22"/>
        </w:rPr>
        <w:t>at such actions violate the Act</w:t>
      </w:r>
      <w:r w:rsidRPr="000F21CD">
        <w:rPr>
          <w:spacing w:val="-2"/>
          <w:sz w:val="22"/>
          <w:szCs w:val="22"/>
        </w:rPr>
        <w:t xml:space="preserve"> demonstrates not only the egregiousness of the violations</w:t>
      </w:r>
      <w:r>
        <w:rPr>
          <w:spacing w:val="-2"/>
          <w:sz w:val="22"/>
          <w:szCs w:val="22"/>
        </w:rPr>
        <w:t xml:space="preserve"> but also a</w:t>
      </w:r>
      <w:r w:rsidRPr="000F21CD">
        <w:rPr>
          <w:spacing w:val="-2"/>
          <w:sz w:val="22"/>
          <w:szCs w:val="22"/>
        </w:rPr>
        <w:t xml:space="preserve"> deliberate disregard for the Act and the Commission’s authority</w:t>
      </w:r>
      <w:r>
        <w:rPr>
          <w:spacing w:val="-2"/>
          <w:sz w:val="22"/>
          <w:szCs w:val="22"/>
        </w:rPr>
        <w:t>, warranting a significant upward forfeiture adjustment</w:t>
      </w:r>
      <w:r w:rsidRPr="000F21CD">
        <w:rPr>
          <w:spacing w:val="-2"/>
          <w:sz w:val="22"/>
          <w:szCs w:val="22"/>
        </w:rPr>
        <w:t>.</w:t>
      </w:r>
      <w:r w:rsidRPr="006856C3">
        <w:rPr>
          <w:rStyle w:val="FootnoteReference"/>
          <w:spacing w:val="-2"/>
          <w:sz w:val="22"/>
          <w:szCs w:val="22"/>
        </w:rPr>
        <w:footnoteReference w:id="15"/>
      </w:r>
      <w:r>
        <w:rPr>
          <w:spacing w:val="-2"/>
          <w:sz w:val="22"/>
          <w:szCs w:val="22"/>
        </w:rPr>
        <w:t xml:space="preserve">  </w:t>
      </w:r>
      <w:r w:rsidR="006C73C9">
        <w:rPr>
          <w:spacing w:val="-2"/>
          <w:sz w:val="22"/>
          <w:szCs w:val="22"/>
        </w:rPr>
        <w:t>Therefore</w:t>
      </w:r>
      <w:r w:rsidR="00E168AE" w:rsidRPr="000F21CD">
        <w:rPr>
          <w:spacing w:val="-2"/>
          <w:sz w:val="22"/>
          <w:szCs w:val="22"/>
        </w:rPr>
        <w:t xml:space="preserve">, applying the </w:t>
      </w:r>
      <w:r w:rsidR="00E168AE" w:rsidRPr="000F21CD">
        <w:rPr>
          <w:i/>
          <w:spacing w:val="-2"/>
          <w:sz w:val="22"/>
          <w:szCs w:val="22"/>
        </w:rPr>
        <w:t>Forfeiture Policy Statement</w:t>
      </w:r>
      <w:r w:rsidR="00E168AE" w:rsidRPr="000F21CD">
        <w:rPr>
          <w:spacing w:val="-2"/>
          <w:sz w:val="22"/>
          <w:szCs w:val="22"/>
        </w:rPr>
        <w:t xml:space="preserve">, Section 1.80 of the Rules, and the statutory factors to the instant case, we conclude that Mr. </w:t>
      </w:r>
      <w:r w:rsidR="00FC0F5A" w:rsidRPr="000F21CD">
        <w:rPr>
          <w:spacing w:val="-2"/>
          <w:sz w:val="22"/>
          <w:szCs w:val="22"/>
        </w:rPr>
        <w:t>Ayora</w:t>
      </w:r>
      <w:r w:rsidR="00E168AE" w:rsidRPr="000F21CD">
        <w:rPr>
          <w:spacing w:val="-2"/>
          <w:sz w:val="22"/>
          <w:szCs w:val="22"/>
        </w:rPr>
        <w:t xml:space="preserve"> is apparently liable for a</w:t>
      </w:r>
      <w:r w:rsidR="00E168AE" w:rsidRPr="000F21CD">
        <w:rPr>
          <w:color w:val="FF00FF"/>
          <w:spacing w:val="-2"/>
          <w:sz w:val="22"/>
          <w:szCs w:val="22"/>
        </w:rPr>
        <w:t xml:space="preserve"> </w:t>
      </w:r>
      <w:r w:rsidR="00E168AE" w:rsidRPr="000F21CD">
        <w:rPr>
          <w:spacing w:val="-2"/>
          <w:sz w:val="22"/>
          <w:szCs w:val="22"/>
        </w:rPr>
        <w:t>forfeiture in the amount of twenty thousand dollars ($</w:t>
      </w:r>
      <w:r w:rsidR="006876EC" w:rsidRPr="000F21CD">
        <w:rPr>
          <w:spacing w:val="-2"/>
          <w:sz w:val="22"/>
          <w:szCs w:val="22"/>
        </w:rPr>
        <w:t>20</w:t>
      </w:r>
      <w:r w:rsidR="00E168AE" w:rsidRPr="000F21CD">
        <w:rPr>
          <w:spacing w:val="-2"/>
          <w:sz w:val="22"/>
          <w:szCs w:val="22"/>
        </w:rPr>
        <w:t>,000).</w:t>
      </w:r>
      <w:r w:rsidR="00050854" w:rsidRPr="000F21CD">
        <w:rPr>
          <w:spacing w:val="-2"/>
          <w:sz w:val="22"/>
          <w:szCs w:val="22"/>
        </w:rPr>
        <w:t xml:space="preserve">  </w:t>
      </w:r>
    </w:p>
    <w:p w:rsidR="00050854" w:rsidRPr="003F3CFD" w:rsidRDefault="00050854" w:rsidP="004A326D">
      <w:pPr>
        <w:pStyle w:val="Heading1"/>
        <w:widowControl/>
        <w:spacing w:after="120"/>
        <w:rPr>
          <w:sz w:val="22"/>
          <w:szCs w:val="22"/>
        </w:rPr>
      </w:pPr>
      <w:r w:rsidRPr="003F3CFD">
        <w:rPr>
          <w:sz w:val="22"/>
          <w:szCs w:val="22"/>
        </w:rPr>
        <w:t>ORDERING CLAUSES</w:t>
      </w:r>
    </w:p>
    <w:p w:rsidR="00C46383" w:rsidRDefault="00050854" w:rsidP="004A326D">
      <w:pPr>
        <w:widowControl/>
        <w:numPr>
          <w:ilvl w:val="0"/>
          <w:numId w:val="22"/>
        </w:numPr>
        <w:tabs>
          <w:tab w:val="clear" w:pos="1260"/>
          <w:tab w:val="left" w:pos="0"/>
          <w:tab w:val="num" w:pos="1440"/>
        </w:tabs>
        <w:suppressAutoHyphens/>
        <w:spacing w:after="120"/>
        <w:ind w:left="0"/>
        <w:rPr>
          <w:spacing w:val="-2"/>
          <w:sz w:val="22"/>
          <w:szCs w:val="22"/>
        </w:rPr>
      </w:pPr>
      <w:r w:rsidRPr="00E34AAE">
        <w:rPr>
          <w:spacing w:val="-2"/>
          <w:sz w:val="22"/>
          <w:szCs w:val="22"/>
        </w:rPr>
        <w:t>Accordingly</w:t>
      </w:r>
      <w:r w:rsidRPr="006C72D8">
        <w:rPr>
          <w:spacing w:val="-2"/>
          <w:sz w:val="22"/>
          <w:szCs w:val="22"/>
        </w:rPr>
        <w:t>,</w:t>
      </w:r>
      <w:r w:rsidRPr="00145224">
        <w:rPr>
          <w:b/>
          <w:spacing w:val="-2"/>
          <w:sz w:val="22"/>
          <w:szCs w:val="22"/>
        </w:rPr>
        <w:t xml:space="preserve"> IT IS ORDERED</w:t>
      </w:r>
      <w:r w:rsidR="003F3CFD">
        <w:rPr>
          <w:spacing w:val="-2"/>
          <w:sz w:val="22"/>
          <w:szCs w:val="22"/>
        </w:rPr>
        <w:t xml:space="preserve"> that</w:t>
      </w:r>
      <w:r w:rsidR="00D57AE2">
        <w:rPr>
          <w:spacing w:val="-2"/>
          <w:sz w:val="22"/>
          <w:szCs w:val="22"/>
        </w:rPr>
        <w:t>, pursuant to S</w:t>
      </w:r>
      <w:r w:rsidRPr="00E34AAE">
        <w:rPr>
          <w:spacing w:val="-2"/>
          <w:sz w:val="22"/>
          <w:szCs w:val="22"/>
        </w:rPr>
        <w:t xml:space="preserve">ection 503(b) of the </w:t>
      </w:r>
      <w:r w:rsidR="000F21CD">
        <w:rPr>
          <w:spacing w:val="-2"/>
          <w:sz w:val="22"/>
          <w:szCs w:val="22"/>
        </w:rPr>
        <w:t>Act</w:t>
      </w:r>
      <w:r w:rsidR="00D57AE2">
        <w:rPr>
          <w:spacing w:val="-2"/>
          <w:sz w:val="22"/>
          <w:szCs w:val="22"/>
        </w:rPr>
        <w:t xml:space="preserve"> and S</w:t>
      </w:r>
      <w:r w:rsidRPr="00E34AAE">
        <w:rPr>
          <w:spacing w:val="-2"/>
          <w:sz w:val="22"/>
          <w:szCs w:val="22"/>
        </w:rPr>
        <w:t xml:space="preserve">ections 0.111, </w:t>
      </w:r>
      <w:r w:rsidR="00856437">
        <w:rPr>
          <w:spacing w:val="-2"/>
          <w:sz w:val="22"/>
          <w:szCs w:val="22"/>
        </w:rPr>
        <w:t xml:space="preserve">0.204, </w:t>
      </w:r>
      <w:r w:rsidRPr="00E34AAE">
        <w:rPr>
          <w:spacing w:val="-2"/>
          <w:sz w:val="22"/>
          <w:szCs w:val="22"/>
        </w:rPr>
        <w:t>0.311</w:t>
      </w:r>
      <w:r w:rsidR="00716561">
        <w:rPr>
          <w:spacing w:val="-2"/>
          <w:sz w:val="22"/>
          <w:szCs w:val="22"/>
        </w:rPr>
        <w:t>, 0.314</w:t>
      </w:r>
      <w:r w:rsidR="002C62DA">
        <w:rPr>
          <w:spacing w:val="-2"/>
          <w:sz w:val="22"/>
          <w:szCs w:val="22"/>
        </w:rPr>
        <w:t>,</w:t>
      </w:r>
      <w:r w:rsidR="003E2AD5">
        <w:rPr>
          <w:spacing w:val="-2"/>
          <w:sz w:val="22"/>
          <w:szCs w:val="22"/>
        </w:rPr>
        <w:t xml:space="preserve"> and 1.80 of the </w:t>
      </w:r>
      <w:r w:rsidR="008E2DF4">
        <w:rPr>
          <w:spacing w:val="-2"/>
          <w:sz w:val="22"/>
          <w:szCs w:val="22"/>
        </w:rPr>
        <w:t>R</w:t>
      </w:r>
      <w:r w:rsidRPr="00E34AAE">
        <w:rPr>
          <w:spacing w:val="-2"/>
          <w:sz w:val="22"/>
          <w:szCs w:val="22"/>
        </w:rPr>
        <w:t xml:space="preserve">ules, </w:t>
      </w:r>
      <w:r w:rsidR="00A77AE7">
        <w:rPr>
          <w:spacing w:val="-2"/>
          <w:sz w:val="22"/>
          <w:szCs w:val="22"/>
        </w:rPr>
        <w:t>Luis Angel Ayora</w:t>
      </w:r>
      <w:r w:rsidRPr="00E34AAE">
        <w:rPr>
          <w:spacing w:val="-2"/>
          <w:sz w:val="22"/>
          <w:szCs w:val="22"/>
        </w:rPr>
        <w:t xml:space="preserve"> is hereby </w:t>
      </w:r>
      <w:r w:rsidRPr="00145224">
        <w:rPr>
          <w:b/>
          <w:spacing w:val="-2"/>
          <w:sz w:val="22"/>
          <w:szCs w:val="22"/>
        </w:rPr>
        <w:t xml:space="preserve">NOTIFIED </w:t>
      </w:r>
      <w:r w:rsidRPr="00E34AAE">
        <w:rPr>
          <w:spacing w:val="-2"/>
          <w:sz w:val="22"/>
          <w:szCs w:val="22"/>
        </w:rPr>
        <w:t xml:space="preserve">of this </w:t>
      </w:r>
      <w:r w:rsidRPr="00145224">
        <w:rPr>
          <w:b/>
          <w:spacing w:val="-2"/>
          <w:sz w:val="22"/>
          <w:szCs w:val="22"/>
        </w:rPr>
        <w:t>APPARENT LIABILITY FOR A FORFEITURE</w:t>
      </w:r>
      <w:r w:rsidR="00484313">
        <w:rPr>
          <w:b/>
          <w:spacing w:val="-2"/>
          <w:sz w:val="22"/>
          <w:szCs w:val="22"/>
        </w:rPr>
        <w:t xml:space="preserve"> </w:t>
      </w:r>
      <w:r w:rsidRPr="00E34AAE">
        <w:rPr>
          <w:spacing w:val="-2"/>
          <w:sz w:val="22"/>
          <w:szCs w:val="22"/>
        </w:rPr>
        <w:t>in the amount of</w:t>
      </w:r>
      <w:r w:rsidRPr="00E34AAE">
        <w:rPr>
          <w:sz w:val="22"/>
          <w:szCs w:val="22"/>
        </w:rPr>
        <w:t xml:space="preserve"> </w:t>
      </w:r>
      <w:r w:rsidR="006876EC">
        <w:rPr>
          <w:sz w:val="22"/>
          <w:szCs w:val="22"/>
        </w:rPr>
        <w:t>twenty</w:t>
      </w:r>
      <w:r w:rsidR="000F10C7" w:rsidRPr="0076715E">
        <w:rPr>
          <w:sz w:val="22"/>
          <w:szCs w:val="22"/>
        </w:rPr>
        <w:t xml:space="preserve"> </w:t>
      </w:r>
      <w:r w:rsidRPr="0076715E">
        <w:rPr>
          <w:sz w:val="22"/>
          <w:szCs w:val="22"/>
        </w:rPr>
        <w:t>thousand dollars ($</w:t>
      </w:r>
      <w:r w:rsidR="006876EC">
        <w:rPr>
          <w:sz w:val="22"/>
          <w:szCs w:val="22"/>
        </w:rPr>
        <w:t>20</w:t>
      </w:r>
      <w:r w:rsidRPr="0076715E">
        <w:rPr>
          <w:sz w:val="22"/>
          <w:szCs w:val="22"/>
        </w:rPr>
        <w:t>,000)</w:t>
      </w:r>
      <w:r w:rsidR="000F21CD">
        <w:rPr>
          <w:sz w:val="22"/>
          <w:szCs w:val="22"/>
        </w:rPr>
        <w:t xml:space="preserve"> for willful and repeated violations of </w:t>
      </w:r>
      <w:r w:rsidR="00D57AE2">
        <w:rPr>
          <w:sz w:val="22"/>
          <w:szCs w:val="22"/>
        </w:rPr>
        <w:t>S</w:t>
      </w:r>
      <w:r w:rsidRPr="00E34AAE">
        <w:rPr>
          <w:sz w:val="22"/>
          <w:szCs w:val="22"/>
        </w:rPr>
        <w:t>ection</w:t>
      </w:r>
      <w:r w:rsidR="000F10C7">
        <w:rPr>
          <w:sz w:val="22"/>
          <w:szCs w:val="22"/>
        </w:rPr>
        <w:t xml:space="preserve"> 301</w:t>
      </w:r>
      <w:r w:rsidRPr="00E34AAE">
        <w:rPr>
          <w:sz w:val="22"/>
          <w:szCs w:val="22"/>
        </w:rPr>
        <w:t xml:space="preserve"> </w:t>
      </w:r>
      <w:r w:rsidRPr="00E34AAE">
        <w:rPr>
          <w:spacing w:val="-2"/>
          <w:sz w:val="22"/>
          <w:szCs w:val="22"/>
        </w:rPr>
        <w:t>o</w:t>
      </w:r>
      <w:r w:rsidRPr="00E34AAE">
        <w:rPr>
          <w:sz w:val="22"/>
          <w:szCs w:val="22"/>
        </w:rPr>
        <w:t xml:space="preserve">f the </w:t>
      </w:r>
      <w:r w:rsidR="000F10C7">
        <w:rPr>
          <w:sz w:val="22"/>
          <w:szCs w:val="22"/>
        </w:rPr>
        <w:t>Act</w:t>
      </w:r>
      <w:r w:rsidRPr="00E34AAE">
        <w:rPr>
          <w:sz w:val="22"/>
          <w:szCs w:val="22"/>
        </w:rPr>
        <w:t>.</w:t>
      </w:r>
      <w:r w:rsidRPr="00E34AAE">
        <w:rPr>
          <w:rStyle w:val="FootnoteReference"/>
          <w:sz w:val="22"/>
          <w:szCs w:val="22"/>
        </w:rPr>
        <w:footnoteReference w:id="16"/>
      </w:r>
    </w:p>
    <w:p w:rsidR="00C46383" w:rsidRDefault="00050854" w:rsidP="004A326D">
      <w:pPr>
        <w:widowControl/>
        <w:numPr>
          <w:ilvl w:val="0"/>
          <w:numId w:val="22"/>
        </w:numPr>
        <w:tabs>
          <w:tab w:val="clear" w:pos="1260"/>
          <w:tab w:val="left" w:pos="0"/>
          <w:tab w:val="num" w:pos="1440"/>
        </w:tabs>
        <w:suppressAutoHyphens/>
        <w:spacing w:after="120"/>
        <w:ind w:left="0"/>
        <w:rPr>
          <w:spacing w:val="-2"/>
          <w:sz w:val="22"/>
          <w:szCs w:val="22"/>
        </w:rPr>
      </w:pPr>
      <w:r w:rsidRPr="00C46383">
        <w:rPr>
          <w:b/>
          <w:spacing w:val="-2"/>
          <w:sz w:val="22"/>
          <w:szCs w:val="22"/>
        </w:rPr>
        <w:t>IT IS FURTHER ORDERED</w:t>
      </w:r>
      <w:r w:rsidRPr="00C46383">
        <w:rPr>
          <w:spacing w:val="-2"/>
          <w:sz w:val="22"/>
          <w:szCs w:val="22"/>
        </w:rPr>
        <w:t xml:space="preserve"> </w:t>
      </w:r>
      <w:r w:rsidR="003F3CFD" w:rsidRPr="00C46383">
        <w:rPr>
          <w:spacing w:val="-2"/>
          <w:sz w:val="22"/>
          <w:szCs w:val="22"/>
        </w:rPr>
        <w:t>that</w:t>
      </w:r>
      <w:r w:rsidR="00D57AE2" w:rsidRPr="00C46383">
        <w:rPr>
          <w:spacing w:val="-2"/>
          <w:sz w:val="22"/>
          <w:szCs w:val="22"/>
        </w:rPr>
        <w:t>, pursuant to S</w:t>
      </w:r>
      <w:r w:rsidR="003E2AD5" w:rsidRPr="00C46383">
        <w:rPr>
          <w:spacing w:val="-2"/>
          <w:sz w:val="22"/>
          <w:szCs w:val="22"/>
        </w:rPr>
        <w:t xml:space="preserve">ection 1.80 of the </w:t>
      </w:r>
      <w:r w:rsidR="008E2DF4">
        <w:rPr>
          <w:spacing w:val="-2"/>
          <w:sz w:val="22"/>
          <w:szCs w:val="22"/>
        </w:rPr>
        <w:t>R</w:t>
      </w:r>
      <w:r w:rsidRPr="00C46383">
        <w:rPr>
          <w:spacing w:val="-2"/>
          <w:sz w:val="22"/>
          <w:szCs w:val="22"/>
        </w:rPr>
        <w:t>ules</w:t>
      </w:r>
      <w:r w:rsidR="002C62DA" w:rsidRPr="00C46383">
        <w:rPr>
          <w:spacing w:val="-2"/>
          <w:sz w:val="22"/>
          <w:szCs w:val="22"/>
        </w:rPr>
        <w:t>,</w:t>
      </w:r>
      <w:r w:rsidRPr="00C46383">
        <w:rPr>
          <w:spacing w:val="-2"/>
          <w:sz w:val="22"/>
          <w:szCs w:val="22"/>
        </w:rPr>
        <w:t xml:space="preserve"> within thirty </w:t>
      </w:r>
      <w:r w:rsidR="003A7878" w:rsidRPr="00C46383">
        <w:rPr>
          <w:spacing w:val="-2"/>
          <w:sz w:val="22"/>
          <w:szCs w:val="22"/>
        </w:rPr>
        <w:t xml:space="preserve">(30) calendar </w:t>
      </w:r>
      <w:r w:rsidRPr="00C46383">
        <w:rPr>
          <w:spacing w:val="-2"/>
          <w:sz w:val="22"/>
          <w:szCs w:val="22"/>
        </w:rPr>
        <w:t>days of the release date of this Notice of Apparent Liability for Forfeiture</w:t>
      </w:r>
      <w:r w:rsidR="000F10C7" w:rsidRPr="00C46383">
        <w:rPr>
          <w:spacing w:val="-2"/>
          <w:sz w:val="22"/>
          <w:szCs w:val="22"/>
        </w:rPr>
        <w:t xml:space="preserve">, </w:t>
      </w:r>
      <w:r w:rsidR="00A77AE7">
        <w:rPr>
          <w:spacing w:val="-2"/>
          <w:sz w:val="22"/>
          <w:szCs w:val="22"/>
        </w:rPr>
        <w:t>Luis Angel Ayora</w:t>
      </w:r>
      <w:r w:rsidR="000F10C7" w:rsidRPr="00C46383">
        <w:rPr>
          <w:spacing w:val="-2"/>
          <w:sz w:val="22"/>
          <w:szCs w:val="22"/>
        </w:rPr>
        <w:t xml:space="preserve"> </w:t>
      </w:r>
      <w:r w:rsidR="00145224" w:rsidRPr="00C46383">
        <w:rPr>
          <w:b/>
          <w:spacing w:val="-2"/>
          <w:sz w:val="22"/>
          <w:szCs w:val="22"/>
        </w:rPr>
        <w:t>SHALL PAY</w:t>
      </w:r>
      <w:r w:rsidRPr="00C46383">
        <w:rPr>
          <w:spacing w:val="-2"/>
          <w:sz w:val="22"/>
          <w:szCs w:val="22"/>
        </w:rPr>
        <w:t xml:space="preserve"> the full amount of the proposed forfeiture or </w:t>
      </w:r>
      <w:r w:rsidR="00145224" w:rsidRPr="00C46383">
        <w:rPr>
          <w:b/>
          <w:spacing w:val="-2"/>
          <w:sz w:val="22"/>
          <w:szCs w:val="22"/>
        </w:rPr>
        <w:t>SHALL FILE</w:t>
      </w:r>
      <w:r w:rsidRPr="00C46383">
        <w:rPr>
          <w:spacing w:val="-2"/>
          <w:sz w:val="22"/>
          <w:szCs w:val="22"/>
        </w:rPr>
        <w:t xml:space="preserve"> a written statement seeking reduction or cancellation of the proposed forfeiture</w:t>
      </w:r>
      <w:r w:rsidR="00583A6A">
        <w:rPr>
          <w:spacing w:val="-2"/>
          <w:sz w:val="22"/>
          <w:szCs w:val="22"/>
        </w:rPr>
        <w:t xml:space="preserve"> consistent with paragraph 12 below</w:t>
      </w:r>
      <w:r w:rsidRPr="00C46383">
        <w:rPr>
          <w:spacing w:val="-2"/>
          <w:sz w:val="22"/>
          <w:szCs w:val="22"/>
        </w:rPr>
        <w:t>.</w:t>
      </w:r>
      <w:r w:rsidR="00583A6A">
        <w:rPr>
          <w:rStyle w:val="FootnoteReference"/>
          <w:spacing w:val="-2"/>
          <w:sz w:val="22"/>
          <w:szCs w:val="22"/>
        </w:rPr>
        <w:footnoteReference w:id="17"/>
      </w:r>
    </w:p>
    <w:p w:rsidR="00A66F85" w:rsidRPr="009D216A" w:rsidRDefault="00A66F85" w:rsidP="004A326D">
      <w:pPr>
        <w:widowControl/>
        <w:numPr>
          <w:ilvl w:val="0"/>
          <w:numId w:val="22"/>
        </w:numPr>
        <w:tabs>
          <w:tab w:val="clear" w:pos="1260"/>
          <w:tab w:val="left" w:pos="0"/>
          <w:tab w:val="num" w:pos="1440"/>
        </w:tabs>
        <w:suppressAutoHyphens/>
        <w:spacing w:after="120"/>
        <w:ind w:left="0"/>
        <w:rPr>
          <w:spacing w:val="-2"/>
          <w:sz w:val="22"/>
          <w:szCs w:val="22"/>
        </w:rPr>
      </w:pPr>
      <w:r w:rsidRPr="00C46383">
        <w:rPr>
          <w:rFonts w:eastAsia="MS Mincho" w:cs="Arial"/>
          <w:sz w:val="22"/>
          <w:szCs w:val="22"/>
        </w:rPr>
        <w:t>Payment of the forfeiture must be made by check or similar instrument, wire transfer,</w:t>
      </w:r>
      <w:r w:rsidR="00A77AE7">
        <w:rPr>
          <w:rFonts w:eastAsia="MS Mincho" w:cs="Arial"/>
          <w:sz w:val="22"/>
          <w:szCs w:val="22"/>
        </w:rPr>
        <w:t xml:space="preserve"> </w:t>
      </w:r>
      <w:r w:rsidRPr="00C46383">
        <w:rPr>
          <w:rFonts w:eastAsia="MS Mincho" w:cs="Arial"/>
          <w:sz w:val="22"/>
          <w:szCs w:val="22"/>
        </w:rPr>
        <w:t xml:space="preserve">or credit card, and must include the NAL/Account </w:t>
      </w:r>
      <w:r w:rsidR="00C46383">
        <w:rPr>
          <w:rFonts w:eastAsia="MS Mincho" w:cs="Arial"/>
          <w:sz w:val="22"/>
          <w:szCs w:val="22"/>
        </w:rPr>
        <w:t>N</w:t>
      </w:r>
      <w:r w:rsidRPr="00C46383">
        <w:rPr>
          <w:rFonts w:eastAsia="MS Mincho" w:cs="Arial"/>
          <w:sz w:val="22"/>
          <w:szCs w:val="22"/>
        </w:rPr>
        <w:t>u</w:t>
      </w:r>
      <w:r w:rsidR="00E2691A">
        <w:rPr>
          <w:rFonts w:eastAsia="MS Mincho" w:cs="Arial"/>
          <w:sz w:val="22"/>
          <w:szCs w:val="22"/>
        </w:rPr>
        <w:t xml:space="preserve">mber and FRN referenced above.  </w:t>
      </w:r>
      <w:r w:rsidR="00A77AE7">
        <w:rPr>
          <w:rFonts w:eastAsia="MS Mincho" w:cs="Arial"/>
          <w:sz w:val="22"/>
          <w:szCs w:val="22"/>
        </w:rPr>
        <w:t>Luis Angel Ayora</w:t>
      </w:r>
      <w:r w:rsidR="000F10C7" w:rsidRPr="00C46383">
        <w:rPr>
          <w:rFonts w:eastAsia="MS Mincho" w:cs="Arial"/>
          <w:sz w:val="22"/>
          <w:szCs w:val="22"/>
        </w:rPr>
        <w:t xml:space="preserve"> </w:t>
      </w:r>
      <w:r w:rsidR="0095119D" w:rsidRPr="00C46383">
        <w:rPr>
          <w:color w:val="000000"/>
          <w:sz w:val="22"/>
          <w:szCs w:val="22"/>
          <w:lang w:bidi="he-IL"/>
        </w:rPr>
        <w:t>shall also send electronic notification on the date said payment is made to</w:t>
      </w:r>
      <w:r w:rsidR="00C1549C">
        <w:rPr>
          <w:color w:val="000000"/>
          <w:sz w:val="22"/>
          <w:szCs w:val="22"/>
          <w:lang w:bidi="he-IL"/>
        </w:rPr>
        <w:t xml:space="preserve"> </w:t>
      </w:r>
      <w:r w:rsidR="009D216A" w:rsidRPr="0030752B">
        <w:rPr>
          <w:sz w:val="22"/>
          <w:szCs w:val="22"/>
          <w:lang w:bidi="he-IL"/>
        </w:rPr>
        <w:t>NER-Response@fcc.gov</w:t>
      </w:r>
      <w:r w:rsidR="009D216A">
        <w:rPr>
          <w:color w:val="000000"/>
          <w:sz w:val="22"/>
          <w:szCs w:val="22"/>
          <w:lang w:bidi="he-IL"/>
        </w:rPr>
        <w:t>.</w:t>
      </w:r>
      <w:r w:rsidR="009D216A">
        <w:rPr>
          <w:spacing w:val="-2"/>
          <w:sz w:val="22"/>
          <w:szCs w:val="22"/>
        </w:rPr>
        <w:t xml:space="preserve">  </w:t>
      </w:r>
      <w:r w:rsidR="000F10C7" w:rsidRPr="009D216A">
        <w:rPr>
          <w:sz w:val="22"/>
          <w:szCs w:val="22"/>
        </w:rPr>
        <w:t>Regardle</w:t>
      </w:r>
      <w:r w:rsidRPr="009D216A">
        <w:rPr>
          <w:rFonts w:eastAsia="MS Mincho" w:cs="Arial"/>
          <w:sz w:val="22"/>
          <w:szCs w:val="22"/>
        </w:rPr>
        <w:t>ss of the form of payment, a completed FCC Form 159 (Remittance Advice) must be submitted.</w:t>
      </w:r>
      <w:r w:rsidRPr="00A66F85">
        <w:rPr>
          <w:rStyle w:val="FootnoteReference"/>
          <w:rFonts w:eastAsia="MS Mincho" w:cs="Arial"/>
          <w:sz w:val="22"/>
          <w:szCs w:val="22"/>
        </w:rPr>
        <w:footnoteReference w:id="18"/>
      </w:r>
      <w:r w:rsidRPr="009D216A">
        <w:rPr>
          <w:rFonts w:eastAsia="MS Mincho" w:cs="Arial"/>
          <w:sz w:val="22"/>
          <w:szCs w:val="22"/>
        </w:rPr>
        <w:t xml:space="preserve">  When completing the FCC Form 159, enter the Account Number in block number 23A (call sign/other ID) and enter the letters “FORF” in block number 24A (payment type code).</w:t>
      </w:r>
      <w:r w:rsidR="00A77AE7" w:rsidRPr="009D216A">
        <w:rPr>
          <w:rFonts w:eastAsia="MS Mincho" w:cs="Arial"/>
          <w:sz w:val="22"/>
          <w:szCs w:val="22"/>
        </w:rPr>
        <w:t xml:space="preserve">  </w:t>
      </w:r>
      <w:r w:rsidRPr="009D216A">
        <w:rPr>
          <w:color w:val="000000"/>
          <w:sz w:val="22"/>
          <w:szCs w:val="22"/>
        </w:rPr>
        <w:t xml:space="preserve">Below are additional instructions </w:t>
      </w:r>
      <w:r w:rsidR="00583A6A">
        <w:rPr>
          <w:color w:val="000000"/>
          <w:sz w:val="22"/>
          <w:szCs w:val="22"/>
        </w:rPr>
        <w:t xml:space="preserve">that should be followed </w:t>
      </w:r>
      <w:r w:rsidRPr="009D216A">
        <w:rPr>
          <w:color w:val="000000"/>
          <w:sz w:val="22"/>
          <w:szCs w:val="22"/>
        </w:rPr>
        <w:t>b</w:t>
      </w:r>
      <w:r w:rsidR="00583A6A">
        <w:rPr>
          <w:color w:val="000000"/>
          <w:sz w:val="22"/>
          <w:szCs w:val="22"/>
        </w:rPr>
        <w:t xml:space="preserve">ased on the form of payment </w:t>
      </w:r>
      <w:r w:rsidRPr="009D216A">
        <w:rPr>
          <w:color w:val="000000"/>
          <w:sz w:val="22"/>
          <w:szCs w:val="22"/>
        </w:rPr>
        <w:t>select</w:t>
      </w:r>
      <w:r w:rsidR="00583A6A">
        <w:rPr>
          <w:color w:val="000000"/>
          <w:sz w:val="22"/>
          <w:szCs w:val="22"/>
        </w:rPr>
        <w:t>ed</w:t>
      </w:r>
      <w:r w:rsidRPr="009D216A">
        <w:rPr>
          <w:color w:val="000000"/>
          <w:sz w:val="22"/>
          <w:szCs w:val="22"/>
        </w:rPr>
        <w:t>:</w:t>
      </w:r>
    </w:p>
    <w:p w:rsidR="00A66F85" w:rsidRPr="00A66F85" w:rsidRDefault="00A66F85" w:rsidP="004A326D">
      <w:pPr>
        <w:pStyle w:val="ParaNum"/>
        <w:numPr>
          <w:ilvl w:val="0"/>
          <w:numId w:val="27"/>
        </w:numPr>
        <w:tabs>
          <w:tab w:val="clear" w:pos="1440"/>
        </w:tabs>
        <w:autoSpaceDE/>
        <w:autoSpaceDN/>
        <w:adjustRightInd/>
        <w:spacing w:after="120"/>
        <w:jc w:val="left"/>
        <w:rPr>
          <w:rFonts w:eastAsia="MS Mincho"/>
          <w:sz w:val="22"/>
          <w:szCs w:val="22"/>
        </w:rPr>
      </w:pPr>
      <w:r w:rsidRPr="00A66F85">
        <w:rPr>
          <w:rFonts w:eastAsia="MS Mincho"/>
          <w:sz w:val="22"/>
          <w:szCs w:val="22"/>
        </w:rPr>
        <w:t>Payment by check or money order must be made payable to the order of the Federal Communications Commission.</w:t>
      </w:r>
      <w:r w:rsidR="004845F7">
        <w:rPr>
          <w:rFonts w:eastAsia="MS Mincho"/>
          <w:sz w:val="22"/>
          <w:szCs w:val="22"/>
        </w:rPr>
        <w:t xml:space="preserve"> </w:t>
      </w:r>
      <w:r w:rsidRPr="00A66F85">
        <w:rPr>
          <w:rFonts w:eastAsia="MS Mincho"/>
          <w:sz w:val="22"/>
          <w:szCs w:val="22"/>
        </w:rPr>
        <w:t xml:space="preserve"> Such payments</w:t>
      </w:r>
      <w:r w:rsidR="004845F7">
        <w:rPr>
          <w:rFonts w:eastAsia="MS Mincho"/>
          <w:sz w:val="22"/>
          <w:szCs w:val="22"/>
        </w:rPr>
        <w:t xml:space="preserve"> </w:t>
      </w:r>
      <w:r w:rsidRPr="00A66F85">
        <w:rPr>
          <w:rFonts w:eastAsia="MS Mincho"/>
          <w:sz w:val="22"/>
          <w:szCs w:val="22"/>
        </w:rPr>
        <w:t>(along with the completed Form 159)</w:t>
      </w:r>
      <w:r w:rsidR="004845F7">
        <w:rPr>
          <w:rFonts w:eastAsia="MS Mincho"/>
          <w:sz w:val="22"/>
          <w:szCs w:val="22"/>
        </w:rPr>
        <w:t xml:space="preserve"> </w:t>
      </w:r>
      <w:r w:rsidRPr="00A66F85">
        <w:rPr>
          <w:rFonts w:eastAsia="MS Mincho"/>
          <w:sz w:val="22"/>
          <w:szCs w:val="22"/>
        </w:rPr>
        <w:t>must be mailed to Federal Communications Commission, P.O. Box 979088, St. Louis, MO 63197-9000, or sent via</w:t>
      </w:r>
      <w:r w:rsidR="004845F7">
        <w:rPr>
          <w:rFonts w:eastAsia="MS Mincho"/>
          <w:sz w:val="22"/>
          <w:szCs w:val="22"/>
        </w:rPr>
        <w:t xml:space="preserve"> </w:t>
      </w:r>
      <w:r w:rsidRPr="00A66F85">
        <w:rPr>
          <w:rFonts w:eastAsia="MS Mincho"/>
          <w:sz w:val="22"/>
          <w:szCs w:val="22"/>
        </w:rPr>
        <w:t>overnight mail</w:t>
      </w:r>
      <w:r w:rsidR="004845F7">
        <w:rPr>
          <w:rFonts w:eastAsia="MS Mincho"/>
          <w:sz w:val="22"/>
          <w:szCs w:val="22"/>
        </w:rPr>
        <w:t xml:space="preserve"> </w:t>
      </w:r>
      <w:r w:rsidRPr="00A66F85">
        <w:rPr>
          <w:rFonts w:eastAsia="MS Mincho"/>
          <w:sz w:val="22"/>
          <w:szCs w:val="22"/>
        </w:rPr>
        <w:t>to U.S. Bank – Government Lockbox #979088, SL-MO-C2-GL, 1005 Convention Plaza, St. Louis, MO 63101.</w:t>
      </w:r>
      <w:r w:rsidR="004845F7">
        <w:rPr>
          <w:rFonts w:eastAsia="MS Mincho"/>
          <w:sz w:val="22"/>
          <w:szCs w:val="22"/>
        </w:rPr>
        <w:t xml:space="preserve">  </w:t>
      </w:r>
    </w:p>
    <w:p w:rsidR="00A66F85" w:rsidRPr="00A66F85" w:rsidRDefault="00A66F85" w:rsidP="004A326D">
      <w:pPr>
        <w:pStyle w:val="ParaNum"/>
        <w:numPr>
          <w:ilvl w:val="0"/>
          <w:numId w:val="27"/>
        </w:numPr>
        <w:tabs>
          <w:tab w:val="clear" w:pos="1440"/>
        </w:tabs>
        <w:autoSpaceDE/>
        <w:autoSpaceDN/>
        <w:adjustRightInd/>
        <w:spacing w:after="120"/>
        <w:jc w:val="left"/>
        <w:rPr>
          <w:rFonts w:eastAsia="MS Mincho"/>
          <w:sz w:val="22"/>
          <w:szCs w:val="22"/>
        </w:rPr>
      </w:pPr>
      <w:r w:rsidRPr="00A66F85">
        <w:rPr>
          <w:rFonts w:eastAsia="MS Mincho"/>
          <w:sz w:val="22"/>
          <w:szCs w:val="22"/>
        </w:rPr>
        <w:t>Payment by</w:t>
      </w:r>
      <w:r w:rsidR="004845F7">
        <w:rPr>
          <w:rFonts w:eastAsia="MS Mincho"/>
          <w:sz w:val="22"/>
          <w:szCs w:val="22"/>
        </w:rPr>
        <w:t xml:space="preserve"> </w:t>
      </w:r>
      <w:r w:rsidRPr="00A66F85">
        <w:rPr>
          <w:rFonts w:eastAsia="MS Mincho"/>
          <w:sz w:val="22"/>
          <w:szCs w:val="22"/>
        </w:rPr>
        <w:t>wire transfer</w:t>
      </w:r>
      <w:r w:rsidR="004845F7">
        <w:rPr>
          <w:rFonts w:eastAsia="MS Mincho"/>
          <w:sz w:val="22"/>
          <w:szCs w:val="22"/>
        </w:rPr>
        <w:t xml:space="preserve"> </w:t>
      </w:r>
      <w:r w:rsidRPr="00A66F85">
        <w:rPr>
          <w:rFonts w:eastAsia="MS Mincho"/>
          <w:sz w:val="22"/>
          <w:szCs w:val="22"/>
        </w:rPr>
        <w:t>must be made to ABA Number 021030004, receiving bank TREAS/NYC, and Account Number 27000001.</w:t>
      </w:r>
      <w:r w:rsidR="004845F7">
        <w:rPr>
          <w:rFonts w:eastAsia="MS Mincho"/>
          <w:sz w:val="22"/>
          <w:szCs w:val="22"/>
        </w:rPr>
        <w:t xml:space="preserve"> </w:t>
      </w:r>
      <w:r w:rsidRPr="00A66F85">
        <w:rPr>
          <w:rFonts w:eastAsia="MS Mincho"/>
          <w:sz w:val="22"/>
          <w:szCs w:val="22"/>
        </w:rPr>
        <w:t xml:space="preserve"> To complete the wire transfer and ensure appropriate crediting of the wired funds, a completed Form 159 must be faxed to U.S. Bank at (314) 418-4232 on the same business day the wire transfer is initiated.</w:t>
      </w:r>
      <w:r w:rsidR="004845F7">
        <w:rPr>
          <w:rFonts w:eastAsia="MS Mincho"/>
          <w:sz w:val="22"/>
          <w:szCs w:val="22"/>
        </w:rPr>
        <w:t xml:space="preserve">  </w:t>
      </w:r>
    </w:p>
    <w:p w:rsidR="00A66F85" w:rsidRPr="00A66F85" w:rsidRDefault="00A66F85" w:rsidP="004A326D">
      <w:pPr>
        <w:pStyle w:val="ParaNum"/>
        <w:numPr>
          <w:ilvl w:val="0"/>
          <w:numId w:val="27"/>
        </w:numPr>
        <w:tabs>
          <w:tab w:val="clear" w:pos="1440"/>
        </w:tabs>
        <w:autoSpaceDE/>
        <w:autoSpaceDN/>
        <w:adjustRightInd/>
        <w:spacing w:after="120"/>
        <w:jc w:val="left"/>
        <w:rPr>
          <w:rFonts w:eastAsia="MS Mincho"/>
          <w:sz w:val="22"/>
          <w:szCs w:val="22"/>
        </w:rPr>
      </w:pPr>
      <w:r w:rsidRPr="00A66F85">
        <w:rPr>
          <w:rFonts w:eastAsia="MS Mincho"/>
          <w:sz w:val="22"/>
          <w:szCs w:val="22"/>
        </w:rPr>
        <w:t>Payment by credit card must be made by providing the required credit card information on FCC Form 159 and signing</w:t>
      </w:r>
      <w:r w:rsidR="004845F7">
        <w:rPr>
          <w:rFonts w:eastAsia="MS Mincho"/>
          <w:sz w:val="22"/>
          <w:szCs w:val="22"/>
        </w:rPr>
        <w:t xml:space="preserve"> </w:t>
      </w:r>
      <w:r w:rsidRPr="00A66F85">
        <w:rPr>
          <w:rFonts w:eastAsia="MS Mincho"/>
          <w:sz w:val="22"/>
          <w:szCs w:val="22"/>
        </w:rPr>
        <w:t>and dating</w:t>
      </w:r>
      <w:r w:rsidR="004845F7">
        <w:rPr>
          <w:rFonts w:eastAsia="MS Mincho"/>
          <w:sz w:val="22"/>
          <w:szCs w:val="22"/>
        </w:rPr>
        <w:t xml:space="preserve"> </w:t>
      </w:r>
      <w:r w:rsidRPr="00A66F85">
        <w:rPr>
          <w:rFonts w:eastAsia="MS Mincho"/>
          <w:sz w:val="22"/>
          <w:szCs w:val="22"/>
        </w:rPr>
        <w:t>the Form 159 to autho</w:t>
      </w:r>
      <w:r w:rsidR="00E2691A">
        <w:rPr>
          <w:rFonts w:eastAsia="MS Mincho"/>
          <w:sz w:val="22"/>
          <w:szCs w:val="22"/>
        </w:rPr>
        <w:t>rize</w:t>
      </w:r>
      <w:r w:rsidR="004845F7">
        <w:rPr>
          <w:rFonts w:eastAsia="MS Mincho"/>
          <w:sz w:val="22"/>
          <w:szCs w:val="22"/>
        </w:rPr>
        <w:t xml:space="preserve"> </w:t>
      </w:r>
      <w:r w:rsidR="00E2691A">
        <w:rPr>
          <w:rFonts w:eastAsia="MS Mincho"/>
          <w:sz w:val="22"/>
          <w:szCs w:val="22"/>
        </w:rPr>
        <w:t xml:space="preserve">the credit card payment.  </w:t>
      </w:r>
      <w:r w:rsidRPr="00A66F85">
        <w:rPr>
          <w:rFonts w:eastAsia="MS Mincho"/>
          <w:sz w:val="22"/>
          <w:szCs w:val="22"/>
        </w:rPr>
        <w:t>The completed Form 159 must then be mailed to Federal Communications Commission, P.O. Box 979088, St. Louis, MO 63197-9000, or sent via</w:t>
      </w:r>
      <w:r w:rsidR="004845F7">
        <w:rPr>
          <w:rFonts w:eastAsia="MS Mincho"/>
          <w:sz w:val="22"/>
          <w:szCs w:val="22"/>
        </w:rPr>
        <w:t xml:space="preserve"> </w:t>
      </w:r>
      <w:r w:rsidRPr="00A66F85">
        <w:rPr>
          <w:rFonts w:eastAsia="MS Mincho"/>
          <w:sz w:val="22"/>
          <w:szCs w:val="22"/>
        </w:rPr>
        <w:t>overnight mail</w:t>
      </w:r>
      <w:r w:rsidR="004845F7">
        <w:rPr>
          <w:rFonts w:eastAsia="MS Mincho"/>
          <w:sz w:val="22"/>
          <w:szCs w:val="22"/>
        </w:rPr>
        <w:t xml:space="preserve"> </w:t>
      </w:r>
      <w:r w:rsidRPr="00A66F85">
        <w:rPr>
          <w:rFonts w:eastAsia="MS Mincho"/>
          <w:sz w:val="22"/>
          <w:szCs w:val="22"/>
        </w:rPr>
        <w:t>to U.S. Bank – Government Lockbox #979088, SL-MO-C2-GL, 1005 Convention Plaza, St. Louis, MO 63101.</w:t>
      </w:r>
      <w:r w:rsidR="004845F7">
        <w:rPr>
          <w:rFonts w:eastAsia="MS Mincho"/>
          <w:sz w:val="22"/>
          <w:szCs w:val="22"/>
        </w:rPr>
        <w:t xml:space="preserve"> </w:t>
      </w:r>
      <w:r w:rsidRPr="00A66F85">
        <w:rPr>
          <w:rFonts w:eastAsia="MS Mincho"/>
          <w:sz w:val="22"/>
          <w:szCs w:val="22"/>
        </w:rPr>
        <w:t xml:space="preserve"> </w:t>
      </w:r>
    </w:p>
    <w:p w:rsidR="00C46383" w:rsidRDefault="00A66F85" w:rsidP="004A326D">
      <w:pPr>
        <w:widowControl/>
        <w:numPr>
          <w:ilvl w:val="0"/>
          <w:numId w:val="22"/>
        </w:numPr>
        <w:tabs>
          <w:tab w:val="clear" w:pos="1260"/>
          <w:tab w:val="left" w:pos="0"/>
          <w:tab w:val="num" w:pos="1440"/>
        </w:tabs>
        <w:suppressAutoHyphens/>
        <w:spacing w:after="120"/>
        <w:ind w:left="0"/>
        <w:rPr>
          <w:spacing w:val="-2"/>
          <w:sz w:val="22"/>
          <w:szCs w:val="22"/>
        </w:rPr>
      </w:pPr>
      <w:r w:rsidRPr="00A66F85">
        <w:rPr>
          <w:rFonts w:eastAsia="MS Mincho"/>
          <w:sz w:val="22"/>
          <w:szCs w:val="22"/>
        </w:rPr>
        <w:t xml:space="preserve">Any </w:t>
      </w:r>
      <w:r w:rsidRPr="00C46383">
        <w:rPr>
          <w:rFonts w:eastAsia="MS Mincho" w:cs="Arial"/>
          <w:sz w:val="22"/>
          <w:szCs w:val="22"/>
        </w:rPr>
        <w:t>request</w:t>
      </w:r>
      <w:r w:rsidRPr="00A66F85">
        <w:rPr>
          <w:rFonts w:eastAsia="MS Mincho"/>
          <w:sz w:val="22"/>
          <w:szCs w:val="22"/>
        </w:rPr>
        <w:t xml:space="preserve"> for </w:t>
      </w:r>
      <w:r w:rsidR="00D13FA6">
        <w:rPr>
          <w:rFonts w:eastAsia="MS Mincho"/>
          <w:sz w:val="22"/>
          <w:szCs w:val="22"/>
        </w:rPr>
        <w:t xml:space="preserve">making </w:t>
      </w:r>
      <w:r w:rsidRPr="00A66F85">
        <w:rPr>
          <w:rFonts w:eastAsia="MS Mincho"/>
          <w:sz w:val="22"/>
          <w:szCs w:val="22"/>
        </w:rPr>
        <w:t xml:space="preserve">full payment </w:t>
      </w:r>
      <w:r w:rsidR="00D13FA6">
        <w:rPr>
          <w:rFonts w:eastAsia="MS Mincho"/>
          <w:sz w:val="22"/>
          <w:szCs w:val="22"/>
        </w:rPr>
        <w:t xml:space="preserve">over time </w:t>
      </w:r>
      <w:r w:rsidRPr="00A66F85">
        <w:rPr>
          <w:rFonts w:eastAsia="MS Mincho" w:cs="Arial"/>
          <w:sz w:val="22"/>
          <w:szCs w:val="22"/>
        </w:rPr>
        <w:t>under</w:t>
      </w:r>
      <w:r w:rsidRPr="00A66F85">
        <w:rPr>
          <w:rFonts w:eastAsia="MS Mincho"/>
          <w:sz w:val="22"/>
          <w:szCs w:val="22"/>
        </w:rPr>
        <w:t xml:space="preserve"> an installment plan should be sent to:</w:t>
      </w:r>
      <w:r w:rsidR="004845F7">
        <w:rPr>
          <w:rFonts w:eastAsia="MS Mincho"/>
          <w:sz w:val="22"/>
          <w:szCs w:val="22"/>
        </w:rPr>
        <w:t xml:space="preserve"> </w:t>
      </w:r>
      <w:r w:rsidRPr="00A66F85">
        <w:rPr>
          <w:rFonts w:eastAsia="MS Mincho"/>
          <w:sz w:val="22"/>
          <w:szCs w:val="22"/>
        </w:rPr>
        <w:t xml:space="preserve"> Chief Financial Officer—Financial Operations, </w:t>
      </w:r>
      <w:r w:rsidRPr="00A66F85">
        <w:rPr>
          <w:rFonts w:eastAsia="MS Mincho" w:cs="Arial"/>
          <w:sz w:val="22"/>
          <w:szCs w:val="22"/>
        </w:rPr>
        <w:t>Federal</w:t>
      </w:r>
      <w:r w:rsidRPr="00A66F85">
        <w:rPr>
          <w:rFonts w:eastAsia="MS Mincho"/>
          <w:sz w:val="22"/>
          <w:szCs w:val="22"/>
        </w:rPr>
        <w:t xml:space="preserve"> Communications Commission, 445 12th Street, S.W., Room 1-A625, Washington, D.C.</w:t>
      </w:r>
      <w:r w:rsidR="004845F7">
        <w:rPr>
          <w:rFonts w:eastAsia="MS Mincho"/>
          <w:sz w:val="22"/>
          <w:szCs w:val="22"/>
        </w:rPr>
        <w:t xml:space="preserve"> </w:t>
      </w:r>
      <w:r w:rsidRPr="00A66F85">
        <w:rPr>
          <w:rFonts w:eastAsia="MS Mincho"/>
          <w:sz w:val="22"/>
          <w:szCs w:val="22"/>
        </w:rPr>
        <w:t xml:space="preserve"> 20554.</w:t>
      </w:r>
      <w:r w:rsidRPr="00A66F85">
        <w:rPr>
          <w:rStyle w:val="FootnoteReference"/>
          <w:rFonts w:eastAsia="MS Mincho"/>
          <w:sz w:val="22"/>
          <w:szCs w:val="22"/>
        </w:rPr>
        <w:footnoteReference w:id="19"/>
      </w:r>
      <w:r w:rsidR="004845F7">
        <w:rPr>
          <w:rFonts w:eastAsia="MS Mincho"/>
          <w:sz w:val="22"/>
          <w:szCs w:val="22"/>
        </w:rPr>
        <w:t xml:space="preserve">  </w:t>
      </w:r>
      <w:r w:rsidR="00583A6A">
        <w:rPr>
          <w:rFonts w:eastAsia="MS Mincho"/>
          <w:sz w:val="22"/>
          <w:szCs w:val="22"/>
        </w:rPr>
        <w:t xml:space="preserve">Questions regarding payment </w:t>
      </w:r>
      <w:r w:rsidR="006C73C9">
        <w:rPr>
          <w:rFonts w:eastAsia="MS Mincho"/>
          <w:sz w:val="22"/>
          <w:szCs w:val="22"/>
        </w:rPr>
        <w:t>procedures</w:t>
      </w:r>
      <w:r w:rsidR="00583A6A">
        <w:rPr>
          <w:rFonts w:eastAsia="MS Mincho"/>
          <w:sz w:val="22"/>
          <w:szCs w:val="22"/>
        </w:rPr>
        <w:t xml:space="preserve"> should be directed to </w:t>
      </w:r>
      <w:r w:rsidRPr="00A66F85">
        <w:rPr>
          <w:rFonts w:eastAsia="MS Mincho"/>
          <w:sz w:val="22"/>
          <w:szCs w:val="22"/>
        </w:rPr>
        <w:t>the Financial Operations Group Help Desk</w:t>
      </w:r>
      <w:r w:rsidR="004845F7">
        <w:rPr>
          <w:rFonts w:eastAsia="MS Mincho"/>
          <w:sz w:val="22"/>
          <w:szCs w:val="22"/>
        </w:rPr>
        <w:t xml:space="preserve"> </w:t>
      </w:r>
      <w:r w:rsidRPr="00A66F85">
        <w:rPr>
          <w:rFonts w:eastAsia="MS Mincho"/>
          <w:sz w:val="22"/>
          <w:szCs w:val="22"/>
        </w:rPr>
        <w:t>by phone,</w:t>
      </w:r>
      <w:r w:rsidR="004845F7">
        <w:rPr>
          <w:rFonts w:eastAsia="MS Mincho"/>
          <w:sz w:val="22"/>
          <w:szCs w:val="22"/>
        </w:rPr>
        <w:t xml:space="preserve"> </w:t>
      </w:r>
      <w:r w:rsidRPr="00A66F85">
        <w:rPr>
          <w:rFonts w:eastAsia="MS Mincho"/>
          <w:sz w:val="22"/>
          <w:szCs w:val="22"/>
        </w:rPr>
        <w:t>1-877-480-3201, or</w:t>
      </w:r>
      <w:r w:rsidR="004845F7">
        <w:rPr>
          <w:rFonts w:eastAsia="MS Mincho"/>
          <w:sz w:val="22"/>
          <w:szCs w:val="22"/>
        </w:rPr>
        <w:t xml:space="preserve"> </w:t>
      </w:r>
      <w:r w:rsidRPr="00A66F85">
        <w:rPr>
          <w:rFonts w:eastAsia="MS Mincho"/>
          <w:sz w:val="22"/>
          <w:szCs w:val="22"/>
        </w:rPr>
        <w:t>by e</w:t>
      </w:r>
      <w:r w:rsidRPr="00A66F85">
        <w:rPr>
          <w:rFonts w:eastAsia="MS Mincho"/>
          <w:sz w:val="22"/>
          <w:szCs w:val="22"/>
        </w:rPr>
        <w:noBreakHyphen/>
        <w:t xml:space="preserve">mail, </w:t>
      </w:r>
      <w:r w:rsidRPr="00A66F85">
        <w:rPr>
          <w:rFonts w:eastAsia="MS Mincho" w:cs="Arial"/>
          <w:sz w:val="22"/>
          <w:szCs w:val="22"/>
        </w:rPr>
        <w:t>ARINQUIRIES@fcc.gov</w:t>
      </w:r>
      <w:r w:rsidRPr="00A66F85">
        <w:rPr>
          <w:rFonts w:eastAsia="MS Mincho"/>
          <w:sz w:val="22"/>
          <w:szCs w:val="22"/>
        </w:rPr>
        <w:t xml:space="preserve">.  </w:t>
      </w:r>
    </w:p>
    <w:p w:rsidR="00C46383" w:rsidRPr="0030752B" w:rsidRDefault="007E2E05" w:rsidP="0030752B">
      <w:pPr>
        <w:widowControl/>
        <w:numPr>
          <w:ilvl w:val="0"/>
          <w:numId w:val="22"/>
        </w:numPr>
        <w:tabs>
          <w:tab w:val="clear" w:pos="1260"/>
          <w:tab w:val="left" w:pos="0"/>
          <w:tab w:val="num" w:pos="1440"/>
        </w:tabs>
        <w:suppressAutoHyphens/>
        <w:spacing w:after="120"/>
        <w:ind w:left="0"/>
        <w:rPr>
          <w:spacing w:val="-2"/>
          <w:sz w:val="22"/>
          <w:szCs w:val="22"/>
        </w:rPr>
      </w:pPr>
      <w:r w:rsidRPr="00C46383">
        <w:rPr>
          <w:sz w:val="22"/>
          <w:szCs w:val="22"/>
        </w:rPr>
        <w:t>The written statement seeking reduction or cancellation of the proposed forfeiture, if any, must include a detailed factual statement supported by appropriate documentat</w:t>
      </w:r>
      <w:r w:rsidR="00D57AE2" w:rsidRPr="00C46383">
        <w:rPr>
          <w:sz w:val="22"/>
          <w:szCs w:val="22"/>
        </w:rPr>
        <w:t>ion and affidavits pursuant to S</w:t>
      </w:r>
      <w:r w:rsidRPr="00C46383">
        <w:rPr>
          <w:sz w:val="22"/>
          <w:szCs w:val="22"/>
        </w:rPr>
        <w:t xml:space="preserve">ections </w:t>
      </w:r>
      <w:r w:rsidR="00F30E61" w:rsidRPr="00C46383">
        <w:rPr>
          <w:sz w:val="22"/>
          <w:szCs w:val="22"/>
        </w:rPr>
        <w:t xml:space="preserve">1.16 and </w:t>
      </w:r>
      <w:r w:rsidRPr="00C46383">
        <w:rPr>
          <w:sz w:val="22"/>
          <w:szCs w:val="22"/>
        </w:rPr>
        <w:t>1.80(f)(3) of the Rules.</w:t>
      </w:r>
      <w:r w:rsidR="003E2AD5">
        <w:rPr>
          <w:rStyle w:val="FootnoteReference"/>
          <w:sz w:val="22"/>
          <w:szCs w:val="22"/>
        </w:rPr>
        <w:footnoteReference w:id="20"/>
      </w:r>
      <w:r w:rsidRPr="00C46383">
        <w:rPr>
          <w:sz w:val="22"/>
          <w:szCs w:val="22"/>
        </w:rPr>
        <w:t xml:space="preserve">  Mail the written statement to Federal Communications Commission, Enforcement Bureau,</w:t>
      </w:r>
      <w:r w:rsidR="00050854" w:rsidRPr="00C46383">
        <w:rPr>
          <w:spacing w:val="-2"/>
          <w:sz w:val="22"/>
          <w:szCs w:val="22"/>
        </w:rPr>
        <w:t xml:space="preserve"> </w:t>
      </w:r>
      <w:r w:rsidR="004845F7" w:rsidRPr="004845F7">
        <w:rPr>
          <w:spacing w:val="-2"/>
          <w:sz w:val="22"/>
          <w:szCs w:val="22"/>
        </w:rPr>
        <w:t>Northeast Region, New York Office, 201 Varick Street, Suite 1151, New York, NY 10014</w:t>
      </w:r>
      <w:r w:rsidR="000F10C7" w:rsidRPr="00C46383">
        <w:rPr>
          <w:spacing w:val="-2"/>
          <w:sz w:val="22"/>
          <w:szCs w:val="22"/>
        </w:rPr>
        <w:t xml:space="preserve">, </w:t>
      </w:r>
      <w:r w:rsidR="00050854" w:rsidRPr="00C46383">
        <w:rPr>
          <w:spacing w:val="-2"/>
          <w:sz w:val="22"/>
          <w:szCs w:val="22"/>
        </w:rPr>
        <w:t>and include the NAL/Acct. No. referenced in the caption.</w:t>
      </w:r>
      <w:r w:rsidR="00683F6F" w:rsidRPr="00C46383">
        <w:rPr>
          <w:spacing w:val="-2"/>
          <w:sz w:val="22"/>
          <w:szCs w:val="22"/>
        </w:rPr>
        <w:t xml:space="preserve">  </w:t>
      </w:r>
      <w:r w:rsidR="00583A6A">
        <w:rPr>
          <w:spacing w:val="-2"/>
          <w:sz w:val="22"/>
          <w:szCs w:val="22"/>
        </w:rPr>
        <w:t xml:space="preserve">The statement must </w:t>
      </w:r>
      <w:r w:rsidR="005F67D7" w:rsidRPr="00C46383">
        <w:rPr>
          <w:color w:val="000000"/>
          <w:spacing w:val="-2"/>
          <w:sz w:val="22"/>
          <w:szCs w:val="22"/>
        </w:rPr>
        <w:t>also</w:t>
      </w:r>
      <w:r w:rsidR="00583A6A">
        <w:rPr>
          <w:color w:val="000000"/>
          <w:spacing w:val="-2"/>
          <w:sz w:val="22"/>
          <w:szCs w:val="22"/>
        </w:rPr>
        <w:t xml:space="preserve"> be </w:t>
      </w:r>
      <w:r w:rsidR="00683F6F" w:rsidRPr="00C46383">
        <w:rPr>
          <w:spacing w:val="-2"/>
          <w:sz w:val="22"/>
          <w:szCs w:val="22"/>
        </w:rPr>
        <w:t>e</w:t>
      </w:r>
      <w:r w:rsidR="00C009F7" w:rsidRPr="00C46383">
        <w:rPr>
          <w:spacing w:val="-2"/>
          <w:sz w:val="22"/>
          <w:szCs w:val="22"/>
        </w:rPr>
        <w:t>-</w:t>
      </w:r>
      <w:r w:rsidR="00683F6F" w:rsidRPr="00C46383">
        <w:rPr>
          <w:spacing w:val="-2"/>
          <w:sz w:val="22"/>
          <w:szCs w:val="22"/>
        </w:rPr>
        <w:t>mail</w:t>
      </w:r>
      <w:r w:rsidR="00583A6A">
        <w:rPr>
          <w:spacing w:val="-2"/>
          <w:sz w:val="22"/>
          <w:szCs w:val="22"/>
        </w:rPr>
        <w:t xml:space="preserve">ed </w:t>
      </w:r>
      <w:r w:rsidR="00683F6F" w:rsidRPr="00C46383">
        <w:rPr>
          <w:spacing w:val="-2"/>
          <w:sz w:val="22"/>
          <w:szCs w:val="22"/>
        </w:rPr>
        <w:t>to</w:t>
      </w:r>
      <w:r w:rsidR="000F10C7" w:rsidRPr="00C46383">
        <w:rPr>
          <w:spacing w:val="-2"/>
          <w:sz w:val="22"/>
          <w:szCs w:val="22"/>
        </w:rPr>
        <w:t xml:space="preserve"> </w:t>
      </w:r>
      <w:r w:rsidR="004845F7">
        <w:rPr>
          <w:spacing w:val="-2"/>
          <w:sz w:val="22"/>
          <w:szCs w:val="22"/>
        </w:rPr>
        <w:t>NER</w:t>
      </w:r>
      <w:r w:rsidR="004845F7" w:rsidRPr="0030752B">
        <w:rPr>
          <w:sz w:val="22"/>
          <w:szCs w:val="22"/>
        </w:rPr>
        <w:t>-Response@fcc.gov</w:t>
      </w:r>
      <w:r w:rsidR="000F10C7" w:rsidRPr="0030752B">
        <w:rPr>
          <w:sz w:val="22"/>
          <w:szCs w:val="22"/>
        </w:rPr>
        <w:t>.</w:t>
      </w:r>
    </w:p>
    <w:p w:rsidR="00C46383" w:rsidRDefault="00050854" w:rsidP="004A326D">
      <w:pPr>
        <w:widowControl/>
        <w:numPr>
          <w:ilvl w:val="0"/>
          <w:numId w:val="22"/>
        </w:numPr>
        <w:tabs>
          <w:tab w:val="clear" w:pos="1260"/>
          <w:tab w:val="left" w:pos="0"/>
          <w:tab w:val="num" w:pos="1440"/>
        </w:tabs>
        <w:suppressAutoHyphens/>
        <w:spacing w:after="120"/>
        <w:ind w:left="0"/>
        <w:rPr>
          <w:spacing w:val="-2"/>
          <w:sz w:val="22"/>
          <w:szCs w:val="22"/>
        </w:rPr>
      </w:pPr>
      <w:r w:rsidRPr="00C46383">
        <w:rPr>
          <w:spacing w:val="-2"/>
          <w:sz w:val="22"/>
          <w:szCs w:val="22"/>
        </w:rPr>
        <w:t xml:space="preserve">The Commission will not consider reducing or canceling a forfeiture in response to a claim of inability to pay unless the petitioner submits: </w:t>
      </w:r>
      <w:r w:rsidR="00F30E61" w:rsidRPr="00C46383">
        <w:rPr>
          <w:spacing w:val="-2"/>
          <w:sz w:val="22"/>
          <w:szCs w:val="22"/>
        </w:rPr>
        <w:t xml:space="preserve"> </w:t>
      </w:r>
      <w:r w:rsidRPr="00C46383">
        <w:rPr>
          <w:spacing w:val="-2"/>
          <w:sz w:val="22"/>
          <w:szCs w:val="22"/>
        </w:rPr>
        <w:t>(1) federal tax returns for the most recent three-year period; (2) financial statements prepared according to generally accepted accounting pr</w:t>
      </w:r>
      <w:r w:rsidR="00D13FA6" w:rsidRPr="00C46383">
        <w:rPr>
          <w:spacing w:val="-2"/>
          <w:sz w:val="22"/>
          <w:szCs w:val="22"/>
        </w:rPr>
        <w:t>inciples</w:t>
      </w:r>
      <w:r w:rsidRPr="00C46383">
        <w:rPr>
          <w:spacing w:val="-2"/>
          <w:sz w:val="22"/>
          <w:szCs w:val="22"/>
        </w:rPr>
        <w:t xml:space="preserve"> (GAAP); or (3) some other reliable and objective documentation that accurately reflects the petitioner’s current financial status.  Any claim of inability to pay must specifically identify the basis for the claim by reference to the financial documentation submitted.</w:t>
      </w:r>
    </w:p>
    <w:p w:rsidR="00050854" w:rsidRPr="00C46383" w:rsidRDefault="00050854" w:rsidP="004A326D">
      <w:pPr>
        <w:widowControl/>
        <w:numPr>
          <w:ilvl w:val="0"/>
          <w:numId w:val="22"/>
        </w:numPr>
        <w:tabs>
          <w:tab w:val="clear" w:pos="1260"/>
          <w:tab w:val="left" w:pos="0"/>
          <w:tab w:val="num" w:pos="1440"/>
        </w:tabs>
        <w:suppressAutoHyphens/>
        <w:spacing w:after="120"/>
        <w:ind w:left="0"/>
        <w:rPr>
          <w:spacing w:val="-2"/>
          <w:sz w:val="22"/>
          <w:szCs w:val="22"/>
        </w:rPr>
      </w:pPr>
      <w:r w:rsidRPr="00C46383">
        <w:rPr>
          <w:b/>
          <w:spacing w:val="-2"/>
          <w:sz w:val="22"/>
          <w:szCs w:val="22"/>
        </w:rPr>
        <w:t>IT IS FURTHER ORDERED</w:t>
      </w:r>
      <w:r w:rsidRPr="00C46383">
        <w:rPr>
          <w:spacing w:val="-2"/>
          <w:sz w:val="22"/>
          <w:szCs w:val="22"/>
        </w:rPr>
        <w:t xml:space="preserve"> </w:t>
      </w:r>
      <w:r w:rsidR="003F3CFD" w:rsidRPr="00C46383">
        <w:rPr>
          <w:spacing w:val="-2"/>
          <w:sz w:val="22"/>
          <w:szCs w:val="22"/>
        </w:rPr>
        <w:t>that</w:t>
      </w:r>
      <w:r w:rsidRPr="00C46383">
        <w:rPr>
          <w:spacing w:val="-2"/>
          <w:sz w:val="22"/>
          <w:szCs w:val="22"/>
        </w:rPr>
        <w:t xml:space="preserve"> a copy of this Notice of Apparent Liability for Forfeiture shall be sent by </w:t>
      </w:r>
      <w:r w:rsidR="00583A6A">
        <w:rPr>
          <w:spacing w:val="-2"/>
          <w:sz w:val="22"/>
          <w:szCs w:val="22"/>
        </w:rPr>
        <w:t xml:space="preserve">first class mail and certified mail, return receipt requested, </w:t>
      </w:r>
      <w:r w:rsidRPr="00C46383">
        <w:rPr>
          <w:spacing w:val="-2"/>
          <w:sz w:val="22"/>
          <w:szCs w:val="22"/>
        </w:rPr>
        <w:t xml:space="preserve">to </w:t>
      </w:r>
      <w:r w:rsidR="004845F7">
        <w:rPr>
          <w:spacing w:val="-2"/>
          <w:sz w:val="22"/>
          <w:szCs w:val="22"/>
        </w:rPr>
        <w:t>Luis Angel Ayora</w:t>
      </w:r>
      <w:r w:rsidR="000F10C7" w:rsidRPr="00C46383">
        <w:rPr>
          <w:spacing w:val="-2"/>
          <w:sz w:val="22"/>
          <w:szCs w:val="22"/>
        </w:rPr>
        <w:t xml:space="preserve"> at his address of record.  </w:t>
      </w:r>
    </w:p>
    <w:p w:rsidR="00331410" w:rsidRPr="00E34AAE" w:rsidRDefault="00331410" w:rsidP="00BF1922">
      <w:pPr>
        <w:widowControl/>
        <w:tabs>
          <w:tab w:val="left" w:pos="0"/>
        </w:tabs>
        <w:suppressAutoHyphens/>
        <w:spacing w:line="240" w:lineRule="atLeast"/>
        <w:rPr>
          <w:spacing w:val="-2"/>
          <w:sz w:val="22"/>
          <w:szCs w:val="22"/>
        </w:rPr>
      </w:pPr>
    </w:p>
    <w:p w:rsidR="00050854" w:rsidRPr="00E34AAE" w:rsidRDefault="00050854" w:rsidP="00BF1922">
      <w:pPr>
        <w:widowControl/>
        <w:tabs>
          <w:tab w:val="left" w:pos="0"/>
          <w:tab w:val="num" w:pos="1440"/>
        </w:tabs>
        <w:suppressAutoHyphens/>
        <w:spacing w:line="240" w:lineRule="atLeast"/>
        <w:jc w:val="both"/>
        <w:rPr>
          <w:spacing w:val="-2"/>
          <w:sz w:val="22"/>
          <w:szCs w:val="22"/>
        </w:rPr>
      </w:pPr>
    </w:p>
    <w:p w:rsidR="00050854" w:rsidRPr="00E34AAE" w:rsidRDefault="00331410" w:rsidP="00BF1922">
      <w:pPr>
        <w:widowControl/>
        <w:tabs>
          <w:tab w:val="left" w:pos="0"/>
          <w:tab w:val="num" w:pos="1440"/>
        </w:tabs>
        <w:suppressAutoHyphens/>
        <w:spacing w:line="240" w:lineRule="atLeast"/>
        <w:rPr>
          <w:spacing w:val="-2"/>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sidR="00050854" w:rsidRPr="00E34AAE">
        <w:rPr>
          <w:spacing w:val="-2"/>
          <w:sz w:val="22"/>
          <w:szCs w:val="22"/>
        </w:rPr>
        <w:t>FEDERAL COMMUNICATIONS COMMISSION</w:t>
      </w:r>
    </w:p>
    <w:p w:rsidR="00050854" w:rsidRPr="00E34AAE" w:rsidRDefault="00050854" w:rsidP="00BF1922">
      <w:pPr>
        <w:widowControl/>
        <w:tabs>
          <w:tab w:val="left" w:pos="0"/>
          <w:tab w:val="num" w:pos="1440"/>
        </w:tabs>
        <w:suppressAutoHyphens/>
        <w:spacing w:line="240" w:lineRule="atLeast"/>
        <w:jc w:val="both"/>
        <w:rPr>
          <w:spacing w:val="-2"/>
          <w:sz w:val="22"/>
          <w:szCs w:val="22"/>
        </w:rPr>
      </w:pPr>
    </w:p>
    <w:p w:rsidR="00050854" w:rsidRPr="00E34AAE" w:rsidRDefault="00050854" w:rsidP="00BF1922">
      <w:pPr>
        <w:widowControl/>
        <w:tabs>
          <w:tab w:val="left" w:pos="0"/>
          <w:tab w:val="num" w:pos="1440"/>
        </w:tabs>
        <w:suppressAutoHyphens/>
        <w:spacing w:line="240" w:lineRule="atLeast"/>
        <w:jc w:val="both"/>
        <w:rPr>
          <w:spacing w:val="-2"/>
          <w:sz w:val="22"/>
          <w:szCs w:val="22"/>
        </w:rPr>
      </w:pPr>
    </w:p>
    <w:p w:rsidR="00050854" w:rsidRPr="00E34AAE" w:rsidRDefault="00050854" w:rsidP="00BF1922">
      <w:pPr>
        <w:widowControl/>
        <w:tabs>
          <w:tab w:val="left" w:pos="0"/>
          <w:tab w:val="num" w:pos="1440"/>
        </w:tabs>
        <w:suppressAutoHyphens/>
        <w:spacing w:line="240" w:lineRule="atLeast"/>
        <w:jc w:val="both"/>
        <w:rPr>
          <w:spacing w:val="-2"/>
          <w:sz w:val="22"/>
          <w:szCs w:val="22"/>
        </w:rPr>
      </w:pPr>
    </w:p>
    <w:p w:rsidR="00331410" w:rsidRDefault="00050854" w:rsidP="00BF1922">
      <w:pPr>
        <w:widowControl/>
        <w:tabs>
          <w:tab w:val="left" w:pos="0"/>
          <w:tab w:val="num" w:pos="1440"/>
        </w:tabs>
        <w:suppressAutoHyphens/>
        <w:spacing w:line="240" w:lineRule="atLeast"/>
        <w:jc w:val="both"/>
        <w:rPr>
          <w:spacing w:val="-2"/>
          <w:sz w:val="22"/>
          <w:szCs w:val="22"/>
        </w:rPr>
      </w:pPr>
      <w:r w:rsidRPr="00E34AAE">
        <w:rPr>
          <w:spacing w:val="-2"/>
          <w:sz w:val="22"/>
          <w:szCs w:val="22"/>
        </w:rPr>
        <w:tab/>
      </w:r>
      <w:r w:rsidRPr="00E34AAE">
        <w:rPr>
          <w:spacing w:val="-2"/>
          <w:sz w:val="22"/>
          <w:szCs w:val="22"/>
        </w:rPr>
        <w:tab/>
      </w:r>
      <w:r w:rsidRPr="00E34AAE">
        <w:rPr>
          <w:spacing w:val="-2"/>
          <w:sz w:val="22"/>
          <w:szCs w:val="22"/>
        </w:rPr>
        <w:tab/>
      </w:r>
      <w:r w:rsidRPr="00E34AAE">
        <w:rPr>
          <w:spacing w:val="-2"/>
          <w:sz w:val="22"/>
          <w:szCs w:val="22"/>
        </w:rPr>
        <w:tab/>
      </w:r>
      <w:r w:rsidRPr="00E34AAE">
        <w:rPr>
          <w:spacing w:val="-2"/>
          <w:sz w:val="22"/>
          <w:szCs w:val="22"/>
        </w:rPr>
        <w:tab/>
      </w:r>
    </w:p>
    <w:p w:rsidR="004845F7" w:rsidRPr="004845F7" w:rsidRDefault="00331410" w:rsidP="004845F7">
      <w:pPr>
        <w:widowControl/>
        <w:tabs>
          <w:tab w:val="left" w:pos="0"/>
          <w:tab w:val="num" w:pos="1440"/>
        </w:tabs>
        <w:suppressAutoHyphens/>
        <w:spacing w:line="240" w:lineRule="atLeast"/>
        <w:jc w:val="both"/>
        <w:rPr>
          <w:spacing w:val="-2"/>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sidR="00050854" w:rsidRPr="000F10C7">
        <w:rPr>
          <w:spacing w:val="-2"/>
          <w:sz w:val="22"/>
          <w:szCs w:val="22"/>
        </w:rPr>
        <w:tab/>
      </w:r>
      <w:r w:rsidR="004845F7" w:rsidRPr="004845F7">
        <w:rPr>
          <w:spacing w:val="-2"/>
          <w:sz w:val="22"/>
          <w:szCs w:val="22"/>
        </w:rPr>
        <w:t>Stephen Maguire</w:t>
      </w:r>
    </w:p>
    <w:p w:rsidR="004845F7" w:rsidRPr="004845F7" w:rsidRDefault="004845F7" w:rsidP="004845F7">
      <w:pPr>
        <w:widowControl/>
        <w:tabs>
          <w:tab w:val="left" w:pos="0"/>
          <w:tab w:val="num" w:pos="1440"/>
        </w:tabs>
        <w:suppressAutoHyphens/>
        <w:spacing w:line="240" w:lineRule="atLeast"/>
        <w:jc w:val="both"/>
        <w:rPr>
          <w:spacing w:val="-2"/>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sidRPr="004845F7">
        <w:rPr>
          <w:spacing w:val="-2"/>
          <w:sz w:val="22"/>
          <w:szCs w:val="22"/>
        </w:rPr>
        <w:t xml:space="preserve">District Director </w:t>
      </w:r>
    </w:p>
    <w:p w:rsidR="00050854" w:rsidRPr="000F10C7" w:rsidRDefault="004845F7" w:rsidP="004845F7">
      <w:pPr>
        <w:widowControl/>
        <w:tabs>
          <w:tab w:val="left" w:pos="0"/>
          <w:tab w:val="num" w:pos="1440"/>
        </w:tabs>
        <w:suppressAutoHyphens/>
        <w:spacing w:line="240" w:lineRule="atLeast"/>
        <w:jc w:val="both"/>
        <w:rPr>
          <w:spacing w:val="-2"/>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sidRPr="004845F7">
        <w:rPr>
          <w:spacing w:val="-2"/>
          <w:sz w:val="22"/>
          <w:szCs w:val="22"/>
        </w:rPr>
        <w:t>New York Office</w:t>
      </w:r>
    </w:p>
    <w:p w:rsidR="00050854" w:rsidRPr="000F10C7" w:rsidRDefault="000A0EEE" w:rsidP="00BF1922">
      <w:pPr>
        <w:widowControl/>
        <w:tabs>
          <w:tab w:val="left" w:pos="0"/>
          <w:tab w:val="num" w:pos="1440"/>
        </w:tabs>
        <w:suppressAutoHyphens/>
        <w:spacing w:line="240" w:lineRule="atLeast"/>
        <w:jc w:val="both"/>
        <w:rPr>
          <w:spacing w:val="-2"/>
          <w:sz w:val="22"/>
          <w:szCs w:val="22"/>
        </w:rPr>
      </w:pPr>
      <w:r w:rsidRPr="000F10C7">
        <w:rPr>
          <w:spacing w:val="-2"/>
          <w:sz w:val="22"/>
          <w:szCs w:val="22"/>
        </w:rPr>
        <w:tab/>
      </w:r>
      <w:r w:rsidRPr="000F10C7">
        <w:rPr>
          <w:spacing w:val="-2"/>
          <w:sz w:val="22"/>
          <w:szCs w:val="22"/>
        </w:rPr>
        <w:tab/>
      </w:r>
      <w:r w:rsidRPr="000F10C7">
        <w:rPr>
          <w:spacing w:val="-2"/>
          <w:sz w:val="22"/>
          <w:szCs w:val="22"/>
        </w:rPr>
        <w:tab/>
      </w:r>
      <w:r w:rsidRPr="000F10C7">
        <w:rPr>
          <w:spacing w:val="-2"/>
          <w:sz w:val="22"/>
          <w:szCs w:val="22"/>
        </w:rPr>
        <w:tab/>
      </w:r>
      <w:r w:rsidRPr="000F10C7">
        <w:rPr>
          <w:spacing w:val="-2"/>
          <w:sz w:val="22"/>
          <w:szCs w:val="22"/>
        </w:rPr>
        <w:tab/>
      </w:r>
      <w:r w:rsidR="004845F7" w:rsidRPr="004845F7">
        <w:rPr>
          <w:spacing w:val="-2"/>
          <w:sz w:val="22"/>
          <w:szCs w:val="22"/>
        </w:rPr>
        <w:t>Northeast Region</w:t>
      </w:r>
    </w:p>
    <w:p w:rsidR="009F6C24" w:rsidRDefault="00050854" w:rsidP="003407D0">
      <w:pPr>
        <w:widowControl/>
        <w:tabs>
          <w:tab w:val="left" w:pos="0"/>
          <w:tab w:val="num" w:pos="1440"/>
        </w:tabs>
        <w:suppressAutoHyphens/>
        <w:spacing w:line="240" w:lineRule="atLeast"/>
        <w:jc w:val="both"/>
      </w:pPr>
      <w:r w:rsidRPr="000F10C7">
        <w:rPr>
          <w:spacing w:val="-2"/>
          <w:sz w:val="22"/>
          <w:szCs w:val="22"/>
        </w:rPr>
        <w:tab/>
      </w:r>
      <w:r w:rsidRPr="000F10C7">
        <w:rPr>
          <w:spacing w:val="-2"/>
          <w:sz w:val="22"/>
          <w:szCs w:val="22"/>
        </w:rPr>
        <w:tab/>
      </w:r>
      <w:r w:rsidRPr="000F10C7">
        <w:rPr>
          <w:spacing w:val="-2"/>
          <w:sz w:val="22"/>
          <w:szCs w:val="22"/>
        </w:rPr>
        <w:tab/>
      </w:r>
      <w:r w:rsidRPr="000F10C7">
        <w:rPr>
          <w:spacing w:val="-2"/>
          <w:sz w:val="22"/>
          <w:szCs w:val="22"/>
        </w:rPr>
        <w:tab/>
      </w:r>
      <w:r w:rsidRPr="000F10C7">
        <w:rPr>
          <w:spacing w:val="-2"/>
          <w:sz w:val="22"/>
          <w:szCs w:val="22"/>
        </w:rPr>
        <w:tab/>
        <w:t>Enforcement Bureau</w:t>
      </w:r>
    </w:p>
    <w:sectPr w:rsidR="009F6C24" w:rsidSect="0039241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008" w:left="1440" w:header="1008"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3E0" w:rsidRDefault="002523E0">
      <w:r>
        <w:separator/>
      </w:r>
    </w:p>
  </w:endnote>
  <w:endnote w:type="continuationSeparator" w:id="0">
    <w:p w:rsidR="002523E0" w:rsidRDefault="002523E0">
      <w:r>
        <w:continuationSeparator/>
      </w:r>
    </w:p>
  </w:endnote>
  <w:endnote w:type="continuationNotice" w:id="1">
    <w:p w:rsidR="002523E0" w:rsidRDefault="002523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7F4" w:rsidRDefault="006E47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3BA" w:rsidRDefault="00B943BA">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F73577">
      <w:rPr>
        <w:rStyle w:val="PageNumber"/>
        <w:noProof/>
      </w:rPr>
      <w:t>2</w:t>
    </w:r>
    <w:r>
      <w:rPr>
        <w:rStyle w:val="PageNumber"/>
      </w:rPr>
      <w:fldChar w:fldCharType="end"/>
    </w:r>
  </w:p>
  <w:p w:rsidR="00B943BA" w:rsidRDefault="00B943BA" w:rsidP="006C72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7F4" w:rsidRDefault="006E47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3E0" w:rsidRDefault="002523E0">
      <w:r>
        <w:separator/>
      </w:r>
    </w:p>
  </w:footnote>
  <w:footnote w:type="continuationSeparator" w:id="0">
    <w:p w:rsidR="002523E0" w:rsidRDefault="002523E0">
      <w:r>
        <w:separator/>
      </w:r>
    </w:p>
    <w:p w:rsidR="002523E0" w:rsidRDefault="002523E0">
      <w:r>
        <w:t>(...continued from previous page)</w:t>
      </w:r>
    </w:p>
  </w:footnote>
  <w:footnote w:type="continuationNotice" w:id="1">
    <w:p w:rsidR="002523E0" w:rsidRDefault="002523E0">
      <w:pPr>
        <w:jc w:val="right"/>
      </w:pPr>
      <w:r>
        <w:t>(continued....)</w:t>
      </w:r>
    </w:p>
  </w:footnote>
  <w:footnote w:id="2">
    <w:p w:rsidR="007323A6" w:rsidRDefault="007323A6" w:rsidP="000F21CD">
      <w:pPr>
        <w:pStyle w:val="FootnoteText"/>
        <w:jc w:val="left"/>
      </w:pPr>
      <w:r>
        <w:rPr>
          <w:rStyle w:val="FootnoteReference"/>
        </w:rPr>
        <w:footnoteRef/>
      </w:r>
      <w:r>
        <w:t xml:space="preserve"> Part 15 of the Rules sets out the conditions and technical requirements under which certain radio transmission devices may be used without a license.  In relevant part, Section 15.239</w:t>
      </w:r>
      <w:r w:rsidR="00F838FF">
        <w:t xml:space="preserve"> of the Rules provides that un</w:t>
      </w:r>
      <w:r>
        <w:t>licensed broadcasting in the 88-108 MHz band is permitted only if the field strength of the transmission does not exceed 250 μV/m at three meters.  47 C.F.R. § 15.239.</w:t>
      </w:r>
    </w:p>
  </w:footnote>
  <w:footnote w:id="3">
    <w:p w:rsidR="008914FA" w:rsidRPr="006856C3" w:rsidRDefault="008914FA" w:rsidP="000F21CD">
      <w:pPr>
        <w:pStyle w:val="FootnoteText"/>
        <w:jc w:val="left"/>
      </w:pPr>
      <w:r w:rsidRPr="006856C3">
        <w:rPr>
          <w:rStyle w:val="FootnoteReference"/>
        </w:rPr>
        <w:footnoteRef/>
      </w:r>
      <w:r w:rsidRPr="006856C3">
        <w:t xml:space="preserve"> 47 U.S.C. § 503(b).</w:t>
      </w:r>
    </w:p>
  </w:footnote>
  <w:footnote w:id="4">
    <w:p w:rsidR="008914FA" w:rsidRPr="00353607" w:rsidRDefault="008914FA" w:rsidP="000F21CD">
      <w:pPr>
        <w:pStyle w:val="FootnoteText"/>
        <w:widowControl/>
        <w:jc w:val="left"/>
      </w:pPr>
      <w:r w:rsidRPr="00353607">
        <w:rPr>
          <w:rStyle w:val="FootnoteReference"/>
        </w:rPr>
        <w:footnoteRef/>
      </w:r>
      <w:r w:rsidRPr="00353607">
        <w:t xml:space="preserve"> 47 U.S.C. § 312(f)(1).</w:t>
      </w:r>
    </w:p>
  </w:footnote>
  <w:footnote w:id="5">
    <w:p w:rsidR="008914FA" w:rsidRPr="005278EF" w:rsidRDefault="008914FA" w:rsidP="000F21CD">
      <w:pPr>
        <w:pStyle w:val="FootnoteText"/>
        <w:jc w:val="left"/>
      </w:pPr>
      <w:r w:rsidRPr="005278EF">
        <w:rPr>
          <w:rStyle w:val="FootnoteReference"/>
        </w:rPr>
        <w:footnoteRef/>
      </w:r>
      <w:r w:rsidRPr="005278EF">
        <w:t xml:space="preserve"> H.R. Rep. No. 97-765, 97</w:t>
      </w:r>
      <w:r w:rsidRPr="005278EF">
        <w:rPr>
          <w:vertAlign w:val="superscript"/>
        </w:rPr>
        <w:t>th</w:t>
      </w:r>
      <w:r w:rsidRPr="005278EF">
        <w:t xml:space="preserve"> Cong. 2d Sess. 51 (1982) (“</w:t>
      </w:r>
      <w:r w:rsidRPr="005278EF">
        <w:rPr>
          <w:rStyle w:val="documentbody"/>
        </w:rPr>
        <w:t xml:space="preserve">This provision [inserted in Section 312] defines the terms ‘willful’ and ‘repeated’ for purposes of section </w:t>
      </w:r>
      <w:r w:rsidRPr="005278EF">
        <w:rPr>
          <w:rStyle w:val="searchterm"/>
        </w:rPr>
        <w:t>312</w:t>
      </w:r>
      <w:r w:rsidRPr="005278EF">
        <w:rPr>
          <w:rStyle w:val="documentbody"/>
        </w:rPr>
        <w:t>, and for any other relevant section of the act (e.g., Section 503)   . . . .  As defined[,] . . . ‘willful’ means that the licensee knew that he was doing the act in question, regardless of whether there was</w:t>
      </w:r>
      <w:r w:rsidR="00676352">
        <w:rPr>
          <w:rStyle w:val="documentbody"/>
        </w:rPr>
        <w:t xml:space="preserve"> an intent to violate the law</w:t>
      </w:r>
      <w:r w:rsidRPr="005278EF">
        <w:rPr>
          <w:rStyle w:val="documentbody"/>
        </w:rPr>
        <w:t>.”).</w:t>
      </w:r>
    </w:p>
  </w:footnote>
  <w:footnote w:id="6">
    <w:p w:rsidR="008914FA" w:rsidRPr="005278EF" w:rsidRDefault="008914FA" w:rsidP="000F21CD">
      <w:pPr>
        <w:pStyle w:val="FootnoteText"/>
        <w:jc w:val="left"/>
      </w:pPr>
      <w:r w:rsidRPr="005278EF">
        <w:rPr>
          <w:rStyle w:val="FootnoteReference"/>
        </w:rPr>
        <w:footnoteRef/>
      </w:r>
      <w:r w:rsidRPr="005278EF">
        <w:t xml:space="preserve"> </w:t>
      </w:r>
      <w:r w:rsidRPr="005278EF">
        <w:rPr>
          <w:i/>
        </w:rPr>
        <w:t>See, e.g.</w:t>
      </w:r>
      <w:r w:rsidRPr="005278EF">
        <w:t>,</w:t>
      </w:r>
      <w:r w:rsidRPr="005278EF">
        <w:rPr>
          <w:i/>
        </w:rPr>
        <w:t xml:space="preserve"> Southern California Broadcasting Co.</w:t>
      </w:r>
      <w:r w:rsidRPr="005278EF">
        <w:t xml:space="preserve">, Memorandum Opinion and Order, 6 FCC Rcd 4387, 4388, para. 5 (1991), </w:t>
      </w:r>
      <w:r w:rsidRPr="005278EF">
        <w:rPr>
          <w:i/>
        </w:rPr>
        <w:t>recons. denied</w:t>
      </w:r>
      <w:r w:rsidRPr="005278EF">
        <w:t>,</w:t>
      </w:r>
      <w:r w:rsidRPr="005278EF">
        <w:rPr>
          <w:i/>
        </w:rPr>
        <w:t xml:space="preserve"> </w:t>
      </w:r>
      <w:r w:rsidRPr="005278EF">
        <w:t>7 FCC Rcd 3454 (1992).</w:t>
      </w:r>
    </w:p>
  </w:footnote>
  <w:footnote w:id="7">
    <w:p w:rsidR="008914FA" w:rsidRPr="005278EF" w:rsidRDefault="008914FA" w:rsidP="000F21CD">
      <w:pPr>
        <w:pStyle w:val="FootnoteText"/>
        <w:jc w:val="left"/>
      </w:pPr>
      <w:r w:rsidRPr="005278EF">
        <w:rPr>
          <w:rStyle w:val="FootnoteReference"/>
        </w:rPr>
        <w:footnoteRef/>
      </w:r>
      <w:r w:rsidRPr="005278EF">
        <w:t xml:space="preserve"> </w:t>
      </w:r>
      <w:r w:rsidRPr="005278EF">
        <w:rPr>
          <w:i/>
        </w:rPr>
        <w:t>See, e.g.</w:t>
      </w:r>
      <w:r w:rsidRPr="005278EF">
        <w:t xml:space="preserve">, </w:t>
      </w:r>
      <w:r w:rsidRPr="005278EF">
        <w:rPr>
          <w:i/>
        </w:rPr>
        <w:t>Callais Cablevision, Inc.</w:t>
      </w:r>
      <w:r w:rsidRPr="005278EF">
        <w:t>, Notice of Apparent Liability for Monetary Forfeiture, 16 FCC Rcd 1359, 1362, para. 10 (2001) (</w:t>
      </w:r>
      <w:r w:rsidRPr="005278EF">
        <w:rPr>
          <w:i/>
        </w:rPr>
        <w:t>Callais Cablevision, Inc.</w:t>
      </w:r>
      <w:r w:rsidRPr="005278EF">
        <w:t xml:space="preserve">) (proposing a forfeiture for, </w:t>
      </w:r>
      <w:r w:rsidRPr="005278EF">
        <w:rPr>
          <w:i/>
        </w:rPr>
        <w:t>inter alia</w:t>
      </w:r>
      <w:r w:rsidRPr="005278EF">
        <w:t xml:space="preserve">, a cable television operator’s repeated signal leakage). </w:t>
      </w:r>
    </w:p>
  </w:footnote>
  <w:footnote w:id="8">
    <w:p w:rsidR="008914FA" w:rsidRPr="00353607" w:rsidRDefault="008914FA" w:rsidP="000F21CD">
      <w:pPr>
        <w:pStyle w:val="FootnoteText"/>
        <w:widowControl/>
        <w:jc w:val="left"/>
      </w:pPr>
      <w:r w:rsidRPr="005278EF">
        <w:rPr>
          <w:rStyle w:val="FootnoteReference"/>
        </w:rPr>
        <w:footnoteRef/>
      </w:r>
      <w:r w:rsidRPr="005278EF">
        <w:t xml:space="preserve"> Section 312(f)(2) of the Act, 47 U.S.C. § 312(f)(2), which also applies to violations for which forfeitures are assessed under Section 503(b) of the Act, provides that “[t]he term ‘repeated’, when used with reference to the commission or omission of any act, means the commission or omission of such act more than once or, if such commission or omission is continuous, for more than one day.”  </w:t>
      </w:r>
      <w:r w:rsidRPr="005278EF">
        <w:rPr>
          <w:i/>
        </w:rPr>
        <w:t>See Callais Cablevision, Inc.</w:t>
      </w:r>
      <w:r w:rsidRPr="005278EF">
        <w:t>, 16 FCC Rcd</w:t>
      </w:r>
      <w:r w:rsidRPr="005278EF">
        <w:rPr>
          <w:i/>
        </w:rPr>
        <w:t xml:space="preserve"> </w:t>
      </w:r>
      <w:r w:rsidRPr="005278EF">
        <w:t>at 1362, para. 9.</w:t>
      </w:r>
      <w:r w:rsidRPr="00353607">
        <w:t xml:space="preserve"> </w:t>
      </w:r>
    </w:p>
  </w:footnote>
  <w:footnote w:id="9">
    <w:p w:rsidR="008914FA" w:rsidRPr="00353607" w:rsidRDefault="008914FA" w:rsidP="000F21CD">
      <w:pPr>
        <w:pStyle w:val="FootnoteText"/>
        <w:jc w:val="left"/>
        <w:rPr>
          <w:color w:val="000000"/>
        </w:rPr>
      </w:pPr>
      <w:r w:rsidRPr="00353607">
        <w:rPr>
          <w:rStyle w:val="FootnoteReference"/>
          <w:color w:val="000000"/>
        </w:rPr>
        <w:footnoteRef/>
      </w:r>
      <w:r w:rsidRPr="00353607">
        <w:rPr>
          <w:color w:val="000000"/>
        </w:rPr>
        <w:t xml:space="preserve"> 47 U.S.C. § 301.</w:t>
      </w:r>
    </w:p>
  </w:footnote>
  <w:footnote w:id="10">
    <w:p w:rsidR="008E13EE" w:rsidRDefault="008E13EE" w:rsidP="000F21CD">
      <w:pPr>
        <w:pStyle w:val="FootnoteText"/>
        <w:jc w:val="left"/>
      </w:pPr>
      <w:r>
        <w:rPr>
          <w:rStyle w:val="FootnoteReference"/>
        </w:rPr>
        <w:footnoteRef/>
      </w:r>
      <w:r>
        <w:t xml:space="preserve"> </w:t>
      </w:r>
      <w:r w:rsidR="006C73C9">
        <w:t>4</w:t>
      </w:r>
      <w:r>
        <w:rPr>
          <w:snapToGrid w:val="0"/>
        </w:rPr>
        <w:t xml:space="preserve">7 U.S.C. § 503(b)(2); </w:t>
      </w:r>
      <w:r>
        <w:rPr>
          <w:i/>
          <w:snapToGrid w:val="0"/>
        </w:rPr>
        <w:t xml:space="preserve">see </w:t>
      </w:r>
      <w:r w:rsidR="000F21CD">
        <w:rPr>
          <w:snapToGrid w:val="0"/>
        </w:rPr>
        <w:t>47 C.F.R. § 1.80(b)</w:t>
      </w:r>
      <w:r>
        <w:rPr>
          <w:snapToGrid w:val="0"/>
        </w:rPr>
        <w:t xml:space="preserve">.  These amounts reflect inflation adjustments to the forfeitures </w:t>
      </w:r>
      <w:r w:rsidR="000F21CD">
        <w:rPr>
          <w:snapToGrid w:val="0"/>
        </w:rPr>
        <w:t>specified in Section 503(b)(2)(D) of the Act ($10</w:t>
      </w:r>
      <w:r>
        <w:rPr>
          <w:snapToGrid w:val="0"/>
        </w:rPr>
        <w:t>,000 per violation or per day of a con</w:t>
      </w:r>
      <w:r w:rsidR="000F21CD">
        <w:rPr>
          <w:snapToGrid w:val="0"/>
        </w:rPr>
        <w:t>tinuing violation and $75,000</w:t>
      </w:r>
      <w:r>
        <w:rPr>
          <w:snapToGrid w:val="0"/>
        </w:rPr>
        <w:t xml:space="preserve"> per any single act or failure to act).  The Federal Civil Penalties Inflation Adjustment Act of 1990, Pub. </w:t>
      </w:r>
      <w:r>
        <w:rPr>
          <w:snapToGrid w:val="0"/>
          <w:color w:val="000000"/>
        </w:rPr>
        <w:t>L. No. 101-410, 104 Stat. 890, as amended by the Debt Collection Improvement Act of 1996, Pub. L. No. 104-134, S</w:t>
      </w:r>
      <w:r w:rsidR="000F21CD">
        <w:rPr>
          <w:snapToGrid w:val="0"/>
          <w:color w:val="000000"/>
        </w:rPr>
        <w:t>ec. 31001, 110 Stat. 1321</w:t>
      </w:r>
      <w:r>
        <w:rPr>
          <w:snapToGrid w:val="0"/>
          <w:color w:val="000000"/>
        </w:rPr>
        <w:t xml:space="preserve">, requires the Commission to adjust its forfeiture penalties periodically for inflation.  </w:t>
      </w:r>
      <w:r>
        <w:rPr>
          <w:i/>
          <w:snapToGrid w:val="0"/>
          <w:color w:val="000000"/>
        </w:rPr>
        <w:t>See</w:t>
      </w:r>
      <w:r w:rsidR="000F21CD">
        <w:rPr>
          <w:snapToGrid w:val="0"/>
          <w:color w:val="000000"/>
        </w:rPr>
        <w:t xml:space="preserve"> 28 U.S.C. § 2461 note 4</w:t>
      </w:r>
      <w:r>
        <w:rPr>
          <w:snapToGrid w:val="0"/>
          <w:color w:val="000000"/>
        </w:rPr>
        <w:t xml:space="preserve">.  The Commission most recently adjusted its penalties to account for inflation in 2013.  </w:t>
      </w:r>
      <w:r>
        <w:rPr>
          <w:i/>
          <w:snapToGrid w:val="0"/>
          <w:color w:val="000000"/>
        </w:rPr>
        <w:t>See Amendment of Section 1.80(b) of the Commission’s Rules, Adjustment of Civil Monetary Penalties to Reflect Inflation</w:t>
      </w:r>
      <w:r>
        <w:rPr>
          <w:snapToGrid w:val="0"/>
          <w:color w:val="000000"/>
        </w:rPr>
        <w:t xml:space="preserve">, Order, 28 FCC Rcd 10785 (Enf. Bur. 2013); </w:t>
      </w:r>
      <w:r>
        <w:rPr>
          <w:i/>
          <w:snapToGrid w:val="0"/>
          <w:color w:val="000000"/>
        </w:rPr>
        <w:t>see also</w:t>
      </w:r>
      <w:r>
        <w:rPr>
          <w:snapToGrid w:val="0"/>
          <w:color w:val="000000"/>
        </w:rPr>
        <w:t xml:space="preserve"> </w:t>
      </w:r>
      <w:r>
        <w:rPr>
          <w:i/>
          <w:snapToGrid w:val="0"/>
          <w:color w:val="000000"/>
        </w:rPr>
        <w:t>Inflation Adjustment of Monetary Penalties</w:t>
      </w:r>
      <w:r>
        <w:rPr>
          <w:snapToGrid w:val="0"/>
          <w:color w:val="000000"/>
        </w:rPr>
        <w:t>, 78 Fed. Reg. 49,370–01 (2013) (setting Sept. 13, 2013, as the effective date for the increases).</w:t>
      </w:r>
    </w:p>
  </w:footnote>
  <w:footnote w:id="11">
    <w:p w:rsidR="000F21CD" w:rsidRPr="00981F23" w:rsidRDefault="000F21CD" w:rsidP="000F21CD">
      <w:pPr>
        <w:pStyle w:val="FootnoteText"/>
        <w:rPr>
          <w:color w:val="000000" w:themeColor="text1"/>
          <w:lang w:val="es-ES"/>
        </w:rPr>
      </w:pPr>
      <w:r w:rsidRPr="00981F23">
        <w:rPr>
          <w:rStyle w:val="FootnoteReference"/>
          <w:color w:val="000000" w:themeColor="text1"/>
        </w:rPr>
        <w:footnoteRef/>
      </w:r>
      <w:r w:rsidRPr="00981F23">
        <w:rPr>
          <w:color w:val="000000" w:themeColor="text1"/>
          <w:lang w:val="es-ES"/>
        </w:rPr>
        <w:t xml:space="preserve"> 47 U.S.C. § 503(b)(2)(E).</w:t>
      </w:r>
    </w:p>
  </w:footnote>
  <w:footnote w:id="12">
    <w:p w:rsidR="000F21CD" w:rsidRPr="00981F23" w:rsidRDefault="000F21CD" w:rsidP="000F21CD">
      <w:pPr>
        <w:pStyle w:val="FootnoteText"/>
        <w:rPr>
          <w:color w:val="000000" w:themeColor="text1"/>
        </w:rPr>
      </w:pPr>
      <w:r w:rsidRPr="00981F23">
        <w:rPr>
          <w:rStyle w:val="FootnoteReference"/>
          <w:color w:val="000000" w:themeColor="text1"/>
        </w:rPr>
        <w:footnoteRef/>
      </w:r>
      <w:r w:rsidRPr="00981F23">
        <w:rPr>
          <w:color w:val="000000" w:themeColor="text1"/>
        </w:rPr>
        <w:t xml:space="preserve"> 47 C.F.R. § 1.80(b)(8), Note to paragraph (b)(8). </w:t>
      </w:r>
    </w:p>
  </w:footnote>
  <w:footnote w:id="13">
    <w:p w:rsidR="000F21CD" w:rsidRPr="00981F23" w:rsidRDefault="000F21CD" w:rsidP="000F21CD">
      <w:pPr>
        <w:pStyle w:val="FootnoteText"/>
        <w:rPr>
          <w:color w:val="000000" w:themeColor="text1"/>
        </w:rPr>
      </w:pPr>
      <w:r w:rsidRPr="00981F23">
        <w:rPr>
          <w:rStyle w:val="FootnoteReference"/>
          <w:color w:val="000000" w:themeColor="text1"/>
        </w:rPr>
        <w:footnoteRef/>
      </w:r>
      <w:r w:rsidRPr="00981F23">
        <w:rPr>
          <w:color w:val="000000" w:themeColor="text1"/>
        </w:rPr>
        <w:t xml:space="preserve"> </w:t>
      </w:r>
      <w:r w:rsidRPr="00981F23">
        <w:rPr>
          <w:i/>
          <w:color w:val="000000" w:themeColor="text1"/>
        </w:rPr>
        <w:t>Id</w:t>
      </w:r>
      <w:r w:rsidRPr="00981F23">
        <w:rPr>
          <w:color w:val="000000" w:themeColor="text1"/>
        </w:rPr>
        <w:t>.</w:t>
      </w:r>
    </w:p>
  </w:footnote>
  <w:footnote w:id="14">
    <w:p w:rsidR="00E168AE" w:rsidRPr="005278EF" w:rsidRDefault="00E168AE" w:rsidP="000F21CD">
      <w:pPr>
        <w:pStyle w:val="FootnoteText"/>
        <w:jc w:val="left"/>
        <w:rPr>
          <w:color w:val="000000"/>
        </w:rPr>
      </w:pPr>
      <w:r w:rsidRPr="005278EF">
        <w:rPr>
          <w:rStyle w:val="FootnoteReference"/>
          <w:color w:val="000000"/>
        </w:rPr>
        <w:footnoteRef/>
      </w:r>
      <w:r w:rsidRPr="005278EF">
        <w:rPr>
          <w:color w:val="000000"/>
        </w:rPr>
        <w:t xml:space="preserve"> </w:t>
      </w:r>
      <w:r>
        <w:rPr>
          <w:i/>
          <w:color w:val="000000"/>
        </w:rPr>
        <w:t xml:space="preserve">The </w:t>
      </w:r>
      <w:r w:rsidRPr="003F7395">
        <w:rPr>
          <w:rStyle w:val="footnote"/>
          <w:i/>
          <w:iCs/>
          <w:color w:val="000000"/>
        </w:rPr>
        <w:t>Commission’s Forfeiture Policy Statement and Amendment of  Section 1.80 of the Rules to Incorporate the Forfeiture Guidelines</w:t>
      </w:r>
      <w:r w:rsidRPr="003F7395">
        <w:rPr>
          <w:rStyle w:val="footnote"/>
          <w:color w:val="000000"/>
        </w:rPr>
        <w:t>, Report and Order, 12 FCC Rcd 17087</w:t>
      </w:r>
      <w:r>
        <w:rPr>
          <w:rStyle w:val="footnote"/>
          <w:color w:val="000000"/>
        </w:rPr>
        <w:t xml:space="preserve"> (1997) (</w:t>
      </w:r>
      <w:r w:rsidRPr="005278EF">
        <w:rPr>
          <w:i/>
          <w:color w:val="000000"/>
        </w:rPr>
        <w:t xml:space="preserve">Forfeiture Policy </w:t>
      </w:r>
      <w:r w:rsidRPr="001C41F5">
        <w:rPr>
          <w:i/>
          <w:color w:val="000000"/>
        </w:rPr>
        <w:t>Statement</w:t>
      </w:r>
      <w:r>
        <w:rPr>
          <w:color w:val="000000"/>
        </w:rPr>
        <w:t xml:space="preserve">), </w:t>
      </w:r>
      <w:r w:rsidRPr="005278EF">
        <w:rPr>
          <w:i/>
          <w:color w:val="000000"/>
        </w:rPr>
        <w:t>recons. denied</w:t>
      </w:r>
      <w:r w:rsidRPr="005278EF">
        <w:rPr>
          <w:color w:val="000000"/>
        </w:rPr>
        <w:t>, 15 FCC Rcd 303 (1999); 47 C.F.R. § 1.80.</w:t>
      </w:r>
    </w:p>
  </w:footnote>
  <w:footnote w:id="15">
    <w:p w:rsidR="000F21CD" w:rsidRPr="005278EF" w:rsidRDefault="000F21CD" w:rsidP="000F21CD">
      <w:pPr>
        <w:pStyle w:val="FootnoteText"/>
        <w:widowControl/>
        <w:jc w:val="left"/>
        <w:rPr>
          <w:i/>
        </w:rPr>
      </w:pPr>
      <w:r w:rsidRPr="005278EF">
        <w:rPr>
          <w:rStyle w:val="FootnoteReference"/>
        </w:rPr>
        <w:footnoteRef/>
      </w:r>
      <w:r w:rsidRPr="005278EF">
        <w:t xml:space="preserve"> </w:t>
      </w:r>
      <w:r>
        <w:rPr>
          <w:i/>
        </w:rPr>
        <w:t>See, e.g.</w:t>
      </w:r>
      <w:r>
        <w:t>,</w:t>
      </w:r>
      <w:r>
        <w:rPr>
          <w:i/>
        </w:rPr>
        <w:t xml:space="preserve"> Marc-Nus Charles, </w:t>
      </w:r>
      <w:r>
        <w:t xml:space="preserve">Notice of Apparent Liability for Forfeiture, 29 FCC Rcd 5835 (Enf. Bur. 2014) (proposing $20,000 forfeiture for repeat violation of Section 301 of the Act after receiving multiple written warnings), </w:t>
      </w:r>
      <w:r>
        <w:rPr>
          <w:i/>
        </w:rPr>
        <w:t>aff’d</w:t>
      </w:r>
      <w:r>
        <w:t xml:space="preserve">, Forfeiture Order, 29 FCC Rcd 12590 (Enf. Bur. 2014); </w:t>
      </w:r>
      <w:r>
        <w:rPr>
          <w:i/>
        </w:rPr>
        <w:t xml:space="preserve">Whisler </w:t>
      </w:r>
      <w:r w:rsidRPr="00D65466">
        <w:rPr>
          <w:i/>
        </w:rPr>
        <w:t>Fleurinor</w:t>
      </w:r>
      <w:r>
        <w:t xml:space="preserve">, </w:t>
      </w:r>
      <w:r w:rsidRPr="00C23D01">
        <w:t>Notice</w:t>
      </w:r>
      <w:r>
        <w:t xml:space="preserve"> of Apparent Liability for Forfeiture, 26 FCC Rcd 2478 (Enf. Bur. 2011) (</w:t>
      </w:r>
      <w:r w:rsidR="006C73C9">
        <w:t>same</w:t>
      </w:r>
      <w:r>
        <w:t xml:space="preserve">), </w:t>
      </w:r>
      <w:r>
        <w:rPr>
          <w:i/>
        </w:rPr>
        <w:t>aff’d</w:t>
      </w:r>
      <w:r>
        <w:t xml:space="preserve">, Forfeiture Order, 26 FCC Rcd 14437 (Enf. Bur. 2011); </w:t>
      </w:r>
      <w:r>
        <w:rPr>
          <w:i/>
        </w:rPr>
        <w:t xml:space="preserve">Nounone </w:t>
      </w:r>
      <w:r w:rsidRPr="00D65466">
        <w:rPr>
          <w:i/>
        </w:rPr>
        <w:t>Lubin</w:t>
      </w:r>
      <w:r>
        <w:t>, Notice of Apparent Liability for Forfeiture, 25 FCC Rcd 12654 (Enf. Bur. 2010) (</w:t>
      </w:r>
      <w:r w:rsidR="006C73C9">
        <w:t>same</w:t>
      </w:r>
      <w:r>
        <w:t xml:space="preserve">), </w:t>
      </w:r>
      <w:r w:rsidRPr="001E79AF">
        <w:rPr>
          <w:i/>
        </w:rPr>
        <w:t>aff’d</w:t>
      </w:r>
      <w:r w:rsidRPr="006F4962">
        <w:t>,</w:t>
      </w:r>
      <w:r>
        <w:t xml:space="preserve"> </w:t>
      </w:r>
      <w:r w:rsidRPr="001E79AF">
        <w:t>Forfeiture</w:t>
      </w:r>
      <w:r>
        <w:t xml:space="preserve"> Order, 26 FCC Rcd 7758 (Enf. Bur. 2011).</w:t>
      </w:r>
      <w:r>
        <w:rPr>
          <w:color w:val="010101"/>
        </w:rPr>
        <w:t xml:space="preserve"> </w:t>
      </w:r>
    </w:p>
  </w:footnote>
  <w:footnote w:id="16">
    <w:p w:rsidR="00B943BA" w:rsidRPr="00C17F42" w:rsidRDefault="00B943BA" w:rsidP="000F21CD">
      <w:pPr>
        <w:pStyle w:val="FootnoteText"/>
        <w:jc w:val="left"/>
      </w:pPr>
      <w:r>
        <w:rPr>
          <w:rStyle w:val="FootnoteReference"/>
        </w:rPr>
        <w:footnoteRef/>
      </w:r>
      <w:r>
        <w:t xml:space="preserve"> </w:t>
      </w:r>
      <w:r w:rsidR="000F10C7" w:rsidRPr="007C01DD">
        <w:rPr>
          <w:color w:val="000000"/>
        </w:rPr>
        <w:t>47 U.S.C. §§ 301, 503(b); 47 C.F.R. §§ 0.111, 0.204, 0.311, 0.314, 1.80</w:t>
      </w:r>
      <w:r w:rsidR="000F21CD">
        <w:rPr>
          <w:color w:val="000000"/>
        </w:rPr>
        <w:t>.</w:t>
      </w:r>
    </w:p>
  </w:footnote>
  <w:footnote w:id="17">
    <w:p w:rsidR="00583A6A" w:rsidRDefault="00583A6A">
      <w:pPr>
        <w:pStyle w:val="FootnoteText"/>
      </w:pPr>
      <w:r>
        <w:rPr>
          <w:rStyle w:val="FootnoteReference"/>
        </w:rPr>
        <w:footnoteRef/>
      </w:r>
      <w:r>
        <w:t xml:space="preserve"> 47 C.F.R. § 1.80.</w:t>
      </w:r>
    </w:p>
  </w:footnote>
  <w:footnote w:id="18">
    <w:p w:rsidR="00B943BA" w:rsidRDefault="00B943BA" w:rsidP="000F21CD">
      <w:pPr>
        <w:pStyle w:val="FootnoteText"/>
        <w:jc w:val="left"/>
      </w:pPr>
      <w:r>
        <w:rPr>
          <w:rStyle w:val="FootnoteReference"/>
        </w:rPr>
        <w:footnoteRef/>
      </w:r>
      <w:r>
        <w:t xml:space="preserve"> </w:t>
      </w:r>
      <w:r w:rsidRPr="00626BA2">
        <w:rPr>
          <w:rFonts w:eastAsia="MS Mincho" w:cs="Arial"/>
        </w:rPr>
        <w:t>An FCC Form 159 </w:t>
      </w:r>
      <w:r>
        <w:rPr>
          <w:rFonts w:eastAsia="MS Mincho" w:cs="Arial"/>
        </w:rPr>
        <w:t>and</w:t>
      </w:r>
      <w:r w:rsidRPr="00626BA2">
        <w:rPr>
          <w:rFonts w:eastAsia="MS Mincho" w:cs="Arial"/>
        </w:rPr>
        <w:t> </w:t>
      </w:r>
      <w:r>
        <w:rPr>
          <w:rFonts w:eastAsia="MS Mincho" w:cs="Arial"/>
        </w:rPr>
        <w:t xml:space="preserve">detailed </w:t>
      </w:r>
      <w:r w:rsidRPr="00626BA2">
        <w:rPr>
          <w:rFonts w:eastAsia="MS Mincho" w:cs="Arial"/>
        </w:rPr>
        <w:t>instructions for completing the form may be obtained at http://www.fcc.gov/Forms/Form159/159.pdf.</w:t>
      </w:r>
    </w:p>
  </w:footnote>
  <w:footnote w:id="19">
    <w:p w:rsidR="00B943BA" w:rsidRDefault="00B943BA" w:rsidP="000F21CD">
      <w:pPr>
        <w:pStyle w:val="FootnoteText"/>
        <w:jc w:val="left"/>
      </w:pPr>
      <w:r>
        <w:rPr>
          <w:rStyle w:val="FootnoteReference"/>
        </w:rPr>
        <w:footnoteRef/>
      </w:r>
      <w:r>
        <w:t xml:space="preserve"> </w:t>
      </w:r>
      <w:r w:rsidRPr="00D70F1F">
        <w:rPr>
          <w:i/>
        </w:rPr>
        <w:t>See</w:t>
      </w:r>
      <w:r>
        <w:t xml:space="preserve"> 47 C.F.R. § 1.1914.</w:t>
      </w:r>
    </w:p>
  </w:footnote>
  <w:footnote w:id="20">
    <w:p w:rsidR="00B943BA" w:rsidRDefault="00B943BA" w:rsidP="000F21CD">
      <w:pPr>
        <w:pStyle w:val="FootnoteText"/>
        <w:jc w:val="left"/>
      </w:pPr>
      <w:r>
        <w:rPr>
          <w:rStyle w:val="FootnoteReference"/>
        </w:rPr>
        <w:footnoteRef/>
      </w:r>
      <w:r>
        <w:t xml:space="preserve"> 47 C.F.R. §§ 1.16, 1.80(f)(3).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7F4" w:rsidRDefault="006E47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3BA" w:rsidRPr="00331410" w:rsidRDefault="00B943BA">
    <w:pPr>
      <w:pStyle w:val="Header"/>
      <w:tabs>
        <w:tab w:val="clear" w:pos="4320"/>
        <w:tab w:val="clear" w:pos="8640"/>
        <w:tab w:val="center" w:pos="4680"/>
        <w:tab w:val="right" w:pos="9360"/>
      </w:tabs>
      <w:rPr>
        <w:b/>
        <w:sz w:val="22"/>
        <w:szCs w:val="22"/>
      </w:rPr>
    </w:pPr>
    <w:r>
      <w:rPr>
        <w:b/>
      </w:rPr>
      <w:tab/>
    </w:r>
    <w:r w:rsidRPr="00331410">
      <w:rPr>
        <w:b/>
        <w:sz w:val="22"/>
        <w:szCs w:val="22"/>
      </w:rPr>
      <w:t>Federal Communications Commission</w:t>
    </w:r>
    <w:r w:rsidRPr="00331410">
      <w:rPr>
        <w:b/>
        <w:sz w:val="22"/>
        <w:szCs w:val="22"/>
      </w:rPr>
      <w:tab/>
    </w:r>
    <w:r>
      <w:rPr>
        <w:b/>
        <w:sz w:val="22"/>
        <w:szCs w:val="22"/>
      </w:rPr>
      <w:t>DA 1</w:t>
    </w:r>
    <w:r w:rsidR="004C1996">
      <w:rPr>
        <w:b/>
        <w:sz w:val="22"/>
        <w:szCs w:val="22"/>
      </w:rPr>
      <w:t>5</w:t>
    </w:r>
    <w:r>
      <w:rPr>
        <w:b/>
        <w:sz w:val="22"/>
        <w:szCs w:val="22"/>
      </w:rPr>
      <w:t>-</w:t>
    </w:r>
    <w:r w:rsidR="00182851">
      <w:rPr>
        <w:b/>
        <w:sz w:val="22"/>
        <w:szCs w:val="22"/>
      </w:rPr>
      <w:t>456</w:t>
    </w:r>
  </w:p>
  <w:p w:rsidR="00B943BA" w:rsidRDefault="00F73577">
    <w:pPr>
      <w:pStyle w:val="Header"/>
      <w:tabs>
        <w:tab w:val="clear" w:pos="8640"/>
        <w:tab w:val="right" w:pos="9360"/>
      </w:tabs>
    </w:pPr>
    <w:r>
      <w:rPr>
        <w:noProof/>
      </w:rPr>
      <w:pict>
        <v:line id="_x0000_s2053" style="position:absolute;z-index:251658240" from="0,1.75pt" to="468pt,1.75pt" o:allowincell="f" strokeweight="1.5pt"/>
      </w:pict>
    </w:r>
  </w:p>
  <w:p w:rsidR="00B943BA" w:rsidRDefault="00B943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3BA" w:rsidRPr="00331410" w:rsidRDefault="00B943BA">
    <w:pPr>
      <w:pStyle w:val="Header"/>
      <w:tabs>
        <w:tab w:val="clear" w:pos="4320"/>
        <w:tab w:val="clear" w:pos="8640"/>
        <w:tab w:val="center" w:pos="4680"/>
        <w:tab w:val="right" w:pos="9360"/>
      </w:tabs>
      <w:rPr>
        <w:b/>
        <w:sz w:val="22"/>
        <w:szCs w:val="22"/>
      </w:rPr>
    </w:pPr>
    <w:r>
      <w:rPr>
        <w:b/>
      </w:rPr>
      <w:tab/>
    </w:r>
    <w:r w:rsidRPr="00331410">
      <w:rPr>
        <w:b/>
        <w:sz w:val="22"/>
        <w:szCs w:val="22"/>
      </w:rPr>
      <w:t>Federal Communications Commission</w:t>
    </w:r>
    <w:r w:rsidRPr="00331410">
      <w:rPr>
        <w:b/>
        <w:sz w:val="22"/>
        <w:szCs w:val="22"/>
      </w:rPr>
      <w:tab/>
    </w:r>
    <w:r>
      <w:rPr>
        <w:b/>
        <w:sz w:val="22"/>
        <w:szCs w:val="22"/>
      </w:rPr>
      <w:t>DA 1</w:t>
    </w:r>
    <w:r w:rsidR="004C1996">
      <w:rPr>
        <w:b/>
        <w:sz w:val="22"/>
        <w:szCs w:val="22"/>
      </w:rPr>
      <w:t>5</w:t>
    </w:r>
    <w:r>
      <w:rPr>
        <w:b/>
        <w:sz w:val="22"/>
        <w:szCs w:val="22"/>
      </w:rPr>
      <w:t>-</w:t>
    </w:r>
    <w:r w:rsidR="00182851">
      <w:rPr>
        <w:b/>
        <w:sz w:val="22"/>
        <w:szCs w:val="22"/>
      </w:rPr>
      <w:t>456</w:t>
    </w:r>
  </w:p>
  <w:p w:rsidR="00B943BA" w:rsidRDefault="00F73577">
    <w:pPr>
      <w:pStyle w:val="Header"/>
      <w:tabs>
        <w:tab w:val="clear" w:pos="8640"/>
        <w:tab w:val="right" w:pos="9360"/>
      </w:tabs>
    </w:pPr>
    <w:r>
      <w:rPr>
        <w:noProof/>
      </w:rPr>
      <w:pict>
        <v:line id="_x0000_s2052" style="position:absolute;z-index:251657216" from="0,1.75pt" to="468pt,1.75pt" o:allowincell="f" strokeweight="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693E"/>
    <w:multiLevelType w:val="singleLevel"/>
    <w:tmpl w:val="CABAE556"/>
    <w:lvl w:ilvl="0">
      <w:start w:val="1"/>
      <w:numFmt w:val="decimal"/>
      <w:lvlText w:val="%1."/>
      <w:lvlJc w:val="left"/>
      <w:pPr>
        <w:tabs>
          <w:tab w:val="num" w:pos="1260"/>
        </w:tabs>
        <w:ind w:left="180" w:firstLine="720"/>
      </w:pPr>
      <w:rPr>
        <w:rFonts w:ascii="Times New Roman" w:hAnsi="Times New Roman" w:hint="default"/>
        <w:b w:val="0"/>
        <w:i w:val="0"/>
        <w:sz w:val="22"/>
        <w:szCs w:val="22"/>
      </w:r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14F76BB7"/>
    <w:multiLevelType w:val="hybridMultilevel"/>
    <w:tmpl w:val="27C65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4">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5">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9">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0">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1">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2">
    <w:nsid w:val="381073ED"/>
    <w:multiLevelType w:val="hybridMultilevel"/>
    <w:tmpl w:val="343C3ABC"/>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3C775E63"/>
    <w:multiLevelType w:val="hybridMultilevel"/>
    <w:tmpl w:val="5012492E"/>
    <w:lvl w:ilvl="0" w:tplc="BB08D364">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6">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7">
    <w:nsid w:val="432817C4"/>
    <w:multiLevelType w:val="singleLevel"/>
    <w:tmpl w:val="CABAE556"/>
    <w:lvl w:ilvl="0">
      <w:start w:val="1"/>
      <w:numFmt w:val="decimal"/>
      <w:lvlText w:val="%1."/>
      <w:lvlJc w:val="left"/>
      <w:pPr>
        <w:tabs>
          <w:tab w:val="num" w:pos="1260"/>
        </w:tabs>
        <w:ind w:left="180" w:firstLine="720"/>
      </w:pPr>
      <w:rPr>
        <w:rFonts w:ascii="Times New Roman" w:hAnsi="Times New Roman" w:hint="default"/>
        <w:b w:val="0"/>
        <w:i w:val="0"/>
        <w:sz w:val="22"/>
        <w:szCs w:val="22"/>
      </w:rPr>
    </w:lvl>
  </w:abstractNum>
  <w:abstractNum w:abstractNumId="18">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0">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1">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2">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3">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4">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5">
    <w:nsid w:val="628E1E95"/>
    <w:multiLevelType w:val="singleLevel"/>
    <w:tmpl w:val="084CABB8"/>
    <w:lvl w:ilvl="0">
      <w:start w:val="1"/>
      <w:numFmt w:val="decimal"/>
      <w:pStyle w:val="par1"/>
      <w:lvlText w:val="%1."/>
      <w:lvlJc w:val="left"/>
      <w:pPr>
        <w:tabs>
          <w:tab w:val="num" w:pos="990"/>
        </w:tabs>
        <w:ind w:left="-90" w:firstLine="720"/>
      </w:pPr>
      <w:rPr>
        <w:b w:val="0"/>
      </w:rPr>
    </w:lvl>
  </w:abstractNum>
  <w:abstractNum w:abstractNumId="26">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7">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6"/>
  </w:num>
  <w:num w:numId="2">
    <w:abstractNumId w:val="27"/>
  </w:num>
  <w:num w:numId="3">
    <w:abstractNumId w:val="5"/>
  </w:num>
  <w:num w:numId="4">
    <w:abstractNumId w:val="21"/>
  </w:num>
  <w:num w:numId="5">
    <w:abstractNumId w:val="6"/>
  </w:num>
  <w:num w:numId="6">
    <w:abstractNumId w:val="24"/>
  </w:num>
  <w:num w:numId="7">
    <w:abstractNumId w:val="18"/>
  </w:num>
  <w:num w:numId="8">
    <w:abstractNumId w:val="7"/>
  </w:num>
  <w:num w:numId="9">
    <w:abstractNumId w:val="23"/>
  </w:num>
  <w:num w:numId="10">
    <w:abstractNumId w:val="13"/>
  </w:num>
  <w:num w:numId="11">
    <w:abstractNumId w:val="11"/>
  </w:num>
  <w:num w:numId="12">
    <w:abstractNumId w:val="8"/>
  </w:num>
  <w:num w:numId="13">
    <w:abstractNumId w:val="15"/>
  </w:num>
  <w:num w:numId="14">
    <w:abstractNumId w:val="22"/>
  </w:num>
  <w:num w:numId="15">
    <w:abstractNumId w:val="3"/>
  </w:num>
  <w:num w:numId="16">
    <w:abstractNumId w:val="4"/>
  </w:num>
  <w:num w:numId="17">
    <w:abstractNumId w:val="9"/>
  </w:num>
  <w:num w:numId="18">
    <w:abstractNumId w:val="1"/>
  </w:num>
  <w:num w:numId="19">
    <w:abstractNumId w:val="10"/>
  </w:num>
  <w:num w:numId="20">
    <w:abstractNumId w:val="19"/>
  </w:num>
  <w:num w:numId="21">
    <w:abstractNumId w:val="20"/>
  </w:num>
  <w:num w:numId="22">
    <w:abstractNumId w:val="17"/>
  </w:num>
  <w:num w:numId="23">
    <w:abstractNumId w:val="12"/>
  </w:num>
  <w:num w:numId="24">
    <w:abstractNumId w:val="25"/>
  </w:num>
  <w:num w:numId="25">
    <w:abstractNumId w:val="14"/>
  </w:num>
  <w:num w:numId="26">
    <w:abstractNumId w:val="16"/>
  </w:num>
  <w:num w:numId="27">
    <w:abstractNumId w:val="2"/>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847E3"/>
    <w:rsid w:val="0001779C"/>
    <w:rsid w:val="00017CDA"/>
    <w:rsid w:val="00022679"/>
    <w:rsid w:val="000279CC"/>
    <w:rsid w:val="000305FC"/>
    <w:rsid w:val="0003441C"/>
    <w:rsid w:val="000355E3"/>
    <w:rsid w:val="00036DCF"/>
    <w:rsid w:val="00037295"/>
    <w:rsid w:val="000374E3"/>
    <w:rsid w:val="00050854"/>
    <w:rsid w:val="00057ADA"/>
    <w:rsid w:val="00071484"/>
    <w:rsid w:val="000736C0"/>
    <w:rsid w:val="00075D5C"/>
    <w:rsid w:val="00077F92"/>
    <w:rsid w:val="00080241"/>
    <w:rsid w:val="0008139C"/>
    <w:rsid w:val="000875B1"/>
    <w:rsid w:val="00092DD6"/>
    <w:rsid w:val="00094435"/>
    <w:rsid w:val="000A0EEE"/>
    <w:rsid w:val="000A57A2"/>
    <w:rsid w:val="000A5F92"/>
    <w:rsid w:val="000A71AC"/>
    <w:rsid w:val="000B3C45"/>
    <w:rsid w:val="000C5769"/>
    <w:rsid w:val="000D7699"/>
    <w:rsid w:val="000E0451"/>
    <w:rsid w:val="000E2560"/>
    <w:rsid w:val="000F10C7"/>
    <w:rsid w:val="000F21CD"/>
    <w:rsid w:val="000F471E"/>
    <w:rsid w:val="000F6E0C"/>
    <w:rsid w:val="00105973"/>
    <w:rsid w:val="0011114B"/>
    <w:rsid w:val="001115EE"/>
    <w:rsid w:val="0011170C"/>
    <w:rsid w:val="00120233"/>
    <w:rsid w:val="00121C0F"/>
    <w:rsid w:val="001253C3"/>
    <w:rsid w:val="00125A4D"/>
    <w:rsid w:val="00131A23"/>
    <w:rsid w:val="00145224"/>
    <w:rsid w:val="001526A2"/>
    <w:rsid w:val="00154417"/>
    <w:rsid w:val="001665F5"/>
    <w:rsid w:val="0016758C"/>
    <w:rsid w:val="00174A12"/>
    <w:rsid w:val="00175E71"/>
    <w:rsid w:val="00182851"/>
    <w:rsid w:val="001869BF"/>
    <w:rsid w:val="00190523"/>
    <w:rsid w:val="00196D5B"/>
    <w:rsid w:val="001A10F7"/>
    <w:rsid w:val="001B3336"/>
    <w:rsid w:val="001C0B1F"/>
    <w:rsid w:val="001E2A65"/>
    <w:rsid w:val="001E79AF"/>
    <w:rsid w:val="001F3E42"/>
    <w:rsid w:val="001F566B"/>
    <w:rsid w:val="001F6C9A"/>
    <w:rsid w:val="0020249E"/>
    <w:rsid w:val="002071E0"/>
    <w:rsid w:val="00211D85"/>
    <w:rsid w:val="00214820"/>
    <w:rsid w:val="00223F70"/>
    <w:rsid w:val="00237F81"/>
    <w:rsid w:val="00245B5D"/>
    <w:rsid w:val="002511FB"/>
    <w:rsid w:val="002523E0"/>
    <w:rsid w:val="0025300A"/>
    <w:rsid w:val="00256422"/>
    <w:rsid w:val="00260C08"/>
    <w:rsid w:val="002A06F7"/>
    <w:rsid w:val="002A11CF"/>
    <w:rsid w:val="002A55CE"/>
    <w:rsid w:val="002A6200"/>
    <w:rsid w:val="002A732B"/>
    <w:rsid w:val="002C62DA"/>
    <w:rsid w:val="002C67E7"/>
    <w:rsid w:val="002F18B9"/>
    <w:rsid w:val="003003E1"/>
    <w:rsid w:val="00303D60"/>
    <w:rsid w:val="0030752B"/>
    <w:rsid w:val="0031433F"/>
    <w:rsid w:val="003170E9"/>
    <w:rsid w:val="00317590"/>
    <w:rsid w:val="00321805"/>
    <w:rsid w:val="00323513"/>
    <w:rsid w:val="003235A9"/>
    <w:rsid w:val="00326089"/>
    <w:rsid w:val="0033085D"/>
    <w:rsid w:val="00331410"/>
    <w:rsid w:val="0033665C"/>
    <w:rsid w:val="0033797D"/>
    <w:rsid w:val="00337B75"/>
    <w:rsid w:val="003407D0"/>
    <w:rsid w:val="003422DF"/>
    <w:rsid w:val="00347CA1"/>
    <w:rsid w:val="00356F36"/>
    <w:rsid w:val="00371336"/>
    <w:rsid w:val="003740F2"/>
    <w:rsid w:val="003817A3"/>
    <w:rsid w:val="00382459"/>
    <w:rsid w:val="00390F1B"/>
    <w:rsid w:val="00392410"/>
    <w:rsid w:val="003A2112"/>
    <w:rsid w:val="003A7400"/>
    <w:rsid w:val="003A7878"/>
    <w:rsid w:val="003B2568"/>
    <w:rsid w:val="003C01F5"/>
    <w:rsid w:val="003C6184"/>
    <w:rsid w:val="003D5F8B"/>
    <w:rsid w:val="003E2AD5"/>
    <w:rsid w:val="003F3CFD"/>
    <w:rsid w:val="00401CF7"/>
    <w:rsid w:val="00410BB8"/>
    <w:rsid w:val="004110FC"/>
    <w:rsid w:val="0041443C"/>
    <w:rsid w:val="00424391"/>
    <w:rsid w:val="004251DE"/>
    <w:rsid w:val="00425706"/>
    <w:rsid w:val="00444355"/>
    <w:rsid w:val="00447AAD"/>
    <w:rsid w:val="00484313"/>
    <w:rsid w:val="004845F7"/>
    <w:rsid w:val="00487DA5"/>
    <w:rsid w:val="004930F5"/>
    <w:rsid w:val="00493D1D"/>
    <w:rsid w:val="004A326D"/>
    <w:rsid w:val="004B6284"/>
    <w:rsid w:val="004C06B9"/>
    <w:rsid w:val="004C1996"/>
    <w:rsid w:val="004C603D"/>
    <w:rsid w:val="004C6D99"/>
    <w:rsid w:val="004D6C59"/>
    <w:rsid w:val="004E00D3"/>
    <w:rsid w:val="004F6EFD"/>
    <w:rsid w:val="004F702E"/>
    <w:rsid w:val="004F7B2E"/>
    <w:rsid w:val="00502239"/>
    <w:rsid w:val="00506AC1"/>
    <w:rsid w:val="005073D6"/>
    <w:rsid w:val="00510919"/>
    <w:rsid w:val="00512D71"/>
    <w:rsid w:val="00515AC0"/>
    <w:rsid w:val="005271D1"/>
    <w:rsid w:val="00530E80"/>
    <w:rsid w:val="00536913"/>
    <w:rsid w:val="005415DB"/>
    <w:rsid w:val="00541C02"/>
    <w:rsid w:val="00562A69"/>
    <w:rsid w:val="00571009"/>
    <w:rsid w:val="00571713"/>
    <w:rsid w:val="0057443E"/>
    <w:rsid w:val="00574A7A"/>
    <w:rsid w:val="00583A6A"/>
    <w:rsid w:val="005D19E6"/>
    <w:rsid w:val="005D36D5"/>
    <w:rsid w:val="005E587D"/>
    <w:rsid w:val="005E6EE5"/>
    <w:rsid w:val="005F002F"/>
    <w:rsid w:val="005F483B"/>
    <w:rsid w:val="005F67D7"/>
    <w:rsid w:val="00607D4F"/>
    <w:rsid w:val="00624E7D"/>
    <w:rsid w:val="00631624"/>
    <w:rsid w:val="00651DE2"/>
    <w:rsid w:val="0065566D"/>
    <w:rsid w:val="00666A6B"/>
    <w:rsid w:val="00670626"/>
    <w:rsid w:val="006727B3"/>
    <w:rsid w:val="00673CCA"/>
    <w:rsid w:val="00674E41"/>
    <w:rsid w:val="00676352"/>
    <w:rsid w:val="00681F10"/>
    <w:rsid w:val="00683F6F"/>
    <w:rsid w:val="006868B5"/>
    <w:rsid w:val="00687318"/>
    <w:rsid w:val="006876EC"/>
    <w:rsid w:val="00693BA0"/>
    <w:rsid w:val="006C72D8"/>
    <w:rsid w:val="006C73C9"/>
    <w:rsid w:val="006D1288"/>
    <w:rsid w:val="006D2E91"/>
    <w:rsid w:val="006D5B48"/>
    <w:rsid w:val="006D7FF1"/>
    <w:rsid w:val="006E47F4"/>
    <w:rsid w:val="006F1412"/>
    <w:rsid w:val="006F2F81"/>
    <w:rsid w:val="006F4962"/>
    <w:rsid w:val="00712156"/>
    <w:rsid w:val="00716561"/>
    <w:rsid w:val="00720B9F"/>
    <w:rsid w:val="007323A6"/>
    <w:rsid w:val="00735D4D"/>
    <w:rsid w:val="00744632"/>
    <w:rsid w:val="007474FE"/>
    <w:rsid w:val="00754ADB"/>
    <w:rsid w:val="0076715E"/>
    <w:rsid w:val="00777E77"/>
    <w:rsid w:val="00780C18"/>
    <w:rsid w:val="00787C4B"/>
    <w:rsid w:val="007907B0"/>
    <w:rsid w:val="00794C59"/>
    <w:rsid w:val="007960C5"/>
    <w:rsid w:val="00797BC7"/>
    <w:rsid w:val="007C5711"/>
    <w:rsid w:val="007C7FB8"/>
    <w:rsid w:val="007D4B82"/>
    <w:rsid w:val="007E1626"/>
    <w:rsid w:val="007E2E05"/>
    <w:rsid w:val="007E4AAE"/>
    <w:rsid w:val="008024F6"/>
    <w:rsid w:val="00802AEA"/>
    <w:rsid w:val="00803F94"/>
    <w:rsid w:val="00810553"/>
    <w:rsid w:val="00815BB3"/>
    <w:rsid w:val="00825017"/>
    <w:rsid w:val="00832D6C"/>
    <w:rsid w:val="00840A6A"/>
    <w:rsid w:val="00845B04"/>
    <w:rsid w:val="00852A75"/>
    <w:rsid w:val="00853004"/>
    <w:rsid w:val="00856437"/>
    <w:rsid w:val="008603F5"/>
    <w:rsid w:val="00875DB2"/>
    <w:rsid w:val="0088293C"/>
    <w:rsid w:val="00887660"/>
    <w:rsid w:val="00890911"/>
    <w:rsid w:val="008914FA"/>
    <w:rsid w:val="008A281A"/>
    <w:rsid w:val="008B58B7"/>
    <w:rsid w:val="008B5FA9"/>
    <w:rsid w:val="008C26F7"/>
    <w:rsid w:val="008C4978"/>
    <w:rsid w:val="008D235A"/>
    <w:rsid w:val="008E13EE"/>
    <w:rsid w:val="008E2DF4"/>
    <w:rsid w:val="008E58B0"/>
    <w:rsid w:val="00913E7A"/>
    <w:rsid w:val="0091686F"/>
    <w:rsid w:val="00920C19"/>
    <w:rsid w:val="00924EBF"/>
    <w:rsid w:val="009423ED"/>
    <w:rsid w:val="009436A7"/>
    <w:rsid w:val="0095119D"/>
    <w:rsid w:val="009539A0"/>
    <w:rsid w:val="009578B1"/>
    <w:rsid w:val="00967758"/>
    <w:rsid w:val="009711A7"/>
    <w:rsid w:val="009712F4"/>
    <w:rsid w:val="00980DFC"/>
    <w:rsid w:val="00986009"/>
    <w:rsid w:val="00990FB6"/>
    <w:rsid w:val="009C3863"/>
    <w:rsid w:val="009C5732"/>
    <w:rsid w:val="009D1F23"/>
    <w:rsid w:val="009D216A"/>
    <w:rsid w:val="009D7325"/>
    <w:rsid w:val="009D7F46"/>
    <w:rsid w:val="009E389F"/>
    <w:rsid w:val="009E4540"/>
    <w:rsid w:val="009F6C24"/>
    <w:rsid w:val="00A10DA6"/>
    <w:rsid w:val="00A12D37"/>
    <w:rsid w:val="00A16AF9"/>
    <w:rsid w:val="00A37420"/>
    <w:rsid w:val="00A40E8B"/>
    <w:rsid w:val="00A53E22"/>
    <w:rsid w:val="00A546FC"/>
    <w:rsid w:val="00A62555"/>
    <w:rsid w:val="00A66F85"/>
    <w:rsid w:val="00A76BC5"/>
    <w:rsid w:val="00A77AE7"/>
    <w:rsid w:val="00A80113"/>
    <w:rsid w:val="00AB3F15"/>
    <w:rsid w:val="00AC2B1F"/>
    <w:rsid w:val="00AE3A0F"/>
    <w:rsid w:val="00B023D1"/>
    <w:rsid w:val="00B02EF6"/>
    <w:rsid w:val="00B04DF4"/>
    <w:rsid w:val="00B35A8A"/>
    <w:rsid w:val="00B50DC1"/>
    <w:rsid w:val="00B711FC"/>
    <w:rsid w:val="00B72EFB"/>
    <w:rsid w:val="00B81F38"/>
    <w:rsid w:val="00B943BA"/>
    <w:rsid w:val="00BA16DF"/>
    <w:rsid w:val="00BA18A0"/>
    <w:rsid w:val="00BA5372"/>
    <w:rsid w:val="00BA5DD6"/>
    <w:rsid w:val="00BA6DFF"/>
    <w:rsid w:val="00BB34F3"/>
    <w:rsid w:val="00BB4E8D"/>
    <w:rsid w:val="00BB5A17"/>
    <w:rsid w:val="00BD24E7"/>
    <w:rsid w:val="00BE6E2F"/>
    <w:rsid w:val="00BE75E9"/>
    <w:rsid w:val="00BE7B49"/>
    <w:rsid w:val="00BF1922"/>
    <w:rsid w:val="00BF4DA8"/>
    <w:rsid w:val="00C009F7"/>
    <w:rsid w:val="00C1549C"/>
    <w:rsid w:val="00C24320"/>
    <w:rsid w:val="00C24414"/>
    <w:rsid w:val="00C25C7E"/>
    <w:rsid w:val="00C2749D"/>
    <w:rsid w:val="00C365F4"/>
    <w:rsid w:val="00C46383"/>
    <w:rsid w:val="00C4669A"/>
    <w:rsid w:val="00C46A39"/>
    <w:rsid w:val="00C5037A"/>
    <w:rsid w:val="00C55AF9"/>
    <w:rsid w:val="00C5634A"/>
    <w:rsid w:val="00C600C5"/>
    <w:rsid w:val="00C6354F"/>
    <w:rsid w:val="00C8210C"/>
    <w:rsid w:val="00C91804"/>
    <w:rsid w:val="00C962DD"/>
    <w:rsid w:val="00CA057C"/>
    <w:rsid w:val="00CA14FC"/>
    <w:rsid w:val="00CC107D"/>
    <w:rsid w:val="00CC2A5F"/>
    <w:rsid w:val="00CC77A7"/>
    <w:rsid w:val="00CD5AA2"/>
    <w:rsid w:val="00CD6842"/>
    <w:rsid w:val="00CE1311"/>
    <w:rsid w:val="00CE13E0"/>
    <w:rsid w:val="00D01709"/>
    <w:rsid w:val="00D02F61"/>
    <w:rsid w:val="00D13FA6"/>
    <w:rsid w:val="00D15A5F"/>
    <w:rsid w:val="00D16C2A"/>
    <w:rsid w:val="00D24820"/>
    <w:rsid w:val="00D360EB"/>
    <w:rsid w:val="00D52690"/>
    <w:rsid w:val="00D57AE2"/>
    <w:rsid w:val="00D71CFF"/>
    <w:rsid w:val="00D7437C"/>
    <w:rsid w:val="00D80423"/>
    <w:rsid w:val="00D943AE"/>
    <w:rsid w:val="00D97FBC"/>
    <w:rsid w:val="00DA711A"/>
    <w:rsid w:val="00DB469F"/>
    <w:rsid w:val="00DC7D2B"/>
    <w:rsid w:val="00DD297B"/>
    <w:rsid w:val="00DD5C17"/>
    <w:rsid w:val="00DE0510"/>
    <w:rsid w:val="00DF64C1"/>
    <w:rsid w:val="00E16103"/>
    <w:rsid w:val="00E168AE"/>
    <w:rsid w:val="00E2691A"/>
    <w:rsid w:val="00E45569"/>
    <w:rsid w:val="00E458B2"/>
    <w:rsid w:val="00E50785"/>
    <w:rsid w:val="00E52C78"/>
    <w:rsid w:val="00E54E2A"/>
    <w:rsid w:val="00E842C2"/>
    <w:rsid w:val="00E847E3"/>
    <w:rsid w:val="00E86502"/>
    <w:rsid w:val="00E92EAB"/>
    <w:rsid w:val="00EA4240"/>
    <w:rsid w:val="00EB57F9"/>
    <w:rsid w:val="00EC0A33"/>
    <w:rsid w:val="00EE1725"/>
    <w:rsid w:val="00EE5FE0"/>
    <w:rsid w:val="00EE7962"/>
    <w:rsid w:val="00EF0724"/>
    <w:rsid w:val="00EF3A7E"/>
    <w:rsid w:val="00EF4F26"/>
    <w:rsid w:val="00EF5599"/>
    <w:rsid w:val="00F112F1"/>
    <w:rsid w:val="00F25F9A"/>
    <w:rsid w:val="00F30E61"/>
    <w:rsid w:val="00F338AA"/>
    <w:rsid w:val="00F4123C"/>
    <w:rsid w:val="00F46870"/>
    <w:rsid w:val="00F51895"/>
    <w:rsid w:val="00F6189B"/>
    <w:rsid w:val="00F634DD"/>
    <w:rsid w:val="00F6632A"/>
    <w:rsid w:val="00F71B85"/>
    <w:rsid w:val="00F73577"/>
    <w:rsid w:val="00F82954"/>
    <w:rsid w:val="00F838FF"/>
    <w:rsid w:val="00FA29CB"/>
    <w:rsid w:val="00FB30D7"/>
    <w:rsid w:val="00FB4F88"/>
    <w:rsid w:val="00FC0F5A"/>
    <w:rsid w:val="00FC3D59"/>
    <w:rsid w:val="00FE0C77"/>
    <w:rsid w:val="00FE5B6F"/>
    <w:rsid w:val="00FF0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854"/>
    <w:pPr>
      <w:widowControl w:val="0"/>
      <w:autoSpaceDE w:val="0"/>
      <w:autoSpaceDN w:val="0"/>
      <w:adjustRightInd w:val="0"/>
    </w:pPr>
  </w:style>
  <w:style w:type="paragraph" w:styleId="Heading1">
    <w:name w:val="heading 1"/>
    <w:basedOn w:val="Normal"/>
    <w:next w:val="ParaNum"/>
    <w:qFormat/>
    <w:pPr>
      <w:keepNext/>
      <w:numPr>
        <w:numId w:val="4"/>
      </w:numPr>
      <w:suppressAutoHyphens/>
      <w:spacing w:after="220"/>
      <w:jc w:val="both"/>
      <w:outlineLvl w:val="0"/>
    </w:pPr>
    <w:rPr>
      <w:b/>
      <w:caps/>
    </w:rPr>
  </w:style>
  <w:style w:type="paragraph" w:styleId="Heading2">
    <w:name w:val="heading 2"/>
    <w:basedOn w:val="Normal"/>
    <w:next w:val="ParaNum"/>
    <w:qFormat/>
    <w:pPr>
      <w:keepNext/>
      <w:numPr>
        <w:ilvl w:val="1"/>
        <w:numId w:val="4"/>
      </w:numPr>
      <w:spacing w:after="220"/>
      <w:jc w:val="both"/>
      <w:outlineLvl w:val="1"/>
    </w:pPr>
    <w:rPr>
      <w:b/>
    </w:rPr>
  </w:style>
  <w:style w:type="paragraph" w:styleId="Heading3">
    <w:name w:val="heading 3"/>
    <w:basedOn w:val="Normal"/>
    <w:next w:val="ParaNum"/>
    <w:qFormat/>
    <w:pPr>
      <w:keepNext/>
      <w:numPr>
        <w:ilvl w:val="2"/>
        <w:numId w:val="4"/>
      </w:numPr>
      <w:spacing w:after="220"/>
      <w:jc w:val="both"/>
      <w:outlineLvl w:val="2"/>
    </w:pPr>
    <w:rPr>
      <w:b/>
    </w:rPr>
  </w:style>
  <w:style w:type="paragraph" w:styleId="Heading4">
    <w:name w:val="heading 4"/>
    <w:basedOn w:val="Normal"/>
    <w:next w:val="ParaNum"/>
    <w:qFormat/>
    <w:pPr>
      <w:keepNext/>
      <w:numPr>
        <w:ilvl w:val="3"/>
        <w:numId w:val="4"/>
      </w:numPr>
      <w:spacing w:after="220"/>
      <w:jc w:val="both"/>
      <w:outlineLvl w:val="3"/>
    </w:pPr>
    <w:rPr>
      <w:b/>
    </w:rPr>
  </w:style>
  <w:style w:type="paragraph" w:styleId="Heading5">
    <w:name w:val="heading 5"/>
    <w:basedOn w:val="Normal"/>
    <w:next w:val="ParaNum"/>
    <w:qFormat/>
    <w:pPr>
      <w:keepNext/>
      <w:numPr>
        <w:ilvl w:val="4"/>
        <w:numId w:val="4"/>
      </w:numPr>
      <w:suppressAutoHyphens/>
      <w:spacing w:after="220"/>
      <w:jc w:val="both"/>
      <w:outlineLvl w:val="4"/>
    </w:pPr>
    <w:rPr>
      <w:b/>
    </w:rPr>
  </w:style>
  <w:style w:type="paragraph" w:styleId="Heading6">
    <w:name w:val="heading 6"/>
    <w:basedOn w:val="Normal"/>
    <w:next w:val="ParaNum"/>
    <w:qFormat/>
    <w:pPr>
      <w:numPr>
        <w:ilvl w:val="5"/>
        <w:numId w:val="4"/>
      </w:numPr>
      <w:spacing w:after="220"/>
      <w:jc w:val="both"/>
      <w:outlineLvl w:val="5"/>
    </w:pPr>
    <w:rPr>
      <w:b/>
    </w:rPr>
  </w:style>
  <w:style w:type="paragraph" w:styleId="Heading7">
    <w:name w:val="heading 7"/>
    <w:basedOn w:val="Normal"/>
    <w:next w:val="ParaNum"/>
    <w:qFormat/>
    <w:pPr>
      <w:numPr>
        <w:ilvl w:val="6"/>
        <w:numId w:val="4"/>
      </w:numPr>
      <w:spacing w:after="220"/>
      <w:jc w:val="both"/>
      <w:outlineLvl w:val="6"/>
    </w:pPr>
    <w:rPr>
      <w:b/>
    </w:rPr>
  </w:style>
  <w:style w:type="paragraph" w:styleId="Heading8">
    <w:name w:val="heading 8"/>
    <w:basedOn w:val="Normal"/>
    <w:next w:val="ParaNum"/>
    <w:qFormat/>
    <w:pPr>
      <w:numPr>
        <w:ilvl w:val="7"/>
        <w:numId w:val="4"/>
      </w:numPr>
      <w:spacing w:after="220"/>
      <w:jc w:val="both"/>
      <w:outlineLvl w:val="7"/>
    </w:pPr>
    <w:rPr>
      <w:b/>
    </w:rPr>
  </w:style>
  <w:style w:type="paragraph" w:styleId="Heading9">
    <w:name w:val="heading 9"/>
    <w:basedOn w:val="Normal"/>
    <w:next w:val="ParaNum"/>
    <w:qFormat/>
    <w:pPr>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numPr>
        <w:numId w:val="13"/>
      </w:numPr>
      <w:tabs>
        <w:tab w:val="clear" w:pos="1080"/>
        <w:tab w:val="left" w:pos="1440"/>
      </w:tabs>
      <w:spacing w:after="220"/>
      <w:jc w:val="both"/>
    </w:pPr>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basedOn w:val="Normal"/>
    <w:link w:val="FootnoteTextChar2"/>
    <w:pPr>
      <w:tabs>
        <w:tab w:val="left" w:pos="180"/>
        <w:tab w:val="left" w:pos="720"/>
        <w:tab w:val="left" w:pos="1440"/>
        <w:tab w:val="left" w:pos="2160"/>
      </w:tabs>
      <w:spacing w:after="120"/>
      <w:jc w:val="both"/>
    </w:pPr>
  </w:style>
  <w:style w:type="paragraph" w:customStyle="1" w:styleId="Bullet">
    <w:name w:val="Bullet"/>
    <w:basedOn w:val="Normal"/>
    <w:pPr>
      <w:numPr>
        <w:numId w:val="9"/>
      </w:numPr>
      <w:tabs>
        <w:tab w:val="clear" w:pos="2520"/>
      </w:tabs>
      <w:spacing w:after="220"/>
      <w:ind w:left="2160" w:hanging="720"/>
      <w:jc w:val="both"/>
    </w:pPr>
  </w:style>
  <w:style w:type="paragraph" w:styleId="BlockText">
    <w:name w:val="Block Text"/>
    <w:basedOn w:val="Normal"/>
    <w:pPr>
      <w:spacing w:after="220"/>
      <w:ind w:left="1440" w:right="1440"/>
      <w:jc w:val="both"/>
    </w:pPr>
  </w:style>
  <w:style w:type="paragraph" w:customStyle="1" w:styleId="TableFormat">
    <w:name w:val="TableFormat"/>
    <w:basedOn w:val="Normal"/>
    <w:pPr>
      <w:tabs>
        <w:tab w:val="left" w:pos="5040"/>
      </w:tabs>
      <w:spacing w:after="220"/>
      <w:ind w:left="5040" w:hanging="3600"/>
      <w:jc w:val="both"/>
    </w:pPr>
  </w:style>
  <w:style w:type="character" w:styleId="FootnoteReference">
    <w:name w:val="footnote reference"/>
    <w:aliases w:val="Style 12,(NECG) Footnote Reference,Appel note de bas de p,Style 124,Style 4,Style 13,o,fr,Style 3,Footnote Reference1,FR,Style 17,Style 6,Footnote Reference/"/>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tabs>
        <w:tab w:val="right" w:leader="dot" w:pos="9360"/>
      </w:tabs>
      <w:suppressAutoHyphens/>
      <w:spacing w:before="220"/>
      <w:ind w:left="720" w:right="720" w:hanging="720"/>
      <w:jc w:val="both"/>
    </w:pPr>
    <w:rPr>
      <w:caps/>
    </w:rPr>
  </w:style>
  <w:style w:type="paragraph" w:styleId="TOC3">
    <w:name w:val="toc 3"/>
    <w:basedOn w:val="Normal"/>
    <w:next w:val="Normal"/>
    <w:semiHidden/>
    <w:pPr>
      <w:tabs>
        <w:tab w:val="left" w:pos="2160"/>
        <w:tab w:val="right" w:leader="dot" w:pos="9360"/>
      </w:tabs>
      <w:suppressAutoHyphens/>
      <w:ind w:left="2160" w:right="720" w:hanging="720"/>
      <w:jc w:val="both"/>
    </w:pPr>
  </w:style>
  <w:style w:type="paragraph" w:styleId="TOC4">
    <w:name w:val="toc 4"/>
    <w:basedOn w:val="Normal"/>
    <w:next w:val="Normal"/>
    <w:semiHidden/>
    <w:pPr>
      <w:tabs>
        <w:tab w:val="left" w:pos="2880"/>
        <w:tab w:val="right" w:leader="dot" w:pos="9360"/>
      </w:tabs>
      <w:suppressAutoHyphens/>
      <w:ind w:left="2880" w:right="720" w:hanging="720"/>
      <w:jc w:val="both"/>
    </w:pPr>
  </w:style>
  <w:style w:type="paragraph" w:styleId="TOC5">
    <w:name w:val="toc 5"/>
    <w:basedOn w:val="Normal"/>
    <w:next w:val="Normal"/>
    <w:semiHidden/>
    <w:pPr>
      <w:tabs>
        <w:tab w:val="left" w:pos="3600"/>
        <w:tab w:val="right" w:leader="dot" w:pos="9360"/>
      </w:tabs>
      <w:suppressAutoHyphens/>
      <w:ind w:left="3600" w:right="720" w:hanging="720"/>
      <w:jc w:val="both"/>
    </w:pPr>
  </w:style>
  <w:style w:type="paragraph" w:styleId="TOC6">
    <w:name w:val="toc 6"/>
    <w:basedOn w:val="Normal"/>
    <w:next w:val="Normal"/>
    <w:semiHidden/>
    <w:pPr>
      <w:tabs>
        <w:tab w:val="left" w:leader="dot" w:pos="9360"/>
      </w:tabs>
      <w:suppressAutoHyphens/>
      <w:ind w:left="720" w:hanging="720"/>
      <w:jc w:val="both"/>
    </w:pPr>
  </w:style>
  <w:style w:type="paragraph" w:styleId="TOC7">
    <w:name w:val="toc 7"/>
    <w:basedOn w:val="Normal"/>
    <w:next w:val="Normal"/>
    <w:semiHidden/>
    <w:pPr>
      <w:tabs>
        <w:tab w:val="left" w:leader="dot" w:pos="9360"/>
      </w:tabs>
      <w:suppressAutoHyphens/>
      <w:ind w:left="720" w:hanging="720"/>
      <w:jc w:val="both"/>
    </w:pPr>
  </w:style>
  <w:style w:type="paragraph" w:styleId="TOC8">
    <w:name w:val="toc 8"/>
    <w:basedOn w:val="Normal"/>
    <w:next w:val="Normal"/>
    <w:semiHidden/>
    <w:pPr>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styleId="Hyperlink">
    <w:name w:val="Hyperlink"/>
    <w:rsid w:val="000E2560"/>
    <w:rPr>
      <w:color w:val="0000FF"/>
      <w:u w:val="single"/>
    </w:rPr>
  </w:style>
  <w:style w:type="paragraph" w:styleId="BalloonText">
    <w:name w:val="Balloon Text"/>
    <w:basedOn w:val="Normal"/>
    <w:semiHidden/>
    <w:rsid w:val="007E2E05"/>
    <w:rPr>
      <w:rFonts w:ascii="Tahoma" w:hAnsi="Tahoma" w:cs="Tahoma"/>
      <w:sz w:val="16"/>
      <w:szCs w:val="16"/>
    </w:rPr>
  </w:style>
  <w:style w:type="character" w:styleId="CommentReference">
    <w:name w:val="annotation reference"/>
    <w:semiHidden/>
    <w:rsid w:val="00856437"/>
    <w:rPr>
      <w:sz w:val="16"/>
      <w:szCs w:val="16"/>
    </w:rPr>
  </w:style>
  <w:style w:type="paragraph" w:styleId="CommentText">
    <w:name w:val="annotation text"/>
    <w:basedOn w:val="Normal"/>
    <w:semiHidden/>
    <w:rsid w:val="00856437"/>
  </w:style>
  <w:style w:type="paragraph" w:styleId="CommentSubject">
    <w:name w:val="annotation subject"/>
    <w:basedOn w:val="CommentText"/>
    <w:next w:val="CommentText"/>
    <w:semiHidden/>
    <w:rsid w:val="00856437"/>
    <w:rPr>
      <w:b/>
      <w:bCs/>
    </w:rPr>
  </w:style>
  <w:style w:type="character" w:customStyle="1" w:styleId="documentbody">
    <w:name w:val="documentbody"/>
    <w:basedOn w:val="DefaultParagraphFont"/>
    <w:rsid w:val="001665F5"/>
  </w:style>
  <w:style w:type="character" w:customStyle="1" w:styleId="searchterm">
    <w:name w:val="searchterm"/>
    <w:basedOn w:val="DefaultParagraphFont"/>
    <w:rsid w:val="001665F5"/>
  </w:style>
  <w:style w:type="paragraph" w:customStyle="1" w:styleId="par1">
    <w:name w:val="par1"/>
    <w:basedOn w:val="Normal"/>
    <w:rsid w:val="001665F5"/>
    <w:pPr>
      <w:widowControl/>
      <w:numPr>
        <w:numId w:val="24"/>
      </w:numPr>
      <w:tabs>
        <w:tab w:val="left" w:pos="1440"/>
      </w:tabs>
      <w:autoSpaceDE/>
      <w:autoSpaceDN/>
      <w:adjustRightInd/>
    </w:pPr>
    <w:rPr>
      <w:sz w:val="22"/>
    </w:rPr>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link w:val="FootnoteText"/>
    <w:rsid w:val="001665F5"/>
    <w:rPr>
      <w:lang w:val="en-US" w:eastAsia="en-US" w:bidi="ar-SA"/>
    </w:rPr>
  </w:style>
  <w:style w:type="character" w:customStyle="1" w:styleId="ParaNumChar">
    <w:name w:val="ParaNum Char"/>
    <w:link w:val="ParaNum"/>
    <w:rsid w:val="00A66F85"/>
    <w:rPr>
      <w:lang w:val="en-US" w:eastAsia="en-US" w:bidi="ar-SA"/>
    </w:rPr>
  </w:style>
  <w:style w:type="character" w:customStyle="1" w:styleId="apple-converted-space">
    <w:name w:val="apple-converted-space"/>
    <w:rsid w:val="00E168AE"/>
  </w:style>
  <w:style w:type="character" w:customStyle="1" w:styleId="footnote">
    <w:name w:val="footnote"/>
    <w:rsid w:val="00E168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854"/>
    <w:pPr>
      <w:widowControl w:val="0"/>
      <w:autoSpaceDE w:val="0"/>
      <w:autoSpaceDN w:val="0"/>
      <w:adjustRightInd w:val="0"/>
    </w:pPr>
  </w:style>
  <w:style w:type="paragraph" w:styleId="Heading1">
    <w:name w:val="heading 1"/>
    <w:basedOn w:val="Normal"/>
    <w:next w:val="ParaNum"/>
    <w:qFormat/>
    <w:pPr>
      <w:keepNext/>
      <w:numPr>
        <w:numId w:val="4"/>
      </w:numPr>
      <w:suppressAutoHyphens/>
      <w:spacing w:after="220"/>
      <w:jc w:val="both"/>
      <w:outlineLvl w:val="0"/>
    </w:pPr>
    <w:rPr>
      <w:b/>
      <w:caps/>
    </w:rPr>
  </w:style>
  <w:style w:type="paragraph" w:styleId="Heading2">
    <w:name w:val="heading 2"/>
    <w:basedOn w:val="Normal"/>
    <w:next w:val="ParaNum"/>
    <w:qFormat/>
    <w:pPr>
      <w:keepNext/>
      <w:numPr>
        <w:ilvl w:val="1"/>
        <w:numId w:val="4"/>
      </w:numPr>
      <w:spacing w:after="220"/>
      <w:jc w:val="both"/>
      <w:outlineLvl w:val="1"/>
    </w:pPr>
    <w:rPr>
      <w:b/>
    </w:rPr>
  </w:style>
  <w:style w:type="paragraph" w:styleId="Heading3">
    <w:name w:val="heading 3"/>
    <w:basedOn w:val="Normal"/>
    <w:next w:val="ParaNum"/>
    <w:qFormat/>
    <w:pPr>
      <w:keepNext/>
      <w:numPr>
        <w:ilvl w:val="2"/>
        <w:numId w:val="4"/>
      </w:numPr>
      <w:spacing w:after="220"/>
      <w:jc w:val="both"/>
      <w:outlineLvl w:val="2"/>
    </w:pPr>
    <w:rPr>
      <w:b/>
    </w:rPr>
  </w:style>
  <w:style w:type="paragraph" w:styleId="Heading4">
    <w:name w:val="heading 4"/>
    <w:basedOn w:val="Normal"/>
    <w:next w:val="ParaNum"/>
    <w:qFormat/>
    <w:pPr>
      <w:keepNext/>
      <w:numPr>
        <w:ilvl w:val="3"/>
        <w:numId w:val="4"/>
      </w:numPr>
      <w:spacing w:after="220"/>
      <w:jc w:val="both"/>
      <w:outlineLvl w:val="3"/>
    </w:pPr>
    <w:rPr>
      <w:b/>
    </w:rPr>
  </w:style>
  <w:style w:type="paragraph" w:styleId="Heading5">
    <w:name w:val="heading 5"/>
    <w:basedOn w:val="Normal"/>
    <w:next w:val="ParaNum"/>
    <w:qFormat/>
    <w:pPr>
      <w:keepNext/>
      <w:numPr>
        <w:ilvl w:val="4"/>
        <w:numId w:val="4"/>
      </w:numPr>
      <w:suppressAutoHyphens/>
      <w:spacing w:after="220"/>
      <w:jc w:val="both"/>
      <w:outlineLvl w:val="4"/>
    </w:pPr>
    <w:rPr>
      <w:b/>
    </w:rPr>
  </w:style>
  <w:style w:type="paragraph" w:styleId="Heading6">
    <w:name w:val="heading 6"/>
    <w:basedOn w:val="Normal"/>
    <w:next w:val="ParaNum"/>
    <w:qFormat/>
    <w:pPr>
      <w:numPr>
        <w:ilvl w:val="5"/>
        <w:numId w:val="4"/>
      </w:numPr>
      <w:spacing w:after="220"/>
      <w:jc w:val="both"/>
      <w:outlineLvl w:val="5"/>
    </w:pPr>
    <w:rPr>
      <w:b/>
    </w:rPr>
  </w:style>
  <w:style w:type="paragraph" w:styleId="Heading7">
    <w:name w:val="heading 7"/>
    <w:basedOn w:val="Normal"/>
    <w:next w:val="ParaNum"/>
    <w:qFormat/>
    <w:pPr>
      <w:numPr>
        <w:ilvl w:val="6"/>
        <w:numId w:val="4"/>
      </w:numPr>
      <w:spacing w:after="220"/>
      <w:jc w:val="both"/>
      <w:outlineLvl w:val="6"/>
    </w:pPr>
    <w:rPr>
      <w:b/>
    </w:rPr>
  </w:style>
  <w:style w:type="paragraph" w:styleId="Heading8">
    <w:name w:val="heading 8"/>
    <w:basedOn w:val="Normal"/>
    <w:next w:val="ParaNum"/>
    <w:qFormat/>
    <w:pPr>
      <w:numPr>
        <w:ilvl w:val="7"/>
        <w:numId w:val="4"/>
      </w:numPr>
      <w:spacing w:after="220"/>
      <w:jc w:val="both"/>
      <w:outlineLvl w:val="7"/>
    </w:pPr>
    <w:rPr>
      <w:b/>
    </w:rPr>
  </w:style>
  <w:style w:type="paragraph" w:styleId="Heading9">
    <w:name w:val="heading 9"/>
    <w:basedOn w:val="Normal"/>
    <w:next w:val="ParaNum"/>
    <w:qFormat/>
    <w:pPr>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numPr>
        <w:numId w:val="13"/>
      </w:numPr>
      <w:tabs>
        <w:tab w:val="clear" w:pos="1080"/>
        <w:tab w:val="left" w:pos="1440"/>
      </w:tabs>
      <w:spacing w:after="220"/>
      <w:jc w:val="both"/>
    </w:pPr>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basedOn w:val="Normal"/>
    <w:link w:val="FootnoteTextChar2"/>
    <w:pPr>
      <w:tabs>
        <w:tab w:val="left" w:pos="180"/>
        <w:tab w:val="left" w:pos="720"/>
        <w:tab w:val="left" w:pos="1440"/>
        <w:tab w:val="left" w:pos="2160"/>
      </w:tabs>
      <w:spacing w:after="120"/>
      <w:jc w:val="both"/>
    </w:pPr>
  </w:style>
  <w:style w:type="paragraph" w:customStyle="1" w:styleId="Bullet">
    <w:name w:val="Bullet"/>
    <w:basedOn w:val="Normal"/>
    <w:pPr>
      <w:numPr>
        <w:numId w:val="9"/>
      </w:numPr>
      <w:tabs>
        <w:tab w:val="clear" w:pos="2520"/>
      </w:tabs>
      <w:spacing w:after="220"/>
      <w:ind w:left="2160" w:hanging="720"/>
      <w:jc w:val="both"/>
    </w:pPr>
  </w:style>
  <w:style w:type="paragraph" w:styleId="BlockText">
    <w:name w:val="Block Text"/>
    <w:basedOn w:val="Normal"/>
    <w:pPr>
      <w:spacing w:after="220"/>
      <w:ind w:left="1440" w:right="1440"/>
      <w:jc w:val="both"/>
    </w:pPr>
  </w:style>
  <w:style w:type="paragraph" w:customStyle="1" w:styleId="TableFormat">
    <w:name w:val="TableFormat"/>
    <w:basedOn w:val="Normal"/>
    <w:pPr>
      <w:tabs>
        <w:tab w:val="left" w:pos="5040"/>
      </w:tabs>
      <w:spacing w:after="220"/>
      <w:ind w:left="5040" w:hanging="3600"/>
      <w:jc w:val="both"/>
    </w:pPr>
  </w:style>
  <w:style w:type="character" w:styleId="FootnoteReference">
    <w:name w:val="footnote reference"/>
    <w:aliases w:val="Style 12,(NECG) Footnote Reference,Appel note de bas de p,Style 124,Style 4,Style 13,o,fr,Style 3,Footnote Reference1,FR,Style 17,Style 6,Footnote Reference/"/>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tabs>
        <w:tab w:val="right" w:leader="dot" w:pos="9360"/>
      </w:tabs>
      <w:suppressAutoHyphens/>
      <w:spacing w:before="220"/>
      <w:ind w:left="720" w:right="720" w:hanging="720"/>
      <w:jc w:val="both"/>
    </w:pPr>
    <w:rPr>
      <w:caps/>
    </w:rPr>
  </w:style>
  <w:style w:type="paragraph" w:styleId="TOC3">
    <w:name w:val="toc 3"/>
    <w:basedOn w:val="Normal"/>
    <w:next w:val="Normal"/>
    <w:semiHidden/>
    <w:pPr>
      <w:tabs>
        <w:tab w:val="left" w:pos="2160"/>
        <w:tab w:val="right" w:leader="dot" w:pos="9360"/>
      </w:tabs>
      <w:suppressAutoHyphens/>
      <w:ind w:left="2160" w:right="720" w:hanging="720"/>
      <w:jc w:val="both"/>
    </w:pPr>
  </w:style>
  <w:style w:type="paragraph" w:styleId="TOC4">
    <w:name w:val="toc 4"/>
    <w:basedOn w:val="Normal"/>
    <w:next w:val="Normal"/>
    <w:semiHidden/>
    <w:pPr>
      <w:tabs>
        <w:tab w:val="left" w:pos="2880"/>
        <w:tab w:val="right" w:leader="dot" w:pos="9360"/>
      </w:tabs>
      <w:suppressAutoHyphens/>
      <w:ind w:left="2880" w:right="720" w:hanging="720"/>
      <w:jc w:val="both"/>
    </w:pPr>
  </w:style>
  <w:style w:type="paragraph" w:styleId="TOC5">
    <w:name w:val="toc 5"/>
    <w:basedOn w:val="Normal"/>
    <w:next w:val="Normal"/>
    <w:semiHidden/>
    <w:pPr>
      <w:tabs>
        <w:tab w:val="left" w:pos="3600"/>
        <w:tab w:val="right" w:leader="dot" w:pos="9360"/>
      </w:tabs>
      <w:suppressAutoHyphens/>
      <w:ind w:left="3600" w:right="720" w:hanging="720"/>
      <w:jc w:val="both"/>
    </w:pPr>
  </w:style>
  <w:style w:type="paragraph" w:styleId="TOC6">
    <w:name w:val="toc 6"/>
    <w:basedOn w:val="Normal"/>
    <w:next w:val="Normal"/>
    <w:semiHidden/>
    <w:pPr>
      <w:tabs>
        <w:tab w:val="left" w:leader="dot" w:pos="9360"/>
      </w:tabs>
      <w:suppressAutoHyphens/>
      <w:ind w:left="720" w:hanging="720"/>
      <w:jc w:val="both"/>
    </w:pPr>
  </w:style>
  <w:style w:type="paragraph" w:styleId="TOC7">
    <w:name w:val="toc 7"/>
    <w:basedOn w:val="Normal"/>
    <w:next w:val="Normal"/>
    <w:semiHidden/>
    <w:pPr>
      <w:tabs>
        <w:tab w:val="left" w:leader="dot" w:pos="9360"/>
      </w:tabs>
      <w:suppressAutoHyphens/>
      <w:ind w:left="720" w:hanging="720"/>
      <w:jc w:val="both"/>
    </w:pPr>
  </w:style>
  <w:style w:type="paragraph" w:styleId="TOC8">
    <w:name w:val="toc 8"/>
    <w:basedOn w:val="Normal"/>
    <w:next w:val="Normal"/>
    <w:semiHidden/>
    <w:pPr>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styleId="Hyperlink">
    <w:name w:val="Hyperlink"/>
    <w:rsid w:val="000E2560"/>
    <w:rPr>
      <w:color w:val="0000FF"/>
      <w:u w:val="single"/>
    </w:rPr>
  </w:style>
  <w:style w:type="paragraph" w:styleId="BalloonText">
    <w:name w:val="Balloon Text"/>
    <w:basedOn w:val="Normal"/>
    <w:semiHidden/>
    <w:rsid w:val="007E2E05"/>
    <w:rPr>
      <w:rFonts w:ascii="Tahoma" w:hAnsi="Tahoma" w:cs="Tahoma"/>
      <w:sz w:val="16"/>
      <w:szCs w:val="16"/>
    </w:rPr>
  </w:style>
  <w:style w:type="character" w:styleId="CommentReference">
    <w:name w:val="annotation reference"/>
    <w:semiHidden/>
    <w:rsid w:val="00856437"/>
    <w:rPr>
      <w:sz w:val="16"/>
      <w:szCs w:val="16"/>
    </w:rPr>
  </w:style>
  <w:style w:type="paragraph" w:styleId="CommentText">
    <w:name w:val="annotation text"/>
    <w:basedOn w:val="Normal"/>
    <w:semiHidden/>
    <w:rsid w:val="00856437"/>
  </w:style>
  <w:style w:type="paragraph" w:styleId="CommentSubject">
    <w:name w:val="annotation subject"/>
    <w:basedOn w:val="CommentText"/>
    <w:next w:val="CommentText"/>
    <w:semiHidden/>
    <w:rsid w:val="00856437"/>
    <w:rPr>
      <w:b/>
      <w:bCs/>
    </w:rPr>
  </w:style>
  <w:style w:type="character" w:customStyle="1" w:styleId="documentbody">
    <w:name w:val="documentbody"/>
    <w:basedOn w:val="DefaultParagraphFont"/>
    <w:rsid w:val="001665F5"/>
  </w:style>
  <w:style w:type="character" w:customStyle="1" w:styleId="searchterm">
    <w:name w:val="searchterm"/>
    <w:basedOn w:val="DefaultParagraphFont"/>
    <w:rsid w:val="001665F5"/>
  </w:style>
  <w:style w:type="paragraph" w:customStyle="1" w:styleId="par1">
    <w:name w:val="par1"/>
    <w:basedOn w:val="Normal"/>
    <w:rsid w:val="001665F5"/>
    <w:pPr>
      <w:widowControl/>
      <w:numPr>
        <w:numId w:val="24"/>
      </w:numPr>
      <w:tabs>
        <w:tab w:val="left" w:pos="1440"/>
      </w:tabs>
      <w:autoSpaceDE/>
      <w:autoSpaceDN/>
      <w:adjustRightInd/>
    </w:pPr>
    <w:rPr>
      <w:sz w:val="22"/>
    </w:rPr>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link w:val="FootnoteText"/>
    <w:rsid w:val="001665F5"/>
    <w:rPr>
      <w:lang w:val="en-US" w:eastAsia="en-US" w:bidi="ar-SA"/>
    </w:rPr>
  </w:style>
  <w:style w:type="character" w:customStyle="1" w:styleId="ParaNumChar">
    <w:name w:val="ParaNum Char"/>
    <w:link w:val="ParaNum"/>
    <w:rsid w:val="00A66F85"/>
    <w:rPr>
      <w:lang w:val="en-US" w:eastAsia="en-US" w:bidi="ar-SA"/>
    </w:rPr>
  </w:style>
  <w:style w:type="character" w:customStyle="1" w:styleId="apple-converted-space">
    <w:name w:val="apple-converted-space"/>
    <w:rsid w:val="00E168AE"/>
  </w:style>
  <w:style w:type="character" w:customStyle="1" w:styleId="footnote">
    <w:name w:val="footnote"/>
    <w:rsid w:val="00E16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725765">
      <w:bodyDiv w:val="1"/>
      <w:marLeft w:val="0"/>
      <w:marRight w:val="0"/>
      <w:marTop w:val="0"/>
      <w:marBottom w:val="0"/>
      <w:divBdr>
        <w:top w:val="none" w:sz="0" w:space="0" w:color="auto"/>
        <w:left w:val="none" w:sz="0" w:space="0" w:color="auto"/>
        <w:bottom w:val="none" w:sz="0" w:space="0" w:color="auto"/>
        <w:right w:val="none" w:sz="0" w:space="0" w:color="auto"/>
      </w:divBdr>
      <w:divsChild>
        <w:div w:id="1361471758">
          <w:marLeft w:val="0"/>
          <w:marRight w:val="0"/>
          <w:marTop w:val="0"/>
          <w:marBottom w:val="0"/>
          <w:divBdr>
            <w:top w:val="none" w:sz="0" w:space="0" w:color="auto"/>
            <w:left w:val="none" w:sz="0" w:space="0" w:color="auto"/>
            <w:bottom w:val="none" w:sz="0" w:space="0" w:color="auto"/>
            <w:right w:val="none" w:sz="0" w:space="0" w:color="auto"/>
          </w:divBdr>
          <w:divsChild>
            <w:div w:id="2034838209">
              <w:marLeft w:val="0"/>
              <w:marRight w:val="0"/>
              <w:marTop w:val="0"/>
              <w:marBottom w:val="0"/>
              <w:divBdr>
                <w:top w:val="none" w:sz="0" w:space="0" w:color="auto"/>
                <w:left w:val="none" w:sz="0" w:space="0" w:color="auto"/>
                <w:bottom w:val="none" w:sz="0" w:space="0" w:color="auto"/>
                <w:right w:val="none" w:sz="0" w:space="0" w:color="auto"/>
              </w:divBdr>
              <w:divsChild>
                <w:div w:id="1482847760">
                  <w:marLeft w:val="0"/>
                  <w:marRight w:val="0"/>
                  <w:marTop w:val="0"/>
                  <w:marBottom w:val="0"/>
                  <w:divBdr>
                    <w:top w:val="none" w:sz="0" w:space="0" w:color="auto"/>
                    <w:left w:val="none" w:sz="0" w:space="0" w:color="auto"/>
                    <w:bottom w:val="none" w:sz="0" w:space="0" w:color="auto"/>
                    <w:right w:val="none" w:sz="0" w:space="0" w:color="auto"/>
                  </w:divBdr>
                  <w:divsChild>
                    <w:div w:id="185483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DIANE~1.LAW\LOCALS~1\Temp\NAL1012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NAL101210</Template>
  <TotalTime>0</TotalTime>
  <Pages>3</Pages>
  <Words>1933</Words>
  <Characters>10365</Characters>
  <Application>Microsoft Office Word</Application>
  <DocSecurity>0</DocSecurity>
  <Lines>168</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12371</CharactersWithSpaces>
  <SharedDoc>false</SharedDoc>
  <HyperlinkBase> </HyperlinkBase>
  <HLinks>
    <vt:vector size="12" baseType="variant">
      <vt:variant>
        <vt:i4>1835128</vt:i4>
      </vt:variant>
      <vt:variant>
        <vt:i4>3</vt:i4>
      </vt:variant>
      <vt:variant>
        <vt:i4>0</vt:i4>
      </vt:variant>
      <vt:variant>
        <vt:i4>5</vt:i4>
      </vt:variant>
      <vt:variant>
        <vt:lpwstr>mailto:SCR-Response@fcc.gov</vt:lpwstr>
      </vt:variant>
      <vt:variant>
        <vt:lpwstr/>
      </vt:variant>
      <vt:variant>
        <vt:i4>1835128</vt:i4>
      </vt:variant>
      <vt:variant>
        <vt:i4>0</vt:i4>
      </vt:variant>
      <vt:variant>
        <vt:i4>0</vt:i4>
      </vt:variant>
      <vt:variant>
        <vt:i4>5</vt:i4>
      </vt:variant>
      <vt:variant>
        <vt:lpwstr>mailto:SCR-Response@fcc.gov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2015-04-13T23:11:00Z</cp:lastPrinted>
  <dcterms:created xsi:type="dcterms:W3CDTF">2015-04-14T12:53:00Z</dcterms:created>
  <dcterms:modified xsi:type="dcterms:W3CDTF">2015-04-14T12:53:00Z</dcterms:modified>
  <cp:category> </cp:category>
  <cp:contentStatus> </cp:contentStatus>
</cp:coreProperties>
</file>