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698"/>
        <w:gridCol w:w="4698"/>
      </w:tblGrid>
      <w:tr w:rsidR="00C869DB" w:rsidTr="00C869DB">
        <w:tc>
          <w:tcPr>
            <w:tcW w:w="4698" w:type="dxa"/>
          </w:tcPr>
          <w:p w:rsidR="00C869DB" w:rsidRDefault="00C869DB">
            <w:pPr>
              <w:tabs>
                <w:tab w:val="center" w:pos="4680"/>
              </w:tabs>
              <w:suppressAutoHyphens/>
              <w:rPr>
                <w:spacing w:val="-2"/>
              </w:rPr>
            </w:pPr>
            <w:r>
              <w:rPr>
                <w:spacing w:val="-2"/>
              </w:rPr>
              <w:t>In the Matter of</w:t>
            </w:r>
          </w:p>
          <w:p w:rsidR="00C869DB" w:rsidRDefault="00C869DB">
            <w:pPr>
              <w:tabs>
                <w:tab w:val="center" w:pos="4680"/>
              </w:tabs>
              <w:suppressAutoHyphens/>
              <w:rPr>
                <w:spacing w:val="-2"/>
              </w:rPr>
            </w:pPr>
          </w:p>
          <w:p w:rsidR="00C869DB" w:rsidRDefault="00C869DB" w:rsidP="00726B13">
            <w:r>
              <w:t>Applications of Cellular Network Partnership and KanOkla Telephone Association</w:t>
            </w:r>
          </w:p>
          <w:p w:rsidR="00C869DB" w:rsidRDefault="00C869DB" w:rsidP="00726B13"/>
          <w:p w:rsidR="00C869DB" w:rsidRPr="00E05513" w:rsidRDefault="00C869DB" w:rsidP="008D6D88">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C869DB" w:rsidRDefault="00C869DB">
            <w:pPr>
              <w:rPr>
                <w:b/>
              </w:rPr>
            </w:pPr>
            <w:r>
              <w:rPr>
                <w:b/>
              </w:rPr>
              <w:t>)</w:t>
            </w:r>
          </w:p>
          <w:p w:rsidR="00C869DB" w:rsidRDefault="00C869DB">
            <w:pPr>
              <w:rPr>
                <w:b/>
              </w:rPr>
            </w:pPr>
            <w:r>
              <w:rPr>
                <w:b/>
              </w:rPr>
              <w:t>)</w:t>
            </w:r>
          </w:p>
          <w:p w:rsidR="00C869DB" w:rsidRDefault="00C869DB">
            <w:r>
              <w:rPr>
                <w:b/>
              </w:rPr>
              <w:t xml:space="preserve">)     </w:t>
            </w:r>
            <w:r>
              <w:t>WT Docket No. 15-</w:t>
            </w:r>
            <w:r w:rsidR="00373EDD">
              <w:t>48</w:t>
            </w:r>
          </w:p>
          <w:p w:rsidR="00C869DB" w:rsidRDefault="00C869DB">
            <w:pPr>
              <w:rPr>
                <w:b/>
              </w:rPr>
            </w:pPr>
            <w:r>
              <w:rPr>
                <w:b/>
              </w:rPr>
              <w:t>)</w:t>
            </w:r>
          </w:p>
          <w:p w:rsidR="00C869DB" w:rsidRDefault="00C869DB">
            <w:pPr>
              <w:rPr>
                <w:b/>
              </w:rPr>
            </w:pPr>
            <w:r>
              <w:rPr>
                <w:b/>
              </w:rPr>
              <w:t>)</w:t>
            </w:r>
          </w:p>
          <w:p w:rsidR="00C869DB" w:rsidRDefault="00C869DB" w:rsidP="00E05513">
            <w:pPr>
              <w:rPr>
                <w:b/>
              </w:rPr>
            </w:pPr>
            <w:r>
              <w:rPr>
                <w:b/>
              </w:rPr>
              <w:t>)</w:t>
            </w:r>
          </w:p>
          <w:p w:rsidR="00C869DB" w:rsidRDefault="00C869DB" w:rsidP="00E05513">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325ECC">
        <w:rPr>
          <w:b/>
          <w:bCs/>
          <w:spacing w:val="-2"/>
          <w:szCs w:val="22"/>
        </w:rPr>
        <w:t>April 13</w:t>
      </w:r>
      <w:r>
        <w:rPr>
          <w:b/>
          <w:bCs/>
          <w:spacing w:val="-2"/>
          <w:szCs w:val="22"/>
        </w:rPr>
        <w:t>, 201</w:t>
      </w:r>
      <w:r w:rsidR="00615E77">
        <w:rPr>
          <w:b/>
          <w:bCs/>
          <w:spacing w:val="-2"/>
          <w:szCs w:val="22"/>
        </w:rPr>
        <w:t>5</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8B4742">
        <w:rPr>
          <w:spacing w:val="-2"/>
          <w:szCs w:val="22"/>
        </w:rPr>
        <w:t xml:space="preserve"> </w:t>
      </w:r>
      <w:r w:rsidR="0013594A">
        <w:rPr>
          <w:spacing w:val="-2"/>
          <w:szCs w:val="22"/>
        </w:rPr>
        <w:t xml:space="preserve">     </w:t>
      </w:r>
      <w:r w:rsidR="00615E77">
        <w:rPr>
          <w:spacing w:val="-2"/>
          <w:szCs w:val="22"/>
        </w:rPr>
        <w:t xml:space="preserve">   </w:t>
      </w:r>
      <w:r w:rsidR="008B4742">
        <w:rPr>
          <w:spacing w:val="-2"/>
          <w:szCs w:val="22"/>
        </w:rPr>
        <w:t xml:space="preserve"> </w:t>
      </w:r>
      <w:r>
        <w:rPr>
          <w:spacing w:val="-2"/>
          <w:szCs w:val="22"/>
        </w:rPr>
        <w:t xml:space="preserve">  </w:t>
      </w:r>
      <w:r w:rsidR="00EE1966">
        <w:rPr>
          <w:spacing w:val="-2"/>
          <w:szCs w:val="22"/>
        </w:rPr>
        <w:t xml:space="preserve">    </w:t>
      </w:r>
      <w:r>
        <w:rPr>
          <w:spacing w:val="-2"/>
          <w:szCs w:val="22"/>
        </w:rPr>
        <w:t xml:space="preserve">   </w:t>
      </w:r>
      <w:r>
        <w:rPr>
          <w:b/>
          <w:spacing w:val="-2"/>
          <w:szCs w:val="22"/>
        </w:rPr>
        <w:t>R</w:t>
      </w:r>
      <w:r>
        <w:rPr>
          <w:b/>
          <w:bCs/>
          <w:spacing w:val="-2"/>
          <w:szCs w:val="22"/>
        </w:rPr>
        <w:t xml:space="preserve">eleased:  </w:t>
      </w:r>
      <w:r w:rsidR="00325ECC">
        <w:rPr>
          <w:b/>
          <w:bCs/>
          <w:spacing w:val="-2"/>
          <w:szCs w:val="22"/>
        </w:rPr>
        <w:t>April 13</w:t>
      </w:r>
      <w:r w:rsidR="00615E77">
        <w:rPr>
          <w:b/>
          <w:bCs/>
          <w:spacing w:val="-2"/>
          <w:szCs w:val="22"/>
        </w:rPr>
        <w:t>, 2015</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1410F2">
        <w:t>5</w:t>
      </w:r>
      <w:r>
        <w:fldChar w:fldCharType="end"/>
      </w:r>
      <w:r>
        <w:t xml:space="preserve"> or </w:t>
      </w:r>
      <w:r>
        <w:fldChar w:fldCharType="begin"/>
      </w:r>
      <w:r>
        <w:instrText xml:space="preserve"> REF _Ref287447280 \r \h </w:instrText>
      </w:r>
      <w:r>
        <w:fldChar w:fldCharType="separate"/>
      </w:r>
      <w:r w:rsidR="001410F2">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1410F2">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1410F2">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1410F2">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615E77">
        <w:rPr>
          <w:rStyle w:val="StyleParaNum11ptCharCharCharCharCharCharCharCharCharCharCharCharChar"/>
        </w:rPr>
        <w:t>5</w:t>
      </w:r>
      <w:r>
        <w:rPr>
          <w:rStyle w:val="StyleParaNum11ptCharCharCharCharCharCharCharCharCharCharCharCharChar"/>
        </w:rPr>
        <w:t>-</w:t>
      </w:r>
      <w:r w:rsidR="00373EDD">
        <w:rPr>
          <w:szCs w:val="22"/>
        </w:rPr>
        <w:lastRenderedPageBreak/>
        <w:t>48</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w:t>
      </w:r>
      <w:r>
        <w:rPr>
          <w:szCs w:val="22"/>
        </w:rPr>
        <w:lastRenderedPageBreak/>
        <w:t xml:space="preserve">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lastRenderedPageBreak/>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w:t>
      </w:r>
      <w:r w:rsidR="00615E77">
        <w:rPr>
          <w:b/>
          <w:bCs/>
          <w:szCs w:val="22"/>
        </w:rPr>
        <w:t>5-</w:t>
      </w:r>
      <w:r w:rsidR="00373EDD">
        <w:rPr>
          <w:b/>
          <w:bCs/>
          <w:szCs w:val="22"/>
        </w:rPr>
        <w:t>48</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1410F2">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869DB">
        <w:rPr>
          <w:szCs w:val="22"/>
        </w:rPr>
        <w:t>s ___ day of _____________, 2015</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30" w:rsidRDefault="00D54630">
      <w:r>
        <w:separator/>
      </w:r>
    </w:p>
  </w:endnote>
  <w:endnote w:type="continuationSeparator" w:id="0">
    <w:p w:rsidR="00D54630" w:rsidRDefault="00D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22" w:rsidRDefault="00EE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57389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22" w:rsidRDefault="00EE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30" w:rsidRDefault="00D54630">
      <w:r>
        <w:separator/>
      </w:r>
    </w:p>
  </w:footnote>
  <w:footnote w:type="continuationSeparator" w:id="0">
    <w:p w:rsidR="00D54630" w:rsidRDefault="00D54630">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22" w:rsidRDefault="00EE3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C869DB">
      <w:rPr>
        <w:b/>
      </w:rPr>
      <w:t xml:space="preserve"> Communications Commission</w:t>
    </w:r>
    <w:r w:rsidR="00C869DB">
      <w:rPr>
        <w:b/>
      </w:rPr>
      <w:tab/>
      <w:t>DA 15</w:t>
    </w:r>
    <w:r>
      <w:rPr>
        <w:b/>
      </w:rPr>
      <w:t>-</w:t>
    </w:r>
    <w:r w:rsidR="0005403F">
      <w:rPr>
        <w:b/>
      </w:rPr>
      <w:t>449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5DB7067" wp14:editId="2E7406E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w:t>
    </w:r>
    <w:r w:rsidR="00615E77">
      <w:rPr>
        <w:b/>
      </w:rPr>
      <w:t>5</w:t>
    </w:r>
    <w:r>
      <w:rPr>
        <w:b/>
      </w:rPr>
      <w:t>-</w:t>
    </w:r>
    <w:r w:rsidR="0005403F">
      <w:rPr>
        <w:b/>
      </w:rPr>
      <w:t>449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12EFB"/>
    <w:rsid w:val="0001315A"/>
    <w:rsid w:val="0005403F"/>
    <w:rsid w:val="00066AD4"/>
    <w:rsid w:val="000E048C"/>
    <w:rsid w:val="000E150E"/>
    <w:rsid w:val="00123C0E"/>
    <w:rsid w:val="0013594A"/>
    <w:rsid w:val="001410F2"/>
    <w:rsid w:val="00182091"/>
    <w:rsid w:val="001B3CCB"/>
    <w:rsid w:val="001C23A5"/>
    <w:rsid w:val="001E3356"/>
    <w:rsid w:val="00201622"/>
    <w:rsid w:val="002100EF"/>
    <w:rsid w:val="00210E35"/>
    <w:rsid w:val="002451D0"/>
    <w:rsid w:val="0027596E"/>
    <w:rsid w:val="002B658E"/>
    <w:rsid w:val="002B7223"/>
    <w:rsid w:val="002C17BC"/>
    <w:rsid w:val="002D48D9"/>
    <w:rsid w:val="003118D4"/>
    <w:rsid w:val="00325ECC"/>
    <w:rsid w:val="00373EDD"/>
    <w:rsid w:val="00381636"/>
    <w:rsid w:val="00387308"/>
    <w:rsid w:val="00387934"/>
    <w:rsid w:val="0046414B"/>
    <w:rsid w:val="004700F5"/>
    <w:rsid w:val="004C1D59"/>
    <w:rsid w:val="004C411C"/>
    <w:rsid w:val="004E3EB6"/>
    <w:rsid w:val="004E7198"/>
    <w:rsid w:val="004F4AB6"/>
    <w:rsid w:val="005030DB"/>
    <w:rsid w:val="00510497"/>
    <w:rsid w:val="005333A1"/>
    <w:rsid w:val="0056199D"/>
    <w:rsid w:val="00573897"/>
    <w:rsid w:val="005E73F3"/>
    <w:rsid w:val="005F06B8"/>
    <w:rsid w:val="005F2F74"/>
    <w:rsid w:val="006028CD"/>
    <w:rsid w:val="00615E77"/>
    <w:rsid w:val="0062201B"/>
    <w:rsid w:val="00677BF9"/>
    <w:rsid w:val="006C45FE"/>
    <w:rsid w:val="006E7C80"/>
    <w:rsid w:val="00700C96"/>
    <w:rsid w:val="00726B13"/>
    <w:rsid w:val="00741BA0"/>
    <w:rsid w:val="00761362"/>
    <w:rsid w:val="00761D9A"/>
    <w:rsid w:val="00773B58"/>
    <w:rsid w:val="007A5D47"/>
    <w:rsid w:val="007B142C"/>
    <w:rsid w:val="007D1CDE"/>
    <w:rsid w:val="007E0795"/>
    <w:rsid w:val="00800989"/>
    <w:rsid w:val="008440B0"/>
    <w:rsid w:val="0085149E"/>
    <w:rsid w:val="008575DB"/>
    <w:rsid w:val="0087584F"/>
    <w:rsid w:val="00885CCD"/>
    <w:rsid w:val="008946F0"/>
    <w:rsid w:val="0089475F"/>
    <w:rsid w:val="008B4742"/>
    <w:rsid w:val="008D6D88"/>
    <w:rsid w:val="008E6A3C"/>
    <w:rsid w:val="00904F2D"/>
    <w:rsid w:val="00947620"/>
    <w:rsid w:val="00962753"/>
    <w:rsid w:val="00966B5E"/>
    <w:rsid w:val="009F37FF"/>
    <w:rsid w:val="00A14518"/>
    <w:rsid w:val="00A24235"/>
    <w:rsid w:val="00A33E4E"/>
    <w:rsid w:val="00A64011"/>
    <w:rsid w:val="00A81035"/>
    <w:rsid w:val="00A8327C"/>
    <w:rsid w:val="00A92034"/>
    <w:rsid w:val="00AC4FA9"/>
    <w:rsid w:val="00AC5754"/>
    <w:rsid w:val="00B02A42"/>
    <w:rsid w:val="00BC399C"/>
    <w:rsid w:val="00C207BF"/>
    <w:rsid w:val="00C4228A"/>
    <w:rsid w:val="00C869DB"/>
    <w:rsid w:val="00CA42F6"/>
    <w:rsid w:val="00CC1749"/>
    <w:rsid w:val="00D374D4"/>
    <w:rsid w:val="00D54630"/>
    <w:rsid w:val="00D55856"/>
    <w:rsid w:val="00D715EA"/>
    <w:rsid w:val="00D857D5"/>
    <w:rsid w:val="00DE69D7"/>
    <w:rsid w:val="00DE6FA1"/>
    <w:rsid w:val="00DF0E09"/>
    <w:rsid w:val="00DF1DB0"/>
    <w:rsid w:val="00E05513"/>
    <w:rsid w:val="00E33C92"/>
    <w:rsid w:val="00E45395"/>
    <w:rsid w:val="00E47DA2"/>
    <w:rsid w:val="00E645CB"/>
    <w:rsid w:val="00E76C36"/>
    <w:rsid w:val="00E83165"/>
    <w:rsid w:val="00EA2839"/>
    <w:rsid w:val="00EE1966"/>
    <w:rsid w:val="00EE3022"/>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17355</Characters>
  <Application>Microsoft Office Word</Application>
  <DocSecurity>0</DocSecurity>
  <Lines>263</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2015-04-13T18:05:00Z</dcterms:created>
  <dcterms:modified xsi:type="dcterms:W3CDTF">2015-04-13T18:05:00Z</dcterms:modified>
  <cp:category> </cp:category>
  <cp:contentStatus> </cp:contentStatus>
</cp:coreProperties>
</file>