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3D" w:rsidRDefault="007D6E3D">
      <w:pPr>
        <w:pStyle w:val="StyleBoldCentered"/>
      </w:pPr>
      <w:bookmarkStart w:id="0" w:name="_GoBack"/>
      <w:bookmarkEnd w:id="0"/>
      <w:r>
        <w:rPr>
          <w:caps w:val="0"/>
        </w:rPr>
        <w:t>Before the</w:t>
      </w:r>
    </w:p>
    <w:p w:rsidR="007D6E3D" w:rsidRDefault="007D6E3D">
      <w:pPr>
        <w:pStyle w:val="StyleBoldCentered"/>
      </w:pPr>
      <w:r>
        <w:rPr>
          <w:caps w:val="0"/>
        </w:rPr>
        <w:t>Federal Communications Commission</w:t>
      </w:r>
    </w:p>
    <w:p w:rsidR="007D6E3D" w:rsidRDefault="007D6E3D">
      <w:pPr>
        <w:pStyle w:val="StyleBoldCentered"/>
      </w:pPr>
      <w:r>
        <w:rPr>
          <w:caps w:val="0"/>
        </w:rPr>
        <w:t>Washington, D.C. 20554</w:t>
      </w:r>
    </w:p>
    <w:p w:rsidR="007D6E3D" w:rsidRDefault="007D6E3D"/>
    <w:p w:rsidR="007D6E3D" w:rsidRDefault="007D6E3D"/>
    <w:tbl>
      <w:tblPr>
        <w:tblW w:w="18252" w:type="dxa"/>
        <w:tblLayout w:type="fixed"/>
        <w:tblLook w:val="0000" w:firstRow="0" w:lastRow="0" w:firstColumn="0" w:lastColumn="0" w:noHBand="0" w:noVBand="0"/>
      </w:tblPr>
      <w:tblGrid>
        <w:gridCol w:w="4698"/>
        <w:gridCol w:w="4608"/>
        <w:gridCol w:w="4698"/>
        <w:gridCol w:w="4248"/>
      </w:tblGrid>
      <w:tr w:rsidR="007D6E3D">
        <w:trPr>
          <w:trHeight w:val="2250"/>
        </w:trPr>
        <w:tc>
          <w:tcPr>
            <w:tcW w:w="4698" w:type="dxa"/>
          </w:tcPr>
          <w:p w:rsidR="007D6E3D" w:rsidRDefault="007D6E3D">
            <w:r>
              <w:t>In the Matter of</w:t>
            </w:r>
          </w:p>
          <w:p w:rsidR="007D6E3D" w:rsidRDefault="007D6E3D"/>
          <w:p w:rsidR="007D6E3D" w:rsidRDefault="007D6E3D">
            <w:r>
              <w:t>Misuse of Internet Protocol (IP) Captioned Telephone Service</w:t>
            </w:r>
          </w:p>
          <w:p w:rsidR="007D6E3D" w:rsidRDefault="007D6E3D"/>
          <w:p w:rsidR="000145D4" w:rsidRDefault="000145D4" w:rsidP="000145D4">
            <w:pPr>
              <w:tabs>
                <w:tab w:val="center" w:pos="4680"/>
              </w:tabs>
              <w:suppressAutoHyphens/>
              <w:rPr>
                <w:spacing w:val="-2"/>
              </w:rPr>
            </w:pPr>
            <w:r w:rsidRPr="008C71FA">
              <w:rPr>
                <w:spacing w:val="-2"/>
              </w:rPr>
              <w:t>Structure and Practices of</w:t>
            </w:r>
            <w:r>
              <w:rPr>
                <w:spacing w:val="-2"/>
              </w:rPr>
              <w:t xml:space="preserve"> the Video Relay Service Program</w:t>
            </w:r>
          </w:p>
          <w:p w:rsidR="000145D4" w:rsidRPr="000145D4" w:rsidRDefault="000145D4" w:rsidP="000145D4">
            <w:pPr>
              <w:tabs>
                <w:tab w:val="center" w:pos="4680"/>
              </w:tabs>
              <w:suppressAutoHyphens/>
              <w:rPr>
                <w:spacing w:val="-2"/>
              </w:rPr>
            </w:pPr>
          </w:p>
          <w:p w:rsidR="007D6E3D" w:rsidRDefault="007D6E3D">
            <w:r>
              <w:t>Telecommunications Relay Services and Speech-to-Speech Services for Individuals with Hearing and Speech Disabilities</w:t>
            </w:r>
          </w:p>
          <w:p w:rsidR="007D6E3D" w:rsidRDefault="007D6E3D"/>
          <w:p w:rsidR="007D6E3D" w:rsidRDefault="00C954A4" w:rsidP="004E2163">
            <w:r>
              <w:t xml:space="preserve">Miracom USA, Inc. </w:t>
            </w:r>
            <w:r w:rsidR="004E2163">
              <w:t>(now InnoCaption</w:t>
            </w:r>
            <w:r w:rsidR="00FC055D">
              <w:t>, Inc.</w:t>
            </w:r>
            <w:r w:rsidR="004E2163">
              <w:t xml:space="preserve">), Certification to Provide Internet </w:t>
            </w:r>
            <w:r w:rsidR="0057184F">
              <w:t>Protocol Captioned Telephone Service (IP CTS)</w:t>
            </w:r>
          </w:p>
          <w:p w:rsidR="004E2163" w:rsidRDefault="004E2163" w:rsidP="004E2163"/>
          <w:p w:rsidR="004E2163" w:rsidRDefault="004E2163" w:rsidP="004E2163">
            <w:r>
              <w:t>Review of InnoCaption, Inc., Request for Review of Withholding of TRS Fund Compensation Payments</w:t>
            </w:r>
          </w:p>
          <w:p w:rsidR="004E2163" w:rsidRDefault="004E2163" w:rsidP="004E2163">
            <w:pPr>
              <w:rPr>
                <w:b/>
              </w:rPr>
            </w:pPr>
            <w:r>
              <w:t xml:space="preserve"> </w:t>
            </w:r>
          </w:p>
        </w:tc>
        <w:tc>
          <w:tcPr>
            <w:tcW w:w="4608" w:type="dxa"/>
          </w:tcPr>
          <w:p w:rsidR="007D6E3D" w:rsidRDefault="007D6E3D">
            <w:pPr>
              <w:tabs>
                <w:tab w:val="center" w:pos="4680"/>
              </w:tabs>
              <w:suppressAutoHyphens/>
              <w:rPr>
                <w:b/>
              </w:rPr>
            </w:pPr>
            <w:r>
              <w:rPr>
                <w:b/>
              </w:rPr>
              <w:t>)</w:t>
            </w:r>
          </w:p>
          <w:p w:rsidR="007D6E3D" w:rsidRDefault="007D6E3D">
            <w:pPr>
              <w:tabs>
                <w:tab w:val="center" w:pos="4680"/>
              </w:tabs>
              <w:suppressAutoHyphens/>
              <w:rPr>
                <w:b/>
              </w:rPr>
            </w:pPr>
            <w:r>
              <w:rPr>
                <w:b/>
              </w:rPr>
              <w:t>)</w:t>
            </w:r>
          </w:p>
          <w:p w:rsidR="007D6E3D" w:rsidRDefault="007D6E3D" w:rsidP="000145D4">
            <w:r>
              <w:rPr>
                <w:b/>
              </w:rPr>
              <w:t>)</w:t>
            </w:r>
            <w:r w:rsidR="000145D4">
              <w:t xml:space="preserve">      CG Docket No. 13-24</w:t>
            </w:r>
          </w:p>
          <w:p w:rsidR="007D6E3D" w:rsidRDefault="007D6E3D">
            <w:r>
              <w:rPr>
                <w:b/>
              </w:rPr>
              <w:t>)</w:t>
            </w:r>
          </w:p>
          <w:p w:rsidR="007D6E3D" w:rsidRDefault="007D6E3D">
            <w:pPr>
              <w:tabs>
                <w:tab w:val="center" w:pos="4680"/>
              </w:tabs>
              <w:suppressAutoHyphens/>
              <w:rPr>
                <w:b/>
                <w:bCs/>
              </w:rPr>
            </w:pPr>
            <w:r>
              <w:rPr>
                <w:b/>
                <w:bCs/>
              </w:rPr>
              <w:t>)</w:t>
            </w:r>
          </w:p>
          <w:p w:rsidR="000145D4" w:rsidRPr="000145D4" w:rsidRDefault="000145D4">
            <w:pPr>
              <w:tabs>
                <w:tab w:val="center" w:pos="4680"/>
              </w:tabs>
              <w:suppressAutoHyphens/>
              <w:rPr>
                <w:bCs/>
              </w:rPr>
            </w:pPr>
            <w:r>
              <w:rPr>
                <w:b/>
                <w:bCs/>
              </w:rPr>
              <w:t xml:space="preserve">)      </w:t>
            </w:r>
            <w:r>
              <w:rPr>
                <w:bCs/>
              </w:rPr>
              <w:t>CG Docket No. 10-51</w:t>
            </w:r>
          </w:p>
          <w:p w:rsidR="007D6E3D" w:rsidRDefault="007D6E3D">
            <w:pPr>
              <w:tabs>
                <w:tab w:val="center" w:pos="4680"/>
              </w:tabs>
              <w:suppressAutoHyphens/>
              <w:rPr>
                <w:b/>
                <w:bCs/>
              </w:rPr>
            </w:pPr>
            <w:r>
              <w:rPr>
                <w:b/>
                <w:bCs/>
              </w:rPr>
              <w:t>)</w:t>
            </w:r>
          </w:p>
          <w:p w:rsidR="000145D4" w:rsidRDefault="007D6E3D">
            <w:pPr>
              <w:tabs>
                <w:tab w:val="center" w:pos="4680"/>
              </w:tabs>
              <w:suppressAutoHyphens/>
            </w:pPr>
            <w:r>
              <w:rPr>
                <w:b/>
                <w:bCs/>
              </w:rPr>
              <w:t>)</w:t>
            </w:r>
            <w:r>
              <w:t xml:space="preserve">      </w:t>
            </w:r>
          </w:p>
          <w:p w:rsidR="007D6E3D" w:rsidRDefault="000145D4">
            <w:pPr>
              <w:tabs>
                <w:tab w:val="center" w:pos="4680"/>
              </w:tabs>
              <w:suppressAutoHyphens/>
            </w:pPr>
            <w:r>
              <w:t>)</w:t>
            </w:r>
            <w:r>
              <w:rPr>
                <w:b/>
                <w:bCs/>
              </w:rPr>
              <w:t xml:space="preserve">      </w:t>
            </w:r>
            <w:r w:rsidR="007D6E3D">
              <w:t>CG Docket No. 03-123</w:t>
            </w:r>
          </w:p>
          <w:p w:rsidR="007D6E3D" w:rsidRDefault="007D6E3D">
            <w:pPr>
              <w:tabs>
                <w:tab w:val="center" w:pos="4680"/>
              </w:tabs>
              <w:suppressAutoHyphens/>
              <w:rPr>
                <w:b/>
                <w:bCs/>
              </w:rPr>
            </w:pPr>
            <w:r>
              <w:rPr>
                <w:b/>
                <w:bCs/>
              </w:rPr>
              <w:t>)</w:t>
            </w:r>
          </w:p>
          <w:p w:rsidR="007D6E3D" w:rsidRDefault="007D6E3D">
            <w:pPr>
              <w:tabs>
                <w:tab w:val="center" w:pos="4680"/>
              </w:tabs>
              <w:suppressAutoHyphens/>
              <w:rPr>
                <w:b/>
                <w:bCs/>
              </w:rPr>
            </w:pPr>
            <w:r>
              <w:rPr>
                <w:b/>
                <w:bCs/>
              </w:rPr>
              <w:t>)</w:t>
            </w:r>
          </w:p>
          <w:p w:rsidR="000145D4" w:rsidRDefault="000145D4">
            <w:pPr>
              <w:tabs>
                <w:tab w:val="center" w:pos="4680"/>
              </w:tabs>
              <w:suppressAutoHyphens/>
              <w:rPr>
                <w:b/>
                <w:bCs/>
              </w:rPr>
            </w:pPr>
            <w:r>
              <w:rPr>
                <w:b/>
                <w:bCs/>
              </w:rPr>
              <w:t>)</w:t>
            </w:r>
          </w:p>
          <w:p w:rsidR="00C954A4" w:rsidRDefault="00C954A4">
            <w:pPr>
              <w:tabs>
                <w:tab w:val="center" w:pos="4680"/>
              </w:tabs>
              <w:suppressAutoHyphens/>
              <w:rPr>
                <w:b/>
                <w:bCs/>
              </w:rPr>
            </w:pPr>
            <w:r>
              <w:rPr>
                <w:b/>
                <w:bCs/>
              </w:rPr>
              <w:t>)</w:t>
            </w:r>
          </w:p>
          <w:p w:rsidR="00E81025" w:rsidRDefault="004E2163">
            <w:pPr>
              <w:tabs>
                <w:tab w:val="center" w:pos="4680"/>
              </w:tabs>
              <w:suppressAutoHyphens/>
              <w:rPr>
                <w:b/>
              </w:rPr>
            </w:pPr>
            <w:r>
              <w:rPr>
                <w:b/>
              </w:rPr>
              <w:t>)</w:t>
            </w:r>
          </w:p>
          <w:p w:rsidR="004E2163" w:rsidRDefault="004E2163">
            <w:pPr>
              <w:tabs>
                <w:tab w:val="center" w:pos="4680"/>
              </w:tabs>
              <w:suppressAutoHyphens/>
              <w:rPr>
                <w:b/>
              </w:rPr>
            </w:pPr>
            <w:r>
              <w:rPr>
                <w:b/>
              </w:rPr>
              <w:t>)</w:t>
            </w:r>
          </w:p>
          <w:p w:rsidR="004E2163" w:rsidRDefault="004E2163">
            <w:pPr>
              <w:tabs>
                <w:tab w:val="center" w:pos="4680"/>
              </w:tabs>
              <w:suppressAutoHyphens/>
              <w:rPr>
                <w:b/>
              </w:rPr>
            </w:pPr>
            <w:r>
              <w:rPr>
                <w:b/>
              </w:rPr>
              <w:t>)</w:t>
            </w:r>
          </w:p>
          <w:p w:rsidR="004E2163" w:rsidRDefault="004E2163">
            <w:pPr>
              <w:tabs>
                <w:tab w:val="center" w:pos="4680"/>
              </w:tabs>
              <w:suppressAutoHyphens/>
              <w:rPr>
                <w:b/>
              </w:rPr>
            </w:pPr>
            <w:r>
              <w:rPr>
                <w:b/>
              </w:rPr>
              <w:t>)</w:t>
            </w:r>
          </w:p>
          <w:p w:rsidR="004E2163" w:rsidRDefault="004E2163">
            <w:pPr>
              <w:tabs>
                <w:tab w:val="center" w:pos="4680"/>
              </w:tabs>
              <w:suppressAutoHyphens/>
              <w:rPr>
                <w:b/>
              </w:rPr>
            </w:pPr>
            <w:r>
              <w:rPr>
                <w:b/>
              </w:rPr>
              <w:t>)</w:t>
            </w:r>
          </w:p>
          <w:p w:rsidR="004E2163" w:rsidRDefault="004E2163">
            <w:pPr>
              <w:tabs>
                <w:tab w:val="center" w:pos="4680"/>
              </w:tabs>
              <w:suppressAutoHyphens/>
              <w:rPr>
                <w:b/>
              </w:rPr>
            </w:pPr>
            <w:r>
              <w:rPr>
                <w:b/>
              </w:rPr>
              <w:t>)</w:t>
            </w:r>
          </w:p>
        </w:tc>
        <w:tc>
          <w:tcPr>
            <w:tcW w:w="4698" w:type="dxa"/>
          </w:tcPr>
          <w:p w:rsidR="007D6E3D" w:rsidRDefault="007D6E3D">
            <w:pPr>
              <w:tabs>
                <w:tab w:val="center" w:pos="4680"/>
              </w:tabs>
              <w:suppressAutoHyphens/>
              <w:rPr>
                <w:b/>
                <w:spacing w:val="-2"/>
              </w:rPr>
            </w:pPr>
          </w:p>
        </w:tc>
        <w:tc>
          <w:tcPr>
            <w:tcW w:w="4248" w:type="dxa"/>
          </w:tcPr>
          <w:p w:rsidR="007D6E3D" w:rsidRDefault="007D6E3D">
            <w:pPr>
              <w:tabs>
                <w:tab w:val="center" w:pos="4680"/>
              </w:tabs>
              <w:suppressAutoHyphens/>
            </w:pPr>
          </w:p>
          <w:p w:rsidR="007D6E3D" w:rsidRPr="00C633C3" w:rsidRDefault="007D6E3D" w:rsidP="007D6E3D">
            <w:pPr>
              <w:pStyle w:val="TOAHeading"/>
              <w:tabs>
                <w:tab w:val="clear" w:pos="9360"/>
                <w:tab w:val="center" w:pos="4680"/>
              </w:tabs>
              <w:rPr>
                <w:b/>
                <w:spacing w:val="-2"/>
              </w:rPr>
            </w:pPr>
          </w:p>
          <w:p w:rsidR="007D6E3D" w:rsidRDefault="007D6E3D">
            <w:pPr>
              <w:tabs>
                <w:tab w:val="center" w:pos="4680"/>
              </w:tabs>
              <w:suppressAutoHyphens/>
            </w:pPr>
            <w:r>
              <w:t>CG Docket No. 10-213</w:t>
            </w:r>
          </w:p>
        </w:tc>
      </w:tr>
    </w:tbl>
    <w:p w:rsidR="007D6E3D" w:rsidRDefault="007D6E3D">
      <w:pPr>
        <w:tabs>
          <w:tab w:val="left" w:pos="-720"/>
        </w:tabs>
        <w:suppressAutoHyphens/>
        <w:rPr>
          <w:spacing w:val="-2"/>
        </w:rPr>
        <w:sectPr w:rsidR="007D6E3D" w:rsidSect="003313D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473" w:gutter="0"/>
          <w:pgNumType w:start="1"/>
          <w:cols w:space="720"/>
          <w:noEndnote/>
          <w:titlePg/>
          <w:docGrid w:linePitch="299"/>
        </w:sectPr>
      </w:pPr>
    </w:p>
    <w:p w:rsidR="007D6E3D" w:rsidRDefault="007D6E3D">
      <w:pPr>
        <w:jc w:val="center"/>
        <w:rPr>
          <w:b/>
          <w:bCs/>
        </w:rPr>
      </w:pPr>
      <w:r>
        <w:rPr>
          <w:b/>
          <w:bCs/>
        </w:rPr>
        <w:lastRenderedPageBreak/>
        <w:t>ORDER</w:t>
      </w:r>
    </w:p>
    <w:p w:rsidR="007D6E3D" w:rsidRDefault="007D6E3D">
      <w:pPr>
        <w:tabs>
          <w:tab w:val="left" w:pos="-720"/>
        </w:tabs>
        <w:suppressAutoHyphens/>
        <w:rPr>
          <w:spacing w:val="-2"/>
        </w:rPr>
      </w:pPr>
    </w:p>
    <w:p w:rsidR="007D6E3D" w:rsidRDefault="007D6E3D">
      <w:pPr>
        <w:tabs>
          <w:tab w:val="left" w:pos="720"/>
          <w:tab w:val="left" w:pos="5760"/>
        </w:tabs>
        <w:suppressAutoHyphens/>
        <w:spacing w:line="227" w:lineRule="auto"/>
      </w:pPr>
      <w:r>
        <w:rPr>
          <w:b/>
        </w:rPr>
        <w:t xml:space="preserve">Adopted:  </w:t>
      </w:r>
      <w:r w:rsidR="00597A07">
        <w:rPr>
          <w:b/>
        </w:rPr>
        <w:t>April 7, 2015</w:t>
      </w:r>
      <w:r>
        <w:rPr>
          <w:b/>
        </w:rPr>
        <w:tab/>
        <w:t xml:space="preserve">Released:  </w:t>
      </w:r>
      <w:r w:rsidR="00597A07">
        <w:rPr>
          <w:b/>
        </w:rPr>
        <w:t>April 7, 2015</w:t>
      </w:r>
    </w:p>
    <w:p w:rsidR="007D6E3D" w:rsidRDefault="007D6E3D"/>
    <w:p w:rsidR="007D6E3D" w:rsidRDefault="007D6E3D">
      <w:pPr>
        <w:rPr>
          <w:spacing w:val="-2"/>
        </w:rPr>
      </w:pPr>
      <w:r>
        <w:t xml:space="preserve">By the </w:t>
      </w:r>
      <w:r>
        <w:rPr>
          <w:spacing w:val="-2"/>
        </w:rPr>
        <w:t>Acting Chief, Consumer and Governmental Affairs Bureau:</w:t>
      </w:r>
    </w:p>
    <w:p w:rsidR="007D6E3D" w:rsidRDefault="007D6E3D">
      <w:pPr>
        <w:rPr>
          <w:spacing w:val="-2"/>
        </w:rPr>
      </w:pPr>
    </w:p>
    <w:p w:rsidR="007D6E3D" w:rsidRDefault="007D6E3D" w:rsidP="007762D5">
      <w:pPr>
        <w:pStyle w:val="Heading1"/>
      </w:pPr>
      <w:r>
        <w:t>INTRODUCTION</w:t>
      </w:r>
    </w:p>
    <w:p w:rsidR="002A70FE" w:rsidRPr="000145D4" w:rsidRDefault="002860A8" w:rsidP="000145D4">
      <w:pPr>
        <w:pStyle w:val="ParaNum"/>
      </w:pPr>
      <w:r w:rsidRPr="002860A8">
        <w:t>The Consumer and Governmental Affairs Bureau (</w:t>
      </w:r>
      <w:r w:rsidR="00C1338B">
        <w:t xml:space="preserve">CGB or </w:t>
      </w:r>
      <w:r w:rsidRPr="002860A8">
        <w:t>Bureau)</w:t>
      </w:r>
      <w:r w:rsidR="00C1338B" w:rsidRPr="00C1338B">
        <w:rPr>
          <w:vertAlign w:val="superscript"/>
        </w:rPr>
        <w:footnoteReference w:id="2"/>
      </w:r>
      <w:r w:rsidRPr="002860A8">
        <w:t xml:space="preserve"> of the Federal Communications Commission (FCC or Commission) </w:t>
      </w:r>
      <w:r>
        <w:t xml:space="preserve">suspends the </w:t>
      </w:r>
      <w:r w:rsidR="0057184F">
        <w:t xml:space="preserve">conditional </w:t>
      </w:r>
      <w:r>
        <w:t>certification of</w:t>
      </w:r>
      <w:r w:rsidRPr="002860A8">
        <w:t xml:space="preserve"> InnoCaption, Inc. (InnoCaption)</w:t>
      </w:r>
      <w:r w:rsidR="00A71487">
        <w:t>,</w:t>
      </w:r>
      <w:r w:rsidRPr="002860A8">
        <w:t xml:space="preserve"> </w:t>
      </w:r>
      <w:r>
        <w:t xml:space="preserve">to provide </w:t>
      </w:r>
      <w:r w:rsidRPr="002860A8">
        <w:t>Internet Protocol Captioned Telephone Service (IP CTS)</w:t>
      </w:r>
      <w:r w:rsidR="009C0C6E" w:rsidRPr="002A70FE">
        <w:t xml:space="preserve">, effective </w:t>
      </w:r>
      <w:r w:rsidR="00B70028">
        <w:t xml:space="preserve">April </w:t>
      </w:r>
      <w:r w:rsidR="00F06A27">
        <w:t>7</w:t>
      </w:r>
      <w:r w:rsidR="00B70028">
        <w:t>, 2015</w:t>
      </w:r>
      <w:r w:rsidR="005F5C0A">
        <w:t>,</w:t>
      </w:r>
      <w:r w:rsidR="00701C9D">
        <w:t xml:space="preserve"> at 10:00 p.m. eastern daylight time</w:t>
      </w:r>
      <w:r w:rsidR="009C0C6E" w:rsidRPr="002A70FE">
        <w:t xml:space="preserve">.  </w:t>
      </w:r>
      <w:r w:rsidR="002A70FE">
        <w:t>W</w:t>
      </w:r>
      <w:r w:rsidR="002A70FE" w:rsidRPr="002A70FE">
        <w:t xml:space="preserve">e find that InnoCaption has failed to operate </w:t>
      </w:r>
      <w:r w:rsidR="002A70FE">
        <w:t>its</w:t>
      </w:r>
      <w:r w:rsidR="002A70FE" w:rsidRPr="002A70FE">
        <w:t xml:space="preserve"> IP CTS in compliance with this Commission’s </w:t>
      </w:r>
      <w:r w:rsidR="0057184F">
        <w:t xml:space="preserve">TRS </w:t>
      </w:r>
      <w:r w:rsidR="002A70FE" w:rsidRPr="002A70FE">
        <w:t>emergency calling requirements, from the commencement of service in 201</w:t>
      </w:r>
      <w:r w:rsidR="00002FF3">
        <w:t>4</w:t>
      </w:r>
      <w:r w:rsidR="002A70FE" w:rsidRPr="002A70FE">
        <w:t xml:space="preserve"> through the date of this </w:t>
      </w:r>
      <w:r w:rsidR="002A70FE">
        <w:t>Order</w:t>
      </w:r>
      <w:r w:rsidR="002A70FE" w:rsidRPr="002A70FE">
        <w:t xml:space="preserve">.  We therefore </w:t>
      </w:r>
      <w:r w:rsidR="002A70FE">
        <w:t>suspend InnoCaption’s</w:t>
      </w:r>
      <w:r w:rsidR="002A70FE" w:rsidRPr="002A70FE">
        <w:t xml:space="preserve"> </w:t>
      </w:r>
      <w:r w:rsidR="0057184F">
        <w:t xml:space="preserve">conditional </w:t>
      </w:r>
      <w:r w:rsidR="002A70FE" w:rsidRPr="002A70FE">
        <w:t xml:space="preserve">certification </w:t>
      </w:r>
      <w:r w:rsidR="002A70FE">
        <w:t>to provide</w:t>
      </w:r>
      <w:r w:rsidR="002A70FE" w:rsidRPr="002A70FE">
        <w:t xml:space="preserve"> Fund-supported IP </w:t>
      </w:r>
      <w:r w:rsidR="002A70FE" w:rsidRPr="005E1AB9">
        <w:t>CTS</w:t>
      </w:r>
      <w:r w:rsidR="00C1338B" w:rsidRPr="00876782">
        <w:t xml:space="preserve"> </w:t>
      </w:r>
      <w:r w:rsidR="008D2B6C" w:rsidRPr="00E81025">
        <w:t xml:space="preserve">commencing </w:t>
      </w:r>
      <w:r w:rsidR="005E1AB9" w:rsidRPr="00E81025">
        <w:t xml:space="preserve">April </w:t>
      </w:r>
      <w:r w:rsidR="00F06A27">
        <w:t>7</w:t>
      </w:r>
      <w:r w:rsidR="005E1AB9" w:rsidRPr="00E81025">
        <w:t>, 2015</w:t>
      </w:r>
      <w:r w:rsidR="009C0C6E" w:rsidRPr="00876782">
        <w:t>.</w:t>
      </w:r>
      <w:r w:rsidR="009C0C6E">
        <w:t xml:space="preserve">  </w:t>
      </w:r>
      <w:r w:rsidR="00571546">
        <w:t>T</w:t>
      </w:r>
      <w:r w:rsidR="00D14F7B">
        <w:t xml:space="preserve">o lift the suspension and avoid revocation of its </w:t>
      </w:r>
      <w:r w:rsidR="00A751E7">
        <w:t xml:space="preserve">conditional </w:t>
      </w:r>
      <w:r w:rsidR="00D14F7B">
        <w:t>certification, InnoCaption must implement compliant 911 calling arrangements</w:t>
      </w:r>
      <w:r w:rsidR="0057184F">
        <w:t>, demonstrate that the Company is in compliance with the emergency calling requirements</w:t>
      </w:r>
      <w:r w:rsidR="007F028F">
        <w:t xml:space="preserve"> for telecommunications relay services (TRS)</w:t>
      </w:r>
      <w:r w:rsidR="0057184F">
        <w:t>,</w:t>
      </w:r>
      <w:r w:rsidR="00D14F7B">
        <w:t xml:space="preserve"> and </w:t>
      </w:r>
      <w:r w:rsidR="002A3E25">
        <w:t xml:space="preserve">fully </w:t>
      </w:r>
      <w:r w:rsidR="00D14F7B">
        <w:t xml:space="preserve">comply with the other requirements of this Order within </w:t>
      </w:r>
      <w:r w:rsidR="008D2B6C">
        <w:t>six</w:t>
      </w:r>
      <w:r w:rsidR="00435AB8">
        <w:t xml:space="preserve"> (6)</w:t>
      </w:r>
      <w:r w:rsidR="008D2B6C">
        <w:t xml:space="preserve"> months of the effective </w:t>
      </w:r>
      <w:r w:rsidR="00D14F7B">
        <w:t>date of this Order</w:t>
      </w:r>
      <w:r w:rsidR="002A70FE" w:rsidRPr="002A70FE">
        <w:t>.</w:t>
      </w:r>
      <w:r w:rsidR="00D14F7B" w:rsidRPr="00D14F7B">
        <w:rPr>
          <w:color w:val="1F497D"/>
        </w:rPr>
        <w:t xml:space="preserve"> </w:t>
      </w:r>
      <w:r w:rsidR="00D14F7B">
        <w:rPr>
          <w:color w:val="1F497D"/>
        </w:rPr>
        <w:t xml:space="preserve"> </w:t>
      </w:r>
    </w:p>
    <w:p w:rsidR="007D6E3D" w:rsidRDefault="007D6E3D" w:rsidP="007D6E3D">
      <w:pPr>
        <w:pStyle w:val="Heading1"/>
      </w:pPr>
      <w:r>
        <w:lastRenderedPageBreak/>
        <w:t>background</w:t>
      </w:r>
    </w:p>
    <w:p w:rsidR="009C0C6E" w:rsidRPr="009C0C6E" w:rsidRDefault="009C0C6E" w:rsidP="009C0C6E">
      <w:pPr>
        <w:pStyle w:val="Heading2"/>
      </w:pPr>
      <w:r>
        <w:t>InnoCaption’s</w:t>
      </w:r>
      <w:r w:rsidR="002A3E25">
        <w:t xml:space="preserve"> Conditional</w:t>
      </w:r>
      <w:r>
        <w:t xml:space="preserve"> Certification to Provide IP CTS</w:t>
      </w:r>
    </w:p>
    <w:p w:rsidR="00370158" w:rsidRDefault="00AC5926" w:rsidP="006464D4">
      <w:pPr>
        <w:pStyle w:val="ParaNum"/>
      </w:pPr>
      <w:r>
        <w:t xml:space="preserve">On November 23, 2011, </w:t>
      </w:r>
      <w:r w:rsidRPr="00AC5926">
        <w:t xml:space="preserve">InnoCaption </w:t>
      </w:r>
      <w:r>
        <w:t>applied to the Commission</w:t>
      </w:r>
      <w:r w:rsidR="00F31E62">
        <w:rPr>
          <w:rStyle w:val="FootnoteReference"/>
        </w:rPr>
        <w:footnoteReference w:id="3"/>
      </w:r>
      <w:r>
        <w:t xml:space="preserve"> for certification as a provider of IP CTS </w:t>
      </w:r>
      <w:r w:rsidR="009C0C6E">
        <w:t>eligible for compensation from the Interstate Telecommunications Relay Services Fund (TRS Fund).</w:t>
      </w:r>
      <w:r w:rsidR="009C0C6E">
        <w:rPr>
          <w:rStyle w:val="FootnoteReference"/>
        </w:rPr>
        <w:footnoteReference w:id="4"/>
      </w:r>
      <w:r w:rsidR="009C0C6E">
        <w:t xml:space="preserve">  </w:t>
      </w:r>
      <w:r w:rsidR="00C1338B">
        <w:t xml:space="preserve">According to </w:t>
      </w:r>
      <w:r w:rsidR="006464D4">
        <w:t xml:space="preserve">its application and supplemental filings, </w:t>
      </w:r>
      <w:r w:rsidRPr="006464D4">
        <w:t>InnoCaption</w:t>
      </w:r>
      <w:r w:rsidR="006464D4">
        <w:t>’s relay service</w:t>
      </w:r>
      <w:r w:rsidR="00A97BD0">
        <w:t xml:space="preserve"> is accessed by users through mobile devices</w:t>
      </w:r>
      <w:r w:rsidR="006464D4">
        <w:t>.</w:t>
      </w:r>
      <w:r w:rsidR="00F31E62">
        <w:rPr>
          <w:rStyle w:val="FootnoteReference"/>
        </w:rPr>
        <w:footnoteReference w:id="5"/>
      </w:r>
      <w:r w:rsidR="006464D4">
        <w:t xml:space="preserve"> </w:t>
      </w:r>
      <w:r w:rsidR="00A97BD0">
        <w:t xml:space="preserve"> </w:t>
      </w:r>
      <w:r w:rsidR="00C954A4">
        <w:t xml:space="preserve">On May 13, 2014, the Bureau granted conditional certification to </w:t>
      </w:r>
      <w:r w:rsidR="000B0ADC">
        <w:t>InnoCaption</w:t>
      </w:r>
      <w:r w:rsidR="00C954A4">
        <w:t xml:space="preserve"> to provide IP CTS</w:t>
      </w:r>
      <w:r w:rsidR="00D57489">
        <w:t>.</w:t>
      </w:r>
      <w:r w:rsidR="00D57489">
        <w:rPr>
          <w:rStyle w:val="FootnoteReference"/>
        </w:rPr>
        <w:footnoteReference w:id="6"/>
      </w:r>
      <w:r w:rsidR="00D57489">
        <w:t xml:space="preserve">  </w:t>
      </w:r>
      <w:r w:rsidR="00C954A4">
        <w:t xml:space="preserve">The Bureau based its </w:t>
      </w:r>
      <w:r w:rsidR="0057184F">
        <w:t>decision</w:t>
      </w:r>
      <w:r w:rsidR="00C954A4">
        <w:t xml:space="preserve"> on the assertions provided in </w:t>
      </w:r>
      <w:r w:rsidR="00773506">
        <w:t>InnoCaption</w:t>
      </w:r>
      <w:r w:rsidR="00C954A4">
        <w:t>’s application and supplemental filings.</w:t>
      </w:r>
      <w:r w:rsidR="00C954A4">
        <w:rPr>
          <w:rStyle w:val="FootnoteReference"/>
        </w:rPr>
        <w:footnoteReference w:id="7"/>
      </w:r>
      <w:r w:rsidR="00D57489">
        <w:t xml:space="preserve">  The </w:t>
      </w:r>
      <w:r w:rsidR="00B70028">
        <w:t xml:space="preserve">Bureau conditioned the </w:t>
      </w:r>
      <w:r w:rsidR="00D57489">
        <w:t>certific</w:t>
      </w:r>
      <w:r w:rsidR="000B0ADC">
        <w:t>ation on</w:t>
      </w:r>
      <w:r w:rsidR="00B70028">
        <w:t>, among other things,</w:t>
      </w:r>
      <w:r w:rsidR="000B0ADC">
        <w:t xml:space="preserve"> </w:t>
      </w:r>
      <w:r w:rsidR="00773506">
        <w:t>InnoCaption</w:t>
      </w:r>
      <w:r w:rsidR="00E670F6">
        <w:t xml:space="preserve">’s compliance with the </w:t>
      </w:r>
      <w:r w:rsidR="00E670F6" w:rsidRPr="00E670F6">
        <w:t xml:space="preserve">Commission’s </w:t>
      </w:r>
      <w:r w:rsidR="00E670F6">
        <w:t xml:space="preserve">TRS </w:t>
      </w:r>
      <w:r w:rsidR="00E670F6" w:rsidRPr="00E670F6">
        <w:t>rules and orders</w:t>
      </w:r>
      <w:r w:rsidR="00D57489">
        <w:t>.</w:t>
      </w:r>
      <w:r w:rsidR="00D57489">
        <w:rPr>
          <w:rStyle w:val="FootnoteReference"/>
        </w:rPr>
        <w:footnoteReference w:id="8"/>
      </w:r>
      <w:r w:rsidR="00D57489">
        <w:t xml:space="preserve">  The Bureau stressed that </w:t>
      </w:r>
      <w:r w:rsidR="00773506">
        <w:t>InnoCaption</w:t>
      </w:r>
      <w:r w:rsidR="00D57489">
        <w:t xml:space="preserve"> must </w:t>
      </w:r>
      <w:r w:rsidR="003C214A">
        <w:t>“</w:t>
      </w:r>
      <w:r w:rsidR="00D57489">
        <w:t>report promptly any changes in the information previously provided to the Commission in its application and supplemental filings.”</w:t>
      </w:r>
      <w:r w:rsidR="00D57489">
        <w:rPr>
          <w:rStyle w:val="FootnoteReference"/>
        </w:rPr>
        <w:footnoteReference w:id="9"/>
      </w:r>
      <w:r w:rsidR="00370158" w:rsidRPr="00370158">
        <w:t xml:space="preserve"> </w:t>
      </w:r>
    </w:p>
    <w:p w:rsidR="00A71487" w:rsidRDefault="00A71487" w:rsidP="00A71487">
      <w:pPr>
        <w:pStyle w:val="Heading2"/>
      </w:pPr>
      <w:r>
        <w:lastRenderedPageBreak/>
        <w:t>The Commission’s 911 Call Handling Requirements</w:t>
      </w:r>
    </w:p>
    <w:p w:rsidR="00503F33" w:rsidRDefault="00F91FE5" w:rsidP="003313D0">
      <w:pPr>
        <w:pStyle w:val="ParaNum"/>
        <w:widowControl/>
      </w:pPr>
      <w:r>
        <w:t>Congress has made emergency services a national priority, and t</w:t>
      </w:r>
      <w:r w:rsidR="002A70FE" w:rsidRPr="002A70FE">
        <w:t>he Commission repeatedly has emphasized the critical importance of access to 911 emergency services</w:t>
      </w:r>
      <w:r w:rsidR="00FD6663">
        <w:t>,</w:t>
      </w:r>
      <w:r w:rsidR="00FD6663">
        <w:rPr>
          <w:rStyle w:val="FootnoteReference"/>
        </w:rPr>
        <w:footnoteReference w:id="10"/>
      </w:r>
      <w:r w:rsidR="00FD6663">
        <w:t xml:space="preserve"> </w:t>
      </w:r>
      <w:r w:rsidR="00FD6663" w:rsidRPr="00FD6663">
        <w:t>including in the specific context of TRS.</w:t>
      </w:r>
      <w:r w:rsidR="00FD6663" w:rsidRPr="00FD6663">
        <w:rPr>
          <w:vertAlign w:val="superscript"/>
        </w:rPr>
        <w:footnoteReference w:id="11"/>
      </w:r>
      <w:r w:rsidR="00FD6663" w:rsidRPr="00FD6663">
        <w:t xml:space="preserve">  </w:t>
      </w:r>
      <w:r w:rsidR="00E94D44">
        <w:t xml:space="preserve">Under the Commission’s rules, all </w:t>
      </w:r>
      <w:r w:rsidR="00E94D44" w:rsidRPr="00E94D44">
        <w:t>TRS providers must be capable of handling any type</w:t>
      </w:r>
      <w:r w:rsidR="00E94D44">
        <w:t xml:space="preserve"> </w:t>
      </w:r>
      <w:r w:rsidR="00E94D44" w:rsidRPr="00E94D44">
        <w:t>of call normally provided by telecommunications carriers, including 911 calls, unless the Commission</w:t>
      </w:r>
      <w:r w:rsidR="00E94D44">
        <w:t xml:space="preserve"> </w:t>
      </w:r>
      <w:r w:rsidR="00E94D44" w:rsidRPr="00E94D44">
        <w:t>determines that it is not technologically feasible to do so.</w:t>
      </w:r>
      <w:r w:rsidR="00E94D44">
        <w:rPr>
          <w:rStyle w:val="FootnoteReference"/>
        </w:rPr>
        <w:footnoteReference w:id="12"/>
      </w:r>
      <w:r w:rsidR="00E94D44">
        <w:t xml:space="preserve"> </w:t>
      </w:r>
      <w:r w:rsidR="001F4AC3">
        <w:t xml:space="preserve"> </w:t>
      </w:r>
      <w:r w:rsidR="00503F33">
        <w:t>Further, t</w:t>
      </w:r>
      <w:r w:rsidR="00590A25">
        <w:t>he Commission’s TRS rules</w:t>
      </w:r>
      <w:r w:rsidR="002A70FE" w:rsidRPr="002A70FE">
        <w:t xml:space="preserve"> establish specific </w:t>
      </w:r>
      <w:r w:rsidR="00C64758">
        <w:t xml:space="preserve">call handling </w:t>
      </w:r>
      <w:r w:rsidR="002A70FE" w:rsidRPr="002A70FE">
        <w:t xml:space="preserve">requirements for the processing and routing of </w:t>
      </w:r>
      <w:r w:rsidR="00503F33">
        <w:t xml:space="preserve">911 </w:t>
      </w:r>
      <w:r w:rsidR="002A70FE" w:rsidRPr="002A70FE">
        <w:t xml:space="preserve">calls by providers of </w:t>
      </w:r>
      <w:r w:rsidR="00C64758" w:rsidRPr="00C64758">
        <w:t>certain Internet-based forms of TRS,</w:t>
      </w:r>
      <w:r w:rsidR="00C64758" w:rsidRPr="00C64758">
        <w:rPr>
          <w:vertAlign w:val="superscript"/>
        </w:rPr>
        <w:footnoteReference w:id="13"/>
      </w:r>
      <w:r w:rsidR="00C64758" w:rsidRPr="00C64758">
        <w:t xml:space="preserve"> including </w:t>
      </w:r>
      <w:r w:rsidR="00590A25">
        <w:t xml:space="preserve">forms of </w:t>
      </w:r>
      <w:r w:rsidR="00C64758" w:rsidRPr="00C64758">
        <w:t xml:space="preserve">IP CTS </w:t>
      </w:r>
      <w:r w:rsidR="00C64758">
        <w:t>that</w:t>
      </w:r>
      <w:r w:rsidR="00C64758" w:rsidRPr="00C64758">
        <w:t xml:space="preserve"> </w:t>
      </w:r>
      <w:r w:rsidR="00272779">
        <w:t xml:space="preserve">allow </w:t>
      </w:r>
      <w:r w:rsidR="00272779" w:rsidRPr="00272779">
        <w:t>users to initiate calls by contacting providers over the Internet</w:t>
      </w:r>
      <w:r w:rsidR="00C64758" w:rsidRPr="00C64758">
        <w:t>.</w:t>
      </w:r>
      <w:r w:rsidR="00C64758" w:rsidRPr="00C64758">
        <w:rPr>
          <w:vertAlign w:val="superscript"/>
        </w:rPr>
        <w:footnoteReference w:id="14"/>
      </w:r>
      <w:r w:rsidR="00C64758" w:rsidRPr="00C64758">
        <w:t xml:space="preserve"> </w:t>
      </w:r>
      <w:r w:rsidR="00C64758">
        <w:t xml:space="preserve"> </w:t>
      </w:r>
    </w:p>
    <w:p w:rsidR="002A70FE" w:rsidRDefault="002A70FE" w:rsidP="003313D0">
      <w:pPr>
        <w:pStyle w:val="ParaNum"/>
        <w:widowControl/>
      </w:pPr>
      <w:r w:rsidRPr="002A70FE">
        <w:t xml:space="preserve">Specifically, </w:t>
      </w:r>
      <w:r w:rsidR="00503F33">
        <w:t xml:space="preserve">providers of </w:t>
      </w:r>
      <w:r w:rsidRPr="002A70FE">
        <w:t xml:space="preserve">such </w:t>
      </w:r>
      <w:r w:rsidR="00503F33">
        <w:t xml:space="preserve">web or wireless based forms of IP CTS </w:t>
      </w:r>
      <w:r w:rsidRPr="002A70FE">
        <w:t xml:space="preserve">must accept and handle </w:t>
      </w:r>
      <w:r w:rsidR="00503F33">
        <w:t>911</w:t>
      </w:r>
      <w:r w:rsidRPr="002A70FE">
        <w:t xml:space="preserve"> calls, give them priority over other calls, route them to an appropriate public safety answering point (PSAP) or other appropriate answering point or local emergency authority corresponding to the caller’s location, and deliver specified name, location, and callback information to the PSAP.</w:t>
      </w:r>
      <w:r w:rsidRPr="002A70FE">
        <w:rPr>
          <w:vertAlign w:val="superscript"/>
        </w:rPr>
        <w:footnoteReference w:id="15"/>
      </w:r>
      <w:r w:rsidRPr="002A70FE">
        <w:t xml:space="preserve">  When an IP CTS provider handles a 911 call from an Internet-based TRS user, the provider must, among other things: (1) access, either directly or via a third party, a commercially available database that will allow the provider to determine an appropriate PSAP, statewide default answering point, or appropriate local emergency authority</w:t>
      </w:r>
      <w:r w:rsidR="002A3E25">
        <w:t>,</w:t>
      </w:r>
      <w:r w:rsidRPr="002A70FE">
        <w:t xml:space="preserve"> and to relay the call to that entity; (2) request, at the beginning of the call, the </w:t>
      </w:r>
      <w:r w:rsidR="00FE10B0">
        <w:t>user</w:t>
      </w:r>
      <w:r w:rsidRPr="002A70FE">
        <w:t xml:space="preserve">’s name and </w:t>
      </w:r>
      <w:r w:rsidR="00FE10B0">
        <w:t xml:space="preserve">the </w:t>
      </w:r>
      <w:r w:rsidRPr="002A70FE">
        <w:t xml:space="preserve">location </w:t>
      </w:r>
      <w:r w:rsidR="00FE10B0">
        <w:t>of the emergency</w:t>
      </w:r>
      <w:r w:rsidRPr="002A70FE">
        <w:t xml:space="preserve">; and (3) deliver to the PSAP or other appropriate entity such name and location information, as well as the provider’s name, the </w:t>
      </w:r>
      <w:r w:rsidR="00FE10B0">
        <w:t>Communications Assistant</w:t>
      </w:r>
      <w:r w:rsidRPr="002A70FE">
        <w:t xml:space="preserve">’s </w:t>
      </w:r>
      <w:r w:rsidR="00FE10B0">
        <w:t xml:space="preserve">(CA) </w:t>
      </w:r>
      <w:r w:rsidRPr="002A70FE">
        <w:t>callback number, and the CA’s identification number, at the outset of the outbound leg of an emergency call.</w:t>
      </w:r>
      <w:r w:rsidRPr="002A70FE">
        <w:rPr>
          <w:vertAlign w:val="superscript"/>
        </w:rPr>
        <w:footnoteReference w:id="16"/>
      </w:r>
    </w:p>
    <w:p w:rsidR="00A71487" w:rsidRDefault="00A71487" w:rsidP="00A71487">
      <w:pPr>
        <w:pStyle w:val="Heading2"/>
      </w:pPr>
      <w:r>
        <w:t>Issues with InnoCaption’s Handling of 911 Calls</w:t>
      </w:r>
    </w:p>
    <w:p w:rsidR="00545745" w:rsidRDefault="00F31E62" w:rsidP="00370158">
      <w:pPr>
        <w:pStyle w:val="ParaNum"/>
      </w:pPr>
      <w:r w:rsidRPr="00F31E62">
        <w:t>In its certification application, InnoCaption represented that it would provide IP CTS in compliance with all minimum TRS standards, including the rules on handling 911 calls.</w:t>
      </w:r>
      <w:r w:rsidRPr="00F31E62">
        <w:rPr>
          <w:vertAlign w:val="superscript"/>
        </w:rPr>
        <w:footnoteReference w:id="17"/>
      </w:r>
      <w:r w:rsidRPr="00F31E62">
        <w:t xml:space="preserve">  </w:t>
      </w:r>
      <w:r w:rsidR="00A43866">
        <w:t>O</w:t>
      </w:r>
      <w:r w:rsidR="00A71487">
        <w:t>n September</w:t>
      </w:r>
      <w:r w:rsidR="00A43866">
        <w:t xml:space="preserve"> </w:t>
      </w:r>
      <w:r w:rsidR="0072771C">
        <w:t xml:space="preserve">12 and 19, </w:t>
      </w:r>
      <w:r w:rsidR="00A71487">
        <w:t xml:space="preserve">2014, the Bureau conducted test calls to determine </w:t>
      </w:r>
      <w:r w:rsidR="00A43866">
        <w:t>InnoCaption’s</w:t>
      </w:r>
      <w:r w:rsidR="00A71487">
        <w:t xml:space="preserve"> compliance with the </w:t>
      </w:r>
      <w:r w:rsidR="00A71487" w:rsidRPr="002B4171">
        <w:t>911 emergency call handling requirements</w:t>
      </w:r>
      <w:r w:rsidR="00A71487">
        <w:t xml:space="preserve">.  </w:t>
      </w:r>
      <w:r w:rsidR="00C63B60" w:rsidRPr="00A839C2">
        <w:t>When the Bureau</w:t>
      </w:r>
      <w:r w:rsidR="009D0740">
        <w:t>’s</w:t>
      </w:r>
      <w:r w:rsidR="00C63B60" w:rsidRPr="00A839C2">
        <w:t xml:space="preserve"> test</w:t>
      </w:r>
      <w:r w:rsidR="009D0740">
        <w:t>er</w:t>
      </w:r>
      <w:r w:rsidR="00C63B60" w:rsidRPr="00A839C2">
        <w:t xml:space="preserve"> called 911 </w:t>
      </w:r>
      <w:r w:rsidR="0057184F">
        <w:t xml:space="preserve">using </w:t>
      </w:r>
      <w:r w:rsidR="00C63B60" w:rsidRPr="00A839C2">
        <w:t>InnoCaption</w:t>
      </w:r>
      <w:r w:rsidR="0057184F">
        <w:t>’s</w:t>
      </w:r>
      <w:r w:rsidR="00C63B60" w:rsidRPr="00A839C2">
        <w:t xml:space="preserve"> application, the application produced a pop-up that said that 911 was not </w:t>
      </w:r>
      <w:r w:rsidR="0057184F">
        <w:t>supported</w:t>
      </w:r>
      <w:r w:rsidR="00C63B60" w:rsidRPr="00A839C2">
        <w:t xml:space="preserve">.  </w:t>
      </w:r>
      <w:r w:rsidR="009C0C6E" w:rsidRPr="009C0C6E">
        <w:t xml:space="preserve">On September 25, the </w:t>
      </w:r>
      <w:r w:rsidR="008E434A">
        <w:t xml:space="preserve">Commission </w:t>
      </w:r>
      <w:r w:rsidR="009C0C6E" w:rsidRPr="009C0C6E">
        <w:t xml:space="preserve">notified InnoCaption that it had discovered in its testing that InnoCaption was not providing any 911 service and </w:t>
      </w:r>
      <w:r w:rsidR="00DC4E43">
        <w:t>that</w:t>
      </w:r>
      <w:r w:rsidR="009C0C6E" w:rsidRPr="009C0C6E">
        <w:t xml:space="preserve"> the </w:t>
      </w:r>
      <w:r w:rsidR="00A839C2">
        <w:t>TRS Fund a</w:t>
      </w:r>
      <w:r w:rsidR="009C0C6E" w:rsidRPr="009C0C6E">
        <w:t xml:space="preserve">dministrator </w:t>
      </w:r>
      <w:r w:rsidR="00DC4E43">
        <w:t xml:space="preserve">was being directed </w:t>
      </w:r>
      <w:r w:rsidR="009C0C6E" w:rsidRPr="009C0C6E">
        <w:t xml:space="preserve">to withhold </w:t>
      </w:r>
      <w:r w:rsidR="00A71487">
        <w:t xml:space="preserve">compensation </w:t>
      </w:r>
      <w:r w:rsidR="009C0C6E" w:rsidRPr="009C0C6E">
        <w:t>payments until further notice.</w:t>
      </w:r>
      <w:r w:rsidR="009F2BB1">
        <w:rPr>
          <w:rStyle w:val="FootnoteReference"/>
        </w:rPr>
        <w:footnoteReference w:id="18"/>
      </w:r>
      <w:r w:rsidR="009F2BB1">
        <w:t xml:space="preserve"> </w:t>
      </w:r>
      <w:r w:rsidR="00575EE0">
        <w:t xml:space="preserve"> The </w:t>
      </w:r>
      <w:r w:rsidR="008E434A">
        <w:t xml:space="preserve">Commission </w:t>
      </w:r>
      <w:r w:rsidR="00575EE0">
        <w:t xml:space="preserve">also directed InnoCaption to provide a warning on its website </w:t>
      </w:r>
      <w:r w:rsidR="00767A9D">
        <w:t xml:space="preserve">and in its promotional materials </w:t>
      </w:r>
      <w:r w:rsidR="00575EE0">
        <w:t>stating that 911 calling was not available</w:t>
      </w:r>
      <w:r w:rsidR="00767A9D">
        <w:t xml:space="preserve"> and </w:t>
      </w:r>
      <w:r w:rsidR="008E434A" w:rsidRPr="005F5C0A">
        <w:t>“to immediately send a notification to all registered users warning them that the service does not currently allow 911 calling.”</w:t>
      </w:r>
      <w:r w:rsidR="00575EE0" w:rsidRPr="00767A9D">
        <w:rPr>
          <w:rStyle w:val="FootnoteReference"/>
        </w:rPr>
        <w:footnoteReference w:id="19"/>
      </w:r>
      <w:r w:rsidR="00575EE0">
        <w:t xml:space="preserve"> </w:t>
      </w:r>
    </w:p>
    <w:p w:rsidR="00C63B60" w:rsidRDefault="004E0970" w:rsidP="00DF71A2">
      <w:pPr>
        <w:pStyle w:val="ParaNum"/>
      </w:pPr>
      <w:r>
        <w:t>InnoCaption responded on October 6, 2014.</w:t>
      </w:r>
      <w:r>
        <w:rPr>
          <w:rStyle w:val="FootnoteReference"/>
        </w:rPr>
        <w:footnoteReference w:id="20"/>
      </w:r>
      <w:r>
        <w:t xml:space="preserve">  </w:t>
      </w:r>
      <w:r w:rsidR="00545745">
        <w:t>According to</w:t>
      </w:r>
      <w:r>
        <w:t xml:space="preserve"> </w:t>
      </w:r>
      <w:r w:rsidR="00545745">
        <w:t xml:space="preserve">InnoCaption’s </w:t>
      </w:r>
      <w:r>
        <w:t>response</w:t>
      </w:r>
      <w:r w:rsidR="00545745">
        <w:t xml:space="preserve"> letter</w:t>
      </w:r>
      <w:r>
        <w:t xml:space="preserve">, InnoCaption had been assured by its </w:t>
      </w:r>
      <w:r w:rsidR="00545745">
        <w:t xml:space="preserve">VoIP service provider that 911 calls were </w:t>
      </w:r>
      <w:r w:rsidR="00545745" w:rsidRPr="00F5631F">
        <w:t xml:space="preserve">supported and had successfully tested 911 from its headquarters </w:t>
      </w:r>
      <w:r w:rsidR="007F028F">
        <w:t>at an unspecified time</w:t>
      </w:r>
      <w:r w:rsidR="00AA2A99">
        <w:t xml:space="preserve"> </w:t>
      </w:r>
      <w:r w:rsidR="00545745" w:rsidRPr="00F5631F">
        <w:t xml:space="preserve">prior to the </w:t>
      </w:r>
      <w:r w:rsidR="002A3E25">
        <w:t xml:space="preserve">conditional </w:t>
      </w:r>
      <w:r w:rsidR="00545745" w:rsidRPr="00F5631F">
        <w:t>grant of its certification application.</w:t>
      </w:r>
      <w:r w:rsidR="00545745" w:rsidRPr="00F5631F">
        <w:rPr>
          <w:rStyle w:val="FootnoteReference"/>
        </w:rPr>
        <w:footnoteReference w:id="21"/>
      </w:r>
      <w:r w:rsidR="00545745" w:rsidRPr="00F5631F">
        <w:t xml:space="preserve">  </w:t>
      </w:r>
      <w:r w:rsidR="00312C6B">
        <w:t>B</w:t>
      </w:r>
      <w:r w:rsidR="00DF71A2" w:rsidRPr="00F5631F">
        <w:t>efore</w:t>
      </w:r>
      <w:r w:rsidR="00DF71A2" w:rsidRPr="00DF71A2">
        <w:t xml:space="preserve"> </w:t>
      </w:r>
      <w:r w:rsidR="00DF71A2">
        <w:t>commencing</w:t>
      </w:r>
      <w:r w:rsidR="00DF71A2" w:rsidRPr="00DF71A2">
        <w:t xml:space="preserve"> service</w:t>
      </w:r>
      <w:r w:rsidR="00DF71A2">
        <w:t>, however, InnoCaption</w:t>
      </w:r>
      <w:r w:rsidR="00DF71A2" w:rsidRPr="00DF71A2">
        <w:t xml:space="preserve"> learned that its VoIP provider and the 911 provider for its VoIP service could not route 911 calls to the appropriate PSAP.</w:t>
      </w:r>
      <w:r w:rsidR="00DF71A2">
        <w:rPr>
          <w:rStyle w:val="FootnoteReference"/>
        </w:rPr>
        <w:footnoteReference w:id="22"/>
      </w:r>
      <w:r w:rsidR="00DF71A2" w:rsidRPr="00DF71A2">
        <w:t xml:space="preserve">  InnoCaption </w:t>
      </w:r>
      <w:r w:rsidR="00DF71A2">
        <w:t xml:space="preserve">acknowledged that it </w:t>
      </w:r>
      <w:r w:rsidR="00DF71A2" w:rsidRPr="00DF71A2">
        <w:t xml:space="preserve">launched its product </w:t>
      </w:r>
      <w:r w:rsidR="000D366C">
        <w:t>nevertheless, stating</w:t>
      </w:r>
      <w:r w:rsidR="00DF71A2">
        <w:t xml:space="preserve"> that</w:t>
      </w:r>
      <w:r w:rsidR="00545745">
        <w:t xml:space="preserve"> it “</w:t>
      </w:r>
      <w:r w:rsidR="00545745" w:rsidRPr="00545745">
        <w:t>placed an advisory on its web site to advise that 911was not currently supported</w:t>
      </w:r>
      <w:r w:rsidR="00545745">
        <w:t xml:space="preserve">[,] </w:t>
      </w:r>
      <w:r w:rsidR="00545745" w:rsidRPr="00545745">
        <w:t>temporarily intercepted any 911 calls made to advise the consumer to place the call using the regular cellular network</w:t>
      </w:r>
      <w:r w:rsidR="00545745">
        <w:t>[, and]</w:t>
      </w:r>
      <w:r w:rsidR="00545745" w:rsidRPr="00545745">
        <w:t xml:space="preserve"> proceeded to modify its backend operation to effect the routing of 911 calls to the appropriate public safety answering points without reliance on its VOIP provider.</w:t>
      </w:r>
      <w:r w:rsidR="00545745">
        <w:t>”</w:t>
      </w:r>
      <w:r w:rsidR="00545745">
        <w:rPr>
          <w:rStyle w:val="FootnoteReference"/>
        </w:rPr>
        <w:footnoteReference w:id="23"/>
      </w:r>
      <w:r w:rsidR="00545745">
        <w:t xml:space="preserve">  </w:t>
      </w:r>
      <w:r w:rsidR="009634D3">
        <w:t>InnoCaption added that “</w:t>
      </w:r>
      <w:r w:rsidR="009634D3" w:rsidRPr="009634D3">
        <w:t>911 service was restored on September 6, 2014</w:t>
      </w:r>
      <w:r w:rsidR="009634D3">
        <w:t>,” and that</w:t>
      </w:r>
      <w:r w:rsidR="009634D3" w:rsidRPr="009634D3">
        <w:t xml:space="preserve"> </w:t>
      </w:r>
      <w:r w:rsidR="009634D3">
        <w:t>it</w:t>
      </w:r>
      <w:r w:rsidR="009634D3" w:rsidRPr="009634D3">
        <w:t xml:space="preserve"> </w:t>
      </w:r>
      <w:r w:rsidR="009634D3">
        <w:t>“</w:t>
      </w:r>
      <w:r w:rsidR="009634D3" w:rsidRPr="009634D3">
        <w:t>confirmed the availability of 911 service through a series of test calls.</w:t>
      </w:r>
      <w:r w:rsidR="009634D3">
        <w:t>”</w:t>
      </w:r>
      <w:r w:rsidR="009634D3">
        <w:rPr>
          <w:rStyle w:val="FootnoteReference"/>
        </w:rPr>
        <w:footnoteReference w:id="24"/>
      </w:r>
      <w:r w:rsidR="009634D3">
        <w:t xml:space="preserve">  Therefore, InnoCaption “</w:t>
      </w:r>
      <w:r w:rsidR="009634D3" w:rsidRPr="009634D3">
        <w:t>respectfully suggested that (1) the need for any additional warning to subscribers is mooted, (2) would cause confusion, and (3) would mislead any consumer needing to use InnoCaption to place a 911 call.</w:t>
      </w:r>
      <w:r w:rsidR="00DF71A2">
        <w:t>”  Finally, InnoCaption “</w:t>
      </w:r>
      <w:r w:rsidR="00DF71A2" w:rsidRPr="00DF71A2">
        <w:t>request</w:t>
      </w:r>
      <w:r w:rsidR="00DF71A2">
        <w:t>[ed]</w:t>
      </w:r>
      <w:r w:rsidR="00DF71A2" w:rsidRPr="00DF71A2">
        <w:t xml:space="preserve"> the Commission or TRS Administrator to make additional test calls to verify that InnoCaption’s 911 service is restored</w:t>
      </w:r>
      <w:r w:rsidR="00DF71A2">
        <w:t>.”</w:t>
      </w:r>
      <w:r w:rsidR="00DF71A2">
        <w:rPr>
          <w:rStyle w:val="FootnoteReference"/>
        </w:rPr>
        <w:footnoteReference w:id="25"/>
      </w:r>
      <w:r w:rsidR="00DF71A2" w:rsidRPr="00DF71A2">
        <w:t xml:space="preserve"> </w:t>
      </w:r>
      <w:r w:rsidR="00DF71A2">
        <w:t xml:space="preserve"> </w:t>
      </w:r>
    </w:p>
    <w:p w:rsidR="004E2163" w:rsidRDefault="004E2163" w:rsidP="00370158">
      <w:pPr>
        <w:pStyle w:val="ParaNum"/>
      </w:pPr>
      <w:r w:rsidRPr="004E2163">
        <w:t>On October 8, 2014, pursuant to section 64.604(c)(5)(iii)(L)(</w:t>
      </w:r>
      <w:r w:rsidRPr="004E2163">
        <w:rPr>
          <w:i/>
        </w:rPr>
        <w:t>2</w:t>
      </w:r>
      <w:r w:rsidRPr="004E2163">
        <w:t>) of the Commission’s rules,</w:t>
      </w:r>
      <w:r w:rsidRPr="004E2163">
        <w:rPr>
          <w:vertAlign w:val="superscript"/>
        </w:rPr>
        <w:footnoteReference w:id="26"/>
      </w:r>
      <w:r w:rsidRPr="004E2163">
        <w:t xml:space="preserve"> the </w:t>
      </w:r>
      <w:r w:rsidR="00FE10B0">
        <w:t>TRS Fund a</w:t>
      </w:r>
      <w:r w:rsidRPr="004E2163">
        <w:t>dministrator</w:t>
      </w:r>
      <w:r w:rsidR="00B637C6">
        <w:t>, Rolka Loube,</w:t>
      </w:r>
      <w:r w:rsidRPr="004E2163">
        <w:t xml:space="preserve"> notified InnoCaption of its decision to withhold compensation </w:t>
      </w:r>
      <w:r w:rsidR="00B637C6">
        <w:t>for InnoCaption’s August 2014 minutes</w:t>
      </w:r>
      <w:r w:rsidRPr="004E2163">
        <w:t xml:space="preserve"> based on information from the Commission regarding test calls</w:t>
      </w:r>
      <w:r w:rsidR="00A43866">
        <w:t xml:space="preserve"> made on September </w:t>
      </w:r>
      <w:r w:rsidR="0045242D" w:rsidRPr="0045242D">
        <w:t>12 and 19</w:t>
      </w:r>
      <w:r w:rsidR="00A43866" w:rsidRPr="0045242D">
        <w:t>,</w:t>
      </w:r>
      <w:r w:rsidR="00A43866">
        <w:t xml:space="preserve"> 2014</w:t>
      </w:r>
      <w:r w:rsidRPr="004E2163">
        <w:t xml:space="preserve"> showing that InnoCaption’s IP CTS services “were not working in compliance with 47 C.F.R. 65.605.”</w:t>
      </w:r>
      <w:r w:rsidRPr="004E2163">
        <w:rPr>
          <w:vertAlign w:val="superscript"/>
        </w:rPr>
        <w:footnoteReference w:id="27"/>
      </w:r>
      <w:r w:rsidRPr="004E2163">
        <w:t xml:space="preserve">  In addition, </w:t>
      </w:r>
      <w:r w:rsidR="008819B8">
        <w:t>Rolka Loube</w:t>
      </w:r>
      <w:r w:rsidRPr="004E2163">
        <w:t xml:space="preserve"> stated that it “will not continue to issue reimbursements for IP CTS service . . . until several matters have been adequately addressed to the satisfaction of the Administrator and the FCC.”</w:t>
      </w:r>
      <w:r w:rsidRPr="004E2163">
        <w:rPr>
          <w:vertAlign w:val="superscript"/>
        </w:rPr>
        <w:footnoteReference w:id="28"/>
      </w:r>
      <w:r w:rsidRPr="004E2163">
        <w:t xml:space="preserve">  In this regard, </w:t>
      </w:r>
      <w:r w:rsidR="008819B8" w:rsidRPr="008819B8">
        <w:t xml:space="preserve">Rolka Loube </w:t>
      </w:r>
      <w:r w:rsidRPr="004E2163">
        <w:t>requested that InnoCaption provide information about its IP CTS service, including “all records of calls completed . . . using the web and wireless based applications that do not support calls to emergency 911 services,” and, if InnoCaption claimed that noncompliance “was the result of a temporary condition, identify the condition and its duration (start and end) as well as the measures implemented to correct the condition including the completion date.”</w:t>
      </w:r>
      <w:r w:rsidRPr="004E2163">
        <w:rPr>
          <w:vertAlign w:val="superscript"/>
        </w:rPr>
        <w:footnoteReference w:id="29"/>
      </w:r>
      <w:r w:rsidRPr="004E2163">
        <w:t xml:space="preserve">  </w:t>
      </w:r>
      <w:r w:rsidR="008819B8" w:rsidRPr="008819B8">
        <w:t xml:space="preserve">Rolka Loube </w:t>
      </w:r>
      <w:r w:rsidRPr="004E2163">
        <w:t xml:space="preserve">informed InnoCaption that, in accordance with section 64.604(c)(5)(iii)(L) of the Commission’s rules, InnoCaption could submit additional justification for payments of the minutes of use in dispute within two months of </w:t>
      </w:r>
      <w:r w:rsidR="008819B8" w:rsidRPr="008819B8">
        <w:t>Rolka Loube</w:t>
      </w:r>
      <w:r w:rsidRPr="004E2163">
        <w:t>’s October 10, 2014 letter.</w:t>
      </w:r>
      <w:r w:rsidRPr="004E2163">
        <w:rPr>
          <w:vertAlign w:val="superscript"/>
        </w:rPr>
        <w:footnoteReference w:id="30"/>
      </w:r>
    </w:p>
    <w:p w:rsidR="00370158" w:rsidRDefault="000D366C" w:rsidP="000D366C">
      <w:pPr>
        <w:pStyle w:val="ParaNum"/>
      </w:pPr>
      <w:r>
        <w:t>In response to the Rolka Loube letter and a subsequent notification</w:t>
      </w:r>
      <w:r w:rsidR="00A839C2">
        <w:t>,</w:t>
      </w:r>
      <w:r>
        <w:rPr>
          <w:rStyle w:val="FootnoteReference"/>
        </w:rPr>
        <w:footnoteReference w:id="31"/>
      </w:r>
      <w:r w:rsidR="00A839C2">
        <w:t xml:space="preserve"> InnoCaption </w:t>
      </w:r>
      <w:r w:rsidR="0089687D">
        <w:t>submitt</w:t>
      </w:r>
      <w:r w:rsidR="006A00D9">
        <w:t>ed</w:t>
      </w:r>
      <w:r w:rsidR="0089687D">
        <w:t xml:space="preserve"> additional justification for its compensation request </w:t>
      </w:r>
      <w:r w:rsidR="00DF71A2" w:rsidRPr="00DF71A2">
        <w:t>and provided additional information regarding its 911 service</w:t>
      </w:r>
      <w:r>
        <w:t xml:space="preserve"> issues</w:t>
      </w:r>
      <w:r w:rsidR="00A839C2">
        <w:t>.</w:t>
      </w:r>
      <w:r w:rsidR="00A839C2" w:rsidRPr="00A71487">
        <w:rPr>
          <w:vertAlign w:val="superscript"/>
        </w:rPr>
        <w:footnoteReference w:id="32"/>
      </w:r>
      <w:r w:rsidR="00A839C2">
        <w:t xml:space="preserve">  </w:t>
      </w:r>
      <w:r w:rsidR="00370158">
        <w:t xml:space="preserve">InnoCaption </w:t>
      </w:r>
      <w:r w:rsidR="00A839C2">
        <w:t>acknowledged</w:t>
      </w:r>
      <w:r w:rsidR="00370158">
        <w:t xml:space="preserve"> that it did not offer 911 service between June </w:t>
      </w:r>
      <w:r w:rsidR="0045242D">
        <w:t>11</w:t>
      </w:r>
      <w:r w:rsidR="00370158">
        <w:t>, 2014 and September 5, 2014</w:t>
      </w:r>
      <w:r w:rsidR="0045242D">
        <w:t>, and InnoCaption stated that it would reimburse the TRS Fund for monies paid during this period.</w:t>
      </w:r>
      <w:r w:rsidR="00370158">
        <w:t>.</w:t>
      </w:r>
      <w:r w:rsidR="00370158">
        <w:rPr>
          <w:rStyle w:val="FootnoteReference"/>
        </w:rPr>
        <w:footnoteReference w:id="33"/>
      </w:r>
      <w:r w:rsidR="00370158">
        <w:t xml:space="preserve">   </w:t>
      </w:r>
      <w:r w:rsidR="00A65BDE">
        <w:t xml:space="preserve">InnoCaption asserted that </w:t>
      </w:r>
      <w:r w:rsidR="009D7356">
        <w:t xml:space="preserve">it is entitled to receive compensation, however, for </w:t>
      </w:r>
      <w:r w:rsidR="009F6332">
        <w:t>service provided on or after September 6, 2014.</w:t>
      </w:r>
      <w:r w:rsidR="00960BB6">
        <w:rPr>
          <w:rStyle w:val="FootnoteReference"/>
        </w:rPr>
        <w:footnoteReference w:id="34"/>
      </w:r>
      <w:r w:rsidR="009F6332">
        <w:t xml:space="preserve">  </w:t>
      </w:r>
      <w:r w:rsidR="00370158">
        <w:t xml:space="preserve">By </w:t>
      </w:r>
      <w:r w:rsidR="009F6332">
        <w:t>that date</w:t>
      </w:r>
      <w:r w:rsidR="00370158">
        <w:t>, InnoCaption stated</w:t>
      </w:r>
      <w:r w:rsidR="002F19B4">
        <w:t>,</w:t>
      </w:r>
      <w:r w:rsidR="00370158">
        <w:t xml:space="preserve"> it had developed a solution “which allowed InnoCaption itself to route 911 calls to the appropriate PSAP</w:t>
      </w:r>
      <w:r w:rsidR="005E1F54">
        <w:t>.</w:t>
      </w:r>
      <w:r w:rsidR="00370158">
        <w:t>”</w:t>
      </w:r>
      <w:r w:rsidR="008466B2" w:rsidRPr="008466B2">
        <w:rPr>
          <w:vertAlign w:val="superscript"/>
        </w:rPr>
        <w:footnoteReference w:id="35"/>
      </w:r>
      <w:r w:rsidR="005E1F54">
        <w:t xml:space="preserve">  </w:t>
      </w:r>
      <w:r w:rsidR="00370158">
        <w:t xml:space="preserve">InnoCaption explained that it </w:t>
      </w:r>
      <w:r w:rsidR="005E1F54">
        <w:t xml:space="preserve">arranged to </w:t>
      </w:r>
      <w:r w:rsidR="00370158">
        <w:t xml:space="preserve">route 911 calls using a database purchased </w:t>
      </w:r>
      <w:r w:rsidR="00B333A5">
        <w:t xml:space="preserve">from a third party </w:t>
      </w:r>
      <w:r w:rsidR="00370158">
        <w:t xml:space="preserve">and that, </w:t>
      </w:r>
      <w:r w:rsidR="005E1F54">
        <w:t xml:space="preserve">after a patch was downloaded to users’ </w:t>
      </w:r>
      <w:r w:rsidR="00370158">
        <w:t>IP CTS application</w:t>
      </w:r>
      <w:r w:rsidR="005E1F54">
        <w:t>s, InnoCaption was able to</w:t>
      </w:r>
      <w:r w:rsidR="00370158">
        <w:t xml:space="preserve"> route 911 calls “to the correct PSAP based off of the . . . numbers listed in [</w:t>
      </w:r>
      <w:r w:rsidR="00B333A5">
        <w:t xml:space="preserve">the] </w:t>
      </w:r>
      <w:r w:rsidR="00370158">
        <w:t>database for each PSAP.”</w:t>
      </w:r>
      <w:r w:rsidR="00370158">
        <w:rPr>
          <w:rStyle w:val="FootnoteReference"/>
        </w:rPr>
        <w:footnoteReference w:id="36"/>
      </w:r>
      <w:r w:rsidR="00370158">
        <w:t xml:space="preserve"> </w:t>
      </w:r>
      <w:r w:rsidR="005E1F54">
        <w:t xml:space="preserve"> </w:t>
      </w:r>
      <w:r w:rsidR="00256233">
        <w:t>I</w:t>
      </w:r>
      <w:r w:rsidR="00370158">
        <w:t>nnoCaption stated that it directed its users to download the patch on September 12 and 13, 2014.</w:t>
      </w:r>
      <w:r w:rsidR="00370158">
        <w:rPr>
          <w:rStyle w:val="FootnoteReference"/>
        </w:rPr>
        <w:footnoteReference w:id="37"/>
      </w:r>
      <w:r w:rsidR="00370158">
        <w:t xml:space="preserve"> </w:t>
      </w:r>
      <w:r w:rsidR="00175DB9">
        <w:t xml:space="preserve"> </w:t>
      </w:r>
      <w:r w:rsidR="00C63B60">
        <w:t xml:space="preserve">InnoCaption asserted that the </w:t>
      </w:r>
      <w:r w:rsidR="008466B2">
        <w:t xml:space="preserve">Bureau’s </w:t>
      </w:r>
      <w:r w:rsidR="00C63B60">
        <w:t xml:space="preserve">test calls conducted </w:t>
      </w:r>
      <w:r w:rsidR="00021047">
        <w:t>o</w:t>
      </w:r>
      <w:r w:rsidR="00C63B60">
        <w:t>n September</w:t>
      </w:r>
      <w:r w:rsidR="00021047">
        <w:t xml:space="preserve"> 12 and 19,</w:t>
      </w:r>
      <w:r w:rsidR="00C63B60">
        <w:t xml:space="preserve"> 2014 must have been “conducted by a tester that had not updated his or her InnoCaption application as directed by the provider.”</w:t>
      </w:r>
      <w:r w:rsidR="00C63B60">
        <w:rPr>
          <w:rStyle w:val="FootnoteReference"/>
        </w:rPr>
        <w:footnoteReference w:id="38"/>
      </w:r>
      <w:r w:rsidR="00C63B60">
        <w:t xml:space="preserve">  </w:t>
      </w:r>
      <w:r w:rsidR="005E1F54">
        <w:t xml:space="preserve">According to InnoCaption, </w:t>
      </w:r>
      <w:r w:rsidR="008466B2">
        <w:t xml:space="preserve">after deploying the patch it </w:t>
      </w:r>
      <w:r w:rsidR="00370158">
        <w:t>learn</w:t>
      </w:r>
      <w:r w:rsidR="005E1F54">
        <w:t>ed</w:t>
      </w:r>
      <w:r w:rsidR="00370158">
        <w:t xml:space="preserve"> that some users had failed to download the patch</w:t>
      </w:r>
      <w:r w:rsidR="005E1F54">
        <w:t xml:space="preserve"> and</w:t>
      </w:r>
      <w:r w:rsidR="00370158">
        <w:t xml:space="preserve"> “repeatedly messaged its subscribers . . . through text and email” between October 24, 2014 and October 27, 2014, to inform them that “their service would be suspended if they did not update their InnoCaption application.”</w:t>
      </w:r>
      <w:r w:rsidR="00370158">
        <w:rPr>
          <w:rStyle w:val="FootnoteReference"/>
        </w:rPr>
        <w:footnoteReference w:id="39"/>
      </w:r>
      <w:r w:rsidR="00370158">
        <w:t xml:space="preserve">  Additionally, InnoCaption “placed calls to all subscribers who had not updated by October 27, 2014</w:t>
      </w:r>
      <w:r w:rsidR="005E1F54">
        <w:t>,</w:t>
      </w:r>
      <w:r w:rsidR="00370158">
        <w:t xml:space="preserve"> to urge them to update their application to avoid suspension of service.”</w:t>
      </w:r>
      <w:r w:rsidR="00370158">
        <w:rPr>
          <w:rStyle w:val="FootnoteReference"/>
        </w:rPr>
        <w:footnoteReference w:id="40"/>
      </w:r>
      <w:r w:rsidR="00370158">
        <w:t xml:space="preserve">  Finally, InnoCaption stated that it suspended the service of users who had not updated their application by close of business on October 27, 2014 and that since that date “every subscriber has had a version of the app that supports 911 calling.”</w:t>
      </w:r>
      <w:r w:rsidR="00370158">
        <w:rPr>
          <w:rStyle w:val="FootnoteReference"/>
        </w:rPr>
        <w:footnoteReference w:id="41"/>
      </w:r>
      <w:r w:rsidR="00370158">
        <w:t xml:space="preserve">  Additionally, InnoCaption </w:t>
      </w:r>
      <w:r w:rsidR="005E1F54">
        <w:t xml:space="preserve">submitted </w:t>
      </w:r>
      <w:r w:rsidR="00370158">
        <w:t>a spreadsheet showing what it claimed were results of successful test calls to 911 by InnoCaption from September 2014 to November 2014.</w:t>
      </w:r>
      <w:r w:rsidR="00370158">
        <w:rPr>
          <w:rStyle w:val="FootnoteReference"/>
        </w:rPr>
        <w:footnoteReference w:id="42"/>
      </w:r>
      <w:r w:rsidR="00370158">
        <w:t xml:space="preserve">  </w:t>
      </w:r>
    </w:p>
    <w:p w:rsidR="00C63B60" w:rsidRDefault="005E1F54" w:rsidP="00C63B60">
      <w:pPr>
        <w:pStyle w:val="ParaNum"/>
      </w:pPr>
      <w:r>
        <w:t xml:space="preserve">CGB conducted additional testing of InnoCaption’s handling of 911 calls in January and March 2015. </w:t>
      </w:r>
      <w:r w:rsidR="00C63B60">
        <w:t xml:space="preserve"> </w:t>
      </w:r>
      <w:r w:rsidR="002F4F83">
        <w:t>O</w:t>
      </w:r>
      <w:r w:rsidR="00E94D44" w:rsidRPr="00E94D44">
        <w:t>n January</w:t>
      </w:r>
      <w:r w:rsidR="002F4F83">
        <w:t xml:space="preserve"> </w:t>
      </w:r>
      <w:r w:rsidR="007F028F">
        <w:t>29</w:t>
      </w:r>
      <w:r w:rsidR="002F4F83">
        <w:t xml:space="preserve"> 2014</w:t>
      </w:r>
      <w:r w:rsidR="00E94D44" w:rsidRPr="00E94D44">
        <w:t xml:space="preserve"> a tester tried to call 911 </w:t>
      </w:r>
      <w:r w:rsidR="0057184F">
        <w:t xml:space="preserve">using </w:t>
      </w:r>
      <w:r w:rsidR="00E94D44" w:rsidRPr="00E94D44">
        <w:t>InnoCaption’s wireless service.</w:t>
      </w:r>
      <w:r w:rsidR="007E3E8A">
        <w:rPr>
          <w:rStyle w:val="FootnoteReference"/>
        </w:rPr>
        <w:footnoteReference w:id="43"/>
      </w:r>
      <w:r w:rsidR="00E94D44" w:rsidRPr="00E94D44">
        <w:t xml:space="preserve">  The tester reached a disconnected line </w:t>
      </w:r>
      <w:r w:rsidR="00A828DD">
        <w:t xml:space="preserve">on </w:t>
      </w:r>
      <w:r w:rsidR="00E94D44" w:rsidRPr="00E94D44">
        <w:t xml:space="preserve">three </w:t>
      </w:r>
      <w:r w:rsidR="00A828DD">
        <w:t>consecutive tries</w:t>
      </w:r>
      <w:r w:rsidR="00E94D44" w:rsidRPr="00E94D44">
        <w:t xml:space="preserve">.  At no time did an InnoCaption representative attempt to help the </w:t>
      </w:r>
      <w:r w:rsidR="008466B2">
        <w:t xml:space="preserve">tester </w:t>
      </w:r>
      <w:r w:rsidR="002B15A3">
        <w:t xml:space="preserve">connect to </w:t>
      </w:r>
      <w:r w:rsidR="00E94D44" w:rsidRPr="00E94D44">
        <w:t xml:space="preserve">a PSAP.  </w:t>
      </w:r>
      <w:r w:rsidR="00C63B60">
        <w:t>On March 1</w:t>
      </w:r>
      <w:r w:rsidR="002B15A3">
        <w:t>6</w:t>
      </w:r>
      <w:r w:rsidR="00C63B60">
        <w:t xml:space="preserve">, 2015, the Commission again tested InnoCaption’s ability to handle 911 calls.  In these tests, InnoCaption calls disconnected from the PSAP about 50 percent of the time.  </w:t>
      </w:r>
      <w:r w:rsidR="005C6A27">
        <w:t xml:space="preserve">Only in a few instances did InnoCaption provide the PSAP with </w:t>
      </w:r>
      <w:r w:rsidR="0075644C">
        <w:t>a</w:t>
      </w:r>
      <w:r w:rsidR="005C6A27">
        <w:t xml:space="preserve"> callback number.  </w:t>
      </w:r>
      <w:r w:rsidR="00C63B60">
        <w:t xml:space="preserve">In addition, none of the InnoCaption calls provided the PSAP with the caller’s name, location, provider name, </w:t>
      </w:r>
      <w:r w:rsidR="008A650D">
        <w:t xml:space="preserve">or </w:t>
      </w:r>
      <w:r w:rsidR="00C63B60">
        <w:t xml:space="preserve">CA </w:t>
      </w:r>
      <w:r w:rsidR="008A650D">
        <w:t xml:space="preserve">identification </w:t>
      </w:r>
      <w:r w:rsidR="00C63B60">
        <w:t xml:space="preserve">number.  </w:t>
      </w:r>
      <w:r w:rsidR="005C6A27" w:rsidRPr="005C6A27">
        <w:t>During the testing, InnoCaption</w:t>
      </w:r>
      <w:r w:rsidR="007E3E8A">
        <w:t>’</w:t>
      </w:r>
      <w:r w:rsidR="00D55474">
        <w:t xml:space="preserve">s </w:t>
      </w:r>
      <w:r w:rsidR="0045242D">
        <w:t>CEO</w:t>
      </w:r>
      <w:r w:rsidR="002B15A3">
        <w:t>, who was present,</w:t>
      </w:r>
      <w:r w:rsidR="007E3E8A">
        <w:t xml:space="preserve"> stated </w:t>
      </w:r>
      <w:r w:rsidR="005C6A27" w:rsidRPr="005C6A27">
        <w:t>that</w:t>
      </w:r>
      <w:r w:rsidR="005C6A27">
        <w:t xml:space="preserve"> </w:t>
      </w:r>
      <w:r w:rsidR="005C6A27" w:rsidRPr="005C6A27">
        <w:t>PSAP operator</w:t>
      </w:r>
      <w:r w:rsidR="005C6A27">
        <w:t xml:space="preserve">s could obtain the caller’s location and personal cell phone number by </w:t>
      </w:r>
      <w:r w:rsidR="005C6A27" w:rsidRPr="005C6A27">
        <w:t>press</w:t>
      </w:r>
      <w:r w:rsidR="005C6A27">
        <w:t>ing</w:t>
      </w:r>
      <w:r w:rsidR="005C6A27" w:rsidRPr="005C6A27">
        <w:t xml:space="preserve"> a key on </w:t>
      </w:r>
      <w:r w:rsidR="005C6A27">
        <w:t>their</w:t>
      </w:r>
      <w:r w:rsidR="005C6A27" w:rsidRPr="005C6A27">
        <w:t xml:space="preserve"> phone</w:t>
      </w:r>
      <w:r w:rsidR="005C6A27">
        <w:t>s</w:t>
      </w:r>
      <w:r w:rsidR="005C6A27" w:rsidRPr="005C6A27">
        <w:t xml:space="preserve">.  </w:t>
      </w:r>
      <w:r w:rsidR="005C6A27">
        <w:t xml:space="preserve">During the test calls, none of the PSAP operators received this information unless prompted by the test caller to press a key on their phone. </w:t>
      </w:r>
    </w:p>
    <w:p w:rsidR="00B55524" w:rsidRDefault="00B55524" w:rsidP="003313D0">
      <w:pPr>
        <w:pStyle w:val="ParaNum"/>
        <w:widowControl/>
      </w:pPr>
      <w:r>
        <w:t>On April 2, 2015, following discussions with Commission staff, InnoCaption notified its users that “</w:t>
      </w:r>
      <w:r w:rsidRPr="00B55524">
        <w:t>it has come to our attention there is an issue with our 911 call handling.</w:t>
      </w:r>
      <w:r w:rsidR="009D7356">
        <w:t>”  InnoCaption added that</w:t>
      </w:r>
      <w:r w:rsidRPr="00B55524">
        <w:t xml:space="preserve"> </w:t>
      </w:r>
      <w:r w:rsidR="009D7356">
        <w:t>“[a]</w:t>
      </w:r>
      <w:r w:rsidRPr="00B55524">
        <w:t>fter careful investigation we have concluded temporary suspension of service is necessary to ensure the safety of our users while we implement a solution</w:t>
      </w:r>
      <w:r w:rsidR="00701C9D">
        <w:t>,</w:t>
      </w:r>
      <w:r w:rsidR="009D7356">
        <w:t>”</w:t>
      </w:r>
      <w:r w:rsidR="00701C9D">
        <w:t xml:space="preserve"> and that such suspension would be effective on April 7, 2015 at 9:00 p.m. central daylight time.</w:t>
      </w:r>
      <w:r w:rsidR="009D7356">
        <w:t xml:space="preserve">  InnoCaption noted further that</w:t>
      </w:r>
      <w:r w:rsidRPr="00B55524">
        <w:t xml:space="preserve"> </w:t>
      </w:r>
      <w:r w:rsidR="009D7356">
        <w:t>“[i]</w:t>
      </w:r>
      <w:r w:rsidRPr="00B55524">
        <w:t>n order for the suspension of service to be as temporary as possible, the InnoCaption team has been working closely with the Federal Communications Commission (FCC) and a third party company who specializes in emergency call handling.</w:t>
      </w:r>
      <w:r w:rsidR="009D7356">
        <w:t>”</w:t>
      </w:r>
      <w:r w:rsidR="009D7356">
        <w:rPr>
          <w:rStyle w:val="FootnoteReference"/>
        </w:rPr>
        <w:footnoteReference w:id="44"/>
      </w:r>
    </w:p>
    <w:p w:rsidR="002A70FE" w:rsidRDefault="002A70FE" w:rsidP="002A70FE">
      <w:pPr>
        <w:pStyle w:val="Heading1"/>
      </w:pPr>
      <w:r>
        <w:t>discussion</w:t>
      </w:r>
    </w:p>
    <w:p w:rsidR="000F7265" w:rsidRDefault="000F7265" w:rsidP="000F7265">
      <w:pPr>
        <w:pStyle w:val="Heading2"/>
      </w:pPr>
      <w:r>
        <w:t>InnoCaption’s Noncompliance with 911 Call Handling Requirements</w:t>
      </w:r>
    </w:p>
    <w:p w:rsidR="000A252B" w:rsidRDefault="000A252B" w:rsidP="00CF5A4E">
      <w:pPr>
        <w:pStyle w:val="ParaNum"/>
      </w:pPr>
      <w:r w:rsidRPr="000A252B">
        <w:t xml:space="preserve">As </w:t>
      </w:r>
      <w:r w:rsidR="009B066B">
        <w:t>a provider of</w:t>
      </w:r>
      <w:r w:rsidRPr="000A252B">
        <w:t xml:space="preserve"> IP CTS </w:t>
      </w:r>
      <w:r w:rsidR="009B066B">
        <w:t xml:space="preserve">that allows </w:t>
      </w:r>
      <w:r w:rsidR="009B066B" w:rsidRPr="009B066B">
        <w:t xml:space="preserve">users to initiate calls by contacting </w:t>
      </w:r>
      <w:r w:rsidR="009B066B">
        <w:t xml:space="preserve">the </w:t>
      </w:r>
      <w:r w:rsidR="009B066B" w:rsidRPr="009B066B">
        <w:t>provider over the Internet</w:t>
      </w:r>
      <w:r w:rsidRPr="000A252B">
        <w:t xml:space="preserve">, InnoCaption </w:t>
      </w:r>
      <w:r>
        <w:t>i</w:t>
      </w:r>
      <w:r w:rsidRPr="000A252B">
        <w:t>s required to handle 911 calls in accordance with the specific requirements of section 64.605(a) of the rules.</w:t>
      </w:r>
      <w:r w:rsidRPr="000A252B">
        <w:rPr>
          <w:vertAlign w:val="superscript"/>
        </w:rPr>
        <w:footnoteReference w:id="45"/>
      </w:r>
      <w:r w:rsidRPr="000A252B">
        <w:t xml:space="preserve">  </w:t>
      </w:r>
      <w:r>
        <w:t xml:space="preserve">As discussed below, InnoCaption has been out of compliance with those requirements since the inception of its service.  </w:t>
      </w:r>
    </w:p>
    <w:p w:rsidR="00E05B9D" w:rsidRDefault="000A252B" w:rsidP="00CF5A4E">
      <w:pPr>
        <w:pStyle w:val="ParaNum"/>
      </w:pPr>
      <w:r>
        <w:t>First, b</w:t>
      </w:r>
      <w:r w:rsidR="005C6A27">
        <w:t xml:space="preserve">y its own admission, </w:t>
      </w:r>
      <w:r w:rsidR="00CF5A4E">
        <w:t xml:space="preserve">InnoCaption launched </w:t>
      </w:r>
      <w:r w:rsidR="00372532">
        <w:t xml:space="preserve">its service </w:t>
      </w:r>
      <w:r w:rsidR="00CF5A4E">
        <w:t>on Ju</w:t>
      </w:r>
      <w:r>
        <w:t>ne</w:t>
      </w:r>
      <w:r w:rsidR="00CF5A4E">
        <w:t xml:space="preserve"> </w:t>
      </w:r>
      <w:r w:rsidR="0045242D">
        <w:t>11</w:t>
      </w:r>
      <w:r w:rsidR="00CF5A4E">
        <w:t>, 2014</w:t>
      </w:r>
      <w:r>
        <w:t>,</w:t>
      </w:r>
      <w:r w:rsidR="00CF5A4E">
        <w:t xml:space="preserve"> without </w:t>
      </w:r>
      <w:r>
        <w:t xml:space="preserve">offering </w:t>
      </w:r>
      <w:r w:rsidR="002B15A3">
        <w:t xml:space="preserve">access to </w:t>
      </w:r>
      <w:r w:rsidR="00CF5A4E">
        <w:t>911</w:t>
      </w:r>
      <w:r w:rsidR="00C71DE3">
        <w:t xml:space="preserve"> </w:t>
      </w:r>
      <w:r w:rsidR="00CF5A4E">
        <w:t>servic</w:t>
      </w:r>
      <w:r w:rsidR="002B15A3">
        <w:t>e</w:t>
      </w:r>
      <w:r w:rsidR="00CF5A4E">
        <w:t xml:space="preserve">.  </w:t>
      </w:r>
      <w:r w:rsidR="00E05B9D">
        <w:t xml:space="preserve">Further, </w:t>
      </w:r>
      <w:r w:rsidR="00CF5A4E">
        <w:t xml:space="preserve">InnoCaption did not inform the Commission of this fact until </w:t>
      </w:r>
      <w:r w:rsidR="00B93474">
        <w:t>October 6</w:t>
      </w:r>
      <w:r w:rsidR="00E05B9D">
        <w:t>, 2014</w:t>
      </w:r>
      <w:r w:rsidR="009E6183">
        <w:t>, after being contacted by the Commission regarding the failure of 911 test calls</w:t>
      </w:r>
      <w:r w:rsidR="00E05B9D">
        <w:t>.</w:t>
      </w:r>
      <w:r w:rsidR="009E6183">
        <w:rPr>
          <w:rStyle w:val="FootnoteReference"/>
        </w:rPr>
        <w:footnoteReference w:id="46"/>
      </w:r>
      <w:r w:rsidR="00E05B9D">
        <w:t xml:space="preserve">  </w:t>
      </w:r>
      <w:r w:rsidR="005C6A27">
        <w:t xml:space="preserve">  </w:t>
      </w:r>
      <w:r w:rsidR="00267627">
        <w:t>InnoCaption</w:t>
      </w:r>
      <w:r w:rsidR="00E05B9D">
        <w:t xml:space="preserve">’s </w:t>
      </w:r>
      <w:r w:rsidR="002B15A3">
        <w:t xml:space="preserve">inability to accept emergency calls </w:t>
      </w:r>
      <w:r w:rsidR="00E05B9D">
        <w:t xml:space="preserve">continued until </w:t>
      </w:r>
      <w:r w:rsidR="00E05B9D" w:rsidRPr="00E05B9D">
        <w:t xml:space="preserve">September </w:t>
      </w:r>
      <w:r w:rsidR="002C78BD">
        <w:t>12</w:t>
      </w:r>
      <w:r w:rsidR="00E05B9D" w:rsidRPr="00E05B9D">
        <w:t>, 2014</w:t>
      </w:r>
      <w:r w:rsidR="00E05B9D">
        <w:t>, the date when InnoCaption</w:t>
      </w:r>
      <w:r w:rsidR="00267627">
        <w:t xml:space="preserve"> states</w:t>
      </w:r>
      <w:r w:rsidR="00CF5A4E">
        <w:t xml:space="preserve"> </w:t>
      </w:r>
      <w:r w:rsidR="00065538">
        <w:t xml:space="preserve">it </w:t>
      </w:r>
      <w:r w:rsidR="00A84A0C">
        <w:t xml:space="preserve">began </w:t>
      </w:r>
      <w:r w:rsidR="002C78BD">
        <w:t>directing</w:t>
      </w:r>
      <w:r w:rsidR="00E05B9D">
        <w:t xml:space="preserve"> </w:t>
      </w:r>
      <w:r w:rsidR="000F3B8D">
        <w:t xml:space="preserve">users </w:t>
      </w:r>
      <w:r w:rsidR="00E05B9D">
        <w:t xml:space="preserve">to </w:t>
      </w:r>
      <w:r w:rsidR="002C78BD">
        <w:t xml:space="preserve">download a patch that it claimed would enable them to </w:t>
      </w:r>
      <w:r w:rsidR="00E05B9D">
        <w:t>make 911 calls.</w:t>
      </w:r>
      <w:r w:rsidR="00A84A0C" w:rsidRPr="00A84A0C">
        <w:rPr>
          <w:vertAlign w:val="superscript"/>
        </w:rPr>
        <w:footnoteReference w:id="47"/>
      </w:r>
      <w:r w:rsidR="00E05B9D">
        <w:t xml:space="preserve">  However</w:t>
      </w:r>
      <w:r w:rsidR="00267627">
        <w:t xml:space="preserve">, </w:t>
      </w:r>
      <w:r w:rsidR="00E05B9D">
        <w:t>InnoCaption</w:t>
      </w:r>
      <w:r w:rsidR="00267627">
        <w:t xml:space="preserve"> acknowledges that some of its users did not learn about the patch when initially implemented and that even as late as October 27, 2014, not all </w:t>
      </w:r>
      <w:r w:rsidR="00E05B9D">
        <w:t xml:space="preserve">of </w:t>
      </w:r>
      <w:r w:rsidR="00267627">
        <w:t>its users had downloaded the patch</w:t>
      </w:r>
      <w:r w:rsidR="00CF5A4E">
        <w:t>.</w:t>
      </w:r>
      <w:r w:rsidR="00D14F7B">
        <w:t xml:space="preserve">  </w:t>
      </w:r>
    </w:p>
    <w:p w:rsidR="00E94D44" w:rsidRDefault="00E05B9D" w:rsidP="00CF5A4E">
      <w:pPr>
        <w:pStyle w:val="ParaNum"/>
      </w:pPr>
      <w:r>
        <w:t xml:space="preserve">Even after users obtained the patch, InnoCaption’s handling of 911 calls remained inadequate in numerous respects.  </w:t>
      </w:r>
      <w:r w:rsidR="00CF5A4E">
        <w:t xml:space="preserve">Commission tests of the patched application </w:t>
      </w:r>
      <w:r w:rsidR="00267627">
        <w:t>in January and March 2015</w:t>
      </w:r>
      <w:r w:rsidR="00CF5A4E">
        <w:t xml:space="preserve"> showed that</w:t>
      </w:r>
      <w:r w:rsidR="00267627">
        <w:t xml:space="preserve"> InnoCaption’s service </w:t>
      </w:r>
      <w:r>
        <w:t xml:space="preserve">still </w:t>
      </w:r>
      <w:r w:rsidR="00267627">
        <w:t xml:space="preserve">consistently failed to handle </w:t>
      </w:r>
      <w:r>
        <w:t xml:space="preserve">911 </w:t>
      </w:r>
      <w:r w:rsidR="00267627">
        <w:t>calls in compliance with the Commission’s rules</w:t>
      </w:r>
      <w:r w:rsidR="00CF5A4E">
        <w:t>.</w:t>
      </w:r>
      <w:r w:rsidR="00D14F7B">
        <w:t xml:space="preserve">  </w:t>
      </w:r>
      <w:r w:rsidR="00267627">
        <w:t xml:space="preserve">Specifically: </w:t>
      </w:r>
    </w:p>
    <w:p w:rsidR="00E94D44" w:rsidRPr="00E94D44" w:rsidRDefault="00E94D44" w:rsidP="00E94D44">
      <w:pPr>
        <w:pStyle w:val="Bullet"/>
        <w:numPr>
          <w:ilvl w:val="0"/>
          <w:numId w:val="24"/>
        </w:numPr>
      </w:pPr>
      <w:r w:rsidRPr="00E94D44">
        <w:t xml:space="preserve">In </w:t>
      </w:r>
      <w:r>
        <w:t>tests conducted in January 2015</w:t>
      </w:r>
      <w:r w:rsidRPr="00E94D44">
        <w:t xml:space="preserve">, </w:t>
      </w:r>
      <w:r w:rsidR="003C2B93">
        <w:t xml:space="preserve">three </w:t>
      </w:r>
      <w:r w:rsidRPr="00E94D44">
        <w:t>911 calls were routed to disconnected lines.</w:t>
      </w:r>
      <w:r>
        <w:t xml:space="preserve">  </w:t>
      </w:r>
      <w:r w:rsidR="00C62487">
        <w:t>T</w:t>
      </w:r>
      <w:r>
        <w:t>hese</w:t>
      </w:r>
      <w:r w:rsidR="00E8629E">
        <w:t xml:space="preserve"> </w:t>
      </w:r>
      <w:r>
        <w:t>test</w:t>
      </w:r>
      <w:r w:rsidR="00E8629E">
        <w:t xml:space="preserve"> call</w:t>
      </w:r>
      <w:r>
        <w:t>s</w:t>
      </w:r>
      <w:r w:rsidR="00C62487">
        <w:t xml:space="preserve"> indicated failure </w:t>
      </w:r>
      <w:r>
        <w:t>to comply with section 64.605(a)(2)(i) of the rules, which require</w:t>
      </w:r>
      <w:r w:rsidR="00C62487">
        <w:t>s the provider</w:t>
      </w:r>
      <w:r>
        <w:t xml:space="preserve"> to </w:t>
      </w:r>
      <w:r w:rsidR="00E43177">
        <w:t xml:space="preserve">“accept and handle emergency calls and </w:t>
      </w:r>
      <w:r>
        <w:t xml:space="preserve">access . . . a commercially available database that will allow the </w:t>
      </w:r>
      <w:r w:rsidR="00E43177">
        <w:t>provider to</w:t>
      </w:r>
      <w:r>
        <w:t xml:space="preserve"> determine</w:t>
      </w:r>
      <w:r w:rsidR="00E43177">
        <w:t xml:space="preserve"> an appropriate PSAP . . . that corresponds to the caller’s location, and to relay the call to that entity.”</w:t>
      </w:r>
      <w:r w:rsidR="00E43177">
        <w:rPr>
          <w:rStyle w:val="FootnoteReference"/>
        </w:rPr>
        <w:footnoteReference w:id="48"/>
      </w:r>
    </w:p>
    <w:p w:rsidR="00E43177" w:rsidRDefault="00E94D44" w:rsidP="003313D0">
      <w:pPr>
        <w:pStyle w:val="Bullet"/>
        <w:widowControl/>
        <w:numPr>
          <w:ilvl w:val="0"/>
          <w:numId w:val="24"/>
        </w:numPr>
      </w:pPr>
      <w:r>
        <w:t xml:space="preserve">In tests conducted in March 2015, </w:t>
      </w:r>
      <w:r w:rsidR="00E43177">
        <w:t xml:space="preserve">the tester was </w:t>
      </w:r>
      <w:r w:rsidR="00E43177" w:rsidRPr="00E43177">
        <w:t xml:space="preserve">disconnected from the PSAP </w:t>
      </w:r>
      <w:r w:rsidR="00E43177">
        <w:t xml:space="preserve">on </w:t>
      </w:r>
      <w:r w:rsidR="00E43177" w:rsidRPr="00E43177">
        <w:t xml:space="preserve">about 50 percent of the </w:t>
      </w:r>
      <w:r w:rsidR="00E43177">
        <w:t>calls</w:t>
      </w:r>
      <w:r w:rsidR="00A84A0C">
        <w:t xml:space="preserve">, and </w:t>
      </w:r>
      <w:r w:rsidR="00A84A0C" w:rsidRPr="00A84A0C">
        <w:t xml:space="preserve">InnoCaption did not reestablish contact with the TRS user or PSAP for any of the disconnected calls.  </w:t>
      </w:r>
      <w:r w:rsidR="00C62487">
        <w:t>T</w:t>
      </w:r>
      <w:r w:rsidR="00C62487" w:rsidRPr="00C62487">
        <w:t>hese test</w:t>
      </w:r>
      <w:r w:rsidR="00C84AB0">
        <w:t xml:space="preserve"> result</w:t>
      </w:r>
      <w:r w:rsidR="00C62487" w:rsidRPr="00C62487">
        <w:t>s</w:t>
      </w:r>
      <w:r w:rsidR="00C62487">
        <w:t xml:space="preserve"> indicated </w:t>
      </w:r>
      <w:r w:rsidR="00C62487" w:rsidRPr="00C62487">
        <w:t>fail</w:t>
      </w:r>
      <w:r w:rsidR="00C62487">
        <w:t>ure</w:t>
      </w:r>
      <w:r w:rsidR="00C62487" w:rsidRPr="00C62487">
        <w:t xml:space="preserve"> to comply with section 64.605(a)(2)(i), which requires the provider to “accept and handle emergency calls</w:t>
      </w:r>
      <w:r w:rsidR="00C62487">
        <w:t xml:space="preserve">,” and section </w:t>
      </w:r>
      <w:r w:rsidR="00C62487" w:rsidRPr="00C62487">
        <w:t>64.605(a)(2)(</w:t>
      </w:r>
      <w:r w:rsidR="00C84AB0">
        <w:t>v</w:t>
      </w:r>
      <w:r w:rsidR="00C62487" w:rsidRPr="00C62487">
        <w:t xml:space="preserve">), </w:t>
      </w:r>
      <w:r w:rsidR="00C62487">
        <w:t>which requires the provider, in the event of a disconnection, to “immediately reestablish contact with the TRS user and/or the appropriate PSAP . . . and resume handling the call.”</w:t>
      </w:r>
      <w:r w:rsidR="00C62487" w:rsidRPr="00C62487">
        <w:rPr>
          <w:vertAlign w:val="superscript"/>
        </w:rPr>
        <w:footnoteReference w:id="49"/>
      </w:r>
    </w:p>
    <w:p w:rsidR="00CF5A4E" w:rsidRDefault="004B1519" w:rsidP="00CF5A4E">
      <w:pPr>
        <w:pStyle w:val="Bullet"/>
        <w:numPr>
          <w:ilvl w:val="0"/>
          <w:numId w:val="24"/>
        </w:numPr>
      </w:pPr>
      <w:r>
        <w:t xml:space="preserve">In the March 2015 tests, </w:t>
      </w:r>
      <w:r w:rsidRPr="004B1519">
        <w:t>InnoCaption provide</w:t>
      </w:r>
      <w:r>
        <w:t>d</w:t>
      </w:r>
      <w:r w:rsidRPr="004B1519">
        <w:t xml:space="preserve"> the PSAP with </w:t>
      </w:r>
      <w:r w:rsidR="00A84A0C">
        <w:t>a</w:t>
      </w:r>
      <w:r w:rsidRPr="004B1519">
        <w:t xml:space="preserve"> callback number</w:t>
      </w:r>
      <w:r>
        <w:t xml:space="preserve"> in only a few instances</w:t>
      </w:r>
      <w:r w:rsidRPr="004B1519">
        <w:t xml:space="preserve">.  In addition, </w:t>
      </w:r>
      <w:r>
        <w:t>on every call InnoCaption failed to effectively deliver to</w:t>
      </w:r>
      <w:r w:rsidRPr="004B1519">
        <w:t xml:space="preserve"> the PSAP the caller’s name</w:t>
      </w:r>
      <w:r>
        <w:t xml:space="preserve"> and</w:t>
      </w:r>
      <w:r w:rsidRPr="004B1519">
        <w:t xml:space="preserve"> location, </w:t>
      </w:r>
      <w:r w:rsidR="00915052">
        <w:t xml:space="preserve">the </w:t>
      </w:r>
      <w:r>
        <w:t xml:space="preserve">name of the </w:t>
      </w:r>
      <w:r w:rsidRPr="004B1519">
        <w:t>provider</w:t>
      </w:r>
      <w:r>
        <w:t>,</w:t>
      </w:r>
      <w:r w:rsidR="00A84A0C">
        <w:t xml:space="preserve"> </w:t>
      </w:r>
      <w:r w:rsidR="00FF3528">
        <w:t xml:space="preserve">and </w:t>
      </w:r>
      <w:r w:rsidR="00A84A0C" w:rsidRPr="00A84A0C">
        <w:t>the CA’s</w:t>
      </w:r>
      <w:r w:rsidR="00A84A0C">
        <w:t xml:space="preserve"> identification number</w:t>
      </w:r>
      <w:r w:rsidRPr="004B1519">
        <w:t>.</w:t>
      </w:r>
      <w:r>
        <w:rPr>
          <w:rStyle w:val="FootnoteReference"/>
        </w:rPr>
        <w:footnoteReference w:id="50"/>
      </w:r>
      <w:r w:rsidRPr="004B1519">
        <w:t xml:space="preserve">  </w:t>
      </w:r>
      <w:r w:rsidR="00C84AB0" w:rsidRPr="00C84AB0">
        <w:t>These test</w:t>
      </w:r>
      <w:r w:rsidR="00C84AB0">
        <w:t xml:space="preserve"> result</w:t>
      </w:r>
      <w:r w:rsidR="00C84AB0" w:rsidRPr="00C84AB0">
        <w:t>s indicated failure to comply with section 64.605(a)(2)(</w:t>
      </w:r>
      <w:r w:rsidR="00C84AB0">
        <w:t>iv</w:t>
      </w:r>
      <w:r w:rsidR="00C84AB0" w:rsidRPr="00C84AB0">
        <w:t xml:space="preserve">), which requires the provider to </w:t>
      </w:r>
      <w:r w:rsidR="00C84AB0">
        <w:t>“[d]eliver to the PSAP .</w:t>
      </w:r>
      <w:r w:rsidR="00B62AE1">
        <w:t> </w:t>
      </w:r>
      <w:r w:rsidR="00C84AB0">
        <w:t>. . at the outset of the outbound leg of an emergency call, at a minimum, the name of the relay user and location of the emergency, as well as the name of the relay provider, the CA’s callback number, and the CA’s identification number,” to enable the PSAP “to re-establish contact with the CA in the event the call is disconnected.”</w:t>
      </w:r>
      <w:r w:rsidR="00C84AB0" w:rsidRPr="00C84AB0">
        <w:rPr>
          <w:vertAlign w:val="superscript"/>
        </w:rPr>
        <w:footnoteReference w:id="51"/>
      </w:r>
    </w:p>
    <w:p w:rsidR="000F1BD5" w:rsidRDefault="008C4575" w:rsidP="00CF5A4E">
      <w:pPr>
        <w:pStyle w:val="Bullet"/>
        <w:numPr>
          <w:ilvl w:val="0"/>
          <w:numId w:val="24"/>
        </w:numPr>
      </w:pPr>
      <w:r>
        <w:t xml:space="preserve">Various </w:t>
      </w:r>
      <w:r w:rsidR="000F1BD5">
        <w:t>Inno</w:t>
      </w:r>
      <w:r w:rsidR="009F5DA4">
        <w:t>C</w:t>
      </w:r>
      <w:r w:rsidR="000F1BD5">
        <w:t xml:space="preserve">aption </w:t>
      </w:r>
      <w:r w:rsidR="00E4065A">
        <w:t>representatives appear to a</w:t>
      </w:r>
      <w:r w:rsidR="000F1BD5">
        <w:t xml:space="preserve">cknowledge that </w:t>
      </w:r>
      <w:r w:rsidR="00E4065A">
        <w:t xml:space="preserve">difficulties </w:t>
      </w:r>
      <w:r w:rsidR="000F1BD5">
        <w:t>remain with respect to</w:t>
      </w:r>
      <w:r w:rsidR="00E4065A">
        <w:t xml:space="preserve"> the way that it handles 911 calls, and for this reason, the company</w:t>
      </w:r>
      <w:r w:rsidR="000F1BD5">
        <w:t xml:space="preserve"> currently </w:t>
      </w:r>
      <w:r w:rsidR="00E4065A">
        <w:t xml:space="preserve">is </w:t>
      </w:r>
      <w:r w:rsidR="000F1BD5">
        <w:t>working to address these problems</w:t>
      </w:r>
      <w:r w:rsidR="00DA4A93">
        <w:t>.</w:t>
      </w:r>
      <w:r w:rsidR="000F1BD5">
        <w:t xml:space="preserve"> </w:t>
      </w:r>
    </w:p>
    <w:p w:rsidR="00092A38" w:rsidRDefault="00E34FF1" w:rsidP="00CF5A4E">
      <w:pPr>
        <w:pStyle w:val="Bullet"/>
        <w:numPr>
          <w:ilvl w:val="0"/>
          <w:numId w:val="24"/>
        </w:numPr>
      </w:pPr>
      <w:r>
        <w:t>As of the date of this order, InnoCaption remains noncompliant with the Commission’s emergency call handling requirements</w:t>
      </w:r>
      <w:r w:rsidR="00D55474">
        <w:t>.</w:t>
      </w:r>
    </w:p>
    <w:p w:rsidR="00C671FF" w:rsidRDefault="00A84A0C" w:rsidP="00C671FF">
      <w:pPr>
        <w:pStyle w:val="Heading2"/>
      </w:pPr>
      <w:r>
        <w:t>C</w:t>
      </w:r>
      <w:r w:rsidR="00C671FF" w:rsidRPr="00C671FF">
        <w:t>ompensation</w:t>
      </w:r>
      <w:r w:rsidR="008B6470">
        <w:t xml:space="preserve"> for InnoCaption Minutes</w:t>
      </w:r>
      <w:r w:rsidR="00C671FF" w:rsidRPr="00C671FF">
        <w:t xml:space="preserve"> </w:t>
      </w:r>
    </w:p>
    <w:p w:rsidR="000F7265" w:rsidRDefault="00C671FF" w:rsidP="0010479C">
      <w:pPr>
        <w:pStyle w:val="ParaNum"/>
      </w:pPr>
      <w:r w:rsidRPr="00C671FF">
        <w:t xml:space="preserve">We affirm Rolka Loube’s withholding of compensation payments </w:t>
      </w:r>
      <w:r w:rsidR="00A84A0C">
        <w:t xml:space="preserve">for the period from </w:t>
      </w:r>
      <w:r w:rsidR="009F6332" w:rsidRPr="005F5C0A">
        <w:t>September 6</w:t>
      </w:r>
      <w:r w:rsidR="00A84A0C" w:rsidRPr="005F5C0A">
        <w:t xml:space="preserve">, 2014, to </w:t>
      </w:r>
      <w:r w:rsidR="0010479C" w:rsidRPr="005F5C0A">
        <w:t>January 31</w:t>
      </w:r>
      <w:r w:rsidR="00A84A0C" w:rsidRPr="005F5C0A">
        <w:t>, 2015</w:t>
      </w:r>
      <w:r w:rsidR="0010479C" w:rsidRPr="005F5C0A">
        <w:t xml:space="preserve"> (the last date for which Rolka Loube has withheld payment as of the date of this Order)</w:t>
      </w:r>
      <w:r w:rsidRPr="005F5C0A">
        <w:t>.  The evidence detailed above is sufficient to show that InnoCaption failed to comply</w:t>
      </w:r>
      <w:r w:rsidR="005017A9" w:rsidRPr="005F5C0A">
        <w:t>, in numerous critical respects,</w:t>
      </w:r>
      <w:r w:rsidRPr="005F5C0A">
        <w:t xml:space="preserve"> with the Commission’s 911 call handling rules throughout </w:t>
      </w:r>
      <w:r w:rsidR="0010479C" w:rsidRPr="005F5C0A">
        <w:t xml:space="preserve">this </w:t>
      </w:r>
      <w:r w:rsidRPr="005F5C0A">
        <w:t>period</w:t>
      </w:r>
      <w:r w:rsidR="008B6470">
        <w:t xml:space="preserve">, as well as for all periods during which InnoCaption service was </w:t>
      </w:r>
      <w:r w:rsidR="008B6470" w:rsidRPr="00F71F5F">
        <w:t xml:space="preserve">provided </w:t>
      </w:r>
      <w:r w:rsidR="008B6470">
        <w:t>to the public</w:t>
      </w:r>
      <w:r w:rsidRPr="005F5C0A">
        <w:t xml:space="preserve">.  </w:t>
      </w:r>
      <w:r w:rsidR="005017A9" w:rsidRPr="005F5C0A">
        <w:t>Therefore, we find that InnoCaption is not entitled to payment of any of the compensation withheld</w:t>
      </w:r>
      <w:r w:rsidR="008B6470" w:rsidRPr="00F71F5F">
        <w:t>, as well as any compensation for</w:t>
      </w:r>
      <w:r w:rsidR="004E739A">
        <w:t xml:space="preserve"> any other</w:t>
      </w:r>
      <w:r w:rsidR="008B6470" w:rsidRPr="00F71F5F">
        <w:t xml:space="preserve"> minutes of service since the Commission granted conditional certification to InnoCaption to provide IP CTS </w:t>
      </w:r>
      <w:r w:rsidR="008B6470">
        <w:t>on May 13, 2014</w:t>
      </w:r>
      <w:r w:rsidR="005017A9" w:rsidRPr="005F5C0A">
        <w:t xml:space="preserve">.  This determination constitutes </w:t>
      </w:r>
      <w:r w:rsidR="005017A9">
        <w:t xml:space="preserve">a </w:t>
      </w:r>
      <w:r w:rsidR="0010479C">
        <w:t xml:space="preserve">permanent </w:t>
      </w:r>
      <w:r w:rsidR="005017A9">
        <w:t>denial of payment.</w:t>
      </w:r>
      <w:r w:rsidR="0010479C">
        <w:rPr>
          <w:rStyle w:val="FootnoteReference"/>
        </w:rPr>
        <w:footnoteReference w:id="52"/>
      </w:r>
      <w:r w:rsidR="005017A9">
        <w:t xml:space="preserve">  </w:t>
      </w:r>
    </w:p>
    <w:p w:rsidR="00A84A0C" w:rsidRDefault="00A84A0C" w:rsidP="0010479C">
      <w:pPr>
        <w:pStyle w:val="Heading2"/>
      </w:pPr>
      <w:r>
        <w:t>Review of InnoCaption’s Certification Status</w:t>
      </w:r>
    </w:p>
    <w:p w:rsidR="008940E8" w:rsidRDefault="008940E8" w:rsidP="003313D0">
      <w:pPr>
        <w:pStyle w:val="ParaNum"/>
        <w:widowControl/>
      </w:pPr>
      <w:r>
        <w:t xml:space="preserve">In the </w:t>
      </w:r>
      <w:r w:rsidRPr="00645FF8">
        <w:rPr>
          <w:i/>
        </w:rPr>
        <w:t>InnoCaption Certification PN</w:t>
      </w:r>
      <w:r w:rsidRPr="00A84A0C">
        <w:t xml:space="preserve">, </w:t>
      </w:r>
      <w:r>
        <w:t xml:space="preserve">the Bureau stated that full certification will be granted “if </w:t>
      </w:r>
      <w:r w:rsidRPr="00645FF8">
        <w:t xml:space="preserve">the Commission finds that </w:t>
      </w:r>
      <w:r>
        <w:t>[InnoCaption]</w:t>
      </w:r>
      <w:r w:rsidRPr="00645FF8">
        <w:t xml:space="preserve"> is in compliance with the</w:t>
      </w:r>
      <w:r>
        <w:t xml:space="preserve"> </w:t>
      </w:r>
      <w:r w:rsidRPr="00645FF8">
        <w:t>Commission’s rules and orders</w:t>
      </w:r>
      <w:r>
        <w:t>.”</w:t>
      </w:r>
      <w:r w:rsidR="00A422AC">
        <w:rPr>
          <w:rStyle w:val="FootnoteReference"/>
        </w:rPr>
        <w:footnoteReference w:id="53"/>
      </w:r>
      <w:r>
        <w:t xml:space="preserve">  The </w:t>
      </w:r>
      <w:r w:rsidRPr="008940E8">
        <w:rPr>
          <w:i/>
        </w:rPr>
        <w:t>InnoCaption Certification PN</w:t>
      </w:r>
      <w:r>
        <w:t xml:space="preserve"> also provides that: </w:t>
      </w:r>
    </w:p>
    <w:p w:rsidR="008940E8" w:rsidRDefault="008940E8" w:rsidP="008940E8">
      <w:pPr>
        <w:pStyle w:val="BlockText"/>
      </w:pPr>
      <w:r w:rsidRPr="008940E8">
        <w:t>If, at any time during the period in</w:t>
      </w:r>
      <w:r>
        <w:t xml:space="preserve"> </w:t>
      </w:r>
      <w:r w:rsidRPr="008940E8">
        <w:t xml:space="preserve">which </w:t>
      </w:r>
      <w:r w:rsidR="00645FF8" w:rsidRPr="008940E8">
        <w:t xml:space="preserve">[InnoCaption] </w:t>
      </w:r>
      <w:r w:rsidRPr="008940E8">
        <w:t>is operating pursuant to this conditional certification, the Commission determines that</w:t>
      </w:r>
      <w:r>
        <w:t xml:space="preserve"> </w:t>
      </w:r>
      <w:r w:rsidR="00645FF8" w:rsidRPr="008940E8">
        <w:t xml:space="preserve">[InnoCaption] </w:t>
      </w:r>
      <w:r w:rsidRPr="008940E8">
        <w:t xml:space="preserve">has failed to provide sufficient supporting documentation for any of the assertions in </w:t>
      </w:r>
      <w:r w:rsidR="00645FF8" w:rsidRPr="008940E8">
        <w:t>[InnoCaption]</w:t>
      </w:r>
      <w:r w:rsidRPr="008940E8">
        <w:t>’s</w:t>
      </w:r>
      <w:r>
        <w:t xml:space="preserve"> </w:t>
      </w:r>
      <w:r w:rsidRPr="008940E8">
        <w:t>application, determines that any of those assertions cannot be supported, or finds evidence of any</w:t>
      </w:r>
      <w:r>
        <w:t xml:space="preserve"> </w:t>
      </w:r>
      <w:r w:rsidRPr="008940E8">
        <w:t>apparent rule violation, fraud, waste, or abuse, the Commission will take appropriate action, which may</w:t>
      </w:r>
      <w:r>
        <w:t xml:space="preserve"> </w:t>
      </w:r>
      <w:r w:rsidRPr="008940E8">
        <w:t xml:space="preserve">include the denial of </w:t>
      </w:r>
      <w:r w:rsidR="00645FF8" w:rsidRPr="008940E8">
        <w:t>[InnoCaption]</w:t>
      </w:r>
      <w:r w:rsidRPr="008940E8">
        <w:t>’s application.</w:t>
      </w:r>
      <w:r>
        <w:rPr>
          <w:rStyle w:val="FootnoteReference"/>
        </w:rPr>
        <w:footnoteReference w:id="54"/>
      </w:r>
    </w:p>
    <w:p w:rsidR="00A56B80" w:rsidRDefault="00CD65C8" w:rsidP="008940E8">
      <w:pPr>
        <w:pStyle w:val="ParaNum"/>
        <w:numPr>
          <w:ilvl w:val="0"/>
          <w:numId w:val="0"/>
        </w:numPr>
      </w:pPr>
      <w:r>
        <w:t xml:space="preserve">As noted above, the evidence shows </w:t>
      </w:r>
      <w:r w:rsidR="00C671FF" w:rsidRPr="00CD65C8">
        <w:t xml:space="preserve">that InnoCaption </w:t>
      </w:r>
      <w:r w:rsidR="00F06A27">
        <w:t xml:space="preserve">knowingly launched it service with no 911service whatsoever, failed to </w:t>
      </w:r>
      <w:r w:rsidR="002B15A3">
        <w:t>even accept</w:t>
      </w:r>
      <w:r>
        <w:t xml:space="preserve"> 911 call</w:t>
      </w:r>
      <w:r w:rsidR="002B15A3">
        <w:t>s</w:t>
      </w:r>
      <w:r>
        <w:t xml:space="preserve"> </w:t>
      </w:r>
      <w:r w:rsidR="002B15A3">
        <w:t xml:space="preserve">for at least </w:t>
      </w:r>
      <w:r>
        <w:t>two months after commencing service, and, for more than six additional months</w:t>
      </w:r>
      <w:r w:rsidRPr="00CD65C8">
        <w:t xml:space="preserve">, </w:t>
      </w:r>
      <w:r>
        <w:t>InnoCaption failed to comply with th</w:t>
      </w:r>
      <w:r w:rsidR="002B15A3">
        <w:t>e</w:t>
      </w:r>
      <w:r>
        <w:t xml:space="preserve"> </w:t>
      </w:r>
      <w:r w:rsidR="002B15A3">
        <w:t xml:space="preserve">911 </w:t>
      </w:r>
      <w:r>
        <w:t xml:space="preserve">rules </w:t>
      </w:r>
      <w:r w:rsidRPr="00CD65C8">
        <w:t>in numerous critical respects</w:t>
      </w:r>
      <w:r>
        <w:t xml:space="preserve">. </w:t>
      </w:r>
      <w:r w:rsidR="00C671FF" w:rsidRPr="00CD65C8">
        <w:t xml:space="preserve"> </w:t>
      </w:r>
      <w:r w:rsidR="00A56B80">
        <w:t xml:space="preserve">    </w:t>
      </w:r>
    </w:p>
    <w:p w:rsidR="00645FF8" w:rsidRDefault="00A56B80" w:rsidP="00A56B80">
      <w:pPr>
        <w:pStyle w:val="ParaNum"/>
      </w:pPr>
      <w:r>
        <w:t>Further, t</w:t>
      </w:r>
      <w:r w:rsidR="00645FF8" w:rsidRPr="00645FF8">
        <w:t xml:space="preserve">he </w:t>
      </w:r>
      <w:r w:rsidR="00645FF8" w:rsidRPr="00A56B80">
        <w:rPr>
          <w:i/>
        </w:rPr>
        <w:t>InnoCaption Certification PN</w:t>
      </w:r>
      <w:r w:rsidR="00645FF8" w:rsidRPr="00645FF8">
        <w:t xml:space="preserve"> </w:t>
      </w:r>
      <w:r>
        <w:t>expressly</w:t>
      </w:r>
      <w:r w:rsidR="00645FF8">
        <w:t xml:space="preserve"> required InnoCaption to “report promptly any changes in the information previously provided to the</w:t>
      </w:r>
      <w:r>
        <w:t xml:space="preserve"> Commission, in its application and supplemental filings, including . . . changes in . . . the manner in which [InnoCaption] provides service.”</w:t>
      </w:r>
      <w:r>
        <w:rPr>
          <w:rStyle w:val="FootnoteReference"/>
        </w:rPr>
        <w:footnoteReference w:id="55"/>
      </w:r>
      <w:r>
        <w:t xml:space="preserve">  InnoCaption’s failure</w:t>
      </w:r>
      <w:r w:rsidR="008940E8">
        <w:t xml:space="preserve"> – </w:t>
      </w:r>
      <w:r>
        <w:t>until evidence was brought to its attention by Commission staff</w:t>
      </w:r>
      <w:r w:rsidR="008940E8">
        <w:t xml:space="preserve"> –</w:t>
      </w:r>
      <w:r>
        <w:t xml:space="preserve"> to report to the Commission its inability to handle 911 calls as represented in its application </w:t>
      </w:r>
      <w:r w:rsidR="006907A7">
        <w:t xml:space="preserve">also </w:t>
      </w:r>
      <w:r>
        <w:t>constitutes a</w:t>
      </w:r>
      <w:r w:rsidR="006907A7">
        <w:t xml:space="preserve"> significant breach of duty</w:t>
      </w:r>
      <w:r>
        <w:t xml:space="preserve">.   </w:t>
      </w:r>
    </w:p>
    <w:p w:rsidR="00A65179" w:rsidRDefault="007D3F11" w:rsidP="008940E8">
      <w:pPr>
        <w:pStyle w:val="ParaNum"/>
      </w:pPr>
      <w:r w:rsidRPr="007D3F11">
        <w:t>In light of the requirements of the</w:t>
      </w:r>
      <w:r w:rsidRPr="007D3F11">
        <w:rPr>
          <w:i/>
        </w:rPr>
        <w:t xml:space="preserve"> InnoCaption Certification PN</w:t>
      </w:r>
      <w:r w:rsidRPr="007D3F11">
        <w:t xml:space="preserve"> quoted above</w:t>
      </w:r>
      <w:r>
        <w:t>,</w:t>
      </w:r>
      <w:r w:rsidRPr="007D3F11">
        <w:t xml:space="preserve"> InnoCaption’s </w:t>
      </w:r>
      <w:r>
        <w:t xml:space="preserve">noncompliance with those requirements, and its </w:t>
      </w:r>
      <w:r w:rsidRPr="007D3F11">
        <w:t xml:space="preserve">noncompliance with the 911 rules, the Bureau </w:t>
      </w:r>
      <w:r w:rsidR="00D55474">
        <w:t>c</w:t>
      </w:r>
      <w:r w:rsidRPr="007D3F11">
        <w:t xml:space="preserve">ould be justified in </w:t>
      </w:r>
      <w:r w:rsidR="006907A7">
        <w:t xml:space="preserve">denying </w:t>
      </w:r>
      <w:r w:rsidRPr="007D3F11">
        <w:t>InnoCaption</w:t>
      </w:r>
      <w:r w:rsidR="006907A7">
        <w:t>’s application for certification to receive compensation from the TRS Fund as a provider of IP CTS</w:t>
      </w:r>
      <w:r w:rsidRPr="007D3F11">
        <w:t xml:space="preserve">.  </w:t>
      </w:r>
      <w:r>
        <w:t>S</w:t>
      </w:r>
      <w:r w:rsidRPr="007D3F11">
        <w:t>uch noncompliance</w:t>
      </w:r>
      <w:r>
        <w:t xml:space="preserve"> does not provide a</w:t>
      </w:r>
      <w:r w:rsidRPr="007D3F11">
        <w:t xml:space="preserve"> basis for </w:t>
      </w:r>
      <w:r>
        <w:t xml:space="preserve">a </w:t>
      </w:r>
      <w:r w:rsidRPr="007D3F11">
        <w:t>determin</w:t>
      </w:r>
      <w:r>
        <w:t>ation</w:t>
      </w:r>
      <w:r w:rsidRPr="007D3F11">
        <w:t xml:space="preserve"> that InnoCaption “will meet or exceed all . . . minimum standards” for TRS, as the TRS certification rules require.</w:t>
      </w:r>
      <w:r w:rsidRPr="007D3F11">
        <w:rPr>
          <w:vertAlign w:val="superscript"/>
        </w:rPr>
        <w:footnoteReference w:id="56"/>
      </w:r>
      <w:r>
        <w:t xml:space="preserve">  </w:t>
      </w:r>
      <w:r w:rsidR="00967F48">
        <w:t>T</w:t>
      </w:r>
      <w:r w:rsidR="00A65179">
        <w:t>he Bureau</w:t>
      </w:r>
      <w:r w:rsidR="00A65179" w:rsidRPr="00A65179">
        <w:t xml:space="preserve"> recognizes the </w:t>
      </w:r>
      <w:r w:rsidR="00A65179">
        <w:t xml:space="preserve">potential </w:t>
      </w:r>
      <w:r w:rsidR="00A65179" w:rsidRPr="00A65179">
        <w:t xml:space="preserve">value </w:t>
      </w:r>
      <w:r w:rsidR="00A65179">
        <w:t xml:space="preserve">to consumers </w:t>
      </w:r>
      <w:r w:rsidR="00A65179" w:rsidRPr="00A65179">
        <w:t xml:space="preserve">of InnoCaption’s </w:t>
      </w:r>
      <w:r w:rsidR="00A65179">
        <w:t xml:space="preserve">innovative form of </w:t>
      </w:r>
      <w:r w:rsidR="00A65179" w:rsidRPr="00A65179">
        <w:t>IP CTS</w:t>
      </w:r>
      <w:r w:rsidR="00967F48">
        <w:t>,</w:t>
      </w:r>
      <w:r w:rsidR="00274274">
        <w:rPr>
          <w:rStyle w:val="FootnoteReference"/>
        </w:rPr>
        <w:footnoteReference w:id="57"/>
      </w:r>
      <w:r w:rsidR="00A65179" w:rsidRPr="00A65179">
        <w:t xml:space="preserve"> </w:t>
      </w:r>
      <w:r w:rsidR="00967F48">
        <w:t xml:space="preserve">however, </w:t>
      </w:r>
      <w:r w:rsidR="00B55524">
        <w:t xml:space="preserve">and </w:t>
      </w:r>
      <w:r w:rsidR="00967F48">
        <w:t>notes</w:t>
      </w:r>
      <w:r w:rsidR="00B55524">
        <w:t xml:space="preserve"> InnoCaption’s recent efforts to address its compliance problems, including its </w:t>
      </w:r>
      <w:r w:rsidR="009D7356">
        <w:t xml:space="preserve">April 2, 2014, announcement of a </w:t>
      </w:r>
      <w:r w:rsidR="00B55524">
        <w:t>voluntary suspension of service.</w:t>
      </w:r>
      <w:r w:rsidR="009D7356">
        <w:rPr>
          <w:rStyle w:val="FootnoteReference"/>
        </w:rPr>
        <w:footnoteReference w:id="58"/>
      </w:r>
      <w:r w:rsidR="00B55524">
        <w:t xml:space="preserve">  Accordingly, </w:t>
      </w:r>
      <w:r w:rsidR="00A65179">
        <w:t xml:space="preserve">we </w:t>
      </w:r>
      <w:r w:rsidR="000E222A">
        <w:t xml:space="preserve">believe </w:t>
      </w:r>
      <w:r w:rsidR="00A65179">
        <w:t xml:space="preserve">the public </w:t>
      </w:r>
      <w:r w:rsidR="00430C6F">
        <w:t xml:space="preserve">interest </w:t>
      </w:r>
      <w:r w:rsidR="00967F48">
        <w:t xml:space="preserve">would be served by </w:t>
      </w:r>
      <w:r w:rsidR="00A65179">
        <w:t>suspend</w:t>
      </w:r>
      <w:r w:rsidR="00967F48">
        <w:t>ing</w:t>
      </w:r>
      <w:r w:rsidR="00A65179">
        <w:t xml:space="preserve"> </w:t>
      </w:r>
      <w:r w:rsidR="00A65179" w:rsidRPr="00A65179">
        <w:t>InnoCaption</w:t>
      </w:r>
      <w:r w:rsidR="00A65179">
        <w:t xml:space="preserve">’s conditional certification, </w:t>
      </w:r>
      <w:r>
        <w:t xml:space="preserve">subject to certain conditions, </w:t>
      </w:r>
      <w:r w:rsidR="00A65179">
        <w:t xml:space="preserve">rather than </w:t>
      </w:r>
      <w:r>
        <w:t xml:space="preserve">immediately </w:t>
      </w:r>
      <w:r w:rsidR="00A65179">
        <w:t>deny</w:t>
      </w:r>
      <w:r w:rsidR="00967F48">
        <w:t>ing</w:t>
      </w:r>
      <w:r w:rsidR="00A65179">
        <w:t xml:space="preserve"> </w:t>
      </w:r>
      <w:r w:rsidR="000F1BD5">
        <w:t xml:space="preserve">its application for </w:t>
      </w:r>
      <w:r w:rsidR="00A65179">
        <w:t>certification.</w:t>
      </w:r>
      <w:r w:rsidR="00B55524">
        <w:rPr>
          <w:rStyle w:val="FootnoteReference"/>
        </w:rPr>
        <w:footnoteReference w:id="59"/>
      </w:r>
      <w:r w:rsidR="00A65179">
        <w:t xml:space="preserve">  InnoCaption’s service is suspended </w:t>
      </w:r>
      <w:r w:rsidR="00A85904">
        <w:t>for</w:t>
      </w:r>
      <w:r w:rsidR="009465F0">
        <w:t xml:space="preserve"> up to</w:t>
      </w:r>
      <w:r w:rsidR="00A85904">
        <w:t xml:space="preserve"> six months</w:t>
      </w:r>
      <w:r w:rsidR="00A65179">
        <w:t xml:space="preserve">, beginning </w:t>
      </w:r>
      <w:r w:rsidR="009465F0">
        <w:t xml:space="preserve">April </w:t>
      </w:r>
      <w:r w:rsidR="00AE031D">
        <w:t>7</w:t>
      </w:r>
      <w:r w:rsidR="009465F0">
        <w:t>, 201</w:t>
      </w:r>
      <w:r w:rsidR="00915052">
        <w:t>5</w:t>
      </w:r>
      <w:r w:rsidR="005F5C0A">
        <w:t>,</w:t>
      </w:r>
      <w:r w:rsidR="00947A51">
        <w:t xml:space="preserve"> at 10:00 p.m. eastern daylight time</w:t>
      </w:r>
      <w:r w:rsidR="00A65179">
        <w:t xml:space="preserve">.  </w:t>
      </w:r>
      <w:r w:rsidR="00967F48">
        <w:t>T</w:t>
      </w:r>
      <w:r w:rsidR="00A65179" w:rsidRPr="00A65179">
        <w:t xml:space="preserve">o lift the suspension and </w:t>
      </w:r>
      <w:r w:rsidR="00A65179" w:rsidRPr="005F0C7B">
        <w:t xml:space="preserve">avoid </w:t>
      </w:r>
      <w:r w:rsidR="005F0C7B" w:rsidRPr="005F0C7B">
        <w:t xml:space="preserve">receiving a </w:t>
      </w:r>
      <w:r w:rsidR="00A65179" w:rsidRPr="005F0C7B">
        <w:t xml:space="preserve">denial of </w:t>
      </w:r>
      <w:r w:rsidR="005F0C7B" w:rsidRPr="005F0C7B">
        <w:t>its application for</w:t>
      </w:r>
      <w:r w:rsidR="00A65179" w:rsidRPr="005F0C7B">
        <w:t xml:space="preserve"> certification</w:t>
      </w:r>
      <w:r w:rsidR="005F0C7B" w:rsidRPr="005F0C7B">
        <w:t xml:space="preserve"> to receive compensation from the TRS Fund as a provider of IP CTS</w:t>
      </w:r>
      <w:r w:rsidR="00A65179" w:rsidRPr="005F0C7B">
        <w:t xml:space="preserve">, </w:t>
      </w:r>
      <w:r w:rsidR="00967F48" w:rsidRPr="005F0C7B">
        <w:t>InnoCaption</w:t>
      </w:r>
      <w:r w:rsidR="00967F48">
        <w:t xml:space="preserve"> must meet </w:t>
      </w:r>
      <w:r w:rsidR="00813C48">
        <w:t>specific</w:t>
      </w:r>
      <w:r w:rsidR="00A65179">
        <w:t xml:space="preserve"> conditions</w:t>
      </w:r>
      <w:r w:rsidR="00813C48">
        <w:t xml:space="preserve"> before the expiration of the suspension period</w:t>
      </w:r>
      <w:r w:rsidR="00A65179">
        <w:t>.</w:t>
      </w:r>
    </w:p>
    <w:p w:rsidR="00A65179" w:rsidRDefault="00A65179" w:rsidP="003313D0">
      <w:pPr>
        <w:pStyle w:val="ParaNum"/>
        <w:widowControl/>
      </w:pPr>
      <w:r>
        <w:t xml:space="preserve">First, InnoCaption shall </w:t>
      </w:r>
      <w:r w:rsidRPr="00A65179">
        <w:t xml:space="preserve">implement 911 calling arrangements </w:t>
      </w:r>
      <w:r w:rsidR="00CD65C8" w:rsidRPr="00CD65C8">
        <w:t xml:space="preserve">that comply with the Commission’s rules </w:t>
      </w:r>
      <w:r>
        <w:t xml:space="preserve">and submit a detailed description of such arrangements, including test results showing that 911 calls consistently were successfully </w:t>
      </w:r>
      <w:r w:rsidR="009465F0">
        <w:t xml:space="preserve">completed </w:t>
      </w:r>
      <w:r>
        <w:t xml:space="preserve">and that the handling of such calls consistently complied in all respects with section 64.605(a) of the Commission’s rules.  Such information shall be submitted </w:t>
      </w:r>
      <w:r w:rsidRPr="00A65179">
        <w:t xml:space="preserve">within </w:t>
      </w:r>
      <w:r w:rsidR="000F1DAD">
        <w:t>90</w:t>
      </w:r>
      <w:r w:rsidR="00443A4D">
        <w:t xml:space="preserve"> days</w:t>
      </w:r>
      <w:r w:rsidRPr="00A65179">
        <w:t xml:space="preserve"> of the date of this Order.</w:t>
      </w:r>
      <w:r>
        <w:t xml:space="preserve">  Subsequently, the Commission will </w:t>
      </w:r>
      <w:r w:rsidR="00443A4D">
        <w:t xml:space="preserve">review </w:t>
      </w:r>
      <w:r w:rsidR="006908D1">
        <w:t xml:space="preserve">this submission and </w:t>
      </w:r>
      <w:r>
        <w:t>conduct its own testing to verify such compliance</w:t>
      </w:r>
      <w:r w:rsidR="006908D1">
        <w:t xml:space="preserve"> and to determine whether InnoCaption will provide 911 pursuant to the </w:t>
      </w:r>
      <w:r w:rsidR="009465F0">
        <w:t xml:space="preserve">Commission’s </w:t>
      </w:r>
      <w:r w:rsidR="006908D1">
        <w:t xml:space="preserve">rules and </w:t>
      </w:r>
      <w:r w:rsidR="009465F0">
        <w:t>orders</w:t>
      </w:r>
      <w:r w:rsidR="006908D1">
        <w:t>.</w:t>
      </w:r>
    </w:p>
    <w:p w:rsidR="00681ED0" w:rsidRDefault="00681ED0" w:rsidP="00681ED0">
      <w:pPr>
        <w:pStyle w:val="ParaNum"/>
      </w:pPr>
      <w:r>
        <w:t xml:space="preserve">Second, </w:t>
      </w:r>
      <w:r w:rsidR="001E7E1C">
        <w:t>InnoCaption will be required to establish a comprehensive compliance plan and reporting requirements to demonstrate measures taken to ensure future compliance</w:t>
      </w:r>
      <w:r w:rsidR="001E7E1C" w:rsidDel="001E7E1C">
        <w:rPr>
          <w:rStyle w:val="CommentReference"/>
        </w:rPr>
        <w:t xml:space="preserve"> </w:t>
      </w:r>
      <w:r w:rsidR="001E7E1C">
        <w:rPr>
          <w:rStyle w:val="CommentReference"/>
          <w:sz w:val="22"/>
          <w:szCs w:val="22"/>
        </w:rPr>
        <w:t>with the Commission</w:t>
      </w:r>
      <w:r w:rsidR="00AE26BA">
        <w:rPr>
          <w:rStyle w:val="CommentReference"/>
          <w:sz w:val="22"/>
          <w:szCs w:val="22"/>
        </w:rPr>
        <w:t>’</w:t>
      </w:r>
      <w:r w:rsidR="001E7E1C">
        <w:rPr>
          <w:rStyle w:val="CommentReference"/>
          <w:sz w:val="22"/>
          <w:szCs w:val="22"/>
        </w:rPr>
        <w:t>s emergency call handling rule</w:t>
      </w:r>
      <w:r w:rsidR="00AE26BA">
        <w:rPr>
          <w:rStyle w:val="CommentReference"/>
          <w:sz w:val="22"/>
          <w:szCs w:val="22"/>
        </w:rPr>
        <w:t xml:space="preserve"> </w:t>
      </w:r>
      <w:r w:rsidR="00AE26BA">
        <w:t>and other TRS rules, as well as the Commission’s orders and directives related to these rules</w:t>
      </w:r>
      <w:r w:rsidR="001E7E1C">
        <w:rPr>
          <w:rStyle w:val="CommentReference"/>
          <w:sz w:val="22"/>
          <w:szCs w:val="22"/>
        </w:rPr>
        <w:t>.</w:t>
      </w:r>
      <w:r w:rsidR="00ED276F" w:rsidDel="00ED276F">
        <w:rPr>
          <w:rStyle w:val="CommentReference"/>
          <w:sz w:val="22"/>
          <w:szCs w:val="22"/>
        </w:rPr>
        <w:t xml:space="preserve"> </w:t>
      </w:r>
    </w:p>
    <w:p w:rsidR="007D4D79" w:rsidRDefault="000F1DAD" w:rsidP="008940E8">
      <w:pPr>
        <w:pStyle w:val="ParaNum"/>
      </w:pPr>
      <w:r>
        <w:t>Third</w:t>
      </w:r>
      <w:r w:rsidR="007D4D79">
        <w:t xml:space="preserve">, until InnoCaption satisfies these conditions, it shall </w:t>
      </w:r>
      <w:r w:rsidR="009D7356">
        <w:t xml:space="preserve">submit a </w:t>
      </w:r>
      <w:r>
        <w:t>report to the Chief, Disability Rights Office, on the first day of</w:t>
      </w:r>
      <w:r w:rsidR="007D4D79">
        <w:t xml:space="preserve"> each month, </w:t>
      </w:r>
      <w:r>
        <w:t>providing details on the status and progress</w:t>
      </w:r>
      <w:r w:rsidR="007D4D79">
        <w:t xml:space="preserve"> of its efforts to comply with the 911 rules.</w:t>
      </w:r>
    </w:p>
    <w:p w:rsidR="005300D5" w:rsidRDefault="005300D5" w:rsidP="008940E8">
      <w:pPr>
        <w:pStyle w:val="ParaNum"/>
      </w:pPr>
      <w:r>
        <w:t xml:space="preserve">Upon satisfactory completion of these </w:t>
      </w:r>
      <w:r w:rsidR="00812261">
        <w:t>conditions</w:t>
      </w:r>
      <w:r>
        <w:t xml:space="preserve">, and in the absence of other noncompliance, the Bureau will lift the suspension of InnoCaption’s conditional certification. </w:t>
      </w:r>
      <w:r w:rsidR="00443A4D">
        <w:t xml:space="preserve"> </w:t>
      </w:r>
      <w:r w:rsidR="00443A4D" w:rsidRPr="00443A4D">
        <w:t xml:space="preserve">If </w:t>
      </w:r>
      <w:r w:rsidR="00812261">
        <w:t xml:space="preserve">these conditions are not </w:t>
      </w:r>
      <w:r w:rsidR="00B10D60">
        <w:t>satisfied</w:t>
      </w:r>
      <w:r w:rsidR="00443A4D" w:rsidRPr="00443A4D">
        <w:t xml:space="preserve"> by October </w:t>
      </w:r>
      <w:r w:rsidR="006D7159">
        <w:t>7</w:t>
      </w:r>
      <w:r w:rsidR="00443A4D" w:rsidRPr="00443A4D">
        <w:t>, 2015</w:t>
      </w:r>
      <w:r w:rsidR="00B10D60">
        <w:t xml:space="preserve"> (</w:t>
      </w:r>
      <w:r w:rsidR="00443A4D" w:rsidRPr="00443A4D">
        <w:t xml:space="preserve">six months from April </w:t>
      </w:r>
      <w:r w:rsidR="006D7159">
        <w:t>7</w:t>
      </w:r>
      <w:r w:rsidR="00443A4D" w:rsidRPr="00443A4D">
        <w:t>, 201</w:t>
      </w:r>
      <w:r w:rsidR="00B55524">
        <w:t>5</w:t>
      </w:r>
      <w:r w:rsidR="00443A4D" w:rsidRPr="00443A4D">
        <w:t xml:space="preserve">, </w:t>
      </w:r>
      <w:r w:rsidR="00B10D60">
        <w:t xml:space="preserve">the date when the suspension commences), </w:t>
      </w:r>
      <w:r w:rsidR="009D7356">
        <w:t>the Bureau will take appropriate action</w:t>
      </w:r>
      <w:r w:rsidR="00240531">
        <w:t>, which may include denial of certification to InnoCaption</w:t>
      </w:r>
      <w:r w:rsidR="00A21A8C">
        <w:t>.</w:t>
      </w:r>
    </w:p>
    <w:p w:rsidR="007D6E3D" w:rsidRDefault="007D6E3D">
      <w:pPr>
        <w:pStyle w:val="Heading1"/>
      </w:pPr>
      <w:r>
        <w:t>Ordering clauses</w:t>
      </w:r>
    </w:p>
    <w:p w:rsidR="00BF5F18" w:rsidRDefault="007D6E3D" w:rsidP="003313D0">
      <w:pPr>
        <w:pStyle w:val="ParaNum"/>
        <w:widowControl/>
        <w:tabs>
          <w:tab w:val="left" w:pos="720"/>
        </w:tabs>
      </w:pPr>
      <w:r>
        <w:t>Accordingly, IT IS ORDERED that, pursuant to the authority contained in sections 4(i) and 4(j) and 225 of the Communications Act of 1934, as amended, 47 U.S.C. §§ 154(i), 154(j) and 225, and sections 0.141, 0.361 and 1.3 of the Commission’s rules, 47 C.F.R. §§ 0.141, 0.361 and 1.3, this Order IS ADOPTED.</w:t>
      </w:r>
    </w:p>
    <w:p w:rsidR="007D6E3D" w:rsidRDefault="007D6E3D" w:rsidP="007C598B">
      <w:pPr>
        <w:pStyle w:val="ParaNum"/>
        <w:tabs>
          <w:tab w:val="left" w:pos="720"/>
        </w:tabs>
      </w:pPr>
      <w:r>
        <w:t>IT IS FURTHER ORDERED that this Order SHALL BE EFFECTIVE upon release.</w:t>
      </w:r>
    </w:p>
    <w:p w:rsidR="007D6E3D" w:rsidRDefault="007D6E3D"/>
    <w:p w:rsidR="007D6E3D" w:rsidRDefault="007D6E3D">
      <w:pPr>
        <w:ind w:left="3600" w:firstLine="720"/>
      </w:pPr>
      <w:r>
        <w:t>FEDERAL COMMUNICATIONS COMMISSION</w:t>
      </w:r>
    </w:p>
    <w:p w:rsidR="007D6E3D" w:rsidRDefault="007D6E3D"/>
    <w:p w:rsidR="007D6E3D" w:rsidRDefault="007D6E3D"/>
    <w:p w:rsidR="007D6E3D" w:rsidRDefault="007D6E3D"/>
    <w:p w:rsidR="007D6E3D" w:rsidRDefault="007D6E3D" w:rsidP="0089194E">
      <w:pPr>
        <w:ind w:left="3600" w:firstLine="720"/>
      </w:pPr>
      <w:r>
        <w:t>Kris Anne Monteith</w:t>
      </w:r>
    </w:p>
    <w:p w:rsidR="007D6E3D" w:rsidRDefault="007D6E3D" w:rsidP="00DF6871">
      <w:pPr>
        <w:ind w:left="3600" w:firstLine="720"/>
      </w:pPr>
      <w:r>
        <w:t>Acting Chief</w:t>
      </w:r>
    </w:p>
    <w:p w:rsidR="007D6E3D" w:rsidRDefault="007D6E3D" w:rsidP="00DF6871">
      <w:pPr>
        <w:ind w:left="3600" w:firstLine="720"/>
        <w:rPr>
          <w:color w:val="000000"/>
        </w:rPr>
      </w:pPr>
      <w:r>
        <w:t>Consumer and Governmental Affairs Bureau</w:t>
      </w:r>
    </w:p>
    <w:sectPr w:rsidR="007D6E3D" w:rsidSect="003313D0">
      <w:endnotePr>
        <w:numFmt w:val="decimal"/>
      </w:endnotePr>
      <w:type w:val="continuous"/>
      <w:pgSz w:w="12240" w:h="15840"/>
      <w:pgMar w:top="1440" w:right="1440" w:bottom="720" w:left="1440" w:header="720" w:footer="473"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85" w:rsidRDefault="00685C85">
      <w:pPr>
        <w:spacing w:line="20" w:lineRule="exact"/>
      </w:pPr>
    </w:p>
    <w:p w:rsidR="00685C85" w:rsidRDefault="00685C85"/>
  </w:endnote>
  <w:endnote w:type="continuationSeparator" w:id="0">
    <w:p w:rsidR="00685C85" w:rsidRDefault="00685C85">
      <w:r>
        <w:t xml:space="preserve"> </w:t>
      </w:r>
    </w:p>
    <w:p w:rsidR="00685C85" w:rsidRDefault="00685C85"/>
  </w:endnote>
  <w:endnote w:type="continuationNotice" w:id="1">
    <w:p w:rsidR="00685C85" w:rsidRDefault="00685C85">
      <w:r>
        <w:t xml:space="preserve"> </w:t>
      </w:r>
    </w:p>
    <w:p w:rsidR="00685C85" w:rsidRDefault="00685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AD" w:rsidRDefault="000F1DAD">
    <w:pPr>
      <w:pStyle w:val="Footer"/>
      <w:framePr w:wrap="around" w:vAnchor="text" w:hAnchor="margin" w:xAlign="center" w:y="1"/>
    </w:pPr>
    <w:r>
      <w:fldChar w:fldCharType="begin"/>
    </w:r>
    <w:r>
      <w:instrText xml:space="preserve">PAGE  </w:instrText>
    </w:r>
    <w:r>
      <w:fldChar w:fldCharType="end"/>
    </w:r>
  </w:p>
  <w:p w:rsidR="000F1DAD" w:rsidRDefault="000F1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AD" w:rsidRDefault="000F1DAD">
    <w:pPr>
      <w:pStyle w:val="Footer"/>
      <w:framePr w:wrap="around" w:vAnchor="text" w:hAnchor="margin" w:xAlign="center" w:y="1"/>
    </w:pPr>
    <w:r>
      <w:fldChar w:fldCharType="begin"/>
    </w:r>
    <w:r>
      <w:instrText xml:space="preserve">PAGE  </w:instrText>
    </w:r>
    <w:r>
      <w:fldChar w:fldCharType="separate"/>
    </w:r>
    <w:r w:rsidR="005D28A0">
      <w:rPr>
        <w:noProof/>
      </w:rPr>
      <w:t>2</w:t>
    </w:r>
    <w:r>
      <w:fldChar w:fldCharType="end"/>
    </w:r>
  </w:p>
  <w:p w:rsidR="000F1DAD" w:rsidRDefault="000F1DAD">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AD" w:rsidRDefault="000F1DA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85" w:rsidRDefault="00685C85">
      <w:r>
        <w:separator/>
      </w:r>
    </w:p>
  </w:footnote>
  <w:footnote w:type="continuationSeparator" w:id="0">
    <w:p w:rsidR="00685C85" w:rsidRDefault="00685C85">
      <w:pPr>
        <w:rPr>
          <w:sz w:val="20"/>
        </w:rPr>
      </w:pPr>
      <w:r>
        <w:rPr>
          <w:sz w:val="20"/>
        </w:rPr>
        <w:t xml:space="preserve">(Continued from previous page)  </w:t>
      </w:r>
      <w:r>
        <w:rPr>
          <w:sz w:val="20"/>
        </w:rPr>
        <w:separator/>
      </w:r>
    </w:p>
  </w:footnote>
  <w:footnote w:type="continuationNotice" w:id="1">
    <w:p w:rsidR="00685C85" w:rsidRDefault="00685C85">
      <w:pPr>
        <w:rPr>
          <w:sz w:val="20"/>
        </w:rPr>
      </w:pPr>
      <w:r>
        <w:rPr>
          <w:sz w:val="20"/>
        </w:rPr>
        <w:t>(continued…)</w:t>
      </w:r>
    </w:p>
    <w:p w:rsidR="00685C85" w:rsidRDefault="00685C85"/>
  </w:footnote>
  <w:footnote w:id="2">
    <w:p w:rsidR="000F1DAD" w:rsidRPr="007F028F" w:rsidRDefault="000F1DAD" w:rsidP="00C1338B">
      <w:pPr>
        <w:pStyle w:val="FootnoteText"/>
      </w:pPr>
      <w:r w:rsidRPr="007F028F">
        <w:rPr>
          <w:rStyle w:val="FootnoteReference"/>
        </w:rPr>
        <w:footnoteRef/>
      </w:r>
      <w:r w:rsidRPr="007F028F">
        <w:t xml:space="preserve"> </w:t>
      </w:r>
      <w:r w:rsidRPr="007F028F">
        <w:rPr>
          <w:i/>
        </w:rPr>
        <w:t xml:space="preserve">See generally </w:t>
      </w:r>
      <w:r w:rsidRPr="007F028F">
        <w:t>47 C.F.R. §§ 0.141, 0.361.</w:t>
      </w:r>
    </w:p>
  </w:footnote>
  <w:footnote w:id="3">
    <w:p w:rsidR="000F1DAD" w:rsidRPr="007F028F" w:rsidRDefault="000F1DAD">
      <w:pPr>
        <w:pStyle w:val="FootnoteText"/>
      </w:pPr>
      <w:r w:rsidRPr="007F028F">
        <w:rPr>
          <w:rStyle w:val="FootnoteReference"/>
        </w:rPr>
        <w:footnoteRef/>
      </w:r>
      <w:r w:rsidRPr="007F028F">
        <w:t xml:space="preserve"> Miracom USA, Inc., Application of Miracom USA, Inc. for Certification to Provide IP Captioned Telephone Service</w:t>
      </w:r>
      <w:r w:rsidRPr="007F028F">
        <w:rPr>
          <w:i/>
          <w:iCs/>
        </w:rPr>
        <w:t xml:space="preserve">, </w:t>
      </w:r>
      <w:r w:rsidRPr="007F028F">
        <w:t>CG Docket No. 03-123 (filed Nov. 23, 2011) (Application).  After the grant of its application, InnoCaption changed its name from Miracom USA, Inc., to InnoCaption, Inc.  Letter from George L. Lyon, Jr., Counsel, InnoCaption, Inc., to Marlene H. Dortch, Secretary, FCC, CG Docket Nos. 13-24, 03-123 (Aug. 11, 2014).  Throughout this Order, except in citations to company filings and correspondence to or from the company under its former name, the company is referred to as “InnoCaption.”</w:t>
      </w:r>
    </w:p>
  </w:footnote>
  <w:footnote w:id="4">
    <w:p w:rsidR="000F1DAD" w:rsidRPr="00E86808" w:rsidRDefault="000F1DAD" w:rsidP="009C0C6E">
      <w:pPr>
        <w:spacing w:after="120"/>
        <w:rPr>
          <w:sz w:val="20"/>
        </w:rPr>
      </w:pPr>
      <w:r w:rsidRPr="007F028F">
        <w:rPr>
          <w:rStyle w:val="FootnoteReference"/>
        </w:rPr>
        <w:footnoteRef/>
      </w:r>
      <w:r w:rsidRPr="00E86808">
        <w:rPr>
          <w:sz w:val="20"/>
        </w:rPr>
        <w:t xml:space="preserve"> </w:t>
      </w:r>
      <w:r w:rsidRPr="00E86808">
        <w:rPr>
          <w:i/>
          <w:sz w:val="20"/>
        </w:rPr>
        <w:t xml:space="preserve">See </w:t>
      </w:r>
      <w:r w:rsidRPr="00E86808">
        <w:rPr>
          <w:sz w:val="20"/>
        </w:rPr>
        <w:t>47 C.F.R. § 64.606.  The Communications Act of 1934, as amended, defines (TRS) as:</w:t>
      </w:r>
    </w:p>
    <w:p w:rsidR="000F1DAD" w:rsidRPr="00E86808" w:rsidRDefault="000F1DAD" w:rsidP="009C0C6E">
      <w:pPr>
        <w:spacing w:after="120"/>
        <w:ind w:left="720" w:right="720"/>
        <w:rPr>
          <w:sz w:val="20"/>
        </w:rPr>
      </w:pPr>
      <w:r w:rsidRPr="00E86808">
        <w:rPr>
          <w:sz w:val="20"/>
        </w:rPr>
        <w:t>. . .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p>
    <w:p w:rsidR="000F1DAD" w:rsidRPr="007F028F" w:rsidRDefault="000F1DAD" w:rsidP="009C0C6E">
      <w:pPr>
        <w:pStyle w:val="FootnoteText"/>
      </w:pPr>
      <w:r w:rsidRPr="007F028F">
        <w:t>47 U.S.C. § 225(a)(3).  IP CTS is a telecommunications relay service designed to allow people with hearing loss to speak directly to another party on a telephone call and to simultaneously listen to the other party and read captions of what that party is saying over an Internet Protocol (IP) enabled device.  47 C.F.R. § 64.601(a)(16).  The TRS Fund compensates eligible providers of IP CTS and other forms of Internet-based and interstate TRS for their reasonable costs of providing these services.  47 C.F.R. § 64.604(c)(5)(iii).</w:t>
      </w:r>
    </w:p>
  </w:footnote>
  <w:footnote w:id="5">
    <w:p w:rsidR="000F1DAD" w:rsidRPr="007F028F" w:rsidRDefault="000F1DAD">
      <w:pPr>
        <w:pStyle w:val="FootnoteText"/>
      </w:pPr>
      <w:r w:rsidRPr="007F028F">
        <w:rPr>
          <w:rStyle w:val="FootnoteReference"/>
        </w:rPr>
        <w:footnoteRef/>
      </w:r>
      <w:r w:rsidRPr="007F028F">
        <w:t xml:space="preserve"> </w:t>
      </w:r>
      <w:r w:rsidRPr="007F028F">
        <w:rPr>
          <w:i/>
        </w:rPr>
        <w:t>Notice of Conditional Grant of Application of Miracom USA, Inc., for Certification as a Provider of Internet Protocol Captioned Telephone Service Eligible for Compensation from the Telecommunications Relay Services Fund</w:t>
      </w:r>
      <w:r w:rsidRPr="007F028F">
        <w:t>, Public Notice, 29 FCC Rcd 5105, 5106 (CGB 2014) (</w:t>
      </w:r>
      <w:r w:rsidRPr="007F028F">
        <w:rPr>
          <w:i/>
        </w:rPr>
        <w:t>InnoCaption Certification PN</w:t>
      </w:r>
      <w:r w:rsidRPr="007F028F">
        <w:t>).</w:t>
      </w:r>
    </w:p>
  </w:footnote>
  <w:footnote w:id="6">
    <w:p w:rsidR="000F1DAD" w:rsidRPr="007F028F" w:rsidRDefault="000F1DAD" w:rsidP="00D57489">
      <w:pPr>
        <w:pStyle w:val="FootnoteText"/>
      </w:pPr>
      <w:r w:rsidRPr="007F028F">
        <w:rPr>
          <w:rStyle w:val="FootnoteReference"/>
        </w:rPr>
        <w:footnoteRef/>
      </w:r>
      <w:r w:rsidRPr="007F028F">
        <w:t xml:space="preserve"> </w:t>
      </w:r>
      <w:r w:rsidRPr="007F028F">
        <w:rPr>
          <w:i/>
        </w:rPr>
        <w:t>InnoCaption Certification PN</w:t>
      </w:r>
      <w:r w:rsidRPr="007F028F">
        <w:t>.</w:t>
      </w:r>
    </w:p>
  </w:footnote>
  <w:footnote w:id="7">
    <w:p w:rsidR="000F1DAD" w:rsidRPr="007F028F" w:rsidRDefault="000F1DAD" w:rsidP="00C954A4">
      <w:pPr>
        <w:pStyle w:val="FootnoteText"/>
      </w:pPr>
      <w:r w:rsidRPr="007F028F">
        <w:rPr>
          <w:rStyle w:val="FootnoteReference"/>
        </w:rPr>
        <w:footnoteRef/>
      </w:r>
      <w:r w:rsidRPr="007F028F">
        <w:t xml:space="preserve"> Application; Letter from George L. Lyon, Jr., Lukas, Nace, Gutierrez &amp; Sachs, LLP, to Marlene H. Dortch, FCC Secretary, and attachments, CG Docket Nos. 03-123, 10-51 (filed May 7, 2012) (Miracom May 7, 2012 Submission); Miracom, Amendment to Application of Miracom USA, Inc. for Certification to Provide IP Captioned Telephone Service, CG Docket Nos. 03-123, 10-51 (filed May 17, 2012) (Miracom May 17, 2012 Amendment); Miracom, Amendment to Application of Miracom USA, Inc. for Certification to Provide IP Captioned Telephone Service, CG Docket Nos. 03-123, 10-51 (filed Aug. 6, 2013); Letter from George L. Lyon, Jr., Lukas, Nace, Gutierrez &amp; Sachs, LLP, to Marlene H. Dortch, FCC Secretary, CG Docket Nos. 03-123, 10-51, and attachments (filed Aug. 12, 2012); Miracom, Amendment to Application of Miracom USA, Inc. for Certification to Provide IP Captioned Telephone Service, CG Docket Nos. 03-123, 10-51 (filed Sept. 12, 2013); Email from George Lyon, Lukas, Nace, Gutierrez &amp; Sachs, LLP, to Robert Aldrich, CGB, and attachments (received Dec. 11, 2013) (Miracom December 11, 2013 Submission). </w:t>
      </w:r>
    </w:p>
  </w:footnote>
  <w:footnote w:id="8">
    <w:p w:rsidR="000F1DAD" w:rsidRPr="007F028F" w:rsidRDefault="000F1DAD">
      <w:pPr>
        <w:pStyle w:val="FootnoteText"/>
      </w:pPr>
      <w:r w:rsidRPr="007F028F">
        <w:rPr>
          <w:rStyle w:val="FootnoteReference"/>
        </w:rPr>
        <w:footnoteRef/>
      </w:r>
      <w:r w:rsidRPr="007F028F">
        <w:t xml:space="preserve"> </w:t>
      </w:r>
      <w:r w:rsidRPr="007F028F">
        <w:rPr>
          <w:i/>
        </w:rPr>
        <w:t>InnoCaption Certification PN</w:t>
      </w:r>
      <w:r w:rsidRPr="007F028F">
        <w:t xml:space="preserve">, 29 FCC Rcd at 5111.  The certification rules require the Commission to find that an applicant’s service “will meet or exceed” the minimum TRS standards.  47 C.F.R. §§ 64.606(b)(2)(i).  </w:t>
      </w:r>
    </w:p>
  </w:footnote>
  <w:footnote w:id="9">
    <w:p w:rsidR="000F1DAD" w:rsidRPr="007F028F" w:rsidRDefault="000F1DAD">
      <w:pPr>
        <w:pStyle w:val="FootnoteText"/>
      </w:pPr>
      <w:r w:rsidRPr="007F028F">
        <w:rPr>
          <w:rStyle w:val="FootnoteReference"/>
        </w:rPr>
        <w:footnoteRef/>
      </w:r>
      <w:r w:rsidRPr="007F028F">
        <w:t xml:space="preserve"> </w:t>
      </w:r>
      <w:r w:rsidRPr="007F028F">
        <w:rPr>
          <w:i/>
        </w:rPr>
        <w:t>InnoCaption Certification PN</w:t>
      </w:r>
      <w:r w:rsidRPr="007F028F">
        <w:t>, 29 FCC Rcd at 5110.</w:t>
      </w:r>
      <w:r w:rsidRPr="007F028F">
        <w:rPr>
          <w:i/>
        </w:rPr>
        <w:t xml:space="preserve">  </w:t>
      </w:r>
    </w:p>
  </w:footnote>
  <w:footnote w:id="10">
    <w:p w:rsidR="000F1DAD" w:rsidRPr="007F028F" w:rsidRDefault="000F1DAD">
      <w:pPr>
        <w:pStyle w:val="FootnoteText"/>
      </w:pPr>
      <w:r w:rsidRPr="007F028F">
        <w:rPr>
          <w:rStyle w:val="FootnoteReference"/>
        </w:rPr>
        <w:footnoteRef/>
      </w:r>
      <w:r w:rsidRPr="007F028F">
        <w:t xml:space="preserve"> </w:t>
      </w:r>
      <w:r w:rsidRPr="007F028F">
        <w:rPr>
          <w:i/>
        </w:rPr>
        <w:t>See, e.g.</w:t>
      </w:r>
      <w:r w:rsidRPr="007F028F">
        <w:t xml:space="preserve">, </w:t>
      </w:r>
      <w:r w:rsidRPr="007F028F">
        <w:rPr>
          <w:i/>
          <w:iCs/>
        </w:rPr>
        <w:t>Revision of the Commission's Rules to Ensure Compatibility with Enhanced 911 Emergency Calling Systems</w:t>
      </w:r>
      <w:r w:rsidRPr="007F028F">
        <w:t>, CC Docket No. 94-102, RM-8143, 11 FCC Rcd 18676, 18679, ¶ 5 (1996) (</w:t>
      </w:r>
      <w:r w:rsidRPr="007F028F">
        <w:rPr>
          <w:i/>
          <w:iCs/>
        </w:rPr>
        <w:t>E911 First Report and Order</w:t>
      </w:r>
      <w:r w:rsidRPr="007F028F">
        <w:t xml:space="preserve">) (“E911 saves lives and property by helping emergency services personnel do their jobs more quickly and efficiently”); </w:t>
      </w:r>
      <w:r w:rsidRPr="007F028F">
        <w:rPr>
          <w:i/>
          <w:iCs/>
        </w:rPr>
        <w:t>Revision of the Commission's Rules to Ensure Compatibility with Enhanced 911 Emergency Calling Systems; Amendment of Parts 2 and 25 to Implement the Global Mobile Personal Communications by Satellite (GMPCS) Memorandum of Understanding and Arrangements; Petition of the National Telecommunications and Information Administration to Amend Part 25 of the Commission's Rules to Establish Emissions Limits for Mobile and Portable Earth Stations Operating in the 1610-1660.5 MHz Band</w:t>
      </w:r>
      <w:r w:rsidRPr="007F028F">
        <w:t>, CC Docket No. 94-102, IB Docket No. 99-67, Report and Order and Second Further Notice of Proposed Rulemaking, 18 FCC Rcd 25340, 25340, ¶ 1 (2003) (</w:t>
      </w:r>
      <w:r w:rsidRPr="007F028F">
        <w:rPr>
          <w:i/>
          <w:iCs/>
        </w:rPr>
        <w:t>E911 Scope Order</w:t>
      </w:r>
      <w:r w:rsidRPr="007F028F">
        <w:t>) (“911 service is critical to our Nation's ability to respond to a host of crises.”);</w:t>
      </w:r>
      <w:r w:rsidRPr="00E86808">
        <w:rPr>
          <w:i/>
          <w:snapToGrid w:val="0"/>
          <w:kern w:val="28"/>
        </w:rPr>
        <w:t xml:space="preserve"> </w:t>
      </w:r>
      <w:r w:rsidRPr="007F028F">
        <w:rPr>
          <w:i/>
        </w:rPr>
        <w:t>IP-Enabled Services; E911 Requirements for IP-Enabled Service Providers</w:t>
      </w:r>
      <w:r w:rsidRPr="007F028F">
        <w:t>, 20 FCC Rcd 10245,</w:t>
      </w:r>
      <w:r w:rsidRPr="00E86808">
        <w:rPr>
          <w:snapToGrid w:val="0"/>
          <w:kern w:val="28"/>
        </w:rPr>
        <w:t xml:space="preserve"> </w:t>
      </w:r>
      <w:r w:rsidRPr="007F028F">
        <w:t>10267, ¶ 37 (2005) (requiring that “within 120 days of the effective date of this Order,</w:t>
      </w:r>
      <w:bookmarkStart w:id="1" w:name="Document1zzF00332010920614"/>
      <w:bookmarkEnd w:id="1"/>
      <w:r w:rsidRPr="007F028F">
        <w:t xml:space="preserve"> an interconnected </w:t>
      </w:r>
      <w:r w:rsidRPr="007F028F">
        <w:rPr>
          <w:bCs/>
        </w:rPr>
        <w:t>VoIP</w:t>
      </w:r>
      <w:r w:rsidRPr="007F028F">
        <w:t xml:space="preserve"> provider must transmit all </w:t>
      </w:r>
      <w:r w:rsidRPr="007F028F">
        <w:rPr>
          <w:bCs/>
        </w:rPr>
        <w:t>911</w:t>
      </w:r>
      <w:r w:rsidRPr="007F028F">
        <w:t xml:space="preserve"> calls, as well as a call back number and the caller's ‘Registered Location’ for each call, to the PSAP, designated statewide default answering point, or appropriate local emergency authority that serves the caller's Registered Location”), </w:t>
      </w:r>
      <w:r w:rsidRPr="007F028F">
        <w:rPr>
          <w:i/>
        </w:rPr>
        <w:t>aff’d</w:t>
      </w:r>
      <w:r w:rsidRPr="007F028F">
        <w:t xml:space="preserve"> Nuvio Corp. v. FCC, 473 F.3d 302 (2007).  </w:t>
      </w:r>
    </w:p>
  </w:footnote>
  <w:footnote w:id="11">
    <w:p w:rsidR="000F1DAD" w:rsidRPr="007F028F" w:rsidRDefault="000F1DAD" w:rsidP="00FD6663">
      <w:pPr>
        <w:pStyle w:val="FootnoteText"/>
      </w:pPr>
      <w:r w:rsidRPr="007F028F">
        <w:rPr>
          <w:vertAlign w:val="superscript"/>
        </w:rPr>
        <w:footnoteRef/>
      </w:r>
      <w:r w:rsidRPr="007F028F">
        <w:t xml:space="preserve"> </w:t>
      </w:r>
      <w:r w:rsidRPr="007F028F">
        <w:rPr>
          <w:i/>
        </w:rPr>
        <w:t>See, e.g., Telecommunications Relay Services and Speech-to-Speech Services for Individuals with Hearing and Speech Disabilities</w:t>
      </w:r>
      <w:r w:rsidRPr="007F028F">
        <w:t xml:space="preserve">, CG Docket No. 03-123, Declaratory Ruling and Further Notice of Proposed Rulemaking, 21 FCC Rcd 5442, 5456, ¶¶ 35-36 (2006); </w:t>
      </w:r>
      <w:r w:rsidRPr="007F028F">
        <w:rPr>
          <w:i/>
        </w:rPr>
        <w:t>Telecommunications Relay Services and Speech-to-Speech Services for Individuals with Hearing and Speech Disabilities; E911 Requirements for IP-Enabled Service Providers</w:t>
      </w:r>
      <w:r w:rsidRPr="007F028F">
        <w:t>, CG Docket No. 03-123, WC Docket No. 05-196, Report and Order, 23 FCC Rcd 5255, 5271, ¶ 29 (2008) (</w:t>
      </w:r>
      <w:r w:rsidRPr="007F028F">
        <w:rPr>
          <w:i/>
        </w:rPr>
        <w:t>Emergency Call Handling Order</w:t>
      </w:r>
      <w:r w:rsidRPr="007F028F">
        <w:t xml:space="preserve">); </w:t>
      </w:r>
      <w:r w:rsidRPr="007F028F">
        <w:rPr>
          <w:i/>
        </w:rPr>
        <w:t>see also</w:t>
      </w:r>
      <w:r w:rsidRPr="00E86808">
        <w:t xml:space="preserve"> </w:t>
      </w:r>
      <w:r w:rsidRPr="00E86808">
        <w:rPr>
          <w:i/>
          <w:iCs/>
        </w:rPr>
        <w:t>Telecommunications Relay Services and Speech-to-Speech Services for Individuals with Hearing and Speech Disabilities</w:t>
      </w:r>
      <w:r w:rsidRPr="00E86808">
        <w:rPr>
          <w:i/>
        </w:rPr>
        <w:t>,</w:t>
      </w:r>
      <w:r w:rsidRPr="00E86808">
        <w:t xml:space="preserve"> CC Docket No. 98-67, Report and Order and Further Notice of Proposed Rulemaking, 15 FCC Rcd 5140, 5183-84, ¶¶ 100-01 (2000) (</w:t>
      </w:r>
      <w:r w:rsidRPr="00E86808">
        <w:rPr>
          <w:i/>
        </w:rPr>
        <w:t>2000 TRS Order</w:t>
      </w:r>
      <w:r w:rsidRPr="00E86808">
        <w:t xml:space="preserve">); </w:t>
      </w:r>
      <w:r w:rsidRPr="00E86808">
        <w:rPr>
          <w:i/>
          <w:iCs/>
        </w:rPr>
        <w:t>Telecommunications Relay Services and Speech-to-Speech Services for Individuals with Hearing and Speech Disabilities</w:t>
      </w:r>
      <w:r w:rsidRPr="00E86808">
        <w:t>, Second Report and Order, Order on Reconsideration, and Notice of Proposed Rulemaking, CC Docket No. 98-67, CG Docket No. 03-123, 18 FCC Rcd 12379, 12406-09, ¶¶ 40-46 (2003) (</w:t>
      </w:r>
      <w:r w:rsidRPr="00E86808">
        <w:rPr>
          <w:i/>
        </w:rPr>
        <w:t>2003 TRS Order</w:t>
      </w:r>
      <w:r w:rsidRPr="00E86808">
        <w:t xml:space="preserve">); </w:t>
      </w:r>
      <w:r w:rsidRPr="00E86808">
        <w:rPr>
          <w:i/>
          <w:iCs/>
        </w:rPr>
        <w:t>Telecommunications Relay Services and Speech-to-Speech Services for Individuals with Hearing and Speech Disabilities</w:t>
      </w:r>
      <w:r w:rsidRPr="00E86808">
        <w:rPr>
          <w:iCs/>
        </w:rPr>
        <w:t>, Report and Order, Order on Reconsideration, and Further Notice of Proposed Rulemaking</w:t>
      </w:r>
      <w:r w:rsidRPr="00E86808">
        <w:t>, CC Docket Nos. 90-571, 98-67, CG Docket No. 03-123, 19 FCC Rcd 12475, 12502, ¶ 54 (2004) (</w:t>
      </w:r>
      <w:r w:rsidRPr="00E86808">
        <w:rPr>
          <w:i/>
          <w:iCs/>
        </w:rPr>
        <w:t>2004 TRS Order</w:t>
      </w:r>
      <w:r w:rsidRPr="00E86808">
        <w:t xml:space="preserve">).  </w:t>
      </w:r>
    </w:p>
  </w:footnote>
  <w:footnote w:id="12">
    <w:p w:rsidR="000F1DAD" w:rsidRPr="007F028F" w:rsidRDefault="000F1DAD">
      <w:pPr>
        <w:pStyle w:val="FootnoteText"/>
      </w:pPr>
      <w:r w:rsidRPr="007F028F">
        <w:rPr>
          <w:rStyle w:val="FootnoteReference"/>
        </w:rPr>
        <w:footnoteRef/>
      </w:r>
      <w:r w:rsidRPr="007F028F">
        <w:t xml:space="preserve"> 47 C.F.R. § 64.604(a)(3)(ii).</w:t>
      </w:r>
    </w:p>
  </w:footnote>
  <w:footnote w:id="13">
    <w:p w:rsidR="000F1DAD" w:rsidRPr="007F028F" w:rsidRDefault="000F1DAD" w:rsidP="00C64758">
      <w:pPr>
        <w:pStyle w:val="FootnoteText"/>
      </w:pPr>
      <w:r w:rsidRPr="007F028F">
        <w:rPr>
          <w:rStyle w:val="FootnoteReference"/>
        </w:rPr>
        <w:footnoteRef/>
      </w:r>
      <w:r w:rsidRPr="007F028F">
        <w:t xml:space="preserve"> 47 C.F.R. § 64.605(a); </w:t>
      </w:r>
      <w:r w:rsidRPr="007F028F">
        <w:rPr>
          <w:i/>
        </w:rPr>
        <w:t>see also Telecommunications Relay Services and Speech-to-Speech Services for Individuals with Hearing and Speech Disabilities, E911 Requirements for IP-Enabled Service Providers</w:t>
      </w:r>
      <w:r w:rsidRPr="007F028F">
        <w:t>, CG Docket No. 03-123 and WC Docket No. 05-196, Report and Order, 23 FCC Rcd 5255 (2008) (</w:t>
      </w:r>
      <w:r w:rsidRPr="007F028F">
        <w:rPr>
          <w:i/>
        </w:rPr>
        <w:t>Interim Emergency Call Handling Order</w:t>
      </w:r>
      <w:r w:rsidRPr="007F028F">
        <w:t xml:space="preserve">) (adopting 47 C.F.R. § 64.605, which was later recodified as 47 C.F.R. § 64.605(a)).    </w:t>
      </w:r>
    </w:p>
  </w:footnote>
  <w:footnote w:id="14">
    <w:p w:rsidR="000F1DAD" w:rsidRPr="007F028F" w:rsidRDefault="000F1DAD" w:rsidP="00C64758">
      <w:pPr>
        <w:pStyle w:val="FootnoteText"/>
      </w:pPr>
      <w:r w:rsidRPr="007F028F">
        <w:rPr>
          <w:rStyle w:val="FootnoteReference"/>
        </w:rPr>
        <w:footnoteRef/>
      </w:r>
      <w:r w:rsidRPr="007F028F">
        <w:t xml:space="preserve"> </w:t>
      </w:r>
      <w:r w:rsidRPr="007F028F">
        <w:rPr>
          <w:i/>
        </w:rPr>
        <w:t>Interim Emergency Call Handling Order,</w:t>
      </w:r>
      <w:r w:rsidRPr="007F028F">
        <w:t xml:space="preserve"> 23 FCC Rcd at 5263, ¶ 30 n.59; </w:t>
      </w:r>
      <w:r w:rsidRPr="007F028F">
        <w:rPr>
          <w:i/>
          <w:iCs/>
        </w:rPr>
        <w:t>Telecommunications Relay Services and Speech-to-Speech Services for Individuals with Hearing and Speech Disabilities</w:t>
      </w:r>
      <w:r w:rsidRPr="007F028F">
        <w:t xml:space="preserve">; </w:t>
      </w:r>
      <w:r w:rsidRPr="007F028F">
        <w:rPr>
          <w:i/>
          <w:iCs/>
        </w:rPr>
        <w:t>Purple Communications, Inc., Request for Review of Withholding of TRS Payments</w:t>
      </w:r>
      <w:r w:rsidRPr="007F028F">
        <w:t>, CG Docket No. 03-123, Order, 29 FCC Rcd 13716, 13717-18, ¶ 4 (CGB 2014) (</w:t>
      </w:r>
      <w:r w:rsidRPr="007F028F">
        <w:rPr>
          <w:i/>
        </w:rPr>
        <w:t>Purple Withholding Order</w:t>
      </w:r>
      <w:r w:rsidRPr="007F028F">
        <w:t xml:space="preserve">), </w:t>
      </w:r>
      <w:r w:rsidRPr="007F028F">
        <w:rPr>
          <w:i/>
        </w:rPr>
        <w:t>application for review pending</w:t>
      </w:r>
      <w:r w:rsidRPr="007F028F">
        <w:t xml:space="preserve">; </w:t>
      </w:r>
      <w:r w:rsidRPr="007F028F">
        <w:rPr>
          <w:i/>
        </w:rPr>
        <w:t>see also</w:t>
      </w:r>
      <w:r w:rsidRPr="007F028F">
        <w:t xml:space="preserve"> 47 U.S.C. § 64.605(a)(1).  These rules do not apply to IP CTS calls utilizing the PSTN for the voice portion of the call because the telephone carrier or voice over the Internet (VoIP) provider completes the call to the 911 provider.  </w:t>
      </w:r>
      <w:r w:rsidRPr="007F028F">
        <w:rPr>
          <w:i/>
        </w:rPr>
        <w:t>See Interim Emergency Call Handling Order,</w:t>
      </w:r>
      <w:r w:rsidRPr="007F028F">
        <w:t xml:space="preserve"> 23 FCC Rcd at 5263, ¶ 30 n.59.</w:t>
      </w:r>
      <w:r w:rsidRPr="007F028F">
        <w:rPr>
          <w:highlight w:val="yellow"/>
        </w:rPr>
        <w:t xml:space="preserve">  </w:t>
      </w:r>
    </w:p>
  </w:footnote>
  <w:footnote w:id="15">
    <w:p w:rsidR="000F1DAD" w:rsidRPr="007F028F" w:rsidRDefault="000F1DAD" w:rsidP="002A70FE">
      <w:pPr>
        <w:pStyle w:val="FootnoteText"/>
      </w:pPr>
      <w:r w:rsidRPr="007F028F">
        <w:rPr>
          <w:rStyle w:val="FootnoteReference"/>
        </w:rPr>
        <w:footnoteRef/>
      </w:r>
      <w:r w:rsidRPr="007F028F">
        <w:t xml:space="preserve"> 47 C.F.R. § 64.605(a).  Section 64.605(b) sets forth additional and alternative requirements applicable to providers of VRS and IP Relay when handling 911 calls placed by registered users.  </w:t>
      </w:r>
      <w:r w:rsidRPr="007F028F">
        <w:rPr>
          <w:i/>
        </w:rPr>
        <w:t>Id</w:t>
      </w:r>
      <w:r w:rsidRPr="007F028F">
        <w:t xml:space="preserve">. § 64.605(b).  </w:t>
      </w:r>
    </w:p>
  </w:footnote>
  <w:footnote w:id="16">
    <w:p w:rsidR="000F1DAD" w:rsidRPr="007F028F" w:rsidRDefault="000F1DAD" w:rsidP="002A70FE">
      <w:pPr>
        <w:pStyle w:val="FootnoteText"/>
        <w:rPr>
          <w:b/>
        </w:rPr>
      </w:pPr>
      <w:r w:rsidRPr="007F028F">
        <w:rPr>
          <w:rStyle w:val="FootnoteReference"/>
        </w:rPr>
        <w:footnoteRef/>
      </w:r>
      <w:r w:rsidRPr="007F028F">
        <w:t xml:space="preserve"> </w:t>
      </w:r>
      <w:r w:rsidRPr="007F028F">
        <w:rPr>
          <w:i/>
        </w:rPr>
        <w:t>Id.</w:t>
      </w:r>
      <w:r w:rsidRPr="007F028F">
        <w:t xml:space="preserve"> §§ 64.605(a)(2)(i), (iii), (iv).</w:t>
      </w:r>
      <w:r w:rsidRPr="00202CBF">
        <w:rPr>
          <w:snapToGrid w:val="0"/>
          <w:kern w:val="28"/>
        </w:rPr>
        <w:t xml:space="preserve">  </w:t>
      </w:r>
    </w:p>
  </w:footnote>
  <w:footnote w:id="17">
    <w:p w:rsidR="000F1DAD" w:rsidRPr="007F028F" w:rsidRDefault="000F1DAD" w:rsidP="00F31E62">
      <w:pPr>
        <w:pStyle w:val="FootnoteText"/>
        <w:rPr>
          <w:b/>
        </w:rPr>
      </w:pPr>
      <w:r w:rsidRPr="007F028F">
        <w:rPr>
          <w:rStyle w:val="FootnoteReference"/>
        </w:rPr>
        <w:footnoteRef/>
      </w:r>
      <w:r w:rsidRPr="007F028F">
        <w:t xml:space="preserve"> Application at 6 (“</w:t>
      </w:r>
      <w:r w:rsidRPr="007F028F">
        <w:rPr>
          <w:b/>
        </w:rPr>
        <w:t xml:space="preserve">Emergency Call Handling.  </w:t>
      </w:r>
      <w:r w:rsidRPr="007F028F">
        <w:t>The Company’s service supports E911 calls.”) (emphasis in original).</w:t>
      </w:r>
    </w:p>
  </w:footnote>
  <w:footnote w:id="18">
    <w:p w:rsidR="000F1DAD" w:rsidRPr="007F028F" w:rsidRDefault="000F1DAD" w:rsidP="009F2BB1">
      <w:pPr>
        <w:pStyle w:val="FootnoteText"/>
      </w:pPr>
      <w:r w:rsidRPr="007F028F">
        <w:rPr>
          <w:rStyle w:val="FootnoteReference"/>
        </w:rPr>
        <w:footnoteRef/>
      </w:r>
      <w:r w:rsidRPr="007F028F">
        <w:t xml:space="preserve"> </w:t>
      </w:r>
      <w:r w:rsidRPr="007F028F">
        <w:rPr>
          <w:i/>
        </w:rPr>
        <w:t xml:space="preserve">See </w:t>
      </w:r>
      <w:r w:rsidRPr="007F028F">
        <w:t xml:space="preserve">Letter from Gregory Hlibok, Chief, Disability Rights Office (DRO), CGB, FCC, to Chuck Owen, COO &amp; Senior VP, Miracom USA, Inc. (DRO Sept. 25, 2014 Letter). </w:t>
      </w:r>
    </w:p>
  </w:footnote>
  <w:footnote w:id="19">
    <w:p w:rsidR="00575EE0" w:rsidRPr="007F028F" w:rsidRDefault="00575EE0" w:rsidP="00575EE0">
      <w:pPr>
        <w:pStyle w:val="FootnoteText"/>
      </w:pPr>
      <w:r w:rsidRPr="007F028F">
        <w:rPr>
          <w:rStyle w:val="FootnoteReference"/>
        </w:rPr>
        <w:footnoteRef/>
      </w:r>
      <w:r w:rsidRPr="007F028F">
        <w:t xml:space="preserve"> DRO Sept. 25, 2014 Letter at 2.</w:t>
      </w:r>
    </w:p>
  </w:footnote>
  <w:footnote w:id="20">
    <w:p w:rsidR="000F1DAD" w:rsidRPr="007F028F" w:rsidRDefault="000F1DAD">
      <w:pPr>
        <w:pStyle w:val="FootnoteText"/>
      </w:pPr>
      <w:r w:rsidRPr="007F028F">
        <w:rPr>
          <w:rStyle w:val="FootnoteReference"/>
        </w:rPr>
        <w:footnoteRef/>
      </w:r>
      <w:r w:rsidRPr="007F028F">
        <w:t xml:space="preserve"> Letter from George L. Lyon, Jr., to Gregory Hlibok, Chief, DRO, CGB (Oct. 6, 2014) (InnoCaption Oct. 6, 2014 Letter).</w:t>
      </w:r>
    </w:p>
  </w:footnote>
  <w:footnote w:id="21">
    <w:p w:rsidR="000F1DAD" w:rsidRPr="007F028F" w:rsidRDefault="000F1DAD">
      <w:pPr>
        <w:pStyle w:val="FootnoteText"/>
      </w:pPr>
      <w:r w:rsidRPr="007F028F">
        <w:rPr>
          <w:rStyle w:val="FootnoteReference"/>
        </w:rPr>
        <w:footnoteRef/>
      </w:r>
      <w:r w:rsidRPr="007F028F">
        <w:t xml:space="preserve"> InnoCaption Oct. 6, 2014 Letter at 2.  </w:t>
      </w:r>
    </w:p>
  </w:footnote>
  <w:footnote w:id="22">
    <w:p w:rsidR="000F1DAD" w:rsidRPr="001E7C63" w:rsidRDefault="000F1DAD">
      <w:pPr>
        <w:pStyle w:val="FootnoteText"/>
        <w:rPr>
          <w:color w:val="000000" w:themeColor="text1"/>
        </w:rPr>
      </w:pPr>
      <w:r w:rsidRPr="001E7C63">
        <w:rPr>
          <w:rStyle w:val="FootnoteReference"/>
          <w:color w:val="000000" w:themeColor="text1"/>
        </w:rPr>
        <w:footnoteRef/>
      </w:r>
      <w:r w:rsidRPr="001E7C63">
        <w:rPr>
          <w:color w:val="000000" w:themeColor="text1"/>
        </w:rPr>
        <w:t xml:space="preserve"> </w:t>
      </w:r>
      <w:r w:rsidRPr="001E7C63">
        <w:rPr>
          <w:i/>
          <w:color w:val="000000" w:themeColor="text1"/>
        </w:rPr>
        <w:t>Id</w:t>
      </w:r>
      <w:r w:rsidRPr="001E7C63">
        <w:rPr>
          <w:color w:val="000000" w:themeColor="text1"/>
        </w:rPr>
        <w:t>.</w:t>
      </w:r>
      <w:r w:rsidR="00ED276F" w:rsidRPr="001E7C63">
        <w:rPr>
          <w:color w:val="000000" w:themeColor="text1"/>
        </w:rPr>
        <w:t xml:space="preserve">; </w:t>
      </w:r>
      <w:r w:rsidR="00C07115" w:rsidRPr="001E7C63">
        <w:rPr>
          <w:color w:val="000000" w:themeColor="text1"/>
        </w:rPr>
        <w:t>E-mail from Chuck Owen, CEO, InnoCaption, to Darryl Cooper, Attorney for the Disability Rights Office of the Consumer and Governmental Affairs Bureau, FCC (February 22, 2015), Attachment entitled “InnoCaption 911 Service.”</w:t>
      </w:r>
    </w:p>
  </w:footnote>
  <w:footnote w:id="23">
    <w:p w:rsidR="000F1DAD" w:rsidRPr="007F028F" w:rsidRDefault="000F1DAD">
      <w:pPr>
        <w:pStyle w:val="FootnoteText"/>
      </w:pPr>
      <w:r w:rsidRPr="007F028F">
        <w:rPr>
          <w:rStyle w:val="FootnoteReference"/>
        </w:rPr>
        <w:footnoteRef/>
      </w:r>
      <w:r w:rsidRPr="007F028F">
        <w:t xml:space="preserve"> </w:t>
      </w:r>
      <w:r w:rsidRPr="007F028F">
        <w:rPr>
          <w:i/>
        </w:rPr>
        <w:t>Id</w:t>
      </w:r>
      <w:r w:rsidRPr="007F028F">
        <w:t>.</w:t>
      </w:r>
    </w:p>
  </w:footnote>
  <w:footnote w:id="24">
    <w:p w:rsidR="000F1DAD" w:rsidRPr="007F028F" w:rsidRDefault="000F1DAD">
      <w:pPr>
        <w:pStyle w:val="FootnoteText"/>
      </w:pPr>
      <w:r w:rsidRPr="007F028F">
        <w:rPr>
          <w:rStyle w:val="FootnoteReference"/>
        </w:rPr>
        <w:footnoteRef/>
      </w:r>
      <w:r w:rsidRPr="007F028F">
        <w:t xml:space="preserve"> </w:t>
      </w:r>
      <w:r w:rsidRPr="007F028F">
        <w:rPr>
          <w:i/>
        </w:rPr>
        <w:t>Id</w:t>
      </w:r>
      <w:r w:rsidRPr="007F028F">
        <w:t>.</w:t>
      </w:r>
    </w:p>
  </w:footnote>
  <w:footnote w:id="25">
    <w:p w:rsidR="000F1DAD" w:rsidRPr="007F028F" w:rsidRDefault="000F1DAD">
      <w:pPr>
        <w:pStyle w:val="FootnoteText"/>
      </w:pPr>
      <w:r w:rsidRPr="007F028F">
        <w:rPr>
          <w:rStyle w:val="FootnoteReference"/>
        </w:rPr>
        <w:footnoteRef/>
      </w:r>
      <w:r w:rsidRPr="007F028F">
        <w:t xml:space="preserve"> </w:t>
      </w:r>
      <w:r w:rsidRPr="007F028F">
        <w:rPr>
          <w:i/>
        </w:rPr>
        <w:t>Id</w:t>
      </w:r>
      <w:r w:rsidRPr="007F028F">
        <w:t>. at 3.</w:t>
      </w:r>
    </w:p>
  </w:footnote>
  <w:footnote w:id="26">
    <w:p w:rsidR="000F1DAD" w:rsidRPr="007F028F" w:rsidRDefault="000F1DAD" w:rsidP="004E2163">
      <w:pPr>
        <w:pStyle w:val="FootnoteText"/>
      </w:pPr>
      <w:r w:rsidRPr="007F028F">
        <w:rPr>
          <w:rStyle w:val="FootnoteReference"/>
        </w:rPr>
        <w:footnoteRef/>
      </w:r>
      <w:r w:rsidRPr="007F028F">
        <w:t xml:space="preserve"> 47 C.F.R. § 65.604(c)(5)(iii)(L)(</w:t>
      </w:r>
      <w:r w:rsidRPr="007F028F">
        <w:rPr>
          <w:i/>
        </w:rPr>
        <w:t>2</w:t>
      </w:r>
      <w:r w:rsidRPr="007F028F">
        <w:t>) (stating that “[i]f the Fund administrator in consultation with the Commission . . . determines that payments for certain minutes should be withheld, a TRS provider will be notified within two months from the date of the request for compensation was filed, as to why its claim for compensation has been withheld in whole or in part”).</w:t>
      </w:r>
    </w:p>
  </w:footnote>
  <w:footnote w:id="27">
    <w:p w:rsidR="000F1DAD" w:rsidRPr="007F028F" w:rsidRDefault="000F1DAD" w:rsidP="004E2163">
      <w:pPr>
        <w:pStyle w:val="FootnoteText"/>
      </w:pPr>
      <w:r w:rsidRPr="007F028F">
        <w:rPr>
          <w:rStyle w:val="FootnoteReference"/>
        </w:rPr>
        <w:footnoteRef/>
      </w:r>
      <w:r w:rsidRPr="007F028F">
        <w:t xml:space="preserve"> Letter from David Rolka, President, Rolka Loube, to Miracom at 1 (Oct. 8, 2014) (First RL Notification Letter).</w:t>
      </w:r>
    </w:p>
  </w:footnote>
  <w:footnote w:id="28">
    <w:p w:rsidR="0057184F" w:rsidRPr="007F028F" w:rsidRDefault="000F1DAD" w:rsidP="004E2163">
      <w:pPr>
        <w:pStyle w:val="FootnoteText"/>
      </w:pPr>
      <w:r w:rsidRPr="007F028F">
        <w:rPr>
          <w:rStyle w:val="FootnoteReference"/>
        </w:rPr>
        <w:footnoteRef/>
      </w:r>
      <w:r w:rsidRPr="007F028F">
        <w:t xml:space="preserve"> First RL Notification Letter at 1.  </w:t>
      </w:r>
      <w:r w:rsidR="0057184F" w:rsidRPr="007F028F">
        <w:t xml:space="preserve">Before it learned that InnoCaption was not in compliance, the TRS Fund administrator already </w:t>
      </w:r>
      <w:r w:rsidR="00DC4E43" w:rsidRPr="007F028F">
        <w:t xml:space="preserve">had </w:t>
      </w:r>
      <w:r w:rsidR="0057184F" w:rsidRPr="007F028F">
        <w:t>paid InnoCaption for the months of June and July, 2014.</w:t>
      </w:r>
    </w:p>
  </w:footnote>
  <w:footnote w:id="29">
    <w:p w:rsidR="000F1DAD" w:rsidRPr="007F028F" w:rsidRDefault="000F1DAD" w:rsidP="004E2163">
      <w:pPr>
        <w:pStyle w:val="FootnoteText"/>
      </w:pPr>
      <w:r w:rsidRPr="007F028F">
        <w:rPr>
          <w:rStyle w:val="FootnoteReference"/>
        </w:rPr>
        <w:footnoteRef/>
      </w:r>
      <w:r w:rsidRPr="007F028F">
        <w:t xml:space="preserve"> First RL Notification Letter at 2.</w:t>
      </w:r>
    </w:p>
  </w:footnote>
  <w:footnote w:id="30">
    <w:p w:rsidR="000F1DAD" w:rsidRPr="007F028F" w:rsidRDefault="000F1DAD" w:rsidP="004E2163">
      <w:pPr>
        <w:pStyle w:val="FootnoteText"/>
      </w:pPr>
      <w:r w:rsidRPr="007F028F">
        <w:rPr>
          <w:rStyle w:val="FootnoteReference"/>
        </w:rPr>
        <w:footnoteRef/>
      </w:r>
      <w:r w:rsidRPr="007F028F">
        <w:t xml:space="preserve"> First Notification Letter at 2.  </w:t>
      </w:r>
      <w:r w:rsidRPr="007F028F">
        <w:rPr>
          <w:i/>
        </w:rPr>
        <w:t>See</w:t>
      </w:r>
      <w:r w:rsidRPr="007F028F">
        <w:t xml:space="preserve"> 47 C.F.R. § 65.604(c)(5)(iii)(L)(</w:t>
      </w:r>
      <w:r w:rsidRPr="007F028F">
        <w:rPr>
          <w:i/>
        </w:rPr>
        <w:t>2</w:t>
      </w:r>
      <w:r w:rsidRPr="007F028F">
        <w:t xml:space="preserve">) (stating that TRS providers are given “two additional months from the date of notification [of withholding] to provide additional justification for payment of such minutes of use”). </w:t>
      </w:r>
    </w:p>
  </w:footnote>
  <w:footnote w:id="31">
    <w:p w:rsidR="000F1DAD" w:rsidRPr="007F028F" w:rsidRDefault="000F1DAD">
      <w:pPr>
        <w:pStyle w:val="FootnoteText"/>
      </w:pPr>
      <w:r w:rsidRPr="007F028F">
        <w:rPr>
          <w:rStyle w:val="FootnoteReference"/>
        </w:rPr>
        <w:footnoteRef/>
      </w:r>
      <w:r w:rsidRPr="007F028F">
        <w:t xml:space="preserve"> Letter from David Rolka, President, Rolka Loube Associates, to InnoCaption at 1 (Oct. 28, 2014) (Second Notification Letter) (requesting that InnoCaption “identify the programs, policies, and procedures that [it] has had in place . . . to confirm ongoing compliance with the emergency call handling rules of the FCC” as well as the date those policies and procedures were established and the dates of any modifications to those policies and procedures).  </w:t>
      </w:r>
    </w:p>
  </w:footnote>
  <w:footnote w:id="32">
    <w:p w:rsidR="000F1DAD" w:rsidRPr="007F028F" w:rsidRDefault="000F1DAD" w:rsidP="00A839C2">
      <w:pPr>
        <w:pStyle w:val="FootnoteText"/>
      </w:pPr>
      <w:r w:rsidRPr="007F028F">
        <w:rPr>
          <w:rStyle w:val="FootnoteReference"/>
        </w:rPr>
        <w:footnoteRef/>
      </w:r>
      <w:r w:rsidRPr="007F028F">
        <w:t xml:space="preserve"> Letter from George L. Lyon, Jr., Counsel for InnoCaption, to David W. Rolka, President, Rolka Loube (Oct. 16, 2014) (InnoCaption Oct. 16, 2014 Letter); Letter from George L. Lyon, Jr., Counsel for InnoCaption, to David W. Rolka, President, Rolka Loube (Nov. 11, 2014) (InnoCaption Nov. 11, 2014 Letter); InnoCaption Dec. 9, 2014 Letter;</w:t>
      </w:r>
      <w:r w:rsidRPr="007F028F">
        <w:rPr>
          <w:i/>
        </w:rPr>
        <w:t xml:space="preserve"> </w:t>
      </w:r>
      <w:r w:rsidRPr="007F028F">
        <w:t xml:space="preserve">Email from Chuck Owen, CEO, InnoCaption, to Darryl Cooper, Attorney Advisor, FCC’s Disability Rights Office, and attachment (Feb. 22, 2015) (InnoCaption Feb. 22, 2015 Email).    </w:t>
      </w:r>
    </w:p>
  </w:footnote>
  <w:footnote w:id="33">
    <w:p w:rsidR="000F1DAD" w:rsidRPr="007F028F" w:rsidRDefault="000F1DAD" w:rsidP="00370158">
      <w:pPr>
        <w:pStyle w:val="FootnoteText"/>
      </w:pPr>
      <w:r w:rsidRPr="007F028F">
        <w:rPr>
          <w:rStyle w:val="FootnoteReference"/>
        </w:rPr>
        <w:footnoteRef/>
      </w:r>
      <w:r w:rsidRPr="007F028F">
        <w:t xml:space="preserve"> </w:t>
      </w:r>
      <w:r w:rsidRPr="007F028F">
        <w:rPr>
          <w:i/>
        </w:rPr>
        <w:t xml:space="preserve">See </w:t>
      </w:r>
      <w:r w:rsidRPr="007F028F">
        <w:t>InnoCaption Oct. 16, 2014 Letter.</w:t>
      </w:r>
      <w:r w:rsidR="007F028F" w:rsidRPr="007F028F">
        <w:t xml:space="preserve">  InnoCaption Quarterly Report (Dec. 31, 2014).</w:t>
      </w:r>
    </w:p>
  </w:footnote>
  <w:footnote w:id="34">
    <w:p w:rsidR="00960BB6" w:rsidRPr="007F028F" w:rsidRDefault="00960BB6">
      <w:pPr>
        <w:pStyle w:val="FootnoteText"/>
      </w:pPr>
      <w:r w:rsidRPr="007F028F">
        <w:rPr>
          <w:rStyle w:val="FootnoteReference"/>
        </w:rPr>
        <w:footnoteRef/>
      </w:r>
      <w:r w:rsidRPr="007F028F">
        <w:t xml:space="preserve"> </w:t>
      </w:r>
      <w:r w:rsidRPr="007F028F">
        <w:rPr>
          <w:i/>
        </w:rPr>
        <w:t xml:space="preserve">See </w:t>
      </w:r>
      <w:r w:rsidRPr="007F028F">
        <w:t>InnoCaption Oct. 16, 2014 Letter at 2; InnoCaption Nov. 11, 2014 Letter at 2.</w:t>
      </w:r>
    </w:p>
  </w:footnote>
  <w:footnote w:id="35">
    <w:p w:rsidR="000F1DAD" w:rsidRPr="007F028F" w:rsidRDefault="000F1DAD" w:rsidP="008466B2">
      <w:pPr>
        <w:pStyle w:val="FootnoteText"/>
      </w:pPr>
      <w:r w:rsidRPr="007F028F">
        <w:rPr>
          <w:rStyle w:val="FootnoteReference"/>
        </w:rPr>
        <w:footnoteRef/>
      </w:r>
      <w:r w:rsidRPr="007F028F">
        <w:t xml:space="preserve"> InnoCaption Oct. 16, 2014 Letter at 2.</w:t>
      </w:r>
    </w:p>
  </w:footnote>
  <w:footnote w:id="36">
    <w:p w:rsidR="000F1DAD" w:rsidRPr="007F028F" w:rsidRDefault="000F1DAD" w:rsidP="00370158">
      <w:pPr>
        <w:pStyle w:val="FootnoteText"/>
      </w:pPr>
      <w:r w:rsidRPr="007F028F">
        <w:rPr>
          <w:rStyle w:val="FootnoteReference"/>
        </w:rPr>
        <w:footnoteRef/>
      </w:r>
      <w:r w:rsidRPr="007F028F">
        <w:t xml:space="preserve"> InnoCaption Feb. 22, 2015 Email at 1.</w:t>
      </w:r>
    </w:p>
  </w:footnote>
  <w:footnote w:id="37">
    <w:p w:rsidR="000F1DAD" w:rsidRPr="007F028F" w:rsidRDefault="000F1DAD" w:rsidP="00370158">
      <w:pPr>
        <w:pStyle w:val="FootnoteText"/>
      </w:pPr>
      <w:r w:rsidRPr="007F028F">
        <w:rPr>
          <w:rStyle w:val="FootnoteReference"/>
        </w:rPr>
        <w:footnoteRef/>
      </w:r>
      <w:r w:rsidRPr="007F028F">
        <w:t xml:space="preserve"> InnoCaption Nov. 11, 2014 Letter at 2; </w:t>
      </w:r>
      <w:r w:rsidRPr="007F028F">
        <w:rPr>
          <w:i/>
        </w:rPr>
        <w:t xml:space="preserve">see also </w:t>
      </w:r>
      <w:r w:rsidRPr="007F028F">
        <w:t>InnoCaption Feb. 22, 2015 Email, Attachment at 1-2 (stating that InnoCaption’s application was “updated to support 911 calling and made available to all [of InnoCaption’s] subscribers” as of September 12, 2014).</w:t>
      </w:r>
    </w:p>
  </w:footnote>
  <w:footnote w:id="38">
    <w:p w:rsidR="000F1DAD" w:rsidRPr="007F028F" w:rsidRDefault="000F1DAD" w:rsidP="00C63B60">
      <w:pPr>
        <w:pStyle w:val="FootnoteText"/>
      </w:pPr>
      <w:r w:rsidRPr="007F028F">
        <w:rPr>
          <w:rStyle w:val="FootnoteReference"/>
        </w:rPr>
        <w:footnoteRef/>
      </w:r>
      <w:r w:rsidRPr="007F028F">
        <w:t xml:space="preserve"> InnoCaption Nov. 11, 2014 Letter at 2.</w:t>
      </w:r>
    </w:p>
  </w:footnote>
  <w:footnote w:id="39">
    <w:p w:rsidR="000F1DAD" w:rsidRPr="007F028F" w:rsidRDefault="000F1DAD" w:rsidP="00370158">
      <w:pPr>
        <w:pStyle w:val="FootnoteText"/>
      </w:pPr>
      <w:r w:rsidRPr="007F028F">
        <w:rPr>
          <w:rStyle w:val="FootnoteReference"/>
        </w:rPr>
        <w:footnoteRef/>
      </w:r>
      <w:r w:rsidRPr="007F028F">
        <w:t xml:space="preserve"> InnoCaption Nov. 11, 2014 Letter at 2.</w:t>
      </w:r>
    </w:p>
  </w:footnote>
  <w:footnote w:id="40">
    <w:p w:rsidR="000F1DAD" w:rsidRPr="007F028F" w:rsidRDefault="000F1DAD" w:rsidP="00370158">
      <w:pPr>
        <w:pStyle w:val="FootnoteText"/>
      </w:pPr>
      <w:r w:rsidRPr="007F028F">
        <w:rPr>
          <w:rStyle w:val="FootnoteReference"/>
        </w:rPr>
        <w:footnoteRef/>
      </w:r>
      <w:r w:rsidRPr="007F028F">
        <w:t xml:space="preserve"> InnoCaption Nov. 11, 2014 Letter at 2.</w:t>
      </w:r>
    </w:p>
  </w:footnote>
  <w:footnote w:id="41">
    <w:p w:rsidR="000F1DAD" w:rsidRPr="007F028F" w:rsidRDefault="000F1DAD" w:rsidP="00370158">
      <w:pPr>
        <w:pStyle w:val="FootnoteText"/>
      </w:pPr>
      <w:r w:rsidRPr="007F028F">
        <w:rPr>
          <w:rStyle w:val="FootnoteReference"/>
        </w:rPr>
        <w:footnoteRef/>
      </w:r>
      <w:r w:rsidRPr="007F028F">
        <w:t xml:space="preserve"> InnoCaption Nov. 11, 2014 Letter at 2; InnoCaption Dec. 9, 2014 Letter at 1; InnoCaption Feb. 22, 2015 Email, Attachment at 1-2.</w:t>
      </w:r>
    </w:p>
  </w:footnote>
  <w:footnote w:id="42">
    <w:p w:rsidR="000F1DAD" w:rsidRPr="007F028F" w:rsidRDefault="000F1DAD" w:rsidP="00370158">
      <w:pPr>
        <w:pStyle w:val="FootnoteText"/>
      </w:pPr>
      <w:r w:rsidRPr="007F028F">
        <w:rPr>
          <w:rStyle w:val="FootnoteReference"/>
        </w:rPr>
        <w:footnoteRef/>
      </w:r>
      <w:r w:rsidRPr="007F028F">
        <w:t xml:space="preserve"> InnoCaption Dec. 9, 2014 Letter, Attachment.</w:t>
      </w:r>
    </w:p>
  </w:footnote>
  <w:footnote w:id="43">
    <w:p w:rsidR="007E3E8A" w:rsidRPr="007F028F" w:rsidRDefault="007E3E8A">
      <w:pPr>
        <w:pStyle w:val="FootnoteText"/>
      </w:pPr>
      <w:r w:rsidRPr="007F028F">
        <w:rPr>
          <w:rStyle w:val="FootnoteReference"/>
        </w:rPr>
        <w:footnoteRef/>
      </w:r>
      <w:r w:rsidRPr="007F028F">
        <w:t xml:space="preserve"> Bureau staff who observed the tests prepared document</w:t>
      </w:r>
      <w:r w:rsidR="00DC4E43" w:rsidRPr="007F028F">
        <w:t>ation reporting on the test results</w:t>
      </w:r>
      <w:r w:rsidRPr="007F028F">
        <w:t xml:space="preserve"> that the Bureau will share with InnoCaption.</w:t>
      </w:r>
    </w:p>
  </w:footnote>
  <w:footnote w:id="44">
    <w:p w:rsidR="009D7356" w:rsidRPr="007F028F" w:rsidRDefault="009D7356">
      <w:pPr>
        <w:pStyle w:val="FootnoteText"/>
      </w:pPr>
      <w:r w:rsidRPr="007F028F">
        <w:rPr>
          <w:rStyle w:val="FootnoteReference"/>
        </w:rPr>
        <w:footnoteRef/>
      </w:r>
      <w:r w:rsidRPr="007F028F">
        <w:t xml:space="preserve"> Cristina Duarte, Regulatory Affairs Manager, InnoCaption</w:t>
      </w:r>
      <w:r w:rsidR="005F5C0A" w:rsidRPr="007F028F">
        <w:t xml:space="preserve">, </w:t>
      </w:r>
      <w:r w:rsidR="009056B9" w:rsidRPr="007F028F">
        <w:rPr>
          <w:i/>
        </w:rPr>
        <w:t>Urgent Message Regarding Suspension of Service from InnoCaption</w:t>
      </w:r>
      <w:r w:rsidRPr="007F028F">
        <w:t xml:space="preserve"> </w:t>
      </w:r>
      <w:r w:rsidR="009056B9" w:rsidRPr="007F028F">
        <w:t>(</w:t>
      </w:r>
      <w:r w:rsidRPr="007F028F">
        <w:t>April 2, 2015</w:t>
      </w:r>
      <w:r w:rsidR="009056B9" w:rsidRPr="007F028F">
        <w:t xml:space="preserve">), </w:t>
      </w:r>
      <w:r w:rsidR="009056B9" w:rsidRPr="007F028F">
        <w:rPr>
          <w:i/>
        </w:rPr>
        <w:t>available at</w:t>
      </w:r>
      <w:r w:rsidR="009056B9" w:rsidRPr="007F028F">
        <w:t xml:space="preserve"> </w:t>
      </w:r>
      <w:r w:rsidR="005F5C0A" w:rsidRPr="007F028F">
        <w:t>http://innocaption.com/</w:t>
      </w:r>
      <w:r w:rsidR="009056B9" w:rsidRPr="007F028F">
        <w:t xml:space="preserve"> (last visited Apr. 3, 2015)</w:t>
      </w:r>
      <w:r w:rsidRPr="007F028F">
        <w:t xml:space="preserve"> (InnoCaption Notice to Subscribers).</w:t>
      </w:r>
    </w:p>
  </w:footnote>
  <w:footnote w:id="45">
    <w:p w:rsidR="000F1DAD" w:rsidRPr="007F028F" w:rsidRDefault="000F1DAD" w:rsidP="000A252B">
      <w:pPr>
        <w:pStyle w:val="FootnoteText"/>
      </w:pPr>
      <w:r w:rsidRPr="007F028F">
        <w:rPr>
          <w:rStyle w:val="FootnoteReference"/>
        </w:rPr>
        <w:footnoteRef/>
      </w:r>
      <w:r w:rsidRPr="007F028F">
        <w:t xml:space="preserve"> </w:t>
      </w:r>
      <w:r w:rsidRPr="007F028F">
        <w:rPr>
          <w:i/>
        </w:rPr>
        <w:t>See</w:t>
      </w:r>
      <w:r w:rsidRPr="007F028F">
        <w:t xml:space="preserve"> </w:t>
      </w:r>
      <w:r w:rsidRPr="007F028F">
        <w:rPr>
          <w:i/>
        </w:rPr>
        <w:t>Purple Withholding Order</w:t>
      </w:r>
      <w:r w:rsidRPr="007F028F">
        <w:t>, 29 FCC Rcd at 13717-18, ¶ 4, 13720, ¶¶ 9-10.</w:t>
      </w:r>
    </w:p>
  </w:footnote>
  <w:footnote w:id="46">
    <w:p w:rsidR="000F1DAD" w:rsidRPr="007F028F" w:rsidRDefault="000F1DAD">
      <w:pPr>
        <w:pStyle w:val="FootnoteText"/>
        <w:rPr>
          <w:b/>
        </w:rPr>
      </w:pPr>
      <w:r w:rsidRPr="007F028F">
        <w:rPr>
          <w:rStyle w:val="FootnoteReference"/>
        </w:rPr>
        <w:footnoteRef/>
      </w:r>
      <w:r w:rsidRPr="007F028F">
        <w:t xml:space="preserve"> InnoCaption Oct. 6, 2014 Letter</w:t>
      </w:r>
      <w:r w:rsidR="007F028F" w:rsidRPr="007F028F">
        <w:t>; InnoCaption Quarterly Report (Dec. 31, 2014).</w:t>
      </w:r>
    </w:p>
  </w:footnote>
  <w:footnote w:id="47">
    <w:p w:rsidR="000F1DAD" w:rsidRPr="007F028F" w:rsidRDefault="000F1DAD" w:rsidP="00A84A0C">
      <w:pPr>
        <w:pStyle w:val="FootnoteText"/>
      </w:pPr>
      <w:r w:rsidRPr="007F028F">
        <w:rPr>
          <w:rStyle w:val="FootnoteReference"/>
        </w:rPr>
        <w:footnoteRef/>
      </w:r>
      <w:r w:rsidRPr="007F028F">
        <w:t xml:space="preserve"> </w:t>
      </w:r>
      <w:r w:rsidRPr="007F028F">
        <w:rPr>
          <w:i/>
        </w:rPr>
        <w:t xml:space="preserve">See </w:t>
      </w:r>
      <w:r w:rsidRPr="007F028F">
        <w:t>InnoCaption Nov. 11, 2014 Letter at 2.</w:t>
      </w:r>
    </w:p>
  </w:footnote>
  <w:footnote w:id="48">
    <w:p w:rsidR="000F1DAD" w:rsidRPr="007F028F" w:rsidRDefault="000F1DAD">
      <w:pPr>
        <w:pStyle w:val="FootnoteText"/>
      </w:pPr>
      <w:r w:rsidRPr="007F028F">
        <w:rPr>
          <w:rStyle w:val="FootnoteReference"/>
        </w:rPr>
        <w:footnoteRef/>
      </w:r>
      <w:r w:rsidRPr="007F028F">
        <w:t xml:space="preserve"> 47 C.F.R. § 64.605(a)(2)(i).</w:t>
      </w:r>
    </w:p>
  </w:footnote>
  <w:footnote w:id="49">
    <w:p w:rsidR="000F1DAD" w:rsidRPr="007F028F" w:rsidRDefault="000F1DAD" w:rsidP="00C62487">
      <w:pPr>
        <w:pStyle w:val="FootnoteText"/>
      </w:pPr>
      <w:r w:rsidRPr="007F028F">
        <w:rPr>
          <w:rStyle w:val="FootnoteReference"/>
        </w:rPr>
        <w:footnoteRef/>
      </w:r>
      <w:r w:rsidRPr="007F028F">
        <w:t xml:space="preserve"> 47 C.F.R. §§ 64.605(a)(2)(i), (v).</w:t>
      </w:r>
    </w:p>
  </w:footnote>
  <w:footnote w:id="50">
    <w:p w:rsidR="000F1DAD" w:rsidRPr="007F028F" w:rsidRDefault="000F1DAD">
      <w:pPr>
        <w:pStyle w:val="FootnoteText"/>
      </w:pPr>
      <w:r w:rsidRPr="007F028F">
        <w:rPr>
          <w:rStyle w:val="FootnoteReference"/>
        </w:rPr>
        <w:footnoteRef/>
      </w:r>
      <w:r w:rsidRPr="007F028F">
        <w:t xml:space="preserve"> During the testing, InnoCaption</w:t>
      </w:r>
      <w:r w:rsidR="007134FD" w:rsidRPr="007F028F">
        <w:t xml:space="preserve">’s </w:t>
      </w:r>
      <w:r w:rsidR="0045242D" w:rsidRPr="007F028F">
        <w:t>CEO</w:t>
      </w:r>
      <w:r w:rsidRPr="007F028F">
        <w:t xml:space="preserve"> indicated that the caller’s location and personal cell phone number, which was supposed to delivered to the PSAP operator via a voice recording played when the PSAP operator answered the call, could be obtained by the PSAP operator by pressing any key on the operator’s equipment; however, none of the PSAP operators indicated that they had received this information upon answering the call, and none of them pressed a key on their phone without being prompted to do so by the test caller.</w:t>
      </w:r>
      <w:r w:rsidRPr="005E18B5">
        <w:rPr>
          <w:snapToGrid w:val="0"/>
          <w:kern w:val="28"/>
        </w:rPr>
        <w:t xml:space="preserve">  </w:t>
      </w:r>
      <w:r w:rsidRPr="007F028F">
        <w:t xml:space="preserve">This press-a-key method does not satisfy the rule’s requirement that the caller’s location be provided, because, among other reasons, PSAP operators have no way to know that pressing a key on their phones will enable them to obtain an InnoCaption caller’s location.  </w:t>
      </w:r>
    </w:p>
  </w:footnote>
  <w:footnote w:id="51">
    <w:p w:rsidR="000F1DAD" w:rsidRPr="007F028F" w:rsidRDefault="000F1DAD" w:rsidP="00C84AB0">
      <w:pPr>
        <w:pStyle w:val="FootnoteText"/>
      </w:pPr>
      <w:r w:rsidRPr="007F028F">
        <w:rPr>
          <w:rStyle w:val="FootnoteReference"/>
        </w:rPr>
        <w:footnoteRef/>
      </w:r>
      <w:r w:rsidRPr="007F028F">
        <w:t xml:space="preserve"> 47 C.F.R. § 64.605(a)(2)(iv).</w:t>
      </w:r>
      <w:r w:rsidRPr="005E18B5">
        <w:rPr>
          <w:snapToGrid w:val="0"/>
          <w:kern w:val="28"/>
        </w:rPr>
        <w:t xml:space="preserve">  </w:t>
      </w:r>
      <w:r w:rsidRPr="007F028F">
        <w:rPr>
          <w:snapToGrid w:val="0"/>
          <w:kern w:val="28"/>
        </w:rPr>
        <w:t xml:space="preserve">Although </w:t>
      </w:r>
      <w:r w:rsidRPr="007F028F">
        <w:t xml:space="preserve">InnoCaption submitted information regarding 911 tests that it claimed to have conducted on its own (InnoCaption Dec. 9, 2014 Letter &amp; Attachment), we do not find that this information is sufficiently reliable to call into question the clear, contrary evidence of noncompliance resulting from numerous independent tests conducted under Commission staff supervision, including tests at which a representative of the provider was present.  </w:t>
      </w:r>
    </w:p>
  </w:footnote>
  <w:footnote w:id="52">
    <w:p w:rsidR="000F1DAD" w:rsidRPr="007F028F" w:rsidRDefault="000F1DAD">
      <w:pPr>
        <w:pStyle w:val="FootnoteText"/>
      </w:pPr>
      <w:r w:rsidRPr="007F028F">
        <w:rPr>
          <w:rStyle w:val="FootnoteReference"/>
        </w:rPr>
        <w:footnoteRef/>
      </w:r>
      <w:r w:rsidRPr="007F028F">
        <w:t xml:space="preserve"> </w:t>
      </w:r>
      <w:r w:rsidRPr="007F028F">
        <w:rPr>
          <w:i/>
        </w:rPr>
        <w:t>See</w:t>
      </w:r>
      <w:r w:rsidRPr="007F028F">
        <w:t xml:space="preserve"> 47 C.F.R. § 65.604(c)(5)(iii)(L)(</w:t>
      </w:r>
      <w:r w:rsidRPr="007F028F">
        <w:rPr>
          <w:i/>
        </w:rPr>
        <w:t>5</w:t>
      </w:r>
      <w:r w:rsidRPr="007F028F">
        <w:t>) (“If the Commission determines that the provider has not met its burden to demonstrate that the minutes of use in dispute are compensable under the Commission’s rules, payment will be permanently denied.”).</w:t>
      </w:r>
    </w:p>
  </w:footnote>
  <w:footnote w:id="53">
    <w:p w:rsidR="000F1DAD" w:rsidRPr="007F028F" w:rsidRDefault="000F1DAD">
      <w:pPr>
        <w:pStyle w:val="FootnoteText"/>
      </w:pPr>
      <w:r w:rsidRPr="007F028F">
        <w:rPr>
          <w:rStyle w:val="FootnoteReference"/>
        </w:rPr>
        <w:footnoteRef/>
      </w:r>
      <w:r w:rsidRPr="007F028F">
        <w:t xml:space="preserve"> </w:t>
      </w:r>
      <w:r w:rsidRPr="007F028F">
        <w:rPr>
          <w:i/>
        </w:rPr>
        <w:t>InnoCaption Certification PN</w:t>
      </w:r>
      <w:r w:rsidRPr="007F028F">
        <w:t>, 29 FCC Rcd at 5111.</w:t>
      </w:r>
    </w:p>
  </w:footnote>
  <w:footnote w:id="54">
    <w:p w:rsidR="000F1DAD" w:rsidRPr="007F028F" w:rsidRDefault="000F1DAD" w:rsidP="008940E8">
      <w:pPr>
        <w:pStyle w:val="FootnoteText"/>
      </w:pPr>
      <w:r w:rsidRPr="007F028F">
        <w:rPr>
          <w:rStyle w:val="FootnoteReference"/>
        </w:rPr>
        <w:footnoteRef/>
      </w:r>
      <w:r w:rsidRPr="007F028F">
        <w:t xml:space="preserve"> </w:t>
      </w:r>
      <w:r w:rsidRPr="007F028F">
        <w:rPr>
          <w:i/>
        </w:rPr>
        <w:t>InnoCaption Certification PN</w:t>
      </w:r>
      <w:r w:rsidRPr="007F028F">
        <w:t>, 29 FCC Rcd at 5111.</w:t>
      </w:r>
    </w:p>
  </w:footnote>
  <w:footnote w:id="55">
    <w:p w:rsidR="000F1DAD" w:rsidRPr="007F028F" w:rsidRDefault="000F1DAD">
      <w:pPr>
        <w:pStyle w:val="FootnoteText"/>
      </w:pPr>
      <w:r w:rsidRPr="007F028F">
        <w:rPr>
          <w:rStyle w:val="FootnoteReference"/>
        </w:rPr>
        <w:footnoteRef/>
      </w:r>
      <w:r w:rsidRPr="007F028F">
        <w:t xml:space="preserve"> </w:t>
      </w:r>
      <w:r w:rsidRPr="007F028F">
        <w:rPr>
          <w:i/>
        </w:rPr>
        <w:t>InnoCaption Certification PN</w:t>
      </w:r>
      <w:r w:rsidRPr="007F028F">
        <w:t>, 29 FCC Rcd at 5110.</w:t>
      </w:r>
    </w:p>
  </w:footnote>
  <w:footnote w:id="56">
    <w:p w:rsidR="000F1DAD" w:rsidRPr="007F028F" w:rsidRDefault="000F1DAD" w:rsidP="007D3F11">
      <w:pPr>
        <w:pStyle w:val="FootnoteText"/>
      </w:pPr>
      <w:r w:rsidRPr="007F028F">
        <w:rPr>
          <w:rStyle w:val="FootnoteReference"/>
        </w:rPr>
        <w:footnoteRef/>
      </w:r>
      <w:r w:rsidRPr="007F028F">
        <w:t xml:space="preserve"> </w:t>
      </w:r>
      <w:r w:rsidR="00D55474" w:rsidRPr="007F028F">
        <w:t xml:space="preserve">Such an option is expressly provided for in the case of a full certification and while that does not directly govern our action with respect to a conditional certification, it informs the action we take here.  </w:t>
      </w:r>
      <w:r w:rsidRPr="007F028F">
        <w:t>47 C.F.R. § 64.606(b)(2)(i)</w:t>
      </w:r>
      <w:r w:rsidR="00807304" w:rsidRPr="007F028F">
        <w:t>.</w:t>
      </w:r>
      <w:r w:rsidR="00D55474" w:rsidRPr="007F028F">
        <w:t xml:space="preserve"> </w:t>
      </w:r>
    </w:p>
  </w:footnote>
  <w:footnote w:id="57">
    <w:p w:rsidR="000F1DAD" w:rsidRPr="007F028F" w:rsidRDefault="000F1DAD">
      <w:pPr>
        <w:pStyle w:val="FootnoteText"/>
      </w:pPr>
      <w:r w:rsidRPr="007F028F">
        <w:rPr>
          <w:rStyle w:val="FootnoteReference"/>
        </w:rPr>
        <w:footnoteRef/>
      </w:r>
      <w:r w:rsidRPr="007F028F">
        <w:t xml:space="preserve"> </w:t>
      </w:r>
      <w:r w:rsidRPr="007F028F">
        <w:rPr>
          <w:i/>
        </w:rPr>
        <w:t>InnoCaption Certification PN</w:t>
      </w:r>
      <w:r w:rsidRPr="007F028F">
        <w:t>, 29 FCC Rcd at 5106-07.</w:t>
      </w:r>
    </w:p>
  </w:footnote>
  <w:footnote w:id="58">
    <w:p w:rsidR="009D7356" w:rsidRPr="007F028F" w:rsidRDefault="009D7356">
      <w:pPr>
        <w:pStyle w:val="FootnoteText"/>
      </w:pPr>
      <w:r w:rsidRPr="007F028F">
        <w:rPr>
          <w:rStyle w:val="FootnoteReference"/>
        </w:rPr>
        <w:footnoteRef/>
      </w:r>
      <w:r w:rsidRPr="007F028F">
        <w:t xml:space="preserve"> </w:t>
      </w:r>
      <w:r w:rsidRPr="007F028F">
        <w:rPr>
          <w:i/>
        </w:rPr>
        <w:t>See</w:t>
      </w:r>
      <w:r w:rsidRPr="007F028F">
        <w:t xml:space="preserve"> InnoCaption Notice to Subscribers.</w:t>
      </w:r>
    </w:p>
  </w:footnote>
  <w:footnote w:id="59">
    <w:p w:rsidR="00B55524" w:rsidRPr="007F028F" w:rsidRDefault="00B55524">
      <w:pPr>
        <w:pStyle w:val="FootnoteText"/>
      </w:pPr>
      <w:r w:rsidRPr="007F028F">
        <w:rPr>
          <w:rStyle w:val="FootnoteReference"/>
        </w:rPr>
        <w:footnoteRef/>
      </w:r>
      <w:r w:rsidRPr="007F028F">
        <w:t xml:space="preserve"> </w:t>
      </w:r>
      <w:r w:rsidRPr="007F028F">
        <w:rPr>
          <w:i/>
        </w:rPr>
        <w:t>See</w:t>
      </w:r>
      <w:r w:rsidRPr="007F028F">
        <w:t xml:space="preserve"> 47 C.F.R. § 64.606(e)(2)</w:t>
      </w:r>
      <w:r w:rsidR="002949CA" w:rsidRPr="007F028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39" w:rsidRDefault="00F13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D0" w:rsidRDefault="003313D0" w:rsidP="003313D0">
    <w:pPr>
      <w:pStyle w:val="Header"/>
      <w:rPr>
        <w:b w:val="0"/>
      </w:rPr>
    </w:pPr>
    <w:r>
      <w:rPr>
        <w:noProof/>
        <w:snapToGrid/>
      </w:rPr>
      <mc:AlternateContent>
        <mc:Choice Requires="wps">
          <w:drawing>
            <wp:anchor distT="0" distB="0" distL="114300" distR="114300" simplePos="0" relativeHeight="251661824" behindDoc="1" locked="0" layoutInCell="0" allowOverlap="1" wp14:anchorId="4B9F2D97" wp14:editId="34A4DE56">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DA 15-427</w:t>
    </w:r>
  </w:p>
  <w:p w:rsidR="000F1DAD" w:rsidRPr="003313D0" w:rsidRDefault="000F1DAD" w:rsidP="00331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D0" w:rsidRDefault="003313D0" w:rsidP="003313D0">
    <w:pPr>
      <w:pStyle w:val="Header"/>
      <w:rPr>
        <w:b w:val="0"/>
      </w:rPr>
    </w:pPr>
    <w:r>
      <w:rPr>
        <w:noProof/>
        <w:snapToGrid/>
      </w:rPr>
      <mc:AlternateContent>
        <mc:Choice Requires="wps">
          <w:drawing>
            <wp:anchor distT="0" distB="0" distL="114300" distR="114300" simplePos="0" relativeHeight="251659776" behindDoc="1" locked="0" layoutInCell="0" allowOverlap="1" wp14:anchorId="33F252F9" wp14:editId="7265EA1A">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15-427</w:t>
    </w:r>
  </w:p>
  <w:p w:rsidR="000F1DAD" w:rsidRPr="003313D0" w:rsidRDefault="000F1DAD" w:rsidP="00331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9E3BAD"/>
    <w:multiLevelType w:val="hybridMultilevel"/>
    <w:tmpl w:val="499E8B2E"/>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5DB61D0"/>
    <w:multiLevelType w:val="hybridMultilevel"/>
    <w:tmpl w:val="70DE96EA"/>
    <w:lvl w:ilvl="0" w:tplc="FFFFFFF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62FF8"/>
    <w:multiLevelType w:val="multilevel"/>
    <w:tmpl w:val="624A31A8"/>
    <w:lvl w:ilvl="0">
      <w:start w:val="1"/>
      <w:numFmt w:val="upperRoman"/>
      <w:lvlText w:val="%1."/>
      <w:lvlJc w:val="left"/>
      <w:pPr>
        <w:ind w:left="0" w:firstLine="0"/>
      </w:pPr>
      <w:rPr>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3EB30C21"/>
    <w:multiLevelType w:val="hybridMultilevel"/>
    <w:tmpl w:val="08340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6742CD"/>
    <w:multiLevelType w:val="hybridMultilevel"/>
    <w:tmpl w:val="FEF6E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AA60A6"/>
    <w:multiLevelType w:val="hybridMultilevel"/>
    <w:tmpl w:val="0C463004"/>
    <w:lvl w:ilvl="0" w:tplc="1C84704A">
      <w:start w:val="1"/>
      <w:numFmt w:val="bullet"/>
      <w:lvlText w:val=""/>
      <w:lvlJc w:val="left"/>
      <w:pPr>
        <w:tabs>
          <w:tab w:val="num" w:pos="1560"/>
        </w:tabs>
        <w:ind w:left="1560" w:hanging="360"/>
      </w:pPr>
      <w:rPr>
        <w:rFonts w:ascii="Symbol" w:hAnsi="Symbol" w:hint="default"/>
      </w:rPr>
    </w:lvl>
    <w:lvl w:ilvl="1" w:tplc="44B2D444" w:tentative="1">
      <w:start w:val="1"/>
      <w:numFmt w:val="bullet"/>
      <w:lvlText w:val="o"/>
      <w:lvlJc w:val="left"/>
      <w:pPr>
        <w:tabs>
          <w:tab w:val="num" w:pos="2280"/>
        </w:tabs>
        <w:ind w:left="2280" w:hanging="360"/>
      </w:pPr>
      <w:rPr>
        <w:rFonts w:ascii="Courier New" w:hAnsi="Courier New" w:cs="Symbol" w:hint="default"/>
      </w:rPr>
    </w:lvl>
    <w:lvl w:ilvl="2" w:tplc="D9868658" w:tentative="1">
      <w:start w:val="1"/>
      <w:numFmt w:val="bullet"/>
      <w:lvlText w:val=""/>
      <w:lvlJc w:val="left"/>
      <w:pPr>
        <w:tabs>
          <w:tab w:val="num" w:pos="3000"/>
        </w:tabs>
        <w:ind w:left="3000" w:hanging="360"/>
      </w:pPr>
      <w:rPr>
        <w:rFonts w:ascii="Wingdings" w:hAnsi="Wingdings" w:hint="default"/>
      </w:rPr>
    </w:lvl>
    <w:lvl w:ilvl="3" w:tplc="7D8C035C" w:tentative="1">
      <w:start w:val="1"/>
      <w:numFmt w:val="bullet"/>
      <w:lvlText w:val=""/>
      <w:lvlJc w:val="left"/>
      <w:pPr>
        <w:tabs>
          <w:tab w:val="num" w:pos="3720"/>
        </w:tabs>
        <w:ind w:left="3720" w:hanging="360"/>
      </w:pPr>
      <w:rPr>
        <w:rFonts w:ascii="Symbol" w:hAnsi="Symbol" w:hint="default"/>
      </w:rPr>
    </w:lvl>
    <w:lvl w:ilvl="4" w:tplc="1C98388C" w:tentative="1">
      <w:start w:val="1"/>
      <w:numFmt w:val="bullet"/>
      <w:lvlText w:val="o"/>
      <w:lvlJc w:val="left"/>
      <w:pPr>
        <w:tabs>
          <w:tab w:val="num" w:pos="4440"/>
        </w:tabs>
        <w:ind w:left="4440" w:hanging="360"/>
      </w:pPr>
      <w:rPr>
        <w:rFonts w:ascii="Courier New" w:hAnsi="Courier New" w:cs="Symbol" w:hint="default"/>
      </w:rPr>
    </w:lvl>
    <w:lvl w:ilvl="5" w:tplc="A954757C" w:tentative="1">
      <w:start w:val="1"/>
      <w:numFmt w:val="bullet"/>
      <w:lvlText w:val=""/>
      <w:lvlJc w:val="left"/>
      <w:pPr>
        <w:tabs>
          <w:tab w:val="num" w:pos="5160"/>
        </w:tabs>
        <w:ind w:left="5160" w:hanging="360"/>
      </w:pPr>
      <w:rPr>
        <w:rFonts w:ascii="Wingdings" w:hAnsi="Wingdings" w:hint="default"/>
      </w:rPr>
    </w:lvl>
    <w:lvl w:ilvl="6" w:tplc="922643BE" w:tentative="1">
      <w:start w:val="1"/>
      <w:numFmt w:val="bullet"/>
      <w:lvlText w:val=""/>
      <w:lvlJc w:val="left"/>
      <w:pPr>
        <w:tabs>
          <w:tab w:val="num" w:pos="5880"/>
        </w:tabs>
        <w:ind w:left="5880" w:hanging="360"/>
      </w:pPr>
      <w:rPr>
        <w:rFonts w:ascii="Symbol" w:hAnsi="Symbol" w:hint="default"/>
      </w:rPr>
    </w:lvl>
    <w:lvl w:ilvl="7" w:tplc="6464E1D0" w:tentative="1">
      <w:start w:val="1"/>
      <w:numFmt w:val="bullet"/>
      <w:lvlText w:val="o"/>
      <w:lvlJc w:val="left"/>
      <w:pPr>
        <w:tabs>
          <w:tab w:val="num" w:pos="6600"/>
        </w:tabs>
        <w:ind w:left="6600" w:hanging="360"/>
      </w:pPr>
      <w:rPr>
        <w:rFonts w:ascii="Courier New" w:hAnsi="Courier New" w:cs="Symbol" w:hint="default"/>
      </w:rPr>
    </w:lvl>
    <w:lvl w:ilvl="8" w:tplc="AA7CC6B4" w:tentative="1">
      <w:start w:val="1"/>
      <w:numFmt w:val="bullet"/>
      <w:lvlText w:val=""/>
      <w:lvlJc w:val="left"/>
      <w:pPr>
        <w:tabs>
          <w:tab w:val="num" w:pos="7320"/>
        </w:tabs>
        <w:ind w:left="732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2"/>
  </w:num>
  <w:num w:numId="3">
    <w:abstractNumId w:val="5"/>
  </w:num>
  <w:num w:numId="4">
    <w:abstractNumId w:val="11"/>
  </w:num>
  <w:num w:numId="5">
    <w:abstractNumId w:val="4"/>
  </w:num>
  <w:num w:numId="6">
    <w:abstractNumId w:val="0"/>
  </w:num>
  <w:num w:numId="7">
    <w:abstractNumId w:val="10"/>
  </w:num>
  <w:num w:numId="8">
    <w:abstractNumId w:val="2"/>
  </w:num>
  <w:num w:numId="9">
    <w:abstractNumId w:val="5"/>
  </w:num>
  <w:num w:numId="10">
    <w:abstractNumId w:val="7"/>
  </w:num>
  <w:num w:numId="11">
    <w:abstractNumId w:val="12"/>
    <w:lvlOverride w:ilvl="0">
      <w:startOverride w:val="1"/>
    </w:lvlOverride>
  </w:num>
  <w:num w:numId="12">
    <w:abstractNumId w:val="9"/>
  </w:num>
  <w:num w:numId="13">
    <w:abstractNumId w:val="12"/>
  </w:num>
  <w:num w:numId="14">
    <w:abstractNumId w:val="12"/>
  </w:num>
  <w:num w:numId="15">
    <w:abstractNumId w:val="12"/>
    <w:lvlOverride w:ilvl="0">
      <w:startOverride w:val="1"/>
    </w:lvlOverride>
  </w:num>
  <w:num w:numId="16">
    <w:abstractNumId w:val="12"/>
  </w:num>
  <w:num w:numId="17">
    <w:abstractNumId w:val="12"/>
  </w:num>
  <w:num w:numId="18">
    <w:abstractNumId w:val="12"/>
  </w:num>
  <w:num w:numId="19">
    <w:abstractNumId w:val="12"/>
  </w:num>
  <w:num w:numId="20">
    <w:abstractNumId w:val="6"/>
  </w:num>
  <w:num w:numId="21">
    <w:abstractNumId w:val="12"/>
    <w:lvlOverride w:ilvl="0">
      <w:startOverride w:val="1"/>
    </w:lvlOverride>
  </w:num>
  <w:num w:numId="22">
    <w:abstractNumId w:val="1"/>
  </w:num>
  <w:num w:numId="23">
    <w:abstractNumId w:val="12"/>
    <w:lvlOverride w:ilvl="0">
      <w:startOverride w:val="1"/>
    </w:lvlOverride>
  </w:num>
  <w:num w:numId="24">
    <w:abstractNumId w:val="8"/>
  </w:num>
  <w:num w:numId="25">
    <w:abstractNumId w:val="12"/>
    <w:lvlOverride w:ilvl="0">
      <w:startOverride w:val="1"/>
    </w:lvlOverride>
  </w:num>
  <w:num w:numId="26">
    <w:abstractNumId w:val="12"/>
  </w:num>
  <w:num w:numId="27">
    <w:abstractNumId w:val="12"/>
    <w:lvlOverride w:ilvl="0">
      <w:startOverride w:val="1"/>
    </w:lvlOverride>
  </w:num>
  <w:num w:numId="28">
    <w:abstractNumId w:val="12"/>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B6"/>
    <w:rsid w:val="00002FF3"/>
    <w:rsid w:val="000137B6"/>
    <w:rsid w:val="000145D4"/>
    <w:rsid w:val="00021047"/>
    <w:rsid w:val="0003239E"/>
    <w:rsid w:val="00035820"/>
    <w:rsid w:val="000411A4"/>
    <w:rsid w:val="0004190A"/>
    <w:rsid w:val="00043FA7"/>
    <w:rsid w:val="000451FB"/>
    <w:rsid w:val="000516D6"/>
    <w:rsid w:val="000519BB"/>
    <w:rsid w:val="00053280"/>
    <w:rsid w:val="00065538"/>
    <w:rsid w:val="00065A4E"/>
    <w:rsid w:val="0008458F"/>
    <w:rsid w:val="00092A38"/>
    <w:rsid w:val="00093E68"/>
    <w:rsid w:val="000A17FF"/>
    <w:rsid w:val="000A252B"/>
    <w:rsid w:val="000B0ADC"/>
    <w:rsid w:val="000B53F1"/>
    <w:rsid w:val="000D1808"/>
    <w:rsid w:val="000D366C"/>
    <w:rsid w:val="000E10D5"/>
    <w:rsid w:val="000E222A"/>
    <w:rsid w:val="000E3DE0"/>
    <w:rsid w:val="000E51EC"/>
    <w:rsid w:val="000E580C"/>
    <w:rsid w:val="000E72BD"/>
    <w:rsid w:val="000F1BD5"/>
    <w:rsid w:val="000F1DAD"/>
    <w:rsid w:val="000F3B8D"/>
    <w:rsid w:val="000F5F04"/>
    <w:rsid w:val="000F7265"/>
    <w:rsid w:val="001014E6"/>
    <w:rsid w:val="0010479C"/>
    <w:rsid w:val="001440F1"/>
    <w:rsid w:val="001449C2"/>
    <w:rsid w:val="00150EDD"/>
    <w:rsid w:val="0015589D"/>
    <w:rsid w:val="00157E88"/>
    <w:rsid w:val="00167D2F"/>
    <w:rsid w:val="0017244B"/>
    <w:rsid w:val="00175DB9"/>
    <w:rsid w:val="0017685D"/>
    <w:rsid w:val="00184271"/>
    <w:rsid w:val="001A3C75"/>
    <w:rsid w:val="001B375A"/>
    <w:rsid w:val="001B3805"/>
    <w:rsid w:val="001C1BC4"/>
    <w:rsid w:val="001C7ECE"/>
    <w:rsid w:val="001D572E"/>
    <w:rsid w:val="001D714F"/>
    <w:rsid w:val="001E7901"/>
    <w:rsid w:val="001E7C63"/>
    <w:rsid w:val="001E7E1C"/>
    <w:rsid w:val="001F4AC3"/>
    <w:rsid w:val="001F73D1"/>
    <w:rsid w:val="00200866"/>
    <w:rsid w:val="00202CBF"/>
    <w:rsid w:val="00202DB3"/>
    <w:rsid w:val="00222A03"/>
    <w:rsid w:val="00226FC3"/>
    <w:rsid w:val="00236970"/>
    <w:rsid w:val="00240531"/>
    <w:rsid w:val="00256233"/>
    <w:rsid w:val="00257A6A"/>
    <w:rsid w:val="00260E2F"/>
    <w:rsid w:val="00267627"/>
    <w:rsid w:val="002715CA"/>
    <w:rsid w:val="00271EA0"/>
    <w:rsid w:val="00272779"/>
    <w:rsid w:val="00274274"/>
    <w:rsid w:val="0027593C"/>
    <w:rsid w:val="002860A8"/>
    <w:rsid w:val="002861E5"/>
    <w:rsid w:val="00286590"/>
    <w:rsid w:val="0029031E"/>
    <w:rsid w:val="002949CA"/>
    <w:rsid w:val="00294B67"/>
    <w:rsid w:val="0029639B"/>
    <w:rsid w:val="002A3E25"/>
    <w:rsid w:val="002A53BD"/>
    <w:rsid w:val="002A70FE"/>
    <w:rsid w:val="002B15A3"/>
    <w:rsid w:val="002B6B45"/>
    <w:rsid w:val="002B74F4"/>
    <w:rsid w:val="002B7BCE"/>
    <w:rsid w:val="002C02DD"/>
    <w:rsid w:val="002C78BD"/>
    <w:rsid w:val="002D1FEB"/>
    <w:rsid w:val="002D3B41"/>
    <w:rsid w:val="002D4F9A"/>
    <w:rsid w:val="002D5197"/>
    <w:rsid w:val="002E1203"/>
    <w:rsid w:val="002F03D5"/>
    <w:rsid w:val="002F0D5D"/>
    <w:rsid w:val="002F19B4"/>
    <w:rsid w:val="002F4F83"/>
    <w:rsid w:val="00304D26"/>
    <w:rsid w:val="00312C6B"/>
    <w:rsid w:val="00330876"/>
    <w:rsid w:val="003313D0"/>
    <w:rsid w:val="003314AF"/>
    <w:rsid w:val="0033295A"/>
    <w:rsid w:val="00337EDA"/>
    <w:rsid w:val="003415AB"/>
    <w:rsid w:val="003434D6"/>
    <w:rsid w:val="00344395"/>
    <w:rsid w:val="003540DD"/>
    <w:rsid w:val="00355757"/>
    <w:rsid w:val="003574C5"/>
    <w:rsid w:val="0036528E"/>
    <w:rsid w:val="00367E0A"/>
    <w:rsid w:val="00370158"/>
    <w:rsid w:val="00372532"/>
    <w:rsid w:val="003773B9"/>
    <w:rsid w:val="00383DD9"/>
    <w:rsid w:val="0038648D"/>
    <w:rsid w:val="00386987"/>
    <w:rsid w:val="00387830"/>
    <w:rsid w:val="00391096"/>
    <w:rsid w:val="003914DB"/>
    <w:rsid w:val="003917E7"/>
    <w:rsid w:val="00394C34"/>
    <w:rsid w:val="003A3BF2"/>
    <w:rsid w:val="003A53DF"/>
    <w:rsid w:val="003B066D"/>
    <w:rsid w:val="003B3DFD"/>
    <w:rsid w:val="003B5695"/>
    <w:rsid w:val="003B743A"/>
    <w:rsid w:val="003C214A"/>
    <w:rsid w:val="003C2B93"/>
    <w:rsid w:val="003E6D34"/>
    <w:rsid w:val="003F7DAB"/>
    <w:rsid w:val="00411619"/>
    <w:rsid w:val="00425723"/>
    <w:rsid w:val="00430C6F"/>
    <w:rsid w:val="00435AB8"/>
    <w:rsid w:val="00443A4D"/>
    <w:rsid w:val="004506E9"/>
    <w:rsid w:val="0045242D"/>
    <w:rsid w:val="0046174B"/>
    <w:rsid w:val="00461C45"/>
    <w:rsid w:val="00473E6D"/>
    <w:rsid w:val="00474A02"/>
    <w:rsid w:val="0047574A"/>
    <w:rsid w:val="004801FE"/>
    <w:rsid w:val="00484208"/>
    <w:rsid w:val="0049132C"/>
    <w:rsid w:val="004A5168"/>
    <w:rsid w:val="004B1519"/>
    <w:rsid w:val="004B4B0F"/>
    <w:rsid w:val="004B4E00"/>
    <w:rsid w:val="004B7AE8"/>
    <w:rsid w:val="004C1971"/>
    <w:rsid w:val="004D4A69"/>
    <w:rsid w:val="004E0970"/>
    <w:rsid w:val="004E2163"/>
    <w:rsid w:val="004E739A"/>
    <w:rsid w:val="005017A9"/>
    <w:rsid w:val="00503F33"/>
    <w:rsid w:val="005208E6"/>
    <w:rsid w:val="00523523"/>
    <w:rsid w:val="00523C58"/>
    <w:rsid w:val="005300D5"/>
    <w:rsid w:val="00543751"/>
    <w:rsid w:val="00545745"/>
    <w:rsid w:val="00552F87"/>
    <w:rsid w:val="00561C66"/>
    <w:rsid w:val="00565253"/>
    <w:rsid w:val="00571546"/>
    <w:rsid w:val="0057184F"/>
    <w:rsid w:val="00571D97"/>
    <w:rsid w:val="00575EE0"/>
    <w:rsid w:val="00582F82"/>
    <w:rsid w:val="0058740B"/>
    <w:rsid w:val="00587BE3"/>
    <w:rsid w:val="00590A25"/>
    <w:rsid w:val="00591217"/>
    <w:rsid w:val="00593632"/>
    <w:rsid w:val="00597A07"/>
    <w:rsid w:val="005A386A"/>
    <w:rsid w:val="005A6E54"/>
    <w:rsid w:val="005B2198"/>
    <w:rsid w:val="005C6A27"/>
    <w:rsid w:val="005D28A0"/>
    <w:rsid w:val="005E18B5"/>
    <w:rsid w:val="005E1AB9"/>
    <w:rsid w:val="005E1F54"/>
    <w:rsid w:val="005F0C7B"/>
    <w:rsid w:val="005F5C0A"/>
    <w:rsid w:val="006140BE"/>
    <w:rsid w:val="0063415B"/>
    <w:rsid w:val="006362F2"/>
    <w:rsid w:val="0063741E"/>
    <w:rsid w:val="00645FF8"/>
    <w:rsid w:val="006464D4"/>
    <w:rsid w:val="0065755C"/>
    <w:rsid w:val="00674D63"/>
    <w:rsid w:val="006756FD"/>
    <w:rsid w:val="00677891"/>
    <w:rsid w:val="00681ED0"/>
    <w:rsid w:val="00683292"/>
    <w:rsid w:val="00683909"/>
    <w:rsid w:val="00685C85"/>
    <w:rsid w:val="006907A7"/>
    <w:rsid w:val="006908D1"/>
    <w:rsid w:val="0069376D"/>
    <w:rsid w:val="006A00D9"/>
    <w:rsid w:val="006B1979"/>
    <w:rsid w:val="006B3141"/>
    <w:rsid w:val="006D7159"/>
    <w:rsid w:val="006D75B8"/>
    <w:rsid w:val="006E30BB"/>
    <w:rsid w:val="0070169F"/>
    <w:rsid w:val="00701C9D"/>
    <w:rsid w:val="00705E98"/>
    <w:rsid w:val="007134FD"/>
    <w:rsid w:val="0072771C"/>
    <w:rsid w:val="00733872"/>
    <w:rsid w:val="0074716E"/>
    <w:rsid w:val="0075644C"/>
    <w:rsid w:val="00760F79"/>
    <w:rsid w:val="00767A9D"/>
    <w:rsid w:val="007720DF"/>
    <w:rsid w:val="00773378"/>
    <w:rsid w:val="00773506"/>
    <w:rsid w:val="007762D5"/>
    <w:rsid w:val="00793224"/>
    <w:rsid w:val="007A640E"/>
    <w:rsid w:val="007C0035"/>
    <w:rsid w:val="007C598B"/>
    <w:rsid w:val="007C6CCF"/>
    <w:rsid w:val="007D36AE"/>
    <w:rsid w:val="007D3F11"/>
    <w:rsid w:val="007D4D79"/>
    <w:rsid w:val="007D6E3D"/>
    <w:rsid w:val="007E3E8A"/>
    <w:rsid w:val="007F028F"/>
    <w:rsid w:val="007F3DD6"/>
    <w:rsid w:val="007F6D3C"/>
    <w:rsid w:val="008005DA"/>
    <w:rsid w:val="00806605"/>
    <w:rsid w:val="00807304"/>
    <w:rsid w:val="00812261"/>
    <w:rsid w:val="00813C48"/>
    <w:rsid w:val="00822D29"/>
    <w:rsid w:val="00835456"/>
    <w:rsid w:val="008459B8"/>
    <w:rsid w:val="008466B2"/>
    <w:rsid w:val="00847842"/>
    <w:rsid w:val="0085783B"/>
    <w:rsid w:val="00861016"/>
    <w:rsid w:val="0086249E"/>
    <w:rsid w:val="00873FD4"/>
    <w:rsid w:val="00876782"/>
    <w:rsid w:val="00876F28"/>
    <w:rsid w:val="0087761F"/>
    <w:rsid w:val="008819B8"/>
    <w:rsid w:val="008873F6"/>
    <w:rsid w:val="0089194E"/>
    <w:rsid w:val="00891F9A"/>
    <w:rsid w:val="008940E8"/>
    <w:rsid w:val="0089687D"/>
    <w:rsid w:val="008A650D"/>
    <w:rsid w:val="008B2AB7"/>
    <w:rsid w:val="008B6402"/>
    <w:rsid w:val="008B6470"/>
    <w:rsid w:val="008C05F0"/>
    <w:rsid w:val="008C4575"/>
    <w:rsid w:val="008D2B6C"/>
    <w:rsid w:val="008E0D95"/>
    <w:rsid w:val="008E1916"/>
    <w:rsid w:val="008E434A"/>
    <w:rsid w:val="009020C6"/>
    <w:rsid w:val="0090472D"/>
    <w:rsid w:val="009056B9"/>
    <w:rsid w:val="009064EE"/>
    <w:rsid w:val="00907C36"/>
    <w:rsid w:val="00914569"/>
    <w:rsid w:val="00915052"/>
    <w:rsid w:val="009222CA"/>
    <w:rsid w:val="00937450"/>
    <w:rsid w:val="009465F0"/>
    <w:rsid w:val="00947A51"/>
    <w:rsid w:val="00960BB6"/>
    <w:rsid w:val="009634D3"/>
    <w:rsid w:val="00967F48"/>
    <w:rsid w:val="0097034C"/>
    <w:rsid w:val="00992878"/>
    <w:rsid w:val="009948C3"/>
    <w:rsid w:val="009A7833"/>
    <w:rsid w:val="009B066B"/>
    <w:rsid w:val="009B0B4D"/>
    <w:rsid w:val="009C0C6E"/>
    <w:rsid w:val="009D0740"/>
    <w:rsid w:val="009D2EC2"/>
    <w:rsid w:val="009D7356"/>
    <w:rsid w:val="009E6183"/>
    <w:rsid w:val="009F1504"/>
    <w:rsid w:val="009F2BB1"/>
    <w:rsid w:val="009F44E0"/>
    <w:rsid w:val="009F5DA4"/>
    <w:rsid w:val="009F6332"/>
    <w:rsid w:val="00A0314D"/>
    <w:rsid w:val="00A049FA"/>
    <w:rsid w:val="00A07F9F"/>
    <w:rsid w:val="00A128F5"/>
    <w:rsid w:val="00A21A8C"/>
    <w:rsid w:val="00A36F3E"/>
    <w:rsid w:val="00A41556"/>
    <w:rsid w:val="00A422AC"/>
    <w:rsid w:val="00A422B3"/>
    <w:rsid w:val="00A43866"/>
    <w:rsid w:val="00A51621"/>
    <w:rsid w:val="00A5229C"/>
    <w:rsid w:val="00A554E4"/>
    <w:rsid w:val="00A56B80"/>
    <w:rsid w:val="00A64491"/>
    <w:rsid w:val="00A65179"/>
    <w:rsid w:val="00A65BDE"/>
    <w:rsid w:val="00A67B29"/>
    <w:rsid w:val="00A71487"/>
    <w:rsid w:val="00A751E7"/>
    <w:rsid w:val="00A8208F"/>
    <w:rsid w:val="00A828DD"/>
    <w:rsid w:val="00A839C2"/>
    <w:rsid w:val="00A84A0C"/>
    <w:rsid w:val="00A85904"/>
    <w:rsid w:val="00A86AA4"/>
    <w:rsid w:val="00A97BD0"/>
    <w:rsid w:val="00AA2A99"/>
    <w:rsid w:val="00AA721A"/>
    <w:rsid w:val="00AB2342"/>
    <w:rsid w:val="00AC0728"/>
    <w:rsid w:val="00AC1BEE"/>
    <w:rsid w:val="00AC4E78"/>
    <w:rsid w:val="00AC5926"/>
    <w:rsid w:val="00AD4961"/>
    <w:rsid w:val="00AD71B1"/>
    <w:rsid w:val="00AE031D"/>
    <w:rsid w:val="00AE26BA"/>
    <w:rsid w:val="00B055B6"/>
    <w:rsid w:val="00B10225"/>
    <w:rsid w:val="00B10D60"/>
    <w:rsid w:val="00B13488"/>
    <w:rsid w:val="00B15B5D"/>
    <w:rsid w:val="00B15EC1"/>
    <w:rsid w:val="00B20980"/>
    <w:rsid w:val="00B213E9"/>
    <w:rsid w:val="00B24992"/>
    <w:rsid w:val="00B2574A"/>
    <w:rsid w:val="00B2724E"/>
    <w:rsid w:val="00B30FC2"/>
    <w:rsid w:val="00B333A5"/>
    <w:rsid w:val="00B33BC2"/>
    <w:rsid w:val="00B355B9"/>
    <w:rsid w:val="00B371BC"/>
    <w:rsid w:val="00B53A16"/>
    <w:rsid w:val="00B55352"/>
    <w:rsid w:val="00B55524"/>
    <w:rsid w:val="00B62AE1"/>
    <w:rsid w:val="00B637C6"/>
    <w:rsid w:val="00B70028"/>
    <w:rsid w:val="00B76AE0"/>
    <w:rsid w:val="00B93474"/>
    <w:rsid w:val="00BA6C6B"/>
    <w:rsid w:val="00BB5062"/>
    <w:rsid w:val="00BB7024"/>
    <w:rsid w:val="00BB71DA"/>
    <w:rsid w:val="00BC282D"/>
    <w:rsid w:val="00BC794E"/>
    <w:rsid w:val="00BF3FE4"/>
    <w:rsid w:val="00BF53C1"/>
    <w:rsid w:val="00BF5F18"/>
    <w:rsid w:val="00C01E02"/>
    <w:rsid w:val="00C07115"/>
    <w:rsid w:val="00C11309"/>
    <w:rsid w:val="00C1338B"/>
    <w:rsid w:val="00C157E6"/>
    <w:rsid w:val="00C227F8"/>
    <w:rsid w:val="00C22EA7"/>
    <w:rsid w:val="00C30F8A"/>
    <w:rsid w:val="00C32E79"/>
    <w:rsid w:val="00C4147D"/>
    <w:rsid w:val="00C4380F"/>
    <w:rsid w:val="00C55080"/>
    <w:rsid w:val="00C62487"/>
    <w:rsid w:val="00C63B60"/>
    <w:rsid w:val="00C64758"/>
    <w:rsid w:val="00C64B2C"/>
    <w:rsid w:val="00C671FF"/>
    <w:rsid w:val="00C71DE3"/>
    <w:rsid w:val="00C84AB0"/>
    <w:rsid w:val="00C954A4"/>
    <w:rsid w:val="00CA689F"/>
    <w:rsid w:val="00CA72B0"/>
    <w:rsid w:val="00CB5A54"/>
    <w:rsid w:val="00CC0B43"/>
    <w:rsid w:val="00CC57D7"/>
    <w:rsid w:val="00CC6674"/>
    <w:rsid w:val="00CD4547"/>
    <w:rsid w:val="00CD65C8"/>
    <w:rsid w:val="00CF0ADC"/>
    <w:rsid w:val="00CF0C86"/>
    <w:rsid w:val="00CF0E04"/>
    <w:rsid w:val="00CF1938"/>
    <w:rsid w:val="00CF5A4E"/>
    <w:rsid w:val="00D1073D"/>
    <w:rsid w:val="00D14F7B"/>
    <w:rsid w:val="00D374C0"/>
    <w:rsid w:val="00D416FC"/>
    <w:rsid w:val="00D41D82"/>
    <w:rsid w:val="00D43BA5"/>
    <w:rsid w:val="00D53CE0"/>
    <w:rsid w:val="00D55474"/>
    <w:rsid w:val="00D5671E"/>
    <w:rsid w:val="00D57489"/>
    <w:rsid w:val="00D706F1"/>
    <w:rsid w:val="00D70E54"/>
    <w:rsid w:val="00D71A17"/>
    <w:rsid w:val="00D71D77"/>
    <w:rsid w:val="00D83BA3"/>
    <w:rsid w:val="00D90B0F"/>
    <w:rsid w:val="00DA4A93"/>
    <w:rsid w:val="00DA6A9D"/>
    <w:rsid w:val="00DB331E"/>
    <w:rsid w:val="00DB6164"/>
    <w:rsid w:val="00DB6F0E"/>
    <w:rsid w:val="00DC4A76"/>
    <w:rsid w:val="00DC4E43"/>
    <w:rsid w:val="00DD6241"/>
    <w:rsid w:val="00DE4487"/>
    <w:rsid w:val="00DF086B"/>
    <w:rsid w:val="00DF17E0"/>
    <w:rsid w:val="00DF542D"/>
    <w:rsid w:val="00DF6871"/>
    <w:rsid w:val="00DF71A2"/>
    <w:rsid w:val="00E05B9D"/>
    <w:rsid w:val="00E07992"/>
    <w:rsid w:val="00E22B94"/>
    <w:rsid w:val="00E23D6B"/>
    <w:rsid w:val="00E24889"/>
    <w:rsid w:val="00E301B1"/>
    <w:rsid w:val="00E32FCE"/>
    <w:rsid w:val="00E34FF1"/>
    <w:rsid w:val="00E37F6E"/>
    <w:rsid w:val="00E4065A"/>
    <w:rsid w:val="00E43177"/>
    <w:rsid w:val="00E60E68"/>
    <w:rsid w:val="00E670F6"/>
    <w:rsid w:val="00E81025"/>
    <w:rsid w:val="00E82514"/>
    <w:rsid w:val="00E8629E"/>
    <w:rsid w:val="00E86808"/>
    <w:rsid w:val="00E94D44"/>
    <w:rsid w:val="00E95594"/>
    <w:rsid w:val="00EB36CC"/>
    <w:rsid w:val="00EC43CE"/>
    <w:rsid w:val="00ED276F"/>
    <w:rsid w:val="00EE504E"/>
    <w:rsid w:val="00EF0CC5"/>
    <w:rsid w:val="00F02057"/>
    <w:rsid w:val="00F031CE"/>
    <w:rsid w:val="00F0324D"/>
    <w:rsid w:val="00F06A27"/>
    <w:rsid w:val="00F13E39"/>
    <w:rsid w:val="00F216F7"/>
    <w:rsid w:val="00F2402C"/>
    <w:rsid w:val="00F27C33"/>
    <w:rsid w:val="00F31E62"/>
    <w:rsid w:val="00F455BD"/>
    <w:rsid w:val="00F52AFD"/>
    <w:rsid w:val="00F5366D"/>
    <w:rsid w:val="00F5631F"/>
    <w:rsid w:val="00F77C56"/>
    <w:rsid w:val="00F911A6"/>
    <w:rsid w:val="00F91FE5"/>
    <w:rsid w:val="00F942D1"/>
    <w:rsid w:val="00FA401E"/>
    <w:rsid w:val="00FB16F9"/>
    <w:rsid w:val="00FC055D"/>
    <w:rsid w:val="00FC53EB"/>
    <w:rsid w:val="00FD6663"/>
    <w:rsid w:val="00FD7CB6"/>
    <w:rsid w:val="00FE10B0"/>
    <w:rsid w:val="00FF007B"/>
    <w:rsid w:val="00FF043D"/>
    <w:rsid w:val="00FF3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D28A0"/>
    <w:pPr>
      <w:widowControl w:val="0"/>
    </w:pPr>
    <w:rPr>
      <w:snapToGrid w:val="0"/>
      <w:kern w:val="28"/>
      <w:sz w:val="22"/>
    </w:rPr>
  </w:style>
  <w:style w:type="paragraph" w:styleId="Heading1">
    <w:name w:val="heading 1"/>
    <w:basedOn w:val="Normal"/>
    <w:next w:val="ParaNum"/>
    <w:qFormat/>
    <w:rsid w:val="005D28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28A0"/>
    <w:pPr>
      <w:keepNext/>
      <w:numPr>
        <w:ilvl w:val="1"/>
        <w:numId w:val="3"/>
      </w:numPr>
      <w:spacing w:after="120"/>
      <w:outlineLvl w:val="1"/>
    </w:pPr>
    <w:rPr>
      <w:b/>
    </w:rPr>
  </w:style>
  <w:style w:type="paragraph" w:styleId="Heading3">
    <w:name w:val="heading 3"/>
    <w:basedOn w:val="Normal"/>
    <w:next w:val="ParaNum"/>
    <w:qFormat/>
    <w:rsid w:val="005D28A0"/>
    <w:pPr>
      <w:keepNext/>
      <w:numPr>
        <w:ilvl w:val="2"/>
        <w:numId w:val="3"/>
      </w:numPr>
      <w:tabs>
        <w:tab w:val="left" w:pos="2160"/>
      </w:tabs>
      <w:spacing w:after="120"/>
      <w:outlineLvl w:val="2"/>
    </w:pPr>
    <w:rPr>
      <w:b/>
    </w:rPr>
  </w:style>
  <w:style w:type="paragraph" w:styleId="Heading4">
    <w:name w:val="heading 4"/>
    <w:basedOn w:val="Normal"/>
    <w:next w:val="ParaNum"/>
    <w:qFormat/>
    <w:rsid w:val="005D28A0"/>
    <w:pPr>
      <w:keepNext/>
      <w:numPr>
        <w:ilvl w:val="3"/>
        <w:numId w:val="3"/>
      </w:numPr>
      <w:tabs>
        <w:tab w:val="left" w:pos="2880"/>
      </w:tabs>
      <w:spacing w:after="120"/>
      <w:outlineLvl w:val="3"/>
    </w:pPr>
    <w:rPr>
      <w:b/>
    </w:rPr>
  </w:style>
  <w:style w:type="paragraph" w:styleId="Heading5">
    <w:name w:val="heading 5"/>
    <w:basedOn w:val="Normal"/>
    <w:next w:val="ParaNum"/>
    <w:qFormat/>
    <w:rsid w:val="005D28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28A0"/>
    <w:pPr>
      <w:numPr>
        <w:ilvl w:val="5"/>
        <w:numId w:val="3"/>
      </w:numPr>
      <w:tabs>
        <w:tab w:val="left" w:pos="4320"/>
      </w:tabs>
      <w:spacing w:after="120"/>
      <w:outlineLvl w:val="5"/>
    </w:pPr>
    <w:rPr>
      <w:b/>
    </w:rPr>
  </w:style>
  <w:style w:type="paragraph" w:styleId="Heading7">
    <w:name w:val="heading 7"/>
    <w:basedOn w:val="Normal"/>
    <w:next w:val="ParaNum"/>
    <w:qFormat/>
    <w:rsid w:val="005D28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28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28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28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28A0"/>
  </w:style>
  <w:style w:type="paragraph" w:styleId="BalloonText">
    <w:name w:val="Balloon Text"/>
    <w:basedOn w:val="Normal"/>
    <w:link w:val="BalloonTextChar1"/>
    <w:semiHidden/>
    <w:rsid w:val="004763F9"/>
    <w:rPr>
      <w:rFonts w:ascii="Tahoma" w:hAnsi="Tahoma" w:cs="Tahoma"/>
      <w:snapToGrid/>
      <w:sz w:val="16"/>
      <w:szCs w:val="16"/>
    </w:rPr>
  </w:style>
  <w:style w:type="character" w:customStyle="1" w:styleId="BalloonTextChar">
    <w:name w:val="Balloon Text Char"/>
    <w:uiPriority w:val="99"/>
    <w:semiHidden/>
    <w:rsid w:val="0023783C"/>
    <w:rPr>
      <w:rFonts w:ascii="Lucida Grande" w:hAnsi="Lucida Grande"/>
      <w:sz w:val="18"/>
      <w:szCs w:val="18"/>
    </w:rPr>
  </w:style>
  <w:style w:type="paragraph" w:customStyle="1" w:styleId="ParaNum">
    <w:name w:val="ParaNum"/>
    <w:basedOn w:val="Normal"/>
    <w:link w:val="ParaNumChar1"/>
    <w:rsid w:val="005D28A0"/>
    <w:pPr>
      <w:numPr>
        <w:numId w:val="2"/>
      </w:numPr>
      <w:tabs>
        <w:tab w:val="clear" w:pos="1080"/>
        <w:tab w:val="num" w:pos="1440"/>
      </w:tabs>
      <w:spacing w:after="120"/>
    </w:pPr>
  </w:style>
  <w:style w:type="paragraph" w:styleId="EndnoteText">
    <w:name w:val="endnote text"/>
    <w:basedOn w:val="Normal"/>
    <w:semiHidden/>
    <w:rsid w:val="005D28A0"/>
    <w:rPr>
      <w:sz w:val="20"/>
    </w:rPr>
  </w:style>
  <w:style w:type="character" w:styleId="EndnoteReference">
    <w:name w:val="endnote reference"/>
    <w:semiHidden/>
    <w:rsid w:val="005D28A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5D28A0"/>
    <w:pPr>
      <w:spacing w:after="120"/>
    </w:pPr>
  </w:style>
  <w:style w:type="character" w:styleId="FootnoteReference">
    <w:name w:val="footnote reference"/>
    <w:aliases w:val="Appel note de bas de p,Style 12,(NECG) Footnote Reference,Style 124,Style 13,fr,o,Style 3,FR,Style 17,Style 6,Footnote Reference/,Style 4"/>
    <w:rsid w:val="005D28A0"/>
    <w:rPr>
      <w:rFonts w:ascii="Times New Roman" w:hAnsi="Times New Roman"/>
      <w:dstrike w:val="0"/>
      <w:color w:val="auto"/>
      <w:sz w:val="20"/>
      <w:vertAlign w:val="superscript"/>
    </w:rPr>
  </w:style>
  <w:style w:type="paragraph" w:styleId="TOC1">
    <w:name w:val="toc 1"/>
    <w:basedOn w:val="Normal"/>
    <w:next w:val="Normal"/>
    <w:semiHidden/>
    <w:rsid w:val="005D28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28A0"/>
    <w:pPr>
      <w:tabs>
        <w:tab w:val="left" w:pos="720"/>
        <w:tab w:val="right" w:leader="dot" w:pos="9360"/>
      </w:tabs>
      <w:suppressAutoHyphens/>
      <w:ind w:left="720" w:right="720" w:hanging="360"/>
    </w:pPr>
    <w:rPr>
      <w:noProof/>
    </w:rPr>
  </w:style>
  <w:style w:type="paragraph" w:styleId="TOC3">
    <w:name w:val="toc 3"/>
    <w:basedOn w:val="Normal"/>
    <w:next w:val="Normal"/>
    <w:semiHidden/>
    <w:rsid w:val="005D28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28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28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28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28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28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28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28A0"/>
    <w:pPr>
      <w:tabs>
        <w:tab w:val="right" w:pos="9360"/>
      </w:tabs>
      <w:suppressAutoHyphens/>
    </w:pPr>
  </w:style>
  <w:style w:type="character" w:customStyle="1" w:styleId="EquationCaption">
    <w:name w:val="_Equation Caption"/>
    <w:rsid w:val="005D28A0"/>
  </w:style>
  <w:style w:type="paragraph" w:styleId="Header">
    <w:name w:val="header"/>
    <w:basedOn w:val="Normal"/>
    <w:link w:val="HeaderChar"/>
    <w:autoRedefine/>
    <w:rsid w:val="005D28A0"/>
    <w:pPr>
      <w:tabs>
        <w:tab w:val="center" w:pos="4680"/>
        <w:tab w:val="right" w:pos="9360"/>
      </w:tabs>
    </w:pPr>
    <w:rPr>
      <w:b/>
    </w:rPr>
  </w:style>
  <w:style w:type="paragraph" w:styleId="Footer">
    <w:name w:val="footer"/>
    <w:basedOn w:val="Normal"/>
    <w:rsid w:val="005D28A0"/>
    <w:pPr>
      <w:tabs>
        <w:tab w:val="center" w:pos="4320"/>
        <w:tab w:val="right" w:pos="8640"/>
      </w:tabs>
    </w:pPr>
  </w:style>
  <w:style w:type="character" w:styleId="PageNumber">
    <w:name w:val="page number"/>
    <w:basedOn w:val="DefaultParagraphFont"/>
    <w:rsid w:val="005D28A0"/>
  </w:style>
  <w:style w:type="paragraph" w:styleId="BlockText">
    <w:name w:val="Block Text"/>
    <w:basedOn w:val="Normal"/>
    <w:rsid w:val="005D28A0"/>
    <w:pPr>
      <w:spacing w:after="240"/>
      <w:ind w:left="1440" w:right="1440"/>
    </w:pPr>
  </w:style>
  <w:style w:type="paragraph" w:customStyle="1" w:styleId="Paratitle">
    <w:name w:val="Para title"/>
    <w:basedOn w:val="Normal"/>
    <w:rsid w:val="005D28A0"/>
    <w:pPr>
      <w:tabs>
        <w:tab w:val="center" w:pos="9270"/>
      </w:tabs>
      <w:spacing w:after="240"/>
    </w:pPr>
    <w:rPr>
      <w:spacing w:val="-2"/>
    </w:rPr>
  </w:style>
  <w:style w:type="paragraph" w:customStyle="1" w:styleId="Bullet">
    <w:name w:val="Bullet"/>
    <w:basedOn w:val="Normal"/>
    <w:rsid w:val="005D28A0"/>
    <w:pPr>
      <w:tabs>
        <w:tab w:val="left" w:pos="2160"/>
      </w:tabs>
      <w:spacing w:after="220"/>
      <w:ind w:left="2160" w:hanging="720"/>
    </w:pPr>
  </w:style>
  <w:style w:type="paragraph" w:customStyle="1" w:styleId="TableFormat">
    <w:name w:val="TableFormat"/>
    <w:basedOn w:val="Bullet"/>
    <w:rsid w:val="005D28A0"/>
    <w:pPr>
      <w:tabs>
        <w:tab w:val="clear" w:pos="2160"/>
        <w:tab w:val="left" w:pos="5040"/>
      </w:tabs>
      <w:ind w:left="5040" w:hanging="3600"/>
    </w:pPr>
  </w:style>
  <w:style w:type="paragraph" w:customStyle="1" w:styleId="TOCTitle">
    <w:name w:val="TOC Title"/>
    <w:basedOn w:val="Normal"/>
    <w:rsid w:val="005D28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28A0"/>
    <w:pPr>
      <w:jc w:val="center"/>
    </w:pPr>
    <w:rPr>
      <w:rFonts w:ascii="Times New Roman Bold" w:hAnsi="Times New Roman Bold"/>
      <w:b/>
      <w:bCs/>
      <w:caps/>
      <w:szCs w:val="22"/>
    </w:rPr>
  </w:style>
  <w:style w:type="character" w:styleId="Hyperlink">
    <w:name w:val="Hyperlink"/>
    <w:rsid w:val="005D28A0"/>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4763F9"/>
  </w:style>
  <w:style w:type="character" w:customStyle="1" w:styleId="BalloonTextChar1">
    <w:name w:val="Balloon Text Char1"/>
    <w:link w:val="BalloonText"/>
    <w:semiHidden/>
    <w:locked/>
    <w:rsid w:val="004763F9"/>
    <w:rPr>
      <w:rFonts w:ascii="Tahoma" w:hAnsi="Tahoma" w:cs="Tahoma"/>
      <w:sz w:val="16"/>
      <w:szCs w:val="16"/>
      <w:lang w:val="en-US" w:eastAsia="en-US" w:bidi="ar-SA"/>
    </w:rPr>
  </w:style>
  <w:style w:type="character" w:styleId="CommentReference">
    <w:name w:val="annotation reference"/>
    <w:rsid w:val="004763F9"/>
    <w:rPr>
      <w:rFonts w:cs="Times New Roman"/>
      <w:sz w:val="16"/>
      <w:szCs w:val="16"/>
    </w:rPr>
  </w:style>
  <w:style w:type="paragraph" w:styleId="CommentText">
    <w:name w:val="annotation text"/>
    <w:basedOn w:val="Normal"/>
    <w:link w:val="CommentTextChar"/>
    <w:rsid w:val="004763F9"/>
    <w:rPr>
      <w:snapToGrid/>
      <w:sz w:val="20"/>
    </w:rPr>
  </w:style>
  <w:style w:type="character" w:customStyle="1" w:styleId="CommentTextChar">
    <w:name w:val="Comment Text Char"/>
    <w:link w:val="CommentText"/>
    <w:locked/>
    <w:rsid w:val="004763F9"/>
    <w:rPr>
      <w:lang w:val="en-US" w:eastAsia="en-US" w:bidi="ar-SA"/>
    </w:rPr>
  </w:style>
  <w:style w:type="paragraph" w:styleId="CommentSubject">
    <w:name w:val="annotation subject"/>
    <w:basedOn w:val="CommentText"/>
    <w:next w:val="CommentText"/>
    <w:semiHidden/>
    <w:rsid w:val="004763F9"/>
    <w:rPr>
      <w:b/>
      <w:bCs/>
      <w:snapToGrid w:val="0"/>
    </w:rPr>
  </w:style>
  <w:style w:type="paragraph" w:customStyle="1" w:styleId="Default">
    <w:name w:val="Default"/>
    <w:rsid w:val="004763F9"/>
    <w:pPr>
      <w:autoSpaceDE w:val="0"/>
      <w:autoSpaceDN w:val="0"/>
      <w:adjustRightInd w:val="0"/>
    </w:pPr>
    <w:rPr>
      <w:color w:val="000000"/>
      <w:sz w:val="24"/>
      <w:szCs w:val="24"/>
    </w:rPr>
  </w:style>
  <w:style w:type="character" w:customStyle="1" w:styleId="ParaNumChar1">
    <w:name w:val="ParaNum Char1"/>
    <w:link w:val="ParaNum"/>
    <w:rsid w:val="004763F9"/>
    <w:rPr>
      <w:snapToGrid w:val="0"/>
      <w:kern w:val="28"/>
      <w:sz w:val="22"/>
    </w:rPr>
  </w:style>
  <w:style w:type="paragraph" w:customStyle="1" w:styleId="ColorfulShading-Accent11">
    <w:name w:val="Colorful Shading - Accent 11"/>
    <w:hidden/>
    <w:uiPriority w:val="99"/>
    <w:semiHidden/>
    <w:rsid w:val="004763F9"/>
    <w:rPr>
      <w:snapToGrid w:val="0"/>
      <w:kern w:val="28"/>
      <w:sz w:val="22"/>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4763F9"/>
  </w:style>
  <w:style w:type="paragraph" w:customStyle="1" w:styleId="ColorfulList-Accent11">
    <w:name w:val="Colorful List - Accent 11"/>
    <w:basedOn w:val="Normal"/>
    <w:uiPriority w:val="34"/>
    <w:qFormat/>
    <w:rsid w:val="004763F9"/>
    <w:pPr>
      <w:ind w:left="720"/>
      <w:contextualSpacing/>
    </w:pPr>
  </w:style>
  <w:style w:type="paragraph" w:customStyle="1" w:styleId="ColorfulShading-Accent12">
    <w:name w:val="Colorful Shading - Accent 12"/>
    <w:hidden/>
    <w:uiPriority w:val="99"/>
    <w:semiHidden/>
    <w:rsid w:val="007F171F"/>
    <w:rPr>
      <w:sz w:val="22"/>
    </w:rPr>
  </w:style>
  <w:style w:type="paragraph" w:styleId="Revision">
    <w:name w:val="Revision"/>
    <w:hidden/>
    <w:uiPriority w:val="71"/>
    <w:rsid w:val="004A5168"/>
    <w:rPr>
      <w:snapToGrid w:val="0"/>
      <w:kern w:val="28"/>
      <w:sz w:val="22"/>
    </w:rPr>
  </w:style>
  <w:style w:type="character" w:customStyle="1" w:styleId="FootnoteTextChar2CharChar1">
    <w:name w:val="Footnote Text Char2 Char Char1"/>
    <w:aliases w:val="Footnote Text Char Char Char Char1,Footnote Text Char1 Char Char1 Char Char1,Footnote Text Char Char1 Char Char Char Char1,Footnote Text Char3 Char Char Char Char Char Char1,Footnote Text Char3 Char Char"/>
    <w:basedOn w:val="DefaultParagraphFont"/>
    <w:uiPriority w:val="99"/>
    <w:rsid w:val="00D374C0"/>
    <w:rPr>
      <w:sz w:val="20"/>
      <w:szCs w:val="20"/>
    </w:rPr>
  </w:style>
  <w:style w:type="character" w:customStyle="1" w:styleId="HeaderChar">
    <w:name w:val="Header Char"/>
    <w:basedOn w:val="DefaultParagraphFont"/>
    <w:link w:val="Header"/>
    <w:rsid w:val="003313D0"/>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D28A0"/>
    <w:pPr>
      <w:widowControl w:val="0"/>
    </w:pPr>
    <w:rPr>
      <w:snapToGrid w:val="0"/>
      <w:kern w:val="28"/>
      <w:sz w:val="22"/>
    </w:rPr>
  </w:style>
  <w:style w:type="paragraph" w:styleId="Heading1">
    <w:name w:val="heading 1"/>
    <w:basedOn w:val="Normal"/>
    <w:next w:val="ParaNum"/>
    <w:qFormat/>
    <w:rsid w:val="005D28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D28A0"/>
    <w:pPr>
      <w:keepNext/>
      <w:numPr>
        <w:ilvl w:val="1"/>
        <w:numId w:val="3"/>
      </w:numPr>
      <w:spacing w:after="120"/>
      <w:outlineLvl w:val="1"/>
    </w:pPr>
    <w:rPr>
      <w:b/>
    </w:rPr>
  </w:style>
  <w:style w:type="paragraph" w:styleId="Heading3">
    <w:name w:val="heading 3"/>
    <w:basedOn w:val="Normal"/>
    <w:next w:val="ParaNum"/>
    <w:qFormat/>
    <w:rsid w:val="005D28A0"/>
    <w:pPr>
      <w:keepNext/>
      <w:numPr>
        <w:ilvl w:val="2"/>
        <w:numId w:val="3"/>
      </w:numPr>
      <w:tabs>
        <w:tab w:val="left" w:pos="2160"/>
      </w:tabs>
      <w:spacing w:after="120"/>
      <w:outlineLvl w:val="2"/>
    </w:pPr>
    <w:rPr>
      <w:b/>
    </w:rPr>
  </w:style>
  <w:style w:type="paragraph" w:styleId="Heading4">
    <w:name w:val="heading 4"/>
    <w:basedOn w:val="Normal"/>
    <w:next w:val="ParaNum"/>
    <w:qFormat/>
    <w:rsid w:val="005D28A0"/>
    <w:pPr>
      <w:keepNext/>
      <w:numPr>
        <w:ilvl w:val="3"/>
        <w:numId w:val="3"/>
      </w:numPr>
      <w:tabs>
        <w:tab w:val="left" w:pos="2880"/>
      </w:tabs>
      <w:spacing w:after="120"/>
      <w:outlineLvl w:val="3"/>
    </w:pPr>
    <w:rPr>
      <w:b/>
    </w:rPr>
  </w:style>
  <w:style w:type="paragraph" w:styleId="Heading5">
    <w:name w:val="heading 5"/>
    <w:basedOn w:val="Normal"/>
    <w:next w:val="ParaNum"/>
    <w:qFormat/>
    <w:rsid w:val="005D28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D28A0"/>
    <w:pPr>
      <w:numPr>
        <w:ilvl w:val="5"/>
        <w:numId w:val="3"/>
      </w:numPr>
      <w:tabs>
        <w:tab w:val="left" w:pos="4320"/>
      </w:tabs>
      <w:spacing w:after="120"/>
      <w:outlineLvl w:val="5"/>
    </w:pPr>
    <w:rPr>
      <w:b/>
    </w:rPr>
  </w:style>
  <w:style w:type="paragraph" w:styleId="Heading7">
    <w:name w:val="heading 7"/>
    <w:basedOn w:val="Normal"/>
    <w:next w:val="ParaNum"/>
    <w:qFormat/>
    <w:rsid w:val="005D28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D28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D28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D28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28A0"/>
  </w:style>
  <w:style w:type="paragraph" w:styleId="BalloonText">
    <w:name w:val="Balloon Text"/>
    <w:basedOn w:val="Normal"/>
    <w:link w:val="BalloonTextChar1"/>
    <w:semiHidden/>
    <w:rsid w:val="004763F9"/>
    <w:rPr>
      <w:rFonts w:ascii="Tahoma" w:hAnsi="Tahoma" w:cs="Tahoma"/>
      <w:snapToGrid/>
      <w:sz w:val="16"/>
      <w:szCs w:val="16"/>
    </w:rPr>
  </w:style>
  <w:style w:type="character" w:customStyle="1" w:styleId="BalloonTextChar">
    <w:name w:val="Balloon Text Char"/>
    <w:uiPriority w:val="99"/>
    <w:semiHidden/>
    <w:rsid w:val="0023783C"/>
    <w:rPr>
      <w:rFonts w:ascii="Lucida Grande" w:hAnsi="Lucida Grande"/>
      <w:sz w:val="18"/>
      <w:szCs w:val="18"/>
    </w:rPr>
  </w:style>
  <w:style w:type="paragraph" w:customStyle="1" w:styleId="ParaNum">
    <w:name w:val="ParaNum"/>
    <w:basedOn w:val="Normal"/>
    <w:link w:val="ParaNumChar1"/>
    <w:rsid w:val="005D28A0"/>
    <w:pPr>
      <w:numPr>
        <w:numId w:val="2"/>
      </w:numPr>
      <w:tabs>
        <w:tab w:val="clear" w:pos="1080"/>
        <w:tab w:val="num" w:pos="1440"/>
      </w:tabs>
      <w:spacing w:after="120"/>
    </w:pPr>
  </w:style>
  <w:style w:type="paragraph" w:styleId="EndnoteText">
    <w:name w:val="endnote text"/>
    <w:basedOn w:val="Normal"/>
    <w:semiHidden/>
    <w:rsid w:val="005D28A0"/>
    <w:rPr>
      <w:sz w:val="20"/>
    </w:rPr>
  </w:style>
  <w:style w:type="character" w:styleId="EndnoteReference">
    <w:name w:val="endnote reference"/>
    <w:semiHidden/>
    <w:rsid w:val="005D28A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5D28A0"/>
    <w:pPr>
      <w:spacing w:after="120"/>
    </w:pPr>
  </w:style>
  <w:style w:type="character" w:styleId="FootnoteReference">
    <w:name w:val="footnote reference"/>
    <w:aliases w:val="Appel note de bas de p,Style 12,(NECG) Footnote Reference,Style 124,Style 13,fr,o,Style 3,FR,Style 17,Style 6,Footnote Reference/,Style 4"/>
    <w:rsid w:val="005D28A0"/>
    <w:rPr>
      <w:rFonts w:ascii="Times New Roman" w:hAnsi="Times New Roman"/>
      <w:dstrike w:val="0"/>
      <w:color w:val="auto"/>
      <w:sz w:val="20"/>
      <w:vertAlign w:val="superscript"/>
    </w:rPr>
  </w:style>
  <w:style w:type="paragraph" w:styleId="TOC1">
    <w:name w:val="toc 1"/>
    <w:basedOn w:val="Normal"/>
    <w:next w:val="Normal"/>
    <w:semiHidden/>
    <w:rsid w:val="005D28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D28A0"/>
    <w:pPr>
      <w:tabs>
        <w:tab w:val="left" w:pos="720"/>
        <w:tab w:val="right" w:leader="dot" w:pos="9360"/>
      </w:tabs>
      <w:suppressAutoHyphens/>
      <w:ind w:left="720" w:right="720" w:hanging="360"/>
    </w:pPr>
    <w:rPr>
      <w:noProof/>
    </w:rPr>
  </w:style>
  <w:style w:type="paragraph" w:styleId="TOC3">
    <w:name w:val="toc 3"/>
    <w:basedOn w:val="Normal"/>
    <w:next w:val="Normal"/>
    <w:semiHidden/>
    <w:rsid w:val="005D28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D28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D28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D28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D28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D28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D28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D28A0"/>
    <w:pPr>
      <w:tabs>
        <w:tab w:val="right" w:pos="9360"/>
      </w:tabs>
      <w:suppressAutoHyphens/>
    </w:pPr>
  </w:style>
  <w:style w:type="character" w:customStyle="1" w:styleId="EquationCaption">
    <w:name w:val="_Equation Caption"/>
    <w:rsid w:val="005D28A0"/>
  </w:style>
  <w:style w:type="paragraph" w:styleId="Header">
    <w:name w:val="header"/>
    <w:basedOn w:val="Normal"/>
    <w:link w:val="HeaderChar"/>
    <w:autoRedefine/>
    <w:rsid w:val="005D28A0"/>
    <w:pPr>
      <w:tabs>
        <w:tab w:val="center" w:pos="4680"/>
        <w:tab w:val="right" w:pos="9360"/>
      </w:tabs>
    </w:pPr>
    <w:rPr>
      <w:b/>
    </w:rPr>
  </w:style>
  <w:style w:type="paragraph" w:styleId="Footer">
    <w:name w:val="footer"/>
    <w:basedOn w:val="Normal"/>
    <w:rsid w:val="005D28A0"/>
    <w:pPr>
      <w:tabs>
        <w:tab w:val="center" w:pos="4320"/>
        <w:tab w:val="right" w:pos="8640"/>
      </w:tabs>
    </w:pPr>
  </w:style>
  <w:style w:type="character" w:styleId="PageNumber">
    <w:name w:val="page number"/>
    <w:basedOn w:val="DefaultParagraphFont"/>
    <w:rsid w:val="005D28A0"/>
  </w:style>
  <w:style w:type="paragraph" w:styleId="BlockText">
    <w:name w:val="Block Text"/>
    <w:basedOn w:val="Normal"/>
    <w:rsid w:val="005D28A0"/>
    <w:pPr>
      <w:spacing w:after="240"/>
      <w:ind w:left="1440" w:right="1440"/>
    </w:pPr>
  </w:style>
  <w:style w:type="paragraph" w:customStyle="1" w:styleId="Paratitle">
    <w:name w:val="Para title"/>
    <w:basedOn w:val="Normal"/>
    <w:rsid w:val="005D28A0"/>
    <w:pPr>
      <w:tabs>
        <w:tab w:val="center" w:pos="9270"/>
      </w:tabs>
      <w:spacing w:after="240"/>
    </w:pPr>
    <w:rPr>
      <w:spacing w:val="-2"/>
    </w:rPr>
  </w:style>
  <w:style w:type="paragraph" w:customStyle="1" w:styleId="Bullet">
    <w:name w:val="Bullet"/>
    <w:basedOn w:val="Normal"/>
    <w:rsid w:val="005D28A0"/>
    <w:pPr>
      <w:tabs>
        <w:tab w:val="left" w:pos="2160"/>
      </w:tabs>
      <w:spacing w:after="220"/>
      <w:ind w:left="2160" w:hanging="720"/>
    </w:pPr>
  </w:style>
  <w:style w:type="paragraph" w:customStyle="1" w:styleId="TableFormat">
    <w:name w:val="TableFormat"/>
    <w:basedOn w:val="Bullet"/>
    <w:rsid w:val="005D28A0"/>
    <w:pPr>
      <w:tabs>
        <w:tab w:val="clear" w:pos="2160"/>
        <w:tab w:val="left" w:pos="5040"/>
      </w:tabs>
      <w:ind w:left="5040" w:hanging="3600"/>
    </w:pPr>
  </w:style>
  <w:style w:type="paragraph" w:customStyle="1" w:styleId="TOCTitle">
    <w:name w:val="TOC Title"/>
    <w:basedOn w:val="Normal"/>
    <w:rsid w:val="005D28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D28A0"/>
    <w:pPr>
      <w:jc w:val="center"/>
    </w:pPr>
    <w:rPr>
      <w:rFonts w:ascii="Times New Roman Bold" w:hAnsi="Times New Roman Bold"/>
      <w:b/>
      <w:bCs/>
      <w:caps/>
      <w:szCs w:val="22"/>
    </w:rPr>
  </w:style>
  <w:style w:type="character" w:styleId="Hyperlink">
    <w:name w:val="Hyperlink"/>
    <w:rsid w:val="005D28A0"/>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4763F9"/>
  </w:style>
  <w:style w:type="character" w:customStyle="1" w:styleId="BalloonTextChar1">
    <w:name w:val="Balloon Text Char1"/>
    <w:link w:val="BalloonText"/>
    <w:semiHidden/>
    <w:locked/>
    <w:rsid w:val="004763F9"/>
    <w:rPr>
      <w:rFonts w:ascii="Tahoma" w:hAnsi="Tahoma" w:cs="Tahoma"/>
      <w:sz w:val="16"/>
      <w:szCs w:val="16"/>
      <w:lang w:val="en-US" w:eastAsia="en-US" w:bidi="ar-SA"/>
    </w:rPr>
  </w:style>
  <w:style w:type="character" w:styleId="CommentReference">
    <w:name w:val="annotation reference"/>
    <w:rsid w:val="004763F9"/>
    <w:rPr>
      <w:rFonts w:cs="Times New Roman"/>
      <w:sz w:val="16"/>
      <w:szCs w:val="16"/>
    </w:rPr>
  </w:style>
  <w:style w:type="paragraph" w:styleId="CommentText">
    <w:name w:val="annotation text"/>
    <w:basedOn w:val="Normal"/>
    <w:link w:val="CommentTextChar"/>
    <w:rsid w:val="004763F9"/>
    <w:rPr>
      <w:snapToGrid/>
      <w:sz w:val="20"/>
    </w:rPr>
  </w:style>
  <w:style w:type="character" w:customStyle="1" w:styleId="CommentTextChar">
    <w:name w:val="Comment Text Char"/>
    <w:link w:val="CommentText"/>
    <w:locked/>
    <w:rsid w:val="004763F9"/>
    <w:rPr>
      <w:lang w:val="en-US" w:eastAsia="en-US" w:bidi="ar-SA"/>
    </w:rPr>
  </w:style>
  <w:style w:type="paragraph" w:styleId="CommentSubject">
    <w:name w:val="annotation subject"/>
    <w:basedOn w:val="CommentText"/>
    <w:next w:val="CommentText"/>
    <w:semiHidden/>
    <w:rsid w:val="004763F9"/>
    <w:rPr>
      <w:b/>
      <w:bCs/>
      <w:snapToGrid w:val="0"/>
    </w:rPr>
  </w:style>
  <w:style w:type="paragraph" w:customStyle="1" w:styleId="Default">
    <w:name w:val="Default"/>
    <w:rsid w:val="004763F9"/>
    <w:pPr>
      <w:autoSpaceDE w:val="0"/>
      <w:autoSpaceDN w:val="0"/>
      <w:adjustRightInd w:val="0"/>
    </w:pPr>
    <w:rPr>
      <w:color w:val="000000"/>
      <w:sz w:val="24"/>
      <w:szCs w:val="24"/>
    </w:rPr>
  </w:style>
  <w:style w:type="character" w:customStyle="1" w:styleId="ParaNumChar1">
    <w:name w:val="ParaNum Char1"/>
    <w:link w:val="ParaNum"/>
    <w:rsid w:val="004763F9"/>
    <w:rPr>
      <w:snapToGrid w:val="0"/>
      <w:kern w:val="28"/>
      <w:sz w:val="22"/>
    </w:rPr>
  </w:style>
  <w:style w:type="paragraph" w:customStyle="1" w:styleId="ColorfulShading-Accent11">
    <w:name w:val="Colorful Shading - Accent 11"/>
    <w:hidden/>
    <w:uiPriority w:val="99"/>
    <w:semiHidden/>
    <w:rsid w:val="004763F9"/>
    <w:rPr>
      <w:snapToGrid w:val="0"/>
      <w:kern w:val="28"/>
      <w:sz w:val="22"/>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locked/>
    <w:rsid w:val="004763F9"/>
  </w:style>
  <w:style w:type="paragraph" w:customStyle="1" w:styleId="ColorfulList-Accent11">
    <w:name w:val="Colorful List - Accent 11"/>
    <w:basedOn w:val="Normal"/>
    <w:uiPriority w:val="34"/>
    <w:qFormat/>
    <w:rsid w:val="004763F9"/>
    <w:pPr>
      <w:ind w:left="720"/>
      <w:contextualSpacing/>
    </w:pPr>
  </w:style>
  <w:style w:type="paragraph" w:customStyle="1" w:styleId="ColorfulShading-Accent12">
    <w:name w:val="Colorful Shading - Accent 12"/>
    <w:hidden/>
    <w:uiPriority w:val="99"/>
    <w:semiHidden/>
    <w:rsid w:val="007F171F"/>
    <w:rPr>
      <w:sz w:val="22"/>
    </w:rPr>
  </w:style>
  <w:style w:type="paragraph" w:styleId="Revision">
    <w:name w:val="Revision"/>
    <w:hidden/>
    <w:uiPriority w:val="71"/>
    <w:rsid w:val="004A5168"/>
    <w:rPr>
      <w:snapToGrid w:val="0"/>
      <w:kern w:val="28"/>
      <w:sz w:val="22"/>
    </w:rPr>
  </w:style>
  <w:style w:type="character" w:customStyle="1" w:styleId="FootnoteTextChar2CharChar1">
    <w:name w:val="Footnote Text Char2 Char Char1"/>
    <w:aliases w:val="Footnote Text Char Char Char Char1,Footnote Text Char1 Char Char1 Char Char1,Footnote Text Char Char1 Char Char Char Char1,Footnote Text Char3 Char Char Char Char Char Char1,Footnote Text Char3 Char Char"/>
    <w:basedOn w:val="DefaultParagraphFont"/>
    <w:uiPriority w:val="99"/>
    <w:rsid w:val="00D374C0"/>
    <w:rPr>
      <w:sz w:val="20"/>
      <w:szCs w:val="20"/>
    </w:rPr>
  </w:style>
  <w:style w:type="character" w:customStyle="1" w:styleId="HeaderChar">
    <w:name w:val="Header Char"/>
    <w:basedOn w:val="DefaultParagraphFont"/>
    <w:link w:val="Header"/>
    <w:rsid w:val="003313D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5281">
      <w:bodyDiv w:val="1"/>
      <w:marLeft w:val="0"/>
      <w:marRight w:val="0"/>
      <w:marTop w:val="0"/>
      <w:marBottom w:val="0"/>
      <w:divBdr>
        <w:top w:val="none" w:sz="0" w:space="0" w:color="auto"/>
        <w:left w:val="none" w:sz="0" w:space="0" w:color="auto"/>
        <w:bottom w:val="none" w:sz="0" w:space="0" w:color="auto"/>
        <w:right w:val="none" w:sz="0" w:space="0" w:color="auto"/>
      </w:divBdr>
    </w:div>
    <w:div w:id="903564033">
      <w:bodyDiv w:val="1"/>
      <w:marLeft w:val="0"/>
      <w:marRight w:val="0"/>
      <w:marTop w:val="0"/>
      <w:marBottom w:val="0"/>
      <w:divBdr>
        <w:top w:val="none" w:sz="0" w:space="0" w:color="auto"/>
        <w:left w:val="none" w:sz="0" w:space="0" w:color="auto"/>
        <w:bottom w:val="none" w:sz="0" w:space="0" w:color="auto"/>
        <w:right w:val="none" w:sz="0" w:space="0" w:color="auto"/>
      </w:divBdr>
    </w:div>
    <w:div w:id="1386222973">
      <w:bodyDiv w:val="1"/>
      <w:marLeft w:val="0"/>
      <w:marRight w:val="0"/>
      <w:marTop w:val="0"/>
      <w:marBottom w:val="0"/>
      <w:divBdr>
        <w:top w:val="none" w:sz="0" w:space="0" w:color="auto"/>
        <w:left w:val="none" w:sz="0" w:space="0" w:color="auto"/>
        <w:bottom w:val="none" w:sz="0" w:space="0" w:color="auto"/>
        <w:right w:val="none" w:sz="0" w:space="0" w:color="auto"/>
      </w:divBdr>
      <w:divsChild>
        <w:div w:id="1333679506">
          <w:marLeft w:val="0"/>
          <w:marRight w:val="0"/>
          <w:marTop w:val="0"/>
          <w:marBottom w:val="0"/>
          <w:divBdr>
            <w:top w:val="none" w:sz="0" w:space="0" w:color="auto"/>
            <w:left w:val="none" w:sz="0" w:space="0" w:color="auto"/>
            <w:bottom w:val="none" w:sz="0" w:space="0" w:color="auto"/>
            <w:right w:val="none" w:sz="0" w:space="0" w:color="auto"/>
          </w:divBdr>
          <w:divsChild>
            <w:div w:id="1479880022">
              <w:marLeft w:val="0"/>
              <w:marRight w:val="0"/>
              <w:marTop w:val="0"/>
              <w:marBottom w:val="0"/>
              <w:divBdr>
                <w:top w:val="none" w:sz="0" w:space="0" w:color="auto"/>
                <w:left w:val="none" w:sz="0" w:space="0" w:color="auto"/>
                <w:bottom w:val="none" w:sz="0" w:space="0" w:color="auto"/>
                <w:right w:val="none" w:sz="0" w:space="0" w:color="auto"/>
              </w:divBdr>
              <w:divsChild>
                <w:div w:id="2089303684">
                  <w:marLeft w:val="0"/>
                  <w:marRight w:val="0"/>
                  <w:marTop w:val="0"/>
                  <w:marBottom w:val="0"/>
                  <w:divBdr>
                    <w:top w:val="none" w:sz="0" w:space="0" w:color="auto"/>
                    <w:left w:val="none" w:sz="0" w:space="0" w:color="auto"/>
                    <w:bottom w:val="none" w:sz="0" w:space="0" w:color="auto"/>
                    <w:right w:val="none" w:sz="0" w:space="0" w:color="auto"/>
                  </w:divBdr>
                  <w:divsChild>
                    <w:div w:id="268705974">
                      <w:marLeft w:val="0"/>
                      <w:marRight w:val="0"/>
                      <w:marTop w:val="173"/>
                      <w:marBottom w:val="0"/>
                      <w:divBdr>
                        <w:top w:val="none" w:sz="0" w:space="0" w:color="auto"/>
                        <w:left w:val="none" w:sz="0" w:space="0" w:color="auto"/>
                        <w:bottom w:val="none" w:sz="0" w:space="0" w:color="auto"/>
                        <w:right w:val="none" w:sz="0" w:space="0" w:color="auto"/>
                      </w:divBdr>
                      <w:divsChild>
                        <w:div w:id="17905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253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3428</Words>
  <Characters>18896</Characters>
  <Application>Microsoft Office Word</Application>
  <DocSecurity>0</DocSecurity>
  <Lines>305</Lines>
  <Paragraphs>76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22380</CharactersWithSpaces>
  <SharedDoc>false</SharedDoc>
  <HyperlinkBase> </HyperlinkBase>
  <HLinks>
    <vt:vector size="18" baseType="variant">
      <vt:variant>
        <vt:i4>3211389</vt:i4>
      </vt:variant>
      <vt:variant>
        <vt:i4>6</vt:i4>
      </vt:variant>
      <vt:variant>
        <vt:i4>0</vt:i4>
      </vt:variant>
      <vt:variant>
        <vt:i4>5</vt:i4>
      </vt:variant>
      <vt:variant>
        <vt:lpwstr>http://usac.org/li/tools/nlad/nlad-dispute-resolution.aspx</vt:lpwstr>
      </vt:variant>
      <vt:variant>
        <vt:lpwstr/>
      </vt:variant>
      <vt:variant>
        <vt:i4>3211389</vt:i4>
      </vt:variant>
      <vt:variant>
        <vt:i4>3</vt:i4>
      </vt:variant>
      <vt:variant>
        <vt:i4>0</vt:i4>
      </vt:variant>
      <vt:variant>
        <vt:i4>5</vt:i4>
      </vt:variant>
      <vt:variant>
        <vt:lpwstr>http://usac.org/li/tools/nlad/nlad-dispute-resolution.aspx</vt:lpwstr>
      </vt:variant>
      <vt:variant>
        <vt:lpwstr/>
      </vt:variant>
      <vt:variant>
        <vt:i4>3211389</vt:i4>
      </vt:variant>
      <vt:variant>
        <vt:i4>0</vt:i4>
      </vt:variant>
      <vt:variant>
        <vt:i4>0</vt:i4>
      </vt:variant>
      <vt:variant>
        <vt:i4>5</vt:i4>
      </vt:variant>
      <vt:variant>
        <vt:lpwstr>http://usac.org/li/tools/nlad/nlad-dispute-resolution.aspx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2015-04-06T14:52:00Z</cp:lastPrinted>
  <dcterms:created xsi:type="dcterms:W3CDTF">2015-04-08T14:17:00Z</dcterms:created>
  <dcterms:modified xsi:type="dcterms:W3CDTF">2015-04-08T14:17:00Z</dcterms:modified>
  <cp:category> </cp:category>
  <cp:contentStatus> </cp:contentStatus>
</cp:coreProperties>
</file>