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55B1" w14:textId="77777777" w:rsidR="004C2EE3" w:rsidRPr="00DB062D" w:rsidRDefault="004C2EE3" w:rsidP="00A47B38">
      <w:pPr>
        <w:widowControl/>
        <w:jc w:val="center"/>
        <w:rPr>
          <w:b/>
          <w:szCs w:val="22"/>
        </w:rPr>
      </w:pPr>
      <w:bookmarkStart w:id="0" w:name="_GoBack"/>
      <w:bookmarkEnd w:id="0"/>
      <w:r w:rsidRPr="00DB062D">
        <w:rPr>
          <w:b/>
          <w:kern w:val="0"/>
          <w:szCs w:val="22"/>
        </w:rPr>
        <w:t>Before</w:t>
      </w:r>
      <w:r w:rsidRPr="00DB062D">
        <w:rPr>
          <w:b/>
          <w:szCs w:val="22"/>
        </w:rPr>
        <w:t xml:space="preserve"> the</w:t>
      </w:r>
    </w:p>
    <w:p w14:paraId="026A3861" w14:textId="77777777" w:rsidR="0030006A" w:rsidRPr="00DB062D" w:rsidRDefault="00921803" w:rsidP="00A71C4E">
      <w:pPr>
        <w:jc w:val="center"/>
        <w:rPr>
          <w:b/>
          <w:szCs w:val="22"/>
        </w:rPr>
      </w:pPr>
      <w:r w:rsidRPr="00DB062D">
        <w:rPr>
          <w:b/>
          <w:szCs w:val="22"/>
        </w:rPr>
        <w:t>Federal Communications Commission</w:t>
      </w:r>
    </w:p>
    <w:p w14:paraId="400182E2" w14:textId="77777777" w:rsidR="004C2EE3" w:rsidRPr="00DB062D" w:rsidRDefault="00810B6F" w:rsidP="00A47B38">
      <w:pPr>
        <w:pStyle w:val="StyleBoldCentered"/>
        <w:widowControl/>
        <w:rPr>
          <w:rFonts w:ascii="Times New Roman" w:hAnsi="Times New Roman"/>
        </w:rPr>
      </w:pPr>
      <w:r w:rsidRPr="00DB062D">
        <w:rPr>
          <w:rFonts w:ascii="Times New Roman" w:hAnsi="Times New Roman"/>
          <w:caps w:val="0"/>
        </w:rPr>
        <w:t>Washington, D.C. 20554</w:t>
      </w:r>
    </w:p>
    <w:p w14:paraId="1506E0F0" w14:textId="77777777" w:rsidR="004C2EE3" w:rsidRPr="00DB062D" w:rsidRDefault="004C2EE3" w:rsidP="00A47B38">
      <w:pPr>
        <w:widowControl/>
        <w:rPr>
          <w:szCs w:val="22"/>
        </w:rPr>
      </w:pPr>
    </w:p>
    <w:tbl>
      <w:tblPr>
        <w:tblW w:w="0" w:type="auto"/>
        <w:tblLayout w:type="fixed"/>
        <w:tblLook w:val="0000" w:firstRow="0" w:lastRow="0" w:firstColumn="0" w:lastColumn="0" w:noHBand="0" w:noVBand="0"/>
      </w:tblPr>
      <w:tblGrid>
        <w:gridCol w:w="4698"/>
        <w:gridCol w:w="630"/>
        <w:gridCol w:w="4248"/>
      </w:tblGrid>
      <w:tr w:rsidR="004C2EE3" w:rsidRPr="00DB062D" w14:paraId="18CC05DD" w14:textId="77777777">
        <w:tc>
          <w:tcPr>
            <w:tcW w:w="4698" w:type="dxa"/>
          </w:tcPr>
          <w:p w14:paraId="43F01095" w14:textId="77777777" w:rsidR="004C2EE3" w:rsidRPr="00DB062D" w:rsidRDefault="004C2EE3" w:rsidP="00A47B38">
            <w:pPr>
              <w:widowControl/>
              <w:tabs>
                <w:tab w:val="center" w:pos="4680"/>
              </w:tabs>
              <w:suppressAutoHyphens/>
              <w:rPr>
                <w:spacing w:val="-2"/>
                <w:szCs w:val="22"/>
              </w:rPr>
            </w:pPr>
            <w:r w:rsidRPr="00DB062D">
              <w:rPr>
                <w:spacing w:val="-2"/>
                <w:szCs w:val="22"/>
              </w:rPr>
              <w:t>In the Matter of</w:t>
            </w:r>
          </w:p>
          <w:p w14:paraId="6BB90336" w14:textId="77777777" w:rsidR="004C2EE3" w:rsidRPr="00DB062D" w:rsidRDefault="004C2EE3" w:rsidP="00A47B38">
            <w:pPr>
              <w:widowControl/>
              <w:tabs>
                <w:tab w:val="center" w:pos="4680"/>
              </w:tabs>
              <w:suppressAutoHyphens/>
              <w:rPr>
                <w:spacing w:val="-2"/>
                <w:szCs w:val="22"/>
              </w:rPr>
            </w:pPr>
          </w:p>
          <w:p w14:paraId="2F33DEE8" w14:textId="77777777" w:rsidR="00CC04E7" w:rsidRDefault="00CC04E7" w:rsidP="00A47B38">
            <w:pPr>
              <w:widowControl/>
              <w:tabs>
                <w:tab w:val="center" w:pos="4680"/>
              </w:tabs>
              <w:suppressAutoHyphens/>
              <w:rPr>
                <w:spacing w:val="-2"/>
                <w:szCs w:val="22"/>
              </w:rPr>
            </w:pPr>
            <w:r w:rsidRPr="00DB062D">
              <w:rPr>
                <w:spacing w:val="-2"/>
                <w:szCs w:val="22"/>
              </w:rPr>
              <w:t>Rural Call Completion</w:t>
            </w:r>
          </w:p>
          <w:p w14:paraId="73FB24F2" w14:textId="77777777" w:rsidR="000B0086" w:rsidRDefault="000B0086" w:rsidP="000B0086">
            <w:pPr>
              <w:widowControl/>
              <w:tabs>
                <w:tab w:val="center" w:pos="4680"/>
              </w:tabs>
              <w:suppressAutoHyphens/>
              <w:rPr>
                <w:spacing w:val="-2"/>
              </w:rPr>
            </w:pPr>
          </w:p>
          <w:p w14:paraId="33BD1BB7" w14:textId="48D2F019" w:rsidR="000B0086" w:rsidRPr="00DB062D" w:rsidRDefault="000B0086" w:rsidP="000B0086">
            <w:pPr>
              <w:widowControl/>
              <w:tabs>
                <w:tab w:val="center" w:pos="4680"/>
              </w:tabs>
              <w:suppressAutoHyphens/>
              <w:rPr>
                <w:spacing w:val="-2"/>
                <w:szCs w:val="22"/>
              </w:rPr>
            </w:pPr>
            <w:r>
              <w:rPr>
                <w:spacing w:val="-2"/>
              </w:rPr>
              <w:t xml:space="preserve">Petition for Waiver of </w:t>
            </w:r>
            <w:r>
              <w:t>Carolina West Wireless, Inc.</w:t>
            </w:r>
            <w:r>
              <w:rPr>
                <w:spacing w:val="-2"/>
              </w:rPr>
              <w:t xml:space="preserve"> </w:t>
            </w:r>
          </w:p>
        </w:tc>
        <w:tc>
          <w:tcPr>
            <w:tcW w:w="630" w:type="dxa"/>
          </w:tcPr>
          <w:p w14:paraId="78DD00F0" w14:textId="77777777" w:rsidR="004C2EE3" w:rsidRPr="00DB062D" w:rsidRDefault="004C2EE3" w:rsidP="00A47B38">
            <w:pPr>
              <w:widowControl/>
              <w:tabs>
                <w:tab w:val="center" w:pos="4680"/>
              </w:tabs>
              <w:suppressAutoHyphens/>
              <w:rPr>
                <w:b/>
                <w:spacing w:val="-2"/>
                <w:szCs w:val="22"/>
              </w:rPr>
            </w:pPr>
            <w:r w:rsidRPr="00DB062D">
              <w:rPr>
                <w:b/>
                <w:spacing w:val="-2"/>
                <w:szCs w:val="22"/>
              </w:rPr>
              <w:t>)</w:t>
            </w:r>
          </w:p>
          <w:p w14:paraId="5179DFA3" w14:textId="77777777" w:rsidR="004C2EE3" w:rsidRPr="00DB062D" w:rsidRDefault="004C2EE3" w:rsidP="00A47B38">
            <w:pPr>
              <w:widowControl/>
              <w:tabs>
                <w:tab w:val="center" w:pos="4680"/>
              </w:tabs>
              <w:suppressAutoHyphens/>
              <w:rPr>
                <w:b/>
                <w:spacing w:val="-2"/>
                <w:szCs w:val="22"/>
              </w:rPr>
            </w:pPr>
            <w:r w:rsidRPr="00DB062D">
              <w:rPr>
                <w:b/>
                <w:spacing w:val="-2"/>
                <w:szCs w:val="22"/>
              </w:rPr>
              <w:t>)</w:t>
            </w:r>
          </w:p>
          <w:p w14:paraId="4B855225" w14:textId="77777777" w:rsidR="00CC04E7" w:rsidRPr="00DB062D" w:rsidRDefault="004C2EE3" w:rsidP="00A47B38">
            <w:pPr>
              <w:widowControl/>
              <w:tabs>
                <w:tab w:val="center" w:pos="4680"/>
              </w:tabs>
              <w:suppressAutoHyphens/>
              <w:rPr>
                <w:b/>
                <w:spacing w:val="-2"/>
                <w:szCs w:val="22"/>
              </w:rPr>
            </w:pPr>
            <w:r w:rsidRPr="00DB062D">
              <w:rPr>
                <w:b/>
                <w:spacing w:val="-2"/>
                <w:szCs w:val="22"/>
              </w:rPr>
              <w:t>)</w:t>
            </w:r>
          </w:p>
          <w:p w14:paraId="4A5A4DC2" w14:textId="77777777" w:rsidR="000B0086" w:rsidRPr="00DB062D" w:rsidRDefault="000B0086" w:rsidP="000B0086">
            <w:pPr>
              <w:widowControl/>
              <w:tabs>
                <w:tab w:val="center" w:pos="4680"/>
              </w:tabs>
              <w:suppressAutoHyphens/>
              <w:rPr>
                <w:b/>
                <w:spacing w:val="-2"/>
                <w:szCs w:val="22"/>
              </w:rPr>
            </w:pPr>
            <w:r w:rsidRPr="00DB062D">
              <w:rPr>
                <w:b/>
                <w:spacing w:val="-2"/>
                <w:szCs w:val="22"/>
              </w:rPr>
              <w:t>)</w:t>
            </w:r>
          </w:p>
          <w:p w14:paraId="54AD3ECA" w14:textId="5ECCA075" w:rsidR="004C2EE3" w:rsidRPr="000B0086" w:rsidRDefault="000B0086" w:rsidP="00A47B38">
            <w:pPr>
              <w:widowControl/>
              <w:tabs>
                <w:tab w:val="center" w:pos="4680"/>
              </w:tabs>
              <w:suppressAutoHyphens/>
              <w:rPr>
                <w:b/>
                <w:spacing w:val="-2"/>
                <w:szCs w:val="22"/>
              </w:rPr>
            </w:pPr>
            <w:r w:rsidRPr="00DB062D">
              <w:rPr>
                <w:b/>
                <w:spacing w:val="-2"/>
                <w:szCs w:val="22"/>
              </w:rPr>
              <w:t>)</w:t>
            </w:r>
          </w:p>
        </w:tc>
        <w:tc>
          <w:tcPr>
            <w:tcW w:w="4248" w:type="dxa"/>
          </w:tcPr>
          <w:p w14:paraId="154EB410" w14:textId="77777777" w:rsidR="004C2EE3" w:rsidRPr="00DB062D" w:rsidRDefault="004C2EE3" w:rsidP="00A47B38">
            <w:pPr>
              <w:widowControl/>
              <w:tabs>
                <w:tab w:val="center" w:pos="4680"/>
              </w:tabs>
              <w:suppressAutoHyphens/>
              <w:rPr>
                <w:spacing w:val="-2"/>
                <w:szCs w:val="22"/>
              </w:rPr>
            </w:pPr>
          </w:p>
          <w:p w14:paraId="075E73C7" w14:textId="77777777" w:rsidR="004C2EE3" w:rsidRPr="00DB062D" w:rsidRDefault="004C2EE3" w:rsidP="00A47B38">
            <w:pPr>
              <w:pStyle w:val="TOAHeading"/>
              <w:widowControl/>
              <w:tabs>
                <w:tab w:val="clear" w:pos="9360"/>
                <w:tab w:val="center" w:pos="4680"/>
              </w:tabs>
              <w:rPr>
                <w:spacing w:val="-2"/>
                <w:szCs w:val="22"/>
              </w:rPr>
            </w:pPr>
          </w:p>
          <w:p w14:paraId="4D8C41FB" w14:textId="77777777" w:rsidR="004C2EE3" w:rsidRPr="00DB062D" w:rsidRDefault="00CC04E7" w:rsidP="00A47B38">
            <w:pPr>
              <w:widowControl/>
              <w:tabs>
                <w:tab w:val="center" w:pos="4680"/>
              </w:tabs>
              <w:suppressAutoHyphens/>
              <w:rPr>
                <w:spacing w:val="-2"/>
                <w:szCs w:val="22"/>
              </w:rPr>
            </w:pPr>
            <w:r w:rsidRPr="00DB062D">
              <w:rPr>
                <w:spacing w:val="-2"/>
                <w:szCs w:val="22"/>
              </w:rPr>
              <w:t>WC Docket No. 13-39</w:t>
            </w:r>
          </w:p>
        </w:tc>
      </w:tr>
    </w:tbl>
    <w:p w14:paraId="6609B44B" w14:textId="77777777" w:rsidR="004C2EE3" w:rsidRDefault="004C2EE3" w:rsidP="00A47B38">
      <w:pPr>
        <w:widowControl/>
        <w:rPr>
          <w:szCs w:val="22"/>
        </w:rPr>
      </w:pPr>
    </w:p>
    <w:p w14:paraId="66CA9025" w14:textId="77777777" w:rsidR="001509EF" w:rsidRPr="00DB062D" w:rsidRDefault="001509EF" w:rsidP="00A47B38">
      <w:pPr>
        <w:widowControl/>
        <w:rPr>
          <w:szCs w:val="22"/>
        </w:rPr>
      </w:pPr>
    </w:p>
    <w:p w14:paraId="1D568640" w14:textId="77777777" w:rsidR="00841AB1" w:rsidRPr="00DB062D" w:rsidRDefault="00C00524" w:rsidP="00A47B38">
      <w:pPr>
        <w:pStyle w:val="StyleBoldCentered"/>
        <w:widowControl/>
        <w:rPr>
          <w:rFonts w:ascii="Times New Roman" w:hAnsi="Times New Roman"/>
        </w:rPr>
      </w:pPr>
      <w:r>
        <w:rPr>
          <w:rFonts w:ascii="Times New Roman" w:hAnsi="Times New Roman"/>
        </w:rPr>
        <w:t>ORDER</w:t>
      </w:r>
    </w:p>
    <w:p w14:paraId="1B691966" w14:textId="77777777" w:rsidR="004C2EE3" w:rsidRPr="00DB062D" w:rsidRDefault="004C2EE3" w:rsidP="00A47B38">
      <w:pPr>
        <w:widowControl/>
        <w:tabs>
          <w:tab w:val="left" w:pos="-720"/>
        </w:tabs>
        <w:suppressAutoHyphens/>
        <w:spacing w:line="227" w:lineRule="auto"/>
        <w:rPr>
          <w:spacing w:val="-2"/>
          <w:szCs w:val="22"/>
        </w:rPr>
      </w:pPr>
    </w:p>
    <w:p w14:paraId="2A0010DC" w14:textId="05FCF4CE" w:rsidR="004C2EE3" w:rsidRPr="00DB062D" w:rsidRDefault="004C2EE3" w:rsidP="00A47B38">
      <w:pPr>
        <w:widowControl/>
        <w:tabs>
          <w:tab w:val="left" w:pos="720"/>
          <w:tab w:val="right" w:pos="9360"/>
        </w:tabs>
        <w:suppressAutoHyphens/>
        <w:spacing w:line="227" w:lineRule="auto"/>
        <w:rPr>
          <w:spacing w:val="-2"/>
          <w:szCs w:val="22"/>
        </w:rPr>
      </w:pPr>
      <w:r w:rsidRPr="00DB062D">
        <w:rPr>
          <w:b/>
          <w:spacing w:val="-2"/>
          <w:szCs w:val="22"/>
        </w:rPr>
        <w:t xml:space="preserve">Adopted:  </w:t>
      </w:r>
      <w:r w:rsidR="00C00524">
        <w:rPr>
          <w:b/>
          <w:spacing w:val="-2"/>
          <w:szCs w:val="22"/>
        </w:rPr>
        <w:t>March</w:t>
      </w:r>
      <w:r w:rsidR="00AB09C5" w:rsidRPr="00DB062D">
        <w:rPr>
          <w:b/>
          <w:spacing w:val="-2"/>
          <w:szCs w:val="22"/>
        </w:rPr>
        <w:t xml:space="preserve"> </w:t>
      </w:r>
      <w:r w:rsidR="00471A54">
        <w:rPr>
          <w:b/>
          <w:spacing w:val="-2"/>
          <w:szCs w:val="22"/>
        </w:rPr>
        <w:t>31</w:t>
      </w:r>
      <w:r w:rsidR="00CC04E7" w:rsidRPr="00DB062D">
        <w:rPr>
          <w:b/>
          <w:spacing w:val="-2"/>
          <w:szCs w:val="22"/>
        </w:rPr>
        <w:t>, 201</w:t>
      </w:r>
      <w:r w:rsidR="003E1B83">
        <w:rPr>
          <w:b/>
          <w:spacing w:val="-2"/>
          <w:szCs w:val="22"/>
        </w:rPr>
        <w:t>5</w:t>
      </w:r>
      <w:r w:rsidRPr="00DB062D">
        <w:rPr>
          <w:b/>
          <w:spacing w:val="-2"/>
          <w:szCs w:val="22"/>
        </w:rPr>
        <w:tab/>
      </w:r>
      <w:r w:rsidR="00822CE0" w:rsidRPr="00DB062D">
        <w:rPr>
          <w:b/>
          <w:spacing w:val="-2"/>
          <w:szCs w:val="22"/>
        </w:rPr>
        <w:t>Released</w:t>
      </w:r>
      <w:r w:rsidRPr="00DB062D">
        <w:rPr>
          <w:b/>
          <w:spacing w:val="-2"/>
          <w:szCs w:val="22"/>
        </w:rPr>
        <w:t>:</w:t>
      </w:r>
      <w:r w:rsidR="00822CE0" w:rsidRPr="00DB062D">
        <w:rPr>
          <w:b/>
          <w:spacing w:val="-2"/>
          <w:szCs w:val="22"/>
        </w:rPr>
        <w:t xml:space="preserve"> </w:t>
      </w:r>
      <w:r w:rsidRPr="00DB062D">
        <w:rPr>
          <w:b/>
          <w:spacing w:val="-2"/>
          <w:szCs w:val="22"/>
        </w:rPr>
        <w:t xml:space="preserve"> </w:t>
      </w:r>
      <w:r w:rsidR="00C00524">
        <w:rPr>
          <w:b/>
          <w:spacing w:val="-2"/>
          <w:szCs w:val="22"/>
        </w:rPr>
        <w:t>March</w:t>
      </w:r>
      <w:r w:rsidR="00AB09C5" w:rsidRPr="00DB062D">
        <w:rPr>
          <w:b/>
          <w:spacing w:val="-2"/>
          <w:szCs w:val="22"/>
        </w:rPr>
        <w:t xml:space="preserve"> </w:t>
      </w:r>
      <w:r w:rsidR="00471A54">
        <w:rPr>
          <w:b/>
          <w:spacing w:val="-2"/>
          <w:szCs w:val="22"/>
        </w:rPr>
        <w:t>31</w:t>
      </w:r>
      <w:r w:rsidR="00CC04E7" w:rsidRPr="00DB062D">
        <w:rPr>
          <w:b/>
          <w:spacing w:val="-2"/>
          <w:szCs w:val="22"/>
        </w:rPr>
        <w:t>, 201</w:t>
      </w:r>
      <w:r w:rsidR="003E1B83">
        <w:rPr>
          <w:b/>
          <w:spacing w:val="-2"/>
          <w:szCs w:val="22"/>
        </w:rPr>
        <w:t>5</w:t>
      </w:r>
    </w:p>
    <w:p w14:paraId="5F93813E" w14:textId="77777777" w:rsidR="00822CE0" w:rsidRPr="00DB062D" w:rsidRDefault="00822CE0" w:rsidP="00A47B38">
      <w:pPr>
        <w:widowControl/>
        <w:rPr>
          <w:szCs w:val="22"/>
        </w:rPr>
      </w:pPr>
    </w:p>
    <w:p w14:paraId="38D1FFA4" w14:textId="77777777" w:rsidR="00822CE0" w:rsidRPr="00DB062D" w:rsidRDefault="004C2EE3" w:rsidP="00A47B38">
      <w:pPr>
        <w:widowControl/>
        <w:rPr>
          <w:spacing w:val="-2"/>
          <w:szCs w:val="22"/>
        </w:rPr>
      </w:pPr>
      <w:r w:rsidRPr="00DB062D">
        <w:rPr>
          <w:szCs w:val="22"/>
        </w:rPr>
        <w:t xml:space="preserve">By </w:t>
      </w:r>
      <w:r w:rsidR="00CC04E7" w:rsidRPr="00DB062D">
        <w:rPr>
          <w:spacing w:val="-2"/>
          <w:szCs w:val="22"/>
        </w:rPr>
        <w:t>the Chief, Wireline Competition Bureau</w:t>
      </w:r>
      <w:r w:rsidRPr="00DB062D">
        <w:rPr>
          <w:spacing w:val="-2"/>
          <w:szCs w:val="22"/>
        </w:rPr>
        <w:t>:</w:t>
      </w:r>
    </w:p>
    <w:p w14:paraId="6B49016E" w14:textId="77777777" w:rsidR="00B51D66" w:rsidRPr="00DB062D" w:rsidRDefault="00B51D66" w:rsidP="00A47B38">
      <w:pPr>
        <w:widowControl/>
        <w:rPr>
          <w:spacing w:val="-2"/>
          <w:szCs w:val="22"/>
        </w:rPr>
      </w:pPr>
      <w:bookmarkStart w:id="1" w:name="start_here"/>
      <w:bookmarkEnd w:id="1"/>
    </w:p>
    <w:p w14:paraId="6AC8C468" w14:textId="77777777" w:rsidR="00CC04E7" w:rsidRPr="00DB062D" w:rsidRDefault="00CC04E7" w:rsidP="00A47B38">
      <w:pPr>
        <w:pStyle w:val="Heading1"/>
        <w:widowControl/>
        <w:spacing w:after="220"/>
        <w:rPr>
          <w:rFonts w:ascii="Times New Roman" w:hAnsi="Times New Roman"/>
          <w:szCs w:val="22"/>
        </w:rPr>
      </w:pPr>
      <w:bookmarkStart w:id="2" w:name="_Toc400549569"/>
      <w:r w:rsidRPr="00DB062D">
        <w:rPr>
          <w:rFonts w:ascii="Times New Roman" w:hAnsi="Times New Roman"/>
          <w:szCs w:val="22"/>
        </w:rPr>
        <w:t>Introduction</w:t>
      </w:r>
      <w:bookmarkEnd w:id="2"/>
      <w:r w:rsidR="006E19BD">
        <w:rPr>
          <w:rFonts w:ascii="Times New Roman" w:hAnsi="Times New Roman"/>
          <w:szCs w:val="22"/>
        </w:rPr>
        <w:t xml:space="preserve"> </w:t>
      </w:r>
      <w:r w:rsidR="00FB6CD8">
        <w:rPr>
          <w:rFonts w:ascii="Times New Roman" w:hAnsi="Times New Roman"/>
          <w:szCs w:val="22"/>
        </w:rPr>
        <w:t>and background</w:t>
      </w:r>
    </w:p>
    <w:p w14:paraId="3323B5E7" w14:textId="2B3E2D2D" w:rsidR="001E53FF" w:rsidRDefault="00BF1EAD" w:rsidP="00E15138">
      <w:pPr>
        <w:pStyle w:val="ParaNum"/>
      </w:pPr>
      <w:r>
        <w:t>In this Order</w:t>
      </w:r>
      <w:r w:rsidR="00D12942">
        <w:t>,</w:t>
      </w:r>
      <w:r>
        <w:t xml:space="preserve"> the Wireline Competition Bureau (Bureau), on </w:t>
      </w:r>
      <w:r w:rsidR="00D12942">
        <w:t>it</w:t>
      </w:r>
      <w:r w:rsidR="00DA7BD9">
        <w:t>s</w:t>
      </w:r>
      <w:r>
        <w:t xml:space="preserve"> own motion,</w:t>
      </w:r>
      <w:r w:rsidR="001E53FF">
        <w:t xml:space="preserve"> find</w:t>
      </w:r>
      <w:r>
        <w:t>s</w:t>
      </w:r>
      <w:r w:rsidR="001E53FF">
        <w:t xml:space="preserve"> good ca</w:t>
      </w:r>
      <w:r>
        <w:t>use</w:t>
      </w:r>
      <w:r w:rsidR="00D12942">
        <w:rPr>
          <w:rStyle w:val="FootnoteReference"/>
          <w:szCs w:val="22"/>
        </w:rPr>
        <w:footnoteReference w:id="2"/>
      </w:r>
      <w:r>
        <w:t xml:space="preserve"> to grant</w:t>
      </w:r>
      <w:r w:rsidR="001E53FF">
        <w:t xml:space="preserve"> a </w:t>
      </w:r>
      <w:r w:rsidR="00395448">
        <w:t xml:space="preserve">three-month </w:t>
      </w:r>
      <w:r w:rsidR="0061634F">
        <w:t>temporary waiver</w:t>
      </w:r>
      <w:r w:rsidR="003C6C2E">
        <w:t xml:space="preserve"> </w:t>
      </w:r>
      <w:r w:rsidR="001E53FF">
        <w:t>to Carolina West Wireless, Inc. and its wholly-owned subsidiary Clear Stream Communications, LLC (collectively Carolina West)</w:t>
      </w:r>
      <w:r w:rsidR="00D12942">
        <w:t>,</w:t>
      </w:r>
      <w:r w:rsidR="001E53FF" w:rsidRPr="001E53FF">
        <w:t xml:space="preserve"> </w:t>
      </w:r>
      <w:r w:rsidR="001E53FF">
        <w:t xml:space="preserve">of the </w:t>
      </w:r>
      <w:r w:rsidR="000B7766" w:rsidRPr="00DE6FB8">
        <w:t>recordkeeping, reten</w:t>
      </w:r>
      <w:r w:rsidR="000B7766">
        <w:t>tion, and reporting rules contained in sections 64.2103 and 64.2105 of the Commission’s rules</w:t>
      </w:r>
      <w:r w:rsidR="001E53FF">
        <w:t>.”</w:t>
      </w:r>
      <w:r w:rsidR="001E53FF">
        <w:rPr>
          <w:rStyle w:val="FootnoteReference"/>
          <w:szCs w:val="22"/>
        </w:rPr>
        <w:footnoteReference w:id="3"/>
      </w:r>
    </w:p>
    <w:p w14:paraId="720F3A8A" w14:textId="77777777" w:rsidR="000B0086" w:rsidRDefault="00FB6CD8" w:rsidP="00E15138">
      <w:pPr>
        <w:pStyle w:val="ParaNum"/>
        <w:rPr>
          <w:szCs w:val="24"/>
        </w:rPr>
      </w:pPr>
      <w:r w:rsidRPr="00DE6FB8">
        <w:t xml:space="preserve">In the </w:t>
      </w:r>
      <w:r w:rsidR="001E53FF">
        <w:rPr>
          <w:i/>
        </w:rPr>
        <w:t xml:space="preserve">Rural Call Completion </w:t>
      </w:r>
      <w:r w:rsidRPr="00FB6CD8">
        <w:rPr>
          <w:i/>
        </w:rPr>
        <w:t>Order</w:t>
      </w:r>
      <w:r w:rsidR="00F077DD">
        <w:t>, the Commission concluded that certain</w:t>
      </w:r>
      <w:r w:rsidRPr="00DE6FB8">
        <w:t xml:space="preserve"> recordkeeping, reten</w:t>
      </w:r>
      <w:r w:rsidR="00E65FEB">
        <w:t>tion, and reporting rules</w:t>
      </w:r>
      <w:r w:rsidRPr="00DE6FB8">
        <w:t xml:space="preserve"> apply to “covered providers,” i.e., providers of long-distance voice service that make the initial long-distance call path choice for more than 100,000 domestic retail subscriber lines, including lines served by the providers’ affiliates.</w:t>
      </w:r>
      <w:r w:rsidRPr="00DB55B4">
        <w:rPr>
          <w:rStyle w:val="FootnoteReference"/>
          <w:szCs w:val="24"/>
        </w:rPr>
        <w:footnoteReference w:id="4"/>
      </w:r>
      <w:r>
        <w:t xml:space="preserve"> </w:t>
      </w:r>
      <w:r w:rsidRPr="00DE6FB8">
        <w:t xml:space="preserve"> </w:t>
      </w:r>
      <w:r>
        <w:t xml:space="preserve">The </w:t>
      </w:r>
      <w:r w:rsidR="0061634F">
        <w:rPr>
          <w:i/>
        </w:rPr>
        <w:t>Order</w:t>
      </w:r>
      <w:r w:rsidR="0061634F">
        <w:t xml:space="preserve"> also adopted an exemption to these rules, the </w:t>
      </w:r>
      <w:r w:rsidR="00EE37C3">
        <w:t>“</w:t>
      </w:r>
      <w:r w:rsidR="0061634F">
        <w:t>smaller covered provider exception,</w:t>
      </w:r>
      <w:r w:rsidR="00EE37C3">
        <w:t>”</w:t>
      </w:r>
      <w:r w:rsidR="0061634F">
        <w:t xml:space="preserve"> for providers falling under the </w:t>
      </w:r>
      <w:r w:rsidRPr="00DE6FB8">
        <w:t>100,000 line threshold</w:t>
      </w:r>
      <w:r w:rsidR="00EC267D">
        <w:t>.</w:t>
      </w:r>
      <w:r w:rsidRPr="00DB55B4">
        <w:rPr>
          <w:rStyle w:val="FootnoteReference"/>
          <w:szCs w:val="24"/>
        </w:rPr>
        <w:footnoteReference w:id="5"/>
      </w:r>
      <w:r w:rsidRPr="00FB6CD8">
        <w:rPr>
          <w:rStyle w:val="FootnoteReference"/>
          <w:szCs w:val="24"/>
        </w:rPr>
        <w:t xml:space="preserve"> </w:t>
      </w:r>
      <w:r w:rsidR="00D57BE4">
        <w:rPr>
          <w:szCs w:val="24"/>
        </w:rPr>
        <w:t xml:space="preserve">  </w:t>
      </w:r>
    </w:p>
    <w:p w14:paraId="7C063CF3" w14:textId="068DA27D" w:rsidR="00D57BE4" w:rsidRPr="00E15138" w:rsidRDefault="00E15138" w:rsidP="00E15138">
      <w:pPr>
        <w:pStyle w:val="ParaNum"/>
        <w:rPr>
          <w:szCs w:val="24"/>
        </w:rPr>
      </w:pPr>
      <w:r>
        <w:rPr>
          <w:szCs w:val="24"/>
        </w:rPr>
        <w:t>On January 16, 2014, Carolina West filed a petition for reconsideration requesting that the Commission</w:t>
      </w:r>
      <w:r w:rsidRPr="00E15138">
        <w:rPr>
          <w:szCs w:val="24"/>
        </w:rPr>
        <w:t xml:space="preserve"> modify the definition of “covered provider” so that the lines served by non-controlling minority owners are not counted toward the 100,000 line threshold.</w:t>
      </w:r>
      <w:r>
        <w:rPr>
          <w:rStyle w:val="FootnoteReference"/>
          <w:szCs w:val="24"/>
        </w:rPr>
        <w:footnoteReference w:id="6"/>
      </w:r>
      <w:r>
        <w:rPr>
          <w:szCs w:val="24"/>
        </w:rPr>
        <w:t xml:space="preserve">  </w:t>
      </w:r>
      <w:r w:rsidR="00D57BE4" w:rsidRPr="00E15138">
        <w:rPr>
          <w:szCs w:val="24"/>
        </w:rPr>
        <w:t xml:space="preserve">In the </w:t>
      </w:r>
      <w:r w:rsidR="00D57BE4" w:rsidRPr="00E15138">
        <w:rPr>
          <w:i/>
        </w:rPr>
        <w:t>Rural Call Completion Recon</w:t>
      </w:r>
      <w:r w:rsidR="001E53FF" w:rsidRPr="00E15138">
        <w:rPr>
          <w:i/>
        </w:rPr>
        <w:t>sideration</w:t>
      </w:r>
      <w:r w:rsidR="00D57BE4" w:rsidRPr="00E15138">
        <w:rPr>
          <w:i/>
        </w:rPr>
        <w:t xml:space="preserve"> Order</w:t>
      </w:r>
      <w:r w:rsidR="00D57BE4" w:rsidRPr="00C10B18">
        <w:t xml:space="preserve">, the Commission denied Carolina West’s </w:t>
      </w:r>
      <w:r w:rsidR="00D12942">
        <w:t>reconsideration request</w:t>
      </w:r>
      <w:r w:rsidR="001E53FF" w:rsidRPr="00C10B18">
        <w:t>.</w:t>
      </w:r>
      <w:r w:rsidR="00FB6CD8" w:rsidRPr="00DB55B4">
        <w:rPr>
          <w:rStyle w:val="FootnoteReference"/>
          <w:szCs w:val="24"/>
        </w:rPr>
        <w:footnoteReference w:id="7"/>
      </w:r>
      <w:r w:rsidR="00D57BE4" w:rsidRPr="00E15138">
        <w:rPr>
          <w:rStyle w:val="FootnoteReference"/>
          <w:szCs w:val="24"/>
        </w:rPr>
        <w:t xml:space="preserve"> </w:t>
      </w:r>
      <w:r w:rsidR="007B0EE6" w:rsidRPr="00E15138">
        <w:rPr>
          <w:szCs w:val="24"/>
        </w:rPr>
        <w:t xml:space="preserve"> </w:t>
      </w:r>
      <w:r w:rsidR="00D57BE4" w:rsidRPr="00E15138">
        <w:rPr>
          <w:szCs w:val="22"/>
        </w:rPr>
        <w:t xml:space="preserve"> </w:t>
      </w:r>
      <w:r w:rsidR="005B27F2">
        <w:rPr>
          <w:color w:val="000000"/>
          <w:szCs w:val="22"/>
        </w:rPr>
        <w:t>However, t</w:t>
      </w:r>
      <w:r w:rsidR="000B0086">
        <w:rPr>
          <w:color w:val="000000"/>
          <w:szCs w:val="22"/>
        </w:rPr>
        <w:t xml:space="preserve">he Commission recognized </w:t>
      </w:r>
      <w:r w:rsidR="00DA7BD9" w:rsidRPr="00E15138">
        <w:rPr>
          <w:color w:val="000000"/>
          <w:szCs w:val="22"/>
        </w:rPr>
        <w:t>“that there are burdens associated with compliance with these rules, and there may be particular circumstances that make application of the rules to Carolina West inequitable or contrary to the pu</w:t>
      </w:r>
      <w:r w:rsidR="000B0086">
        <w:rPr>
          <w:color w:val="000000"/>
          <w:szCs w:val="22"/>
        </w:rPr>
        <w:t>blic interest” and therefore</w:t>
      </w:r>
      <w:r w:rsidR="00DA7BD9" w:rsidRPr="00E15138">
        <w:rPr>
          <w:color w:val="000000"/>
          <w:szCs w:val="22"/>
        </w:rPr>
        <w:t xml:space="preserve"> </w:t>
      </w:r>
      <w:r w:rsidR="000B0086">
        <w:rPr>
          <w:color w:val="000000"/>
          <w:szCs w:val="22"/>
        </w:rPr>
        <w:t>“</w:t>
      </w:r>
      <w:r w:rsidR="00DA7BD9" w:rsidRPr="00E15138">
        <w:rPr>
          <w:color w:val="000000"/>
          <w:szCs w:val="22"/>
        </w:rPr>
        <w:t>invite</w:t>
      </w:r>
      <w:r w:rsidR="000B0086">
        <w:rPr>
          <w:color w:val="000000"/>
          <w:szCs w:val="22"/>
        </w:rPr>
        <w:t>[d]</w:t>
      </w:r>
      <w:r w:rsidR="00DA7BD9" w:rsidRPr="00E15138">
        <w:rPr>
          <w:color w:val="000000"/>
          <w:szCs w:val="22"/>
        </w:rPr>
        <w:t xml:space="preserve"> Carolina West and other carriers to file waiver requests if they believe that the public interest would be better served by not counting the lines of some or </w:t>
      </w:r>
      <w:r w:rsidR="00DA7BD9" w:rsidRPr="00E15138">
        <w:rPr>
          <w:color w:val="000000"/>
          <w:szCs w:val="22"/>
        </w:rPr>
        <w:lastRenderedPageBreak/>
        <w:t>all of their affiliates towards the 100,000 line threshold.”</w:t>
      </w:r>
      <w:r w:rsidR="005B27F2">
        <w:rPr>
          <w:rStyle w:val="FootnoteReference"/>
          <w:szCs w:val="22"/>
        </w:rPr>
        <w:footnoteReference w:id="8"/>
      </w:r>
      <w:r w:rsidR="00DA7BD9" w:rsidRPr="00E15138">
        <w:rPr>
          <w:color w:val="000000"/>
          <w:szCs w:val="22"/>
        </w:rPr>
        <w:t xml:space="preserve">  </w:t>
      </w:r>
      <w:r w:rsidR="001E53FF" w:rsidRPr="00E15138">
        <w:rPr>
          <w:szCs w:val="22"/>
        </w:rPr>
        <w:t>On November 26, 2014, Carolina West filed a petition</w:t>
      </w:r>
      <w:r w:rsidR="006A0F9F" w:rsidRPr="00E15138">
        <w:rPr>
          <w:szCs w:val="22"/>
        </w:rPr>
        <w:t xml:space="preserve"> </w:t>
      </w:r>
      <w:r w:rsidR="00D12942" w:rsidRPr="00E15138">
        <w:rPr>
          <w:szCs w:val="22"/>
        </w:rPr>
        <w:t>for waiver</w:t>
      </w:r>
      <w:r w:rsidR="00F74F5F" w:rsidRPr="00E15138">
        <w:rPr>
          <w:szCs w:val="22"/>
        </w:rPr>
        <w:t xml:space="preserve"> of the same rule provision for which it sought reconsideration</w:t>
      </w:r>
      <w:r w:rsidR="002230A5" w:rsidRPr="00E15138">
        <w:rPr>
          <w:szCs w:val="22"/>
        </w:rPr>
        <w:t>.</w:t>
      </w:r>
      <w:r w:rsidR="007B0EE6" w:rsidRPr="001553A3">
        <w:rPr>
          <w:rStyle w:val="FootnoteReference"/>
          <w:szCs w:val="24"/>
        </w:rPr>
        <w:footnoteReference w:id="9"/>
      </w:r>
      <w:r w:rsidR="00D12942" w:rsidRPr="00E15138">
        <w:rPr>
          <w:szCs w:val="22"/>
        </w:rPr>
        <w:t xml:space="preserve">  </w:t>
      </w:r>
      <w:r w:rsidR="0088362D">
        <w:rPr>
          <w:szCs w:val="22"/>
        </w:rPr>
        <w:t>O</w:t>
      </w:r>
      <w:r w:rsidR="0088362D" w:rsidRPr="00E15138">
        <w:rPr>
          <w:szCs w:val="22"/>
        </w:rPr>
        <w:t xml:space="preserve">n December 11, 2014, </w:t>
      </w:r>
      <w:r w:rsidR="0088362D">
        <w:rPr>
          <w:szCs w:val="22"/>
        </w:rPr>
        <w:t>t</w:t>
      </w:r>
      <w:r w:rsidR="00D12942" w:rsidRPr="00E15138">
        <w:rPr>
          <w:szCs w:val="22"/>
        </w:rPr>
        <w:t xml:space="preserve">he Bureau issued a Public Notice seeking comment on </w:t>
      </w:r>
      <w:r w:rsidR="0088362D">
        <w:rPr>
          <w:szCs w:val="22"/>
        </w:rPr>
        <w:t>the waiver</w:t>
      </w:r>
      <w:r w:rsidR="00F74F5F" w:rsidRPr="00E15138">
        <w:rPr>
          <w:szCs w:val="22"/>
        </w:rPr>
        <w:t xml:space="preserve"> petition</w:t>
      </w:r>
      <w:r w:rsidR="0088362D">
        <w:rPr>
          <w:szCs w:val="22"/>
        </w:rPr>
        <w:t>;</w:t>
      </w:r>
      <w:r w:rsidR="00D12942" w:rsidRPr="00E15138">
        <w:rPr>
          <w:szCs w:val="22"/>
        </w:rPr>
        <w:t xml:space="preserve"> no comments were filed.</w:t>
      </w:r>
      <w:r w:rsidR="00D12942">
        <w:rPr>
          <w:rStyle w:val="FootnoteReference"/>
          <w:szCs w:val="22"/>
        </w:rPr>
        <w:footnoteReference w:id="10"/>
      </w:r>
      <w:r w:rsidR="007B0EE6" w:rsidRPr="00E15138">
        <w:rPr>
          <w:szCs w:val="24"/>
        </w:rPr>
        <w:t xml:space="preserve">  </w:t>
      </w:r>
    </w:p>
    <w:p w14:paraId="165D34E9" w14:textId="77777777" w:rsidR="006A0F9F" w:rsidRPr="006A0F9F" w:rsidRDefault="003E043C" w:rsidP="00DA7BD9">
      <w:pPr>
        <w:pStyle w:val="Heading1"/>
      </w:pPr>
      <w:bookmarkStart w:id="3" w:name="_Toc400549571"/>
      <w:r w:rsidRPr="00DB062D">
        <w:t>discussion</w:t>
      </w:r>
      <w:bookmarkEnd w:id="3"/>
    </w:p>
    <w:p w14:paraId="3741327C" w14:textId="0A2CC7ED" w:rsidR="003C0BD2" w:rsidRPr="00B177B4" w:rsidRDefault="005A62DB" w:rsidP="008F40B9">
      <w:pPr>
        <w:pStyle w:val="ParaNum"/>
      </w:pPr>
      <w:r w:rsidRPr="005A62DB">
        <w:t>It</w:t>
      </w:r>
      <w:r w:rsidRPr="00395448">
        <w:rPr>
          <w:rFonts w:eastAsiaTheme="minorHAnsi"/>
          <w:snapToGrid/>
        </w:rPr>
        <w:t xml:space="preserve"> is well established that the Commission has the authority to waive its rules if there is “good cause” to do so.</w:t>
      </w:r>
      <w:r w:rsidRPr="00471A54">
        <w:rPr>
          <w:rFonts w:eastAsiaTheme="minorHAnsi"/>
          <w:snapToGrid/>
          <w:sz w:val="20"/>
          <w:vertAlign w:val="superscript"/>
        </w:rPr>
        <w:footnoteReference w:id="11"/>
      </w:r>
      <w:r w:rsidRPr="00395448">
        <w:rPr>
          <w:rFonts w:eastAsiaTheme="minorHAnsi"/>
          <w:snapToGrid/>
        </w:rPr>
        <w:t xml:space="preserve">  </w:t>
      </w:r>
      <w:r w:rsidR="00395448" w:rsidRPr="00395448">
        <w:rPr>
          <w:rFonts w:eastAsiaTheme="minorHAnsi"/>
          <w:snapToGrid/>
        </w:rPr>
        <w:t xml:space="preserve">As the </w:t>
      </w:r>
      <w:r w:rsidR="0088362D">
        <w:rPr>
          <w:rFonts w:eastAsiaTheme="minorHAnsi"/>
          <w:snapToGrid/>
        </w:rPr>
        <w:t xml:space="preserve">Court of Appeals for the </w:t>
      </w:r>
      <w:r w:rsidR="00395448" w:rsidRPr="00395448">
        <w:rPr>
          <w:rFonts w:eastAsiaTheme="minorHAnsi"/>
          <w:snapToGrid/>
        </w:rPr>
        <w:t>D.C. Circuit has held, the Commission’s exercise of its discretion to waive a rule is warranted “where particular facts would make strict compliance inconsistent with the public interest.</w:t>
      </w:r>
      <w:r w:rsidR="001E6F43">
        <w:rPr>
          <w:rFonts w:eastAsiaTheme="minorHAnsi"/>
          <w:snapToGrid/>
        </w:rPr>
        <w:t>’</w:t>
      </w:r>
      <w:r w:rsidR="00395448" w:rsidRPr="00395448">
        <w:rPr>
          <w:rFonts w:eastAsiaTheme="minorHAnsi"/>
          <w:snapToGrid/>
        </w:rPr>
        <w:t>”</w:t>
      </w:r>
      <w:r w:rsidR="00395448" w:rsidRPr="00471A54">
        <w:rPr>
          <w:rFonts w:eastAsiaTheme="minorHAnsi"/>
          <w:snapToGrid/>
          <w:sz w:val="20"/>
          <w:vertAlign w:val="superscript"/>
        </w:rPr>
        <w:footnoteReference w:id="12"/>
      </w:r>
      <w:r w:rsidR="00395448" w:rsidRPr="00395448">
        <w:rPr>
          <w:rFonts w:eastAsiaTheme="minorHAnsi"/>
          <w:snapToGrid/>
        </w:rPr>
        <w:t xml:space="preserve">  </w:t>
      </w:r>
      <w:r w:rsidR="009357EC" w:rsidRPr="00395448">
        <w:rPr>
          <w:szCs w:val="24"/>
        </w:rPr>
        <w:t>A</w:t>
      </w:r>
      <w:r w:rsidR="004D288A" w:rsidRPr="00395448">
        <w:rPr>
          <w:szCs w:val="24"/>
        </w:rPr>
        <w:t xml:space="preserve">bsent waiver, Carolina West would be required to comply with the rules set forth in the </w:t>
      </w:r>
      <w:r w:rsidR="004D288A" w:rsidRPr="00395448">
        <w:rPr>
          <w:i/>
          <w:szCs w:val="24"/>
        </w:rPr>
        <w:t>Rural Call Completion Order</w:t>
      </w:r>
      <w:r w:rsidR="004D288A" w:rsidRPr="00395448">
        <w:rPr>
          <w:szCs w:val="24"/>
        </w:rPr>
        <w:t xml:space="preserve"> b</w:t>
      </w:r>
      <w:r w:rsidR="0088362D">
        <w:rPr>
          <w:szCs w:val="24"/>
        </w:rPr>
        <w:t>eginning</w:t>
      </w:r>
      <w:r w:rsidR="004D288A" w:rsidRPr="00395448">
        <w:rPr>
          <w:szCs w:val="24"/>
        </w:rPr>
        <w:t xml:space="preserve"> April 1, 2015.</w:t>
      </w:r>
      <w:r w:rsidR="009357EC">
        <w:rPr>
          <w:rStyle w:val="FootnoteReference"/>
          <w:szCs w:val="24"/>
        </w:rPr>
        <w:footnoteReference w:id="13"/>
      </w:r>
      <w:r w:rsidR="004D288A" w:rsidRPr="00395448">
        <w:rPr>
          <w:szCs w:val="24"/>
        </w:rPr>
        <w:t xml:space="preserve">  </w:t>
      </w:r>
      <w:r w:rsidR="004D288A">
        <w:t xml:space="preserve">At this time, </w:t>
      </w:r>
      <w:r w:rsidR="009357EC">
        <w:t xml:space="preserve">however, </w:t>
      </w:r>
      <w:r w:rsidR="004F4A21">
        <w:t>the merits of Carolina West</w:t>
      </w:r>
      <w:r w:rsidR="00F74F5F">
        <w:t>’s</w:t>
      </w:r>
      <w:r w:rsidR="004F4A21">
        <w:t xml:space="preserve"> </w:t>
      </w:r>
      <w:r w:rsidR="00F74F5F">
        <w:t>waiver petition remain under consideration</w:t>
      </w:r>
      <w:r w:rsidR="004F4A21">
        <w:t>.</w:t>
      </w:r>
      <w:r w:rsidR="00295DC7" w:rsidRPr="00395448">
        <w:rPr>
          <w:i/>
        </w:rPr>
        <w:t xml:space="preserve">  </w:t>
      </w:r>
      <w:r w:rsidR="004F4A21">
        <w:t xml:space="preserve">While </w:t>
      </w:r>
      <w:r w:rsidR="00F74F5F">
        <w:t>making</w:t>
      </w:r>
      <w:r w:rsidR="004F4A21">
        <w:t xml:space="preserve"> no conclusions on the merits, </w:t>
      </w:r>
      <w:r w:rsidR="00F74F5F" w:rsidRPr="00395448">
        <w:rPr>
          <w:rFonts w:eastAsiaTheme="minorHAnsi"/>
          <w:snapToGrid/>
        </w:rPr>
        <w:t xml:space="preserve">the Bureau finds good cause to grant Carolina West the temporary </w:t>
      </w:r>
      <w:r w:rsidR="00395448" w:rsidRPr="00395448">
        <w:rPr>
          <w:rFonts w:eastAsiaTheme="minorHAnsi"/>
          <w:snapToGrid/>
        </w:rPr>
        <w:t>three</w:t>
      </w:r>
      <w:r w:rsidR="0088362D">
        <w:rPr>
          <w:rFonts w:eastAsiaTheme="minorHAnsi"/>
          <w:snapToGrid/>
        </w:rPr>
        <w:t>-</w:t>
      </w:r>
      <w:r w:rsidR="00395448" w:rsidRPr="00395448">
        <w:rPr>
          <w:rFonts w:eastAsiaTheme="minorHAnsi"/>
          <w:snapToGrid/>
        </w:rPr>
        <w:t>month</w:t>
      </w:r>
      <w:r w:rsidR="00E567D0">
        <w:rPr>
          <w:rFonts w:eastAsiaTheme="minorHAnsi"/>
          <w:snapToGrid/>
        </w:rPr>
        <w:t xml:space="preserve"> waiver, exempting </w:t>
      </w:r>
      <w:r w:rsidR="008F40B9">
        <w:t xml:space="preserve">Carolina West from </w:t>
      </w:r>
      <w:r w:rsidR="0088362D">
        <w:t xml:space="preserve">the requirements of sections 64.2103 and 64.2105 of the Commission’s rules </w:t>
      </w:r>
      <w:r w:rsidR="00B52F5D">
        <w:t>for the period of one full quarterly reporting cycle</w:t>
      </w:r>
      <w:r w:rsidR="008F40B9" w:rsidRPr="008F40B9">
        <w:t xml:space="preserve">.  </w:t>
      </w:r>
    </w:p>
    <w:p w14:paraId="5B3AA386" w14:textId="77777777" w:rsidR="00CC04E7" w:rsidRPr="00DB062D" w:rsidRDefault="00CC04E7" w:rsidP="00A47B38">
      <w:pPr>
        <w:pStyle w:val="Heading1"/>
        <w:widowControl/>
        <w:spacing w:after="220"/>
        <w:rPr>
          <w:rFonts w:ascii="Times New Roman" w:hAnsi="Times New Roman"/>
          <w:szCs w:val="22"/>
        </w:rPr>
      </w:pPr>
      <w:bookmarkStart w:id="4" w:name="_Toc400549579"/>
      <w:r w:rsidRPr="00DB062D">
        <w:rPr>
          <w:rFonts w:ascii="Times New Roman" w:hAnsi="Times New Roman"/>
          <w:szCs w:val="22"/>
        </w:rPr>
        <w:t>Ordering clauseS</w:t>
      </w:r>
      <w:bookmarkEnd w:id="4"/>
    </w:p>
    <w:p w14:paraId="73A03BC5" w14:textId="09011FEF" w:rsidR="00E714EF" w:rsidRPr="00452857" w:rsidRDefault="00CC04E7" w:rsidP="00452857">
      <w:pPr>
        <w:pStyle w:val="ParaNum"/>
        <w:rPr>
          <w:rFonts w:eastAsia="Batang"/>
          <w:lang w:eastAsia="ja-JP"/>
        </w:rPr>
      </w:pPr>
      <w:r w:rsidRPr="00DB062D">
        <w:t>Accordingly, IT IS ORD</w:t>
      </w:r>
      <w:r w:rsidR="009F4D0A" w:rsidRPr="00DB062D">
        <w:t xml:space="preserve">ERED, pursuant to </w:t>
      </w:r>
      <w:r w:rsidR="009F4D0A" w:rsidRPr="004D2260">
        <w:t>sections 0.91</w:t>
      </w:r>
      <w:r w:rsidR="00B355B2">
        <w:t xml:space="preserve">, </w:t>
      </w:r>
      <w:r w:rsidR="009F4D0A" w:rsidRPr="004D2260">
        <w:t>0.291</w:t>
      </w:r>
      <w:r w:rsidR="00F9060F">
        <w:t>, and 1.3</w:t>
      </w:r>
      <w:r w:rsidRPr="004D2260">
        <w:t xml:space="preserve"> of the Commission</w:t>
      </w:r>
      <w:r w:rsidR="00F04F3E" w:rsidRPr="004D2260">
        <w:t>’</w:t>
      </w:r>
      <w:r w:rsidRPr="004D2260">
        <w:t>s rule</w:t>
      </w:r>
      <w:r w:rsidR="009F4D0A" w:rsidRPr="004D2260">
        <w:t>s, 47 C.F.R. §§ 0.91, 0.291</w:t>
      </w:r>
      <w:r w:rsidRPr="00D70FB8">
        <w:t xml:space="preserve">, </w:t>
      </w:r>
      <w:r w:rsidR="00F9060F">
        <w:t>and 1.3</w:t>
      </w:r>
      <w:r w:rsidR="00B355B2">
        <w:t xml:space="preserve">, </w:t>
      </w:r>
      <w:r w:rsidR="00F77FDB">
        <w:t xml:space="preserve">that </w:t>
      </w:r>
      <w:r w:rsidR="002F10CA" w:rsidRPr="00D70FB8">
        <w:t xml:space="preserve">this </w:t>
      </w:r>
      <w:r w:rsidR="00CB6042">
        <w:t>O</w:t>
      </w:r>
      <w:r w:rsidR="00B177B4">
        <w:t>rder</w:t>
      </w:r>
      <w:r w:rsidR="00BE4C19" w:rsidRPr="003964AB">
        <w:t xml:space="preserve"> </w:t>
      </w:r>
      <w:r w:rsidR="002F10CA" w:rsidRPr="003964AB">
        <w:t>IS ADOPTED.</w:t>
      </w:r>
    </w:p>
    <w:p w14:paraId="6521EA94" w14:textId="637A163E" w:rsidR="00472F16" w:rsidRPr="00471A54" w:rsidRDefault="00694DC5" w:rsidP="00E15138">
      <w:pPr>
        <w:pStyle w:val="ParaNum"/>
        <w:rPr>
          <w:szCs w:val="22"/>
        </w:rPr>
      </w:pPr>
      <w:r w:rsidRPr="00694DC5">
        <w:rPr>
          <w:snapToGrid/>
          <w:kern w:val="0"/>
          <w:szCs w:val="22"/>
        </w:rPr>
        <w:t xml:space="preserve">IT IS FURTHER ORDERED that </w:t>
      </w:r>
      <w:r w:rsidRPr="008D374D">
        <w:rPr>
          <w:szCs w:val="22"/>
        </w:rPr>
        <w:t>pursuant</w:t>
      </w:r>
      <w:r w:rsidRPr="00694DC5">
        <w:rPr>
          <w:snapToGrid/>
          <w:kern w:val="0"/>
          <w:szCs w:val="22"/>
        </w:rPr>
        <w:t xml:space="preserve"> to section 1.10</w:t>
      </w:r>
      <w:r w:rsidR="00F77FDB">
        <w:rPr>
          <w:snapToGrid/>
          <w:kern w:val="0"/>
          <w:szCs w:val="22"/>
        </w:rPr>
        <w:t>2</w:t>
      </w:r>
      <w:r w:rsidRPr="00694DC5">
        <w:rPr>
          <w:snapToGrid/>
          <w:kern w:val="0"/>
          <w:szCs w:val="22"/>
        </w:rPr>
        <w:t>(</w:t>
      </w:r>
      <w:r w:rsidR="00F77FDB">
        <w:rPr>
          <w:snapToGrid/>
          <w:kern w:val="0"/>
          <w:szCs w:val="22"/>
        </w:rPr>
        <w:t>b</w:t>
      </w:r>
      <w:r w:rsidRPr="00694DC5">
        <w:rPr>
          <w:snapToGrid/>
          <w:kern w:val="0"/>
          <w:szCs w:val="22"/>
        </w:rPr>
        <w:t>) of the Commission</w:t>
      </w:r>
      <w:r w:rsidR="008D374D">
        <w:rPr>
          <w:snapToGrid/>
          <w:kern w:val="0"/>
          <w:szCs w:val="22"/>
        </w:rPr>
        <w:t>’</w:t>
      </w:r>
      <w:r w:rsidRPr="00694DC5">
        <w:rPr>
          <w:snapToGrid/>
          <w:kern w:val="0"/>
          <w:szCs w:val="22"/>
        </w:rPr>
        <w:t>s rules, 47</w:t>
      </w:r>
      <w:r>
        <w:rPr>
          <w:snapToGrid/>
          <w:kern w:val="0"/>
          <w:szCs w:val="22"/>
        </w:rPr>
        <w:t xml:space="preserve"> C.F.R. § 1.10</w:t>
      </w:r>
      <w:r w:rsidR="00F77FDB">
        <w:rPr>
          <w:snapToGrid/>
          <w:kern w:val="0"/>
          <w:szCs w:val="22"/>
        </w:rPr>
        <w:t>2</w:t>
      </w:r>
      <w:r>
        <w:rPr>
          <w:snapToGrid/>
          <w:kern w:val="0"/>
          <w:szCs w:val="22"/>
        </w:rPr>
        <w:t>(</w:t>
      </w:r>
      <w:r w:rsidR="00F77FDB">
        <w:rPr>
          <w:snapToGrid/>
          <w:kern w:val="0"/>
          <w:szCs w:val="22"/>
        </w:rPr>
        <w:t>b</w:t>
      </w:r>
      <w:r w:rsidR="00B177B4">
        <w:rPr>
          <w:snapToGrid/>
          <w:kern w:val="0"/>
          <w:szCs w:val="22"/>
        </w:rPr>
        <w:t xml:space="preserve">), </w:t>
      </w:r>
      <w:r w:rsidR="00F9060F">
        <w:rPr>
          <w:snapToGrid/>
          <w:kern w:val="0"/>
          <w:szCs w:val="22"/>
        </w:rPr>
        <w:t xml:space="preserve">that </w:t>
      </w:r>
      <w:r w:rsidR="00B177B4">
        <w:rPr>
          <w:snapToGrid/>
          <w:kern w:val="0"/>
          <w:szCs w:val="22"/>
        </w:rPr>
        <w:t>this order</w:t>
      </w:r>
      <w:r w:rsidRPr="00694DC5">
        <w:rPr>
          <w:snapToGrid/>
          <w:kern w:val="0"/>
          <w:szCs w:val="22"/>
        </w:rPr>
        <w:t xml:space="preserve"> SHALL BE EFFECTIVE upon release.</w:t>
      </w:r>
    </w:p>
    <w:p w14:paraId="5DB43E9C" w14:textId="77777777" w:rsidR="00471A54" w:rsidRPr="004D2260" w:rsidRDefault="00471A54" w:rsidP="00471A54">
      <w:pPr>
        <w:pStyle w:val="ParaNum"/>
        <w:numPr>
          <w:ilvl w:val="0"/>
          <w:numId w:val="0"/>
        </w:numPr>
        <w:ind w:left="720"/>
        <w:rPr>
          <w:szCs w:val="22"/>
        </w:rPr>
      </w:pPr>
    </w:p>
    <w:p w14:paraId="61310CE6" w14:textId="77777777" w:rsidR="00CC04E7" w:rsidRPr="004D2260" w:rsidRDefault="00CC04E7" w:rsidP="00CB6042">
      <w:pPr>
        <w:pStyle w:val="ParaNum"/>
        <w:keepNext/>
        <w:keepLines/>
        <w:widowControl/>
        <w:numPr>
          <w:ilvl w:val="0"/>
          <w:numId w:val="0"/>
        </w:numPr>
        <w:spacing w:after="0"/>
        <w:rPr>
          <w:szCs w:val="22"/>
        </w:rPr>
      </w:pPr>
      <w:r w:rsidRPr="004D2260">
        <w:rPr>
          <w:szCs w:val="22"/>
        </w:rPr>
        <w:tab/>
      </w:r>
      <w:r w:rsidRPr="004D2260">
        <w:rPr>
          <w:szCs w:val="22"/>
        </w:rPr>
        <w:tab/>
      </w:r>
      <w:r w:rsidRPr="004D2260">
        <w:rPr>
          <w:szCs w:val="22"/>
        </w:rPr>
        <w:tab/>
      </w:r>
      <w:r w:rsidRPr="004D2260">
        <w:rPr>
          <w:szCs w:val="22"/>
        </w:rPr>
        <w:tab/>
      </w:r>
      <w:r w:rsidRPr="004D2260">
        <w:rPr>
          <w:szCs w:val="22"/>
        </w:rPr>
        <w:tab/>
        <w:t>FEDERAL COMMUNICATIONS COMMISSION</w:t>
      </w:r>
    </w:p>
    <w:p w14:paraId="31C8CB4B" w14:textId="77777777" w:rsidR="00CC04E7" w:rsidRPr="00D70FB8" w:rsidRDefault="00CC04E7" w:rsidP="00CB6042">
      <w:pPr>
        <w:pStyle w:val="ParaNum"/>
        <w:keepNext/>
        <w:keepLines/>
        <w:widowControl/>
        <w:numPr>
          <w:ilvl w:val="0"/>
          <w:numId w:val="0"/>
        </w:numPr>
        <w:spacing w:after="0"/>
        <w:rPr>
          <w:szCs w:val="22"/>
        </w:rPr>
      </w:pPr>
    </w:p>
    <w:p w14:paraId="7F2BB9C2" w14:textId="77777777" w:rsidR="00CC04E7" w:rsidRPr="00DB062D" w:rsidRDefault="00CC04E7" w:rsidP="00CB6042">
      <w:pPr>
        <w:pStyle w:val="ParaNum"/>
        <w:keepNext/>
        <w:keepLines/>
        <w:widowControl/>
        <w:numPr>
          <w:ilvl w:val="0"/>
          <w:numId w:val="0"/>
        </w:numPr>
        <w:spacing w:after="0"/>
        <w:rPr>
          <w:szCs w:val="22"/>
        </w:rPr>
      </w:pPr>
    </w:p>
    <w:p w14:paraId="4B824C8C" w14:textId="77777777" w:rsidR="00CC04E7" w:rsidRPr="00DB062D" w:rsidRDefault="00CC04E7" w:rsidP="00CB6042">
      <w:pPr>
        <w:pStyle w:val="ParaNum"/>
        <w:keepNext/>
        <w:keepLines/>
        <w:widowControl/>
        <w:numPr>
          <w:ilvl w:val="0"/>
          <w:numId w:val="0"/>
        </w:numPr>
        <w:spacing w:after="0"/>
        <w:rPr>
          <w:szCs w:val="22"/>
        </w:rPr>
      </w:pPr>
    </w:p>
    <w:p w14:paraId="60BF877A" w14:textId="77777777" w:rsidR="00CC04E7" w:rsidRPr="00DB062D" w:rsidRDefault="00CC04E7" w:rsidP="00CB6042">
      <w:pPr>
        <w:pStyle w:val="ParaNum"/>
        <w:keepNext/>
        <w:keepLines/>
        <w:widowControl/>
        <w:numPr>
          <w:ilvl w:val="0"/>
          <w:numId w:val="0"/>
        </w:numPr>
        <w:spacing w:after="0"/>
        <w:rPr>
          <w:szCs w:val="22"/>
        </w:rPr>
      </w:pPr>
    </w:p>
    <w:p w14:paraId="2EBD2D63" w14:textId="77777777" w:rsidR="00CC04E7" w:rsidRPr="00DB062D" w:rsidRDefault="00CC04E7" w:rsidP="00CB6042">
      <w:pPr>
        <w:pStyle w:val="ParaNum"/>
        <w:keepNext/>
        <w:keepLines/>
        <w:widowControl/>
        <w:numPr>
          <w:ilvl w:val="0"/>
          <w:numId w:val="0"/>
        </w:numPr>
        <w:spacing w:after="0"/>
        <w:rPr>
          <w:szCs w:val="22"/>
        </w:rPr>
      </w:pPr>
      <w:r w:rsidRPr="00DB062D">
        <w:rPr>
          <w:szCs w:val="22"/>
        </w:rPr>
        <w:tab/>
      </w:r>
      <w:r w:rsidRPr="00DB062D">
        <w:rPr>
          <w:szCs w:val="22"/>
        </w:rPr>
        <w:tab/>
      </w:r>
      <w:r w:rsidRPr="00DB062D">
        <w:rPr>
          <w:szCs w:val="22"/>
        </w:rPr>
        <w:tab/>
      </w:r>
      <w:r w:rsidRPr="00DB062D">
        <w:rPr>
          <w:szCs w:val="22"/>
        </w:rPr>
        <w:tab/>
      </w:r>
      <w:r w:rsidRPr="00DB062D">
        <w:rPr>
          <w:szCs w:val="22"/>
        </w:rPr>
        <w:tab/>
        <w:t>Julie A. Veach</w:t>
      </w:r>
    </w:p>
    <w:p w14:paraId="2A82EF2E" w14:textId="77777777" w:rsidR="00CC04E7" w:rsidRPr="00DB062D" w:rsidRDefault="00CC04E7" w:rsidP="00CB6042">
      <w:pPr>
        <w:pStyle w:val="ParaNum"/>
        <w:keepNext/>
        <w:keepLines/>
        <w:widowControl/>
        <w:numPr>
          <w:ilvl w:val="0"/>
          <w:numId w:val="0"/>
        </w:numPr>
        <w:spacing w:after="0"/>
        <w:rPr>
          <w:szCs w:val="22"/>
        </w:rPr>
      </w:pPr>
      <w:r w:rsidRPr="00DB062D">
        <w:rPr>
          <w:szCs w:val="22"/>
        </w:rPr>
        <w:tab/>
      </w:r>
      <w:r w:rsidRPr="00DB062D">
        <w:rPr>
          <w:szCs w:val="22"/>
        </w:rPr>
        <w:tab/>
      </w:r>
      <w:r w:rsidRPr="00DB062D">
        <w:rPr>
          <w:szCs w:val="22"/>
        </w:rPr>
        <w:tab/>
      </w:r>
      <w:r w:rsidRPr="00DB062D">
        <w:rPr>
          <w:szCs w:val="22"/>
        </w:rPr>
        <w:tab/>
      </w:r>
      <w:r w:rsidRPr="00DB062D">
        <w:rPr>
          <w:szCs w:val="22"/>
        </w:rPr>
        <w:tab/>
        <w:t>Chief</w:t>
      </w:r>
    </w:p>
    <w:p w14:paraId="7C1E84BC" w14:textId="77777777" w:rsidR="00015C84" w:rsidRPr="00DB062D" w:rsidRDefault="00CC04E7" w:rsidP="00CB6042">
      <w:pPr>
        <w:pStyle w:val="ParaNum"/>
        <w:keepNext/>
        <w:keepLines/>
        <w:widowControl/>
        <w:numPr>
          <w:ilvl w:val="0"/>
          <w:numId w:val="0"/>
        </w:numPr>
        <w:ind w:firstLine="720"/>
        <w:rPr>
          <w:szCs w:val="22"/>
        </w:rPr>
      </w:pPr>
      <w:r w:rsidRPr="00DB062D">
        <w:rPr>
          <w:szCs w:val="22"/>
        </w:rPr>
        <w:tab/>
      </w:r>
      <w:r w:rsidRPr="00DB062D">
        <w:rPr>
          <w:szCs w:val="22"/>
        </w:rPr>
        <w:tab/>
      </w:r>
      <w:r w:rsidRPr="00DB062D">
        <w:rPr>
          <w:szCs w:val="22"/>
        </w:rPr>
        <w:tab/>
      </w:r>
      <w:r w:rsidRPr="00DB062D">
        <w:rPr>
          <w:szCs w:val="22"/>
        </w:rPr>
        <w:tab/>
        <w:t>Wireline Competition Bureau</w:t>
      </w:r>
    </w:p>
    <w:sectPr w:rsidR="00015C84" w:rsidRPr="00DB062D"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EBB8C" w15:done="0"/>
  <w15:commentEx w15:paraId="3E58911C" w15:done="0"/>
</w15:commentsEx>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64CC9" w14:textId="77777777" w:rsidR="00F96E86" w:rsidRDefault="00F96E86">
      <w:pPr>
        <w:spacing w:line="20" w:lineRule="exact"/>
      </w:pPr>
    </w:p>
  </w:endnote>
  <w:endnote w:type="continuationSeparator" w:id="0">
    <w:p w14:paraId="2301E48F" w14:textId="77777777" w:rsidR="00F96E86" w:rsidRDefault="00F96E86">
      <w:r>
        <w:t xml:space="preserve"> </w:t>
      </w:r>
    </w:p>
  </w:endnote>
  <w:endnote w:type="continuationNotice" w:id="1">
    <w:p w14:paraId="08EADDBA" w14:textId="77777777" w:rsidR="00F96E86" w:rsidRDefault="00F96E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EAE8" w14:textId="77777777" w:rsidR="00A63717" w:rsidRDefault="00A63717" w:rsidP="0055614C">
    <w:pPr>
      <w:pStyle w:val="Footer"/>
      <w:framePr w:wrap="around" w:vAnchor="text" w:hAnchor="margin" w:xAlign="center" w:y="1"/>
    </w:pPr>
    <w:r>
      <w:fldChar w:fldCharType="begin"/>
    </w:r>
    <w:r>
      <w:instrText xml:space="preserve">PAGE  </w:instrText>
    </w:r>
    <w:r>
      <w:fldChar w:fldCharType="end"/>
    </w:r>
  </w:p>
  <w:p w14:paraId="527BA7FD" w14:textId="77777777" w:rsidR="00A63717" w:rsidRDefault="00A6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96BC" w14:textId="77777777" w:rsidR="00A63717" w:rsidRDefault="00A63717" w:rsidP="0055614C">
    <w:pPr>
      <w:pStyle w:val="Footer"/>
      <w:framePr w:wrap="around" w:vAnchor="text" w:hAnchor="margin" w:xAlign="center" w:y="1"/>
    </w:pPr>
    <w:r>
      <w:fldChar w:fldCharType="begin"/>
    </w:r>
    <w:r>
      <w:instrText xml:space="preserve">PAGE  </w:instrText>
    </w:r>
    <w:r>
      <w:fldChar w:fldCharType="separate"/>
    </w:r>
    <w:r w:rsidR="00D901D0">
      <w:rPr>
        <w:noProof/>
      </w:rPr>
      <w:t>2</w:t>
    </w:r>
    <w:r>
      <w:fldChar w:fldCharType="end"/>
    </w:r>
  </w:p>
  <w:p w14:paraId="680C967D" w14:textId="77777777" w:rsidR="00A63717" w:rsidRDefault="00A63717" w:rsidP="00D2245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4A0A" w14:textId="77777777" w:rsidR="00A63717" w:rsidRDefault="00A63717" w:rsidP="00F373DB">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6CC4F" w14:textId="77777777" w:rsidR="00F96E86" w:rsidRDefault="00F96E86">
      <w:r>
        <w:separator/>
      </w:r>
    </w:p>
  </w:footnote>
  <w:footnote w:type="continuationSeparator" w:id="0">
    <w:p w14:paraId="7A351937" w14:textId="77777777" w:rsidR="00F96E86" w:rsidRDefault="00F96E86" w:rsidP="00C721AC">
      <w:pPr>
        <w:spacing w:before="120"/>
        <w:rPr>
          <w:sz w:val="20"/>
        </w:rPr>
      </w:pPr>
      <w:r>
        <w:rPr>
          <w:sz w:val="20"/>
        </w:rPr>
        <w:t xml:space="preserve">(Continued from previous page)  </w:t>
      </w:r>
      <w:r>
        <w:rPr>
          <w:sz w:val="20"/>
        </w:rPr>
        <w:separator/>
      </w:r>
    </w:p>
  </w:footnote>
  <w:footnote w:type="continuationNotice" w:id="1">
    <w:p w14:paraId="66394E6C" w14:textId="77777777" w:rsidR="00F96E86" w:rsidRDefault="00F96E86" w:rsidP="00C721AC">
      <w:pPr>
        <w:jc w:val="right"/>
        <w:rPr>
          <w:sz w:val="20"/>
        </w:rPr>
      </w:pPr>
      <w:r>
        <w:rPr>
          <w:sz w:val="20"/>
        </w:rPr>
        <w:t>(continued….)</w:t>
      </w:r>
    </w:p>
  </w:footnote>
  <w:footnote w:id="2">
    <w:p w14:paraId="36A6C7DB" w14:textId="526B12F7" w:rsidR="00D12942" w:rsidRDefault="00D12942">
      <w:pPr>
        <w:pStyle w:val="FootnoteText"/>
      </w:pPr>
      <w:r>
        <w:rPr>
          <w:rStyle w:val="FootnoteReference"/>
        </w:rPr>
        <w:footnoteRef/>
      </w:r>
      <w:r>
        <w:t xml:space="preserve"> </w:t>
      </w:r>
      <w:r w:rsidR="00E15138">
        <w:rPr>
          <w:i/>
          <w:szCs w:val="22"/>
        </w:rPr>
        <w:t xml:space="preserve">See </w:t>
      </w:r>
      <w:r w:rsidR="001C5125" w:rsidRPr="004D2260">
        <w:rPr>
          <w:szCs w:val="22"/>
        </w:rPr>
        <w:t>47 C.F.R. §§ 0.91, 0.291</w:t>
      </w:r>
      <w:r w:rsidR="001C5125" w:rsidRPr="00D70FB8">
        <w:rPr>
          <w:szCs w:val="22"/>
        </w:rPr>
        <w:t xml:space="preserve">, </w:t>
      </w:r>
      <w:r w:rsidR="001C5125">
        <w:rPr>
          <w:szCs w:val="22"/>
        </w:rPr>
        <w:t>and 1.3</w:t>
      </w:r>
      <w:r w:rsidR="00E15138">
        <w:rPr>
          <w:szCs w:val="22"/>
        </w:rPr>
        <w:t>.</w:t>
      </w:r>
    </w:p>
  </w:footnote>
  <w:footnote w:id="3">
    <w:p w14:paraId="374DDC8C" w14:textId="37119B44" w:rsidR="001E53FF" w:rsidRPr="009A37C9" w:rsidRDefault="001E53FF" w:rsidP="001E53FF">
      <w:pPr>
        <w:pStyle w:val="FootnoteText"/>
      </w:pPr>
      <w:r>
        <w:rPr>
          <w:rStyle w:val="FootnoteReference"/>
        </w:rPr>
        <w:footnoteRef/>
      </w:r>
      <w:r>
        <w:t xml:space="preserve"> </w:t>
      </w:r>
      <w:r w:rsidRPr="00DB062D">
        <w:rPr>
          <w:i/>
        </w:rPr>
        <w:t>See Rural Call Completion</w:t>
      </w:r>
      <w:r w:rsidRPr="00DB062D">
        <w:t>, WC Docket No. 13-39, Report and Order and Further Notice of Proposed Rulemaking, 28 FCC Rcd 16154 (2013) (</w:t>
      </w:r>
      <w:r w:rsidRPr="00DB062D">
        <w:rPr>
          <w:i/>
        </w:rPr>
        <w:t xml:space="preserve">Rural Call Completion Order </w:t>
      </w:r>
      <w:r w:rsidRPr="00DB062D">
        <w:t xml:space="preserve">or </w:t>
      </w:r>
      <w:r w:rsidRPr="00DB062D">
        <w:rPr>
          <w:i/>
        </w:rPr>
        <w:t>Order</w:t>
      </w:r>
      <w:r w:rsidRPr="00DB062D">
        <w:t>)</w:t>
      </w:r>
      <w:r w:rsidR="000B7766">
        <w:rPr>
          <w:szCs w:val="22"/>
        </w:rPr>
        <w:t>; 47 C.F.R. §§ 64.2103, 64.2105.</w:t>
      </w:r>
    </w:p>
  </w:footnote>
  <w:footnote w:id="4">
    <w:p w14:paraId="4112C558" w14:textId="397E47B6" w:rsidR="00FB6CD8" w:rsidRDefault="00FB6CD8" w:rsidP="00FB6CD8">
      <w:pPr>
        <w:pStyle w:val="FootnoteText"/>
      </w:pPr>
      <w:r>
        <w:rPr>
          <w:rStyle w:val="FootnoteReference"/>
        </w:rPr>
        <w:footnoteRef/>
      </w:r>
      <w:r>
        <w:t xml:space="preserve"> </w:t>
      </w:r>
      <w:r w:rsidR="005B27F2">
        <w:rPr>
          <w:i/>
        </w:rPr>
        <w:t xml:space="preserve">Id. </w:t>
      </w:r>
      <w:r>
        <w:t xml:space="preserve">at 16165, para. 20; 47 C.F.R § </w:t>
      </w:r>
      <w:r w:rsidRPr="001D33A3">
        <w:t>64.2101.</w:t>
      </w:r>
      <w:r w:rsidR="00EC267D">
        <w:t xml:space="preserve">  </w:t>
      </w:r>
    </w:p>
  </w:footnote>
  <w:footnote w:id="5">
    <w:p w14:paraId="08299CAF" w14:textId="68A1E0CC" w:rsidR="00FB6CD8" w:rsidRDefault="00FB6CD8" w:rsidP="00FB6CD8">
      <w:pPr>
        <w:pStyle w:val="FootnoteText"/>
      </w:pPr>
      <w:r>
        <w:rPr>
          <w:rStyle w:val="FootnoteReference"/>
        </w:rPr>
        <w:footnoteRef/>
      </w:r>
      <w:r>
        <w:t xml:space="preserve"> </w:t>
      </w:r>
      <w:r w:rsidR="003B563D">
        <w:rPr>
          <w:i/>
        </w:rPr>
        <w:t>Rural Call Completion Order</w:t>
      </w:r>
      <w:r w:rsidR="005B27F2">
        <w:rPr>
          <w:i/>
        </w:rPr>
        <w:t xml:space="preserve"> </w:t>
      </w:r>
      <w:r w:rsidR="000B7766">
        <w:t xml:space="preserve">28 FCC Rcd </w:t>
      </w:r>
      <w:r w:rsidRPr="001D33A3">
        <w:t>at 16169, para 27.</w:t>
      </w:r>
      <w:r w:rsidRPr="00FB6CD8">
        <w:t xml:space="preserve"> </w:t>
      </w:r>
      <w:r>
        <w:t xml:space="preserve"> </w:t>
      </w:r>
      <w:r w:rsidR="00E65FEB" w:rsidRPr="001D33A3">
        <w:t>Under section 3 of the Act, an affiliate is “a person that (directly or indirectly) owns or controls, is owned or controlled by, or is under common ownership or</w:t>
      </w:r>
      <w:r w:rsidR="00E65FEB">
        <w:t xml:space="preserve"> control with, another person.” </w:t>
      </w:r>
      <w:r w:rsidR="00E65FEB" w:rsidRPr="001D33A3">
        <w:t xml:space="preserve"> And, for purposes of this definition, the term </w:t>
      </w:r>
      <w:r w:rsidR="00F74F5F">
        <w:t>“</w:t>
      </w:r>
      <w:r w:rsidR="00F74F5F" w:rsidRPr="001D33A3">
        <w:t>own</w:t>
      </w:r>
      <w:r w:rsidR="00F74F5F">
        <w:t>”</w:t>
      </w:r>
      <w:r w:rsidR="00F74F5F" w:rsidRPr="001D33A3">
        <w:t xml:space="preserve"> </w:t>
      </w:r>
      <w:r w:rsidR="00E65FEB" w:rsidRPr="001D33A3">
        <w:t>means to “own an equity interest (or the equivalent thereof) of more than 10 percent.</w:t>
      </w:r>
      <w:r w:rsidR="00E15138">
        <w:t>”</w:t>
      </w:r>
      <w:r w:rsidR="00E65FEB" w:rsidRPr="001D33A3">
        <w:t xml:space="preserve"> </w:t>
      </w:r>
      <w:r w:rsidR="00E65FEB">
        <w:t xml:space="preserve"> 47 U.S.C. § </w:t>
      </w:r>
      <w:r w:rsidR="00E65FEB" w:rsidRPr="001D33A3">
        <w:t>153(2).</w:t>
      </w:r>
    </w:p>
  </w:footnote>
  <w:footnote w:id="6">
    <w:p w14:paraId="3F6CA5A3" w14:textId="77777777" w:rsidR="00E15138" w:rsidRDefault="00E15138">
      <w:pPr>
        <w:pStyle w:val="FootnoteText"/>
      </w:pPr>
      <w:r>
        <w:rPr>
          <w:rStyle w:val="FootnoteReference"/>
        </w:rPr>
        <w:footnoteRef/>
      </w:r>
      <w:r>
        <w:t xml:space="preserve"> Carolina West Wireless, Inc. Petition for Reconsideration, WC Docket No. 13-39 (filed Jan. 16, 2014).</w:t>
      </w:r>
    </w:p>
  </w:footnote>
  <w:footnote w:id="7">
    <w:p w14:paraId="461B43AB" w14:textId="0330B166" w:rsidR="00FB6CD8" w:rsidRDefault="00FB6CD8" w:rsidP="00FB6CD8">
      <w:pPr>
        <w:pStyle w:val="FootnoteText"/>
      </w:pPr>
      <w:r>
        <w:rPr>
          <w:rStyle w:val="FootnoteReference"/>
        </w:rPr>
        <w:footnoteRef/>
      </w:r>
      <w:r w:rsidR="00D57BE4">
        <w:t xml:space="preserve"> </w:t>
      </w:r>
      <w:r w:rsidR="00D57BE4" w:rsidRPr="009859C2">
        <w:rPr>
          <w:i/>
        </w:rPr>
        <w:t>Rural Call Completion</w:t>
      </w:r>
      <w:r w:rsidR="00D57BE4" w:rsidRPr="009859C2">
        <w:t xml:space="preserve">, WC Docket No. 13-39, Order on Reconsideration, </w:t>
      </w:r>
      <w:r w:rsidR="00D57BE4">
        <w:t>29 FCC Rcd 14026</w:t>
      </w:r>
      <w:r w:rsidR="005B27F2">
        <w:t>, 14049-50, paras. 57-59</w:t>
      </w:r>
      <w:r w:rsidR="00D57BE4" w:rsidRPr="009859C2">
        <w:t xml:space="preserve"> (2014)</w:t>
      </w:r>
      <w:r w:rsidR="00D57BE4">
        <w:t xml:space="preserve"> (</w:t>
      </w:r>
      <w:r w:rsidR="00D57BE4">
        <w:rPr>
          <w:i/>
        </w:rPr>
        <w:t>Rural Call Completion Recon</w:t>
      </w:r>
      <w:r w:rsidR="005B27F2">
        <w:rPr>
          <w:i/>
        </w:rPr>
        <w:t>sideration</w:t>
      </w:r>
      <w:r w:rsidR="00D57BE4">
        <w:rPr>
          <w:i/>
        </w:rPr>
        <w:t xml:space="preserve"> Order</w:t>
      </w:r>
      <w:r w:rsidR="00D57BE4">
        <w:t>).</w:t>
      </w:r>
      <w:r w:rsidRPr="001D33A3">
        <w:t xml:space="preserve"> </w:t>
      </w:r>
    </w:p>
  </w:footnote>
  <w:footnote w:id="8">
    <w:p w14:paraId="6908B529" w14:textId="7DC66ACB" w:rsidR="005B27F2" w:rsidRPr="005B27F2" w:rsidRDefault="005B27F2">
      <w:pPr>
        <w:pStyle w:val="FootnoteText"/>
      </w:pPr>
      <w:r>
        <w:rPr>
          <w:rStyle w:val="FootnoteReference"/>
        </w:rPr>
        <w:footnoteRef/>
      </w:r>
      <w:r>
        <w:t xml:space="preserve"> </w:t>
      </w:r>
      <w:r>
        <w:rPr>
          <w:i/>
        </w:rPr>
        <w:t>Id.</w:t>
      </w:r>
      <w:r w:rsidR="00611C0F">
        <w:rPr>
          <w:i/>
        </w:rPr>
        <w:t xml:space="preserve"> </w:t>
      </w:r>
      <w:r>
        <w:t>at 14050, para. 60.</w:t>
      </w:r>
    </w:p>
  </w:footnote>
  <w:footnote w:id="9">
    <w:p w14:paraId="56AA02EB" w14:textId="77777777" w:rsidR="007B0EE6" w:rsidRDefault="007B0EE6">
      <w:pPr>
        <w:pStyle w:val="FootnoteText"/>
      </w:pPr>
      <w:r>
        <w:rPr>
          <w:rStyle w:val="FootnoteReference"/>
        </w:rPr>
        <w:footnoteRef/>
      </w:r>
      <w:r>
        <w:t xml:space="preserve"> </w:t>
      </w:r>
      <w:r w:rsidR="009A6E47">
        <w:rPr>
          <w:i/>
        </w:rPr>
        <w:t xml:space="preserve">See </w:t>
      </w:r>
      <w:r w:rsidR="009A6E47">
        <w:t>Carolina West Wireless, Inc. and Clear Stream Communications, LLC Petition for Waiver, WC Docket No. 13-39, at 3-4 (filed Nov. 26, 2014) (</w:t>
      </w:r>
      <w:r w:rsidR="004D288A">
        <w:t>Carolina West Waiver Petition)</w:t>
      </w:r>
      <w:r w:rsidR="00E15138">
        <w:t>.</w:t>
      </w:r>
    </w:p>
  </w:footnote>
  <w:footnote w:id="10">
    <w:p w14:paraId="533ED34D" w14:textId="37FA5475" w:rsidR="00D12942" w:rsidRDefault="00D12942">
      <w:pPr>
        <w:pStyle w:val="FootnoteText"/>
      </w:pPr>
      <w:r>
        <w:rPr>
          <w:rStyle w:val="FootnoteReference"/>
        </w:rPr>
        <w:footnoteRef/>
      </w:r>
      <w:r w:rsidR="00E15138">
        <w:t xml:space="preserve"> </w:t>
      </w:r>
      <w:r w:rsidR="00E15138" w:rsidRPr="00B52F5D">
        <w:rPr>
          <w:i/>
        </w:rPr>
        <w:t>Wireline Competition Bureau Seeks Comment on Petition for Waiver Filed in the Rural Call Completion Proceeding</w:t>
      </w:r>
      <w:r w:rsidR="00E15138">
        <w:t>, WC Docket No. 13-39, Public Notice</w:t>
      </w:r>
      <w:r w:rsidR="00125877">
        <w:t>, 29 FCC Rcd 14855</w:t>
      </w:r>
      <w:r w:rsidR="00E15138">
        <w:t xml:space="preserve"> (</w:t>
      </w:r>
      <w:r w:rsidR="00E15138" w:rsidRPr="00CB0695">
        <w:t>Wireline Comp. Bur.</w:t>
      </w:r>
      <w:r w:rsidR="00E15138">
        <w:t xml:space="preserve"> 2014).</w:t>
      </w:r>
    </w:p>
  </w:footnote>
  <w:footnote w:id="11">
    <w:p w14:paraId="2C3D1A53" w14:textId="77777777" w:rsidR="005A62DB" w:rsidRDefault="005A62DB" w:rsidP="005A62DB">
      <w:pPr>
        <w:pStyle w:val="FootnoteText"/>
      </w:pPr>
      <w:r>
        <w:rPr>
          <w:rStyle w:val="FootnoteReference"/>
        </w:rPr>
        <w:footnoteRef/>
      </w:r>
      <w:r>
        <w:t xml:space="preserve"> 47 C.F.R. § 1.3.</w:t>
      </w:r>
    </w:p>
  </w:footnote>
  <w:footnote w:id="12">
    <w:p w14:paraId="532D7D6C" w14:textId="77777777" w:rsidR="00395448" w:rsidRDefault="00395448" w:rsidP="00395448">
      <w:pPr>
        <w:pStyle w:val="FootnoteText"/>
      </w:pPr>
      <w:r>
        <w:rPr>
          <w:rStyle w:val="FootnoteReference"/>
        </w:rPr>
        <w:footnoteRef/>
      </w:r>
      <w:r>
        <w:t xml:space="preserve"> </w:t>
      </w:r>
      <w:r w:rsidRPr="00F30546">
        <w:rPr>
          <w:i/>
        </w:rPr>
        <w:t>Northeast Cellular Tel. Co. v. FCC</w:t>
      </w:r>
      <w:r>
        <w:t xml:space="preserve">, 897 F.2d 1164, 1166 (D.C. Cir. 1990) (citing </w:t>
      </w:r>
      <w:r w:rsidRPr="00F30546">
        <w:rPr>
          <w:i/>
        </w:rPr>
        <w:t>WAIT Radio v. FCC</w:t>
      </w:r>
      <w:r>
        <w:t xml:space="preserve">, 418 F.2d 1153, 1159 (D.C. Cir. 1969)).  </w:t>
      </w:r>
    </w:p>
  </w:footnote>
  <w:footnote w:id="13">
    <w:p w14:paraId="6EDD398D" w14:textId="685942F7" w:rsidR="009357EC" w:rsidRPr="009357EC" w:rsidRDefault="009357EC" w:rsidP="009357EC">
      <w:pPr>
        <w:pStyle w:val="FootnoteText"/>
      </w:pPr>
      <w:r>
        <w:rPr>
          <w:rStyle w:val="FootnoteReference"/>
        </w:rPr>
        <w:footnoteRef/>
      </w:r>
      <w:r>
        <w:t xml:space="preserve"> </w:t>
      </w:r>
      <w:r w:rsidR="00E15138">
        <w:rPr>
          <w:i/>
          <w:szCs w:val="24"/>
        </w:rPr>
        <w:t xml:space="preserve">See </w:t>
      </w:r>
      <w:r w:rsidR="00E15138" w:rsidRPr="00B52F5D">
        <w:rPr>
          <w:i/>
          <w:szCs w:val="24"/>
        </w:rPr>
        <w:t>Wireline Competition Bureau Announces that Certain Long Distance Providers Must Begin Recording the Data Required for Rural Call Completion Reporting</w:t>
      </w:r>
      <w:r w:rsidR="00E15138">
        <w:rPr>
          <w:szCs w:val="24"/>
        </w:rPr>
        <w:t xml:space="preserve">, WC Docket No. 13-39, Public Notice, </w:t>
      </w:r>
      <w:r w:rsidR="00125877">
        <w:rPr>
          <w:szCs w:val="24"/>
        </w:rPr>
        <w:t xml:space="preserve">DA 15-291, </w:t>
      </w:r>
      <w:r w:rsidR="00E15138">
        <w:rPr>
          <w:szCs w:val="24"/>
        </w:rPr>
        <w:t>at 1 (</w:t>
      </w:r>
      <w:r w:rsidR="00E15138" w:rsidRPr="00CB0695">
        <w:t>Wireline Comp. Bur.</w:t>
      </w:r>
      <w:r w:rsidR="00E15138">
        <w:t xml:space="preserve"> </w:t>
      </w:r>
      <w:r w:rsidR="00125877">
        <w:t xml:space="preserve">rel. Mar. 4, </w:t>
      </w:r>
      <w:r w:rsidR="00E15138">
        <w:t xml:space="preserve">2015). </w:t>
      </w:r>
      <w:r w:rsidR="00E15138">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90BA" w14:textId="77777777" w:rsidR="00D901D0" w:rsidRDefault="00D90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BC95" w14:textId="7A8597CA" w:rsidR="00A63717" w:rsidRDefault="00A63717" w:rsidP="008319B8">
    <w:pPr>
      <w:pStyle w:val="Header"/>
    </w:pPr>
    <w:r>
      <w:rPr>
        <w:noProof/>
        <w:snapToGrid/>
      </w:rPr>
      <mc:AlternateContent>
        <mc:Choice Requires="wps">
          <w:drawing>
            <wp:anchor distT="0" distB="0" distL="114300" distR="114300" simplePos="0" relativeHeight="251660288" behindDoc="1" locked="0" layoutInCell="0" allowOverlap="1" wp14:anchorId="2145CF49" wp14:editId="0E2DE93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B23DF"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CD3AAA">
      <w:t>DA 15-</w:t>
    </w:r>
    <w:r w:rsidR="00B52F5D">
      <w:t>404</w:t>
    </w:r>
  </w:p>
  <w:p w14:paraId="3ED27DDD" w14:textId="77777777" w:rsidR="00A63717" w:rsidRDefault="00A6371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4BE6" w14:textId="158FEFCA" w:rsidR="00A63717" w:rsidRDefault="00A63717" w:rsidP="00CC04E7">
    <w:pPr>
      <w:pStyle w:val="Header"/>
    </w:pPr>
    <w:r>
      <w:rPr>
        <w:noProof/>
        <w:snapToGrid/>
      </w:rPr>
      <mc:AlternateContent>
        <mc:Choice Requires="wps">
          <w:drawing>
            <wp:anchor distT="0" distB="0" distL="114300" distR="114300" simplePos="0" relativeHeight="251658240" behindDoc="1" locked="0" layoutInCell="0" allowOverlap="1" wp14:anchorId="125846E3" wp14:editId="5FA4218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F6DD5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C00524">
      <w:t xml:space="preserve">DA </w:t>
    </w:r>
    <w:r w:rsidR="00CD3AAA">
      <w:t>15-</w:t>
    </w:r>
    <w:r w:rsidR="00B52F5D">
      <w:t>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7E731F"/>
    <w:multiLevelType w:val="hybridMultilevel"/>
    <w:tmpl w:val="66D8EFB6"/>
    <w:lvl w:ilvl="0" w:tplc="D54A2A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E4AAF8C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
  </w:num>
  <w:num w:numId="25">
    <w:abstractNumId w:val="7"/>
  </w:num>
  <w:num w:numId="26">
    <w:abstractNumId w:val="7"/>
  </w:num>
  <w:num w:numId="27">
    <w:abstractNumId w:val="7"/>
  </w:num>
  <w:num w:numId="28">
    <w:abstractNumId w:val="7"/>
  </w:num>
  <w:num w:numId="29">
    <w:abstractNumId w:val="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7E6"/>
    <w:rsid w:val="00001A87"/>
    <w:rsid w:val="00006B0B"/>
    <w:rsid w:val="000073E3"/>
    <w:rsid w:val="00007DE9"/>
    <w:rsid w:val="0001191D"/>
    <w:rsid w:val="000124E3"/>
    <w:rsid w:val="000141E9"/>
    <w:rsid w:val="0001494F"/>
    <w:rsid w:val="000157CC"/>
    <w:rsid w:val="00015C84"/>
    <w:rsid w:val="00015EEE"/>
    <w:rsid w:val="00024093"/>
    <w:rsid w:val="000241E8"/>
    <w:rsid w:val="00030627"/>
    <w:rsid w:val="00030DB8"/>
    <w:rsid w:val="000327B0"/>
    <w:rsid w:val="0003596E"/>
    <w:rsid w:val="00036039"/>
    <w:rsid w:val="00037F90"/>
    <w:rsid w:val="0004150A"/>
    <w:rsid w:val="00041D5D"/>
    <w:rsid w:val="0005019B"/>
    <w:rsid w:val="00051797"/>
    <w:rsid w:val="000521EA"/>
    <w:rsid w:val="0005353C"/>
    <w:rsid w:val="0006065A"/>
    <w:rsid w:val="00061E33"/>
    <w:rsid w:val="000656C4"/>
    <w:rsid w:val="000662F2"/>
    <w:rsid w:val="0007097A"/>
    <w:rsid w:val="000743BB"/>
    <w:rsid w:val="000767E9"/>
    <w:rsid w:val="000769C1"/>
    <w:rsid w:val="00077331"/>
    <w:rsid w:val="00077577"/>
    <w:rsid w:val="00077A19"/>
    <w:rsid w:val="000808BC"/>
    <w:rsid w:val="000841BC"/>
    <w:rsid w:val="00085CF6"/>
    <w:rsid w:val="00086011"/>
    <w:rsid w:val="000875BF"/>
    <w:rsid w:val="00093B00"/>
    <w:rsid w:val="0009668C"/>
    <w:rsid w:val="00096C53"/>
    <w:rsid w:val="00096D8C"/>
    <w:rsid w:val="000A3B43"/>
    <w:rsid w:val="000A7EAF"/>
    <w:rsid w:val="000B0086"/>
    <w:rsid w:val="000B1EAB"/>
    <w:rsid w:val="000B5765"/>
    <w:rsid w:val="000B7766"/>
    <w:rsid w:val="000C0B65"/>
    <w:rsid w:val="000C2E8A"/>
    <w:rsid w:val="000C3CEB"/>
    <w:rsid w:val="000C5EF3"/>
    <w:rsid w:val="000C653E"/>
    <w:rsid w:val="000D4809"/>
    <w:rsid w:val="000D6A92"/>
    <w:rsid w:val="000D70F4"/>
    <w:rsid w:val="000E05FE"/>
    <w:rsid w:val="000E1310"/>
    <w:rsid w:val="000E1B12"/>
    <w:rsid w:val="000E2ADF"/>
    <w:rsid w:val="000E2E7A"/>
    <w:rsid w:val="000E3D42"/>
    <w:rsid w:val="000E7B12"/>
    <w:rsid w:val="000F1FF9"/>
    <w:rsid w:val="000F2381"/>
    <w:rsid w:val="000F7A81"/>
    <w:rsid w:val="0010101B"/>
    <w:rsid w:val="001059F4"/>
    <w:rsid w:val="00106CDC"/>
    <w:rsid w:val="00107526"/>
    <w:rsid w:val="001114F4"/>
    <w:rsid w:val="0011360A"/>
    <w:rsid w:val="00113CB9"/>
    <w:rsid w:val="0011742B"/>
    <w:rsid w:val="00117685"/>
    <w:rsid w:val="00121736"/>
    <w:rsid w:val="001224EF"/>
    <w:rsid w:val="00122BD5"/>
    <w:rsid w:val="00123D5D"/>
    <w:rsid w:val="00123D72"/>
    <w:rsid w:val="00125877"/>
    <w:rsid w:val="00125AC3"/>
    <w:rsid w:val="00126AD0"/>
    <w:rsid w:val="00127657"/>
    <w:rsid w:val="00130F5B"/>
    <w:rsid w:val="00131191"/>
    <w:rsid w:val="00133DF4"/>
    <w:rsid w:val="00133F79"/>
    <w:rsid w:val="001403CC"/>
    <w:rsid w:val="001509EF"/>
    <w:rsid w:val="001523F6"/>
    <w:rsid w:val="001553A3"/>
    <w:rsid w:val="00160D53"/>
    <w:rsid w:val="00163CA8"/>
    <w:rsid w:val="00165C46"/>
    <w:rsid w:val="00167A6C"/>
    <w:rsid w:val="00170058"/>
    <w:rsid w:val="001716EC"/>
    <w:rsid w:val="00176D23"/>
    <w:rsid w:val="001778C0"/>
    <w:rsid w:val="00180CCB"/>
    <w:rsid w:val="00185289"/>
    <w:rsid w:val="00187F99"/>
    <w:rsid w:val="00194A66"/>
    <w:rsid w:val="00195414"/>
    <w:rsid w:val="00196A46"/>
    <w:rsid w:val="0019716D"/>
    <w:rsid w:val="001A00DA"/>
    <w:rsid w:val="001A50B4"/>
    <w:rsid w:val="001A6C7F"/>
    <w:rsid w:val="001B0BE8"/>
    <w:rsid w:val="001B299B"/>
    <w:rsid w:val="001B4FB0"/>
    <w:rsid w:val="001B6EDD"/>
    <w:rsid w:val="001C2448"/>
    <w:rsid w:val="001C5125"/>
    <w:rsid w:val="001C5CA5"/>
    <w:rsid w:val="001D0595"/>
    <w:rsid w:val="001D4824"/>
    <w:rsid w:val="001D6BCF"/>
    <w:rsid w:val="001E01CA"/>
    <w:rsid w:val="001E1761"/>
    <w:rsid w:val="001E53FF"/>
    <w:rsid w:val="001E6F43"/>
    <w:rsid w:val="001F111E"/>
    <w:rsid w:val="001F2286"/>
    <w:rsid w:val="001F295E"/>
    <w:rsid w:val="001F2A19"/>
    <w:rsid w:val="001F519C"/>
    <w:rsid w:val="001F7525"/>
    <w:rsid w:val="0020196D"/>
    <w:rsid w:val="00203C5F"/>
    <w:rsid w:val="002066BC"/>
    <w:rsid w:val="0021759A"/>
    <w:rsid w:val="00221B23"/>
    <w:rsid w:val="002228B5"/>
    <w:rsid w:val="002230A5"/>
    <w:rsid w:val="00230D71"/>
    <w:rsid w:val="00230F86"/>
    <w:rsid w:val="00232996"/>
    <w:rsid w:val="00233539"/>
    <w:rsid w:val="00234854"/>
    <w:rsid w:val="00234E06"/>
    <w:rsid w:val="00240004"/>
    <w:rsid w:val="00242F46"/>
    <w:rsid w:val="00243391"/>
    <w:rsid w:val="002434D2"/>
    <w:rsid w:val="00244192"/>
    <w:rsid w:val="00246994"/>
    <w:rsid w:val="002529B0"/>
    <w:rsid w:val="00253DBE"/>
    <w:rsid w:val="00260F45"/>
    <w:rsid w:val="00261064"/>
    <w:rsid w:val="00261B6F"/>
    <w:rsid w:val="00263777"/>
    <w:rsid w:val="00263C09"/>
    <w:rsid w:val="002642DD"/>
    <w:rsid w:val="002669D9"/>
    <w:rsid w:val="002715FC"/>
    <w:rsid w:val="002733B8"/>
    <w:rsid w:val="00273E4D"/>
    <w:rsid w:val="00275621"/>
    <w:rsid w:val="00275A31"/>
    <w:rsid w:val="00275C56"/>
    <w:rsid w:val="00275CF5"/>
    <w:rsid w:val="00275EA9"/>
    <w:rsid w:val="0027730A"/>
    <w:rsid w:val="002807C4"/>
    <w:rsid w:val="0028301F"/>
    <w:rsid w:val="00284743"/>
    <w:rsid w:val="00285017"/>
    <w:rsid w:val="002867D0"/>
    <w:rsid w:val="00295DC7"/>
    <w:rsid w:val="002A2D2E"/>
    <w:rsid w:val="002A3F36"/>
    <w:rsid w:val="002A47E7"/>
    <w:rsid w:val="002A559B"/>
    <w:rsid w:val="002A58EC"/>
    <w:rsid w:val="002A60B0"/>
    <w:rsid w:val="002B0C93"/>
    <w:rsid w:val="002B52BF"/>
    <w:rsid w:val="002C00E8"/>
    <w:rsid w:val="002C2F35"/>
    <w:rsid w:val="002C5813"/>
    <w:rsid w:val="002C7466"/>
    <w:rsid w:val="002D36F2"/>
    <w:rsid w:val="002D54EC"/>
    <w:rsid w:val="002E1169"/>
    <w:rsid w:val="002E324F"/>
    <w:rsid w:val="002E33F9"/>
    <w:rsid w:val="002E363D"/>
    <w:rsid w:val="002F094B"/>
    <w:rsid w:val="002F10CA"/>
    <w:rsid w:val="002F353D"/>
    <w:rsid w:val="002F5BE4"/>
    <w:rsid w:val="0030006A"/>
    <w:rsid w:val="00300203"/>
    <w:rsid w:val="00301191"/>
    <w:rsid w:val="003012CC"/>
    <w:rsid w:val="00302007"/>
    <w:rsid w:val="003023C5"/>
    <w:rsid w:val="00302757"/>
    <w:rsid w:val="00306186"/>
    <w:rsid w:val="00306C07"/>
    <w:rsid w:val="00307820"/>
    <w:rsid w:val="003102AE"/>
    <w:rsid w:val="003116CE"/>
    <w:rsid w:val="00312306"/>
    <w:rsid w:val="003169F8"/>
    <w:rsid w:val="00317192"/>
    <w:rsid w:val="00317F90"/>
    <w:rsid w:val="0032127C"/>
    <w:rsid w:val="003224E5"/>
    <w:rsid w:val="00323A95"/>
    <w:rsid w:val="00324C32"/>
    <w:rsid w:val="00325169"/>
    <w:rsid w:val="00331F14"/>
    <w:rsid w:val="00332423"/>
    <w:rsid w:val="00333FD3"/>
    <w:rsid w:val="00341E69"/>
    <w:rsid w:val="00342089"/>
    <w:rsid w:val="00342BD4"/>
    <w:rsid w:val="00343749"/>
    <w:rsid w:val="00344810"/>
    <w:rsid w:val="00344AAA"/>
    <w:rsid w:val="00347768"/>
    <w:rsid w:val="00347B95"/>
    <w:rsid w:val="003627C2"/>
    <w:rsid w:val="00362A01"/>
    <w:rsid w:val="0036384A"/>
    <w:rsid w:val="00366049"/>
    <w:rsid w:val="003660ED"/>
    <w:rsid w:val="003800FE"/>
    <w:rsid w:val="00383677"/>
    <w:rsid w:val="00386FB1"/>
    <w:rsid w:val="00390E50"/>
    <w:rsid w:val="00393AFD"/>
    <w:rsid w:val="00395448"/>
    <w:rsid w:val="003964AB"/>
    <w:rsid w:val="003965AC"/>
    <w:rsid w:val="00397A50"/>
    <w:rsid w:val="003A2A48"/>
    <w:rsid w:val="003A3580"/>
    <w:rsid w:val="003A3592"/>
    <w:rsid w:val="003B0550"/>
    <w:rsid w:val="003B4467"/>
    <w:rsid w:val="003B563D"/>
    <w:rsid w:val="003B5B33"/>
    <w:rsid w:val="003B694F"/>
    <w:rsid w:val="003B6F8D"/>
    <w:rsid w:val="003B7422"/>
    <w:rsid w:val="003B76DC"/>
    <w:rsid w:val="003C0B10"/>
    <w:rsid w:val="003C0BD2"/>
    <w:rsid w:val="003C1201"/>
    <w:rsid w:val="003C224E"/>
    <w:rsid w:val="003C3055"/>
    <w:rsid w:val="003C388A"/>
    <w:rsid w:val="003C3D8A"/>
    <w:rsid w:val="003C4DB6"/>
    <w:rsid w:val="003C55ED"/>
    <w:rsid w:val="003C6C2E"/>
    <w:rsid w:val="003C76D1"/>
    <w:rsid w:val="003C76ED"/>
    <w:rsid w:val="003D0734"/>
    <w:rsid w:val="003D2731"/>
    <w:rsid w:val="003D730D"/>
    <w:rsid w:val="003E043C"/>
    <w:rsid w:val="003E0F86"/>
    <w:rsid w:val="003E1B83"/>
    <w:rsid w:val="003E3968"/>
    <w:rsid w:val="003E42DA"/>
    <w:rsid w:val="003E7E15"/>
    <w:rsid w:val="003F171C"/>
    <w:rsid w:val="003F1890"/>
    <w:rsid w:val="003F1D8C"/>
    <w:rsid w:val="003F369C"/>
    <w:rsid w:val="003F3BEB"/>
    <w:rsid w:val="003F5CF3"/>
    <w:rsid w:val="003F619E"/>
    <w:rsid w:val="003F7C2B"/>
    <w:rsid w:val="004001A8"/>
    <w:rsid w:val="00400711"/>
    <w:rsid w:val="00401AC3"/>
    <w:rsid w:val="004050F9"/>
    <w:rsid w:val="004066E6"/>
    <w:rsid w:val="00406BA0"/>
    <w:rsid w:val="004122CA"/>
    <w:rsid w:val="00412FC5"/>
    <w:rsid w:val="00413B06"/>
    <w:rsid w:val="0041617F"/>
    <w:rsid w:val="004207A0"/>
    <w:rsid w:val="0042114B"/>
    <w:rsid w:val="00421D73"/>
    <w:rsid w:val="00422276"/>
    <w:rsid w:val="004242F1"/>
    <w:rsid w:val="004252BE"/>
    <w:rsid w:val="00426589"/>
    <w:rsid w:val="0043312F"/>
    <w:rsid w:val="00433A6D"/>
    <w:rsid w:val="00436381"/>
    <w:rsid w:val="00437538"/>
    <w:rsid w:val="00442894"/>
    <w:rsid w:val="004432F5"/>
    <w:rsid w:val="00443950"/>
    <w:rsid w:val="00443E83"/>
    <w:rsid w:val="00445A00"/>
    <w:rsid w:val="0045182D"/>
    <w:rsid w:val="00451B0F"/>
    <w:rsid w:val="00452857"/>
    <w:rsid w:val="00457773"/>
    <w:rsid w:val="0046209C"/>
    <w:rsid w:val="0046545D"/>
    <w:rsid w:val="00467306"/>
    <w:rsid w:val="00467704"/>
    <w:rsid w:val="00467E9E"/>
    <w:rsid w:val="00471A54"/>
    <w:rsid w:val="00472F16"/>
    <w:rsid w:val="00472F84"/>
    <w:rsid w:val="00473B83"/>
    <w:rsid w:val="004742F1"/>
    <w:rsid w:val="0048062C"/>
    <w:rsid w:val="004815B4"/>
    <w:rsid w:val="00483B01"/>
    <w:rsid w:val="00484714"/>
    <w:rsid w:val="00487956"/>
    <w:rsid w:val="00490747"/>
    <w:rsid w:val="004A0BD0"/>
    <w:rsid w:val="004A1AB8"/>
    <w:rsid w:val="004A715E"/>
    <w:rsid w:val="004B3B41"/>
    <w:rsid w:val="004B5F51"/>
    <w:rsid w:val="004B73E0"/>
    <w:rsid w:val="004C01C4"/>
    <w:rsid w:val="004C2B2C"/>
    <w:rsid w:val="004C2EE3"/>
    <w:rsid w:val="004C5829"/>
    <w:rsid w:val="004D2260"/>
    <w:rsid w:val="004D288A"/>
    <w:rsid w:val="004D3E4B"/>
    <w:rsid w:val="004D527F"/>
    <w:rsid w:val="004D6C10"/>
    <w:rsid w:val="004E03C3"/>
    <w:rsid w:val="004E4A22"/>
    <w:rsid w:val="004E5EED"/>
    <w:rsid w:val="004F4A21"/>
    <w:rsid w:val="004F598A"/>
    <w:rsid w:val="004F599A"/>
    <w:rsid w:val="004F5C93"/>
    <w:rsid w:val="004F65DC"/>
    <w:rsid w:val="004F6F51"/>
    <w:rsid w:val="00501487"/>
    <w:rsid w:val="00505EA2"/>
    <w:rsid w:val="00511968"/>
    <w:rsid w:val="005131B1"/>
    <w:rsid w:val="00514B70"/>
    <w:rsid w:val="00515FAC"/>
    <w:rsid w:val="00521922"/>
    <w:rsid w:val="00521F4D"/>
    <w:rsid w:val="00524D5E"/>
    <w:rsid w:val="005275EE"/>
    <w:rsid w:val="005275F0"/>
    <w:rsid w:val="00532DBE"/>
    <w:rsid w:val="00536DF4"/>
    <w:rsid w:val="00540330"/>
    <w:rsid w:val="0054535C"/>
    <w:rsid w:val="00546A8E"/>
    <w:rsid w:val="00551B0A"/>
    <w:rsid w:val="0055263D"/>
    <w:rsid w:val="005529A0"/>
    <w:rsid w:val="00553D9A"/>
    <w:rsid w:val="0055614C"/>
    <w:rsid w:val="00562AD4"/>
    <w:rsid w:val="00565043"/>
    <w:rsid w:val="005735C1"/>
    <w:rsid w:val="00574162"/>
    <w:rsid w:val="00574526"/>
    <w:rsid w:val="00574670"/>
    <w:rsid w:val="00576B71"/>
    <w:rsid w:val="005778E2"/>
    <w:rsid w:val="005822D7"/>
    <w:rsid w:val="0058339F"/>
    <w:rsid w:val="00584BA1"/>
    <w:rsid w:val="00590D94"/>
    <w:rsid w:val="005952C8"/>
    <w:rsid w:val="00597186"/>
    <w:rsid w:val="005A0BE7"/>
    <w:rsid w:val="005A1B8A"/>
    <w:rsid w:val="005A2026"/>
    <w:rsid w:val="005A4950"/>
    <w:rsid w:val="005A5CEB"/>
    <w:rsid w:val="005A5DE6"/>
    <w:rsid w:val="005A62DB"/>
    <w:rsid w:val="005A7017"/>
    <w:rsid w:val="005B27F2"/>
    <w:rsid w:val="005B2C04"/>
    <w:rsid w:val="005B3A34"/>
    <w:rsid w:val="005B44CD"/>
    <w:rsid w:val="005C268C"/>
    <w:rsid w:val="005D23A8"/>
    <w:rsid w:val="005D23BA"/>
    <w:rsid w:val="005D2C7E"/>
    <w:rsid w:val="005D35EB"/>
    <w:rsid w:val="005D553E"/>
    <w:rsid w:val="005D6FE6"/>
    <w:rsid w:val="005D72B9"/>
    <w:rsid w:val="005E09B6"/>
    <w:rsid w:val="005E14C2"/>
    <w:rsid w:val="005E2E86"/>
    <w:rsid w:val="005E3AA7"/>
    <w:rsid w:val="005F009D"/>
    <w:rsid w:val="005F08D9"/>
    <w:rsid w:val="005F363E"/>
    <w:rsid w:val="005F5524"/>
    <w:rsid w:val="005F5E52"/>
    <w:rsid w:val="005F6AEF"/>
    <w:rsid w:val="00600B3C"/>
    <w:rsid w:val="00600DE3"/>
    <w:rsid w:val="00600E58"/>
    <w:rsid w:val="00604A36"/>
    <w:rsid w:val="0060528B"/>
    <w:rsid w:val="006070FA"/>
    <w:rsid w:val="00607BA5"/>
    <w:rsid w:val="00611442"/>
    <w:rsid w:val="0061180A"/>
    <w:rsid w:val="00611C0F"/>
    <w:rsid w:val="0061634F"/>
    <w:rsid w:val="00616CFC"/>
    <w:rsid w:val="00621FE0"/>
    <w:rsid w:val="00624D4A"/>
    <w:rsid w:val="00625270"/>
    <w:rsid w:val="00625B16"/>
    <w:rsid w:val="00626EB6"/>
    <w:rsid w:val="0063026A"/>
    <w:rsid w:val="00630E7D"/>
    <w:rsid w:val="00631AAA"/>
    <w:rsid w:val="006335FB"/>
    <w:rsid w:val="00634D8E"/>
    <w:rsid w:val="00635E5A"/>
    <w:rsid w:val="006408CD"/>
    <w:rsid w:val="00643CBE"/>
    <w:rsid w:val="00644227"/>
    <w:rsid w:val="00645886"/>
    <w:rsid w:val="00650CA3"/>
    <w:rsid w:val="0065215B"/>
    <w:rsid w:val="00652CDF"/>
    <w:rsid w:val="006537E9"/>
    <w:rsid w:val="00655D03"/>
    <w:rsid w:val="00657A98"/>
    <w:rsid w:val="00660D47"/>
    <w:rsid w:val="00660E23"/>
    <w:rsid w:val="00664C4E"/>
    <w:rsid w:val="00670136"/>
    <w:rsid w:val="00671182"/>
    <w:rsid w:val="00680C7E"/>
    <w:rsid w:val="006829E8"/>
    <w:rsid w:val="00683388"/>
    <w:rsid w:val="00683F84"/>
    <w:rsid w:val="006854DC"/>
    <w:rsid w:val="00686C69"/>
    <w:rsid w:val="00687F8A"/>
    <w:rsid w:val="006904DC"/>
    <w:rsid w:val="006912BF"/>
    <w:rsid w:val="00693AF1"/>
    <w:rsid w:val="00694DC5"/>
    <w:rsid w:val="006971C3"/>
    <w:rsid w:val="006A0F9F"/>
    <w:rsid w:val="006A234D"/>
    <w:rsid w:val="006A3B53"/>
    <w:rsid w:val="006A6A81"/>
    <w:rsid w:val="006B37B6"/>
    <w:rsid w:val="006B3D44"/>
    <w:rsid w:val="006B4BF7"/>
    <w:rsid w:val="006B5340"/>
    <w:rsid w:val="006C030D"/>
    <w:rsid w:val="006C15FC"/>
    <w:rsid w:val="006C1EAE"/>
    <w:rsid w:val="006C2899"/>
    <w:rsid w:val="006C49E1"/>
    <w:rsid w:val="006C6130"/>
    <w:rsid w:val="006C72A2"/>
    <w:rsid w:val="006D0ED9"/>
    <w:rsid w:val="006D3D66"/>
    <w:rsid w:val="006D4D00"/>
    <w:rsid w:val="006E1002"/>
    <w:rsid w:val="006E10DB"/>
    <w:rsid w:val="006E19BD"/>
    <w:rsid w:val="006E1DD2"/>
    <w:rsid w:val="006E31C5"/>
    <w:rsid w:val="006E4455"/>
    <w:rsid w:val="006F7393"/>
    <w:rsid w:val="0070224F"/>
    <w:rsid w:val="00704F2E"/>
    <w:rsid w:val="007115F7"/>
    <w:rsid w:val="0072052F"/>
    <w:rsid w:val="0072055B"/>
    <w:rsid w:val="0072487A"/>
    <w:rsid w:val="007327F3"/>
    <w:rsid w:val="00741AF3"/>
    <w:rsid w:val="00744859"/>
    <w:rsid w:val="007448B8"/>
    <w:rsid w:val="00746FAE"/>
    <w:rsid w:val="00751926"/>
    <w:rsid w:val="0075391A"/>
    <w:rsid w:val="00753A52"/>
    <w:rsid w:val="0075579A"/>
    <w:rsid w:val="007557BF"/>
    <w:rsid w:val="0076103A"/>
    <w:rsid w:val="00761C15"/>
    <w:rsid w:val="0076497C"/>
    <w:rsid w:val="007703CB"/>
    <w:rsid w:val="0077791C"/>
    <w:rsid w:val="00780600"/>
    <w:rsid w:val="00782B32"/>
    <w:rsid w:val="00785689"/>
    <w:rsid w:val="00791B47"/>
    <w:rsid w:val="007920F8"/>
    <w:rsid w:val="00796BF9"/>
    <w:rsid w:val="0079754B"/>
    <w:rsid w:val="007A0A28"/>
    <w:rsid w:val="007A1E6D"/>
    <w:rsid w:val="007A5D09"/>
    <w:rsid w:val="007A6B34"/>
    <w:rsid w:val="007B0E21"/>
    <w:rsid w:val="007B0EB2"/>
    <w:rsid w:val="007B0EE6"/>
    <w:rsid w:val="007B2503"/>
    <w:rsid w:val="007B67A5"/>
    <w:rsid w:val="007B7E11"/>
    <w:rsid w:val="007C0974"/>
    <w:rsid w:val="007C166B"/>
    <w:rsid w:val="007C2E28"/>
    <w:rsid w:val="007D03A9"/>
    <w:rsid w:val="007D4BC3"/>
    <w:rsid w:val="007D70EC"/>
    <w:rsid w:val="007E5B2B"/>
    <w:rsid w:val="007E71D9"/>
    <w:rsid w:val="007F4CC0"/>
    <w:rsid w:val="0080464C"/>
    <w:rsid w:val="00806831"/>
    <w:rsid w:val="00810B6F"/>
    <w:rsid w:val="00814B55"/>
    <w:rsid w:val="008173DD"/>
    <w:rsid w:val="00821095"/>
    <w:rsid w:val="008229E8"/>
    <w:rsid w:val="00822CE0"/>
    <w:rsid w:val="008319B8"/>
    <w:rsid w:val="00832AE9"/>
    <w:rsid w:val="00832F3A"/>
    <w:rsid w:val="0083301E"/>
    <w:rsid w:val="008365C3"/>
    <w:rsid w:val="00840C05"/>
    <w:rsid w:val="00841AB1"/>
    <w:rsid w:val="00843EFF"/>
    <w:rsid w:val="008446DD"/>
    <w:rsid w:val="008507D9"/>
    <w:rsid w:val="0085409F"/>
    <w:rsid w:val="008564FB"/>
    <w:rsid w:val="008573D3"/>
    <w:rsid w:val="008573D7"/>
    <w:rsid w:val="00857DCE"/>
    <w:rsid w:val="0086078E"/>
    <w:rsid w:val="00860CA2"/>
    <w:rsid w:val="008639A2"/>
    <w:rsid w:val="008671BE"/>
    <w:rsid w:val="0086739E"/>
    <w:rsid w:val="00867A24"/>
    <w:rsid w:val="00872D02"/>
    <w:rsid w:val="00873573"/>
    <w:rsid w:val="00874073"/>
    <w:rsid w:val="00874223"/>
    <w:rsid w:val="00874D0C"/>
    <w:rsid w:val="008778D6"/>
    <w:rsid w:val="00880472"/>
    <w:rsid w:val="0088052E"/>
    <w:rsid w:val="0088135B"/>
    <w:rsid w:val="00881573"/>
    <w:rsid w:val="0088362D"/>
    <w:rsid w:val="00886CBA"/>
    <w:rsid w:val="00887497"/>
    <w:rsid w:val="00887C58"/>
    <w:rsid w:val="00887CC6"/>
    <w:rsid w:val="00890FE7"/>
    <w:rsid w:val="00891F4C"/>
    <w:rsid w:val="00895385"/>
    <w:rsid w:val="008A3141"/>
    <w:rsid w:val="008A3DAC"/>
    <w:rsid w:val="008A4917"/>
    <w:rsid w:val="008B0C60"/>
    <w:rsid w:val="008B2E58"/>
    <w:rsid w:val="008B417E"/>
    <w:rsid w:val="008B5F20"/>
    <w:rsid w:val="008B682F"/>
    <w:rsid w:val="008C000E"/>
    <w:rsid w:val="008C1E69"/>
    <w:rsid w:val="008C249C"/>
    <w:rsid w:val="008C5AF8"/>
    <w:rsid w:val="008C68F1"/>
    <w:rsid w:val="008C75D0"/>
    <w:rsid w:val="008D082E"/>
    <w:rsid w:val="008D22A3"/>
    <w:rsid w:val="008D3225"/>
    <w:rsid w:val="008D374D"/>
    <w:rsid w:val="008E6858"/>
    <w:rsid w:val="008F235D"/>
    <w:rsid w:val="008F2959"/>
    <w:rsid w:val="008F40B9"/>
    <w:rsid w:val="008F6A7B"/>
    <w:rsid w:val="008F770F"/>
    <w:rsid w:val="00900080"/>
    <w:rsid w:val="00900F12"/>
    <w:rsid w:val="00902FBE"/>
    <w:rsid w:val="00903E89"/>
    <w:rsid w:val="0090545E"/>
    <w:rsid w:val="00911F3E"/>
    <w:rsid w:val="00911F4A"/>
    <w:rsid w:val="009138D4"/>
    <w:rsid w:val="00916CEB"/>
    <w:rsid w:val="00917CD9"/>
    <w:rsid w:val="00920331"/>
    <w:rsid w:val="0092077E"/>
    <w:rsid w:val="00921803"/>
    <w:rsid w:val="00922EC5"/>
    <w:rsid w:val="00924E05"/>
    <w:rsid w:val="00926159"/>
    <w:rsid w:val="00926503"/>
    <w:rsid w:val="009270CB"/>
    <w:rsid w:val="009352E2"/>
    <w:rsid w:val="009357EC"/>
    <w:rsid w:val="00936EDD"/>
    <w:rsid w:val="0094226D"/>
    <w:rsid w:val="00945F03"/>
    <w:rsid w:val="00945F86"/>
    <w:rsid w:val="0094739F"/>
    <w:rsid w:val="00952B1C"/>
    <w:rsid w:val="009604A3"/>
    <w:rsid w:val="009611E9"/>
    <w:rsid w:val="0096311E"/>
    <w:rsid w:val="009631A9"/>
    <w:rsid w:val="009640E2"/>
    <w:rsid w:val="00966526"/>
    <w:rsid w:val="009677A9"/>
    <w:rsid w:val="00971969"/>
    <w:rsid w:val="009726D8"/>
    <w:rsid w:val="00972D18"/>
    <w:rsid w:val="0097425B"/>
    <w:rsid w:val="009838A8"/>
    <w:rsid w:val="0098744A"/>
    <w:rsid w:val="009932D7"/>
    <w:rsid w:val="009933F1"/>
    <w:rsid w:val="0099626A"/>
    <w:rsid w:val="009968C6"/>
    <w:rsid w:val="00996B7C"/>
    <w:rsid w:val="009A2B21"/>
    <w:rsid w:val="009A37C9"/>
    <w:rsid w:val="009A518B"/>
    <w:rsid w:val="009A6E47"/>
    <w:rsid w:val="009B0C33"/>
    <w:rsid w:val="009B7D87"/>
    <w:rsid w:val="009C0256"/>
    <w:rsid w:val="009C049E"/>
    <w:rsid w:val="009C0FAF"/>
    <w:rsid w:val="009C5559"/>
    <w:rsid w:val="009C6B70"/>
    <w:rsid w:val="009C6E48"/>
    <w:rsid w:val="009D04C5"/>
    <w:rsid w:val="009D065E"/>
    <w:rsid w:val="009D0B93"/>
    <w:rsid w:val="009D1399"/>
    <w:rsid w:val="009D2989"/>
    <w:rsid w:val="009D30CC"/>
    <w:rsid w:val="009D36C6"/>
    <w:rsid w:val="009D4647"/>
    <w:rsid w:val="009D7775"/>
    <w:rsid w:val="009E24E3"/>
    <w:rsid w:val="009E4AC4"/>
    <w:rsid w:val="009E637B"/>
    <w:rsid w:val="009F4062"/>
    <w:rsid w:val="009F47FE"/>
    <w:rsid w:val="009F4D0A"/>
    <w:rsid w:val="009F4EAE"/>
    <w:rsid w:val="009F7005"/>
    <w:rsid w:val="009F76DB"/>
    <w:rsid w:val="009F79D4"/>
    <w:rsid w:val="00A06180"/>
    <w:rsid w:val="00A10D2C"/>
    <w:rsid w:val="00A147AA"/>
    <w:rsid w:val="00A14B47"/>
    <w:rsid w:val="00A14F39"/>
    <w:rsid w:val="00A15B49"/>
    <w:rsid w:val="00A15C4E"/>
    <w:rsid w:val="00A16A28"/>
    <w:rsid w:val="00A16F86"/>
    <w:rsid w:val="00A242E9"/>
    <w:rsid w:val="00A262A0"/>
    <w:rsid w:val="00A265A0"/>
    <w:rsid w:val="00A30B97"/>
    <w:rsid w:val="00A32C3B"/>
    <w:rsid w:val="00A34BB4"/>
    <w:rsid w:val="00A43531"/>
    <w:rsid w:val="00A442B3"/>
    <w:rsid w:val="00A45F4F"/>
    <w:rsid w:val="00A47B38"/>
    <w:rsid w:val="00A50D0F"/>
    <w:rsid w:val="00A50E84"/>
    <w:rsid w:val="00A548B5"/>
    <w:rsid w:val="00A600A9"/>
    <w:rsid w:val="00A611D0"/>
    <w:rsid w:val="00A614D0"/>
    <w:rsid w:val="00A627FD"/>
    <w:rsid w:val="00A63717"/>
    <w:rsid w:val="00A665AA"/>
    <w:rsid w:val="00A704D0"/>
    <w:rsid w:val="00A71C4E"/>
    <w:rsid w:val="00A7555B"/>
    <w:rsid w:val="00A755D7"/>
    <w:rsid w:val="00A81DC2"/>
    <w:rsid w:val="00A82A4D"/>
    <w:rsid w:val="00A8387A"/>
    <w:rsid w:val="00AA018B"/>
    <w:rsid w:val="00AA0E69"/>
    <w:rsid w:val="00AA2040"/>
    <w:rsid w:val="00AA55B7"/>
    <w:rsid w:val="00AA5B9E"/>
    <w:rsid w:val="00AB09C5"/>
    <w:rsid w:val="00AB13D1"/>
    <w:rsid w:val="00AB2407"/>
    <w:rsid w:val="00AB32B3"/>
    <w:rsid w:val="00AB53DF"/>
    <w:rsid w:val="00AB6C7A"/>
    <w:rsid w:val="00AC1A83"/>
    <w:rsid w:val="00AC1C60"/>
    <w:rsid w:val="00AC3F53"/>
    <w:rsid w:val="00AC595E"/>
    <w:rsid w:val="00AD1329"/>
    <w:rsid w:val="00AD1622"/>
    <w:rsid w:val="00AD63FF"/>
    <w:rsid w:val="00AD77E6"/>
    <w:rsid w:val="00AE317D"/>
    <w:rsid w:val="00AE3757"/>
    <w:rsid w:val="00AE460F"/>
    <w:rsid w:val="00AE477D"/>
    <w:rsid w:val="00AE4C2C"/>
    <w:rsid w:val="00AE514F"/>
    <w:rsid w:val="00AE52EB"/>
    <w:rsid w:val="00AF028D"/>
    <w:rsid w:val="00AF24B3"/>
    <w:rsid w:val="00AF4DD0"/>
    <w:rsid w:val="00AF5C9D"/>
    <w:rsid w:val="00AF5F98"/>
    <w:rsid w:val="00AF64F7"/>
    <w:rsid w:val="00AF67F9"/>
    <w:rsid w:val="00B034BA"/>
    <w:rsid w:val="00B04861"/>
    <w:rsid w:val="00B07CAD"/>
    <w:rsid w:val="00B07E5C"/>
    <w:rsid w:val="00B1230D"/>
    <w:rsid w:val="00B13D92"/>
    <w:rsid w:val="00B16326"/>
    <w:rsid w:val="00B1769E"/>
    <w:rsid w:val="00B177B4"/>
    <w:rsid w:val="00B1792D"/>
    <w:rsid w:val="00B21628"/>
    <w:rsid w:val="00B24D2E"/>
    <w:rsid w:val="00B355B2"/>
    <w:rsid w:val="00B41DF5"/>
    <w:rsid w:val="00B430F9"/>
    <w:rsid w:val="00B46194"/>
    <w:rsid w:val="00B46573"/>
    <w:rsid w:val="00B50F6E"/>
    <w:rsid w:val="00B51D66"/>
    <w:rsid w:val="00B52F5D"/>
    <w:rsid w:val="00B54119"/>
    <w:rsid w:val="00B56DA2"/>
    <w:rsid w:val="00B6010E"/>
    <w:rsid w:val="00B65E9F"/>
    <w:rsid w:val="00B66E7A"/>
    <w:rsid w:val="00B715E7"/>
    <w:rsid w:val="00B716B7"/>
    <w:rsid w:val="00B72F85"/>
    <w:rsid w:val="00B73234"/>
    <w:rsid w:val="00B747C7"/>
    <w:rsid w:val="00B75C86"/>
    <w:rsid w:val="00B75E4D"/>
    <w:rsid w:val="00B76047"/>
    <w:rsid w:val="00B77075"/>
    <w:rsid w:val="00B774EE"/>
    <w:rsid w:val="00B807A1"/>
    <w:rsid w:val="00B811F7"/>
    <w:rsid w:val="00B82F20"/>
    <w:rsid w:val="00B843D7"/>
    <w:rsid w:val="00B8558C"/>
    <w:rsid w:val="00B91344"/>
    <w:rsid w:val="00B953C1"/>
    <w:rsid w:val="00B97BEF"/>
    <w:rsid w:val="00BA25AD"/>
    <w:rsid w:val="00BA5DC6"/>
    <w:rsid w:val="00BA6196"/>
    <w:rsid w:val="00BA73B8"/>
    <w:rsid w:val="00BB5A7E"/>
    <w:rsid w:val="00BC6D8C"/>
    <w:rsid w:val="00BD070F"/>
    <w:rsid w:val="00BD1D3A"/>
    <w:rsid w:val="00BD31C9"/>
    <w:rsid w:val="00BD3480"/>
    <w:rsid w:val="00BE0375"/>
    <w:rsid w:val="00BE2319"/>
    <w:rsid w:val="00BE3606"/>
    <w:rsid w:val="00BE4C19"/>
    <w:rsid w:val="00BF1EAD"/>
    <w:rsid w:val="00BF4D4F"/>
    <w:rsid w:val="00BF544C"/>
    <w:rsid w:val="00BF7661"/>
    <w:rsid w:val="00C00524"/>
    <w:rsid w:val="00C00AC8"/>
    <w:rsid w:val="00C00E1C"/>
    <w:rsid w:val="00C01BA2"/>
    <w:rsid w:val="00C03036"/>
    <w:rsid w:val="00C057C5"/>
    <w:rsid w:val="00C07E08"/>
    <w:rsid w:val="00C10A9A"/>
    <w:rsid w:val="00C10B18"/>
    <w:rsid w:val="00C11474"/>
    <w:rsid w:val="00C12044"/>
    <w:rsid w:val="00C16D1B"/>
    <w:rsid w:val="00C17C0F"/>
    <w:rsid w:val="00C22A21"/>
    <w:rsid w:val="00C234E0"/>
    <w:rsid w:val="00C25C0E"/>
    <w:rsid w:val="00C32D1A"/>
    <w:rsid w:val="00C34006"/>
    <w:rsid w:val="00C3492B"/>
    <w:rsid w:val="00C34D25"/>
    <w:rsid w:val="00C41331"/>
    <w:rsid w:val="00C416F3"/>
    <w:rsid w:val="00C426B1"/>
    <w:rsid w:val="00C4382D"/>
    <w:rsid w:val="00C47BF8"/>
    <w:rsid w:val="00C51A2C"/>
    <w:rsid w:val="00C60DB5"/>
    <w:rsid w:val="00C60FE0"/>
    <w:rsid w:val="00C6469F"/>
    <w:rsid w:val="00C65E25"/>
    <w:rsid w:val="00C66160"/>
    <w:rsid w:val="00C701D4"/>
    <w:rsid w:val="00C703E6"/>
    <w:rsid w:val="00C70493"/>
    <w:rsid w:val="00C7197A"/>
    <w:rsid w:val="00C721AC"/>
    <w:rsid w:val="00C72210"/>
    <w:rsid w:val="00C736EC"/>
    <w:rsid w:val="00C7395F"/>
    <w:rsid w:val="00C75074"/>
    <w:rsid w:val="00C80986"/>
    <w:rsid w:val="00C816E6"/>
    <w:rsid w:val="00C837E8"/>
    <w:rsid w:val="00C843EA"/>
    <w:rsid w:val="00C8728C"/>
    <w:rsid w:val="00C90D6A"/>
    <w:rsid w:val="00C91325"/>
    <w:rsid w:val="00C946BF"/>
    <w:rsid w:val="00CA0799"/>
    <w:rsid w:val="00CA0F22"/>
    <w:rsid w:val="00CA247E"/>
    <w:rsid w:val="00CA29B2"/>
    <w:rsid w:val="00CA4CCC"/>
    <w:rsid w:val="00CA4E7C"/>
    <w:rsid w:val="00CA7B66"/>
    <w:rsid w:val="00CB0695"/>
    <w:rsid w:val="00CB507D"/>
    <w:rsid w:val="00CB6042"/>
    <w:rsid w:val="00CB6E26"/>
    <w:rsid w:val="00CC04E7"/>
    <w:rsid w:val="00CC456E"/>
    <w:rsid w:val="00CC72B6"/>
    <w:rsid w:val="00CD1AE8"/>
    <w:rsid w:val="00CD3AAA"/>
    <w:rsid w:val="00CE1539"/>
    <w:rsid w:val="00CE76FE"/>
    <w:rsid w:val="00CE79DA"/>
    <w:rsid w:val="00CE7FB6"/>
    <w:rsid w:val="00CF1833"/>
    <w:rsid w:val="00CF1DEA"/>
    <w:rsid w:val="00CF6AB8"/>
    <w:rsid w:val="00CF7C6E"/>
    <w:rsid w:val="00CF7CBE"/>
    <w:rsid w:val="00D0010D"/>
    <w:rsid w:val="00D00166"/>
    <w:rsid w:val="00D008C4"/>
    <w:rsid w:val="00D0218D"/>
    <w:rsid w:val="00D055FB"/>
    <w:rsid w:val="00D06326"/>
    <w:rsid w:val="00D06B21"/>
    <w:rsid w:val="00D073A2"/>
    <w:rsid w:val="00D12942"/>
    <w:rsid w:val="00D12BE6"/>
    <w:rsid w:val="00D12D0A"/>
    <w:rsid w:val="00D16A29"/>
    <w:rsid w:val="00D16D30"/>
    <w:rsid w:val="00D17D0D"/>
    <w:rsid w:val="00D21E60"/>
    <w:rsid w:val="00D2245D"/>
    <w:rsid w:val="00D22E37"/>
    <w:rsid w:val="00D23C69"/>
    <w:rsid w:val="00D253CF"/>
    <w:rsid w:val="00D25FB5"/>
    <w:rsid w:val="00D30880"/>
    <w:rsid w:val="00D32604"/>
    <w:rsid w:val="00D344A0"/>
    <w:rsid w:val="00D3469F"/>
    <w:rsid w:val="00D34C9B"/>
    <w:rsid w:val="00D36968"/>
    <w:rsid w:val="00D3736D"/>
    <w:rsid w:val="00D41283"/>
    <w:rsid w:val="00D41E55"/>
    <w:rsid w:val="00D41F2C"/>
    <w:rsid w:val="00D438FC"/>
    <w:rsid w:val="00D4408E"/>
    <w:rsid w:val="00D44223"/>
    <w:rsid w:val="00D45A09"/>
    <w:rsid w:val="00D45FCE"/>
    <w:rsid w:val="00D4682D"/>
    <w:rsid w:val="00D50604"/>
    <w:rsid w:val="00D5239A"/>
    <w:rsid w:val="00D530F9"/>
    <w:rsid w:val="00D55477"/>
    <w:rsid w:val="00D57BE4"/>
    <w:rsid w:val="00D66ACD"/>
    <w:rsid w:val="00D67EED"/>
    <w:rsid w:val="00D70FB8"/>
    <w:rsid w:val="00D7352F"/>
    <w:rsid w:val="00D73B14"/>
    <w:rsid w:val="00D765E1"/>
    <w:rsid w:val="00D77F56"/>
    <w:rsid w:val="00D80025"/>
    <w:rsid w:val="00D82EA4"/>
    <w:rsid w:val="00D83AB4"/>
    <w:rsid w:val="00D87D9F"/>
    <w:rsid w:val="00D901D0"/>
    <w:rsid w:val="00D9204A"/>
    <w:rsid w:val="00D92BD6"/>
    <w:rsid w:val="00DA2529"/>
    <w:rsid w:val="00DA2BD0"/>
    <w:rsid w:val="00DA5EC0"/>
    <w:rsid w:val="00DA5F45"/>
    <w:rsid w:val="00DA7BD9"/>
    <w:rsid w:val="00DB062D"/>
    <w:rsid w:val="00DB130A"/>
    <w:rsid w:val="00DB19EB"/>
    <w:rsid w:val="00DB232D"/>
    <w:rsid w:val="00DB2331"/>
    <w:rsid w:val="00DB2EBB"/>
    <w:rsid w:val="00DB3229"/>
    <w:rsid w:val="00DB35FA"/>
    <w:rsid w:val="00DB4299"/>
    <w:rsid w:val="00DB6622"/>
    <w:rsid w:val="00DC0547"/>
    <w:rsid w:val="00DC10A1"/>
    <w:rsid w:val="00DC12DC"/>
    <w:rsid w:val="00DC439A"/>
    <w:rsid w:val="00DC4910"/>
    <w:rsid w:val="00DC4A31"/>
    <w:rsid w:val="00DC5E0F"/>
    <w:rsid w:val="00DC655F"/>
    <w:rsid w:val="00DD0B59"/>
    <w:rsid w:val="00DD286B"/>
    <w:rsid w:val="00DD4EC5"/>
    <w:rsid w:val="00DD79C8"/>
    <w:rsid w:val="00DD7EBD"/>
    <w:rsid w:val="00DE5AA9"/>
    <w:rsid w:val="00DE7A66"/>
    <w:rsid w:val="00DF32F7"/>
    <w:rsid w:val="00DF5776"/>
    <w:rsid w:val="00DF62B6"/>
    <w:rsid w:val="00DF65C2"/>
    <w:rsid w:val="00E01E3F"/>
    <w:rsid w:val="00E02544"/>
    <w:rsid w:val="00E07225"/>
    <w:rsid w:val="00E0762E"/>
    <w:rsid w:val="00E15138"/>
    <w:rsid w:val="00E153B9"/>
    <w:rsid w:val="00E177F7"/>
    <w:rsid w:val="00E21AE4"/>
    <w:rsid w:val="00E22152"/>
    <w:rsid w:val="00E22D20"/>
    <w:rsid w:val="00E2447F"/>
    <w:rsid w:val="00E26216"/>
    <w:rsid w:val="00E26407"/>
    <w:rsid w:val="00E330D1"/>
    <w:rsid w:val="00E34087"/>
    <w:rsid w:val="00E3489B"/>
    <w:rsid w:val="00E35E46"/>
    <w:rsid w:val="00E370CF"/>
    <w:rsid w:val="00E37A79"/>
    <w:rsid w:val="00E40868"/>
    <w:rsid w:val="00E41645"/>
    <w:rsid w:val="00E41E31"/>
    <w:rsid w:val="00E443DA"/>
    <w:rsid w:val="00E500E2"/>
    <w:rsid w:val="00E52FD0"/>
    <w:rsid w:val="00E53B7E"/>
    <w:rsid w:val="00E53EB0"/>
    <w:rsid w:val="00E5409F"/>
    <w:rsid w:val="00E567D0"/>
    <w:rsid w:val="00E56859"/>
    <w:rsid w:val="00E576B1"/>
    <w:rsid w:val="00E63935"/>
    <w:rsid w:val="00E65FEB"/>
    <w:rsid w:val="00E714EF"/>
    <w:rsid w:val="00E71BA8"/>
    <w:rsid w:val="00E72FE6"/>
    <w:rsid w:val="00E74FE5"/>
    <w:rsid w:val="00E7793D"/>
    <w:rsid w:val="00E8041F"/>
    <w:rsid w:val="00E80DBC"/>
    <w:rsid w:val="00E816FC"/>
    <w:rsid w:val="00E83D16"/>
    <w:rsid w:val="00E8531D"/>
    <w:rsid w:val="00E85D2C"/>
    <w:rsid w:val="00E864CC"/>
    <w:rsid w:val="00E909DB"/>
    <w:rsid w:val="00E93F41"/>
    <w:rsid w:val="00E944E8"/>
    <w:rsid w:val="00E9519D"/>
    <w:rsid w:val="00E967DF"/>
    <w:rsid w:val="00E979AA"/>
    <w:rsid w:val="00EA06E6"/>
    <w:rsid w:val="00EA0DFB"/>
    <w:rsid w:val="00EA1DBE"/>
    <w:rsid w:val="00EA37FE"/>
    <w:rsid w:val="00EA41D2"/>
    <w:rsid w:val="00EA6DE1"/>
    <w:rsid w:val="00EB42A6"/>
    <w:rsid w:val="00EB6B62"/>
    <w:rsid w:val="00EC1AA7"/>
    <w:rsid w:val="00EC267D"/>
    <w:rsid w:val="00EC365A"/>
    <w:rsid w:val="00ED0277"/>
    <w:rsid w:val="00ED042A"/>
    <w:rsid w:val="00ED4419"/>
    <w:rsid w:val="00EE08A9"/>
    <w:rsid w:val="00EE14AE"/>
    <w:rsid w:val="00EE30E8"/>
    <w:rsid w:val="00EE37C3"/>
    <w:rsid w:val="00EE6488"/>
    <w:rsid w:val="00EE6C54"/>
    <w:rsid w:val="00EE6CF0"/>
    <w:rsid w:val="00EF1701"/>
    <w:rsid w:val="00EF2084"/>
    <w:rsid w:val="00EF2833"/>
    <w:rsid w:val="00EF3BB3"/>
    <w:rsid w:val="00F021FA"/>
    <w:rsid w:val="00F04F3E"/>
    <w:rsid w:val="00F05595"/>
    <w:rsid w:val="00F07237"/>
    <w:rsid w:val="00F077DD"/>
    <w:rsid w:val="00F10FE3"/>
    <w:rsid w:val="00F144D0"/>
    <w:rsid w:val="00F201A8"/>
    <w:rsid w:val="00F20BC3"/>
    <w:rsid w:val="00F21527"/>
    <w:rsid w:val="00F21A05"/>
    <w:rsid w:val="00F224F1"/>
    <w:rsid w:val="00F2606E"/>
    <w:rsid w:val="00F26E7F"/>
    <w:rsid w:val="00F27DE3"/>
    <w:rsid w:val="00F32A18"/>
    <w:rsid w:val="00F373DB"/>
    <w:rsid w:val="00F37C84"/>
    <w:rsid w:val="00F42997"/>
    <w:rsid w:val="00F436C6"/>
    <w:rsid w:val="00F4380E"/>
    <w:rsid w:val="00F459AB"/>
    <w:rsid w:val="00F45C72"/>
    <w:rsid w:val="00F50F55"/>
    <w:rsid w:val="00F53451"/>
    <w:rsid w:val="00F574E6"/>
    <w:rsid w:val="00F607B7"/>
    <w:rsid w:val="00F614F0"/>
    <w:rsid w:val="00F61653"/>
    <w:rsid w:val="00F62E97"/>
    <w:rsid w:val="00F64209"/>
    <w:rsid w:val="00F651E8"/>
    <w:rsid w:val="00F718FB"/>
    <w:rsid w:val="00F73BB9"/>
    <w:rsid w:val="00F74F5F"/>
    <w:rsid w:val="00F779A3"/>
    <w:rsid w:val="00F77FDB"/>
    <w:rsid w:val="00F81894"/>
    <w:rsid w:val="00F830B2"/>
    <w:rsid w:val="00F84B1A"/>
    <w:rsid w:val="00F854EC"/>
    <w:rsid w:val="00F8755B"/>
    <w:rsid w:val="00F87FD6"/>
    <w:rsid w:val="00F9060F"/>
    <w:rsid w:val="00F90E2F"/>
    <w:rsid w:val="00F91FAB"/>
    <w:rsid w:val="00F93BF5"/>
    <w:rsid w:val="00F95688"/>
    <w:rsid w:val="00F95966"/>
    <w:rsid w:val="00F96E86"/>
    <w:rsid w:val="00FA0A16"/>
    <w:rsid w:val="00FA22D4"/>
    <w:rsid w:val="00FA5072"/>
    <w:rsid w:val="00FA774B"/>
    <w:rsid w:val="00FA7FAF"/>
    <w:rsid w:val="00FB6CD8"/>
    <w:rsid w:val="00FB70D0"/>
    <w:rsid w:val="00FB7681"/>
    <w:rsid w:val="00FC25A4"/>
    <w:rsid w:val="00FC2EF2"/>
    <w:rsid w:val="00FC4AE6"/>
    <w:rsid w:val="00FC6A80"/>
    <w:rsid w:val="00FC7962"/>
    <w:rsid w:val="00FD3A90"/>
    <w:rsid w:val="00FD7009"/>
    <w:rsid w:val="00FE0562"/>
    <w:rsid w:val="00FE18A4"/>
    <w:rsid w:val="00FE30D9"/>
    <w:rsid w:val="00FE4ABB"/>
    <w:rsid w:val="00FE50AB"/>
    <w:rsid w:val="00FE5816"/>
    <w:rsid w:val="00FE5CC8"/>
    <w:rsid w:val="00FE5E60"/>
    <w:rsid w:val="00FF215C"/>
    <w:rsid w:val="00FF4011"/>
    <w:rsid w:val="00FF7AF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406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25"/>
    <w:pPr>
      <w:widowControl w:val="0"/>
    </w:pPr>
    <w:rPr>
      <w:snapToGrid w:val="0"/>
      <w:kern w:val="28"/>
      <w:sz w:val="22"/>
    </w:rPr>
  </w:style>
  <w:style w:type="paragraph" w:styleId="Heading1">
    <w:name w:val="heading 1"/>
    <w:basedOn w:val="Normal"/>
    <w:next w:val="ParaNum"/>
    <w:qFormat/>
    <w:rsid w:val="008D322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3225"/>
    <w:pPr>
      <w:keepNext/>
      <w:numPr>
        <w:ilvl w:val="1"/>
        <w:numId w:val="2"/>
      </w:numPr>
      <w:spacing w:after="120"/>
      <w:outlineLvl w:val="1"/>
    </w:pPr>
    <w:rPr>
      <w:b/>
    </w:rPr>
  </w:style>
  <w:style w:type="paragraph" w:styleId="Heading3">
    <w:name w:val="heading 3"/>
    <w:basedOn w:val="Normal"/>
    <w:next w:val="ParaNum"/>
    <w:qFormat/>
    <w:rsid w:val="008D3225"/>
    <w:pPr>
      <w:keepNext/>
      <w:numPr>
        <w:ilvl w:val="2"/>
        <w:numId w:val="2"/>
      </w:numPr>
      <w:tabs>
        <w:tab w:val="left" w:pos="2160"/>
      </w:tabs>
      <w:spacing w:after="120"/>
      <w:outlineLvl w:val="2"/>
    </w:pPr>
    <w:rPr>
      <w:b/>
    </w:rPr>
  </w:style>
  <w:style w:type="paragraph" w:styleId="Heading4">
    <w:name w:val="heading 4"/>
    <w:basedOn w:val="Normal"/>
    <w:next w:val="ParaNum"/>
    <w:qFormat/>
    <w:rsid w:val="008D3225"/>
    <w:pPr>
      <w:keepNext/>
      <w:numPr>
        <w:ilvl w:val="3"/>
        <w:numId w:val="2"/>
      </w:numPr>
      <w:tabs>
        <w:tab w:val="left" w:pos="2880"/>
      </w:tabs>
      <w:spacing w:after="120"/>
      <w:outlineLvl w:val="3"/>
    </w:pPr>
    <w:rPr>
      <w:b/>
    </w:rPr>
  </w:style>
  <w:style w:type="paragraph" w:styleId="Heading5">
    <w:name w:val="heading 5"/>
    <w:basedOn w:val="Normal"/>
    <w:next w:val="ParaNum"/>
    <w:qFormat/>
    <w:rsid w:val="008D3225"/>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D3225"/>
    <w:pPr>
      <w:numPr>
        <w:ilvl w:val="5"/>
        <w:numId w:val="2"/>
      </w:numPr>
      <w:tabs>
        <w:tab w:val="left" w:pos="4320"/>
      </w:tabs>
      <w:spacing w:after="120"/>
      <w:outlineLvl w:val="5"/>
    </w:pPr>
    <w:rPr>
      <w:b/>
    </w:rPr>
  </w:style>
  <w:style w:type="paragraph" w:styleId="Heading7">
    <w:name w:val="heading 7"/>
    <w:basedOn w:val="Normal"/>
    <w:next w:val="ParaNum"/>
    <w:qFormat/>
    <w:rsid w:val="008D322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D322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D322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32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3225"/>
  </w:style>
  <w:style w:type="paragraph" w:customStyle="1" w:styleId="ParaNum">
    <w:name w:val="ParaNum"/>
    <w:basedOn w:val="Normal"/>
    <w:rsid w:val="008D3225"/>
    <w:pPr>
      <w:numPr>
        <w:numId w:val="1"/>
      </w:numPr>
      <w:tabs>
        <w:tab w:val="clear" w:pos="1080"/>
        <w:tab w:val="num" w:pos="1440"/>
      </w:tabs>
      <w:spacing w:after="120"/>
    </w:pPr>
  </w:style>
  <w:style w:type="paragraph" w:styleId="EndnoteText">
    <w:name w:val="endnote text"/>
    <w:basedOn w:val="Normal"/>
    <w:semiHidden/>
    <w:rsid w:val="008D3225"/>
    <w:rPr>
      <w:sz w:val="20"/>
    </w:rPr>
  </w:style>
  <w:style w:type="character" w:styleId="EndnoteReference">
    <w:name w:val="endnote reference"/>
    <w:semiHidden/>
    <w:rsid w:val="008D3225"/>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8D3225"/>
    <w:pPr>
      <w:spacing w:after="120"/>
    </w:pPr>
  </w:style>
  <w:style w:type="character" w:styleId="FootnoteReference">
    <w:name w:val="footnote reference"/>
    <w:aliases w:val="Style 12,(NECG) Footnote Reference,Style 13,Appel note de bas de p,Style 124,fr,o,Style 3,FR,Style 17,Footnote Reference/,Style 6,Style 7,Footnote Reference1"/>
    <w:rsid w:val="008D3225"/>
    <w:rPr>
      <w:rFonts w:ascii="Times New Roman" w:hAnsi="Times New Roman"/>
      <w:dstrike w:val="0"/>
      <w:color w:val="auto"/>
      <w:sz w:val="20"/>
      <w:vertAlign w:val="superscript"/>
    </w:rPr>
  </w:style>
  <w:style w:type="paragraph" w:styleId="TOC1">
    <w:name w:val="toc 1"/>
    <w:basedOn w:val="Normal"/>
    <w:next w:val="Normal"/>
    <w:rsid w:val="008D3225"/>
    <w:pPr>
      <w:tabs>
        <w:tab w:val="left" w:pos="360"/>
        <w:tab w:val="right" w:leader="dot" w:pos="9360"/>
      </w:tabs>
      <w:suppressAutoHyphens/>
      <w:ind w:left="360" w:right="720" w:hanging="360"/>
    </w:pPr>
    <w:rPr>
      <w:caps/>
      <w:noProof/>
    </w:rPr>
  </w:style>
  <w:style w:type="paragraph" w:styleId="TOC2">
    <w:name w:val="toc 2"/>
    <w:basedOn w:val="Normal"/>
    <w:next w:val="Normal"/>
    <w:rsid w:val="008D3225"/>
    <w:pPr>
      <w:tabs>
        <w:tab w:val="left" w:pos="720"/>
        <w:tab w:val="right" w:leader="dot" w:pos="9360"/>
      </w:tabs>
      <w:suppressAutoHyphens/>
      <w:ind w:left="720" w:right="720" w:hanging="360"/>
    </w:pPr>
    <w:rPr>
      <w:noProof/>
    </w:rPr>
  </w:style>
  <w:style w:type="paragraph" w:styleId="TOC3">
    <w:name w:val="toc 3"/>
    <w:basedOn w:val="Normal"/>
    <w:next w:val="Normal"/>
    <w:rsid w:val="008D32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32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32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32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32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32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32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3225"/>
    <w:pPr>
      <w:tabs>
        <w:tab w:val="right" w:pos="9360"/>
      </w:tabs>
      <w:suppressAutoHyphens/>
    </w:pPr>
  </w:style>
  <w:style w:type="character" w:customStyle="1" w:styleId="EquationCaption">
    <w:name w:val="_Equation Caption"/>
    <w:rsid w:val="008D3225"/>
  </w:style>
  <w:style w:type="paragraph" w:styleId="Header">
    <w:name w:val="header"/>
    <w:basedOn w:val="Normal"/>
    <w:autoRedefine/>
    <w:rsid w:val="008D3225"/>
    <w:pPr>
      <w:tabs>
        <w:tab w:val="center" w:pos="4680"/>
        <w:tab w:val="right" w:pos="9360"/>
      </w:tabs>
    </w:pPr>
    <w:rPr>
      <w:b/>
    </w:rPr>
  </w:style>
  <w:style w:type="paragraph" w:styleId="Footer">
    <w:name w:val="footer"/>
    <w:basedOn w:val="Normal"/>
    <w:rsid w:val="008D3225"/>
    <w:pPr>
      <w:tabs>
        <w:tab w:val="center" w:pos="4320"/>
        <w:tab w:val="right" w:pos="8640"/>
      </w:tabs>
    </w:pPr>
  </w:style>
  <w:style w:type="character" w:styleId="PageNumber">
    <w:name w:val="page number"/>
    <w:basedOn w:val="DefaultParagraphFont"/>
    <w:rsid w:val="008D3225"/>
  </w:style>
  <w:style w:type="paragraph" w:styleId="BlockText">
    <w:name w:val="Block Text"/>
    <w:basedOn w:val="Normal"/>
    <w:rsid w:val="008D3225"/>
    <w:pPr>
      <w:spacing w:after="240"/>
      <w:ind w:left="1440" w:right="1440"/>
    </w:pPr>
  </w:style>
  <w:style w:type="paragraph" w:customStyle="1" w:styleId="Paratitle">
    <w:name w:val="Para title"/>
    <w:basedOn w:val="Normal"/>
    <w:rsid w:val="008D3225"/>
    <w:pPr>
      <w:tabs>
        <w:tab w:val="center" w:pos="9270"/>
      </w:tabs>
      <w:spacing w:after="240"/>
    </w:pPr>
    <w:rPr>
      <w:spacing w:val="-2"/>
    </w:rPr>
  </w:style>
  <w:style w:type="paragraph" w:customStyle="1" w:styleId="Bullet">
    <w:name w:val="Bullet"/>
    <w:basedOn w:val="Normal"/>
    <w:rsid w:val="008D3225"/>
    <w:pPr>
      <w:tabs>
        <w:tab w:val="left" w:pos="2160"/>
      </w:tabs>
      <w:spacing w:after="220"/>
      <w:ind w:left="2160" w:hanging="720"/>
    </w:pPr>
  </w:style>
  <w:style w:type="paragraph" w:customStyle="1" w:styleId="TableFormat">
    <w:name w:val="TableFormat"/>
    <w:basedOn w:val="Bullet"/>
    <w:rsid w:val="008D3225"/>
    <w:pPr>
      <w:tabs>
        <w:tab w:val="clear" w:pos="2160"/>
        <w:tab w:val="left" w:pos="5040"/>
      </w:tabs>
      <w:ind w:left="5040" w:hanging="3600"/>
    </w:pPr>
  </w:style>
  <w:style w:type="paragraph" w:customStyle="1" w:styleId="TOCTitle">
    <w:name w:val="TOC Title"/>
    <w:basedOn w:val="Normal"/>
    <w:rsid w:val="008D32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3225"/>
    <w:pPr>
      <w:jc w:val="center"/>
    </w:pPr>
    <w:rPr>
      <w:rFonts w:ascii="Times New Roman Bold" w:hAnsi="Times New Roman Bold"/>
      <w:b/>
      <w:bCs/>
      <w:caps/>
      <w:szCs w:val="22"/>
    </w:rPr>
  </w:style>
  <w:style w:type="character" w:styleId="Hyperlink">
    <w:name w:val="Hyperlink"/>
    <w:rsid w:val="008D3225"/>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3E043C"/>
    <w:pPr>
      <w:widowControl/>
      <w:ind w:left="720"/>
      <w:contextualSpacing/>
    </w:pPr>
    <w:rPr>
      <w:snapToGrid/>
      <w:kern w:val="0"/>
      <w:sz w:val="24"/>
    </w:rPr>
  </w:style>
  <w:style w:type="paragraph" w:styleId="NormalWeb">
    <w:name w:val="Normal (Web)"/>
    <w:basedOn w:val="Normal"/>
    <w:unhideWhenUsed/>
    <w:rsid w:val="00015C84"/>
    <w:pPr>
      <w:widowControl/>
    </w:pPr>
    <w:rPr>
      <w:snapToGrid/>
      <w:kern w:val="0"/>
      <w:sz w:val="24"/>
    </w:rPr>
  </w:style>
  <w:style w:type="paragraph" w:styleId="Revision">
    <w:name w:val="Revision"/>
    <w:hidden/>
    <w:uiPriority w:val="99"/>
    <w:semiHidden/>
    <w:rsid w:val="00CE7FB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rsid w:val="00FB6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25"/>
    <w:pPr>
      <w:widowControl w:val="0"/>
    </w:pPr>
    <w:rPr>
      <w:snapToGrid w:val="0"/>
      <w:kern w:val="28"/>
      <w:sz w:val="22"/>
    </w:rPr>
  </w:style>
  <w:style w:type="paragraph" w:styleId="Heading1">
    <w:name w:val="heading 1"/>
    <w:basedOn w:val="Normal"/>
    <w:next w:val="ParaNum"/>
    <w:qFormat/>
    <w:rsid w:val="008D322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3225"/>
    <w:pPr>
      <w:keepNext/>
      <w:numPr>
        <w:ilvl w:val="1"/>
        <w:numId w:val="2"/>
      </w:numPr>
      <w:spacing w:after="120"/>
      <w:outlineLvl w:val="1"/>
    </w:pPr>
    <w:rPr>
      <w:b/>
    </w:rPr>
  </w:style>
  <w:style w:type="paragraph" w:styleId="Heading3">
    <w:name w:val="heading 3"/>
    <w:basedOn w:val="Normal"/>
    <w:next w:val="ParaNum"/>
    <w:qFormat/>
    <w:rsid w:val="008D3225"/>
    <w:pPr>
      <w:keepNext/>
      <w:numPr>
        <w:ilvl w:val="2"/>
        <w:numId w:val="2"/>
      </w:numPr>
      <w:tabs>
        <w:tab w:val="left" w:pos="2160"/>
      </w:tabs>
      <w:spacing w:after="120"/>
      <w:outlineLvl w:val="2"/>
    </w:pPr>
    <w:rPr>
      <w:b/>
    </w:rPr>
  </w:style>
  <w:style w:type="paragraph" w:styleId="Heading4">
    <w:name w:val="heading 4"/>
    <w:basedOn w:val="Normal"/>
    <w:next w:val="ParaNum"/>
    <w:qFormat/>
    <w:rsid w:val="008D3225"/>
    <w:pPr>
      <w:keepNext/>
      <w:numPr>
        <w:ilvl w:val="3"/>
        <w:numId w:val="2"/>
      </w:numPr>
      <w:tabs>
        <w:tab w:val="left" w:pos="2880"/>
      </w:tabs>
      <w:spacing w:after="120"/>
      <w:outlineLvl w:val="3"/>
    </w:pPr>
    <w:rPr>
      <w:b/>
    </w:rPr>
  </w:style>
  <w:style w:type="paragraph" w:styleId="Heading5">
    <w:name w:val="heading 5"/>
    <w:basedOn w:val="Normal"/>
    <w:next w:val="ParaNum"/>
    <w:qFormat/>
    <w:rsid w:val="008D3225"/>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D3225"/>
    <w:pPr>
      <w:numPr>
        <w:ilvl w:val="5"/>
        <w:numId w:val="2"/>
      </w:numPr>
      <w:tabs>
        <w:tab w:val="left" w:pos="4320"/>
      </w:tabs>
      <w:spacing w:after="120"/>
      <w:outlineLvl w:val="5"/>
    </w:pPr>
    <w:rPr>
      <w:b/>
    </w:rPr>
  </w:style>
  <w:style w:type="paragraph" w:styleId="Heading7">
    <w:name w:val="heading 7"/>
    <w:basedOn w:val="Normal"/>
    <w:next w:val="ParaNum"/>
    <w:qFormat/>
    <w:rsid w:val="008D322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D322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D322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32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3225"/>
  </w:style>
  <w:style w:type="paragraph" w:customStyle="1" w:styleId="ParaNum">
    <w:name w:val="ParaNum"/>
    <w:basedOn w:val="Normal"/>
    <w:rsid w:val="008D3225"/>
    <w:pPr>
      <w:numPr>
        <w:numId w:val="1"/>
      </w:numPr>
      <w:tabs>
        <w:tab w:val="clear" w:pos="1080"/>
        <w:tab w:val="num" w:pos="1440"/>
      </w:tabs>
      <w:spacing w:after="120"/>
    </w:pPr>
  </w:style>
  <w:style w:type="paragraph" w:styleId="EndnoteText">
    <w:name w:val="endnote text"/>
    <w:basedOn w:val="Normal"/>
    <w:semiHidden/>
    <w:rsid w:val="008D3225"/>
    <w:rPr>
      <w:sz w:val="20"/>
    </w:rPr>
  </w:style>
  <w:style w:type="character" w:styleId="EndnoteReference">
    <w:name w:val="endnote reference"/>
    <w:semiHidden/>
    <w:rsid w:val="008D3225"/>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8D3225"/>
    <w:pPr>
      <w:spacing w:after="120"/>
    </w:pPr>
  </w:style>
  <w:style w:type="character" w:styleId="FootnoteReference">
    <w:name w:val="footnote reference"/>
    <w:aliases w:val="Style 12,(NECG) Footnote Reference,Style 13,Appel note de bas de p,Style 124,fr,o,Style 3,FR,Style 17,Footnote Reference/,Style 6,Style 7,Footnote Reference1"/>
    <w:rsid w:val="008D3225"/>
    <w:rPr>
      <w:rFonts w:ascii="Times New Roman" w:hAnsi="Times New Roman"/>
      <w:dstrike w:val="0"/>
      <w:color w:val="auto"/>
      <w:sz w:val="20"/>
      <w:vertAlign w:val="superscript"/>
    </w:rPr>
  </w:style>
  <w:style w:type="paragraph" w:styleId="TOC1">
    <w:name w:val="toc 1"/>
    <w:basedOn w:val="Normal"/>
    <w:next w:val="Normal"/>
    <w:rsid w:val="008D3225"/>
    <w:pPr>
      <w:tabs>
        <w:tab w:val="left" w:pos="360"/>
        <w:tab w:val="right" w:leader="dot" w:pos="9360"/>
      </w:tabs>
      <w:suppressAutoHyphens/>
      <w:ind w:left="360" w:right="720" w:hanging="360"/>
    </w:pPr>
    <w:rPr>
      <w:caps/>
      <w:noProof/>
    </w:rPr>
  </w:style>
  <w:style w:type="paragraph" w:styleId="TOC2">
    <w:name w:val="toc 2"/>
    <w:basedOn w:val="Normal"/>
    <w:next w:val="Normal"/>
    <w:rsid w:val="008D3225"/>
    <w:pPr>
      <w:tabs>
        <w:tab w:val="left" w:pos="720"/>
        <w:tab w:val="right" w:leader="dot" w:pos="9360"/>
      </w:tabs>
      <w:suppressAutoHyphens/>
      <w:ind w:left="720" w:right="720" w:hanging="360"/>
    </w:pPr>
    <w:rPr>
      <w:noProof/>
    </w:rPr>
  </w:style>
  <w:style w:type="paragraph" w:styleId="TOC3">
    <w:name w:val="toc 3"/>
    <w:basedOn w:val="Normal"/>
    <w:next w:val="Normal"/>
    <w:rsid w:val="008D32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32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32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32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32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32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32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3225"/>
    <w:pPr>
      <w:tabs>
        <w:tab w:val="right" w:pos="9360"/>
      </w:tabs>
      <w:suppressAutoHyphens/>
    </w:pPr>
  </w:style>
  <w:style w:type="character" w:customStyle="1" w:styleId="EquationCaption">
    <w:name w:val="_Equation Caption"/>
    <w:rsid w:val="008D3225"/>
  </w:style>
  <w:style w:type="paragraph" w:styleId="Header">
    <w:name w:val="header"/>
    <w:basedOn w:val="Normal"/>
    <w:autoRedefine/>
    <w:rsid w:val="008D3225"/>
    <w:pPr>
      <w:tabs>
        <w:tab w:val="center" w:pos="4680"/>
        <w:tab w:val="right" w:pos="9360"/>
      </w:tabs>
    </w:pPr>
    <w:rPr>
      <w:b/>
    </w:rPr>
  </w:style>
  <w:style w:type="paragraph" w:styleId="Footer">
    <w:name w:val="footer"/>
    <w:basedOn w:val="Normal"/>
    <w:rsid w:val="008D3225"/>
    <w:pPr>
      <w:tabs>
        <w:tab w:val="center" w:pos="4320"/>
        <w:tab w:val="right" w:pos="8640"/>
      </w:tabs>
    </w:pPr>
  </w:style>
  <w:style w:type="character" w:styleId="PageNumber">
    <w:name w:val="page number"/>
    <w:basedOn w:val="DefaultParagraphFont"/>
    <w:rsid w:val="008D3225"/>
  </w:style>
  <w:style w:type="paragraph" w:styleId="BlockText">
    <w:name w:val="Block Text"/>
    <w:basedOn w:val="Normal"/>
    <w:rsid w:val="008D3225"/>
    <w:pPr>
      <w:spacing w:after="240"/>
      <w:ind w:left="1440" w:right="1440"/>
    </w:pPr>
  </w:style>
  <w:style w:type="paragraph" w:customStyle="1" w:styleId="Paratitle">
    <w:name w:val="Para title"/>
    <w:basedOn w:val="Normal"/>
    <w:rsid w:val="008D3225"/>
    <w:pPr>
      <w:tabs>
        <w:tab w:val="center" w:pos="9270"/>
      </w:tabs>
      <w:spacing w:after="240"/>
    </w:pPr>
    <w:rPr>
      <w:spacing w:val="-2"/>
    </w:rPr>
  </w:style>
  <w:style w:type="paragraph" w:customStyle="1" w:styleId="Bullet">
    <w:name w:val="Bullet"/>
    <w:basedOn w:val="Normal"/>
    <w:rsid w:val="008D3225"/>
    <w:pPr>
      <w:tabs>
        <w:tab w:val="left" w:pos="2160"/>
      </w:tabs>
      <w:spacing w:after="220"/>
      <w:ind w:left="2160" w:hanging="720"/>
    </w:pPr>
  </w:style>
  <w:style w:type="paragraph" w:customStyle="1" w:styleId="TableFormat">
    <w:name w:val="TableFormat"/>
    <w:basedOn w:val="Bullet"/>
    <w:rsid w:val="008D3225"/>
    <w:pPr>
      <w:tabs>
        <w:tab w:val="clear" w:pos="2160"/>
        <w:tab w:val="left" w:pos="5040"/>
      </w:tabs>
      <w:ind w:left="5040" w:hanging="3600"/>
    </w:pPr>
  </w:style>
  <w:style w:type="paragraph" w:customStyle="1" w:styleId="TOCTitle">
    <w:name w:val="TOC Title"/>
    <w:basedOn w:val="Normal"/>
    <w:rsid w:val="008D32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3225"/>
    <w:pPr>
      <w:jc w:val="center"/>
    </w:pPr>
    <w:rPr>
      <w:rFonts w:ascii="Times New Roman Bold" w:hAnsi="Times New Roman Bold"/>
      <w:b/>
      <w:bCs/>
      <w:caps/>
      <w:szCs w:val="22"/>
    </w:rPr>
  </w:style>
  <w:style w:type="character" w:styleId="Hyperlink">
    <w:name w:val="Hyperlink"/>
    <w:rsid w:val="008D3225"/>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3E043C"/>
    <w:pPr>
      <w:widowControl/>
      <w:ind w:left="720"/>
      <w:contextualSpacing/>
    </w:pPr>
    <w:rPr>
      <w:snapToGrid/>
      <w:kern w:val="0"/>
      <w:sz w:val="24"/>
    </w:rPr>
  </w:style>
  <w:style w:type="paragraph" w:styleId="NormalWeb">
    <w:name w:val="Normal (Web)"/>
    <w:basedOn w:val="Normal"/>
    <w:unhideWhenUsed/>
    <w:rsid w:val="00015C84"/>
    <w:pPr>
      <w:widowControl/>
    </w:pPr>
    <w:rPr>
      <w:snapToGrid/>
      <w:kern w:val="0"/>
      <w:sz w:val="24"/>
    </w:rPr>
  </w:style>
  <w:style w:type="paragraph" w:styleId="Revision">
    <w:name w:val="Revision"/>
    <w:hidden/>
    <w:uiPriority w:val="99"/>
    <w:semiHidden/>
    <w:rsid w:val="00CE7FB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rsid w:val="00FB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058">
      <w:bodyDiv w:val="1"/>
      <w:marLeft w:val="0"/>
      <w:marRight w:val="0"/>
      <w:marTop w:val="0"/>
      <w:marBottom w:val="0"/>
      <w:divBdr>
        <w:top w:val="none" w:sz="0" w:space="0" w:color="auto"/>
        <w:left w:val="none" w:sz="0" w:space="0" w:color="auto"/>
        <w:bottom w:val="none" w:sz="0" w:space="0" w:color="auto"/>
        <w:right w:val="none" w:sz="0" w:space="0" w:color="auto"/>
      </w:divBdr>
    </w:div>
    <w:div w:id="1286811134">
      <w:bodyDiv w:val="1"/>
      <w:marLeft w:val="0"/>
      <w:marRight w:val="0"/>
      <w:marTop w:val="0"/>
      <w:marBottom w:val="0"/>
      <w:divBdr>
        <w:top w:val="none" w:sz="0" w:space="0" w:color="auto"/>
        <w:left w:val="none" w:sz="0" w:space="0" w:color="auto"/>
        <w:bottom w:val="none" w:sz="0" w:space="0" w:color="auto"/>
        <w:right w:val="none" w:sz="0" w:space="0" w:color="auto"/>
      </w:divBdr>
    </w:div>
    <w:div w:id="17828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557</Words>
  <Characters>3090</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2015-02-13T21:36:00Z</cp:lastPrinted>
  <dcterms:created xsi:type="dcterms:W3CDTF">2015-03-31T21:59:00Z</dcterms:created>
  <dcterms:modified xsi:type="dcterms:W3CDTF">2015-03-31T21:59:00Z</dcterms:modified>
  <cp:category> </cp:category>
  <cp:contentStatus> </cp:contentStatus>
</cp:coreProperties>
</file>