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2BA" w:rsidRPr="002E5F1C" w:rsidRDefault="00E362BA" w:rsidP="00C51EB6">
      <w:pPr>
        <w:jc w:val="center"/>
        <w:rPr>
          <w:b/>
          <w:szCs w:val="22"/>
        </w:rPr>
      </w:pPr>
      <w:bookmarkStart w:id="0" w:name="_GoBack"/>
      <w:bookmarkEnd w:id="0"/>
      <w:r w:rsidRPr="002E5F1C">
        <w:rPr>
          <w:b/>
          <w:szCs w:val="22"/>
        </w:rPr>
        <w:t>Before the</w:t>
      </w:r>
    </w:p>
    <w:p w:rsidR="00E362BA" w:rsidRPr="002E5F1C" w:rsidRDefault="00E362BA" w:rsidP="00C51EB6">
      <w:pPr>
        <w:jc w:val="center"/>
        <w:rPr>
          <w:b/>
          <w:szCs w:val="22"/>
        </w:rPr>
      </w:pPr>
      <w:r w:rsidRPr="002E5F1C">
        <w:rPr>
          <w:b/>
          <w:szCs w:val="22"/>
        </w:rPr>
        <w:t>Federal Communications Commission</w:t>
      </w:r>
    </w:p>
    <w:p w:rsidR="00E362BA" w:rsidRPr="002E5F1C" w:rsidRDefault="00E362BA" w:rsidP="00C51EB6">
      <w:pPr>
        <w:jc w:val="center"/>
        <w:rPr>
          <w:b/>
          <w:szCs w:val="22"/>
        </w:rPr>
      </w:pPr>
      <w:r w:rsidRPr="002E5F1C">
        <w:rPr>
          <w:b/>
          <w:szCs w:val="22"/>
        </w:rPr>
        <w:t>Washington, D.C. 20554</w:t>
      </w:r>
    </w:p>
    <w:p w:rsidR="00E362BA" w:rsidRPr="002E5F1C" w:rsidRDefault="00E362BA" w:rsidP="00C51EB6">
      <w:pPr>
        <w:jc w:val="center"/>
        <w:rPr>
          <w:szCs w:val="22"/>
        </w:rPr>
      </w:pPr>
    </w:p>
    <w:p w:rsidR="00E362BA" w:rsidRPr="002E5F1C" w:rsidRDefault="00E362BA" w:rsidP="00C51EB6">
      <w:pPr>
        <w:rPr>
          <w:szCs w:val="22"/>
        </w:rPr>
      </w:pPr>
    </w:p>
    <w:tbl>
      <w:tblPr>
        <w:tblW w:w="0" w:type="auto"/>
        <w:tblLayout w:type="fixed"/>
        <w:tblLook w:val="0000" w:firstRow="0" w:lastRow="0" w:firstColumn="0" w:lastColumn="0" w:noHBand="0" w:noVBand="0"/>
      </w:tblPr>
      <w:tblGrid>
        <w:gridCol w:w="4698"/>
        <w:gridCol w:w="720"/>
        <w:gridCol w:w="4230"/>
      </w:tblGrid>
      <w:tr w:rsidR="00E362BA" w:rsidRPr="002E5F1C">
        <w:tc>
          <w:tcPr>
            <w:tcW w:w="4698" w:type="dxa"/>
          </w:tcPr>
          <w:p w:rsidR="00E362BA" w:rsidRPr="002E5F1C" w:rsidRDefault="00E362BA" w:rsidP="00C51EB6">
            <w:pPr>
              <w:ind w:right="-18"/>
              <w:rPr>
                <w:szCs w:val="22"/>
              </w:rPr>
            </w:pPr>
            <w:r w:rsidRPr="002E5F1C">
              <w:rPr>
                <w:szCs w:val="22"/>
              </w:rPr>
              <w:t xml:space="preserve">In the </w:t>
            </w:r>
            <w:r w:rsidR="005D52B6">
              <w:rPr>
                <w:szCs w:val="22"/>
              </w:rPr>
              <w:t>M</w:t>
            </w:r>
            <w:r w:rsidRPr="002E5F1C">
              <w:rPr>
                <w:szCs w:val="22"/>
              </w:rPr>
              <w:t>atter of</w:t>
            </w:r>
          </w:p>
          <w:p w:rsidR="00891F9A" w:rsidRDefault="00891F9A" w:rsidP="00C51EB6">
            <w:pPr>
              <w:ind w:right="-18"/>
              <w:rPr>
                <w:szCs w:val="22"/>
              </w:rPr>
            </w:pPr>
          </w:p>
          <w:p w:rsidR="00272AB3" w:rsidRDefault="00DB48E4" w:rsidP="00C51EB6">
            <w:pPr>
              <w:ind w:right="-18"/>
              <w:rPr>
                <w:szCs w:val="22"/>
              </w:rPr>
            </w:pPr>
            <w:r w:rsidRPr="002E5F1C">
              <w:rPr>
                <w:szCs w:val="22"/>
              </w:rPr>
              <w:t>Lifeline and Link Up Reform</w:t>
            </w:r>
          </w:p>
          <w:p w:rsidR="00C0419D" w:rsidRDefault="00C0419D" w:rsidP="00C51EB6">
            <w:pPr>
              <w:ind w:right="-18"/>
              <w:rPr>
                <w:szCs w:val="22"/>
              </w:rPr>
            </w:pPr>
          </w:p>
          <w:p w:rsidR="00C0419D" w:rsidRPr="002E5F1C" w:rsidRDefault="00C0419D" w:rsidP="000068B3">
            <w:pPr>
              <w:autoSpaceDE w:val="0"/>
              <w:autoSpaceDN w:val="0"/>
              <w:adjustRightInd w:val="0"/>
              <w:rPr>
                <w:szCs w:val="22"/>
              </w:rPr>
            </w:pPr>
          </w:p>
        </w:tc>
        <w:tc>
          <w:tcPr>
            <w:tcW w:w="720" w:type="dxa"/>
          </w:tcPr>
          <w:p w:rsidR="00E362BA" w:rsidRPr="002E5F1C" w:rsidRDefault="00E362BA" w:rsidP="00C51EB6">
            <w:pPr>
              <w:rPr>
                <w:b/>
                <w:szCs w:val="22"/>
              </w:rPr>
            </w:pPr>
            <w:r w:rsidRPr="002E5F1C">
              <w:rPr>
                <w:b/>
                <w:szCs w:val="22"/>
              </w:rPr>
              <w:t>)</w:t>
            </w:r>
          </w:p>
          <w:p w:rsidR="00E362BA" w:rsidRPr="002E5F1C" w:rsidRDefault="00E362BA" w:rsidP="00C51EB6">
            <w:pPr>
              <w:rPr>
                <w:b/>
                <w:szCs w:val="22"/>
              </w:rPr>
            </w:pPr>
            <w:r w:rsidRPr="002E5F1C">
              <w:rPr>
                <w:b/>
                <w:szCs w:val="22"/>
              </w:rPr>
              <w:t>)</w:t>
            </w:r>
          </w:p>
          <w:p w:rsidR="00E362BA" w:rsidRPr="002E5F1C" w:rsidRDefault="00E362BA" w:rsidP="00C51EB6">
            <w:pPr>
              <w:rPr>
                <w:b/>
                <w:szCs w:val="22"/>
              </w:rPr>
            </w:pPr>
            <w:r w:rsidRPr="002E5F1C">
              <w:rPr>
                <w:b/>
                <w:szCs w:val="22"/>
              </w:rPr>
              <w:t>)</w:t>
            </w:r>
          </w:p>
          <w:p w:rsidR="00E362BA" w:rsidRPr="002E5F1C" w:rsidRDefault="00E362BA" w:rsidP="00C51EB6">
            <w:pPr>
              <w:rPr>
                <w:b/>
                <w:szCs w:val="22"/>
              </w:rPr>
            </w:pPr>
            <w:r w:rsidRPr="002E5F1C">
              <w:rPr>
                <w:b/>
                <w:szCs w:val="22"/>
              </w:rPr>
              <w:t>)</w:t>
            </w:r>
          </w:p>
          <w:p w:rsidR="00891F9A" w:rsidRPr="002E5F1C" w:rsidRDefault="00891F9A" w:rsidP="00C51EB6">
            <w:pPr>
              <w:rPr>
                <w:b/>
                <w:szCs w:val="22"/>
              </w:rPr>
            </w:pPr>
          </w:p>
        </w:tc>
        <w:tc>
          <w:tcPr>
            <w:tcW w:w="4230" w:type="dxa"/>
          </w:tcPr>
          <w:p w:rsidR="00E362BA" w:rsidRPr="002E5F1C" w:rsidRDefault="00E362BA" w:rsidP="00C51EB6">
            <w:pPr>
              <w:rPr>
                <w:szCs w:val="22"/>
              </w:rPr>
            </w:pPr>
          </w:p>
          <w:p w:rsidR="00891F9A" w:rsidRDefault="00891F9A" w:rsidP="00C51EB6">
            <w:pPr>
              <w:rPr>
                <w:spacing w:val="-2"/>
                <w:szCs w:val="22"/>
              </w:rPr>
            </w:pPr>
          </w:p>
          <w:p w:rsidR="00891F9A" w:rsidRDefault="00922DDD" w:rsidP="00C51EB6">
            <w:pPr>
              <w:rPr>
                <w:spacing w:val="-2"/>
                <w:szCs w:val="22"/>
              </w:rPr>
            </w:pPr>
            <w:r w:rsidRPr="002E5F1C">
              <w:rPr>
                <w:spacing w:val="-2"/>
                <w:szCs w:val="22"/>
              </w:rPr>
              <w:t>WC Docket No. 11-42</w:t>
            </w:r>
          </w:p>
          <w:p w:rsidR="00E362BA" w:rsidRPr="002E5F1C" w:rsidRDefault="00E362BA" w:rsidP="00C51EB6">
            <w:pPr>
              <w:rPr>
                <w:szCs w:val="22"/>
              </w:rPr>
            </w:pPr>
          </w:p>
        </w:tc>
      </w:tr>
      <w:tr w:rsidR="00891F9A" w:rsidRPr="002E5F1C">
        <w:tc>
          <w:tcPr>
            <w:tcW w:w="4698" w:type="dxa"/>
          </w:tcPr>
          <w:p w:rsidR="00891F9A" w:rsidRPr="002E5F1C" w:rsidRDefault="00891F9A" w:rsidP="00C51EB6">
            <w:pPr>
              <w:ind w:right="-18"/>
              <w:rPr>
                <w:szCs w:val="22"/>
              </w:rPr>
            </w:pPr>
          </w:p>
        </w:tc>
        <w:tc>
          <w:tcPr>
            <w:tcW w:w="720" w:type="dxa"/>
          </w:tcPr>
          <w:p w:rsidR="00891F9A" w:rsidRPr="002E5F1C" w:rsidRDefault="00891F9A" w:rsidP="00C51EB6">
            <w:pPr>
              <w:rPr>
                <w:b/>
                <w:szCs w:val="22"/>
              </w:rPr>
            </w:pPr>
          </w:p>
        </w:tc>
        <w:tc>
          <w:tcPr>
            <w:tcW w:w="4230" w:type="dxa"/>
          </w:tcPr>
          <w:p w:rsidR="00891F9A" w:rsidRPr="002E5F1C" w:rsidRDefault="00891F9A" w:rsidP="00C51EB6">
            <w:pPr>
              <w:rPr>
                <w:szCs w:val="22"/>
              </w:rPr>
            </w:pPr>
          </w:p>
        </w:tc>
      </w:tr>
    </w:tbl>
    <w:p w:rsidR="00272AB3" w:rsidRPr="002E5F1C" w:rsidRDefault="00272AB3" w:rsidP="00C51EB6">
      <w:pPr>
        <w:tabs>
          <w:tab w:val="left" w:pos="5760"/>
        </w:tabs>
        <w:rPr>
          <w:szCs w:val="22"/>
        </w:rPr>
      </w:pPr>
    </w:p>
    <w:p w:rsidR="00E362BA" w:rsidRPr="002E5F1C" w:rsidRDefault="00E362BA" w:rsidP="00C51EB6">
      <w:pPr>
        <w:tabs>
          <w:tab w:val="left" w:pos="5760"/>
        </w:tabs>
        <w:rPr>
          <w:b/>
          <w:szCs w:val="22"/>
        </w:rPr>
      </w:pPr>
      <w:r w:rsidRPr="002E5F1C">
        <w:rPr>
          <w:b/>
          <w:szCs w:val="22"/>
        </w:rPr>
        <w:t xml:space="preserve">Adopted:  </w:t>
      </w:r>
      <w:r w:rsidR="00922DDD">
        <w:rPr>
          <w:b/>
          <w:spacing w:val="-2"/>
          <w:szCs w:val="22"/>
        </w:rPr>
        <w:t>March</w:t>
      </w:r>
      <w:r w:rsidR="00293532">
        <w:rPr>
          <w:b/>
          <w:spacing w:val="-2"/>
          <w:szCs w:val="22"/>
        </w:rPr>
        <w:t xml:space="preserve"> 31</w:t>
      </w:r>
      <w:r w:rsidR="00272AB3" w:rsidRPr="002E5F1C">
        <w:rPr>
          <w:b/>
          <w:spacing w:val="-2"/>
          <w:szCs w:val="22"/>
        </w:rPr>
        <w:t>, 201</w:t>
      </w:r>
      <w:r w:rsidR="002C3FBD">
        <w:rPr>
          <w:b/>
          <w:spacing w:val="-2"/>
          <w:szCs w:val="22"/>
        </w:rPr>
        <w:t>5</w:t>
      </w:r>
      <w:r w:rsidRPr="002E5F1C">
        <w:rPr>
          <w:b/>
          <w:szCs w:val="22"/>
        </w:rPr>
        <w:tab/>
      </w:r>
      <w:r w:rsidR="009822EA">
        <w:rPr>
          <w:b/>
          <w:szCs w:val="22"/>
        </w:rPr>
        <w:tab/>
      </w:r>
      <w:r w:rsidRPr="002E5F1C">
        <w:rPr>
          <w:b/>
          <w:szCs w:val="22"/>
        </w:rPr>
        <w:t xml:space="preserve">Released:  </w:t>
      </w:r>
      <w:r w:rsidR="00922DDD">
        <w:rPr>
          <w:b/>
          <w:spacing w:val="-2"/>
          <w:szCs w:val="22"/>
        </w:rPr>
        <w:t>March</w:t>
      </w:r>
      <w:r w:rsidR="00293532">
        <w:rPr>
          <w:b/>
          <w:spacing w:val="-2"/>
          <w:szCs w:val="22"/>
        </w:rPr>
        <w:t xml:space="preserve"> 31</w:t>
      </w:r>
      <w:r w:rsidR="00272AB3" w:rsidRPr="002E5F1C">
        <w:rPr>
          <w:b/>
          <w:spacing w:val="-2"/>
          <w:szCs w:val="22"/>
        </w:rPr>
        <w:t>, 201</w:t>
      </w:r>
      <w:r w:rsidR="002C3FBD">
        <w:rPr>
          <w:b/>
          <w:spacing w:val="-2"/>
          <w:szCs w:val="22"/>
        </w:rPr>
        <w:t>5</w:t>
      </w:r>
    </w:p>
    <w:p w:rsidR="0025316A" w:rsidRDefault="0025316A" w:rsidP="00C0419D">
      <w:pPr>
        <w:pStyle w:val="Heading1"/>
        <w:numPr>
          <w:ilvl w:val="0"/>
          <w:numId w:val="0"/>
        </w:numPr>
        <w:ind w:left="720"/>
        <w:jc w:val="center"/>
        <w:rPr>
          <w:szCs w:val="22"/>
        </w:rPr>
      </w:pPr>
    </w:p>
    <w:p w:rsidR="00C0419D" w:rsidRPr="002E5F1C" w:rsidRDefault="00C0419D" w:rsidP="004E5A8F">
      <w:pPr>
        <w:pStyle w:val="Heading1"/>
        <w:numPr>
          <w:ilvl w:val="0"/>
          <w:numId w:val="0"/>
        </w:numPr>
        <w:jc w:val="center"/>
        <w:rPr>
          <w:szCs w:val="22"/>
        </w:rPr>
      </w:pPr>
      <w:r w:rsidRPr="002E5F1C">
        <w:rPr>
          <w:szCs w:val="22"/>
        </w:rPr>
        <w:t>ORDER</w:t>
      </w:r>
    </w:p>
    <w:p w:rsidR="00E362BA" w:rsidRDefault="00272AB3" w:rsidP="00C51EB6">
      <w:pPr>
        <w:tabs>
          <w:tab w:val="left" w:pos="5760"/>
        </w:tabs>
        <w:rPr>
          <w:szCs w:val="22"/>
        </w:rPr>
      </w:pPr>
      <w:r w:rsidRPr="002E5F1C">
        <w:rPr>
          <w:szCs w:val="22"/>
        </w:rPr>
        <w:t xml:space="preserve">By the Chief, Wireline Competition Bureau: </w:t>
      </w:r>
    </w:p>
    <w:p w:rsidR="003C2E7F" w:rsidRDefault="003C2E7F" w:rsidP="00C51EB6">
      <w:pPr>
        <w:tabs>
          <w:tab w:val="left" w:pos="5760"/>
        </w:tabs>
        <w:rPr>
          <w:szCs w:val="22"/>
        </w:rPr>
      </w:pPr>
    </w:p>
    <w:p w:rsidR="003C2E7F" w:rsidRPr="00A704C8" w:rsidRDefault="003C2E7F" w:rsidP="00C42563">
      <w:pPr>
        <w:numPr>
          <w:ilvl w:val="0"/>
          <w:numId w:val="3"/>
        </w:numPr>
        <w:tabs>
          <w:tab w:val="left" w:pos="0"/>
        </w:tabs>
        <w:ind w:left="720"/>
        <w:rPr>
          <w:b/>
          <w:szCs w:val="22"/>
        </w:rPr>
      </w:pPr>
      <w:r w:rsidRPr="00A704C8">
        <w:rPr>
          <w:b/>
          <w:szCs w:val="22"/>
        </w:rPr>
        <w:t>INTRODUCTION AND BACKGROUND</w:t>
      </w:r>
    </w:p>
    <w:p w:rsidR="003C2E7F" w:rsidRPr="002E5F1C" w:rsidRDefault="003C2E7F" w:rsidP="003C2E7F">
      <w:pPr>
        <w:tabs>
          <w:tab w:val="left" w:pos="0"/>
        </w:tabs>
        <w:ind w:left="720"/>
        <w:rPr>
          <w:szCs w:val="22"/>
        </w:rPr>
      </w:pPr>
    </w:p>
    <w:p w:rsidR="0018777A" w:rsidRDefault="00C224BC" w:rsidP="00C42563">
      <w:pPr>
        <w:numPr>
          <w:ilvl w:val="0"/>
          <w:numId w:val="2"/>
        </w:numPr>
        <w:spacing w:after="220"/>
        <w:ind w:left="0" w:firstLine="720"/>
        <w:rPr>
          <w:rFonts w:eastAsia="Calibri"/>
          <w:szCs w:val="22"/>
        </w:rPr>
      </w:pPr>
      <w:r w:rsidRPr="00C224BC">
        <w:rPr>
          <w:rFonts w:eastAsia="Calibri"/>
          <w:szCs w:val="22"/>
        </w:rPr>
        <w:t xml:space="preserve">In this </w:t>
      </w:r>
      <w:r>
        <w:rPr>
          <w:rFonts w:eastAsia="Calibri"/>
          <w:szCs w:val="22"/>
        </w:rPr>
        <w:t>Order</w:t>
      </w:r>
      <w:r w:rsidRPr="00C224BC">
        <w:rPr>
          <w:rFonts w:eastAsia="Calibri"/>
          <w:szCs w:val="22"/>
        </w:rPr>
        <w:t xml:space="preserve">, the Wireline Competition Bureau (Bureau) </w:t>
      </w:r>
      <w:r w:rsidRPr="004E25C9">
        <w:rPr>
          <w:rFonts w:eastAsia="Calibri"/>
          <w:szCs w:val="22"/>
        </w:rPr>
        <w:t>clarifies</w:t>
      </w:r>
      <w:r w:rsidRPr="00C224BC">
        <w:rPr>
          <w:rFonts w:eastAsia="Calibri"/>
          <w:szCs w:val="22"/>
        </w:rPr>
        <w:t xml:space="preserve"> rules regarding subscriber usage of Lifeline-supported service established in the </w:t>
      </w:r>
      <w:r w:rsidRPr="000068B3">
        <w:rPr>
          <w:rFonts w:eastAsia="Calibri"/>
          <w:i/>
          <w:szCs w:val="22"/>
        </w:rPr>
        <w:t>Lifeline Reform Order</w:t>
      </w:r>
      <w:r w:rsidRPr="00C224BC">
        <w:rPr>
          <w:rFonts w:eastAsia="Calibri"/>
          <w:szCs w:val="22"/>
        </w:rPr>
        <w:t>.</w:t>
      </w:r>
      <w:r w:rsidRPr="00C224BC">
        <w:rPr>
          <w:vertAlign w:val="superscript"/>
        </w:rPr>
        <w:footnoteReference w:id="2"/>
      </w:r>
      <w:r w:rsidRPr="00C224BC">
        <w:rPr>
          <w:rFonts w:eastAsia="Calibri"/>
          <w:szCs w:val="22"/>
        </w:rPr>
        <w:t xml:space="preserve">  We </w:t>
      </w:r>
      <w:r w:rsidRPr="005A7535">
        <w:rPr>
          <w:rFonts w:eastAsia="Calibri"/>
          <w:szCs w:val="22"/>
        </w:rPr>
        <w:t>clarify</w:t>
      </w:r>
      <w:r w:rsidRPr="00C224BC">
        <w:rPr>
          <w:rFonts w:eastAsia="Calibri"/>
          <w:szCs w:val="22"/>
        </w:rPr>
        <w:t xml:space="preserve"> that, pursuant to the </w:t>
      </w:r>
      <w:r w:rsidRPr="006B46ED">
        <w:rPr>
          <w:rFonts w:eastAsia="Calibri"/>
          <w:i/>
          <w:szCs w:val="22"/>
        </w:rPr>
        <w:t>Lifeline Reform Order</w:t>
      </w:r>
      <w:r w:rsidRPr="00C224BC">
        <w:rPr>
          <w:rFonts w:eastAsia="Calibri"/>
          <w:szCs w:val="22"/>
        </w:rPr>
        <w:t xml:space="preserve">, an </w:t>
      </w:r>
      <w:r w:rsidR="000068B3">
        <w:rPr>
          <w:rFonts w:eastAsia="Calibri"/>
          <w:szCs w:val="22"/>
        </w:rPr>
        <w:t>eligible telecommunications carrier (</w:t>
      </w:r>
      <w:r w:rsidRPr="00C224BC">
        <w:rPr>
          <w:rFonts w:eastAsia="Calibri"/>
          <w:szCs w:val="22"/>
        </w:rPr>
        <w:t>ETC</w:t>
      </w:r>
      <w:r w:rsidR="000068B3">
        <w:rPr>
          <w:rFonts w:eastAsia="Calibri"/>
          <w:szCs w:val="22"/>
        </w:rPr>
        <w:t>)</w:t>
      </w:r>
      <w:r w:rsidRPr="00C224BC">
        <w:rPr>
          <w:rFonts w:eastAsia="Calibri"/>
          <w:szCs w:val="22"/>
        </w:rPr>
        <w:t xml:space="preserve"> must both assess and collect a </w:t>
      </w:r>
      <w:r w:rsidR="0055275B">
        <w:rPr>
          <w:rFonts w:eastAsia="Calibri"/>
          <w:szCs w:val="22"/>
        </w:rPr>
        <w:t xml:space="preserve">monthly </w:t>
      </w:r>
      <w:r w:rsidRPr="0055275B">
        <w:rPr>
          <w:rFonts w:eastAsia="Calibri"/>
          <w:szCs w:val="22"/>
        </w:rPr>
        <w:t>fee</w:t>
      </w:r>
      <w:r w:rsidRPr="00C224BC">
        <w:rPr>
          <w:rFonts w:eastAsia="Calibri"/>
          <w:szCs w:val="22"/>
        </w:rPr>
        <w:t xml:space="preserve"> from a subscriber in order to avoid the</w:t>
      </w:r>
      <w:r w:rsidR="006B46ED">
        <w:rPr>
          <w:rFonts w:eastAsia="Calibri"/>
          <w:szCs w:val="22"/>
        </w:rPr>
        <w:t xml:space="preserve"> Lifeline</w:t>
      </w:r>
      <w:r w:rsidRPr="00C224BC">
        <w:rPr>
          <w:rFonts w:eastAsia="Calibri"/>
          <w:szCs w:val="22"/>
        </w:rPr>
        <w:t xml:space="preserve"> usage requirements, including the requirement to de-enroll inactive subscribers who fail to use the service within any consecutive 60-day period.</w:t>
      </w:r>
      <w:r w:rsidR="005002A4">
        <w:rPr>
          <w:rStyle w:val="FootnoteReference"/>
          <w:rFonts w:eastAsia="Calibri"/>
          <w:szCs w:val="22"/>
        </w:rPr>
        <w:footnoteReference w:id="3"/>
      </w:r>
      <w:r w:rsidR="00DB48E4" w:rsidRPr="002E5F1C">
        <w:rPr>
          <w:rFonts w:eastAsia="Calibri"/>
          <w:szCs w:val="22"/>
        </w:rPr>
        <w:t xml:space="preserve"> </w:t>
      </w:r>
    </w:p>
    <w:p w:rsidR="00A72EC2" w:rsidRPr="00614D7E" w:rsidRDefault="0018777A" w:rsidP="00C42563">
      <w:pPr>
        <w:numPr>
          <w:ilvl w:val="0"/>
          <w:numId w:val="2"/>
        </w:numPr>
        <w:spacing w:after="220"/>
        <w:ind w:left="0" w:firstLine="720"/>
        <w:rPr>
          <w:rFonts w:eastAsia="Calibri"/>
          <w:szCs w:val="22"/>
        </w:rPr>
      </w:pPr>
      <w:r w:rsidRPr="0018777A">
        <w:rPr>
          <w:i/>
        </w:rPr>
        <w:t>Background</w:t>
      </w:r>
      <w:r>
        <w:t xml:space="preserve">.  In the </w:t>
      </w:r>
      <w:r w:rsidRPr="0018777A">
        <w:rPr>
          <w:i/>
        </w:rPr>
        <w:t>Lifeline Reform Order</w:t>
      </w:r>
      <w:r>
        <w:t xml:space="preserve">, the Commission amended the rules to </w:t>
      </w:r>
      <w:r w:rsidR="0030585B">
        <w:t xml:space="preserve">prevent </w:t>
      </w:r>
      <w:r w:rsidRPr="00D43A52">
        <w:t xml:space="preserve">pre-paid </w:t>
      </w:r>
      <w:r w:rsidR="000068B3" w:rsidRPr="00D43A52">
        <w:t>ETCs</w:t>
      </w:r>
      <w:r>
        <w:t xml:space="preserve"> </w:t>
      </w:r>
      <w:r w:rsidR="0030585B">
        <w:t xml:space="preserve">from </w:t>
      </w:r>
      <w:r>
        <w:t>receiv</w:t>
      </w:r>
      <w:r w:rsidR="0030585B">
        <w:t>ing</w:t>
      </w:r>
      <w:r>
        <w:t xml:space="preserve"> Lifeline support for inactive subscribers who have not used the service for a consecutive 60-day period.</w:t>
      </w:r>
      <w:r>
        <w:rPr>
          <w:rStyle w:val="FootnoteReference"/>
        </w:rPr>
        <w:footnoteReference w:id="4"/>
      </w:r>
      <w:r>
        <w:t xml:space="preserve">  The goal of this requirement was to reduce both waste and inefficiency in the Lifeline program by eliminating support for subscribers who are not using the service, as well as eliminat</w:t>
      </w:r>
      <w:r w:rsidR="0030585B">
        <w:t>ing</w:t>
      </w:r>
      <w:r>
        <w:t xml:space="preserve"> incentives ETCs may have “to continue reporting line counts for subscribers that have discontinued their service.”</w:t>
      </w:r>
      <w:r>
        <w:rPr>
          <w:rStyle w:val="FootnoteReference"/>
        </w:rPr>
        <w:footnoteReference w:id="5"/>
      </w:r>
      <w:r w:rsidR="00373980">
        <w:t xml:space="preserve">  Specifically, the </w:t>
      </w:r>
      <w:r w:rsidR="002C3FBD">
        <w:t xml:space="preserve">Commission </w:t>
      </w:r>
      <w:r w:rsidR="000E60E4">
        <w:t>made this change to</w:t>
      </w:r>
      <w:r w:rsidR="006D5D07">
        <w:t xml:space="preserve"> “prevent ETCs who do not assess and collect from end users a monthly charge (pre-paid ETCs) from obtaining Lifeline support for an inactive subscriber who has failed to use his or he</w:t>
      </w:r>
      <w:r w:rsidR="00373980">
        <w:t xml:space="preserve">r service </w:t>
      </w:r>
      <w:r w:rsidR="00373980" w:rsidRPr="007D541D">
        <w:t>in the first instance</w:t>
      </w:r>
      <w:r w:rsidR="00373980">
        <w:t>,</w:t>
      </w:r>
      <w:r w:rsidR="006D5D07">
        <w:t>”</w:t>
      </w:r>
      <w:r w:rsidR="006D5D07">
        <w:rPr>
          <w:rStyle w:val="FootnoteReference"/>
        </w:rPr>
        <w:footnoteReference w:id="6"/>
      </w:r>
      <w:r>
        <w:t xml:space="preserve"> </w:t>
      </w:r>
      <w:r w:rsidR="00373980">
        <w:t xml:space="preserve">and </w:t>
      </w:r>
      <w:r w:rsidR="002C3FBD">
        <w:t>goes on to specify</w:t>
      </w:r>
      <w:r w:rsidR="006D5D07">
        <w:t xml:space="preserve"> that the “restrictions do not apply to prepaid providers that collect some monthly amount from the customer.”</w:t>
      </w:r>
      <w:r w:rsidR="006D5D07">
        <w:rPr>
          <w:rStyle w:val="FootnoteReference"/>
        </w:rPr>
        <w:footnoteReference w:id="7"/>
      </w:r>
      <w:r w:rsidR="000E60E4">
        <w:t xml:space="preserve">  The codified rules, however, </w:t>
      </w:r>
      <w:r w:rsidR="0050089B">
        <w:t xml:space="preserve">refer to ETCs that do not </w:t>
      </w:r>
      <w:r w:rsidR="006B4E67">
        <w:t>assess</w:t>
      </w:r>
      <w:r w:rsidR="0050089B">
        <w:t xml:space="preserve"> “or” </w:t>
      </w:r>
      <w:r w:rsidR="006B4E67">
        <w:t>collect</w:t>
      </w:r>
      <w:r w:rsidR="0050089B">
        <w:t xml:space="preserve"> a monthly charge.</w:t>
      </w:r>
      <w:r w:rsidR="0050089B">
        <w:rPr>
          <w:rStyle w:val="FootnoteReference"/>
        </w:rPr>
        <w:footnoteReference w:id="8"/>
      </w:r>
    </w:p>
    <w:p w:rsidR="001E17CA" w:rsidRPr="001E17CA" w:rsidRDefault="001E17CA" w:rsidP="00A44A6B">
      <w:pPr>
        <w:widowControl/>
        <w:spacing w:after="220"/>
        <w:rPr>
          <w:rFonts w:eastAsia="Calibri"/>
          <w:b/>
          <w:szCs w:val="22"/>
        </w:rPr>
      </w:pPr>
      <w:r>
        <w:rPr>
          <w:rFonts w:eastAsia="Calibri"/>
          <w:b/>
          <w:szCs w:val="22"/>
        </w:rPr>
        <w:lastRenderedPageBreak/>
        <w:t>II.</w:t>
      </w:r>
      <w:r>
        <w:rPr>
          <w:rFonts w:eastAsia="Calibri"/>
          <w:b/>
          <w:szCs w:val="22"/>
        </w:rPr>
        <w:tab/>
        <w:t>DISCUSSION</w:t>
      </w:r>
    </w:p>
    <w:p w:rsidR="00DB48E4" w:rsidRDefault="00C224BC" w:rsidP="00C42563">
      <w:pPr>
        <w:widowControl/>
        <w:numPr>
          <w:ilvl w:val="0"/>
          <w:numId w:val="2"/>
        </w:numPr>
        <w:spacing w:after="220"/>
        <w:ind w:left="0" w:firstLine="720"/>
        <w:rPr>
          <w:rFonts w:eastAsia="Calibri"/>
          <w:szCs w:val="22"/>
        </w:rPr>
      </w:pPr>
      <w:r w:rsidRPr="00C224BC">
        <w:rPr>
          <w:rFonts w:eastAsia="Calibri"/>
          <w:szCs w:val="22"/>
        </w:rPr>
        <w:t xml:space="preserve">The Bureau </w:t>
      </w:r>
      <w:r w:rsidR="0030585B">
        <w:rPr>
          <w:rFonts w:eastAsia="Calibri"/>
          <w:szCs w:val="22"/>
        </w:rPr>
        <w:t xml:space="preserve">clarifies </w:t>
      </w:r>
      <w:r w:rsidR="0030585B" w:rsidRPr="0033728F">
        <w:rPr>
          <w:rFonts w:eastAsia="Calibri"/>
          <w:szCs w:val="22"/>
        </w:rPr>
        <w:t>that</w:t>
      </w:r>
      <w:r w:rsidR="009F17AA" w:rsidRPr="005A7535">
        <w:rPr>
          <w:rFonts w:eastAsia="Calibri"/>
          <w:szCs w:val="22"/>
        </w:rPr>
        <w:t xml:space="preserve"> in order to </w:t>
      </w:r>
      <w:r w:rsidR="0033728F" w:rsidRPr="005A7535">
        <w:rPr>
          <w:rFonts w:eastAsia="Calibri"/>
          <w:szCs w:val="22"/>
        </w:rPr>
        <w:t>obtain Lifeline support, Lifeline</w:t>
      </w:r>
      <w:r w:rsidR="0030585B" w:rsidRPr="0033728F">
        <w:rPr>
          <w:rFonts w:eastAsia="Calibri"/>
          <w:szCs w:val="22"/>
        </w:rPr>
        <w:t xml:space="preserve"> </w:t>
      </w:r>
      <w:r w:rsidR="0030585B" w:rsidRPr="00D34A87">
        <w:rPr>
          <w:rFonts w:eastAsia="Calibri"/>
          <w:szCs w:val="22"/>
        </w:rPr>
        <w:t>ETC</w:t>
      </w:r>
      <w:r w:rsidR="0033728F" w:rsidRPr="005A7535">
        <w:rPr>
          <w:rFonts w:eastAsia="Calibri"/>
          <w:szCs w:val="22"/>
        </w:rPr>
        <w:t>s</w:t>
      </w:r>
      <w:r w:rsidR="0030585B" w:rsidRPr="00D34A87">
        <w:rPr>
          <w:rFonts w:eastAsia="Calibri"/>
          <w:szCs w:val="22"/>
        </w:rPr>
        <w:t xml:space="preserve"> </w:t>
      </w:r>
      <w:r w:rsidR="00D56DD9">
        <w:rPr>
          <w:rFonts w:eastAsia="Calibri"/>
          <w:szCs w:val="22"/>
        </w:rPr>
        <w:t>who</w:t>
      </w:r>
      <w:r w:rsidR="0030585B" w:rsidRPr="00D34A87">
        <w:rPr>
          <w:rFonts w:eastAsia="Calibri"/>
          <w:szCs w:val="22"/>
        </w:rPr>
        <w:t xml:space="preserve"> </w:t>
      </w:r>
      <w:r w:rsidR="0030585B" w:rsidRPr="0033728F">
        <w:rPr>
          <w:rFonts w:eastAsia="Calibri"/>
          <w:szCs w:val="22"/>
        </w:rPr>
        <w:t>asses</w:t>
      </w:r>
      <w:r w:rsidR="0030585B" w:rsidRPr="00D34A87">
        <w:rPr>
          <w:rFonts w:eastAsia="Calibri"/>
          <w:szCs w:val="22"/>
        </w:rPr>
        <w:t xml:space="preserve">s a </w:t>
      </w:r>
      <w:r w:rsidR="0033728F" w:rsidRPr="005A7535">
        <w:rPr>
          <w:rFonts w:eastAsia="Calibri"/>
          <w:szCs w:val="22"/>
        </w:rPr>
        <w:t xml:space="preserve">monthly fee </w:t>
      </w:r>
      <w:r w:rsidR="0030585B" w:rsidRPr="00D34A87">
        <w:rPr>
          <w:rFonts w:eastAsia="Calibri"/>
          <w:szCs w:val="22"/>
        </w:rPr>
        <w:t xml:space="preserve">for service </w:t>
      </w:r>
      <w:r w:rsidR="009F17AA" w:rsidRPr="005A7535">
        <w:rPr>
          <w:rFonts w:eastAsia="Calibri"/>
          <w:szCs w:val="22"/>
        </w:rPr>
        <w:t xml:space="preserve">from </w:t>
      </w:r>
      <w:r w:rsidR="005002A4">
        <w:rPr>
          <w:rFonts w:eastAsia="Calibri"/>
          <w:szCs w:val="22"/>
        </w:rPr>
        <w:t>their</w:t>
      </w:r>
      <w:r w:rsidR="0033728F" w:rsidRPr="005A7535">
        <w:rPr>
          <w:rFonts w:eastAsia="Calibri"/>
          <w:szCs w:val="22"/>
        </w:rPr>
        <w:t xml:space="preserve"> Lifeline</w:t>
      </w:r>
      <w:r w:rsidR="009F17AA" w:rsidRPr="005A7535">
        <w:rPr>
          <w:rFonts w:eastAsia="Calibri"/>
          <w:szCs w:val="22"/>
        </w:rPr>
        <w:t xml:space="preserve"> subscribers</w:t>
      </w:r>
      <w:r w:rsidR="00D56DD9">
        <w:rPr>
          <w:rFonts w:eastAsia="Calibri"/>
          <w:szCs w:val="22"/>
        </w:rPr>
        <w:t xml:space="preserve"> must also collect the monthly fee from the subscriber</w:t>
      </w:r>
      <w:r w:rsidR="0030585B" w:rsidRPr="00D34A87">
        <w:rPr>
          <w:rFonts w:eastAsia="Calibri"/>
          <w:szCs w:val="22"/>
        </w:rPr>
        <w:t xml:space="preserve">, or follow the </w:t>
      </w:r>
      <w:r w:rsidR="0033728F" w:rsidRPr="005A7535">
        <w:rPr>
          <w:rFonts w:eastAsia="Calibri"/>
          <w:szCs w:val="22"/>
        </w:rPr>
        <w:t xml:space="preserve">requisite </w:t>
      </w:r>
      <w:r w:rsidR="0030585B" w:rsidRPr="0033728F">
        <w:rPr>
          <w:rFonts w:eastAsia="Calibri"/>
          <w:szCs w:val="22"/>
        </w:rPr>
        <w:t xml:space="preserve">procedures to de-enroll </w:t>
      </w:r>
      <w:r w:rsidR="0033728F" w:rsidRPr="005A7535">
        <w:rPr>
          <w:rFonts w:eastAsia="Calibri"/>
          <w:szCs w:val="22"/>
        </w:rPr>
        <w:t>any</w:t>
      </w:r>
      <w:r w:rsidR="009F17AA" w:rsidRPr="005A7535">
        <w:rPr>
          <w:rFonts w:eastAsia="Calibri"/>
          <w:szCs w:val="22"/>
        </w:rPr>
        <w:t xml:space="preserve"> </w:t>
      </w:r>
      <w:r w:rsidR="0030585B" w:rsidRPr="0033728F">
        <w:rPr>
          <w:rFonts w:eastAsia="Calibri"/>
          <w:szCs w:val="22"/>
        </w:rPr>
        <w:t>inactive subscribers</w:t>
      </w:r>
      <w:r w:rsidR="0033728F" w:rsidRPr="005A7535">
        <w:rPr>
          <w:rFonts w:eastAsia="Calibri"/>
          <w:szCs w:val="22"/>
        </w:rPr>
        <w:t xml:space="preserve"> who have not used the service during any consecutive 60-day period</w:t>
      </w:r>
      <w:r w:rsidR="0092528D" w:rsidRPr="0033728F">
        <w:rPr>
          <w:rFonts w:eastAsia="Calibri"/>
          <w:szCs w:val="22"/>
        </w:rPr>
        <w:t>.</w:t>
      </w:r>
      <w:r w:rsidR="005A7535">
        <w:rPr>
          <w:rStyle w:val="FootnoteReference"/>
          <w:rFonts w:eastAsia="Calibri"/>
          <w:szCs w:val="22"/>
        </w:rPr>
        <w:footnoteReference w:id="9"/>
      </w:r>
      <w:r w:rsidR="00736476">
        <w:rPr>
          <w:rFonts w:eastAsia="Calibri"/>
          <w:szCs w:val="22"/>
        </w:rPr>
        <w:t xml:space="preserve"> </w:t>
      </w:r>
      <w:r w:rsidR="00A3304A">
        <w:rPr>
          <w:rFonts w:eastAsia="Calibri"/>
          <w:szCs w:val="22"/>
        </w:rPr>
        <w:t xml:space="preserve"> </w:t>
      </w:r>
      <w:r w:rsidRPr="00C224BC">
        <w:rPr>
          <w:rFonts w:eastAsia="Calibri"/>
          <w:szCs w:val="22"/>
        </w:rPr>
        <w:t>While the Order makes clear that ETCs who do not both asses</w:t>
      </w:r>
      <w:r w:rsidR="00AD3816">
        <w:rPr>
          <w:rFonts w:eastAsia="Calibri"/>
          <w:szCs w:val="22"/>
        </w:rPr>
        <w:t>s</w:t>
      </w:r>
      <w:r w:rsidRPr="00C224BC">
        <w:rPr>
          <w:rFonts w:eastAsia="Calibri"/>
          <w:szCs w:val="22"/>
        </w:rPr>
        <w:t xml:space="preserve"> and collect a monthly fee for service are prohibited from receiving Lifeline support for inactive subscribers, the </w:t>
      </w:r>
      <w:r w:rsidR="00BF48C1">
        <w:rPr>
          <w:rFonts w:eastAsia="Calibri"/>
          <w:szCs w:val="22"/>
        </w:rPr>
        <w:t xml:space="preserve">related Commission </w:t>
      </w:r>
      <w:r w:rsidRPr="00C224BC">
        <w:rPr>
          <w:rFonts w:eastAsia="Calibri"/>
          <w:szCs w:val="22"/>
        </w:rPr>
        <w:t>rule</w:t>
      </w:r>
      <w:r w:rsidR="00BD36B3">
        <w:rPr>
          <w:rFonts w:eastAsia="Calibri"/>
          <w:szCs w:val="22"/>
        </w:rPr>
        <w:t>s</w:t>
      </w:r>
      <w:r w:rsidRPr="00C224BC">
        <w:rPr>
          <w:rFonts w:eastAsia="Calibri"/>
          <w:szCs w:val="22"/>
        </w:rPr>
        <w:t xml:space="preserve"> </w:t>
      </w:r>
      <w:r w:rsidR="00BD36B3">
        <w:rPr>
          <w:rFonts w:eastAsia="Calibri"/>
          <w:szCs w:val="22"/>
        </w:rPr>
        <w:t>require</w:t>
      </w:r>
      <w:r w:rsidR="00BF48C1">
        <w:rPr>
          <w:rFonts w:eastAsia="Calibri"/>
          <w:szCs w:val="22"/>
        </w:rPr>
        <w:t xml:space="preserve"> pre-paid ETCs to </w:t>
      </w:r>
      <w:r w:rsidRPr="00C224BC">
        <w:rPr>
          <w:rFonts w:eastAsia="Calibri"/>
          <w:szCs w:val="22"/>
        </w:rPr>
        <w:t xml:space="preserve">“assess or collect” </w:t>
      </w:r>
      <w:r w:rsidR="00BF48C1">
        <w:rPr>
          <w:rFonts w:eastAsia="Calibri"/>
          <w:szCs w:val="22"/>
        </w:rPr>
        <w:t xml:space="preserve">a monthly fee in order to exempt itself from the non-usage </w:t>
      </w:r>
      <w:r w:rsidR="000B542A">
        <w:rPr>
          <w:rFonts w:eastAsia="Calibri"/>
          <w:szCs w:val="22"/>
        </w:rPr>
        <w:t xml:space="preserve">de-enrollment </w:t>
      </w:r>
      <w:r w:rsidR="00BF48C1">
        <w:rPr>
          <w:rFonts w:eastAsia="Calibri"/>
          <w:szCs w:val="22"/>
        </w:rPr>
        <w:t>requirements</w:t>
      </w:r>
      <w:r w:rsidRPr="00C224BC">
        <w:rPr>
          <w:rFonts w:eastAsia="Calibri"/>
          <w:szCs w:val="22"/>
        </w:rPr>
        <w:t>.</w:t>
      </w:r>
      <w:r w:rsidR="005A7535">
        <w:rPr>
          <w:rStyle w:val="FootnoteReference"/>
          <w:rFonts w:eastAsia="Calibri"/>
          <w:szCs w:val="22"/>
        </w:rPr>
        <w:footnoteReference w:id="10"/>
      </w:r>
      <w:r w:rsidR="00F81194">
        <w:rPr>
          <w:rFonts w:eastAsia="Calibri"/>
          <w:szCs w:val="22"/>
        </w:rPr>
        <w:t xml:space="preserve"> </w:t>
      </w:r>
      <w:r w:rsidR="000B542A">
        <w:rPr>
          <w:rFonts w:eastAsia="Calibri"/>
          <w:szCs w:val="22"/>
        </w:rPr>
        <w:t xml:space="preserve"> </w:t>
      </w:r>
    </w:p>
    <w:p w:rsidR="00B24CAF" w:rsidRDefault="0050089B" w:rsidP="00AD4EF0">
      <w:pPr>
        <w:pStyle w:val="ParaNum"/>
        <w:widowControl/>
        <w:numPr>
          <w:ilvl w:val="0"/>
          <w:numId w:val="2"/>
        </w:numPr>
        <w:ind w:left="0" w:firstLine="720"/>
        <w:rPr>
          <w:rFonts w:eastAsia="Calibri"/>
          <w:szCs w:val="22"/>
        </w:rPr>
      </w:pPr>
      <w:r>
        <w:rPr>
          <w:rFonts w:eastAsia="Calibri"/>
          <w:szCs w:val="22"/>
        </w:rPr>
        <w:t>The</w:t>
      </w:r>
      <w:r w:rsidR="00C224BC" w:rsidRPr="00C224BC">
        <w:rPr>
          <w:rFonts w:eastAsia="Calibri"/>
          <w:szCs w:val="22"/>
        </w:rPr>
        <w:t xml:space="preserve"> usage requirements as described in the </w:t>
      </w:r>
      <w:r w:rsidR="00C224BC" w:rsidRPr="000F612A">
        <w:rPr>
          <w:rFonts w:eastAsia="Calibri"/>
          <w:i/>
          <w:szCs w:val="22"/>
        </w:rPr>
        <w:t>Lifeline Reform Order</w:t>
      </w:r>
      <w:r>
        <w:rPr>
          <w:rFonts w:eastAsia="Calibri"/>
          <w:szCs w:val="22"/>
        </w:rPr>
        <w:t xml:space="preserve"> are clear</w:t>
      </w:r>
      <w:r w:rsidR="00C224BC" w:rsidRPr="00C224BC">
        <w:rPr>
          <w:rFonts w:eastAsia="Calibri"/>
          <w:szCs w:val="22"/>
        </w:rPr>
        <w:t>.  As discussed in the Order, the consumer usage requirement applies only to “pre-paid” services – or services for which subscribers do not receive monthly bills and do not have a regular billing relationship with the ETC – because the lack of regular contact with the subscriber does not provide a reasonable opportunity for the ETC to ascertain a subscriber’s continued intent to receive Lifeline benefits.</w:t>
      </w:r>
      <w:r w:rsidR="001E17CA" w:rsidRPr="001E17CA">
        <w:rPr>
          <w:vertAlign w:val="superscript"/>
        </w:rPr>
        <w:t xml:space="preserve"> </w:t>
      </w:r>
      <w:r w:rsidR="001E17CA" w:rsidRPr="001E17CA">
        <w:rPr>
          <w:vertAlign w:val="superscript"/>
        </w:rPr>
        <w:footnoteReference w:id="11"/>
      </w:r>
      <w:r w:rsidR="00C224BC" w:rsidRPr="00C224BC">
        <w:rPr>
          <w:rFonts w:eastAsia="Calibri"/>
          <w:szCs w:val="22"/>
        </w:rPr>
        <w:t xml:space="preserve">  Merely assessing a monthly fee on a subscriber does not provide sufficient contact with the subscriber to ascertain the subscriber’s intent</w:t>
      </w:r>
      <w:r w:rsidR="00663F48">
        <w:rPr>
          <w:rFonts w:eastAsia="Calibri"/>
          <w:szCs w:val="22"/>
        </w:rPr>
        <w:t xml:space="preserve"> to use the service</w:t>
      </w:r>
      <w:r w:rsidR="00256B3C">
        <w:rPr>
          <w:rFonts w:eastAsia="Calibri"/>
          <w:szCs w:val="22"/>
        </w:rPr>
        <w:t>.</w:t>
      </w:r>
      <w:r w:rsidR="00663F48">
        <w:rPr>
          <w:rStyle w:val="FootnoteReference"/>
          <w:rFonts w:eastAsia="Calibri"/>
          <w:szCs w:val="22"/>
        </w:rPr>
        <w:footnoteReference w:id="12"/>
      </w:r>
      <w:r w:rsidR="00C224BC" w:rsidRPr="00C224BC">
        <w:rPr>
          <w:rFonts w:eastAsia="Calibri"/>
          <w:szCs w:val="22"/>
        </w:rPr>
        <w:t xml:space="preserve"> </w:t>
      </w:r>
      <w:r w:rsidR="00F91657">
        <w:rPr>
          <w:rFonts w:eastAsia="Calibri"/>
          <w:szCs w:val="22"/>
        </w:rPr>
        <w:t xml:space="preserve"> </w:t>
      </w:r>
      <w:r w:rsidR="00B33269">
        <w:rPr>
          <w:rFonts w:eastAsia="Calibri"/>
          <w:szCs w:val="22"/>
        </w:rPr>
        <w:t>Simi</w:t>
      </w:r>
      <w:r w:rsidR="00A46E38">
        <w:rPr>
          <w:rFonts w:eastAsia="Calibri"/>
          <w:szCs w:val="22"/>
        </w:rPr>
        <w:t>l</w:t>
      </w:r>
      <w:r w:rsidR="00B33269">
        <w:rPr>
          <w:rFonts w:eastAsia="Calibri"/>
          <w:szCs w:val="22"/>
        </w:rPr>
        <w:t>arly</w:t>
      </w:r>
      <w:r w:rsidR="00C224BC" w:rsidRPr="00C224BC">
        <w:rPr>
          <w:rFonts w:eastAsia="Calibri"/>
          <w:szCs w:val="22"/>
        </w:rPr>
        <w:t xml:space="preserve">, failing to actually collect the assessed fee does not provide the subscriber a sufficient incentive to place a value on the service.  In such a situation, the consumer has little to lose by obtaining service that </w:t>
      </w:r>
      <w:r w:rsidR="002C3FBD">
        <w:rPr>
          <w:rFonts w:eastAsia="Calibri"/>
          <w:szCs w:val="22"/>
        </w:rPr>
        <w:t>she</w:t>
      </w:r>
      <w:r w:rsidR="00BD36B3">
        <w:rPr>
          <w:rFonts w:eastAsia="Calibri"/>
          <w:szCs w:val="22"/>
        </w:rPr>
        <w:t xml:space="preserve"> may not use</w:t>
      </w:r>
      <w:r w:rsidR="00C224BC" w:rsidRPr="00C224BC">
        <w:rPr>
          <w:rFonts w:eastAsia="Calibri"/>
          <w:szCs w:val="22"/>
        </w:rPr>
        <w:t>.</w:t>
      </w:r>
      <w:r w:rsidR="00663F48">
        <w:rPr>
          <w:rStyle w:val="FootnoteReference"/>
          <w:rFonts w:eastAsia="Calibri"/>
          <w:szCs w:val="22"/>
        </w:rPr>
        <w:footnoteReference w:id="13"/>
      </w:r>
      <w:r w:rsidR="00C224BC" w:rsidRPr="00C224BC">
        <w:rPr>
          <w:rFonts w:eastAsia="Calibri"/>
          <w:szCs w:val="22"/>
        </w:rPr>
        <w:t xml:space="preserve">  Providing support for subscriber lines that are n</w:t>
      </w:r>
      <w:r w:rsidR="00BD36B3">
        <w:rPr>
          <w:rFonts w:eastAsia="Calibri"/>
          <w:szCs w:val="22"/>
        </w:rPr>
        <w:t>ot</w:t>
      </w:r>
      <w:r w:rsidR="000F612A">
        <w:rPr>
          <w:rFonts w:eastAsia="Calibri"/>
          <w:szCs w:val="22"/>
        </w:rPr>
        <w:t xml:space="preserve"> used wastes limited funds.</w:t>
      </w:r>
      <w:r w:rsidR="00017FD6">
        <w:rPr>
          <w:rStyle w:val="FootnoteReference"/>
          <w:rFonts w:eastAsia="Calibri"/>
          <w:szCs w:val="22"/>
        </w:rPr>
        <w:footnoteReference w:id="14"/>
      </w:r>
      <w:r w:rsidR="000F612A">
        <w:rPr>
          <w:rFonts w:eastAsia="Calibri"/>
          <w:szCs w:val="22"/>
        </w:rPr>
        <w:t xml:space="preserve">  </w:t>
      </w:r>
      <w:r w:rsidR="00C224BC" w:rsidRPr="00C224BC">
        <w:rPr>
          <w:rFonts w:eastAsia="Calibri"/>
          <w:szCs w:val="22"/>
        </w:rPr>
        <w:t>In contrast, actually collecting some monthly amount from subscribers is sufficient to ascertain subscriber intent</w:t>
      </w:r>
      <w:r w:rsidR="00017FD6">
        <w:rPr>
          <w:rStyle w:val="FootnoteReference"/>
          <w:rFonts w:eastAsia="Calibri"/>
          <w:szCs w:val="22"/>
        </w:rPr>
        <w:footnoteReference w:id="15"/>
      </w:r>
      <w:r w:rsidR="00C224BC" w:rsidRPr="00C224BC">
        <w:rPr>
          <w:rFonts w:eastAsia="Calibri"/>
          <w:szCs w:val="22"/>
        </w:rPr>
        <w:t xml:space="preserve"> and ensures that subscribers will continue to subscribe to the service only to the extent that they value and use the service</w:t>
      </w:r>
      <w:r w:rsidR="001E17CA">
        <w:rPr>
          <w:rFonts w:eastAsia="Calibri"/>
          <w:szCs w:val="22"/>
        </w:rPr>
        <w:t>.</w:t>
      </w:r>
    </w:p>
    <w:p w:rsidR="002C3FBD" w:rsidRDefault="002C3FBD" w:rsidP="00AD4EF0">
      <w:pPr>
        <w:pStyle w:val="ParaNum"/>
        <w:widowControl/>
        <w:numPr>
          <w:ilvl w:val="0"/>
          <w:numId w:val="2"/>
        </w:numPr>
        <w:ind w:left="0" w:firstLine="720"/>
        <w:rPr>
          <w:rFonts w:eastAsia="Calibri"/>
          <w:szCs w:val="22"/>
        </w:rPr>
      </w:pPr>
      <w:r w:rsidRPr="002C3FBD">
        <w:rPr>
          <w:rFonts w:eastAsia="Calibri"/>
          <w:szCs w:val="22"/>
        </w:rPr>
        <w:lastRenderedPageBreak/>
        <w:t xml:space="preserve">In the </w:t>
      </w:r>
      <w:r w:rsidRPr="0092528D">
        <w:rPr>
          <w:rFonts w:eastAsia="Calibri"/>
          <w:i/>
          <w:szCs w:val="22"/>
        </w:rPr>
        <w:t>Lifeline Reform Order</w:t>
      </w:r>
      <w:r w:rsidRPr="002C3FBD">
        <w:rPr>
          <w:rFonts w:eastAsia="Calibri"/>
          <w:szCs w:val="22"/>
        </w:rPr>
        <w:t>, the Bureau was delegated the authority to revise rules as necessary to ensure the reforms adopted through the Order are properly reflected in the rules.</w:t>
      </w:r>
      <w:r w:rsidR="00333D70">
        <w:rPr>
          <w:rStyle w:val="FootnoteReference"/>
          <w:rFonts w:eastAsia="Calibri"/>
          <w:szCs w:val="22"/>
        </w:rPr>
        <w:footnoteReference w:id="16"/>
      </w:r>
      <w:r w:rsidR="00333D70" w:rsidRPr="002C3FBD">
        <w:rPr>
          <w:rFonts w:eastAsia="Calibri"/>
          <w:szCs w:val="22"/>
        </w:rPr>
        <w:t xml:space="preserve">   </w:t>
      </w:r>
      <w:r w:rsidRPr="002C3FBD">
        <w:rPr>
          <w:rFonts w:eastAsia="Calibri"/>
          <w:szCs w:val="22"/>
        </w:rPr>
        <w:t xml:space="preserve">  Pursuant to this authority, we clarify that pre-paid ETCs must both assess and collect a charge for service on a monthly basis, or </w:t>
      </w:r>
      <w:r w:rsidR="00EE2C4E">
        <w:rPr>
          <w:rFonts w:eastAsia="Calibri"/>
          <w:szCs w:val="22"/>
        </w:rPr>
        <w:t xml:space="preserve">proceed to </w:t>
      </w:r>
      <w:r w:rsidRPr="002C3FBD">
        <w:rPr>
          <w:rFonts w:eastAsia="Calibri"/>
          <w:szCs w:val="22"/>
        </w:rPr>
        <w:t xml:space="preserve">follow the procedures to de-enroll inactive subscribers who have not used the service during any consecutive 60-day period.  We amend the rule language to reflect this clarification. </w:t>
      </w:r>
    </w:p>
    <w:p w:rsidR="00D34A87" w:rsidRPr="00D34A87" w:rsidRDefault="00D34A87" w:rsidP="00B73786">
      <w:pPr>
        <w:pStyle w:val="NormalWeb"/>
        <w:keepNext/>
        <w:widowControl/>
      </w:pPr>
      <w:r>
        <w:rPr>
          <w:b/>
          <w:bCs/>
          <w:sz w:val="22"/>
          <w:szCs w:val="22"/>
        </w:rPr>
        <w:t>III.</w:t>
      </w:r>
      <w:r>
        <w:rPr>
          <w:b/>
          <w:bCs/>
          <w:sz w:val="22"/>
          <w:szCs w:val="22"/>
        </w:rPr>
        <w:tab/>
      </w:r>
      <w:r w:rsidRPr="005A7535">
        <w:rPr>
          <w:b/>
          <w:bCs/>
          <w:sz w:val="22"/>
          <w:szCs w:val="22"/>
        </w:rPr>
        <w:t>PROCEDURAL MATTERS</w:t>
      </w:r>
    </w:p>
    <w:p w:rsidR="00AB4C35" w:rsidRPr="00377D8B" w:rsidRDefault="00AB4C35" w:rsidP="0050089B">
      <w:pPr>
        <w:pStyle w:val="ParaNum"/>
        <w:widowControl/>
        <w:numPr>
          <w:ilvl w:val="0"/>
          <w:numId w:val="0"/>
        </w:numPr>
        <w:ind w:firstLine="720"/>
        <w:rPr>
          <w:b/>
          <w:szCs w:val="22"/>
        </w:rPr>
      </w:pPr>
      <w:r w:rsidRPr="00377D8B">
        <w:rPr>
          <w:b/>
          <w:szCs w:val="22"/>
        </w:rPr>
        <w:t>A.</w:t>
      </w:r>
      <w:r w:rsidRPr="00377D8B">
        <w:rPr>
          <w:b/>
          <w:szCs w:val="22"/>
        </w:rPr>
        <w:tab/>
        <w:t>Congressional Review Act</w:t>
      </w:r>
    </w:p>
    <w:p w:rsidR="00A44A6B" w:rsidRDefault="00D34A87" w:rsidP="00AD4EF0">
      <w:pPr>
        <w:pStyle w:val="ParaNum"/>
        <w:widowControl/>
        <w:numPr>
          <w:ilvl w:val="0"/>
          <w:numId w:val="2"/>
        </w:numPr>
        <w:ind w:left="0" w:firstLine="720"/>
        <w:rPr>
          <w:szCs w:val="22"/>
        </w:rPr>
      </w:pPr>
      <w:r w:rsidRPr="00D34A87">
        <w:rPr>
          <w:szCs w:val="22"/>
        </w:rPr>
        <w:t xml:space="preserve">The Commission will send a copy of this </w:t>
      </w:r>
      <w:r w:rsidR="00377D8B">
        <w:rPr>
          <w:szCs w:val="22"/>
        </w:rPr>
        <w:t>i</w:t>
      </w:r>
      <w:r w:rsidRPr="00D34A87">
        <w:rPr>
          <w:szCs w:val="22"/>
        </w:rPr>
        <w:t xml:space="preserve">n a report to be sent to Congress </w:t>
      </w:r>
      <w:r w:rsidRPr="006D37DC">
        <w:rPr>
          <w:rFonts w:eastAsia="Calibri"/>
          <w:szCs w:val="22"/>
        </w:rPr>
        <w:t>and</w:t>
      </w:r>
      <w:r w:rsidRPr="00D34A87">
        <w:rPr>
          <w:szCs w:val="22"/>
        </w:rPr>
        <w:t xml:space="preserve"> the Government Accountability Office pursuant to the </w:t>
      </w:r>
      <w:r>
        <w:rPr>
          <w:szCs w:val="22"/>
        </w:rPr>
        <w:t>C</w:t>
      </w:r>
      <w:r w:rsidR="00377D8B">
        <w:rPr>
          <w:szCs w:val="22"/>
        </w:rPr>
        <w:t>ongressional Review Act.</w:t>
      </w:r>
      <w:r w:rsidR="00377D8B">
        <w:rPr>
          <w:rStyle w:val="FootnoteReference"/>
          <w:szCs w:val="22"/>
        </w:rPr>
        <w:footnoteReference w:id="17"/>
      </w:r>
      <w:r w:rsidRPr="00D34A87">
        <w:rPr>
          <w:szCs w:val="22"/>
        </w:rPr>
        <w:t xml:space="preserve"> </w:t>
      </w:r>
    </w:p>
    <w:p w:rsidR="00AB4C35" w:rsidRPr="00706F44" w:rsidRDefault="00AB4C35" w:rsidP="0050089B">
      <w:pPr>
        <w:pStyle w:val="ParaNum"/>
        <w:widowControl/>
        <w:numPr>
          <w:ilvl w:val="0"/>
          <w:numId w:val="0"/>
        </w:numPr>
        <w:ind w:firstLine="720"/>
        <w:rPr>
          <w:b/>
          <w:szCs w:val="22"/>
        </w:rPr>
      </w:pPr>
      <w:r w:rsidRPr="00706F44">
        <w:rPr>
          <w:b/>
          <w:szCs w:val="22"/>
        </w:rPr>
        <w:t>B.</w:t>
      </w:r>
      <w:r w:rsidRPr="00706F44">
        <w:rPr>
          <w:b/>
          <w:szCs w:val="22"/>
        </w:rPr>
        <w:tab/>
        <w:t>Final Regulatory Flexibility Act Certification</w:t>
      </w:r>
    </w:p>
    <w:p w:rsidR="00901BBE" w:rsidRDefault="00AB4C35" w:rsidP="00AD4EF0">
      <w:pPr>
        <w:pStyle w:val="ParaNum"/>
        <w:widowControl/>
        <w:numPr>
          <w:ilvl w:val="0"/>
          <w:numId w:val="2"/>
        </w:numPr>
        <w:ind w:left="0" w:firstLine="720"/>
        <w:rPr>
          <w:szCs w:val="22"/>
        </w:rPr>
      </w:pPr>
      <w:r>
        <w:rPr>
          <w:szCs w:val="22"/>
        </w:rPr>
        <w:t>The Regulatory Flexibility Act of 1980, as amended (RFA),</w:t>
      </w:r>
      <w:r>
        <w:rPr>
          <w:rStyle w:val="FootnoteReference"/>
          <w:szCs w:val="22"/>
        </w:rPr>
        <w:footnoteReference w:id="18"/>
      </w:r>
      <w:r>
        <w:rPr>
          <w:szCs w:val="22"/>
        </w:rPr>
        <w:t xml:space="preserve"> requires agencies to prepare a regulatory flexibility analysis for rulemaking proceedings, unless the agency certifies that “the rule will not have a significant economic impact on a substantial number of small entities.”</w:t>
      </w:r>
      <w:r>
        <w:rPr>
          <w:rStyle w:val="FootnoteReference"/>
          <w:szCs w:val="22"/>
        </w:rPr>
        <w:footnoteReference w:id="19"/>
      </w:r>
      <w:r>
        <w:rPr>
          <w:szCs w:val="22"/>
        </w:rPr>
        <w:t xml:space="preserve">  The RFA generally defines “small entity” as having the same meaning as the terms “small business,” “small organization,” and “small governmental jurisdiction.”</w:t>
      </w:r>
      <w:r>
        <w:rPr>
          <w:rStyle w:val="FootnoteReference"/>
          <w:szCs w:val="22"/>
        </w:rPr>
        <w:footnoteReference w:id="20"/>
      </w:r>
      <w:r>
        <w:rPr>
          <w:szCs w:val="22"/>
        </w:rPr>
        <w:t xml:space="preserve">  In addition, the term “small business” has the same meaning as the term “small business concern” under the Small Business Act.</w:t>
      </w:r>
      <w:r>
        <w:rPr>
          <w:rStyle w:val="FootnoteReference"/>
          <w:szCs w:val="22"/>
        </w:rPr>
        <w:footnoteReference w:id="21"/>
      </w:r>
      <w:r w:rsidR="00630E37">
        <w:rPr>
          <w:szCs w:val="22"/>
        </w:rPr>
        <w:t xml:space="preserve">  A small business concern is one which: (1) is independently owned and operated; (2) is not dominant in its field of operation; and (3) satisfies additional criteria established by the Small Business Administration (SBA).</w:t>
      </w:r>
      <w:r w:rsidR="00630E37">
        <w:rPr>
          <w:rStyle w:val="FootnoteReference"/>
          <w:szCs w:val="22"/>
        </w:rPr>
        <w:footnoteReference w:id="22"/>
      </w:r>
    </w:p>
    <w:p w:rsidR="00630E37" w:rsidRPr="00630E37" w:rsidRDefault="00630E37" w:rsidP="00AD4EF0">
      <w:pPr>
        <w:pStyle w:val="ParaNum"/>
        <w:widowControl/>
        <w:numPr>
          <w:ilvl w:val="0"/>
          <w:numId w:val="2"/>
        </w:numPr>
        <w:ind w:left="0" w:firstLine="720"/>
        <w:rPr>
          <w:szCs w:val="22"/>
        </w:rPr>
      </w:pPr>
      <w:r>
        <w:rPr>
          <w:szCs w:val="22"/>
        </w:rPr>
        <w:t xml:space="preserve">We hereby certify that the rule revisions adopted in this Order will not have a significant economic impact on a substantial number of small entities.  This Order clarifies rules adopted in the </w:t>
      </w:r>
      <w:r>
        <w:rPr>
          <w:i/>
          <w:szCs w:val="22"/>
        </w:rPr>
        <w:t>Lifeline Reform Order</w:t>
      </w:r>
      <w:r>
        <w:rPr>
          <w:szCs w:val="22"/>
        </w:rPr>
        <w:t xml:space="preserve"> by correcting conflicts between the language of </w:t>
      </w:r>
      <w:r>
        <w:rPr>
          <w:i/>
          <w:szCs w:val="22"/>
        </w:rPr>
        <w:t>Order</w:t>
      </w:r>
      <w:r>
        <w:rPr>
          <w:szCs w:val="22"/>
        </w:rPr>
        <w:t xml:space="preserve"> and the codified rules.  These revisions do not create any burdens, benefits, or requirements that were not addressed in the Final Regulatory Flexibility Analysis attached to the </w:t>
      </w:r>
      <w:r>
        <w:rPr>
          <w:i/>
          <w:szCs w:val="22"/>
        </w:rPr>
        <w:t>Lifeline Reform Order</w:t>
      </w:r>
      <w:r>
        <w:rPr>
          <w:szCs w:val="22"/>
        </w:rPr>
        <w:t>.</w:t>
      </w:r>
      <w:r>
        <w:rPr>
          <w:rStyle w:val="FootnoteReference"/>
          <w:szCs w:val="22"/>
        </w:rPr>
        <w:footnoteReference w:id="23"/>
      </w:r>
      <w:r w:rsidR="005F65BC">
        <w:rPr>
          <w:szCs w:val="22"/>
        </w:rPr>
        <w:t xml:space="preserve">  The Commission will send a copy of this Order, including a copy of this final certification, to the Chief Counsel for Advocacy of the </w:t>
      </w:r>
      <w:r w:rsidR="005F65BC">
        <w:rPr>
          <w:szCs w:val="22"/>
        </w:rPr>
        <w:lastRenderedPageBreak/>
        <w:t>Small Business Administration.</w:t>
      </w:r>
      <w:r w:rsidR="005F65BC">
        <w:rPr>
          <w:rStyle w:val="FootnoteReference"/>
          <w:szCs w:val="22"/>
        </w:rPr>
        <w:footnoteReference w:id="24"/>
      </w:r>
      <w:r w:rsidR="005F65BC">
        <w:rPr>
          <w:szCs w:val="22"/>
        </w:rPr>
        <w:t xml:space="preserve">  In addition, the Order (or a summary thereof) and certification will be published in the Federal Register.</w:t>
      </w:r>
      <w:r w:rsidR="005F65BC">
        <w:rPr>
          <w:rStyle w:val="FootnoteReference"/>
          <w:szCs w:val="22"/>
        </w:rPr>
        <w:footnoteReference w:id="25"/>
      </w:r>
    </w:p>
    <w:p w:rsidR="00BB2E99" w:rsidRDefault="001B13C8" w:rsidP="001B13C8">
      <w:pPr>
        <w:pStyle w:val="Heading1"/>
        <w:widowControl/>
        <w:numPr>
          <w:ilvl w:val="0"/>
          <w:numId w:val="0"/>
        </w:numPr>
        <w:ind w:left="720"/>
        <w:rPr>
          <w:caps w:val="0"/>
          <w:szCs w:val="22"/>
        </w:rPr>
      </w:pPr>
      <w:r>
        <w:rPr>
          <w:szCs w:val="22"/>
        </w:rPr>
        <w:t xml:space="preserve">C. </w:t>
      </w:r>
      <w:r>
        <w:rPr>
          <w:szCs w:val="22"/>
        </w:rPr>
        <w:tab/>
        <w:t>p</w:t>
      </w:r>
      <w:r>
        <w:rPr>
          <w:caps w:val="0"/>
          <w:szCs w:val="22"/>
        </w:rPr>
        <w:t>aperwork Reduction Act Analysis</w:t>
      </w:r>
    </w:p>
    <w:p w:rsidR="001B13C8" w:rsidRDefault="001B13C8" w:rsidP="001B13C8">
      <w:pPr>
        <w:pStyle w:val="ParaNum"/>
        <w:numPr>
          <w:ilvl w:val="0"/>
          <w:numId w:val="2"/>
        </w:numPr>
        <w:ind w:left="0" w:firstLine="720"/>
      </w:pPr>
      <w:r>
        <w:t xml:space="preserve">This Order </w:t>
      </w:r>
      <w:r w:rsidR="006235B0">
        <w:t xml:space="preserve">modifies </w:t>
      </w:r>
      <w:r>
        <w:t>information collection requirement</w:t>
      </w:r>
      <w:r w:rsidR="00DA502A">
        <w:t>s</w:t>
      </w:r>
      <w:r>
        <w:t xml:space="preserve"> </w:t>
      </w:r>
      <w:r w:rsidR="00DA502A">
        <w:t xml:space="preserve">adopted in the </w:t>
      </w:r>
      <w:r w:rsidR="00DA502A">
        <w:rPr>
          <w:i/>
        </w:rPr>
        <w:t>Lifeline Reform</w:t>
      </w:r>
      <w:r w:rsidR="00DA502A" w:rsidRPr="00DA502A">
        <w:rPr>
          <w:i/>
        </w:rPr>
        <w:t xml:space="preserve"> Order</w:t>
      </w:r>
      <w:r w:rsidR="00DA502A">
        <w:t xml:space="preserve"> and is therefore </w:t>
      </w:r>
      <w:r w:rsidRPr="00DA502A">
        <w:t>subject</w:t>
      </w:r>
      <w:r>
        <w:t xml:space="preserve"> to the Paperwork Reduction Act of 1995 (PRA), Public Law 104-13.  It will be submitted to the Office of Management and Budget (OMB) for review under section 3507 of the PRA.  </w:t>
      </w:r>
      <w:r w:rsidR="00EC0E20">
        <w:t>We note that pursuant to the Small Business Paperwork Relief Act of 2002, Public Law 107-108,</w:t>
      </w:r>
      <w:r w:rsidR="00EC0E20">
        <w:rPr>
          <w:rStyle w:val="FootnoteReference"/>
        </w:rPr>
        <w:footnoteReference w:id="26"/>
      </w:r>
      <w:r w:rsidR="00EC0E20">
        <w:t xml:space="preserve"> the Commission previously sought specific comment on how it might further reduce the information collection burden on small business concerns with fewer than 25 employees.</w:t>
      </w:r>
    </w:p>
    <w:p w:rsidR="001B13C8" w:rsidRPr="001B13C8" w:rsidRDefault="001B13C8" w:rsidP="001B13C8">
      <w:pPr>
        <w:pStyle w:val="ParaNum"/>
        <w:numPr>
          <w:ilvl w:val="0"/>
          <w:numId w:val="0"/>
        </w:numPr>
        <w:ind w:firstLine="720"/>
      </w:pPr>
    </w:p>
    <w:p w:rsidR="00DD5DF8" w:rsidRPr="002E5F1C" w:rsidRDefault="001E17CA" w:rsidP="003C2E7F">
      <w:pPr>
        <w:pStyle w:val="Heading1"/>
        <w:widowControl/>
        <w:numPr>
          <w:ilvl w:val="0"/>
          <w:numId w:val="0"/>
        </w:numPr>
        <w:rPr>
          <w:szCs w:val="22"/>
        </w:rPr>
      </w:pPr>
      <w:r>
        <w:rPr>
          <w:szCs w:val="22"/>
        </w:rPr>
        <w:t>I</w:t>
      </w:r>
      <w:r w:rsidR="00D34A87">
        <w:rPr>
          <w:szCs w:val="22"/>
        </w:rPr>
        <w:t>V</w:t>
      </w:r>
      <w:r w:rsidR="00E95111">
        <w:rPr>
          <w:szCs w:val="22"/>
        </w:rPr>
        <w:t>.</w:t>
      </w:r>
      <w:r w:rsidR="00E95111">
        <w:rPr>
          <w:szCs w:val="22"/>
        </w:rPr>
        <w:tab/>
      </w:r>
      <w:r w:rsidR="00DD5DF8" w:rsidRPr="002E5F1C">
        <w:rPr>
          <w:szCs w:val="22"/>
        </w:rPr>
        <w:t>ORDERING CLAUSES</w:t>
      </w:r>
    </w:p>
    <w:p w:rsidR="00736476" w:rsidRDefault="002C3FBD" w:rsidP="00AD4EF0">
      <w:pPr>
        <w:pStyle w:val="ParaNum"/>
        <w:widowControl/>
        <w:numPr>
          <w:ilvl w:val="0"/>
          <w:numId w:val="2"/>
        </w:numPr>
        <w:ind w:left="0" w:firstLine="720"/>
        <w:rPr>
          <w:rFonts w:eastAsia="Calibri"/>
          <w:szCs w:val="22"/>
        </w:rPr>
      </w:pPr>
      <w:r w:rsidRPr="00C57EB3">
        <w:rPr>
          <w:rFonts w:eastAsia="Calibri"/>
          <w:szCs w:val="22"/>
        </w:rPr>
        <w:t xml:space="preserve">Accordingly, IT IS ORDERED that, pursuant to the authority contained in sections 1, 2, 4(i), 5(c), 10, 201-206, 214, 218-220, 251, 252, 254, 256, 303(r), 332, and 403 of the Communications Act of 1934, as amended, and section 706 of the Telecommunications Act of 1996, 47 U.S.C. §§ 151, 152, 154(i), 155(c), 160, 201-206, 214, 218-220, 251, 252, 254, 256, 303(r), 332, 403, 1302, sections 0.91, 0.291, 1.1, and 1.427 of the Commission’s rules, 47 C.F.R. §§ 0.91, 0.291, 1.1, 1.427, and the delegation of authority in paragraph 507 of FCC 12-11, this Order is ADOPTED. </w:t>
      </w:r>
    </w:p>
    <w:p w:rsidR="00706F44" w:rsidRDefault="00DD5DF8" w:rsidP="006A566D">
      <w:pPr>
        <w:pStyle w:val="ParaNum"/>
        <w:widowControl/>
        <w:numPr>
          <w:ilvl w:val="0"/>
          <w:numId w:val="2"/>
        </w:numPr>
        <w:ind w:left="0" w:firstLine="720"/>
        <w:rPr>
          <w:szCs w:val="22"/>
        </w:rPr>
      </w:pPr>
      <w:r w:rsidRPr="006A566D">
        <w:rPr>
          <w:szCs w:val="22"/>
        </w:rPr>
        <w:t xml:space="preserve">IT IS FURTHER ORDERED that, pursuant to </w:t>
      </w:r>
      <w:r w:rsidRPr="006A566D">
        <w:rPr>
          <w:rFonts w:eastAsia="Calibri"/>
          <w:szCs w:val="22"/>
        </w:rPr>
        <w:t>section</w:t>
      </w:r>
      <w:r w:rsidRPr="006A566D">
        <w:rPr>
          <w:szCs w:val="22"/>
        </w:rPr>
        <w:t xml:space="preserve"> 1.102(b)(1) of the Commission’s rules, 47 C.F.R. § 1.102(b)(1), this</w:t>
      </w:r>
      <w:r w:rsidRPr="00706F44">
        <w:rPr>
          <w:szCs w:val="22"/>
        </w:rPr>
        <w:t xml:space="preserve"> Order SHALL BE EFFECTIVE </w:t>
      </w:r>
      <w:r w:rsidR="006A566D">
        <w:rPr>
          <w:szCs w:val="22"/>
        </w:rPr>
        <w:t>30 days following Federal Register Publication</w:t>
      </w:r>
      <w:r w:rsidR="00140AD0" w:rsidRPr="00C74482">
        <w:t>, except to the extent expressly addressed below</w:t>
      </w:r>
      <w:r w:rsidR="00DA502A" w:rsidRPr="006A566D">
        <w:rPr>
          <w:szCs w:val="22"/>
        </w:rPr>
        <w:t xml:space="preserve">. </w:t>
      </w:r>
    </w:p>
    <w:p w:rsidR="00A44A6B" w:rsidRPr="00706F44" w:rsidRDefault="00706F44" w:rsidP="006A566D">
      <w:pPr>
        <w:pStyle w:val="ParaNum"/>
        <w:widowControl/>
        <w:numPr>
          <w:ilvl w:val="0"/>
          <w:numId w:val="2"/>
        </w:numPr>
        <w:ind w:left="0" w:firstLine="720"/>
        <w:rPr>
          <w:szCs w:val="22"/>
        </w:rPr>
      </w:pPr>
      <w:r>
        <w:rPr>
          <w:szCs w:val="22"/>
        </w:rPr>
        <w:t>I</w:t>
      </w:r>
      <w:r w:rsidR="00A44A6B" w:rsidRPr="006A566D">
        <w:rPr>
          <w:szCs w:val="22"/>
        </w:rPr>
        <w:t>T IS FURTHER ORDERED that the relevant rule</w:t>
      </w:r>
      <w:r w:rsidR="00BD36B3" w:rsidRPr="006A566D">
        <w:rPr>
          <w:szCs w:val="22"/>
        </w:rPr>
        <w:t>s are</w:t>
      </w:r>
      <w:r w:rsidR="00A44A6B" w:rsidRPr="006A566D">
        <w:rPr>
          <w:szCs w:val="22"/>
        </w:rPr>
        <w:t xml:space="preserve"> </w:t>
      </w:r>
      <w:r w:rsidR="00A44A6B" w:rsidRPr="006A566D">
        <w:rPr>
          <w:rFonts w:eastAsia="Calibri"/>
          <w:szCs w:val="22"/>
        </w:rPr>
        <w:t>amended</w:t>
      </w:r>
      <w:r w:rsidR="00A44A6B" w:rsidRPr="006A566D">
        <w:rPr>
          <w:szCs w:val="22"/>
        </w:rPr>
        <w:t xml:space="preserve"> as </w:t>
      </w:r>
      <w:r w:rsidR="00DA502A" w:rsidRPr="006A566D">
        <w:rPr>
          <w:szCs w:val="22"/>
        </w:rPr>
        <w:t xml:space="preserve">set </w:t>
      </w:r>
      <w:r w:rsidR="00A44A6B" w:rsidRPr="006A566D">
        <w:rPr>
          <w:szCs w:val="22"/>
        </w:rPr>
        <w:t>forth in Appendix A</w:t>
      </w:r>
      <w:r w:rsidR="00DA502A" w:rsidRPr="006A566D">
        <w:rPr>
          <w:szCs w:val="22"/>
        </w:rPr>
        <w:t xml:space="preserve">.  Those rules contain modified information collection requirements </w:t>
      </w:r>
      <w:r w:rsidR="000D22DD" w:rsidRPr="00706F44">
        <w:rPr>
          <w:szCs w:val="22"/>
        </w:rPr>
        <w:t>that are</w:t>
      </w:r>
      <w:r w:rsidR="00BB2E99" w:rsidRPr="00706F44">
        <w:rPr>
          <w:szCs w:val="22"/>
        </w:rPr>
        <w:t xml:space="preserve"> subject to the PRA and shall become effective upon announcement in the Federal Register of OMB approval of the subject information collection requirements</w:t>
      </w:r>
      <w:r w:rsidR="00DA502A" w:rsidRPr="00706F44">
        <w:rPr>
          <w:szCs w:val="22"/>
        </w:rPr>
        <w:t>.</w:t>
      </w:r>
    </w:p>
    <w:p w:rsidR="00377D8B" w:rsidRDefault="005A7535" w:rsidP="00AD4EF0">
      <w:pPr>
        <w:pStyle w:val="ParaNum"/>
        <w:widowControl/>
        <w:numPr>
          <w:ilvl w:val="0"/>
          <w:numId w:val="2"/>
        </w:numPr>
        <w:ind w:left="0" w:firstLine="720"/>
        <w:rPr>
          <w:szCs w:val="22"/>
        </w:rPr>
      </w:pPr>
      <w:r>
        <w:rPr>
          <w:szCs w:val="22"/>
        </w:rPr>
        <w:t>IT IS FURTHE</w:t>
      </w:r>
      <w:r w:rsidR="008707A1">
        <w:rPr>
          <w:szCs w:val="22"/>
        </w:rPr>
        <w:t xml:space="preserve">R ORDERED that the Commission </w:t>
      </w:r>
      <w:r>
        <w:rPr>
          <w:szCs w:val="22"/>
        </w:rPr>
        <w:t xml:space="preserve">SHALL SEND </w:t>
      </w:r>
      <w:r w:rsidRPr="00D34A87">
        <w:rPr>
          <w:szCs w:val="22"/>
        </w:rPr>
        <w:t xml:space="preserve">a copy of this Order in a report to be sent to Congress and the Government Accountability Office pursuant to the </w:t>
      </w:r>
      <w:r>
        <w:rPr>
          <w:szCs w:val="22"/>
        </w:rPr>
        <w:t>C</w:t>
      </w:r>
      <w:r w:rsidRPr="00D34A87">
        <w:rPr>
          <w:szCs w:val="22"/>
        </w:rPr>
        <w:t>ongressional Review Act</w:t>
      </w:r>
      <w:r w:rsidR="00377D8B">
        <w:rPr>
          <w:szCs w:val="22"/>
        </w:rPr>
        <w:t>.</w:t>
      </w:r>
      <w:r w:rsidR="00377D8B">
        <w:rPr>
          <w:rStyle w:val="FootnoteReference"/>
          <w:szCs w:val="22"/>
        </w:rPr>
        <w:footnoteReference w:id="27"/>
      </w:r>
    </w:p>
    <w:p w:rsidR="005A7535" w:rsidRDefault="00377D8B" w:rsidP="00AD4EF0">
      <w:pPr>
        <w:pStyle w:val="ParaNum"/>
        <w:widowControl/>
        <w:numPr>
          <w:ilvl w:val="0"/>
          <w:numId w:val="2"/>
        </w:numPr>
        <w:ind w:left="0" w:firstLine="720"/>
        <w:rPr>
          <w:szCs w:val="22"/>
        </w:rPr>
      </w:pPr>
      <w:r>
        <w:rPr>
          <w:szCs w:val="22"/>
        </w:rPr>
        <w:t>IT IS FURTHER ORDERED that the Commission’s Consumer  and Governmental Affairs Bureau, Reference Information Center, SHALL SEND a copy of this Order, including the Final Regulatory Flexibility Certification, to the Chief Counsel for Advocacy of the Small Business Administration.</w:t>
      </w:r>
      <w:r w:rsidR="005A7535" w:rsidRPr="00D34A87">
        <w:rPr>
          <w:szCs w:val="22"/>
        </w:rPr>
        <w:t xml:space="preserve"> </w:t>
      </w:r>
    </w:p>
    <w:p w:rsidR="00DD5DF8" w:rsidRPr="00706F44" w:rsidRDefault="00DD5DF8" w:rsidP="00706F44">
      <w:pPr>
        <w:keepNext/>
        <w:ind w:left="3600" w:firstLine="720"/>
      </w:pPr>
      <w:r w:rsidRPr="00706F44">
        <w:rPr>
          <w:szCs w:val="22"/>
        </w:rPr>
        <w:t>FEDERAL</w:t>
      </w:r>
      <w:r w:rsidRPr="00706F44">
        <w:t xml:space="preserve"> COMMUNICATIONS COMMISSION</w:t>
      </w:r>
    </w:p>
    <w:p w:rsidR="0020415C" w:rsidRDefault="0020415C" w:rsidP="00706F44">
      <w:pPr>
        <w:pStyle w:val="Header"/>
      </w:pPr>
    </w:p>
    <w:p w:rsidR="00905832" w:rsidRDefault="00905832" w:rsidP="00706F44">
      <w:pPr>
        <w:pStyle w:val="Header"/>
      </w:pPr>
    </w:p>
    <w:p w:rsidR="00905832" w:rsidRDefault="00905832" w:rsidP="00706F44">
      <w:pPr>
        <w:pStyle w:val="Header"/>
      </w:pPr>
    </w:p>
    <w:p w:rsidR="00905832" w:rsidRPr="002E5F1C" w:rsidRDefault="00905832" w:rsidP="00706F44">
      <w:pPr>
        <w:pStyle w:val="Header"/>
      </w:pPr>
    </w:p>
    <w:p w:rsidR="00DD5DF8" w:rsidRPr="002E5F1C" w:rsidRDefault="00DD5DF8" w:rsidP="003C2E7F">
      <w:pPr>
        <w:keepNext/>
        <w:ind w:firstLine="720"/>
        <w:rPr>
          <w:szCs w:val="22"/>
        </w:rPr>
      </w:pPr>
      <w:r w:rsidRPr="002E5F1C">
        <w:rPr>
          <w:szCs w:val="22"/>
        </w:rPr>
        <w:lastRenderedPageBreak/>
        <w:tab/>
      </w:r>
      <w:r w:rsidRPr="002E5F1C">
        <w:rPr>
          <w:szCs w:val="22"/>
        </w:rPr>
        <w:tab/>
      </w:r>
      <w:r w:rsidRPr="002E5F1C">
        <w:rPr>
          <w:szCs w:val="22"/>
        </w:rPr>
        <w:tab/>
      </w:r>
      <w:r w:rsidRPr="002E5F1C">
        <w:rPr>
          <w:szCs w:val="22"/>
        </w:rPr>
        <w:tab/>
      </w:r>
      <w:r w:rsidRPr="002E5F1C">
        <w:rPr>
          <w:szCs w:val="22"/>
        </w:rPr>
        <w:tab/>
      </w:r>
      <w:r w:rsidR="00A96CC2">
        <w:rPr>
          <w:szCs w:val="22"/>
        </w:rPr>
        <w:t>Julie A. Veach</w:t>
      </w:r>
      <w:r w:rsidRPr="002E5F1C">
        <w:rPr>
          <w:szCs w:val="22"/>
        </w:rPr>
        <w:tab/>
      </w:r>
      <w:r w:rsidRPr="002E5F1C">
        <w:rPr>
          <w:szCs w:val="22"/>
        </w:rPr>
        <w:tab/>
      </w:r>
      <w:r w:rsidRPr="002E5F1C">
        <w:rPr>
          <w:szCs w:val="22"/>
        </w:rPr>
        <w:tab/>
      </w:r>
      <w:r w:rsidRPr="002E5F1C">
        <w:rPr>
          <w:szCs w:val="22"/>
        </w:rPr>
        <w:tab/>
      </w:r>
    </w:p>
    <w:p w:rsidR="00272AB3" w:rsidRPr="002E5F1C" w:rsidRDefault="00DD5DF8" w:rsidP="003C2E7F">
      <w:pPr>
        <w:keepNext/>
        <w:ind w:firstLine="720"/>
        <w:rPr>
          <w:szCs w:val="22"/>
        </w:rPr>
      </w:pPr>
      <w:r w:rsidRPr="002E5F1C">
        <w:rPr>
          <w:szCs w:val="22"/>
        </w:rPr>
        <w:tab/>
      </w:r>
      <w:r w:rsidRPr="002E5F1C">
        <w:rPr>
          <w:szCs w:val="22"/>
        </w:rPr>
        <w:tab/>
      </w:r>
      <w:r w:rsidRPr="002E5F1C">
        <w:rPr>
          <w:szCs w:val="22"/>
        </w:rPr>
        <w:tab/>
      </w:r>
      <w:r w:rsidRPr="002E5F1C">
        <w:rPr>
          <w:szCs w:val="22"/>
        </w:rPr>
        <w:tab/>
      </w:r>
      <w:r w:rsidRPr="002E5F1C">
        <w:rPr>
          <w:szCs w:val="22"/>
        </w:rPr>
        <w:tab/>
        <w:t>Chief</w:t>
      </w:r>
    </w:p>
    <w:p w:rsidR="002730F1" w:rsidRDefault="00DD5DF8" w:rsidP="00C0419D">
      <w:pPr>
        <w:pStyle w:val="ParaNum"/>
        <w:keepNext/>
        <w:numPr>
          <w:ilvl w:val="0"/>
          <w:numId w:val="0"/>
        </w:numPr>
        <w:spacing w:after="0"/>
        <w:ind w:firstLine="720"/>
        <w:rPr>
          <w:szCs w:val="22"/>
        </w:rPr>
      </w:pPr>
      <w:r w:rsidRPr="002E5F1C">
        <w:rPr>
          <w:szCs w:val="22"/>
        </w:rPr>
        <w:tab/>
      </w:r>
      <w:r w:rsidRPr="002E5F1C">
        <w:rPr>
          <w:szCs w:val="22"/>
        </w:rPr>
        <w:tab/>
      </w:r>
      <w:r w:rsidRPr="002E5F1C">
        <w:rPr>
          <w:szCs w:val="22"/>
        </w:rPr>
        <w:tab/>
      </w:r>
      <w:r w:rsidRPr="002E5F1C">
        <w:rPr>
          <w:szCs w:val="22"/>
        </w:rPr>
        <w:tab/>
      </w:r>
      <w:r w:rsidRPr="002E5F1C">
        <w:rPr>
          <w:szCs w:val="22"/>
        </w:rPr>
        <w:tab/>
        <w:t>Wireline Competition Bureau</w:t>
      </w:r>
    </w:p>
    <w:p w:rsidR="00964A6F" w:rsidRDefault="00964A6F" w:rsidP="00C0419D">
      <w:pPr>
        <w:pStyle w:val="ParaNum"/>
        <w:keepNext/>
        <w:numPr>
          <w:ilvl w:val="0"/>
          <w:numId w:val="0"/>
        </w:numPr>
        <w:spacing w:after="0"/>
        <w:ind w:firstLine="720"/>
        <w:rPr>
          <w:szCs w:val="22"/>
        </w:rPr>
      </w:pPr>
    </w:p>
    <w:p w:rsidR="00964A6F" w:rsidRDefault="00964A6F" w:rsidP="00C0419D">
      <w:pPr>
        <w:pStyle w:val="ParaNum"/>
        <w:keepNext/>
        <w:numPr>
          <w:ilvl w:val="0"/>
          <w:numId w:val="0"/>
        </w:numPr>
        <w:spacing w:after="0"/>
        <w:ind w:firstLine="720"/>
        <w:rPr>
          <w:szCs w:val="22"/>
        </w:rPr>
      </w:pPr>
    </w:p>
    <w:p w:rsidR="00964A6F" w:rsidRDefault="00964A6F" w:rsidP="00C0419D">
      <w:pPr>
        <w:pStyle w:val="ParaNum"/>
        <w:keepNext/>
        <w:numPr>
          <w:ilvl w:val="0"/>
          <w:numId w:val="0"/>
        </w:numPr>
        <w:spacing w:after="0"/>
        <w:ind w:firstLine="720"/>
        <w:rPr>
          <w:szCs w:val="22"/>
        </w:rPr>
      </w:pPr>
    </w:p>
    <w:p w:rsidR="00964A6F" w:rsidRDefault="00964A6F" w:rsidP="00C0419D">
      <w:pPr>
        <w:pStyle w:val="ParaNum"/>
        <w:keepNext/>
        <w:numPr>
          <w:ilvl w:val="0"/>
          <w:numId w:val="0"/>
        </w:numPr>
        <w:spacing w:after="0"/>
        <w:ind w:firstLine="720"/>
        <w:rPr>
          <w:szCs w:val="22"/>
        </w:rPr>
      </w:pPr>
    </w:p>
    <w:p w:rsidR="00964A6F" w:rsidRPr="00964A6F" w:rsidRDefault="00964A6F" w:rsidP="00964A6F">
      <w:pPr>
        <w:shd w:val="clear" w:color="auto" w:fill="FFFFFF"/>
        <w:spacing w:before="200" w:after="100" w:line="480" w:lineRule="auto"/>
        <w:jc w:val="center"/>
        <w:outlineLvl w:val="1"/>
        <w:rPr>
          <w:b/>
          <w:bCs/>
          <w:snapToGrid/>
          <w:color w:val="000000"/>
          <w:kern w:val="0"/>
          <w:szCs w:val="22"/>
        </w:rPr>
      </w:pPr>
      <w:r>
        <w:rPr>
          <w:szCs w:val="22"/>
        </w:rPr>
        <w:br w:type="page"/>
      </w:r>
      <w:r w:rsidRPr="00964A6F">
        <w:rPr>
          <w:b/>
          <w:bCs/>
          <w:snapToGrid/>
          <w:color w:val="000000"/>
          <w:kern w:val="0"/>
          <w:szCs w:val="22"/>
        </w:rPr>
        <w:lastRenderedPageBreak/>
        <w:t>APPENDIX A</w:t>
      </w:r>
    </w:p>
    <w:p w:rsidR="00964A6F" w:rsidRPr="00964A6F" w:rsidRDefault="00964A6F" w:rsidP="00964A6F">
      <w:pPr>
        <w:widowControl/>
        <w:shd w:val="clear" w:color="auto" w:fill="FFFFFF"/>
        <w:spacing w:before="200" w:after="100" w:line="480" w:lineRule="auto"/>
        <w:jc w:val="center"/>
        <w:outlineLvl w:val="1"/>
        <w:rPr>
          <w:b/>
          <w:bCs/>
          <w:snapToGrid/>
          <w:color w:val="000000"/>
          <w:kern w:val="0"/>
          <w:szCs w:val="22"/>
        </w:rPr>
      </w:pPr>
      <w:r w:rsidRPr="00964A6F">
        <w:rPr>
          <w:b/>
          <w:bCs/>
          <w:snapToGrid/>
          <w:color w:val="000000"/>
          <w:kern w:val="0"/>
          <w:szCs w:val="22"/>
        </w:rPr>
        <w:t>Final Rules</w:t>
      </w:r>
    </w:p>
    <w:p w:rsidR="00964A6F" w:rsidRPr="00964A6F" w:rsidRDefault="00964A6F" w:rsidP="00964A6F">
      <w:pPr>
        <w:widowControl/>
        <w:shd w:val="clear" w:color="auto" w:fill="FFFFFF"/>
        <w:spacing w:before="200" w:after="100" w:line="480" w:lineRule="auto"/>
        <w:outlineLvl w:val="1"/>
        <w:rPr>
          <w:b/>
          <w:bCs/>
          <w:snapToGrid/>
          <w:color w:val="000000"/>
          <w:kern w:val="0"/>
          <w:szCs w:val="22"/>
        </w:rPr>
      </w:pPr>
      <w:r w:rsidRPr="00964A6F">
        <w:rPr>
          <w:b/>
          <w:bCs/>
          <w:snapToGrid/>
          <w:color w:val="000000"/>
          <w:kern w:val="0"/>
          <w:szCs w:val="22"/>
        </w:rPr>
        <w:t>For the reasons discussed in the preamble, the Federal Communications Commission amends 47 CFR Part 54 as follows:</w:t>
      </w:r>
    </w:p>
    <w:p w:rsidR="00964A6F" w:rsidRPr="00964A6F" w:rsidRDefault="00964A6F" w:rsidP="00964A6F">
      <w:pPr>
        <w:widowControl/>
        <w:shd w:val="clear" w:color="auto" w:fill="FFFFFF"/>
        <w:spacing w:before="200" w:after="100" w:line="480" w:lineRule="auto"/>
        <w:jc w:val="center"/>
        <w:outlineLvl w:val="1"/>
        <w:rPr>
          <w:b/>
          <w:bCs/>
          <w:snapToGrid/>
          <w:color w:val="000000"/>
          <w:kern w:val="0"/>
          <w:szCs w:val="22"/>
        </w:rPr>
      </w:pPr>
      <w:r w:rsidRPr="00964A6F">
        <w:rPr>
          <w:b/>
          <w:bCs/>
          <w:snapToGrid/>
          <w:color w:val="000000"/>
          <w:kern w:val="0"/>
          <w:szCs w:val="22"/>
        </w:rPr>
        <w:t>PART 54 – UNIVERSAL SERVICE</w:t>
      </w:r>
    </w:p>
    <w:p w:rsidR="00964A6F" w:rsidRPr="00964A6F" w:rsidRDefault="00964A6F" w:rsidP="00964A6F">
      <w:pPr>
        <w:widowControl/>
        <w:numPr>
          <w:ilvl w:val="0"/>
          <w:numId w:val="13"/>
        </w:numPr>
        <w:shd w:val="clear" w:color="auto" w:fill="FFFFFF"/>
        <w:spacing w:before="200" w:after="100" w:line="480" w:lineRule="auto"/>
        <w:contextualSpacing/>
        <w:outlineLvl w:val="1"/>
        <w:rPr>
          <w:b/>
          <w:bCs/>
          <w:snapToGrid/>
          <w:color w:val="000000"/>
          <w:kern w:val="0"/>
          <w:szCs w:val="22"/>
        </w:rPr>
      </w:pPr>
      <w:r w:rsidRPr="00964A6F">
        <w:rPr>
          <w:bCs/>
          <w:snapToGrid/>
          <w:color w:val="000000"/>
          <w:kern w:val="0"/>
          <w:szCs w:val="22"/>
        </w:rPr>
        <w:t>Amend § 54.405 by revising paragraph (e)(3) to read as follows:</w:t>
      </w:r>
    </w:p>
    <w:p w:rsidR="00964A6F" w:rsidRPr="00964A6F" w:rsidRDefault="00964A6F" w:rsidP="00964A6F">
      <w:pPr>
        <w:widowControl/>
        <w:shd w:val="clear" w:color="auto" w:fill="FFFFFF"/>
        <w:spacing w:before="200" w:after="100" w:line="480" w:lineRule="auto"/>
        <w:outlineLvl w:val="1"/>
        <w:rPr>
          <w:b/>
          <w:bCs/>
          <w:snapToGrid/>
          <w:color w:val="000000"/>
          <w:kern w:val="0"/>
          <w:szCs w:val="22"/>
        </w:rPr>
      </w:pPr>
      <w:r w:rsidRPr="00964A6F">
        <w:rPr>
          <w:b/>
          <w:bCs/>
          <w:snapToGrid/>
          <w:color w:val="000000"/>
          <w:kern w:val="0"/>
          <w:szCs w:val="22"/>
        </w:rPr>
        <w:t>§54.405  Carrier obligation to offer Lifeline.</w:t>
      </w:r>
    </w:p>
    <w:p w:rsidR="00964A6F" w:rsidRDefault="00964A6F" w:rsidP="00964A6F">
      <w:pPr>
        <w:widowControl/>
        <w:shd w:val="clear" w:color="auto" w:fill="FFFFFF"/>
        <w:spacing w:before="200" w:after="100" w:line="480" w:lineRule="auto"/>
        <w:ind w:firstLine="540"/>
        <w:outlineLvl w:val="1"/>
        <w:rPr>
          <w:b/>
          <w:bCs/>
          <w:snapToGrid/>
          <w:color w:val="000000"/>
          <w:kern w:val="0"/>
          <w:szCs w:val="22"/>
        </w:rPr>
      </w:pPr>
      <w:r w:rsidRPr="00964A6F">
        <w:rPr>
          <w:bCs/>
          <w:snapToGrid/>
          <w:color w:val="000000"/>
          <w:kern w:val="0"/>
          <w:szCs w:val="22"/>
        </w:rPr>
        <w:t xml:space="preserve">(3) </w:t>
      </w:r>
      <w:r w:rsidRPr="00964A6F">
        <w:rPr>
          <w:bCs/>
          <w:i/>
          <w:snapToGrid/>
          <w:color w:val="000000"/>
          <w:kern w:val="0"/>
          <w:szCs w:val="22"/>
        </w:rPr>
        <w:t>De-enrollment for non-usage</w:t>
      </w:r>
      <w:r w:rsidRPr="00964A6F">
        <w:rPr>
          <w:bCs/>
          <w:snapToGrid/>
          <w:color w:val="000000"/>
          <w:kern w:val="0"/>
          <w:szCs w:val="22"/>
        </w:rPr>
        <w:t>.  Notwithstanding paragraph (e)(1) of this section, if a Lifeline subscriber fails to use, as “usage” is defined in §54.407(c)(2), for 60 consecutive days a Lifeline service that does not require the eligible telecommunications carrier to assess and collect a mon</w:t>
      </w:r>
      <w:r w:rsidR="00E84342">
        <w:rPr>
          <w:bCs/>
          <w:snapToGrid/>
          <w:color w:val="000000"/>
          <w:kern w:val="0"/>
          <w:szCs w:val="22"/>
        </w:rPr>
        <w:t>thly fee from its subscribers, a</w:t>
      </w:r>
      <w:r w:rsidRPr="00964A6F">
        <w:rPr>
          <w:bCs/>
          <w:snapToGrid/>
          <w:color w:val="000000"/>
          <w:kern w:val="0"/>
          <w:szCs w:val="22"/>
        </w:rPr>
        <w:t>n eligible telecommunications carrier must provide the subscriber 30 days’ notice, using clear, easily understood language, that the subscriber’s failure to use the Lifeline service within the 30-day notice period will result in service termination for non-usage under this paragraph.  If the subscriber uses the Lifeline service with 30 days of the carrier providing such notice, the eligible telecommunications carrier shall not terminate the subscriber’s Lifeline service.  Eligible telecommunications carriers shall report to the Commission annually the number of subscribers de-enrolled for non-usage under this paragraph.  This de-enrollment information must reported by month and must be submitted to the Commission at the time an eligible telecommunications carrier submits its annual certification report pursuant to §54.416.</w:t>
      </w:r>
      <w:r w:rsidRPr="00964A6F">
        <w:rPr>
          <w:b/>
          <w:bCs/>
          <w:snapToGrid/>
          <w:color w:val="000000"/>
          <w:kern w:val="0"/>
          <w:szCs w:val="22"/>
        </w:rPr>
        <w:tab/>
      </w:r>
    </w:p>
    <w:p w:rsidR="00964A6F" w:rsidRDefault="00964A6F" w:rsidP="00964A6F">
      <w:pPr>
        <w:widowControl/>
        <w:shd w:val="clear" w:color="auto" w:fill="FFFFFF"/>
        <w:spacing w:before="200" w:after="100" w:line="480" w:lineRule="auto"/>
        <w:ind w:firstLine="540"/>
        <w:outlineLvl w:val="1"/>
        <w:rPr>
          <w:b/>
          <w:bCs/>
          <w:snapToGrid/>
          <w:color w:val="000000"/>
          <w:kern w:val="0"/>
          <w:szCs w:val="22"/>
        </w:rPr>
      </w:pPr>
    </w:p>
    <w:p w:rsidR="00964A6F" w:rsidRDefault="00964A6F" w:rsidP="00964A6F">
      <w:pPr>
        <w:widowControl/>
        <w:shd w:val="clear" w:color="auto" w:fill="FFFFFF"/>
        <w:spacing w:before="200" w:after="100" w:line="480" w:lineRule="auto"/>
        <w:ind w:firstLine="540"/>
        <w:outlineLvl w:val="1"/>
        <w:rPr>
          <w:bCs/>
          <w:snapToGrid/>
          <w:color w:val="000000"/>
          <w:kern w:val="0"/>
          <w:szCs w:val="22"/>
        </w:rPr>
      </w:pPr>
    </w:p>
    <w:p w:rsidR="00964A6F" w:rsidRPr="00964A6F" w:rsidRDefault="00964A6F" w:rsidP="00964A6F">
      <w:pPr>
        <w:widowControl/>
        <w:shd w:val="clear" w:color="auto" w:fill="FFFFFF"/>
        <w:spacing w:before="200" w:after="100" w:line="480" w:lineRule="auto"/>
        <w:ind w:firstLine="540"/>
        <w:outlineLvl w:val="1"/>
        <w:rPr>
          <w:bCs/>
          <w:snapToGrid/>
          <w:color w:val="000000"/>
          <w:kern w:val="0"/>
          <w:szCs w:val="22"/>
        </w:rPr>
      </w:pPr>
    </w:p>
    <w:p w:rsidR="00964A6F" w:rsidRPr="00964A6F" w:rsidRDefault="00964A6F" w:rsidP="00964A6F">
      <w:pPr>
        <w:widowControl/>
        <w:numPr>
          <w:ilvl w:val="0"/>
          <w:numId w:val="13"/>
        </w:numPr>
        <w:shd w:val="clear" w:color="auto" w:fill="FFFFFF"/>
        <w:spacing w:before="200" w:after="100" w:line="480" w:lineRule="auto"/>
        <w:contextualSpacing/>
        <w:outlineLvl w:val="1"/>
        <w:rPr>
          <w:b/>
          <w:bCs/>
          <w:snapToGrid/>
          <w:color w:val="000000"/>
          <w:kern w:val="0"/>
          <w:szCs w:val="22"/>
        </w:rPr>
      </w:pPr>
      <w:r w:rsidRPr="00964A6F">
        <w:rPr>
          <w:bCs/>
          <w:snapToGrid/>
          <w:color w:val="000000"/>
          <w:kern w:val="0"/>
          <w:szCs w:val="22"/>
        </w:rPr>
        <w:t>Amend § 54.407 by revising paragraph (c) to read as follows:</w:t>
      </w:r>
    </w:p>
    <w:p w:rsidR="00964A6F" w:rsidRPr="00964A6F" w:rsidRDefault="00964A6F" w:rsidP="00964A6F">
      <w:pPr>
        <w:widowControl/>
        <w:shd w:val="clear" w:color="auto" w:fill="FFFFFF"/>
        <w:spacing w:before="200" w:after="100" w:line="480" w:lineRule="auto"/>
        <w:outlineLvl w:val="1"/>
        <w:rPr>
          <w:b/>
          <w:bCs/>
          <w:snapToGrid/>
          <w:color w:val="000000"/>
          <w:kern w:val="0"/>
          <w:szCs w:val="22"/>
        </w:rPr>
      </w:pPr>
      <w:r w:rsidRPr="00964A6F">
        <w:rPr>
          <w:b/>
          <w:bCs/>
          <w:snapToGrid/>
          <w:color w:val="000000"/>
          <w:kern w:val="0"/>
          <w:szCs w:val="22"/>
        </w:rPr>
        <w:t>§54.407   Reimbursement for offering Lifeline.</w:t>
      </w:r>
    </w:p>
    <w:p w:rsidR="00964A6F" w:rsidRPr="00964A6F" w:rsidRDefault="00964A6F" w:rsidP="00964A6F">
      <w:pPr>
        <w:widowControl/>
        <w:shd w:val="clear" w:color="auto" w:fill="FFFFFF"/>
        <w:spacing w:before="100" w:beforeAutospacing="1" w:after="100" w:line="480" w:lineRule="auto"/>
        <w:ind w:firstLine="480"/>
        <w:rPr>
          <w:snapToGrid/>
          <w:color w:val="000000"/>
          <w:kern w:val="0"/>
          <w:szCs w:val="22"/>
        </w:rPr>
      </w:pPr>
      <w:r w:rsidRPr="00964A6F">
        <w:rPr>
          <w:snapToGrid/>
          <w:color w:val="000000"/>
          <w:kern w:val="0"/>
          <w:szCs w:val="22"/>
        </w:rPr>
        <w:t xml:space="preserve"> (c) An eligible telecommunications carrier offering a Lifeline service that does not require the eligible telecommunications carrier to assess and collect a monthly fee from its subscribers:</w:t>
      </w:r>
    </w:p>
    <w:p w:rsidR="00964A6F" w:rsidRPr="00964A6F" w:rsidRDefault="00964A6F" w:rsidP="00964A6F">
      <w:pPr>
        <w:widowControl/>
        <w:spacing w:after="200" w:line="276" w:lineRule="auto"/>
        <w:rPr>
          <w:rFonts w:eastAsia="Calibri"/>
          <w:snapToGrid/>
          <w:kern w:val="0"/>
          <w:szCs w:val="22"/>
        </w:rPr>
      </w:pPr>
      <w:r w:rsidRPr="00964A6F">
        <w:rPr>
          <w:snapToGrid/>
          <w:color w:val="000000"/>
          <w:kern w:val="0"/>
          <w:szCs w:val="22"/>
        </w:rPr>
        <w:t>*****</w:t>
      </w:r>
    </w:p>
    <w:p w:rsidR="00964A6F" w:rsidRPr="002E5F1C" w:rsidRDefault="00964A6F" w:rsidP="00C0419D">
      <w:pPr>
        <w:pStyle w:val="ParaNum"/>
        <w:keepNext/>
        <w:numPr>
          <w:ilvl w:val="0"/>
          <w:numId w:val="0"/>
        </w:numPr>
        <w:spacing w:after="0"/>
        <w:ind w:firstLine="720"/>
        <w:rPr>
          <w:szCs w:val="22"/>
        </w:rPr>
      </w:pPr>
    </w:p>
    <w:sectPr w:rsidR="00964A6F" w:rsidRPr="002E5F1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5D2" w:rsidRDefault="009B45D2">
      <w:r>
        <w:separator/>
      </w:r>
    </w:p>
  </w:endnote>
  <w:endnote w:type="continuationSeparator" w:id="0">
    <w:p w:rsidR="009B45D2" w:rsidRDefault="009B4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F2D" w:rsidRDefault="00EC5F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5CF" w:rsidRDefault="007115CF">
    <w:pPr>
      <w:pStyle w:val="Footer"/>
      <w:jc w:val="center"/>
    </w:pPr>
    <w:r>
      <w:rPr>
        <w:rStyle w:val="PageNumber"/>
      </w:rPr>
      <w:fldChar w:fldCharType="begin"/>
    </w:r>
    <w:r>
      <w:rPr>
        <w:rStyle w:val="PageNumber"/>
      </w:rPr>
      <w:instrText xml:space="preserve"> PAGE </w:instrText>
    </w:r>
    <w:r>
      <w:rPr>
        <w:rStyle w:val="PageNumber"/>
      </w:rPr>
      <w:fldChar w:fldCharType="separate"/>
    </w:r>
    <w:r w:rsidR="00473E1F">
      <w:rPr>
        <w:rStyle w:val="PageNumber"/>
        <w:noProof/>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F2D" w:rsidRDefault="00EC5F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5D2" w:rsidRDefault="009B45D2">
      <w:pPr>
        <w:rPr>
          <w:sz w:val="20"/>
        </w:rPr>
      </w:pPr>
      <w:r>
        <w:rPr>
          <w:sz w:val="20"/>
        </w:rPr>
        <w:separator/>
      </w:r>
    </w:p>
  </w:footnote>
  <w:footnote w:type="continuationSeparator" w:id="0">
    <w:p w:rsidR="009B45D2" w:rsidRDefault="009B45D2">
      <w:pPr>
        <w:rPr>
          <w:sz w:val="20"/>
        </w:rPr>
      </w:pPr>
      <w:r>
        <w:rPr>
          <w:sz w:val="20"/>
        </w:rPr>
        <w:separator/>
      </w:r>
    </w:p>
    <w:p w:rsidR="009B45D2" w:rsidRDefault="009B45D2">
      <w:pPr>
        <w:rPr>
          <w:sz w:val="20"/>
        </w:rPr>
      </w:pPr>
      <w:r>
        <w:rPr>
          <w:sz w:val="20"/>
        </w:rPr>
        <w:t>(...continued from previous page)</w:t>
      </w:r>
    </w:p>
  </w:footnote>
  <w:footnote w:type="continuationNotice" w:id="1">
    <w:p w:rsidR="009B45D2" w:rsidRDefault="009B45D2">
      <w:pPr>
        <w:jc w:val="right"/>
        <w:rPr>
          <w:sz w:val="20"/>
        </w:rPr>
      </w:pPr>
      <w:r>
        <w:rPr>
          <w:sz w:val="20"/>
        </w:rPr>
        <w:t>(continued....)</w:t>
      </w:r>
    </w:p>
  </w:footnote>
  <w:footnote w:id="2">
    <w:p w:rsidR="00C224BC" w:rsidRDefault="00C224BC" w:rsidP="00C224BC">
      <w:pPr>
        <w:pStyle w:val="FootnoteText"/>
        <w:rPr>
          <w:b/>
        </w:rPr>
      </w:pPr>
      <w:r>
        <w:rPr>
          <w:rStyle w:val="FootnoteReference"/>
        </w:rPr>
        <w:footnoteRef/>
      </w:r>
      <w:r>
        <w:t xml:space="preserve"> </w:t>
      </w:r>
      <w:r>
        <w:rPr>
          <w:i/>
        </w:rPr>
        <w:t>See Lifeline and Link Up Reform and Modernization et al</w:t>
      </w:r>
      <w:r>
        <w:t xml:space="preserve">., WC Docket. Nos. 11-42 </w:t>
      </w:r>
      <w:r>
        <w:rPr>
          <w:i/>
        </w:rPr>
        <w:t>et al.,</w:t>
      </w:r>
      <w:r>
        <w:t xml:space="preserve"> CC Dkt. No. 96-45, Report and Order and Further Notice of Proposed Rulemaking, 27 FCC Rcd 6656 (2012) (</w:t>
      </w:r>
      <w:r>
        <w:rPr>
          <w:i/>
        </w:rPr>
        <w:t xml:space="preserve">Lifeline Reform Order </w:t>
      </w:r>
      <w:r>
        <w:t>or</w:t>
      </w:r>
      <w:r>
        <w:rPr>
          <w:i/>
        </w:rPr>
        <w:t xml:space="preserve"> </w:t>
      </w:r>
      <w:r>
        <w:t xml:space="preserve">Order).  </w:t>
      </w:r>
    </w:p>
  </w:footnote>
  <w:footnote w:id="3">
    <w:p w:rsidR="005002A4" w:rsidRDefault="005002A4">
      <w:pPr>
        <w:pStyle w:val="FootnoteText"/>
      </w:pPr>
      <w:r>
        <w:rPr>
          <w:rStyle w:val="FootnoteReference"/>
        </w:rPr>
        <w:footnoteRef/>
      </w:r>
      <w:r>
        <w:t xml:space="preserve"> </w:t>
      </w:r>
      <w:r w:rsidR="00C71BEE">
        <w:rPr>
          <w:i/>
        </w:rPr>
        <w:t xml:space="preserve">See </w:t>
      </w:r>
      <w:r>
        <w:t xml:space="preserve">47 C.F.R. </w:t>
      </w:r>
      <w:r w:rsidR="0050089B">
        <w:t xml:space="preserve">§ </w:t>
      </w:r>
      <w:r>
        <w:t>54.</w:t>
      </w:r>
      <w:r w:rsidR="00C86CAC">
        <w:t xml:space="preserve">405(e)(3) (explaining the requirement and the process for </w:t>
      </w:r>
      <w:r w:rsidR="00C71BEE">
        <w:t xml:space="preserve">providing </w:t>
      </w:r>
      <w:r w:rsidR="00C86CAC">
        <w:t>notice</w:t>
      </w:r>
      <w:r w:rsidR="00C71BEE">
        <w:t xml:space="preserve"> to subscribers</w:t>
      </w:r>
      <w:r w:rsidR="00C86CAC">
        <w:t>).</w:t>
      </w:r>
    </w:p>
  </w:footnote>
  <w:footnote w:id="4">
    <w:p w:rsidR="0018777A" w:rsidRPr="0050089B" w:rsidRDefault="0018777A" w:rsidP="0018777A">
      <w:pPr>
        <w:pStyle w:val="FootnoteText"/>
        <w:rPr>
          <w:b/>
        </w:rPr>
      </w:pPr>
      <w:r>
        <w:rPr>
          <w:rStyle w:val="FootnoteReference"/>
        </w:rPr>
        <w:footnoteRef/>
      </w:r>
      <w:r>
        <w:t xml:space="preserve"> </w:t>
      </w:r>
      <w:r>
        <w:rPr>
          <w:i/>
        </w:rPr>
        <w:t>See Lifeline Reform Order,</w:t>
      </w:r>
      <w:r>
        <w:t xml:space="preserve"> 27 FCC Rcd at 6767-6771, paras. 255-63; 47 C.F.R. § 54.407(c).  </w:t>
      </w:r>
    </w:p>
  </w:footnote>
  <w:footnote w:id="5">
    <w:p w:rsidR="0018777A" w:rsidRDefault="0018777A" w:rsidP="0018777A">
      <w:pPr>
        <w:pStyle w:val="FootnoteText"/>
      </w:pPr>
      <w:r>
        <w:rPr>
          <w:rStyle w:val="FootnoteReference"/>
        </w:rPr>
        <w:footnoteRef/>
      </w:r>
      <w:r w:rsidR="000C4C10">
        <w:rPr>
          <w:i/>
        </w:rPr>
        <w:t xml:space="preserve"> </w:t>
      </w:r>
      <w:r>
        <w:rPr>
          <w:i/>
        </w:rPr>
        <w:t>See Lifeline Reform Order,</w:t>
      </w:r>
      <w:r>
        <w:t xml:space="preserve"> 27 FCC Rcd at 6769, para. 258. </w:t>
      </w:r>
    </w:p>
  </w:footnote>
  <w:footnote w:id="6">
    <w:p w:rsidR="006D5D07" w:rsidRPr="006D5D07" w:rsidRDefault="006D5D07">
      <w:pPr>
        <w:pStyle w:val="FootnoteText"/>
      </w:pPr>
      <w:r>
        <w:rPr>
          <w:rStyle w:val="FootnoteReference"/>
        </w:rPr>
        <w:footnoteRef/>
      </w:r>
      <w:r>
        <w:t xml:space="preserve"> </w:t>
      </w:r>
      <w:r>
        <w:rPr>
          <w:i/>
        </w:rPr>
        <w:t xml:space="preserve">See </w:t>
      </w:r>
      <w:r w:rsidR="00C07D3A">
        <w:rPr>
          <w:i/>
        </w:rPr>
        <w:t>id</w:t>
      </w:r>
      <w:r w:rsidR="00F57475">
        <w:rPr>
          <w:i/>
        </w:rPr>
        <w:t>.</w:t>
      </w:r>
      <w:r>
        <w:t xml:space="preserve"> at 6768-69, para. 257.</w:t>
      </w:r>
    </w:p>
  </w:footnote>
  <w:footnote w:id="7">
    <w:p w:rsidR="006D5D07" w:rsidRPr="006D5D07" w:rsidRDefault="006D5D07">
      <w:pPr>
        <w:pStyle w:val="FootnoteText"/>
      </w:pPr>
      <w:r>
        <w:rPr>
          <w:rStyle w:val="FootnoteReference"/>
        </w:rPr>
        <w:footnoteRef/>
      </w:r>
      <w:r>
        <w:t xml:space="preserve"> </w:t>
      </w:r>
      <w:r>
        <w:rPr>
          <w:i/>
        </w:rPr>
        <w:t xml:space="preserve">See </w:t>
      </w:r>
      <w:r w:rsidR="00C07D3A">
        <w:rPr>
          <w:i/>
        </w:rPr>
        <w:t>id</w:t>
      </w:r>
      <w:r w:rsidR="00F57475">
        <w:rPr>
          <w:i/>
        </w:rPr>
        <w:t xml:space="preserve">. </w:t>
      </w:r>
      <w:r w:rsidR="00F57475">
        <w:t>at 6769, para. 257</w:t>
      </w:r>
      <w:r>
        <w:t xml:space="preserve"> n.697.</w:t>
      </w:r>
    </w:p>
  </w:footnote>
  <w:footnote w:id="8">
    <w:p w:rsidR="0050089B" w:rsidRPr="0050089B" w:rsidRDefault="0050089B">
      <w:pPr>
        <w:pStyle w:val="FootnoteText"/>
        <w:rPr>
          <w:b/>
        </w:rPr>
      </w:pPr>
      <w:r>
        <w:rPr>
          <w:rStyle w:val="FootnoteReference"/>
        </w:rPr>
        <w:footnoteRef/>
      </w:r>
      <w:r w:rsidR="00624B9C">
        <w:t xml:space="preserve"> </w:t>
      </w:r>
      <w:r w:rsidR="00624B9C">
        <w:rPr>
          <w:i/>
        </w:rPr>
        <w:t xml:space="preserve">See </w:t>
      </w:r>
      <w:r w:rsidR="00624B9C">
        <w:t>47 C.F.R. § 54.405(e)(3) (“</w:t>
      </w:r>
      <w:r w:rsidR="00624B9C">
        <w:rPr>
          <w:bCs/>
          <w:i/>
          <w:color w:val="000000"/>
        </w:rPr>
        <w:t>De-enrollment for non-usage</w:t>
      </w:r>
      <w:r w:rsidR="00624B9C">
        <w:rPr>
          <w:bCs/>
          <w:color w:val="000000"/>
        </w:rPr>
        <w:t xml:space="preserve">.  Notwithstanding paragraph (e)(1) of this section, if a Lifeline subscriber fails to use, as “usage” is defined in §54.407(c)(2), for 60 consecutive days a Lifeline service that does not require the eligible telecommunications carrier to assess or collect a monthly fee from its subscribers, an eligible telecommunications carrier must provide the subscriber 30 days’ notice, using clear, easily understood language, that the subscriber’s failure to use the Lifeline service within the 30-day notice period will result in service termination for non-usage under this paragraph.  If the subscriber uses the Lifeline service with 30 days of the carrier providing such notice, the eligible telecommunications carrier shall not terminate the subscriber’s Lifeline service.  Eligible telecommunications carriers shall report to the Commission annually the number of subscribers de-enrolled for non-usage under this paragraph.  This de-enrollment information must reported by month and must be submitted to the Commission at the time an eligible telecommunications carrier submits its annual certification report pursuant to §54.416.”); 47 C.F.R. § 54.407(c) (“An eligible telecommunications carrier offering a Lifeline service that does not require the eligible telecommunications carrier to assess or collect </w:t>
      </w:r>
      <w:r w:rsidR="00210D28">
        <w:rPr>
          <w:bCs/>
          <w:color w:val="000000"/>
        </w:rPr>
        <w:t>a monthly fee from subscribers . . . .”</w:t>
      </w:r>
      <w:r w:rsidR="00624B9C">
        <w:rPr>
          <w:bCs/>
          <w:color w:val="000000"/>
        </w:rPr>
        <w:t>).</w:t>
      </w:r>
      <w:r w:rsidR="00624B9C">
        <w:rPr>
          <w:b/>
          <w:bCs/>
          <w:color w:val="000000"/>
        </w:rPr>
        <w:tab/>
      </w:r>
    </w:p>
  </w:footnote>
  <w:footnote w:id="9">
    <w:p w:rsidR="005A7535" w:rsidRDefault="005A7535">
      <w:pPr>
        <w:pStyle w:val="FootnoteText"/>
      </w:pPr>
      <w:r>
        <w:rPr>
          <w:rStyle w:val="FootnoteReference"/>
        </w:rPr>
        <w:footnoteRef/>
      </w:r>
      <w:r>
        <w:t xml:space="preserve"> 47 C.F.R. </w:t>
      </w:r>
      <w:r w:rsidR="0050089B">
        <w:t xml:space="preserve">§ </w:t>
      </w:r>
      <w:r>
        <w:t>54.405(e)(3).</w:t>
      </w:r>
    </w:p>
  </w:footnote>
  <w:footnote w:id="10">
    <w:p w:rsidR="005A7535" w:rsidRDefault="005A7535">
      <w:pPr>
        <w:pStyle w:val="FootnoteText"/>
      </w:pPr>
      <w:r>
        <w:rPr>
          <w:rStyle w:val="FootnoteReference"/>
        </w:rPr>
        <w:footnoteRef/>
      </w:r>
      <w:r>
        <w:t xml:space="preserve"> </w:t>
      </w:r>
      <w:r w:rsidR="00BD36B3">
        <w:rPr>
          <w:i/>
        </w:rPr>
        <w:t>Id.</w:t>
      </w:r>
      <w:r w:rsidR="00BD36B3">
        <w:t xml:space="preserve">; </w:t>
      </w:r>
      <w:r>
        <w:t xml:space="preserve">47 C.F.R. </w:t>
      </w:r>
      <w:r w:rsidR="0050089B">
        <w:t xml:space="preserve">§ </w:t>
      </w:r>
      <w:r>
        <w:t>54.407(c).</w:t>
      </w:r>
    </w:p>
  </w:footnote>
  <w:footnote w:id="11">
    <w:p w:rsidR="001E17CA" w:rsidRPr="00197431" w:rsidRDefault="001E17CA" w:rsidP="001E17CA">
      <w:pPr>
        <w:pStyle w:val="FootnoteText"/>
      </w:pPr>
      <w:r>
        <w:rPr>
          <w:rStyle w:val="FootnoteReference"/>
        </w:rPr>
        <w:footnoteRef/>
      </w:r>
      <w:r>
        <w:t xml:space="preserve"> </w:t>
      </w:r>
      <w:r>
        <w:rPr>
          <w:i/>
        </w:rPr>
        <w:t>See</w:t>
      </w:r>
      <w:r w:rsidR="005A7535">
        <w:rPr>
          <w:i/>
        </w:rPr>
        <w:t xml:space="preserve"> Lifeline Reform Order</w:t>
      </w:r>
      <w:r w:rsidR="00F57475">
        <w:t>, 27 FCC Rcd at 6769, para. 257</w:t>
      </w:r>
      <w:r w:rsidR="005A7535">
        <w:t xml:space="preserve"> n.697</w:t>
      </w:r>
      <w:r>
        <w:t>.</w:t>
      </w:r>
      <w:r w:rsidR="00293532">
        <w:t xml:space="preserve">  </w:t>
      </w:r>
      <w:r w:rsidR="00293532">
        <w:rPr>
          <w:i/>
        </w:rPr>
        <w:t>See also id.</w:t>
      </w:r>
      <w:r w:rsidR="00293532">
        <w:t xml:space="preserve"> at 6771, para. 263.</w:t>
      </w:r>
      <w:r w:rsidR="00197431">
        <w:t xml:space="preserve">  We note that this Order is intended only to clarify the language of the rules to match the intent set forth in the </w:t>
      </w:r>
      <w:r w:rsidR="00197431">
        <w:rPr>
          <w:i/>
        </w:rPr>
        <w:t>Lifeline Reform Order</w:t>
      </w:r>
      <w:r w:rsidR="00197431">
        <w:t>.  It is not meant to encourage ETCs to begin imposing charges upon subscribers for services in order to avoid compliance with the existing usage requirements.</w:t>
      </w:r>
    </w:p>
  </w:footnote>
  <w:footnote w:id="12">
    <w:p w:rsidR="00663F48" w:rsidRDefault="00663F48">
      <w:pPr>
        <w:pStyle w:val="FootnoteText"/>
      </w:pPr>
      <w:r>
        <w:rPr>
          <w:rStyle w:val="FootnoteReference"/>
        </w:rPr>
        <w:footnoteRef/>
      </w:r>
      <w:r>
        <w:t xml:space="preserve"> </w:t>
      </w:r>
      <w:r w:rsidR="00256B3C">
        <w:rPr>
          <w:i/>
        </w:rPr>
        <w:t>Cf.</w:t>
      </w:r>
      <w:r>
        <w:t xml:space="preserve">, </w:t>
      </w:r>
      <w:r w:rsidR="00F57475">
        <w:rPr>
          <w:i/>
        </w:rPr>
        <w:t xml:space="preserve">id. </w:t>
      </w:r>
      <w:r>
        <w:t>at 6769, para. 257 (noting that the usage requirement will “ensure that Lifeline support benefits only eligible low income subscribers actually using the supported service.”)</w:t>
      </w:r>
      <w:r w:rsidR="00A46E38">
        <w:t xml:space="preserve">; </w:t>
      </w:r>
      <w:r w:rsidR="00A46E38" w:rsidRPr="00C02EB3">
        <w:rPr>
          <w:i/>
        </w:rPr>
        <w:t>id.</w:t>
      </w:r>
      <w:r w:rsidR="00A46E38">
        <w:t xml:space="preserve"> at 6770, para. 261 (noting that the purpose of the usage requirements </w:t>
      </w:r>
      <w:r w:rsidR="00F57475">
        <w:t>is</w:t>
      </w:r>
      <w:r w:rsidR="00A46E38">
        <w:t xml:space="preserve"> to ensure that the consumer can demonstrate that he or she “wants to continue receiving the Lifeline supported service</w:t>
      </w:r>
      <w:r w:rsidR="00210D28">
        <w:t>.</w:t>
      </w:r>
      <w:r w:rsidR="00A46E38">
        <w:t>”).</w:t>
      </w:r>
      <w:r>
        <w:t xml:space="preserve"> </w:t>
      </w:r>
    </w:p>
  </w:footnote>
  <w:footnote w:id="13">
    <w:p w:rsidR="00663F48" w:rsidRDefault="00663F48">
      <w:pPr>
        <w:pStyle w:val="FootnoteText"/>
      </w:pPr>
      <w:r>
        <w:rPr>
          <w:rStyle w:val="FootnoteReference"/>
        </w:rPr>
        <w:footnoteRef/>
      </w:r>
      <w:r>
        <w:t xml:space="preserve"> </w:t>
      </w:r>
      <w:r w:rsidRPr="00C02EB3">
        <w:rPr>
          <w:i/>
        </w:rPr>
        <w:t>Cf.</w:t>
      </w:r>
      <w:r>
        <w:t xml:space="preserve"> </w:t>
      </w:r>
      <w:r w:rsidR="00C07D3A">
        <w:rPr>
          <w:i/>
        </w:rPr>
        <w:t>id.</w:t>
      </w:r>
      <w:r w:rsidR="006A17E9">
        <w:t xml:space="preserve"> </w:t>
      </w:r>
      <w:r>
        <w:t xml:space="preserve">at </w:t>
      </w:r>
      <w:r w:rsidR="00256B3C">
        <w:t>6771,</w:t>
      </w:r>
      <w:r>
        <w:t xml:space="preserve"> para</w:t>
      </w:r>
      <w:r w:rsidR="00256B3C">
        <w:t>.</w:t>
      </w:r>
      <w:r>
        <w:t xml:space="preserve"> 263 (</w:t>
      </w:r>
      <w:r w:rsidR="00B33269">
        <w:t>noting one commenter’s</w:t>
      </w:r>
      <w:r>
        <w:t xml:space="preserve"> </w:t>
      </w:r>
      <w:r w:rsidR="00B33269">
        <w:t>assertion</w:t>
      </w:r>
      <w:r>
        <w:t xml:space="preserve"> that even a “minimum payment on post-paid accounts is a clear indication of the subscriber’s intent to maintain the Lifeline service</w:t>
      </w:r>
      <w:r w:rsidR="00210D28">
        <w:t>.</w:t>
      </w:r>
      <w:r>
        <w:t>”)</w:t>
      </w:r>
      <w:r w:rsidR="00256B3C">
        <w:t>.</w:t>
      </w:r>
    </w:p>
  </w:footnote>
  <w:footnote w:id="14">
    <w:p w:rsidR="00017FD6" w:rsidRPr="00017FD6" w:rsidRDefault="00017FD6">
      <w:pPr>
        <w:pStyle w:val="FootnoteText"/>
      </w:pPr>
      <w:r>
        <w:rPr>
          <w:rStyle w:val="FootnoteReference"/>
        </w:rPr>
        <w:footnoteRef/>
      </w:r>
      <w:r>
        <w:t xml:space="preserve"> </w:t>
      </w:r>
      <w:r w:rsidR="003A5A4C" w:rsidRPr="003A5A4C">
        <w:rPr>
          <w:i/>
        </w:rPr>
        <w:t xml:space="preserve">See </w:t>
      </w:r>
      <w:r w:rsidR="00F57475">
        <w:rPr>
          <w:i/>
        </w:rPr>
        <w:t>id.</w:t>
      </w:r>
      <w:r>
        <w:t xml:space="preserve"> at 6767, para. 255.</w:t>
      </w:r>
    </w:p>
  </w:footnote>
  <w:footnote w:id="15">
    <w:p w:rsidR="00017FD6" w:rsidRPr="00017FD6" w:rsidRDefault="00017FD6">
      <w:pPr>
        <w:pStyle w:val="FootnoteText"/>
      </w:pPr>
      <w:r>
        <w:rPr>
          <w:rStyle w:val="FootnoteReference"/>
        </w:rPr>
        <w:footnoteRef/>
      </w:r>
      <w:r>
        <w:t xml:space="preserve"> </w:t>
      </w:r>
      <w:r>
        <w:rPr>
          <w:i/>
        </w:rPr>
        <w:t xml:space="preserve">See </w:t>
      </w:r>
      <w:r w:rsidR="00906308">
        <w:rPr>
          <w:i/>
        </w:rPr>
        <w:t>id.</w:t>
      </w:r>
      <w:r w:rsidR="00F57475">
        <w:t xml:space="preserve"> </w:t>
      </w:r>
      <w:r>
        <w:t>at 6771, para. 263.</w:t>
      </w:r>
    </w:p>
  </w:footnote>
  <w:footnote w:id="16">
    <w:p w:rsidR="00333D70" w:rsidRDefault="00333D70" w:rsidP="00333D70">
      <w:pPr>
        <w:pStyle w:val="FootnoteText"/>
      </w:pPr>
      <w:r>
        <w:rPr>
          <w:rStyle w:val="FootnoteReference"/>
        </w:rPr>
        <w:footnoteRef/>
      </w:r>
      <w:r>
        <w:t xml:space="preserve"> </w:t>
      </w:r>
      <w:r w:rsidR="00906308">
        <w:rPr>
          <w:i/>
          <w:iCs/>
        </w:rPr>
        <w:t>Id.</w:t>
      </w:r>
      <w:r w:rsidR="006A17E9">
        <w:t xml:space="preserve"> </w:t>
      </w:r>
      <w:r>
        <w:t>at 6857, para. 507 (delegating to the Bureau the authority to make rule revisions as necessary to ensure that the reforms adopted in that order are properly reflected in the rules).</w:t>
      </w:r>
    </w:p>
  </w:footnote>
  <w:footnote w:id="17">
    <w:p w:rsidR="00377D8B" w:rsidRDefault="00377D8B">
      <w:pPr>
        <w:pStyle w:val="FootnoteText"/>
      </w:pPr>
      <w:r>
        <w:rPr>
          <w:rStyle w:val="FootnoteReference"/>
        </w:rPr>
        <w:footnoteRef/>
      </w:r>
      <w:r>
        <w:t xml:space="preserve"> </w:t>
      </w:r>
      <w:r>
        <w:rPr>
          <w:i/>
          <w:iCs/>
          <w:szCs w:val="22"/>
        </w:rPr>
        <w:t>S</w:t>
      </w:r>
      <w:r w:rsidRPr="005A7535">
        <w:rPr>
          <w:i/>
          <w:iCs/>
          <w:szCs w:val="22"/>
        </w:rPr>
        <w:t xml:space="preserve">ee </w:t>
      </w:r>
      <w:r w:rsidRPr="005A7535">
        <w:rPr>
          <w:szCs w:val="22"/>
        </w:rPr>
        <w:t>5 U.S.C. § 801(a)(1)(A).</w:t>
      </w:r>
    </w:p>
  </w:footnote>
  <w:footnote w:id="18">
    <w:p w:rsidR="00AB4C35" w:rsidRPr="00AB4C35" w:rsidRDefault="00AB4C35">
      <w:pPr>
        <w:pStyle w:val="FootnoteText"/>
      </w:pPr>
      <w:r>
        <w:rPr>
          <w:rStyle w:val="FootnoteReference"/>
        </w:rPr>
        <w:footnoteRef/>
      </w:r>
      <w:r>
        <w:t xml:space="preserve"> The RFA, </w:t>
      </w:r>
      <w:r>
        <w:rPr>
          <w:i/>
        </w:rPr>
        <w:t>see</w:t>
      </w:r>
      <w:r>
        <w:t xml:space="preserve"> 5 U.S.C. § 601 </w:t>
      </w:r>
      <w:r>
        <w:rPr>
          <w:i/>
        </w:rPr>
        <w:t>et seq</w:t>
      </w:r>
      <w:r>
        <w:t>., has been amended by the Contract with America Advancement Act of 1996, Pub. L. No. 104-121, 110 Stat. 847 (1996) (CWAAA).  Title II of the CWAAA is the Small Business Regulatory Enforcement Fairness Act of 1996 (SBREFA).</w:t>
      </w:r>
    </w:p>
  </w:footnote>
  <w:footnote w:id="19">
    <w:p w:rsidR="00AB4C35" w:rsidRDefault="00AB4C35">
      <w:pPr>
        <w:pStyle w:val="FootnoteText"/>
      </w:pPr>
      <w:r>
        <w:rPr>
          <w:rStyle w:val="FootnoteReference"/>
        </w:rPr>
        <w:footnoteRef/>
      </w:r>
      <w:r>
        <w:t xml:space="preserve"> 5 U.S.C. § 605(b).</w:t>
      </w:r>
    </w:p>
  </w:footnote>
  <w:footnote w:id="20">
    <w:p w:rsidR="00AB4C35" w:rsidRDefault="00AB4C35">
      <w:pPr>
        <w:pStyle w:val="FootnoteText"/>
      </w:pPr>
      <w:r>
        <w:rPr>
          <w:rStyle w:val="FootnoteReference"/>
        </w:rPr>
        <w:footnoteRef/>
      </w:r>
      <w:r>
        <w:t xml:space="preserve"> 5 U.S.C. § 601(6).</w:t>
      </w:r>
    </w:p>
  </w:footnote>
  <w:footnote w:id="21">
    <w:p w:rsidR="00AB4C35" w:rsidRDefault="00AB4C35">
      <w:pPr>
        <w:pStyle w:val="FootnoteText"/>
      </w:pPr>
      <w:r>
        <w:rPr>
          <w:rStyle w:val="FootnoteReference"/>
        </w:rPr>
        <w:footnoteRef/>
      </w:r>
      <w:r>
        <w:t xml:space="preserve"> 5 U.S.C. § 601(3) (incorporating by reference the definition of “small business concern” in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w:t>
      </w:r>
      <w:r w:rsidR="00630E37">
        <w:t xml:space="preserve"> of such term which are appropriate to the activities of the agency and publishes such definition(s) in the Federal Register.” 5 U.S.C. § 601(3).</w:t>
      </w:r>
    </w:p>
  </w:footnote>
  <w:footnote w:id="22">
    <w:p w:rsidR="00630E37" w:rsidRDefault="00630E37">
      <w:pPr>
        <w:pStyle w:val="FootnoteText"/>
      </w:pPr>
      <w:r>
        <w:rPr>
          <w:rStyle w:val="FootnoteReference"/>
        </w:rPr>
        <w:footnoteRef/>
      </w:r>
      <w:r>
        <w:t xml:space="preserve"> Small Business Act, 15 U.S.C. § 632.</w:t>
      </w:r>
    </w:p>
  </w:footnote>
  <w:footnote w:id="23">
    <w:p w:rsidR="00630E37" w:rsidRPr="00630E37" w:rsidRDefault="00630E37">
      <w:pPr>
        <w:pStyle w:val="FootnoteText"/>
      </w:pPr>
      <w:r>
        <w:rPr>
          <w:rStyle w:val="FootnoteReference"/>
        </w:rPr>
        <w:footnoteRef/>
      </w:r>
      <w:r>
        <w:t xml:space="preserve"> </w:t>
      </w:r>
      <w:r>
        <w:rPr>
          <w:i/>
        </w:rPr>
        <w:t>See Lifeline Reform Order</w:t>
      </w:r>
      <w:r>
        <w:t>, 27 FCC Rcd at</w:t>
      </w:r>
      <w:r w:rsidR="005F65BC">
        <w:t xml:space="preserve"> 6910-30, </w:t>
      </w:r>
      <w:r>
        <w:t>App. J.</w:t>
      </w:r>
    </w:p>
  </w:footnote>
  <w:footnote w:id="24">
    <w:p w:rsidR="005F65BC" w:rsidRDefault="005F65BC">
      <w:pPr>
        <w:pStyle w:val="FootnoteText"/>
      </w:pPr>
      <w:r>
        <w:rPr>
          <w:rStyle w:val="FootnoteReference"/>
        </w:rPr>
        <w:footnoteRef/>
      </w:r>
      <w:r>
        <w:t xml:space="preserve"> 15 U.S.C. § 632.</w:t>
      </w:r>
    </w:p>
  </w:footnote>
  <w:footnote w:id="25">
    <w:p w:rsidR="005F65BC" w:rsidRPr="005F65BC" w:rsidRDefault="005F65BC">
      <w:pPr>
        <w:pStyle w:val="FootnoteText"/>
      </w:pPr>
      <w:r>
        <w:rPr>
          <w:rStyle w:val="FootnoteReference"/>
        </w:rPr>
        <w:footnoteRef/>
      </w:r>
      <w:r>
        <w:t xml:space="preserve"> </w:t>
      </w:r>
      <w:r>
        <w:rPr>
          <w:i/>
        </w:rPr>
        <w:t>Id.</w:t>
      </w:r>
    </w:p>
  </w:footnote>
  <w:footnote w:id="26">
    <w:p w:rsidR="00EC0E20" w:rsidRPr="00EC0E20" w:rsidRDefault="00EC0E20">
      <w:pPr>
        <w:pStyle w:val="FootnoteText"/>
      </w:pPr>
      <w:r>
        <w:rPr>
          <w:rStyle w:val="FootnoteReference"/>
        </w:rPr>
        <w:footnoteRef/>
      </w:r>
      <w:r>
        <w:t xml:space="preserve"> </w:t>
      </w:r>
      <w:r>
        <w:rPr>
          <w:i/>
        </w:rPr>
        <w:t>See</w:t>
      </w:r>
      <w:r>
        <w:t xml:space="preserve"> 44 U.S.C. § 3506(c)(4).</w:t>
      </w:r>
    </w:p>
  </w:footnote>
  <w:footnote w:id="27">
    <w:p w:rsidR="00377D8B" w:rsidRDefault="00377D8B">
      <w:pPr>
        <w:pStyle w:val="FootnoteText"/>
      </w:pPr>
      <w:r>
        <w:rPr>
          <w:rStyle w:val="FootnoteReference"/>
        </w:rPr>
        <w:footnoteRef/>
      </w:r>
      <w:r>
        <w:t xml:space="preserve"> </w:t>
      </w:r>
      <w:r>
        <w:rPr>
          <w:i/>
          <w:iCs/>
          <w:szCs w:val="22"/>
        </w:rPr>
        <w:t>S</w:t>
      </w:r>
      <w:r w:rsidRPr="005A7535">
        <w:rPr>
          <w:i/>
          <w:iCs/>
          <w:szCs w:val="22"/>
        </w:rPr>
        <w:t xml:space="preserve">ee </w:t>
      </w:r>
      <w:r w:rsidRPr="005A7535">
        <w:rPr>
          <w:szCs w:val="22"/>
        </w:rPr>
        <w:t>5 U.S.C. § 801(a)(1)(A).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F2D" w:rsidRDefault="00EC5F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5CF" w:rsidRDefault="007115CF" w:rsidP="00706F44">
    <w:pPr>
      <w:pStyle w:val="Header"/>
    </w:pPr>
    <w:r>
      <w:tab/>
      <w:t>Federal</w:t>
    </w:r>
    <w:r w:rsidR="00210D28">
      <w:t xml:space="preserve"> Communications Commission</w:t>
    </w:r>
    <w:r w:rsidR="00210D28">
      <w:tab/>
      <w:t>DA 15</w:t>
    </w:r>
    <w:r>
      <w:t>-</w:t>
    </w:r>
    <w:r w:rsidR="008D2F2C">
      <w:t>398</w:t>
    </w:r>
    <w:r>
      <w:t xml:space="preserve"> </w:t>
    </w:r>
  </w:p>
  <w:p w:rsidR="007115CF" w:rsidRDefault="00972A14" w:rsidP="00706F44">
    <w:pPr>
      <w:pStyle w:val="Header"/>
    </w:pPr>
    <w:r>
      <w:rPr>
        <w:noProof/>
        <w:snapToGrid/>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7115CF" w:rsidRDefault="007115CF" w:rsidP="00706F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5CF" w:rsidRDefault="007115CF" w:rsidP="00706F44">
    <w:pPr>
      <w:pStyle w:val="Header"/>
    </w:pPr>
    <w:r>
      <w:tab/>
      <w:t>Federal</w:t>
    </w:r>
    <w:r w:rsidR="00293532">
      <w:t xml:space="preserve"> Communications Commission</w:t>
    </w:r>
    <w:r w:rsidR="00293532">
      <w:tab/>
      <w:t>DA 15</w:t>
    </w:r>
    <w:r>
      <w:t>-</w:t>
    </w:r>
    <w:r w:rsidR="008D2F2C">
      <w:t>398</w:t>
    </w:r>
  </w:p>
  <w:p w:rsidR="007115CF" w:rsidRDefault="00972A14" w:rsidP="00706F44">
    <w:pPr>
      <w:pStyle w:val="Header"/>
    </w:pPr>
    <w:r>
      <w:rPr>
        <w:noProof/>
        <w:snapToGrid/>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113E6"/>
    <w:multiLevelType w:val="hybridMultilevel"/>
    <w:tmpl w:val="1D581F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1DE4A87"/>
    <w:multiLevelType w:val="hybridMultilevel"/>
    <w:tmpl w:val="0B88D8D2"/>
    <w:lvl w:ilvl="0" w:tplc="51BAC2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D352F9"/>
    <w:multiLevelType w:val="hybridMultilevel"/>
    <w:tmpl w:val="EB9C6640"/>
    <w:lvl w:ilvl="0" w:tplc="0DD2A79C">
      <w:start w:val="1"/>
      <w:numFmt w:val="decimal"/>
      <w:lvlText w:val="%1."/>
      <w:lvlJc w:val="left"/>
      <w:pPr>
        <w:ind w:left="36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nsid w:val="7D3C350E"/>
    <w:multiLevelType w:val="hybridMultilevel"/>
    <w:tmpl w:val="624A2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9"/>
  </w:num>
  <w:num w:numId="5">
    <w:abstractNumId w:val="4"/>
  </w:num>
  <w:num w:numId="6">
    <w:abstractNumId w:val="2"/>
  </w:num>
  <w:num w:numId="7">
    <w:abstractNumId w:val="7"/>
  </w:num>
  <w:num w:numId="8">
    <w:abstractNumId w:val="3"/>
  </w:num>
  <w:num w:numId="9">
    <w:abstractNumId w:val="1"/>
  </w:num>
  <w:num w:numId="10">
    <w:abstractNumId w:val="9"/>
  </w:num>
  <w:num w:numId="11">
    <w:abstractNumId w:val="9"/>
  </w:num>
  <w:num w:numId="12">
    <w:abstractNumId w:val="0"/>
  </w:num>
  <w:num w:numId="13">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DE7"/>
    <w:rsid w:val="0000115A"/>
    <w:rsid w:val="0000203D"/>
    <w:rsid w:val="000068B3"/>
    <w:rsid w:val="0000729E"/>
    <w:rsid w:val="00016CEA"/>
    <w:rsid w:val="00017FD6"/>
    <w:rsid w:val="000333F4"/>
    <w:rsid w:val="00036001"/>
    <w:rsid w:val="000363D2"/>
    <w:rsid w:val="00037F73"/>
    <w:rsid w:val="000433A2"/>
    <w:rsid w:val="00050716"/>
    <w:rsid w:val="000522D0"/>
    <w:rsid w:val="00052590"/>
    <w:rsid w:val="0006249A"/>
    <w:rsid w:val="000674FA"/>
    <w:rsid w:val="00071D9C"/>
    <w:rsid w:val="00073848"/>
    <w:rsid w:val="00083532"/>
    <w:rsid w:val="00084B94"/>
    <w:rsid w:val="000850C2"/>
    <w:rsid w:val="000866B9"/>
    <w:rsid w:val="00087063"/>
    <w:rsid w:val="00092562"/>
    <w:rsid w:val="0009416E"/>
    <w:rsid w:val="000A04CE"/>
    <w:rsid w:val="000A4064"/>
    <w:rsid w:val="000A6A7E"/>
    <w:rsid w:val="000A7254"/>
    <w:rsid w:val="000B3008"/>
    <w:rsid w:val="000B35E6"/>
    <w:rsid w:val="000B542A"/>
    <w:rsid w:val="000B6CAD"/>
    <w:rsid w:val="000C4C10"/>
    <w:rsid w:val="000C6132"/>
    <w:rsid w:val="000D05A0"/>
    <w:rsid w:val="000D22DD"/>
    <w:rsid w:val="000D677D"/>
    <w:rsid w:val="000D6B8C"/>
    <w:rsid w:val="000D7DB3"/>
    <w:rsid w:val="000E1F19"/>
    <w:rsid w:val="000E5E81"/>
    <w:rsid w:val="000E60E4"/>
    <w:rsid w:val="000F612A"/>
    <w:rsid w:val="000F68A7"/>
    <w:rsid w:val="00103B58"/>
    <w:rsid w:val="00110EB3"/>
    <w:rsid w:val="00112236"/>
    <w:rsid w:val="001140EE"/>
    <w:rsid w:val="0011512D"/>
    <w:rsid w:val="00115A17"/>
    <w:rsid w:val="00116D1C"/>
    <w:rsid w:val="00130C79"/>
    <w:rsid w:val="00131DE4"/>
    <w:rsid w:val="00140AD0"/>
    <w:rsid w:val="001460D1"/>
    <w:rsid w:val="0015205D"/>
    <w:rsid w:val="00154F17"/>
    <w:rsid w:val="00160AE0"/>
    <w:rsid w:val="00162EEB"/>
    <w:rsid w:val="00164A96"/>
    <w:rsid w:val="0017292C"/>
    <w:rsid w:val="00173A87"/>
    <w:rsid w:val="0017798F"/>
    <w:rsid w:val="00181603"/>
    <w:rsid w:val="0018777A"/>
    <w:rsid w:val="001917D0"/>
    <w:rsid w:val="0019242C"/>
    <w:rsid w:val="00193B7F"/>
    <w:rsid w:val="001942F0"/>
    <w:rsid w:val="00197431"/>
    <w:rsid w:val="00197E7A"/>
    <w:rsid w:val="001A0ED2"/>
    <w:rsid w:val="001A374D"/>
    <w:rsid w:val="001A4D11"/>
    <w:rsid w:val="001A4F0C"/>
    <w:rsid w:val="001A7DC6"/>
    <w:rsid w:val="001B13C8"/>
    <w:rsid w:val="001B3131"/>
    <w:rsid w:val="001B3567"/>
    <w:rsid w:val="001B41B6"/>
    <w:rsid w:val="001B6F61"/>
    <w:rsid w:val="001B7CA9"/>
    <w:rsid w:val="001C1627"/>
    <w:rsid w:val="001C5F05"/>
    <w:rsid w:val="001C6CB7"/>
    <w:rsid w:val="001D5F80"/>
    <w:rsid w:val="001E17CA"/>
    <w:rsid w:val="001E4266"/>
    <w:rsid w:val="001E6E73"/>
    <w:rsid w:val="001E7625"/>
    <w:rsid w:val="001F3016"/>
    <w:rsid w:val="001F349E"/>
    <w:rsid w:val="001F4C37"/>
    <w:rsid w:val="002007D1"/>
    <w:rsid w:val="00203970"/>
    <w:rsid w:val="0020415C"/>
    <w:rsid w:val="00206926"/>
    <w:rsid w:val="002106C2"/>
    <w:rsid w:val="00210D28"/>
    <w:rsid w:val="00211244"/>
    <w:rsid w:val="00212150"/>
    <w:rsid w:val="00231FC7"/>
    <w:rsid w:val="0024517E"/>
    <w:rsid w:val="0024665B"/>
    <w:rsid w:val="00247045"/>
    <w:rsid w:val="00250770"/>
    <w:rsid w:val="0025189C"/>
    <w:rsid w:val="0025194B"/>
    <w:rsid w:val="00252348"/>
    <w:rsid w:val="002529ED"/>
    <w:rsid w:val="0025316A"/>
    <w:rsid w:val="00253D10"/>
    <w:rsid w:val="00256B3C"/>
    <w:rsid w:val="002611BA"/>
    <w:rsid w:val="00261CB9"/>
    <w:rsid w:val="00262F52"/>
    <w:rsid w:val="00264035"/>
    <w:rsid w:val="00266D45"/>
    <w:rsid w:val="00266FDA"/>
    <w:rsid w:val="0027246B"/>
    <w:rsid w:val="00272AB3"/>
    <w:rsid w:val="00272FE0"/>
    <w:rsid w:val="002730F1"/>
    <w:rsid w:val="002763DB"/>
    <w:rsid w:val="0028036F"/>
    <w:rsid w:val="00281DF2"/>
    <w:rsid w:val="00284743"/>
    <w:rsid w:val="0029202E"/>
    <w:rsid w:val="00292AE1"/>
    <w:rsid w:val="00293532"/>
    <w:rsid w:val="002942C8"/>
    <w:rsid w:val="002962F1"/>
    <w:rsid w:val="002A1A8D"/>
    <w:rsid w:val="002A453F"/>
    <w:rsid w:val="002A704E"/>
    <w:rsid w:val="002B261A"/>
    <w:rsid w:val="002B5F3E"/>
    <w:rsid w:val="002B78ED"/>
    <w:rsid w:val="002C10D8"/>
    <w:rsid w:val="002C3FBD"/>
    <w:rsid w:val="002C58A2"/>
    <w:rsid w:val="002C7826"/>
    <w:rsid w:val="002D7F41"/>
    <w:rsid w:val="002E20E4"/>
    <w:rsid w:val="002E34EE"/>
    <w:rsid w:val="002E522C"/>
    <w:rsid w:val="002E5F1C"/>
    <w:rsid w:val="002E68A9"/>
    <w:rsid w:val="002E7514"/>
    <w:rsid w:val="002F6E51"/>
    <w:rsid w:val="003006D7"/>
    <w:rsid w:val="003025F8"/>
    <w:rsid w:val="003029A4"/>
    <w:rsid w:val="003052DB"/>
    <w:rsid w:val="0030585B"/>
    <w:rsid w:val="00307021"/>
    <w:rsid w:val="003116F8"/>
    <w:rsid w:val="003243B1"/>
    <w:rsid w:val="00327B19"/>
    <w:rsid w:val="00333D70"/>
    <w:rsid w:val="003364C0"/>
    <w:rsid w:val="0033728F"/>
    <w:rsid w:val="0034052C"/>
    <w:rsid w:val="003437DA"/>
    <w:rsid w:val="0034398D"/>
    <w:rsid w:val="00347128"/>
    <w:rsid w:val="0034763C"/>
    <w:rsid w:val="00353591"/>
    <w:rsid w:val="00361861"/>
    <w:rsid w:val="00363BA1"/>
    <w:rsid w:val="003669D5"/>
    <w:rsid w:val="00373980"/>
    <w:rsid w:val="003760C5"/>
    <w:rsid w:val="00376713"/>
    <w:rsid w:val="00376A30"/>
    <w:rsid w:val="00377D8B"/>
    <w:rsid w:val="003807B5"/>
    <w:rsid w:val="00390D2B"/>
    <w:rsid w:val="00394DC3"/>
    <w:rsid w:val="003A0143"/>
    <w:rsid w:val="003A1373"/>
    <w:rsid w:val="003A5A4C"/>
    <w:rsid w:val="003A70F4"/>
    <w:rsid w:val="003A7FD7"/>
    <w:rsid w:val="003B14BC"/>
    <w:rsid w:val="003B29B9"/>
    <w:rsid w:val="003B3CF3"/>
    <w:rsid w:val="003C177D"/>
    <w:rsid w:val="003C2E7F"/>
    <w:rsid w:val="003C2F00"/>
    <w:rsid w:val="003C6314"/>
    <w:rsid w:val="003D4AA0"/>
    <w:rsid w:val="003D72AF"/>
    <w:rsid w:val="003E190D"/>
    <w:rsid w:val="003E3F92"/>
    <w:rsid w:val="003E7939"/>
    <w:rsid w:val="003E7ED9"/>
    <w:rsid w:val="003F1CE6"/>
    <w:rsid w:val="003F3877"/>
    <w:rsid w:val="003F7E17"/>
    <w:rsid w:val="004028C1"/>
    <w:rsid w:val="00402F3E"/>
    <w:rsid w:val="00411FA6"/>
    <w:rsid w:val="00416DE7"/>
    <w:rsid w:val="004212A4"/>
    <w:rsid w:val="00423118"/>
    <w:rsid w:val="00423868"/>
    <w:rsid w:val="004253E5"/>
    <w:rsid w:val="004274FB"/>
    <w:rsid w:val="00432880"/>
    <w:rsid w:val="00433DAE"/>
    <w:rsid w:val="00437E19"/>
    <w:rsid w:val="00437F91"/>
    <w:rsid w:val="0044335D"/>
    <w:rsid w:val="0044596C"/>
    <w:rsid w:val="004478F2"/>
    <w:rsid w:val="004516C3"/>
    <w:rsid w:val="004524A7"/>
    <w:rsid w:val="00452995"/>
    <w:rsid w:val="0045596F"/>
    <w:rsid w:val="00457935"/>
    <w:rsid w:val="00466DC7"/>
    <w:rsid w:val="00467FA5"/>
    <w:rsid w:val="00473443"/>
    <w:rsid w:val="00473E1F"/>
    <w:rsid w:val="00474E72"/>
    <w:rsid w:val="004766EF"/>
    <w:rsid w:val="004817C9"/>
    <w:rsid w:val="00483F02"/>
    <w:rsid w:val="0048518D"/>
    <w:rsid w:val="00486ED5"/>
    <w:rsid w:val="00490696"/>
    <w:rsid w:val="00491385"/>
    <w:rsid w:val="004920F3"/>
    <w:rsid w:val="00492C54"/>
    <w:rsid w:val="00494B88"/>
    <w:rsid w:val="004A1949"/>
    <w:rsid w:val="004A7E4D"/>
    <w:rsid w:val="004B2D21"/>
    <w:rsid w:val="004B3948"/>
    <w:rsid w:val="004B5462"/>
    <w:rsid w:val="004B78D0"/>
    <w:rsid w:val="004C5A94"/>
    <w:rsid w:val="004C7C4A"/>
    <w:rsid w:val="004D4349"/>
    <w:rsid w:val="004E099C"/>
    <w:rsid w:val="004E1E76"/>
    <w:rsid w:val="004E25C9"/>
    <w:rsid w:val="004E39CE"/>
    <w:rsid w:val="004E5A8F"/>
    <w:rsid w:val="004E6BFC"/>
    <w:rsid w:val="004F3A4B"/>
    <w:rsid w:val="004F4C61"/>
    <w:rsid w:val="004F558D"/>
    <w:rsid w:val="004F656B"/>
    <w:rsid w:val="004F7537"/>
    <w:rsid w:val="005002A4"/>
    <w:rsid w:val="0050089B"/>
    <w:rsid w:val="005052A0"/>
    <w:rsid w:val="00517396"/>
    <w:rsid w:val="0051793A"/>
    <w:rsid w:val="00523836"/>
    <w:rsid w:val="0052443D"/>
    <w:rsid w:val="00530043"/>
    <w:rsid w:val="00531665"/>
    <w:rsid w:val="00534A40"/>
    <w:rsid w:val="00536BB6"/>
    <w:rsid w:val="0054529C"/>
    <w:rsid w:val="00550ACD"/>
    <w:rsid w:val="00550CFC"/>
    <w:rsid w:val="0055275B"/>
    <w:rsid w:val="00553FB0"/>
    <w:rsid w:val="00554559"/>
    <w:rsid w:val="00556880"/>
    <w:rsid w:val="005611AA"/>
    <w:rsid w:val="00572345"/>
    <w:rsid w:val="005767A2"/>
    <w:rsid w:val="005775DD"/>
    <w:rsid w:val="00580B4D"/>
    <w:rsid w:val="005828D3"/>
    <w:rsid w:val="00584410"/>
    <w:rsid w:val="0058561B"/>
    <w:rsid w:val="00592B3C"/>
    <w:rsid w:val="00593A5D"/>
    <w:rsid w:val="00593DF0"/>
    <w:rsid w:val="00594B8C"/>
    <w:rsid w:val="005A0638"/>
    <w:rsid w:val="005A10BB"/>
    <w:rsid w:val="005A68F6"/>
    <w:rsid w:val="005A7535"/>
    <w:rsid w:val="005B2953"/>
    <w:rsid w:val="005C0873"/>
    <w:rsid w:val="005D39F3"/>
    <w:rsid w:val="005D45AB"/>
    <w:rsid w:val="005D52B6"/>
    <w:rsid w:val="005D5F73"/>
    <w:rsid w:val="005E0E55"/>
    <w:rsid w:val="005E2741"/>
    <w:rsid w:val="005E4B46"/>
    <w:rsid w:val="005F2972"/>
    <w:rsid w:val="005F5ADD"/>
    <w:rsid w:val="005F65BC"/>
    <w:rsid w:val="00602135"/>
    <w:rsid w:val="006042F4"/>
    <w:rsid w:val="00604B22"/>
    <w:rsid w:val="00605190"/>
    <w:rsid w:val="00607CC3"/>
    <w:rsid w:val="00613C6B"/>
    <w:rsid w:val="00614A5D"/>
    <w:rsid w:val="00614AC7"/>
    <w:rsid w:val="00614D7E"/>
    <w:rsid w:val="00616556"/>
    <w:rsid w:val="00623111"/>
    <w:rsid w:val="006235B0"/>
    <w:rsid w:val="00624B9C"/>
    <w:rsid w:val="00630046"/>
    <w:rsid w:val="006301CB"/>
    <w:rsid w:val="00630296"/>
    <w:rsid w:val="00630E37"/>
    <w:rsid w:val="00631EF8"/>
    <w:rsid w:val="00633EE1"/>
    <w:rsid w:val="0064413A"/>
    <w:rsid w:val="0065246A"/>
    <w:rsid w:val="00652AF7"/>
    <w:rsid w:val="00654CF5"/>
    <w:rsid w:val="00655C23"/>
    <w:rsid w:val="0065789D"/>
    <w:rsid w:val="00663F48"/>
    <w:rsid w:val="0067072E"/>
    <w:rsid w:val="006710E2"/>
    <w:rsid w:val="00673453"/>
    <w:rsid w:val="0067577C"/>
    <w:rsid w:val="006867BC"/>
    <w:rsid w:val="0069067B"/>
    <w:rsid w:val="00690853"/>
    <w:rsid w:val="00696E82"/>
    <w:rsid w:val="006A17E9"/>
    <w:rsid w:val="006A47E8"/>
    <w:rsid w:val="006A566D"/>
    <w:rsid w:val="006B1143"/>
    <w:rsid w:val="006B18A9"/>
    <w:rsid w:val="006B2251"/>
    <w:rsid w:val="006B4409"/>
    <w:rsid w:val="006B46ED"/>
    <w:rsid w:val="006B4E67"/>
    <w:rsid w:val="006C0569"/>
    <w:rsid w:val="006C1A58"/>
    <w:rsid w:val="006D16E6"/>
    <w:rsid w:val="006D2A9B"/>
    <w:rsid w:val="006D37DC"/>
    <w:rsid w:val="006D4256"/>
    <w:rsid w:val="006D517C"/>
    <w:rsid w:val="006D5D07"/>
    <w:rsid w:val="006E4A73"/>
    <w:rsid w:val="006E4B76"/>
    <w:rsid w:val="006E5593"/>
    <w:rsid w:val="006E5BD9"/>
    <w:rsid w:val="006F3F22"/>
    <w:rsid w:val="006F424B"/>
    <w:rsid w:val="00701676"/>
    <w:rsid w:val="00705843"/>
    <w:rsid w:val="00706F44"/>
    <w:rsid w:val="00707056"/>
    <w:rsid w:val="007114B5"/>
    <w:rsid w:val="007115CF"/>
    <w:rsid w:val="007233E0"/>
    <w:rsid w:val="00730DED"/>
    <w:rsid w:val="0073177E"/>
    <w:rsid w:val="007353D7"/>
    <w:rsid w:val="00736476"/>
    <w:rsid w:val="00737840"/>
    <w:rsid w:val="00737C0B"/>
    <w:rsid w:val="007413F6"/>
    <w:rsid w:val="00761541"/>
    <w:rsid w:val="00762DA4"/>
    <w:rsid w:val="007732F9"/>
    <w:rsid w:val="00773999"/>
    <w:rsid w:val="00783D21"/>
    <w:rsid w:val="00785FFB"/>
    <w:rsid w:val="00796324"/>
    <w:rsid w:val="007964B2"/>
    <w:rsid w:val="0079734F"/>
    <w:rsid w:val="007A3935"/>
    <w:rsid w:val="007A43EB"/>
    <w:rsid w:val="007A722D"/>
    <w:rsid w:val="007B02E8"/>
    <w:rsid w:val="007B0947"/>
    <w:rsid w:val="007B0E70"/>
    <w:rsid w:val="007B2B81"/>
    <w:rsid w:val="007B33D3"/>
    <w:rsid w:val="007B5446"/>
    <w:rsid w:val="007D2A45"/>
    <w:rsid w:val="007D516E"/>
    <w:rsid w:val="007D541D"/>
    <w:rsid w:val="007E3E4A"/>
    <w:rsid w:val="007E468D"/>
    <w:rsid w:val="007E5213"/>
    <w:rsid w:val="007F021D"/>
    <w:rsid w:val="007F1F7B"/>
    <w:rsid w:val="007F2D7D"/>
    <w:rsid w:val="007F2E5B"/>
    <w:rsid w:val="007F7F7B"/>
    <w:rsid w:val="00805758"/>
    <w:rsid w:val="00806241"/>
    <w:rsid w:val="0081244E"/>
    <w:rsid w:val="008146BC"/>
    <w:rsid w:val="00815CB3"/>
    <w:rsid w:val="00821483"/>
    <w:rsid w:val="00823ACD"/>
    <w:rsid w:val="00824F32"/>
    <w:rsid w:val="00827156"/>
    <w:rsid w:val="00830FBF"/>
    <w:rsid w:val="008343FD"/>
    <w:rsid w:val="00836A3F"/>
    <w:rsid w:val="00842379"/>
    <w:rsid w:val="008440F8"/>
    <w:rsid w:val="00846869"/>
    <w:rsid w:val="00847321"/>
    <w:rsid w:val="008508DA"/>
    <w:rsid w:val="00853308"/>
    <w:rsid w:val="0085462C"/>
    <w:rsid w:val="00854865"/>
    <w:rsid w:val="00854CC3"/>
    <w:rsid w:val="00866442"/>
    <w:rsid w:val="008707A1"/>
    <w:rsid w:val="00875D0E"/>
    <w:rsid w:val="00880AF1"/>
    <w:rsid w:val="00881221"/>
    <w:rsid w:val="00881A22"/>
    <w:rsid w:val="00885310"/>
    <w:rsid w:val="0088673E"/>
    <w:rsid w:val="00891F9A"/>
    <w:rsid w:val="0089557C"/>
    <w:rsid w:val="008A246E"/>
    <w:rsid w:val="008A2E30"/>
    <w:rsid w:val="008A78F8"/>
    <w:rsid w:val="008B0443"/>
    <w:rsid w:val="008B1ED1"/>
    <w:rsid w:val="008B5043"/>
    <w:rsid w:val="008C3114"/>
    <w:rsid w:val="008C68D1"/>
    <w:rsid w:val="008D2F2C"/>
    <w:rsid w:val="008E23F9"/>
    <w:rsid w:val="008E24F9"/>
    <w:rsid w:val="008E493B"/>
    <w:rsid w:val="008E6B65"/>
    <w:rsid w:val="008E70CB"/>
    <w:rsid w:val="008F2214"/>
    <w:rsid w:val="008F3E93"/>
    <w:rsid w:val="008F5D42"/>
    <w:rsid w:val="00901BBE"/>
    <w:rsid w:val="00903948"/>
    <w:rsid w:val="00905036"/>
    <w:rsid w:val="00905131"/>
    <w:rsid w:val="00905832"/>
    <w:rsid w:val="00906308"/>
    <w:rsid w:val="00907269"/>
    <w:rsid w:val="00914306"/>
    <w:rsid w:val="009153DE"/>
    <w:rsid w:val="009217EE"/>
    <w:rsid w:val="00922DDD"/>
    <w:rsid w:val="0092528D"/>
    <w:rsid w:val="00936A9F"/>
    <w:rsid w:val="009371D5"/>
    <w:rsid w:val="00943D68"/>
    <w:rsid w:val="00944F20"/>
    <w:rsid w:val="00953226"/>
    <w:rsid w:val="00960FFA"/>
    <w:rsid w:val="0096167F"/>
    <w:rsid w:val="00964A6F"/>
    <w:rsid w:val="00970388"/>
    <w:rsid w:val="0097199B"/>
    <w:rsid w:val="00972A14"/>
    <w:rsid w:val="00972CD9"/>
    <w:rsid w:val="00972D3D"/>
    <w:rsid w:val="009738C7"/>
    <w:rsid w:val="00976624"/>
    <w:rsid w:val="009808EC"/>
    <w:rsid w:val="009821EF"/>
    <w:rsid w:val="009822EA"/>
    <w:rsid w:val="00983475"/>
    <w:rsid w:val="00983FBF"/>
    <w:rsid w:val="00990598"/>
    <w:rsid w:val="00991599"/>
    <w:rsid w:val="009938CD"/>
    <w:rsid w:val="00994A06"/>
    <w:rsid w:val="00996286"/>
    <w:rsid w:val="009A2485"/>
    <w:rsid w:val="009A3277"/>
    <w:rsid w:val="009A7BAC"/>
    <w:rsid w:val="009B3D13"/>
    <w:rsid w:val="009B3EA4"/>
    <w:rsid w:val="009B3F37"/>
    <w:rsid w:val="009B45D2"/>
    <w:rsid w:val="009B6299"/>
    <w:rsid w:val="009C0592"/>
    <w:rsid w:val="009C16C1"/>
    <w:rsid w:val="009C35F7"/>
    <w:rsid w:val="009C7BB5"/>
    <w:rsid w:val="009D125E"/>
    <w:rsid w:val="009D29A3"/>
    <w:rsid w:val="009D708C"/>
    <w:rsid w:val="009F1368"/>
    <w:rsid w:val="009F17AA"/>
    <w:rsid w:val="009F5A41"/>
    <w:rsid w:val="009F69EC"/>
    <w:rsid w:val="009F7CA8"/>
    <w:rsid w:val="00A008F8"/>
    <w:rsid w:val="00A01C5C"/>
    <w:rsid w:val="00A04077"/>
    <w:rsid w:val="00A07448"/>
    <w:rsid w:val="00A1103A"/>
    <w:rsid w:val="00A20653"/>
    <w:rsid w:val="00A236DD"/>
    <w:rsid w:val="00A243D7"/>
    <w:rsid w:val="00A3154E"/>
    <w:rsid w:val="00A3304A"/>
    <w:rsid w:val="00A42E8C"/>
    <w:rsid w:val="00A44A6B"/>
    <w:rsid w:val="00A46401"/>
    <w:rsid w:val="00A46BE5"/>
    <w:rsid w:val="00A46E38"/>
    <w:rsid w:val="00A5054E"/>
    <w:rsid w:val="00A57392"/>
    <w:rsid w:val="00A66E48"/>
    <w:rsid w:val="00A704C8"/>
    <w:rsid w:val="00A722B2"/>
    <w:rsid w:val="00A72EC2"/>
    <w:rsid w:val="00A7562F"/>
    <w:rsid w:val="00A8477C"/>
    <w:rsid w:val="00A96B5D"/>
    <w:rsid w:val="00A96CC2"/>
    <w:rsid w:val="00A9718F"/>
    <w:rsid w:val="00AA180E"/>
    <w:rsid w:val="00AA3985"/>
    <w:rsid w:val="00AA44C8"/>
    <w:rsid w:val="00AB4C35"/>
    <w:rsid w:val="00AC592E"/>
    <w:rsid w:val="00AC68AB"/>
    <w:rsid w:val="00AC7370"/>
    <w:rsid w:val="00AD3816"/>
    <w:rsid w:val="00AD4EF0"/>
    <w:rsid w:val="00AE00B6"/>
    <w:rsid w:val="00AE1313"/>
    <w:rsid w:val="00AE2FCE"/>
    <w:rsid w:val="00AE404D"/>
    <w:rsid w:val="00AE5E47"/>
    <w:rsid w:val="00AE5F76"/>
    <w:rsid w:val="00AE6C3F"/>
    <w:rsid w:val="00AF10D9"/>
    <w:rsid w:val="00AF2F7D"/>
    <w:rsid w:val="00AF6C8D"/>
    <w:rsid w:val="00AF764B"/>
    <w:rsid w:val="00B001AE"/>
    <w:rsid w:val="00B006BF"/>
    <w:rsid w:val="00B006E4"/>
    <w:rsid w:val="00B01FB8"/>
    <w:rsid w:val="00B12821"/>
    <w:rsid w:val="00B20AFF"/>
    <w:rsid w:val="00B212F0"/>
    <w:rsid w:val="00B23B53"/>
    <w:rsid w:val="00B24CAF"/>
    <w:rsid w:val="00B259DA"/>
    <w:rsid w:val="00B33269"/>
    <w:rsid w:val="00B3618D"/>
    <w:rsid w:val="00B40254"/>
    <w:rsid w:val="00B43F54"/>
    <w:rsid w:val="00B45061"/>
    <w:rsid w:val="00B47D7C"/>
    <w:rsid w:val="00B504D2"/>
    <w:rsid w:val="00B56612"/>
    <w:rsid w:val="00B62860"/>
    <w:rsid w:val="00B628E3"/>
    <w:rsid w:val="00B725D0"/>
    <w:rsid w:val="00B733E0"/>
    <w:rsid w:val="00B73786"/>
    <w:rsid w:val="00B77BBC"/>
    <w:rsid w:val="00B814A4"/>
    <w:rsid w:val="00B86A3C"/>
    <w:rsid w:val="00B912F3"/>
    <w:rsid w:val="00B93D3E"/>
    <w:rsid w:val="00B96387"/>
    <w:rsid w:val="00BA1A3D"/>
    <w:rsid w:val="00BA2DC8"/>
    <w:rsid w:val="00BA30F5"/>
    <w:rsid w:val="00BA4BC8"/>
    <w:rsid w:val="00BA7597"/>
    <w:rsid w:val="00BB2E99"/>
    <w:rsid w:val="00BB44A9"/>
    <w:rsid w:val="00BC1F72"/>
    <w:rsid w:val="00BC368B"/>
    <w:rsid w:val="00BC5FFE"/>
    <w:rsid w:val="00BC6987"/>
    <w:rsid w:val="00BD31C7"/>
    <w:rsid w:val="00BD36B3"/>
    <w:rsid w:val="00BE3922"/>
    <w:rsid w:val="00BE3B16"/>
    <w:rsid w:val="00BE586B"/>
    <w:rsid w:val="00BE6BE4"/>
    <w:rsid w:val="00BF2B36"/>
    <w:rsid w:val="00BF48C1"/>
    <w:rsid w:val="00BF498C"/>
    <w:rsid w:val="00C02EB3"/>
    <w:rsid w:val="00C0419D"/>
    <w:rsid w:val="00C06456"/>
    <w:rsid w:val="00C07028"/>
    <w:rsid w:val="00C07D3A"/>
    <w:rsid w:val="00C11C7C"/>
    <w:rsid w:val="00C224BC"/>
    <w:rsid w:val="00C22CC1"/>
    <w:rsid w:val="00C268C2"/>
    <w:rsid w:val="00C303CD"/>
    <w:rsid w:val="00C33723"/>
    <w:rsid w:val="00C34B2F"/>
    <w:rsid w:val="00C34C6F"/>
    <w:rsid w:val="00C42563"/>
    <w:rsid w:val="00C47A18"/>
    <w:rsid w:val="00C5105D"/>
    <w:rsid w:val="00C5130A"/>
    <w:rsid w:val="00C51EB6"/>
    <w:rsid w:val="00C53CDF"/>
    <w:rsid w:val="00C53E4E"/>
    <w:rsid w:val="00C54294"/>
    <w:rsid w:val="00C555E0"/>
    <w:rsid w:val="00C558A2"/>
    <w:rsid w:val="00C5765D"/>
    <w:rsid w:val="00C607CD"/>
    <w:rsid w:val="00C63E41"/>
    <w:rsid w:val="00C70B8D"/>
    <w:rsid w:val="00C71BEE"/>
    <w:rsid w:val="00C847E8"/>
    <w:rsid w:val="00C848ED"/>
    <w:rsid w:val="00C86CAC"/>
    <w:rsid w:val="00C87771"/>
    <w:rsid w:val="00C916B8"/>
    <w:rsid w:val="00CA20DB"/>
    <w:rsid w:val="00CD69B3"/>
    <w:rsid w:val="00CE0E1C"/>
    <w:rsid w:val="00CE4C7D"/>
    <w:rsid w:val="00CE5A9E"/>
    <w:rsid w:val="00CE7FFE"/>
    <w:rsid w:val="00CF1F7D"/>
    <w:rsid w:val="00CF22A9"/>
    <w:rsid w:val="00CF7E0D"/>
    <w:rsid w:val="00D02CAF"/>
    <w:rsid w:val="00D05B10"/>
    <w:rsid w:val="00D10D7E"/>
    <w:rsid w:val="00D13347"/>
    <w:rsid w:val="00D1778A"/>
    <w:rsid w:val="00D17EEE"/>
    <w:rsid w:val="00D2229C"/>
    <w:rsid w:val="00D22924"/>
    <w:rsid w:val="00D25E41"/>
    <w:rsid w:val="00D2769C"/>
    <w:rsid w:val="00D34A87"/>
    <w:rsid w:val="00D36B92"/>
    <w:rsid w:val="00D41D41"/>
    <w:rsid w:val="00D43A52"/>
    <w:rsid w:val="00D504F0"/>
    <w:rsid w:val="00D56DD9"/>
    <w:rsid w:val="00D64A6A"/>
    <w:rsid w:val="00D65F67"/>
    <w:rsid w:val="00D66F52"/>
    <w:rsid w:val="00D74F37"/>
    <w:rsid w:val="00D770A9"/>
    <w:rsid w:val="00D80FB3"/>
    <w:rsid w:val="00D82D5E"/>
    <w:rsid w:val="00D83752"/>
    <w:rsid w:val="00DA27AC"/>
    <w:rsid w:val="00DA502A"/>
    <w:rsid w:val="00DB48E4"/>
    <w:rsid w:val="00DC002C"/>
    <w:rsid w:val="00DD47B9"/>
    <w:rsid w:val="00DD5A12"/>
    <w:rsid w:val="00DD5DF8"/>
    <w:rsid w:val="00DE13DC"/>
    <w:rsid w:val="00DE6DA1"/>
    <w:rsid w:val="00DF3DED"/>
    <w:rsid w:val="00DF4593"/>
    <w:rsid w:val="00DF5CA4"/>
    <w:rsid w:val="00E016B2"/>
    <w:rsid w:val="00E0581E"/>
    <w:rsid w:val="00E0780B"/>
    <w:rsid w:val="00E11056"/>
    <w:rsid w:val="00E120E9"/>
    <w:rsid w:val="00E12DBB"/>
    <w:rsid w:val="00E1399B"/>
    <w:rsid w:val="00E1611E"/>
    <w:rsid w:val="00E17A17"/>
    <w:rsid w:val="00E23926"/>
    <w:rsid w:val="00E262EE"/>
    <w:rsid w:val="00E31A7B"/>
    <w:rsid w:val="00E34042"/>
    <w:rsid w:val="00E34C72"/>
    <w:rsid w:val="00E362BA"/>
    <w:rsid w:val="00E41A28"/>
    <w:rsid w:val="00E41BB0"/>
    <w:rsid w:val="00E4245F"/>
    <w:rsid w:val="00E444A7"/>
    <w:rsid w:val="00E5142E"/>
    <w:rsid w:val="00E62202"/>
    <w:rsid w:val="00E62DE3"/>
    <w:rsid w:val="00E63FA4"/>
    <w:rsid w:val="00E643BC"/>
    <w:rsid w:val="00E7360B"/>
    <w:rsid w:val="00E75BB9"/>
    <w:rsid w:val="00E77184"/>
    <w:rsid w:val="00E774A1"/>
    <w:rsid w:val="00E82489"/>
    <w:rsid w:val="00E84342"/>
    <w:rsid w:val="00E84E42"/>
    <w:rsid w:val="00E85EB8"/>
    <w:rsid w:val="00E87700"/>
    <w:rsid w:val="00E940C3"/>
    <w:rsid w:val="00E95111"/>
    <w:rsid w:val="00E954BC"/>
    <w:rsid w:val="00E95AAB"/>
    <w:rsid w:val="00EA45DD"/>
    <w:rsid w:val="00EA79CE"/>
    <w:rsid w:val="00EA7A10"/>
    <w:rsid w:val="00EB296B"/>
    <w:rsid w:val="00EB41B3"/>
    <w:rsid w:val="00EB5655"/>
    <w:rsid w:val="00EB6793"/>
    <w:rsid w:val="00EC07E2"/>
    <w:rsid w:val="00EC0E20"/>
    <w:rsid w:val="00EC203F"/>
    <w:rsid w:val="00EC3D61"/>
    <w:rsid w:val="00EC5F2D"/>
    <w:rsid w:val="00EC7F8F"/>
    <w:rsid w:val="00ED5471"/>
    <w:rsid w:val="00ED6AAE"/>
    <w:rsid w:val="00EE2C4E"/>
    <w:rsid w:val="00EE624A"/>
    <w:rsid w:val="00EF08AA"/>
    <w:rsid w:val="00EF1338"/>
    <w:rsid w:val="00F01C03"/>
    <w:rsid w:val="00F02280"/>
    <w:rsid w:val="00F10DE9"/>
    <w:rsid w:val="00F22FDD"/>
    <w:rsid w:val="00F261D5"/>
    <w:rsid w:val="00F36424"/>
    <w:rsid w:val="00F376D1"/>
    <w:rsid w:val="00F41B65"/>
    <w:rsid w:val="00F45C88"/>
    <w:rsid w:val="00F4680B"/>
    <w:rsid w:val="00F46964"/>
    <w:rsid w:val="00F50C21"/>
    <w:rsid w:val="00F53B0A"/>
    <w:rsid w:val="00F57475"/>
    <w:rsid w:val="00F61561"/>
    <w:rsid w:val="00F62975"/>
    <w:rsid w:val="00F63DC1"/>
    <w:rsid w:val="00F6412E"/>
    <w:rsid w:val="00F75AC7"/>
    <w:rsid w:val="00F77E15"/>
    <w:rsid w:val="00F81194"/>
    <w:rsid w:val="00F817B3"/>
    <w:rsid w:val="00F8608B"/>
    <w:rsid w:val="00F873AD"/>
    <w:rsid w:val="00F87FD1"/>
    <w:rsid w:val="00F91657"/>
    <w:rsid w:val="00F96978"/>
    <w:rsid w:val="00F96ABC"/>
    <w:rsid w:val="00FA2245"/>
    <w:rsid w:val="00FC22B0"/>
    <w:rsid w:val="00FC3F29"/>
    <w:rsid w:val="00FC467E"/>
    <w:rsid w:val="00FD35BA"/>
    <w:rsid w:val="00FD62E1"/>
    <w:rsid w:val="00FD6736"/>
    <w:rsid w:val="00FE3614"/>
    <w:rsid w:val="00FF4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3E1F"/>
    <w:pPr>
      <w:widowControl w:val="0"/>
    </w:pPr>
    <w:rPr>
      <w:snapToGrid w:val="0"/>
      <w:kern w:val="28"/>
      <w:sz w:val="22"/>
    </w:rPr>
  </w:style>
  <w:style w:type="paragraph" w:styleId="Heading1">
    <w:name w:val="heading 1"/>
    <w:basedOn w:val="Normal"/>
    <w:next w:val="ParaNum"/>
    <w:link w:val="Heading1Char"/>
    <w:qFormat/>
    <w:rsid w:val="00473E1F"/>
    <w:pPr>
      <w:keepNext/>
      <w:numPr>
        <w:numId w:val="5"/>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473E1F"/>
    <w:pPr>
      <w:keepNext/>
      <w:numPr>
        <w:ilvl w:val="1"/>
        <w:numId w:val="5"/>
      </w:numPr>
      <w:spacing w:after="120"/>
      <w:outlineLvl w:val="1"/>
    </w:pPr>
    <w:rPr>
      <w:b/>
    </w:rPr>
  </w:style>
  <w:style w:type="paragraph" w:styleId="Heading3">
    <w:name w:val="heading 3"/>
    <w:basedOn w:val="Normal"/>
    <w:next w:val="ParaNum"/>
    <w:qFormat/>
    <w:rsid w:val="00473E1F"/>
    <w:pPr>
      <w:keepNext/>
      <w:numPr>
        <w:ilvl w:val="2"/>
        <w:numId w:val="5"/>
      </w:numPr>
      <w:tabs>
        <w:tab w:val="left" w:pos="2160"/>
      </w:tabs>
      <w:spacing w:after="120"/>
      <w:outlineLvl w:val="2"/>
    </w:pPr>
    <w:rPr>
      <w:b/>
    </w:rPr>
  </w:style>
  <w:style w:type="paragraph" w:styleId="Heading4">
    <w:name w:val="heading 4"/>
    <w:basedOn w:val="Normal"/>
    <w:next w:val="ParaNum"/>
    <w:qFormat/>
    <w:rsid w:val="00473E1F"/>
    <w:pPr>
      <w:keepNext/>
      <w:numPr>
        <w:ilvl w:val="3"/>
        <w:numId w:val="5"/>
      </w:numPr>
      <w:tabs>
        <w:tab w:val="left" w:pos="2880"/>
      </w:tabs>
      <w:spacing w:after="120"/>
      <w:outlineLvl w:val="3"/>
    </w:pPr>
    <w:rPr>
      <w:b/>
    </w:rPr>
  </w:style>
  <w:style w:type="paragraph" w:styleId="Heading5">
    <w:name w:val="heading 5"/>
    <w:basedOn w:val="Normal"/>
    <w:next w:val="ParaNum"/>
    <w:qFormat/>
    <w:rsid w:val="00473E1F"/>
    <w:pPr>
      <w:keepNext/>
      <w:numPr>
        <w:ilvl w:val="4"/>
        <w:numId w:val="5"/>
      </w:numPr>
      <w:tabs>
        <w:tab w:val="left" w:pos="3600"/>
      </w:tabs>
      <w:suppressAutoHyphens/>
      <w:spacing w:after="120"/>
      <w:outlineLvl w:val="4"/>
    </w:pPr>
    <w:rPr>
      <w:b/>
    </w:rPr>
  </w:style>
  <w:style w:type="paragraph" w:styleId="Heading6">
    <w:name w:val="heading 6"/>
    <w:basedOn w:val="Normal"/>
    <w:next w:val="ParaNum"/>
    <w:qFormat/>
    <w:rsid w:val="00473E1F"/>
    <w:pPr>
      <w:numPr>
        <w:ilvl w:val="5"/>
        <w:numId w:val="5"/>
      </w:numPr>
      <w:tabs>
        <w:tab w:val="left" w:pos="4320"/>
      </w:tabs>
      <w:spacing w:after="120"/>
      <w:outlineLvl w:val="5"/>
    </w:pPr>
    <w:rPr>
      <w:b/>
    </w:rPr>
  </w:style>
  <w:style w:type="paragraph" w:styleId="Heading7">
    <w:name w:val="heading 7"/>
    <w:basedOn w:val="Normal"/>
    <w:next w:val="ParaNum"/>
    <w:qFormat/>
    <w:rsid w:val="00473E1F"/>
    <w:pPr>
      <w:numPr>
        <w:ilvl w:val="6"/>
        <w:numId w:val="5"/>
      </w:numPr>
      <w:tabs>
        <w:tab w:val="left" w:pos="5040"/>
      </w:tabs>
      <w:spacing w:after="120"/>
      <w:ind w:left="5040" w:hanging="720"/>
      <w:outlineLvl w:val="6"/>
    </w:pPr>
    <w:rPr>
      <w:b/>
    </w:rPr>
  </w:style>
  <w:style w:type="paragraph" w:styleId="Heading8">
    <w:name w:val="heading 8"/>
    <w:basedOn w:val="Normal"/>
    <w:next w:val="ParaNum"/>
    <w:qFormat/>
    <w:rsid w:val="00473E1F"/>
    <w:pPr>
      <w:numPr>
        <w:ilvl w:val="7"/>
        <w:numId w:val="5"/>
      </w:numPr>
      <w:tabs>
        <w:tab w:val="clear" w:pos="5400"/>
        <w:tab w:val="left" w:pos="5760"/>
      </w:tabs>
      <w:spacing w:after="120"/>
      <w:ind w:left="5760" w:hanging="720"/>
      <w:outlineLvl w:val="7"/>
    </w:pPr>
    <w:rPr>
      <w:b/>
    </w:rPr>
  </w:style>
  <w:style w:type="paragraph" w:styleId="Heading9">
    <w:name w:val="heading 9"/>
    <w:basedOn w:val="Normal"/>
    <w:next w:val="ParaNum"/>
    <w:qFormat/>
    <w:rsid w:val="00473E1F"/>
    <w:pPr>
      <w:numPr>
        <w:ilvl w:val="8"/>
        <w:numId w:val="5"/>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73E1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73E1F"/>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rsid w:val="00473E1F"/>
    <w:pPr>
      <w:numPr>
        <w:numId w:val="4"/>
      </w:numPr>
      <w:tabs>
        <w:tab w:val="clear" w:pos="1080"/>
        <w:tab w:val="num" w:pos="1440"/>
      </w:tabs>
      <w:spacing w:after="120"/>
    </w:p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n Char,f,ALTS FOOTNOTE Cha"/>
    <w:link w:val="FootnoteTextChar2"/>
    <w:rsid w:val="00473E1F"/>
    <w:pPr>
      <w:spacing w:after="120"/>
    </w:pPr>
  </w:style>
  <w:style w:type="paragraph" w:customStyle="1" w:styleId="Bullet">
    <w:name w:val="Bullet"/>
    <w:basedOn w:val="Normal"/>
    <w:rsid w:val="00473E1F"/>
    <w:pPr>
      <w:tabs>
        <w:tab w:val="left" w:pos="2160"/>
      </w:tabs>
      <w:spacing w:after="220"/>
      <w:ind w:left="2160" w:hanging="720"/>
    </w:pPr>
  </w:style>
  <w:style w:type="paragraph" w:styleId="BlockText">
    <w:name w:val="Block Text"/>
    <w:basedOn w:val="Normal"/>
    <w:rsid w:val="00473E1F"/>
    <w:pPr>
      <w:spacing w:after="240"/>
      <w:ind w:left="1440" w:right="1440"/>
    </w:pPr>
  </w:style>
  <w:style w:type="paragraph" w:customStyle="1" w:styleId="TableFormat">
    <w:name w:val="TableFormat"/>
    <w:basedOn w:val="Bullet"/>
    <w:rsid w:val="00473E1F"/>
    <w:pPr>
      <w:tabs>
        <w:tab w:val="clear" w:pos="2160"/>
        <w:tab w:val="left" w:pos="5040"/>
      </w:tabs>
      <w:ind w:left="5040" w:hanging="3600"/>
    </w:pPr>
  </w:style>
  <w:style w:type="character" w:styleId="FootnoteReference">
    <w:name w:val="footnote reference"/>
    <w:aliases w:val="Style 13,Appel note de bas de p,Style 12,(NECG) Footnote Reference,Style 124,o,fr,Style 3,FR,Style 17,Footnote Reference/,Style 6,Style 7"/>
    <w:rsid w:val="00473E1F"/>
    <w:rPr>
      <w:rFonts w:ascii="Times New Roman" w:hAnsi="Times New Roman"/>
      <w:dstrike w:val="0"/>
      <w:color w:val="auto"/>
      <w:sz w:val="20"/>
      <w:vertAlign w:val="superscript"/>
    </w:rPr>
  </w:style>
  <w:style w:type="paragraph" w:styleId="Header">
    <w:name w:val="header"/>
    <w:basedOn w:val="Normal"/>
    <w:link w:val="HeaderChar"/>
    <w:autoRedefine/>
    <w:rsid w:val="00473E1F"/>
    <w:pPr>
      <w:tabs>
        <w:tab w:val="center" w:pos="4680"/>
        <w:tab w:val="right" w:pos="9360"/>
      </w:tabs>
    </w:pPr>
    <w:rPr>
      <w:b/>
    </w:rPr>
  </w:style>
  <w:style w:type="paragraph" w:styleId="Footer">
    <w:name w:val="footer"/>
    <w:basedOn w:val="Normal"/>
    <w:rsid w:val="00473E1F"/>
    <w:pPr>
      <w:tabs>
        <w:tab w:val="center" w:pos="4320"/>
        <w:tab w:val="right" w:pos="8640"/>
      </w:tabs>
    </w:pPr>
  </w:style>
  <w:style w:type="paragraph" w:styleId="TOC2">
    <w:name w:val="toc 2"/>
    <w:basedOn w:val="Normal"/>
    <w:next w:val="Normal"/>
    <w:semiHidden/>
    <w:rsid w:val="00473E1F"/>
    <w:pPr>
      <w:tabs>
        <w:tab w:val="left" w:pos="720"/>
        <w:tab w:val="right" w:leader="dot" w:pos="9360"/>
      </w:tabs>
      <w:suppressAutoHyphens/>
      <w:ind w:left="720" w:right="720" w:hanging="360"/>
    </w:pPr>
    <w:rPr>
      <w:noProof/>
    </w:rPr>
  </w:style>
  <w:style w:type="paragraph" w:customStyle="1" w:styleId="NumberedList">
    <w:name w:val="Numbered List"/>
    <w:basedOn w:val="Normal"/>
    <w:uiPriority w:val="99"/>
    <w:pPr>
      <w:numPr>
        <w:numId w:val="1"/>
      </w:numPr>
      <w:tabs>
        <w:tab w:val="clear" w:pos="1080"/>
      </w:tabs>
      <w:spacing w:after="220"/>
      <w:ind w:firstLine="0"/>
    </w:pPr>
  </w:style>
  <w:style w:type="paragraph" w:styleId="TOC1">
    <w:name w:val="toc 1"/>
    <w:basedOn w:val="Normal"/>
    <w:next w:val="Normal"/>
    <w:semiHidden/>
    <w:rsid w:val="00473E1F"/>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473E1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73E1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73E1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73E1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73E1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73E1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73E1F"/>
    <w:pPr>
      <w:tabs>
        <w:tab w:val="left" w:pos="3240"/>
        <w:tab w:val="right" w:leader="dot" w:pos="9360"/>
      </w:tabs>
      <w:suppressAutoHyphens/>
      <w:ind w:left="3240" w:hanging="360"/>
    </w:pPr>
    <w:rPr>
      <w:noProof/>
    </w:rPr>
  </w:style>
  <w:style w:type="character" w:styleId="PageNumber">
    <w:name w:val="page number"/>
    <w:basedOn w:val="DefaultParagraphFont"/>
    <w:rsid w:val="00473E1F"/>
  </w:style>
  <w:style w:type="paragraph" w:styleId="Title">
    <w:name w:val="Title"/>
    <w:basedOn w:val="Normal"/>
    <w:qFormat/>
    <w:pPr>
      <w:jc w:val="center"/>
    </w:pPr>
    <w:rPr>
      <w:b/>
    </w:rPr>
  </w:style>
  <w:style w:type="paragraph" w:styleId="BalloonText">
    <w:name w:val="Balloon Text"/>
    <w:basedOn w:val="Normal"/>
    <w:semiHidden/>
    <w:rsid w:val="00AE2FCE"/>
    <w:rPr>
      <w:rFonts w:ascii="Tahoma" w:hAnsi="Tahoma" w:cs="Tahoma"/>
      <w:sz w:val="16"/>
      <w:szCs w:val="16"/>
    </w:rPr>
  </w:style>
  <w:style w:type="character" w:styleId="CommentReference">
    <w:name w:val="annotation reference"/>
    <w:uiPriority w:val="99"/>
    <w:semiHidden/>
    <w:rsid w:val="00AE2FCE"/>
    <w:rPr>
      <w:sz w:val="16"/>
      <w:szCs w:val="16"/>
    </w:rPr>
  </w:style>
  <w:style w:type="paragraph" w:styleId="CommentText">
    <w:name w:val="annotation text"/>
    <w:basedOn w:val="Normal"/>
    <w:semiHidden/>
    <w:rsid w:val="00071D9C"/>
    <w:rPr>
      <w:rFonts w:ascii="Arial" w:hAnsi="Arial"/>
      <w:sz w:val="20"/>
    </w:rPr>
  </w:style>
  <w:style w:type="paragraph" w:styleId="CommentSubject">
    <w:name w:val="annotation subject"/>
    <w:basedOn w:val="CommentText"/>
    <w:next w:val="CommentText"/>
    <w:semiHidden/>
    <w:rsid w:val="00AE2FCE"/>
    <w:rPr>
      <w:b/>
      <w:bCs/>
    </w:rPr>
  </w:style>
  <w:style w:type="character" w:styleId="Hyperlink">
    <w:name w:val="Hyperlink"/>
    <w:rsid w:val="00473E1F"/>
    <w:rPr>
      <w:color w:val="0000FF"/>
      <w:u w:val="single"/>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locked/>
    <w:rsid w:val="001140EE"/>
  </w:style>
  <w:style w:type="character" w:customStyle="1" w:styleId="ParaNumChar">
    <w:name w:val="ParaNum Char"/>
    <w:link w:val="ParaNum"/>
    <w:locked/>
    <w:rsid w:val="001140EE"/>
    <w:rPr>
      <w:snapToGrid w:val="0"/>
      <w:kern w:val="28"/>
      <w:sz w:val="22"/>
    </w:rPr>
  </w:style>
  <w:style w:type="character" w:customStyle="1" w:styleId="Heading1Char">
    <w:name w:val="Heading 1 Char"/>
    <w:link w:val="Heading1"/>
    <w:locked/>
    <w:rsid w:val="00DD5DF8"/>
    <w:rPr>
      <w:rFonts w:ascii="Times New Roman Bold" w:hAnsi="Times New Roman Bold"/>
      <w:b/>
      <w:caps/>
      <w:snapToGrid w:val="0"/>
      <w:kern w:val="28"/>
      <w:sz w:val="22"/>
    </w:rPr>
  </w:style>
  <w:style w:type="character" w:customStyle="1" w:styleId="Heading2Char">
    <w:name w:val="Heading 2 Char"/>
    <w:link w:val="Heading2"/>
    <w:locked/>
    <w:rsid w:val="00DD5DF8"/>
    <w:rPr>
      <w:b/>
      <w:snapToGrid w:val="0"/>
      <w:kern w:val="28"/>
      <w:sz w:val="22"/>
    </w:rPr>
  </w:style>
  <w:style w:type="character" w:customStyle="1" w:styleId="HeaderChar">
    <w:name w:val="Header Char"/>
    <w:link w:val="Header"/>
    <w:locked/>
    <w:rsid w:val="00706F44"/>
    <w:rPr>
      <w:b/>
      <w:snapToGrid w:val="0"/>
      <w:kern w:val="28"/>
      <w:sz w:val="22"/>
    </w:rPr>
  </w:style>
  <w:style w:type="character" w:customStyle="1" w:styleId="apple-converted-space">
    <w:name w:val="apple-converted-space"/>
    <w:rsid w:val="002E68A9"/>
  </w:style>
  <w:style w:type="paragraph" w:styleId="Revision">
    <w:name w:val="Revision"/>
    <w:hidden/>
    <w:uiPriority w:val="99"/>
    <w:semiHidden/>
    <w:rsid w:val="008A78F8"/>
    <w:rPr>
      <w:sz w:val="22"/>
    </w:rPr>
  </w:style>
  <w:style w:type="character" w:customStyle="1" w:styleId="FootnoteTextChar">
    <w:name w:val="Footnote Text Char"/>
    <w:aliases w:val="ALTS FOOTNOTE Char1,fn Char3,ALTS FOOTNOTE Char Char1,fn Char Char1,Footnote Text Char2 Char Char Char Char,Footnote Text Char1 Char1 Char Char Char Char,f Char"/>
    <w:semiHidden/>
    <w:rsid w:val="0018777A"/>
  </w:style>
  <w:style w:type="paragraph" w:styleId="NormalWeb">
    <w:name w:val="Normal (Web)"/>
    <w:basedOn w:val="Normal"/>
    <w:uiPriority w:val="99"/>
    <w:unhideWhenUsed/>
    <w:rsid w:val="00D34A87"/>
    <w:pPr>
      <w:spacing w:before="100" w:beforeAutospacing="1" w:after="100" w:afterAutospacing="1"/>
    </w:pPr>
    <w:rPr>
      <w:sz w:val="24"/>
      <w:szCs w:val="24"/>
    </w:rPr>
  </w:style>
  <w:style w:type="paragraph" w:styleId="EndnoteText">
    <w:name w:val="endnote text"/>
    <w:basedOn w:val="Normal"/>
    <w:link w:val="EndnoteTextChar"/>
    <w:rsid w:val="00473E1F"/>
    <w:rPr>
      <w:sz w:val="20"/>
    </w:rPr>
  </w:style>
  <w:style w:type="character" w:customStyle="1" w:styleId="EndnoteTextChar">
    <w:name w:val="Endnote Text Char"/>
    <w:link w:val="EndnoteText"/>
    <w:rsid w:val="00A44A6B"/>
    <w:rPr>
      <w:snapToGrid w:val="0"/>
      <w:kern w:val="28"/>
    </w:rPr>
  </w:style>
  <w:style w:type="character" w:styleId="EndnoteReference">
    <w:name w:val="endnote reference"/>
    <w:rsid w:val="00473E1F"/>
    <w:rPr>
      <w:vertAlign w:val="superscript"/>
    </w:rPr>
  </w:style>
  <w:style w:type="paragraph" w:styleId="TOAHeading">
    <w:name w:val="toa heading"/>
    <w:basedOn w:val="Normal"/>
    <w:next w:val="Normal"/>
    <w:rsid w:val="00473E1F"/>
    <w:pPr>
      <w:tabs>
        <w:tab w:val="right" w:pos="9360"/>
      </w:tabs>
      <w:suppressAutoHyphens/>
    </w:pPr>
  </w:style>
  <w:style w:type="character" w:customStyle="1" w:styleId="EquationCaption">
    <w:name w:val="_Equation Caption"/>
    <w:rsid w:val="00473E1F"/>
  </w:style>
  <w:style w:type="paragraph" w:customStyle="1" w:styleId="Paratitle">
    <w:name w:val="Para title"/>
    <w:basedOn w:val="Normal"/>
    <w:rsid w:val="00473E1F"/>
    <w:pPr>
      <w:tabs>
        <w:tab w:val="center" w:pos="9270"/>
      </w:tabs>
      <w:spacing w:after="240"/>
    </w:pPr>
    <w:rPr>
      <w:spacing w:val="-2"/>
    </w:rPr>
  </w:style>
  <w:style w:type="paragraph" w:customStyle="1" w:styleId="TOCTitle">
    <w:name w:val="TOC Title"/>
    <w:basedOn w:val="Normal"/>
    <w:rsid w:val="00473E1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73E1F"/>
    <w:pPr>
      <w:jc w:val="center"/>
    </w:pPr>
    <w:rPr>
      <w:rFonts w:ascii="Times New Roman Bold" w:hAnsi="Times New Roman Bold"/>
      <w:b/>
      <w:bCs/>
      <w:caps/>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3E1F"/>
    <w:pPr>
      <w:widowControl w:val="0"/>
    </w:pPr>
    <w:rPr>
      <w:snapToGrid w:val="0"/>
      <w:kern w:val="28"/>
      <w:sz w:val="22"/>
    </w:rPr>
  </w:style>
  <w:style w:type="paragraph" w:styleId="Heading1">
    <w:name w:val="heading 1"/>
    <w:basedOn w:val="Normal"/>
    <w:next w:val="ParaNum"/>
    <w:link w:val="Heading1Char"/>
    <w:qFormat/>
    <w:rsid w:val="00473E1F"/>
    <w:pPr>
      <w:keepNext/>
      <w:numPr>
        <w:numId w:val="5"/>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473E1F"/>
    <w:pPr>
      <w:keepNext/>
      <w:numPr>
        <w:ilvl w:val="1"/>
        <w:numId w:val="5"/>
      </w:numPr>
      <w:spacing w:after="120"/>
      <w:outlineLvl w:val="1"/>
    </w:pPr>
    <w:rPr>
      <w:b/>
    </w:rPr>
  </w:style>
  <w:style w:type="paragraph" w:styleId="Heading3">
    <w:name w:val="heading 3"/>
    <w:basedOn w:val="Normal"/>
    <w:next w:val="ParaNum"/>
    <w:qFormat/>
    <w:rsid w:val="00473E1F"/>
    <w:pPr>
      <w:keepNext/>
      <w:numPr>
        <w:ilvl w:val="2"/>
        <w:numId w:val="5"/>
      </w:numPr>
      <w:tabs>
        <w:tab w:val="left" w:pos="2160"/>
      </w:tabs>
      <w:spacing w:after="120"/>
      <w:outlineLvl w:val="2"/>
    </w:pPr>
    <w:rPr>
      <w:b/>
    </w:rPr>
  </w:style>
  <w:style w:type="paragraph" w:styleId="Heading4">
    <w:name w:val="heading 4"/>
    <w:basedOn w:val="Normal"/>
    <w:next w:val="ParaNum"/>
    <w:qFormat/>
    <w:rsid w:val="00473E1F"/>
    <w:pPr>
      <w:keepNext/>
      <w:numPr>
        <w:ilvl w:val="3"/>
        <w:numId w:val="5"/>
      </w:numPr>
      <w:tabs>
        <w:tab w:val="left" w:pos="2880"/>
      </w:tabs>
      <w:spacing w:after="120"/>
      <w:outlineLvl w:val="3"/>
    </w:pPr>
    <w:rPr>
      <w:b/>
    </w:rPr>
  </w:style>
  <w:style w:type="paragraph" w:styleId="Heading5">
    <w:name w:val="heading 5"/>
    <w:basedOn w:val="Normal"/>
    <w:next w:val="ParaNum"/>
    <w:qFormat/>
    <w:rsid w:val="00473E1F"/>
    <w:pPr>
      <w:keepNext/>
      <w:numPr>
        <w:ilvl w:val="4"/>
        <w:numId w:val="5"/>
      </w:numPr>
      <w:tabs>
        <w:tab w:val="left" w:pos="3600"/>
      </w:tabs>
      <w:suppressAutoHyphens/>
      <w:spacing w:after="120"/>
      <w:outlineLvl w:val="4"/>
    </w:pPr>
    <w:rPr>
      <w:b/>
    </w:rPr>
  </w:style>
  <w:style w:type="paragraph" w:styleId="Heading6">
    <w:name w:val="heading 6"/>
    <w:basedOn w:val="Normal"/>
    <w:next w:val="ParaNum"/>
    <w:qFormat/>
    <w:rsid w:val="00473E1F"/>
    <w:pPr>
      <w:numPr>
        <w:ilvl w:val="5"/>
        <w:numId w:val="5"/>
      </w:numPr>
      <w:tabs>
        <w:tab w:val="left" w:pos="4320"/>
      </w:tabs>
      <w:spacing w:after="120"/>
      <w:outlineLvl w:val="5"/>
    </w:pPr>
    <w:rPr>
      <w:b/>
    </w:rPr>
  </w:style>
  <w:style w:type="paragraph" w:styleId="Heading7">
    <w:name w:val="heading 7"/>
    <w:basedOn w:val="Normal"/>
    <w:next w:val="ParaNum"/>
    <w:qFormat/>
    <w:rsid w:val="00473E1F"/>
    <w:pPr>
      <w:numPr>
        <w:ilvl w:val="6"/>
        <w:numId w:val="5"/>
      </w:numPr>
      <w:tabs>
        <w:tab w:val="left" w:pos="5040"/>
      </w:tabs>
      <w:spacing w:after="120"/>
      <w:ind w:left="5040" w:hanging="720"/>
      <w:outlineLvl w:val="6"/>
    </w:pPr>
    <w:rPr>
      <w:b/>
    </w:rPr>
  </w:style>
  <w:style w:type="paragraph" w:styleId="Heading8">
    <w:name w:val="heading 8"/>
    <w:basedOn w:val="Normal"/>
    <w:next w:val="ParaNum"/>
    <w:qFormat/>
    <w:rsid w:val="00473E1F"/>
    <w:pPr>
      <w:numPr>
        <w:ilvl w:val="7"/>
        <w:numId w:val="5"/>
      </w:numPr>
      <w:tabs>
        <w:tab w:val="clear" w:pos="5400"/>
        <w:tab w:val="left" w:pos="5760"/>
      </w:tabs>
      <w:spacing w:after="120"/>
      <w:ind w:left="5760" w:hanging="720"/>
      <w:outlineLvl w:val="7"/>
    </w:pPr>
    <w:rPr>
      <w:b/>
    </w:rPr>
  </w:style>
  <w:style w:type="paragraph" w:styleId="Heading9">
    <w:name w:val="heading 9"/>
    <w:basedOn w:val="Normal"/>
    <w:next w:val="ParaNum"/>
    <w:qFormat/>
    <w:rsid w:val="00473E1F"/>
    <w:pPr>
      <w:numPr>
        <w:ilvl w:val="8"/>
        <w:numId w:val="5"/>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73E1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73E1F"/>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rsid w:val="00473E1F"/>
    <w:pPr>
      <w:numPr>
        <w:numId w:val="4"/>
      </w:numPr>
      <w:tabs>
        <w:tab w:val="clear" w:pos="1080"/>
        <w:tab w:val="num" w:pos="1440"/>
      </w:tabs>
      <w:spacing w:after="120"/>
    </w:p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n Char,f,ALTS FOOTNOTE Cha"/>
    <w:link w:val="FootnoteTextChar2"/>
    <w:rsid w:val="00473E1F"/>
    <w:pPr>
      <w:spacing w:after="120"/>
    </w:pPr>
  </w:style>
  <w:style w:type="paragraph" w:customStyle="1" w:styleId="Bullet">
    <w:name w:val="Bullet"/>
    <w:basedOn w:val="Normal"/>
    <w:rsid w:val="00473E1F"/>
    <w:pPr>
      <w:tabs>
        <w:tab w:val="left" w:pos="2160"/>
      </w:tabs>
      <w:spacing w:after="220"/>
      <w:ind w:left="2160" w:hanging="720"/>
    </w:pPr>
  </w:style>
  <w:style w:type="paragraph" w:styleId="BlockText">
    <w:name w:val="Block Text"/>
    <w:basedOn w:val="Normal"/>
    <w:rsid w:val="00473E1F"/>
    <w:pPr>
      <w:spacing w:after="240"/>
      <w:ind w:left="1440" w:right="1440"/>
    </w:pPr>
  </w:style>
  <w:style w:type="paragraph" w:customStyle="1" w:styleId="TableFormat">
    <w:name w:val="TableFormat"/>
    <w:basedOn w:val="Bullet"/>
    <w:rsid w:val="00473E1F"/>
    <w:pPr>
      <w:tabs>
        <w:tab w:val="clear" w:pos="2160"/>
        <w:tab w:val="left" w:pos="5040"/>
      </w:tabs>
      <w:ind w:left="5040" w:hanging="3600"/>
    </w:pPr>
  </w:style>
  <w:style w:type="character" w:styleId="FootnoteReference">
    <w:name w:val="footnote reference"/>
    <w:aliases w:val="Style 13,Appel note de bas de p,Style 12,(NECG) Footnote Reference,Style 124,o,fr,Style 3,FR,Style 17,Footnote Reference/,Style 6,Style 7"/>
    <w:rsid w:val="00473E1F"/>
    <w:rPr>
      <w:rFonts w:ascii="Times New Roman" w:hAnsi="Times New Roman"/>
      <w:dstrike w:val="0"/>
      <w:color w:val="auto"/>
      <w:sz w:val="20"/>
      <w:vertAlign w:val="superscript"/>
    </w:rPr>
  </w:style>
  <w:style w:type="paragraph" w:styleId="Header">
    <w:name w:val="header"/>
    <w:basedOn w:val="Normal"/>
    <w:link w:val="HeaderChar"/>
    <w:autoRedefine/>
    <w:rsid w:val="00473E1F"/>
    <w:pPr>
      <w:tabs>
        <w:tab w:val="center" w:pos="4680"/>
        <w:tab w:val="right" w:pos="9360"/>
      </w:tabs>
    </w:pPr>
    <w:rPr>
      <w:b/>
    </w:rPr>
  </w:style>
  <w:style w:type="paragraph" w:styleId="Footer">
    <w:name w:val="footer"/>
    <w:basedOn w:val="Normal"/>
    <w:rsid w:val="00473E1F"/>
    <w:pPr>
      <w:tabs>
        <w:tab w:val="center" w:pos="4320"/>
        <w:tab w:val="right" w:pos="8640"/>
      </w:tabs>
    </w:pPr>
  </w:style>
  <w:style w:type="paragraph" w:styleId="TOC2">
    <w:name w:val="toc 2"/>
    <w:basedOn w:val="Normal"/>
    <w:next w:val="Normal"/>
    <w:semiHidden/>
    <w:rsid w:val="00473E1F"/>
    <w:pPr>
      <w:tabs>
        <w:tab w:val="left" w:pos="720"/>
        <w:tab w:val="right" w:leader="dot" w:pos="9360"/>
      </w:tabs>
      <w:suppressAutoHyphens/>
      <w:ind w:left="720" w:right="720" w:hanging="360"/>
    </w:pPr>
    <w:rPr>
      <w:noProof/>
    </w:rPr>
  </w:style>
  <w:style w:type="paragraph" w:customStyle="1" w:styleId="NumberedList">
    <w:name w:val="Numbered List"/>
    <w:basedOn w:val="Normal"/>
    <w:uiPriority w:val="99"/>
    <w:pPr>
      <w:numPr>
        <w:numId w:val="1"/>
      </w:numPr>
      <w:tabs>
        <w:tab w:val="clear" w:pos="1080"/>
      </w:tabs>
      <w:spacing w:after="220"/>
      <w:ind w:firstLine="0"/>
    </w:pPr>
  </w:style>
  <w:style w:type="paragraph" w:styleId="TOC1">
    <w:name w:val="toc 1"/>
    <w:basedOn w:val="Normal"/>
    <w:next w:val="Normal"/>
    <w:semiHidden/>
    <w:rsid w:val="00473E1F"/>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473E1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73E1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73E1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73E1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73E1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73E1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73E1F"/>
    <w:pPr>
      <w:tabs>
        <w:tab w:val="left" w:pos="3240"/>
        <w:tab w:val="right" w:leader="dot" w:pos="9360"/>
      </w:tabs>
      <w:suppressAutoHyphens/>
      <w:ind w:left="3240" w:hanging="360"/>
    </w:pPr>
    <w:rPr>
      <w:noProof/>
    </w:rPr>
  </w:style>
  <w:style w:type="character" w:styleId="PageNumber">
    <w:name w:val="page number"/>
    <w:basedOn w:val="DefaultParagraphFont"/>
    <w:rsid w:val="00473E1F"/>
  </w:style>
  <w:style w:type="paragraph" w:styleId="Title">
    <w:name w:val="Title"/>
    <w:basedOn w:val="Normal"/>
    <w:qFormat/>
    <w:pPr>
      <w:jc w:val="center"/>
    </w:pPr>
    <w:rPr>
      <w:b/>
    </w:rPr>
  </w:style>
  <w:style w:type="paragraph" w:styleId="BalloonText">
    <w:name w:val="Balloon Text"/>
    <w:basedOn w:val="Normal"/>
    <w:semiHidden/>
    <w:rsid w:val="00AE2FCE"/>
    <w:rPr>
      <w:rFonts w:ascii="Tahoma" w:hAnsi="Tahoma" w:cs="Tahoma"/>
      <w:sz w:val="16"/>
      <w:szCs w:val="16"/>
    </w:rPr>
  </w:style>
  <w:style w:type="character" w:styleId="CommentReference">
    <w:name w:val="annotation reference"/>
    <w:uiPriority w:val="99"/>
    <w:semiHidden/>
    <w:rsid w:val="00AE2FCE"/>
    <w:rPr>
      <w:sz w:val="16"/>
      <w:szCs w:val="16"/>
    </w:rPr>
  </w:style>
  <w:style w:type="paragraph" w:styleId="CommentText">
    <w:name w:val="annotation text"/>
    <w:basedOn w:val="Normal"/>
    <w:semiHidden/>
    <w:rsid w:val="00071D9C"/>
    <w:rPr>
      <w:rFonts w:ascii="Arial" w:hAnsi="Arial"/>
      <w:sz w:val="20"/>
    </w:rPr>
  </w:style>
  <w:style w:type="paragraph" w:styleId="CommentSubject">
    <w:name w:val="annotation subject"/>
    <w:basedOn w:val="CommentText"/>
    <w:next w:val="CommentText"/>
    <w:semiHidden/>
    <w:rsid w:val="00AE2FCE"/>
    <w:rPr>
      <w:b/>
      <w:bCs/>
    </w:rPr>
  </w:style>
  <w:style w:type="character" w:styleId="Hyperlink">
    <w:name w:val="Hyperlink"/>
    <w:rsid w:val="00473E1F"/>
    <w:rPr>
      <w:color w:val="0000FF"/>
      <w:u w:val="single"/>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locked/>
    <w:rsid w:val="001140EE"/>
  </w:style>
  <w:style w:type="character" w:customStyle="1" w:styleId="ParaNumChar">
    <w:name w:val="ParaNum Char"/>
    <w:link w:val="ParaNum"/>
    <w:locked/>
    <w:rsid w:val="001140EE"/>
    <w:rPr>
      <w:snapToGrid w:val="0"/>
      <w:kern w:val="28"/>
      <w:sz w:val="22"/>
    </w:rPr>
  </w:style>
  <w:style w:type="character" w:customStyle="1" w:styleId="Heading1Char">
    <w:name w:val="Heading 1 Char"/>
    <w:link w:val="Heading1"/>
    <w:locked/>
    <w:rsid w:val="00DD5DF8"/>
    <w:rPr>
      <w:rFonts w:ascii="Times New Roman Bold" w:hAnsi="Times New Roman Bold"/>
      <w:b/>
      <w:caps/>
      <w:snapToGrid w:val="0"/>
      <w:kern w:val="28"/>
      <w:sz w:val="22"/>
    </w:rPr>
  </w:style>
  <w:style w:type="character" w:customStyle="1" w:styleId="Heading2Char">
    <w:name w:val="Heading 2 Char"/>
    <w:link w:val="Heading2"/>
    <w:locked/>
    <w:rsid w:val="00DD5DF8"/>
    <w:rPr>
      <w:b/>
      <w:snapToGrid w:val="0"/>
      <w:kern w:val="28"/>
      <w:sz w:val="22"/>
    </w:rPr>
  </w:style>
  <w:style w:type="character" w:customStyle="1" w:styleId="HeaderChar">
    <w:name w:val="Header Char"/>
    <w:link w:val="Header"/>
    <w:locked/>
    <w:rsid w:val="00706F44"/>
    <w:rPr>
      <w:b/>
      <w:snapToGrid w:val="0"/>
      <w:kern w:val="28"/>
      <w:sz w:val="22"/>
    </w:rPr>
  </w:style>
  <w:style w:type="character" w:customStyle="1" w:styleId="apple-converted-space">
    <w:name w:val="apple-converted-space"/>
    <w:rsid w:val="002E68A9"/>
  </w:style>
  <w:style w:type="paragraph" w:styleId="Revision">
    <w:name w:val="Revision"/>
    <w:hidden/>
    <w:uiPriority w:val="99"/>
    <w:semiHidden/>
    <w:rsid w:val="008A78F8"/>
    <w:rPr>
      <w:sz w:val="22"/>
    </w:rPr>
  </w:style>
  <w:style w:type="character" w:customStyle="1" w:styleId="FootnoteTextChar">
    <w:name w:val="Footnote Text Char"/>
    <w:aliases w:val="ALTS FOOTNOTE Char1,fn Char3,ALTS FOOTNOTE Char Char1,fn Char Char1,Footnote Text Char2 Char Char Char Char,Footnote Text Char1 Char1 Char Char Char Char,f Char"/>
    <w:semiHidden/>
    <w:rsid w:val="0018777A"/>
  </w:style>
  <w:style w:type="paragraph" w:styleId="NormalWeb">
    <w:name w:val="Normal (Web)"/>
    <w:basedOn w:val="Normal"/>
    <w:uiPriority w:val="99"/>
    <w:unhideWhenUsed/>
    <w:rsid w:val="00D34A87"/>
    <w:pPr>
      <w:spacing w:before="100" w:beforeAutospacing="1" w:after="100" w:afterAutospacing="1"/>
    </w:pPr>
    <w:rPr>
      <w:sz w:val="24"/>
      <w:szCs w:val="24"/>
    </w:rPr>
  </w:style>
  <w:style w:type="paragraph" w:styleId="EndnoteText">
    <w:name w:val="endnote text"/>
    <w:basedOn w:val="Normal"/>
    <w:link w:val="EndnoteTextChar"/>
    <w:rsid w:val="00473E1F"/>
    <w:rPr>
      <w:sz w:val="20"/>
    </w:rPr>
  </w:style>
  <w:style w:type="character" w:customStyle="1" w:styleId="EndnoteTextChar">
    <w:name w:val="Endnote Text Char"/>
    <w:link w:val="EndnoteText"/>
    <w:rsid w:val="00A44A6B"/>
    <w:rPr>
      <w:snapToGrid w:val="0"/>
      <w:kern w:val="28"/>
    </w:rPr>
  </w:style>
  <w:style w:type="character" w:styleId="EndnoteReference">
    <w:name w:val="endnote reference"/>
    <w:rsid w:val="00473E1F"/>
    <w:rPr>
      <w:vertAlign w:val="superscript"/>
    </w:rPr>
  </w:style>
  <w:style w:type="paragraph" w:styleId="TOAHeading">
    <w:name w:val="toa heading"/>
    <w:basedOn w:val="Normal"/>
    <w:next w:val="Normal"/>
    <w:rsid w:val="00473E1F"/>
    <w:pPr>
      <w:tabs>
        <w:tab w:val="right" w:pos="9360"/>
      </w:tabs>
      <w:suppressAutoHyphens/>
    </w:pPr>
  </w:style>
  <w:style w:type="character" w:customStyle="1" w:styleId="EquationCaption">
    <w:name w:val="_Equation Caption"/>
    <w:rsid w:val="00473E1F"/>
  </w:style>
  <w:style w:type="paragraph" w:customStyle="1" w:styleId="Paratitle">
    <w:name w:val="Para title"/>
    <w:basedOn w:val="Normal"/>
    <w:rsid w:val="00473E1F"/>
    <w:pPr>
      <w:tabs>
        <w:tab w:val="center" w:pos="9270"/>
      </w:tabs>
      <w:spacing w:after="240"/>
    </w:pPr>
    <w:rPr>
      <w:spacing w:val="-2"/>
    </w:rPr>
  </w:style>
  <w:style w:type="paragraph" w:customStyle="1" w:styleId="TOCTitle">
    <w:name w:val="TOC Title"/>
    <w:basedOn w:val="Normal"/>
    <w:rsid w:val="00473E1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73E1F"/>
    <w:pPr>
      <w:jc w:val="center"/>
    </w:pPr>
    <w:rPr>
      <w:rFonts w:ascii="Times New Roman Bold" w:hAnsi="Times New Roman Bold"/>
      <w:b/>
      <w:bCs/>
      <w:cap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521371">
      <w:bodyDiv w:val="1"/>
      <w:marLeft w:val="0"/>
      <w:marRight w:val="0"/>
      <w:marTop w:val="0"/>
      <w:marBottom w:val="0"/>
      <w:divBdr>
        <w:top w:val="none" w:sz="0" w:space="0" w:color="auto"/>
        <w:left w:val="none" w:sz="0" w:space="0" w:color="auto"/>
        <w:bottom w:val="none" w:sz="0" w:space="0" w:color="auto"/>
        <w:right w:val="none" w:sz="0" w:space="0" w:color="auto"/>
      </w:divBdr>
    </w:div>
    <w:div w:id="1256329824">
      <w:bodyDiv w:val="1"/>
      <w:marLeft w:val="0"/>
      <w:marRight w:val="0"/>
      <w:marTop w:val="0"/>
      <w:marBottom w:val="0"/>
      <w:divBdr>
        <w:top w:val="none" w:sz="0" w:space="0" w:color="auto"/>
        <w:left w:val="none" w:sz="0" w:space="0" w:color="auto"/>
        <w:bottom w:val="none" w:sz="0" w:space="0" w:color="auto"/>
        <w:right w:val="none" w:sz="0" w:space="0" w:color="auto"/>
      </w:divBdr>
      <w:divsChild>
        <w:div w:id="150028175">
          <w:marLeft w:val="0"/>
          <w:marRight w:val="0"/>
          <w:marTop w:val="0"/>
          <w:marBottom w:val="0"/>
          <w:divBdr>
            <w:top w:val="none" w:sz="0" w:space="0" w:color="auto"/>
            <w:left w:val="none" w:sz="0" w:space="0" w:color="auto"/>
            <w:bottom w:val="none" w:sz="0" w:space="0" w:color="auto"/>
            <w:right w:val="none" w:sz="0" w:space="0" w:color="auto"/>
          </w:divBdr>
        </w:div>
        <w:div w:id="520356725">
          <w:marLeft w:val="0"/>
          <w:marRight w:val="0"/>
          <w:marTop w:val="0"/>
          <w:marBottom w:val="0"/>
          <w:divBdr>
            <w:top w:val="none" w:sz="0" w:space="0" w:color="auto"/>
            <w:left w:val="none" w:sz="0" w:space="0" w:color="auto"/>
            <w:bottom w:val="none" w:sz="0" w:space="0" w:color="auto"/>
            <w:right w:val="none" w:sz="0" w:space="0" w:color="auto"/>
          </w:divBdr>
        </w:div>
        <w:div w:id="631517983">
          <w:marLeft w:val="0"/>
          <w:marRight w:val="0"/>
          <w:marTop w:val="0"/>
          <w:marBottom w:val="0"/>
          <w:divBdr>
            <w:top w:val="none" w:sz="0" w:space="0" w:color="auto"/>
            <w:left w:val="none" w:sz="0" w:space="0" w:color="auto"/>
            <w:bottom w:val="none" w:sz="0" w:space="0" w:color="auto"/>
            <w:right w:val="none" w:sz="0" w:space="0" w:color="auto"/>
          </w:divBdr>
        </w:div>
        <w:div w:id="868686071">
          <w:marLeft w:val="0"/>
          <w:marRight w:val="0"/>
          <w:marTop w:val="0"/>
          <w:marBottom w:val="0"/>
          <w:divBdr>
            <w:top w:val="none" w:sz="0" w:space="0" w:color="auto"/>
            <w:left w:val="none" w:sz="0" w:space="0" w:color="auto"/>
            <w:bottom w:val="none" w:sz="0" w:space="0" w:color="auto"/>
            <w:right w:val="none" w:sz="0" w:space="0" w:color="auto"/>
          </w:divBdr>
        </w:div>
        <w:div w:id="1064789656">
          <w:marLeft w:val="0"/>
          <w:marRight w:val="0"/>
          <w:marTop w:val="0"/>
          <w:marBottom w:val="0"/>
          <w:divBdr>
            <w:top w:val="none" w:sz="0" w:space="0" w:color="auto"/>
            <w:left w:val="none" w:sz="0" w:space="0" w:color="auto"/>
            <w:bottom w:val="none" w:sz="0" w:space="0" w:color="auto"/>
            <w:right w:val="none" w:sz="0" w:space="0" w:color="auto"/>
          </w:divBdr>
        </w:div>
        <w:div w:id="1091050317">
          <w:marLeft w:val="0"/>
          <w:marRight w:val="0"/>
          <w:marTop w:val="0"/>
          <w:marBottom w:val="0"/>
          <w:divBdr>
            <w:top w:val="none" w:sz="0" w:space="0" w:color="auto"/>
            <w:left w:val="none" w:sz="0" w:space="0" w:color="auto"/>
            <w:bottom w:val="none" w:sz="0" w:space="0" w:color="auto"/>
            <w:right w:val="none" w:sz="0" w:space="0" w:color="auto"/>
          </w:divBdr>
        </w:div>
        <w:div w:id="1093286371">
          <w:marLeft w:val="0"/>
          <w:marRight w:val="0"/>
          <w:marTop w:val="0"/>
          <w:marBottom w:val="0"/>
          <w:divBdr>
            <w:top w:val="none" w:sz="0" w:space="0" w:color="auto"/>
            <w:left w:val="none" w:sz="0" w:space="0" w:color="auto"/>
            <w:bottom w:val="none" w:sz="0" w:space="0" w:color="auto"/>
            <w:right w:val="none" w:sz="0" w:space="0" w:color="auto"/>
          </w:divBdr>
        </w:div>
        <w:div w:id="1543979361">
          <w:marLeft w:val="0"/>
          <w:marRight w:val="0"/>
          <w:marTop w:val="0"/>
          <w:marBottom w:val="0"/>
          <w:divBdr>
            <w:top w:val="none" w:sz="0" w:space="0" w:color="auto"/>
            <w:left w:val="none" w:sz="0" w:space="0" w:color="auto"/>
            <w:bottom w:val="none" w:sz="0" w:space="0" w:color="auto"/>
            <w:right w:val="none" w:sz="0" w:space="0" w:color="auto"/>
          </w:divBdr>
        </w:div>
        <w:div w:id="1577396304">
          <w:marLeft w:val="0"/>
          <w:marRight w:val="0"/>
          <w:marTop w:val="0"/>
          <w:marBottom w:val="0"/>
          <w:divBdr>
            <w:top w:val="none" w:sz="0" w:space="0" w:color="auto"/>
            <w:left w:val="none" w:sz="0" w:space="0" w:color="auto"/>
            <w:bottom w:val="none" w:sz="0" w:space="0" w:color="auto"/>
            <w:right w:val="none" w:sz="0" w:space="0" w:color="auto"/>
          </w:divBdr>
        </w:div>
        <w:div w:id="1670018422">
          <w:marLeft w:val="0"/>
          <w:marRight w:val="0"/>
          <w:marTop w:val="0"/>
          <w:marBottom w:val="0"/>
          <w:divBdr>
            <w:top w:val="none" w:sz="0" w:space="0" w:color="auto"/>
            <w:left w:val="none" w:sz="0" w:space="0" w:color="auto"/>
            <w:bottom w:val="none" w:sz="0" w:space="0" w:color="auto"/>
            <w:right w:val="none" w:sz="0" w:space="0" w:color="auto"/>
          </w:divBdr>
        </w:div>
        <w:div w:id="1804737614">
          <w:marLeft w:val="0"/>
          <w:marRight w:val="0"/>
          <w:marTop w:val="0"/>
          <w:marBottom w:val="0"/>
          <w:divBdr>
            <w:top w:val="none" w:sz="0" w:space="0" w:color="auto"/>
            <w:left w:val="none" w:sz="0" w:space="0" w:color="auto"/>
            <w:bottom w:val="none" w:sz="0" w:space="0" w:color="auto"/>
            <w:right w:val="none" w:sz="0" w:space="0" w:color="auto"/>
          </w:divBdr>
        </w:div>
        <w:div w:id="2108888454">
          <w:marLeft w:val="0"/>
          <w:marRight w:val="0"/>
          <w:marTop w:val="0"/>
          <w:marBottom w:val="0"/>
          <w:divBdr>
            <w:top w:val="none" w:sz="0" w:space="0" w:color="auto"/>
            <w:left w:val="none" w:sz="0" w:space="0" w:color="auto"/>
            <w:bottom w:val="none" w:sz="0" w:space="0" w:color="auto"/>
            <w:right w:val="none" w:sz="0" w:space="0" w:color="auto"/>
          </w:divBdr>
        </w:div>
      </w:divsChild>
    </w:div>
    <w:div w:id="1396930323">
      <w:bodyDiv w:val="1"/>
      <w:marLeft w:val="0"/>
      <w:marRight w:val="0"/>
      <w:marTop w:val="0"/>
      <w:marBottom w:val="0"/>
      <w:divBdr>
        <w:top w:val="none" w:sz="0" w:space="0" w:color="auto"/>
        <w:left w:val="none" w:sz="0" w:space="0" w:color="auto"/>
        <w:bottom w:val="none" w:sz="0" w:space="0" w:color="auto"/>
        <w:right w:val="none" w:sz="0" w:space="0" w:color="auto"/>
      </w:divBdr>
    </w:div>
    <w:div w:id="1506045640">
      <w:bodyDiv w:val="1"/>
      <w:marLeft w:val="0"/>
      <w:marRight w:val="0"/>
      <w:marTop w:val="0"/>
      <w:marBottom w:val="0"/>
      <w:divBdr>
        <w:top w:val="none" w:sz="0" w:space="0" w:color="auto"/>
        <w:left w:val="none" w:sz="0" w:space="0" w:color="auto"/>
        <w:bottom w:val="none" w:sz="0" w:space="0" w:color="auto"/>
        <w:right w:val="none" w:sz="0" w:space="0" w:color="auto"/>
      </w:divBdr>
      <w:divsChild>
        <w:div w:id="2133086419">
          <w:marLeft w:val="0"/>
          <w:marRight w:val="0"/>
          <w:marTop w:val="0"/>
          <w:marBottom w:val="0"/>
          <w:divBdr>
            <w:top w:val="none" w:sz="0" w:space="0" w:color="auto"/>
            <w:left w:val="none" w:sz="0" w:space="0" w:color="auto"/>
            <w:bottom w:val="none" w:sz="0" w:space="0" w:color="auto"/>
            <w:right w:val="none" w:sz="0" w:space="0" w:color="auto"/>
          </w:divBdr>
          <w:divsChild>
            <w:div w:id="1597129869">
              <w:marLeft w:val="0"/>
              <w:marRight w:val="0"/>
              <w:marTop w:val="0"/>
              <w:marBottom w:val="0"/>
              <w:divBdr>
                <w:top w:val="none" w:sz="0" w:space="0" w:color="auto"/>
                <w:left w:val="none" w:sz="0" w:space="0" w:color="auto"/>
                <w:bottom w:val="none" w:sz="0" w:space="0" w:color="auto"/>
                <w:right w:val="none" w:sz="0" w:space="0" w:color="auto"/>
              </w:divBdr>
              <w:divsChild>
                <w:div w:id="68382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756915">
      <w:bodyDiv w:val="1"/>
      <w:marLeft w:val="0"/>
      <w:marRight w:val="0"/>
      <w:marTop w:val="0"/>
      <w:marBottom w:val="0"/>
      <w:divBdr>
        <w:top w:val="none" w:sz="0" w:space="0" w:color="auto"/>
        <w:left w:val="none" w:sz="0" w:space="0" w:color="auto"/>
        <w:bottom w:val="none" w:sz="0" w:space="0" w:color="auto"/>
        <w:right w:val="none" w:sz="0" w:space="0" w:color="auto"/>
      </w:divBdr>
      <w:divsChild>
        <w:div w:id="105003788">
          <w:marLeft w:val="0"/>
          <w:marRight w:val="0"/>
          <w:marTop w:val="0"/>
          <w:marBottom w:val="0"/>
          <w:divBdr>
            <w:top w:val="none" w:sz="0" w:space="0" w:color="auto"/>
            <w:left w:val="none" w:sz="0" w:space="0" w:color="auto"/>
            <w:bottom w:val="none" w:sz="0" w:space="0" w:color="auto"/>
            <w:right w:val="none" w:sz="0" w:space="0" w:color="auto"/>
          </w:divBdr>
          <w:divsChild>
            <w:div w:id="139292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86773">
      <w:bodyDiv w:val="1"/>
      <w:marLeft w:val="0"/>
      <w:marRight w:val="0"/>
      <w:marTop w:val="0"/>
      <w:marBottom w:val="0"/>
      <w:divBdr>
        <w:top w:val="none" w:sz="0" w:space="0" w:color="auto"/>
        <w:left w:val="none" w:sz="0" w:space="0" w:color="auto"/>
        <w:bottom w:val="none" w:sz="0" w:space="0" w:color="auto"/>
        <w:right w:val="none" w:sz="0" w:space="0" w:color="auto"/>
      </w:divBdr>
      <w:divsChild>
        <w:div w:id="1220436584">
          <w:marLeft w:val="0"/>
          <w:marRight w:val="0"/>
          <w:marTop w:val="0"/>
          <w:marBottom w:val="0"/>
          <w:divBdr>
            <w:top w:val="none" w:sz="0" w:space="0" w:color="auto"/>
            <w:left w:val="none" w:sz="0" w:space="0" w:color="auto"/>
            <w:bottom w:val="none" w:sz="0" w:space="0" w:color="auto"/>
            <w:right w:val="none" w:sz="0" w:space="0" w:color="auto"/>
          </w:divBdr>
          <w:divsChild>
            <w:div w:id="44986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87762">
      <w:bodyDiv w:val="1"/>
      <w:marLeft w:val="0"/>
      <w:marRight w:val="0"/>
      <w:marTop w:val="0"/>
      <w:marBottom w:val="0"/>
      <w:divBdr>
        <w:top w:val="none" w:sz="0" w:space="0" w:color="auto"/>
        <w:left w:val="none" w:sz="0" w:space="0" w:color="auto"/>
        <w:bottom w:val="none" w:sz="0" w:space="0" w:color="auto"/>
        <w:right w:val="none" w:sz="0" w:space="0" w:color="auto"/>
      </w:divBdr>
      <w:divsChild>
        <w:div w:id="701633337">
          <w:marLeft w:val="0"/>
          <w:marRight w:val="0"/>
          <w:marTop w:val="0"/>
          <w:marBottom w:val="0"/>
          <w:divBdr>
            <w:top w:val="none" w:sz="0" w:space="0" w:color="auto"/>
            <w:left w:val="none" w:sz="0" w:space="0" w:color="auto"/>
            <w:bottom w:val="none" w:sz="0" w:space="0" w:color="auto"/>
            <w:right w:val="none" w:sz="0" w:space="0" w:color="auto"/>
          </w:divBdr>
          <w:divsChild>
            <w:div w:id="132685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88405">
      <w:bodyDiv w:val="1"/>
      <w:marLeft w:val="0"/>
      <w:marRight w:val="0"/>
      <w:marTop w:val="0"/>
      <w:marBottom w:val="0"/>
      <w:divBdr>
        <w:top w:val="none" w:sz="0" w:space="0" w:color="auto"/>
        <w:left w:val="none" w:sz="0" w:space="0" w:color="auto"/>
        <w:bottom w:val="none" w:sz="0" w:space="0" w:color="auto"/>
        <w:right w:val="none" w:sz="0" w:space="0" w:color="auto"/>
      </w:divBdr>
      <w:divsChild>
        <w:div w:id="998191961">
          <w:marLeft w:val="0"/>
          <w:marRight w:val="0"/>
          <w:marTop w:val="0"/>
          <w:marBottom w:val="0"/>
          <w:divBdr>
            <w:top w:val="none" w:sz="0" w:space="0" w:color="auto"/>
            <w:left w:val="none" w:sz="0" w:space="0" w:color="auto"/>
            <w:bottom w:val="none" w:sz="0" w:space="0" w:color="auto"/>
            <w:right w:val="none" w:sz="0" w:space="0" w:color="auto"/>
          </w:divBdr>
          <w:divsChild>
            <w:div w:id="33317026">
              <w:marLeft w:val="0"/>
              <w:marRight w:val="0"/>
              <w:marTop w:val="0"/>
              <w:marBottom w:val="0"/>
              <w:divBdr>
                <w:top w:val="none" w:sz="0" w:space="0" w:color="auto"/>
                <w:left w:val="none" w:sz="0" w:space="0" w:color="auto"/>
                <w:bottom w:val="none" w:sz="0" w:space="0" w:color="auto"/>
                <w:right w:val="none" w:sz="0" w:space="0" w:color="auto"/>
              </w:divBdr>
              <w:divsChild>
                <w:div w:id="19811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6</Pages>
  <Words>1556</Words>
  <Characters>8531</Characters>
  <Application>Microsoft Office Word</Application>
  <DocSecurity>0</DocSecurity>
  <Lines>162</Lines>
  <Paragraphs>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10111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2015-03-31T19:23:00Z</dcterms:created>
  <dcterms:modified xsi:type="dcterms:W3CDTF">2015-03-31T19:23:00Z</dcterms:modified>
  <cp:category> </cp:category>
  <cp:contentStatus> </cp:contentStatus>
</cp:coreProperties>
</file>