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0155DA" w:rsidRDefault="004C2EE3">
      <w:pPr>
        <w:jc w:val="center"/>
        <w:rPr>
          <w:b/>
          <w:szCs w:val="22"/>
        </w:rPr>
      </w:pPr>
      <w:bookmarkStart w:id="0" w:name="_GoBack"/>
      <w:bookmarkEnd w:id="0"/>
      <w:r w:rsidRPr="000155DA">
        <w:rPr>
          <w:b/>
          <w:kern w:val="0"/>
          <w:szCs w:val="22"/>
        </w:rPr>
        <w:t>Before</w:t>
      </w:r>
      <w:r w:rsidRPr="000155DA">
        <w:rPr>
          <w:b/>
          <w:szCs w:val="22"/>
        </w:rPr>
        <w:t xml:space="preserve"> the</w:t>
      </w:r>
    </w:p>
    <w:p w:rsidR="00921803" w:rsidRPr="000155DA" w:rsidRDefault="00921803" w:rsidP="00921803">
      <w:pPr>
        <w:pStyle w:val="StyleBoldCentered"/>
        <w:rPr>
          <w:rFonts w:ascii="Times New Roman" w:hAnsi="Times New Roman"/>
        </w:rPr>
      </w:pPr>
      <w:r w:rsidRPr="000155DA">
        <w:rPr>
          <w:rFonts w:ascii="Times New Roman" w:hAnsi="Times New Roman"/>
        </w:rPr>
        <w:t>F</w:t>
      </w:r>
      <w:r w:rsidRPr="000155DA">
        <w:rPr>
          <w:rFonts w:ascii="Times New Roman" w:hAnsi="Times New Roman"/>
          <w:caps w:val="0"/>
        </w:rPr>
        <w:t>ederal Communications Commission</w:t>
      </w:r>
    </w:p>
    <w:p w:rsidR="004C2EE3" w:rsidRPr="000155DA" w:rsidRDefault="00810B6F" w:rsidP="00096D8C">
      <w:pPr>
        <w:pStyle w:val="StyleBoldCentered"/>
        <w:rPr>
          <w:rFonts w:ascii="Times New Roman" w:hAnsi="Times New Roman"/>
        </w:rPr>
      </w:pPr>
      <w:r w:rsidRPr="000155DA">
        <w:rPr>
          <w:rFonts w:ascii="Times New Roman" w:hAnsi="Times New Roman"/>
          <w:caps w:val="0"/>
        </w:rPr>
        <w:t>Washington, D.C. 20554</w:t>
      </w:r>
    </w:p>
    <w:p w:rsidR="004C2EE3" w:rsidRPr="000155DA" w:rsidRDefault="004C2EE3" w:rsidP="0070224F">
      <w:pPr>
        <w:rPr>
          <w:szCs w:val="22"/>
        </w:rPr>
      </w:pPr>
    </w:p>
    <w:p w:rsidR="004C2EE3" w:rsidRPr="000155DA"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0155DA">
        <w:tc>
          <w:tcPr>
            <w:tcW w:w="4698" w:type="dxa"/>
          </w:tcPr>
          <w:p w:rsidR="004C2EE3" w:rsidRPr="000155DA" w:rsidRDefault="004C2EE3">
            <w:pPr>
              <w:tabs>
                <w:tab w:val="center" w:pos="4680"/>
              </w:tabs>
              <w:suppressAutoHyphens/>
              <w:rPr>
                <w:spacing w:val="-2"/>
                <w:szCs w:val="22"/>
              </w:rPr>
            </w:pPr>
            <w:r w:rsidRPr="000155DA">
              <w:rPr>
                <w:spacing w:val="-2"/>
                <w:szCs w:val="22"/>
              </w:rPr>
              <w:t>In the Matter of</w:t>
            </w:r>
          </w:p>
          <w:p w:rsidR="004C2EE3" w:rsidRPr="000155DA" w:rsidRDefault="004C2EE3">
            <w:pPr>
              <w:tabs>
                <w:tab w:val="center" w:pos="4680"/>
              </w:tabs>
              <w:suppressAutoHyphens/>
              <w:rPr>
                <w:spacing w:val="-2"/>
                <w:szCs w:val="22"/>
              </w:rPr>
            </w:pPr>
          </w:p>
          <w:p w:rsidR="004C2EE3" w:rsidRPr="000155DA" w:rsidRDefault="009D1FDA" w:rsidP="007115F7">
            <w:pPr>
              <w:tabs>
                <w:tab w:val="center" w:pos="4680"/>
              </w:tabs>
              <w:suppressAutoHyphens/>
              <w:rPr>
                <w:spacing w:val="-2"/>
                <w:szCs w:val="22"/>
              </w:rPr>
            </w:pPr>
            <w:r w:rsidRPr="000155DA">
              <w:rPr>
                <w:spacing w:val="-2"/>
                <w:szCs w:val="22"/>
              </w:rPr>
              <w:t>Connect America Fund</w:t>
            </w:r>
          </w:p>
          <w:p w:rsidR="009D1FDA" w:rsidRPr="000155DA" w:rsidRDefault="009D1FDA" w:rsidP="007115F7">
            <w:pPr>
              <w:tabs>
                <w:tab w:val="center" w:pos="4680"/>
              </w:tabs>
              <w:suppressAutoHyphens/>
              <w:rPr>
                <w:spacing w:val="-2"/>
                <w:szCs w:val="22"/>
              </w:rPr>
            </w:pPr>
          </w:p>
          <w:p w:rsidR="009D1FDA" w:rsidRPr="000155DA" w:rsidRDefault="009D1FDA" w:rsidP="007115F7">
            <w:pPr>
              <w:tabs>
                <w:tab w:val="center" w:pos="4680"/>
              </w:tabs>
              <w:suppressAutoHyphens/>
              <w:rPr>
                <w:spacing w:val="-2"/>
                <w:szCs w:val="22"/>
              </w:rPr>
            </w:pPr>
            <w:r w:rsidRPr="000155DA">
              <w:rPr>
                <w:spacing w:val="-2"/>
                <w:szCs w:val="22"/>
              </w:rPr>
              <w:t>Connect America Phase II Challenge Process</w:t>
            </w:r>
          </w:p>
          <w:p w:rsidR="009D1FDA" w:rsidRPr="000155DA" w:rsidRDefault="009D1FDA" w:rsidP="007115F7">
            <w:pPr>
              <w:tabs>
                <w:tab w:val="center" w:pos="4680"/>
              </w:tabs>
              <w:suppressAutoHyphens/>
              <w:rPr>
                <w:spacing w:val="-2"/>
                <w:szCs w:val="22"/>
              </w:rPr>
            </w:pPr>
          </w:p>
        </w:tc>
        <w:tc>
          <w:tcPr>
            <w:tcW w:w="630" w:type="dxa"/>
          </w:tcPr>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spacing w:val="-2"/>
                <w:szCs w:val="22"/>
              </w:rPr>
            </w:pPr>
            <w:r w:rsidRPr="000155DA">
              <w:rPr>
                <w:b/>
                <w:spacing w:val="-2"/>
                <w:szCs w:val="22"/>
              </w:rPr>
              <w:t>)</w:t>
            </w:r>
          </w:p>
        </w:tc>
        <w:tc>
          <w:tcPr>
            <w:tcW w:w="4248" w:type="dxa"/>
          </w:tcPr>
          <w:p w:rsidR="004C2EE3" w:rsidRPr="000155DA" w:rsidRDefault="004C2EE3">
            <w:pPr>
              <w:tabs>
                <w:tab w:val="center" w:pos="4680"/>
              </w:tabs>
              <w:suppressAutoHyphens/>
              <w:rPr>
                <w:spacing w:val="-2"/>
                <w:szCs w:val="22"/>
              </w:rPr>
            </w:pPr>
          </w:p>
          <w:p w:rsidR="004C2EE3" w:rsidRPr="000155DA" w:rsidRDefault="004C2EE3">
            <w:pPr>
              <w:pStyle w:val="TOAHeading"/>
              <w:tabs>
                <w:tab w:val="clear" w:pos="9360"/>
                <w:tab w:val="center" w:pos="4680"/>
              </w:tabs>
              <w:rPr>
                <w:spacing w:val="-2"/>
                <w:szCs w:val="22"/>
              </w:rPr>
            </w:pPr>
          </w:p>
          <w:p w:rsidR="004C2EE3" w:rsidRPr="000155DA" w:rsidRDefault="009D1FDA">
            <w:pPr>
              <w:tabs>
                <w:tab w:val="center" w:pos="4680"/>
              </w:tabs>
              <w:suppressAutoHyphens/>
              <w:rPr>
                <w:spacing w:val="-2"/>
                <w:szCs w:val="22"/>
              </w:rPr>
            </w:pPr>
            <w:r w:rsidRPr="000155DA">
              <w:rPr>
                <w:spacing w:val="-2"/>
                <w:szCs w:val="22"/>
              </w:rPr>
              <w:t>WC Docket No. 10-90</w:t>
            </w:r>
          </w:p>
          <w:p w:rsidR="009D1FDA" w:rsidRPr="000155DA" w:rsidRDefault="009D1FDA">
            <w:pPr>
              <w:tabs>
                <w:tab w:val="center" w:pos="4680"/>
              </w:tabs>
              <w:suppressAutoHyphens/>
              <w:rPr>
                <w:spacing w:val="-2"/>
                <w:szCs w:val="22"/>
              </w:rPr>
            </w:pPr>
          </w:p>
          <w:p w:rsidR="009D1FDA" w:rsidRPr="000155DA" w:rsidRDefault="009D1FDA">
            <w:pPr>
              <w:tabs>
                <w:tab w:val="center" w:pos="4680"/>
              </w:tabs>
              <w:suppressAutoHyphens/>
              <w:rPr>
                <w:spacing w:val="-2"/>
                <w:szCs w:val="22"/>
              </w:rPr>
            </w:pPr>
            <w:r w:rsidRPr="000155DA">
              <w:rPr>
                <w:spacing w:val="-2"/>
                <w:szCs w:val="22"/>
              </w:rPr>
              <w:t>WC Docket No. 14-93</w:t>
            </w:r>
          </w:p>
        </w:tc>
      </w:tr>
    </w:tbl>
    <w:p w:rsidR="004C2EE3" w:rsidRPr="000155DA" w:rsidRDefault="004C2EE3" w:rsidP="0070224F">
      <w:pPr>
        <w:rPr>
          <w:szCs w:val="22"/>
        </w:rPr>
      </w:pPr>
    </w:p>
    <w:p w:rsidR="00841AB1" w:rsidRPr="000155DA" w:rsidRDefault="009D1FDA" w:rsidP="00F021FA">
      <w:pPr>
        <w:pStyle w:val="StyleBoldCentered"/>
        <w:rPr>
          <w:rFonts w:ascii="Times New Roman" w:hAnsi="Times New Roman"/>
        </w:rPr>
      </w:pPr>
      <w:r w:rsidRPr="000155DA">
        <w:rPr>
          <w:rFonts w:ascii="Times New Roman" w:hAnsi="Times New Roman"/>
        </w:rPr>
        <w:t>ORDER</w:t>
      </w:r>
    </w:p>
    <w:p w:rsidR="004C2EE3" w:rsidRPr="000155DA" w:rsidRDefault="004C2EE3">
      <w:pPr>
        <w:tabs>
          <w:tab w:val="left" w:pos="-720"/>
        </w:tabs>
        <w:suppressAutoHyphens/>
        <w:spacing w:line="227" w:lineRule="auto"/>
        <w:rPr>
          <w:spacing w:val="-2"/>
          <w:szCs w:val="22"/>
        </w:rPr>
      </w:pPr>
    </w:p>
    <w:p w:rsidR="004C2EE3" w:rsidRPr="000155DA" w:rsidRDefault="004C2EE3" w:rsidP="00133F79">
      <w:pPr>
        <w:tabs>
          <w:tab w:val="left" w:pos="720"/>
          <w:tab w:val="right" w:pos="9360"/>
        </w:tabs>
        <w:suppressAutoHyphens/>
        <w:spacing w:line="227" w:lineRule="auto"/>
        <w:rPr>
          <w:spacing w:val="-2"/>
          <w:szCs w:val="22"/>
        </w:rPr>
      </w:pPr>
      <w:r w:rsidRPr="000155DA">
        <w:rPr>
          <w:b/>
          <w:spacing w:val="-2"/>
          <w:szCs w:val="22"/>
        </w:rPr>
        <w:t xml:space="preserve">Adopted:  </w:t>
      </w:r>
      <w:r w:rsidR="00E86F5D" w:rsidRPr="000155DA">
        <w:rPr>
          <w:b/>
          <w:spacing w:val="-2"/>
          <w:szCs w:val="22"/>
        </w:rPr>
        <w:t>March 30, 2015</w:t>
      </w:r>
      <w:r w:rsidRPr="000155DA">
        <w:rPr>
          <w:b/>
          <w:spacing w:val="-2"/>
          <w:szCs w:val="22"/>
        </w:rPr>
        <w:tab/>
      </w:r>
      <w:r w:rsidR="00822CE0" w:rsidRPr="000155DA">
        <w:rPr>
          <w:b/>
          <w:spacing w:val="-2"/>
          <w:szCs w:val="22"/>
        </w:rPr>
        <w:t>Released</w:t>
      </w:r>
      <w:r w:rsidRPr="000155DA">
        <w:rPr>
          <w:b/>
          <w:spacing w:val="-2"/>
          <w:szCs w:val="22"/>
        </w:rPr>
        <w:t>:</w:t>
      </w:r>
      <w:r w:rsidR="00822CE0" w:rsidRPr="000155DA">
        <w:rPr>
          <w:b/>
          <w:spacing w:val="-2"/>
          <w:szCs w:val="22"/>
        </w:rPr>
        <w:t xml:space="preserve"> </w:t>
      </w:r>
      <w:r w:rsidRPr="000155DA">
        <w:rPr>
          <w:b/>
          <w:spacing w:val="-2"/>
          <w:szCs w:val="22"/>
        </w:rPr>
        <w:t xml:space="preserve"> </w:t>
      </w:r>
      <w:r w:rsidR="00E86F5D" w:rsidRPr="000155DA">
        <w:rPr>
          <w:b/>
          <w:spacing w:val="-2"/>
          <w:szCs w:val="22"/>
        </w:rPr>
        <w:t>March 30, 2015</w:t>
      </w:r>
    </w:p>
    <w:p w:rsidR="00822CE0" w:rsidRPr="000155DA" w:rsidRDefault="00822CE0">
      <w:pPr>
        <w:rPr>
          <w:szCs w:val="22"/>
        </w:rPr>
      </w:pPr>
    </w:p>
    <w:p w:rsidR="004C2EE3" w:rsidRPr="000155DA" w:rsidRDefault="004C2EE3">
      <w:pPr>
        <w:rPr>
          <w:spacing w:val="-2"/>
          <w:szCs w:val="22"/>
        </w:rPr>
      </w:pPr>
      <w:r w:rsidRPr="000155DA">
        <w:rPr>
          <w:szCs w:val="22"/>
        </w:rPr>
        <w:t xml:space="preserve">By </w:t>
      </w:r>
      <w:r w:rsidR="004E4A22" w:rsidRPr="000155DA">
        <w:rPr>
          <w:szCs w:val="22"/>
        </w:rPr>
        <w:t>the</w:t>
      </w:r>
      <w:r w:rsidR="002A2D2E" w:rsidRPr="000155DA">
        <w:rPr>
          <w:szCs w:val="22"/>
        </w:rPr>
        <w:t xml:space="preserve"> </w:t>
      </w:r>
      <w:r w:rsidR="00216272" w:rsidRPr="000155DA">
        <w:rPr>
          <w:szCs w:val="22"/>
        </w:rPr>
        <w:t xml:space="preserve">Deputy </w:t>
      </w:r>
      <w:r w:rsidR="009D1FDA" w:rsidRPr="000155DA">
        <w:rPr>
          <w:spacing w:val="-2"/>
          <w:szCs w:val="22"/>
        </w:rPr>
        <w:t>Chief, Wireline Competition Bureau</w:t>
      </w:r>
      <w:r w:rsidRPr="000155DA">
        <w:rPr>
          <w:spacing w:val="-2"/>
          <w:szCs w:val="22"/>
        </w:rPr>
        <w:t>:</w:t>
      </w:r>
    </w:p>
    <w:p w:rsidR="00822CE0" w:rsidRPr="000155DA" w:rsidRDefault="00822CE0">
      <w:pPr>
        <w:rPr>
          <w:spacing w:val="-2"/>
          <w:szCs w:val="22"/>
        </w:rPr>
      </w:pPr>
    </w:p>
    <w:p w:rsidR="002C00E8" w:rsidRPr="000155DA" w:rsidRDefault="009D1FDA" w:rsidP="002C00E8">
      <w:pPr>
        <w:pStyle w:val="Heading1"/>
        <w:rPr>
          <w:rFonts w:ascii="Times New Roman" w:hAnsi="Times New Roman"/>
          <w:szCs w:val="22"/>
        </w:rPr>
      </w:pPr>
      <w:r w:rsidRPr="000155DA">
        <w:rPr>
          <w:rFonts w:ascii="Times New Roman" w:hAnsi="Times New Roman"/>
          <w:szCs w:val="22"/>
        </w:rPr>
        <w:t>INTRODUCTION</w:t>
      </w:r>
    </w:p>
    <w:p w:rsidR="009D1FDA" w:rsidRPr="000155DA" w:rsidRDefault="0083290C" w:rsidP="009D1FDA">
      <w:pPr>
        <w:pStyle w:val="ParaNum"/>
        <w:rPr>
          <w:szCs w:val="22"/>
        </w:rPr>
      </w:pPr>
      <w:r w:rsidRPr="000155DA">
        <w:rPr>
          <w:szCs w:val="22"/>
        </w:rPr>
        <w:t xml:space="preserve">In this Order, </w:t>
      </w:r>
      <w:r w:rsidR="00B61AC1" w:rsidRPr="000155DA">
        <w:rPr>
          <w:szCs w:val="22"/>
        </w:rPr>
        <w:t xml:space="preserve">the Wireline Competition Bureau (Bureau) </w:t>
      </w:r>
      <w:r w:rsidRPr="000155DA">
        <w:rPr>
          <w:szCs w:val="22"/>
        </w:rPr>
        <w:t>conclude</w:t>
      </w:r>
      <w:r w:rsidR="00B61AC1" w:rsidRPr="000155DA">
        <w:rPr>
          <w:szCs w:val="22"/>
        </w:rPr>
        <w:t>s</w:t>
      </w:r>
      <w:r w:rsidRPr="000155DA">
        <w:rPr>
          <w:szCs w:val="22"/>
        </w:rPr>
        <w:t xml:space="preserve"> the </w:t>
      </w:r>
      <w:r w:rsidR="0084353F" w:rsidRPr="000155DA">
        <w:rPr>
          <w:szCs w:val="22"/>
        </w:rPr>
        <w:t xml:space="preserve">Connect America </w:t>
      </w:r>
      <w:r w:rsidRPr="000155DA">
        <w:rPr>
          <w:szCs w:val="22"/>
        </w:rPr>
        <w:t>Phase II Challenge Process and provide</w:t>
      </w:r>
      <w:r w:rsidR="00B61AC1" w:rsidRPr="000155DA">
        <w:rPr>
          <w:szCs w:val="22"/>
        </w:rPr>
        <w:t>s</w:t>
      </w:r>
      <w:r w:rsidRPr="000155DA">
        <w:rPr>
          <w:szCs w:val="22"/>
        </w:rPr>
        <w:t xml:space="preserve"> the final </w:t>
      </w:r>
      <w:r w:rsidR="00B61AC1" w:rsidRPr="000155DA">
        <w:rPr>
          <w:szCs w:val="22"/>
        </w:rPr>
        <w:t xml:space="preserve">determination </w:t>
      </w:r>
      <w:r w:rsidRPr="000155DA">
        <w:rPr>
          <w:szCs w:val="22"/>
        </w:rPr>
        <w:t xml:space="preserve">regarding all challenged census blocks. </w:t>
      </w:r>
      <w:r w:rsidR="0084353F" w:rsidRPr="000155DA">
        <w:rPr>
          <w:szCs w:val="22"/>
        </w:rPr>
        <w:t xml:space="preserve"> </w:t>
      </w:r>
      <w:r w:rsidRPr="000155DA">
        <w:rPr>
          <w:szCs w:val="22"/>
        </w:rPr>
        <w:t xml:space="preserve">We announce the results of our review of the </w:t>
      </w:r>
      <w:r w:rsidR="00B61AC1" w:rsidRPr="000155DA">
        <w:rPr>
          <w:szCs w:val="22"/>
        </w:rPr>
        <w:t xml:space="preserve">challenges </w:t>
      </w:r>
      <w:r w:rsidR="00A143B4" w:rsidRPr="000155DA">
        <w:rPr>
          <w:szCs w:val="22"/>
        </w:rPr>
        <w:t>and replies</w:t>
      </w:r>
      <w:r w:rsidRPr="000155DA">
        <w:rPr>
          <w:szCs w:val="22"/>
        </w:rPr>
        <w:t>, and w</w:t>
      </w:r>
      <w:r w:rsidR="006B0DBD" w:rsidRPr="000155DA">
        <w:rPr>
          <w:szCs w:val="22"/>
        </w:rPr>
        <w:t xml:space="preserve">e provide an accompanying </w:t>
      </w:r>
      <w:r w:rsidRPr="000155DA">
        <w:rPr>
          <w:szCs w:val="22"/>
        </w:rPr>
        <w:t>listing of those census blocks that will be treated as served and those that will be treated as unserved</w:t>
      </w:r>
      <w:r w:rsidR="00106D8E" w:rsidRPr="000155DA">
        <w:rPr>
          <w:szCs w:val="22"/>
        </w:rPr>
        <w:t xml:space="preserve"> </w:t>
      </w:r>
      <w:r w:rsidR="00A143B4" w:rsidRPr="000155DA">
        <w:rPr>
          <w:szCs w:val="22"/>
        </w:rPr>
        <w:t xml:space="preserve">for purposes of </w:t>
      </w:r>
      <w:r w:rsidR="0084353F" w:rsidRPr="000155DA">
        <w:rPr>
          <w:szCs w:val="22"/>
        </w:rPr>
        <w:t>calculat</w:t>
      </w:r>
      <w:r w:rsidR="00A143B4" w:rsidRPr="000155DA">
        <w:rPr>
          <w:szCs w:val="22"/>
        </w:rPr>
        <w:t>ing</w:t>
      </w:r>
      <w:r w:rsidR="0084353F" w:rsidRPr="000155DA">
        <w:rPr>
          <w:szCs w:val="22"/>
        </w:rPr>
        <w:t xml:space="preserve"> the Phase II offer of model-based support to price cap carriers.  We </w:t>
      </w:r>
      <w:r w:rsidR="00A143B4" w:rsidRPr="000155DA">
        <w:rPr>
          <w:szCs w:val="22"/>
        </w:rPr>
        <w:t xml:space="preserve">will make the necessary adjustments in the Phase II cost model in the weeks ahead in order </w:t>
      </w:r>
      <w:r w:rsidR="0034137A" w:rsidRPr="000155DA">
        <w:rPr>
          <w:szCs w:val="22"/>
        </w:rPr>
        <w:t xml:space="preserve">to make final calculations </w:t>
      </w:r>
      <w:r w:rsidR="00AF7A50" w:rsidRPr="000155DA">
        <w:rPr>
          <w:szCs w:val="22"/>
        </w:rPr>
        <w:t>of the</w:t>
      </w:r>
      <w:r w:rsidR="0084353F" w:rsidRPr="000155DA">
        <w:rPr>
          <w:szCs w:val="22"/>
        </w:rPr>
        <w:t xml:space="preserve"> offer of support </w:t>
      </w:r>
      <w:r w:rsidR="0034137A" w:rsidRPr="000155DA">
        <w:rPr>
          <w:szCs w:val="22"/>
        </w:rPr>
        <w:t>to price cap carriers.</w:t>
      </w:r>
    </w:p>
    <w:p w:rsidR="0092050E" w:rsidRPr="000155DA" w:rsidRDefault="004C1799" w:rsidP="00730268">
      <w:pPr>
        <w:pStyle w:val="ParaNum"/>
        <w:tabs>
          <w:tab w:val="clear" w:pos="1440"/>
          <w:tab w:val="num" w:pos="720"/>
        </w:tabs>
        <w:rPr>
          <w:szCs w:val="22"/>
        </w:rPr>
      </w:pPr>
      <w:r w:rsidRPr="000155DA">
        <w:rPr>
          <w:szCs w:val="22"/>
        </w:rPr>
        <w:t>In June 2014, the Bureau announced that nearly 745,000 census blocks would be eligible for the offer of Phase II model-based support, subject to the outcome of the challenge process.</w:t>
      </w:r>
      <w:r w:rsidR="000D0045" w:rsidRPr="000155DA">
        <w:rPr>
          <w:rStyle w:val="FootnoteReference"/>
          <w:sz w:val="22"/>
          <w:szCs w:val="22"/>
        </w:rPr>
        <w:footnoteReference w:id="2"/>
      </w:r>
      <w:r w:rsidRPr="000155DA">
        <w:rPr>
          <w:szCs w:val="22"/>
        </w:rPr>
        <w:t xml:space="preserve">  </w:t>
      </w:r>
      <w:r w:rsidR="0034137A" w:rsidRPr="000155DA">
        <w:rPr>
          <w:szCs w:val="22"/>
        </w:rPr>
        <w:t xml:space="preserve">In August 2014, more than 140 parties filed challenges regarding the classification of nearly 180,000 census blocks. </w:t>
      </w:r>
      <w:r w:rsidR="00106D8E" w:rsidRPr="000155DA">
        <w:rPr>
          <w:szCs w:val="22"/>
        </w:rPr>
        <w:t>In September 2014, the Bureau determin</w:t>
      </w:r>
      <w:r w:rsidR="0034137A" w:rsidRPr="000155DA">
        <w:rPr>
          <w:szCs w:val="22"/>
        </w:rPr>
        <w:t>ed that challenge</w:t>
      </w:r>
      <w:r w:rsidRPr="000155DA">
        <w:rPr>
          <w:szCs w:val="22"/>
        </w:rPr>
        <w:t>r</w:t>
      </w:r>
      <w:r w:rsidR="0034137A" w:rsidRPr="000155DA">
        <w:rPr>
          <w:szCs w:val="22"/>
        </w:rPr>
        <w:t xml:space="preserve">s made a </w:t>
      </w:r>
      <w:r w:rsidR="0022337E" w:rsidRPr="000155DA">
        <w:rPr>
          <w:i/>
          <w:szCs w:val="22"/>
        </w:rPr>
        <w:t>prima facie</w:t>
      </w:r>
      <w:r w:rsidR="0034137A" w:rsidRPr="000155DA">
        <w:rPr>
          <w:szCs w:val="22"/>
        </w:rPr>
        <w:t xml:space="preserve"> case that the status </w:t>
      </w:r>
      <w:r w:rsidR="00AF7A50" w:rsidRPr="000155DA">
        <w:rPr>
          <w:szCs w:val="22"/>
        </w:rPr>
        <w:t>of 95,09</w:t>
      </w:r>
      <w:r w:rsidR="00033A4A" w:rsidRPr="000155DA">
        <w:rPr>
          <w:szCs w:val="22"/>
        </w:rPr>
        <w:t>3</w:t>
      </w:r>
      <w:r w:rsidR="005912F2" w:rsidRPr="000155DA">
        <w:rPr>
          <w:szCs w:val="22"/>
        </w:rPr>
        <w:t xml:space="preserve"> census blocks</w:t>
      </w:r>
      <w:r w:rsidR="00106D8E" w:rsidRPr="000155DA">
        <w:rPr>
          <w:szCs w:val="22"/>
        </w:rPr>
        <w:t xml:space="preserve"> </w:t>
      </w:r>
      <w:r w:rsidR="0034137A" w:rsidRPr="000155DA">
        <w:rPr>
          <w:szCs w:val="22"/>
        </w:rPr>
        <w:t>should be</w:t>
      </w:r>
      <w:r w:rsidR="00106D8E" w:rsidRPr="000155DA">
        <w:rPr>
          <w:szCs w:val="22"/>
        </w:rPr>
        <w:t xml:space="preserve"> </w:t>
      </w:r>
      <w:r w:rsidR="007A4506" w:rsidRPr="000155DA">
        <w:rPr>
          <w:szCs w:val="22"/>
        </w:rPr>
        <w:t>chang</w:t>
      </w:r>
      <w:r w:rsidR="0034137A" w:rsidRPr="000155DA">
        <w:rPr>
          <w:szCs w:val="22"/>
        </w:rPr>
        <w:t>ed</w:t>
      </w:r>
      <w:r w:rsidR="0092050E" w:rsidRPr="000155DA">
        <w:rPr>
          <w:szCs w:val="22"/>
        </w:rPr>
        <w:t xml:space="preserve"> and set a comment cycle for parties to reply</w:t>
      </w:r>
      <w:r w:rsidR="00106D8E" w:rsidRPr="000155DA">
        <w:rPr>
          <w:b/>
          <w:szCs w:val="22"/>
        </w:rPr>
        <w:t>.</w:t>
      </w:r>
      <w:r w:rsidR="000D0045" w:rsidRPr="000155DA">
        <w:rPr>
          <w:rStyle w:val="FootnoteReference"/>
          <w:b/>
          <w:sz w:val="22"/>
          <w:szCs w:val="22"/>
        </w:rPr>
        <w:footnoteReference w:id="3"/>
      </w:r>
      <w:r w:rsidR="000D0045" w:rsidRPr="000155DA">
        <w:rPr>
          <w:b/>
          <w:szCs w:val="22"/>
        </w:rPr>
        <w:t xml:space="preserve"> </w:t>
      </w:r>
      <w:r w:rsidR="00106D8E" w:rsidRPr="000155DA">
        <w:rPr>
          <w:b/>
          <w:szCs w:val="22"/>
        </w:rPr>
        <w:t xml:space="preserve">  </w:t>
      </w:r>
      <w:r w:rsidR="005912F2" w:rsidRPr="000155DA">
        <w:rPr>
          <w:szCs w:val="22"/>
        </w:rPr>
        <w:t xml:space="preserve"> </w:t>
      </w:r>
      <w:r w:rsidR="0084353F" w:rsidRPr="000155DA">
        <w:rPr>
          <w:szCs w:val="22"/>
        </w:rPr>
        <w:t xml:space="preserve"> </w:t>
      </w:r>
    </w:p>
    <w:p w:rsidR="00510AFB" w:rsidRPr="000155DA" w:rsidRDefault="005912F2" w:rsidP="00510AFB">
      <w:pPr>
        <w:pStyle w:val="ParaNum"/>
        <w:tabs>
          <w:tab w:val="clear" w:pos="1440"/>
          <w:tab w:val="num" w:pos="720"/>
        </w:tabs>
        <w:rPr>
          <w:szCs w:val="22"/>
        </w:rPr>
      </w:pPr>
      <w:r w:rsidRPr="000155DA">
        <w:rPr>
          <w:szCs w:val="22"/>
        </w:rPr>
        <w:t>W</w:t>
      </w:r>
      <w:r w:rsidR="00106D8E" w:rsidRPr="000155DA">
        <w:rPr>
          <w:szCs w:val="22"/>
        </w:rPr>
        <w:t>e now conclude, based on review of the challenge</w:t>
      </w:r>
      <w:r w:rsidR="006A604B" w:rsidRPr="000155DA">
        <w:rPr>
          <w:szCs w:val="22"/>
        </w:rPr>
        <w:t>s</w:t>
      </w:r>
      <w:r w:rsidR="008B5AA8" w:rsidRPr="000155DA">
        <w:rPr>
          <w:szCs w:val="22"/>
        </w:rPr>
        <w:t xml:space="preserve"> and </w:t>
      </w:r>
      <w:r w:rsidR="006A604B" w:rsidRPr="000155DA">
        <w:rPr>
          <w:szCs w:val="22"/>
        </w:rPr>
        <w:t>replies</w:t>
      </w:r>
      <w:r w:rsidR="0034137A" w:rsidRPr="000155DA">
        <w:rPr>
          <w:szCs w:val="22"/>
        </w:rPr>
        <w:t>,</w:t>
      </w:r>
      <w:r w:rsidR="004C1799" w:rsidRPr="000155DA">
        <w:rPr>
          <w:szCs w:val="22"/>
        </w:rPr>
        <w:t xml:space="preserve"> </w:t>
      </w:r>
      <w:r w:rsidR="008B5AA8" w:rsidRPr="000155DA">
        <w:rPr>
          <w:szCs w:val="22"/>
        </w:rPr>
        <w:t>that</w:t>
      </w:r>
      <w:r w:rsidR="00106D8E" w:rsidRPr="000155DA">
        <w:rPr>
          <w:szCs w:val="22"/>
        </w:rPr>
        <w:t xml:space="preserve"> </w:t>
      </w:r>
      <w:r w:rsidR="00DD0BC9">
        <w:rPr>
          <w:szCs w:val="22"/>
        </w:rPr>
        <w:t>57,288</w:t>
      </w:r>
      <w:r w:rsidR="00297817" w:rsidRPr="000155DA">
        <w:rPr>
          <w:szCs w:val="22"/>
        </w:rPr>
        <w:t xml:space="preserve"> </w:t>
      </w:r>
      <w:r w:rsidR="00216272" w:rsidRPr="000155DA">
        <w:rPr>
          <w:szCs w:val="22"/>
        </w:rPr>
        <w:t xml:space="preserve">census blocks should be treated as unserved and that </w:t>
      </w:r>
      <w:r w:rsidR="00DD0BC9">
        <w:rPr>
          <w:szCs w:val="22"/>
        </w:rPr>
        <w:t>36,700</w:t>
      </w:r>
      <w:r w:rsidR="00CA2481" w:rsidRPr="000155DA">
        <w:rPr>
          <w:szCs w:val="22"/>
        </w:rPr>
        <w:t xml:space="preserve"> </w:t>
      </w:r>
      <w:r w:rsidR="007A4506" w:rsidRPr="000155DA">
        <w:rPr>
          <w:szCs w:val="22"/>
        </w:rPr>
        <w:t xml:space="preserve">census blocks </w:t>
      </w:r>
      <w:r w:rsidR="00106D8E" w:rsidRPr="000155DA">
        <w:rPr>
          <w:szCs w:val="22"/>
        </w:rPr>
        <w:t>should be</w:t>
      </w:r>
      <w:r w:rsidR="002F1205" w:rsidRPr="000155DA">
        <w:rPr>
          <w:szCs w:val="22"/>
        </w:rPr>
        <w:t xml:space="preserve"> </w:t>
      </w:r>
      <w:r w:rsidR="00106D8E" w:rsidRPr="000155DA">
        <w:rPr>
          <w:szCs w:val="22"/>
        </w:rPr>
        <w:t>treated as served.</w:t>
      </w:r>
      <w:r w:rsidR="007A4506" w:rsidRPr="000155DA">
        <w:rPr>
          <w:rStyle w:val="FootnoteReference"/>
          <w:sz w:val="22"/>
          <w:szCs w:val="22"/>
        </w:rPr>
        <w:footnoteReference w:id="4"/>
      </w:r>
      <w:r w:rsidR="002F1205" w:rsidRPr="000155DA">
        <w:rPr>
          <w:szCs w:val="22"/>
        </w:rPr>
        <w:t xml:space="preserve"> </w:t>
      </w:r>
      <w:r w:rsidR="0084353F" w:rsidRPr="000155DA">
        <w:rPr>
          <w:szCs w:val="22"/>
        </w:rPr>
        <w:t xml:space="preserve"> </w:t>
      </w:r>
      <w:r w:rsidR="00510AFB" w:rsidRPr="000155DA">
        <w:rPr>
          <w:szCs w:val="22"/>
        </w:rPr>
        <w:t xml:space="preserve">We summarize in Table 1 below the results of the challenge process for </w:t>
      </w:r>
      <w:r w:rsidR="00F94F14" w:rsidRPr="000155DA">
        <w:rPr>
          <w:szCs w:val="22"/>
        </w:rPr>
        <w:t xml:space="preserve">census blocks served by </w:t>
      </w:r>
      <w:r w:rsidR="00510AFB" w:rsidRPr="000155DA">
        <w:rPr>
          <w:szCs w:val="22"/>
        </w:rPr>
        <w:t>those carriers that will be eligible for the offer of model-based support:</w:t>
      </w:r>
    </w:p>
    <w:p w:rsidR="00510AFB" w:rsidRPr="000155DA" w:rsidRDefault="00510AFB" w:rsidP="003B67CB">
      <w:pPr>
        <w:pStyle w:val="ParaNum"/>
        <w:numPr>
          <w:ilvl w:val="0"/>
          <w:numId w:val="0"/>
        </w:numPr>
        <w:ind w:left="720"/>
        <w:jc w:val="center"/>
        <w:rPr>
          <w:szCs w:val="22"/>
        </w:rPr>
      </w:pPr>
      <w:r w:rsidRPr="000155DA">
        <w:rPr>
          <w:b/>
          <w:szCs w:val="22"/>
        </w:rPr>
        <w:lastRenderedPageBreak/>
        <w:t>Table 1:  Results of Phase II Challenge Process, By Price Cap Carrier</w:t>
      </w:r>
      <w:r w:rsidRPr="000155DA">
        <w:rPr>
          <w:rStyle w:val="FootnoteReference"/>
          <w:sz w:val="22"/>
          <w:szCs w:val="22"/>
        </w:rPr>
        <w:footnoteReference w:id="5"/>
      </w:r>
    </w:p>
    <w:tbl>
      <w:tblPr>
        <w:tblStyle w:val="TableGrid"/>
        <w:tblW w:w="0" w:type="auto"/>
        <w:jc w:val="center"/>
        <w:tblLook w:val="04A0" w:firstRow="1" w:lastRow="0" w:firstColumn="1" w:lastColumn="0" w:noHBand="0" w:noVBand="1"/>
      </w:tblPr>
      <w:tblGrid>
        <w:gridCol w:w="2213"/>
        <w:gridCol w:w="1284"/>
        <w:gridCol w:w="1537"/>
        <w:gridCol w:w="1543"/>
        <w:gridCol w:w="1353"/>
        <w:gridCol w:w="1646"/>
      </w:tblGrid>
      <w:tr w:rsidR="00DD0BC9" w:rsidRPr="000155DA" w:rsidTr="00F4064B">
        <w:trPr>
          <w:jc w:val="center"/>
        </w:trPr>
        <w:tc>
          <w:tcPr>
            <w:tcW w:w="2213" w:type="dxa"/>
            <w:vAlign w:val="bottom"/>
          </w:tcPr>
          <w:p w:rsidR="00510AFB" w:rsidRPr="000155DA" w:rsidRDefault="00510AFB" w:rsidP="00F4064B">
            <w:pPr>
              <w:jc w:val="center"/>
              <w:rPr>
                <w:b/>
                <w:szCs w:val="22"/>
              </w:rPr>
            </w:pPr>
            <w:r w:rsidRPr="000155DA">
              <w:rPr>
                <w:b/>
                <w:szCs w:val="22"/>
              </w:rPr>
              <w:t>Price Cap Carrier</w:t>
            </w:r>
          </w:p>
        </w:tc>
        <w:tc>
          <w:tcPr>
            <w:tcW w:w="1284" w:type="dxa"/>
            <w:shd w:val="clear" w:color="auto" w:fill="F2F2F2" w:themeFill="background1" w:themeFillShade="F2"/>
            <w:vAlign w:val="bottom"/>
          </w:tcPr>
          <w:p w:rsidR="00510AFB" w:rsidRPr="000155DA" w:rsidRDefault="00510AFB" w:rsidP="00F4064B">
            <w:pPr>
              <w:jc w:val="center"/>
              <w:rPr>
                <w:b/>
                <w:szCs w:val="22"/>
              </w:rPr>
            </w:pPr>
            <w:r w:rsidRPr="000155DA">
              <w:rPr>
                <w:b/>
                <w:szCs w:val="22"/>
              </w:rPr>
              <w:t>Initial Eligible Census Blocks</w:t>
            </w:r>
          </w:p>
        </w:tc>
        <w:tc>
          <w:tcPr>
            <w:tcW w:w="1537" w:type="dxa"/>
            <w:shd w:val="clear" w:color="auto" w:fill="D9D9D9" w:themeFill="background1" w:themeFillShade="D9"/>
            <w:vAlign w:val="bottom"/>
          </w:tcPr>
          <w:p w:rsidR="00510AFB" w:rsidRPr="000155DA" w:rsidRDefault="00510AFB" w:rsidP="00F4064B">
            <w:pPr>
              <w:jc w:val="center"/>
              <w:rPr>
                <w:b/>
                <w:szCs w:val="22"/>
              </w:rPr>
            </w:pPr>
            <w:r w:rsidRPr="000155DA">
              <w:rPr>
                <w:b/>
                <w:szCs w:val="22"/>
              </w:rPr>
              <w:t>Number of Served Census Blocks Reclassified as Unserved</w:t>
            </w:r>
          </w:p>
        </w:tc>
        <w:tc>
          <w:tcPr>
            <w:tcW w:w="1543" w:type="dxa"/>
            <w:shd w:val="clear" w:color="auto" w:fill="BFBFBF" w:themeFill="background1" w:themeFillShade="BF"/>
            <w:vAlign w:val="bottom"/>
          </w:tcPr>
          <w:p w:rsidR="00510AFB" w:rsidRPr="000155DA" w:rsidRDefault="00510AFB" w:rsidP="00F4064B">
            <w:pPr>
              <w:jc w:val="center"/>
              <w:rPr>
                <w:b/>
                <w:szCs w:val="22"/>
              </w:rPr>
            </w:pPr>
            <w:r w:rsidRPr="000155DA">
              <w:rPr>
                <w:b/>
                <w:szCs w:val="22"/>
              </w:rPr>
              <w:t>Number of Unserved Census Blocks Reclassified as Served</w:t>
            </w:r>
          </w:p>
        </w:tc>
        <w:tc>
          <w:tcPr>
            <w:tcW w:w="1353" w:type="dxa"/>
            <w:shd w:val="clear" w:color="auto" w:fill="A6A6A6" w:themeFill="background1" w:themeFillShade="A6"/>
            <w:vAlign w:val="bottom"/>
          </w:tcPr>
          <w:p w:rsidR="00510AFB" w:rsidRPr="000155DA" w:rsidRDefault="00510AFB" w:rsidP="00F4064B">
            <w:pPr>
              <w:jc w:val="center"/>
              <w:rPr>
                <w:b/>
                <w:szCs w:val="22"/>
              </w:rPr>
            </w:pPr>
            <w:r w:rsidRPr="000155DA">
              <w:rPr>
                <w:b/>
                <w:color w:val="000000"/>
                <w:szCs w:val="22"/>
              </w:rPr>
              <w:t>Net Change in Unserved Census Blocks</w:t>
            </w:r>
          </w:p>
        </w:tc>
        <w:tc>
          <w:tcPr>
            <w:tcW w:w="1646" w:type="dxa"/>
            <w:shd w:val="clear" w:color="auto" w:fill="A6A6A6" w:themeFill="background1" w:themeFillShade="A6"/>
            <w:vAlign w:val="bottom"/>
          </w:tcPr>
          <w:p w:rsidR="00510AFB" w:rsidRPr="000155DA" w:rsidRDefault="00510AFB" w:rsidP="00F4064B">
            <w:pPr>
              <w:jc w:val="center"/>
              <w:rPr>
                <w:b/>
                <w:szCs w:val="22"/>
              </w:rPr>
            </w:pPr>
            <w:r w:rsidRPr="000155DA">
              <w:rPr>
                <w:b/>
                <w:color w:val="000000"/>
                <w:szCs w:val="22"/>
              </w:rPr>
              <w:t>Revised</w:t>
            </w:r>
            <w:r w:rsidR="005149B9" w:rsidRPr="000155DA">
              <w:rPr>
                <w:b/>
                <w:color w:val="000000"/>
                <w:szCs w:val="22"/>
              </w:rPr>
              <w:t xml:space="preserve"> Number of </w:t>
            </w:r>
            <w:r w:rsidRPr="000155DA">
              <w:rPr>
                <w:b/>
                <w:color w:val="000000"/>
                <w:szCs w:val="22"/>
              </w:rPr>
              <w:t xml:space="preserve"> Eligible Census Blocks</w:t>
            </w:r>
            <w:r w:rsidRPr="000155DA">
              <w:rPr>
                <w:rStyle w:val="FootnoteReference"/>
                <w:b/>
                <w:sz w:val="22"/>
                <w:szCs w:val="22"/>
              </w:rPr>
              <w:footnoteReference w:id="6"/>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AT&amp;T</w:t>
            </w:r>
          </w:p>
        </w:tc>
        <w:tc>
          <w:tcPr>
            <w:tcW w:w="1284" w:type="dxa"/>
            <w:vAlign w:val="center"/>
          </w:tcPr>
          <w:p w:rsidR="00F4064B" w:rsidRPr="000155DA" w:rsidRDefault="00DD0BC9" w:rsidP="00F4064B">
            <w:pPr>
              <w:jc w:val="center"/>
              <w:rPr>
                <w:color w:val="000000"/>
                <w:szCs w:val="22"/>
              </w:rPr>
            </w:pPr>
            <w:r>
              <w:rPr>
                <w:color w:val="000000"/>
                <w:szCs w:val="22"/>
              </w:rPr>
              <w:t>236,331</w:t>
            </w:r>
          </w:p>
        </w:tc>
        <w:tc>
          <w:tcPr>
            <w:tcW w:w="1537" w:type="dxa"/>
            <w:vAlign w:val="center"/>
          </w:tcPr>
          <w:p w:rsidR="00F4064B" w:rsidRPr="000155DA" w:rsidRDefault="00F4064B" w:rsidP="00F4064B">
            <w:pPr>
              <w:jc w:val="center"/>
              <w:rPr>
                <w:color w:val="000000"/>
                <w:szCs w:val="22"/>
              </w:rPr>
            </w:pPr>
            <w:r w:rsidRPr="000155DA">
              <w:rPr>
                <w:color w:val="000000"/>
                <w:szCs w:val="22"/>
              </w:rPr>
              <w:t xml:space="preserve">16 </w:t>
            </w:r>
          </w:p>
        </w:tc>
        <w:tc>
          <w:tcPr>
            <w:tcW w:w="1543" w:type="dxa"/>
            <w:vAlign w:val="center"/>
          </w:tcPr>
          <w:p w:rsidR="00F4064B" w:rsidRPr="000155DA" w:rsidRDefault="00F4064B" w:rsidP="00DD0BC9">
            <w:pPr>
              <w:jc w:val="center"/>
              <w:rPr>
                <w:color w:val="000000"/>
                <w:szCs w:val="22"/>
              </w:rPr>
            </w:pPr>
            <w:r w:rsidRPr="000155DA">
              <w:rPr>
                <w:color w:val="000000"/>
                <w:szCs w:val="22"/>
              </w:rPr>
              <w:t>6,</w:t>
            </w:r>
            <w:r w:rsidR="00DD0BC9">
              <w:rPr>
                <w:color w:val="000000"/>
                <w:szCs w:val="22"/>
              </w:rPr>
              <w:t>702</w:t>
            </w:r>
          </w:p>
        </w:tc>
        <w:tc>
          <w:tcPr>
            <w:tcW w:w="1353" w:type="dxa"/>
            <w:vAlign w:val="center"/>
          </w:tcPr>
          <w:p w:rsidR="00F4064B" w:rsidRPr="000155DA" w:rsidRDefault="00F4064B" w:rsidP="00DD0BC9">
            <w:pPr>
              <w:jc w:val="center"/>
              <w:rPr>
                <w:color w:val="000000"/>
                <w:szCs w:val="22"/>
              </w:rPr>
            </w:pPr>
            <w:r w:rsidRPr="000155DA">
              <w:rPr>
                <w:color w:val="000000"/>
                <w:szCs w:val="22"/>
              </w:rPr>
              <w:t>(6,68</w:t>
            </w:r>
            <w:r w:rsidR="00DD0BC9">
              <w:rPr>
                <w:color w:val="000000"/>
                <w:szCs w:val="22"/>
              </w:rPr>
              <w:t>6</w:t>
            </w:r>
            <w:r w:rsidRPr="000155DA">
              <w:rPr>
                <w:color w:val="000000"/>
                <w:szCs w:val="22"/>
              </w:rPr>
              <w:t>)</w:t>
            </w:r>
          </w:p>
        </w:tc>
        <w:tc>
          <w:tcPr>
            <w:tcW w:w="1646" w:type="dxa"/>
            <w:vAlign w:val="center"/>
          </w:tcPr>
          <w:p w:rsidR="00F4064B" w:rsidRPr="000155DA" w:rsidRDefault="00F4064B" w:rsidP="00DD0BC9">
            <w:pPr>
              <w:jc w:val="center"/>
              <w:rPr>
                <w:color w:val="000000"/>
                <w:szCs w:val="22"/>
              </w:rPr>
            </w:pPr>
            <w:r w:rsidRPr="000155DA">
              <w:rPr>
                <w:color w:val="000000"/>
                <w:szCs w:val="22"/>
              </w:rPr>
              <w:t>22</w:t>
            </w:r>
            <w:r w:rsidR="00DD0BC9">
              <w:rPr>
                <w:color w:val="000000"/>
                <w:szCs w:val="22"/>
              </w:rPr>
              <w:t>9</w:t>
            </w:r>
            <w:r w:rsidRPr="000155DA">
              <w:rPr>
                <w:color w:val="000000"/>
                <w:szCs w:val="22"/>
              </w:rPr>
              <w:t>,</w:t>
            </w:r>
            <w:r w:rsidR="00DD0BC9">
              <w:rPr>
                <w:color w:val="000000"/>
                <w:szCs w:val="22"/>
              </w:rPr>
              <w:t>645</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Cincinnati Bell</w:t>
            </w:r>
          </w:p>
        </w:tc>
        <w:tc>
          <w:tcPr>
            <w:tcW w:w="1284" w:type="dxa"/>
            <w:vAlign w:val="center"/>
          </w:tcPr>
          <w:p w:rsidR="00F4064B" w:rsidRPr="000155DA" w:rsidRDefault="00DD0BC9" w:rsidP="00F4064B">
            <w:pPr>
              <w:jc w:val="center"/>
              <w:rPr>
                <w:color w:val="000000"/>
                <w:szCs w:val="22"/>
              </w:rPr>
            </w:pPr>
            <w:r>
              <w:rPr>
                <w:color w:val="000000"/>
                <w:szCs w:val="22"/>
              </w:rPr>
              <w:t>841</w:t>
            </w:r>
          </w:p>
        </w:tc>
        <w:tc>
          <w:tcPr>
            <w:tcW w:w="1537" w:type="dxa"/>
            <w:vAlign w:val="center"/>
          </w:tcPr>
          <w:p w:rsidR="00F4064B" w:rsidRPr="000155DA" w:rsidRDefault="00F4064B" w:rsidP="00F4064B">
            <w:pPr>
              <w:jc w:val="center"/>
              <w:rPr>
                <w:color w:val="000000"/>
                <w:szCs w:val="22"/>
              </w:rPr>
            </w:pPr>
            <w:r w:rsidRPr="000155DA">
              <w:rPr>
                <w:color w:val="000000"/>
                <w:szCs w:val="22"/>
              </w:rPr>
              <w:t xml:space="preserve">- </w:t>
            </w:r>
          </w:p>
        </w:tc>
        <w:tc>
          <w:tcPr>
            <w:tcW w:w="1543" w:type="dxa"/>
            <w:vAlign w:val="center"/>
          </w:tcPr>
          <w:p w:rsidR="00F4064B" w:rsidRPr="000155DA" w:rsidRDefault="00F4064B" w:rsidP="00F4064B">
            <w:pPr>
              <w:jc w:val="center"/>
              <w:rPr>
                <w:color w:val="000000"/>
                <w:szCs w:val="22"/>
              </w:rPr>
            </w:pPr>
            <w:r w:rsidRPr="000155DA">
              <w:rPr>
                <w:color w:val="000000"/>
                <w:szCs w:val="22"/>
              </w:rPr>
              <w:t>2</w:t>
            </w:r>
          </w:p>
        </w:tc>
        <w:tc>
          <w:tcPr>
            <w:tcW w:w="1353" w:type="dxa"/>
            <w:vAlign w:val="center"/>
          </w:tcPr>
          <w:p w:rsidR="00F4064B" w:rsidRPr="000155DA" w:rsidRDefault="00F4064B" w:rsidP="00F4064B">
            <w:pPr>
              <w:jc w:val="center"/>
              <w:rPr>
                <w:color w:val="000000"/>
                <w:szCs w:val="22"/>
              </w:rPr>
            </w:pPr>
            <w:r w:rsidRPr="000155DA">
              <w:rPr>
                <w:color w:val="000000"/>
                <w:szCs w:val="22"/>
              </w:rPr>
              <w:t>(2)</w:t>
            </w:r>
          </w:p>
        </w:tc>
        <w:tc>
          <w:tcPr>
            <w:tcW w:w="1646" w:type="dxa"/>
            <w:vAlign w:val="center"/>
          </w:tcPr>
          <w:p w:rsidR="00F4064B" w:rsidRPr="000155DA" w:rsidRDefault="00F4064B" w:rsidP="00DD0BC9">
            <w:pPr>
              <w:jc w:val="center"/>
              <w:rPr>
                <w:color w:val="000000"/>
                <w:szCs w:val="22"/>
              </w:rPr>
            </w:pPr>
            <w:r w:rsidRPr="000155DA">
              <w:rPr>
                <w:color w:val="000000"/>
                <w:szCs w:val="22"/>
              </w:rPr>
              <w:t>8</w:t>
            </w:r>
            <w:r w:rsidR="00DD0BC9">
              <w:rPr>
                <w:color w:val="000000"/>
                <w:szCs w:val="22"/>
              </w:rPr>
              <w:t>39</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CenturyLink</w:t>
            </w:r>
          </w:p>
        </w:tc>
        <w:tc>
          <w:tcPr>
            <w:tcW w:w="1284" w:type="dxa"/>
            <w:vAlign w:val="center"/>
          </w:tcPr>
          <w:p w:rsidR="00F4064B" w:rsidRPr="000155DA" w:rsidRDefault="00DD0BC9" w:rsidP="00F4064B">
            <w:pPr>
              <w:jc w:val="center"/>
              <w:rPr>
                <w:color w:val="000000"/>
                <w:szCs w:val="22"/>
              </w:rPr>
            </w:pPr>
            <w:r>
              <w:rPr>
                <w:color w:val="000000"/>
                <w:szCs w:val="22"/>
              </w:rPr>
              <w:t>205,547</w:t>
            </w:r>
          </w:p>
        </w:tc>
        <w:tc>
          <w:tcPr>
            <w:tcW w:w="1537" w:type="dxa"/>
            <w:vAlign w:val="center"/>
          </w:tcPr>
          <w:p w:rsidR="00F4064B" w:rsidRPr="000155DA" w:rsidRDefault="00F4064B" w:rsidP="00F4064B">
            <w:pPr>
              <w:jc w:val="center"/>
              <w:rPr>
                <w:color w:val="000000"/>
                <w:szCs w:val="22"/>
              </w:rPr>
            </w:pPr>
            <w:r w:rsidRPr="000155DA">
              <w:rPr>
                <w:color w:val="000000"/>
                <w:szCs w:val="22"/>
              </w:rPr>
              <w:t xml:space="preserve">51,621 </w:t>
            </w:r>
          </w:p>
        </w:tc>
        <w:tc>
          <w:tcPr>
            <w:tcW w:w="1543" w:type="dxa"/>
            <w:vAlign w:val="center"/>
          </w:tcPr>
          <w:p w:rsidR="00F4064B" w:rsidRPr="000155DA" w:rsidRDefault="00F4064B" w:rsidP="00DD0BC9">
            <w:pPr>
              <w:jc w:val="center"/>
              <w:rPr>
                <w:color w:val="000000"/>
                <w:szCs w:val="22"/>
              </w:rPr>
            </w:pPr>
            <w:r w:rsidRPr="000155DA">
              <w:rPr>
                <w:bCs/>
                <w:color w:val="000000"/>
                <w:szCs w:val="22"/>
              </w:rPr>
              <w:t>18,</w:t>
            </w:r>
            <w:r w:rsidR="00DD0BC9">
              <w:rPr>
                <w:bCs/>
                <w:color w:val="000000"/>
                <w:szCs w:val="22"/>
              </w:rPr>
              <w:t>644</w:t>
            </w:r>
          </w:p>
        </w:tc>
        <w:tc>
          <w:tcPr>
            <w:tcW w:w="1353" w:type="dxa"/>
            <w:vAlign w:val="center"/>
          </w:tcPr>
          <w:p w:rsidR="00F4064B" w:rsidRPr="000155DA" w:rsidRDefault="00F4064B" w:rsidP="00DD0BC9">
            <w:pPr>
              <w:jc w:val="center"/>
              <w:rPr>
                <w:color w:val="000000"/>
                <w:szCs w:val="22"/>
              </w:rPr>
            </w:pPr>
            <w:r w:rsidRPr="000155DA">
              <w:rPr>
                <w:color w:val="000000"/>
                <w:szCs w:val="22"/>
              </w:rPr>
              <w:t>3</w:t>
            </w:r>
            <w:r w:rsidR="00DD0BC9">
              <w:rPr>
                <w:color w:val="000000"/>
                <w:szCs w:val="22"/>
              </w:rPr>
              <w:t>2</w:t>
            </w:r>
            <w:r w:rsidRPr="000155DA">
              <w:rPr>
                <w:color w:val="000000"/>
                <w:szCs w:val="22"/>
              </w:rPr>
              <w:t>,</w:t>
            </w:r>
            <w:r w:rsidR="00DD0BC9">
              <w:rPr>
                <w:color w:val="000000"/>
                <w:szCs w:val="22"/>
              </w:rPr>
              <w:t>977</w:t>
            </w:r>
            <w:r w:rsidRPr="000155DA">
              <w:rPr>
                <w:color w:val="000000"/>
                <w:szCs w:val="22"/>
              </w:rPr>
              <w:t xml:space="preserve"> </w:t>
            </w:r>
          </w:p>
        </w:tc>
        <w:tc>
          <w:tcPr>
            <w:tcW w:w="1646" w:type="dxa"/>
            <w:vAlign w:val="center"/>
          </w:tcPr>
          <w:p w:rsidR="00F4064B" w:rsidRPr="000155DA" w:rsidRDefault="00DD0BC9" w:rsidP="00F4064B">
            <w:pPr>
              <w:jc w:val="center"/>
              <w:rPr>
                <w:color w:val="000000"/>
                <w:szCs w:val="22"/>
              </w:rPr>
            </w:pPr>
            <w:r>
              <w:rPr>
                <w:color w:val="000000"/>
                <w:szCs w:val="22"/>
              </w:rPr>
              <w:t>238,524</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Consolidated Communications</w:t>
            </w:r>
            <w:r w:rsidRPr="000155DA">
              <w:rPr>
                <w:rStyle w:val="FootnoteReference"/>
                <w:b/>
                <w:sz w:val="22"/>
                <w:szCs w:val="22"/>
              </w:rPr>
              <w:footnoteReference w:id="7"/>
            </w:r>
          </w:p>
        </w:tc>
        <w:tc>
          <w:tcPr>
            <w:tcW w:w="1284" w:type="dxa"/>
            <w:vAlign w:val="center"/>
          </w:tcPr>
          <w:p w:rsidR="00F4064B" w:rsidRPr="000155DA" w:rsidRDefault="00DD0BC9" w:rsidP="00F4064B">
            <w:pPr>
              <w:jc w:val="center"/>
              <w:rPr>
                <w:color w:val="000000"/>
                <w:szCs w:val="22"/>
              </w:rPr>
            </w:pPr>
            <w:r>
              <w:rPr>
                <w:color w:val="000000"/>
                <w:szCs w:val="22"/>
              </w:rPr>
              <w:t>3,531</w:t>
            </w:r>
          </w:p>
        </w:tc>
        <w:tc>
          <w:tcPr>
            <w:tcW w:w="1537" w:type="dxa"/>
            <w:vAlign w:val="center"/>
          </w:tcPr>
          <w:p w:rsidR="00F4064B" w:rsidRPr="000155DA" w:rsidRDefault="00DD0BC9" w:rsidP="00F4064B">
            <w:pPr>
              <w:jc w:val="center"/>
              <w:rPr>
                <w:color w:val="000000"/>
                <w:szCs w:val="22"/>
              </w:rPr>
            </w:pPr>
            <w:r>
              <w:rPr>
                <w:color w:val="000000"/>
                <w:szCs w:val="22"/>
              </w:rPr>
              <w:t>4,475</w:t>
            </w:r>
            <w:r w:rsidR="00F4064B" w:rsidRPr="000155DA">
              <w:rPr>
                <w:color w:val="000000"/>
                <w:szCs w:val="22"/>
              </w:rPr>
              <w:t xml:space="preserve"> </w:t>
            </w:r>
          </w:p>
        </w:tc>
        <w:tc>
          <w:tcPr>
            <w:tcW w:w="1543" w:type="dxa"/>
            <w:vAlign w:val="center"/>
          </w:tcPr>
          <w:p w:rsidR="00F4064B" w:rsidRPr="000155DA" w:rsidRDefault="00DD0BC9" w:rsidP="00F4064B">
            <w:pPr>
              <w:jc w:val="center"/>
              <w:rPr>
                <w:color w:val="000000"/>
                <w:szCs w:val="22"/>
              </w:rPr>
            </w:pPr>
            <w:r>
              <w:rPr>
                <w:color w:val="000000"/>
                <w:szCs w:val="22"/>
              </w:rPr>
              <w:t>1,037</w:t>
            </w:r>
          </w:p>
        </w:tc>
        <w:tc>
          <w:tcPr>
            <w:tcW w:w="1353" w:type="dxa"/>
            <w:vAlign w:val="center"/>
          </w:tcPr>
          <w:p w:rsidR="00F4064B" w:rsidRPr="000155DA" w:rsidRDefault="00DD0BC9" w:rsidP="00F4064B">
            <w:pPr>
              <w:jc w:val="center"/>
              <w:rPr>
                <w:color w:val="000000"/>
                <w:szCs w:val="22"/>
              </w:rPr>
            </w:pPr>
            <w:r>
              <w:rPr>
                <w:color w:val="000000"/>
                <w:szCs w:val="22"/>
              </w:rPr>
              <w:t>3,438</w:t>
            </w:r>
            <w:r w:rsidRPr="000155DA">
              <w:rPr>
                <w:color w:val="000000"/>
                <w:szCs w:val="22"/>
              </w:rPr>
              <w:t xml:space="preserve"> </w:t>
            </w:r>
          </w:p>
        </w:tc>
        <w:tc>
          <w:tcPr>
            <w:tcW w:w="1646" w:type="dxa"/>
            <w:vAlign w:val="center"/>
          </w:tcPr>
          <w:p w:rsidR="00F4064B" w:rsidRPr="000155DA" w:rsidRDefault="00DD0BC9" w:rsidP="00F4064B">
            <w:pPr>
              <w:jc w:val="center"/>
              <w:rPr>
                <w:color w:val="000000"/>
                <w:szCs w:val="22"/>
              </w:rPr>
            </w:pPr>
            <w:r>
              <w:rPr>
                <w:color w:val="000000"/>
                <w:szCs w:val="22"/>
              </w:rPr>
              <w:t>6,969</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FairPoint Communications</w:t>
            </w:r>
          </w:p>
        </w:tc>
        <w:tc>
          <w:tcPr>
            <w:tcW w:w="1284" w:type="dxa"/>
            <w:vAlign w:val="center"/>
          </w:tcPr>
          <w:p w:rsidR="00F4064B" w:rsidRPr="000155DA" w:rsidRDefault="00DD0BC9" w:rsidP="00F4064B">
            <w:pPr>
              <w:jc w:val="center"/>
              <w:rPr>
                <w:color w:val="000000"/>
                <w:szCs w:val="22"/>
              </w:rPr>
            </w:pPr>
            <w:r>
              <w:rPr>
                <w:color w:val="000000"/>
                <w:szCs w:val="22"/>
              </w:rPr>
              <w:t>16,249</w:t>
            </w:r>
          </w:p>
        </w:tc>
        <w:tc>
          <w:tcPr>
            <w:tcW w:w="1537" w:type="dxa"/>
            <w:vAlign w:val="center"/>
          </w:tcPr>
          <w:p w:rsidR="00F4064B" w:rsidRPr="000155DA" w:rsidRDefault="00F4064B" w:rsidP="00F4064B">
            <w:pPr>
              <w:jc w:val="center"/>
              <w:rPr>
                <w:color w:val="000000"/>
                <w:szCs w:val="22"/>
              </w:rPr>
            </w:pPr>
            <w:r w:rsidRPr="000155DA">
              <w:rPr>
                <w:color w:val="000000"/>
                <w:szCs w:val="22"/>
              </w:rPr>
              <w:t xml:space="preserve">1,530 </w:t>
            </w:r>
          </w:p>
        </w:tc>
        <w:tc>
          <w:tcPr>
            <w:tcW w:w="1543" w:type="dxa"/>
            <w:vAlign w:val="center"/>
          </w:tcPr>
          <w:p w:rsidR="00F4064B" w:rsidRPr="000155DA" w:rsidRDefault="007C6095" w:rsidP="00F4064B">
            <w:pPr>
              <w:jc w:val="center"/>
              <w:rPr>
                <w:color w:val="000000"/>
                <w:szCs w:val="22"/>
              </w:rPr>
            </w:pPr>
            <w:r w:rsidRPr="000155DA">
              <w:rPr>
                <w:color w:val="000000"/>
                <w:szCs w:val="22"/>
              </w:rPr>
              <w:t>540</w:t>
            </w:r>
          </w:p>
        </w:tc>
        <w:tc>
          <w:tcPr>
            <w:tcW w:w="1353" w:type="dxa"/>
            <w:vAlign w:val="center"/>
          </w:tcPr>
          <w:p w:rsidR="00F4064B" w:rsidRPr="000155DA" w:rsidRDefault="00F4064B" w:rsidP="00F4064B">
            <w:pPr>
              <w:jc w:val="center"/>
              <w:rPr>
                <w:color w:val="000000"/>
                <w:szCs w:val="22"/>
              </w:rPr>
            </w:pPr>
            <w:r w:rsidRPr="000155DA">
              <w:rPr>
                <w:color w:val="000000"/>
                <w:szCs w:val="22"/>
              </w:rPr>
              <w:t xml:space="preserve">990 </w:t>
            </w:r>
          </w:p>
        </w:tc>
        <w:tc>
          <w:tcPr>
            <w:tcW w:w="1646" w:type="dxa"/>
            <w:vAlign w:val="center"/>
          </w:tcPr>
          <w:p w:rsidR="00F4064B" w:rsidRPr="000155DA" w:rsidRDefault="00DD0BC9" w:rsidP="00F4064B">
            <w:pPr>
              <w:jc w:val="center"/>
              <w:rPr>
                <w:color w:val="000000"/>
                <w:szCs w:val="22"/>
              </w:rPr>
            </w:pPr>
            <w:r>
              <w:rPr>
                <w:color w:val="000000"/>
                <w:szCs w:val="22"/>
              </w:rPr>
              <w:t>17,239</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Frontier</w:t>
            </w:r>
            <w:r w:rsidRPr="000155DA">
              <w:rPr>
                <w:rStyle w:val="FootnoteReference"/>
                <w:b/>
                <w:sz w:val="22"/>
                <w:szCs w:val="22"/>
              </w:rPr>
              <w:footnoteReference w:id="8"/>
            </w:r>
          </w:p>
        </w:tc>
        <w:tc>
          <w:tcPr>
            <w:tcW w:w="1284" w:type="dxa"/>
            <w:vAlign w:val="center"/>
          </w:tcPr>
          <w:p w:rsidR="00F4064B" w:rsidRPr="000155DA" w:rsidRDefault="00DD0BC9" w:rsidP="00F4064B">
            <w:pPr>
              <w:jc w:val="center"/>
              <w:rPr>
                <w:color w:val="000000"/>
                <w:szCs w:val="22"/>
              </w:rPr>
            </w:pPr>
            <w:r>
              <w:rPr>
                <w:color w:val="000000"/>
                <w:szCs w:val="22"/>
              </w:rPr>
              <w:t>127,032</w:t>
            </w:r>
          </w:p>
        </w:tc>
        <w:tc>
          <w:tcPr>
            <w:tcW w:w="1537" w:type="dxa"/>
            <w:vAlign w:val="center"/>
          </w:tcPr>
          <w:p w:rsidR="00F4064B" w:rsidRPr="000155DA" w:rsidRDefault="00DD0BC9" w:rsidP="00F4064B">
            <w:pPr>
              <w:jc w:val="center"/>
              <w:rPr>
                <w:color w:val="000000"/>
                <w:szCs w:val="22"/>
              </w:rPr>
            </w:pPr>
            <w:r>
              <w:rPr>
                <w:color w:val="000000"/>
                <w:szCs w:val="22"/>
              </w:rPr>
              <w:t>722</w:t>
            </w:r>
            <w:r w:rsidRPr="000155DA">
              <w:rPr>
                <w:color w:val="000000"/>
                <w:szCs w:val="22"/>
              </w:rPr>
              <w:t xml:space="preserve"> </w:t>
            </w:r>
          </w:p>
        </w:tc>
        <w:tc>
          <w:tcPr>
            <w:tcW w:w="1543" w:type="dxa"/>
            <w:vAlign w:val="center"/>
          </w:tcPr>
          <w:p w:rsidR="00F4064B" w:rsidRPr="000155DA" w:rsidRDefault="00DD0BC9" w:rsidP="00F4064B">
            <w:pPr>
              <w:jc w:val="center"/>
              <w:rPr>
                <w:color w:val="000000"/>
                <w:szCs w:val="22"/>
              </w:rPr>
            </w:pPr>
            <w:r>
              <w:rPr>
                <w:color w:val="000000"/>
                <w:szCs w:val="22"/>
              </w:rPr>
              <w:t>2,675</w:t>
            </w:r>
          </w:p>
        </w:tc>
        <w:tc>
          <w:tcPr>
            <w:tcW w:w="1353" w:type="dxa"/>
            <w:vAlign w:val="center"/>
          </w:tcPr>
          <w:p w:rsidR="00F4064B" w:rsidRPr="000155DA" w:rsidRDefault="00F4064B" w:rsidP="00F4064B">
            <w:pPr>
              <w:jc w:val="center"/>
              <w:rPr>
                <w:color w:val="000000"/>
                <w:szCs w:val="22"/>
              </w:rPr>
            </w:pPr>
            <w:r w:rsidRPr="000155DA">
              <w:rPr>
                <w:color w:val="000000"/>
                <w:szCs w:val="22"/>
              </w:rPr>
              <w:t>(1,953)</w:t>
            </w:r>
          </w:p>
        </w:tc>
        <w:tc>
          <w:tcPr>
            <w:tcW w:w="1646" w:type="dxa"/>
            <w:vAlign w:val="center"/>
          </w:tcPr>
          <w:p w:rsidR="00F4064B" w:rsidRPr="000155DA" w:rsidRDefault="00DD0BC9" w:rsidP="00F4064B">
            <w:pPr>
              <w:jc w:val="center"/>
              <w:rPr>
                <w:color w:val="000000"/>
                <w:szCs w:val="22"/>
              </w:rPr>
            </w:pPr>
            <w:r>
              <w:rPr>
                <w:color w:val="000000"/>
                <w:szCs w:val="22"/>
              </w:rPr>
              <w:t>125,079</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Hawaiian Telecom</w:t>
            </w:r>
          </w:p>
        </w:tc>
        <w:tc>
          <w:tcPr>
            <w:tcW w:w="1284" w:type="dxa"/>
            <w:vAlign w:val="center"/>
          </w:tcPr>
          <w:p w:rsidR="00F4064B" w:rsidRPr="000155DA" w:rsidRDefault="00F4064B" w:rsidP="00F4064B">
            <w:pPr>
              <w:jc w:val="center"/>
              <w:rPr>
                <w:color w:val="000000"/>
                <w:szCs w:val="22"/>
              </w:rPr>
            </w:pPr>
            <w:r w:rsidRPr="000155DA">
              <w:rPr>
                <w:color w:val="000000"/>
                <w:szCs w:val="22"/>
              </w:rPr>
              <w:t>1,544</w:t>
            </w:r>
          </w:p>
        </w:tc>
        <w:tc>
          <w:tcPr>
            <w:tcW w:w="1537" w:type="dxa"/>
            <w:vAlign w:val="center"/>
          </w:tcPr>
          <w:p w:rsidR="00F4064B" w:rsidRPr="000155DA" w:rsidRDefault="00F4064B" w:rsidP="00F4064B">
            <w:pPr>
              <w:jc w:val="center"/>
              <w:rPr>
                <w:color w:val="000000"/>
                <w:szCs w:val="22"/>
              </w:rPr>
            </w:pPr>
            <w:r w:rsidRPr="000155DA">
              <w:rPr>
                <w:color w:val="000000"/>
                <w:szCs w:val="22"/>
              </w:rPr>
              <w:t xml:space="preserve">2 </w:t>
            </w:r>
          </w:p>
        </w:tc>
        <w:tc>
          <w:tcPr>
            <w:tcW w:w="1543" w:type="dxa"/>
            <w:vAlign w:val="center"/>
          </w:tcPr>
          <w:p w:rsidR="00F4064B" w:rsidRPr="000155DA" w:rsidRDefault="007C6095" w:rsidP="00F4064B">
            <w:pPr>
              <w:jc w:val="center"/>
              <w:rPr>
                <w:color w:val="000000"/>
                <w:szCs w:val="22"/>
              </w:rPr>
            </w:pPr>
            <w:r w:rsidRPr="000155DA">
              <w:rPr>
                <w:color w:val="000000"/>
                <w:szCs w:val="22"/>
              </w:rPr>
              <w:t>235</w:t>
            </w:r>
          </w:p>
        </w:tc>
        <w:tc>
          <w:tcPr>
            <w:tcW w:w="1353" w:type="dxa"/>
            <w:vAlign w:val="center"/>
          </w:tcPr>
          <w:p w:rsidR="00F4064B" w:rsidRPr="000155DA" w:rsidRDefault="00F4064B" w:rsidP="00F4064B">
            <w:pPr>
              <w:jc w:val="center"/>
              <w:rPr>
                <w:color w:val="000000"/>
                <w:szCs w:val="22"/>
              </w:rPr>
            </w:pPr>
            <w:r w:rsidRPr="000155DA">
              <w:rPr>
                <w:color w:val="000000"/>
                <w:szCs w:val="22"/>
              </w:rPr>
              <w:t>(233)</w:t>
            </w:r>
          </w:p>
        </w:tc>
        <w:tc>
          <w:tcPr>
            <w:tcW w:w="1646" w:type="dxa"/>
            <w:vAlign w:val="center"/>
          </w:tcPr>
          <w:p w:rsidR="00F4064B" w:rsidRPr="000155DA" w:rsidRDefault="00F4064B" w:rsidP="00F4064B">
            <w:pPr>
              <w:jc w:val="center"/>
              <w:rPr>
                <w:color w:val="000000"/>
                <w:szCs w:val="22"/>
              </w:rPr>
            </w:pPr>
            <w:r w:rsidRPr="000155DA">
              <w:rPr>
                <w:color w:val="000000"/>
                <w:szCs w:val="22"/>
              </w:rPr>
              <w:t>1,311</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Micronesian Telecom</w:t>
            </w:r>
          </w:p>
        </w:tc>
        <w:tc>
          <w:tcPr>
            <w:tcW w:w="1284" w:type="dxa"/>
            <w:vAlign w:val="center"/>
          </w:tcPr>
          <w:p w:rsidR="00F4064B" w:rsidRPr="000155DA" w:rsidRDefault="00F4064B" w:rsidP="00F4064B">
            <w:pPr>
              <w:jc w:val="center"/>
              <w:rPr>
                <w:color w:val="000000"/>
                <w:szCs w:val="22"/>
              </w:rPr>
            </w:pPr>
            <w:r w:rsidRPr="000155DA">
              <w:rPr>
                <w:color w:val="000000"/>
                <w:szCs w:val="22"/>
              </w:rPr>
              <w:t>690</w:t>
            </w:r>
          </w:p>
        </w:tc>
        <w:tc>
          <w:tcPr>
            <w:tcW w:w="1537" w:type="dxa"/>
            <w:vAlign w:val="center"/>
          </w:tcPr>
          <w:p w:rsidR="00F4064B" w:rsidRPr="000155DA" w:rsidRDefault="00F4064B" w:rsidP="00F4064B">
            <w:pPr>
              <w:jc w:val="center"/>
              <w:rPr>
                <w:color w:val="000000"/>
                <w:szCs w:val="22"/>
              </w:rPr>
            </w:pPr>
            <w:r w:rsidRPr="000155DA">
              <w:rPr>
                <w:color w:val="000000"/>
                <w:szCs w:val="22"/>
              </w:rPr>
              <w:t xml:space="preserve">- </w:t>
            </w:r>
          </w:p>
        </w:tc>
        <w:tc>
          <w:tcPr>
            <w:tcW w:w="1543" w:type="dxa"/>
            <w:vAlign w:val="center"/>
          </w:tcPr>
          <w:p w:rsidR="00F4064B" w:rsidRPr="000155DA" w:rsidRDefault="00F4064B" w:rsidP="00F4064B">
            <w:pPr>
              <w:jc w:val="center"/>
              <w:rPr>
                <w:color w:val="000000"/>
                <w:szCs w:val="22"/>
              </w:rPr>
            </w:pPr>
            <w:r w:rsidRPr="000155DA">
              <w:rPr>
                <w:color w:val="000000"/>
                <w:szCs w:val="22"/>
              </w:rPr>
              <w:t xml:space="preserve">- </w:t>
            </w:r>
          </w:p>
        </w:tc>
        <w:tc>
          <w:tcPr>
            <w:tcW w:w="1353" w:type="dxa"/>
            <w:vAlign w:val="center"/>
          </w:tcPr>
          <w:p w:rsidR="00F4064B" w:rsidRPr="000155DA" w:rsidRDefault="00F4064B" w:rsidP="00F4064B">
            <w:pPr>
              <w:jc w:val="center"/>
              <w:rPr>
                <w:color w:val="000000"/>
                <w:szCs w:val="22"/>
              </w:rPr>
            </w:pPr>
            <w:r w:rsidRPr="000155DA">
              <w:rPr>
                <w:color w:val="000000"/>
                <w:szCs w:val="22"/>
              </w:rPr>
              <w:t xml:space="preserve">- </w:t>
            </w:r>
          </w:p>
        </w:tc>
        <w:tc>
          <w:tcPr>
            <w:tcW w:w="1646" w:type="dxa"/>
            <w:vAlign w:val="center"/>
          </w:tcPr>
          <w:p w:rsidR="00F4064B" w:rsidRPr="000155DA" w:rsidRDefault="00F4064B" w:rsidP="00F4064B">
            <w:pPr>
              <w:jc w:val="center"/>
              <w:rPr>
                <w:color w:val="000000"/>
                <w:szCs w:val="22"/>
              </w:rPr>
            </w:pPr>
            <w:r w:rsidRPr="000155DA">
              <w:rPr>
                <w:color w:val="000000"/>
                <w:szCs w:val="22"/>
              </w:rPr>
              <w:t>690</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Verizon</w:t>
            </w:r>
          </w:p>
        </w:tc>
        <w:tc>
          <w:tcPr>
            <w:tcW w:w="1284" w:type="dxa"/>
            <w:vAlign w:val="center"/>
          </w:tcPr>
          <w:p w:rsidR="00F4064B" w:rsidRPr="000155DA" w:rsidRDefault="00DD0BC9" w:rsidP="00F4064B">
            <w:pPr>
              <w:jc w:val="center"/>
              <w:rPr>
                <w:color w:val="000000"/>
                <w:szCs w:val="22"/>
              </w:rPr>
            </w:pPr>
            <w:r>
              <w:rPr>
                <w:color w:val="000000"/>
                <w:szCs w:val="22"/>
              </w:rPr>
              <w:t>75,750</w:t>
            </w:r>
          </w:p>
        </w:tc>
        <w:tc>
          <w:tcPr>
            <w:tcW w:w="1537" w:type="dxa"/>
            <w:vAlign w:val="center"/>
          </w:tcPr>
          <w:p w:rsidR="00F4064B" w:rsidRPr="000155DA" w:rsidRDefault="00F4064B" w:rsidP="00F4064B">
            <w:pPr>
              <w:jc w:val="center"/>
              <w:rPr>
                <w:color w:val="000000"/>
                <w:szCs w:val="22"/>
              </w:rPr>
            </w:pPr>
            <w:r w:rsidRPr="000155DA">
              <w:rPr>
                <w:color w:val="000000"/>
                <w:szCs w:val="22"/>
              </w:rPr>
              <w:t xml:space="preserve">1 </w:t>
            </w:r>
          </w:p>
        </w:tc>
        <w:tc>
          <w:tcPr>
            <w:tcW w:w="1543" w:type="dxa"/>
            <w:vAlign w:val="center"/>
          </w:tcPr>
          <w:p w:rsidR="00F4064B" w:rsidRPr="000155DA" w:rsidRDefault="007C6095" w:rsidP="00F4064B">
            <w:pPr>
              <w:jc w:val="center"/>
              <w:rPr>
                <w:color w:val="000000"/>
                <w:szCs w:val="22"/>
              </w:rPr>
            </w:pPr>
            <w:r w:rsidRPr="000155DA">
              <w:rPr>
                <w:color w:val="000000"/>
                <w:szCs w:val="22"/>
              </w:rPr>
              <w:t>3,107</w:t>
            </w:r>
          </w:p>
        </w:tc>
        <w:tc>
          <w:tcPr>
            <w:tcW w:w="1353" w:type="dxa"/>
            <w:vAlign w:val="center"/>
          </w:tcPr>
          <w:p w:rsidR="00F4064B" w:rsidRPr="000155DA" w:rsidRDefault="00F4064B" w:rsidP="00F4064B">
            <w:pPr>
              <w:jc w:val="center"/>
              <w:rPr>
                <w:color w:val="000000"/>
                <w:szCs w:val="22"/>
              </w:rPr>
            </w:pPr>
            <w:r w:rsidRPr="000155DA">
              <w:rPr>
                <w:color w:val="000000"/>
                <w:szCs w:val="22"/>
              </w:rPr>
              <w:t>(3,106)</w:t>
            </w:r>
          </w:p>
        </w:tc>
        <w:tc>
          <w:tcPr>
            <w:tcW w:w="1646" w:type="dxa"/>
            <w:vAlign w:val="center"/>
          </w:tcPr>
          <w:p w:rsidR="00F4064B" w:rsidRPr="000155DA" w:rsidRDefault="00DD0BC9" w:rsidP="00F4064B">
            <w:pPr>
              <w:jc w:val="center"/>
              <w:rPr>
                <w:color w:val="000000"/>
                <w:szCs w:val="22"/>
              </w:rPr>
            </w:pPr>
            <w:r>
              <w:rPr>
                <w:color w:val="000000"/>
                <w:szCs w:val="22"/>
              </w:rPr>
              <w:t>72,644</w:t>
            </w:r>
          </w:p>
        </w:tc>
      </w:tr>
      <w:tr w:rsidR="00F4064B" w:rsidRPr="000155DA" w:rsidTr="00F4064B">
        <w:trPr>
          <w:jc w:val="center"/>
        </w:trPr>
        <w:tc>
          <w:tcPr>
            <w:tcW w:w="2213" w:type="dxa"/>
            <w:shd w:val="clear" w:color="auto" w:fill="FBD4B4" w:themeFill="accent6" w:themeFillTint="66"/>
            <w:vAlign w:val="center"/>
          </w:tcPr>
          <w:p w:rsidR="00F4064B" w:rsidRPr="000155DA" w:rsidRDefault="00F4064B" w:rsidP="00F4064B">
            <w:pPr>
              <w:jc w:val="center"/>
              <w:rPr>
                <w:b/>
                <w:color w:val="000000"/>
                <w:szCs w:val="22"/>
              </w:rPr>
            </w:pPr>
            <w:r w:rsidRPr="000155DA">
              <w:rPr>
                <w:b/>
                <w:color w:val="000000"/>
                <w:szCs w:val="22"/>
              </w:rPr>
              <w:t>Windstream</w:t>
            </w:r>
          </w:p>
        </w:tc>
        <w:tc>
          <w:tcPr>
            <w:tcW w:w="1284" w:type="dxa"/>
            <w:vAlign w:val="center"/>
          </w:tcPr>
          <w:p w:rsidR="00F4064B" w:rsidRPr="000155DA" w:rsidRDefault="00DD0BC9" w:rsidP="00F4064B">
            <w:pPr>
              <w:jc w:val="center"/>
              <w:rPr>
                <w:color w:val="000000"/>
                <w:szCs w:val="22"/>
              </w:rPr>
            </w:pPr>
            <w:r>
              <w:rPr>
                <w:color w:val="000000"/>
                <w:szCs w:val="22"/>
              </w:rPr>
              <w:t>76,924</w:t>
            </w:r>
          </w:p>
        </w:tc>
        <w:tc>
          <w:tcPr>
            <w:tcW w:w="1537" w:type="dxa"/>
            <w:vAlign w:val="center"/>
          </w:tcPr>
          <w:p w:rsidR="00F4064B" w:rsidRPr="000155DA" w:rsidRDefault="00DD0BC9" w:rsidP="00F4064B">
            <w:pPr>
              <w:jc w:val="center"/>
              <w:rPr>
                <w:color w:val="000000"/>
                <w:szCs w:val="22"/>
              </w:rPr>
            </w:pPr>
            <w:r>
              <w:rPr>
                <w:color w:val="000000"/>
                <w:szCs w:val="22"/>
              </w:rPr>
              <w:t>11,717</w:t>
            </w:r>
          </w:p>
        </w:tc>
        <w:tc>
          <w:tcPr>
            <w:tcW w:w="1543" w:type="dxa"/>
            <w:vAlign w:val="center"/>
          </w:tcPr>
          <w:p w:rsidR="00F4064B" w:rsidRPr="000155DA" w:rsidRDefault="00DD0BC9" w:rsidP="00F4064B">
            <w:pPr>
              <w:jc w:val="center"/>
              <w:rPr>
                <w:color w:val="000000"/>
                <w:szCs w:val="22"/>
              </w:rPr>
            </w:pPr>
            <w:r>
              <w:rPr>
                <w:bCs/>
                <w:color w:val="000000"/>
                <w:szCs w:val="22"/>
              </w:rPr>
              <w:t>6,068</w:t>
            </w:r>
          </w:p>
        </w:tc>
        <w:tc>
          <w:tcPr>
            <w:tcW w:w="1353" w:type="dxa"/>
            <w:vAlign w:val="center"/>
          </w:tcPr>
          <w:p w:rsidR="00F4064B" w:rsidRPr="000155DA" w:rsidRDefault="00F4064B" w:rsidP="00DD0BC9">
            <w:pPr>
              <w:jc w:val="center"/>
              <w:rPr>
                <w:color w:val="000000"/>
                <w:szCs w:val="22"/>
              </w:rPr>
            </w:pPr>
            <w:r w:rsidRPr="000155DA">
              <w:rPr>
                <w:color w:val="000000"/>
                <w:szCs w:val="22"/>
              </w:rPr>
              <w:t>(5,</w:t>
            </w:r>
            <w:r w:rsidR="00DD0BC9">
              <w:rPr>
                <w:color w:val="000000"/>
                <w:szCs w:val="22"/>
              </w:rPr>
              <w:t>64</w:t>
            </w:r>
            <w:r w:rsidRPr="000155DA">
              <w:rPr>
                <w:color w:val="000000"/>
                <w:szCs w:val="22"/>
              </w:rPr>
              <w:t>9)</w:t>
            </w:r>
          </w:p>
        </w:tc>
        <w:tc>
          <w:tcPr>
            <w:tcW w:w="1646" w:type="dxa"/>
            <w:vAlign w:val="center"/>
          </w:tcPr>
          <w:p w:rsidR="00F4064B" w:rsidRPr="000155DA" w:rsidRDefault="00DD0BC9" w:rsidP="00F4064B">
            <w:pPr>
              <w:jc w:val="center"/>
              <w:rPr>
                <w:color w:val="000000"/>
                <w:szCs w:val="22"/>
              </w:rPr>
            </w:pPr>
            <w:r>
              <w:rPr>
                <w:color w:val="000000"/>
                <w:szCs w:val="22"/>
              </w:rPr>
              <w:t>82,573</w:t>
            </w:r>
          </w:p>
        </w:tc>
      </w:tr>
      <w:tr w:rsidR="00F4064B" w:rsidRPr="000155DA" w:rsidTr="00F4064B">
        <w:trPr>
          <w:jc w:val="center"/>
        </w:trPr>
        <w:tc>
          <w:tcPr>
            <w:tcW w:w="2213" w:type="dxa"/>
            <w:shd w:val="clear" w:color="auto" w:fill="FFFFFF" w:themeFill="background1"/>
            <w:vAlign w:val="center"/>
          </w:tcPr>
          <w:p w:rsidR="00F4064B" w:rsidRPr="000155DA" w:rsidRDefault="00F4064B" w:rsidP="00F4064B">
            <w:pPr>
              <w:jc w:val="center"/>
              <w:rPr>
                <w:b/>
                <w:color w:val="000000"/>
                <w:szCs w:val="22"/>
              </w:rPr>
            </w:pPr>
            <w:r w:rsidRPr="000155DA">
              <w:rPr>
                <w:b/>
                <w:color w:val="000000"/>
                <w:szCs w:val="22"/>
              </w:rPr>
              <w:t>TOTAL</w:t>
            </w:r>
          </w:p>
        </w:tc>
        <w:tc>
          <w:tcPr>
            <w:tcW w:w="1284" w:type="dxa"/>
            <w:vAlign w:val="center"/>
          </w:tcPr>
          <w:p w:rsidR="00F4064B" w:rsidRPr="000155DA" w:rsidRDefault="00DD0BC9" w:rsidP="00F4064B">
            <w:pPr>
              <w:jc w:val="center"/>
              <w:rPr>
                <w:b/>
                <w:color w:val="000000"/>
                <w:szCs w:val="22"/>
              </w:rPr>
            </w:pPr>
            <w:r>
              <w:rPr>
                <w:b/>
                <w:color w:val="000000"/>
                <w:szCs w:val="22"/>
              </w:rPr>
              <w:t>744,439</w:t>
            </w:r>
          </w:p>
        </w:tc>
        <w:tc>
          <w:tcPr>
            <w:tcW w:w="1537" w:type="dxa"/>
            <w:vAlign w:val="center"/>
          </w:tcPr>
          <w:p w:rsidR="00F4064B" w:rsidRPr="000155DA" w:rsidRDefault="00DD0BC9" w:rsidP="00F4064B">
            <w:pPr>
              <w:jc w:val="center"/>
              <w:rPr>
                <w:b/>
                <w:color w:val="000000"/>
                <w:szCs w:val="22"/>
              </w:rPr>
            </w:pPr>
            <w:r>
              <w:rPr>
                <w:b/>
                <w:color w:val="000000"/>
                <w:szCs w:val="22"/>
              </w:rPr>
              <w:t>70,084</w:t>
            </w:r>
          </w:p>
        </w:tc>
        <w:tc>
          <w:tcPr>
            <w:tcW w:w="1543" w:type="dxa"/>
            <w:vAlign w:val="center"/>
          </w:tcPr>
          <w:p w:rsidR="00F4064B" w:rsidRPr="000155DA" w:rsidRDefault="00DD0BC9" w:rsidP="00F4064B">
            <w:pPr>
              <w:jc w:val="center"/>
              <w:rPr>
                <w:b/>
                <w:color w:val="000000"/>
                <w:szCs w:val="22"/>
              </w:rPr>
            </w:pPr>
            <w:r>
              <w:rPr>
                <w:b/>
                <w:color w:val="000000"/>
                <w:szCs w:val="22"/>
              </w:rPr>
              <w:t>39,010</w:t>
            </w:r>
          </w:p>
        </w:tc>
        <w:tc>
          <w:tcPr>
            <w:tcW w:w="1353" w:type="dxa"/>
            <w:vAlign w:val="center"/>
          </w:tcPr>
          <w:p w:rsidR="00F4064B" w:rsidRPr="000155DA" w:rsidRDefault="00DD0BC9" w:rsidP="00F4064B">
            <w:pPr>
              <w:jc w:val="center"/>
              <w:rPr>
                <w:b/>
                <w:color w:val="000000"/>
                <w:szCs w:val="22"/>
              </w:rPr>
            </w:pPr>
            <w:r>
              <w:rPr>
                <w:b/>
                <w:color w:val="000000"/>
                <w:szCs w:val="22"/>
              </w:rPr>
              <w:t>31,074</w:t>
            </w:r>
          </w:p>
        </w:tc>
        <w:tc>
          <w:tcPr>
            <w:tcW w:w="1646" w:type="dxa"/>
            <w:vAlign w:val="center"/>
          </w:tcPr>
          <w:p w:rsidR="00F4064B" w:rsidRPr="000155DA" w:rsidRDefault="00DD0BC9" w:rsidP="00F4064B">
            <w:pPr>
              <w:jc w:val="center"/>
              <w:rPr>
                <w:b/>
                <w:color w:val="000000"/>
                <w:szCs w:val="22"/>
              </w:rPr>
            </w:pPr>
            <w:r>
              <w:rPr>
                <w:b/>
                <w:color w:val="000000"/>
                <w:szCs w:val="22"/>
              </w:rPr>
              <w:t>775,513</w:t>
            </w:r>
          </w:p>
        </w:tc>
      </w:tr>
    </w:tbl>
    <w:p w:rsidR="00510AFB" w:rsidRPr="000155DA" w:rsidRDefault="00510AFB" w:rsidP="003457F7">
      <w:pPr>
        <w:pStyle w:val="ParaNum"/>
        <w:numPr>
          <w:ilvl w:val="0"/>
          <w:numId w:val="0"/>
        </w:numPr>
        <w:ind w:left="720"/>
        <w:rPr>
          <w:szCs w:val="22"/>
        </w:rPr>
      </w:pPr>
    </w:p>
    <w:p w:rsidR="00106D8E" w:rsidRPr="000155DA" w:rsidRDefault="00DE296D" w:rsidP="001D7047">
      <w:pPr>
        <w:rPr>
          <w:szCs w:val="22"/>
        </w:rPr>
      </w:pPr>
      <w:r w:rsidRPr="000155DA">
        <w:rPr>
          <w:szCs w:val="22"/>
        </w:rPr>
        <w:t xml:space="preserve">Because we resolve the status of over 95,000 census blocks today, we are posting the </w:t>
      </w:r>
      <w:r w:rsidR="005149B9" w:rsidRPr="000155DA">
        <w:rPr>
          <w:szCs w:val="22"/>
        </w:rPr>
        <w:t>list showing the treatment of individual census blocks on the Commission’s website</w:t>
      </w:r>
      <w:r w:rsidR="006177D7" w:rsidRPr="000155DA">
        <w:rPr>
          <w:szCs w:val="22"/>
        </w:rPr>
        <w:t xml:space="preserve"> so that interested parties can download the </w:t>
      </w:r>
      <w:r w:rsidR="008F2002" w:rsidRPr="000155DA">
        <w:rPr>
          <w:szCs w:val="22"/>
        </w:rPr>
        <w:t xml:space="preserve">voluminous file </w:t>
      </w:r>
      <w:r w:rsidR="006177D7" w:rsidRPr="000155DA">
        <w:rPr>
          <w:szCs w:val="22"/>
        </w:rPr>
        <w:t xml:space="preserve">and sort </w:t>
      </w:r>
      <w:r w:rsidR="008F2002" w:rsidRPr="000155DA">
        <w:rPr>
          <w:szCs w:val="22"/>
        </w:rPr>
        <w:t>it a</w:t>
      </w:r>
      <w:r w:rsidR="006177D7" w:rsidRPr="000155DA">
        <w:rPr>
          <w:szCs w:val="22"/>
        </w:rPr>
        <w:t>s necessary</w:t>
      </w:r>
      <w:r w:rsidR="005149B9" w:rsidRPr="000155DA">
        <w:rPr>
          <w:szCs w:val="22"/>
        </w:rPr>
        <w:t>.</w:t>
      </w:r>
      <w:r w:rsidR="00DB49FE" w:rsidRPr="000155DA">
        <w:rPr>
          <w:rStyle w:val="FootnoteReference"/>
          <w:sz w:val="22"/>
          <w:szCs w:val="22"/>
        </w:rPr>
        <w:footnoteReference w:id="9"/>
      </w:r>
      <w:r w:rsidR="005149B9" w:rsidRPr="000155DA">
        <w:rPr>
          <w:szCs w:val="22"/>
        </w:rPr>
        <w:t xml:space="preserve">  Th</w:t>
      </w:r>
      <w:r w:rsidR="006177D7" w:rsidRPr="000155DA">
        <w:rPr>
          <w:szCs w:val="22"/>
        </w:rPr>
        <w:t>at</w:t>
      </w:r>
      <w:r w:rsidR="005149B9" w:rsidRPr="000155DA">
        <w:rPr>
          <w:szCs w:val="22"/>
        </w:rPr>
        <w:t xml:space="preserve"> list</w:t>
      </w:r>
      <w:r w:rsidR="006177D7" w:rsidRPr="000155DA">
        <w:rPr>
          <w:szCs w:val="22"/>
        </w:rPr>
        <w:t xml:space="preserve"> </w:t>
      </w:r>
      <w:r w:rsidR="009F1F01" w:rsidRPr="000155DA">
        <w:rPr>
          <w:szCs w:val="22"/>
        </w:rPr>
        <w:t>is incorporated</w:t>
      </w:r>
      <w:r w:rsidR="005149B9" w:rsidRPr="000155DA">
        <w:rPr>
          <w:szCs w:val="22"/>
        </w:rPr>
        <w:t xml:space="preserve"> by reference into this decision.  The list</w:t>
      </w:r>
      <w:r w:rsidR="00CC6E21" w:rsidRPr="000155DA">
        <w:rPr>
          <w:szCs w:val="22"/>
        </w:rPr>
        <w:t xml:space="preserve"> </w:t>
      </w:r>
      <w:r w:rsidR="00CC6E21" w:rsidRPr="00FB400D">
        <w:rPr>
          <w:szCs w:val="22"/>
        </w:rPr>
        <w:t xml:space="preserve">available at </w:t>
      </w:r>
      <w:hyperlink r:id="rId8" w:history="1">
        <w:r w:rsidR="006B1ED8" w:rsidRPr="00FB400D">
          <w:rPr>
            <w:rStyle w:val="Hyperlink"/>
            <w:szCs w:val="22"/>
          </w:rPr>
          <w:t xml:space="preserve">http://www.fcc.gov/wcb/CAF II Challenge App A.zip </w:t>
        </w:r>
      </w:hyperlink>
      <w:r w:rsidR="00CC6E21" w:rsidRPr="00FB400D">
        <w:rPr>
          <w:szCs w:val="22"/>
        </w:rPr>
        <w:t>identifies</w:t>
      </w:r>
      <w:r w:rsidR="00CC6E21" w:rsidRPr="000155DA">
        <w:rPr>
          <w:szCs w:val="22"/>
        </w:rPr>
        <w:t xml:space="preserve"> the Bureau’s decision for all challenged census blocks, including those census blocks </w:t>
      </w:r>
      <w:r w:rsidR="00233651" w:rsidRPr="000155DA">
        <w:rPr>
          <w:szCs w:val="22"/>
        </w:rPr>
        <w:t xml:space="preserve">for which </w:t>
      </w:r>
      <w:r w:rsidR="00DB49FE" w:rsidRPr="000155DA">
        <w:rPr>
          <w:szCs w:val="22"/>
        </w:rPr>
        <w:t xml:space="preserve">there was a </w:t>
      </w:r>
      <w:r w:rsidR="0022337E" w:rsidRPr="000155DA">
        <w:rPr>
          <w:i/>
          <w:szCs w:val="22"/>
        </w:rPr>
        <w:t>prima facie</w:t>
      </w:r>
      <w:r w:rsidR="00DB49FE" w:rsidRPr="000155DA">
        <w:rPr>
          <w:szCs w:val="22"/>
        </w:rPr>
        <w:t xml:space="preserve"> challenge but no reply</w:t>
      </w:r>
      <w:r w:rsidR="008F2002" w:rsidRPr="000155DA">
        <w:rPr>
          <w:szCs w:val="22"/>
        </w:rPr>
        <w:t>,</w:t>
      </w:r>
      <w:r w:rsidR="00DB49FE" w:rsidRPr="000155DA">
        <w:rPr>
          <w:szCs w:val="22"/>
        </w:rPr>
        <w:t xml:space="preserve"> and </w:t>
      </w:r>
      <w:r w:rsidR="008F2002" w:rsidRPr="000155DA">
        <w:rPr>
          <w:szCs w:val="22"/>
        </w:rPr>
        <w:t xml:space="preserve">those </w:t>
      </w:r>
      <w:r w:rsidR="00DB49FE" w:rsidRPr="000155DA">
        <w:rPr>
          <w:szCs w:val="22"/>
        </w:rPr>
        <w:t xml:space="preserve">where </w:t>
      </w:r>
      <w:r w:rsidR="00DA14C0" w:rsidRPr="000155DA">
        <w:rPr>
          <w:szCs w:val="22"/>
        </w:rPr>
        <w:t xml:space="preserve">we </w:t>
      </w:r>
      <w:r w:rsidR="00DB49FE" w:rsidRPr="000155DA">
        <w:rPr>
          <w:szCs w:val="22"/>
        </w:rPr>
        <w:t xml:space="preserve">did not consider </w:t>
      </w:r>
      <w:r w:rsidR="008F2002" w:rsidRPr="000155DA">
        <w:rPr>
          <w:szCs w:val="22"/>
        </w:rPr>
        <w:t xml:space="preserve">a </w:t>
      </w:r>
      <w:r w:rsidR="00233651" w:rsidRPr="000155DA">
        <w:rPr>
          <w:szCs w:val="22"/>
        </w:rPr>
        <w:t>pleading</w:t>
      </w:r>
      <w:r w:rsidR="00DB49FE" w:rsidRPr="000155DA">
        <w:rPr>
          <w:szCs w:val="22"/>
        </w:rPr>
        <w:t>, in whole or in part,</w:t>
      </w:r>
      <w:r w:rsidR="00233651" w:rsidRPr="000155DA">
        <w:rPr>
          <w:szCs w:val="22"/>
        </w:rPr>
        <w:t xml:space="preserve"> </w:t>
      </w:r>
      <w:r w:rsidR="00DB49FE" w:rsidRPr="000155DA">
        <w:rPr>
          <w:szCs w:val="22"/>
        </w:rPr>
        <w:t>because it</w:t>
      </w:r>
      <w:r w:rsidR="008F2002" w:rsidRPr="000155DA">
        <w:rPr>
          <w:szCs w:val="22"/>
        </w:rPr>
        <w:t xml:space="preserve"> </w:t>
      </w:r>
      <w:r w:rsidR="00DA14C0" w:rsidRPr="000155DA">
        <w:rPr>
          <w:szCs w:val="22"/>
        </w:rPr>
        <w:t>was improperly</w:t>
      </w:r>
      <w:r w:rsidR="00CC6E21" w:rsidRPr="000155DA">
        <w:rPr>
          <w:szCs w:val="22"/>
        </w:rPr>
        <w:t xml:space="preserve"> fil</w:t>
      </w:r>
      <w:r w:rsidR="00233651" w:rsidRPr="000155DA">
        <w:rPr>
          <w:szCs w:val="22"/>
        </w:rPr>
        <w:t>ed</w:t>
      </w:r>
      <w:r w:rsidR="00485C1B" w:rsidRPr="000155DA">
        <w:rPr>
          <w:szCs w:val="22"/>
        </w:rPr>
        <w:t xml:space="preserve"> or dismissed as moot</w:t>
      </w:r>
      <w:r w:rsidR="00CC6E21" w:rsidRPr="000155DA">
        <w:rPr>
          <w:szCs w:val="22"/>
        </w:rPr>
        <w:t xml:space="preserve">. </w:t>
      </w:r>
      <w:r w:rsidR="00216272" w:rsidRPr="000155DA">
        <w:rPr>
          <w:szCs w:val="22"/>
        </w:rPr>
        <w:t xml:space="preserve"> </w:t>
      </w:r>
    </w:p>
    <w:p w:rsidR="00BB302F" w:rsidRPr="000155DA" w:rsidRDefault="00BB302F" w:rsidP="001D7047">
      <w:pPr>
        <w:rPr>
          <w:szCs w:val="22"/>
        </w:rPr>
      </w:pPr>
    </w:p>
    <w:p w:rsidR="00400906" w:rsidRPr="000155DA" w:rsidRDefault="00400906" w:rsidP="00400906">
      <w:pPr>
        <w:pStyle w:val="Heading1"/>
        <w:rPr>
          <w:rFonts w:ascii="Times New Roman" w:hAnsi="Times New Roman"/>
          <w:szCs w:val="22"/>
        </w:rPr>
      </w:pPr>
      <w:r w:rsidRPr="000155DA">
        <w:rPr>
          <w:rFonts w:ascii="Times New Roman" w:hAnsi="Times New Roman"/>
          <w:szCs w:val="22"/>
        </w:rPr>
        <w:lastRenderedPageBreak/>
        <w:t>Background</w:t>
      </w:r>
    </w:p>
    <w:p w:rsidR="00400906" w:rsidRPr="000155DA" w:rsidRDefault="001A49BD" w:rsidP="00400906">
      <w:pPr>
        <w:pStyle w:val="ParaNum"/>
        <w:rPr>
          <w:szCs w:val="22"/>
        </w:rPr>
      </w:pPr>
      <w:r w:rsidRPr="000155DA">
        <w:rPr>
          <w:szCs w:val="22"/>
        </w:rPr>
        <w:t xml:space="preserve">In the </w:t>
      </w:r>
      <w:r w:rsidRPr="000155DA">
        <w:rPr>
          <w:i/>
          <w:szCs w:val="22"/>
        </w:rPr>
        <w:t>USF/ICC Transformation Order</w:t>
      </w:r>
      <w:r w:rsidRPr="000155DA">
        <w:rPr>
          <w:szCs w:val="22"/>
        </w:rPr>
        <w:t>, the Commission comprehensively reformed and modernized the universal service and intercarrier compensation systems to maintain voice service and extend broadband-capable infrastructure to millions of Americans.</w:t>
      </w:r>
      <w:r w:rsidRPr="000155DA">
        <w:rPr>
          <w:rStyle w:val="FootnoteReference"/>
          <w:sz w:val="22"/>
          <w:szCs w:val="22"/>
        </w:rPr>
        <w:footnoteReference w:id="10"/>
      </w:r>
      <w:r w:rsidRPr="000155DA">
        <w:rPr>
          <w:szCs w:val="22"/>
        </w:rPr>
        <w:t xml:space="preserve">  As part of that reform, the Commission established Connect America Phase II, which will provide ongoing support to promote the deployment of voice and broadband-capable networks in high-cost areas in price cap territories.  The Commission specified that Phase II support would not be provided in areas served by an unsubsidized competitor, and it delegated to the Bureau the responsibility of determining those areas.</w:t>
      </w:r>
      <w:r w:rsidRPr="000155DA">
        <w:rPr>
          <w:rStyle w:val="FootnoteReference"/>
          <w:sz w:val="22"/>
          <w:szCs w:val="22"/>
        </w:rPr>
        <w:footnoteReference w:id="11"/>
      </w:r>
      <w:r w:rsidRPr="000155DA">
        <w:rPr>
          <w:szCs w:val="22"/>
        </w:rPr>
        <w:t xml:space="preserve">  The Commission also specified that there be a process by which parties could challenge that initial determination of whether or not an area is unserved by an unsubsidized competitor.</w:t>
      </w:r>
    </w:p>
    <w:p w:rsidR="005D4A84" w:rsidRPr="000155DA" w:rsidRDefault="005D4A84" w:rsidP="005D4A84">
      <w:pPr>
        <w:pStyle w:val="ParaNum"/>
        <w:rPr>
          <w:szCs w:val="22"/>
        </w:rPr>
      </w:pPr>
      <w:r w:rsidRPr="000155DA">
        <w:rPr>
          <w:szCs w:val="22"/>
        </w:rPr>
        <w:t xml:space="preserve">Implementing the Commission’s decision, </w:t>
      </w:r>
      <w:r w:rsidR="0057732D" w:rsidRPr="000155DA">
        <w:rPr>
          <w:szCs w:val="22"/>
        </w:rPr>
        <w:t xml:space="preserve">in 2013, </w:t>
      </w:r>
      <w:r w:rsidRPr="000155DA">
        <w:rPr>
          <w:szCs w:val="22"/>
        </w:rPr>
        <w:t>the Bureau set the parameters for how it would determine whether an entity would be considered an unsubsidized competitor, specifying the performance metrics a provider would be required to meet and how the Bureau would initially determine whether a census block was served or unserved by an unsubsidized competitor.</w:t>
      </w:r>
      <w:r w:rsidRPr="000155DA">
        <w:rPr>
          <w:rStyle w:val="FootnoteReference"/>
          <w:sz w:val="22"/>
          <w:szCs w:val="22"/>
        </w:rPr>
        <w:footnoteReference w:id="12"/>
      </w:r>
      <w:r w:rsidRPr="000155DA">
        <w:rPr>
          <w:szCs w:val="22"/>
        </w:rPr>
        <w:t xml:space="preserve">  In the </w:t>
      </w:r>
      <w:r w:rsidRPr="000155DA">
        <w:rPr>
          <w:i/>
          <w:szCs w:val="22"/>
        </w:rPr>
        <w:t>Phase II Challenge Process Order</w:t>
      </w:r>
      <w:r w:rsidRPr="000155DA">
        <w:rPr>
          <w:szCs w:val="22"/>
        </w:rPr>
        <w:t>, the Bureau established a process by which parties could challenge the initial designation of a block as served or unserved.</w:t>
      </w:r>
      <w:r w:rsidRPr="000155DA">
        <w:rPr>
          <w:rStyle w:val="FootnoteReference"/>
          <w:sz w:val="22"/>
          <w:szCs w:val="22"/>
        </w:rPr>
        <w:footnoteReference w:id="13"/>
      </w:r>
      <w:r w:rsidRPr="000155DA">
        <w:rPr>
          <w:szCs w:val="22"/>
        </w:rPr>
        <w:t xml:space="preserve">  The Bureau also adopted FCC Form 505, which parties must use in filing challenges and responses.</w:t>
      </w:r>
      <w:r w:rsidRPr="000155DA">
        <w:rPr>
          <w:rStyle w:val="FootnoteReference"/>
          <w:sz w:val="22"/>
          <w:szCs w:val="22"/>
        </w:rPr>
        <w:footnoteReference w:id="14"/>
      </w:r>
      <w:r w:rsidRPr="000155DA">
        <w:rPr>
          <w:szCs w:val="22"/>
        </w:rPr>
        <w:t xml:space="preserve">  In submitting Form 505, parties must also fill out an accompanying certification, affirming that the statements contained in the challenge or responses are true and accurate to the best of the knowledge of the certifying official.</w:t>
      </w:r>
      <w:r w:rsidRPr="000155DA">
        <w:rPr>
          <w:rStyle w:val="FootnoteReference"/>
          <w:sz w:val="22"/>
          <w:szCs w:val="22"/>
        </w:rPr>
        <w:footnoteReference w:id="15"/>
      </w:r>
    </w:p>
    <w:p w:rsidR="008114D8" w:rsidRPr="000155DA" w:rsidRDefault="001A49BD" w:rsidP="008114D8">
      <w:pPr>
        <w:pStyle w:val="ParaNum"/>
        <w:rPr>
          <w:szCs w:val="22"/>
        </w:rPr>
      </w:pPr>
      <w:r w:rsidRPr="000155DA">
        <w:rPr>
          <w:szCs w:val="22"/>
        </w:rPr>
        <w:t xml:space="preserve">The challenge process is focused on whether an area is served or unserved by an unsubsidized competitor.  </w:t>
      </w:r>
      <w:r w:rsidR="008114D8" w:rsidRPr="000155DA">
        <w:rPr>
          <w:szCs w:val="22"/>
        </w:rPr>
        <w:t>There are two types of challenges: the first is when a provider (typically a price cap carrier) is challenging the designation on the National Broadband Map of a particular census block as served and argui</w:t>
      </w:r>
      <w:r w:rsidR="0013273C" w:rsidRPr="000155DA">
        <w:rPr>
          <w:szCs w:val="22"/>
        </w:rPr>
        <w:t>ng it should instead be treated</w:t>
      </w:r>
      <w:r w:rsidR="008114D8" w:rsidRPr="000155DA">
        <w:rPr>
          <w:szCs w:val="22"/>
        </w:rPr>
        <w:t xml:space="preserve"> as unserved in the cost model for purposes of the offer of model-based support (hereafter a “</w:t>
      </w:r>
      <w:r w:rsidR="00D16FDA" w:rsidRPr="000155DA">
        <w:rPr>
          <w:szCs w:val="22"/>
        </w:rPr>
        <w:t>S</w:t>
      </w:r>
      <w:r w:rsidR="008114D8" w:rsidRPr="000155DA">
        <w:rPr>
          <w:szCs w:val="22"/>
        </w:rPr>
        <w:t xml:space="preserve">erved to </w:t>
      </w:r>
      <w:r w:rsidR="00D16FDA" w:rsidRPr="000155DA">
        <w:rPr>
          <w:szCs w:val="22"/>
        </w:rPr>
        <w:t>U</w:t>
      </w:r>
      <w:r w:rsidR="008114D8" w:rsidRPr="000155DA">
        <w:rPr>
          <w:szCs w:val="22"/>
        </w:rPr>
        <w:t>nserved challenge”).  The second is when a provider (typically a cable operator or fixed wireless provider) is challenging the designation of a particular block on the map as unserved and arguing it should instead be treated as served in the model for purposes of the offer of support – because they serve it (hereafter an “</w:t>
      </w:r>
      <w:r w:rsidR="00D16FDA" w:rsidRPr="000155DA">
        <w:rPr>
          <w:szCs w:val="22"/>
        </w:rPr>
        <w:t>U</w:t>
      </w:r>
      <w:r w:rsidR="008114D8" w:rsidRPr="000155DA">
        <w:rPr>
          <w:szCs w:val="22"/>
        </w:rPr>
        <w:t xml:space="preserve">nserved to </w:t>
      </w:r>
      <w:r w:rsidR="00D16FDA" w:rsidRPr="000155DA">
        <w:rPr>
          <w:szCs w:val="22"/>
        </w:rPr>
        <w:t>S</w:t>
      </w:r>
      <w:r w:rsidR="008114D8" w:rsidRPr="000155DA">
        <w:rPr>
          <w:szCs w:val="22"/>
        </w:rPr>
        <w:t>erved” challenge).</w:t>
      </w:r>
    </w:p>
    <w:p w:rsidR="000C00BA" w:rsidRPr="000155DA" w:rsidRDefault="000C00BA" w:rsidP="000C00BA">
      <w:pPr>
        <w:pStyle w:val="ParaNum"/>
        <w:tabs>
          <w:tab w:val="clear" w:pos="1440"/>
          <w:tab w:val="num" w:pos="-2880"/>
        </w:tabs>
        <w:rPr>
          <w:szCs w:val="22"/>
        </w:rPr>
      </w:pPr>
      <w:r w:rsidRPr="000155DA">
        <w:rPr>
          <w:i/>
          <w:szCs w:val="22"/>
        </w:rPr>
        <w:t>Service Requirements</w:t>
      </w:r>
      <w:r w:rsidR="00D90AB5" w:rsidRPr="000155DA">
        <w:rPr>
          <w:i/>
          <w:szCs w:val="22"/>
        </w:rPr>
        <w:t xml:space="preserve"> for Unsubsidized Competitors</w:t>
      </w:r>
      <w:r w:rsidRPr="000155DA">
        <w:rPr>
          <w:szCs w:val="22"/>
        </w:rPr>
        <w:t xml:space="preserve">.  </w:t>
      </w:r>
      <w:r w:rsidR="002F4C15" w:rsidRPr="000155DA">
        <w:rPr>
          <w:szCs w:val="22"/>
        </w:rPr>
        <w:t>I</w:t>
      </w:r>
      <w:r w:rsidRPr="000155DA">
        <w:rPr>
          <w:szCs w:val="22"/>
        </w:rPr>
        <w:t xml:space="preserve">n order to qualify as “served” by an unsubsidized competitor, a census block must have voice service and broadband service with pricing that is reasonably comparable to </w:t>
      </w:r>
      <w:r w:rsidR="00142413" w:rsidRPr="000155DA">
        <w:rPr>
          <w:szCs w:val="22"/>
        </w:rPr>
        <w:t xml:space="preserve">pricing </w:t>
      </w:r>
      <w:r w:rsidRPr="000155DA">
        <w:rPr>
          <w:szCs w:val="22"/>
        </w:rPr>
        <w:t>for similar services in an urban area.</w:t>
      </w:r>
      <w:r w:rsidRPr="000155DA">
        <w:rPr>
          <w:rStyle w:val="FootnoteReference"/>
          <w:sz w:val="22"/>
          <w:szCs w:val="22"/>
        </w:rPr>
        <w:footnoteReference w:id="16"/>
      </w:r>
      <w:r w:rsidRPr="000155DA">
        <w:rPr>
          <w:szCs w:val="22"/>
        </w:rPr>
        <w:t xml:space="preserve">  As the Bureau stated in the </w:t>
      </w:r>
      <w:r w:rsidRPr="000155DA">
        <w:rPr>
          <w:i/>
          <w:szCs w:val="22"/>
        </w:rPr>
        <w:t>Phase II Challenge Process Guidance Public Notice</w:t>
      </w:r>
      <w:r w:rsidRPr="000155DA">
        <w:rPr>
          <w:szCs w:val="22"/>
        </w:rPr>
        <w:t xml:space="preserve">, a census block will be considered “served” if a provider can show three elements: (1) the provider actually offers voice and broadband service in the census block, (2) the provider has physical assets in or adjacent to the census block, and (3) the provider currently has or previously had </w:t>
      </w:r>
      <w:r w:rsidR="00E724E3" w:rsidRPr="000155DA">
        <w:rPr>
          <w:szCs w:val="22"/>
        </w:rPr>
        <w:t xml:space="preserve">voice or broadband </w:t>
      </w:r>
      <w:r w:rsidRPr="000155DA">
        <w:rPr>
          <w:szCs w:val="22"/>
        </w:rPr>
        <w:t>customers in the census block.</w:t>
      </w:r>
      <w:r w:rsidRPr="000155DA">
        <w:rPr>
          <w:rStyle w:val="FootnoteReference"/>
          <w:sz w:val="22"/>
          <w:szCs w:val="22"/>
        </w:rPr>
        <w:footnoteReference w:id="17"/>
      </w:r>
      <w:r w:rsidRPr="000155DA">
        <w:rPr>
          <w:szCs w:val="22"/>
        </w:rPr>
        <w:t xml:space="preserve">  In addition, the broadband service must </w:t>
      </w:r>
      <w:r w:rsidR="0057732D" w:rsidRPr="000155DA">
        <w:rPr>
          <w:szCs w:val="22"/>
        </w:rPr>
        <w:t xml:space="preserve">have, at a minimum, </w:t>
      </w:r>
      <w:r w:rsidRPr="000155DA">
        <w:rPr>
          <w:szCs w:val="22"/>
        </w:rPr>
        <w:t>speeds of 4 Mbps downstream and 1 Mbps upstream, a usage allowance of at least 100 GB, and latency of 100 ms or less.</w:t>
      </w:r>
      <w:r w:rsidRPr="000155DA">
        <w:rPr>
          <w:rStyle w:val="FootnoteReference"/>
          <w:sz w:val="22"/>
          <w:szCs w:val="22"/>
        </w:rPr>
        <w:footnoteReference w:id="18"/>
      </w:r>
      <w:r w:rsidRPr="000155DA">
        <w:rPr>
          <w:szCs w:val="22"/>
        </w:rPr>
        <w:t xml:space="preserve"> </w:t>
      </w:r>
      <w:r w:rsidRPr="000155DA">
        <w:rPr>
          <w:i/>
          <w:szCs w:val="22"/>
        </w:rPr>
        <w:t xml:space="preserve"> </w:t>
      </w:r>
    </w:p>
    <w:p w:rsidR="00D90AB5" w:rsidRPr="000155DA" w:rsidRDefault="000C00BA" w:rsidP="000C00BA">
      <w:pPr>
        <w:pStyle w:val="ParaNum"/>
        <w:tabs>
          <w:tab w:val="clear" w:pos="1440"/>
          <w:tab w:val="num" w:pos="-2880"/>
        </w:tabs>
        <w:rPr>
          <w:szCs w:val="22"/>
        </w:rPr>
      </w:pPr>
      <w:r w:rsidRPr="000155DA">
        <w:rPr>
          <w:i/>
          <w:szCs w:val="22"/>
        </w:rPr>
        <w:t xml:space="preserve">Standard for Review.  </w:t>
      </w:r>
      <w:r w:rsidR="00551DDE" w:rsidRPr="000155DA">
        <w:rPr>
          <w:szCs w:val="22"/>
        </w:rPr>
        <w:t>The Bureau adopted a preponderance of the evidence standard for the Phase II challenge process:  whether it is more likely than not, based on all the evidence in the record, that the status of a census block should be changed</w:t>
      </w:r>
      <w:r w:rsidR="00485C1B" w:rsidRPr="000155DA">
        <w:rPr>
          <w:szCs w:val="22"/>
        </w:rPr>
        <w:t xml:space="preserve"> from its designation on the National Broadband Map</w:t>
      </w:r>
      <w:r w:rsidR="00551DDE" w:rsidRPr="000155DA">
        <w:rPr>
          <w:szCs w:val="22"/>
        </w:rPr>
        <w:t>.</w:t>
      </w:r>
      <w:r w:rsidR="00551DDE" w:rsidRPr="000155DA">
        <w:rPr>
          <w:rStyle w:val="FootnoteReference"/>
          <w:sz w:val="22"/>
          <w:szCs w:val="22"/>
        </w:rPr>
        <w:footnoteReference w:id="19"/>
      </w:r>
      <w:r w:rsidR="00551DDE" w:rsidRPr="000155DA">
        <w:rPr>
          <w:szCs w:val="22"/>
        </w:rPr>
        <w:t xml:space="preserve">  </w:t>
      </w:r>
      <w:r w:rsidRPr="000155DA">
        <w:rPr>
          <w:szCs w:val="22"/>
        </w:rPr>
        <w:t xml:space="preserve">As outlined in the </w:t>
      </w:r>
      <w:r w:rsidRPr="000155DA">
        <w:rPr>
          <w:i/>
          <w:szCs w:val="22"/>
        </w:rPr>
        <w:t>Phase II</w:t>
      </w:r>
      <w:r w:rsidRPr="000155DA">
        <w:rPr>
          <w:szCs w:val="22"/>
        </w:rPr>
        <w:t xml:space="preserve"> </w:t>
      </w:r>
      <w:r w:rsidRPr="000155DA">
        <w:rPr>
          <w:i/>
          <w:szCs w:val="22"/>
        </w:rPr>
        <w:t>Challenge Process Order</w:t>
      </w:r>
      <w:r w:rsidRPr="000155DA">
        <w:rPr>
          <w:szCs w:val="22"/>
        </w:rPr>
        <w:t>, respondents to a challenge must provide, for each challenged census block, concrete and verifiable evidence supporting their claim that the challenge should not be granted.</w:t>
      </w:r>
      <w:r w:rsidRPr="000155DA">
        <w:rPr>
          <w:rStyle w:val="FootnoteReference"/>
          <w:sz w:val="22"/>
          <w:szCs w:val="22"/>
        </w:rPr>
        <w:footnoteReference w:id="20"/>
      </w:r>
      <w:r w:rsidRPr="000155DA">
        <w:rPr>
          <w:szCs w:val="22"/>
        </w:rPr>
        <w:t xml:space="preserve">  Similarly, respondents attempting to show that a block is served must show that all of the Commission’s criteria are met, while respondents attempting to show that a block is unserved need only show that any one of the criteria is not met.</w:t>
      </w:r>
      <w:r w:rsidRPr="000155DA">
        <w:rPr>
          <w:rStyle w:val="FootnoteReference"/>
          <w:sz w:val="22"/>
          <w:szCs w:val="22"/>
        </w:rPr>
        <w:footnoteReference w:id="21"/>
      </w:r>
      <w:r w:rsidRPr="000155DA">
        <w:rPr>
          <w:szCs w:val="22"/>
        </w:rPr>
        <w:t xml:space="preserve">  </w:t>
      </w:r>
    </w:p>
    <w:p w:rsidR="00996161" w:rsidRPr="000155DA" w:rsidRDefault="00996161" w:rsidP="00561C0D">
      <w:pPr>
        <w:pStyle w:val="ParaNum"/>
        <w:tabs>
          <w:tab w:val="clear" w:pos="1440"/>
          <w:tab w:val="num" w:pos="-2880"/>
        </w:tabs>
        <w:rPr>
          <w:szCs w:val="22"/>
        </w:rPr>
      </w:pPr>
      <w:r w:rsidRPr="000155DA">
        <w:rPr>
          <w:i/>
          <w:szCs w:val="22"/>
        </w:rPr>
        <w:t>Procedural History of Phase II Challenge Process</w:t>
      </w:r>
      <w:r w:rsidRPr="000155DA">
        <w:rPr>
          <w:szCs w:val="22"/>
        </w:rPr>
        <w:t xml:space="preserve">.  </w:t>
      </w:r>
      <w:r w:rsidR="001A49BD" w:rsidRPr="000155DA">
        <w:rPr>
          <w:szCs w:val="22"/>
        </w:rPr>
        <w:t>On June 30, 2014, the Bureau commenced the Phase II challenge process</w:t>
      </w:r>
      <w:r w:rsidR="00721FCC" w:rsidRPr="000155DA">
        <w:rPr>
          <w:szCs w:val="22"/>
        </w:rPr>
        <w:t xml:space="preserve">, releasing a </w:t>
      </w:r>
      <w:r w:rsidRPr="000155DA">
        <w:rPr>
          <w:szCs w:val="22"/>
        </w:rPr>
        <w:t xml:space="preserve">public notice with a list </w:t>
      </w:r>
      <w:r w:rsidR="00721FCC" w:rsidRPr="000155DA">
        <w:rPr>
          <w:szCs w:val="22"/>
        </w:rPr>
        <w:t xml:space="preserve">of census blocks that were deemed initially eligible for </w:t>
      </w:r>
      <w:r w:rsidRPr="000155DA">
        <w:rPr>
          <w:szCs w:val="22"/>
        </w:rPr>
        <w:t xml:space="preserve">the offer of </w:t>
      </w:r>
      <w:r w:rsidR="00721FCC" w:rsidRPr="000155DA">
        <w:rPr>
          <w:szCs w:val="22"/>
        </w:rPr>
        <w:t xml:space="preserve">Phase II </w:t>
      </w:r>
      <w:r w:rsidRPr="000155DA">
        <w:rPr>
          <w:szCs w:val="22"/>
        </w:rPr>
        <w:t xml:space="preserve">model-based </w:t>
      </w:r>
      <w:r w:rsidR="00721FCC" w:rsidRPr="000155DA">
        <w:rPr>
          <w:szCs w:val="22"/>
        </w:rPr>
        <w:t>support</w:t>
      </w:r>
      <w:r w:rsidR="001A49BD" w:rsidRPr="000155DA">
        <w:rPr>
          <w:szCs w:val="22"/>
        </w:rPr>
        <w:t>.</w:t>
      </w:r>
      <w:r w:rsidR="001A49BD" w:rsidRPr="000155DA">
        <w:rPr>
          <w:rStyle w:val="FootnoteReference"/>
          <w:sz w:val="22"/>
          <w:szCs w:val="22"/>
        </w:rPr>
        <w:footnoteReference w:id="22"/>
      </w:r>
      <w:r w:rsidR="001A49BD" w:rsidRPr="000155DA">
        <w:rPr>
          <w:szCs w:val="22"/>
        </w:rPr>
        <w:t xml:space="preserve">  Parties then had an opportunity to present evidence contesting the Bureau’s initial determination, arguing either that a census block deemed served should instead be treated as unserved, or that a census block deemed unserved should be treated as served.</w:t>
      </w:r>
      <w:r w:rsidR="001A49BD" w:rsidRPr="000155DA">
        <w:rPr>
          <w:rStyle w:val="FootnoteReference"/>
          <w:sz w:val="22"/>
          <w:szCs w:val="22"/>
        </w:rPr>
        <w:footnoteReference w:id="23"/>
      </w:r>
      <w:r w:rsidR="001A49BD" w:rsidRPr="000155DA">
        <w:rPr>
          <w:szCs w:val="22"/>
        </w:rPr>
        <w:t xml:space="preserve">  Challenges were due on August 14, 2014.  </w:t>
      </w:r>
    </w:p>
    <w:p w:rsidR="00721FCC" w:rsidRPr="000155DA" w:rsidRDefault="00721FCC" w:rsidP="00A274D8">
      <w:pPr>
        <w:pStyle w:val="ParaNum"/>
        <w:tabs>
          <w:tab w:val="clear" w:pos="1440"/>
          <w:tab w:val="num" w:pos="-2880"/>
        </w:tabs>
        <w:rPr>
          <w:szCs w:val="22"/>
        </w:rPr>
      </w:pPr>
      <w:r w:rsidRPr="000155DA">
        <w:rPr>
          <w:szCs w:val="22"/>
        </w:rPr>
        <w:t xml:space="preserve">In the initial </w:t>
      </w:r>
      <w:r w:rsidR="00161A8F" w:rsidRPr="000155DA">
        <w:rPr>
          <w:szCs w:val="22"/>
        </w:rPr>
        <w:t xml:space="preserve">phase of the </w:t>
      </w:r>
      <w:r w:rsidRPr="000155DA">
        <w:rPr>
          <w:szCs w:val="22"/>
        </w:rPr>
        <w:t xml:space="preserve">challenge </w:t>
      </w:r>
      <w:r w:rsidR="00161A8F" w:rsidRPr="000155DA">
        <w:rPr>
          <w:szCs w:val="22"/>
        </w:rPr>
        <w:t>process</w:t>
      </w:r>
      <w:r w:rsidRPr="000155DA">
        <w:rPr>
          <w:szCs w:val="22"/>
        </w:rPr>
        <w:t>, more</w:t>
      </w:r>
      <w:r w:rsidR="001A49BD" w:rsidRPr="000155DA">
        <w:rPr>
          <w:szCs w:val="22"/>
        </w:rPr>
        <w:t xml:space="preserve"> than 140 parties filed </w:t>
      </w:r>
      <w:r w:rsidR="00D90AB5" w:rsidRPr="000155DA">
        <w:rPr>
          <w:szCs w:val="22"/>
        </w:rPr>
        <w:t xml:space="preserve">challenges to </w:t>
      </w:r>
      <w:r w:rsidR="001A49BD" w:rsidRPr="000155DA">
        <w:rPr>
          <w:szCs w:val="22"/>
        </w:rPr>
        <w:t xml:space="preserve">nearly 180,000 </w:t>
      </w:r>
      <w:r w:rsidR="008B0A3A" w:rsidRPr="000155DA">
        <w:rPr>
          <w:szCs w:val="22"/>
        </w:rPr>
        <w:t>census blocks</w:t>
      </w:r>
      <w:r w:rsidR="001A49BD" w:rsidRPr="000155DA">
        <w:rPr>
          <w:szCs w:val="22"/>
        </w:rPr>
        <w:t xml:space="preserve">.  The Bureau then undertook the process of determining which challenges presented sufficient evidence </w:t>
      </w:r>
      <w:r w:rsidR="00BD7C92" w:rsidRPr="000155DA">
        <w:rPr>
          <w:szCs w:val="22"/>
        </w:rPr>
        <w:t xml:space="preserve">to establish a </w:t>
      </w:r>
      <w:r w:rsidR="0022337E" w:rsidRPr="000155DA">
        <w:rPr>
          <w:i/>
          <w:szCs w:val="22"/>
        </w:rPr>
        <w:t>prima facie</w:t>
      </w:r>
      <w:r w:rsidR="00BD7C92" w:rsidRPr="000155DA">
        <w:rPr>
          <w:szCs w:val="22"/>
        </w:rPr>
        <w:t xml:space="preserve"> case that the status of the census block should be changed for purposes of determining where Phase II support will be offered to price cap carriers</w:t>
      </w:r>
      <w:r w:rsidR="001A49BD" w:rsidRPr="000155DA">
        <w:rPr>
          <w:szCs w:val="22"/>
        </w:rPr>
        <w:t>.</w:t>
      </w:r>
      <w:r w:rsidRPr="000155DA">
        <w:rPr>
          <w:szCs w:val="22"/>
        </w:rPr>
        <w:t xml:space="preserve"> </w:t>
      </w:r>
    </w:p>
    <w:p w:rsidR="001A49BD" w:rsidRPr="000155DA" w:rsidRDefault="00721FCC" w:rsidP="00730268">
      <w:pPr>
        <w:pStyle w:val="ParaNum"/>
        <w:tabs>
          <w:tab w:val="clear" w:pos="1440"/>
          <w:tab w:val="num" w:pos="0"/>
        </w:tabs>
        <w:rPr>
          <w:szCs w:val="22"/>
        </w:rPr>
      </w:pPr>
      <w:r w:rsidRPr="000155DA">
        <w:rPr>
          <w:szCs w:val="22"/>
        </w:rPr>
        <w:t xml:space="preserve">On September 26, 2014, the Bureau </w:t>
      </w:r>
      <w:r w:rsidR="0099749B" w:rsidRPr="000155DA">
        <w:rPr>
          <w:szCs w:val="22"/>
        </w:rPr>
        <w:t xml:space="preserve">announced the results of its initial review </w:t>
      </w:r>
      <w:r w:rsidR="00834BD2" w:rsidRPr="000155DA">
        <w:rPr>
          <w:szCs w:val="22"/>
        </w:rPr>
        <w:t xml:space="preserve">and identified </w:t>
      </w:r>
      <w:r w:rsidR="00D41131" w:rsidRPr="000155DA">
        <w:rPr>
          <w:szCs w:val="22"/>
        </w:rPr>
        <w:t>95,09</w:t>
      </w:r>
      <w:r w:rsidR="00E724E3" w:rsidRPr="000155DA">
        <w:rPr>
          <w:szCs w:val="22"/>
        </w:rPr>
        <w:t>3</w:t>
      </w:r>
      <w:r w:rsidR="0099749B" w:rsidRPr="000155DA">
        <w:rPr>
          <w:szCs w:val="22"/>
        </w:rPr>
        <w:t xml:space="preserve"> </w:t>
      </w:r>
      <w:r w:rsidR="00183B78" w:rsidRPr="000155DA">
        <w:rPr>
          <w:szCs w:val="22"/>
        </w:rPr>
        <w:t xml:space="preserve">census blocks for which the </w:t>
      </w:r>
      <w:r w:rsidR="0099749B" w:rsidRPr="000155DA">
        <w:rPr>
          <w:szCs w:val="22"/>
        </w:rPr>
        <w:t>challenge</w:t>
      </w:r>
      <w:r w:rsidR="00183B78" w:rsidRPr="000155DA">
        <w:rPr>
          <w:szCs w:val="22"/>
        </w:rPr>
        <w:t>r</w:t>
      </w:r>
      <w:r w:rsidR="0099749B" w:rsidRPr="000155DA">
        <w:rPr>
          <w:szCs w:val="22"/>
        </w:rPr>
        <w:t>s</w:t>
      </w:r>
      <w:r w:rsidR="00834BD2" w:rsidRPr="000155DA">
        <w:rPr>
          <w:szCs w:val="22"/>
        </w:rPr>
        <w:t xml:space="preserve"> </w:t>
      </w:r>
      <w:r w:rsidR="0099749B" w:rsidRPr="000155DA">
        <w:rPr>
          <w:szCs w:val="22"/>
        </w:rPr>
        <w:t xml:space="preserve">presented a </w:t>
      </w:r>
      <w:r w:rsidR="0022337E" w:rsidRPr="000155DA">
        <w:rPr>
          <w:i/>
          <w:szCs w:val="22"/>
        </w:rPr>
        <w:t>prima facie</w:t>
      </w:r>
      <w:r w:rsidR="0099749B" w:rsidRPr="000155DA">
        <w:rPr>
          <w:szCs w:val="22"/>
        </w:rPr>
        <w:t xml:space="preserve"> case</w:t>
      </w:r>
      <w:r w:rsidR="000E4832" w:rsidRPr="000155DA">
        <w:rPr>
          <w:szCs w:val="22"/>
        </w:rPr>
        <w:t>.</w:t>
      </w:r>
      <w:r w:rsidR="000E4832" w:rsidRPr="000155DA">
        <w:rPr>
          <w:rStyle w:val="FootnoteReference"/>
          <w:sz w:val="22"/>
          <w:szCs w:val="22"/>
        </w:rPr>
        <w:footnoteReference w:id="24"/>
      </w:r>
      <w:r w:rsidR="00834BD2" w:rsidRPr="000155DA">
        <w:rPr>
          <w:szCs w:val="22"/>
        </w:rPr>
        <w:t xml:space="preserve"> </w:t>
      </w:r>
      <w:r w:rsidR="0084353F" w:rsidRPr="000155DA">
        <w:rPr>
          <w:szCs w:val="22"/>
        </w:rPr>
        <w:t xml:space="preserve"> </w:t>
      </w:r>
      <w:r w:rsidR="00834BD2" w:rsidRPr="000155DA">
        <w:rPr>
          <w:szCs w:val="22"/>
        </w:rPr>
        <w:t>The Bureau released two lists identifying these census blocks: the Unserved</w:t>
      </w:r>
      <w:r w:rsidR="001D2C4B" w:rsidRPr="000155DA">
        <w:rPr>
          <w:szCs w:val="22"/>
        </w:rPr>
        <w:t>-</w:t>
      </w:r>
      <w:r w:rsidR="00834BD2" w:rsidRPr="000155DA">
        <w:rPr>
          <w:szCs w:val="22"/>
        </w:rPr>
        <w:t>to</w:t>
      </w:r>
      <w:r w:rsidR="001D2C4B" w:rsidRPr="000155DA">
        <w:rPr>
          <w:szCs w:val="22"/>
        </w:rPr>
        <w:t>-</w:t>
      </w:r>
      <w:r w:rsidR="00834BD2" w:rsidRPr="000155DA">
        <w:rPr>
          <w:szCs w:val="22"/>
        </w:rPr>
        <w:t>Serve</w:t>
      </w:r>
      <w:r w:rsidR="00D41131" w:rsidRPr="000155DA">
        <w:rPr>
          <w:szCs w:val="22"/>
        </w:rPr>
        <w:t>d</w:t>
      </w:r>
      <w:r w:rsidR="00834BD2" w:rsidRPr="000155DA">
        <w:rPr>
          <w:szCs w:val="22"/>
        </w:rPr>
        <w:t xml:space="preserve"> list identified </w:t>
      </w:r>
      <w:r w:rsidR="00D41131" w:rsidRPr="000155DA">
        <w:rPr>
          <w:szCs w:val="22"/>
        </w:rPr>
        <w:t>24,225</w:t>
      </w:r>
      <w:r w:rsidR="00834BD2" w:rsidRPr="000155DA">
        <w:rPr>
          <w:szCs w:val="22"/>
        </w:rPr>
        <w:t xml:space="preserve"> census blocks</w:t>
      </w:r>
      <w:r w:rsidR="001D2C4B" w:rsidRPr="000155DA">
        <w:rPr>
          <w:szCs w:val="22"/>
        </w:rPr>
        <w:t>,</w:t>
      </w:r>
      <w:r w:rsidR="00834BD2" w:rsidRPr="000155DA">
        <w:rPr>
          <w:szCs w:val="22"/>
        </w:rPr>
        <w:t xml:space="preserve"> where the </w:t>
      </w:r>
      <w:r w:rsidR="00D41131" w:rsidRPr="000155DA">
        <w:rPr>
          <w:szCs w:val="22"/>
        </w:rPr>
        <w:t xml:space="preserve">filing </w:t>
      </w:r>
      <w:r w:rsidR="00834BD2" w:rsidRPr="000155DA">
        <w:rPr>
          <w:szCs w:val="22"/>
        </w:rPr>
        <w:t xml:space="preserve">party made a </w:t>
      </w:r>
      <w:r w:rsidR="0022337E" w:rsidRPr="000155DA">
        <w:rPr>
          <w:i/>
          <w:szCs w:val="22"/>
        </w:rPr>
        <w:t>prima facie</w:t>
      </w:r>
      <w:r w:rsidR="00834BD2" w:rsidRPr="000155DA">
        <w:rPr>
          <w:szCs w:val="22"/>
        </w:rPr>
        <w:t xml:space="preserve"> challenge the block should</w:t>
      </w:r>
      <w:r w:rsidR="00BD7C92" w:rsidRPr="000155DA">
        <w:rPr>
          <w:szCs w:val="22"/>
        </w:rPr>
        <w:t xml:space="preserve"> be treated as served and</w:t>
      </w:r>
      <w:r w:rsidR="00834BD2" w:rsidRPr="000155DA">
        <w:rPr>
          <w:szCs w:val="22"/>
        </w:rPr>
        <w:t xml:space="preserve"> </w:t>
      </w:r>
      <w:r w:rsidR="008B0A3A" w:rsidRPr="000155DA">
        <w:rPr>
          <w:szCs w:val="22"/>
        </w:rPr>
        <w:t xml:space="preserve">therefore </w:t>
      </w:r>
      <w:r w:rsidR="00834BD2" w:rsidRPr="000155DA">
        <w:rPr>
          <w:szCs w:val="22"/>
        </w:rPr>
        <w:t>not be eligible</w:t>
      </w:r>
      <w:r w:rsidR="008B0A3A" w:rsidRPr="000155DA">
        <w:rPr>
          <w:szCs w:val="22"/>
        </w:rPr>
        <w:t xml:space="preserve"> for the offer of model-based support,</w:t>
      </w:r>
      <w:r w:rsidR="00834BD2" w:rsidRPr="000155DA">
        <w:rPr>
          <w:rStyle w:val="FootnoteReference"/>
          <w:sz w:val="22"/>
          <w:szCs w:val="22"/>
        </w:rPr>
        <w:footnoteReference w:id="25"/>
      </w:r>
      <w:r w:rsidR="00834BD2" w:rsidRPr="000155DA">
        <w:rPr>
          <w:szCs w:val="22"/>
        </w:rPr>
        <w:t xml:space="preserve"> and the Served</w:t>
      </w:r>
      <w:r w:rsidR="001D2C4B" w:rsidRPr="000155DA">
        <w:rPr>
          <w:szCs w:val="22"/>
        </w:rPr>
        <w:t>-</w:t>
      </w:r>
      <w:r w:rsidR="00834BD2" w:rsidRPr="000155DA">
        <w:rPr>
          <w:szCs w:val="22"/>
        </w:rPr>
        <w:t>to</w:t>
      </w:r>
      <w:r w:rsidR="001D2C4B" w:rsidRPr="000155DA">
        <w:rPr>
          <w:szCs w:val="22"/>
        </w:rPr>
        <w:t>-</w:t>
      </w:r>
      <w:r w:rsidR="00834BD2" w:rsidRPr="000155DA">
        <w:rPr>
          <w:szCs w:val="22"/>
        </w:rPr>
        <w:t xml:space="preserve">Unserved list identified </w:t>
      </w:r>
      <w:r w:rsidR="00D41131" w:rsidRPr="000155DA">
        <w:rPr>
          <w:szCs w:val="22"/>
        </w:rPr>
        <w:t>70,86</w:t>
      </w:r>
      <w:r w:rsidR="00B40946" w:rsidRPr="000155DA">
        <w:rPr>
          <w:szCs w:val="22"/>
        </w:rPr>
        <w:t>8</w:t>
      </w:r>
      <w:r w:rsidR="00834BD2" w:rsidRPr="000155DA">
        <w:rPr>
          <w:szCs w:val="22"/>
        </w:rPr>
        <w:t xml:space="preserve"> census blocks</w:t>
      </w:r>
      <w:r w:rsidR="001D2C4B" w:rsidRPr="000155DA">
        <w:rPr>
          <w:szCs w:val="22"/>
        </w:rPr>
        <w:t>,</w:t>
      </w:r>
      <w:r w:rsidR="00834BD2" w:rsidRPr="000155DA">
        <w:rPr>
          <w:szCs w:val="22"/>
        </w:rPr>
        <w:t xml:space="preserve"> where the </w:t>
      </w:r>
      <w:r w:rsidR="00D41131" w:rsidRPr="000155DA">
        <w:rPr>
          <w:szCs w:val="22"/>
        </w:rPr>
        <w:t xml:space="preserve">filing </w:t>
      </w:r>
      <w:r w:rsidR="00834BD2" w:rsidRPr="000155DA">
        <w:rPr>
          <w:szCs w:val="22"/>
        </w:rPr>
        <w:t xml:space="preserve">party made the </w:t>
      </w:r>
      <w:r w:rsidR="0022337E" w:rsidRPr="000155DA">
        <w:rPr>
          <w:i/>
          <w:szCs w:val="22"/>
        </w:rPr>
        <w:t>prima facie</w:t>
      </w:r>
      <w:r w:rsidR="00834BD2" w:rsidRPr="000155DA">
        <w:rPr>
          <w:szCs w:val="22"/>
        </w:rPr>
        <w:t xml:space="preserve"> challenge </w:t>
      </w:r>
      <w:r w:rsidR="00BD7C92" w:rsidRPr="000155DA">
        <w:rPr>
          <w:szCs w:val="22"/>
        </w:rPr>
        <w:t xml:space="preserve">the block </w:t>
      </w:r>
      <w:r w:rsidR="00834BD2" w:rsidRPr="000155DA">
        <w:rPr>
          <w:szCs w:val="22"/>
        </w:rPr>
        <w:t xml:space="preserve">should be </w:t>
      </w:r>
      <w:r w:rsidR="00BD7C92" w:rsidRPr="000155DA">
        <w:rPr>
          <w:szCs w:val="22"/>
        </w:rPr>
        <w:t>treated as unserved and</w:t>
      </w:r>
      <w:r w:rsidR="001D2C4B" w:rsidRPr="000155DA">
        <w:rPr>
          <w:szCs w:val="22"/>
        </w:rPr>
        <w:t xml:space="preserve"> therefore</w:t>
      </w:r>
      <w:r w:rsidR="00BD7C92" w:rsidRPr="000155DA">
        <w:rPr>
          <w:szCs w:val="22"/>
        </w:rPr>
        <w:t xml:space="preserve"> e</w:t>
      </w:r>
      <w:r w:rsidR="00834BD2" w:rsidRPr="000155DA">
        <w:rPr>
          <w:szCs w:val="22"/>
        </w:rPr>
        <w:t>ligible</w:t>
      </w:r>
      <w:r w:rsidR="008B0A3A" w:rsidRPr="000155DA">
        <w:rPr>
          <w:szCs w:val="22"/>
        </w:rPr>
        <w:t xml:space="preserve"> for the offer of support</w:t>
      </w:r>
      <w:r w:rsidR="00834BD2" w:rsidRPr="000155DA">
        <w:rPr>
          <w:szCs w:val="22"/>
        </w:rPr>
        <w:t>.</w:t>
      </w:r>
      <w:r w:rsidR="00834BD2" w:rsidRPr="000155DA">
        <w:rPr>
          <w:rStyle w:val="FootnoteReference"/>
          <w:sz w:val="22"/>
          <w:szCs w:val="22"/>
        </w:rPr>
        <w:footnoteReference w:id="26"/>
      </w:r>
      <w:r w:rsidR="00834BD2" w:rsidRPr="000155DA">
        <w:rPr>
          <w:szCs w:val="22"/>
        </w:rPr>
        <w:t xml:space="preserve"> </w:t>
      </w:r>
      <w:r w:rsidR="0084353F" w:rsidRPr="000155DA">
        <w:rPr>
          <w:szCs w:val="22"/>
        </w:rPr>
        <w:t xml:space="preserve"> </w:t>
      </w:r>
      <w:r w:rsidR="00834BD2" w:rsidRPr="000155DA">
        <w:rPr>
          <w:szCs w:val="22"/>
        </w:rPr>
        <w:t>The</w:t>
      </w:r>
      <w:r w:rsidR="00183B78" w:rsidRPr="000155DA">
        <w:rPr>
          <w:szCs w:val="22"/>
        </w:rPr>
        <w:t xml:space="preserve"> Bureau then solicited replies to these </w:t>
      </w:r>
      <w:r w:rsidR="0022337E" w:rsidRPr="000155DA">
        <w:rPr>
          <w:i/>
          <w:szCs w:val="22"/>
        </w:rPr>
        <w:t>prima facie</w:t>
      </w:r>
      <w:r w:rsidR="00183B78" w:rsidRPr="000155DA">
        <w:rPr>
          <w:szCs w:val="22"/>
        </w:rPr>
        <w:t xml:space="preserve"> challenges.</w:t>
      </w:r>
      <w:r w:rsidR="00C01BEC" w:rsidRPr="000155DA">
        <w:rPr>
          <w:rStyle w:val="FootnoteReference"/>
          <w:sz w:val="22"/>
          <w:szCs w:val="22"/>
        </w:rPr>
        <w:footnoteReference w:id="27"/>
      </w:r>
      <w:r w:rsidR="0084353F" w:rsidRPr="000155DA">
        <w:rPr>
          <w:szCs w:val="22"/>
        </w:rPr>
        <w:t xml:space="preserve"> </w:t>
      </w:r>
      <w:r w:rsidR="00216272" w:rsidRPr="000155DA">
        <w:rPr>
          <w:szCs w:val="22"/>
        </w:rPr>
        <w:t xml:space="preserve"> </w:t>
      </w:r>
      <w:r w:rsidR="00834BD2" w:rsidRPr="000155DA">
        <w:rPr>
          <w:szCs w:val="22"/>
        </w:rPr>
        <w:t>Replies were due on November 10, 2014.</w:t>
      </w:r>
      <w:r w:rsidR="00C01BEC" w:rsidRPr="000155DA">
        <w:rPr>
          <w:rStyle w:val="FootnoteReference"/>
          <w:sz w:val="22"/>
          <w:szCs w:val="22"/>
        </w:rPr>
        <w:footnoteReference w:id="28"/>
      </w:r>
    </w:p>
    <w:p w:rsidR="008B554C" w:rsidRPr="000155DA" w:rsidRDefault="008B554C" w:rsidP="008B554C">
      <w:pPr>
        <w:pStyle w:val="ParaNum"/>
        <w:tabs>
          <w:tab w:val="clear" w:pos="1440"/>
          <w:tab w:val="num" w:pos="-2880"/>
        </w:tabs>
        <w:rPr>
          <w:szCs w:val="22"/>
        </w:rPr>
      </w:pPr>
      <w:r w:rsidRPr="000155DA">
        <w:rPr>
          <w:szCs w:val="22"/>
        </w:rPr>
        <w:t xml:space="preserve">During the challenge reply period, 80 entities filed replies </w:t>
      </w:r>
      <w:r w:rsidR="00A274D8" w:rsidRPr="000155DA">
        <w:rPr>
          <w:szCs w:val="22"/>
        </w:rPr>
        <w:t xml:space="preserve">regarding </w:t>
      </w:r>
      <w:r w:rsidR="00DD0BC9">
        <w:rPr>
          <w:szCs w:val="22"/>
        </w:rPr>
        <w:t>30,689</w:t>
      </w:r>
      <w:r w:rsidRPr="000155DA">
        <w:rPr>
          <w:szCs w:val="22"/>
        </w:rPr>
        <w:t xml:space="preserve"> census blocks.</w:t>
      </w:r>
      <w:r w:rsidR="00CD6546" w:rsidRPr="000155DA">
        <w:rPr>
          <w:rStyle w:val="FootnoteReference"/>
          <w:sz w:val="22"/>
          <w:szCs w:val="22"/>
        </w:rPr>
        <w:footnoteReference w:id="29"/>
      </w:r>
      <w:r w:rsidRPr="000155DA">
        <w:rPr>
          <w:szCs w:val="22"/>
        </w:rPr>
        <w:t xml:space="preserve"> </w:t>
      </w:r>
      <w:r w:rsidR="00216272" w:rsidRPr="000155DA">
        <w:rPr>
          <w:szCs w:val="22"/>
        </w:rPr>
        <w:t xml:space="preserve"> </w:t>
      </w:r>
      <w:r w:rsidRPr="000155DA">
        <w:rPr>
          <w:szCs w:val="22"/>
        </w:rPr>
        <w:t xml:space="preserve">There was no reply received for </w:t>
      </w:r>
      <w:r w:rsidR="00DD0BC9">
        <w:rPr>
          <w:szCs w:val="22"/>
        </w:rPr>
        <w:t>6</w:t>
      </w:r>
      <w:r w:rsidR="00D2176D">
        <w:rPr>
          <w:szCs w:val="22"/>
        </w:rPr>
        <w:t>1</w:t>
      </w:r>
      <w:r w:rsidR="00DD0BC9">
        <w:rPr>
          <w:szCs w:val="22"/>
        </w:rPr>
        <w:t>,</w:t>
      </w:r>
      <w:r w:rsidR="00D2176D">
        <w:rPr>
          <w:szCs w:val="22"/>
        </w:rPr>
        <w:t>848</w:t>
      </w:r>
      <w:r w:rsidRPr="000155DA">
        <w:rPr>
          <w:szCs w:val="22"/>
        </w:rPr>
        <w:t xml:space="preserve"> of the </w:t>
      </w:r>
      <w:r w:rsidR="0022337E" w:rsidRPr="000155DA">
        <w:rPr>
          <w:i/>
          <w:szCs w:val="22"/>
        </w:rPr>
        <w:t>prima facie</w:t>
      </w:r>
      <w:r w:rsidRPr="000155DA">
        <w:rPr>
          <w:szCs w:val="22"/>
        </w:rPr>
        <w:t xml:space="preserve"> challenged census blocks.  In total, </w:t>
      </w:r>
      <w:r w:rsidR="00DD0BC9">
        <w:rPr>
          <w:szCs w:val="22"/>
        </w:rPr>
        <w:t>71</w:t>
      </w:r>
      <w:r w:rsidR="00DD0BC9" w:rsidRPr="000155DA">
        <w:rPr>
          <w:szCs w:val="22"/>
        </w:rPr>
        <w:t xml:space="preserve"> </w:t>
      </w:r>
      <w:r w:rsidR="001F6663" w:rsidRPr="000155DA">
        <w:rPr>
          <w:szCs w:val="22"/>
        </w:rPr>
        <w:t xml:space="preserve">entities, </w:t>
      </w:r>
      <w:r w:rsidRPr="000155DA">
        <w:rPr>
          <w:szCs w:val="22"/>
        </w:rPr>
        <w:t xml:space="preserve">totaling </w:t>
      </w:r>
      <w:r w:rsidR="00A64321" w:rsidRPr="000155DA">
        <w:rPr>
          <w:szCs w:val="22"/>
        </w:rPr>
        <w:t>22,</w:t>
      </w:r>
      <w:r w:rsidR="00DD0BC9">
        <w:rPr>
          <w:szCs w:val="22"/>
        </w:rPr>
        <w:t>718</w:t>
      </w:r>
      <w:r w:rsidR="00DD0BC9" w:rsidRPr="000155DA">
        <w:rPr>
          <w:szCs w:val="22"/>
        </w:rPr>
        <w:t xml:space="preserve"> </w:t>
      </w:r>
      <w:r w:rsidRPr="000155DA">
        <w:rPr>
          <w:szCs w:val="22"/>
        </w:rPr>
        <w:t>census blocks</w:t>
      </w:r>
      <w:r w:rsidR="001F6663" w:rsidRPr="000155DA">
        <w:rPr>
          <w:szCs w:val="22"/>
        </w:rPr>
        <w:t>, filed a</w:t>
      </w:r>
      <w:r w:rsidRPr="000155DA">
        <w:rPr>
          <w:szCs w:val="22"/>
        </w:rPr>
        <w:t xml:space="preserve"> repl</w:t>
      </w:r>
      <w:r w:rsidR="001F6663" w:rsidRPr="000155DA">
        <w:rPr>
          <w:szCs w:val="22"/>
        </w:rPr>
        <w:t>y</w:t>
      </w:r>
      <w:r w:rsidRPr="000155DA">
        <w:rPr>
          <w:szCs w:val="22"/>
        </w:rPr>
        <w:t xml:space="preserve"> to a Served to Unserved challenge, and </w:t>
      </w:r>
      <w:r w:rsidR="00DD0BC9">
        <w:rPr>
          <w:szCs w:val="22"/>
        </w:rPr>
        <w:t>8</w:t>
      </w:r>
      <w:r w:rsidR="00DD0BC9" w:rsidRPr="000155DA">
        <w:rPr>
          <w:szCs w:val="22"/>
        </w:rPr>
        <w:t xml:space="preserve"> </w:t>
      </w:r>
      <w:r w:rsidR="001F6663" w:rsidRPr="000155DA">
        <w:rPr>
          <w:szCs w:val="22"/>
        </w:rPr>
        <w:t xml:space="preserve">entities, </w:t>
      </w:r>
      <w:r w:rsidRPr="000155DA">
        <w:rPr>
          <w:szCs w:val="22"/>
        </w:rPr>
        <w:t xml:space="preserve">totaling </w:t>
      </w:r>
      <w:r w:rsidR="00DD0BC9">
        <w:rPr>
          <w:szCs w:val="22"/>
        </w:rPr>
        <w:t>8,958</w:t>
      </w:r>
      <w:r w:rsidRPr="000155DA">
        <w:rPr>
          <w:szCs w:val="22"/>
        </w:rPr>
        <w:t xml:space="preserve"> census blocks</w:t>
      </w:r>
      <w:r w:rsidR="001F6663" w:rsidRPr="000155DA">
        <w:rPr>
          <w:szCs w:val="22"/>
        </w:rPr>
        <w:t>, filed a</w:t>
      </w:r>
      <w:r w:rsidRPr="000155DA">
        <w:rPr>
          <w:szCs w:val="22"/>
        </w:rPr>
        <w:t xml:space="preserve"> repl</w:t>
      </w:r>
      <w:r w:rsidR="001F6663" w:rsidRPr="000155DA">
        <w:rPr>
          <w:szCs w:val="22"/>
        </w:rPr>
        <w:t>y</w:t>
      </w:r>
      <w:r w:rsidRPr="000155DA">
        <w:rPr>
          <w:szCs w:val="22"/>
        </w:rPr>
        <w:t xml:space="preserve"> to an Unserved to Served challenge. </w:t>
      </w:r>
    </w:p>
    <w:p w:rsidR="00B61F7A" w:rsidRPr="000155DA" w:rsidRDefault="00EC623A" w:rsidP="00B61F7A">
      <w:pPr>
        <w:pStyle w:val="ParaNum"/>
        <w:tabs>
          <w:tab w:val="clear" w:pos="1440"/>
          <w:tab w:val="num" w:pos="-2160"/>
        </w:tabs>
        <w:rPr>
          <w:szCs w:val="22"/>
        </w:rPr>
      </w:pPr>
      <w:r w:rsidRPr="000155DA">
        <w:rPr>
          <w:i/>
          <w:szCs w:val="22"/>
        </w:rPr>
        <w:t>Consolidated/Enventis Challenge Process</w:t>
      </w:r>
      <w:r w:rsidRPr="000155DA">
        <w:rPr>
          <w:szCs w:val="22"/>
        </w:rPr>
        <w:t xml:space="preserve">. </w:t>
      </w:r>
      <w:r w:rsidR="0084353F" w:rsidRPr="000155DA">
        <w:rPr>
          <w:szCs w:val="22"/>
        </w:rPr>
        <w:t xml:space="preserve"> </w:t>
      </w:r>
      <w:r w:rsidRPr="000155DA">
        <w:rPr>
          <w:szCs w:val="22"/>
        </w:rPr>
        <w:t>On October 3, 2014, the Bureau establish</w:t>
      </w:r>
      <w:r w:rsidR="0084353F" w:rsidRPr="000155DA">
        <w:rPr>
          <w:szCs w:val="22"/>
        </w:rPr>
        <w:t>ed</w:t>
      </w:r>
      <w:r w:rsidRPr="000155DA">
        <w:rPr>
          <w:szCs w:val="22"/>
        </w:rPr>
        <w:t xml:space="preserve"> a separate</w:t>
      </w:r>
      <w:r w:rsidR="00BD7C92" w:rsidRPr="000155DA">
        <w:rPr>
          <w:szCs w:val="22"/>
        </w:rPr>
        <w:t>,</w:t>
      </w:r>
      <w:r w:rsidRPr="000155DA">
        <w:rPr>
          <w:szCs w:val="22"/>
        </w:rPr>
        <w:t xml:space="preserve"> but related</w:t>
      </w:r>
      <w:r w:rsidR="00BD7C92" w:rsidRPr="000155DA">
        <w:rPr>
          <w:szCs w:val="22"/>
        </w:rPr>
        <w:t>,</w:t>
      </w:r>
      <w:r w:rsidRPr="000155DA">
        <w:rPr>
          <w:szCs w:val="22"/>
        </w:rPr>
        <w:t xml:space="preserve"> challenge process </w:t>
      </w:r>
      <w:r w:rsidR="0092050E" w:rsidRPr="000155DA">
        <w:rPr>
          <w:szCs w:val="22"/>
        </w:rPr>
        <w:t xml:space="preserve">in light of </w:t>
      </w:r>
      <w:r w:rsidRPr="000155DA">
        <w:rPr>
          <w:szCs w:val="22"/>
        </w:rPr>
        <w:t xml:space="preserve">the acquisition of Enventis </w:t>
      </w:r>
      <w:r w:rsidR="00BD7C92" w:rsidRPr="000155DA">
        <w:rPr>
          <w:szCs w:val="22"/>
        </w:rPr>
        <w:t>Corporation</w:t>
      </w:r>
      <w:r w:rsidRPr="000155DA">
        <w:rPr>
          <w:szCs w:val="22"/>
        </w:rPr>
        <w:t xml:space="preserve"> (Enventis)</w:t>
      </w:r>
      <w:r w:rsidR="00183B78" w:rsidRPr="000155DA">
        <w:rPr>
          <w:szCs w:val="22"/>
        </w:rPr>
        <w:t>, a rate-of-return carrier,</w:t>
      </w:r>
      <w:r w:rsidRPr="000155DA">
        <w:rPr>
          <w:szCs w:val="22"/>
        </w:rPr>
        <w:t xml:space="preserve"> by Consolidated Communications Holdings, Inc. (Consolidated)</w:t>
      </w:r>
      <w:r w:rsidR="00183B78" w:rsidRPr="000155DA">
        <w:rPr>
          <w:szCs w:val="22"/>
        </w:rPr>
        <w:t>, a price cap carrier</w:t>
      </w:r>
      <w:r w:rsidRPr="000155DA">
        <w:rPr>
          <w:szCs w:val="22"/>
        </w:rPr>
        <w:t>.</w:t>
      </w:r>
      <w:r w:rsidRPr="000155DA">
        <w:rPr>
          <w:rStyle w:val="FootnoteReference"/>
          <w:sz w:val="22"/>
          <w:szCs w:val="22"/>
        </w:rPr>
        <w:footnoteReference w:id="30"/>
      </w:r>
      <w:r w:rsidRPr="000155DA">
        <w:rPr>
          <w:szCs w:val="22"/>
        </w:rPr>
        <w:t xml:space="preserve"> </w:t>
      </w:r>
      <w:r w:rsidR="0084353F" w:rsidRPr="000155DA">
        <w:rPr>
          <w:szCs w:val="22"/>
        </w:rPr>
        <w:t xml:space="preserve"> </w:t>
      </w:r>
      <w:r w:rsidRPr="000155DA">
        <w:rPr>
          <w:szCs w:val="22"/>
        </w:rPr>
        <w:t xml:space="preserve">As explained in </w:t>
      </w:r>
      <w:r w:rsidR="00686E49" w:rsidRPr="000155DA">
        <w:rPr>
          <w:szCs w:val="22"/>
        </w:rPr>
        <w:t xml:space="preserve">the </w:t>
      </w:r>
      <w:r w:rsidR="00686E49" w:rsidRPr="000155DA">
        <w:rPr>
          <w:i/>
          <w:szCs w:val="22"/>
        </w:rPr>
        <w:t xml:space="preserve">Consolidated/Enventis </w:t>
      </w:r>
      <w:r w:rsidRPr="000155DA">
        <w:rPr>
          <w:i/>
          <w:szCs w:val="22"/>
        </w:rPr>
        <w:t>Order</w:t>
      </w:r>
      <w:r w:rsidRPr="000155DA">
        <w:rPr>
          <w:szCs w:val="22"/>
        </w:rPr>
        <w:t xml:space="preserve">, the </w:t>
      </w:r>
      <w:r w:rsidR="006B6726" w:rsidRPr="000155DA">
        <w:rPr>
          <w:szCs w:val="22"/>
        </w:rPr>
        <w:t>objective was</w:t>
      </w:r>
      <w:r w:rsidRPr="000155DA">
        <w:rPr>
          <w:szCs w:val="22"/>
        </w:rPr>
        <w:t xml:space="preserve"> to </w:t>
      </w:r>
      <w:r w:rsidR="006023F2" w:rsidRPr="000155DA">
        <w:rPr>
          <w:szCs w:val="22"/>
        </w:rPr>
        <w:t xml:space="preserve">provide parties the opportunity to challenge the status </w:t>
      </w:r>
      <w:r w:rsidRPr="000155DA">
        <w:rPr>
          <w:szCs w:val="22"/>
        </w:rPr>
        <w:t xml:space="preserve">of </w:t>
      </w:r>
      <w:r w:rsidR="006023F2" w:rsidRPr="000155DA">
        <w:rPr>
          <w:szCs w:val="22"/>
        </w:rPr>
        <w:t xml:space="preserve">the new Consolidated </w:t>
      </w:r>
      <w:r w:rsidRPr="000155DA">
        <w:rPr>
          <w:szCs w:val="22"/>
        </w:rPr>
        <w:t xml:space="preserve">census blocks </w:t>
      </w:r>
      <w:r w:rsidR="006023F2" w:rsidRPr="000155DA">
        <w:rPr>
          <w:szCs w:val="22"/>
        </w:rPr>
        <w:t xml:space="preserve">as served or unserved </w:t>
      </w:r>
      <w:r w:rsidRPr="000155DA">
        <w:rPr>
          <w:szCs w:val="22"/>
        </w:rPr>
        <w:t xml:space="preserve">for </w:t>
      </w:r>
      <w:r w:rsidR="006023F2" w:rsidRPr="000155DA">
        <w:rPr>
          <w:szCs w:val="22"/>
        </w:rPr>
        <w:t xml:space="preserve">purposes of </w:t>
      </w:r>
      <w:r w:rsidRPr="000155DA">
        <w:rPr>
          <w:szCs w:val="22"/>
        </w:rPr>
        <w:t xml:space="preserve">Connect America Phase II </w:t>
      </w:r>
      <w:r w:rsidR="006023F2" w:rsidRPr="000155DA">
        <w:rPr>
          <w:szCs w:val="22"/>
        </w:rPr>
        <w:t xml:space="preserve">model-based </w:t>
      </w:r>
      <w:r w:rsidRPr="000155DA">
        <w:rPr>
          <w:szCs w:val="22"/>
        </w:rPr>
        <w:t>support.</w:t>
      </w:r>
      <w:r w:rsidR="0084353F" w:rsidRPr="000155DA">
        <w:rPr>
          <w:rStyle w:val="FootnoteReference"/>
          <w:sz w:val="22"/>
          <w:szCs w:val="22"/>
        </w:rPr>
        <w:footnoteReference w:id="31"/>
      </w:r>
      <w:r w:rsidRPr="000155DA">
        <w:rPr>
          <w:szCs w:val="22"/>
        </w:rPr>
        <w:t xml:space="preserve"> </w:t>
      </w:r>
      <w:r w:rsidR="0084353F" w:rsidRPr="000155DA">
        <w:rPr>
          <w:szCs w:val="22"/>
        </w:rPr>
        <w:t xml:space="preserve"> </w:t>
      </w:r>
      <w:r w:rsidRPr="000155DA">
        <w:rPr>
          <w:szCs w:val="22"/>
        </w:rPr>
        <w:t xml:space="preserve">As such, the process was limited exclusively to the high-cost census blocks in the three incumbent study areas </w:t>
      </w:r>
      <w:r w:rsidR="006023F2" w:rsidRPr="000155DA">
        <w:rPr>
          <w:szCs w:val="22"/>
        </w:rPr>
        <w:t xml:space="preserve">Consolidated </w:t>
      </w:r>
      <w:r w:rsidR="00CB16FD" w:rsidRPr="000155DA">
        <w:rPr>
          <w:szCs w:val="22"/>
        </w:rPr>
        <w:t xml:space="preserve">acquired </w:t>
      </w:r>
      <w:r w:rsidR="006023F2" w:rsidRPr="000155DA">
        <w:rPr>
          <w:szCs w:val="22"/>
        </w:rPr>
        <w:t xml:space="preserve">from </w:t>
      </w:r>
      <w:r w:rsidRPr="000155DA">
        <w:rPr>
          <w:szCs w:val="22"/>
        </w:rPr>
        <w:t>Enventis.</w:t>
      </w:r>
      <w:r w:rsidRPr="000155DA">
        <w:rPr>
          <w:rStyle w:val="FootnoteReference"/>
          <w:sz w:val="22"/>
          <w:szCs w:val="22"/>
        </w:rPr>
        <w:footnoteReference w:id="32"/>
      </w:r>
      <w:r w:rsidRPr="000155DA">
        <w:rPr>
          <w:szCs w:val="22"/>
        </w:rPr>
        <w:t xml:space="preserve">  Challenges were due on November 3, 2014 and any replies on December 2, 2014.</w:t>
      </w:r>
      <w:r w:rsidR="005A77C9" w:rsidRPr="000155DA">
        <w:rPr>
          <w:szCs w:val="22"/>
        </w:rPr>
        <w:t xml:space="preserve">  </w:t>
      </w:r>
      <w:r w:rsidRPr="000155DA">
        <w:rPr>
          <w:szCs w:val="22"/>
        </w:rPr>
        <w:t xml:space="preserve">The Bureau received </w:t>
      </w:r>
      <w:r w:rsidR="00A55C56" w:rsidRPr="000155DA">
        <w:rPr>
          <w:szCs w:val="22"/>
        </w:rPr>
        <w:t>four</w:t>
      </w:r>
      <w:r w:rsidRPr="000155DA">
        <w:rPr>
          <w:szCs w:val="22"/>
        </w:rPr>
        <w:t xml:space="preserve"> challenges</w:t>
      </w:r>
      <w:r w:rsidR="0091527B" w:rsidRPr="000155DA">
        <w:rPr>
          <w:szCs w:val="22"/>
        </w:rPr>
        <w:t xml:space="preserve"> totaling 1,63</w:t>
      </w:r>
      <w:r w:rsidR="00DB2758" w:rsidRPr="000155DA">
        <w:rPr>
          <w:szCs w:val="22"/>
        </w:rPr>
        <w:t>1</w:t>
      </w:r>
      <w:r w:rsidR="0091527B" w:rsidRPr="000155DA">
        <w:rPr>
          <w:szCs w:val="22"/>
        </w:rPr>
        <w:t xml:space="preserve"> census blocks</w:t>
      </w:r>
      <w:r w:rsidR="00183B78" w:rsidRPr="000155DA">
        <w:rPr>
          <w:szCs w:val="22"/>
        </w:rPr>
        <w:t>:</w:t>
      </w:r>
      <w:r w:rsidR="0091527B" w:rsidRPr="000155DA">
        <w:rPr>
          <w:szCs w:val="22"/>
        </w:rPr>
        <w:t xml:space="preserve"> 1,592 census blocks were challenged as </w:t>
      </w:r>
      <w:r w:rsidRPr="000155DA">
        <w:rPr>
          <w:szCs w:val="22"/>
        </w:rPr>
        <w:t>Served to Unserved</w:t>
      </w:r>
      <w:r w:rsidR="00E724E3" w:rsidRPr="000155DA">
        <w:rPr>
          <w:szCs w:val="22"/>
        </w:rPr>
        <w:t>,</w:t>
      </w:r>
      <w:r w:rsidRPr="000155DA">
        <w:rPr>
          <w:szCs w:val="22"/>
        </w:rPr>
        <w:t xml:space="preserve"> and </w:t>
      </w:r>
      <w:r w:rsidR="00DB2758" w:rsidRPr="000155DA">
        <w:rPr>
          <w:szCs w:val="22"/>
        </w:rPr>
        <w:t xml:space="preserve">39 </w:t>
      </w:r>
      <w:r w:rsidR="0091527B" w:rsidRPr="000155DA">
        <w:rPr>
          <w:szCs w:val="22"/>
        </w:rPr>
        <w:t xml:space="preserve">census blocks were challenged as </w:t>
      </w:r>
      <w:r w:rsidRPr="000155DA">
        <w:rPr>
          <w:szCs w:val="22"/>
        </w:rPr>
        <w:t xml:space="preserve">Unserved to Served. </w:t>
      </w:r>
      <w:r w:rsidR="005A77C9" w:rsidRPr="000155DA">
        <w:rPr>
          <w:szCs w:val="22"/>
        </w:rPr>
        <w:t xml:space="preserve"> </w:t>
      </w:r>
    </w:p>
    <w:p w:rsidR="00F34367" w:rsidRPr="000155DA" w:rsidRDefault="00F34367" w:rsidP="00B61F7A">
      <w:pPr>
        <w:pStyle w:val="ParaNum"/>
        <w:tabs>
          <w:tab w:val="clear" w:pos="1440"/>
          <w:tab w:val="num" w:pos="-2160"/>
        </w:tabs>
        <w:rPr>
          <w:szCs w:val="22"/>
        </w:rPr>
      </w:pPr>
      <w:r w:rsidRPr="000155DA">
        <w:rPr>
          <w:i/>
          <w:szCs w:val="22"/>
        </w:rPr>
        <w:t>December 2014 Connect America Fund Order</w:t>
      </w:r>
      <w:r w:rsidRPr="000155DA">
        <w:rPr>
          <w:szCs w:val="22"/>
        </w:rPr>
        <w:t>.  In December 2014, the Commission adopted several decisions relevant to the Phase II challenge process.  First, it reaffirmed that the Bureau should use the 4 Mbps downstream and 1 Mbps upstream standard for a competitor in the Phase II challenge process to focus the offer of model-based support to those areas lacking this level of service.</w:t>
      </w:r>
      <w:r w:rsidRPr="000155DA">
        <w:rPr>
          <w:rStyle w:val="FootnoteReference"/>
          <w:sz w:val="22"/>
          <w:szCs w:val="22"/>
        </w:rPr>
        <w:footnoteReference w:id="33"/>
      </w:r>
      <w:r w:rsidRPr="000155DA">
        <w:rPr>
          <w:szCs w:val="22"/>
        </w:rPr>
        <w:t xml:space="preserve">   Second, it concluded that any census block served by a competitor, whether or not that competitor was subsidized, should be removed from the offer of model-based support.  </w:t>
      </w:r>
      <w:r w:rsidR="00CB16FD" w:rsidRPr="000155DA">
        <w:rPr>
          <w:szCs w:val="22"/>
        </w:rPr>
        <w:t xml:space="preserve">The Commission </w:t>
      </w:r>
      <w:r w:rsidRPr="000155DA">
        <w:rPr>
          <w:szCs w:val="22"/>
        </w:rPr>
        <w:t>directed the Bureau to exclude from the offer of model-based support any census block that is served by a subsidized facilities-based terrestrial competitor offering fixed residential voice and broadband services meeting o</w:t>
      </w:r>
      <w:r w:rsidR="000A16A5" w:rsidRPr="000155DA">
        <w:rPr>
          <w:szCs w:val="22"/>
        </w:rPr>
        <w:t>r</w:t>
      </w:r>
      <w:r w:rsidRPr="000155DA">
        <w:rPr>
          <w:szCs w:val="22"/>
        </w:rPr>
        <w:t xml:space="preserve"> exceeding speeds of 3 Mbps/768 kbps.</w:t>
      </w:r>
      <w:r w:rsidRPr="000155DA">
        <w:rPr>
          <w:rStyle w:val="FootnoteReference"/>
          <w:sz w:val="22"/>
          <w:szCs w:val="22"/>
        </w:rPr>
        <w:footnoteReference w:id="34"/>
      </w:r>
      <w:r w:rsidRPr="000155DA">
        <w:rPr>
          <w:szCs w:val="22"/>
        </w:rPr>
        <w:t xml:space="preserve">  The Bureau </w:t>
      </w:r>
      <w:r w:rsidR="006412F8" w:rsidRPr="000155DA">
        <w:rPr>
          <w:szCs w:val="22"/>
        </w:rPr>
        <w:t>implemented that direction</w:t>
      </w:r>
      <w:r w:rsidRPr="000155DA">
        <w:rPr>
          <w:szCs w:val="22"/>
        </w:rPr>
        <w:t xml:space="preserve"> in December 2014</w:t>
      </w:r>
      <w:r w:rsidR="000A16A5" w:rsidRPr="000155DA">
        <w:rPr>
          <w:szCs w:val="22"/>
        </w:rPr>
        <w:t xml:space="preserve"> when it released version 4.2 of the Connect America Cost Model, which </w:t>
      </w:r>
      <w:r w:rsidR="006B1A96" w:rsidRPr="000155DA">
        <w:rPr>
          <w:szCs w:val="22"/>
        </w:rPr>
        <w:t xml:space="preserve">now </w:t>
      </w:r>
      <w:r w:rsidR="000A16A5" w:rsidRPr="000155DA">
        <w:rPr>
          <w:szCs w:val="22"/>
        </w:rPr>
        <w:t>treats such blocks as served</w:t>
      </w:r>
      <w:r w:rsidRPr="000155DA">
        <w:rPr>
          <w:szCs w:val="22"/>
        </w:rPr>
        <w:t>.</w:t>
      </w:r>
      <w:r w:rsidRPr="000155DA">
        <w:rPr>
          <w:rStyle w:val="FootnoteReference"/>
          <w:sz w:val="22"/>
          <w:szCs w:val="22"/>
        </w:rPr>
        <w:footnoteReference w:id="35"/>
      </w:r>
    </w:p>
    <w:p w:rsidR="007A4506" w:rsidRPr="000155DA" w:rsidRDefault="007A4506" w:rsidP="00400906">
      <w:pPr>
        <w:pStyle w:val="Heading1"/>
        <w:rPr>
          <w:rFonts w:ascii="Times New Roman" w:hAnsi="Times New Roman"/>
          <w:szCs w:val="22"/>
        </w:rPr>
      </w:pPr>
      <w:r w:rsidRPr="000155DA">
        <w:rPr>
          <w:rFonts w:ascii="Times New Roman" w:hAnsi="Times New Roman"/>
          <w:szCs w:val="22"/>
        </w:rPr>
        <w:t>DISCuSSION</w:t>
      </w:r>
    </w:p>
    <w:p w:rsidR="00F06C8E" w:rsidRPr="000155DA" w:rsidRDefault="008D170E" w:rsidP="00F06C8E">
      <w:pPr>
        <w:pStyle w:val="ParaNum"/>
        <w:rPr>
          <w:szCs w:val="22"/>
        </w:rPr>
      </w:pPr>
      <w:r w:rsidRPr="000155DA">
        <w:rPr>
          <w:szCs w:val="22"/>
        </w:rPr>
        <w:t xml:space="preserve">In this Order, the Bureau </w:t>
      </w:r>
      <w:r w:rsidR="008B554C" w:rsidRPr="000155DA">
        <w:rPr>
          <w:szCs w:val="22"/>
        </w:rPr>
        <w:t xml:space="preserve">makes </w:t>
      </w:r>
      <w:r w:rsidR="00597558" w:rsidRPr="000155DA">
        <w:rPr>
          <w:szCs w:val="22"/>
        </w:rPr>
        <w:t>its final</w:t>
      </w:r>
      <w:r w:rsidRPr="000155DA">
        <w:rPr>
          <w:szCs w:val="22"/>
        </w:rPr>
        <w:t xml:space="preserve"> determination regarding all challenged census blocks.  </w:t>
      </w:r>
      <w:r w:rsidR="00F06C8E" w:rsidRPr="000155DA">
        <w:rPr>
          <w:szCs w:val="22"/>
        </w:rPr>
        <w:t xml:space="preserve">First, we review the challenges that were filed in the separate Consolidated/Enventis challenge process to determine which of those challenges present sufficient evidence to make a </w:t>
      </w:r>
      <w:r w:rsidR="0022337E" w:rsidRPr="000155DA">
        <w:rPr>
          <w:i/>
          <w:szCs w:val="22"/>
        </w:rPr>
        <w:t>prima facie</w:t>
      </w:r>
      <w:r w:rsidR="00F06C8E" w:rsidRPr="000155DA">
        <w:rPr>
          <w:szCs w:val="22"/>
        </w:rPr>
        <w:t xml:space="preserve"> case.  </w:t>
      </w:r>
      <w:r w:rsidR="008B554C" w:rsidRPr="000155DA">
        <w:rPr>
          <w:szCs w:val="22"/>
        </w:rPr>
        <w:t xml:space="preserve">Second, </w:t>
      </w:r>
      <w:r w:rsidR="006A6C13" w:rsidRPr="000155DA">
        <w:rPr>
          <w:szCs w:val="22"/>
        </w:rPr>
        <w:t xml:space="preserve">we dismiss a number of </w:t>
      </w:r>
      <w:r w:rsidR="0022337E" w:rsidRPr="000155DA">
        <w:rPr>
          <w:szCs w:val="22"/>
        </w:rPr>
        <w:t xml:space="preserve">reply </w:t>
      </w:r>
      <w:r w:rsidR="00390A31" w:rsidRPr="000155DA">
        <w:rPr>
          <w:szCs w:val="22"/>
        </w:rPr>
        <w:t>filings we do not need to consider, including those that were procedurally defective</w:t>
      </w:r>
      <w:r w:rsidR="006A6C13" w:rsidRPr="000155DA">
        <w:rPr>
          <w:szCs w:val="22"/>
        </w:rPr>
        <w:t xml:space="preserve">.  </w:t>
      </w:r>
      <w:r w:rsidR="00721AF6" w:rsidRPr="000155DA">
        <w:rPr>
          <w:szCs w:val="22"/>
        </w:rPr>
        <w:t xml:space="preserve">Third, </w:t>
      </w:r>
      <w:r w:rsidR="00F06C8E" w:rsidRPr="000155DA">
        <w:rPr>
          <w:szCs w:val="22"/>
        </w:rPr>
        <w:t xml:space="preserve">we address </w:t>
      </w:r>
      <w:r w:rsidR="00D571DE" w:rsidRPr="000155DA">
        <w:rPr>
          <w:szCs w:val="22"/>
        </w:rPr>
        <w:t xml:space="preserve">requests for waiver </w:t>
      </w:r>
      <w:r w:rsidR="00E724E3" w:rsidRPr="000155DA">
        <w:rPr>
          <w:szCs w:val="22"/>
        </w:rPr>
        <w:t xml:space="preserve">that </w:t>
      </w:r>
      <w:r w:rsidR="00096548" w:rsidRPr="000155DA">
        <w:rPr>
          <w:szCs w:val="22"/>
        </w:rPr>
        <w:t xml:space="preserve">ask </w:t>
      </w:r>
      <w:r w:rsidR="00C018D6" w:rsidRPr="000155DA">
        <w:rPr>
          <w:szCs w:val="22"/>
        </w:rPr>
        <w:t>the Bureau</w:t>
      </w:r>
      <w:r w:rsidR="00096548" w:rsidRPr="000155DA">
        <w:rPr>
          <w:szCs w:val="22"/>
        </w:rPr>
        <w:t xml:space="preserve"> to</w:t>
      </w:r>
      <w:r w:rsidR="00E724E3" w:rsidRPr="000155DA">
        <w:rPr>
          <w:szCs w:val="22"/>
        </w:rPr>
        <w:t xml:space="preserve"> consider </w:t>
      </w:r>
      <w:r w:rsidR="00096548" w:rsidRPr="000155DA">
        <w:rPr>
          <w:szCs w:val="22"/>
        </w:rPr>
        <w:t xml:space="preserve">evidence </w:t>
      </w:r>
      <w:r w:rsidR="007666C0" w:rsidRPr="000155DA">
        <w:rPr>
          <w:szCs w:val="22"/>
        </w:rPr>
        <w:t xml:space="preserve">filed </w:t>
      </w:r>
      <w:r w:rsidR="00096548" w:rsidRPr="000155DA">
        <w:rPr>
          <w:szCs w:val="22"/>
        </w:rPr>
        <w:t>by a respondent</w:t>
      </w:r>
      <w:r w:rsidR="007666C0" w:rsidRPr="000155DA">
        <w:rPr>
          <w:szCs w:val="22"/>
        </w:rPr>
        <w:t xml:space="preserve"> </w:t>
      </w:r>
      <w:r w:rsidR="00C11508" w:rsidRPr="000155DA">
        <w:rPr>
          <w:szCs w:val="22"/>
        </w:rPr>
        <w:t>arguing</w:t>
      </w:r>
      <w:r w:rsidR="00096548" w:rsidRPr="000155DA">
        <w:rPr>
          <w:szCs w:val="22"/>
        </w:rPr>
        <w:t xml:space="preserve"> a census block is served </w:t>
      </w:r>
      <w:r w:rsidR="00C11508" w:rsidRPr="000155DA">
        <w:rPr>
          <w:szCs w:val="22"/>
        </w:rPr>
        <w:t>despite</w:t>
      </w:r>
      <w:r w:rsidR="00E724E3" w:rsidRPr="000155DA">
        <w:rPr>
          <w:szCs w:val="22"/>
        </w:rPr>
        <w:t xml:space="preserve"> </w:t>
      </w:r>
      <w:r w:rsidR="00096548" w:rsidRPr="000155DA">
        <w:rPr>
          <w:szCs w:val="22"/>
        </w:rPr>
        <w:t xml:space="preserve">the </w:t>
      </w:r>
      <w:r w:rsidR="00F06C8E" w:rsidRPr="000155DA">
        <w:rPr>
          <w:szCs w:val="22"/>
        </w:rPr>
        <w:t>unsubsidized competitor</w:t>
      </w:r>
      <w:r w:rsidR="00C11508" w:rsidRPr="000155DA">
        <w:rPr>
          <w:szCs w:val="22"/>
        </w:rPr>
        <w:t>’s</w:t>
      </w:r>
      <w:r w:rsidR="00F06C8E" w:rsidRPr="000155DA">
        <w:rPr>
          <w:szCs w:val="22"/>
        </w:rPr>
        <w:t xml:space="preserve"> </w:t>
      </w:r>
      <w:r w:rsidR="00E21A83" w:rsidRPr="000155DA">
        <w:rPr>
          <w:szCs w:val="22"/>
        </w:rPr>
        <w:t>lack</w:t>
      </w:r>
      <w:r w:rsidR="00C11508" w:rsidRPr="000155DA">
        <w:rPr>
          <w:szCs w:val="22"/>
        </w:rPr>
        <w:t xml:space="preserve"> of</w:t>
      </w:r>
      <w:r w:rsidR="00E21A83" w:rsidRPr="000155DA">
        <w:rPr>
          <w:szCs w:val="22"/>
        </w:rPr>
        <w:t xml:space="preserve"> </w:t>
      </w:r>
      <w:r w:rsidR="00C11508" w:rsidRPr="000155DA">
        <w:rPr>
          <w:szCs w:val="22"/>
        </w:rPr>
        <w:t xml:space="preserve">current </w:t>
      </w:r>
      <w:r w:rsidR="00F06C8E" w:rsidRPr="000155DA">
        <w:rPr>
          <w:szCs w:val="22"/>
        </w:rPr>
        <w:t xml:space="preserve">or former </w:t>
      </w:r>
      <w:r w:rsidR="00E724E3" w:rsidRPr="000155DA">
        <w:rPr>
          <w:szCs w:val="22"/>
        </w:rPr>
        <w:t xml:space="preserve">voice or broadband </w:t>
      </w:r>
      <w:r w:rsidR="00F06C8E" w:rsidRPr="000155DA">
        <w:rPr>
          <w:szCs w:val="22"/>
        </w:rPr>
        <w:t>customers in the census block.</w:t>
      </w:r>
      <w:r w:rsidR="005149B9" w:rsidRPr="000155DA">
        <w:rPr>
          <w:rStyle w:val="FootnoteReference"/>
          <w:sz w:val="22"/>
          <w:szCs w:val="22"/>
        </w:rPr>
        <w:footnoteReference w:id="36"/>
      </w:r>
      <w:r w:rsidR="00F06C8E" w:rsidRPr="000155DA">
        <w:rPr>
          <w:szCs w:val="22"/>
        </w:rPr>
        <w:t xml:space="preserve">  </w:t>
      </w:r>
      <w:r w:rsidR="00721AF6" w:rsidRPr="000155DA">
        <w:rPr>
          <w:szCs w:val="22"/>
        </w:rPr>
        <w:t>Fourth</w:t>
      </w:r>
      <w:r w:rsidR="00C0712E" w:rsidRPr="000155DA">
        <w:rPr>
          <w:szCs w:val="22"/>
        </w:rPr>
        <w:t xml:space="preserve">, we grant the </w:t>
      </w:r>
      <w:r w:rsidR="0022337E" w:rsidRPr="000155DA">
        <w:rPr>
          <w:i/>
          <w:szCs w:val="22"/>
        </w:rPr>
        <w:t>prima facie</w:t>
      </w:r>
      <w:r w:rsidR="00C0712E" w:rsidRPr="000155DA">
        <w:rPr>
          <w:szCs w:val="22"/>
        </w:rPr>
        <w:t xml:space="preserve"> challenges that were unopposed. </w:t>
      </w:r>
      <w:r w:rsidR="00216272" w:rsidRPr="000155DA">
        <w:rPr>
          <w:szCs w:val="22"/>
        </w:rPr>
        <w:t xml:space="preserve"> </w:t>
      </w:r>
      <w:r w:rsidR="00F06C8E" w:rsidRPr="000155DA">
        <w:rPr>
          <w:szCs w:val="22"/>
        </w:rPr>
        <w:t xml:space="preserve">Finally, we describe our general framework for resolving the </w:t>
      </w:r>
      <w:r w:rsidR="003F6C97" w:rsidRPr="000155DA">
        <w:rPr>
          <w:szCs w:val="22"/>
        </w:rPr>
        <w:t xml:space="preserve">challenges where there were </w:t>
      </w:r>
      <w:r w:rsidR="00F06C8E" w:rsidRPr="000155DA">
        <w:rPr>
          <w:szCs w:val="22"/>
        </w:rPr>
        <w:t xml:space="preserve">replies and apply </w:t>
      </w:r>
      <w:r w:rsidR="00085164" w:rsidRPr="000155DA">
        <w:rPr>
          <w:szCs w:val="22"/>
        </w:rPr>
        <w:t xml:space="preserve">the framework </w:t>
      </w:r>
      <w:r w:rsidR="00F06C8E" w:rsidRPr="000155DA">
        <w:rPr>
          <w:szCs w:val="22"/>
        </w:rPr>
        <w:t xml:space="preserve">to the </w:t>
      </w:r>
      <w:r w:rsidR="00597558" w:rsidRPr="000155DA">
        <w:rPr>
          <w:szCs w:val="22"/>
        </w:rPr>
        <w:t>contested challenges</w:t>
      </w:r>
      <w:r w:rsidR="003F6C97" w:rsidRPr="000155DA">
        <w:rPr>
          <w:szCs w:val="22"/>
        </w:rPr>
        <w:t>.  B</w:t>
      </w:r>
      <w:r w:rsidR="00F06C8E" w:rsidRPr="000155DA">
        <w:rPr>
          <w:szCs w:val="22"/>
        </w:rPr>
        <w:t xml:space="preserve">ased on the review of the evidence for each </w:t>
      </w:r>
      <w:r w:rsidR="003F6C97" w:rsidRPr="000155DA">
        <w:rPr>
          <w:szCs w:val="22"/>
        </w:rPr>
        <w:t xml:space="preserve">contested </w:t>
      </w:r>
      <w:r w:rsidR="00F06C8E" w:rsidRPr="000155DA">
        <w:rPr>
          <w:szCs w:val="22"/>
        </w:rPr>
        <w:t>challenge</w:t>
      </w:r>
      <w:r w:rsidR="003F6C97" w:rsidRPr="000155DA">
        <w:rPr>
          <w:szCs w:val="22"/>
        </w:rPr>
        <w:t>, we</w:t>
      </w:r>
      <w:r w:rsidR="00F06C8E" w:rsidRPr="000155DA">
        <w:rPr>
          <w:szCs w:val="22"/>
        </w:rPr>
        <w:t xml:space="preserve"> determin</w:t>
      </w:r>
      <w:r w:rsidR="003F6C97" w:rsidRPr="000155DA">
        <w:rPr>
          <w:szCs w:val="22"/>
        </w:rPr>
        <w:t>e</w:t>
      </w:r>
      <w:r w:rsidR="00F06C8E" w:rsidRPr="000155DA">
        <w:rPr>
          <w:szCs w:val="22"/>
        </w:rPr>
        <w:t xml:space="preserve"> whether it is more likely than not that a </w:t>
      </w:r>
      <w:r w:rsidR="00085164" w:rsidRPr="000155DA">
        <w:rPr>
          <w:szCs w:val="22"/>
        </w:rPr>
        <w:t xml:space="preserve">census </w:t>
      </w:r>
      <w:r w:rsidR="00F06C8E" w:rsidRPr="000155DA">
        <w:rPr>
          <w:szCs w:val="22"/>
        </w:rPr>
        <w:t xml:space="preserve">block is served and therefore ineligible for </w:t>
      </w:r>
      <w:r w:rsidR="007666C0" w:rsidRPr="000155DA">
        <w:rPr>
          <w:szCs w:val="22"/>
        </w:rPr>
        <w:t xml:space="preserve">the offer of model-based </w:t>
      </w:r>
      <w:r w:rsidR="00F06C8E" w:rsidRPr="000155DA">
        <w:rPr>
          <w:szCs w:val="22"/>
        </w:rPr>
        <w:t>Phase II funding</w:t>
      </w:r>
      <w:r w:rsidR="00721AF6" w:rsidRPr="000155DA">
        <w:rPr>
          <w:szCs w:val="22"/>
        </w:rPr>
        <w:t>.</w:t>
      </w:r>
      <w:r w:rsidR="00216272" w:rsidRPr="000155DA">
        <w:rPr>
          <w:rStyle w:val="FootnoteReference"/>
          <w:sz w:val="22"/>
          <w:szCs w:val="22"/>
        </w:rPr>
        <w:footnoteReference w:id="37"/>
      </w:r>
      <w:r w:rsidR="00721AF6" w:rsidRPr="000155DA">
        <w:rPr>
          <w:szCs w:val="22"/>
        </w:rPr>
        <w:t xml:space="preserve">  </w:t>
      </w:r>
    </w:p>
    <w:p w:rsidR="008D170E" w:rsidRPr="000155DA" w:rsidRDefault="008D170E" w:rsidP="00F06C8E">
      <w:pPr>
        <w:pStyle w:val="Heading2"/>
        <w:rPr>
          <w:szCs w:val="22"/>
        </w:rPr>
      </w:pPr>
      <w:r w:rsidRPr="000155DA">
        <w:rPr>
          <w:szCs w:val="22"/>
        </w:rPr>
        <w:t>Consolidated/Enventis Challenges</w:t>
      </w:r>
    </w:p>
    <w:p w:rsidR="00F06C8E" w:rsidRPr="000155DA" w:rsidRDefault="00F06C8E" w:rsidP="00F06C8E">
      <w:pPr>
        <w:pStyle w:val="ParaNum"/>
        <w:tabs>
          <w:tab w:val="clear" w:pos="1440"/>
          <w:tab w:val="num" w:pos="-2160"/>
        </w:tabs>
        <w:rPr>
          <w:szCs w:val="22"/>
        </w:rPr>
      </w:pPr>
      <w:r w:rsidRPr="000155DA">
        <w:rPr>
          <w:szCs w:val="22"/>
        </w:rPr>
        <w:t xml:space="preserve">Based on the evidence presented by the challengers in the Consolidated/Enventis challenge process, we now conclude that all of the 1,592 Served to Unserved census block challenges </w:t>
      </w:r>
      <w:r w:rsidR="00164A9A" w:rsidRPr="000155DA">
        <w:rPr>
          <w:szCs w:val="22"/>
        </w:rPr>
        <w:t xml:space="preserve">filed by Consolidated </w:t>
      </w:r>
      <w:r w:rsidRPr="000155DA">
        <w:rPr>
          <w:szCs w:val="22"/>
        </w:rPr>
        <w:t xml:space="preserve">presented sufficient evidence to make a </w:t>
      </w:r>
      <w:r w:rsidR="0022337E" w:rsidRPr="000155DA">
        <w:rPr>
          <w:i/>
          <w:szCs w:val="22"/>
        </w:rPr>
        <w:t>prima facie</w:t>
      </w:r>
      <w:r w:rsidRPr="000155DA">
        <w:rPr>
          <w:szCs w:val="22"/>
        </w:rPr>
        <w:t xml:space="preserve"> case that the census blocks should be treated as unserved.</w:t>
      </w:r>
      <w:r w:rsidR="00597558" w:rsidRPr="000155DA">
        <w:rPr>
          <w:rStyle w:val="FootnoteReference"/>
          <w:sz w:val="22"/>
          <w:szCs w:val="22"/>
        </w:rPr>
        <w:footnoteReference w:id="38"/>
      </w:r>
      <w:r w:rsidR="00D571DE" w:rsidRPr="000155DA">
        <w:rPr>
          <w:szCs w:val="22"/>
        </w:rPr>
        <w:t xml:space="preserve">  </w:t>
      </w:r>
      <w:r w:rsidR="00DE72B5" w:rsidRPr="000155DA">
        <w:rPr>
          <w:szCs w:val="22"/>
        </w:rPr>
        <w:t xml:space="preserve">We also conclude that </w:t>
      </w:r>
      <w:r w:rsidR="004336D2" w:rsidRPr="000155DA">
        <w:rPr>
          <w:szCs w:val="22"/>
        </w:rPr>
        <w:t xml:space="preserve">all 39 </w:t>
      </w:r>
      <w:r w:rsidR="00DE72B5" w:rsidRPr="000155DA">
        <w:rPr>
          <w:szCs w:val="22"/>
        </w:rPr>
        <w:t>Unserved to Served census block</w:t>
      </w:r>
      <w:r w:rsidR="004336D2" w:rsidRPr="000155DA">
        <w:rPr>
          <w:szCs w:val="22"/>
        </w:rPr>
        <w:t xml:space="preserve"> challenges</w:t>
      </w:r>
      <w:r w:rsidR="00DE72B5" w:rsidRPr="000155DA">
        <w:rPr>
          <w:szCs w:val="22"/>
        </w:rPr>
        <w:t xml:space="preserve"> filed by Premier Communications, Inc. (Premier) </w:t>
      </w:r>
      <w:r w:rsidR="004336D2" w:rsidRPr="000155DA">
        <w:rPr>
          <w:szCs w:val="22"/>
        </w:rPr>
        <w:t>presented</w:t>
      </w:r>
      <w:r w:rsidR="00DE72B5" w:rsidRPr="000155DA">
        <w:rPr>
          <w:szCs w:val="22"/>
        </w:rPr>
        <w:t xml:space="preserve"> sufficient evidence to establish a </w:t>
      </w:r>
      <w:r w:rsidR="00DE72B5" w:rsidRPr="000155DA">
        <w:rPr>
          <w:i/>
          <w:szCs w:val="22"/>
        </w:rPr>
        <w:t>prima facie</w:t>
      </w:r>
      <w:r w:rsidR="00DE72B5" w:rsidRPr="000155DA">
        <w:rPr>
          <w:szCs w:val="22"/>
        </w:rPr>
        <w:t xml:space="preserve"> case</w:t>
      </w:r>
      <w:r w:rsidR="003A632F" w:rsidRPr="000155DA">
        <w:rPr>
          <w:szCs w:val="22"/>
        </w:rPr>
        <w:t xml:space="preserve"> </w:t>
      </w:r>
      <w:r w:rsidR="004336D2" w:rsidRPr="000155DA">
        <w:rPr>
          <w:szCs w:val="22"/>
        </w:rPr>
        <w:t>that the census blocks should be treated as served</w:t>
      </w:r>
      <w:r w:rsidR="00DE72B5" w:rsidRPr="000155DA">
        <w:rPr>
          <w:szCs w:val="22"/>
        </w:rPr>
        <w:t>.</w:t>
      </w:r>
      <w:r w:rsidR="00DE72B5" w:rsidRPr="000155DA">
        <w:rPr>
          <w:rStyle w:val="FootnoteReference"/>
          <w:sz w:val="22"/>
          <w:szCs w:val="22"/>
        </w:rPr>
        <w:footnoteReference w:id="39"/>
      </w:r>
      <w:r w:rsidR="00DE72B5" w:rsidRPr="000155DA">
        <w:rPr>
          <w:szCs w:val="22"/>
        </w:rPr>
        <w:t xml:space="preserve">  Charter Communications, Inc. (Charter) filed a reply to the Se</w:t>
      </w:r>
      <w:r w:rsidR="00121134" w:rsidRPr="000155DA">
        <w:rPr>
          <w:szCs w:val="22"/>
        </w:rPr>
        <w:t>rved to Unserved challenges for 778</w:t>
      </w:r>
      <w:r w:rsidR="00DE72B5" w:rsidRPr="000155DA">
        <w:rPr>
          <w:szCs w:val="22"/>
        </w:rPr>
        <w:t xml:space="preserve"> census blocks.</w:t>
      </w:r>
      <w:r w:rsidR="00DE72B5" w:rsidRPr="000155DA">
        <w:rPr>
          <w:rStyle w:val="FootnoteReference"/>
          <w:sz w:val="22"/>
          <w:szCs w:val="22"/>
        </w:rPr>
        <w:footnoteReference w:id="40"/>
      </w:r>
      <w:r w:rsidR="00DE72B5" w:rsidRPr="000155DA">
        <w:rPr>
          <w:szCs w:val="22"/>
        </w:rPr>
        <w:t xml:space="preserve">  </w:t>
      </w:r>
      <w:r w:rsidRPr="000155DA">
        <w:rPr>
          <w:szCs w:val="22"/>
        </w:rPr>
        <w:t xml:space="preserve">The results of our review of </w:t>
      </w:r>
      <w:r w:rsidR="00514409" w:rsidRPr="000155DA">
        <w:rPr>
          <w:szCs w:val="22"/>
        </w:rPr>
        <w:t>the</w:t>
      </w:r>
      <w:r w:rsidR="004C0351" w:rsidRPr="000155DA">
        <w:rPr>
          <w:szCs w:val="22"/>
        </w:rPr>
        <w:t>se separate Consolidated</w:t>
      </w:r>
      <w:r w:rsidR="00107F45" w:rsidRPr="000155DA">
        <w:rPr>
          <w:szCs w:val="22"/>
        </w:rPr>
        <w:t>/</w:t>
      </w:r>
      <w:r w:rsidR="00CC27AA" w:rsidRPr="000155DA">
        <w:rPr>
          <w:szCs w:val="22"/>
        </w:rPr>
        <w:t>Enventis challenges</w:t>
      </w:r>
      <w:r w:rsidR="000C6E51" w:rsidRPr="000155DA">
        <w:rPr>
          <w:szCs w:val="22"/>
        </w:rPr>
        <w:t xml:space="preserve"> and</w:t>
      </w:r>
      <w:r w:rsidR="003C5959" w:rsidRPr="000155DA">
        <w:rPr>
          <w:szCs w:val="22"/>
        </w:rPr>
        <w:t xml:space="preserve"> the</w:t>
      </w:r>
      <w:r w:rsidR="000C6E51" w:rsidRPr="000155DA">
        <w:rPr>
          <w:szCs w:val="22"/>
        </w:rPr>
        <w:t xml:space="preserve"> Charter reply</w:t>
      </w:r>
      <w:r w:rsidR="004C0351" w:rsidRPr="000155DA">
        <w:rPr>
          <w:szCs w:val="22"/>
        </w:rPr>
        <w:t xml:space="preserve"> </w:t>
      </w:r>
      <w:r w:rsidRPr="000155DA">
        <w:rPr>
          <w:szCs w:val="22"/>
        </w:rPr>
        <w:t xml:space="preserve">is incorporated </w:t>
      </w:r>
      <w:r w:rsidR="00551DDE" w:rsidRPr="000155DA">
        <w:rPr>
          <w:szCs w:val="22"/>
        </w:rPr>
        <w:t xml:space="preserve">into our discussion below of </w:t>
      </w:r>
      <w:r w:rsidRPr="000155DA">
        <w:rPr>
          <w:szCs w:val="22"/>
        </w:rPr>
        <w:t xml:space="preserve">the overall challenge process and included in the numbers reported </w:t>
      </w:r>
      <w:r w:rsidR="00EE2542" w:rsidRPr="000155DA">
        <w:rPr>
          <w:szCs w:val="22"/>
        </w:rPr>
        <w:t xml:space="preserve">in </w:t>
      </w:r>
      <w:r w:rsidR="004336D2" w:rsidRPr="000155DA">
        <w:rPr>
          <w:szCs w:val="22"/>
        </w:rPr>
        <w:t>Appendix A</w:t>
      </w:r>
      <w:r w:rsidRPr="000155DA">
        <w:rPr>
          <w:szCs w:val="22"/>
        </w:rPr>
        <w:t>.</w:t>
      </w:r>
    </w:p>
    <w:p w:rsidR="006A6C13" w:rsidRPr="000155DA" w:rsidRDefault="006A6C13" w:rsidP="006A6C13">
      <w:pPr>
        <w:pStyle w:val="Heading2"/>
        <w:rPr>
          <w:szCs w:val="22"/>
        </w:rPr>
      </w:pPr>
      <w:r w:rsidRPr="000155DA">
        <w:rPr>
          <w:szCs w:val="22"/>
        </w:rPr>
        <w:t>Filing</w:t>
      </w:r>
      <w:r w:rsidR="009F1F01" w:rsidRPr="000155DA">
        <w:rPr>
          <w:szCs w:val="22"/>
        </w:rPr>
        <w:t>s</w:t>
      </w:r>
      <w:r w:rsidR="004C0351" w:rsidRPr="000155DA">
        <w:rPr>
          <w:szCs w:val="22"/>
        </w:rPr>
        <w:t xml:space="preserve"> </w:t>
      </w:r>
      <w:r w:rsidR="00CE6496" w:rsidRPr="000155DA">
        <w:rPr>
          <w:szCs w:val="22"/>
        </w:rPr>
        <w:t>Not Considered</w:t>
      </w:r>
    </w:p>
    <w:p w:rsidR="006A6C13" w:rsidRPr="000155DA" w:rsidRDefault="006A6C13" w:rsidP="006A6C13">
      <w:pPr>
        <w:pStyle w:val="ParaNum"/>
        <w:tabs>
          <w:tab w:val="clear" w:pos="1440"/>
          <w:tab w:val="num" w:pos="0"/>
        </w:tabs>
        <w:rPr>
          <w:szCs w:val="22"/>
        </w:rPr>
      </w:pPr>
      <w:r w:rsidRPr="000155DA">
        <w:rPr>
          <w:szCs w:val="22"/>
        </w:rPr>
        <w:t>The Bureau stated several times that it would not consider evidence or arguments raised outside of the specified time period for filing challenges and responses.</w:t>
      </w:r>
      <w:r w:rsidRPr="000155DA">
        <w:rPr>
          <w:rStyle w:val="FootnoteReference"/>
          <w:sz w:val="22"/>
          <w:szCs w:val="22"/>
        </w:rPr>
        <w:footnoteReference w:id="41"/>
      </w:r>
      <w:r w:rsidRPr="000155DA">
        <w:rPr>
          <w:szCs w:val="22"/>
        </w:rPr>
        <w:t xml:space="preserve">  Additionally, the Bureau stated it would only entertain responses made in direct reply to a challenge.</w:t>
      </w:r>
      <w:r w:rsidRPr="000155DA">
        <w:rPr>
          <w:rStyle w:val="FootnoteReference"/>
          <w:sz w:val="22"/>
          <w:szCs w:val="22"/>
        </w:rPr>
        <w:footnoteReference w:id="42"/>
      </w:r>
      <w:r w:rsidRPr="000155DA">
        <w:rPr>
          <w:szCs w:val="22"/>
        </w:rPr>
        <w:t xml:space="preserve">  Accordingly, we hereby do not consider </w:t>
      </w:r>
      <w:r w:rsidR="005571CC" w:rsidRPr="000155DA">
        <w:rPr>
          <w:szCs w:val="22"/>
        </w:rPr>
        <w:t xml:space="preserve">a </w:t>
      </w:r>
      <w:r w:rsidR="00AF40D8" w:rsidRPr="000155DA">
        <w:rPr>
          <w:szCs w:val="22"/>
        </w:rPr>
        <w:t>respondent’s filing</w:t>
      </w:r>
      <w:r w:rsidR="005571CC" w:rsidRPr="000155DA">
        <w:rPr>
          <w:szCs w:val="22"/>
        </w:rPr>
        <w:t xml:space="preserve">, in whole or in part, </w:t>
      </w:r>
      <w:r w:rsidRPr="000155DA">
        <w:rPr>
          <w:szCs w:val="22"/>
        </w:rPr>
        <w:t xml:space="preserve">if the challenge reply was filed after the deadline, if the filing was actually a challenge instead of a reply to a challenge, if the census block listed did not match any of those on the </w:t>
      </w:r>
      <w:r w:rsidR="0022337E" w:rsidRPr="000155DA">
        <w:rPr>
          <w:i/>
          <w:szCs w:val="22"/>
        </w:rPr>
        <w:t>prima facie</w:t>
      </w:r>
      <w:r w:rsidRPr="000155DA">
        <w:rPr>
          <w:szCs w:val="22"/>
        </w:rPr>
        <w:t xml:space="preserve"> lists, or if the census block listed </w:t>
      </w:r>
      <w:r w:rsidR="001F67B0" w:rsidRPr="000155DA">
        <w:rPr>
          <w:szCs w:val="22"/>
        </w:rPr>
        <w:t>had</w:t>
      </w:r>
      <w:r w:rsidRPr="000155DA">
        <w:rPr>
          <w:szCs w:val="22"/>
        </w:rPr>
        <w:t xml:space="preserve"> an invalid census block number.   The result of </w:t>
      </w:r>
      <w:r w:rsidR="005571CC" w:rsidRPr="000155DA">
        <w:rPr>
          <w:szCs w:val="22"/>
        </w:rPr>
        <w:t xml:space="preserve">not considering </w:t>
      </w:r>
      <w:r w:rsidRPr="000155DA">
        <w:rPr>
          <w:szCs w:val="22"/>
        </w:rPr>
        <w:t>these filings</w:t>
      </w:r>
      <w:r w:rsidR="006B1A96" w:rsidRPr="000155DA">
        <w:rPr>
          <w:szCs w:val="22"/>
        </w:rPr>
        <w:t xml:space="preserve"> </w:t>
      </w:r>
      <w:r w:rsidRPr="000155DA">
        <w:rPr>
          <w:szCs w:val="22"/>
        </w:rPr>
        <w:t xml:space="preserve">is that either the challenger prevailed </w:t>
      </w:r>
      <w:r w:rsidR="005571CC" w:rsidRPr="000155DA">
        <w:rPr>
          <w:szCs w:val="22"/>
        </w:rPr>
        <w:t xml:space="preserve">in its </w:t>
      </w:r>
      <w:r w:rsidR="0022337E" w:rsidRPr="000155DA">
        <w:rPr>
          <w:i/>
          <w:szCs w:val="22"/>
        </w:rPr>
        <w:t>prima facie</w:t>
      </w:r>
      <w:r w:rsidR="005571CC" w:rsidRPr="000155DA">
        <w:rPr>
          <w:szCs w:val="22"/>
        </w:rPr>
        <w:t xml:space="preserve"> challenge </w:t>
      </w:r>
      <w:r w:rsidRPr="000155DA">
        <w:rPr>
          <w:szCs w:val="22"/>
        </w:rPr>
        <w:t>or the initial eligibility status of the census block remains unchanged (if there was no challenge)</w:t>
      </w:r>
      <w:r w:rsidR="00845CEF" w:rsidRPr="000155DA">
        <w:rPr>
          <w:szCs w:val="22"/>
        </w:rPr>
        <w:t>.</w:t>
      </w:r>
      <w:r w:rsidR="006F5C6A" w:rsidRPr="000155DA">
        <w:rPr>
          <w:rStyle w:val="FootnoteReference"/>
          <w:sz w:val="22"/>
          <w:szCs w:val="22"/>
        </w:rPr>
        <w:footnoteReference w:id="43"/>
      </w:r>
      <w:r w:rsidR="00845CEF" w:rsidRPr="000155DA">
        <w:rPr>
          <w:szCs w:val="22"/>
        </w:rPr>
        <w:t xml:space="preserve">  </w:t>
      </w:r>
      <w:r w:rsidR="00B2219C" w:rsidRPr="000155DA">
        <w:rPr>
          <w:szCs w:val="22"/>
        </w:rPr>
        <w:t>For these reasons, t</w:t>
      </w:r>
      <w:r w:rsidR="00845CEF" w:rsidRPr="000155DA">
        <w:rPr>
          <w:szCs w:val="22"/>
        </w:rPr>
        <w:t xml:space="preserve">he Bureau did not consider </w:t>
      </w:r>
      <w:r w:rsidR="006B1A96" w:rsidRPr="000155DA">
        <w:rPr>
          <w:szCs w:val="22"/>
        </w:rPr>
        <w:t xml:space="preserve">various aspects of </w:t>
      </w:r>
      <w:r w:rsidR="00845CEF" w:rsidRPr="000155DA">
        <w:rPr>
          <w:szCs w:val="22"/>
        </w:rPr>
        <w:t>respondent filing</w:t>
      </w:r>
      <w:r w:rsidR="006B1A96" w:rsidRPr="000155DA">
        <w:rPr>
          <w:szCs w:val="22"/>
        </w:rPr>
        <w:t>s</w:t>
      </w:r>
      <w:r w:rsidR="001F67B0" w:rsidRPr="000155DA">
        <w:rPr>
          <w:szCs w:val="22"/>
        </w:rPr>
        <w:t xml:space="preserve"> </w:t>
      </w:r>
      <w:r w:rsidR="009F1F01" w:rsidRPr="000155DA">
        <w:rPr>
          <w:szCs w:val="22"/>
        </w:rPr>
        <w:t>regarding a</w:t>
      </w:r>
      <w:r w:rsidRPr="000155DA">
        <w:rPr>
          <w:szCs w:val="22"/>
        </w:rPr>
        <w:t xml:space="preserve"> total of </w:t>
      </w:r>
      <w:r w:rsidR="007322FD" w:rsidRPr="000155DA">
        <w:rPr>
          <w:szCs w:val="22"/>
        </w:rPr>
        <w:t xml:space="preserve">579 </w:t>
      </w:r>
      <w:r w:rsidRPr="000155DA">
        <w:rPr>
          <w:szCs w:val="22"/>
        </w:rPr>
        <w:t xml:space="preserve">census </w:t>
      </w:r>
      <w:r w:rsidR="00AF40D8" w:rsidRPr="000155DA">
        <w:rPr>
          <w:szCs w:val="22"/>
        </w:rPr>
        <w:t>blocks</w:t>
      </w:r>
      <w:r w:rsidRPr="000155DA">
        <w:rPr>
          <w:szCs w:val="22"/>
        </w:rPr>
        <w:t>.</w:t>
      </w:r>
      <w:r w:rsidR="00AF40D8" w:rsidRPr="000155DA">
        <w:rPr>
          <w:rStyle w:val="FootnoteReference"/>
          <w:sz w:val="22"/>
          <w:szCs w:val="22"/>
        </w:rPr>
        <w:footnoteReference w:id="44"/>
      </w:r>
      <w:r w:rsidRPr="000155DA">
        <w:rPr>
          <w:szCs w:val="22"/>
        </w:rPr>
        <w:t xml:space="preserve">  </w:t>
      </w:r>
    </w:p>
    <w:p w:rsidR="009F1F01" w:rsidRPr="000155DA" w:rsidRDefault="009F1F01" w:rsidP="00936892">
      <w:pPr>
        <w:pStyle w:val="ParaNum"/>
        <w:rPr>
          <w:szCs w:val="22"/>
        </w:rPr>
      </w:pPr>
      <w:r w:rsidRPr="000155DA">
        <w:rPr>
          <w:szCs w:val="22"/>
        </w:rPr>
        <w:t xml:space="preserve">Additionally, as explained above, </w:t>
      </w:r>
      <w:r w:rsidR="00AF58CD" w:rsidRPr="000155DA">
        <w:rPr>
          <w:szCs w:val="22"/>
        </w:rPr>
        <w:t xml:space="preserve">following the </w:t>
      </w:r>
      <w:r w:rsidR="00AF58CD" w:rsidRPr="000155DA">
        <w:rPr>
          <w:i/>
          <w:szCs w:val="22"/>
        </w:rPr>
        <w:t>December 2014 Connect America Fund Order</w:t>
      </w:r>
      <w:r w:rsidR="00AF58CD" w:rsidRPr="000155DA">
        <w:rPr>
          <w:szCs w:val="22"/>
        </w:rPr>
        <w:t xml:space="preserve">, the Bureau excluded from the offer of model-based support any census block that is served by a subsidized facilities-based terrestrial competitor offering fixed residential voice and broadband services meeting or exceeding </w:t>
      </w:r>
      <w:r w:rsidR="004C0351" w:rsidRPr="000155DA">
        <w:rPr>
          <w:szCs w:val="22"/>
        </w:rPr>
        <w:t xml:space="preserve">3 Mbps downstream/768 kbps </w:t>
      </w:r>
      <w:r w:rsidR="00B2219C" w:rsidRPr="000155DA">
        <w:rPr>
          <w:szCs w:val="22"/>
        </w:rPr>
        <w:t>upstream</w:t>
      </w:r>
      <w:r w:rsidR="00AF58CD" w:rsidRPr="000155DA">
        <w:rPr>
          <w:szCs w:val="22"/>
        </w:rPr>
        <w:t>.</w:t>
      </w:r>
      <w:r w:rsidR="00AF58CD" w:rsidRPr="000155DA">
        <w:rPr>
          <w:rStyle w:val="FootnoteReference"/>
          <w:sz w:val="22"/>
          <w:szCs w:val="22"/>
        </w:rPr>
        <w:footnoteReference w:id="45"/>
      </w:r>
      <w:r w:rsidR="00AF58CD" w:rsidRPr="000155DA">
        <w:rPr>
          <w:szCs w:val="22"/>
        </w:rPr>
        <w:t xml:space="preserve"> As such, we dismiss and do not </w:t>
      </w:r>
      <w:r w:rsidR="00CC27AA" w:rsidRPr="000155DA">
        <w:rPr>
          <w:szCs w:val="22"/>
        </w:rPr>
        <w:t>resolve</w:t>
      </w:r>
      <w:r w:rsidR="00033E9D" w:rsidRPr="000155DA">
        <w:rPr>
          <w:szCs w:val="22"/>
        </w:rPr>
        <w:t>, in whole or in part,</w:t>
      </w:r>
      <w:r w:rsidR="00CC27AA" w:rsidRPr="000155DA">
        <w:rPr>
          <w:szCs w:val="22"/>
        </w:rPr>
        <w:t xml:space="preserve"> challenges</w:t>
      </w:r>
      <w:r w:rsidR="004C0351" w:rsidRPr="000155DA">
        <w:rPr>
          <w:szCs w:val="22"/>
        </w:rPr>
        <w:t xml:space="preserve"> filed by </w:t>
      </w:r>
      <w:r w:rsidR="0044608A" w:rsidRPr="000155DA">
        <w:rPr>
          <w:szCs w:val="22"/>
        </w:rPr>
        <w:t>several</w:t>
      </w:r>
      <w:r w:rsidR="00230B91" w:rsidRPr="000155DA">
        <w:rPr>
          <w:szCs w:val="22"/>
        </w:rPr>
        <w:t xml:space="preserve"> </w:t>
      </w:r>
      <w:r w:rsidR="004C0351" w:rsidRPr="000155DA">
        <w:rPr>
          <w:szCs w:val="22"/>
        </w:rPr>
        <w:t>entities</w:t>
      </w:r>
      <w:r w:rsidR="00AF58CD" w:rsidRPr="000155DA">
        <w:rPr>
          <w:szCs w:val="22"/>
        </w:rPr>
        <w:t xml:space="preserve"> as the filings are now moot.</w:t>
      </w:r>
      <w:r w:rsidR="0044608A" w:rsidRPr="000155DA">
        <w:rPr>
          <w:rStyle w:val="FootnoteReference"/>
          <w:sz w:val="22"/>
          <w:szCs w:val="22"/>
        </w:rPr>
        <w:footnoteReference w:id="46"/>
      </w:r>
      <w:r w:rsidR="00AF58CD" w:rsidRPr="000155DA">
        <w:rPr>
          <w:szCs w:val="22"/>
        </w:rPr>
        <w:t xml:space="preserve"> </w:t>
      </w:r>
      <w:r w:rsidR="00B2219C" w:rsidRPr="000155DA">
        <w:rPr>
          <w:szCs w:val="22"/>
        </w:rPr>
        <w:t xml:space="preserve"> For this reason, t</w:t>
      </w:r>
      <w:r w:rsidR="00AF58CD" w:rsidRPr="000155DA">
        <w:rPr>
          <w:szCs w:val="22"/>
        </w:rPr>
        <w:t xml:space="preserve">he Bureau did not consider </w:t>
      </w:r>
      <w:r w:rsidR="004C0351" w:rsidRPr="000155DA">
        <w:rPr>
          <w:szCs w:val="22"/>
        </w:rPr>
        <w:t>challenges</w:t>
      </w:r>
      <w:r w:rsidR="0044608A" w:rsidRPr="000155DA">
        <w:rPr>
          <w:szCs w:val="22"/>
        </w:rPr>
        <w:t xml:space="preserve"> or challenge replies</w:t>
      </w:r>
      <w:r w:rsidR="004C0351" w:rsidRPr="000155DA">
        <w:rPr>
          <w:szCs w:val="22"/>
        </w:rPr>
        <w:t xml:space="preserve"> relating to </w:t>
      </w:r>
      <w:r w:rsidR="00CC27AA" w:rsidRPr="000155DA">
        <w:rPr>
          <w:szCs w:val="22"/>
        </w:rPr>
        <w:t>a total of</w:t>
      </w:r>
      <w:r w:rsidR="00AF58CD" w:rsidRPr="000155DA">
        <w:rPr>
          <w:szCs w:val="22"/>
        </w:rPr>
        <w:t xml:space="preserve"> </w:t>
      </w:r>
      <w:r w:rsidR="00272460" w:rsidRPr="000155DA">
        <w:rPr>
          <w:szCs w:val="22"/>
        </w:rPr>
        <w:t>2,</w:t>
      </w:r>
      <w:r w:rsidR="00E87D5A">
        <w:rPr>
          <w:szCs w:val="22"/>
        </w:rPr>
        <w:t>616</w:t>
      </w:r>
      <w:r w:rsidR="00E87D5A" w:rsidRPr="000155DA">
        <w:rPr>
          <w:szCs w:val="22"/>
        </w:rPr>
        <w:t xml:space="preserve"> </w:t>
      </w:r>
      <w:r w:rsidR="00AF58CD" w:rsidRPr="000155DA">
        <w:rPr>
          <w:szCs w:val="22"/>
        </w:rPr>
        <w:t>census blocks.</w:t>
      </w:r>
      <w:r w:rsidR="00F225FE" w:rsidRPr="000155DA">
        <w:rPr>
          <w:rStyle w:val="FootnoteReference"/>
          <w:sz w:val="22"/>
          <w:szCs w:val="22"/>
        </w:rPr>
        <w:footnoteReference w:id="47"/>
      </w:r>
    </w:p>
    <w:p w:rsidR="00FB0440" w:rsidRPr="000155DA" w:rsidRDefault="009F1F01" w:rsidP="00936892">
      <w:pPr>
        <w:pStyle w:val="ParaNum"/>
        <w:rPr>
          <w:szCs w:val="22"/>
        </w:rPr>
      </w:pPr>
      <w:r w:rsidRPr="000155DA">
        <w:rPr>
          <w:szCs w:val="22"/>
        </w:rPr>
        <w:t>Lastly</w:t>
      </w:r>
      <w:r w:rsidR="005059F9" w:rsidRPr="000155DA">
        <w:rPr>
          <w:szCs w:val="22"/>
        </w:rPr>
        <w:t>, we</w:t>
      </w:r>
      <w:r w:rsidR="006A6C13" w:rsidRPr="000155DA">
        <w:rPr>
          <w:szCs w:val="22"/>
        </w:rPr>
        <w:t xml:space="preserve"> dismiss certain other requests and filings associated with the challenge process that did not meet the stated filing requirements.  The Bureau previously stated that “challengers and respondents will only have one opportunity each to submit evidence” and therefore “will have an incentive to submit a full evidentiary record at the time they make their submissions</w:t>
      </w:r>
      <w:r w:rsidR="003A689E" w:rsidRPr="000155DA">
        <w:rPr>
          <w:szCs w:val="22"/>
        </w:rPr>
        <w:t>.</w:t>
      </w:r>
      <w:r w:rsidR="006A6C13" w:rsidRPr="000155DA">
        <w:rPr>
          <w:szCs w:val="22"/>
        </w:rPr>
        <w:t xml:space="preserve">” </w:t>
      </w:r>
      <w:r w:rsidR="00B2219C" w:rsidRPr="000155DA">
        <w:rPr>
          <w:szCs w:val="22"/>
        </w:rPr>
        <w:t xml:space="preserve"> </w:t>
      </w:r>
      <w:r w:rsidR="003A689E" w:rsidRPr="000155DA">
        <w:rPr>
          <w:szCs w:val="22"/>
        </w:rPr>
        <w:t>W</w:t>
      </w:r>
      <w:r w:rsidR="006A6C13" w:rsidRPr="000155DA">
        <w:rPr>
          <w:szCs w:val="22"/>
        </w:rPr>
        <w:t xml:space="preserve">e find it is in the public interest </w:t>
      </w:r>
      <w:r w:rsidR="00C90C08" w:rsidRPr="000155DA">
        <w:rPr>
          <w:szCs w:val="22"/>
        </w:rPr>
        <w:t xml:space="preserve">not </w:t>
      </w:r>
      <w:r w:rsidR="006A6C13" w:rsidRPr="000155DA">
        <w:rPr>
          <w:szCs w:val="22"/>
        </w:rPr>
        <w:t>to deviate from that</w:t>
      </w:r>
      <w:r w:rsidR="003A689E" w:rsidRPr="000155DA">
        <w:rPr>
          <w:szCs w:val="22"/>
        </w:rPr>
        <w:t xml:space="preserve"> procedural requirement for the challenge process</w:t>
      </w:r>
      <w:r w:rsidR="006A6C13" w:rsidRPr="000155DA">
        <w:rPr>
          <w:szCs w:val="22"/>
        </w:rPr>
        <w:t>.</w:t>
      </w:r>
      <w:r w:rsidR="006A6C13" w:rsidRPr="000155DA">
        <w:rPr>
          <w:rStyle w:val="FootnoteReference"/>
          <w:sz w:val="22"/>
          <w:szCs w:val="22"/>
        </w:rPr>
        <w:footnoteReference w:id="48"/>
      </w:r>
      <w:r w:rsidR="006A6C13" w:rsidRPr="000155DA">
        <w:rPr>
          <w:szCs w:val="22"/>
        </w:rPr>
        <w:t xml:space="preserve">  We do not consider and hereby dismiss an informal email request to </w:t>
      </w:r>
      <w:r w:rsidR="000020EE" w:rsidRPr="000155DA">
        <w:rPr>
          <w:szCs w:val="22"/>
        </w:rPr>
        <w:t xml:space="preserve">correct </w:t>
      </w:r>
      <w:r w:rsidR="006A6C13" w:rsidRPr="000155DA">
        <w:rPr>
          <w:szCs w:val="22"/>
        </w:rPr>
        <w:t>errors made in identifying census blocks</w:t>
      </w:r>
      <w:r w:rsidR="000020EE" w:rsidRPr="000155DA">
        <w:rPr>
          <w:szCs w:val="22"/>
        </w:rPr>
        <w:t xml:space="preserve"> in the initial challenge</w:t>
      </w:r>
      <w:r w:rsidR="006A6C13" w:rsidRPr="000155DA">
        <w:rPr>
          <w:szCs w:val="22"/>
        </w:rPr>
        <w:t>.</w:t>
      </w:r>
      <w:r w:rsidR="006A6C13" w:rsidRPr="000155DA">
        <w:rPr>
          <w:rStyle w:val="FootnoteReference"/>
          <w:sz w:val="22"/>
          <w:szCs w:val="22"/>
        </w:rPr>
        <w:footnoteReference w:id="49"/>
      </w:r>
      <w:r w:rsidR="006A6C13" w:rsidRPr="000155DA">
        <w:rPr>
          <w:szCs w:val="22"/>
        </w:rPr>
        <w:t xml:space="preserve">  We also dismiss a request and waiver request to consider further information filed to support a challenge after the filing due date.</w:t>
      </w:r>
      <w:r w:rsidR="006A6C13" w:rsidRPr="000155DA">
        <w:rPr>
          <w:rStyle w:val="FootnoteReference"/>
          <w:sz w:val="22"/>
          <w:szCs w:val="22"/>
        </w:rPr>
        <w:footnoteReference w:id="50"/>
      </w:r>
    </w:p>
    <w:p w:rsidR="00F06C8E" w:rsidRPr="000155DA" w:rsidRDefault="003A689E" w:rsidP="00F06C8E">
      <w:pPr>
        <w:pStyle w:val="Heading2"/>
        <w:rPr>
          <w:szCs w:val="22"/>
        </w:rPr>
      </w:pPr>
      <w:r w:rsidRPr="000155DA">
        <w:rPr>
          <w:szCs w:val="22"/>
        </w:rPr>
        <w:t xml:space="preserve">Requests to </w:t>
      </w:r>
      <w:r w:rsidR="0055497C" w:rsidRPr="000155DA">
        <w:rPr>
          <w:szCs w:val="22"/>
        </w:rPr>
        <w:t xml:space="preserve">Waive Customer </w:t>
      </w:r>
      <w:r w:rsidR="00107F45" w:rsidRPr="000155DA">
        <w:rPr>
          <w:szCs w:val="22"/>
        </w:rPr>
        <w:t>Requirement</w:t>
      </w:r>
      <w:r w:rsidR="00644F51" w:rsidRPr="000155DA">
        <w:rPr>
          <w:szCs w:val="22"/>
        </w:rPr>
        <w:t xml:space="preserve"> </w:t>
      </w:r>
      <w:r w:rsidRPr="000155DA">
        <w:rPr>
          <w:szCs w:val="22"/>
        </w:rPr>
        <w:t>in the Reply Round</w:t>
      </w:r>
      <w:r w:rsidR="00F07FF6" w:rsidRPr="000155DA">
        <w:rPr>
          <w:szCs w:val="22"/>
        </w:rPr>
        <w:t xml:space="preserve"> </w:t>
      </w:r>
    </w:p>
    <w:p w:rsidR="00ED235E" w:rsidRPr="000155DA" w:rsidRDefault="00FB0440" w:rsidP="00F06C8E">
      <w:pPr>
        <w:pStyle w:val="ParaNum"/>
        <w:rPr>
          <w:szCs w:val="22"/>
        </w:rPr>
      </w:pPr>
      <w:r w:rsidRPr="000155DA">
        <w:rPr>
          <w:szCs w:val="22"/>
        </w:rPr>
        <w:t>As noted above, p</w:t>
      </w:r>
      <w:r w:rsidR="00F06C8E" w:rsidRPr="000155DA">
        <w:rPr>
          <w:szCs w:val="22"/>
        </w:rPr>
        <w:t xml:space="preserve">rior to commencing the challenge process, the Bureau issued guidance clarifying what is required for a party to truthfully certify </w:t>
      </w:r>
      <w:r w:rsidR="007B7C31" w:rsidRPr="000155DA">
        <w:rPr>
          <w:szCs w:val="22"/>
        </w:rPr>
        <w:t xml:space="preserve">on FCC Form 505 </w:t>
      </w:r>
      <w:r w:rsidR="00F06C8E" w:rsidRPr="000155DA">
        <w:rPr>
          <w:szCs w:val="22"/>
        </w:rPr>
        <w:t>that a given census block is “served.”</w:t>
      </w:r>
      <w:r w:rsidR="00F06C8E" w:rsidRPr="000155DA">
        <w:rPr>
          <w:rStyle w:val="FootnoteReference"/>
          <w:sz w:val="22"/>
          <w:szCs w:val="22"/>
        </w:rPr>
        <w:footnoteReference w:id="51"/>
      </w:r>
      <w:r w:rsidR="00F06C8E" w:rsidRPr="000155DA">
        <w:rPr>
          <w:szCs w:val="22"/>
        </w:rPr>
        <w:t xml:space="preserve">  </w:t>
      </w:r>
      <w:r w:rsidRPr="000155DA">
        <w:rPr>
          <w:szCs w:val="22"/>
        </w:rPr>
        <w:t xml:space="preserve">In particular, </w:t>
      </w:r>
      <w:r w:rsidR="00F06C8E" w:rsidRPr="000155DA">
        <w:rPr>
          <w:szCs w:val="22"/>
        </w:rPr>
        <w:t xml:space="preserve">the </w:t>
      </w:r>
      <w:r w:rsidR="00F06C8E" w:rsidRPr="000155DA">
        <w:rPr>
          <w:i/>
          <w:szCs w:val="22"/>
        </w:rPr>
        <w:t>Phase II Challenge Process Guidance Public Notice</w:t>
      </w:r>
      <w:r w:rsidR="00F06C8E" w:rsidRPr="000155DA">
        <w:rPr>
          <w:szCs w:val="22"/>
        </w:rPr>
        <w:t xml:space="preserve"> stated</w:t>
      </w:r>
      <w:r w:rsidRPr="000155DA">
        <w:rPr>
          <w:szCs w:val="22"/>
        </w:rPr>
        <w:t>, among other things,</w:t>
      </w:r>
      <w:r w:rsidR="00F87827" w:rsidRPr="000155DA">
        <w:rPr>
          <w:szCs w:val="22"/>
        </w:rPr>
        <w:t xml:space="preserve"> </w:t>
      </w:r>
      <w:r w:rsidR="00EC4912" w:rsidRPr="000155DA">
        <w:rPr>
          <w:szCs w:val="22"/>
        </w:rPr>
        <w:t xml:space="preserve">that </w:t>
      </w:r>
      <w:r w:rsidR="00F87827" w:rsidRPr="000155DA">
        <w:rPr>
          <w:szCs w:val="22"/>
        </w:rPr>
        <w:t xml:space="preserve">in order to certify </w:t>
      </w:r>
      <w:r w:rsidR="00631988" w:rsidRPr="000155DA">
        <w:rPr>
          <w:szCs w:val="22"/>
        </w:rPr>
        <w:t>that a</w:t>
      </w:r>
      <w:r w:rsidR="00F06C8E" w:rsidRPr="000155DA">
        <w:rPr>
          <w:szCs w:val="22"/>
        </w:rPr>
        <w:t xml:space="preserve"> census block is “served</w:t>
      </w:r>
      <w:r w:rsidR="00F87827" w:rsidRPr="000155DA">
        <w:rPr>
          <w:szCs w:val="22"/>
        </w:rPr>
        <w:t>,</w:t>
      </w:r>
      <w:r w:rsidR="00F06C8E" w:rsidRPr="000155DA">
        <w:rPr>
          <w:szCs w:val="22"/>
        </w:rPr>
        <w:t xml:space="preserve">” </w:t>
      </w:r>
      <w:r w:rsidR="00631988" w:rsidRPr="000155DA">
        <w:rPr>
          <w:szCs w:val="22"/>
        </w:rPr>
        <w:t>the provider</w:t>
      </w:r>
      <w:r w:rsidR="00F06C8E" w:rsidRPr="000155DA">
        <w:rPr>
          <w:szCs w:val="22"/>
        </w:rPr>
        <w:t xml:space="preserve"> </w:t>
      </w:r>
      <w:r w:rsidR="00F87827" w:rsidRPr="000155DA">
        <w:rPr>
          <w:szCs w:val="22"/>
        </w:rPr>
        <w:t xml:space="preserve">must </w:t>
      </w:r>
      <w:r w:rsidR="00F06C8E" w:rsidRPr="000155DA">
        <w:rPr>
          <w:szCs w:val="22"/>
        </w:rPr>
        <w:t>currently ha</w:t>
      </w:r>
      <w:r w:rsidR="00F87827" w:rsidRPr="000155DA">
        <w:rPr>
          <w:szCs w:val="22"/>
        </w:rPr>
        <w:t>ve</w:t>
      </w:r>
      <w:r w:rsidR="00F06C8E" w:rsidRPr="000155DA">
        <w:rPr>
          <w:szCs w:val="22"/>
        </w:rPr>
        <w:t xml:space="preserve"> or previously </w:t>
      </w:r>
      <w:r w:rsidR="00F87827" w:rsidRPr="000155DA">
        <w:rPr>
          <w:szCs w:val="22"/>
        </w:rPr>
        <w:t xml:space="preserve">have </w:t>
      </w:r>
      <w:r w:rsidR="00F06C8E" w:rsidRPr="000155DA">
        <w:rPr>
          <w:szCs w:val="22"/>
        </w:rPr>
        <w:t xml:space="preserve">had </w:t>
      </w:r>
      <w:r w:rsidR="003A689E" w:rsidRPr="000155DA">
        <w:rPr>
          <w:szCs w:val="22"/>
        </w:rPr>
        <w:t xml:space="preserve">voice or broadband </w:t>
      </w:r>
      <w:r w:rsidR="00F06C8E" w:rsidRPr="000155DA">
        <w:rPr>
          <w:szCs w:val="22"/>
        </w:rPr>
        <w:t>customers in the census block.</w:t>
      </w:r>
      <w:r w:rsidR="00F06C8E" w:rsidRPr="000155DA">
        <w:rPr>
          <w:rStyle w:val="FootnoteReference"/>
          <w:sz w:val="22"/>
          <w:szCs w:val="22"/>
        </w:rPr>
        <w:footnoteReference w:id="52"/>
      </w:r>
      <w:r w:rsidR="00F06C8E" w:rsidRPr="000155DA">
        <w:rPr>
          <w:szCs w:val="22"/>
        </w:rPr>
        <w:t xml:space="preserve">  </w:t>
      </w:r>
      <w:r w:rsidR="00EC4912" w:rsidRPr="000155DA">
        <w:rPr>
          <w:szCs w:val="22"/>
        </w:rPr>
        <w:t xml:space="preserve"> </w:t>
      </w:r>
    </w:p>
    <w:p w:rsidR="00B2219C" w:rsidRPr="000155DA" w:rsidRDefault="00B2219C" w:rsidP="00F06C8E">
      <w:pPr>
        <w:pStyle w:val="ParaNum"/>
        <w:rPr>
          <w:szCs w:val="22"/>
        </w:rPr>
      </w:pPr>
      <w:r w:rsidRPr="000155DA">
        <w:rPr>
          <w:szCs w:val="22"/>
        </w:rPr>
        <w:t>In the initial phase of the challenge process, a number of petitioners sought waiver of the requirement of actual or former customers.</w:t>
      </w:r>
      <w:r w:rsidRPr="000155DA">
        <w:rPr>
          <w:rStyle w:val="FootnoteReference"/>
          <w:sz w:val="22"/>
          <w:szCs w:val="22"/>
        </w:rPr>
        <w:footnoteReference w:id="53"/>
      </w:r>
      <w:r w:rsidRPr="000155DA">
        <w:rPr>
          <w:szCs w:val="22"/>
        </w:rPr>
        <w:t xml:space="preserve">  At that time, the Bureau concluded that low density or high poverty in the blocks could provide a plausible explanation as to why a census block has access to service but no customers have taken advantage of it.  Similarly, it concluded that recent or ongoing new deployment in a particular area </w:t>
      </w:r>
      <w:r w:rsidR="00F75632" w:rsidRPr="000155DA">
        <w:rPr>
          <w:szCs w:val="22"/>
        </w:rPr>
        <w:t>c</w:t>
      </w:r>
      <w:r w:rsidRPr="000155DA">
        <w:rPr>
          <w:szCs w:val="22"/>
        </w:rPr>
        <w:t xml:space="preserve">ould also explain the lack of a current or former customer, as </w:t>
      </w:r>
      <w:r w:rsidR="00F75632" w:rsidRPr="000155DA">
        <w:rPr>
          <w:szCs w:val="22"/>
        </w:rPr>
        <w:t xml:space="preserve">there would be no former customers and </w:t>
      </w:r>
      <w:r w:rsidRPr="000155DA">
        <w:rPr>
          <w:szCs w:val="22"/>
        </w:rPr>
        <w:t>the new provider would have had only a limited period of time to sign up potential customers.  The Bureau reasoned that</w:t>
      </w:r>
      <w:r w:rsidR="00F75632" w:rsidRPr="000155DA">
        <w:rPr>
          <w:szCs w:val="22"/>
        </w:rPr>
        <w:t xml:space="preserve"> granting waivers for these reasons was appropriate, because</w:t>
      </w:r>
      <w:r w:rsidRPr="000155DA">
        <w:rPr>
          <w:szCs w:val="22"/>
        </w:rPr>
        <w:t xml:space="preserve"> </w:t>
      </w:r>
      <w:r w:rsidR="00F75632" w:rsidRPr="000155DA">
        <w:rPr>
          <w:szCs w:val="22"/>
        </w:rPr>
        <w:t xml:space="preserve">any opposing </w:t>
      </w:r>
      <w:r w:rsidRPr="000155DA">
        <w:rPr>
          <w:szCs w:val="22"/>
        </w:rPr>
        <w:t xml:space="preserve">parties would have the opportunity </w:t>
      </w:r>
      <w:r w:rsidR="00F75632" w:rsidRPr="000155DA">
        <w:rPr>
          <w:szCs w:val="22"/>
        </w:rPr>
        <w:t xml:space="preserve">during </w:t>
      </w:r>
      <w:r w:rsidRPr="000155DA">
        <w:rPr>
          <w:szCs w:val="22"/>
        </w:rPr>
        <w:t xml:space="preserve">the response period to present their arguments as to why the census blocks in question should be treated as </w:t>
      </w:r>
      <w:r w:rsidR="00F75632" w:rsidRPr="000155DA">
        <w:rPr>
          <w:szCs w:val="22"/>
        </w:rPr>
        <w:t>un</w:t>
      </w:r>
      <w:r w:rsidRPr="000155DA">
        <w:rPr>
          <w:szCs w:val="22"/>
        </w:rPr>
        <w:t>served.</w:t>
      </w:r>
    </w:p>
    <w:p w:rsidR="003D0B22" w:rsidRPr="000155DA" w:rsidRDefault="00EC4912" w:rsidP="003D0B22">
      <w:pPr>
        <w:pStyle w:val="ParaNum"/>
        <w:rPr>
          <w:szCs w:val="22"/>
        </w:rPr>
      </w:pPr>
      <w:r w:rsidRPr="000155DA">
        <w:rPr>
          <w:szCs w:val="22"/>
        </w:rPr>
        <w:t xml:space="preserve"> </w:t>
      </w:r>
      <w:r w:rsidR="006D3E01" w:rsidRPr="000155DA">
        <w:rPr>
          <w:szCs w:val="22"/>
        </w:rPr>
        <w:t>I</w:t>
      </w:r>
      <w:r w:rsidR="00F06C8E" w:rsidRPr="000155DA">
        <w:rPr>
          <w:szCs w:val="22"/>
        </w:rPr>
        <w:t xml:space="preserve">n the reply period, </w:t>
      </w:r>
      <w:r w:rsidR="00756404" w:rsidRPr="000155DA">
        <w:rPr>
          <w:szCs w:val="22"/>
        </w:rPr>
        <w:t xml:space="preserve">14 </w:t>
      </w:r>
      <w:r w:rsidR="00F06C8E" w:rsidRPr="000155DA">
        <w:rPr>
          <w:szCs w:val="22"/>
        </w:rPr>
        <w:t xml:space="preserve">respondents </w:t>
      </w:r>
      <w:r w:rsidR="003A689E" w:rsidRPr="000155DA">
        <w:rPr>
          <w:szCs w:val="22"/>
        </w:rPr>
        <w:t>argued we should consider their evidence</w:t>
      </w:r>
      <w:r w:rsidR="00CE24AC" w:rsidRPr="000155DA">
        <w:rPr>
          <w:szCs w:val="22"/>
        </w:rPr>
        <w:t xml:space="preserve"> in adjudicating Served to Unserved challenges for 4,956 census blocks</w:t>
      </w:r>
      <w:r w:rsidR="003A689E" w:rsidRPr="000155DA">
        <w:rPr>
          <w:szCs w:val="22"/>
        </w:rPr>
        <w:t xml:space="preserve">, even though they </w:t>
      </w:r>
      <w:r w:rsidR="00B2219C" w:rsidRPr="000155DA">
        <w:rPr>
          <w:szCs w:val="22"/>
        </w:rPr>
        <w:t xml:space="preserve">were unable to identify any current or former voice or broadband customers in </w:t>
      </w:r>
      <w:r w:rsidR="00CE24AC" w:rsidRPr="000155DA">
        <w:rPr>
          <w:szCs w:val="22"/>
        </w:rPr>
        <w:t xml:space="preserve">these </w:t>
      </w:r>
      <w:r w:rsidR="00B2219C" w:rsidRPr="000155DA">
        <w:rPr>
          <w:szCs w:val="22"/>
        </w:rPr>
        <w:t>particular census block</w:t>
      </w:r>
      <w:r w:rsidR="00107F45" w:rsidRPr="000155DA">
        <w:rPr>
          <w:szCs w:val="22"/>
        </w:rPr>
        <w:t>s</w:t>
      </w:r>
      <w:r w:rsidR="00F06C8E" w:rsidRPr="000155DA">
        <w:rPr>
          <w:szCs w:val="22"/>
        </w:rPr>
        <w:t>.</w:t>
      </w:r>
      <w:r w:rsidR="006D3E01" w:rsidRPr="000155DA">
        <w:rPr>
          <w:rStyle w:val="FootnoteReference"/>
          <w:sz w:val="22"/>
          <w:szCs w:val="22"/>
        </w:rPr>
        <w:footnoteReference w:id="54"/>
      </w:r>
      <w:r w:rsidR="00EA3EBE" w:rsidRPr="000155DA">
        <w:rPr>
          <w:szCs w:val="22"/>
        </w:rPr>
        <w:t xml:space="preserve">  </w:t>
      </w:r>
      <w:r w:rsidR="003D0B22" w:rsidRPr="000155DA">
        <w:rPr>
          <w:szCs w:val="22"/>
        </w:rPr>
        <w:t>As justification for these waiver requests, the</w:t>
      </w:r>
      <w:r w:rsidR="00CE24AC" w:rsidRPr="000155DA">
        <w:rPr>
          <w:szCs w:val="22"/>
        </w:rPr>
        <w:t xml:space="preserve"> respondents</w:t>
      </w:r>
      <w:r w:rsidR="003D0B22" w:rsidRPr="000155DA">
        <w:rPr>
          <w:szCs w:val="22"/>
        </w:rPr>
        <w:t xml:space="preserve"> pointed to low population density,</w:t>
      </w:r>
      <w:r w:rsidR="003D0B22" w:rsidRPr="000155DA">
        <w:rPr>
          <w:rStyle w:val="FootnoteReference"/>
          <w:sz w:val="22"/>
          <w:szCs w:val="22"/>
        </w:rPr>
        <w:footnoteReference w:id="55"/>
      </w:r>
      <w:r w:rsidR="003D0B22" w:rsidRPr="000155DA">
        <w:rPr>
          <w:szCs w:val="22"/>
        </w:rPr>
        <w:t xml:space="preserve"> high poverty,</w:t>
      </w:r>
      <w:r w:rsidR="003D0B22" w:rsidRPr="000155DA">
        <w:rPr>
          <w:rStyle w:val="FootnoteReference"/>
          <w:sz w:val="22"/>
          <w:szCs w:val="22"/>
        </w:rPr>
        <w:footnoteReference w:id="56"/>
      </w:r>
      <w:r w:rsidR="003D0B22" w:rsidRPr="000155DA">
        <w:rPr>
          <w:szCs w:val="22"/>
        </w:rPr>
        <w:t xml:space="preserve"> recent/ongoing deployment,</w:t>
      </w:r>
      <w:r w:rsidR="003D0B22" w:rsidRPr="000155DA">
        <w:rPr>
          <w:rStyle w:val="FootnoteReference"/>
          <w:sz w:val="22"/>
          <w:szCs w:val="22"/>
        </w:rPr>
        <w:footnoteReference w:id="57"/>
      </w:r>
      <w:r w:rsidR="003D0B22" w:rsidRPr="000155DA">
        <w:rPr>
          <w:szCs w:val="22"/>
        </w:rPr>
        <w:t xml:space="preserve"> the existence of video customers,</w:t>
      </w:r>
      <w:r w:rsidR="003D0B22" w:rsidRPr="000155DA">
        <w:rPr>
          <w:rStyle w:val="FootnoteReference"/>
          <w:sz w:val="22"/>
          <w:szCs w:val="22"/>
        </w:rPr>
        <w:footnoteReference w:id="58"/>
      </w:r>
      <w:r w:rsidR="003D0B22" w:rsidRPr="000155DA">
        <w:rPr>
          <w:szCs w:val="22"/>
        </w:rPr>
        <w:t xml:space="preserve"> lack of access to billing records of a predecessor company,</w:t>
      </w:r>
      <w:r w:rsidR="003D0B22" w:rsidRPr="000155DA">
        <w:rPr>
          <w:rStyle w:val="FootnoteReference"/>
          <w:sz w:val="22"/>
          <w:szCs w:val="22"/>
        </w:rPr>
        <w:footnoteReference w:id="59"/>
      </w:r>
      <w:r w:rsidR="003D0B22" w:rsidRPr="000155DA">
        <w:rPr>
          <w:szCs w:val="22"/>
        </w:rPr>
        <w:t xml:space="preserve">  </w:t>
      </w:r>
      <w:r w:rsidR="005B39F9" w:rsidRPr="000155DA">
        <w:rPr>
          <w:szCs w:val="22"/>
        </w:rPr>
        <w:t xml:space="preserve">and </w:t>
      </w:r>
      <w:r w:rsidR="003D0B22" w:rsidRPr="000155DA">
        <w:rPr>
          <w:szCs w:val="22"/>
        </w:rPr>
        <w:t>inability to match locations in internal databases</w:t>
      </w:r>
      <w:r w:rsidR="003D0B22" w:rsidRPr="000155DA">
        <w:rPr>
          <w:rStyle w:val="FootnoteReference"/>
          <w:sz w:val="22"/>
          <w:szCs w:val="22"/>
        </w:rPr>
        <w:footnoteReference w:id="60"/>
      </w:r>
      <w:r w:rsidR="003D0B22" w:rsidRPr="000155DA">
        <w:rPr>
          <w:szCs w:val="22"/>
        </w:rPr>
        <w:t xml:space="preserve"> </w:t>
      </w:r>
      <w:r w:rsidR="00AB2663" w:rsidRPr="000155DA">
        <w:rPr>
          <w:szCs w:val="22"/>
        </w:rPr>
        <w:t>as grounds for a waiver of the evidentiary requirement that they have at least one current or former customer</w:t>
      </w:r>
      <w:r w:rsidR="003D0B22" w:rsidRPr="000155DA">
        <w:rPr>
          <w:szCs w:val="22"/>
        </w:rPr>
        <w:t xml:space="preserve">. </w:t>
      </w:r>
    </w:p>
    <w:p w:rsidR="007B7C31" w:rsidRPr="000155DA" w:rsidRDefault="003D0B22" w:rsidP="00F06C8E">
      <w:pPr>
        <w:pStyle w:val="ParaNum"/>
        <w:rPr>
          <w:szCs w:val="22"/>
        </w:rPr>
      </w:pPr>
      <w:r w:rsidRPr="000155DA">
        <w:rPr>
          <w:szCs w:val="22"/>
        </w:rPr>
        <w:t>Based on our examination of each individual waiver request, w</w:t>
      </w:r>
      <w:r w:rsidR="00B471BF" w:rsidRPr="000155DA">
        <w:rPr>
          <w:szCs w:val="22"/>
        </w:rPr>
        <w:t xml:space="preserve">e grant the requests of </w:t>
      </w:r>
      <w:r w:rsidR="000A27E9" w:rsidRPr="000155DA">
        <w:rPr>
          <w:szCs w:val="22"/>
        </w:rPr>
        <w:t>five</w:t>
      </w:r>
      <w:r w:rsidR="00594389" w:rsidRPr="000155DA">
        <w:rPr>
          <w:szCs w:val="22"/>
        </w:rPr>
        <w:t xml:space="preserve"> </w:t>
      </w:r>
      <w:r w:rsidR="00B471BF" w:rsidRPr="000155DA">
        <w:rPr>
          <w:szCs w:val="22"/>
        </w:rPr>
        <w:t xml:space="preserve">respondents, grant in part and deny in part the request of </w:t>
      </w:r>
      <w:r w:rsidR="000A27E9" w:rsidRPr="000155DA">
        <w:rPr>
          <w:szCs w:val="22"/>
        </w:rPr>
        <w:t>three</w:t>
      </w:r>
      <w:r w:rsidR="00065F6A" w:rsidRPr="000155DA">
        <w:rPr>
          <w:szCs w:val="22"/>
        </w:rPr>
        <w:t xml:space="preserve"> </w:t>
      </w:r>
      <w:r w:rsidR="00B471BF" w:rsidRPr="000155DA">
        <w:rPr>
          <w:szCs w:val="22"/>
        </w:rPr>
        <w:t>respondent</w:t>
      </w:r>
      <w:r w:rsidR="00065F6A" w:rsidRPr="000155DA">
        <w:rPr>
          <w:szCs w:val="22"/>
        </w:rPr>
        <w:t>s</w:t>
      </w:r>
      <w:r w:rsidR="00B471BF" w:rsidRPr="000155DA">
        <w:rPr>
          <w:szCs w:val="22"/>
        </w:rPr>
        <w:t xml:space="preserve">, and deny the request of </w:t>
      </w:r>
      <w:r w:rsidR="000A27E9" w:rsidRPr="000155DA">
        <w:rPr>
          <w:szCs w:val="22"/>
        </w:rPr>
        <w:t>six</w:t>
      </w:r>
      <w:r w:rsidR="00594389" w:rsidRPr="000155DA">
        <w:rPr>
          <w:szCs w:val="22"/>
        </w:rPr>
        <w:t xml:space="preserve"> </w:t>
      </w:r>
      <w:r w:rsidR="00F225FE" w:rsidRPr="000155DA">
        <w:rPr>
          <w:szCs w:val="22"/>
        </w:rPr>
        <w:t>respondents</w:t>
      </w:r>
      <w:r w:rsidR="00B471BF" w:rsidRPr="000155DA">
        <w:rPr>
          <w:szCs w:val="22"/>
        </w:rPr>
        <w:t>.</w:t>
      </w:r>
      <w:r w:rsidR="00D447DD" w:rsidRPr="000155DA">
        <w:rPr>
          <w:rStyle w:val="FootnoteReference"/>
          <w:sz w:val="22"/>
          <w:szCs w:val="22"/>
        </w:rPr>
        <w:footnoteReference w:id="61"/>
      </w:r>
      <w:r w:rsidR="00B471BF" w:rsidRPr="000155DA">
        <w:rPr>
          <w:szCs w:val="22"/>
        </w:rPr>
        <w:t xml:space="preserve">  </w:t>
      </w:r>
      <w:r w:rsidR="00AB2663" w:rsidRPr="000155DA">
        <w:rPr>
          <w:szCs w:val="22"/>
        </w:rPr>
        <w:t xml:space="preserve">We first discuss our general approach to </w:t>
      </w:r>
      <w:r w:rsidR="005B39F9" w:rsidRPr="000155DA">
        <w:rPr>
          <w:szCs w:val="22"/>
        </w:rPr>
        <w:t xml:space="preserve">evaluating </w:t>
      </w:r>
      <w:r w:rsidR="00AB2663" w:rsidRPr="000155DA">
        <w:rPr>
          <w:szCs w:val="22"/>
        </w:rPr>
        <w:t>these waiver requests, and then we address the individual merits of particular requests.</w:t>
      </w:r>
      <w:r w:rsidR="00AB2663" w:rsidRPr="000155DA">
        <w:rPr>
          <w:rStyle w:val="FootnoteReference"/>
          <w:sz w:val="22"/>
          <w:szCs w:val="22"/>
        </w:rPr>
        <w:footnoteReference w:id="62"/>
      </w:r>
    </w:p>
    <w:p w:rsidR="00BF2BC4" w:rsidRPr="000155DA" w:rsidRDefault="00644F51" w:rsidP="001D7047">
      <w:pPr>
        <w:pStyle w:val="ParaNum"/>
        <w:tabs>
          <w:tab w:val="left" w:pos="2340"/>
        </w:tabs>
        <w:rPr>
          <w:szCs w:val="22"/>
        </w:rPr>
      </w:pPr>
      <w:r w:rsidRPr="000155DA">
        <w:rPr>
          <w:szCs w:val="22"/>
        </w:rPr>
        <w:t xml:space="preserve">As outlined in the </w:t>
      </w:r>
      <w:r w:rsidRPr="000155DA">
        <w:rPr>
          <w:i/>
          <w:szCs w:val="22"/>
        </w:rPr>
        <w:t>Phase II</w:t>
      </w:r>
      <w:r w:rsidRPr="000155DA">
        <w:rPr>
          <w:szCs w:val="22"/>
        </w:rPr>
        <w:t xml:space="preserve"> </w:t>
      </w:r>
      <w:r w:rsidRPr="000155DA">
        <w:rPr>
          <w:i/>
          <w:szCs w:val="22"/>
        </w:rPr>
        <w:t>Challenge Process Order</w:t>
      </w:r>
      <w:r w:rsidRPr="000155DA">
        <w:rPr>
          <w:szCs w:val="22"/>
        </w:rPr>
        <w:t xml:space="preserve">, </w:t>
      </w:r>
      <w:r w:rsidR="00546762" w:rsidRPr="000155DA">
        <w:rPr>
          <w:szCs w:val="22"/>
        </w:rPr>
        <w:t>respondents attempting to show that a block is served must show that all of the Commission’s criteria are met.</w:t>
      </w:r>
      <w:r w:rsidR="000028AD" w:rsidRPr="000155DA">
        <w:rPr>
          <w:rStyle w:val="FootnoteReference"/>
          <w:sz w:val="22"/>
          <w:szCs w:val="22"/>
        </w:rPr>
        <w:footnoteReference w:id="63"/>
      </w:r>
      <w:r w:rsidR="000619A7" w:rsidRPr="000155DA">
        <w:rPr>
          <w:szCs w:val="22"/>
        </w:rPr>
        <w:t xml:space="preserve"> </w:t>
      </w:r>
      <w:r w:rsidR="000155DA" w:rsidRPr="000155DA">
        <w:rPr>
          <w:szCs w:val="22"/>
        </w:rPr>
        <w:t xml:space="preserve"> </w:t>
      </w:r>
      <w:r w:rsidR="004926D5" w:rsidRPr="000155DA">
        <w:rPr>
          <w:szCs w:val="22"/>
        </w:rPr>
        <w:t>Moreover, respondents must provide, for each challenged census block, concrete and verifiable evidence supporting their claim that the challenge should not be granted.</w:t>
      </w:r>
      <w:r w:rsidR="000028AD" w:rsidRPr="000155DA">
        <w:rPr>
          <w:rStyle w:val="FootnoteReference"/>
          <w:sz w:val="22"/>
          <w:szCs w:val="22"/>
        </w:rPr>
        <w:footnoteReference w:id="64"/>
      </w:r>
      <w:r w:rsidR="004926D5" w:rsidRPr="000155DA">
        <w:rPr>
          <w:szCs w:val="22"/>
        </w:rPr>
        <w:t xml:space="preserve">  </w:t>
      </w:r>
      <w:r w:rsidR="00825762" w:rsidRPr="000155DA">
        <w:rPr>
          <w:szCs w:val="22"/>
        </w:rPr>
        <w:t xml:space="preserve">We apply </w:t>
      </w:r>
      <w:r w:rsidR="000619A7" w:rsidRPr="000155DA">
        <w:rPr>
          <w:szCs w:val="22"/>
        </w:rPr>
        <w:t>this</w:t>
      </w:r>
      <w:r w:rsidR="00825762" w:rsidRPr="000155DA">
        <w:rPr>
          <w:szCs w:val="22"/>
        </w:rPr>
        <w:t xml:space="preserve"> standard to those who seek a waiver as well as the replies more generally.  </w:t>
      </w:r>
      <w:r w:rsidR="000D576B" w:rsidRPr="000155DA">
        <w:rPr>
          <w:szCs w:val="22"/>
        </w:rPr>
        <w:t xml:space="preserve">Specifically, </w:t>
      </w:r>
      <w:r w:rsidR="00BA2C7B" w:rsidRPr="000155DA">
        <w:rPr>
          <w:szCs w:val="22"/>
        </w:rPr>
        <w:t xml:space="preserve">during this phase, </w:t>
      </w:r>
      <w:r w:rsidR="000D576B" w:rsidRPr="000155DA">
        <w:rPr>
          <w:szCs w:val="22"/>
        </w:rPr>
        <w:t xml:space="preserve">the Bureau </w:t>
      </w:r>
      <w:r w:rsidR="00BA2C7B" w:rsidRPr="000155DA">
        <w:rPr>
          <w:szCs w:val="22"/>
        </w:rPr>
        <w:t>is</w:t>
      </w:r>
      <w:r w:rsidR="000D576B" w:rsidRPr="000155DA">
        <w:rPr>
          <w:szCs w:val="22"/>
        </w:rPr>
        <w:t xml:space="preserve"> persuaded that good cause to consider a reply exists only when the party presents clear factual information or substantive evidence to support </w:t>
      </w:r>
      <w:r w:rsidR="00F03241" w:rsidRPr="000155DA">
        <w:rPr>
          <w:szCs w:val="22"/>
        </w:rPr>
        <w:t xml:space="preserve">its </w:t>
      </w:r>
      <w:r w:rsidR="000D576B" w:rsidRPr="000155DA">
        <w:rPr>
          <w:szCs w:val="22"/>
        </w:rPr>
        <w:t xml:space="preserve">reasons for not having current or former customers in a </w:t>
      </w:r>
      <w:r w:rsidR="00546762" w:rsidRPr="000155DA">
        <w:rPr>
          <w:szCs w:val="22"/>
        </w:rPr>
        <w:t xml:space="preserve">particular </w:t>
      </w:r>
      <w:r w:rsidR="000D576B" w:rsidRPr="000155DA">
        <w:rPr>
          <w:szCs w:val="22"/>
        </w:rPr>
        <w:t xml:space="preserve">census block. </w:t>
      </w:r>
      <w:r w:rsidRPr="000155DA">
        <w:rPr>
          <w:szCs w:val="22"/>
        </w:rPr>
        <w:t xml:space="preserve"> </w:t>
      </w:r>
      <w:r w:rsidR="000A491A" w:rsidRPr="000155DA">
        <w:rPr>
          <w:szCs w:val="22"/>
        </w:rPr>
        <w:t>That is, a</w:t>
      </w:r>
      <w:r w:rsidR="00AB2663" w:rsidRPr="000155DA">
        <w:rPr>
          <w:szCs w:val="22"/>
        </w:rPr>
        <w:t xml:space="preserve">n argument that they meet </w:t>
      </w:r>
      <w:r w:rsidR="00E658B8" w:rsidRPr="000155DA">
        <w:rPr>
          <w:szCs w:val="22"/>
        </w:rPr>
        <w:t xml:space="preserve">only </w:t>
      </w:r>
      <w:r w:rsidR="00AB2663" w:rsidRPr="000155DA">
        <w:rPr>
          <w:szCs w:val="22"/>
        </w:rPr>
        <w:t xml:space="preserve">the first and the second prongs of the three-prong evidentiary standard for “serving” an area </w:t>
      </w:r>
      <w:r w:rsidR="000A491A" w:rsidRPr="000155DA">
        <w:rPr>
          <w:szCs w:val="22"/>
        </w:rPr>
        <w:t xml:space="preserve">is insufficient without an explanation and evidence to support why </w:t>
      </w:r>
      <w:r w:rsidR="00E658B8" w:rsidRPr="000155DA">
        <w:rPr>
          <w:szCs w:val="22"/>
        </w:rPr>
        <w:t xml:space="preserve">current or former </w:t>
      </w:r>
      <w:r w:rsidR="000A491A" w:rsidRPr="000155DA">
        <w:rPr>
          <w:szCs w:val="22"/>
        </w:rPr>
        <w:t xml:space="preserve">customers </w:t>
      </w:r>
      <w:r w:rsidR="00E658B8" w:rsidRPr="000155DA">
        <w:rPr>
          <w:szCs w:val="22"/>
        </w:rPr>
        <w:t xml:space="preserve">(the third prong) </w:t>
      </w:r>
      <w:r w:rsidR="000A491A" w:rsidRPr="000155DA">
        <w:rPr>
          <w:szCs w:val="22"/>
        </w:rPr>
        <w:t xml:space="preserve">are lacking. </w:t>
      </w:r>
      <w:r w:rsidR="00AB2663" w:rsidRPr="000155DA">
        <w:rPr>
          <w:szCs w:val="22"/>
        </w:rPr>
        <w:t xml:space="preserve"> </w:t>
      </w:r>
      <w:r w:rsidR="000D576B" w:rsidRPr="000155DA">
        <w:rPr>
          <w:szCs w:val="22"/>
        </w:rPr>
        <w:t xml:space="preserve">For example, we are not persuaded by assertions </w:t>
      </w:r>
      <w:r w:rsidRPr="000155DA">
        <w:rPr>
          <w:szCs w:val="22"/>
        </w:rPr>
        <w:t xml:space="preserve">there are few potential </w:t>
      </w:r>
      <w:r w:rsidR="00F60C99" w:rsidRPr="000155DA">
        <w:rPr>
          <w:szCs w:val="22"/>
        </w:rPr>
        <w:t>customers in</w:t>
      </w:r>
      <w:r w:rsidR="000D576B" w:rsidRPr="000155DA">
        <w:rPr>
          <w:szCs w:val="22"/>
        </w:rPr>
        <w:t xml:space="preserve"> a census block without a showing that the census block indeed ha</w:t>
      </w:r>
      <w:r w:rsidRPr="000155DA">
        <w:rPr>
          <w:szCs w:val="22"/>
        </w:rPr>
        <w:t>s relatively few houses and other structures</w:t>
      </w:r>
      <w:r w:rsidR="000D576B" w:rsidRPr="000155DA">
        <w:rPr>
          <w:szCs w:val="22"/>
        </w:rPr>
        <w:t xml:space="preserve">. </w:t>
      </w:r>
      <w:r w:rsidR="00AB2663" w:rsidRPr="000155DA">
        <w:rPr>
          <w:szCs w:val="22"/>
        </w:rPr>
        <w:t xml:space="preserve"> </w:t>
      </w:r>
      <w:r w:rsidR="000D576B" w:rsidRPr="000155DA">
        <w:rPr>
          <w:szCs w:val="22"/>
        </w:rPr>
        <w:t xml:space="preserve">Further, we are not persuaded by </w:t>
      </w:r>
      <w:r w:rsidR="00A15BDE" w:rsidRPr="000155DA">
        <w:rPr>
          <w:szCs w:val="22"/>
        </w:rPr>
        <w:t xml:space="preserve">the argument </w:t>
      </w:r>
      <w:r w:rsidR="00AB2663" w:rsidRPr="000155DA">
        <w:rPr>
          <w:szCs w:val="22"/>
        </w:rPr>
        <w:t xml:space="preserve">that the lack of customers can be explained by low income </w:t>
      </w:r>
      <w:r w:rsidR="00F03241" w:rsidRPr="000155DA">
        <w:rPr>
          <w:szCs w:val="22"/>
        </w:rPr>
        <w:t xml:space="preserve">demographics </w:t>
      </w:r>
      <w:r w:rsidR="000D576B" w:rsidRPr="000155DA">
        <w:rPr>
          <w:szCs w:val="22"/>
        </w:rPr>
        <w:t xml:space="preserve">without substantive evidence </w:t>
      </w:r>
      <w:r w:rsidRPr="000155DA">
        <w:rPr>
          <w:szCs w:val="22"/>
        </w:rPr>
        <w:t>that</w:t>
      </w:r>
      <w:r w:rsidR="00AB2663" w:rsidRPr="000155DA">
        <w:rPr>
          <w:szCs w:val="22"/>
        </w:rPr>
        <w:t xml:space="preserve"> </w:t>
      </w:r>
      <w:r w:rsidR="000D576B" w:rsidRPr="000155DA">
        <w:rPr>
          <w:szCs w:val="22"/>
        </w:rPr>
        <w:t xml:space="preserve">the census block </w:t>
      </w:r>
      <w:r w:rsidR="00CE24AC" w:rsidRPr="000155DA">
        <w:rPr>
          <w:szCs w:val="22"/>
        </w:rPr>
        <w:t xml:space="preserve">is, </w:t>
      </w:r>
      <w:r w:rsidR="00AB2663" w:rsidRPr="000155DA">
        <w:rPr>
          <w:szCs w:val="22"/>
        </w:rPr>
        <w:t>in fact</w:t>
      </w:r>
      <w:r w:rsidR="00CE24AC" w:rsidRPr="000155DA">
        <w:rPr>
          <w:szCs w:val="22"/>
        </w:rPr>
        <w:t>,</w:t>
      </w:r>
      <w:r w:rsidR="00AB2663" w:rsidRPr="000155DA">
        <w:rPr>
          <w:szCs w:val="22"/>
        </w:rPr>
        <w:t xml:space="preserve"> low income.</w:t>
      </w:r>
      <w:r w:rsidR="00605813" w:rsidRPr="000155DA">
        <w:rPr>
          <w:rStyle w:val="FootnoteReference"/>
          <w:sz w:val="22"/>
          <w:szCs w:val="22"/>
        </w:rPr>
        <w:footnoteReference w:id="65"/>
      </w:r>
      <w:r w:rsidR="00AB2663" w:rsidRPr="000155DA">
        <w:rPr>
          <w:szCs w:val="22"/>
        </w:rPr>
        <w:t xml:space="preserve">  </w:t>
      </w:r>
      <w:r w:rsidR="00546762" w:rsidRPr="000155DA">
        <w:rPr>
          <w:szCs w:val="22"/>
        </w:rPr>
        <w:t xml:space="preserve">Finally, we are not persuaded by those requests that present a general indiscriminate list of arguments supporting the grant of a waiver without indicating </w:t>
      </w:r>
      <w:r w:rsidR="003E76B4" w:rsidRPr="000155DA">
        <w:rPr>
          <w:szCs w:val="22"/>
        </w:rPr>
        <w:t xml:space="preserve">to </w:t>
      </w:r>
      <w:r w:rsidR="00546762" w:rsidRPr="000155DA">
        <w:rPr>
          <w:szCs w:val="22"/>
        </w:rPr>
        <w:t>which particular census blocks those arguments apply. </w:t>
      </w:r>
    </w:p>
    <w:p w:rsidR="00605813" w:rsidRPr="000155DA" w:rsidRDefault="00F53127" w:rsidP="00552606">
      <w:pPr>
        <w:pStyle w:val="ParaNum"/>
        <w:rPr>
          <w:szCs w:val="22"/>
        </w:rPr>
      </w:pPr>
      <w:r w:rsidRPr="000155DA">
        <w:rPr>
          <w:szCs w:val="22"/>
        </w:rPr>
        <w:t>We reject</w:t>
      </w:r>
      <w:r w:rsidR="00F03241" w:rsidRPr="000155DA">
        <w:rPr>
          <w:szCs w:val="22"/>
        </w:rPr>
        <w:t>, however,</w:t>
      </w:r>
      <w:r w:rsidRPr="000155DA">
        <w:rPr>
          <w:szCs w:val="22"/>
        </w:rPr>
        <w:t xml:space="preserve"> CenturyLink’s argument that we should not consider </w:t>
      </w:r>
      <w:r w:rsidR="00387B0E" w:rsidRPr="000155DA">
        <w:rPr>
          <w:szCs w:val="22"/>
        </w:rPr>
        <w:t xml:space="preserve">any of </w:t>
      </w:r>
      <w:r w:rsidRPr="000155DA">
        <w:rPr>
          <w:szCs w:val="22"/>
        </w:rPr>
        <w:t>these replies</w:t>
      </w:r>
      <w:r w:rsidR="00F03241" w:rsidRPr="000155DA">
        <w:rPr>
          <w:szCs w:val="22"/>
        </w:rPr>
        <w:t xml:space="preserve"> at all</w:t>
      </w:r>
      <w:r w:rsidRPr="000155DA">
        <w:rPr>
          <w:szCs w:val="22"/>
        </w:rPr>
        <w:t>.</w:t>
      </w:r>
      <w:r w:rsidRPr="000155DA">
        <w:rPr>
          <w:rStyle w:val="FootnoteReference"/>
          <w:sz w:val="22"/>
          <w:szCs w:val="22"/>
        </w:rPr>
        <w:footnoteReference w:id="66"/>
      </w:r>
      <w:r w:rsidRPr="000155DA">
        <w:rPr>
          <w:szCs w:val="22"/>
        </w:rPr>
        <w:t xml:space="preserve">  </w:t>
      </w:r>
      <w:r w:rsidR="00BF2BC4" w:rsidRPr="000155DA">
        <w:rPr>
          <w:szCs w:val="22"/>
        </w:rPr>
        <w:t>We are not persuaded by CenturyLink that low population density should n</w:t>
      </w:r>
      <w:r w:rsidR="00BA32D3" w:rsidRPr="000155DA">
        <w:rPr>
          <w:szCs w:val="22"/>
        </w:rPr>
        <w:t xml:space="preserve">ever </w:t>
      </w:r>
      <w:r w:rsidR="00BF2BC4" w:rsidRPr="000155DA">
        <w:rPr>
          <w:szCs w:val="22"/>
        </w:rPr>
        <w:t>be grounds for a waiver</w:t>
      </w:r>
      <w:r w:rsidR="00DA6E0F" w:rsidRPr="000155DA">
        <w:rPr>
          <w:szCs w:val="22"/>
        </w:rPr>
        <w:t>,</w:t>
      </w:r>
      <w:r w:rsidR="00BF2BC4" w:rsidRPr="000155DA">
        <w:rPr>
          <w:szCs w:val="22"/>
        </w:rPr>
        <w:t xml:space="preserve"> because there is no statistically significant difference between the census blocks for which petitioners seek a waiver and those for which they are not seeking a waiver, and</w:t>
      </w:r>
      <w:r w:rsidR="00DA6E0F" w:rsidRPr="000155DA">
        <w:rPr>
          <w:szCs w:val="22"/>
        </w:rPr>
        <w:t xml:space="preserve"> that</w:t>
      </w:r>
      <w:r w:rsidR="00BF2BC4" w:rsidRPr="000155DA">
        <w:rPr>
          <w:szCs w:val="22"/>
        </w:rPr>
        <w:t xml:space="preserve"> all high-cost areas have low density.</w:t>
      </w:r>
      <w:r w:rsidR="00BF2BC4" w:rsidRPr="000155DA">
        <w:rPr>
          <w:rStyle w:val="FootnoteReference"/>
          <w:sz w:val="22"/>
          <w:szCs w:val="22"/>
        </w:rPr>
        <w:footnoteReference w:id="67"/>
      </w:r>
      <w:r w:rsidR="00BF2BC4" w:rsidRPr="000155DA">
        <w:rPr>
          <w:szCs w:val="22"/>
        </w:rPr>
        <w:t xml:space="preserve">  This argument fails to address the basic point that a census block with only a few homes simply may contain residents who continue to subscribe to the incumbent </w:t>
      </w:r>
      <w:r w:rsidR="00B36EAF" w:rsidRPr="000155DA">
        <w:rPr>
          <w:szCs w:val="22"/>
        </w:rPr>
        <w:t xml:space="preserve">telephone company </w:t>
      </w:r>
      <w:r w:rsidR="00BF2BC4" w:rsidRPr="000155DA">
        <w:rPr>
          <w:szCs w:val="22"/>
        </w:rPr>
        <w:t>for phone service and choose not to subscribe to broadband,</w:t>
      </w:r>
      <w:r w:rsidR="00216BC0" w:rsidRPr="000155DA">
        <w:rPr>
          <w:rStyle w:val="FootnoteReference"/>
          <w:sz w:val="22"/>
          <w:szCs w:val="22"/>
        </w:rPr>
        <w:footnoteReference w:id="68"/>
      </w:r>
      <w:r w:rsidR="00BF2BC4" w:rsidRPr="000155DA">
        <w:rPr>
          <w:szCs w:val="22"/>
        </w:rPr>
        <w:t xml:space="preserve"> even though it is available</w:t>
      </w:r>
      <w:r w:rsidR="00216BC0" w:rsidRPr="000155DA">
        <w:rPr>
          <w:szCs w:val="22"/>
        </w:rPr>
        <w:t>.  We also reject CenturyLink’s argument that granting these waivers is in conflict with the Commission’s goal of extending service to unserved areas.</w:t>
      </w:r>
      <w:r w:rsidR="00222889" w:rsidRPr="000155DA">
        <w:rPr>
          <w:rStyle w:val="FootnoteReference"/>
          <w:sz w:val="22"/>
          <w:szCs w:val="22"/>
        </w:rPr>
        <w:footnoteReference w:id="69"/>
      </w:r>
      <w:r w:rsidR="00216BC0" w:rsidRPr="000155DA">
        <w:rPr>
          <w:szCs w:val="22"/>
        </w:rPr>
        <w:t xml:space="preserve">  The net result of </w:t>
      </w:r>
      <w:r w:rsidR="00A15BDE" w:rsidRPr="000155DA">
        <w:rPr>
          <w:szCs w:val="22"/>
        </w:rPr>
        <w:t xml:space="preserve">granting waivers to </w:t>
      </w:r>
      <w:r w:rsidR="00BB7AD0" w:rsidRPr="000155DA">
        <w:rPr>
          <w:szCs w:val="22"/>
        </w:rPr>
        <w:t>consider</w:t>
      </w:r>
      <w:r w:rsidR="00A15BDE" w:rsidRPr="000155DA">
        <w:rPr>
          <w:szCs w:val="22"/>
        </w:rPr>
        <w:t xml:space="preserve"> some of </w:t>
      </w:r>
      <w:r w:rsidR="00BB7AD0" w:rsidRPr="000155DA">
        <w:rPr>
          <w:szCs w:val="22"/>
        </w:rPr>
        <w:t xml:space="preserve">the replies </w:t>
      </w:r>
      <w:r w:rsidR="00216BC0" w:rsidRPr="000155DA">
        <w:rPr>
          <w:szCs w:val="22"/>
        </w:rPr>
        <w:t>is to remove certain census blocks from eligibility for model-based support, while making other census blocks available for model-based support in order to stay within the overall budget for the offer of model-based support.</w:t>
      </w:r>
      <w:r w:rsidR="00387B0E" w:rsidRPr="000155DA">
        <w:rPr>
          <w:szCs w:val="22"/>
        </w:rPr>
        <w:t xml:space="preserve">  Thus, </w:t>
      </w:r>
      <w:r w:rsidR="000468E8" w:rsidRPr="000155DA">
        <w:rPr>
          <w:szCs w:val="22"/>
        </w:rPr>
        <w:t xml:space="preserve">the full amount of </w:t>
      </w:r>
      <w:r w:rsidR="00387B0E" w:rsidRPr="000155DA">
        <w:rPr>
          <w:szCs w:val="22"/>
        </w:rPr>
        <w:t xml:space="preserve">Phase II funding will be directed to unserved areas.  </w:t>
      </w:r>
    </w:p>
    <w:p w:rsidR="000D5364" w:rsidRPr="000155DA" w:rsidRDefault="00605813" w:rsidP="00552606">
      <w:pPr>
        <w:pStyle w:val="ParaNum"/>
        <w:rPr>
          <w:szCs w:val="22"/>
        </w:rPr>
      </w:pPr>
      <w:r w:rsidRPr="000155DA">
        <w:rPr>
          <w:szCs w:val="22"/>
        </w:rPr>
        <w:t xml:space="preserve">After carefully reviewing each waiver request, we grant </w:t>
      </w:r>
      <w:r w:rsidR="00C57B9B" w:rsidRPr="000155DA">
        <w:rPr>
          <w:szCs w:val="22"/>
        </w:rPr>
        <w:t xml:space="preserve">in their entirety </w:t>
      </w:r>
      <w:r w:rsidRPr="000155DA">
        <w:rPr>
          <w:szCs w:val="22"/>
        </w:rPr>
        <w:t xml:space="preserve">the individual waiver requests of Amplex, Cablevision, </w:t>
      </w:r>
      <w:r w:rsidR="002E3521" w:rsidRPr="000155DA">
        <w:rPr>
          <w:szCs w:val="22"/>
        </w:rPr>
        <w:t>Flint, PVT NetW</w:t>
      </w:r>
      <w:r w:rsidR="00C57B9B" w:rsidRPr="000155DA">
        <w:rPr>
          <w:szCs w:val="22"/>
        </w:rPr>
        <w:t>orks</w:t>
      </w:r>
      <w:r w:rsidR="00E0264D" w:rsidRPr="000155DA">
        <w:rPr>
          <w:szCs w:val="22"/>
        </w:rPr>
        <w:t>, and TV Service</w:t>
      </w:r>
      <w:r w:rsidRPr="000155DA">
        <w:rPr>
          <w:szCs w:val="22"/>
        </w:rPr>
        <w:t xml:space="preserve">.  Each of them provides specific information for all of the blocks for which they seek a waiver.  In particular, Cablevision provides maps to support its contention that the blocks are low density, while the other </w:t>
      </w:r>
      <w:r w:rsidR="000A27E9" w:rsidRPr="000155DA">
        <w:rPr>
          <w:szCs w:val="22"/>
        </w:rPr>
        <w:t>four</w:t>
      </w:r>
      <w:r w:rsidR="00172529" w:rsidRPr="000155DA">
        <w:rPr>
          <w:szCs w:val="22"/>
        </w:rPr>
        <w:t xml:space="preserve"> </w:t>
      </w:r>
      <w:r w:rsidRPr="000155DA">
        <w:rPr>
          <w:szCs w:val="22"/>
        </w:rPr>
        <w:t>provide specific information regarding the number of structures in individual census blocks.</w:t>
      </w:r>
      <w:r w:rsidR="00222889" w:rsidRPr="000155DA">
        <w:rPr>
          <w:szCs w:val="22"/>
        </w:rPr>
        <w:t xml:space="preserve">  </w:t>
      </w:r>
      <w:r w:rsidR="00644F51" w:rsidRPr="000155DA">
        <w:rPr>
          <w:szCs w:val="22"/>
        </w:rPr>
        <w:t xml:space="preserve"> We also grant in substantial part the request of </w:t>
      </w:r>
      <w:r w:rsidR="002E3521" w:rsidRPr="000155DA">
        <w:rPr>
          <w:szCs w:val="22"/>
        </w:rPr>
        <w:t>Custer Telephone Broadband Services</w:t>
      </w:r>
      <w:r w:rsidR="00644F51" w:rsidRPr="000155DA">
        <w:rPr>
          <w:szCs w:val="22"/>
        </w:rPr>
        <w:t xml:space="preserve">, which provides information regarding the number of houses </w:t>
      </w:r>
      <w:r w:rsidR="002374B8" w:rsidRPr="000155DA">
        <w:rPr>
          <w:szCs w:val="22"/>
        </w:rPr>
        <w:t xml:space="preserve">on a block by block basis </w:t>
      </w:r>
      <w:r w:rsidR="00644F51" w:rsidRPr="000155DA">
        <w:rPr>
          <w:szCs w:val="22"/>
        </w:rPr>
        <w:t xml:space="preserve">for </w:t>
      </w:r>
      <w:r w:rsidR="000A27E9" w:rsidRPr="000155DA">
        <w:rPr>
          <w:szCs w:val="22"/>
        </w:rPr>
        <w:t>five</w:t>
      </w:r>
      <w:r w:rsidR="00644F51" w:rsidRPr="000155DA">
        <w:rPr>
          <w:szCs w:val="22"/>
        </w:rPr>
        <w:t xml:space="preserve"> out of </w:t>
      </w:r>
      <w:r w:rsidR="000A27E9" w:rsidRPr="000155DA">
        <w:rPr>
          <w:szCs w:val="22"/>
        </w:rPr>
        <w:t>seven</w:t>
      </w:r>
      <w:r w:rsidR="00644F51" w:rsidRPr="000155DA">
        <w:rPr>
          <w:szCs w:val="22"/>
        </w:rPr>
        <w:t xml:space="preserve"> of the census blocks for which it seeks a waiver.</w:t>
      </w:r>
      <w:r w:rsidR="00216BC0" w:rsidRPr="000155DA">
        <w:rPr>
          <w:szCs w:val="22"/>
        </w:rPr>
        <w:t xml:space="preserve"> </w:t>
      </w:r>
    </w:p>
    <w:p w:rsidR="000D5364" w:rsidRPr="000155DA" w:rsidRDefault="000D5364" w:rsidP="000D5364">
      <w:pPr>
        <w:pStyle w:val="ParaNum"/>
        <w:rPr>
          <w:szCs w:val="22"/>
        </w:rPr>
      </w:pPr>
      <w:r w:rsidRPr="000155DA">
        <w:rPr>
          <w:szCs w:val="22"/>
        </w:rPr>
        <w:t xml:space="preserve">In contrast, we conclude that Armstrong, Northland, Shenandoah Cable, and Vyve have only offered conclusory assertions in support of their waiver request, without any specific information in support of their asserted justifications.  None of them present </w:t>
      </w:r>
      <w:r w:rsidR="002654A9" w:rsidRPr="000155DA">
        <w:rPr>
          <w:szCs w:val="22"/>
        </w:rPr>
        <w:t>any</w:t>
      </w:r>
      <w:r w:rsidRPr="000155DA">
        <w:rPr>
          <w:szCs w:val="22"/>
        </w:rPr>
        <w:t xml:space="preserve"> information regarding the number of housing units or other structures in the census blocks for which they seek a waiver, nor do they provide any information to document the income levels of the census blocks.  Shenandoah argues that it lacks billing records for systems it acquired from other entities, but it fails to </w:t>
      </w:r>
      <w:r w:rsidR="00202D3C" w:rsidRPr="000155DA">
        <w:rPr>
          <w:szCs w:val="22"/>
        </w:rPr>
        <w:t xml:space="preserve">explain whether this is true for all of the census blocks or only some of them.  Moreover, </w:t>
      </w:r>
      <w:r w:rsidR="002654A9" w:rsidRPr="000155DA">
        <w:rPr>
          <w:szCs w:val="22"/>
        </w:rPr>
        <w:t xml:space="preserve">Shenandoah </w:t>
      </w:r>
      <w:r w:rsidR="00202D3C" w:rsidRPr="000155DA">
        <w:rPr>
          <w:szCs w:val="22"/>
        </w:rPr>
        <w:t xml:space="preserve">concedes that </w:t>
      </w:r>
      <w:r w:rsidR="001A52D5" w:rsidRPr="000155DA">
        <w:rPr>
          <w:szCs w:val="22"/>
        </w:rPr>
        <w:t>some amount</w:t>
      </w:r>
      <w:r w:rsidR="00202D3C" w:rsidRPr="000155DA">
        <w:rPr>
          <w:szCs w:val="22"/>
        </w:rPr>
        <w:t xml:space="preserve"> of those acquisitions occurred </w:t>
      </w:r>
      <w:r w:rsidR="001A52D5" w:rsidRPr="000155DA">
        <w:rPr>
          <w:szCs w:val="22"/>
        </w:rPr>
        <w:t xml:space="preserve">up to </w:t>
      </w:r>
      <w:r w:rsidR="00202D3C" w:rsidRPr="000155DA">
        <w:rPr>
          <w:szCs w:val="22"/>
        </w:rPr>
        <w:t>five years ago; the fact it has no records of customers over the last five years is significant.</w:t>
      </w:r>
      <w:r w:rsidRPr="000155DA">
        <w:rPr>
          <w:szCs w:val="22"/>
        </w:rPr>
        <w:t xml:space="preserve">  We therefore conclude that these four service providers have not adequately demonstrated the existence of special circumstances warranting the requested waiver relief.</w:t>
      </w:r>
    </w:p>
    <w:p w:rsidR="00BB7AD0" w:rsidRPr="000155DA" w:rsidRDefault="00E0264D" w:rsidP="00F06C8E">
      <w:pPr>
        <w:pStyle w:val="ParaNum"/>
        <w:rPr>
          <w:szCs w:val="22"/>
        </w:rPr>
      </w:pPr>
      <w:r w:rsidRPr="000155DA">
        <w:rPr>
          <w:szCs w:val="22"/>
        </w:rPr>
        <w:t xml:space="preserve">We grant in part and deny in part the request of Service Electric.  It </w:t>
      </w:r>
      <w:r w:rsidR="00BB7AD0" w:rsidRPr="000155DA">
        <w:rPr>
          <w:szCs w:val="22"/>
        </w:rPr>
        <w:t xml:space="preserve">asks us to </w:t>
      </w:r>
      <w:r w:rsidR="00AD7158" w:rsidRPr="000155DA">
        <w:rPr>
          <w:szCs w:val="22"/>
        </w:rPr>
        <w:t xml:space="preserve">grant relief </w:t>
      </w:r>
      <w:r w:rsidR="007252D5" w:rsidRPr="000155DA">
        <w:rPr>
          <w:szCs w:val="22"/>
        </w:rPr>
        <w:t xml:space="preserve">for two different groups:  33 census blocks in which it has video customers, but no current or former voice or broadband customers, and 44 census blocks in which it lacks any customers – voice, video or broadband.  </w:t>
      </w:r>
      <w:r w:rsidR="00A4496F" w:rsidRPr="000155DA">
        <w:rPr>
          <w:szCs w:val="22"/>
        </w:rPr>
        <w:t>For the latter group, t</w:t>
      </w:r>
      <w:r w:rsidR="007252D5" w:rsidRPr="000155DA">
        <w:rPr>
          <w:szCs w:val="22"/>
        </w:rPr>
        <w:t xml:space="preserve">he company concedes that it lacks </w:t>
      </w:r>
      <w:r w:rsidR="002654A9" w:rsidRPr="000155DA">
        <w:rPr>
          <w:szCs w:val="22"/>
        </w:rPr>
        <w:t xml:space="preserve">a </w:t>
      </w:r>
      <w:r w:rsidR="007252D5" w:rsidRPr="000155DA">
        <w:rPr>
          <w:szCs w:val="22"/>
        </w:rPr>
        <w:t xml:space="preserve">physical plant in those 44 census blocks, asserting that it maintains </w:t>
      </w:r>
      <w:r w:rsidR="002654A9" w:rsidRPr="000155DA">
        <w:rPr>
          <w:szCs w:val="22"/>
        </w:rPr>
        <w:t xml:space="preserve">a </w:t>
      </w:r>
      <w:r w:rsidR="007252D5" w:rsidRPr="000155DA">
        <w:rPr>
          <w:szCs w:val="22"/>
        </w:rPr>
        <w:t>plant in “adjacent” census blocks.</w:t>
      </w:r>
      <w:r w:rsidR="007252D5" w:rsidRPr="000155DA">
        <w:rPr>
          <w:rStyle w:val="FootnoteReference"/>
          <w:sz w:val="22"/>
          <w:szCs w:val="22"/>
        </w:rPr>
        <w:footnoteReference w:id="70"/>
      </w:r>
      <w:r w:rsidR="007252D5" w:rsidRPr="000155DA">
        <w:rPr>
          <w:szCs w:val="22"/>
        </w:rPr>
        <w:t xml:space="preserve">  While we are persuaded that the </w:t>
      </w:r>
      <w:r w:rsidR="00AD7158" w:rsidRPr="000155DA">
        <w:rPr>
          <w:szCs w:val="22"/>
        </w:rPr>
        <w:t xml:space="preserve">existence of </w:t>
      </w:r>
      <w:r w:rsidR="007252D5" w:rsidRPr="000155DA">
        <w:rPr>
          <w:szCs w:val="22"/>
        </w:rPr>
        <w:t xml:space="preserve">video customers in </w:t>
      </w:r>
      <w:r w:rsidR="000D5364" w:rsidRPr="000155DA">
        <w:rPr>
          <w:szCs w:val="22"/>
        </w:rPr>
        <w:t xml:space="preserve">the identified </w:t>
      </w:r>
      <w:r w:rsidR="007252D5" w:rsidRPr="000155DA">
        <w:rPr>
          <w:szCs w:val="22"/>
        </w:rPr>
        <w:t xml:space="preserve">33 census blocks justifies consideration of the </w:t>
      </w:r>
      <w:r w:rsidR="00AD7158" w:rsidRPr="000155DA">
        <w:rPr>
          <w:szCs w:val="22"/>
        </w:rPr>
        <w:t xml:space="preserve">reply with respect to </w:t>
      </w:r>
      <w:r w:rsidR="007252D5" w:rsidRPr="000155DA">
        <w:rPr>
          <w:szCs w:val="22"/>
        </w:rPr>
        <w:t xml:space="preserve">those 33 census blocks, </w:t>
      </w:r>
      <w:r w:rsidR="00A4496F" w:rsidRPr="000155DA">
        <w:rPr>
          <w:szCs w:val="22"/>
        </w:rPr>
        <w:t xml:space="preserve">Service Electric </w:t>
      </w:r>
      <w:r w:rsidR="000D5364" w:rsidRPr="000155DA">
        <w:rPr>
          <w:szCs w:val="22"/>
        </w:rPr>
        <w:t xml:space="preserve">offers no explanation for why </w:t>
      </w:r>
      <w:r w:rsidR="007252D5" w:rsidRPr="000155DA">
        <w:rPr>
          <w:szCs w:val="22"/>
        </w:rPr>
        <w:t xml:space="preserve">it has no customers at all in the latter group of 44 census blocks.  We </w:t>
      </w:r>
      <w:r w:rsidR="000D5364" w:rsidRPr="000155DA">
        <w:rPr>
          <w:szCs w:val="22"/>
        </w:rPr>
        <w:t xml:space="preserve">therefore </w:t>
      </w:r>
      <w:r w:rsidR="007252D5" w:rsidRPr="000155DA">
        <w:rPr>
          <w:szCs w:val="22"/>
        </w:rPr>
        <w:t xml:space="preserve">find </w:t>
      </w:r>
      <w:r w:rsidR="00E6783F" w:rsidRPr="000155DA">
        <w:rPr>
          <w:szCs w:val="22"/>
        </w:rPr>
        <w:t xml:space="preserve">its showing with respect to the 44 census blocks to be </w:t>
      </w:r>
      <w:r w:rsidR="007252D5" w:rsidRPr="000155DA">
        <w:rPr>
          <w:szCs w:val="22"/>
        </w:rPr>
        <w:t xml:space="preserve">insufficient to establish grounds for a waiver.  </w:t>
      </w:r>
    </w:p>
    <w:p w:rsidR="00271416" w:rsidRPr="000155DA" w:rsidRDefault="00271416" w:rsidP="00271416">
      <w:pPr>
        <w:pStyle w:val="ParaNum"/>
        <w:rPr>
          <w:szCs w:val="22"/>
        </w:rPr>
      </w:pPr>
      <w:r w:rsidRPr="000155DA">
        <w:rPr>
          <w:szCs w:val="22"/>
        </w:rPr>
        <w:t xml:space="preserve">Cox asks us to consider </w:t>
      </w:r>
      <w:r w:rsidR="00E0264D" w:rsidRPr="000155DA">
        <w:rPr>
          <w:szCs w:val="22"/>
        </w:rPr>
        <w:t>its</w:t>
      </w:r>
      <w:r w:rsidRPr="000155DA">
        <w:rPr>
          <w:szCs w:val="22"/>
        </w:rPr>
        <w:t xml:space="preserve"> </w:t>
      </w:r>
      <w:r w:rsidR="003F6F0C" w:rsidRPr="000155DA">
        <w:rPr>
          <w:szCs w:val="22"/>
        </w:rPr>
        <w:t xml:space="preserve">waiver </w:t>
      </w:r>
      <w:r w:rsidRPr="000155DA">
        <w:rPr>
          <w:szCs w:val="22"/>
        </w:rPr>
        <w:t>request for 178 census blocks, comprised of two sets of census blocks.</w:t>
      </w:r>
      <w:r w:rsidRPr="000155DA">
        <w:rPr>
          <w:rStyle w:val="FootnoteReference"/>
          <w:sz w:val="22"/>
          <w:szCs w:val="22"/>
        </w:rPr>
        <w:footnoteReference w:id="71"/>
      </w:r>
      <w:r w:rsidR="003F6F0C" w:rsidRPr="000155DA">
        <w:rPr>
          <w:szCs w:val="22"/>
        </w:rPr>
        <w:t xml:space="preserve">  </w:t>
      </w:r>
      <w:r w:rsidR="00A4496F" w:rsidRPr="000155DA">
        <w:rPr>
          <w:szCs w:val="22"/>
        </w:rPr>
        <w:t xml:space="preserve">For </w:t>
      </w:r>
      <w:r w:rsidR="000A27E9" w:rsidRPr="000155DA">
        <w:rPr>
          <w:szCs w:val="22"/>
        </w:rPr>
        <w:t xml:space="preserve">ten </w:t>
      </w:r>
      <w:r w:rsidR="00A4496F" w:rsidRPr="000155DA">
        <w:rPr>
          <w:szCs w:val="22"/>
        </w:rPr>
        <w:t>census blocks, Cox explains that the reason it does not have customers is due to residential developments that have not yet been completed.</w:t>
      </w:r>
      <w:r w:rsidR="00A4496F" w:rsidRPr="000155DA">
        <w:rPr>
          <w:rStyle w:val="FootnoteReference"/>
          <w:sz w:val="22"/>
          <w:szCs w:val="22"/>
        </w:rPr>
        <w:footnoteReference w:id="72"/>
      </w:r>
      <w:r w:rsidR="00A4496F" w:rsidRPr="000155DA">
        <w:rPr>
          <w:szCs w:val="22"/>
        </w:rPr>
        <w:t xml:space="preserve">  We find Cox’s </w:t>
      </w:r>
      <w:r w:rsidR="005F33D8" w:rsidRPr="000155DA">
        <w:rPr>
          <w:szCs w:val="22"/>
        </w:rPr>
        <w:t xml:space="preserve">evidence </w:t>
      </w:r>
      <w:r w:rsidR="00A4496F" w:rsidRPr="000155DA">
        <w:rPr>
          <w:szCs w:val="22"/>
        </w:rPr>
        <w:t>with respect to the</w:t>
      </w:r>
      <w:r w:rsidR="005F33D8" w:rsidRPr="000155DA">
        <w:rPr>
          <w:szCs w:val="22"/>
        </w:rPr>
        <w:t>se</w:t>
      </w:r>
      <w:r w:rsidR="00A4496F" w:rsidRPr="000155DA">
        <w:rPr>
          <w:szCs w:val="22"/>
        </w:rPr>
        <w:t xml:space="preserve"> </w:t>
      </w:r>
      <w:r w:rsidR="000A27E9" w:rsidRPr="000155DA">
        <w:rPr>
          <w:szCs w:val="22"/>
        </w:rPr>
        <w:t xml:space="preserve">ten </w:t>
      </w:r>
      <w:r w:rsidR="00A4496F" w:rsidRPr="000155DA">
        <w:rPr>
          <w:szCs w:val="22"/>
        </w:rPr>
        <w:t xml:space="preserve">census blocks sufficient to grant a waiver. </w:t>
      </w:r>
      <w:r w:rsidR="007643B4" w:rsidRPr="000155DA">
        <w:rPr>
          <w:szCs w:val="22"/>
        </w:rPr>
        <w:t xml:space="preserve"> </w:t>
      </w:r>
      <w:r w:rsidRPr="000155DA">
        <w:rPr>
          <w:szCs w:val="22"/>
        </w:rPr>
        <w:t>For 168 census blocks</w:t>
      </w:r>
      <w:r w:rsidR="00A4496F" w:rsidRPr="000155DA">
        <w:rPr>
          <w:szCs w:val="22"/>
        </w:rPr>
        <w:t>,</w:t>
      </w:r>
      <w:r w:rsidR="005F33D8" w:rsidRPr="000155DA">
        <w:rPr>
          <w:szCs w:val="22"/>
        </w:rPr>
        <w:t xml:space="preserve"> however,</w:t>
      </w:r>
      <w:r w:rsidRPr="000155DA">
        <w:rPr>
          <w:szCs w:val="22"/>
        </w:rPr>
        <w:t xml:space="preserve"> Cox explains that it is unable to determine with certainty whether it has customers due to variances in addresses in its billing database and network facilities database.</w:t>
      </w:r>
      <w:r w:rsidRPr="000155DA">
        <w:rPr>
          <w:rStyle w:val="FootnoteReference"/>
          <w:sz w:val="22"/>
          <w:szCs w:val="22"/>
        </w:rPr>
        <w:footnoteReference w:id="73"/>
      </w:r>
      <w:r w:rsidRPr="000155DA">
        <w:rPr>
          <w:szCs w:val="22"/>
        </w:rPr>
        <w:t xml:space="preserve"> </w:t>
      </w:r>
      <w:r w:rsidR="00E0264D" w:rsidRPr="000155DA">
        <w:rPr>
          <w:szCs w:val="22"/>
        </w:rPr>
        <w:t xml:space="preserve"> </w:t>
      </w:r>
      <w:r w:rsidRPr="000155DA">
        <w:rPr>
          <w:szCs w:val="22"/>
        </w:rPr>
        <w:t>Cox states that in some cases, locations where service is available were entered into the network facilities database when a subdivision was being developed, before street addresses were assigned.</w:t>
      </w:r>
      <w:r w:rsidRPr="000155DA">
        <w:rPr>
          <w:rStyle w:val="FootnoteReference"/>
          <w:sz w:val="22"/>
          <w:szCs w:val="22"/>
        </w:rPr>
        <w:footnoteReference w:id="74"/>
      </w:r>
      <w:r w:rsidRPr="000155DA">
        <w:rPr>
          <w:szCs w:val="22"/>
        </w:rPr>
        <w:t xml:space="preserve"> </w:t>
      </w:r>
      <w:r w:rsidR="00692150" w:rsidRPr="000155DA">
        <w:rPr>
          <w:szCs w:val="22"/>
        </w:rPr>
        <w:t xml:space="preserve"> </w:t>
      </w:r>
      <w:r w:rsidR="005F33D8" w:rsidRPr="000155DA">
        <w:rPr>
          <w:szCs w:val="22"/>
        </w:rPr>
        <w:t xml:space="preserve">However, </w:t>
      </w:r>
      <w:r w:rsidRPr="000155DA">
        <w:rPr>
          <w:szCs w:val="22"/>
        </w:rPr>
        <w:t xml:space="preserve">Cox provides no evidence to support why there are no customers in these blocks, </w:t>
      </w:r>
      <w:r w:rsidR="005F33D8" w:rsidRPr="000155DA">
        <w:rPr>
          <w:szCs w:val="22"/>
        </w:rPr>
        <w:t>and</w:t>
      </w:r>
      <w:r w:rsidR="00AD7158" w:rsidRPr="000155DA">
        <w:rPr>
          <w:szCs w:val="22"/>
        </w:rPr>
        <w:t xml:space="preserve"> instead </w:t>
      </w:r>
      <w:r w:rsidR="005F33D8" w:rsidRPr="000155DA">
        <w:rPr>
          <w:szCs w:val="22"/>
        </w:rPr>
        <w:t>asks</w:t>
      </w:r>
      <w:r w:rsidR="00AD7158" w:rsidRPr="000155DA">
        <w:rPr>
          <w:szCs w:val="22"/>
        </w:rPr>
        <w:t xml:space="preserve"> us to ignore the third prong of the evidentiary standard because of the inadequacies of its internal records.  </w:t>
      </w:r>
      <w:r w:rsidR="00A4496F" w:rsidRPr="000155DA">
        <w:rPr>
          <w:szCs w:val="22"/>
        </w:rPr>
        <w:t>We conclude that inadequacies in Cox’s internal records do not constitute special circumstances justifying a waiver of the requirement to have at least one current or former voice or broadband customer.  Granting relief on this basis would effectively create a loophole that would allow any service provider to claim it has poor records in order to evade the application of the third prong of our evidentiary standard.</w:t>
      </w:r>
      <w:r w:rsidR="00AD7158" w:rsidRPr="000155DA">
        <w:rPr>
          <w:szCs w:val="22"/>
        </w:rPr>
        <w:t xml:space="preserve"> </w:t>
      </w:r>
    </w:p>
    <w:p w:rsidR="00526057" w:rsidRPr="000155DA" w:rsidRDefault="00552606" w:rsidP="00644F51">
      <w:pPr>
        <w:pStyle w:val="ParaNum"/>
        <w:rPr>
          <w:szCs w:val="22"/>
        </w:rPr>
      </w:pPr>
      <w:r w:rsidRPr="000155DA">
        <w:rPr>
          <w:szCs w:val="22"/>
        </w:rPr>
        <w:t xml:space="preserve">Charter asks us to consider a </w:t>
      </w:r>
      <w:r w:rsidR="003F6F0C" w:rsidRPr="000155DA">
        <w:rPr>
          <w:szCs w:val="22"/>
        </w:rPr>
        <w:t xml:space="preserve">waiver </w:t>
      </w:r>
      <w:r w:rsidRPr="000155DA">
        <w:rPr>
          <w:szCs w:val="22"/>
        </w:rPr>
        <w:t>request for 4,</w:t>
      </w:r>
      <w:r w:rsidR="00271416" w:rsidRPr="000155DA">
        <w:rPr>
          <w:szCs w:val="22"/>
        </w:rPr>
        <w:t>323</w:t>
      </w:r>
      <w:r w:rsidRPr="000155DA">
        <w:rPr>
          <w:szCs w:val="22"/>
        </w:rPr>
        <w:t xml:space="preserve"> census blocks.</w:t>
      </w:r>
      <w:r w:rsidR="00271416" w:rsidRPr="000155DA">
        <w:rPr>
          <w:rStyle w:val="FootnoteReference"/>
          <w:sz w:val="22"/>
          <w:szCs w:val="22"/>
        </w:rPr>
        <w:footnoteReference w:id="75"/>
      </w:r>
      <w:r w:rsidRPr="000155DA">
        <w:rPr>
          <w:szCs w:val="22"/>
        </w:rPr>
        <w:t xml:space="preserve">  </w:t>
      </w:r>
      <w:r w:rsidR="003F6F0C" w:rsidRPr="000155DA">
        <w:rPr>
          <w:szCs w:val="22"/>
        </w:rPr>
        <w:t xml:space="preserve">It argues </w:t>
      </w:r>
      <w:r w:rsidR="00015D75" w:rsidRPr="000155DA">
        <w:rPr>
          <w:szCs w:val="22"/>
        </w:rPr>
        <w:t xml:space="preserve">that despite </w:t>
      </w:r>
      <w:r w:rsidR="003F6F0C" w:rsidRPr="000155DA">
        <w:rPr>
          <w:szCs w:val="22"/>
        </w:rPr>
        <w:t xml:space="preserve">its </w:t>
      </w:r>
      <w:r w:rsidR="00015D75" w:rsidRPr="000155DA">
        <w:rPr>
          <w:szCs w:val="22"/>
        </w:rPr>
        <w:t>best efforts</w:t>
      </w:r>
      <w:r w:rsidR="003F6F0C" w:rsidRPr="000155DA">
        <w:rPr>
          <w:szCs w:val="22"/>
        </w:rPr>
        <w:t xml:space="preserve">, it is </w:t>
      </w:r>
      <w:r w:rsidR="00015D75" w:rsidRPr="000155DA">
        <w:rPr>
          <w:szCs w:val="22"/>
        </w:rPr>
        <w:t xml:space="preserve">unable to determine with </w:t>
      </w:r>
      <w:r w:rsidR="00D550A9" w:rsidRPr="000155DA">
        <w:rPr>
          <w:szCs w:val="22"/>
        </w:rPr>
        <w:t>certainty</w:t>
      </w:r>
      <w:r w:rsidR="00015D75" w:rsidRPr="000155DA">
        <w:rPr>
          <w:szCs w:val="22"/>
        </w:rPr>
        <w:t xml:space="preserve"> whether customers exist in these census blocks due to difficulties in matching billing addresses with geolocation information for voice and broadband service</w:t>
      </w:r>
      <w:r w:rsidRPr="000155DA">
        <w:rPr>
          <w:szCs w:val="22"/>
        </w:rPr>
        <w:t>.</w:t>
      </w:r>
      <w:r w:rsidR="007A4C2C" w:rsidRPr="000155DA">
        <w:rPr>
          <w:rStyle w:val="FootnoteReference"/>
          <w:sz w:val="22"/>
          <w:szCs w:val="22"/>
        </w:rPr>
        <w:footnoteReference w:id="76"/>
      </w:r>
      <w:r w:rsidRPr="000155DA">
        <w:rPr>
          <w:szCs w:val="22"/>
        </w:rPr>
        <w:t xml:space="preserve"> </w:t>
      </w:r>
      <w:r w:rsidR="003F6F0C" w:rsidRPr="000155DA">
        <w:rPr>
          <w:szCs w:val="22"/>
        </w:rPr>
        <w:t xml:space="preserve">  </w:t>
      </w:r>
      <w:r w:rsidR="00A4496F" w:rsidRPr="000155DA">
        <w:rPr>
          <w:szCs w:val="22"/>
        </w:rPr>
        <w:t xml:space="preserve">Like we </w:t>
      </w:r>
      <w:r w:rsidR="00526057" w:rsidRPr="000155DA">
        <w:rPr>
          <w:szCs w:val="22"/>
        </w:rPr>
        <w:t>conclude</w:t>
      </w:r>
      <w:r w:rsidR="00A4496F" w:rsidRPr="000155DA">
        <w:rPr>
          <w:szCs w:val="22"/>
        </w:rPr>
        <w:t xml:space="preserve"> for Cox, we do not find inadequacies in internal records to be special circumstances justifying grant of a waiver.  </w:t>
      </w:r>
    </w:p>
    <w:p w:rsidR="000028AD" w:rsidRPr="000155DA" w:rsidRDefault="00015D75" w:rsidP="00644F51">
      <w:pPr>
        <w:pStyle w:val="ParaNum"/>
        <w:rPr>
          <w:szCs w:val="22"/>
        </w:rPr>
      </w:pPr>
      <w:r w:rsidRPr="000155DA">
        <w:rPr>
          <w:szCs w:val="22"/>
        </w:rPr>
        <w:t>Charter</w:t>
      </w:r>
      <w:r w:rsidR="00552606" w:rsidRPr="000155DA">
        <w:rPr>
          <w:szCs w:val="22"/>
        </w:rPr>
        <w:t xml:space="preserve"> </w:t>
      </w:r>
      <w:r w:rsidR="00A4496F" w:rsidRPr="000155DA">
        <w:rPr>
          <w:szCs w:val="22"/>
        </w:rPr>
        <w:t xml:space="preserve">also </w:t>
      </w:r>
      <w:r w:rsidR="003F6F0C" w:rsidRPr="000155DA">
        <w:rPr>
          <w:szCs w:val="22"/>
        </w:rPr>
        <w:t>offers</w:t>
      </w:r>
      <w:r w:rsidR="00552606" w:rsidRPr="000155DA">
        <w:rPr>
          <w:szCs w:val="22"/>
        </w:rPr>
        <w:t xml:space="preserve"> several reasons why there may not be customers in the blocks, including low density, high poverty, and ongoing development.</w:t>
      </w:r>
      <w:r w:rsidR="007A4C2C" w:rsidRPr="000155DA">
        <w:rPr>
          <w:rStyle w:val="FootnoteReference"/>
          <w:sz w:val="22"/>
          <w:szCs w:val="22"/>
        </w:rPr>
        <w:footnoteReference w:id="77"/>
      </w:r>
      <w:r w:rsidR="00552606" w:rsidRPr="000155DA">
        <w:rPr>
          <w:szCs w:val="22"/>
        </w:rPr>
        <w:t xml:space="preserve"> </w:t>
      </w:r>
      <w:r w:rsidR="003F6F0C" w:rsidRPr="000155DA">
        <w:rPr>
          <w:szCs w:val="22"/>
        </w:rPr>
        <w:t xml:space="preserve">  </w:t>
      </w:r>
      <w:r w:rsidR="00552606" w:rsidRPr="000155DA">
        <w:rPr>
          <w:szCs w:val="22"/>
        </w:rPr>
        <w:t>However,</w:t>
      </w:r>
      <w:r w:rsidR="009C5E0F" w:rsidRPr="000155DA">
        <w:rPr>
          <w:szCs w:val="22"/>
        </w:rPr>
        <w:t xml:space="preserve"> </w:t>
      </w:r>
      <w:r w:rsidR="00552606" w:rsidRPr="000155DA">
        <w:rPr>
          <w:szCs w:val="22"/>
        </w:rPr>
        <w:t xml:space="preserve">Charter does not </w:t>
      </w:r>
      <w:r w:rsidR="003F6F0C" w:rsidRPr="000155DA">
        <w:rPr>
          <w:szCs w:val="22"/>
        </w:rPr>
        <w:t xml:space="preserve">provide any specific evidence in support of these assertions, nor does it </w:t>
      </w:r>
      <w:r w:rsidR="00552606" w:rsidRPr="000155DA">
        <w:rPr>
          <w:szCs w:val="22"/>
        </w:rPr>
        <w:t xml:space="preserve">identify for which census blocks </w:t>
      </w:r>
      <w:r w:rsidR="00A4496F" w:rsidRPr="000155DA">
        <w:rPr>
          <w:szCs w:val="22"/>
        </w:rPr>
        <w:t>a particular</w:t>
      </w:r>
      <w:r w:rsidR="00552606" w:rsidRPr="000155DA">
        <w:rPr>
          <w:szCs w:val="22"/>
        </w:rPr>
        <w:t xml:space="preserve"> reas</w:t>
      </w:r>
      <w:r w:rsidR="007A4C2C" w:rsidRPr="000155DA">
        <w:rPr>
          <w:szCs w:val="22"/>
        </w:rPr>
        <w:t>on</w:t>
      </w:r>
      <w:r w:rsidR="00552606" w:rsidRPr="000155DA">
        <w:rPr>
          <w:szCs w:val="22"/>
        </w:rPr>
        <w:t xml:space="preserve"> </w:t>
      </w:r>
      <w:r w:rsidRPr="000155DA">
        <w:rPr>
          <w:szCs w:val="22"/>
        </w:rPr>
        <w:t xml:space="preserve">applies. </w:t>
      </w:r>
      <w:r w:rsidR="003F6F0C" w:rsidRPr="000155DA">
        <w:rPr>
          <w:szCs w:val="22"/>
        </w:rPr>
        <w:t xml:space="preserve"> </w:t>
      </w:r>
      <w:r w:rsidR="00A4496F" w:rsidRPr="000155DA">
        <w:rPr>
          <w:szCs w:val="22"/>
        </w:rPr>
        <w:t xml:space="preserve">Unlike Cox, which identified </w:t>
      </w:r>
      <w:r w:rsidR="000A27E9" w:rsidRPr="000155DA">
        <w:rPr>
          <w:szCs w:val="22"/>
        </w:rPr>
        <w:t xml:space="preserve">ten </w:t>
      </w:r>
      <w:r w:rsidR="00A4496F" w:rsidRPr="000155DA">
        <w:rPr>
          <w:szCs w:val="22"/>
        </w:rPr>
        <w:t>specific census blocks with unfinished residential developments, Charter only asserts that it “may” have deployed plant in new subdivisions,</w:t>
      </w:r>
      <w:r w:rsidR="00A4496F" w:rsidRPr="000155DA">
        <w:rPr>
          <w:rStyle w:val="FootnoteReference"/>
          <w:sz w:val="22"/>
          <w:szCs w:val="22"/>
        </w:rPr>
        <w:footnoteReference w:id="78"/>
      </w:r>
      <w:r w:rsidR="00A4496F" w:rsidRPr="000155DA">
        <w:rPr>
          <w:szCs w:val="22"/>
        </w:rPr>
        <w:t xml:space="preserve"> but it fails to identify for which of the more than 4,300 census blocks this is the case.  Similarly, Charter argues that “many” of the census blocks have video customers,</w:t>
      </w:r>
      <w:r w:rsidR="00A4496F" w:rsidRPr="000155DA">
        <w:rPr>
          <w:rStyle w:val="FootnoteReference"/>
          <w:sz w:val="22"/>
          <w:szCs w:val="22"/>
        </w:rPr>
        <w:footnoteReference w:id="79"/>
      </w:r>
      <w:r w:rsidR="00A4496F" w:rsidRPr="000155DA">
        <w:rPr>
          <w:szCs w:val="22"/>
        </w:rPr>
        <w:t xml:space="preserve"> but, unlike Service Electric, it fails to identify which of the 4,3</w:t>
      </w:r>
      <w:r w:rsidR="00DA7272" w:rsidRPr="000155DA">
        <w:rPr>
          <w:szCs w:val="22"/>
        </w:rPr>
        <w:t>23</w:t>
      </w:r>
      <w:r w:rsidR="00A4496F" w:rsidRPr="000155DA">
        <w:rPr>
          <w:szCs w:val="22"/>
        </w:rPr>
        <w:t xml:space="preserve"> census blocks have video customers, and which do no</w:t>
      </w:r>
      <w:r w:rsidR="00DD09C4" w:rsidRPr="000155DA">
        <w:rPr>
          <w:szCs w:val="22"/>
        </w:rPr>
        <w:t>t</w:t>
      </w:r>
      <w:r w:rsidR="00A4496F" w:rsidRPr="000155DA">
        <w:rPr>
          <w:szCs w:val="22"/>
        </w:rPr>
        <w:t xml:space="preserve">.  </w:t>
      </w:r>
      <w:r w:rsidR="00526057" w:rsidRPr="000155DA">
        <w:rPr>
          <w:szCs w:val="22"/>
        </w:rPr>
        <w:t>Finally, Charter offers the conclusory assertion that “many census blocks are located in extremely rural areas where there are few potential customers,”</w:t>
      </w:r>
      <w:r w:rsidR="00526057" w:rsidRPr="000155DA">
        <w:rPr>
          <w:rStyle w:val="FootnoteReference"/>
          <w:sz w:val="22"/>
          <w:szCs w:val="22"/>
        </w:rPr>
        <w:footnoteReference w:id="80"/>
      </w:r>
      <w:r w:rsidR="00526057" w:rsidRPr="000155DA">
        <w:rPr>
          <w:szCs w:val="22"/>
        </w:rPr>
        <w:t xml:space="preserve"> without identifying which of the more than 4,300 census blocks have few customers or providing information regarding the number of residential or other structures in those blocks.   Information regarding housing counts in each census block is readily available,</w:t>
      </w:r>
      <w:r w:rsidR="00526057" w:rsidRPr="000155DA">
        <w:rPr>
          <w:rStyle w:val="FootnoteReference"/>
          <w:sz w:val="22"/>
          <w:szCs w:val="22"/>
        </w:rPr>
        <w:footnoteReference w:id="81"/>
      </w:r>
      <w:r w:rsidR="00526057" w:rsidRPr="000155DA">
        <w:rPr>
          <w:szCs w:val="22"/>
        </w:rPr>
        <w:t xml:space="preserve"> as demonstrated by the fact that a number of the other smaller service providers provided such information for the census blocks for which they sought a waiver.</w:t>
      </w:r>
      <w:r w:rsidR="00526057" w:rsidRPr="000155DA">
        <w:rPr>
          <w:rStyle w:val="FootnoteReference"/>
          <w:sz w:val="22"/>
          <w:szCs w:val="22"/>
        </w:rPr>
        <w:footnoteReference w:id="82"/>
      </w:r>
      <w:r w:rsidR="00526057" w:rsidRPr="000155DA">
        <w:rPr>
          <w:szCs w:val="22"/>
        </w:rPr>
        <w:t xml:space="preserve">  </w:t>
      </w:r>
    </w:p>
    <w:p w:rsidR="00C57B9B" w:rsidRPr="000155DA" w:rsidRDefault="00CD6EEA" w:rsidP="00644F51">
      <w:pPr>
        <w:pStyle w:val="ParaNum"/>
        <w:rPr>
          <w:szCs w:val="22"/>
        </w:rPr>
      </w:pPr>
      <w:r w:rsidRPr="000155DA">
        <w:rPr>
          <w:szCs w:val="22"/>
        </w:rPr>
        <w:t xml:space="preserve">The census-block specific evidence that </w:t>
      </w:r>
      <w:r w:rsidR="000028AD" w:rsidRPr="000155DA">
        <w:rPr>
          <w:szCs w:val="22"/>
        </w:rPr>
        <w:t xml:space="preserve">Charter provides does not go to the question of why it lacks customers in those blocks.  </w:t>
      </w:r>
      <w:r w:rsidR="00C92F87" w:rsidRPr="000155DA">
        <w:rPr>
          <w:szCs w:val="22"/>
        </w:rPr>
        <w:t>Charter provides marketing materials</w:t>
      </w:r>
      <w:r w:rsidR="00AD74E7" w:rsidRPr="000155DA">
        <w:rPr>
          <w:szCs w:val="22"/>
        </w:rPr>
        <w:t xml:space="preserve"> to support its claim that it offers service</w:t>
      </w:r>
      <w:r w:rsidR="000028AD" w:rsidRPr="000155DA">
        <w:rPr>
          <w:szCs w:val="22"/>
        </w:rPr>
        <w:t>;</w:t>
      </w:r>
      <w:r w:rsidR="00AD74E7" w:rsidRPr="000155DA">
        <w:rPr>
          <w:szCs w:val="22"/>
        </w:rPr>
        <w:t xml:space="preserve"> however, this evidence merely supports that Charter meets the first prong of the three part standard – that Charter holds itself out to the public as able and willing to provide service to the census blocks.</w:t>
      </w:r>
      <w:r w:rsidR="00AD74E7" w:rsidRPr="000155DA">
        <w:rPr>
          <w:rStyle w:val="FootnoteReference"/>
          <w:sz w:val="22"/>
          <w:szCs w:val="22"/>
        </w:rPr>
        <w:footnoteReference w:id="83"/>
      </w:r>
      <w:r w:rsidR="0000550A" w:rsidRPr="000155DA">
        <w:rPr>
          <w:szCs w:val="22"/>
        </w:rPr>
        <w:t xml:space="preserve"> </w:t>
      </w:r>
      <w:r w:rsidR="00AD74E7" w:rsidRPr="000155DA">
        <w:rPr>
          <w:szCs w:val="22"/>
        </w:rPr>
        <w:t xml:space="preserve"> </w:t>
      </w:r>
      <w:r w:rsidR="00DA4D59" w:rsidRPr="000155DA">
        <w:rPr>
          <w:szCs w:val="22"/>
        </w:rPr>
        <w:t>This</w:t>
      </w:r>
      <w:r w:rsidR="0000550A" w:rsidRPr="000155DA">
        <w:rPr>
          <w:szCs w:val="22"/>
        </w:rPr>
        <w:t xml:space="preserve"> evidence</w:t>
      </w:r>
      <w:r w:rsidR="00DA4D59" w:rsidRPr="000155DA">
        <w:rPr>
          <w:szCs w:val="22"/>
        </w:rPr>
        <w:t xml:space="preserve"> does not, by itself,</w:t>
      </w:r>
      <w:r w:rsidR="0000550A" w:rsidRPr="000155DA">
        <w:rPr>
          <w:szCs w:val="22"/>
        </w:rPr>
        <w:t xml:space="preserve"> explain or justif</w:t>
      </w:r>
      <w:r w:rsidR="00DA4D59" w:rsidRPr="000155DA">
        <w:rPr>
          <w:szCs w:val="22"/>
        </w:rPr>
        <w:t>y</w:t>
      </w:r>
      <w:r w:rsidR="0000550A" w:rsidRPr="000155DA">
        <w:rPr>
          <w:szCs w:val="22"/>
        </w:rPr>
        <w:t xml:space="preserve"> the lack of a current or former customer</w:t>
      </w:r>
      <w:r w:rsidR="00C92F87" w:rsidRPr="000155DA">
        <w:rPr>
          <w:szCs w:val="22"/>
        </w:rPr>
        <w:t>, the third prong at issue here</w:t>
      </w:r>
      <w:r w:rsidR="0000550A" w:rsidRPr="000155DA">
        <w:rPr>
          <w:szCs w:val="22"/>
        </w:rPr>
        <w:t xml:space="preserve">.  </w:t>
      </w:r>
      <w:r w:rsidR="000028AD" w:rsidRPr="000155DA">
        <w:rPr>
          <w:szCs w:val="22"/>
        </w:rPr>
        <w:t>Similarly, Charter provide</w:t>
      </w:r>
      <w:r w:rsidR="007244D9" w:rsidRPr="000155DA">
        <w:rPr>
          <w:szCs w:val="22"/>
        </w:rPr>
        <w:t>s</w:t>
      </w:r>
      <w:r w:rsidR="000028AD" w:rsidRPr="000155DA">
        <w:rPr>
          <w:szCs w:val="22"/>
        </w:rPr>
        <w:t xml:space="preserve"> facilities maps for a limited number of census blocks to show where it has node boundaries,</w:t>
      </w:r>
      <w:r w:rsidR="000028AD" w:rsidRPr="000155DA">
        <w:rPr>
          <w:rStyle w:val="FootnoteReference"/>
          <w:sz w:val="22"/>
          <w:szCs w:val="22"/>
        </w:rPr>
        <w:footnoteReference w:id="84"/>
      </w:r>
      <w:r w:rsidR="000028AD" w:rsidRPr="000155DA">
        <w:rPr>
          <w:szCs w:val="22"/>
        </w:rPr>
        <w:t xml:space="preserve"> but that merely supports Charter’s showing that it meets the second prong of the three part standard – that Charter has plant in or adjacent to a small subset of the challenged census blocks.  </w:t>
      </w:r>
      <w:r w:rsidR="00526057" w:rsidRPr="000155DA">
        <w:rPr>
          <w:szCs w:val="22"/>
        </w:rPr>
        <w:t xml:space="preserve">In sum, </w:t>
      </w:r>
      <w:r w:rsidR="0000550A" w:rsidRPr="000155DA">
        <w:rPr>
          <w:szCs w:val="22"/>
        </w:rPr>
        <w:t xml:space="preserve">Charter failed to provide any specific </w:t>
      </w:r>
      <w:r w:rsidR="007A4C2C" w:rsidRPr="000155DA">
        <w:rPr>
          <w:szCs w:val="22"/>
        </w:rPr>
        <w:t>evidence these census blocks are actually low density, high poverty, undergoing current development</w:t>
      </w:r>
      <w:r w:rsidR="0000550A" w:rsidRPr="000155DA">
        <w:rPr>
          <w:szCs w:val="22"/>
        </w:rPr>
        <w:t>,</w:t>
      </w:r>
      <w:r w:rsidR="007A4C2C" w:rsidRPr="000155DA">
        <w:rPr>
          <w:szCs w:val="22"/>
        </w:rPr>
        <w:t xml:space="preserve"> or have existing video customers.  </w:t>
      </w:r>
      <w:r w:rsidR="00552606" w:rsidRPr="000155DA">
        <w:rPr>
          <w:szCs w:val="22"/>
        </w:rPr>
        <w:t xml:space="preserve">Therefore, </w:t>
      </w:r>
      <w:r w:rsidR="0000550A" w:rsidRPr="000155DA">
        <w:rPr>
          <w:szCs w:val="22"/>
        </w:rPr>
        <w:t xml:space="preserve">we conclude based on the submissions before us that </w:t>
      </w:r>
      <w:r w:rsidR="00552606" w:rsidRPr="000155DA">
        <w:rPr>
          <w:szCs w:val="22"/>
        </w:rPr>
        <w:t xml:space="preserve">Charter has not demonstrated special circumstances exist </w:t>
      </w:r>
      <w:r w:rsidR="0000550A" w:rsidRPr="000155DA">
        <w:rPr>
          <w:szCs w:val="22"/>
        </w:rPr>
        <w:t xml:space="preserve">to grant a waiver of the evidentiary requirement that there be at least one </w:t>
      </w:r>
      <w:r w:rsidR="00AD74E7" w:rsidRPr="000155DA">
        <w:rPr>
          <w:szCs w:val="22"/>
        </w:rPr>
        <w:t xml:space="preserve">current or former </w:t>
      </w:r>
      <w:r w:rsidR="0000550A" w:rsidRPr="000155DA">
        <w:rPr>
          <w:szCs w:val="22"/>
        </w:rPr>
        <w:t xml:space="preserve">customer </w:t>
      </w:r>
      <w:r w:rsidR="009E0B52" w:rsidRPr="000155DA">
        <w:rPr>
          <w:szCs w:val="22"/>
        </w:rPr>
        <w:t>for 4,323</w:t>
      </w:r>
      <w:r w:rsidR="00552606" w:rsidRPr="000155DA">
        <w:rPr>
          <w:szCs w:val="22"/>
        </w:rPr>
        <w:t xml:space="preserve"> census blocks.</w:t>
      </w:r>
    </w:p>
    <w:p w:rsidR="002374B8" w:rsidRPr="000155DA" w:rsidRDefault="002374B8" w:rsidP="002374B8">
      <w:pPr>
        <w:pStyle w:val="ParaNum"/>
        <w:rPr>
          <w:szCs w:val="22"/>
        </w:rPr>
      </w:pPr>
      <w:r w:rsidRPr="000155DA">
        <w:rPr>
          <w:szCs w:val="22"/>
        </w:rPr>
        <w:t>Metro</w:t>
      </w:r>
      <w:r w:rsidR="00A80EFB" w:rsidRPr="000155DA">
        <w:rPr>
          <w:szCs w:val="22"/>
        </w:rPr>
        <w:t>C</w:t>
      </w:r>
      <w:r w:rsidRPr="000155DA">
        <w:rPr>
          <w:szCs w:val="22"/>
        </w:rPr>
        <w:t xml:space="preserve">ast Cablevision of New Hampshire asks us to consider alternative evidence in its reply for </w:t>
      </w:r>
      <w:r w:rsidR="00C92F87" w:rsidRPr="000155DA">
        <w:rPr>
          <w:szCs w:val="22"/>
        </w:rPr>
        <w:t>one</w:t>
      </w:r>
      <w:r w:rsidRPr="000155DA">
        <w:rPr>
          <w:szCs w:val="22"/>
        </w:rPr>
        <w:t xml:space="preserve"> census block.  Metro</w:t>
      </w:r>
      <w:r w:rsidR="00A80EFB" w:rsidRPr="000155DA">
        <w:rPr>
          <w:szCs w:val="22"/>
        </w:rPr>
        <w:t>C</w:t>
      </w:r>
      <w:r w:rsidRPr="000155DA">
        <w:rPr>
          <w:szCs w:val="22"/>
        </w:rPr>
        <w:t>ast attempts to justify its request by submitting customer invoices from adjacent census blocks, but fails to provide any explanation whatsoever for why it lacks customers in th</w:t>
      </w:r>
      <w:r w:rsidR="00CD6EEA" w:rsidRPr="000155DA">
        <w:rPr>
          <w:szCs w:val="22"/>
        </w:rPr>
        <w:t>e</w:t>
      </w:r>
      <w:r w:rsidRPr="000155DA">
        <w:rPr>
          <w:szCs w:val="22"/>
        </w:rPr>
        <w:t xml:space="preserve"> census block</w:t>
      </w:r>
      <w:r w:rsidR="00CD6EEA" w:rsidRPr="000155DA">
        <w:rPr>
          <w:szCs w:val="22"/>
        </w:rPr>
        <w:t xml:space="preserve"> for which it seeks a waiver</w:t>
      </w:r>
      <w:r w:rsidRPr="000155DA">
        <w:rPr>
          <w:szCs w:val="22"/>
        </w:rPr>
        <w:t>.  It therefore has not demonstrated special circumstances exist.</w:t>
      </w:r>
      <w:r w:rsidRPr="000155DA">
        <w:rPr>
          <w:rStyle w:val="FootnoteReference"/>
          <w:sz w:val="22"/>
          <w:szCs w:val="22"/>
        </w:rPr>
        <w:footnoteReference w:id="85"/>
      </w:r>
      <w:r w:rsidRPr="000155DA">
        <w:rPr>
          <w:szCs w:val="22"/>
        </w:rPr>
        <w:t xml:space="preserve">  </w:t>
      </w:r>
    </w:p>
    <w:p w:rsidR="006A6C13" w:rsidRPr="000155DA" w:rsidRDefault="006A6C13" w:rsidP="0000550A">
      <w:pPr>
        <w:pStyle w:val="Heading2"/>
        <w:rPr>
          <w:szCs w:val="22"/>
        </w:rPr>
      </w:pPr>
      <w:r w:rsidRPr="000155DA">
        <w:rPr>
          <w:szCs w:val="22"/>
        </w:rPr>
        <w:t>Uncontested Challenges</w:t>
      </w:r>
    </w:p>
    <w:p w:rsidR="006A6C13" w:rsidRPr="000155DA" w:rsidRDefault="006A6C13" w:rsidP="002160A1">
      <w:pPr>
        <w:pStyle w:val="ParaNum"/>
        <w:rPr>
          <w:szCs w:val="22"/>
        </w:rPr>
      </w:pPr>
      <w:r w:rsidRPr="000155DA">
        <w:rPr>
          <w:szCs w:val="22"/>
        </w:rPr>
        <w:t>For the Served to Unserved challenges, collectively, various providers challenged a total of 137,407 census blocks initially classified as served, arguing they were unserved and therefore should be eligible for the offer of model-based support.</w:t>
      </w:r>
      <w:r w:rsidRPr="000155DA">
        <w:rPr>
          <w:rStyle w:val="FootnoteReference"/>
          <w:sz w:val="22"/>
          <w:szCs w:val="22"/>
        </w:rPr>
        <w:footnoteReference w:id="86"/>
      </w:r>
      <w:r w:rsidRPr="000155DA">
        <w:rPr>
          <w:szCs w:val="22"/>
        </w:rPr>
        <w:t xml:space="preserve">  After reviewing those challenges, the Bureau determined that challengers for </w:t>
      </w:r>
      <w:r w:rsidR="00A056F7" w:rsidRPr="000155DA">
        <w:rPr>
          <w:szCs w:val="22"/>
        </w:rPr>
        <w:t>70,868</w:t>
      </w:r>
      <w:r w:rsidRPr="000155DA">
        <w:rPr>
          <w:szCs w:val="22"/>
        </w:rPr>
        <w:t xml:space="preserve"> of those blocks presented a </w:t>
      </w:r>
      <w:r w:rsidR="0022337E" w:rsidRPr="000155DA">
        <w:rPr>
          <w:i/>
          <w:szCs w:val="22"/>
        </w:rPr>
        <w:t>prima facie</w:t>
      </w:r>
      <w:r w:rsidRPr="000155DA">
        <w:rPr>
          <w:szCs w:val="22"/>
        </w:rPr>
        <w:t xml:space="preserve"> case.  No party filed a reply in opposition to the challenge for </w:t>
      </w:r>
      <w:r w:rsidR="00E87D5A">
        <w:rPr>
          <w:szCs w:val="22"/>
        </w:rPr>
        <w:t>48,857</w:t>
      </w:r>
      <w:r w:rsidRPr="000155DA">
        <w:rPr>
          <w:szCs w:val="22"/>
        </w:rPr>
        <w:t xml:space="preserve"> census blocks.  We therefore conclude the challenger met its burden of persuasion that </w:t>
      </w:r>
      <w:r w:rsidR="00E87D5A">
        <w:rPr>
          <w:szCs w:val="22"/>
        </w:rPr>
        <w:t>51,236</w:t>
      </w:r>
      <w:r w:rsidR="00D20A12" w:rsidRPr="000155DA">
        <w:rPr>
          <w:szCs w:val="22"/>
        </w:rPr>
        <w:t xml:space="preserve"> </w:t>
      </w:r>
      <w:r w:rsidRPr="000155DA">
        <w:rPr>
          <w:szCs w:val="22"/>
        </w:rPr>
        <w:t>blocks should be deemed unserved.</w:t>
      </w:r>
      <w:r w:rsidR="00163AED" w:rsidRPr="000155DA">
        <w:rPr>
          <w:rStyle w:val="FootnoteReference"/>
          <w:sz w:val="22"/>
          <w:szCs w:val="22"/>
        </w:rPr>
        <w:footnoteReference w:id="87"/>
      </w:r>
      <w:r w:rsidRPr="000155DA">
        <w:rPr>
          <w:szCs w:val="22"/>
        </w:rPr>
        <w:t xml:space="preserve">  </w:t>
      </w:r>
    </w:p>
    <w:p w:rsidR="006A6C13" w:rsidRPr="000155DA" w:rsidRDefault="006A6C13" w:rsidP="006A6C13">
      <w:pPr>
        <w:pStyle w:val="ParaNum"/>
        <w:rPr>
          <w:szCs w:val="22"/>
        </w:rPr>
      </w:pPr>
      <w:r w:rsidRPr="000155DA">
        <w:rPr>
          <w:szCs w:val="22"/>
        </w:rPr>
        <w:t>For the Unserved to Served challenges, the Bureau received challenges to 37,652 census blocks initially classified as unserved, with the challenger arguing the blocks instead should be treated as served and ineligible for model-based support.</w:t>
      </w:r>
      <w:r w:rsidRPr="000155DA">
        <w:rPr>
          <w:rStyle w:val="FootnoteReference"/>
          <w:sz w:val="22"/>
          <w:szCs w:val="22"/>
        </w:rPr>
        <w:footnoteReference w:id="88"/>
      </w:r>
      <w:r w:rsidRPr="000155DA">
        <w:rPr>
          <w:szCs w:val="22"/>
        </w:rPr>
        <w:t xml:space="preserve">  After reviewing the challenges, the Bureau concluded that challengers for </w:t>
      </w:r>
      <w:r w:rsidR="008D7DDF" w:rsidRPr="000155DA">
        <w:rPr>
          <w:szCs w:val="22"/>
        </w:rPr>
        <w:t>24,225</w:t>
      </w:r>
      <w:r w:rsidRPr="000155DA">
        <w:rPr>
          <w:szCs w:val="22"/>
        </w:rPr>
        <w:t xml:space="preserve"> census blocks presented a </w:t>
      </w:r>
      <w:r w:rsidR="0022337E" w:rsidRPr="000155DA">
        <w:rPr>
          <w:i/>
          <w:szCs w:val="22"/>
        </w:rPr>
        <w:t>prima facie</w:t>
      </w:r>
      <w:r w:rsidRPr="000155DA">
        <w:rPr>
          <w:szCs w:val="22"/>
        </w:rPr>
        <w:t xml:space="preserve"> case.  No party filed a reply in opposition to the challenge for </w:t>
      </w:r>
      <w:r w:rsidR="00E87D5A">
        <w:rPr>
          <w:szCs w:val="22"/>
        </w:rPr>
        <w:t>12,991</w:t>
      </w:r>
      <w:r w:rsidRPr="000155DA">
        <w:rPr>
          <w:szCs w:val="22"/>
        </w:rPr>
        <w:t xml:space="preserve"> census blocks. </w:t>
      </w:r>
      <w:r w:rsidR="00DD09C4" w:rsidRPr="000155DA">
        <w:rPr>
          <w:szCs w:val="22"/>
        </w:rPr>
        <w:t xml:space="preserve"> </w:t>
      </w:r>
      <w:r w:rsidRPr="000155DA">
        <w:rPr>
          <w:szCs w:val="22"/>
        </w:rPr>
        <w:t xml:space="preserve">We therefore now conclude that the challenger met its burden of persuasion that </w:t>
      </w:r>
      <w:r w:rsidR="00E87D5A">
        <w:rPr>
          <w:szCs w:val="22"/>
        </w:rPr>
        <w:t>15,098</w:t>
      </w:r>
      <w:r w:rsidRPr="000155DA">
        <w:rPr>
          <w:szCs w:val="22"/>
        </w:rPr>
        <w:t xml:space="preserve"> blocks should be deemed served.</w:t>
      </w:r>
      <w:r w:rsidR="00163AED" w:rsidRPr="000155DA">
        <w:rPr>
          <w:rStyle w:val="FootnoteReference"/>
          <w:sz w:val="22"/>
          <w:szCs w:val="22"/>
        </w:rPr>
        <w:footnoteReference w:id="89"/>
      </w:r>
    </w:p>
    <w:p w:rsidR="005A77C9" w:rsidRPr="000155DA" w:rsidRDefault="00F87827" w:rsidP="00F06C8E">
      <w:pPr>
        <w:pStyle w:val="Heading2"/>
        <w:rPr>
          <w:szCs w:val="22"/>
        </w:rPr>
      </w:pPr>
      <w:r w:rsidRPr="000155DA">
        <w:rPr>
          <w:szCs w:val="22"/>
        </w:rPr>
        <w:t xml:space="preserve">Contested </w:t>
      </w:r>
      <w:r w:rsidR="005A77C9" w:rsidRPr="000155DA">
        <w:rPr>
          <w:szCs w:val="22"/>
        </w:rPr>
        <w:t>Challenges</w:t>
      </w:r>
    </w:p>
    <w:p w:rsidR="00413DF5" w:rsidRPr="000155DA" w:rsidRDefault="00413DF5" w:rsidP="00730268">
      <w:pPr>
        <w:pStyle w:val="ParaNum"/>
        <w:tabs>
          <w:tab w:val="clear" w:pos="1440"/>
          <w:tab w:val="num" w:pos="-2880"/>
        </w:tabs>
        <w:rPr>
          <w:szCs w:val="22"/>
        </w:rPr>
      </w:pPr>
      <w:r w:rsidRPr="000155DA">
        <w:rPr>
          <w:szCs w:val="22"/>
        </w:rPr>
        <w:t xml:space="preserve">For the </w:t>
      </w:r>
      <w:r w:rsidR="005B390D" w:rsidRPr="000155DA">
        <w:rPr>
          <w:szCs w:val="22"/>
        </w:rPr>
        <w:t>S</w:t>
      </w:r>
      <w:r w:rsidRPr="000155DA">
        <w:rPr>
          <w:szCs w:val="22"/>
        </w:rPr>
        <w:t xml:space="preserve">erved to </w:t>
      </w:r>
      <w:r w:rsidR="005B390D" w:rsidRPr="000155DA">
        <w:rPr>
          <w:szCs w:val="22"/>
        </w:rPr>
        <w:t>U</w:t>
      </w:r>
      <w:r w:rsidRPr="000155DA">
        <w:rPr>
          <w:szCs w:val="22"/>
        </w:rPr>
        <w:t xml:space="preserve">nserved challenges, </w:t>
      </w:r>
      <w:r w:rsidR="00F87827" w:rsidRPr="000155DA">
        <w:rPr>
          <w:szCs w:val="22"/>
        </w:rPr>
        <w:t>there were</w:t>
      </w:r>
      <w:r w:rsidRPr="000155DA">
        <w:rPr>
          <w:szCs w:val="22"/>
        </w:rPr>
        <w:t xml:space="preserve"> </w:t>
      </w:r>
      <w:r w:rsidR="00B47D14">
        <w:rPr>
          <w:szCs w:val="22"/>
        </w:rPr>
        <w:t>21,935</w:t>
      </w:r>
      <w:r w:rsidRPr="000155DA">
        <w:rPr>
          <w:szCs w:val="22"/>
        </w:rPr>
        <w:t xml:space="preserve"> blocks</w:t>
      </w:r>
      <w:r w:rsidR="00F87827" w:rsidRPr="000155DA">
        <w:rPr>
          <w:szCs w:val="22"/>
        </w:rPr>
        <w:t xml:space="preserve"> for whic</w:t>
      </w:r>
      <w:r w:rsidR="00EE71A3" w:rsidRPr="000155DA">
        <w:rPr>
          <w:szCs w:val="22"/>
        </w:rPr>
        <w:t>h</w:t>
      </w:r>
      <w:r w:rsidRPr="000155DA">
        <w:rPr>
          <w:szCs w:val="22"/>
        </w:rPr>
        <w:t xml:space="preserve"> replies were received.</w:t>
      </w:r>
      <w:r w:rsidR="00DD09C4" w:rsidRPr="000155DA">
        <w:rPr>
          <w:rStyle w:val="FootnoteReference"/>
          <w:sz w:val="22"/>
          <w:szCs w:val="22"/>
        </w:rPr>
        <w:footnoteReference w:id="90"/>
      </w:r>
      <w:r w:rsidRPr="000155DA">
        <w:rPr>
          <w:szCs w:val="22"/>
        </w:rPr>
        <w:t xml:space="preserve">  Of</w:t>
      </w:r>
      <w:r w:rsidR="004E74BE" w:rsidRPr="000155DA">
        <w:rPr>
          <w:szCs w:val="22"/>
        </w:rPr>
        <w:t xml:space="preserve"> </w:t>
      </w:r>
      <w:r w:rsidR="005B426B" w:rsidRPr="000155DA">
        <w:rPr>
          <w:szCs w:val="22"/>
        </w:rPr>
        <w:t>this</w:t>
      </w:r>
      <w:r w:rsidRPr="000155DA">
        <w:rPr>
          <w:szCs w:val="22"/>
        </w:rPr>
        <w:t xml:space="preserve"> group, we now conclude</w:t>
      </w:r>
      <w:r w:rsidR="00270FE4" w:rsidRPr="000155DA">
        <w:rPr>
          <w:szCs w:val="22"/>
        </w:rPr>
        <w:t xml:space="preserve"> that</w:t>
      </w:r>
      <w:r w:rsidRPr="000155DA">
        <w:rPr>
          <w:szCs w:val="22"/>
        </w:rPr>
        <w:t xml:space="preserve">, based on review of the evidence presented both </w:t>
      </w:r>
      <w:r w:rsidR="00270FE4" w:rsidRPr="000155DA">
        <w:rPr>
          <w:szCs w:val="22"/>
        </w:rPr>
        <w:t xml:space="preserve">in the challenge and the reply, </w:t>
      </w:r>
      <w:r w:rsidR="00DE0F35" w:rsidRPr="000155DA">
        <w:rPr>
          <w:szCs w:val="22"/>
        </w:rPr>
        <w:t>5,787</w:t>
      </w:r>
      <w:r w:rsidR="00625129" w:rsidRPr="000155DA">
        <w:rPr>
          <w:szCs w:val="22"/>
        </w:rPr>
        <w:t xml:space="preserve"> </w:t>
      </w:r>
      <w:r w:rsidR="000B17B6" w:rsidRPr="000155DA">
        <w:rPr>
          <w:szCs w:val="22"/>
        </w:rPr>
        <w:t>census blocks</w:t>
      </w:r>
      <w:r w:rsidRPr="000155DA">
        <w:rPr>
          <w:szCs w:val="22"/>
        </w:rPr>
        <w:t xml:space="preserve"> should </w:t>
      </w:r>
      <w:r w:rsidR="006344AF" w:rsidRPr="000155DA">
        <w:rPr>
          <w:szCs w:val="22"/>
        </w:rPr>
        <w:t>be</w:t>
      </w:r>
      <w:r w:rsidR="000B17B6" w:rsidRPr="000155DA">
        <w:rPr>
          <w:szCs w:val="22"/>
        </w:rPr>
        <w:t xml:space="preserve"> </w:t>
      </w:r>
      <w:r w:rsidRPr="000155DA">
        <w:rPr>
          <w:szCs w:val="22"/>
        </w:rPr>
        <w:t>treated as unserved (the challenge</w:t>
      </w:r>
      <w:r w:rsidR="005B390D" w:rsidRPr="000155DA">
        <w:rPr>
          <w:szCs w:val="22"/>
        </w:rPr>
        <w:t xml:space="preserve"> is granted</w:t>
      </w:r>
      <w:r w:rsidRPr="000155DA">
        <w:rPr>
          <w:szCs w:val="22"/>
        </w:rPr>
        <w:t>)</w:t>
      </w:r>
      <w:r w:rsidR="0039497A" w:rsidRPr="000155DA">
        <w:rPr>
          <w:szCs w:val="22"/>
        </w:rPr>
        <w:t>,</w:t>
      </w:r>
      <w:r w:rsidRPr="000155DA">
        <w:rPr>
          <w:szCs w:val="22"/>
        </w:rPr>
        <w:t xml:space="preserve"> and </w:t>
      </w:r>
      <w:r w:rsidR="00E87D5A">
        <w:rPr>
          <w:szCs w:val="22"/>
        </w:rPr>
        <w:t>16,113</w:t>
      </w:r>
      <w:r w:rsidRPr="000155DA">
        <w:rPr>
          <w:szCs w:val="22"/>
        </w:rPr>
        <w:t xml:space="preserve"> </w:t>
      </w:r>
      <w:r w:rsidR="000B17B6" w:rsidRPr="000155DA">
        <w:rPr>
          <w:szCs w:val="22"/>
        </w:rPr>
        <w:t xml:space="preserve">census blocks </w:t>
      </w:r>
      <w:r w:rsidRPr="000155DA">
        <w:rPr>
          <w:szCs w:val="22"/>
        </w:rPr>
        <w:t>should be treated as served (</w:t>
      </w:r>
      <w:r w:rsidR="000B17B6" w:rsidRPr="000155DA">
        <w:rPr>
          <w:szCs w:val="22"/>
        </w:rPr>
        <w:t>the</w:t>
      </w:r>
      <w:r w:rsidRPr="000155DA">
        <w:rPr>
          <w:szCs w:val="22"/>
        </w:rPr>
        <w:t xml:space="preserve"> </w:t>
      </w:r>
      <w:r w:rsidR="005B390D" w:rsidRPr="000155DA">
        <w:rPr>
          <w:szCs w:val="22"/>
        </w:rPr>
        <w:t>challenge is denied</w:t>
      </w:r>
      <w:r w:rsidRPr="000155DA">
        <w:rPr>
          <w:szCs w:val="22"/>
        </w:rPr>
        <w:t xml:space="preserve">).  </w:t>
      </w:r>
    </w:p>
    <w:p w:rsidR="00413DF5" w:rsidRPr="000155DA" w:rsidRDefault="00413DF5" w:rsidP="00730268">
      <w:pPr>
        <w:pStyle w:val="ParaNum"/>
        <w:tabs>
          <w:tab w:val="clear" w:pos="1440"/>
          <w:tab w:val="num" w:pos="-2880"/>
        </w:tabs>
        <w:rPr>
          <w:szCs w:val="22"/>
        </w:rPr>
      </w:pPr>
      <w:r w:rsidRPr="000155DA">
        <w:rPr>
          <w:szCs w:val="22"/>
        </w:rPr>
        <w:t xml:space="preserve">For the </w:t>
      </w:r>
      <w:r w:rsidR="005B390D" w:rsidRPr="000155DA">
        <w:rPr>
          <w:szCs w:val="22"/>
        </w:rPr>
        <w:t>U</w:t>
      </w:r>
      <w:r w:rsidRPr="000155DA">
        <w:rPr>
          <w:szCs w:val="22"/>
        </w:rPr>
        <w:t xml:space="preserve">nserved to </w:t>
      </w:r>
      <w:r w:rsidR="005B390D" w:rsidRPr="000155DA">
        <w:rPr>
          <w:szCs w:val="22"/>
        </w:rPr>
        <w:t>S</w:t>
      </w:r>
      <w:r w:rsidRPr="000155DA">
        <w:rPr>
          <w:szCs w:val="22"/>
        </w:rPr>
        <w:t xml:space="preserve">erved challenges, </w:t>
      </w:r>
      <w:r w:rsidR="00F87827" w:rsidRPr="000155DA">
        <w:rPr>
          <w:szCs w:val="22"/>
        </w:rPr>
        <w:t xml:space="preserve">there were </w:t>
      </w:r>
      <w:r w:rsidR="00B47D14">
        <w:rPr>
          <w:szCs w:val="22"/>
        </w:rPr>
        <w:t>8,958</w:t>
      </w:r>
      <w:r w:rsidRPr="000155DA">
        <w:rPr>
          <w:szCs w:val="22"/>
        </w:rPr>
        <w:t xml:space="preserve"> census blocks</w:t>
      </w:r>
      <w:r w:rsidR="005B390D" w:rsidRPr="000155DA">
        <w:rPr>
          <w:szCs w:val="22"/>
        </w:rPr>
        <w:t xml:space="preserve"> for which</w:t>
      </w:r>
      <w:r w:rsidR="00F87827" w:rsidRPr="000155DA">
        <w:rPr>
          <w:szCs w:val="22"/>
        </w:rPr>
        <w:t xml:space="preserve"> </w:t>
      </w:r>
      <w:r w:rsidRPr="000155DA">
        <w:rPr>
          <w:szCs w:val="22"/>
        </w:rPr>
        <w:t xml:space="preserve">replies were received.  Of </w:t>
      </w:r>
      <w:r w:rsidR="005B426B" w:rsidRPr="000155DA">
        <w:rPr>
          <w:szCs w:val="22"/>
        </w:rPr>
        <w:t>this</w:t>
      </w:r>
      <w:r w:rsidRPr="000155DA">
        <w:rPr>
          <w:szCs w:val="22"/>
        </w:rPr>
        <w:t xml:space="preserve"> group, we now conclude that, based on review of the evidence provided in bo</w:t>
      </w:r>
      <w:r w:rsidR="00270FE4" w:rsidRPr="000155DA">
        <w:rPr>
          <w:szCs w:val="22"/>
        </w:rPr>
        <w:t xml:space="preserve">th the challenge and the reply, </w:t>
      </w:r>
      <w:r w:rsidR="00E87D5A">
        <w:rPr>
          <w:szCs w:val="22"/>
        </w:rPr>
        <w:t>7,291</w:t>
      </w:r>
      <w:r w:rsidR="00310A44" w:rsidRPr="000155DA">
        <w:rPr>
          <w:szCs w:val="22"/>
        </w:rPr>
        <w:t xml:space="preserve"> </w:t>
      </w:r>
      <w:r w:rsidRPr="000155DA">
        <w:rPr>
          <w:szCs w:val="22"/>
        </w:rPr>
        <w:t xml:space="preserve">census blocks should </w:t>
      </w:r>
      <w:r w:rsidR="005B390D" w:rsidRPr="000155DA">
        <w:rPr>
          <w:szCs w:val="22"/>
        </w:rPr>
        <w:t xml:space="preserve">be </w:t>
      </w:r>
      <w:r w:rsidRPr="000155DA">
        <w:rPr>
          <w:szCs w:val="22"/>
        </w:rPr>
        <w:t xml:space="preserve">treated </w:t>
      </w:r>
      <w:r w:rsidR="00800E6D" w:rsidRPr="000155DA">
        <w:rPr>
          <w:szCs w:val="22"/>
        </w:rPr>
        <w:t>as served (</w:t>
      </w:r>
      <w:r w:rsidRPr="000155DA">
        <w:rPr>
          <w:szCs w:val="22"/>
        </w:rPr>
        <w:t>the challenge</w:t>
      </w:r>
      <w:r w:rsidR="005B390D" w:rsidRPr="000155DA">
        <w:rPr>
          <w:szCs w:val="22"/>
        </w:rPr>
        <w:t xml:space="preserve"> is granted</w:t>
      </w:r>
      <w:r w:rsidRPr="000155DA">
        <w:rPr>
          <w:szCs w:val="22"/>
        </w:rPr>
        <w:t xml:space="preserve">), and </w:t>
      </w:r>
      <w:r w:rsidR="00E87D5A">
        <w:rPr>
          <w:szCs w:val="22"/>
        </w:rPr>
        <w:t>1,667</w:t>
      </w:r>
      <w:r w:rsidRPr="000155DA">
        <w:rPr>
          <w:szCs w:val="22"/>
        </w:rPr>
        <w:t xml:space="preserve"> census blocks should be </w:t>
      </w:r>
      <w:r w:rsidR="006344AF" w:rsidRPr="000155DA">
        <w:rPr>
          <w:szCs w:val="22"/>
        </w:rPr>
        <w:t>treated</w:t>
      </w:r>
      <w:r w:rsidRPr="000155DA">
        <w:rPr>
          <w:szCs w:val="22"/>
        </w:rPr>
        <w:t xml:space="preserve"> as unserved (the </w:t>
      </w:r>
      <w:r w:rsidR="005B390D" w:rsidRPr="000155DA">
        <w:rPr>
          <w:szCs w:val="22"/>
        </w:rPr>
        <w:t>challenge is denied</w:t>
      </w:r>
      <w:r w:rsidRPr="000155DA">
        <w:rPr>
          <w:szCs w:val="22"/>
        </w:rPr>
        <w:t xml:space="preserve">). </w:t>
      </w:r>
    </w:p>
    <w:p w:rsidR="00C07AD8" w:rsidRPr="000155DA" w:rsidRDefault="00721AF6" w:rsidP="00C83E66">
      <w:pPr>
        <w:pStyle w:val="ParaNum"/>
        <w:tabs>
          <w:tab w:val="clear" w:pos="1440"/>
          <w:tab w:val="num" w:pos="-2880"/>
        </w:tabs>
        <w:rPr>
          <w:szCs w:val="22"/>
        </w:rPr>
      </w:pPr>
      <w:r w:rsidRPr="000155DA">
        <w:rPr>
          <w:szCs w:val="22"/>
        </w:rPr>
        <w:t>In reviewing contested challenges, we considered all the evidence filed</w:t>
      </w:r>
      <w:r w:rsidR="0039497A" w:rsidRPr="000155DA">
        <w:rPr>
          <w:szCs w:val="22"/>
        </w:rPr>
        <w:t xml:space="preserve"> in both the challenge and the reply</w:t>
      </w:r>
      <w:r w:rsidRPr="000155DA">
        <w:rPr>
          <w:szCs w:val="22"/>
        </w:rPr>
        <w:t xml:space="preserve">, which included customer records, customer invoices, plant and other facilities maps, employee statements and declarations, advertising materials, website screenshots, and test data.  </w:t>
      </w:r>
      <w:r w:rsidR="000930B3" w:rsidRPr="000155DA">
        <w:rPr>
          <w:szCs w:val="22"/>
        </w:rPr>
        <w:t xml:space="preserve">As a general matter, </w:t>
      </w:r>
      <w:r w:rsidR="00DD09C4" w:rsidRPr="000155DA">
        <w:rPr>
          <w:szCs w:val="22"/>
        </w:rPr>
        <w:t>for those providers that were able to certify they served a census block,</w:t>
      </w:r>
      <w:r w:rsidR="002374B8" w:rsidRPr="000155DA">
        <w:rPr>
          <w:szCs w:val="22"/>
        </w:rPr>
        <w:t xml:space="preserve"> </w:t>
      </w:r>
      <w:r w:rsidR="000930B3" w:rsidRPr="000155DA">
        <w:rPr>
          <w:szCs w:val="22"/>
        </w:rPr>
        <w:t xml:space="preserve">we find a service provider’s declaration that it serves an area, when coupled with </w:t>
      </w:r>
      <w:r w:rsidR="002C0D6A" w:rsidRPr="000155DA">
        <w:rPr>
          <w:szCs w:val="22"/>
        </w:rPr>
        <w:t xml:space="preserve">network </w:t>
      </w:r>
      <w:r w:rsidR="000930B3" w:rsidRPr="000155DA">
        <w:rPr>
          <w:szCs w:val="22"/>
        </w:rPr>
        <w:t xml:space="preserve">maps, </w:t>
      </w:r>
      <w:r w:rsidR="002C0D6A" w:rsidRPr="000155DA">
        <w:rPr>
          <w:szCs w:val="22"/>
        </w:rPr>
        <w:t xml:space="preserve">publicly available descriptions of service offerings, </w:t>
      </w:r>
      <w:r w:rsidR="000930B3" w:rsidRPr="000155DA">
        <w:rPr>
          <w:szCs w:val="22"/>
        </w:rPr>
        <w:t xml:space="preserve">advertising materials, and </w:t>
      </w:r>
      <w:r w:rsidR="00FD2590" w:rsidRPr="000155DA">
        <w:rPr>
          <w:szCs w:val="22"/>
        </w:rPr>
        <w:t xml:space="preserve">similar </w:t>
      </w:r>
      <w:r w:rsidR="000930B3" w:rsidRPr="000155DA">
        <w:rPr>
          <w:szCs w:val="22"/>
        </w:rPr>
        <w:t>documents to be more persuasive than a price cap carrier’s assertion that an area should be treated unserved because, for instance, there is no recent evidence of number porting,</w:t>
      </w:r>
      <w:r w:rsidR="00197CE3" w:rsidRPr="000155DA">
        <w:rPr>
          <w:rStyle w:val="FootnoteReference"/>
          <w:sz w:val="22"/>
          <w:szCs w:val="22"/>
        </w:rPr>
        <w:footnoteReference w:id="91"/>
      </w:r>
      <w:r w:rsidR="000930B3" w:rsidRPr="000155DA">
        <w:rPr>
          <w:szCs w:val="22"/>
        </w:rPr>
        <w:t xml:space="preserve"> </w:t>
      </w:r>
      <w:r w:rsidR="00197CE3" w:rsidRPr="000155DA">
        <w:rPr>
          <w:szCs w:val="22"/>
        </w:rPr>
        <w:t xml:space="preserve">no indication </w:t>
      </w:r>
      <w:r w:rsidR="000930B3" w:rsidRPr="000155DA">
        <w:rPr>
          <w:szCs w:val="22"/>
        </w:rPr>
        <w:t xml:space="preserve">of IP traffic </w:t>
      </w:r>
      <w:r w:rsidR="00FD2590" w:rsidRPr="000155DA">
        <w:rPr>
          <w:szCs w:val="22"/>
        </w:rPr>
        <w:t xml:space="preserve">to the census blocks </w:t>
      </w:r>
      <w:r w:rsidR="000930B3" w:rsidRPr="000155DA">
        <w:rPr>
          <w:szCs w:val="22"/>
        </w:rPr>
        <w:t>in question</w:t>
      </w:r>
      <w:r w:rsidR="00197CE3" w:rsidRPr="000155DA">
        <w:rPr>
          <w:szCs w:val="22"/>
        </w:rPr>
        <w:t>,</w:t>
      </w:r>
      <w:r w:rsidR="002620E4" w:rsidRPr="000155DA">
        <w:rPr>
          <w:rStyle w:val="FootnoteReference"/>
          <w:sz w:val="22"/>
          <w:szCs w:val="22"/>
        </w:rPr>
        <w:footnoteReference w:id="92"/>
      </w:r>
      <w:r w:rsidR="00197CE3" w:rsidRPr="000155DA">
        <w:rPr>
          <w:szCs w:val="22"/>
        </w:rPr>
        <w:t xml:space="preserve"> or </w:t>
      </w:r>
      <w:r w:rsidR="002620E4" w:rsidRPr="000155DA">
        <w:rPr>
          <w:szCs w:val="22"/>
        </w:rPr>
        <w:t xml:space="preserve">a </w:t>
      </w:r>
      <w:r w:rsidR="00197CE3" w:rsidRPr="000155DA">
        <w:rPr>
          <w:szCs w:val="22"/>
        </w:rPr>
        <w:t xml:space="preserve">failure on the part of the competitor to file </w:t>
      </w:r>
      <w:r w:rsidR="002620E4" w:rsidRPr="000155DA">
        <w:rPr>
          <w:szCs w:val="22"/>
        </w:rPr>
        <w:t>an annual CPNI certification, or FCC Form 499 or Form 477</w:t>
      </w:r>
      <w:r w:rsidR="000930B3" w:rsidRPr="000155DA">
        <w:rPr>
          <w:szCs w:val="22"/>
        </w:rPr>
        <w:t>.</w:t>
      </w:r>
      <w:r w:rsidR="002620E4" w:rsidRPr="000155DA">
        <w:rPr>
          <w:rStyle w:val="FootnoteReference"/>
          <w:sz w:val="22"/>
          <w:szCs w:val="22"/>
        </w:rPr>
        <w:footnoteReference w:id="93"/>
      </w:r>
      <w:r w:rsidR="002C0D6A" w:rsidRPr="000155DA">
        <w:rPr>
          <w:szCs w:val="22"/>
        </w:rPr>
        <w:t xml:space="preserve">  </w:t>
      </w:r>
      <w:r w:rsidR="006D1DB2" w:rsidRPr="000155DA">
        <w:rPr>
          <w:szCs w:val="22"/>
        </w:rPr>
        <w:t xml:space="preserve">We place significant weight on evidence that network facilities are in place and service is advertised throughout an area.  </w:t>
      </w:r>
      <w:r w:rsidR="002C0D6A" w:rsidRPr="000155DA">
        <w:rPr>
          <w:szCs w:val="22"/>
        </w:rPr>
        <w:t>We find that a competitor’s assertions regarding its own offerings</w:t>
      </w:r>
      <w:r w:rsidR="00DD09C4" w:rsidRPr="000155DA">
        <w:rPr>
          <w:szCs w:val="22"/>
        </w:rPr>
        <w:t xml:space="preserve"> and the existence of voice or broadband customers</w:t>
      </w:r>
      <w:r w:rsidR="002C0D6A" w:rsidRPr="000155DA">
        <w:rPr>
          <w:szCs w:val="22"/>
        </w:rPr>
        <w:t>, made in the context of a Commission proceeding where there are consequences for misrepresentations,</w:t>
      </w:r>
      <w:r w:rsidR="00197CE3" w:rsidRPr="000155DA">
        <w:rPr>
          <w:rStyle w:val="FootnoteReference"/>
          <w:sz w:val="22"/>
          <w:szCs w:val="22"/>
        </w:rPr>
        <w:t xml:space="preserve"> </w:t>
      </w:r>
      <w:r w:rsidR="00197CE3" w:rsidRPr="000155DA">
        <w:rPr>
          <w:rStyle w:val="FootnoteReference"/>
          <w:sz w:val="22"/>
          <w:szCs w:val="22"/>
        </w:rPr>
        <w:footnoteReference w:id="94"/>
      </w:r>
      <w:r w:rsidR="002C0D6A" w:rsidRPr="000155DA">
        <w:rPr>
          <w:szCs w:val="22"/>
        </w:rPr>
        <w:t xml:space="preserve"> </w:t>
      </w:r>
      <w:r w:rsidR="00197CE3" w:rsidRPr="000155DA">
        <w:rPr>
          <w:szCs w:val="22"/>
        </w:rPr>
        <w:t xml:space="preserve">should </w:t>
      </w:r>
      <w:r w:rsidR="002C0D6A" w:rsidRPr="000155DA">
        <w:rPr>
          <w:szCs w:val="22"/>
        </w:rPr>
        <w:t xml:space="preserve">carry more weight than </w:t>
      </w:r>
      <w:r w:rsidR="00197CE3" w:rsidRPr="000155DA">
        <w:rPr>
          <w:szCs w:val="22"/>
        </w:rPr>
        <w:t xml:space="preserve">analyses that </w:t>
      </w:r>
      <w:r w:rsidR="002C0D6A" w:rsidRPr="000155DA">
        <w:rPr>
          <w:szCs w:val="22"/>
        </w:rPr>
        <w:t>rely on third-party data, which itself may be based on faulty and inaccurate information.</w:t>
      </w:r>
      <w:r w:rsidR="00197CE3" w:rsidRPr="000155DA">
        <w:rPr>
          <w:rStyle w:val="FootnoteReference"/>
          <w:sz w:val="22"/>
          <w:szCs w:val="22"/>
        </w:rPr>
        <w:footnoteReference w:id="95"/>
      </w:r>
    </w:p>
    <w:p w:rsidR="00DD09C4" w:rsidRPr="000155DA" w:rsidRDefault="00DD09C4" w:rsidP="00C83E66">
      <w:pPr>
        <w:pStyle w:val="ParaNum"/>
        <w:tabs>
          <w:tab w:val="clear" w:pos="1440"/>
          <w:tab w:val="num" w:pos="-2880"/>
        </w:tabs>
        <w:rPr>
          <w:szCs w:val="22"/>
        </w:rPr>
      </w:pPr>
      <w:r w:rsidRPr="000155DA">
        <w:rPr>
          <w:szCs w:val="22"/>
        </w:rPr>
        <w:t xml:space="preserve">For those </w:t>
      </w:r>
      <w:r w:rsidR="0077614C" w:rsidRPr="000155DA">
        <w:rPr>
          <w:szCs w:val="22"/>
        </w:rPr>
        <w:t xml:space="preserve">respondents that were unable </w:t>
      </w:r>
      <w:r w:rsidR="000F0C0C" w:rsidRPr="000155DA">
        <w:rPr>
          <w:szCs w:val="22"/>
        </w:rPr>
        <w:t xml:space="preserve">to certify that </w:t>
      </w:r>
      <w:r w:rsidR="0077614C" w:rsidRPr="000155DA">
        <w:rPr>
          <w:szCs w:val="22"/>
        </w:rPr>
        <w:t xml:space="preserve">they </w:t>
      </w:r>
      <w:r w:rsidR="000F0C0C" w:rsidRPr="000155DA">
        <w:rPr>
          <w:szCs w:val="22"/>
        </w:rPr>
        <w:t>had a current or former customer</w:t>
      </w:r>
      <w:r w:rsidRPr="000155DA">
        <w:rPr>
          <w:szCs w:val="22"/>
        </w:rPr>
        <w:t>, however, we do not give any weight to the arguments they make on reply that they have plant in the area and are offering service.  Because the respondent was unable to certify as to the existence of a customer, we conclude in that subset of cases that the challenger prevails, and the blocks will be treated for purposes of the offer of model-based support as unserved.</w:t>
      </w:r>
    </w:p>
    <w:p w:rsidR="00BF0D92" w:rsidRPr="000155DA" w:rsidRDefault="00996DD8" w:rsidP="00C83E66">
      <w:pPr>
        <w:pStyle w:val="ParaNum"/>
        <w:tabs>
          <w:tab w:val="clear" w:pos="1440"/>
          <w:tab w:val="num" w:pos="-2880"/>
        </w:tabs>
        <w:rPr>
          <w:szCs w:val="22"/>
        </w:rPr>
      </w:pPr>
      <w:r w:rsidRPr="000155DA">
        <w:rPr>
          <w:bCs/>
          <w:szCs w:val="22"/>
        </w:rPr>
        <w:t xml:space="preserve">Although </w:t>
      </w:r>
      <w:r w:rsidR="004E358A" w:rsidRPr="000155DA">
        <w:rPr>
          <w:bCs/>
          <w:szCs w:val="22"/>
        </w:rPr>
        <w:t xml:space="preserve">the totality of the evidence submitted for </w:t>
      </w:r>
      <w:r w:rsidRPr="000155DA">
        <w:rPr>
          <w:bCs/>
          <w:szCs w:val="22"/>
        </w:rPr>
        <w:t>each census block was individually considered</w:t>
      </w:r>
      <w:r w:rsidR="00721AF6" w:rsidRPr="000155DA">
        <w:rPr>
          <w:bCs/>
          <w:szCs w:val="22"/>
        </w:rPr>
        <w:t>,</w:t>
      </w:r>
      <w:r w:rsidRPr="000155DA">
        <w:rPr>
          <w:bCs/>
          <w:szCs w:val="22"/>
        </w:rPr>
        <w:t xml:space="preserve"> and there may have been several </w:t>
      </w:r>
      <w:r w:rsidR="00ED77E4" w:rsidRPr="000155DA">
        <w:rPr>
          <w:bCs/>
          <w:szCs w:val="22"/>
        </w:rPr>
        <w:t>facts</w:t>
      </w:r>
      <w:r w:rsidRPr="000155DA">
        <w:rPr>
          <w:bCs/>
          <w:szCs w:val="22"/>
        </w:rPr>
        <w:t xml:space="preserve"> that contributed to the Bureau’s decision regarding a particular census block, </w:t>
      </w:r>
      <w:r w:rsidR="00721AF6" w:rsidRPr="000155DA">
        <w:rPr>
          <w:bCs/>
          <w:szCs w:val="22"/>
        </w:rPr>
        <w:t xml:space="preserve">for administrative efficiency, </w:t>
      </w:r>
      <w:r w:rsidRPr="000155DA">
        <w:rPr>
          <w:bCs/>
          <w:szCs w:val="22"/>
        </w:rPr>
        <w:t xml:space="preserve">ultimately each census block was placed into one of </w:t>
      </w:r>
      <w:r w:rsidR="00BF0D92" w:rsidRPr="000155DA">
        <w:rPr>
          <w:bCs/>
          <w:szCs w:val="22"/>
        </w:rPr>
        <w:t xml:space="preserve">the following </w:t>
      </w:r>
      <w:r w:rsidRPr="000155DA">
        <w:rPr>
          <w:bCs/>
          <w:szCs w:val="22"/>
        </w:rPr>
        <w:t>seven mutually exclusive categories</w:t>
      </w:r>
      <w:r w:rsidR="00ED77E4" w:rsidRPr="000155DA">
        <w:rPr>
          <w:bCs/>
          <w:szCs w:val="22"/>
        </w:rPr>
        <w:t xml:space="preserve"> </w:t>
      </w:r>
      <w:r w:rsidR="00721AF6" w:rsidRPr="000155DA">
        <w:rPr>
          <w:bCs/>
          <w:szCs w:val="22"/>
        </w:rPr>
        <w:t>based on</w:t>
      </w:r>
      <w:r w:rsidRPr="000155DA">
        <w:rPr>
          <w:bCs/>
          <w:szCs w:val="22"/>
        </w:rPr>
        <w:t xml:space="preserve"> the </w:t>
      </w:r>
      <w:r w:rsidR="006344AF" w:rsidRPr="000155DA">
        <w:rPr>
          <w:bCs/>
          <w:szCs w:val="22"/>
        </w:rPr>
        <w:t xml:space="preserve">nature of the evidence </w:t>
      </w:r>
      <w:r w:rsidR="002C258A" w:rsidRPr="000155DA">
        <w:rPr>
          <w:bCs/>
          <w:szCs w:val="22"/>
        </w:rPr>
        <w:t>that we found most persuasive in making our determination.</w:t>
      </w:r>
      <w:r w:rsidR="00721AF6" w:rsidRPr="000155DA">
        <w:rPr>
          <w:bCs/>
          <w:szCs w:val="22"/>
        </w:rPr>
        <w:t xml:space="preserve">  We summarize below these categories.</w:t>
      </w:r>
    </w:p>
    <w:p w:rsidR="00BF0D92" w:rsidRPr="000155DA" w:rsidRDefault="00BF0D92" w:rsidP="00C83E66">
      <w:pPr>
        <w:pStyle w:val="ParaNum"/>
        <w:tabs>
          <w:tab w:val="clear" w:pos="1440"/>
          <w:tab w:val="num" w:pos="-2880"/>
        </w:tabs>
        <w:rPr>
          <w:szCs w:val="22"/>
        </w:rPr>
      </w:pPr>
      <w:r w:rsidRPr="000155DA">
        <w:rPr>
          <w:i/>
          <w:szCs w:val="22"/>
        </w:rPr>
        <w:t>Customer Information</w:t>
      </w:r>
      <w:r w:rsidRPr="000155DA">
        <w:rPr>
          <w:szCs w:val="22"/>
        </w:rPr>
        <w:t>.</w:t>
      </w:r>
      <w:r w:rsidR="00594485" w:rsidRPr="000155DA">
        <w:rPr>
          <w:szCs w:val="22"/>
        </w:rPr>
        <w:t xml:space="preserve"> </w:t>
      </w:r>
      <w:r w:rsidR="00CB44DA" w:rsidRPr="000155DA">
        <w:rPr>
          <w:szCs w:val="22"/>
        </w:rPr>
        <w:t xml:space="preserve"> </w:t>
      </w:r>
      <w:r w:rsidR="00676E63" w:rsidRPr="000155DA">
        <w:rPr>
          <w:szCs w:val="22"/>
        </w:rPr>
        <w:t xml:space="preserve">For some contested census blocks, </w:t>
      </w:r>
      <w:r w:rsidR="00594485" w:rsidRPr="000155DA">
        <w:rPr>
          <w:szCs w:val="22"/>
        </w:rPr>
        <w:t>the evidence included specific customer information (e.g.</w:t>
      </w:r>
      <w:r w:rsidR="00CB44DA" w:rsidRPr="000155DA">
        <w:rPr>
          <w:szCs w:val="22"/>
        </w:rPr>
        <w:t>,</w:t>
      </w:r>
      <w:r w:rsidR="00594485" w:rsidRPr="000155DA">
        <w:rPr>
          <w:szCs w:val="22"/>
        </w:rPr>
        <w:t xml:space="preserve"> invoices, customer list, </w:t>
      </w:r>
      <w:r w:rsidR="004C741C" w:rsidRPr="000155DA">
        <w:rPr>
          <w:szCs w:val="22"/>
        </w:rPr>
        <w:t xml:space="preserve">or </w:t>
      </w:r>
      <w:r w:rsidR="00594485" w:rsidRPr="000155DA">
        <w:rPr>
          <w:szCs w:val="22"/>
        </w:rPr>
        <w:t>maps showing s</w:t>
      </w:r>
      <w:r w:rsidR="004C741C" w:rsidRPr="000155DA">
        <w:rPr>
          <w:szCs w:val="22"/>
        </w:rPr>
        <w:t>pecific customer locations</w:t>
      </w:r>
      <w:r w:rsidR="00594485" w:rsidRPr="000155DA">
        <w:rPr>
          <w:szCs w:val="22"/>
        </w:rPr>
        <w:t xml:space="preserve">) that </w:t>
      </w:r>
      <w:r w:rsidR="005B390D" w:rsidRPr="000155DA">
        <w:rPr>
          <w:szCs w:val="22"/>
        </w:rPr>
        <w:t xml:space="preserve">the Bureau concluded </w:t>
      </w:r>
      <w:r w:rsidR="00594485" w:rsidRPr="000155DA">
        <w:rPr>
          <w:szCs w:val="22"/>
        </w:rPr>
        <w:t xml:space="preserve">made it more likely than not that the census block is served. </w:t>
      </w:r>
      <w:r w:rsidR="00CB44DA" w:rsidRPr="000155DA">
        <w:rPr>
          <w:szCs w:val="22"/>
        </w:rPr>
        <w:t xml:space="preserve"> </w:t>
      </w:r>
      <w:r w:rsidR="00154E9E" w:rsidRPr="000155DA">
        <w:rPr>
          <w:szCs w:val="22"/>
        </w:rPr>
        <w:t>In all such cases, w</w:t>
      </w:r>
      <w:r w:rsidR="0039497A" w:rsidRPr="000155DA">
        <w:rPr>
          <w:szCs w:val="22"/>
        </w:rPr>
        <w:t>e found this evidence to be more persuasive</w:t>
      </w:r>
      <w:r w:rsidR="005C3652" w:rsidRPr="000155DA">
        <w:rPr>
          <w:szCs w:val="22"/>
        </w:rPr>
        <w:t xml:space="preserve"> to show a census block</w:t>
      </w:r>
      <w:r w:rsidR="00602B33" w:rsidRPr="000155DA">
        <w:rPr>
          <w:szCs w:val="22"/>
        </w:rPr>
        <w:t>’s</w:t>
      </w:r>
      <w:r w:rsidR="005C3652" w:rsidRPr="000155DA">
        <w:rPr>
          <w:szCs w:val="22"/>
        </w:rPr>
        <w:t xml:space="preserve"> </w:t>
      </w:r>
      <w:r w:rsidR="00602B33" w:rsidRPr="000155DA">
        <w:rPr>
          <w:szCs w:val="22"/>
        </w:rPr>
        <w:t>status should be changed</w:t>
      </w:r>
      <w:r w:rsidR="0039497A" w:rsidRPr="000155DA">
        <w:rPr>
          <w:szCs w:val="22"/>
        </w:rPr>
        <w:t xml:space="preserve"> than</w:t>
      </w:r>
      <w:r w:rsidR="00802A23" w:rsidRPr="000155DA">
        <w:rPr>
          <w:szCs w:val="22"/>
        </w:rPr>
        <w:t xml:space="preserve"> </w:t>
      </w:r>
      <w:r w:rsidR="00154E9E" w:rsidRPr="000155DA">
        <w:rPr>
          <w:szCs w:val="22"/>
        </w:rPr>
        <w:t xml:space="preserve">the evidence submitted </w:t>
      </w:r>
      <w:r w:rsidR="00672AEE" w:rsidRPr="000155DA">
        <w:rPr>
          <w:szCs w:val="22"/>
        </w:rPr>
        <w:t>to support the argument a block was unserved.</w:t>
      </w:r>
      <w:r w:rsidR="00A26BD3" w:rsidRPr="000155DA">
        <w:rPr>
          <w:rStyle w:val="FootnoteReference"/>
          <w:sz w:val="22"/>
          <w:szCs w:val="22"/>
        </w:rPr>
        <w:footnoteReference w:id="96"/>
      </w:r>
      <w:r w:rsidR="00D46873" w:rsidRPr="000155DA">
        <w:rPr>
          <w:szCs w:val="22"/>
        </w:rPr>
        <w:t xml:space="preserve"> </w:t>
      </w:r>
      <w:r w:rsidR="0039497A" w:rsidRPr="000155DA">
        <w:rPr>
          <w:szCs w:val="22"/>
        </w:rPr>
        <w:t xml:space="preserve"> </w:t>
      </w:r>
      <w:r w:rsidR="009145BE" w:rsidRPr="000155DA">
        <w:rPr>
          <w:szCs w:val="22"/>
        </w:rPr>
        <w:t>The</w:t>
      </w:r>
      <w:r w:rsidR="005B390D" w:rsidRPr="000155DA">
        <w:rPr>
          <w:szCs w:val="22"/>
        </w:rPr>
        <w:t xml:space="preserve">re were </w:t>
      </w:r>
      <w:r w:rsidR="009145BE" w:rsidRPr="000155DA">
        <w:rPr>
          <w:szCs w:val="22"/>
        </w:rPr>
        <w:t xml:space="preserve">a total of </w:t>
      </w:r>
      <w:r w:rsidR="00E87D5A">
        <w:rPr>
          <w:szCs w:val="22"/>
        </w:rPr>
        <w:t>3,821</w:t>
      </w:r>
      <w:r w:rsidR="006417D7" w:rsidRPr="000155DA">
        <w:rPr>
          <w:szCs w:val="22"/>
        </w:rPr>
        <w:t xml:space="preserve"> </w:t>
      </w:r>
      <w:r w:rsidR="009145BE" w:rsidRPr="000155DA">
        <w:rPr>
          <w:szCs w:val="22"/>
        </w:rPr>
        <w:t xml:space="preserve">census blocks </w:t>
      </w:r>
      <w:r w:rsidR="00676E63" w:rsidRPr="000155DA">
        <w:rPr>
          <w:szCs w:val="22"/>
        </w:rPr>
        <w:t>with such customer information</w:t>
      </w:r>
      <w:r w:rsidR="002C258A" w:rsidRPr="000155DA">
        <w:rPr>
          <w:szCs w:val="22"/>
        </w:rPr>
        <w:t xml:space="preserve"> presented</w:t>
      </w:r>
      <w:r w:rsidR="00676E63" w:rsidRPr="000155DA">
        <w:rPr>
          <w:szCs w:val="22"/>
        </w:rPr>
        <w:t xml:space="preserve">, and the Bureau concludes </w:t>
      </w:r>
      <w:r w:rsidR="00E87D5A">
        <w:rPr>
          <w:szCs w:val="22"/>
        </w:rPr>
        <w:t>3,820</w:t>
      </w:r>
      <w:r w:rsidR="009145BE" w:rsidRPr="000155DA">
        <w:rPr>
          <w:szCs w:val="22"/>
        </w:rPr>
        <w:t xml:space="preserve"> </w:t>
      </w:r>
      <w:r w:rsidR="00676E63" w:rsidRPr="000155DA">
        <w:rPr>
          <w:szCs w:val="22"/>
        </w:rPr>
        <w:t xml:space="preserve">should be treated </w:t>
      </w:r>
      <w:r w:rsidR="009145BE" w:rsidRPr="000155DA">
        <w:rPr>
          <w:szCs w:val="22"/>
        </w:rPr>
        <w:t>as served</w:t>
      </w:r>
      <w:r w:rsidR="00230E28" w:rsidRPr="000155DA">
        <w:rPr>
          <w:szCs w:val="22"/>
        </w:rPr>
        <w:t>, and one</w:t>
      </w:r>
      <w:r w:rsidR="00DC3E18" w:rsidRPr="000155DA">
        <w:rPr>
          <w:szCs w:val="22"/>
        </w:rPr>
        <w:t xml:space="preserve"> should be treated as unserved</w:t>
      </w:r>
      <w:r w:rsidR="009145BE" w:rsidRPr="000155DA">
        <w:rPr>
          <w:szCs w:val="22"/>
        </w:rPr>
        <w:t>.</w:t>
      </w:r>
      <w:r w:rsidR="009145BE" w:rsidRPr="000155DA">
        <w:rPr>
          <w:rStyle w:val="FootnoteReference"/>
          <w:sz w:val="22"/>
          <w:szCs w:val="22"/>
        </w:rPr>
        <w:footnoteReference w:id="97"/>
      </w:r>
      <w:r w:rsidR="009145BE" w:rsidRPr="000155DA">
        <w:rPr>
          <w:szCs w:val="22"/>
        </w:rPr>
        <w:t xml:space="preserve"> </w:t>
      </w:r>
    </w:p>
    <w:p w:rsidR="00BF0D92" w:rsidRPr="000155DA" w:rsidRDefault="00BF0D92" w:rsidP="00C83E66">
      <w:pPr>
        <w:pStyle w:val="ParaNum"/>
        <w:tabs>
          <w:tab w:val="clear" w:pos="1440"/>
          <w:tab w:val="num" w:pos="-2160"/>
        </w:tabs>
        <w:rPr>
          <w:szCs w:val="22"/>
        </w:rPr>
      </w:pPr>
      <w:r w:rsidRPr="000155DA">
        <w:rPr>
          <w:bCs/>
          <w:i/>
          <w:szCs w:val="22"/>
        </w:rPr>
        <w:t>Maps and/or Marketing Materials</w:t>
      </w:r>
      <w:r w:rsidRPr="000155DA">
        <w:rPr>
          <w:bCs/>
          <w:szCs w:val="22"/>
        </w:rPr>
        <w:t>.</w:t>
      </w:r>
      <w:r w:rsidR="00594485" w:rsidRPr="000155DA">
        <w:rPr>
          <w:bCs/>
          <w:szCs w:val="22"/>
        </w:rPr>
        <w:t xml:space="preserve"> </w:t>
      </w:r>
      <w:r w:rsidR="00CB44DA" w:rsidRPr="000155DA">
        <w:rPr>
          <w:bCs/>
          <w:szCs w:val="22"/>
        </w:rPr>
        <w:t xml:space="preserve"> </w:t>
      </w:r>
      <w:r w:rsidR="00676E63" w:rsidRPr="000155DA">
        <w:rPr>
          <w:bCs/>
          <w:szCs w:val="22"/>
        </w:rPr>
        <w:t xml:space="preserve">For </w:t>
      </w:r>
      <w:r w:rsidR="001B486D">
        <w:rPr>
          <w:bCs/>
          <w:szCs w:val="22"/>
        </w:rPr>
        <w:t>35</w:t>
      </w:r>
      <w:r w:rsidR="001B486D" w:rsidRPr="000155DA">
        <w:rPr>
          <w:bCs/>
          <w:szCs w:val="22"/>
        </w:rPr>
        <w:t xml:space="preserve"> </w:t>
      </w:r>
      <w:r w:rsidR="00676E63" w:rsidRPr="000155DA">
        <w:rPr>
          <w:bCs/>
          <w:szCs w:val="22"/>
        </w:rPr>
        <w:t xml:space="preserve">contested </w:t>
      </w:r>
      <w:r w:rsidR="00594485" w:rsidRPr="000155DA">
        <w:rPr>
          <w:szCs w:val="22"/>
        </w:rPr>
        <w:t>census block</w:t>
      </w:r>
      <w:r w:rsidR="00676E63" w:rsidRPr="000155DA">
        <w:rPr>
          <w:szCs w:val="22"/>
        </w:rPr>
        <w:t xml:space="preserve">s, </w:t>
      </w:r>
      <w:r w:rsidR="00594485" w:rsidRPr="000155DA">
        <w:rPr>
          <w:szCs w:val="22"/>
        </w:rPr>
        <w:t xml:space="preserve">the </w:t>
      </w:r>
      <w:r w:rsidR="00797D1C" w:rsidRPr="000155DA">
        <w:rPr>
          <w:szCs w:val="22"/>
        </w:rPr>
        <w:t xml:space="preserve">evidence </w:t>
      </w:r>
      <w:r w:rsidR="00594485" w:rsidRPr="000155DA">
        <w:rPr>
          <w:szCs w:val="22"/>
        </w:rPr>
        <w:t xml:space="preserve">included </w:t>
      </w:r>
      <w:r w:rsidR="00676E63" w:rsidRPr="000155DA">
        <w:rPr>
          <w:szCs w:val="22"/>
        </w:rPr>
        <w:t>m</w:t>
      </w:r>
      <w:r w:rsidR="00594485" w:rsidRPr="000155DA">
        <w:rPr>
          <w:szCs w:val="22"/>
        </w:rPr>
        <w:t xml:space="preserve">aps and/or </w:t>
      </w:r>
      <w:r w:rsidR="00676E63" w:rsidRPr="000155DA">
        <w:rPr>
          <w:szCs w:val="22"/>
        </w:rPr>
        <w:t>m</w:t>
      </w:r>
      <w:r w:rsidR="00594485" w:rsidRPr="000155DA">
        <w:rPr>
          <w:szCs w:val="22"/>
        </w:rPr>
        <w:t xml:space="preserve">arketing materials providing infrastructure information </w:t>
      </w:r>
      <w:r w:rsidR="00676E63" w:rsidRPr="000155DA">
        <w:rPr>
          <w:szCs w:val="22"/>
        </w:rPr>
        <w:t xml:space="preserve">that the Bureau concluded was sufficient to </w:t>
      </w:r>
      <w:r w:rsidR="00594485" w:rsidRPr="000155DA">
        <w:rPr>
          <w:szCs w:val="22"/>
        </w:rPr>
        <w:t>show</w:t>
      </w:r>
      <w:r w:rsidR="0039497A" w:rsidRPr="000155DA">
        <w:rPr>
          <w:szCs w:val="22"/>
        </w:rPr>
        <w:t xml:space="preserve"> </w:t>
      </w:r>
      <w:r w:rsidR="00594485" w:rsidRPr="000155DA">
        <w:rPr>
          <w:szCs w:val="22"/>
        </w:rPr>
        <w:t xml:space="preserve">the census block </w:t>
      </w:r>
      <w:r w:rsidR="00B514F2" w:rsidRPr="000155DA">
        <w:rPr>
          <w:szCs w:val="22"/>
        </w:rPr>
        <w:t xml:space="preserve">should be treated </w:t>
      </w:r>
      <w:r w:rsidR="00317432" w:rsidRPr="000155DA">
        <w:rPr>
          <w:szCs w:val="22"/>
        </w:rPr>
        <w:t>as served</w:t>
      </w:r>
      <w:r w:rsidR="00D61400" w:rsidRPr="000155DA">
        <w:rPr>
          <w:szCs w:val="22"/>
        </w:rPr>
        <w:t>.</w:t>
      </w:r>
      <w:r w:rsidR="004C741C" w:rsidRPr="000155DA">
        <w:rPr>
          <w:szCs w:val="22"/>
        </w:rPr>
        <w:t xml:space="preserve"> </w:t>
      </w:r>
      <w:r w:rsidR="00CB44DA" w:rsidRPr="000155DA">
        <w:rPr>
          <w:szCs w:val="22"/>
        </w:rPr>
        <w:t xml:space="preserve"> </w:t>
      </w:r>
      <w:r w:rsidR="004C741C" w:rsidRPr="000155DA">
        <w:rPr>
          <w:szCs w:val="22"/>
        </w:rPr>
        <w:t xml:space="preserve">This information was also supported by other materials showing that </w:t>
      </w:r>
      <w:r w:rsidR="00594485" w:rsidRPr="000155DA">
        <w:rPr>
          <w:szCs w:val="22"/>
        </w:rPr>
        <w:t xml:space="preserve">service meets </w:t>
      </w:r>
      <w:r w:rsidR="004C741C" w:rsidRPr="000155DA">
        <w:rPr>
          <w:szCs w:val="22"/>
        </w:rPr>
        <w:t xml:space="preserve">the </w:t>
      </w:r>
      <w:r w:rsidR="00594485" w:rsidRPr="000155DA">
        <w:rPr>
          <w:szCs w:val="22"/>
        </w:rPr>
        <w:t>speed, pricing, latency and usage criteria.</w:t>
      </w:r>
      <w:r w:rsidR="009145BE" w:rsidRPr="000155DA">
        <w:rPr>
          <w:szCs w:val="22"/>
        </w:rPr>
        <w:t xml:space="preserve"> </w:t>
      </w:r>
      <w:r w:rsidR="00CB44DA" w:rsidRPr="000155DA">
        <w:rPr>
          <w:szCs w:val="22"/>
        </w:rPr>
        <w:t xml:space="preserve"> </w:t>
      </w:r>
      <w:r w:rsidR="005562C1" w:rsidRPr="000155DA">
        <w:rPr>
          <w:szCs w:val="22"/>
        </w:rPr>
        <w:t>After weighing the evidence on both sides, w</w:t>
      </w:r>
      <w:r w:rsidR="0039497A" w:rsidRPr="000155DA">
        <w:rPr>
          <w:szCs w:val="22"/>
        </w:rPr>
        <w:t xml:space="preserve">e found this evidence to be more persuasive </w:t>
      </w:r>
      <w:r w:rsidR="005C3652" w:rsidRPr="000155DA">
        <w:rPr>
          <w:szCs w:val="22"/>
        </w:rPr>
        <w:t>to show a census block</w:t>
      </w:r>
      <w:r w:rsidR="00602B33" w:rsidRPr="000155DA">
        <w:rPr>
          <w:szCs w:val="22"/>
        </w:rPr>
        <w:t>’s status should be changed</w:t>
      </w:r>
      <w:r w:rsidR="005C3652" w:rsidRPr="000155DA">
        <w:rPr>
          <w:szCs w:val="22"/>
        </w:rPr>
        <w:t xml:space="preserve"> </w:t>
      </w:r>
      <w:r w:rsidR="0039497A" w:rsidRPr="000155DA">
        <w:rPr>
          <w:szCs w:val="22"/>
        </w:rPr>
        <w:t xml:space="preserve">than </w:t>
      </w:r>
      <w:r w:rsidR="00672AEE" w:rsidRPr="000155DA">
        <w:rPr>
          <w:szCs w:val="22"/>
        </w:rPr>
        <w:t xml:space="preserve">the evidence offered in support of the argument that the block was unserved.  </w:t>
      </w:r>
      <w:r w:rsidR="00B514F2" w:rsidRPr="000155DA">
        <w:rPr>
          <w:szCs w:val="22"/>
        </w:rPr>
        <w:t xml:space="preserve">For this group, </w:t>
      </w:r>
      <w:r w:rsidR="00111713" w:rsidRPr="000155DA">
        <w:rPr>
          <w:szCs w:val="22"/>
        </w:rPr>
        <w:t>the</w:t>
      </w:r>
      <w:r w:rsidR="009145BE" w:rsidRPr="000155DA">
        <w:rPr>
          <w:szCs w:val="22"/>
        </w:rPr>
        <w:t xml:space="preserve"> Bureau concludes </w:t>
      </w:r>
      <w:r w:rsidR="00676E63" w:rsidRPr="000155DA">
        <w:rPr>
          <w:szCs w:val="22"/>
        </w:rPr>
        <w:t xml:space="preserve">that </w:t>
      </w:r>
      <w:r w:rsidR="001B486D">
        <w:rPr>
          <w:szCs w:val="22"/>
        </w:rPr>
        <w:t>23</w:t>
      </w:r>
      <w:r w:rsidR="001B486D" w:rsidRPr="000155DA">
        <w:rPr>
          <w:szCs w:val="22"/>
        </w:rPr>
        <w:t xml:space="preserve"> </w:t>
      </w:r>
      <w:r w:rsidR="00230E28" w:rsidRPr="000155DA">
        <w:rPr>
          <w:szCs w:val="22"/>
        </w:rPr>
        <w:t xml:space="preserve">census blocks </w:t>
      </w:r>
      <w:r w:rsidR="00676E63" w:rsidRPr="000155DA">
        <w:rPr>
          <w:szCs w:val="22"/>
        </w:rPr>
        <w:t xml:space="preserve">should be </w:t>
      </w:r>
      <w:r w:rsidR="00111713" w:rsidRPr="000155DA">
        <w:rPr>
          <w:szCs w:val="22"/>
        </w:rPr>
        <w:t xml:space="preserve">treated </w:t>
      </w:r>
      <w:r w:rsidR="009145BE" w:rsidRPr="000155DA">
        <w:rPr>
          <w:szCs w:val="22"/>
        </w:rPr>
        <w:t>as served</w:t>
      </w:r>
      <w:r w:rsidR="00955F62" w:rsidRPr="000155DA">
        <w:rPr>
          <w:szCs w:val="22"/>
        </w:rPr>
        <w:t xml:space="preserve"> </w:t>
      </w:r>
      <w:r w:rsidR="00676E63" w:rsidRPr="000155DA">
        <w:rPr>
          <w:szCs w:val="22"/>
        </w:rPr>
        <w:t>based on th</w:t>
      </w:r>
      <w:r w:rsidR="0039497A" w:rsidRPr="000155DA">
        <w:rPr>
          <w:szCs w:val="22"/>
        </w:rPr>
        <w:t>e showing made in maps and/or marketing materials</w:t>
      </w:r>
      <w:r w:rsidR="00DC3E18" w:rsidRPr="000155DA">
        <w:rPr>
          <w:szCs w:val="22"/>
        </w:rPr>
        <w:t xml:space="preserve"> and 12 </w:t>
      </w:r>
      <w:r w:rsidR="00230E28" w:rsidRPr="000155DA">
        <w:rPr>
          <w:szCs w:val="22"/>
        </w:rPr>
        <w:t xml:space="preserve">census blocks </w:t>
      </w:r>
      <w:r w:rsidR="00DC3E18" w:rsidRPr="000155DA">
        <w:rPr>
          <w:szCs w:val="22"/>
        </w:rPr>
        <w:t>should be treated as unserved</w:t>
      </w:r>
      <w:r w:rsidR="009145BE" w:rsidRPr="000155DA">
        <w:rPr>
          <w:szCs w:val="22"/>
        </w:rPr>
        <w:t>.</w:t>
      </w:r>
      <w:r w:rsidR="009145BE" w:rsidRPr="000155DA">
        <w:rPr>
          <w:rStyle w:val="FootnoteReference"/>
          <w:sz w:val="22"/>
          <w:szCs w:val="22"/>
        </w:rPr>
        <w:footnoteReference w:id="98"/>
      </w:r>
    </w:p>
    <w:p w:rsidR="00BF0D92" w:rsidRPr="000155DA" w:rsidRDefault="00672AEE" w:rsidP="00C83E66">
      <w:pPr>
        <w:pStyle w:val="ParaNum"/>
        <w:tabs>
          <w:tab w:val="clear" w:pos="1440"/>
          <w:tab w:val="num" w:pos="-1440"/>
        </w:tabs>
        <w:rPr>
          <w:szCs w:val="22"/>
        </w:rPr>
      </w:pPr>
      <w:r w:rsidRPr="000155DA">
        <w:rPr>
          <w:bCs/>
          <w:i/>
          <w:szCs w:val="22"/>
        </w:rPr>
        <w:t xml:space="preserve">Declaration with </w:t>
      </w:r>
      <w:r w:rsidR="009145BE" w:rsidRPr="000155DA">
        <w:rPr>
          <w:bCs/>
          <w:i/>
          <w:szCs w:val="22"/>
        </w:rPr>
        <w:t>Evidence</w:t>
      </w:r>
      <w:r w:rsidR="00BF0D92" w:rsidRPr="000155DA">
        <w:rPr>
          <w:bCs/>
          <w:szCs w:val="22"/>
        </w:rPr>
        <w:t xml:space="preserve">. </w:t>
      </w:r>
      <w:r w:rsidR="00CB44DA" w:rsidRPr="000155DA">
        <w:rPr>
          <w:bCs/>
          <w:szCs w:val="22"/>
        </w:rPr>
        <w:t xml:space="preserve"> </w:t>
      </w:r>
      <w:r w:rsidR="00676E63" w:rsidRPr="000155DA">
        <w:rPr>
          <w:bCs/>
          <w:szCs w:val="22"/>
        </w:rPr>
        <w:t>For</w:t>
      </w:r>
      <w:r w:rsidR="007D0368" w:rsidRPr="000155DA">
        <w:rPr>
          <w:bCs/>
          <w:szCs w:val="22"/>
        </w:rPr>
        <w:t xml:space="preserve"> </w:t>
      </w:r>
      <w:r w:rsidR="001B486D">
        <w:rPr>
          <w:bCs/>
          <w:szCs w:val="22"/>
        </w:rPr>
        <w:t>15,746</w:t>
      </w:r>
      <w:r w:rsidR="00230E28" w:rsidRPr="000155DA">
        <w:rPr>
          <w:bCs/>
          <w:szCs w:val="22"/>
        </w:rPr>
        <w:t xml:space="preserve"> </w:t>
      </w:r>
      <w:r w:rsidR="00676E63" w:rsidRPr="000155DA">
        <w:rPr>
          <w:bCs/>
          <w:szCs w:val="22"/>
        </w:rPr>
        <w:t xml:space="preserve">contested </w:t>
      </w:r>
      <w:r w:rsidR="00797D1C" w:rsidRPr="000155DA">
        <w:rPr>
          <w:szCs w:val="22"/>
        </w:rPr>
        <w:t>census block</w:t>
      </w:r>
      <w:r w:rsidR="00676E63" w:rsidRPr="000155DA">
        <w:rPr>
          <w:szCs w:val="22"/>
        </w:rPr>
        <w:t xml:space="preserve">s, </w:t>
      </w:r>
      <w:r w:rsidR="004C741C" w:rsidRPr="000155DA">
        <w:rPr>
          <w:szCs w:val="22"/>
        </w:rPr>
        <w:t xml:space="preserve">the </w:t>
      </w:r>
      <w:r w:rsidR="00797D1C" w:rsidRPr="000155DA">
        <w:rPr>
          <w:szCs w:val="22"/>
        </w:rPr>
        <w:t xml:space="preserve">evidence provided </w:t>
      </w:r>
      <w:r w:rsidR="00676E63" w:rsidRPr="000155DA">
        <w:rPr>
          <w:szCs w:val="22"/>
        </w:rPr>
        <w:t xml:space="preserve">was </w:t>
      </w:r>
      <w:r w:rsidR="00797D1C" w:rsidRPr="000155DA">
        <w:rPr>
          <w:szCs w:val="22"/>
        </w:rPr>
        <w:t xml:space="preserve">a specific declaration as well as additional supporting documents showing the census block </w:t>
      </w:r>
      <w:r w:rsidRPr="000155DA">
        <w:rPr>
          <w:szCs w:val="22"/>
        </w:rPr>
        <w:t xml:space="preserve">should be treated as served.  </w:t>
      </w:r>
      <w:r w:rsidR="00742729" w:rsidRPr="000155DA">
        <w:rPr>
          <w:szCs w:val="22"/>
        </w:rPr>
        <w:t>We found this evidence to be more persuasive</w:t>
      </w:r>
      <w:r w:rsidR="005C3652" w:rsidRPr="000155DA">
        <w:rPr>
          <w:szCs w:val="22"/>
        </w:rPr>
        <w:t xml:space="preserve"> to show a census block</w:t>
      </w:r>
      <w:r w:rsidR="00602B33" w:rsidRPr="000155DA">
        <w:rPr>
          <w:szCs w:val="22"/>
        </w:rPr>
        <w:t>’s status should be changed</w:t>
      </w:r>
      <w:r w:rsidR="005C3652" w:rsidRPr="000155DA">
        <w:rPr>
          <w:szCs w:val="22"/>
        </w:rPr>
        <w:t xml:space="preserve"> </w:t>
      </w:r>
      <w:r w:rsidR="00742729" w:rsidRPr="000155DA">
        <w:rPr>
          <w:szCs w:val="22"/>
        </w:rPr>
        <w:t xml:space="preserve">than </w:t>
      </w:r>
      <w:r w:rsidRPr="000155DA">
        <w:rPr>
          <w:szCs w:val="22"/>
        </w:rPr>
        <w:t xml:space="preserve">the types of evidence offered in support of arguments that a block should be treated as unserved.  </w:t>
      </w:r>
      <w:r w:rsidR="00E25FB8" w:rsidRPr="000155DA">
        <w:rPr>
          <w:szCs w:val="22"/>
        </w:rPr>
        <w:t xml:space="preserve">In those cases where the </w:t>
      </w:r>
      <w:r w:rsidR="00742729" w:rsidRPr="000155DA">
        <w:rPr>
          <w:szCs w:val="22"/>
        </w:rPr>
        <w:t>supporting documentation</w:t>
      </w:r>
      <w:r w:rsidR="00E25FB8" w:rsidRPr="000155DA">
        <w:rPr>
          <w:szCs w:val="22"/>
        </w:rPr>
        <w:t xml:space="preserve"> </w:t>
      </w:r>
      <w:r w:rsidR="00742729" w:rsidRPr="000155DA">
        <w:rPr>
          <w:szCs w:val="22"/>
        </w:rPr>
        <w:t>did</w:t>
      </w:r>
      <w:r w:rsidR="00E25FB8" w:rsidRPr="000155DA">
        <w:rPr>
          <w:szCs w:val="22"/>
        </w:rPr>
        <w:t xml:space="preserve"> not </w:t>
      </w:r>
      <w:r w:rsidR="00742729" w:rsidRPr="000155DA">
        <w:rPr>
          <w:szCs w:val="22"/>
        </w:rPr>
        <w:t xml:space="preserve">show the </w:t>
      </w:r>
      <w:r w:rsidR="00602B33" w:rsidRPr="000155DA">
        <w:rPr>
          <w:szCs w:val="22"/>
        </w:rPr>
        <w:t>respondent</w:t>
      </w:r>
      <w:r w:rsidR="00742729" w:rsidRPr="000155DA">
        <w:rPr>
          <w:szCs w:val="22"/>
        </w:rPr>
        <w:t xml:space="preserve"> met </w:t>
      </w:r>
      <w:r w:rsidR="00E25FB8" w:rsidRPr="000155DA">
        <w:rPr>
          <w:szCs w:val="22"/>
        </w:rPr>
        <w:t>all of the service requirements</w:t>
      </w:r>
      <w:r w:rsidR="00D25F4E" w:rsidRPr="000155DA">
        <w:rPr>
          <w:szCs w:val="22"/>
        </w:rPr>
        <w:t>,</w:t>
      </w:r>
      <w:r w:rsidR="00E25FB8" w:rsidRPr="000155DA">
        <w:rPr>
          <w:szCs w:val="22"/>
        </w:rPr>
        <w:t xml:space="preserve"> and the declaration </w:t>
      </w:r>
      <w:r w:rsidR="000179C7" w:rsidRPr="000155DA">
        <w:rPr>
          <w:szCs w:val="22"/>
        </w:rPr>
        <w:t>did not</w:t>
      </w:r>
      <w:r w:rsidR="00E25FB8" w:rsidRPr="000155DA">
        <w:rPr>
          <w:szCs w:val="22"/>
        </w:rPr>
        <w:t xml:space="preserve"> specific</w:t>
      </w:r>
      <w:r w:rsidR="00B514F2" w:rsidRPr="000155DA">
        <w:rPr>
          <w:szCs w:val="22"/>
        </w:rPr>
        <w:t xml:space="preserve">ally address all of the service requirements, </w:t>
      </w:r>
      <w:r w:rsidR="009A5F9E" w:rsidRPr="000155DA">
        <w:rPr>
          <w:szCs w:val="22"/>
        </w:rPr>
        <w:t xml:space="preserve">however, </w:t>
      </w:r>
      <w:r w:rsidR="00742729" w:rsidRPr="000155DA">
        <w:rPr>
          <w:szCs w:val="22"/>
        </w:rPr>
        <w:t xml:space="preserve">the census block was marked unserved.  </w:t>
      </w:r>
      <w:r w:rsidR="00955F62" w:rsidRPr="000155DA">
        <w:rPr>
          <w:szCs w:val="22"/>
        </w:rPr>
        <w:t xml:space="preserve">We concluded such blocks should be treated as unserved based on the totality of the circumstances, weighing both the evidence presented in the initial challenge as well as </w:t>
      </w:r>
      <w:r w:rsidR="006D1DB2" w:rsidRPr="000155DA">
        <w:rPr>
          <w:szCs w:val="22"/>
        </w:rPr>
        <w:t>the specificity of the evidence</w:t>
      </w:r>
      <w:r w:rsidR="00955F62" w:rsidRPr="000155DA">
        <w:rPr>
          <w:szCs w:val="22"/>
        </w:rPr>
        <w:t xml:space="preserve"> submitted on reply.  </w:t>
      </w:r>
      <w:r w:rsidR="00B514F2" w:rsidRPr="000155DA">
        <w:rPr>
          <w:szCs w:val="22"/>
        </w:rPr>
        <w:t>For this group</w:t>
      </w:r>
      <w:r w:rsidR="00F236BC" w:rsidRPr="000155DA">
        <w:rPr>
          <w:szCs w:val="22"/>
        </w:rPr>
        <w:t>, the</w:t>
      </w:r>
      <w:r w:rsidR="009145BE" w:rsidRPr="000155DA">
        <w:rPr>
          <w:szCs w:val="22"/>
        </w:rPr>
        <w:t xml:space="preserve"> Bureau concludes</w:t>
      </w:r>
      <w:r w:rsidR="00676E63" w:rsidRPr="000155DA">
        <w:rPr>
          <w:szCs w:val="22"/>
        </w:rPr>
        <w:t xml:space="preserve">, based on its review of all of the evidence, that </w:t>
      </w:r>
      <w:r w:rsidR="001B486D">
        <w:rPr>
          <w:szCs w:val="22"/>
        </w:rPr>
        <w:t>10,103</w:t>
      </w:r>
      <w:r w:rsidR="009145BE" w:rsidRPr="000155DA">
        <w:rPr>
          <w:szCs w:val="22"/>
        </w:rPr>
        <w:t xml:space="preserve"> </w:t>
      </w:r>
      <w:r w:rsidR="00B86BF9" w:rsidRPr="000155DA">
        <w:rPr>
          <w:szCs w:val="22"/>
        </w:rPr>
        <w:t xml:space="preserve">of these </w:t>
      </w:r>
      <w:r w:rsidR="009145BE" w:rsidRPr="000155DA">
        <w:rPr>
          <w:szCs w:val="22"/>
        </w:rPr>
        <w:t xml:space="preserve">census blocks </w:t>
      </w:r>
      <w:r w:rsidR="00676E63" w:rsidRPr="000155DA">
        <w:rPr>
          <w:szCs w:val="22"/>
        </w:rPr>
        <w:t xml:space="preserve">should be </w:t>
      </w:r>
      <w:r w:rsidR="00B86BF9" w:rsidRPr="000155DA">
        <w:rPr>
          <w:szCs w:val="22"/>
        </w:rPr>
        <w:t xml:space="preserve">treated </w:t>
      </w:r>
      <w:r w:rsidR="009145BE" w:rsidRPr="000155DA">
        <w:rPr>
          <w:szCs w:val="22"/>
        </w:rPr>
        <w:t>as served</w:t>
      </w:r>
      <w:r w:rsidR="009E4519" w:rsidRPr="000155DA">
        <w:rPr>
          <w:szCs w:val="22"/>
        </w:rPr>
        <w:t>,</w:t>
      </w:r>
      <w:r w:rsidR="009145BE" w:rsidRPr="000155DA">
        <w:rPr>
          <w:szCs w:val="22"/>
        </w:rPr>
        <w:t xml:space="preserve"> and </w:t>
      </w:r>
      <w:r w:rsidR="00D51B48" w:rsidRPr="000155DA">
        <w:rPr>
          <w:szCs w:val="22"/>
        </w:rPr>
        <w:t>5,61</w:t>
      </w:r>
      <w:r w:rsidR="00DC3E18" w:rsidRPr="000155DA">
        <w:rPr>
          <w:szCs w:val="22"/>
        </w:rPr>
        <w:t xml:space="preserve">8 </w:t>
      </w:r>
      <w:r w:rsidR="00B86BF9" w:rsidRPr="000155DA">
        <w:rPr>
          <w:szCs w:val="22"/>
        </w:rPr>
        <w:t xml:space="preserve">of these </w:t>
      </w:r>
      <w:r w:rsidR="009145BE" w:rsidRPr="000155DA">
        <w:rPr>
          <w:szCs w:val="22"/>
        </w:rPr>
        <w:t xml:space="preserve">census blocks </w:t>
      </w:r>
      <w:r w:rsidR="00B86BF9" w:rsidRPr="000155DA">
        <w:rPr>
          <w:szCs w:val="22"/>
        </w:rPr>
        <w:t xml:space="preserve">should be treated </w:t>
      </w:r>
      <w:r w:rsidR="009145BE" w:rsidRPr="000155DA">
        <w:rPr>
          <w:szCs w:val="22"/>
        </w:rPr>
        <w:t>as unserved.</w:t>
      </w:r>
      <w:r w:rsidR="009145BE" w:rsidRPr="000155DA">
        <w:rPr>
          <w:rStyle w:val="FootnoteReference"/>
          <w:sz w:val="22"/>
          <w:szCs w:val="22"/>
        </w:rPr>
        <w:footnoteReference w:id="99"/>
      </w:r>
    </w:p>
    <w:p w:rsidR="00BF0D92" w:rsidRPr="000155DA" w:rsidRDefault="00BD2F90" w:rsidP="00C83E66">
      <w:pPr>
        <w:pStyle w:val="ParaNum"/>
        <w:tabs>
          <w:tab w:val="clear" w:pos="1440"/>
          <w:tab w:val="num" w:pos="-720"/>
        </w:tabs>
        <w:rPr>
          <w:szCs w:val="22"/>
        </w:rPr>
      </w:pPr>
      <w:r w:rsidRPr="000155DA">
        <w:rPr>
          <w:bCs/>
          <w:i/>
          <w:szCs w:val="22"/>
        </w:rPr>
        <w:t>Evidence</w:t>
      </w:r>
      <w:r w:rsidR="009145BE" w:rsidRPr="000155DA">
        <w:rPr>
          <w:bCs/>
          <w:i/>
          <w:szCs w:val="22"/>
        </w:rPr>
        <w:t xml:space="preserve"> without </w:t>
      </w:r>
      <w:r w:rsidRPr="000155DA">
        <w:rPr>
          <w:bCs/>
          <w:i/>
          <w:szCs w:val="22"/>
        </w:rPr>
        <w:t>Declaration</w:t>
      </w:r>
      <w:r w:rsidR="00BF0D92" w:rsidRPr="000155DA">
        <w:rPr>
          <w:bCs/>
          <w:szCs w:val="22"/>
        </w:rPr>
        <w:t>.</w:t>
      </w:r>
      <w:r w:rsidR="00B91367" w:rsidRPr="000155DA">
        <w:rPr>
          <w:bCs/>
          <w:szCs w:val="22"/>
        </w:rPr>
        <w:t xml:space="preserve"> </w:t>
      </w:r>
      <w:r w:rsidR="00CB44DA" w:rsidRPr="000155DA">
        <w:rPr>
          <w:bCs/>
          <w:szCs w:val="22"/>
        </w:rPr>
        <w:t xml:space="preserve"> </w:t>
      </w:r>
      <w:r w:rsidR="00D04AC6" w:rsidRPr="000155DA">
        <w:rPr>
          <w:bCs/>
          <w:szCs w:val="22"/>
        </w:rPr>
        <w:t xml:space="preserve">For </w:t>
      </w:r>
      <w:r w:rsidR="00230E28" w:rsidRPr="000155DA">
        <w:rPr>
          <w:bCs/>
          <w:szCs w:val="22"/>
        </w:rPr>
        <w:t>2,</w:t>
      </w:r>
      <w:r w:rsidR="0057190F" w:rsidRPr="000155DA">
        <w:rPr>
          <w:bCs/>
          <w:szCs w:val="22"/>
        </w:rPr>
        <w:t>795</w:t>
      </w:r>
      <w:r w:rsidR="00230E28" w:rsidRPr="000155DA">
        <w:rPr>
          <w:bCs/>
          <w:szCs w:val="22"/>
        </w:rPr>
        <w:t xml:space="preserve"> </w:t>
      </w:r>
      <w:r w:rsidR="00602B33" w:rsidRPr="000155DA">
        <w:rPr>
          <w:bCs/>
          <w:szCs w:val="22"/>
        </w:rPr>
        <w:t xml:space="preserve">contested </w:t>
      </w:r>
      <w:r w:rsidR="00D61400" w:rsidRPr="000155DA">
        <w:rPr>
          <w:szCs w:val="22"/>
        </w:rPr>
        <w:t>census</w:t>
      </w:r>
      <w:r w:rsidR="00B91367" w:rsidRPr="000155DA">
        <w:rPr>
          <w:szCs w:val="22"/>
        </w:rPr>
        <w:t xml:space="preserve"> block</w:t>
      </w:r>
      <w:r w:rsidR="00D04AC6" w:rsidRPr="000155DA">
        <w:rPr>
          <w:szCs w:val="22"/>
        </w:rPr>
        <w:t>s, other types of evidence were</w:t>
      </w:r>
      <w:r w:rsidR="00B91367" w:rsidRPr="000155DA">
        <w:rPr>
          <w:szCs w:val="22"/>
        </w:rPr>
        <w:t xml:space="preserve"> submitted</w:t>
      </w:r>
      <w:r w:rsidR="00077493" w:rsidRPr="000155DA">
        <w:rPr>
          <w:szCs w:val="22"/>
        </w:rPr>
        <w:t>,</w:t>
      </w:r>
      <w:r w:rsidR="004E358A" w:rsidRPr="000155DA">
        <w:rPr>
          <w:szCs w:val="22"/>
        </w:rPr>
        <w:t xml:space="preserve"> </w:t>
      </w:r>
      <w:r w:rsidR="00B91367" w:rsidRPr="000155DA">
        <w:rPr>
          <w:szCs w:val="22"/>
        </w:rPr>
        <w:t>e.g.</w:t>
      </w:r>
      <w:r w:rsidR="00CB44DA" w:rsidRPr="000155DA">
        <w:rPr>
          <w:szCs w:val="22"/>
        </w:rPr>
        <w:t>,</w:t>
      </w:r>
      <w:r w:rsidR="00B91367" w:rsidRPr="000155DA">
        <w:rPr>
          <w:szCs w:val="22"/>
        </w:rPr>
        <w:t xml:space="preserve"> testing data, service agreements, or </w:t>
      </w:r>
      <w:r w:rsidR="00077493" w:rsidRPr="000155DA">
        <w:rPr>
          <w:szCs w:val="22"/>
        </w:rPr>
        <w:t>marketing materials</w:t>
      </w:r>
      <w:r w:rsidR="00D25F4E" w:rsidRPr="000155DA">
        <w:rPr>
          <w:szCs w:val="22"/>
        </w:rPr>
        <w:t xml:space="preserve">. </w:t>
      </w:r>
      <w:r w:rsidR="00955F62" w:rsidRPr="000155DA">
        <w:rPr>
          <w:szCs w:val="22"/>
        </w:rPr>
        <w:t xml:space="preserve"> In most cases, w</w:t>
      </w:r>
      <w:r w:rsidR="00DE36AD" w:rsidRPr="000155DA">
        <w:rPr>
          <w:szCs w:val="22"/>
        </w:rPr>
        <w:t>e found this evidence to be more persuasive to show a census block</w:t>
      </w:r>
      <w:r w:rsidR="00602B33" w:rsidRPr="000155DA">
        <w:rPr>
          <w:szCs w:val="22"/>
        </w:rPr>
        <w:t>’s status should be changed</w:t>
      </w:r>
      <w:r w:rsidR="00DE36AD" w:rsidRPr="000155DA">
        <w:rPr>
          <w:szCs w:val="22"/>
        </w:rPr>
        <w:t xml:space="preserve"> than </w:t>
      </w:r>
      <w:r w:rsidR="00955F62" w:rsidRPr="000155DA">
        <w:rPr>
          <w:szCs w:val="22"/>
        </w:rPr>
        <w:t xml:space="preserve">the type of evidence submitted in support of arguments that a block should be treated as unserved.  </w:t>
      </w:r>
      <w:r w:rsidR="00B514F2" w:rsidRPr="000155DA">
        <w:rPr>
          <w:szCs w:val="22"/>
        </w:rPr>
        <w:t xml:space="preserve">For this group, </w:t>
      </w:r>
      <w:r w:rsidR="00230E28" w:rsidRPr="000155DA">
        <w:rPr>
          <w:szCs w:val="22"/>
        </w:rPr>
        <w:t>we now conclude the</w:t>
      </w:r>
      <w:r w:rsidR="00D04AC6" w:rsidRPr="000155DA">
        <w:rPr>
          <w:szCs w:val="22"/>
        </w:rPr>
        <w:t xml:space="preserve"> evidence </w:t>
      </w:r>
      <w:r w:rsidR="00B91367" w:rsidRPr="000155DA">
        <w:rPr>
          <w:szCs w:val="22"/>
        </w:rPr>
        <w:t xml:space="preserve">was sufficient to convince the </w:t>
      </w:r>
      <w:r w:rsidR="00D61400" w:rsidRPr="000155DA">
        <w:rPr>
          <w:szCs w:val="22"/>
        </w:rPr>
        <w:t>Bureau that</w:t>
      </w:r>
      <w:r w:rsidR="00B91367" w:rsidRPr="000155DA">
        <w:rPr>
          <w:szCs w:val="22"/>
        </w:rPr>
        <w:t xml:space="preserve"> </w:t>
      </w:r>
      <w:r w:rsidR="0057190F" w:rsidRPr="000155DA">
        <w:rPr>
          <w:szCs w:val="22"/>
        </w:rPr>
        <w:t>2,758</w:t>
      </w:r>
      <w:r w:rsidR="00B91367" w:rsidRPr="000155DA">
        <w:rPr>
          <w:szCs w:val="22"/>
        </w:rPr>
        <w:t xml:space="preserve"> census block</w:t>
      </w:r>
      <w:r w:rsidR="00242AE1" w:rsidRPr="000155DA">
        <w:rPr>
          <w:szCs w:val="22"/>
        </w:rPr>
        <w:t xml:space="preserve">s should be </w:t>
      </w:r>
      <w:r w:rsidR="00763084" w:rsidRPr="000155DA">
        <w:rPr>
          <w:szCs w:val="22"/>
        </w:rPr>
        <w:t xml:space="preserve">treated </w:t>
      </w:r>
      <w:r w:rsidR="00242AE1" w:rsidRPr="000155DA">
        <w:rPr>
          <w:szCs w:val="22"/>
        </w:rPr>
        <w:t xml:space="preserve">as </w:t>
      </w:r>
      <w:r w:rsidRPr="000155DA">
        <w:rPr>
          <w:szCs w:val="22"/>
        </w:rPr>
        <w:t>served</w:t>
      </w:r>
      <w:r w:rsidR="00763084" w:rsidRPr="000155DA">
        <w:rPr>
          <w:szCs w:val="22"/>
        </w:rPr>
        <w:t>.</w:t>
      </w:r>
      <w:r w:rsidR="0038004A" w:rsidRPr="000155DA">
        <w:rPr>
          <w:szCs w:val="22"/>
        </w:rPr>
        <w:t xml:space="preserve"> </w:t>
      </w:r>
      <w:r w:rsidR="009A5F9E" w:rsidRPr="000155DA">
        <w:rPr>
          <w:szCs w:val="22"/>
        </w:rPr>
        <w:t xml:space="preserve"> </w:t>
      </w:r>
      <w:r w:rsidR="00DE36AD" w:rsidRPr="000155DA">
        <w:rPr>
          <w:szCs w:val="22"/>
        </w:rPr>
        <w:t>In those cases where the supporting documentation did not show the provider met all of the service requirements</w:t>
      </w:r>
      <w:r w:rsidR="00955F62" w:rsidRPr="000155DA">
        <w:rPr>
          <w:szCs w:val="22"/>
        </w:rPr>
        <w:t>,</w:t>
      </w:r>
      <w:r w:rsidR="00DE36AD" w:rsidRPr="000155DA">
        <w:rPr>
          <w:szCs w:val="22"/>
        </w:rPr>
        <w:t xml:space="preserve"> and there was no declaration </w:t>
      </w:r>
      <w:r w:rsidR="00B514F2" w:rsidRPr="000155DA">
        <w:rPr>
          <w:szCs w:val="22"/>
        </w:rPr>
        <w:t xml:space="preserve">addressing those service requirements, </w:t>
      </w:r>
      <w:r w:rsidR="009A5F9E" w:rsidRPr="000155DA">
        <w:rPr>
          <w:szCs w:val="22"/>
        </w:rPr>
        <w:t xml:space="preserve">however, </w:t>
      </w:r>
      <w:r w:rsidR="00DE36AD" w:rsidRPr="000155DA">
        <w:rPr>
          <w:szCs w:val="22"/>
        </w:rPr>
        <w:t xml:space="preserve">the census block was marked unserved.  </w:t>
      </w:r>
      <w:r w:rsidR="00955F62" w:rsidRPr="000155DA">
        <w:rPr>
          <w:szCs w:val="22"/>
        </w:rPr>
        <w:t>Taking into account the totality of the evidence, w</w:t>
      </w:r>
      <w:r w:rsidR="00F50A85" w:rsidRPr="000155DA">
        <w:rPr>
          <w:szCs w:val="22"/>
        </w:rPr>
        <w:t xml:space="preserve">e conclude that </w:t>
      </w:r>
      <w:r w:rsidRPr="000155DA">
        <w:rPr>
          <w:szCs w:val="22"/>
        </w:rPr>
        <w:t xml:space="preserve">37 census blocks </w:t>
      </w:r>
      <w:r w:rsidR="00242AE1" w:rsidRPr="000155DA">
        <w:rPr>
          <w:szCs w:val="22"/>
        </w:rPr>
        <w:t xml:space="preserve">should be treated as </w:t>
      </w:r>
      <w:r w:rsidRPr="000155DA">
        <w:rPr>
          <w:szCs w:val="22"/>
        </w:rPr>
        <w:t>unserved.</w:t>
      </w:r>
      <w:r w:rsidRPr="000155DA">
        <w:rPr>
          <w:rStyle w:val="FootnoteReference"/>
          <w:sz w:val="22"/>
          <w:szCs w:val="22"/>
        </w:rPr>
        <w:footnoteReference w:id="100"/>
      </w:r>
    </w:p>
    <w:p w:rsidR="00EB7ADC" w:rsidRPr="000155DA" w:rsidRDefault="00BF0D92" w:rsidP="00C83E66">
      <w:pPr>
        <w:pStyle w:val="ParaNum"/>
        <w:tabs>
          <w:tab w:val="clear" w:pos="1440"/>
          <w:tab w:val="num" w:pos="0"/>
        </w:tabs>
        <w:rPr>
          <w:szCs w:val="22"/>
        </w:rPr>
      </w:pPr>
      <w:r w:rsidRPr="000155DA">
        <w:rPr>
          <w:i/>
          <w:szCs w:val="22"/>
        </w:rPr>
        <w:t>Declaration Only</w:t>
      </w:r>
      <w:r w:rsidRPr="000155DA">
        <w:rPr>
          <w:szCs w:val="22"/>
        </w:rPr>
        <w:t>.</w:t>
      </w:r>
      <w:r w:rsidR="00EB7ADC" w:rsidRPr="000155DA">
        <w:rPr>
          <w:szCs w:val="22"/>
        </w:rPr>
        <w:t xml:space="preserve"> </w:t>
      </w:r>
      <w:r w:rsidR="00CB44DA" w:rsidRPr="000155DA">
        <w:rPr>
          <w:szCs w:val="22"/>
        </w:rPr>
        <w:t xml:space="preserve"> </w:t>
      </w:r>
      <w:r w:rsidR="00242AE1" w:rsidRPr="000155DA">
        <w:rPr>
          <w:szCs w:val="22"/>
        </w:rPr>
        <w:t xml:space="preserve">For </w:t>
      </w:r>
      <w:r w:rsidR="00E87D5A">
        <w:rPr>
          <w:szCs w:val="22"/>
        </w:rPr>
        <w:t>5,743</w:t>
      </w:r>
      <w:r w:rsidR="00230E28" w:rsidRPr="000155DA">
        <w:rPr>
          <w:szCs w:val="22"/>
        </w:rPr>
        <w:t xml:space="preserve"> </w:t>
      </w:r>
      <w:r w:rsidR="00D61400" w:rsidRPr="000155DA">
        <w:rPr>
          <w:szCs w:val="22"/>
        </w:rPr>
        <w:t>contested census</w:t>
      </w:r>
      <w:r w:rsidR="00EB7ADC" w:rsidRPr="000155DA">
        <w:rPr>
          <w:szCs w:val="22"/>
        </w:rPr>
        <w:t xml:space="preserve"> block</w:t>
      </w:r>
      <w:r w:rsidR="00242AE1" w:rsidRPr="000155DA">
        <w:rPr>
          <w:szCs w:val="22"/>
        </w:rPr>
        <w:t xml:space="preserve">s, </w:t>
      </w:r>
      <w:r w:rsidR="004C741C" w:rsidRPr="000155DA">
        <w:rPr>
          <w:szCs w:val="22"/>
        </w:rPr>
        <w:t>the evidence</w:t>
      </w:r>
      <w:r w:rsidR="00EB7ADC" w:rsidRPr="000155DA">
        <w:rPr>
          <w:szCs w:val="22"/>
        </w:rPr>
        <w:t xml:space="preserve"> </w:t>
      </w:r>
      <w:r w:rsidR="00242AE1" w:rsidRPr="000155DA">
        <w:rPr>
          <w:szCs w:val="22"/>
        </w:rPr>
        <w:t>included</w:t>
      </w:r>
      <w:r w:rsidR="00EB7ADC" w:rsidRPr="000155DA">
        <w:rPr>
          <w:szCs w:val="22"/>
        </w:rPr>
        <w:t xml:space="preserve"> only a declaration or factual statement, with no additional evidence or supporting documents</w:t>
      </w:r>
      <w:r w:rsidR="00B22966" w:rsidRPr="000155DA">
        <w:rPr>
          <w:szCs w:val="22"/>
        </w:rPr>
        <w:t xml:space="preserve"> </w:t>
      </w:r>
      <w:r w:rsidR="00D25F4E" w:rsidRPr="000155DA">
        <w:rPr>
          <w:szCs w:val="22"/>
        </w:rPr>
        <w:t xml:space="preserve">to demonstrate the block should be treated as served.  </w:t>
      </w:r>
      <w:r w:rsidR="00EB7ADC" w:rsidRPr="000155DA">
        <w:rPr>
          <w:szCs w:val="22"/>
        </w:rPr>
        <w:t>The Bureau made its de</w:t>
      </w:r>
      <w:r w:rsidR="00242AE1" w:rsidRPr="000155DA">
        <w:rPr>
          <w:szCs w:val="22"/>
        </w:rPr>
        <w:t xml:space="preserve">cision </w:t>
      </w:r>
      <w:r w:rsidR="00F50A85" w:rsidRPr="000155DA">
        <w:rPr>
          <w:szCs w:val="22"/>
        </w:rPr>
        <w:t>by</w:t>
      </w:r>
      <w:r w:rsidR="00EB7ADC" w:rsidRPr="000155DA">
        <w:rPr>
          <w:szCs w:val="22"/>
        </w:rPr>
        <w:t xml:space="preserve"> considering whether the information provided in the declaration was sufficient to overcome the initial </w:t>
      </w:r>
      <w:r w:rsidR="0022337E" w:rsidRPr="000155DA">
        <w:rPr>
          <w:i/>
          <w:szCs w:val="22"/>
        </w:rPr>
        <w:t>prima facie</w:t>
      </w:r>
      <w:r w:rsidR="00EB7ADC" w:rsidRPr="000155DA">
        <w:rPr>
          <w:szCs w:val="22"/>
        </w:rPr>
        <w:t xml:space="preserve"> case. </w:t>
      </w:r>
      <w:r w:rsidR="00CB44DA" w:rsidRPr="000155DA">
        <w:rPr>
          <w:szCs w:val="22"/>
        </w:rPr>
        <w:t xml:space="preserve"> </w:t>
      </w:r>
      <w:r w:rsidR="00EB7ADC" w:rsidRPr="000155DA">
        <w:rPr>
          <w:szCs w:val="22"/>
        </w:rPr>
        <w:t xml:space="preserve">More specifically, a declaration that was specific as to how service is or could be achieved and addressed all of the required service levels was deemed </w:t>
      </w:r>
      <w:r w:rsidR="00161A8F" w:rsidRPr="000155DA">
        <w:rPr>
          <w:szCs w:val="22"/>
        </w:rPr>
        <w:t xml:space="preserve">sufficient to overcome </w:t>
      </w:r>
      <w:r w:rsidR="002A05C4" w:rsidRPr="000155DA">
        <w:rPr>
          <w:szCs w:val="22"/>
        </w:rPr>
        <w:t>a</w:t>
      </w:r>
      <w:r w:rsidR="00161A8F" w:rsidRPr="000155DA">
        <w:rPr>
          <w:szCs w:val="22"/>
        </w:rPr>
        <w:t xml:space="preserve"> </w:t>
      </w:r>
      <w:r w:rsidR="0022337E" w:rsidRPr="000155DA">
        <w:rPr>
          <w:i/>
          <w:szCs w:val="22"/>
        </w:rPr>
        <w:t>prima facie</w:t>
      </w:r>
      <w:r w:rsidR="00854B23" w:rsidRPr="000155DA">
        <w:rPr>
          <w:szCs w:val="22"/>
        </w:rPr>
        <w:t xml:space="preserve"> </w:t>
      </w:r>
      <w:r w:rsidR="00EB7ADC" w:rsidRPr="000155DA">
        <w:rPr>
          <w:szCs w:val="22"/>
        </w:rPr>
        <w:t>challenge arguing a census block was unserved in those cases.</w:t>
      </w:r>
      <w:r w:rsidR="001B2672" w:rsidRPr="000155DA">
        <w:rPr>
          <w:rStyle w:val="FootnoteReference"/>
          <w:sz w:val="22"/>
          <w:szCs w:val="22"/>
        </w:rPr>
        <w:footnoteReference w:id="101"/>
      </w:r>
      <w:r w:rsidR="00EB7ADC" w:rsidRPr="000155DA">
        <w:rPr>
          <w:szCs w:val="22"/>
        </w:rPr>
        <w:t xml:space="preserve"> </w:t>
      </w:r>
      <w:r w:rsidR="00242AE1" w:rsidRPr="000155DA">
        <w:rPr>
          <w:szCs w:val="22"/>
        </w:rPr>
        <w:t xml:space="preserve"> </w:t>
      </w:r>
      <w:r w:rsidR="007A65D7" w:rsidRPr="000155DA">
        <w:rPr>
          <w:szCs w:val="22"/>
        </w:rPr>
        <w:t xml:space="preserve">Ultimately, we found a clear and specific declaration that a </w:t>
      </w:r>
      <w:r w:rsidR="00B22966" w:rsidRPr="000155DA">
        <w:rPr>
          <w:szCs w:val="22"/>
        </w:rPr>
        <w:t>respondent</w:t>
      </w:r>
      <w:r w:rsidR="007A65D7" w:rsidRPr="000155DA">
        <w:rPr>
          <w:szCs w:val="22"/>
        </w:rPr>
        <w:t xml:space="preserve"> served a census block more persuasive to show a census block</w:t>
      </w:r>
      <w:r w:rsidR="00B22966" w:rsidRPr="000155DA">
        <w:rPr>
          <w:szCs w:val="22"/>
        </w:rPr>
        <w:t>’s status should be changed</w:t>
      </w:r>
      <w:r w:rsidR="007A65D7" w:rsidRPr="000155DA">
        <w:rPr>
          <w:szCs w:val="22"/>
        </w:rPr>
        <w:t xml:space="preserve"> than </w:t>
      </w:r>
      <w:r w:rsidR="00D25F4E" w:rsidRPr="000155DA">
        <w:rPr>
          <w:szCs w:val="22"/>
        </w:rPr>
        <w:t>most of the evidence supported to support an argument that a census block should be treated as u</w:t>
      </w:r>
      <w:r w:rsidR="005C7602" w:rsidRPr="000155DA">
        <w:rPr>
          <w:szCs w:val="22"/>
        </w:rPr>
        <w:t>n</w:t>
      </w:r>
      <w:r w:rsidR="00D25F4E" w:rsidRPr="000155DA">
        <w:rPr>
          <w:szCs w:val="22"/>
        </w:rPr>
        <w:t>served</w:t>
      </w:r>
      <w:r w:rsidR="00D25F4E" w:rsidRPr="000155DA">
        <w:rPr>
          <w:b/>
          <w:szCs w:val="22"/>
        </w:rPr>
        <w:t xml:space="preserve">.  </w:t>
      </w:r>
    </w:p>
    <w:p w:rsidR="00BF0D92" w:rsidRPr="000155DA" w:rsidRDefault="00EB7ADC" w:rsidP="00C83E66">
      <w:pPr>
        <w:pStyle w:val="ParaNum"/>
        <w:tabs>
          <w:tab w:val="clear" w:pos="1440"/>
          <w:tab w:val="num" w:pos="720"/>
        </w:tabs>
        <w:rPr>
          <w:szCs w:val="22"/>
        </w:rPr>
      </w:pPr>
      <w:r w:rsidRPr="000155DA">
        <w:rPr>
          <w:szCs w:val="22"/>
        </w:rPr>
        <w:t xml:space="preserve">On the other hand, </w:t>
      </w:r>
      <w:r w:rsidR="00854B23" w:rsidRPr="000155DA">
        <w:rPr>
          <w:szCs w:val="22"/>
        </w:rPr>
        <w:t xml:space="preserve">the Bureau concludes that </w:t>
      </w:r>
      <w:r w:rsidRPr="000155DA">
        <w:rPr>
          <w:szCs w:val="22"/>
        </w:rPr>
        <w:t xml:space="preserve">a declaration submitted </w:t>
      </w:r>
      <w:r w:rsidR="003923ED" w:rsidRPr="000155DA">
        <w:rPr>
          <w:szCs w:val="22"/>
        </w:rPr>
        <w:t xml:space="preserve">by the </w:t>
      </w:r>
      <w:r w:rsidR="002A05C4" w:rsidRPr="000155DA">
        <w:rPr>
          <w:szCs w:val="22"/>
        </w:rPr>
        <w:t>respondent that</w:t>
      </w:r>
      <w:r w:rsidRPr="000155DA">
        <w:rPr>
          <w:szCs w:val="22"/>
        </w:rPr>
        <w:t xml:space="preserve"> was vague and only stated </w:t>
      </w:r>
      <w:r w:rsidR="003923ED" w:rsidRPr="000155DA">
        <w:rPr>
          <w:szCs w:val="22"/>
        </w:rPr>
        <w:t xml:space="preserve">that </w:t>
      </w:r>
      <w:r w:rsidRPr="000155DA">
        <w:rPr>
          <w:szCs w:val="22"/>
        </w:rPr>
        <w:t>service could be pro</w:t>
      </w:r>
      <w:r w:rsidR="002A05C4" w:rsidRPr="000155DA">
        <w:rPr>
          <w:szCs w:val="22"/>
        </w:rPr>
        <w:t>vided, without identifying how the provider could meet the service</w:t>
      </w:r>
      <w:r w:rsidRPr="000155DA">
        <w:rPr>
          <w:szCs w:val="22"/>
        </w:rPr>
        <w:t xml:space="preserve"> criteria, or without addressing the specific price, speed, latency and usage requirements, </w:t>
      </w:r>
      <w:r w:rsidR="00854B23" w:rsidRPr="000155DA">
        <w:rPr>
          <w:szCs w:val="22"/>
        </w:rPr>
        <w:t xml:space="preserve">was insufficient </w:t>
      </w:r>
      <w:r w:rsidRPr="000155DA">
        <w:rPr>
          <w:szCs w:val="22"/>
        </w:rPr>
        <w:t xml:space="preserve"> to</w:t>
      </w:r>
      <w:r w:rsidR="002A05C4" w:rsidRPr="000155DA">
        <w:rPr>
          <w:szCs w:val="22"/>
        </w:rPr>
        <w:t xml:space="preserve"> </w:t>
      </w:r>
      <w:r w:rsidRPr="000155DA">
        <w:rPr>
          <w:szCs w:val="22"/>
        </w:rPr>
        <w:t xml:space="preserve">overcome </w:t>
      </w:r>
      <w:r w:rsidR="00161A8F" w:rsidRPr="000155DA">
        <w:rPr>
          <w:szCs w:val="22"/>
        </w:rPr>
        <w:t>the challenger</w:t>
      </w:r>
      <w:r w:rsidR="00B22966" w:rsidRPr="000155DA">
        <w:rPr>
          <w:szCs w:val="22"/>
        </w:rPr>
        <w:t>’s</w:t>
      </w:r>
      <w:r w:rsidRPr="000155DA">
        <w:rPr>
          <w:szCs w:val="22"/>
        </w:rPr>
        <w:t xml:space="preserve"> argu</w:t>
      </w:r>
      <w:r w:rsidR="00B22966" w:rsidRPr="000155DA">
        <w:rPr>
          <w:szCs w:val="22"/>
        </w:rPr>
        <w:t>ment that</w:t>
      </w:r>
      <w:r w:rsidRPr="000155DA">
        <w:rPr>
          <w:szCs w:val="22"/>
        </w:rPr>
        <w:t xml:space="preserve"> a census block was unserved</w:t>
      </w:r>
      <w:r w:rsidR="001B2672" w:rsidRPr="000155DA">
        <w:rPr>
          <w:szCs w:val="22"/>
        </w:rPr>
        <w:t>.</w:t>
      </w:r>
      <w:r w:rsidR="00B22966" w:rsidRPr="000155DA">
        <w:rPr>
          <w:rStyle w:val="FootnoteReference"/>
          <w:sz w:val="22"/>
          <w:szCs w:val="22"/>
        </w:rPr>
        <w:footnoteReference w:id="102"/>
      </w:r>
      <w:r w:rsidRPr="000155DA">
        <w:rPr>
          <w:szCs w:val="22"/>
        </w:rPr>
        <w:t xml:space="preserve"> </w:t>
      </w:r>
      <w:r w:rsidR="00CB44DA" w:rsidRPr="000155DA">
        <w:rPr>
          <w:szCs w:val="22"/>
        </w:rPr>
        <w:t xml:space="preserve"> </w:t>
      </w:r>
      <w:r w:rsidRPr="000155DA">
        <w:rPr>
          <w:szCs w:val="22"/>
        </w:rPr>
        <w:t xml:space="preserve">The only exception </w:t>
      </w:r>
      <w:r w:rsidR="002A05C4" w:rsidRPr="000155DA">
        <w:rPr>
          <w:szCs w:val="22"/>
        </w:rPr>
        <w:t xml:space="preserve">to this </w:t>
      </w:r>
      <w:r w:rsidRPr="000155DA">
        <w:rPr>
          <w:szCs w:val="22"/>
        </w:rPr>
        <w:t xml:space="preserve">was in </w:t>
      </w:r>
      <w:r w:rsidR="003923ED" w:rsidRPr="000155DA">
        <w:rPr>
          <w:szCs w:val="22"/>
        </w:rPr>
        <w:t>the instance</w:t>
      </w:r>
      <w:r w:rsidRPr="000155DA">
        <w:rPr>
          <w:szCs w:val="22"/>
        </w:rPr>
        <w:t xml:space="preserve"> where the challenge</w:t>
      </w:r>
      <w:r w:rsidR="00161A8F" w:rsidRPr="000155DA">
        <w:rPr>
          <w:szCs w:val="22"/>
        </w:rPr>
        <w:t>r</w:t>
      </w:r>
      <w:r w:rsidR="00F60227" w:rsidRPr="000155DA">
        <w:rPr>
          <w:szCs w:val="22"/>
        </w:rPr>
        <w:t xml:space="preserve"> also</w:t>
      </w:r>
      <w:r w:rsidRPr="000155DA">
        <w:rPr>
          <w:szCs w:val="22"/>
        </w:rPr>
        <w:t xml:space="preserve"> </w:t>
      </w:r>
      <w:r w:rsidR="002A05C4" w:rsidRPr="000155DA">
        <w:rPr>
          <w:szCs w:val="22"/>
        </w:rPr>
        <w:t>provided</w:t>
      </w:r>
      <w:r w:rsidRPr="000155DA">
        <w:rPr>
          <w:szCs w:val="22"/>
        </w:rPr>
        <w:t xml:space="preserve"> no substantive evidence </w:t>
      </w:r>
      <w:r w:rsidR="002A05C4" w:rsidRPr="000155DA">
        <w:rPr>
          <w:szCs w:val="22"/>
        </w:rPr>
        <w:t>in support of its</w:t>
      </w:r>
      <w:r w:rsidRPr="000155DA">
        <w:rPr>
          <w:szCs w:val="22"/>
        </w:rPr>
        <w:t xml:space="preserve"> challenge</w:t>
      </w:r>
      <w:r w:rsidR="003923ED" w:rsidRPr="000155DA">
        <w:rPr>
          <w:szCs w:val="22"/>
        </w:rPr>
        <w:t xml:space="preserve"> (e.g.</w:t>
      </w:r>
      <w:r w:rsidR="00CB44DA" w:rsidRPr="000155DA">
        <w:rPr>
          <w:szCs w:val="22"/>
        </w:rPr>
        <w:t>,</w:t>
      </w:r>
      <w:r w:rsidR="003923ED" w:rsidRPr="000155DA">
        <w:rPr>
          <w:szCs w:val="22"/>
        </w:rPr>
        <w:t xml:space="preserve"> only a declaration or </w:t>
      </w:r>
      <w:r w:rsidR="00414970" w:rsidRPr="000155DA">
        <w:rPr>
          <w:szCs w:val="22"/>
        </w:rPr>
        <w:t xml:space="preserve">conclusory </w:t>
      </w:r>
      <w:r w:rsidR="003923ED" w:rsidRPr="000155DA">
        <w:rPr>
          <w:szCs w:val="22"/>
        </w:rPr>
        <w:t>statement)</w:t>
      </w:r>
      <w:r w:rsidRPr="000155DA">
        <w:rPr>
          <w:szCs w:val="22"/>
        </w:rPr>
        <w:t xml:space="preserve">.  In those cases, </w:t>
      </w:r>
      <w:r w:rsidR="00854B23" w:rsidRPr="000155DA">
        <w:rPr>
          <w:szCs w:val="22"/>
        </w:rPr>
        <w:t xml:space="preserve">weighing the evidence provided in both the challenge and the reply, </w:t>
      </w:r>
      <w:r w:rsidR="002A05C4" w:rsidRPr="000155DA">
        <w:rPr>
          <w:szCs w:val="22"/>
        </w:rPr>
        <w:t>the Bureau</w:t>
      </w:r>
      <w:r w:rsidRPr="000155DA">
        <w:rPr>
          <w:szCs w:val="22"/>
        </w:rPr>
        <w:t xml:space="preserve"> conclude</w:t>
      </w:r>
      <w:r w:rsidR="002A05C4" w:rsidRPr="000155DA">
        <w:rPr>
          <w:szCs w:val="22"/>
        </w:rPr>
        <w:t>s</w:t>
      </w:r>
      <w:r w:rsidRPr="000155DA">
        <w:rPr>
          <w:szCs w:val="22"/>
        </w:rPr>
        <w:t xml:space="preserve"> the party asserting </w:t>
      </w:r>
      <w:r w:rsidR="003923ED" w:rsidRPr="000155DA">
        <w:rPr>
          <w:szCs w:val="22"/>
        </w:rPr>
        <w:t xml:space="preserve">service is provided </w:t>
      </w:r>
      <w:r w:rsidR="002A05C4" w:rsidRPr="000155DA">
        <w:rPr>
          <w:szCs w:val="22"/>
        </w:rPr>
        <w:t xml:space="preserve">to the census block </w:t>
      </w:r>
      <w:r w:rsidRPr="000155DA">
        <w:rPr>
          <w:szCs w:val="22"/>
        </w:rPr>
        <w:t>should prevail, because the declaration was made under penalty of perjury</w:t>
      </w:r>
      <w:r w:rsidR="00242AE1" w:rsidRPr="000155DA">
        <w:rPr>
          <w:szCs w:val="22"/>
        </w:rPr>
        <w:t>,</w:t>
      </w:r>
      <w:r w:rsidRPr="000155DA">
        <w:rPr>
          <w:szCs w:val="22"/>
        </w:rPr>
        <w:t xml:space="preserve"> and the serving party is in a better </w:t>
      </w:r>
      <w:r w:rsidR="00267D09" w:rsidRPr="000155DA">
        <w:rPr>
          <w:szCs w:val="22"/>
        </w:rPr>
        <w:t xml:space="preserve">position </w:t>
      </w:r>
      <w:r w:rsidRPr="000155DA">
        <w:rPr>
          <w:szCs w:val="22"/>
        </w:rPr>
        <w:t xml:space="preserve">to know whether or not it serves the </w:t>
      </w:r>
      <w:r w:rsidR="002A05C4" w:rsidRPr="000155DA">
        <w:rPr>
          <w:szCs w:val="22"/>
        </w:rPr>
        <w:t>census block</w:t>
      </w:r>
      <w:r w:rsidRPr="000155DA">
        <w:rPr>
          <w:szCs w:val="22"/>
        </w:rPr>
        <w:t>.</w:t>
      </w:r>
      <w:r w:rsidR="002A05C4" w:rsidRPr="000155DA">
        <w:rPr>
          <w:rStyle w:val="FootnoteReference"/>
          <w:sz w:val="22"/>
          <w:szCs w:val="22"/>
        </w:rPr>
        <w:footnoteReference w:id="103"/>
      </w:r>
    </w:p>
    <w:p w:rsidR="00BD2F90" w:rsidRPr="000155DA" w:rsidRDefault="006648AA" w:rsidP="00E2038F">
      <w:pPr>
        <w:pStyle w:val="ParaNum"/>
        <w:tabs>
          <w:tab w:val="clear" w:pos="1440"/>
          <w:tab w:val="num" w:pos="720"/>
        </w:tabs>
        <w:rPr>
          <w:szCs w:val="22"/>
        </w:rPr>
      </w:pPr>
      <w:r w:rsidRPr="000155DA">
        <w:rPr>
          <w:szCs w:val="22"/>
        </w:rPr>
        <w:t xml:space="preserve">There were </w:t>
      </w:r>
      <w:r w:rsidR="00E87D5A">
        <w:rPr>
          <w:szCs w:val="22"/>
        </w:rPr>
        <w:t>5,743</w:t>
      </w:r>
      <w:r w:rsidRPr="000155DA">
        <w:rPr>
          <w:szCs w:val="22"/>
        </w:rPr>
        <w:t xml:space="preserve"> census blocks </w:t>
      </w:r>
      <w:r w:rsidR="007A65D7" w:rsidRPr="000155DA">
        <w:rPr>
          <w:szCs w:val="22"/>
        </w:rPr>
        <w:t>that presented only declaration</w:t>
      </w:r>
      <w:r w:rsidR="00267D09" w:rsidRPr="000155DA">
        <w:rPr>
          <w:szCs w:val="22"/>
        </w:rPr>
        <w:t>s</w:t>
      </w:r>
      <w:r w:rsidR="007A65D7" w:rsidRPr="000155DA">
        <w:rPr>
          <w:szCs w:val="22"/>
        </w:rPr>
        <w:t xml:space="preserve"> as evidence</w:t>
      </w:r>
      <w:r w:rsidRPr="000155DA">
        <w:rPr>
          <w:szCs w:val="22"/>
        </w:rPr>
        <w:t xml:space="preserve">.  Of </w:t>
      </w:r>
      <w:r w:rsidR="00242AE1" w:rsidRPr="000155DA">
        <w:rPr>
          <w:szCs w:val="22"/>
        </w:rPr>
        <w:t>this group, t</w:t>
      </w:r>
      <w:r w:rsidR="00BD2F90" w:rsidRPr="000155DA">
        <w:rPr>
          <w:szCs w:val="22"/>
        </w:rPr>
        <w:t xml:space="preserve">he Bureau concludes </w:t>
      </w:r>
      <w:r w:rsidR="00E87D5A">
        <w:rPr>
          <w:szCs w:val="22"/>
        </w:rPr>
        <w:t>4,928</w:t>
      </w:r>
      <w:r w:rsidR="00D25F4E" w:rsidRPr="000155DA">
        <w:rPr>
          <w:szCs w:val="22"/>
        </w:rPr>
        <w:t xml:space="preserve"> </w:t>
      </w:r>
      <w:r w:rsidR="00BD2F90" w:rsidRPr="000155DA">
        <w:rPr>
          <w:szCs w:val="22"/>
        </w:rPr>
        <w:t xml:space="preserve">census blocks </w:t>
      </w:r>
      <w:r w:rsidR="00242AE1" w:rsidRPr="000155DA">
        <w:rPr>
          <w:szCs w:val="22"/>
        </w:rPr>
        <w:t xml:space="preserve">should be </w:t>
      </w:r>
      <w:r w:rsidR="00763084" w:rsidRPr="000155DA">
        <w:rPr>
          <w:szCs w:val="22"/>
        </w:rPr>
        <w:t xml:space="preserve">treated </w:t>
      </w:r>
      <w:r w:rsidR="00BD2F90" w:rsidRPr="000155DA">
        <w:rPr>
          <w:szCs w:val="22"/>
        </w:rPr>
        <w:t>as served</w:t>
      </w:r>
      <w:r w:rsidR="00F50A85" w:rsidRPr="000155DA">
        <w:rPr>
          <w:szCs w:val="22"/>
        </w:rPr>
        <w:t>,</w:t>
      </w:r>
      <w:r w:rsidR="00BD2F90" w:rsidRPr="000155DA">
        <w:rPr>
          <w:szCs w:val="22"/>
        </w:rPr>
        <w:t xml:space="preserve"> and </w:t>
      </w:r>
      <w:r w:rsidR="0057190F" w:rsidRPr="000155DA">
        <w:rPr>
          <w:szCs w:val="22"/>
        </w:rPr>
        <w:t xml:space="preserve">815 </w:t>
      </w:r>
      <w:r w:rsidR="00BD2F90" w:rsidRPr="000155DA">
        <w:rPr>
          <w:szCs w:val="22"/>
        </w:rPr>
        <w:t>census blocks</w:t>
      </w:r>
      <w:r w:rsidR="00763084" w:rsidRPr="000155DA">
        <w:rPr>
          <w:szCs w:val="22"/>
        </w:rPr>
        <w:t xml:space="preserve"> should be treated</w:t>
      </w:r>
      <w:r w:rsidR="00BD2F90" w:rsidRPr="000155DA">
        <w:rPr>
          <w:szCs w:val="22"/>
        </w:rPr>
        <w:t xml:space="preserve"> as unserved.</w:t>
      </w:r>
      <w:r w:rsidR="00371972" w:rsidRPr="000155DA">
        <w:rPr>
          <w:rStyle w:val="FootnoteReference"/>
          <w:sz w:val="22"/>
          <w:szCs w:val="22"/>
        </w:rPr>
        <w:footnoteReference w:id="104"/>
      </w:r>
    </w:p>
    <w:p w:rsidR="00BF0D92" w:rsidRPr="000155DA" w:rsidRDefault="00BF0D92" w:rsidP="00E2038F">
      <w:pPr>
        <w:pStyle w:val="ParaNum"/>
        <w:tabs>
          <w:tab w:val="clear" w:pos="1440"/>
          <w:tab w:val="num" w:pos="720"/>
        </w:tabs>
        <w:rPr>
          <w:szCs w:val="22"/>
        </w:rPr>
      </w:pPr>
      <w:r w:rsidRPr="000155DA">
        <w:rPr>
          <w:i/>
          <w:szCs w:val="22"/>
        </w:rPr>
        <w:t xml:space="preserve">Not </w:t>
      </w:r>
      <w:r w:rsidR="00F06C8E" w:rsidRPr="000155DA">
        <w:rPr>
          <w:i/>
          <w:szCs w:val="22"/>
        </w:rPr>
        <w:t>E</w:t>
      </w:r>
      <w:r w:rsidRPr="000155DA">
        <w:rPr>
          <w:i/>
          <w:szCs w:val="22"/>
        </w:rPr>
        <w:t>nough Evidence</w:t>
      </w:r>
      <w:r w:rsidRPr="000155DA">
        <w:rPr>
          <w:szCs w:val="22"/>
        </w:rPr>
        <w:t>.</w:t>
      </w:r>
      <w:r w:rsidR="003923ED" w:rsidRPr="000155DA">
        <w:rPr>
          <w:szCs w:val="22"/>
        </w:rPr>
        <w:t xml:space="preserve"> </w:t>
      </w:r>
      <w:r w:rsidR="00CB44DA" w:rsidRPr="000155DA">
        <w:rPr>
          <w:szCs w:val="22"/>
        </w:rPr>
        <w:t xml:space="preserve"> </w:t>
      </w:r>
      <w:r w:rsidR="00211F0B" w:rsidRPr="000155DA">
        <w:rPr>
          <w:szCs w:val="22"/>
        </w:rPr>
        <w:t xml:space="preserve">Finally, there were </w:t>
      </w:r>
      <w:r w:rsidR="00E87D5A">
        <w:rPr>
          <w:szCs w:val="22"/>
        </w:rPr>
        <w:t>1,733</w:t>
      </w:r>
      <w:r w:rsidR="00230E28" w:rsidRPr="000155DA">
        <w:rPr>
          <w:szCs w:val="22"/>
        </w:rPr>
        <w:t xml:space="preserve"> </w:t>
      </w:r>
      <w:r w:rsidR="003923ED" w:rsidRPr="000155DA">
        <w:rPr>
          <w:szCs w:val="22"/>
        </w:rPr>
        <w:t>census block</w:t>
      </w:r>
      <w:r w:rsidR="00211F0B" w:rsidRPr="000155DA">
        <w:rPr>
          <w:szCs w:val="22"/>
        </w:rPr>
        <w:t xml:space="preserve">s </w:t>
      </w:r>
      <w:r w:rsidR="006344AF" w:rsidRPr="000155DA">
        <w:rPr>
          <w:szCs w:val="22"/>
        </w:rPr>
        <w:t xml:space="preserve">for which </w:t>
      </w:r>
      <w:r w:rsidR="003923ED" w:rsidRPr="000155DA">
        <w:rPr>
          <w:szCs w:val="22"/>
        </w:rPr>
        <w:t xml:space="preserve">the </w:t>
      </w:r>
      <w:r w:rsidR="002A05C4" w:rsidRPr="000155DA">
        <w:rPr>
          <w:szCs w:val="22"/>
        </w:rPr>
        <w:t>respondent</w:t>
      </w:r>
      <w:r w:rsidR="003923ED" w:rsidRPr="000155DA">
        <w:rPr>
          <w:szCs w:val="22"/>
        </w:rPr>
        <w:t xml:space="preserve"> provided no substantive evidence, or the evidence provided was extremely weak and inadequate to overcome the evidence filed </w:t>
      </w:r>
      <w:r w:rsidR="00161A8F" w:rsidRPr="000155DA">
        <w:rPr>
          <w:szCs w:val="22"/>
        </w:rPr>
        <w:t>by</w:t>
      </w:r>
      <w:r w:rsidR="003923ED" w:rsidRPr="000155DA">
        <w:rPr>
          <w:szCs w:val="22"/>
        </w:rPr>
        <w:t xml:space="preserve"> the challenge</w:t>
      </w:r>
      <w:r w:rsidR="00161A8F" w:rsidRPr="000155DA">
        <w:rPr>
          <w:szCs w:val="22"/>
        </w:rPr>
        <w:t>r</w:t>
      </w:r>
      <w:r w:rsidR="00267D09" w:rsidRPr="000155DA">
        <w:rPr>
          <w:szCs w:val="22"/>
        </w:rPr>
        <w:t xml:space="preserve"> without even statements sufficient to determine whether the party could or did meet any of the evidentiary requirements</w:t>
      </w:r>
      <w:r w:rsidR="003923ED" w:rsidRPr="000155DA">
        <w:rPr>
          <w:szCs w:val="22"/>
        </w:rPr>
        <w:t>.</w:t>
      </w:r>
      <w:r w:rsidR="00371972" w:rsidRPr="000155DA">
        <w:rPr>
          <w:szCs w:val="22"/>
        </w:rPr>
        <w:t xml:space="preserve"> </w:t>
      </w:r>
      <w:r w:rsidR="00CB44DA" w:rsidRPr="000155DA">
        <w:rPr>
          <w:szCs w:val="22"/>
        </w:rPr>
        <w:t xml:space="preserve"> </w:t>
      </w:r>
      <w:r w:rsidR="00211F0B" w:rsidRPr="000155DA">
        <w:rPr>
          <w:szCs w:val="22"/>
        </w:rPr>
        <w:t xml:space="preserve">In such cases, the Bureau ruled in favor of the challenger who presented </w:t>
      </w:r>
      <w:r w:rsidR="002A05C4" w:rsidRPr="000155DA">
        <w:rPr>
          <w:szCs w:val="22"/>
        </w:rPr>
        <w:t xml:space="preserve">the </w:t>
      </w:r>
      <w:r w:rsidR="0022337E" w:rsidRPr="000155DA">
        <w:rPr>
          <w:i/>
          <w:szCs w:val="22"/>
        </w:rPr>
        <w:t>prima facie</w:t>
      </w:r>
      <w:r w:rsidR="002A05C4" w:rsidRPr="000155DA">
        <w:rPr>
          <w:szCs w:val="22"/>
        </w:rPr>
        <w:t xml:space="preserve"> </w:t>
      </w:r>
      <w:r w:rsidR="00211F0B" w:rsidRPr="000155DA">
        <w:rPr>
          <w:szCs w:val="22"/>
        </w:rPr>
        <w:t xml:space="preserve">case that the classification of the block should be changed.  </w:t>
      </w:r>
      <w:r w:rsidR="002A05C4" w:rsidRPr="000155DA">
        <w:rPr>
          <w:szCs w:val="22"/>
        </w:rPr>
        <w:t xml:space="preserve"> </w:t>
      </w:r>
      <w:r w:rsidR="00CB44DA" w:rsidRPr="000155DA">
        <w:rPr>
          <w:szCs w:val="22"/>
        </w:rPr>
        <w:t xml:space="preserve"> </w:t>
      </w:r>
      <w:r w:rsidR="00230E28" w:rsidRPr="000155DA">
        <w:rPr>
          <w:szCs w:val="22"/>
        </w:rPr>
        <w:t>Accordingly, t</w:t>
      </w:r>
      <w:r w:rsidR="00371972" w:rsidRPr="000155DA">
        <w:rPr>
          <w:szCs w:val="22"/>
        </w:rPr>
        <w:t xml:space="preserve">he Bureau concludes </w:t>
      </w:r>
      <w:r w:rsidR="00E87D5A">
        <w:rPr>
          <w:szCs w:val="22"/>
        </w:rPr>
        <w:t>809</w:t>
      </w:r>
      <w:r w:rsidR="00E87D5A" w:rsidRPr="000155DA">
        <w:rPr>
          <w:szCs w:val="22"/>
        </w:rPr>
        <w:t xml:space="preserve"> </w:t>
      </w:r>
      <w:r w:rsidR="00371972" w:rsidRPr="000155DA">
        <w:rPr>
          <w:szCs w:val="22"/>
        </w:rPr>
        <w:t xml:space="preserve">census blocks </w:t>
      </w:r>
      <w:r w:rsidR="00211F0B" w:rsidRPr="000155DA">
        <w:rPr>
          <w:szCs w:val="22"/>
        </w:rPr>
        <w:t xml:space="preserve">should be treated </w:t>
      </w:r>
      <w:r w:rsidR="00371972" w:rsidRPr="000155DA">
        <w:rPr>
          <w:szCs w:val="22"/>
        </w:rPr>
        <w:t>as served</w:t>
      </w:r>
      <w:r w:rsidR="00F50A85" w:rsidRPr="000155DA">
        <w:rPr>
          <w:szCs w:val="22"/>
        </w:rPr>
        <w:t>,</w:t>
      </w:r>
      <w:r w:rsidR="00371972" w:rsidRPr="000155DA">
        <w:rPr>
          <w:szCs w:val="22"/>
        </w:rPr>
        <w:t xml:space="preserve"> and </w:t>
      </w:r>
      <w:r w:rsidR="00E87D5A">
        <w:rPr>
          <w:szCs w:val="22"/>
        </w:rPr>
        <w:t>924</w:t>
      </w:r>
      <w:r w:rsidR="00371972" w:rsidRPr="000155DA">
        <w:rPr>
          <w:szCs w:val="22"/>
        </w:rPr>
        <w:t xml:space="preserve"> census blocks </w:t>
      </w:r>
      <w:r w:rsidR="000B660E" w:rsidRPr="000155DA">
        <w:rPr>
          <w:szCs w:val="22"/>
        </w:rPr>
        <w:t xml:space="preserve">should be treated </w:t>
      </w:r>
      <w:r w:rsidR="00371972" w:rsidRPr="000155DA">
        <w:rPr>
          <w:szCs w:val="22"/>
        </w:rPr>
        <w:t>as unserved.</w:t>
      </w:r>
      <w:r w:rsidR="00371972" w:rsidRPr="000155DA">
        <w:rPr>
          <w:rStyle w:val="FootnoteReference"/>
          <w:sz w:val="22"/>
          <w:szCs w:val="22"/>
        </w:rPr>
        <w:footnoteReference w:id="105"/>
      </w:r>
    </w:p>
    <w:p w:rsidR="00400906" w:rsidRPr="000155DA" w:rsidRDefault="00400906" w:rsidP="00400906">
      <w:pPr>
        <w:pStyle w:val="Heading1"/>
        <w:rPr>
          <w:rFonts w:ascii="Times New Roman" w:hAnsi="Times New Roman"/>
          <w:szCs w:val="22"/>
        </w:rPr>
      </w:pPr>
      <w:r w:rsidRPr="000155DA">
        <w:rPr>
          <w:rFonts w:ascii="Times New Roman" w:hAnsi="Times New Roman"/>
          <w:szCs w:val="22"/>
        </w:rPr>
        <w:t>OrDERING CLAUSES</w:t>
      </w:r>
    </w:p>
    <w:p w:rsidR="00400906" w:rsidRPr="000155DA" w:rsidRDefault="00CE4523" w:rsidP="008141BC">
      <w:pPr>
        <w:pStyle w:val="ParaNum"/>
        <w:rPr>
          <w:szCs w:val="22"/>
        </w:rPr>
      </w:pPr>
      <w:r w:rsidRPr="000155DA">
        <w:rPr>
          <w:szCs w:val="22"/>
        </w:rPr>
        <w:t xml:space="preserve">Accordingly, IT IS ORDERED, pursuant to the authority contained in sections </w:t>
      </w:r>
      <w:r w:rsidR="00211F0B" w:rsidRPr="000155DA">
        <w:rPr>
          <w:szCs w:val="22"/>
        </w:rPr>
        <w:t xml:space="preserve">1, 4(i), 4(j), 5, 214, and 254 of the Communications Act of 1934, as amended, and section 706 of the Telecommunications Act of 1996, 47 U.S.C. §§ 151, 154(i), 154(j), 155, 214, 254, 1302, sections 0.91, 0.291, </w:t>
      </w:r>
      <w:r w:rsidR="004947D2" w:rsidRPr="000155DA">
        <w:rPr>
          <w:szCs w:val="22"/>
        </w:rPr>
        <w:t xml:space="preserve">1.3 </w:t>
      </w:r>
      <w:r w:rsidR="00211F0B" w:rsidRPr="000155DA">
        <w:rPr>
          <w:szCs w:val="22"/>
        </w:rPr>
        <w:t xml:space="preserve">and 1.102 of </w:t>
      </w:r>
      <w:r w:rsidRPr="000155DA">
        <w:rPr>
          <w:szCs w:val="22"/>
        </w:rPr>
        <w:t xml:space="preserve"> the Co</w:t>
      </w:r>
      <w:r w:rsidR="00DF0698" w:rsidRPr="000155DA">
        <w:rPr>
          <w:szCs w:val="22"/>
        </w:rPr>
        <w:t xml:space="preserve">mmission’s rules, 47 C.F.R. §§ </w:t>
      </w:r>
      <w:r w:rsidR="00211F0B" w:rsidRPr="000155DA">
        <w:rPr>
          <w:szCs w:val="22"/>
        </w:rPr>
        <w:t xml:space="preserve">0.91, 0.291, </w:t>
      </w:r>
      <w:r w:rsidR="004947D2" w:rsidRPr="000155DA">
        <w:rPr>
          <w:szCs w:val="22"/>
        </w:rPr>
        <w:t xml:space="preserve">1.3, </w:t>
      </w:r>
      <w:r w:rsidR="00211F0B" w:rsidRPr="000155DA">
        <w:rPr>
          <w:szCs w:val="22"/>
        </w:rPr>
        <w:t xml:space="preserve">1.102, and the authority delegated to the Wireline Competition Bureau in </w:t>
      </w:r>
      <w:r w:rsidR="001F6699" w:rsidRPr="000155DA">
        <w:rPr>
          <w:szCs w:val="22"/>
        </w:rPr>
        <w:t xml:space="preserve">paragraph 170 of </w:t>
      </w:r>
      <w:r w:rsidR="00211F0B" w:rsidRPr="000155DA">
        <w:rPr>
          <w:szCs w:val="22"/>
        </w:rPr>
        <w:t xml:space="preserve">the </w:t>
      </w:r>
      <w:r w:rsidR="001F6699" w:rsidRPr="000155DA">
        <w:rPr>
          <w:i/>
          <w:szCs w:val="22"/>
        </w:rPr>
        <w:t>USF/ICC Transformation Order</w:t>
      </w:r>
      <w:r w:rsidR="001F6699" w:rsidRPr="000155DA">
        <w:rPr>
          <w:szCs w:val="22"/>
        </w:rPr>
        <w:t>,</w:t>
      </w:r>
      <w:r w:rsidR="00211F0B" w:rsidRPr="000155DA">
        <w:rPr>
          <w:szCs w:val="22"/>
        </w:rPr>
        <w:t xml:space="preserve"> </w:t>
      </w:r>
      <w:r w:rsidR="001F6699" w:rsidRPr="000155DA">
        <w:rPr>
          <w:szCs w:val="22"/>
        </w:rPr>
        <w:t xml:space="preserve">26 FCC Rcd 17663 (2011), </w:t>
      </w:r>
      <w:r w:rsidR="001F6699" w:rsidRPr="000155DA">
        <w:rPr>
          <w:i/>
          <w:szCs w:val="22"/>
        </w:rPr>
        <w:t>aff’d sub nom., In re:</w:t>
      </w:r>
      <w:r w:rsidR="001F6699" w:rsidRPr="000155DA">
        <w:rPr>
          <w:szCs w:val="22"/>
        </w:rPr>
        <w:t xml:space="preserve"> FCC 11-161, 753 F.3d 1015 (10th Cir. 2014), </w:t>
      </w:r>
      <w:r w:rsidRPr="000155DA">
        <w:rPr>
          <w:szCs w:val="22"/>
        </w:rPr>
        <w:t xml:space="preserve"> that this Order, IS ADOPTED</w:t>
      </w:r>
      <w:r w:rsidR="00211F0B" w:rsidRPr="000155DA">
        <w:rPr>
          <w:szCs w:val="22"/>
        </w:rPr>
        <w:t>.</w:t>
      </w:r>
    </w:p>
    <w:p w:rsidR="00267D09" w:rsidRDefault="00267D09" w:rsidP="008141BC">
      <w:pPr>
        <w:pStyle w:val="ParaNum"/>
        <w:rPr>
          <w:szCs w:val="22"/>
        </w:rPr>
      </w:pPr>
      <w:r w:rsidRPr="000155DA">
        <w:rPr>
          <w:szCs w:val="22"/>
        </w:rPr>
        <w:t xml:space="preserve">IT IS FURTHER ORDERED that </w:t>
      </w:r>
      <w:r w:rsidR="000179C7" w:rsidRPr="000155DA">
        <w:rPr>
          <w:szCs w:val="22"/>
        </w:rPr>
        <w:t>the requests</w:t>
      </w:r>
      <w:r w:rsidR="009A5F9E" w:rsidRPr="000155DA">
        <w:rPr>
          <w:szCs w:val="22"/>
        </w:rPr>
        <w:t xml:space="preserve"> </w:t>
      </w:r>
      <w:r w:rsidR="00DE296D" w:rsidRPr="000155DA">
        <w:rPr>
          <w:szCs w:val="22"/>
        </w:rPr>
        <w:t xml:space="preserve">to consider evidence presented in </w:t>
      </w:r>
      <w:r w:rsidR="0072521A" w:rsidRPr="000155DA">
        <w:rPr>
          <w:szCs w:val="22"/>
        </w:rPr>
        <w:t xml:space="preserve">the </w:t>
      </w:r>
      <w:r w:rsidR="00DE296D" w:rsidRPr="000155DA">
        <w:rPr>
          <w:szCs w:val="22"/>
        </w:rPr>
        <w:t xml:space="preserve">reply </w:t>
      </w:r>
      <w:r w:rsidR="005C7602" w:rsidRPr="000155DA">
        <w:rPr>
          <w:szCs w:val="22"/>
        </w:rPr>
        <w:t>round listed</w:t>
      </w:r>
      <w:r w:rsidRPr="000155DA">
        <w:rPr>
          <w:szCs w:val="22"/>
        </w:rPr>
        <w:t xml:space="preserve"> in </w:t>
      </w:r>
      <w:r w:rsidR="009A5F9E" w:rsidRPr="000155DA">
        <w:rPr>
          <w:szCs w:val="22"/>
        </w:rPr>
        <w:t xml:space="preserve">the </w:t>
      </w:r>
      <w:r w:rsidRPr="000155DA">
        <w:rPr>
          <w:szCs w:val="22"/>
        </w:rPr>
        <w:t>Appendix</w:t>
      </w:r>
      <w:r w:rsidR="0072521A" w:rsidRPr="000155DA">
        <w:rPr>
          <w:szCs w:val="22"/>
        </w:rPr>
        <w:t xml:space="preserve"> B</w:t>
      </w:r>
      <w:r w:rsidRPr="000155DA">
        <w:rPr>
          <w:szCs w:val="22"/>
        </w:rPr>
        <w:t xml:space="preserve"> of this Order, ARE GRANTED,</w:t>
      </w:r>
      <w:r w:rsidR="001A152E">
        <w:rPr>
          <w:szCs w:val="22"/>
        </w:rPr>
        <w:t xml:space="preserve"> DENIED</w:t>
      </w:r>
      <w:r w:rsidRPr="000155DA">
        <w:rPr>
          <w:szCs w:val="22"/>
        </w:rPr>
        <w:t xml:space="preserve"> or GRANTED IN PART AND DENIED IN PART as described therein.</w:t>
      </w:r>
    </w:p>
    <w:p w:rsidR="00CD596D" w:rsidRDefault="00CD596D" w:rsidP="00CD596D">
      <w:pPr>
        <w:pStyle w:val="ParaNum"/>
        <w:numPr>
          <w:ilvl w:val="0"/>
          <w:numId w:val="0"/>
        </w:numPr>
        <w:ind w:firstLine="720"/>
        <w:rPr>
          <w:szCs w:val="22"/>
        </w:rPr>
      </w:pPr>
    </w:p>
    <w:p w:rsidR="00CD596D" w:rsidRDefault="00CD596D" w:rsidP="00CD596D">
      <w:pPr>
        <w:pStyle w:val="ParaNum"/>
        <w:numPr>
          <w:ilvl w:val="0"/>
          <w:numId w:val="0"/>
        </w:numPr>
        <w:ind w:firstLine="720"/>
        <w:rPr>
          <w:szCs w:val="22"/>
        </w:rPr>
      </w:pPr>
    </w:p>
    <w:p w:rsidR="00CD596D" w:rsidRPr="000155DA" w:rsidRDefault="00CD596D" w:rsidP="00CD596D">
      <w:pPr>
        <w:pStyle w:val="ParaNum"/>
        <w:numPr>
          <w:ilvl w:val="0"/>
          <w:numId w:val="0"/>
        </w:numPr>
        <w:ind w:firstLine="720"/>
        <w:rPr>
          <w:szCs w:val="22"/>
        </w:rPr>
      </w:pPr>
    </w:p>
    <w:p w:rsidR="00267D09" w:rsidRPr="000155DA" w:rsidRDefault="00267D09" w:rsidP="008141BC">
      <w:pPr>
        <w:pStyle w:val="ParaNum"/>
        <w:rPr>
          <w:szCs w:val="22"/>
        </w:rPr>
      </w:pPr>
      <w:r w:rsidRPr="000155DA">
        <w:rPr>
          <w:szCs w:val="22"/>
        </w:rPr>
        <w:t>IT IS FURTHER ORDERED that, pursuant to section 1.102(b)(1) of the Commission’s rules, 47 C.F.R. § 1.102(b)(1), this Order SHALL BE EFFECTIVE upon release</w:t>
      </w:r>
      <w:r w:rsidR="00E03A8E" w:rsidRPr="000155DA">
        <w:rPr>
          <w:szCs w:val="22"/>
        </w:rPr>
        <w:t>.</w:t>
      </w:r>
    </w:p>
    <w:p w:rsidR="008141BC" w:rsidRPr="000155DA" w:rsidRDefault="008141BC" w:rsidP="00400906">
      <w:pPr>
        <w:pStyle w:val="ParaNum"/>
        <w:numPr>
          <w:ilvl w:val="0"/>
          <w:numId w:val="0"/>
        </w:numPr>
        <w:ind w:left="2880" w:firstLine="720"/>
        <w:rPr>
          <w:szCs w:val="22"/>
        </w:rPr>
      </w:pPr>
    </w:p>
    <w:p w:rsidR="00A261F6" w:rsidRPr="000155DA" w:rsidRDefault="00400906" w:rsidP="00BB302F">
      <w:pPr>
        <w:pStyle w:val="ParaNum"/>
        <w:numPr>
          <w:ilvl w:val="0"/>
          <w:numId w:val="0"/>
        </w:numPr>
        <w:ind w:left="2880" w:firstLine="720"/>
        <w:rPr>
          <w:szCs w:val="22"/>
        </w:rPr>
      </w:pPr>
      <w:r w:rsidRPr="000155DA">
        <w:rPr>
          <w:szCs w:val="22"/>
        </w:rPr>
        <w:t>FEDERAL COMMUNICATIONS COMMISSION</w:t>
      </w:r>
    </w:p>
    <w:p w:rsidR="00A261F6" w:rsidRDefault="00A261F6" w:rsidP="00E03A8E">
      <w:pPr>
        <w:pStyle w:val="ParaNum"/>
        <w:numPr>
          <w:ilvl w:val="0"/>
          <w:numId w:val="0"/>
        </w:numPr>
        <w:rPr>
          <w:szCs w:val="22"/>
        </w:rPr>
      </w:pPr>
    </w:p>
    <w:p w:rsidR="001A152E" w:rsidRDefault="001A152E" w:rsidP="00E03A8E">
      <w:pPr>
        <w:pStyle w:val="ParaNum"/>
        <w:numPr>
          <w:ilvl w:val="0"/>
          <w:numId w:val="0"/>
        </w:numPr>
        <w:rPr>
          <w:szCs w:val="22"/>
        </w:rPr>
      </w:pPr>
    </w:p>
    <w:p w:rsidR="001A152E" w:rsidRPr="000155DA" w:rsidRDefault="001A152E" w:rsidP="00E03A8E">
      <w:pPr>
        <w:pStyle w:val="ParaNum"/>
        <w:numPr>
          <w:ilvl w:val="0"/>
          <w:numId w:val="0"/>
        </w:numPr>
        <w:rPr>
          <w:szCs w:val="22"/>
        </w:rPr>
      </w:pPr>
    </w:p>
    <w:p w:rsidR="00400906" w:rsidRPr="000155DA" w:rsidRDefault="00267D09" w:rsidP="00594389">
      <w:pPr>
        <w:pStyle w:val="ParaNum"/>
        <w:numPr>
          <w:ilvl w:val="0"/>
          <w:numId w:val="0"/>
        </w:numPr>
        <w:spacing w:after="0"/>
        <w:ind w:left="2880" w:firstLine="720"/>
        <w:rPr>
          <w:szCs w:val="22"/>
        </w:rPr>
      </w:pPr>
      <w:r w:rsidRPr="000155DA">
        <w:rPr>
          <w:szCs w:val="22"/>
        </w:rPr>
        <w:t>Carol E. Mattey</w:t>
      </w:r>
    </w:p>
    <w:p w:rsidR="00267D09" w:rsidRPr="000155DA" w:rsidRDefault="00267D09" w:rsidP="00594389">
      <w:pPr>
        <w:pStyle w:val="ParaNum"/>
        <w:numPr>
          <w:ilvl w:val="0"/>
          <w:numId w:val="0"/>
        </w:numPr>
        <w:spacing w:after="0"/>
        <w:ind w:left="2880" w:firstLine="720"/>
        <w:rPr>
          <w:szCs w:val="22"/>
        </w:rPr>
      </w:pPr>
      <w:r w:rsidRPr="000155DA">
        <w:rPr>
          <w:szCs w:val="22"/>
        </w:rPr>
        <w:t>Deputy</w:t>
      </w:r>
      <w:r w:rsidR="0083709F" w:rsidRPr="000155DA">
        <w:rPr>
          <w:szCs w:val="22"/>
        </w:rPr>
        <w:t xml:space="preserve"> Chief</w:t>
      </w:r>
    </w:p>
    <w:p w:rsidR="00D513ED" w:rsidRPr="000155DA" w:rsidRDefault="00400906" w:rsidP="00295A96">
      <w:pPr>
        <w:pStyle w:val="ParaNum"/>
        <w:numPr>
          <w:ilvl w:val="0"/>
          <w:numId w:val="0"/>
        </w:numPr>
        <w:spacing w:after="0"/>
        <w:ind w:left="2880" w:firstLine="720"/>
        <w:rPr>
          <w:szCs w:val="22"/>
        </w:rPr>
      </w:pPr>
      <w:r w:rsidRPr="000155DA">
        <w:rPr>
          <w:szCs w:val="22"/>
        </w:rPr>
        <w:t>Wireline Competition Bureau</w:t>
      </w: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E03A8E">
      <w:pPr>
        <w:pStyle w:val="ParaNum"/>
        <w:numPr>
          <w:ilvl w:val="0"/>
          <w:numId w:val="0"/>
        </w:numPr>
        <w:jc w:val="center"/>
        <w:rPr>
          <w:b/>
          <w:szCs w:val="22"/>
          <w:u w:val="single"/>
        </w:rPr>
      </w:pPr>
    </w:p>
    <w:p w:rsidR="00E86F5D" w:rsidRPr="000155DA" w:rsidRDefault="00E86F5D" w:rsidP="001A152E">
      <w:pPr>
        <w:pStyle w:val="ParaNum"/>
        <w:numPr>
          <w:ilvl w:val="0"/>
          <w:numId w:val="0"/>
        </w:numPr>
        <w:rPr>
          <w:b/>
          <w:szCs w:val="22"/>
          <w:u w:val="single"/>
        </w:rPr>
      </w:pPr>
    </w:p>
    <w:p w:rsidR="00A14F0D" w:rsidRPr="00097374" w:rsidRDefault="001A152E" w:rsidP="00E03A8E">
      <w:pPr>
        <w:pStyle w:val="ParaNum"/>
        <w:numPr>
          <w:ilvl w:val="0"/>
          <w:numId w:val="0"/>
        </w:numPr>
        <w:jc w:val="center"/>
        <w:rPr>
          <w:b/>
          <w:szCs w:val="22"/>
        </w:rPr>
      </w:pPr>
      <w:r w:rsidRPr="00097374">
        <w:rPr>
          <w:b/>
          <w:szCs w:val="22"/>
        </w:rPr>
        <w:t>APPENDIX</w:t>
      </w:r>
      <w:r w:rsidR="00F8535A" w:rsidRPr="00097374">
        <w:rPr>
          <w:b/>
          <w:szCs w:val="22"/>
        </w:rPr>
        <w:t xml:space="preserve"> A</w:t>
      </w:r>
      <w:r w:rsidR="00A14F0D" w:rsidRPr="00097374">
        <w:rPr>
          <w:b/>
          <w:szCs w:val="22"/>
        </w:rPr>
        <w:t xml:space="preserve"> </w:t>
      </w:r>
    </w:p>
    <w:p w:rsidR="00A14F0D" w:rsidRPr="000155DA" w:rsidRDefault="00A14F0D" w:rsidP="00E03A8E">
      <w:pPr>
        <w:pStyle w:val="ParaNum"/>
        <w:numPr>
          <w:ilvl w:val="0"/>
          <w:numId w:val="0"/>
        </w:numPr>
        <w:jc w:val="center"/>
        <w:rPr>
          <w:b/>
          <w:szCs w:val="22"/>
        </w:rPr>
      </w:pPr>
      <w:r w:rsidRPr="000155DA">
        <w:rPr>
          <w:b/>
          <w:szCs w:val="22"/>
        </w:rPr>
        <w:t>Final Challenge Decisions</w:t>
      </w:r>
    </w:p>
    <w:p w:rsidR="00F8535A" w:rsidRPr="000155DA" w:rsidRDefault="00A14F0D" w:rsidP="00E03A8E">
      <w:pPr>
        <w:pStyle w:val="ParaNum"/>
        <w:numPr>
          <w:ilvl w:val="0"/>
          <w:numId w:val="0"/>
        </w:numPr>
        <w:jc w:val="center"/>
        <w:rPr>
          <w:szCs w:val="22"/>
        </w:rPr>
      </w:pPr>
      <w:r w:rsidRPr="000155DA">
        <w:rPr>
          <w:szCs w:val="22"/>
        </w:rPr>
        <w:t>(List showing the designation of served or unserved for each challenged census block)</w:t>
      </w:r>
    </w:p>
    <w:p w:rsidR="006B1ED8" w:rsidRPr="000155DA" w:rsidRDefault="00A14F0D" w:rsidP="001D7047">
      <w:pPr>
        <w:jc w:val="center"/>
        <w:rPr>
          <w:rStyle w:val="Hyperlink"/>
          <w:color w:val="auto"/>
          <w:szCs w:val="22"/>
          <w:u w:val="none"/>
        </w:rPr>
      </w:pPr>
      <w:r w:rsidRPr="000155DA">
        <w:rPr>
          <w:szCs w:val="22"/>
        </w:rPr>
        <w:t xml:space="preserve">This list can be found at: </w:t>
      </w:r>
      <w:hyperlink r:id="rId9" w:history="1">
        <w:r w:rsidR="006B1ED8" w:rsidRPr="000155DA">
          <w:rPr>
            <w:rStyle w:val="Hyperlink"/>
            <w:szCs w:val="22"/>
          </w:rPr>
          <w:t xml:space="preserve">http://www.fcc.gov/wcb/CAF II Challenge App A.zip </w:t>
        </w:r>
      </w:hyperlink>
    </w:p>
    <w:p w:rsidR="00295A96" w:rsidRPr="000155DA" w:rsidRDefault="00295A96" w:rsidP="00E03A8E">
      <w:pPr>
        <w:pStyle w:val="ParaNum"/>
        <w:numPr>
          <w:ilvl w:val="0"/>
          <w:numId w:val="0"/>
        </w:numPr>
        <w:jc w:val="center"/>
        <w:rPr>
          <w:szCs w:val="22"/>
        </w:rPr>
      </w:pPr>
    </w:p>
    <w:p w:rsidR="006B1ED8" w:rsidRPr="000155DA" w:rsidRDefault="006B1ED8" w:rsidP="00E03A8E">
      <w:pPr>
        <w:pStyle w:val="ParaNum"/>
        <w:numPr>
          <w:ilvl w:val="0"/>
          <w:numId w:val="0"/>
        </w:numPr>
        <w:jc w:val="center"/>
        <w:rPr>
          <w:szCs w:val="22"/>
        </w:rPr>
      </w:pPr>
      <w:r w:rsidRPr="000155DA">
        <w:rPr>
          <w:b/>
          <w:szCs w:val="22"/>
        </w:rPr>
        <w:t>Sample Format</w:t>
      </w:r>
      <w:r w:rsidRPr="000155DA">
        <w:rPr>
          <w:szCs w:val="22"/>
        </w:rPr>
        <w:t>:</w:t>
      </w:r>
    </w:p>
    <w:p w:rsidR="00F8535A" w:rsidRPr="000155DA" w:rsidRDefault="00F8535A" w:rsidP="00E03A8E">
      <w:pPr>
        <w:pStyle w:val="ParaNum"/>
        <w:numPr>
          <w:ilvl w:val="0"/>
          <w:numId w:val="0"/>
        </w:numPr>
        <w:jc w:val="center"/>
        <w:rPr>
          <w:b/>
          <w:szCs w:val="22"/>
        </w:rPr>
      </w:pPr>
    </w:p>
    <w:tbl>
      <w:tblPr>
        <w:tblStyle w:val="TableGrid"/>
        <w:tblpPr w:leftFromText="180" w:rightFromText="180" w:vertAnchor="text" w:horzAnchor="margin" w:tblpY="-59"/>
        <w:tblW w:w="0" w:type="auto"/>
        <w:tblLook w:val="04A0" w:firstRow="1" w:lastRow="0" w:firstColumn="1" w:lastColumn="0" w:noHBand="0" w:noVBand="1"/>
      </w:tblPr>
      <w:tblGrid>
        <w:gridCol w:w="1407"/>
        <w:gridCol w:w="1638"/>
        <w:gridCol w:w="1757"/>
        <w:gridCol w:w="1470"/>
        <w:gridCol w:w="1830"/>
        <w:gridCol w:w="1474"/>
      </w:tblGrid>
      <w:tr w:rsidR="00A14F0D" w:rsidRPr="000155DA" w:rsidTr="003457F7">
        <w:tc>
          <w:tcPr>
            <w:tcW w:w="1407" w:type="dxa"/>
          </w:tcPr>
          <w:p w:rsidR="00A14F0D" w:rsidRPr="000155DA" w:rsidRDefault="00A14F0D" w:rsidP="00A14F0D">
            <w:pPr>
              <w:pStyle w:val="ParaNum"/>
              <w:numPr>
                <w:ilvl w:val="0"/>
                <w:numId w:val="0"/>
              </w:numPr>
              <w:jc w:val="center"/>
              <w:rPr>
                <w:b/>
                <w:szCs w:val="22"/>
                <w:u w:val="single"/>
              </w:rPr>
            </w:pPr>
            <w:r w:rsidRPr="000155DA">
              <w:rPr>
                <w:b/>
                <w:szCs w:val="22"/>
                <w:u w:val="single"/>
              </w:rPr>
              <w:t>Census Block</w:t>
            </w:r>
          </w:p>
        </w:tc>
        <w:tc>
          <w:tcPr>
            <w:tcW w:w="1638" w:type="dxa"/>
          </w:tcPr>
          <w:p w:rsidR="00A14F0D" w:rsidRPr="000155DA" w:rsidRDefault="00A14F0D" w:rsidP="00A14F0D">
            <w:pPr>
              <w:pStyle w:val="ParaNum"/>
              <w:numPr>
                <w:ilvl w:val="0"/>
                <w:numId w:val="0"/>
              </w:numPr>
              <w:jc w:val="center"/>
              <w:rPr>
                <w:b/>
                <w:szCs w:val="22"/>
                <w:u w:val="single"/>
              </w:rPr>
            </w:pPr>
            <w:r w:rsidRPr="000155DA">
              <w:rPr>
                <w:b/>
                <w:szCs w:val="22"/>
                <w:u w:val="single"/>
              </w:rPr>
              <w:t>State</w:t>
            </w:r>
          </w:p>
        </w:tc>
        <w:tc>
          <w:tcPr>
            <w:tcW w:w="1757" w:type="dxa"/>
          </w:tcPr>
          <w:p w:rsidR="00A14F0D" w:rsidRPr="000155DA" w:rsidRDefault="00A14F0D" w:rsidP="00A14F0D">
            <w:pPr>
              <w:pStyle w:val="ParaNum"/>
              <w:numPr>
                <w:ilvl w:val="0"/>
                <w:numId w:val="0"/>
              </w:numPr>
              <w:jc w:val="center"/>
              <w:rPr>
                <w:b/>
                <w:szCs w:val="22"/>
                <w:u w:val="single"/>
              </w:rPr>
            </w:pPr>
            <w:r w:rsidRPr="000155DA">
              <w:rPr>
                <w:b/>
                <w:szCs w:val="22"/>
                <w:u w:val="single"/>
              </w:rPr>
              <w:t>Challenger</w:t>
            </w:r>
          </w:p>
        </w:tc>
        <w:tc>
          <w:tcPr>
            <w:tcW w:w="1470" w:type="dxa"/>
          </w:tcPr>
          <w:p w:rsidR="00A14F0D" w:rsidRPr="000155DA" w:rsidRDefault="00A14F0D" w:rsidP="00A14F0D">
            <w:pPr>
              <w:pStyle w:val="ParaNum"/>
              <w:numPr>
                <w:ilvl w:val="0"/>
                <w:numId w:val="0"/>
              </w:numPr>
              <w:jc w:val="center"/>
              <w:rPr>
                <w:b/>
                <w:szCs w:val="22"/>
                <w:u w:val="single"/>
              </w:rPr>
            </w:pPr>
            <w:r w:rsidRPr="000155DA">
              <w:rPr>
                <w:b/>
                <w:szCs w:val="22"/>
                <w:u w:val="single"/>
              </w:rPr>
              <w:t>Respondent</w:t>
            </w:r>
          </w:p>
        </w:tc>
        <w:tc>
          <w:tcPr>
            <w:tcW w:w="1830" w:type="dxa"/>
          </w:tcPr>
          <w:p w:rsidR="00A14F0D" w:rsidRPr="000155DA" w:rsidRDefault="00A14F0D" w:rsidP="00A14F0D">
            <w:pPr>
              <w:pStyle w:val="ParaNum"/>
              <w:numPr>
                <w:ilvl w:val="0"/>
                <w:numId w:val="0"/>
              </w:numPr>
              <w:jc w:val="center"/>
              <w:rPr>
                <w:b/>
                <w:szCs w:val="22"/>
                <w:u w:val="single"/>
              </w:rPr>
            </w:pPr>
            <w:r w:rsidRPr="000155DA">
              <w:rPr>
                <w:b/>
                <w:szCs w:val="22"/>
                <w:u w:val="single"/>
              </w:rPr>
              <w:t>Designation</w:t>
            </w:r>
          </w:p>
        </w:tc>
        <w:tc>
          <w:tcPr>
            <w:tcW w:w="1474" w:type="dxa"/>
          </w:tcPr>
          <w:p w:rsidR="00A14F0D" w:rsidRPr="000155DA" w:rsidRDefault="00A14F0D" w:rsidP="00A14F0D">
            <w:pPr>
              <w:pStyle w:val="ParaNum"/>
              <w:numPr>
                <w:ilvl w:val="0"/>
                <w:numId w:val="0"/>
              </w:numPr>
              <w:jc w:val="center"/>
              <w:rPr>
                <w:b/>
                <w:szCs w:val="22"/>
                <w:u w:val="single"/>
              </w:rPr>
            </w:pPr>
            <w:r w:rsidRPr="000155DA">
              <w:rPr>
                <w:b/>
                <w:szCs w:val="22"/>
                <w:u w:val="single"/>
              </w:rPr>
              <w:t>Reason</w:t>
            </w:r>
          </w:p>
        </w:tc>
      </w:tr>
      <w:tr w:rsidR="00A14F0D" w:rsidRPr="000155DA" w:rsidTr="003457F7">
        <w:tc>
          <w:tcPr>
            <w:tcW w:w="1407" w:type="dxa"/>
          </w:tcPr>
          <w:p w:rsidR="00A14F0D" w:rsidRPr="000155DA" w:rsidRDefault="00A14F0D" w:rsidP="00A14F0D">
            <w:pPr>
              <w:pStyle w:val="ParaNum"/>
              <w:numPr>
                <w:ilvl w:val="0"/>
                <w:numId w:val="0"/>
              </w:numPr>
              <w:jc w:val="center"/>
              <w:rPr>
                <w:szCs w:val="22"/>
              </w:rPr>
            </w:pPr>
          </w:p>
        </w:tc>
        <w:tc>
          <w:tcPr>
            <w:tcW w:w="1638" w:type="dxa"/>
          </w:tcPr>
          <w:p w:rsidR="00A14F0D" w:rsidRPr="000155DA" w:rsidRDefault="00A14F0D" w:rsidP="00A14F0D">
            <w:pPr>
              <w:pStyle w:val="ParaNum"/>
              <w:numPr>
                <w:ilvl w:val="0"/>
                <w:numId w:val="0"/>
              </w:numPr>
              <w:jc w:val="center"/>
              <w:rPr>
                <w:szCs w:val="22"/>
              </w:rPr>
            </w:pPr>
          </w:p>
        </w:tc>
        <w:tc>
          <w:tcPr>
            <w:tcW w:w="1757" w:type="dxa"/>
          </w:tcPr>
          <w:p w:rsidR="00A14F0D" w:rsidRPr="000155DA" w:rsidRDefault="00A14F0D" w:rsidP="00A14F0D">
            <w:pPr>
              <w:pStyle w:val="ParaNum"/>
              <w:numPr>
                <w:ilvl w:val="0"/>
                <w:numId w:val="0"/>
              </w:numPr>
              <w:jc w:val="center"/>
              <w:rPr>
                <w:szCs w:val="22"/>
              </w:rPr>
            </w:pPr>
          </w:p>
        </w:tc>
        <w:tc>
          <w:tcPr>
            <w:tcW w:w="1470" w:type="dxa"/>
          </w:tcPr>
          <w:p w:rsidR="00A14F0D" w:rsidRPr="000155DA" w:rsidRDefault="00A14F0D" w:rsidP="00A14F0D">
            <w:pPr>
              <w:pStyle w:val="ParaNum"/>
              <w:numPr>
                <w:ilvl w:val="0"/>
                <w:numId w:val="0"/>
              </w:numPr>
              <w:jc w:val="center"/>
              <w:rPr>
                <w:szCs w:val="22"/>
              </w:rPr>
            </w:pPr>
          </w:p>
        </w:tc>
        <w:tc>
          <w:tcPr>
            <w:tcW w:w="1830" w:type="dxa"/>
          </w:tcPr>
          <w:p w:rsidR="00A14F0D" w:rsidRPr="000155DA" w:rsidRDefault="00A14F0D" w:rsidP="00A14F0D">
            <w:pPr>
              <w:pStyle w:val="ParaNum"/>
              <w:numPr>
                <w:ilvl w:val="0"/>
                <w:numId w:val="0"/>
              </w:numPr>
              <w:jc w:val="center"/>
              <w:rPr>
                <w:szCs w:val="22"/>
              </w:rPr>
            </w:pPr>
          </w:p>
        </w:tc>
        <w:tc>
          <w:tcPr>
            <w:tcW w:w="1474" w:type="dxa"/>
          </w:tcPr>
          <w:p w:rsidR="00A14F0D" w:rsidRPr="000155DA" w:rsidRDefault="00A14F0D" w:rsidP="00A14F0D">
            <w:pPr>
              <w:pStyle w:val="ParaNum"/>
              <w:numPr>
                <w:ilvl w:val="0"/>
                <w:numId w:val="0"/>
              </w:numPr>
              <w:jc w:val="center"/>
              <w:rPr>
                <w:szCs w:val="22"/>
              </w:rPr>
            </w:pPr>
          </w:p>
        </w:tc>
      </w:tr>
    </w:tbl>
    <w:p w:rsidR="00F8535A" w:rsidRPr="000155DA" w:rsidRDefault="00F8535A" w:rsidP="00A14F0D">
      <w:pPr>
        <w:pStyle w:val="ParaNum"/>
        <w:numPr>
          <w:ilvl w:val="0"/>
          <w:numId w:val="0"/>
        </w:numPr>
        <w:rPr>
          <w:szCs w:val="22"/>
        </w:rPr>
      </w:pPr>
    </w:p>
    <w:p w:rsidR="00A14F0D" w:rsidRPr="000155DA" w:rsidRDefault="00A14F0D" w:rsidP="001D7047">
      <w:pPr>
        <w:pStyle w:val="ParaNum"/>
        <w:numPr>
          <w:ilvl w:val="0"/>
          <w:numId w:val="0"/>
        </w:numPr>
        <w:jc w:val="center"/>
        <w:rPr>
          <w:b/>
          <w:szCs w:val="22"/>
        </w:rPr>
      </w:pPr>
      <w:r w:rsidRPr="000155DA">
        <w:rPr>
          <w:b/>
          <w:szCs w:val="22"/>
        </w:rPr>
        <w:t>Legend for Appendix A</w:t>
      </w:r>
    </w:p>
    <w:tbl>
      <w:tblPr>
        <w:tblW w:w="0" w:type="auto"/>
        <w:jc w:val="center"/>
        <w:tblCellMar>
          <w:left w:w="0" w:type="dxa"/>
          <w:right w:w="0" w:type="dxa"/>
        </w:tblCellMar>
        <w:tblLook w:val="04A0" w:firstRow="1" w:lastRow="0" w:firstColumn="1" w:lastColumn="0" w:noHBand="0" w:noVBand="1"/>
      </w:tblPr>
      <w:tblGrid>
        <w:gridCol w:w="3502"/>
        <w:gridCol w:w="1800"/>
      </w:tblGrid>
      <w:tr w:rsidR="00A14F0D" w:rsidRPr="000155DA" w:rsidTr="001D7047">
        <w:trPr>
          <w:jc w:val="center"/>
        </w:trPr>
        <w:tc>
          <w:tcPr>
            <w:tcW w:w="3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b/>
                <w:bCs/>
                <w:szCs w:val="22"/>
                <w:u w:val="single"/>
              </w:rPr>
            </w:pPr>
            <w:r w:rsidRPr="000155DA">
              <w:rPr>
                <w:b/>
                <w:bCs/>
                <w:szCs w:val="22"/>
                <w:u w:val="single"/>
              </w:rPr>
              <w:t>Reason</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b/>
                <w:bCs/>
                <w:szCs w:val="22"/>
                <w:u w:val="single"/>
              </w:rPr>
            </w:pPr>
            <w:r w:rsidRPr="000155DA">
              <w:rPr>
                <w:b/>
                <w:bCs/>
                <w:szCs w:val="22"/>
                <w:u w:val="single"/>
              </w:rPr>
              <w:t>Abbreviation</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rPr>
                <w:rFonts w:eastAsiaTheme="minorHAnsi"/>
                <w:szCs w:val="22"/>
              </w:rPr>
            </w:pPr>
            <w:r w:rsidRPr="000155DA">
              <w:rPr>
                <w:szCs w:val="22"/>
              </w:rPr>
              <w:t>Customer Information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szCs w:val="22"/>
              </w:rPr>
            </w:pPr>
            <w:r w:rsidRPr="000155DA">
              <w:rPr>
                <w:szCs w:val="22"/>
              </w:rPr>
              <w:t>CI</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rPr>
                <w:rFonts w:eastAsiaTheme="minorHAnsi"/>
                <w:szCs w:val="22"/>
              </w:rPr>
            </w:pPr>
            <w:r w:rsidRPr="000155DA">
              <w:rPr>
                <w:szCs w:val="22"/>
              </w:rPr>
              <w:t>Maps and/or Marketing Materials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szCs w:val="22"/>
              </w:rPr>
            </w:pPr>
            <w:r w:rsidRPr="000155DA">
              <w:rPr>
                <w:szCs w:val="22"/>
              </w:rPr>
              <w:t>MM</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4806E0" w:rsidP="004806E0">
            <w:pPr>
              <w:rPr>
                <w:rFonts w:eastAsiaTheme="minorHAnsi"/>
                <w:szCs w:val="22"/>
              </w:rPr>
            </w:pPr>
            <w:r w:rsidRPr="000155DA">
              <w:rPr>
                <w:szCs w:val="22"/>
              </w:rPr>
              <w:t xml:space="preserve">Declaration with </w:t>
            </w:r>
            <w:r w:rsidR="00A14F0D" w:rsidRPr="000155DA">
              <w:rPr>
                <w:szCs w:val="22"/>
              </w:rPr>
              <w:t xml:space="preserve">Evidence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szCs w:val="22"/>
              </w:rPr>
            </w:pPr>
            <w:r w:rsidRPr="000155DA">
              <w:rPr>
                <w:szCs w:val="22"/>
              </w:rPr>
              <w:t>DE</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rPr>
                <w:rFonts w:eastAsiaTheme="minorHAnsi"/>
                <w:szCs w:val="22"/>
              </w:rPr>
            </w:pPr>
            <w:r w:rsidRPr="000155DA">
              <w:rPr>
                <w:szCs w:val="22"/>
              </w:rPr>
              <w:t>Evidence without Declaration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szCs w:val="22"/>
              </w:rPr>
            </w:pPr>
            <w:r w:rsidRPr="000155DA">
              <w:rPr>
                <w:szCs w:val="22"/>
              </w:rPr>
              <w:t>E</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rPr>
                <w:rFonts w:eastAsiaTheme="minorHAnsi"/>
                <w:szCs w:val="22"/>
              </w:rPr>
            </w:pPr>
            <w:r w:rsidRPr="000155DA">
              <w:rPr>
                <w:szCs w:val="22"/>
              </w:rPr>
              <w:t>Declaration Only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szCs w:val="22"/>
              </w:rPr>
            </w:pPr>
            <w:r w:rsidRPr="000155DA">
              <w:rPr>
                <w:szCs w:val="22"/>
              </w:rPr>
              <w:t>DO</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rPr>
                <w:rFonts w:eastAsiaTheme="minorHAnsi"/>
                <w:szCs w:val="22"/>
              </w:rPr>
            </w:pPr>
            <w:r w:rsidRPr="000155DA">
              <w:rPr>
                <w:szCs w:val="22"/>
              </w:rPr>
              <w:t>Not Enough Evidence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szCs w:val="22"/>
              </w:rPr>
            </w:pPr>
            <w:r w:rsidRPr="000155DA">
              <w:rPr>
                <w:szCs w:val="22"/>
              </w:rPr>
              <w:t>NE</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rPr>
                <w:rFonts w:eastAsiaTheme="minorHAnsi"/>
                <w:szCs w:val="22"/>
              </w:rPr>
            </w:pPr>
            <w:r w:rsidRPr="000155DA">
              <w:rPr>
                <w:szCs w:val="22"/>
              </w:rPr>
              <w:t>Filing</w:t>
            </w:r>
            <w:r w:rsidR="00CE6496" w:rsidRPr="000155DA">
              <w:rPr>
                <w:szCs w:val="22"/>
              </w:rPr>
              <w:t xml:space="preserve"> Not Considered </w:t>
            </w:r>
            <w:r w:rsidR="003B0B56" w:rsidRPr="000155DA">
              <w:rPr>
                <w:szCs w:val="22"/>
              </w:rPr>
              <w:t>(Subsidized)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CE6496" w:rsidP="00CE6496">
            <w:pPr>
              <w:jc w:val="center"/>
              <w:rPr>
                <w:rFonts w:eastAsiaTheme="minorHAnsi"/>
                <w:szCs w:val="22"/>
              </w:rPr>
            </w:pPr>
            <w:r w:rsidRPr="000155DA">
              <w:rPr>
                <w:szCs w:val="22"/>
              </w:rPr>
              <w:t>NC</w:t>
            </w:r>
          </w:p>
        </w:tc>
      </w:tr>
      <w:tr w:rsidR="003B0B56"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0B56" w:rsidRPr="000155DA" w:rsidRDefault="003B0B56">
            <w:pPr>
              <w:rPr>
                <w:szCs w:val="22"/>
              </w:rPr>
            </w:pPr>
            <w:r w:rsidRPr="000155DA">
              <w:rPr>
                <w:szCs w:val="22"/>
              </w:rPr>
              <w:t>Improper Filing</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0B56" w:rsidRPr="000155DA" w:rsidRDefault="003B0B56" w:rsidP="00CE6496">
            <w:pPr>
              <w:jc w:val="center"/>
              <w:rPr>
                <w:szCs w:val="22"/>
              </w:rPr>
            </w:pPr>
            <w:r w:rsidRPr="000155DA">
              <w:rPr>
                <w:szCs w:val="22"/>
              </w:rPr>
              <w:t>IF</w:t>
            </w:r>
          </w:p>
        </w:tc>
      </w:tr>
      <w:tr w:rsidR="00A14F0D" w:rsidRPr="000155DA" w:rsidTr="001D7047">
        <w:trPr>
          <w:jc w:val="center"/>
        </w:trPr>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0D" w:rsidRPr="000155DA" w:rsidRDefault="00A14F0D">
            <w:pPr>
              <w:rPr>
                <w:rFonts w:eastAsiaTheme="minorHAnsi"/>
                <w:szCs w:val="22"/>
              </w:rPr>
            </w:pPr>
            <w:r w:rsidRPr="000155DA">
              <w:rPr>
                <w:szCs w:val="22"/>
              </w:rPr>
              <w:t>Uncontested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14F0D" w:rsidRPr="000155DA" w:rsidRDefault="00A14F0D">
            <w:pPr>
              <w:jc w:val="center"/>
              <w:rPr>
                <w:rFonts w:eastAsiaTheme="minorHAnsi"/>
                <w:szCs w:val="22"/>
              </w:rPr>
            </w:pPr>
            <w:r w:rsidRPr="000155DA">
              <w:rPr>
                <w:szCs w:val="22"/>
              </w:rPr>
              <w:t>U</w:t>
            </w:r>
          </w:p>
        </w:tc>
      </w:tr>
    </w:tbl>
    <w:p w:rsidR="00F8535A" w:rsidRPr="000155DA" w:rsidRDefault="00F8535A" w:rsidP="00F8535A">
      <w:pPr>
        <w:pStyle w:val="ParaNum"/>
        <w:numPr>
          <w:ilvl w:val="0"/>
          <w:numId w:val="0"/>
        </w:numPr>
        <w:ind w:firstLine="720"/>
        <w:jc w:val="center"/>
        <w:rPr>
          <w:szCs w:val="22"/>
        </w:rPr>
      </w:pPr>
    </w:p>
    <w:p w:rsidR="00DB7226" w:rsidRPr="000155DA" w:rsidRDefault="0038004A">
      <w:pPr>
        <w:widowControl/>
        <w:rPr>
          <w:szCs w:val="22"/>
        </w:rPr>
      </w:pPr>
      <w:r w:rsidRPr="000155DA">
        <w:rPr>
          <w:szCs w:val="22"/>
        </w:rPr>
        <w:br w:type="page"/>
      </w:r>
    </w:p>
    <w:p w:rsidR="00FB147A" w:rsidRPr="00097374" w:rsidRDefault="001A152E" w:rsidP="00F8535A">
      <w:pPr>
        <w:pStyle w:val="ParaNum"/>
        <w:numPr>
          <w:ilvl w:val="0"/>
          <w:numId w:val="0"/>
        </w:numPr>
        <w:ind w:firstLine="720"/>
        <w:jc w:val="center"/>
        <w:rPr>
          <w:b/>
          <w:szCs w:val="22"/>
        </w:rPr>
      </w:pPr>
      <w:r w:rsidRPr="00097374">
        <w:rPr>
          <w:b/>
          <w:szCs w:val="22"/>
        </w:rPr>
        <w:t>APPENDIX</w:t>
      </w:r>
      <w:r w:rsidR="00A14F0D" w:rsidRPr="00097374">
        <w:rPr>
          <w:b/>
          <w:szCs w:val="22"/>
        </w:rPr>
        <w:t xml:space="preserve"> B</w:t>
      </w:r>
    </w:p>
    <w:p w:rsidR="00DB7226" w:rsidRPr="000155DA" w:rsidRDefault="00DB7226" w:rsidP="00F8535A">
      <w:pPr>
        <w:pStyle w:val="ParaNum"/>
        <w:numPr>
          <w:ilvl w:val="0"/>
          <w:numId w:val="0"/>
        </w:numPr>
        <w:ind w:firstLine="720"/>
        <w:jc w:val="center"/>
        <w:rPr>
          <w:b/>
          <w:szCs w:val="22"/>
        </w:rPr>
      </w:pPr>
      <w:r w:rsidRPr="000155DA">
        <w:rPr>
          <w:b/>
          <w:szCs w:val="22"/>
        </w:rPr>
        <w:t xml:space="preserve">Requests </w:t>
      </w:r>
      <w:r w:rsidR="00327AAE" w:rsidRPr="000155DA">
        <w:rPr>
          <w:b/>
          <w:szCs w:val="22"/>
        </w:rPr>
        <w:t xml:space="preserve">to </w:t>
      </w:r>
      <w:r w:rsidR="0055497C" w:rsidRPr="000155DA">
        <w:rPr>
          <w:b/>
          <w:szCs w:val="22"/>
        </w:rPr>
        <w:t xml:space="preserve">Waive Customer </w:t>
      </w:r>
      <w:r w:rsidR="00A261F6" w:rsidRPr="000155DA">
        <w:rPr>
          <w:b/>
          <w:szCs w:val="22"/>
        </w:rPr>
        <w:t>Showing in</w:t>
      </w:r>
      <w:r w:rsidR="00327AAE" w:rsidRPr="000155DA">
        <w:rPr>
          <w:b/>
          <w:szCs w:val="22"/>
        </w:rPr>
        <w:t xml:space="preserve"> </w:t>
      </w:r>
      <w:r w:rsidR="00F50A85" w:rsidRPr="000155DA">
        <w:rPr>
          <w:b/>
          <w:szCs w:val="22"/>
        </w:rPr>
        <w:t xml:space="preserve">Reply Round </w:t>
      </w:r>
    </w:p>
    <w:p w:rsidR="00762779" w:rsidRPr="000155DA" w:rsidRDefault="00762779" w:rsidP="00F8535A">
      <w:pPr>
        <w:pStyle w:val="ParaNum"/>
        <w:numPr>
          <w:ilvl w:val="0"/>
          <w:numId w:val="0"/>
        </w:numPr>
        <w:ind w:firstLine="720"/>
        <w:jc w:val="center"/>
        <w:rPr>
          <w:b/>
          <w:szCs w:val="22"/>
        </w:rPr>
      </w:pPr>
      <w:r w:rsidRPr="000155DA">
        <w:rPr>
          <w:b/>
          <w:szCs w:val="22"/>
        </w:rPr>
        <w:t>WC Docket No. 14-93</w:t>
      </w:r>
    </w:p>
    <w:tbl>
      <w:tblPr>
        <w:tblStyle w:val="TableGrid"/>
        <w:tblW w:w="0" w:type="auto"/>
        <w:jc w:val="center"/>
        <w:tblInd w:w="-786" w:type="dxa"/>
        <w:tblLook w:val="04A0" w:firstRow="1" w:lastRow="0" w:firstColumn="1" w:lastColumn="0" w:noHBand="0" w:noVBand="1"/>
      </w:tblPr>
      <w:tblGrid>
        <w:gridCol w:w="2086"/>
        <w:gridCol w:w="1304"/>
        <w:gridCol w:w="1441"/>
        <w:gridCol w:w="2162"/>
        <w:gridCol w:w="1550"/>
      </w:tblGrid>
      <w:tr w:rsidR="004806E0" w:rsidRPr="000155DA" w:rsidTr="00ED0CC9">
        <w:trPr>
          <w:jc w:val="center"/>
        </w:trPr>
        <w:tc>
          <w:tcPr>
            <w:tcW w:w="2086" w:type="dxa"/>
            <w:vAlign w:val="bottom"/>
          </w:tcPr>
          <w:p w:rsidR="004806E0" w:rsidRPr="000155DA" w:rsidRDefault="004806E0" w:rsidP="00762779">
            <w:pPr>
              <w:pStyle w:val="ParaNum"/>
              <w:numPr>
                <w:ilvl w:val="0"/>
                <w:numId w:val="0"/>
              </w:numPr>
              <w:jc w:val="center"/>
              <w:rPr>
                <w:b/>
                <w:szCs w:val="22"/>
              </w:rPr>
            </w:pPr>
            <w:r w:rsidRPr="000155DA">
              <w:rPr>
                <w:b/>
                <w:szCs w:val="22"/>
              </w:rPr>
              <w:t>Entity Name</w:t>
            </w:r>
          </w:p>
        </w:tc>
        <w:tc>
          <w:tcPr>
            <w:tcW w:w="1304" w:type="dxa"/>
            <w:vAlign w:val="bottom"/>
          </w:tcPr>
          <w:p w:rsidR="004806E0" w:rsidRPr="000155DA" w:rsidRDefault="004806E0" w:rsidP="00033927">
            <w:pPr>
              <w:pStyle w:val="ParaNum"/>
              <w:numPr>
                <w:ilvl w:val="0"/>
                <w:numId w:val="0"/>
              </w:numPr>
              <w:jc w:val="center"/>
              <w:rPr>
                <w:b/>
                <w:szCs w:val="22"/>
              </w:rPr>
            </w:pPr>
            <w:r w:rsidRPr="000155DA">
              <w:rPr>
                <w:b/>
                <w:szCs w:val="22"/>
              </w:rPr>
              <w:t>Number of Census Blocks</w:t>
            </w:r>
          </w:p>
        </w:tc>
        <w:tc>
          <w:tcPr>
            <w:tcW w:w="1441" w:type="dxa"/>
            <w:vAlign w:val="bottom"/>
          </w:tcPr>
          <w:p w:rsidR="004806E0" w:rsidRPr="000155DA" w:rsidRDefault="004806E0" w:rsidP="001A3C1F">
            <w:pPr>
              <w:pStyle w:val="ParaNum"/>
              <w:numPr>
                <w:ilvl w:val="0"/>
                <w:numId w:val="0"/>
              </w:numPr>
              <w:jc w:val="center"/>
              <w:rPr>
                <w:b/>
                <w:szCs w:val="22"/>
              </w:rPr>
            </w:pPr>
            <w:r w:rsidRPr="000155DA">
              <w:rPr>
                <w:b/>
                <w:szCs w:val="22"/>
              </w:rPr>
              <w:t>Decision</w:t>
            </w:r>
          </w:p>
          <w:p w:rsidR="004806E0" w:rsidRPr="000155DA" w:rsidRDefault="004806E0" w:rsidP="001A3C1F">
            <w:pPr>
              <w:pStyle w:val="ParaNum"/>
              <w:numPr>
                <w:ilvl w:val="0"/>
                <w:numId w:val="0"/>
              </w:numPr>
              <w:jc w:val="center"/>
              <w:rPr>
                <w:b/>
                <w:szCs w:val="22"/>
              </w:rPr>
            </w:pPr>
            <w:r w:rsidRPr="000155DA">
              <w:rPr>
                <w:b/>
                <w:szCs w:val="22"/>
              </w:rPr>
              <w:t>(Granted or Denied)</w:t>
            </w:r>
          </w:p>
        </w:tc>
        <w:tc>
          <w:tcPr>
            <w:tcW w:w="2162" w:type="dxa"/>
            <w:vAlign w:val="bottom"/>
          </w:tcPr>
          <w:p w:rsidR="004806E0" w:rsidRPr="000155DA" w:rsidRDefault="0055497C" w:rsidP="0055497C">
            <w:pPr>
              <w:pStyle w:val="ParaNum"/>
              <w:numPr>
                <w:ilvl w:val="0"/>
                <w:numId w:val="0"/>
              </w:numPr>
              <w:jc w:val="center"/>
              <w:rPr>
                <w:b/>
                <w:szCs w:val="22"/>
              </w:rPr>
            </w:pPr>
            <w:r w:rsidRPr="000155DA">
              <w:rPr>
                <w:b/>
                <w:szCs w:val="22"/>
              </w:rPr>
              <w:t xml:space="preserve">Arguments Raised </w:t>
            </w:r>
          </w:p>
        </w:tc>
        <w:tc>
          <w:tcPr>
            <w:tcW w:w="1550" w:type="dxa"/>
            <w:vAlign w:val="bottom"/>
          </w:tcPr>
          <w:p w:rsidR="004806E0" w:rsidRPr="000155DA" w:rsidRDefault="004806E0" w:rsidP="00A03D08">
            <w:pPr>
              <w:pStyle w:val="ParaNum"/>
              <w:numPr>
                <w:ilvl w:val="0"/>
                <w:numId w:val="0"/>
              </w:numPr>
              <w:jc w:val="center"/>
              <w:rPr>
                <w:b/>
                <w:szCs w:val="22"/>
              </w:rPr>
            </w:pPr>
            <w:r w:rsidRPr="000155DA">
              <w:rPr>
                <w:b/>
                <w:szCs w:val="22"/>
              </w:rPr>
              <w:t>Date Filed</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Amplex Electric, Inc.</w:t>
            </w:r>
          </w:p>
        </w:tc>
        <w:tc>
          <w:tcPr>
            <w:tcW w:w="1304" w:type="dxa"/>
            <w:vAlign w:val="center"/>
          </w:tcPr>
          <w:p w:rsidR="004806E0" w:rsidRPr="000155DA" w:rsidRDefault="001277D2" w:rsidP="00033927">
            <w:pPr>
              <w:pStyle w:val="ParaNum"/>
              <w:numPr>
                <w:ilvl w:val="0"/>
                <w:numId w:val="0"/>
              </w:numPr>
              <w:jc w:val="center"/>
              <w:rPr>
                <w:b/>
                <w:szCs w:val="22"/>
              </w:rPr>
            </w:pPr>
            <w:r w:rsidRPr="000155DA">
              <w:rPr>
                <w:b/>
                <w:szCs w:val="22"/>
              </w:rPr>
              <w:t>29</w:t>
            </w:r>
          </w:p>
        </w:tc>
        <w:tc>
          <w:tcPr>
            <w:tcW w:w="1441" w:type="dxa"/>
            <w:vAlign w:val="center"/>
          </w:tcPr>
          <w:p w:rsidR="00E0264D" w:rsidRPr="000155DA" w:rsidRDefault="00E0264D" w:rsidP="001A3C1F">
            <w:pPr>
              <w:pStyle w:val="ParaNum"/>
              <w:numPr>
                <w:ilvl w:val="0"/>
                <w:numId w:val="0"/>
              </w:numPr>
              <w:jc w:val="center"/>
              <w:rPr>
                <w:b/>
                <w:szCs w:val="22"/>
              </w:rPr>
            </w:pPr>
          </w:p>
          <w:p w:rsidR="004806E0" w:rsidRPr="000155DA" w:rsidRDefault="004806E0" w:rsidP="001A3C1F">
            <w:pPr>
              <w:pStyle w:val="ParaNum"/>
              <w:numPr>
                <w:ilvl w:val="0"/>
                <w:numId w:val="0"/>
              </w:numPr>
              <w:jc w:val="center"/>
              <w:rPr>
                <w:b/>
                <w:szCs w:val="22"/>
              </w:rPr>
            </w:pPr>
            <w:r w:rsidRPr="000155DA">
              <w:rPr>
                <w:b/>
                <w:szCs w:val="22"/>
              </w:rPr>
              <w:t>Granted</w:t>
            </w:r>
          </w:p>
          <w:p w:rsidR="004806E0" w:rsidRPr="000155DA" w:rsidRDefault="004806E0" w:rsidP="001A3C1F">
            <w:pPr>
              <w:pStyle w:val="ParaNum"/>
              <w:numPr>
                <w:ilvl w:val="0"/>
                <w:numId w:val="0"/>
              </w:numPr>
              <w:jc w:val="center"/>
              <w:rPr>
                <w:b/>
                <w:szCs w:val="22"/>
              </w:rPr>
            </w:pPr>
          </w:p>
        </w:tc>
        <w:tc>
          <w:tcPr>
            <w:tcW w:w="2162" w:type="dxa"/>
            <w:vAlign w:val="center"/>
          </w:tcPr>
          <w:p w:rsidR="004806E0" w:rsidRPr="000155DA" w:rsidRDefault="004806E0" w:rsidP="009D11F5">
            <w:pPr>
              <w:pStyle w:val="ParaNum"/>
              <w:numPr>
                <w:ilvl w:val="0"/>
                <w:numId w:val="0"/>
              </w:numPr>
              <w:jc w:val="center"/>
              <w:rPr>
                <w:b/>
                <w:szCs w:val="22"/>
              </w:rPr>
            </w:pPr>
            <w:r w:rsidRPr="000155DA">
              <w:rPr>
                <w:b/>
                <w:szCs w:val="22"/>
              </w:rPr>
              <w:t>low population density</w:t>
            </w:r>
            <w:r w:rsidR="007252D5" w:rsidRPr="000155DA">
              <w:rPr>
                <w:b/>
                <w:szCs w:val="22"/>
              </w:rPr>
              <w:t xml:space="preserve"> </w:t>
            </w:r>
          </w:p>
        </w:tc>
        <w:tc>
          <w:tcPr>
            <w:tcW w:w="1550" w:type="dxa"/>
            <w:vAlign w:val="center"/>
          </w:tcPr>
          <w:p w:rsidR="004806E0" w:rsidRPr="000155DA" w:rsidRDefault="00B52056" w:rsidP="00A03D08">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Armstrong Utilities, Inc.</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76</w:t>
            </w:r>
          </w:p>
        </w:tc>
        <w:tc>
          <w:tcPr>
            <w:tcW w:w="1441" w:type="dxa"/>
            <w:vAlign w:val="center"/>
          </w:tcPr>
          <w:p w:rsidR="004806E0" w:rsidRPr="000155DA" w:rsidRDefault="001277D2" w:rsidP="001A3C1F">
            <w:pPr>
              <w:pStyle w:val="ParaNum"/>
              <w:numPr>
                <w:ilvl w:val="0"/>
                <w:numId w:val="0"/>
              </w:numPr>
              <w:jc w:val="center"/>
              <w:rPr>
                <w:b/>
                <w:szCs w:val="22"/>
              </w:rPr>
            </w:pPr>
            <w:r w:rsidRPr="000155DA">
              <w:rPr>
                <w:b/>
                <w:szCs w:val="22"/>
              </w:rPr>
              <w:t>Denied</w:t>
            </w:r>
          </w:p>
        </w:tc>
        <w:tc>
          <w:tcPr>
            <w:tcW w:w="2162" w:type="dxa"/>
            <w:vAlign w:val="center"/>
          </w:tcPr>
          <w:p w:rsidR="004806E0" w:rsidRPr="000155DA" w:rsidRDefault="004806E0">
            <w:pPr>
              <w:pStyle w:val="ParaNum"/>
              <w:numPr>
                <w:ilvl w:val="0"/>
                <w:numId w:val="0"/>
              </w:numPr>
              <w:jc w:val="center"/>
              <w:rPr>
                <w:b/>
                <w:szCs w:val="22"/>
              </w:rPr>
            </w:pPr>
            <w:r w:rsidRPr="000155DA">
              <w:rPr>
                <w:b/>
                <w:szCs w:val="22"/>
              </w:rPr>
              <w:t>low population density</w:t>
            </w:r>
            <w:r w:rsidR="009D7A84" w:rsidRPr="000155DA">
              <w:rPr>
                <w:b/>
                <w:szCs w:val="22"/>
              </w:rPr>
              <w:t>;</w:t>
            </w:r>
            <w:r w:rsidRPr="000155DA">
              <w:rPr>
                <w:b/>
                <w:szCs w:val="22"/>
              </w:rPr>
              <w:t xml:space="preserve"> high poverty</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7,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Cablevision Systems Corporation</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9</w:t>
            </w:r>
          </w:p>
        </w:tc>
        <w:tc>
          <w:tcPr>
            <w:tcW w:w="1441" w:type="dxa"/>
            <w:vAlign w:val="center"/>
          </w:tcPr>
          <w:p w:rsidR="004806E0" w:rsidRPr="000155DA" w:rsidRDefault="004806E0" w:rsidP="001A3C1F">
            <w:pPr>
              <w:pStyle w:val="ParaNum"/>
              <w:numPr>
                <w:ilvl w:val="0"/>
                <w:numId w:val="0"/>
              </w:numPr>
              <w:jc w:val="center"/>
              <w:rPr>
                <w:b/>
                <w:szCs w:val="22"/>
              </w:rPr>
            </w:pPr>
            <w:r w:rsidRPr="000155DA">
              <w:rPr>
                <w:b/>
                <w:szCs w:val="22"/>
              </w:rPr>
              <w:t>Granted</w:t>
            </w:r>
          </w:p>
        </w:tc>
        <w:tc>
          <w:tcPr>
            <w:tcW w:w="2162" w:type="dxa"/>
            <w:vAlign w:val="center"/>
          </w:tcPr>
          <w:p w:rsidR="004806E0" w:rsidRPr="000155DA" w:rsidRDefault="004806E0" w:rsidP="00327AAE">
            <w:pPr>
              <w:pStyle w:val="ParaNum"/>
              <w:numPr>
                <w:ilvl w:val="0"/>
                <w:numId w:val="0"/>
              </w:numPr>
              <w:jc w:val="center"/>
              <w:rPr>
                <w:b/>
                <w:szCs w:val="22"/>
              </w:rPr>
            </w:pPr>
            <w:r w:rsidRPr="000155DA">
              <w:rPr>
                <w:b/>
                <w:szCs w:val="22"/>
              </w:rPr>
              <w:t>low population density</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Charter Communications, Inc.</w:t>
            </w:r>
          </w:p>
        </w:tc>
        <w:tc>
          <w:tcPr>
            <w:tcW w:w="1304" w:type="dxa"/>
            <w:vAlign w:val="center"/>
          </w:tcPr>
          <w:p w:rsidR="005C7602" w:rsidRPr="000155DA" w:rsidRDefault="004806E0" w:rsidP="00033927">
            <w:pPr>
              <w:pStyle w:val="ParaNum"/>
              <w:numPr>
                <w:ilvl w:val="0"/>
                <w:numId w:val="0"/>
              </w:numPr>
              <w:jc w:val="center"/>
              <w:rPr>
                <w:b/>
                <w:szCs w:val="22"/>
              </w:rPr>
            </w:pPr>
            <w:r w:rsidRPr="000155DA">
              <w:rPr>
                <w:b/>
                <w:szCs w:val="22"/>
              </w:rPr>
              <w:t>4</w:t>
            </w:r>
            <w:r w:rsidR="00DB585E" w:rsidRPr="000155DA">
              <w:rPr>
                <w:b/>
                <w:szCs w:val="22"/>
              </w:rPr>
              <w:t>,</w:t>
            </w:r>
            <w:r w:rsidRPr="000155DA">
              <w:rPr>
                <w:b/>
                <w:szCs w:val="22"/>
              </w:rPr>
              <w:t>155</w:t>
            </w:r>
          </w:p>
          <w:p w:rsidR="005C7602" w:rsidRPr="000155DA" w:rsidRDefault="005C7602" w:rsidP="00DE1E84">
            <w:pPr>
              <w:pStyle w:val="ParaNum"/>
              <w:numPr>
                <w:ilvl w:val="0"/>
                <w:numId w:val="0"/>
              </w:numPr>
              <w:jc w:val="center"/>
              <w:rPr>
                <w:b/>
                <w:szCs w:val="22"/>
              </w:rPr>
            </w:pPr>
          </w:p>
        </w:tc>
        <w:tc>
          <w:tcPr>
            <w:tcW w:w="1441" w:type="dxa"/>
            <w:vAlign w:val="center"/>
          </w:tcPr>
          <w:p w:rsidR="005C7602" w:rsidRPr="000155DA" w:rsidRDefault="005C7602" w:rsidP="003E6A38">
            <w:pPr>
              <w:pStyle w:val="ParaNum"/>
              <w:numPr>
                <w:ilvl w:val="0"/>
                <w:numId w:val="0"/>
              </w:numPr>
              <w:jc w:val="center"/>
              <w:rPr>
                <w:b/>
                <w:szCs w:val="22"/>
              </w:rPr>
            </w:pPr>
            <w:r w:rsidRPr="000155DA">
              <w:rPr>
                <w:b/>
                <w:szCs w:val="22"/>
              </w:rPr>
              <w:t>Denied</w:t>
            </w:r>
          </w:p>
        </w:tc>
        <w:tc>
          <w:tcPr>
            <w:tcW w:w="2162" w:type="dxa"/>
            <w:vAlign w:val="center"/>
          </w:tcPr>
          <w:p w:rsidR="004806E0" w:rsidRPr="000155DA" w:rsidRDefault="004806E0" w:rsidP="003F23E2">
            <w:pPr>
              <w:pStyle w:val="ParaNum"/>
              <w:numPr>
                <w:ilvl w:val="0"/>
                <w:numId w:val="0"/>
              </w:numPr>
              <w:jc w:val="center"/>
              <w:rPr>
                <w:b/>
                <w:szCs w:val="22"/>
              </w:rPr>
            </w:pPr>
            <w:r w:rsidRPr="000155DA">
              <w:rPr>
                <w:b/>
                <w:szCs w:val="22"/>
              </w:rPr>
              <w:t>low population density</w:t>
            </w:r>
            <w:r w:rsidR="009D7A84" w:rsidRPr="000155DA">
              <w:rPr>
                <w:b/>
                <w:szCs w:val="22"/>
              </w:rPr>
              <w:t>;</w:t>
            </w:r>
            <w:r w:rsidRPr="000155DA">
              <w:rPr>
                <w:b/>
                <w:szCs w:val="22"/>
              </w:rPr>
              <w:t xml:space="preserve"> recently built housing subdivisions</w:t>
            </w:r>
            <w:r w:rsidR="009D7A84" w:rsidRPr="000155DA">
              <w:rPr>
                <w:b/>
                <w:szCs w:val="22"/>
              </w:rPr>
              <w:t>;</w:t>
            </w:r>
            <w:r w:rsidRPr="000155DA">
              <w:rPr>
                <w:b/>
                <w:szCs w:val="22"/>
              </w:rPr>
              <w:t xml:space="preserve"> current video customer</w:t>
            </w:r>
            <w:r w:rsidR="009D7A84" w:rsidRPr="000155DA">
              <w:rPr>
                <w:b/>
                <w:szCs w:val="22"/>
              </w:rPr>
              <w:t xml:space="preserve">s; </w:t>
            </w:r>
            <w:r w:rsidR="003F23E2" w:rsidRPr="000155DA">
              <w:rPr>
                <w:b/>
                <w:szCs w:val="22"/>
              </w:rPr>
              <w:t>difficulties geolocating certain addresses with precision</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Charter Communications, Inc.</w:t>
            </w:r>
            <w:r w:rsidRPr="000155DA">
              <w:rPr>
                <w:rStyle w:val="FootnoteReference"/>
                <w:b/>
                <w:sz w:val="22"/>
                <w:szCs w:val="22"/>
              </w:rPr>
              <w:footnoteReference w:id="106"/>
            </w:r>
          </w:p>
        </w:tc>
        <w:tc>
          <w:tcPr>
            <w:tcW w:w="1304" w:type="dxa"/>
            <w:vAlign w:val="center"/>
          </w:tcPr>
          <w:p w:rsidR="005C7602" w:rsidRPr="000155DA" w:rsidRDefault="004806E0" w:rsidP="00762779">
            <w:pPr>
              <w:pStyle w:val="ParaNum"/>
              <w:numPr>
                <w:ilvl w:val="0"/>
                <w:numId w:val="0"/>
              </w:numPr>
              <w:jc w:val="center"/>
              <w:rPr>
                <w:b/>
                <w:szCs w:val="22"/>
              </w:rPr>
            </w:pPr>
            <w:r w:rsidRPr="000155DA">
              <w:rPr>
                <w:b/>
                <w:szCs w:val="22"/>
              </w:rPr>
              <w:t>168</w:t>
            </w:r>
          </w:p>
        </w:tc>
        <w:tc>
          <w:tcPr>
            <w:tcW w:w="1441" w:type="dxa"/>
            <w:vAlign w:val="center"/>
          </w:tcPr>
          <w:p w:rsidR="005C7602" w:rsidRPr="000155DA" w:rsidRDefault="005C7602" w:rsidP="003E6A38">
            <w:pPr>
              <w:pStyle w:val="ParaNum"/>
              <w:numPr>
                <w:ilvl w:val="0"/>
                <w:numId w:val="0"/>
              </w:numPr>
              <w:jc w:val="center"/>
              <w:rPr>
                <w:b/>
                <w:szCs w:val="22"/>
              </w:rPr>
            </w:pPr>
            <w:r w:rsidRPr="000155DA">
              <w:rPr>
                <w:b/>
                <w:szCs w:val="22"/>
              </w:rPr>
              <w:t>Denied</w:t>
            </w:r>
          </w:p>
        </w:tc>
        <w:tc>
          <w:tcPr>
            <w:tcW w:w="2162" w:type="dxa"/>
            <w:vAlign w:val="center"/>
          </w:tcPr>
          <w:p w:rsidR="004806E0" w:rsidRPr="000155DA" w:rsidRDefault="004806E0" w:rsidP="003F23E2">
            <w:pPr>
              <w:pStyle w:val="ParaNum"/>
              <w:numPr>
                <w:ilvl w:val="0"/>
                <w:numId w:val="0"/>
              </w:numPr>
              <w:jc w:val="center"/>
              <w:rPr>
                <w:b/>
                <w:szCs w:val="22"/>
              </w:rPr>
            </w:pPr>
            <w:r w:rsidRPr="000155DA">
              <w:rPr>
                <w:b/>
                <w:szCs w:val="22"/>
              </w:rPr>
              <w:t>recently built housing subdivisions</w:t>
            </w:r>
            <w:r w:rsidR="009D7A84" w:rsidRPr="000155DA">
              <w:rPr>
                <w:b/>
                <w:szCs w:val="22"/>
              </w:rPr>
              <w:t>;</w:t>
            </w:r>
            <w:r w:rsidRPr="000155DA">
              <w:rPr>
                <w:b/>
                <w:szCs w:val="22"/>
              </w:rPr>
              <w:t xml:space="preserve"> current video customers</w:t>
            </w:r>
            <w:r w:rsidR="003E6A38" w:rsidRPr="000155DA">
              <w:rPr>
                <w:b/>
                <w:szCs w:val="22"/>
              </w:rPr>
              <w:t xml:space="preserve">; </w:t>
            </w:r>
            <w:r w:rsidR="003F23E2" w:rsidRPr="000155DA">
              <w:rPr>
                <w:b/>
                <w:szCs w:val="22"/>
              </w:rPr>
              <w:t xml:space="preserve">difficulties geolocating certain addresses with precision </w:t>
            </w:r>
          </w:p>
        </w:tc>
        <w:tc>
          <w:tcPr>
            <w:tcW w:w="1550" w:type="dxa"/>
            <w:vAlign w:val="center"/>
          </w:tcPr>
          <w:p w:rsidR="004806E0" w:rsidRPr="000155DA" w:rsidRDefault="00B52056" w:rsidP="001129C8">
            <w:pPr>
              <w:pStyle w:val="ParaNum"/>
              <w:numPr>
                <w:ilvl w:val="0"/>
                <w:numId w:val="0"/>
              </w:numPr>
              <w:jc w:val="center"/>
              <w:rPr>
                <w:b/>
                <w:szCs w:val="22"/>
              </w:rPr>
            </w:pPr>
            <w:r w:rsidRPr="000155DA">
              <w:rPr>
                <w:b/>
                <w:szCs w:val="22"/>
              </w:rPr>
              <w:t>Nov. 26, 2014</w:t>
            </w:r>
          </w:p>
        </w:tc>
      </w:tr>
      <w:tr w:rsidR="004806E0" w:rsidRPr="000155DA" w:rsidTr="00ED0CC9">
        <w:trPr>
          <w:jc w:val="center"/>
        </w:trPr>
        <w:tc>
          <w:tcPr>
            <w:tcW w:w="2086" w:type="dxa"/>
            <w:vAlign w:val="center"/>
          </w:tcPr>
          <w:p w:rsidR="004806E0" w:rsidRPr="000155DA" w:rsidRDefault="004806E0" w:rsidP="002A5A6C">
            <w:pPr>
              <w:pStyle w:val="ParaNum"/>
              <w:numPr>
                <w:ilvl w:val="0"/>
                <w:numId w:val="0"/>
              </w:numPr>
              <w:jc w:val="center"/>
              <w:rPr>
                <w:b/>
                <w:szCs w:val="22"/>
              </w:rPr>
            </w:pPr>
            <w:r w:rsidRPr="000155DA">
              <w:rPr>
                <w:b/>
                <w:szCs w:val="22"/>
              </w:rPr>
              <w:t>Cox Communications, Inc.</w:t>
            </w:r>
          </w:p>
        </w:tc>
        <w:tc>
          <w:tcPr>
            <w:tcW w:w="1304" w:type="dxa"/>
            <w:vAlign w:val="center"/>
          </w:tcPr>
          <w:p w:rsidR="005C7602" w:rsidRPr="000155DA" w:rsidRDefault="004806E0" w:rsidP="002A5A6C">
            <w:pPr>
              <w:pStyle w:val="ParaNum"/>
              <w:numPr>
                <w:ilvl w:val="0"/>
                <w:numId w:val="0"/>
              </w:numPr>
              <w:jc w:val="center"/>
              <w:rPr>
                <w:b/>
                <w:szCs w:val="22"/>
              </w:rPr>
            </w:pPr>
            <w:r w:rsidRPr="000155DA">
              <w:rPr>
                <w:b/>
                <w:szCs w:val="22"/>
              </w:rPr>
              <w:t>178</w:t>
            </w:r>
          </w:p>
        </w:tc>
        <w:tc>
          <w:tcPr>
            <w:tcW w:w="1441" w:type="dxa"/>
            <w:vAlign w:val="center"/>
          </w:tcPr>
          <w:p w:rsidR="005C7602" w:rsidRPr="000155DA" w:rsidRDefault="00A9290E" w:rsidP="00A261F6">
            <w:pPr>
              <w:pStyle w:val="ParaNum"/>
              <w:numPr>
                <w:ilvl w:val="0"/>
                <w:numId w:val="0"/>
              </w:numPr>
              <w:jc w:val="center"/>
              <w:rPr>
                <w:b/>
                <w:szCs w:val="22"/>
              </w:rPr>
            </w:pPr>
            <w:r w:rsidRPr="000155DA">
              <w:rPr>
                <w:b/>
                <w:szCs w:val="22"/>
              </w:rPr>
              <w:t xml:space="preserve">10 CBs </w:t>
            </w:r>
            <w:r w:rsidR="004806E0" w:rsidRPr="000155DA">
              <w:rPr>
                <w:b/>
                <w:szCs w:val="22"/>
              </w:rPr>
              <w:t>Granted</w:t>
            </w:r>
          </w:p>
          <w:p w:rsidR="005C7602" w:rsidRPr="000155DA" w:rsidRDefault="00A9290E" w:rsidP="001A3C1F">
            <w:pPr>
              <w:pStyle w:val="ParaNum"/>
              <w:numPr>
                <w:ilvl w:val="0"/>
                <w:numId w:val="0"/>
              </w:numPr>
              <w:jc w:val="center"/>
              <w:rPr>
                <w:b/>
                <w:szCs w:val="22"/>
              </w:rPr>
            </w:pPr>
            <w:r w:rsidRPr="000155DA">
              <w:rPr>
                <w:b/>
                <w:szCs w:val="22"/>
              </w:rPr>
              <w:t xml:space="preserve">168 CBs </w:t>
            </w:r>
            <w:r w:rsidR="005C7602" w:rsidRPr="000155DA">
              <w:rPr>
                <w:b/>
                <w:szCs w:val="22"/>
              </w:rPr>
              <w:t>Denied</w:t>
            </w:r>
          </w:p>
          <w:p w:rsidR="009D7A84" w:rsidRPr="000155DA" w:rsidRDefault="009D7A84" w:rsidP="001A3C1F">
            <w:pPr>
              <w:pStyle w:val="ParaNum"/>
              <w:numPr>
                <w:ilvl w:val="0"/>
                <w:numId w:val="0"/>
              </w:numPr>
              <w:jc w:val="center"/>
              <w:rPr>
                <w:b/>
                <w:szCs w:val="22"/>
              </w:rPr>
            </w:pPr>
          </w:p>
        </w:tc>
        <w:tc>
          <w:tcPr>
            <w:tcW w:w="2162" w:type="dxa"/>
            <w:vAlign w:val="center"/>
          </w:tcPr>
          <w:p w:rsidR="004806E0" w:rsidRPr="000155DA" w:rsidRDefault="004806E0" w:rsidP="008D39E8">
            <w:pPr>
              <w:pStyle w:val="ParaNum"/>
              <w:numPr>
                <w:ilvl w:val="0"/>
                <w:numId w:val="0"/>
              </w:numPr>
              <w:jc w:val="center"/>
              <w:rPr>
                <w:b/>
                <w:szCs w:val="22"/>
              </w:rPr>
            </w:pPr>
            <w:r w:rsidRPr="000155DA">
              <w:rPr>
                <w:b/>
                <w:szCs w:val="22"/>
              </w:rPr>
              <w:t>unfinished residential developments; inconsistent addresses in network database and billing database</w:t>
            </w:r>
            <w:r w:rsidR="009D7A84" w:rsidRPr="000155DA">
              <w:rPr>
                <w:b/>
                <w:szCs w:val="22"/>
              </w:rPr>
              <w:t xml:space="preserve"> </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Custer Telephone Broadband Services, LLC</w:t>
            </w:r>
          </w:p>
        </w:tc>
        <w:tc>
          <w:tcPr>
            <w:tcW w:w="1304" w:type="dxa"/>
            <w:vAlign w:val="center"/>
          </w:tcPr>
          <w:p w:rsidR="00AB1638" w:rsidRPr="000155DA" w:rsidRDefault="007C7C51" w:rsidP="00033927">
            <w:pPr>
              <w:pStyle w:val="ParaNum"/>
              <w:numPr>
                <w:ilvl w:val="0"/>
                <w:numId w:val="0"/>
              </w:numPr>
              <w:jc w:val="center"/>
              <w:rPr>
                <w:b/>
                <w:szCs w:val="22"/>
              </w:rPr>
            </w:pPr>
            <w:r w:rsidRPr="000155DA">
              <w:rPr>
                <w:b/>
                <w:szCs w:val="22"/>
              </w:rPr>
              <w:t>7</w:t>
            </w:r>
          </w:p>
        </w:tc>
        <w:tc>
          <w:tcPr>
            <w:tcW w:w="1441" w:type="dxa"/>
            <w:vAlign w:val="center"/>
          </w:tcPr>
          <w:p w:rsidR="004806E0" w:rsidRPr="000155DA" w:rsidRDefault="007C7C51" w:rsidP="001A3C1F">
            <w:pPr>
              <w:pStyle w:val="ParaNum"/>
              <w:numPr>
                <w:ilvl w:val="0"/>
                <w:numId w:val="0"/>
              </w:numPr>
              <w:jc w:val="center"/>
              <w:rPr>
                <w:b/>
                <w:szCs w:val="22"/>
              </w:rPr>
            </w:pPr>
            <w:r w:rsidRPr="000155DA">
              <w:rPr>
                <w:b/>
                <w:szCs w:val="22"/>
              </w:rPr>
              <w:t xml:space="preserve">5 CBs </w:t>
            </w:r>
            <w:r w:rsidR="004806E0" w:rsidRPr="000155DA">
              <w:rPr>
                <w:b/>
                <w:szCs w:val="22"/>
              </w:rPr>
              <w:t>Granted</w:t>
            </w:r>
          </w:p>
          <w:p w:rsidR="00AB1638" w:rsidRPr="000155DA" w:rsidRDefault="007C7C51" w:rsidP="001A3C1F">
            <w:pPr>
              <w:pStyle w:val="ParaNum"/>
              <w:numPr>
                <w:ilvl w:val="0"/>
                <w:numId w:val="0"/>
              </w:numPr>
              <w:jc w:val="center"/>
              <w:rPr>
                <w:b/>
                <w:szCs w:val="22"/>
              </w:rPr>
            </w:pPr>
            <w:r w:rsidRPr="000155DA">
              <w:rPr>
                <w:b/>
                <w:szCs w:val="22"/>
              </w:rPr>
              <w:t xml:space="preserve">2 CBs </w:t>
            </w:r>
            <w:r w:rsidR="00AB1638" w:rsidRPr="000155DA">
              <w:rPr>
                <w:b/>
                <w:szCs w:val="22"/>
              </w:rPr>
              <w:t>Denied</w:t>
            </w:r>
          </w:p>
        </w:tc>
        <w:tc>
          <w:tcPr>
            <w:tcW w:w="2162" w:type="dxa"/>
            <w:vAlign w:val="center"/>
          </w:tcPr>
          <w:p w:rsidR="004806E0" w:rsidRPr="000155DA" w:rsidRDefault="004806E0" w:rsidP="00284962">
            <w:pPr>
              <w:pStyle w:val="ParaNum"/>
              <w:numPr>
                <w:ilvl w:val="0"/>
                <w:numId w:val="0"/>
              </w:numPr>
              <w:jc w:val="center"/>
              <w:rPr>
                <w:b/>
                <w:szCs w:val="22"/>
              </w:rPr>
            </w:pPr>
            <w:r w:rsidRPr="000155DA">
              <w:rPr>
                <w:b/>
                <w:szCs w:val="22"/>
              </w:rPr>
              <w:t>low population density</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6,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Flint Cable Television</w:t>
            </w:r>
          </w:p>
        </w:tc>
        <w:tc>
          <w:tcPr>
            <w:tcW w:w="1304" w:type="dxa"/>
            <w:vAlign w:val="center"/>
          </w:tcPr>
          <w:p w:rsidR="004806E0" w:rsidRPr="000155DA" w:rsidRDefault="00284962" w:rsidP="00033927">
            <w:pPr>
              <w:pStyle w:val="ParaNum"/>
              <w:numPr>
                <w:ilvl w:val="0"/>
                <w:numId w:val="0"/>
              </w:numPr>
              <w:jc w:val="center"/>
              <w:rPr>
                <w:b/>
                <w:szCs w:val="22"/>
              </w:rPr>
            </w:pPr>
            <w:r w:rsidRPr="000155DA">
              <w:rPr>
                <w:b/>
                <w:szCs w:val="22"/>
              </w:rPr>
              <w:t>10</w:t>
            </w:r>
          </w:p>
        </w:tc>
        <w:tc>
          <w:tcPr>
            <w:tcW w:w="1441" w:type="dxa"/>
            <w:vAlign w:val="center"/>
          </w:tcPr>
          <w:p w:rsidR="004806E0" w:rsidRPr="000155DA" w:rsidRDefault="004806E0" w:rsidP="001A3C1F">
            <w:pPr>
              <w:pStyle w:val="ParaNum"/>
              <w:numPr>
                <w:ilvl w:val="0"/>
                <w:numId w:val="0"/>
              </w:numPr>
              <w:jc w:val="center"/>
              <w:rPr>
                <w:b/>
                <w:szCs w:val="22"/>
              </w:rPr>
            </w:pPr>
            <w:r w:rsidRPr="000155DA">
              <w:rPr>
                <w:b/>
                <w:szCs w:val="22"/>
              </w:rPr>
              <w:t>Granted</w:t>
            </w:r>
          </w:p>
        </w:tc>
        <w:tc>
          <w:tcPr>
            <w:tcW w:w="2162" w:type="dxa"/>
            <w:vAlign w:val="center"/>
          </w:tcPr>
          <w:p w:rsidR="004806E0" w:rsidRPr="000155DA" w:rsidRDefault="004806E0" w:rsidP="009D11F5">
            <w:pPr>
              <w:pStyle w:val="ParaNum"/>
              <w:numPr>
                <w:ilvl w:val="0"/>
                <w:numId w:val="0"/>
              </w:numPr>
              <w:jc w:val="center"/>
              <w:rPr>
                <w:b/>
                <w:szCs w:val="22"/>
              </w:rPr>
            </w:pPr>
            <w:r w:rsidRPr="000155DA">
              <w:rPr>
                <w:b/>
                <w:szCs w:val="22"/>
              </w:rPr>
              <w:t>low population density</w:t>
            </w:r>
            <w:r w:rsidR="009D7A84" w:rsidRPr="000155DA">
              <w:rPr>
                <w:b/>
                <w:szCs w:val="22"/>
              </w:rPr>
              <w:t xml:space="preserve"> </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MetroCast Cablevision of New Hampshire</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1</w:t>
            </w:r>
          </w:p>
        </w:tc>
        <w:tc>
          <w:tcPr>
            <w:tcW w:w="1441" w:type="dxa"/>
            <w:vAlign w:val="center"/>
          </w:tcPr>
          <w:p w:rsidR="004806E0" w:rsidRPr="000155DA" w:rsidRDefault="004806E0" w:rsidP="001A3C1F">
            <w:pPr>
              <w:pStyle w:val="ParaNum"/>
              <w:numPr>
                <w:ilvl w:val="0"/>
                <w:numId w:val="0"/>
              </w:numPr>
              <w:jc w:val="center"/>
              <w:rPr>
                <w:b/>
                <w:szCs w:val="22"/>
              </w:rPr>
            </w:pPr>
            <w:r w:rsidRPr="000155DA">
              <w:rPr>
                <w:b/>
                <w:szCs w:val="22"/>
              </w:rPr>
              <w:t>Denied</w:t>
            </w:r>
          </w:p>
        </w:tc>
        <w:tc>
          <w:tcPr>
            <w:tcW w:w="2162" w:type="dxa"/>
            <w:vAlign w:val="center"/>
          </w:tcPr>
          <w:p w:rsidR="004806E0" w:rsidRPr="000155DA" w:rsidRDefault="004806E0" w:rsidP="00ED0CC9">
            <w:pPr>
              <w:pStyle w:val="ParaNum"/>
              <w:numPr>
                <w:ilvl w:val="0"/>
                <w:numId w:val="0"/>
              </w:numPr>
              <w:jc w:val="center"/>
              <w:rPr>
                <w:b/>
                <w:szCs w:val="22"/>
              </w:rPr>
            </w:pPr>
            <w:r w:rsidRPr="000155DA">
              <w:rPr>
                <w:b/>
                <w:szCs w:val="22"/>
              </w:rPr>
              <w:t>No reason provided</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Oct. 22,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Northland Communications Corporation</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66</w:t>
            </w:r>
          </w:p>
        </w:tc>
        <w:tc>
          <w:tcPr>
            <w:tcW w:w="1441" w:type="dxa"/>
            <w:vAlign w:val="center"/>
          </w:tcPr>
          <w:p w:rsidR="004806E0" w:rsidRPr="000155DA" w:rsidRDefault="006357AA" w:rsidP="001A3C1F">
            <w:pPr>
              <w:pStyle w:val="ParaNum"/>
              <w:numPr>
                <w:ilvl w:val="0"/>
                <w:numId w:val="0"/>
              </w:numPr>
              <w:jc w:val="center"/>
              <w:rPr>
                <w:b/>
                <w:szCs w:val="22"/>
              </w:rPr>
            </w:pPr>
            <w:r w:rsidRPr="000155DA">
              <w:rPr>
                <w:b/>
                <w:szCs w:val="22"/>
              </w:rPr>
              <w:t>Denied</w:t>
            </w:r>
          </w:p>
        </w:tc>
        <w:tc>
          <w:tcPr>
            <w:tcW w:w="2162" w:type="dxa"/>
            <w:vAlign w:val="center"/>
          </w:tcPr>
          <w:p w:rsidR="004806E0" w:rsidRPr="000155DA" w:rsidRDefault="004806E0">
            <w:pPr>
              <w:pStyle w:val="ParaNum"/>
              <w:numPr>
                <w:ilvl w:val="0"/>
                <w:numId w:val="0"/>
              </w:numPr>
              <w:jc w:val="center"/>
              <w:rPr>
                <w:b/>
                <w:szCs w:val="22"/>
              </w:rPr>
            </w:pPr>
            <w:r w:rsidRPr="000155DA">
              <w:rPr>
                <w:b/>
                <w:szCs w:val="22"/>
              </w:rPr>
              <w:t>low population density</w:t>
            </w:r>
            <w:r w:rsidR="009D7A84" w:rsidRPr="000155DA">
              <w:rPr>
                <w:b/>
                <w:szCs w:val="22"/>
              </w:rPr>
              <w:t>;</w:t>
            </w:r>
            <w:r w:rsidRPr="000155DA">
              <w:rPr>
                <w:b/>
                <w:szCs w:val="22"/>
              </w:rPr>
              <w:t xml:space="preserve"> high poverty</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PVT NetWorks, Inc.</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2</w:t>
            </w:r>
          </w:p>
        </w:tc>
        <w:tc>
          <w:tcPr>
            <w:tcW w:w="1441" w:type="dxa"/>
            <w:vAlign w:val="center"/>
          </w:tcPr>
          <w:p w:rsidR="004806E0" w:rsidRPr="000155DA" w:rsidRDefault="004806E0" w:rsidP="001A3C1F">
            <w:pPr>
              <w:pStyle w:val="ParaNum"/>
              <w:numPr>
                <w:ilvl w:val="0"/>
                <w:numId w:val="0"/>
              </w:numPr>
              <w:jc w:val="center"/>
              <w:rPr>
                <w:b/>
                <w:szCs w:val="22"/>
              </w:rPr>
            </w:pPr>
            <w:r w:rsidRPr="000155DA">
              <w:rPr>
                <w:b/>
                <w:szCs w:val="22"/>
              </w:rPr>
              <w:t>Granted</w:t>
            </w:r>
          </w:p>
        </w:tc>
        <w:tc>
          <w:tcPr>
            <w:tcW w:w="2162" w:type="dxa"/>
            <w:vAlign w:val="center"/>
          </w:tcPr>
          <w:p w:rsidR="004806E0" w:rsidRPr="000155DA" w:rsidRDefault="004806E0" w:rsidP="009D11F5">
            <w:pPr>
              <w:pStyle w:val="ParaNum"/>
              <w:numPr>
                <w:ilvl w:val="0"/>
                <w:numId w:val="0"/>
              </w:numPr>
              <w:jc w:val="center"/>
              <w:rPr>
                <w:b/>
                <w:szCs w:val="22"/>
              </w:rPr>
            </w:pPr>
            <w:r w:rsidRPr="000155DA">
              <w:rPr>
                <w:b/>
                <w:szCs w:val="22"/>
              </w:rPr>
              <w:t>low population density</w:t>
            </w:r>
            <w:r w:rsidR="009D7A84" w:rsidRPr="000155DA">
              <w:rPr>
                <w:b/>
                <w:szCs w:val="22"/>
              </w:rPr>
              <w:t xml:space="preserve"> </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Service Electric Cablevision, Inc.</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77</w:t>
            </w:r>
          </w:p>
        </w:tc>
        <w:tc>
          <w:tcPr>
            <w:tcW w:w="1441" w:type="dxa"/>
            <w:vAlign w:val="center"/>
          </w:tcPr>
          <w:p w:rsidR="004806E0" w:rsidRPr="000155DA" w:rsidRDefault="004806E0" w:rsidP="001A3C1F">
            <w:pPr>
              <w:pStyle w:val="ParaNum"/>
              <w:numPr>
                <w:ilvl w:val="0"/>
                <w:numId w:val="0"/>
              </w:numPr>
              <w:jc w:val="center"/>
              <w:rPr>
                <w:b/>
                <w:szCs w:val="22"/>
              </w:rPr>
            </w:pPr>
            <w:r w:rsidRPr="000155DA">
              <w:rPr>
                <w:b/>
                <w:szCs w:val="22"/>
              </w:rPr>
              <w:t>33 CBs Granted</w:t>
            </w:r>
          </w:p>
          <w:p w:rsidR="004806E0" w:rsidRPr="000155DA" w:rsidRDefault="004806E0" w:rsidP="002313A9">
            <w:pPr>
              <w:pStyle w:val="ParaNum"/>
              <w:numPr>
                <w:ilvl w:val="0"/>
                <w:numId w:val="0"/>
              </w:numPr>
              <w:jc w:val="center"/>
              <w:rPr>
                <w:b/>
                <w:szCs w:val="22"/>
              </w:rPr>
            </w:pPr>
            <w:r w:rsidRPr="000155DA">
              <w:rPr>
                <w:b/>
                <w:szCs w:val="22"/>
              </w:rPr>
              <w:t>44 CBs Denied</w:t>
            </w:r>
          </w:p>
        </w:tc>
        <w:tc>
          <w:tcPr>
            <w:tcW w:w="2162" w:type="dxa"/>
            <w:vAlign w:val="center"/>
          </w:tcPr>
          <w:p w:rsidR="004806E0" w:rsidRPr="000155DA" w:rsidRDefault="004806E0" w:rsidP="003C5288">
            <w:pPr>
              <w:pStyle w:val="ParaNum"/>
              <w:numPr>
                <w:ilvl w:val="0"/>
                <w:numId w:val="0"/>
              </w:numPr>
              <w:jc w:val="center"/>
              <w:rPr>
                <w:b/>
                <w:szCs w:val="22"/>
              </w:rPr>
            </w:pPr>
            <w:r w:rsidRPr="000155DA">
              <w:rPr>
                <w:b/>
                <w:szCs w:val="22"/>
              </w:rPr>
              <w:t>current video customers (33 CBs)</w:t>
            </w:r>
          </w:p>
          <w:p w:rsidR="004806E0" w:rsidRPr="000155DA" w:rsidRDefault="004806E0" w:rsidP="003C5288">
            <w:pPr>
              <w:pStyle w:val="ParaNum"/>
              <w:numPr>
                <w:ilvl w:val="0"/>
                <w:numId w:val="0"/>
              </w:numPr>
              <w:jc w:val="center"/>
              <w:rPr>
                <w:b/>
                <w:szCs w:val="22"/>
              </w:rPr>
            </w:pPr>
            <w:r w:rsidRPr="000155DA">
              <w:rPr>
                <w:b/>
                <w:szCs w:val="22"/>
              </w:rPr>
              <w:t xml:space="preserve">No reason (44 CBs) </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Shenandoah Cable Television, LLC</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58</w:t>
            </w:r>
          </w:p>
        </w:tc>
        <w:tc>
          <w:tcPr>
            <w:tcW w:w="1441" w:type="dxa"/>
            <w:vAlign w:val="center"/>
          </w:tcPr>
          <w:p w:rsidR="004806E0" w:rsidRPr="000155DA" w:rsidRDefault="006357AA" w:rsidP="001A3C1F">
            <w:pPr>
              <w:pStyle w:val="ParaNum"/>
              <w:numPr>
                <w:ilvl w:val="0"/>
                <w:numId w:val="0"/>
              </w:numPr>
              <w:jc w:val="center"/>
              <w:rPr>
                <w:b/>
                <w:szCs w:val="22"/>
              </w:rPr>
            </w:pPr>
            <w:r w:rsidRPr="000155DA">
              <w:rPr>
                <w:b/>
                <w:szCs w:val="22"/>
              </w:rPr>
              <w:t>Denied</w:t>
            </w:r>
          </w:p>
        </w:tc>
        <w:tc>
          <w:tcPr>
            <w:tcW w:w="2162" w:type="dxa"/>
            <w:vAlign w:val="center"/>
          </w:tcPr>
          <w:p w:rsidR="004806E0" w:rsidRPr="000155DA" w:rsidRDefault="004806E0">
            <w:pPr>
              <w:pStyle w:val="ParaNum"/>
              <w:numPr>
                <w:ilvl w:val="0"/>
                <w:numId w:val="0"/>
              </w:numPr>
              <w:jc w:val="center"/>
              <w:rPr>
                <w:b/>
                <w:szCs w:val="22"/>
              </w:rPr>
            </w:pPr>
            <w:r w:rsidRPr="000155DA">
              <w:rPr>
                <w:b/>
                <w:szCs w:val="22"/>
              </w:rPr>
              <w:t>current or recent acquisition of facilities</w:t>
            </w:r>
            <w:r w:rsidR="00701FFE" w:rsidRPr="000155DA">
              <w:rPr>
                <w:b/>
                <w:szCs w:val="22"/>
              </w:rPr>
              <w:t>;</w:t>
            </w:r>
            <w:r w:rsidRPr="000155DA">
              <w:rPr>
                <w:b/>
                <w:szCs w:val="22"/>
              </w:rPr>
              <w:t xml:space="preserve"> low population density</w:t>
            </w:r>
            <w:r w:rsidR="00701FFE" w:rsidRPr="000155DA">
              <w:rPr>
                <w:b/>
                <w:szCs w:val="22"/>
              </w:rPr>
              <w:t>;</w:t>
            </w:r>
            <w:r w:rsidRPr="000155DA">
              <w:rPr>
                <w:b/>
                <w:szCs w:val="22"/>
              </w:rPr>
              <w:t xml:space="preserve"> high poverty</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TV Service, Inc.</w:t>
            </w:r>
          </w:p>
        </w:tc>
        <w:tc>
          <w:tcPr>
            <w:tcW w:w="1304" w:type="dxa"/>
            <w:vAlign w:val="center"/>
          </w:tcPr>
          <w:p w:rsidR="004806E0" w:rsidRPr="000155DA" w:rsidRDefault="004806E0" w:rsidP="00033927">
            <w:pPr>
              <w:pStyle w:val="ParaNum"/>
              <w:numPr>
                <w:ilvl w:val="0"/>
                <w:numId w:val="0"/>
              </w:numPr>
              <w:jc w:val="center"/>
              <w:rPr>
                <w:b/>
                <w:szCs w:val="22"/>
              </w:rPr>
            </w:pPr>
            <w:r w:rsidRPr="000155DA">
              <w:rPr>
                <w:b/>
                <w:szCs w:val="22"/>
              </w:rPr>
              <w:t>17</w:t>
            </w:r>
          </w:p>
        </w:tc>
        <w:tc>
          <w:tcPr>
            <w:tcW w:w="1441" w:type="dxa"/>
            <w:vAlign w:val="center"/>
          </w:tcPr>
          <w:p w:rsidR="004806E0" w:rsidRPr="000155DA" w:rsidRDefault="004806E0" w:rsidP="001A3C1F">
            <w:pPr>
              <w:pStyle w:val="ParaNum"/>
              <w:numPr>
                <w:ilvl w:val="0"/>
                <w:numId w:val="0"/>
              </w:numPr>
              <w:jc w:val="center"/>
              <w:rPr>
                <w:b/>
                <w:szCs w:val="22"/>
              </w:rPr>
            </w:pPr>
            <w:r w:rsidRPr="000155DA">
              <w:rPr>
                <w:b/>
                <w:szCs w:val="22"/>
              </w:rPr>
              <w:t>Granted</w:t>
            </w:r>
          </w:p>
        </w:tc>
        <w:tc>
          <w:tcPr>
            <w:tcW w:w="2162" w:type="dxa"/>
            <w:vAlign w:val="center"/>
          </w:tcPr>
          <w:p w:rsidR="004806E0" w:rsidRPr="000155DA" w:rsidRDefault="004806E0" w:rsidP="009D11F5">
            <w:pPr>
              <w:pStyle w:val="ParaNum"/>
              <w:numPr>
                <w:ilvl w:val="0"/>
                <w:numId w:val="0"/>
              </w:numPr>
              <w:jc w:val="center"/>
              <w:rPr>
                <w:b/>
                <w:szCs w:val="22"/>
              </w:rPr>
            </w:pPr>
            <w:r w:rsidRPr="000155DA">
              <w:rPr>
                <w:b/>
                <w:szCs w:val="22"/>
              </w:rPr>
              <w:t>current video customers</w:t>
            </w:r>
            <w:r w:rsidR="009D7A84" w:rsidRPr="000155DA">
              <w:rPr>
                <w:b/>
                <w:szCs w:val="22"/>
              </w:rPr>
              <w:t>;</w:t>
            </w:r>
            <w:r w:rsidRPr="000155DA">
              <w:rPr>
                <w:b/>
                <w:szCs w:val="22"/>
              </w:rPr>
              <w:t xml:space="preserve"> low population density</w:t>
            </w:r>
            <w:r w:rsidR="009D7A84" w:rsidRPr="000155DA">
              <w:rPr>
                <w:b/>
                <w:szCs w:val="22"/>
              </w:rPr>
              <w:t xml:space="preserve"> </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r w:rsidR="004806E0" w:rsidRPr="000155DA" w:rsidTr="00ED0CC9">
        <w:trPr>
          <w:jc w:val="center"/>
        </w:trPr>
        <w:tc>
          <w:tcPr>
            <w:tcW w:w="2086" w:type="dxa"/>
            <w:vAlign w:val="center"/>
          </w:tcPr>
          <w:p w:rsidR="004806E0" w:rsidRPr="000155DA" w:rsidRDefault="004806E0" w:rsidP="00762779">
            <w:pPr>
              <w:pStyle w:val="ParaNum"/>
              <w:numPr>
                <w:ilvl w:val="0"/>
                <w:numId w:val="0"/>
              </w:numPr>
              <w:jc w:val="center"/>
              <w:rPr>
                <w:b/>
                <w:szCs w:val="22"/>
              </w:rPr>
            </w:pPr>
            <w:r w:rsidRPr="000155DA">
              <w:rPr>
                <w:b/>
                <w:szCs w:val="22"/>
              </w:rPr>
              <w:t>Vyve Broadband A, LLC and Vyve Broadband J, LLC</w:t>
            </w:r>
          </w:p>
        </w:tc>
        <w:tc>
          <w:tcPr>
            <w:tcW w:w="1304" w:type="dxa"/>
            <w:vAlign w:val="center"/>
          </w:tcPr>
          <w:p w:rsidR="00DB585E" w:rsidRPr="000155DA" w:rsidRDefault="00DB585E" w:rsidP="00DB585E">
            <w:pPr>
              <w:pStyle w:val="ParaNum"/>
              <w:numPr>
                <w:ilvl w:val="0"/>
                <w:numId w:val="0"/>
              </w:numPr>
              <w:jc w:val="center"/>
              <w:rPr>
                <w:b/>
                <w:szCs w:val="22"/>
              </w:rPr>
            </w:pPr>
            <w:r w:rsidRPr="000155DA">
              <w:rPr>
                <w:b/>
                <w:szCs w:val="22"/>
              </w:rPr>
              <w:t>103</w:t>
            </w:r>
          </w:p>
        </w:tc>
        <w:tc>
          <w:tcPr>
            <w:tcW w:w="1441" w:type="dxa"/>
            <w:vAlign w:val="center"/>
          </w:tcPr>
          <w:p w:rsidR="004806E0" w:rsidRPr="000155DA" w:rsidRDefault="006357AA" w:rsidP="001A3C1F">
            <w:pPr>
              <w:pStyle w:val="ParaNum"/>
              <w:numPr>
                <w:ilvl w:val="0"/>
                <w:numId w:val="0"/>
              </w:numPr>
              <w:jc w:val="center"/>
              <w:rPr>
                <w:b/>
                <w:szCs w:val="22"/>
              </w:rPr>
            </w:pPr>
            <w:r w:rsidRPr="000155DA">
              <w:rPr>
                <w:b/>
                <w:szCs w:val="22"/>
              </w:rPr>
              <w:t>Denied</w:t>
            </w:r>
          </w:p>
        </w:tc>
        <w:tc>
          <w:tcPr>
            <w:tcW w:w="2162" w:type="dxa"/>
            <w:vAlign w:val="center"/>
          </w:tcPr>
          <w:p w:rsidR="004806E0" w:rsidRPr="000155DA" w:rsidRDefault="004806E0">
            <w:pPr>
              <w:pStyle w:val="ParaNum"/>
              <w:numPr>
                <w:ilvl w:val="0"/>
                <w:numId w:val="0"/>
              </w:numPr>
              <w:jc w:val="center"/>
              <w:rPr>
                <w:b/>
                <w:szCs w:val="22"/>
              </w:rPr>
            </w:pPr>
            <w:r w:rsidRPr="000155DA">
              <w:rPr>
                <w:b/>
                <w:szCs w:val="22"/>
              </w:rPr>
              <w:t>low population density</w:t>
            </w:r>
            <w:r w:rsidR="009D7A84" w:rsidRPr="000155DA">
              <w:rPr>
                <w:b/>
                <w:szCs w:val="22"/>
              </w:rPr>
              <w:t xml:space="preserve">; </w:t>
            </w:r>
            <w:r w:rsidRPr="000155DA">
              <w:rPr>
                <w:b/>
                <w:szCs w:val="22"/>
              </w:rPr>
              <w:t>high poverty</w:t>
            </w:r>
          </w:p>
        </w:tc>
        <w:tc>
          <w:tcPr>
            <w:tcW w:w="1550" w:type="dxa"/>
            <w:vAlign w:val="center"/>
          </w:tcPr>
          <w:p w:rsidR="004806E0" w:rsidRPr="000155DA" w:rsidRDefault="00B52056" w:rsidP="001A3C1F">
            <w:pPr>
              <w:pStyle w:val="ParaNum"/>
              <w:numPr>
                <w:ilvl w:val="0"/>
                <w:numId w:val="0"/>
              </w:numPr>
              <w:jc w:val="center"/>
              <w:rPr>
                <w:b/>
                <w:szCs w:val="22"/>
              </w:rPr>
            </w:pPr>
            <w:r w:rsidRPr="000155DA">
              <w:rPr>
                <w:b/>
                <w:szCs w:val="22"/>
              </w:rPr>
              <w:t>Nov. 10, 2014</w:t>
            </w:r>
          </w:p>
        </w:tc>
      </w:tr>
    </w:tbl>
    <w:p w:rsidR="00DB7226" w:rsidRPr="000155DA" w:rsidRDefault="00DB7226" w:rsidP="00216272">
      <w:pPr>
        <w:widowControl/>
        <w:rPr>
          <w:szCs w:val="22"/>
        </w:rPr>
      </w:pPr>
    </w:p>
    <w:sectPr w:rsidR="00DB7226" w:rsidRPr="000155DA"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7A" w:rsidRDefault="001B227A">
      <w:pPr>
        <w:spacing w:line="20" w:lineRule="exact"/>
      </w:pPr>
    </w:p>
  </w:endnote>
  <w:endnote w:type="continuationSeparator" w:id="0">
    <w:p w:rsidR="001B227A" w:rsidRDefault="001B227A">
      <w:r>
        <w:t xml:space="preserve"> </w:t>
      </w:r>
    </w:p>
  </w:endnote>
  <w:endnote w:type="continuationNotice" w:id="1">
    <w:p w:rsidR="001B227A" w:rsidRDefault="001B22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55614C">
    <w:pPr>
      <w:pStyle w:val="Footer"/>
      <w:framePr w:wrap="around" w:vAnchor="text" w:hAnchor="margin" w:xAlign="center" w:y="1"/>
    </w:pPr>
    <w:r>
      <w:fldChar w:fldCharType="begin"/>
    </w:r>
    <w:r>
      <w:instrText xml:space="preserve">PAGE  </w:instrText>
    </w:r>
    <w:r>
      <w:fldChar w:fldCharType="end"/>
    </w:r>
  </w:p>
  <w:p w:rsidR="004926D5" w:rsidRDefault="00492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55614C">
    <w:pPr>
      <w:pStyle w:val="Footer"/>
      <w:framePr w:wrap="around" w:vAnchor="text" w:hAnchor="margin" w:xAlign="center" w:y="1"/>
    </w:pPr>
    <w:r>
      <w:fldChar w:fldCharType="begin"/>
    </w:r>
    <w:r>
      <w:instrText xml:space="preserve">PAGE  </w:instrText>
    </w:r>
    <w:r>
      <w:fldChar w:fldCharType="separate"/>
    </w:r>
    <w:r w:rsidR="006F3F66">
      <w:rPr>
        <w:noProof/>
      </w:rPr>
      <w:t>2</w:t>
    </w:r>
    <w:r>
      <w:fldChar w:fldCharType="end"/>
    </w:r>
  </w:p>
  <w:p w:rsidR="004926D5" w:rsidRDefault="004926D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7A" w:rsidRDefault="001B227A">
      <w:r>
        <w:separator/>
      </w:r>
    </w:p>
  </w:footnote>
  <w:footnote w:type="continuationSeparator" w:id="0">
    <w:p w:rsidR="001B227A" w:rsidRDefault="001B227A" w:rsidP="00C721AC">
      <w:pPr>
        <w:spacing w:before="120"/>
        <w:rPr>
          <w:sz w:val="20"/>
        </w:rPr>
      </w:pPr>
      <w:r>
        <w:rPr>
          <w:sz w:val="20"/>
        </w:rPr>
        <w:t xml:space="preserve">(Continued from previous page)  </w:t>
      </w:r>
      <w:r>
        <w:rPr>
          <w:sz w:val="20"/>
        </w:rPr>
        <w:separator/>
      </w:r>
    </w:p>
  </w:footnote>
  <w:footnote w:type="continuationNotice" w:id="1">
    <w:p w:rsidR="001B227A" w:rsidRDefault="001B227A" w:rsidP="00C721AC">
      <w:pPr>
        <w:jc w:val="right"/>
        <w:rPr>
          <w:sz w:val="20"/>
        </w:rPr>
      </w:pPr>
      <w:r>
        <w:rPr>
          <w:sz w:val="20"/>
        </w:rPr>
        <w:t>(continued….)</w:t>
      </w:r>
    </w:p>
  </w:footnote>
  <w:footnote w:id="2">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Wireline Competition Bureau Commences Connect America Phase II Challenge Process</w:t>
      </w:r>
      <w:r w:rsidRPr="000155DA">
        <w:t>, WC Docket Nos. 14-93, 10-90, Public Notice, 29 FCC Rcd 7986 (Wireline Comp. Bur. 2014) (</w:t>
      </w:r>
      <w:r w:rsidRPr="000155DA">
        <w:rPr>
          <w:i/>
        </w:rPr>
        <w:t>Phase II Challenge Process Commencement Public Notice</w:t>
      </w:r>
      <w:r w:rsidRPr="000155DA">
        <w:t xml:space="preserve">).  </w:t>
      </w:r>
    </w:p>
  </w:footnote>
  <w:footnote w:id="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Replies Sought in Connect America Phase II Challenge Process</w:t>
      </w:r>
      <w:r w:rsidRPr="000155DA">
        <w:t>, WC Docket Nos. 10-90, 14-93, Public Notice, 29 FCC Rcd 11497, 11497-501 (Wireline Comp. Bur. 2014) (</w:t>
      </w:r>
      <w:r w:rsidRPr="000155DA">
        <w:rPr>
          <w:i/>
        </w:rPr>
        <w:t>Prima Facie Public Notice</w:t>
      </w:r>
      <w:r w:rsidRPr="000155DA">
        <w:t>);</w:t>
      </w:r>
      <w:r w:rsidRPr="000155DA">
        <w:rPr>
          <w:i/>
        </w:rPr>
        <w:t xml:space="preserve"> see also Unserved-to-Served Prima Facie Challenges and Served-to-Unserved Prima Facie Challenges</w:t>
      </w:r>
      <w:r w:rsidRPr="000155DA">
        <w:t xml:space="preserve">, available at </w:t>
      </w:r>
      <w:hyperlink r:id="rId1" w:history="1">
        <w:r w:rsidRPr="000155DA">
          <w:rPr>
            <w:rStyle w:val="Hyperlink"/>
          </w:rPr>
          <w:t>http://www.fcc.gov/encyclopedia/connect-america-phase-ii-challenge-process</w:t>
        </w:r>
      </w:hyperlink>
      <w:r w:rsidRPr="000155DA">
        <w:t xml:space="preserve"> (last visited Feb. 12, 2015) (</w:t>
      </w:r>
      <w:r w:rsidRPr="000155DA">
        <w:rPr>
          <w:i/>
        </w:rPr>
        <w:t>Prima Facie Lists</w:t>
      </w:r>
      <w:r w:rsidRPr="000155DA">
        <w:t xml:space="preserve">). The Bureau concluded that petitioners presented valid </w:t>
      </w:r>
      <w:r w:rsidRPr="000155DA">
        <w:rPr>
          <w:i/>
        </w:rPr>
        <w:t>prima facie</w:t>
      </w:r>
      <w:r w:rsidRPr="000155DA">
        <w:t xml:space="preserve"> challenges for 70,868 Served to Unserved census blocks and 24,225 Unserved to Served census blocks</w:t>
      </w:r>
      <w:r w:rsidRPr="000155DA">
        <w:rPr>
          <w:color w:val="1F497D"/>
        </w:rPr>
        <w:t>.</w:t>
      </w:r>
    </w:p>
  </w:footnote>
  <w:footnote w:id="4">
    <w:p w:rsidR="004926D5" w:rsidRPr="000155DA" w:rsidRDefault="004926D5" w:rsidP="00E87AD4">
      <w:pPr>
        <w:pStyle w:val="FootnoteText"/>
        <w:spacing w:before="120"/>
      </w:pPr>
      <w:r w:rsidRPr="000155DA">
        <w:rPr>
          <w:rStyle w:val="FootnoteReference"/>
        </w:rPr>
        <w:footnoteRef/>
      </w:r>
      <w:r w:rsidRPr="000155DA">
        <w:t xml:space="preserve"> A number of census blocks were challenged by more than one provider (“duplicates”). Therefore, Appendix A and the final numbers of designations for both Served and Unserved census blocks reported in this Order include these duplicates.  These numbers also include the challenge and reply filings from the Consolidated/Enventis proceeding. </w:t>
      </w:r>
      <w:r w:rsidRPr="000155DA">
        <w:rPr>
          <w:i/>
        </w:rPr>
        <w:t xml:space="preserve">See </w:t>
      </w:r>
      <w:r w:rsidRPr="000155DA">
        <w:t>Connect America Fund, et. al., WC Docket Nos. 10-90, et. al, Order, 29 FCC Rcd 11776 (Wireline Comp. Bur. 2014) (</w:t>
      </w:r>
      <w:r w:rsidRPr="000155DA">
        <w:rPr>
          <w:i/>
        </w:rPr>
        <w:t>Consolidated/Enventis Order</w:t>
      </w:r>
      <w:r w:rsidRPr="000155DA">
        <w:t>).</w:t>
      </w:r>
    </w:p>
  </w:footnote>
  <w:footnote w:id="5">
    <w:p w:rsidR="004926D5" w:rsidRPr="000155DA" w:rsidRDefault="004926D5" w:rsidP="00E87AD4">
      <w:pPr>
        <w:spacing w:before="120" w:after="120"/>
        <w:rPr>
          <w:sz w:val="20"/>
        </w:rPr>
      </w:pPr>
      <w:r w:rsidRPr="000155DA">
        <w:rPr>
          <w:rStyle w:val="FootnoteReference"/>
        </w:rPr>
        <w:footnoteRef/>
      </w:r>
      <w:r w:rsidRPr="000155DA">
        <w:rPr>
          <w:sz w:val="20"/>
        </w:rPr>
        <w:t xml:space="preserve"> This chart does not include the census blocks for the non-contiguous carriers that have notified the Commission that they do not wish to receive an offer of model-based support:  ACS, Puerto Rico Telephone Company, and Virgin Islands Telephone Company.  </w:t>
      </w:r>
      <w:r w:rsidRPr="000155DA">
        <w:rPr>
          <w:i/>
          <w:iCs/>
          <w:sz w:val="20"/>
        </w:rPr>
        <w:t>See</w:t>
      </w:r>
      <w:r w:rsidRPr="000155DA">
        <w:rPr>
          <w:sz w:val="20"/>
        </w:rPr>
        <w:t xml:space="preserve"> Letter from Karen Brinkmann, Counsel for ACS, to Marlene H. Dortch, Secretary, FCC, WC Docket No. 10-90 (filed Jan. 2, 2015); Letter from Thomas J. Navin, counsel for PRTC, to Julie Veach, Chief, Wireline Competition Bureau, WC Docket No. 10-90 (filed Dec. 22, 2014); Letter from Russell M. Blau, counsel for Virgin Islands Telephone Corporation d/b/a Innovative Communications, to Marlene H. Dortch, Secretary, FCC, WC Docket No. 10-90 (filed Dec. 29, 2014) (all notifying the Bureau of interest to continue receiving Connect America Phase II frozen support in lieu of model-based support).  For completeness, we list in the appendix the challenges received with respect to certain ACS census blocks, which were filed before ACS indicated it did not wish to receive an offer of model-based support.  </w:t>
      </w:r>
    </w:p>
  </w:footnote>
  <w:footnote w:id="6">
    <w:p w:rsidR="004926D5" w:rsidRPr="000155DA" w:rsidRDefault="004926D5" w:rsidP="00E87AD4">
      <w:pPr>
        <w:pStyle w:val="FootnoteText"/>
        <w:spacing w:before="120"/>
      </w:pPr>
      <w:r w:rsidRPr="000155DA">
        <w:rPr>
          <w:rStyle w:val="FootnoteReference"/>
        </w:rPr>
        <w:footnoteRef/>
      </w:r>
      <w:r w:rsidRPr="000155DA">
        <w:t xml:space="preserve"> The precise number of census blocks actually eligible for the offer of model-based support will likely be different, once the Bureau completes the final run of the Connect America Cost Model for purposes of determining the offer of model-based support.</w:t>
      </w:r>
    </w:p>
  </w:footnote>
  <w:footnote w:id="7">
    <w:p w:rsidR="004926D5" w:rsidRPr="000155DA" w:rsidRDefault="004926D5">
      <w:pPr>
        <w:pStyle w:val="FootnoteText"/>
      </w:pPr>
      <w:r w:rsidRPr="000155DA">
        <w:rPr>
          <w:rStyle w:val="FootnoteReference"/>
        </w:rPr>
        <w:footnoteRef/>
      </w:r>
      <w:r w:rsidRPr="000155DA">
        <w:t xml:space="preserve"> These numbers include Enventis, Heartland Telecommunications Co. of Iowa, </w:t>
      </w:r>
      <w:r w:rsidR="00DD0BC9">
        <w:t xml:space="preserve">Illinois Consolidated Telephone Company, </w:t>
      </w:r>
      <w:r w:rsidRPr="000155DA">
        <w:t>Mankato Citizens Telephone Company, Mid-Communications, Inc., Consolidated of Fort Bend, and Consolidated of Texas.</w:t>
      </w:r>
    </w:p>
  </w:footnote>
  <w:footnote w:id="8">
    <w:p w:rsidR="004926D5" w:rsidRPr="000155DA" w:rsidRDefault="004926D5">
      <w:pPr>
        <w:pStyle w:val="FootnoteText"/>
      </w:pPr>
      <w:r w:rsidRPr="000155DA">
        <w:rPr>
          <w:rStyle w:val="FootnoteReference"/>
        </w:rPr>
        <w:footnoteRef/>
      </w:r>
      <w:r w:rsidRPr="000155DA">
        <w:t xml:space="preserve"> These numbers include Frontier-Idaho, Frontier-Indiana, Frontier-Montana, and Frontier of West Virginia.</w:t>
      </w:r>
    </w:p>
  </w:footnote>
  <w:footnote w:id="9">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Appendix A: Final Challenge Decisions.</w:t>
      </w:r>
    </w:p>
  </w:footnote>
  <w:footnote w:id="10">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Connect America Fund et al.</w:t>
      </w:r>
      <w:r w:rsidRPr="000155DA">
        <w:t>, WC Docket No. 10-90 et al., Report and Order et al., 26 FCC Rcd 17663 (2011) (</w:t>
      </w:r>
      <w:r w:rsidRPr="000155DA">
        <w:rPr>
          <w:i/>
        </w:rPr>
        <w:t>USF/ICC Transformation Order</w:t>
      </w:r>
      <w:r w:rsidRPr="000155DA">
        <w:t xml:space="preserve">), </w:t>
      </w:r>
      <w:r w:rsidRPr="000155DA">
        <w:rPr>
          <w:i/>
        </w:rPr>
        <w:t>aff’d sub nom., In re:</w:t>
      </w:r>
      <w:r w:rsidRPr="000155DA">
        <w:t xml:space="preserve"> FCC 11-161, 753 F.3d 1015 (10th Cir. 2014).</w:t>
      </w:r>
    </w:p>
  </w:footnote>
  <w:footnote w:id="1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 xml:space="preserve">Id. </w:t>
      </w:r>
      <w:r w:rsidRPr="000155DA">
        <w:t xml:space="preserve">at 17729, para. 170.  </w:t>
      </w:r>
    </w:p>
  </w:footnote>
  <w:footnote w:id="12">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Connect America Fund</w:t>
      </w:r>
      <w:r w:rsidRPr="000155DA">
        <w:t>, WC Docket No. 10-90, Report and Order, 28 FCC Rcd 15060, 15076-80, paras. 39-47 (Wireline Comp. Bur. 2013) (</w:t>
      </w:r>
      <w:r w:rsidRPr="000155DA">
        <w:rPr>
          <w:i/>
        </w:rPr>
        <w:t>Phase II Service Obligations Order</w:t>
      </w:r>
      <w:r w:rsidRPr="000155DA">
        <w:t>).</w:t>
      </w:r>
    </w:p>
  </w:footnote>
  <w:footnote w:id="1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Connect America Fund</w:t>
      </w:r>
      <w:r w:rsidRPr="000155DA">
        <w:t>, WC Docket No. 10-90, Report and Order, 28 FCC Rcd 7211 (Wireline Comp. Bur. 2013) (</w:t>
      </w:r>
      <w:r w:rsidRPr="000155DA">
        <w:rPr>
          <w:i/>
        </w:rPr>
        <w:t>Phase II Challenge Process Order</w:t>
      </w:r>
      <w:r w:rsidRPr="000155DA">
        <w:t>).</w:t>
      </w:r>
    </w:p>
  </w:footnote>
  <w:footnote w:id="14">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 xml:space="preserve">Id. </w:t>
      </w:r>
      <w:r w:rsidRPr="000155DA">
        <w:t>at 7217, para. 14.</w:t>
      </w:r>
    </w:p>
  </w:footnote>
  <w:footnote w:id="1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Id.</w:t>
      </w:r>
    </w:p>
  </w:footnote>
  <w:footnote w:id="16">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Phase II Service Obligations Order</w:t>
      </w:r>
      <w:r w:rsidRPr="000155DA">
        <w:t xml:space="preserve">, 28 FCC Rcd at 15061-65.  </w:t>
      </w:r>
      <w:r w:rsidRPr="000155DA">
        <w:rPr>
          <w:i/>
        </w:rPr>
        <w:t>See also generally Connect America Fund,</w:t>
      </w:r>
      <w:r w:rsidRPr="000155DA">
        <w:t xml:space="preserve"> WC Docket No. 10-90, Report and Order, 29 FCC Rcd 13485 (Wireline Comp. Bur. 2014) (</w:t>
      </w:r>
      <w:r w:rsidRPr="000155DA">
        <w:rPr>
          <w:i/>
        </w:rPr>
        <w:t>Reasonable Comparability Benchmarks Order</w:t>
      </w:r>
      <w:r w:rsidRPr="000155DA">
        <w:t>).</w:t>
      </w:r>
    </w:p>
  </w:footnote>
  <w:footnote w:id="17">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Wireline Competition Bureau Provides Guidance Regarding Phase II Challenge Process</w:t>
      </w:r>
      <w:r w:rsidRPr="000155DA">
        <w:t>, WC Docket No. 10-90, Public Notice, 29 FCC Rcd 7505, 7507-8 (Wireline Comp. Bur. 2014) (</w:t>
      </w:r>
      <w:r w:rsidRPr="000155DA">
        <w:rPr>
          <w:i/>
        </w:rPr>
        <w:t>Challenge Process Guidance Public Notice</w:t>
      </w:r>
      <w:r w:rsidRPr="000155DA">
        <w:t xml:space="preserve">); </w:t>
      </w:r>
      <w:r w:rsidRPr="000155DA">
        <w:rPr>
          <w:i/>
        </w:rPr>
        <w:t>see also</w:t>
      </w:r>
      <w:r w:rsidRPr="000155DA">
        <w:t xml:space="preserve"> FCC, </w:t>
      </w:r>
      <w:r w:rsidRPr="000155DA">
        <w:rPr>
          <w:i/>
        </w:rPr>
        <w:t xml:space="preserve">A Basic Guide to the Challenge Process </w:t>
      </w:r>
      <w:r w:rsidRPr="000155DA">
        <w:t>at 9 (July 31, 2014) (</w:t>
      </w:r>
      <w:r w:rsidRPr="000155DA">
        <w:rPr>
          <w:i/>
        </w:rPr>
        <w:t>Challenge Process</w:t>
      </w:r>
      <w:r w:rsidRPr="000155DA">
        <w:t xml:space="preserve"> </w:t>
      </w:r>
      <w:r w:rsidRPr="000155DA">
        <w:rPr>
          <w:i/>
        </w:rPr>
        <w:t>Basic Guide</w:t>
      </w:r>
      <w:r w:rsidRPr="000155DA">
        <w:t xml:space="preserve">), available at </w:t>
      </w:r>
      <w:hyperlink r:id="rId2" w:history="1">
        <w:r w:rsidRPr="000155DA">
          <w:rPr>
            <w:rStyle w:val="Hyperlink"/>
          </w:rPr>
          <w:t>http://www.fcc.gov/encyclopedia/connect-america-phase-ii-challenge-process</w:t>
        </w:r>
      </w:hyperlink>
      <w:r w:rsidRPr="000155DA">
        <w:t xml:space="preserve"> (last visited Feb. 20, 2015).</w:t>
      </w:r>
    </w:p>
  </w:footnote>
  <w:footnote w:id="18">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Phase II Service Obligations Order</w:t>
      </w:r>
      <w:r w:rsidRPr="000155DA">
        <w:t xml:space="preserve">, 28 FCC Rcd at 15076-80, paras. 39-47. In April 2014, the Commission directed the Bureau to commence the Phase II challenge process using the standards then in place, including the 4 Mbps downstream and 1 Mbps upstream speed standard.  </w:t>
      </w:r>
      <w:r w:rsidRPr="000155DA">
        <w:rPr>
          <w:i/>
        </w:rPr>
        <w:t>Connect America Fund et al.</w:t>
      </w:r>
      <w:r w:rsidRPr="000155DA">
        <w:t>, WC Docket No. 10-90 et al., Report and Order et al., 29 FCC Rcd 7051, 7083, para. 90 (2014) (</w:t>
      </w:r>
      <w:r w:rsidRPr="000155DA">
        <w:rPr>
          <w:i/>
        </w:rPr>
        <w:t>April 2014</w:t>
      </w:r>
      <w:r w:rsidRPr="000155DA">
        <w:t xml:space="preserve"> </w:t>
      </w:r>
      <w:r w:rsidRPr="000155DA">
        <w:rPr>
          <w:i/>
        </w:rPr>
        <w:t>Connect America Order and FNPRM</w:t>
      </w:r>
      <w:r w:rsidRPr="000155DA">
        <w:t xml:space="preserve">).  </w:t>
      </w:r>
    </w:p>
  </w:footnote>
  <w:footnote w:id="19">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Phase II Challenge Process Order</w:t>
      </w:r>
      <w:r w:rsidRPr="000155DA">
        <w:t xml:space="preserve">, 29 FCC Rcd at 7215, para. 21 n.48; </w:t>
      </w:r>
      <w:r w:rsidRPr="000155DA">
        <w:rPr>
          <w:i/>
        </w:rPr>
        <w:t>see also</w:t>
      </w:r>
      <w:r w:rsidRPr="000155DA">
        <w:t xml:space="preserve"> </w:t>
      </w:r>
      <w:r w:rsidRPr="000155DA">
        <w:rPr>
          <w:i/>
        </w:rPr>
        <w:t>Challenge Process Basic Guide</w:t>
      </w:r>
      <w:r w:rsidRPr="000155DA">
        <w:t xml:space="preserve"> at 8-9.</w:t>
      </w:r>
    </w:p>
  </w:footnote>
  <w:footnote w:id="20">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Phase II Challenge Process Order</w:t>
      </w:r>
      <w:r w:rsidRPr="000155DA">
        <w:t>, 28 FCC Rcd at 7214-15, paras. 8-9.</w:t>
      </w:r>
    </w:p>
  </w:footnote>
  <w:footnote w:id="2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Id.</w:t>
      </w:r>
    </w:p>
  </w:footnote>
  <w:footnote w:id="22">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generally</w:t>
      </w:r>
      <w:r w:rsidRPr="000155DA">
        <w:t xml:space="preserve"> </w:t>
      </w:r>
      <w:r w:rsidRPr="000155DA">
        <w:rPr>
          <w:i/>
        </w:rPr>
        <w:t>Phase II Challenge Process Commencement Public Notice</w:t>
      </w:r>
      <w:r w:rsidRPr="000155DA">
        <w:t xml:space="preserve">.  This list consisted of census blocks that were: (1) shown as unserved by an unsubsidized competitor on the National Broadband Map (data as of June 2013, as reflected in the version of the Connect America Cost Model adopted by the Bureau in April 2014); (2) “high cost” according to the adopted version of the model, with an calculated average cost per location above $52.50 and below $207.81; </w:t>
      </w:r>
      <w:r w:rsidRPr="000155DA">
        <w:rPr>
          <w:i/>
        </w:rPr>
        <w:t>and</w:t>
      </w:r>
      <w:r w:rsidRPr="000155DA">
        <w:t xml:space="preserve"> (3) located in price cap territories. </w:t>
      </w:r>
      <w:r w:rsidRPr="000155DA">
        <w:rPr>
          <w:i/>
        </w:rPr>
        <w:t>See id</w:t>
      </w:r>
      <w:r w:rsidRPr="000155DA">
        <w:t>. at 7986.</w:t>
      </w:r>
    </w:p>
  </w:footnote>
  <w:footnote w:id="2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 xml:space="preserve">Id. </w:t>
      </w:r>
    </w:p>
  </w:footnote>
  <w:footnote w:id="24">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Prima Facie Public Notice</w:t>
      </w:r>
      <w:r w:rsidRPr="000155DA">
        <w:t>, 29 FCC Rcd</w:t>
      </w:r>
      <w:r w:rsidRPr="000155DA">
        <w:rPr>
          <w:i/>
        </w:rPr>
        <w:t xml:space="preserve"> </w:t>
      </w:r>
      <w:r w:rsidRPr="000155DA">
        <w:t>at 11497-501.</w:t>
      </w:r>
    </w:p>
  </w:footnote>
  <w:footnote w:id="2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Unserved-to-Served Prima Facie Challenges</w:t>
      </w:r>
      <w:r w:rsidRPr="000155DA">
        <w:t xml:space="preserve">, available at </w:t>
      </w:r>
      <w:hyperlink r:id="rId3" w:history="1">
        <w:r w:rsidRPr="000155DA">
          <w:rPr>
            <w:rStyle w:val="Hyperlink"/>
          </w:rPr>
          <w:t>https://apps.fcc.gov/edocs_public/attachmatch/DOC-329607A1.xlsx</w:t>
        </w:r>
      </w:hyperlink>
      <w:r w:rsidRPr="000155DA">
        <w:t xml:space="preserve"> (last visited Feb. 20, 2015).</w:t>
      </w:r>
    </w:p>
  </w:footnote>
  <w:footnote w:id="26">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Served-to-Unserved Prima Facie Challenges</w:t>
      </w:r>
      <w:r w:rsidRPr="000155DA">
        <w:t xml:space="preserve">, available at </w:t>
      </w:r>
      <w:hyperlink r:id="rId4" w:history="1">
        <w:r w:rsidRPr="000155DA">
          <w:rPr>
            <w:rStyle w:val="Hyperlink"/>
          </w:rPr>
          <w:t>https://apps.fcc.gov/edocs_public/attachmatch/DOC-329606A1.xlsx</w:t>
        </w:r>
      </w:hyperlink>
      <w:r w:rsidRPr="000155DA">
        <w:t xml:space="preserve"> (last visited Feb. 20, 2015).</w:t>
      </w:r>
    </w:p>
  </w:footnote>
  <w:footnote w:id="27">
    <w:p w:rsidR="004926D5" w:rsidRPr="000155DA" w:rsidRDefault="004926D5">
      <w:pPr>
        <w:pStyle w:val="FootnoteText"/>
      </w:pPr>
      <w:r w:rsidRPr="000155DA">
        <w:rPr>
          <w:rStyle w:val="FootnoteReference"/>
        </w:rPr>
        <w:footnoteRef/>
      </w:r>
      <w:r w:rsidRPr="000155DA">
        <w:t xml:space="preserve"> </w:t>
      </w:r>
      <w:r w:rsidRPr="000155DA">
        <w:rPr>
          <w:i/>
        </w:rPr>
        <w:t>See</w:t>
      </w:r>
      <w:r w:rsidRPr="000155DA">
        <w:t xml:space="preserve"> </w:t>
      </w:r>
      <w:r w:rsidRPr="000155DA">
        <w:rPr>
          <w:i/>
        </w:rPr>
        <w:t>Prima Facie Public Notice</w:t>
      </w:r>
      <w:r w:rsidRPr="000155DA">
        <w:t>, 29 FCC Rcd</w:t>
      </w:r>
      <w:r w:rsidRPr="000155DA">
        <w:rPr>
          <w:i/>
        </w:rPr>
        <w:t xml:space="preserve"> </w:t>
      </w:r>
      <w:r w:rsidRPr="000155DA">
        <w:t>at 11501-2.</w:t>
      </w:r>
    </w:p>
  </w:footnote>
  <w:footnote w:id="28">
    <w:p w:rsidR="004926D5" w:rsidRPr="000155DA" w:rsidRDefault="004926D5">
      <w:pPr>
        <w:pStyle w:val="FootnoteText"/>
      </w:pPr>
      <w:r w:rsidRPr="000155DA">
        <w:rPr>
          <w:rStyle w:val="FootnoteReference"/>
        </w:rPr>
        <w:footnoteRef/>
      </w:r>
      <w:r w:rsidRPr="000155DA">
        <w:t xml:space="preserve"> </w:t>
      </w:r>
      <w:r w:rsidRPr="000155DA">
        <w:rPr>
          <w:i/>
        </w:rPr>
        <w:t>Id</w:t>
      </w:r>
      <w:r w:rsidRPr="000155DA">
        <w:t>.</w:t>
      </w:r>
    </w:p>
  </w:footnote>
  <w:footnote w:id="29">
    <w:p w:rsidR="004926D5" w:rsidRPr="000155DA" w:rsidRDefault="004926D5" w:rsidP="00E87AD4">
      <w:pPr>
        <w:pStyle w:val="FootnoteText"/>
        <w:spacing w:before="120"/>
      </w:pPr>
      <w:r w:rsidRPr="000155DA">
        <w:rPr>
          <w:rStyle w:val="FootnoteReference"/>
        </w:rPr>
        <w:footnoteRef/>
      </w:r>
      <w:r w:rsidRPr="000155DA">
        <w:t xml:space="preserve"> These numbers reflect overall totals and include the filings regarding census blocks that we determine in this Order to be procedurally defective and dismissed or otherwise not considered.</w:t>
      </w:r>
    </w:p>
  </w:footnote>
  <w:footnote w:id="30">
    <w:p w:rsidR="004926D5" w:rsidRPr="000155DA" w:rsidRDefault="004926D5" w:rsidP="00E87AD4">
      <w:pPr>
        <w:pStyle w:val="FootnoteText"/>
        <w:spacing w:before="120"/>
      </w:pPr>
      <w:r w:rsidRPr="000155DA">
        <w:rPr>
          <w:rStyle w:val="FootnoteReference"/>
        </w:rPr>
        <w:footnoteRef/>
      </w:r>
      <w:r w:rsidRPr="000155DA">
        <w:t xml:space="preserve"> Enventis is a holding company owning three rate-of-return local exchange carriers, and Consolidated is a holding company owning price cap local exchange carriers. </w:t>
      </w:r>
      <w:r w:rsidRPr="000155DA">
        <w:rPr>
          <w:i/>
        </w:rPr>
        <w:t>See Consolidated/Enventis Order</w:t>
      </w:r>
      <w:r w:rsidRPr="000155DA">
        <w:t>, 29 FCC Rcd at 11776.</w:t>
      </w:r>
    </w:p>
  </w:footnote>
  <w:footnote w:id="31">
    <w:p w:rsidR="004926D5" w:rsidRPr="000155DA" w:rsidRDefault="004926D5" w:rsidP="00E87AD4">
      <w:pPr>
        <w:pStyle w:val="FootnoteText"/>
        <w:spacing w:before="120"/>
      </w:pPr>
      <w:r w:rsidRPr="000155DA">
        <w:rPr>
          <w:rStyle w:val="FootnoteReference"/>
        </w:rPr>
        <w:footnoteRef/>
      </w:r>
      <w:r w:rsidRPr="000155DA">
        <w:t xml:space="preserve"> Due to the limited number of census blocks and time considerations, the Bureau decided to forego reviewing the initial challenges for </w:t>
      </w:r>
      <w:r w:rsidRPr="000155DA">
        <w:rPr>
          <w:i/>
        </w:rPr>
        <w:t>prima facie</w:t>
      </w:r>
      <w:r w:rsidRPr="000155DA">
        <w:t xml:space="preserve"> sufficiency before soliciting replies.  </w:t>
      </w:r>
      <w:r w:rsidRPr="000155DA">
        <w:rPr>
          <w:i/>
        </w:rPr>
        <w:t>Id.</w:t>
      </w:r>
      <w:r w:rsidRPr="000155DA">
        <w:t xml:space="preserve"> at 11778, para. 3, n.12.  Challenges were subsequently reviewed once all filings were received. </w:t>
      </w:r>
    </w:p>
  </w:footnote>
  <w:footnote w:id="32">
    <w:p w:rsidR="004926D5" w:rsidRPr="000155DA" w:rsidRDefault="004926D5" w:rsidP="00E87AD4">
      <w:pPr>
        <w:pStyle w:val="FootnoteText"/>
        <w:spacing w:before="120"/>
      </w:pPr>
      <w:r w:rsidRPr="000155DA">
        <w:rPr>
          <w:rStyle w:val="FootnoteReference"/>
        </w:rPr>
        <w:footnoteRef/>
      </w:r>
      <w:r w:rsidRPr="000155DA">
        <w:t xml:space="preserve"> The study areas are: Heartland-HickoryTech, IA (SAC 351096); Mid-Comm-HickoryTech, MN (SAC 361375); Mankato-HickoryTechm MN (SAC 361427).</w:t>
      </w:r>
    </w:p>
  </w:footnote>
  <w:footnote w:id="3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Connect America Fund, et. al.</w:t>
      </w:r>
      <w:r w:rsidRPr="000155DA">
        <w:t>, WC Docket Nos. 10-90, 14-58, 14-192, Report and Order, 29 FCC Rcd 15644, 15673-74, para. 79 (2014) (</w:t>
      </w:r>
      <w:r w:rsidRPr="000155DA">
        <w:rPr>
          <w:i/>
        </w:rPr>
        <w:t>December 2014 Connect America Fund Order</w:t>
      </w:r>
      <w:r w:rsidRPr="000155DA">
        <w:t>).</w:t>
      </w:r>
    </w:p>
  </w:footnote>
  <w:footnote w:id="34">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 xml:space="preserve">See id. </w:t>
      </w:r>
      <w:r w:rsidRPr="000155DA">
        <w:t>at paras. 73-74 and note 166.  The Commission stated that the Bureau should not complete individual adjudications regarding the eligibility of such blocks in the Phase II challenge process.</w:t>
      </w:r>
    </w:p>
  </w:footnote>
  <w:footnote w:id="3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Wireline Competition Bureau Announces Availability of Version 4.2 of the Connect America Fund Phase II Cost Model and the First Version of an Alternative Cost Model Being Developed for Potential Use in Rate-of-Return Areas</w:t>
      </w:r>
      <w:r w:rsidRPr="000155DA">
        <w:t>, WC Docket No. 10-90, Public Notice, 29 FCC Rcd 16157 (Wireline Comp. Bur. 2014).</w:t>
      </w:r>
    </w:p>
  </w:footnote>
  <w:footnote w:id="36">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Appendix B: Requests to Waive Customer Showing in Reply Round (providing a summary of those cases in which we considered this argument).</w:t>
      </w:r>
    </w:p>
  </w:footnote>
  <w:footnote w:id="37">
    <w:p w:rsidR="004926D5" w:rsidRPr="000155DA" w:rsidRDefault="004926D5" w:rsidP="00DE0F35">
      <w:pPr>
        <w:rPr>
          <w:color w:val="1F497D"/>
          <w:sz w:val="20"/>
        </w:rPr>
      </w:pPr>
      <w:r w:rsidRPr="000155DA">
        <w:rPr>
          <w:rStyle w:val="FootnoteReference"/>
        </w:rPr>
        <w:footnoteRef/>
      </w:r>
      <w:r w:rsidRPr="000155DA">
        <w:rPr>
          <w:sz w:val="20"/>
        </w:rPr>
        <w:t xml:space="preserve"> For the Connect America rural broadband experiments, the Bureau will remove a total of 19 census blocks deemed ineligible by the Phase II challenge process from provisionally selected projects and adjust the support requested by these bidders accordingly.  </w:t>
      </w:r>
      <w:r w:rsidRPr="000155DA">
        <w:rPr>
          <w:i/>
          <w:iCs/>
          <w:sz w:val="20"/>
        </w:rPr>
        <w:t>See Wireline Competition Bureau Announces Application Process for Entities Participating in the Rural Broadband Experiments</w:t>
      </w:r>
      <w:r w:rsidRPr="000155DA">
        <w:rPr>
          <w:sz w:val="20"/>
        </w:rPr>
        <w:t xml:space="preserve">, WC Docket No. 10-90, Public Notice, 29 FCC Rcd 10016, 10035-36, paras. 64-66 (Wireline Comp. Bur. 2014); </w:t>
      </w:r>
      <w:r w:rsidRPr="000155DA">
        <w:rPr>
          <w:i/>
          <w:iCs/>
          <w:sz w:val="20"/>
        </w:rPr>
        <w:t>Connect America Fund, ETC Annual Reports and Certifications</w:t>
      </w:r>
      <w:r w:rsidRPr="000155DA">
        <w:rPr>
          <w:sz w:val="20"/>
        </w:rPr>
        <w:t>, WC Docket Nos. 10-90, 14-58, Report and Order and Further Notice of Proposed Rulemaking, 29 FCC Rcd 8769, 8786, paras. 51 (2014) (</w:t>
      </w:r>
      <w:r w:rsidRPr="000155DA">
        <w:rPr>
          <w:i/>
          <w:iCs/>
          <w:sz w:val="20"/>
        </w:rPr>
        <w:t>Rural Broadband Experiments Order</w:t>
      </w:r>
      <w:r w:rsidRPr="000155DA">
        <w:rPr>
          <w:sz w:val="20"/>
        </w:rPr>
        <w:t xml:space="preserve">); </w:t>
      </w:r>
      <w:r w:rsidRPr="000155DA">
        <w:rPr>
          <w:i/>
          <w:iCs/>
          <w:sz w:val="20"/>
        </w:rPr>
        <w:t>see also</w:t>
      </w:r>
      <w:r w:rsidR="00DE0F35" w:rsidRPr="000155DA">
        <w:rPr>
          <w:sz w:val="20"/>
        </w:rPr>
        <w:t xml:space="preserve"> </w:t>
      </w:r>
      <w:r w:rsidR="00DE0F35" w:rsidRPr="000155DA">
        <w:rPr>
          <w:i/>
          <w:iCs/>
          <w:sz w:val="20"/>
        </w:rPr>
        <w:t>Wireline Competition Bureau Announces Entities Provisionally Selected for Rural Broadband Experiments; Sets Deadlines for Submission of Additional Information</w:t>
      </w:r>
      <w:r w:rsidR="00DE0F35" w:rsidRPr="000155DA">
        <w:rPr>
          <w:sz w:val="20"/>
        </w:rPr>
        <w:t>, WC Docket No. 10-90, Public Notice, 29 FCC Rcd 14684 (Wireline Comp. Bur. 2014) (</w:t>
      </w:r>
      <w:r w:rsidR="00DE0F35" w:rsidRPr="000155DA">
        <w:rPr>
          <w:i/>
          <w:iCs/>
          <w:sz w:val="20"/>
        </w:rPr>
        <w:t>Provisionally Selected Bidders Public Notice</w:t>
      </w:r>
      <w:r w:rsidR="00DE0F35" w:rsidRPr="000155DA">
        <w:rPr>
          <w:sz w:val="20"/>
        </w:rPr>
        <w:t>)</w:t>
      </w:r>
      <w:r w:rsidRPr="000155DA">
        <w:rPr>
          <w:sz w:val="20"/>
        </w:rPr>
        <w:t xml:space="preserve">; </w:t>
      </w:r>
      <w:r w:rsidRPr="000155DA">
        <w:rPr>
          <w:i/>
          <w:iCs/>
          <w:sz w:val="20"/>
        </w:rPr>
        <w:t>Wireline Competition Bureau Announces Additional Provisionally Selected Bidders for Rural Broadband Experiments and Sets Deadlines for Submission of Additional Information</w:t>
      </w:r>
      <w:r w:rsidRPr="000155DA">
        <w:rPr>
          <w:sz w:val="20"/>
        </w:rPr>
        <w:t>, WC Docket Nos. 10-90, 14-259, Public Notice, DA 15-288 (rel. Mar. 4, 2015).</w:t>
      </w:r>
    </w:p>
  </w:footnote>
  <w:footnote w:id="38">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Challenge by Heartland Telecommunications Company of Iowa, WC Docket 14-93 (filed Nov. 3, 2014); Challenge by Mankato Citizens Telephone Company, WC Docket 14-93 (filed Nov. 3, 2014); Challenge by Mid-Communications, Inc., WC Docket 14-93 (filed Nov. 3, 2014).  </w:t>
      </w:r>
    </w:p>
  </w:footnote>
  <w:footnote w:id="39">
    <w:p w:rsidR="004926D5" w:rsidRPr="000155DA" w:rsidRDefault="004926D5" w:rsidP="00DE72B5">
      <w:pPr>
        <w:pStyle w:val="FootnoteText"/>
      </w:pPr>
      <w:r w:rsidRPr="000155DA">
        <w:rPr>
          <w:rStyle w:val="FootnoteReference"/>
        </w:rPr>
        <w:footnoteRef/>
      </w:r>
      <w:r w:rsidRPr="000155DA">
        <w:t xml:space="preserve"> </w:t>
      </w:r>
      <w:r w:rsidRPr="000155DA">
        <w:rPr>
          <w:i/>
        </w:rPr>
        <w:t>See</w:t>
      </w:r>
      <w:r w:rsidRPr="000155DA">
        <w:t xml:space="preserve"> Challenge by Premier Communications, Inc., WC Docket 14-93 (filed Oct. 27, 2014)(</w:t>
      </w:r>
      <w:r w:rsidRPr="000155DA">
        <w:rPr>
          <w:i/>
        </w:rPr>
        <w:t>Premier Consolidated Challenge</w:t>
      </w:r>
      <w:r w:rsidRPr="000155DA">
        <w:t xml:space="preserve">).  </w:t>
      </w:r>
    </w:p>
  </w:footnote>
  <w:footnote w:id="40">
    <w:p w:rsidR="004926D5" w:rsidRPr="000155DA" w:rsidRDefault="004926D5" w:rsidP="00DE72B5">
      <w:pPr>
        <w:pStyle w:val="FootnoteText"/>
      </w:pPr>
      <w:r w:rsidRPr="000155DA">
        <w:rPr>
          <w:rStyle w:val="FootnoteReference"/>
        </w:rPr>
        <w:footnoteRef/>
      </w:r>
      <w:r w:rsidRPr="000155DA">
        <w:t xml:space="preserve"> </w:t>
      </w:r>
      <w:r w:rsidRPr="000155DA">
        <w:rPr>
          <w:i/>
        </w:rPr>
        <w:t>See</w:t>
      </w:r>
      <w:r w:rsidRPr="000155DA">
        <w:t xml:space="preserve"> </w:t>
      </w:r>
      <w:r w:rsidRPr="000155DA">
        <w:rPr>
          <w:i/>
        </w:rPr>
        <w:t>Challenge</w:t>
      </w:r>
      <w:r w:rsidRPr="000155DA">
        <w:t xml:space="preserve"> </w:t>
      </w:r>
      <w:r w:rsidRPr="000155DA">
        <w:rPr>
          <w:i/>
        </w:rPr>
        <w:t>Reply of Charter Communications, Inc</w:t>
      </w:r>
      <w:r w:rsidRPr="000155DA">
        <w:t xml:space="preserve">., WC Docket 14-93 (filed Nov. 26, 2014).  Note that this number does not include duplicates and Charter appears on Appendix A as having replied to 783 census blocks, because five census blocks were challenged by two parties.  There was no reply filed to the Premier Unserved to Served challenge. </w:t>
      </w:r>
    </w:p>
  </w:footnote>
  <w:footnote w:id="4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Challenge Process Guidance Public Notice</w:t>
      </w:r>
      <w:r w:rsidRPr="000155DA">
        <w:t xml:space="preserve">, 29 FCC Rcd at 7507 (“[W]e remind parties that we do not intend to consider evidence or arguments submitted after the close of the comment cycle for the Phase II challenge process.  Thus, the Phase II challenge process will operate under a best and final evidence system (i.e., parties only have one opportunity to submit evidence and arguments in support of their challenge).”); </w:t>
      </w:r>
      <w:r w:rsidRPr="000155DA">
        <w:rPr>
          <w:i/>
        </w:rPr>
        <w:t>see also Prima Facie Public Notice</w:t>
      </w:r>
      <w:r w:rsidRPr="000155DA">
        <w:t xml:space="preserve">, 29 FCC Rcd at 11501-2; </w:t>
      </w:r>
      <w:r w:rsidRPr="000155DA">
        <w:rPr>
          <w:i/>
        </w:rPr>
        <w:t>Phase II Challenge Process Order</w:t>
      </w:r>
      <w:r w:rsidRPr="000155DA">
        <w:t xml:space="preserve">, 28 FCC Rcd at 7218-19, para, 17 n. 39, 7220, paras. 20-21; </w:t>
      </w:r>
      <w:r w:rsidRPr="000155DA">
        <w:rPr>
          <w:i/>
        </w:rPr>
        <w:t>Challenge Process Basic Guide</w:t>
      </w:r>
      <w:r w:rsidRPr="000155DA">
        <w:t xml:space="preserve"> at 9-10.</w:t>
      </w:r>
    </w:p>
  </w:footnote>
  <w:footnote w:id="42">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also</w:t>
      </w:r>
      <w:r w:rsidRPr="000155DA">
        <w:t xml:space="preserve"> </w:t>
      </w:r>
      <w:r w:rsidRPr="000155DA">
        <w:rPr>
          <w:i/>
        </w:rPr>
        <w:t>id</w:t>
      </w:r>
      <w:r w:rsidRPr="000155DA">
        <w:t>. at 7507-8.</w:t>
      </w:r>
    </w:p>
  </w:footnote>
  <w:footnote w:id="43">
    <w:p w:rsidR="004926D5" w:rsidRPr="000155DA" w:rsidRDefault="004926D5">
      <w:pPr>
        <w:pStyle w:val="FootnoteText"/>
      </w:pPr>
      <w:r w:rsidRPr="000155DA">
        <w:rPr>
          <w:rStyle w:val="FootnoteReference"/>
        </w:rPr>
        <w:footnoteRef/>
      </w:r>
      <w:r w:rsidRPr="000155DA">
        <w:t xml:space="preserve"> These filings, in whole or in part, relate to the following entities: AT&amp;T Services, Inc, Bretton Woods Telephone Company, California Oregon Broadcast Inc. dba Crestview Cable Communications, Chouteau Telephone Company (FairPoint), Fidelity Telephone Company, Gardonville Cooperative Telephone Association, Otter Tail Telecom, LLC, Santel Communications Cooperative, Inc., Telephone Operating Company of Vermont LLC and FairPoint Vermont, Inc., and Wired or Wireless, Inc. </w:t>
      </w:r>
    </w:p>
  </w:footnote>
  <w:footnote w:id="44">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Appendix A.  These filings are marked with a reason code “IF” or “Improper Filing.”</w:t>
      </w:r>
    </w:p>
  </w:footnote>
  <w:footnote w:id="4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infra</w:t>
      </w:r>
      <w:r w:rsidRPr="000155DA">
        <w:t xml:space="preserve"> para. 15 note 29.</w:t>
      </w:r>
    </w:p>
  </w:footnote>
  <w:footnote w:id="46">
    <w:p w:rsidR="004926D5" w:rsidRPr="000155DA" w:rsidRDefault="004926D5" w:rsidP="009C4CE6">
      <w:pPr>
        <w:pStyle w:val="FootnoteText"/>
      </w:pPr>
      <w:r w:rsidRPr="000155DA">
        <w:rPr>
          <w:rStyle w:val="FootnoteReference"/>
        </w:rPr>
        <w:footnoteRef/>
      </w:r>
      <w:r w:rsidRPr="000155DA">
        <w:t xml:space="preserve">  These filings, in whole or in part, relate to the following entities: BEK Communications Cooperative, Cable One, Inc., CenturyLink, Consolidated Communications Networks, Inc., General Communications, Inc., Heart of Iowa Ventures, JAB Wireless, Mediacom, Midcontinent Communications, Nex-Tech, North Dakota, Premier Communications, Inc., and Windstream.</w:t>
      </w:r>
    </w:p>
  </w:footnote>
  <w:footnote w:id="47">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Appendix A.  These filings are marked with a designation of “Subsidized” and the reason code “NC” or “Not Considered.”</w:t>
      </w:r>
    </w:p>
  </w:footnote>
  <w:footnote w:id="48">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Phase II Challenge Process Order</w:t>
      </w:r>
      <w:r w:rsidRPr="000155DA">
        <w:t>, 28 FCC Rcd at 7220, para. 20 n.45 (“As challengers and respondents will only have one opportunity each to submit evidence, parties will have an incentive to submit a full evidentiary record at the time they make their submissions.”).</w:t>
      </w:r>
    </w:p>
  </w:footnote>
  <w:footnote w:id="49">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Email from Danny Jobe, VP Systems Operation, MetroCast Communications in Mississippi, to Ryan Yates, Attorney Advisor, Wireline Competition Bureau, Federal Communications Commission (received Oct. 1, 2014).</w:t>
      </w:r>
      <w:r w:rsidRPr="000155DA">
        <w:rPr>
          <w:i/>
        </w:rPr>
        <w:t xml:space="preserve">  </w:t>
      </w:r>
      <w:r w:rsidRPr="000155DA">
        <w:t xml:space="preserve">MetroCast emailed the Bureau stating that following release of the list of </w:t>
      </w:r>
      <w:r w:rsidRPr="000155DA">
        <w:rPr>
          <w:i/>
        </w:rPr>
        <w:t>prima facie</w:t>
      </w:r>
      <w:r w:rsidRPr="000155DA">
        <w:t xml:space="preserve"> challenges, the company determined that the block number it identified on Form 505 (281059501004035) for one of its challenges, which was dismissed as an invalid FIPS code, actually contained a typographical error.  The company requested to submit an erratum correcting the error, arguing the initial submission contained proper supporting evidence to designate the block as served.  It would not be appropriate to treat this block as served, as interested parties have not had the opportunity to reply to the challenge.</w:t>
      </w:r>
    </w:p>
  </w:footnote>
  <w:footnote w:id="50">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Letter from Kevin Owen, President, First Step Internet, LLC, to Marlene Dortch, Secretary, Federal Communications Commission, WC Docket No. 14-93 (received Jan. 26, 2015).  First Step filed supplemental information in the docket to further explain elements of its initial challenge.  However, this filing was submitted  several months after the August 14, 2014 due date.  The company also requested a waiver to allow it to file this supplemental information.  We conclude there is no good cause shown to grant the waiver and consider the information, and so the waiver is denied and the information is not considered.   “[D]eadlines can only be waived under ‘unusual or compelling circumstances.’”  </w:t>
      </w:r>
      <w:r w:rsidRPr="000155DA">
        <w:rPr>
          <w:i/>
        </w:rPr>
        <w:t>NetworkIP, LLC v. FCC</w:t>
      </w:r>
      <w:r w:rsidRPr="000155DA">
        <w:t xml:space="preserve">, 548 F.3d 116, 126 (D.C. Cir. 2008) (citation omitted).  </w:t>
      </w:r>
    </w:p>
  </w:footnote>
  <w:footnote w:id="5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Challenge Process</w:t>
      </w:r>
      <w:r w:rsidRPr="000155DA">
        <w:t xml:space="preserve"> </w:t>
      </w:r>
      <w:r w:rsidRPr="000155DA">
        <w:rPr>
          <w:i/>
        </w:rPr>
        <w:t>Guidance Public Notice</w:t>
      </w:r>
      <w:r w:rsidRPr="000155DA">
        <w:t xml:space="preserve">, 29 FCC Rcd at 7507-8 (identifying the three elements of showing a census block is served: (1) the provider actually offers voice and broadband service in the census block, (2) the provider has physical assets in or adjacent to the census block, and (3) the provider currently has or previously had voice or broadband customers in the census block).  </w:t>
      </w:r>
      <w:r w:rsidRPr="000155DA">
        <w:rPr>
          <w:i/>
        </w:rPr>
        <w:t>See also</w:t>
      </w:r>
      <w:r w:rsidRPr="000155DA">
        <w:t xml:space="preserve"> </w:t>
      </w:r>
      <w:r w:rsidRPr="000155DA">
        <w:rPr>
          <w:i/>
        </w:rPr>
        <w:t>Challenge Process Basic Guide</w:t>
      </w:r>
      <w:r w:rsidRPr="000155DA">
        <w:t xml:space="preserve"> at 9.</w:t>
      </w:r>
    </w:p>
  </w:footnote>
  <w:footnote w:id="52">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Id.</w:t>
      </w:r>
      <w:r w:rsidRPr="000155DA">
        <w:t xml:space="preserve"> </w:t>
      </w:r>
    </w:p>
  </w:footnote>
  <w:footnote w:id="5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Prima Facie Public Notice</w:t>
      </w:r>
      <w:r w:rsidRPr="000155DA">
        <w:t>, 29 FCC Rcd at 11499-500 (reporting waivers granted and criteria).</w:t>
      </w:r>
    </w:p>
  </w:footnote>
  <w:footnote w:id="54">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Appendix B.</w:t>
      </w:r>
    </w:p>
  </w:footnote>
  <w:footnote w:id="5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Amplex Electric, Inc. (Amplex) CAF II Census Block Challenge</w:t>
      </w:r>
      <w:r w:rsidRPr="000155DA">
        <w:t>, WC Docket No. 14-93 at 1-2 (filed Nov. 10, 2014)(</w:t>
      </w:r>
      <w:r w:rsidRPr="000155DA">
        <w:rPr>
          <w:i/>
        </w:rPr>
        <w:t>Amplex Challenge Reply</w:t>
      </w:r>
      <w:r w:rsidRPr="000155DA">
        <w:t xml:space="preserve">); </w:t>
      </w:r>
      <w:r w:rsidRPr="000155DA">
        <w:rPr>
          <w:i/>
        </w:rPr>
        <w:t>Armstrong Utilities, Inc. (Armstrong) Petition for Limited Waiver of CAF Phase II Evidentiary Requirement</w:t>
      </w:r>
      <w:r w:rsidRPr="000155DA">
        <w:t>, WC Docket No. 14-93 at 4 (filed Nov. 10, 2014)(</w:t>
      </w:r>
      <w:r w:rsidRPr="000155DA">
        <w:rPr>
          <w:i/>
        </w:rPr>
        <w:t>Armstrong Waiver Request</w:t>
      </w:r>
      <w:r w:rsidRPr="000155DA">
        <w:t xml:space="preserve">); </w:t>
      </w:r>
      <w:r w:rsidRPr="000155DA">
        <w:rPr>
          <w:i/>
        </w:rPr>
        <w:t>Cablevision Systems Corporation (Cablevision) Petition for Waiver</w:t>
      </w:r>
      <w:r w:rsidRPr="000155DA">
        <w:t>, WC Docket Nos. 10-90, 14-93 at 1-2, 4 (filed Nov. 10, 2014)(</w:t>
      </w:r>
      <w:r w:rsidRPr="000155DA">
        <w:rPr>
          <w:i/>
        </w:rPr>
        <w:t>Cablevision Waiver Request</w:t>
      </w:r>
      <w:r w:rsidRPr="000155DA">
        <w:t xml:space="preserve">); </w:t>
      </w:r>
      <w:r w:rsidRPr="000155DA">
        <w:rPr>
          <w:i/>
        </w:rPr>
        <w:t>Charter Communications, Inc. (Charter) Petition for Limited Waiver of CAF Phase II Evidentiary Requirement</w:t>
      </w:r>
      <w:r w:rsidRPr="000155DA">
        <w:t>, WC Docket No. 10-90, 14-93 at 4 (filed No. 10, 2014)(</w:t>
      </w:r>
      <w:r w:rsidRPr="000155DA">
        <w:rPr>
          <w:i/>
        </w:rPr>
        <w:t>Charter Waiver Request</w:t>
      </w:r>
      <w:r w:rsidRPr="000155DA">
        <w:t xml:space="preserve">), </w:t>
      </w:r>
      <w:r w:rsidRPr="000155DA">
        <w:rPr>
          <w:i/>
        </w:rPr>
        <w:t>Custer Telephone Broadband Services, LLC (Custer) Request for Limited Waiver of Connect America Fund Phase II Evidentiary Requirement</w:t>
      </w:r>
      <w:r w:rsidRPr="000155DA">
        <w:t>, WC Docket No. 14-93 at 2-4 (filed Nov. 6, 2014)(</w:t>
      </w:r>
      <w:r w:rsidRPr="000155DA">
        <w:rPr>
          <w:i/>
        </w:rPr>
        <w:t>Custer Waiver Request</w:t>
      </w:r>
      <w:r w:rsidRPr="000155DA">
        <w:t xml:space="preserve">); </w:t>
      </w:r>
      <w:r w:rsidRPr="000155DA">
        <w:rPr>
          <w:i/>
        </w:rPr>
        <w:t>Flint Cable Television (Flint) Petition for Limited Waiver of Connect America Fund Phase II Evidentiary Requirement</w:t>
      </w:r>
      <w:r w:rsidRPr="000155DA">
        <w:t>, WC Docket No. 14-93 at 1, 3-4 (filed Nov. 10, 2014)(</w:t>
      </w:r>
      <w:r w:rsidRPr="000155DA">
        <w:rPr>
          <w:i/>
        </w:rPr>
        <w:t>Flint Waiver Request</w:t>
      </w:r>
      <w:r w:rsidRPr="000155DA">
        <w:t xml:space="preserve">); </w:t>
      </w:r>
      <w:r w:rsidRPr="000155DA">
        <w:rPr>
          <w:i/>
        </w:rPr>
        <w:t>Northland Communications Corporation (Northland) Petition for Limited Waiver of CAF Phase II Evidentiary Requirement</w:t>
      </w:r>
      <w:r w:rsidRPr="000155DA">
        <w:t>, WC Docket No. 14-93 at 4-5 (filed Nov. 10, 2014)(</w:t>
      </w:r>
      <w:r w:rsidRPr="000155DA">
        <w:rPr>
          <w:i/>
        </w:rPr>
        <w:t>Northland Waiver Request</w:t>
      </w:r>
      <w:r w:rsidRPr="000155DA">
        <w:t xml:space="preserve">); </w:t>
      </w:r>
      <w:r w:rsidRPr="000155DA">
        <w:rPr>
          <w:i/>
        </w:rPr>
        <w:t>PVT NetWorks, Inc. (PVT) Request for Limited Waiver of Connect America Fund Phase II Evidentiary Requirement</w:t>
      </w:r>
      <w:r w:rsidRPr="000155DA">
        <w:t>, WC Docket No. 14-93  at 1-4 (filed Nov. 10, 2014)(</w:t>
      </w:r>
      <w:r w:rsidRPr="000155DA">
        <w:rPr>
          <w:i/>
        </w:rPr>
        <w:t>PVT Waiver Request</w:t>
      </w:r>
      <w:r w:rsidRPr="000155DA">
        <w:t xml:space="preserve">); </w:t>
      </w:r>
      <w:r w:rsidRPr="000155DA">
        <w:rPr>
          <w:i/>
        </w:rPr>
        <w:t>Shenandoah Cable Television, LLC (Shenandoah) Petition for Limited Waiver of CAF Phase II Evidentiary Requirement</w:t>
      </w:r>
      <w:r w:rsidRPr="000155DA">
        <w:t>, WC Docket No. 14-93 at 4 (filed Nov. 10, 2014)(</w:t>
      </w:r>
      <w:r w:rsidRPr="000155DA">
        <w:rPr>
          <w:i/>
        </w:rPr>
        <w:t>Shenandoah Waiver Request</w:t>
      </w:r>
      <w:r w:rsidRPr="000155DA">
        <w:t xml:space="preserve">); </w:t>
      </w:r>
      <w:r w:rsidRPr="000155DA">
        <w:rPr>
          <w:i/>
        </w:rPr>
        <w:t>TV Service, Inc. (TVS) Request for Limited Waiver of Connect America Fund Phase II Evidentiary Requirement</w:t>
      </w:r>
      <w:r w:rsidRPr="000155DA">
        <w:t>, WC Docket No. 14-93 at 1-3 (filed Nov. 10, 2014)(</w:t>
      </w:r>
      <w:r w:rsidRPr="000155DA">
        <w:rPr>
          <w:i/>
        </w:rPr>
        <w:t>TVS Waiver Request</w:t>
      </w:r>
      <w:r w:rsidRPr="000155DA">
        <w:t xml:space="preserve">); </w:t>
      </w:r>
      <w:r w:rsidRPr="000155DA">
        <w:rPr>
          <w:i/>
        </w:rPr>
        <w:t>Vyve Broadband A, LLC and Vyve Broadband J, LLC (Vyve)  Petition for Limited Waiver of CAF Phase II Evidentiary Requirement</w:t>
      </w:r>
      <w:r w:rsidRPr="000155DA">
        <w:t>, WC Docket No. 14-93 at 5 (filed Nov. 10, 2014)(</w:t>
      </w:r>
      <w:r w:rsidRPr="000155DA">
        <w:rPr>
          <w:i/>
        </w:rPr>
        <w:t>Vyve Waiver Request</w:t>
      </w:r>
      <w:r w:rsidRPr="000155DA">
        <w:t xml:space="preserve">).      </w:t>
      </w:r>
    </w:p>
  </w:footnote>
  <w:footnote w:id="56">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Armstrong Waiver Request</w:t>
      </w:r>
      <w:r w:rsidRPr="000155DA">
        <w:t xml:space="preserve"> at 4; </w:t>
      </w:r>
      <w:r w:rsidRPr="000155DA">
        <w:rPr>
          <w:i/>
        </w:rPr>
        <w:t>Northland Waiver Request</w:t>
      </w:r>
      <w:r w:rsidRPr="000155DA">
        <w:t xml:space="preserve"> at 5; </w:t>
      </w:r>
      <w:r w:rsidRPr="000155DA">
        <w:rPr>
          <w:i/>
        </w:rPr>
        <w:t>Shenandoah Waiver Request</w:t>
      </w:r>
      <w:r w:rsidRPr="000155DA">
        <w:t xml:space="preserve"> at 4; Vyve Waiver Request at 5.  </w:t>
      </w:r>
    </w:p>
  </w:footnote>
  <w:footnote w:id="57">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Charter Waiver Request</w:t>
      </w:r>
      <w:r w:rsidRPr="000155DA">
        <w:t xml:space="preserve"> at 4;</w:t>
      </w:r>
      <w:r w:rsidRPr="000155DA">
        <w:rPr>
          <w:i/>
        </w:rPr>
        <w:t>Request for Waiver of Cox Communications, Inc.(Cox)</w:t>
      </w:r>
      <w:r w:rsidRPr="000155DA">
        <w:t>, WC Docket Nos. 10-90, 14-93  at 2, 5-7 (filed Nov. 10, 2014)(</w:t>
      </w:r>
      <w:r w:rsidRPr="000155DA">
        <w:rPr>
          <w:i/>
        </w:rPr>
        <w:t>Cox Waiver Request</w:t>
      </w:r>
      <w:r w:rsidRPr="000155DA">
        <w:t xml:space="preserve">).    </w:t>
      </w:r>
    </w:p>
  </w:footnote>
  <w:footnote w:id="58">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Charter Waiver Request</w:t>
      </w:r>
      <w:r w:rsidRPr="000155DA">
        <w:t xml:space="preserve"> at 4 (filed Nov. 10, 2014)(citing the Declaration of James Daley at 11-12; </w:t>
      </w:r>
      <w:r w:rsidRPr="000155DA">
        <w:rPr>
          <w:i/>
        </w:rPr>
        <w:t>TVS Waiver Request</w:t>
      </w:r>
      <w:r w:rsidRPr="000155DA">
        <w:t xml:space="preserve"> at 2-3 (explaining that it has or has had video subscribers in the challenged census blocks, which use the same facilities as those used to provide voice and broadband service); Service Electric Cablevision, Inc. (Service Electric) Opposition to Connect America Fund Phase II Challenge filed by Windstream Communications, Inc., WC Docket Nos. 10-90, 14-93 at 3-4 (filed Nov. 10, 2014)(</w:t>
      </w:r>
      <w:r w:rsidRPr="000155DA">
        <w:rPr>
          <w:i/>
        </w:rPr>
        <w:t>Service Electric Challenge Reply</w:t>
      </w:r>
      <w:r w:rsidRPr="000155DA">
        <w:t xml:space="preserve">); TVS Waiver Request at 1-3. </w:t>
      </w:r>
    </w:p>
  </w:footnote>
  <w:footnote w:id="59">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 xml:space="preserve">See Shenandoah Waiver Request </w:t>
      </w:r>
      <w:r w:rsidRPr="000155DA">
        <w:t>at 4 (explaining that it cannot verify with accuracy former customers in some census blocks due to its lack of billing records from periods prior to its acquisition of other systems).</w:t>
      </w:r>
    </w:p>
  </w:footnote>
  <w:footnote w:id="60">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Cox Waiver Request</w:t>
      </w:r>
      <w:r w:rsidRPr="000155DA">
        <w:t xml:space="preserve"> at 3-5 (explaining that it is unable to determine with certainty whether it has customers in 168 census blocks due to variances in addresses in its billing database and network facilities database); </w:t>
      </w:r>
      <w:r w:rsidRPr="000155DA">
        <w:rPr>
          <w:i/>
        </w:rPr>
        <w:t>Charter Waiver Request</w:t>
      </w:r>
      <w:r w:rsidRPr="000155DA">
        <w:t>, at 2-4 (filed Nov. 10, 2014) (explaining difficulties in verifying billing records with geolocation).</w:t>
      </w:r>
    </w:p>
  </w:footnote>
  <w:footnote w:id="6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Appendix B.  The census blocks where we waive our evidentiary requirements to allow consideration of the reply pleading are included in the numbers presented below where we discuss our resolution of the contested challenges. In the case where we denied the waiver for a particular census block, but another provider also challenged that same census block and we concluded that the block should be designated served, the designation for the denied waiver in Appendix B is listed as “Denied.”</w:t>
      </w:r>
    </w:p>
  </w:footnote>
  <w:footnote w:id="62">
    <w:p w:rsidR="004926D5" w:rsidRPr="000155DA" w:rsidRDefault="004926D5" w:rsidP="00E87AD4">
      <w:pPr>
        <w:pStyle w:val="FootnoteText"/>
        <w:spacing w:before="120"/>
      </w:pPr>
      <w:r w:rsidRPr="000155DA">
        <w:rPr>
          <w:rStyle w:val="FootnoteReference"/>
        </w:rPr>
        <w:footnoteRef/>
      </w:r>
      <w:r w:rsidRPr="000155DA">
        <w:t xml:space="preserve"> 47 C.F.R. § 1.3.  The Commission may exercise its discretion to waive a rule where the particular facts make strict compliance inconsistent with the public interest. </w:t>
      </w:r>
      <w:r w:rsidRPr="000155DA">
        <w:rPr>
          <w:i/>
        </w:rPr>
        <w:t>Northeast Cellular Telephone Co. v. FCC</w:t>
      </w:r>
      <w:r w:rsidRPr="000155DA">
        <w:t>, 897 F.2d 1164, 1166 (D.C. Cir. 1990) (</w:t>
      </w:r>
      <w:r w:rsidRPr="000155DA">
        <w:rPr>
          <w:i/>
        </w:rPr>
        <w:t>Northeast Cellular</w:t>
      </w:r>
      <w:r w:rsidRPr="000155DA">
        <w:t xml:space="preserve">).  In addition, the Commission may take into account considerations of hardship, equity, or more effective implementation of overall policy on an individual basis. </w:t>
      </w:r>
      <w:r w:rsidRPr="000155DA">
        <w:rPr>
          <w:i/>
        </w:rPr>
        <w:t>WAIT Radio v. FCC</w:t>
      </w:r>
      <w:r w:rsidRPr="000155DA">
        <w:t xml:space="preserve">, 418 F.2d 1153, 1159 (D.C. Cir. 1969); </w:t>
      </w:r>
      <w:r w:rsidRPr="000155DA">
        <w:rPr>
          <w:i/>
        </w:rPr>
        <w:t>Northeast Cellular</w:t>
      </w:r>
      <w:r w:rsidRPr="000155DA">
        <w:t xml:space="preserve">, 897 F.2d at 1166.  Waiver of the Commission’s rules is appropriate only if both (i) special circumstances warrant a deviation from the general rule, and (ii) such deviation will serve the public interest.  </w:t>
      </w:r>
      <w:r w:rsidRPr="000155DA">
        <w:rPr>
          <w:i/>
        </w:rPr>
        <w:t>Northeast Cellular</w:t>
      </w:r>
      <w:r w:rsidRPr="000155DA">
        <w:t xml:space="preserve">, 897 F.2d at 1166.  </w:t>
      </w:r>
    </w:p>
  </w:footnote>
  <w:footnote w:id="63">
    <w:p w:rsidR="000028AD" w:rsidRPr="000155DA" w:rsidRDefault="000028AD">
      <w:pPr>
        <w:pStyle w:val="FootnoteText"/>
      </w:pPr>
      <w:r w:rsidRPr="000155DA">
        <w:rPr>
          <w:rStyle w:val="FootnoteReference"/>
        </w:rPr>
        <w:footnoteRef/>
      </w:r>
      <w:r w:rsidRPr="000155DA">
        <w:t xml:space="preserve"> </w:t>
      </w:r>
      <w:r w:rsidRPr="000155DA">
        <w:rPr>
          <w:i/>
        </w:rPr>
        <w:t>Phase II Challenge Process Order</w:t>
      </w:r>
      <w:r w:rsidRPr="000155DA">
        <w:t>, 28 FCC Rcd at 7214-15, para. 9 n.19.</w:t>
      </w:r>
    </w:p>
  </w:footnote>
  <w:footnote w:id="64">
    <w:p w:rsidR="000028AD" w:rsidRPr="000155DA" w:rsidRDefault="000028AD">
      <w:pPr>
        <w:pStyle w:val="FootnoteText"/>
      </w:pPr>
      <w:r w:rsidRPr="000155DA">
        <w:rPr>
          <w:rStyle w:val="FootnoteReference"/>
        </w:rPr>
        <w:footnoteRef/>
      </w:r>
      <w:r w:rsidRPr="000155DA">
        <w:t xml:space="preserve"> </w:t>
      </w:r>
      <w:r w:rsidRPr="000155DA">
        <w:rPr>
          <w:i/>
        </w:rPr>
        <w:t>Id</w:t>
      </w:r>
      <w:r w:rsidRPr="000155DA">
        <w:t>. at paras.  8-9.</w:t>
      </w:r>
    </w:p>
  </w:footnote>
  <w:footnote w:id="65">
    <w:p w:rsidR="004926D5" w:rsidRPr="000155DA" w:rsidRDefault="004926D5" w:rsidP="00E87AD4">
      <w:pPr>
        <w:pStyle w:val="FootnoteText"/>
        <w:spacing w:before="120"/>
      </w:pPr>
      <w:r w:rsidRPr="000155DA">
        <w:rPr>
          <w:rStyle w:val="FootnoteReference"/>
        </w:rPr>
        <w:footnoteRef/>
      </w:r>
      <w:r w:rsidRPr="000155DA">
        <w:t xml:space="preserve"> None of the respondents that asserted poverty as grounds for a waiver of the one customer requirement provided any specific factual information to demonstrate that the census blocks in question have a low average income level.  </w:t>
      </w:r>
    </w:p>
  </w:footnote>
  <w:footnote w:id="66">
    <w:p w:rsidR="004926D5" w:rsidRPr="000155DA" w:rsidRDefault="004926D5" w:rsidP="00E87AD4">
      <w:pPr>
        <w:widowControl/>
        <w:autoSpaceDE w:val="0"/>
        <w:autoSpaceDN w:val="0"/>
        <w:adjustRightInd w:val="0"/>
        <w:spacing w:before="120" w:after="120"/>
        <w:rPr>
          <w:snapToGrid/>
          <w:kern w:val="0"/>
          <w:sz w:val="20"/>
        </w:rPr>
      </w:pPr>
      <w:r w:rsidRPr="000155DA">
        <w:rPr>
          <w:rStyle w:val="FootnoteReference"/>
        </w:rPr>
        <w:footnoteRef/>
      </w:r>
      <w:r w:rsidRPr="000155DA">
        <w:rPr>
          <w:sz w:val="20"/>
        </w:rPr>
        <w:t xml:space="preserve"> </w:t>
      </w:r>
      <w:r w:rsidRPr="000155DA">
        <w:rPr>
          <w:i/>
          <w:sz w:val="20"/>
        </w:rPr>
        <w:t>See generally Opposition of CenturyLink to Further Petitions for Limited Waiver of CAF Phase II Evidentiary Requirement</w:t>
      </w:r>
      <w:r w:rsidRPr="000155DA">
        <w:rPr>
          <w:sz w:val="20"/>
        </w:rPr>
        <w:t>, WC Docket No. 14-93 (filed Nov. 20, 2014) (</w:t>
      </w:r>
      <w:r w:rsidRPr="000155DA">
        <w:rPr>
          <w:i/>
          <w:sz w:val="20"/>
        </w:rPr>
        <w:t>CenturyLink Opposition</w:t>
      </w:r>
      <w:r w:rsidRPr="000155DA">
        <w:rPr>
          <w:sz w:val="20"/>
        </w:rPr>
        <w:t xml:space="preserve">).        </w:t>
      </w:r>
    </w:p>
  </w:footnote>
  <w:footnote w:id="67">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CenturyLink</w:t>
      </w:r>
      <w:r w:rsidRPr="000155DA">
        <w:t xml:space="preserve"> </w:t>
      </w:r>
      <w:r w:rsidRPr="000155DA">
        <w:rPr>
          <w:i/>
        </w:rPr>
        <w:t xml:space="preserve">Opposition </w:t>
      </w:r>
      <w:r w:rsidRPr="000155DA">
        <w:t xml:space="preserve">at 4-6.  </w:t>
      </w:r>
    </w:p>
  </w:footnote>
  <w:footnote w:id="68">
    <w:p w:rsidR="004926D5" w:rsidRPr="000155DA" w:rsidRDefault="004926D5" w:rsidP="00E87AD4">
      <w:pPr>
        <w:spacing w:before="120" w:after="120"/>
        <w:rPr>
          <w:sz w:val="20"/>
        </w:rPr>
      </w:pPr>
      <w:r w:rsidRPr="000155DA">
        <w:rPr>
          <w:rStyle w:val="FootnoteReference"/>
        </w:rPr>
        <w:footnoteRef/>
      </w:r>
      <w:r w:rsidRPr="000155DA">
        <w:rPr>
          <w:sz w:val="20"/>
        </w:rPr>
        <w:t xml:space="preserve"> </w:t>
      </w:r>
      <w:r w:rsidRPr="000155DA">
        <w:rPr>
          <w:color w:val="000000"/>
          <w:sz w:val="20"/>
        </w:rPr>
        <w:t xml:space="preserve">We note that more than 25% of households </w:t>
      </w:r>
      <w:r w:rsidR="000028AD" w:rsidRPr="000155DA">
        <w:rPr>
          <w:color w:val="000000"/>
          <w:sz w:val="20"/>
        </w:rPr>
        <w:t xml:space="preserve">nationwide </w:t>
      </w:r>
      <w:r w:rsidRPr="000155DA">
        <w:rPr>
          <w:color w:val="000000"/>
          <w:sz w:val="20"/>
        </w:rPr>
        <w:t xml:space="preserve">do not subscribe to broadband. </w:t>
      </w:r>
      <w:r w:rsidRPr="000155DA">
        <w:rPr>
          <w:i/>
          <w:color w:val="000000"/>
          <w:sz w:val="20"/>
        </w:rPr>
        <w:t>See</w:t>
      </w:r>
      <w:r w:rsidRPr="000155DA">
        <w:rPr>
          <w:color w:val="000000"/>
          <w:sz w:val="20"/>
        </w:rPr>
        <w:t xml:space="preserve"> </w:t>
      </w:r>
      <w:r w:rsidRPr="000155DA">
        <w:rPr>
          <w:i/>
          <w:color w:val="000000"/>
          <w:sz w:val="20"/>
        </w:rPr>
        <w:t>Internet Access Services: Status as of December 31, 2013</w:t>
      </w:r>
      <w:r w:rsidRPr="000155DA">
        <w:rPr>
          <w:color w:val="000000"/>
          <w:sz w:val="20"/>
        </w:rPr>
        <w:t>, Report at 35, Table 14 (Wireline Comp. Bur. Oct. 2014) (showing subscribership of residential fixed connections for all states at about 72%), available at http://transition.fcc.gov/Daily_Releases/Daily_Business/2014/db1016/DOC-329973A1.pdf.  Thus, if a service provider has 100 census blocks with only one home each, you would expect it to have 25 census blocks, on average, in which there is no broadband subscription.  Additionally, some types of households are less likely to subscribe to broadband, making the chances of having no broadband subscription higher in areas with certain demographic characteristics.</w:t>
      </w:r>
      <w:r w:rsidRPr="000155DA">
        <w:rPr>
          <w:sz w:val="20"/>
        </w:rPr>
        <w:t xml:space="preserve"> If, for instance, there are only a few homes in a census block and they happen to be inhabited by elderly residents, the fact they do not subscribe to either voice or broadband from the competitor is not surprising, and the inability to identify a customer does not mean the competitor is not serving the census block.  Pew research indicates that broadband adoption is lower among certain groups, such as the elderly. </w:t>
      </w:r>
      <w:r w:rsidRPr="000155DA">
        <w:rPr>
          <w:i/>
          <w:sz w:val="20"/>
        </w:rPr>
        <w:t xml:space="preserve">See </w:t>
      </w:r>
      <w:hyperlink r:id="rId5" w:history="1">
        <w:r w:rsidRPr="000155DA">
          <w:rPr>
            <w:rStyle w:val="Hyperlink"/>
            <w:sz w:val="20"/>
          </w:rPr>
          <w:t>http://www.pewinternet.org/2014/04/03/usage-and-adoption/</w:t>
        </w:r>
      </w:hyperlink>
      <w:r w:rsidRPr="000155DA">
        <w:rPr>
          <w:color w:val="1F497D"/>
          <w:sz w:val="20"/>
        </w:rPr>
        <w:t xml:space="preserve"> or </w:t>
      </w:r>
      <w:hyperlink r:id="rId6" w:history="1">
        <w:r w:rsidRPr="000155DA">
          <w:rPr>
            <w:rStyle w:val="Hyperlink"/>
            <w:sz w:val="20"/>
          </w:rPr>
          <w:t>http://www.pewinternet.org/data-trend/internet-use/latest-stats/</w:t>
        </w:r>
      </w:hyperlink>
      <w:r w:rsidRPr="000155DA">
        <w:rPr>
          <w:color w:val="1F497D"/>
          <w:sz w:val="20"/>
        </w:rPr>
        <w:t xml:space="preserve">.  </w:t>
      </w:r>
    </w:p>
  </w:footnote>
  <w:footnote w:id="69">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CenturyLink Opposition</w:t>
      </w:r>
      <w:r w:rsidRPr="000155DA">
        <w:t xml:space="preserve"> at 6.</w:t>
      </w:r>
    </w:p>
  </w:footnote>
  <w:footnote w:id="70">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Service Electric Challenge Reply</w:t>
      </w:r>
      <w:r w:rsidRPr="000155DA">
        <w:t xml:space="preserve"> at 3-4.  </w:t>
      </w:r>
    </w:p>
  </w:footnote>
  <w:footnote w:id="7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Cox Waiver Request</w:t>
      </w:r>
      <w:r w:rsidRPr="000155DA">
        <w:t xml:space="preserve"> at 4-6.</w:t>
      </w:r>
    </w:p>
  </w:footnote>
  <w:footnote w:id="72">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Cox Waiver Request</w:t>
      </w:r>
      <w:r w:rsidRPr="000155DA">
        <w:t xml:space="preserve"> at 5-6.</w:t>
      </w:r>
    </w:p>
  </w:footnote>
  <w:footnote w:id="7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Cox Waiver Request</w:t>
      </w:r>
      <w:r w:rsidRPr="000155DA">
        <w:t xml:space="preserve"> at 4-5.</w:t>
      </w:r>
    </w:p>
  </w:footnote>
  <w:footnote w:id="74">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Cox Waiver Request</w:t>
      </w:r>
      <w:r w:rsidRPr="000155DA">
        <w:t xml:space="preserve"> at 4.</w:t>
      </w:r>
    </w:p>
  </w:footnote>
  <w:footnote w:id="7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Appendix B (this includes the requests for the Consolidate/Enventis proceeding).</w:t>
      </w:r>
    </w:p>
  </w:footnote>
  <w:footnote w:id="76">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Charter Waiver Request</w:t>
      </w:r>
      <w:r w:rsidRPr="000155DA">
        <w:t xml:space="preserve"> at 2-4. </w:t>
      </w:r>
      <w:r w:rsidRPr="000155DA">
        <w:rPr>
          <w:i/>
        </w:rPr>
        <w:t>See also Charter Petition for Limited Waiver of CAF Phase II Evidentiary Requirement</w:t>
      </w:r>
      <w:r w:rsidRPr="000155DA">
        <w:t>, WC Docket Nos. 10-90, 14-93 at 2-4 (filed Nov. 26, 2014)(</w:t>
      </w:r>
      <w:r w:rsidRPr="000155DA">
        <w:rPr>
          <w:i/>
        </w:rPr>
        <w:t>Charter Consolidated  Waiver Request</w:t>
      </w:r>
      <w:r w:rsidRPr="000155DA">
        <w:t>).</w:t>
      </w:r>
    </w:p>
  </w:footnote>
  <w:footnote w:id="77">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Charter Waiver Request</w:t>
      </w:r>
      <w:r w:rsidRPr="000155DA">
        <w:t xml:space="preserve"> at 4; </w:t>
      </w:r>
      <w:r w:rsidRPr="000155DA">
        <w:rPr>
          <w:i/>
        </w:rPr>
        <w:t>Charter Consolidated Waiver Request</w:t>
      </w:r>
      <w:r w:rsidRPr="000155DA">
        <w:t xml:space="preserve"> at 4.</w:t>
      </w:r>
    </w:p>
  </w:footnote>
  <w:footnote w:id="78">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Id</w:t>
      </w:r>
      <w:r w:rsidRPr="000155DA">
        <w:t>. (citing the Daley Declaration at 11).</w:t>
      </w:r>
    </w:p>
  </w:footnote>
  <w:footnote w:id="79">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Id</w:t>
      </w:r>
      <w:r w:rsidRPr="000155DA">
        <w:t>. (citing Daley Declaration at 11-12).</w:t>
      </w:r>
    </w:p>
  </w:footnote>
  <w:footnote w:id="80">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Id</w:t>
      </w:r>
      <w:r w:rsidRPr="000155DA">
        <w:t>. (citing Daley Declaration at 11).</w:t>
      </w:r>
    </w:p>
  </w:footnote>
  <w:footnote w:id="81">
    <w:p w:rsidR="004926D5" w:rsidRPr="000155DA" w:rsidRDefault="004926D5" w:rsidP="00E87AD4">
      <w:pPr>
        <w:pStyle w:val="FootnoteText"/>
        <w:spacing w:before="120"/>
      </w:pPr>
      <w:r w:rsidRPr="000155DA">
        <w:rPr>
          <w:rStyle w:val="FootnoteReference"/>
        </w:rPr>
        <w:footnoteRef/>
      </w:r>
      <w:r w:rsidRPr="000155DA">
        <w:t xml:space="preserve"> The Census Bureau publishes such information at </w:t>
      </w:r>
      <w:hyperlink r:id="rId7" w:history="1">
        <w:r w:rsidRPr="000155DA">
          <w:rPr>
            <w:rStyle w:val="Hyperlink"/>
          </w:rPr>
          <w:t>https://tigerweb.geo.census.gov/tigerweb/</w:t>
        </w:r>
      </w:hyperlink>
      <w:r w:rsidRPr="000155DA">
        <w:t>.</w:t>
      </w:r>
    </w:p>
  </w:footnote>
  <w:footnote w:id="82">
    <w:p w:rsidR="004926D5" w:rsidRPr="000155DA" w:rsidRDefault="004926D5" w:rsidP="00E87AD4">
      <w:pPr>
        <w:pStyle w:val="FootnoteText"/>
        <w:spacing w:before="120"/>
      </w:pPr>
      <w:r w:rsidRPr="000155DA">
        <w:rPr>
          <w:rStyle w:val="FootnoteReference"/>
        </w:rPr>
        <w:footnoteRef/>
      </w:r>
      <w:r w:rsidRPr="000155DA">
        <w:t xml:space="preserve"> The fact that Charter was responding to a large number of challenges is not grounds for holding it to a lesser evidentiary standard than the smaller providers who were able to provide such information for specific blocks.</w:t>
      </w:r>
    </w:p>
  </w:footnote>
  <w:footnote w:id="83">
    <w:p w:rsidR="004926D5" w:rsidRPr="000155DA" w:rsidRDefault="004926D5" w:rsidP="00AD74E7">
      <w:pPr>
        <w:pStyle w:val="FootnoteText"/>
      </w:pPr>
      <w:r w:rsidRPr="000155DA">
        <w:rPr>
          <w:rStyle w:val="FootnoteReference"/>
        </w:rPr>
        <w:footnoteRef/>
      </w:r>
      <w:r w:rsidRPr="000155DA">
        <w:t xml:space="preserve"> Charter provides 596 website marketing screen shots and 155 pages of mailed marketing flyers or letters to support its claim that it offers service, but provides such evidence for roughly only 1400 out of the more than 4,300 census blocks for which it seeks a waiver.</w:t>
      </w:r>
    </w:p>
  </w:footnote>
  <w:footnote w:id="84">
    <w:p w:rsidR="000028AD" w:rsidRPr="000155DA" w:rsidRDefault="000028AD" w:rsidP="000028AD">
      <w:pPr>
        <w:pStyle w:val="FootnoteText"/>
      </w:pPr>
      <w:r w:rsidRPr="000155DA">
        <w:rPr>
          <w:rStyle w:val="FootnoteReference"/>
        </w:rPr>
        <w:footnoteRef/>
      </w:r>
      <w:r w:rsidRPr="000155DA">
        <w:t xml:space="preserve"> Charter filed maps of its network plant for only 48 census blocks out of the more than 4,300 census blocks for which it seeks a waiver.  </w:t>
      </w:r>
    </w:p>
  </w:footnote>
  <w:footnote w:id="8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MetroCast Cablevision of New Hampire, LLC (MetroCast) Connect America Fund Phase II Challenge</w:t>
      </w:r>
      <w:r w:rsidRPr="000155DA">
        <w:t>, WC Docket Nos. 10-90, 14-93 at 1 (filed Oct. 17, 2014)(</w:t>
      </w:r>
      <w:r w:rsidRPr="000155DA">
        <w:rPr>
          <w:i/>
        </w:rPr>
        <w:t>MetroCast Challenge Reply</w:t>
      </w:r>
      <w:r w:rsidRPr="000155DA">
        <w:t>).</w:t>
      </w:r>
    </w:p>
  </w:footnote>
  <w:footnote w:id="86">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Prima Facie Public Notice</w:t>
      </w:r>
      <w:r w:rsidRPr="000155DA">
        <w:t>, 29 FCC Rcd at 11500.  These numbers</w:t>
      </w:r>
      <w:r w:rsidR="00416C80" w:rsidRPr="000155DA">
        <w:t xml:space="preserve"> also</w:t>
      </w:r>
      <w:r w:rsidRPr="000155DA">
        <w:t xml:space="preserve"> include census blocks at issue in the Consolidated/Enventis challenge proceeding, including any census blocks for which a waiver of the customer requirement was requested.  </w:t>
      </w:r>
    </w:p>
  </w:footnote>
  <w:footnote w:id="87">
    <w:p w:rsidR="004926D5" w:rsidRPr="000155DA" w:rsidRDefault="004926D5">
      <w:pPr>
        <w:pStyle w:val="FootnoteText"/>
      </w:pPr>
      <w:r w:rsidRPr="000155DA">
        <w:rPr>
          <w:rStyle w:val="FootnoteReference"/>
        </w:rPr>
        <w:footnoteRef/>
      </w:r>
      <w:r w:rsidRPr="000155DA">
        <w:t xml:space="preserve"> This number reflects the adjustment to remove the previously determined subsidized census blocks.</w:t>
      </w:r>
    </w:p>
  </w:footnote>
  <w:footnote w:id="88">
    <w:p w:rsidR="004926D5" w:rsidRPr="000155DA" w:rsidRDefault="004926D5" w:rsidP="00E87AD4">
      <w:pPr>
        <w:pStyle w:val="FootnoteText"/>
        <w:spacing w:before="120"/>
      </w:pPr>
      <w:r w:rsidRPr="000155DA">
        <w:rPr>
          <w:rStyle w:val="FootnoteReference"/>
        </w:rPr>
        <w:footnoteRef/>
      </w:r>
      <w:r w:rsidRPr="000155DA">
        <w:t xml:space="preserve"> </w:t>
      </w:r>
      <w:r w:rsidR="00416C80" w:rsidRPr="000155DA">
        <w:rPr>
          <w:i/>
        </w:rPr>
        <w:t>See Prima Facie Public Notice</w:t>
      </w:r>
      <w:r w:rsidR="00416C80" w:rsidRPr="000155DA">
        <w:t xml:space="preserve">, 29 FCC Rcd at </w:t>
      </w:r>
      <w:r w:rsidRPr="000155DA">
        <w:t>11498-500.  These numbers</w:t>
      </w:r>
      <w:r w:rsidR="00416C80" w:rsidRPr="000155DA">
        <w:t xml:space="preserve"> also</w:t>
      </w:r>
      <w:r w:rsidRPr="000155DA">
        <w:t xml:space="preserve"> include census blocks at issue in the Consolidated/Enventis challenge proceeding.</w:t>
      </w:r>
    </w:p>
  </w:footnote>
  <w:footnote w:id="89">
    <w:p w:rsidR="004926D5" w:rsidRPr="000155DA" w:rsidRDefault="004926D5">
      <w:pPr>
        <w:pStyle w:val="FootnoteText"/>
      </w:pPr>
      <w:r w:rsidRPr="000155DA">
        <w:rPr>
          <w:rStyle w:val="FootnoteReference"/>
        </w:rPr>
        <w:footnoteRef/>
      </w:r>
      <w:r w:rsidRPr="000155DA">
        <w:t xml:space="preserve"> This number reflects the adjustment to remove the previously determined subsidized census blocks.</w:t>
      </w:r>
    </w:p>
  </w:footnote>
  <w:footnote w:id="90">
    <w:p w:rsidR="004926D5" w:rsidRPr="000155DA" w:rsidRDefault="004926D5" w:rsidP="00E87AD4">
      <w:pPr>
        <w:pStyle w:val="FootnoteText"/>
        <w:spacing w:before="120"/>
      </w:pPr>
      <w:r w:rsidRPr="000155DA">
        <w:rPr>
          <w:rStyle w:val="FootnoteReference"/>
        </w:rPr>
        <w:footnoteRef/>
      </w:r>
      <w:r w:rsidRPr="000155DA">
        <w:t xml:space="preserve"> This figure includes those replies for which the respondent sought a waiver with respect to certain census blocks, discussed in the preceding section. </w:t>
      </w:r>
    </w:p>
  </w:footnote>
  <w:footnote w:id="9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Phase II Challenge Process Order</w:t>
      </w:r>
      <w:r w:rsidRPr="000155DA">
        <w:t xml:space="preserve">, 28 FCC Rcd at 7214-15, n.19.  For instance, we find persuasive Armstrong’s argument that Windstream’s porting analysis done over the last 12 months does not demonstrate an area is unserved, given that Armstrong began providing voice service in 2005, and the voice market therefore is relatively mature with little churn among voice subscribers. </w:t>
      </w:r>
      <w:r w:rsidRPr="000155DA">
        <w:rPr>
          <w:i/>
        </w:rPr>
        <w:t>See Armstrong Response to Price Cap LEC’s Served-to-Unserved Challenges Under Connect America fund Phase II</w:t>
      </w:r>
      <w:r w:rsidRPr="000155DA">
        <w:t>, WC Docket No. 14-93 at  Appendix 1 at 6 (filed Nov. 10, 2014)(</w:t>
      </w:r>
      <w:r w:rsidRPr="000155DA">
        <w:rPr>
          <w:i/>
        </w:rPr>
        <w:t>Armstrong Challenge Reply</w:t>
      </w:r>
      <w:r w:rsidRPr="000155DA">
        <w:t xml:space="preserve">). </w:t>
      </w:r>
    </w:p>
  </w:footnote>
  <w:footnote w:id="92">
    <w:p w:rsidR="004926D5" w:rsidRPr="000155DA" w:rsidRDefault="004926D5" w:rsidP="00E87AD4">
      <w:pPr>
        <w:pStyle w:val="FootnoteText"/>
        <w:spacing w:before="120"/>
      </w:pPr>
      <w:r w:rsidRPr="000155DA">
        <w:rPr>
          <w:rStyle w:val="FootnoteReference"/>
        </w:rPr>
        <w:footnoteRef/>
      </w:r>
      <w:r w:rsidRPr="000155DA">
        <w:t xml:space="preserve"> For instance, we find persuasive the argument that Windstream’s analysis of IP traffic is not indicative of whether a service provider has customers because assigned IP addresses in the ARIN database are not associated with particular census blocks but rather with one or more centralized locations for the service provider. </w:t>
      </w:r>
      <w:r w:rsidRPr="000155DA">
        <w:rPr>
          <w:i/>
        </w:rPr>
        <w:t xml:space="preserve">Armstrong Challenge Reply </w:t>
      </w:r>
      <w:r w:rsidRPr="000155DA">
        <w:t>at Appendix 1 p.7; Reply of TV Service, Inc. to Census Block Challenge by Windstream Corporation, WC Docket No. 14-93at 4 (filed Nov. 10, 2014).</w:t>
      </w:r>
    </w:p>
  </w:footnote>
  <w:footnote w:id="9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Phase II Challenge Process Order</w:t>
      </w:r>
      <w:r w:rsidRPr="000155DA">
        <w:t>, 28 FCC Rcd at 7215-16, n.24 (noting that reporting of voice subscribers on FCC Form 477 is not necessarily probative of whether a company is actually providing service in a particular census block).</w:t>
      </w:r>
    </w:p>
  </w:footnote>
  <w:footnote w:id="94">
    <w:p w:rsidR="004926D5" w:rsidRPr="000155DA" w:rsidRDefault="004926D5" w:rsidP="00E87AD4">
      <w:pPr>
        <w:pStyle w:val="FootnoteText"/>
        <w:spacing w:before="120"/>
      </w:pPr>
      <w:r w:rsidRPr="000155DA">
        <w:rPr>
          <w:rStyle w:val="FootnoteReference"/>
        </w:rPr>
        <w:footnoteRef/>
      </w:r>
      <w:r w:rsidRPr="000155DA">
        <w:t xml:space="preserve"> As we recognized in the Phase I challenge process, parties face criminal penalties for knowingly and willingly making materially false, fictitious, or fraudulent statements or representations on official matters before the Commission.  18 U.S.C. §1001.  </w:t>
      </w:r>
      <w:r w:rsidRPr="000155DA">
        <w:rPr>
          <w:i/>
        </w:rPr>
        <w:t>See also</w:t>
      </w:r>
      <w:r w:rsidRPr="000155DA">
        <w:t xml:space="preserve"> </w:t>
      </w:r>
      <w:r w:rsidRPr="000155DA">
        <w:rPr>
          <w:i/>
        </w:rPr>
        <w:t xml:space="preserve">Connect America Fund, </w:t>
      </w:r>
      <w:r w:rsidRPr="000155DA">
        <w:t>WC Docket No. 10-90, Order, 29 FCC Rcd 181, 185, para. 12 (Wireline Comp. Bur. 2014) (</w:t>
      </w:r>
      <w:r w:rsidRPr="000155DA">
        <w:rPr>
          <w:i/>
        </w:rPr>
        <w:t>Phase I Challenge Order</w:t>
      </w:r>
      <w:r w:rsidRPr="000155DA">
        <w:t>)(a certification alone is enough to support a determination that it is more likely than not that a census block is served).</w:t>
      </w:r>
    </w:p>
  </w:footnote>
  <w:footnote w:id="95">
    <w:p w:rsidR="004926D5" w:rsidRPr="000155DA" w:rsidRDefault="004926D5" w:rsidP="00E87AD4">
      <w:pPr>
        <w:pStyle w:val="FootnoteText"/>
        <w:spacing w:before="120"/>
      </w:pPr>
      <w:r w:rsidRPr="000155DA">
        <w:rPr>
          <w:rStyle w:val="FootnoteReference"/>
        </w:rPr>
        <w:footnoteRef/>
      </w:r>
      <w:r w:rsidRPr="000155DA">
        <w:t xml:space="preserve"> Third-party data sources, such as GeoResults or the TomTom U.S. Address Point database, themselves may contain faulty information in particular instances, so there is no reason to provide greater weight to such information than to a submission regarding a service provider’s own network.</w:t>
      </w:r>
    </w:p>
  </w:footnote>
  <w:footnote w:id="96">
    <w:p w:rsidR="004926D5" w:rsidRPr="000155DA" w:rsidRDefault="004926D5" w:rsidP="00E87AD4">
      <w:pPr>
        <w:pStyle w:val="FootnoteText"/>
        <w:spacing w:before="120"/>
      </w:pPr>
      <w:r w:rsidRPr="000155DA">
        <w:rPr>
          <w:rStyle w:val="FootnoteReference"/>
        </w:rPr>
        <w:footnoteRef/>
      </w:r>
      <w:r w:rsidRPr="000155DA">
        <w:t xml:space="preserve"> The following types of evidence were submitted in support of arguments that a census block should be treated as unserved:  the challenger searched the service provider’s website and could not find information that the offered service met the speed, usage and pricing requirements; the challenger searched the service provider’s online service availability tool, with no service availability for addresses in the census block; an unsubsidized competitor’s served addresses were not found in the TomTom U.S. Address Point database; no telephone numbers were ported to the census block; there was no evidence of IP traffic in the census block; the fixed service provider was not in the census block according to GeoResults; a provider did not appear in the ALI database; an entity did not file the annual CPNI certification; service was not reported on the provider’s FCC Form 477 or 499; unsubstantiated maps purporting to show a provider did not serve an area; and declarations without any additional evidence that the purported competitor did not serve the area.</w:t>
      </w:r>
    </w:p>
  </w:footnote>
  <w:footnote w:id="97">
    <w:p w:rsidR="004926D5" w:rsidRPr="000155DA" w:rsidRDefault="004926D5" w:rsidP="001D7047">
      <w:pPr>
        <w:rPr>
          <w:color w:val="0000FF"/>
          <w:sz w:val="20"/>
          <w:u w:val="single"/>
        </w:rPr>
      </w:pPr>
      <w:r w:rsidRPr="000155DA">
        <w:rPr>
          <w:rStyle w:val="FootnoteReference"/>
        </w:rPr>
        <w:footnoteRef/>
      </w:r>
      <w:r w:rsidRPr="000155DA">
        <w:rPr>
          <w:sz w:val="20"/>
        </w:rPr>
        <w:t xml:space="preserve"> </w:t>
      </w:r>
      <w:r w:rsidRPr="000155DA">
        <w:rPr>
          <w:i/>
          <w:sz w:val="20"/>
        </w:rPr>
        <w:t>See</w:t>
      </w:r>
      <w:r w:rsidRPr="000155DA">
        <w:rPr>
          <w:sz w:val="20"/>
        </w:rPr>
        <w:t xml:space="preserve"> Appendix A, available at </w:t>
      </w:r>
      <w:hyperlink r:id="rId8" w:history="1">
        <w:r w:rsidRPr="000155DA">
          <w:rPr>
            <w:rStyle w:val="Hyperlink"/>
            <w:sz w:val="20"/>
          </w:rPr>
          <w:t xml:space="preserve">http://www.fcc.gov/wcb/CAF II Challenge App A.zip </w:t>
        </w:r>
      </w:hyperlink>
      <w:r w:rsidRPr="000155DA">
        <w:rPr>
          <w:sz w:val="20"/>
        </w:rPr>
        <w:t xml:space="preserve"> (identifying census blocks for 24 entities).</w:t>
      </w:r>
    </w:p>
  </w:footnote>
  <w:footnote w:id="98">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id</w:t>
      </w:r>
      <w:r w:rsidRPr="000155DA">
        <w:t xml:space="preserve">. (identifying census blocks for </w:t>
      </w:r>
      <w:r w:rsidR="001B486D">
        <w:t>6</w:t>
      </w:r>
      <w:r w:rsidR="00A7242C">
        <w:t xml:space="preserve"> </w:t>
      </w:r>
      <w:r w:rsidRPr="000155DA">
        <w:t>entities).</w:t>
      </w:r>
    </w:p>
  </w:footnote>
  <w:footnote w:id="99">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id</w:t>
      </w:r>
      <w:r w:rsidRPr="000155DA">
        <w:t xml:space="preserve">. (identifying census blocks for </w:t>
      </w:r>
      <w:r w:rsidR="001B486D">
        <w:t>50</w:t>
      </w:r>
      <w:r w:rsidR="00A7242C">
        <w:t xml:space="preserve"> </w:t>
      </w:r>
      <w:r w:rsidRPr="000155DA">
        <w:t>entities).</w:t>
      </w:r>
    </w:p>
  </w:footnote>
  <w:footnote w:id="100">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id</w:t>
      </w:r>
      <w:r w:rsidRPr="000155DA">
        <w:t>. (identifying census blocks for 3 entities).</w:t>
      </w:r>
    </w:p>
  </w:footnote>
  <w:footnote w:id="101">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Challenge Process Guidance Public Notice</w:t>
      </w:r>
      <w:r w:rsidRPr="000155DA">
        <w:t xml:space="preserve">, 29 FCC Rcd at 7509-10 (discussing the Bureau’s consideration of factual statements).  </w:t>
      </w:r>
    </w:p>
  </w:footnote>
  <w:footnote w:id="102">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supra</w:t>
      </w:r>
      <w:r w:rsidRPr="000155DA">
        <w:t xml:space="preserve"> n.40.</w:t>
      </w:r>
    </w:p>
  </w:footnote>
  <w:footnote w:id="103">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 Challenge Process Guidance Public Notice</w:t>
      </w:r>
      <w:r w:rsidRPr="000155DA">
        <w:t>, 29 FCC Rcd at 7508, para. 10 n.20 (discussing the consequences for misrepresentation or lack of candor in statements made to the Commission).</w:t>
      </w:r>
    </w:p>
  </w:footnote>
  <w:footnote w:id="104">
    <w:p w:rsidR="004926D5" w:rsidRPr="000155DA" w:rsidRDefault="004926D5" w:rsidP="001D7047">
      <w:pPr>
        <w:rPr>
          <w:sz w:val="20"/>
        </w:rPr>
      </w:pPr>
      <w:r w:rsidRPr="000155DA">
        <w:rPr>
          <w:rStyle w:val="FootnoteReference"/>
        </w:rPr>
        <w:footnoteRef/>
      </w:r>
      <w:r w:rsidRPr="000155DA">
        <w:rPr>
          <w:sz w:val="20"/>
        </w:rPr>
        <w:t xml:space="preserve"> </w:t>
      </w:r>
      <w:r w:rsidRPr="000155DA">
        <w:rPr>
          <w:i/>
          <w:sz w:val="20"/>
        </w:rPr>
        <w:t>See</w:t>
      </w:r>
      <w:r w:rsidRPr="000155DA">
        <w:rPr>
          <w:sz w:val="20"/>
        </w:rPr>
        <w:t xml:space="preserve"> Appendix A, available at </w:t>
      </w:r>
      <w:hyperlink r:id="rId9" w:history="1">
        <w:r w:rsidRPr="000155DA">
          <w:rPr>
            <w:rStyle w:val="Hyperlink"/>
            <w:sz w:val="20"/>
          </w:rPr>
          <w:t xml:space="preserve">http://www.fcc.gov/wcb/CAF II Challenge App A.zip </w:t>
        </w:r>
      </w:hyperlink>
      <w:r w:rsidRPr="000155DA">
        <w:rPr>
          <w:sz w:val="20"/>
        </w:rPr>
        <w:t xml:space="preserve"> (identifying census blocks for 14 entities).</w:t>
      </w:r>
    </w:p>
  </w:footnote>
  <w:footnote w:id="105">
    <w:p w:rsidR="004926D5" w:rsidRPr="000155DA" w:rsidRDefault="004926D5" w:rsidP="00E87AD4">
      <w:pPr>
        <w:pStyle w:val="FootnoteText"/>
        <w:spacing w:before="120"/>
      </w:pPr>
      <w:r w:rsidRPr="000155DA">
        <w:rPr>
          <w:rStyle w:val="FootnoteReference"/>
        </w:rPr>
        <w:footnoteRef/>
      </w:r>
      <w:r w:rsidRPr="000155DA">
        <w:t xml:space="preserve"> </w:t>
      </w:r>
      <w:r w:rsidRPr="000155DA">
        <w:rPr>
          <w:i/>
        </w:rPr>
        <w:t>See</w:t>
      </w:r>
      <w:r w:rsidRPr="000155DA">
        <w:t xml:space="preserve"> </w:t>
      </w:r>
      <w:r w:rsidRPr="000155DA">
        <w:rPr>
          <w:i/>
        </w:rPr>
        <w:t>id</w:t>
      </w:r>
      <w:r w:rsidRPr="000155DA">
        <w:t xml:space="preserve">. (identifying census blocks for </w:t>
      </w:r>
      <w:r w:rsidR="001B486D">
        <w:t>10</w:t>
      </w:r>
      <w:r w:rsidR="001B486D" w:rsidRPr="000155DA">
        <w:t xml:space="preserve"> </w:t>
      </w:r>
      <w:r w:rsidRPr="000155DA">
        <w:t>entities).</w:t>
      </w:r>
    </w:p>
  </w:footnote>
  <w:footnote w:id="106">
    <w:p w:rsidR="004926D5" w:rsidRPr="000155DA" w:rsidRDefault="004926D5" w:rsidP="00E87AD4">
      <w:pPr>
        <w:pStyle w:val="FootnoteText"/>
        <w:spacing w:before="120"/>
      </w:pPr>
      <w:r w:rsidRPr="000155DA">
        <w:rPr>
          <w:rStyle w:val="FootnoteReference"/>
        </w:rPr>
        <w:footnoteRef/>
      </w:r>
      <w:r w:rsidRPr="000155DA">
        <w:t xml:space="preserve"> This request was made in the Consolidated/Enventis proceeding, which had a deadline of Dec. 2, 2104.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3D" w:rsidRDefault="002D7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810B6F">
    <w:pPr>
      <w:pStyle w:val="Header"/>
      <w:rPr>
        <w:b w:val="0"/>
      </w:rPr>
    </w:pPr>
    <w:r>
      <w:tab/>
      <w:t>Federal Communications Commission</w:t>
    </w:r>
    <w:r>
      <w:tab/>
      <w:t>DA 15-383</w:t>
    </w:r>
  </w:p>
  <w:p w:rsidR="004926D5" w:rsidRDefault="004926D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F65A31F" wp14:editId="292FBE5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926D5" w:rsidRDefault="004926D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15-383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E898956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DA"/>
    <w:rsid w:val="000011BB"/>
    <w:rsid w:val="000020EE"/>
    <w:rsid w:val="000028AD"/>
    <w:rsid w:val="00004ED4"/>
    <w:rsid w:val="0000550A"/>
    <w:rsid w:val="0000613B"/>
    <w:rsid w:val="000154CC"/>
    <w:rsid w:val="000155DA"/>
    <w:rsid w:val="00015D75"/>
    <w:rsid w:val="00016350"/>
    <w:rsid w:val="000174AD"/>
    <w:rsid w:val="000179C7"/>
    <w:rsid w:val="00024DD0"/>
    <w:rsid w:val="00024EF5"/>
    <w:rsid w:val="00025F3C"/>
    <w:rsid w:val="0002743E"/>
    <w:rsid w:val="0003136C"/>
    <w:rsid w:val="00032FC1"/>
    <w:rsid w:val="00033927"/>
    <w:rsid w:val="00033A4A"/>
    <w:rsid w:val="00033E9D"/>
    <w:rsid w:val="00036039"/>
    <w:rsid w:val="00037727"/>
    <w:rsid w:val="000379FE"/>
    <w:rsid w:val="00037F90"/>
    <w:rsid w:val="00042146"/>
    <w:rsid w:val="000452FA"/>
    <w:rsid w:val="000468E8"/>
    <w:rsid w:val="000576C7"/>
    <w:rsid w:val="000619A7"/>
    <w:rsid w:val="0006394D"/>
    <w:rsid w:val="000657FF"/>
    <w:rsid w:val="00065F6A"/>
    <w:rsid w:val="00066A21"/>
    <w:rsid w:val="00071F44"/>
    <w:rsid w:val="00072052"/>
    <w:rsid w:val="000727A7"/>
    <w:rsid w:val="000730CB"/>
    <w:rsid w:val="00073C92"/>
    <w:rsid w:val="00077493"/>
    <w:rsid w:val="0008022C"/>
    <w:rsid w:val="00085164"/>
    <w:rsid w:val="000875BF"/>
    <w:rsid w:val="00090B02"/>
    <w:rsid w:val="00091C67"/>
    <w:rsid w:val="000930B3"/>
    <w:rsid w:val="00094D8F"/>
    <w:rsid w:val="00096548"/>
    <w:rsid w:val="00096D8C"/>
    <w:rsid w:val="00097374"/>
    <w:rsid w:val="000A16A5"/>
    <w:rsid w:val="000A27E9"/>
    <w:rsid w:val="000A491A"/>
    <w:rsid w:val="000A719B"/>
    <w:rsid w:val="000A78CC"/>
    <w:rsid w:val="000B17B6"/>
    <w:rsid w:val="000B1F14"/>
    <w:rsid w:val="000B660E"/>
    <w:rsid w:val="000C00BA"/>
    <w:rsid w:val="000C0B65"/>
    <w:rsid w:val="000C1CEC"/>
    <w:rsid w:val="000C6E51"/>
    <w:rsid w:val="000D0045"/>
    <w:rsid w:val="000D5364"/>
    <w:rsid w:val="000D576B"/>
    <w:rsid w:val="000E05FE"/>
    <w:rsid w:val="000E250F"/>
    <w:rsid w:val="000E3378"/>
    <w:rsid w:val="000E3D42"/>
    <w:rsid w:val="000E4077"/>
    <w:rsid w:val="000E4832"/>
    <w:rsid w:val="000E50B7"/>
    <w:rsid w:val="000E7736"/>
    <w:rsid w:val="000F0C0C"/>
    <w:rsid w:val="000F1F0A"/>
    <w:rsid w:val="000F3C84"/>
    <w:rsid w:val="000F3CAF"/>
    <w:rsid w:val="000F522B"/>
    <w:rsid w:val="000F74D5"/>
    <w:rsid w:val="00106D8E"/>
    <w:rsid w:val="001072BF"/>
    <w:rsid w:val="00107F45"/>
    <w:rsid w:val="00111713"/>
    <w:rsid w:val="001129C8"/>
    <w:rsid w:val="00112D97"/>
    <w:rsid w:val="00121123"/>
    <w:rsid w:val="00121134"/>
    <w:rsid w:val="00122BD5"/>
    <w:rsid w:val="00124B94"/>
    <w:rsid w:val="001277D2"/>
    <w:rsid w:val="0013273C"/>
    <w:rsid w:val="00133F79"/>
    <w:rsid w:val="00137754"/>
    <w:rsid w:val="00140742"/>
    <w:rsid w:val="001412B2"/>
    <w:rsid w:val="001416C5"/>
    <w:rsid w:val="00142413"/>
    <w:rsid w:val="0014744E"/>
    <w:rsid w:val="00151079"/>
    <w:rsid w:val="00154E9E"/>
    <w:rsid w:val="00156536"/>
    <w:rsid w:val="00156C0B"/>
    <w:rsid w:val="00161A8F"/>
    <w:rsid w:val="00163AED"/>
    <w:rsid w:val="00164A9A"/>
    <w:rsid w:val="00167660"/>
    <w:rsid w:val="00170B39"/>
    <w:rsid w:val="00172529"/>
    <w:rsid w:val="00173E69"/>
    <w:rsid w:val="00177982"/>
    <w:rsid w:val="00182E79"/>
    <w:rsid w:val="00183B78"/>
    <w:rsid w:val="00186590"/>
    <w:rsid w:val="001919FD"/>
    <w:rsid w:val="00194A66"/>
    <w:rsid w:val="00196091"/>
    <w:rsid w:val="001978E9"/>
    <w:rsid w:val="00197CE3"/>
    <w:rsid w:val="001A152E"/>
    <w:rsid w:val="001A3C1F"/>
    <w:rsid w:val="001A49BD"/>
    <w:rsid w:val="001A52D5"/>
    <w:rsid w:val="001B227A"/>
    <w:rsid w:val="001B2672"/>
    <w:rsid w:val="001B43EC"/>
    <w:rsid w:val="001B486D"/>
    <w:rsid w:val="001C38DF"/>
    <w:rsid w:val="001C3CFF"/>
    <w:rsid w:val="001C76C1"/>
    <w:rsid w:val="001D2C4B"/>
    <w:rsid w:val="001D6BCF"/>
    <w:rsid w:val="001D6E23"/>
    <w:rsid w:val="001D7047"/>
    <w:rsid w:val="001D7C03"/>
    <w:rsid w:val="001E01CA"/>
    <w:rsid w:val="001E3410"/>
    <w:rsid w:val="001E3E9A"/>
    <w:rsid w:val="001E49AC"/>
    <w:rsid w:val="001E59A0"/>
    <w:rsid w:val="001E7A25"/>
    <w:rsid w:val="001F6663"/>
    <w:rsid w:val="001F6699"/>
    <w:rsid w:val="001F67B0"/>
    <w:rsid w:val="00201129"/>
    <w:rsid w:val="00202275"/>
    <w:rsid w:val="00202D3C"/>
    <w:rsid w:val="0020505F"/>
    <w:rsid w:val="00206C59"/>
    <w:rsid w:val="00211F0B"/>
    <w:rsid w:val="00215700"/>
    <w:rsid w:val="002160A1"/>
    <w:rsid w:val="00216272"/>
    <w:rsid w:val="00216BC0"/>
    <w:rsid w:val="00221086"/>
    <w:rsid w:val="00221B6D"/>
    <w:rsid w:val="00222889"/>
    <w:rsid w:val="0022337E"/>
    <w:rsid w:val="0022461A"/>
    <w:rsid w:val="00230B91"/>
    <w:rsid w:val="00230E28"/>
    <w:rsid w:val="002313A9"/>
    <w:rsid w:val="00233651"/>
    <w:rsid w:val="002374B8"/>
    <w:rsid w:val="00242AE1"/>
    <w:rsid w:val="002446EC"/>
    <w:rsid w:val="00254082"/>
    <w:rsid w:val="00256A76"/>
    <w:rsid w:val="002620E4"/>
    <w:rsid w:val="002654A9"/>
    <w:rsid w:val="002657CD"/>
    <w:rsid w:val="00267D09"/>
    <w:rsid w:val="00270FE4"/>
    <w:rsid w:val="00271416"/>
    <w:rsid w:val="00272460"/>
    <w:rsid w:val="00275CF5"/>
    <w:rsid w:val="00275FA0"/>
    <w:rsid w:val="0028301F"/>
    <w:rsid w:val="00284962"/>
    <w:rsid w:val="00285017"/>
    <w:rsid w:val="00295A96"/>
    <w:rsid w:val="00297817"/>
    <w:rsid w:val="002A05C4"/>
    <w:rsid w:val="002A1AC1"/>
    <w:rsid w:val="002A2D2E"/>
    <w:rsid w:val="002A5112"/>
    <w:rsid w:val="002A5A6C"/>
    <w:rsid w:val="002A7189"/>
    <w:rsid w:val="002A74F3"/>
    <w:rsid w:val="002A785C"/>
    <w:rsid w:val="002C00E8"/>
    <w:rsid w:val="002C0358"/>
    <w:rsid w:val="002C0D6A"/>
    <w:rsid w:val="002C258A"/>
    <w:rsid w:val="002C581A"/>
    <w:rsid w:val="002D7D3D"/>
    <w:rsid w:val="002E2877"/>
    <w:rsid w:val="002E3521"/>
    <w:rsid w:val="002F1205"/>
    <w:rsid w:val="002F3CAC"/>
    <w:rsid w:val="002F4C15"/>
    <w:rsid w:val="002F70BE"/>
    <w:rsid w:val="003044C0"/>
    <w:rsid w:val="00310A44"/>
    <w:rsid w:val="00312B35"/>
    <w:rsid w:val="00317432"/>
    <w:rsid w:val="00317A95"/>
    <w:rsid w:val="003237EB"/>
    <w:rsid w:val="00325FCA"/>
    <w:rsid w:val="00327AAE"/>
    <w:rsid w:val="00327B8C"/>
    <w:rsid w:val="00330A93"/>
    <w:rsid w:val="003311DB"/>
    <w:rsid w:val="0034137A"/>
    <w:rsid w:val="00342DBF"/>
    <w:rsid w:val="00343749"/>
    <w:rsid w:val="00344079"/>
    <w:rsid w:val="003457F7"/>
    <w:rsid w:val="00345F9A"/>
    <w:rsid w:val="00347479"/>
    <w:rsid w:val="00352EC6"/>
    <w:rsid w:val="00361444"/>
    <w:rsid w:val="00365616"/>
    <w:rsid w:val="003660ED"/>
    <w:rsid w:val="00366D6B"/>
    <w:rsid w:val="00371932"/>
    <w:rsid w:val="00371972"/>
    <w:rsid w:val="00373CF3"/>
    <w:rsid w:val="003770AB"/>
    <w:rsid w:val="00377EAD"/>
    <w:rsid w:val="0038004A"/>
    <w:rsid w:val="003820EC"/>
    <w:rsid w:val="00387B0E"/>
    <w:rsid w:val="003906DD"/>
    <w:rsid w:val="003908C6"/>
    <w:rsid w:val="00390A31"/>
    <w:rsid w:val="003923ED"/>
    <w:rsid w:val="0039497A"/>
    <w:rsid w:val="003956E2"/>
    <w:rsid w:val="00397047"/>
    <w:rsid w:val="00397744"/>
    <w:rsid w:val="003A02F5"/>
    <w:rsid w:val="003A2421"/>
    <w:rsid w:val="003A632F"/>
    <w:rsid w:val="003A689E"/>
    <w:rsid w:val="003A6A64"/>
    <w:rsid w:val="003B0550"/>
    <w:rsid w:val="003B0B56"/>
    <w:rsid w:val="003B2845"/>
    <w:rsid w:val="003B5C0A"/>
    <w:rsid w:val="003B67CB"/>
    <w:rsid w:val="003B694F"/>
    <w:rsid w:val="003B7E7E"/>
    <w:rsid w:val="003C0E23"/>
    <w:rsid w:val="003C35BD"/>
    <w:rsid w:val="003C5288"/>
    <w:rsid w:val="003C5959"/>
    <w:rsid w:val="003C59DE"/>
    <w:rsid w:val="003D0772"/>
    <w:rsid w:val="003D0B22"/>
    <w:rsid w:val="003D377B"/>
    <w:rsid w:val="003D5F88"/>
    <w:rsid w:val="003D73CE"/>
    <w:rsid w:val="003D797B"/>
    <w:rsid w:val="003E056F"/>
    <w:rsid w:val="003E1D3A"/>
    <w:rsid w:val="003E205F"/>
    <w:rsid w:val="003E4D94"/>
    <w:rsid w:val="003E6A38"/>
    <w:rsid w:val="003E76B4"/>
    <w:rsid w:val="003E7775"/>
    <w:rsid w:val="003E77BE"/>
    <w:rsid w:val="003E7AA3"/>
    <w:rsid w:val="003F171C"/>
    <w:rsid w:val="003F23E2"/>
    <w:rsid w:val="003F2703"/>
    <w:rsid w:val="003F6C97"/>
    <w:rsid w:val="003F6F0C"/>
    <w:rsid w:val="00400906"/>
    <w:rsid w:val="00400C90"/>
    <w:rsid w:val="0040175E"/>
    <w:rsid w:val="00402C9C"/>
    <w:rsid w:val="00406D9C"/>
    <w:rsid w:val="00407CF2"/>
    <w:rsid w:val="00412FC5"/>
    <w:rsid w:val="00413DF5"/>
    <w:rsid w:val="00414970"/>
    <w:rsid w:val="00416C80"/>
    <w:rsid w:val="00422276"/>
    <w:rsid w:val="004227A6"/>
    <w:rsid w:val="004242F1"/>
    <w:rsid w:val="004260A8"/>
    <w:rsid w:val="004335F8"/>
    <w:rsid w:val="004336D2"/>
    <w:rsid w:val="00445A00"/>
    <w:rsid w:val="0044608A"/>
    <w:rsid w:val="00450765"/>
    <w:rsid w:val="00451B0F"/>
    <w:rsid w:val="004555DF"/>
    <w:rsid w:val="00456FA4"/>
    <w:rsid w:val="00461333"/>
    <w:rsid w:val="00462915"/>
    <w:rsid w:val="00463D86"/>
    <w:rsid w:val="00465B13"/>
    <w:rsid w:val="00471CDD"/>
    <w:rsid w:val="00471F7B"/>
    <w:rsid w:val="004722C9"/>
    <w:rsid w:val="004737F7"/>
    <w:rsid w:val="00474D26"/>
    <w:rsid w:val="004806E0"/>
    <w:rsid w:val="00485C1B"/>
    <w:rsid w:val="004901CF"/>
    <w:rsid w:val="0049174B"/>
    <w:rsid w:val="004926D5"/>
    <w:rsid w:val="00492CDF"/>
    <w:rsid w:val="004947D2"/>
    <w:rsid w:val="004A2705"/>
    <w:rsid w:val="004A38C2"/>
    <w:rsid w:val="004B4837"/>
    <w:rsid w:val="004B4926"/>
    <w:rsid w:val="004C0351"/>
    <w:rsid w:val="004C1799"/>
    <w:rsid w:val="004C1F00"/>
    <w:rsid w:val="004C2EE3"/>
    <w:rsid w:val="004C741C"/>
    <w:rsid w:val="004D63EF"/>
    <w:rsid w:val="004D658C"/>
    <w:rsid w:val="004E358A"/>
    <w:rsid w:val="004E4A22"/>
    <w:rsid w:val="004E5066"/>
    <w:rsid w:val="004E556A"/>
    <w:rsid w:val="004E74BE"/>
    <w:rsid w:val="004F2A8A"/>
    <w:rsid w:val="004F688D"/>
    <w:rsid w:val="004F7FD8"/>
    <w:rsid w:val="005019C6"/>
    <w:rsid w:val="005059F9"/>
    <w:rsid w:val="00510AFB"/>
    <w:rsid w:val="00511968"/>
    <w:rsid w:val="005135FE"/>
    <w:rsid w:val="00514409"/>
    <w:rsid w:val="00514518"/>
    <w:rsid w:val="005149B9"/>
    <w:rsid w:val="005203D7"/>
    <w:rsid w:val="00524DCB"/>
    <w:rsid w:val="00526057"/>
    <w:rsid w:val="0052694D"/>
    <w:rsid w:val="005304F5"/>
    <w:rsid w:val="0053789B"/>
    <w:rsid w:val="00544E78"/>
    <w:rsid w:val="00544FB9"/>
    <w:rsid w:val="00546762"/>
    <w:rsid w:val="00550579"/>
    <w:rsid w:val="00551DDE"/>
    <w:rsid w:val="00552606"/>
    <w:rsid w:val="0055497C"/>
    <w:rsid w:val="0055515A"/>
    <w:rsid w:val="0055614C"/>
    <w:rsid w:val="005562C1"/>
    <w:rsid w:val="005571CC"/>
    <w:rsid w:val="00560A92"/>
    <w:rsid w:val="00561C0D"/>
    <w:rsid w:val="00566E01"/>
    <w:rsid w:val="0057190F"/>
    <w:rsid w:val="0057732D"/>
    <w:rsid w:val="00583B2E"/>
    <w:rsid w:val="00586358"/>
    <w:rsid w:val="005909EA"/>
    <w:rsid w:val="005912F2"/>
    <w:rsid w:val="00594389"/>
    <w:rsid w:val="00594485"/>
    <w:rsid w:val="00594D58"/>
    <w:rsid w:val="00595025"/>
    <w:rsid w:val="00596E31"/>
    <w:rsid w:val="00597558"/>
    <w:rsid w:val="0059779B"/>
    <w:rsid w:val="005A122C"/>
    <w:rsid w:val="005A1757"/>
    <w:rsid w:val="005A77C9"/>
    <w:rsid w:val="005B075E"/>
    <w:rsid w:val="005B1E62"/>
    <w:rsid w:val="005B390D"/>
    <w:rsid w:val="005B39F9"/>
    <w:rsid w:val="005B426B"/>
    <w:rsid w:val="005B4EA9"/>
    <w:rsid w:val="005C3652"/>
    <w:rsid w:val="005C49AA"/>
    <w:rsid w:val="005C7602"/>
    <w:rsid w:val="005D4A84"/>
    <w:rsid w:val="005D5B47"/>
    <w:rsid w:val="005D5B50"/>
    <w:rsid w:val="005E14C2"/>
    <w:rsid w:val="005E7417"/>
    <w:rsid w:val="005F31F4"/>
    <w:rsid w:val="005F33D8"/>
    <w:rsid w:val="005F3EFB"/>
    <w:rsid w:val="005F4AD8"/>
    <w:rsid w:val="005F6697"/>
    <w:rsid w:val="005F6718"/>
    <w:rsid w:val="006023F2"/>
    <w:rsid w:val="006027AB"/>
    <w:rsid w:val="00602B33"/>
    <w:rsid w:val="00603BF4"/>
    <w:rsid w:val="00605813"/>
    <w:rsid w:val="00606762"/>
    <w:rsid w:val="00607BA5"/>
    <w:rsid w:val="0061180A"/>
    <w:rsid w:val="00614E2C"/>
    <w:rsid w:val="006177D7"/>
    <w:rsid w:val="00623AD3"/>
    <w:rsid w:val="00625129"/>
    <w:rsid w:val="006253F9"/>
    <w:rsid w:val="006266FC"/>
    <w:rsid w:val="00626EB6"/>
    <w:rsid w:val="00631988"/>
    <w:rsid w:val="006344AF"/>
    <w:rsid w:val="006357AA"/>
    <w:rsid w:val="00635E87"/>
    <w:rsid w:val="006364DD"/>
    <w:rsid w:val="006412F8"/>
    <w:rsid w:val="00641647"/>
    <w:rsid w:val="006417D7"/>
    <w:rsid w:val="00644F51"/>
    <w:rsid w:val="00653C3C"/>
    <w:rsid w:val="00655D03"/>
    <w:rsid w:val="00657821"/>
    <w:rsid w:val="006648AA"/>
    <w:rsid w:val="00672AEE"/>
    <w:rsid w:val="006769AC"/>
    <w:rsid w:val="00676DEB"/>
    <w:rsid w:val="00676E63"/>
    <w:rsid w:val="00683388"/>
    <w:rsid w:val="00683F84"/>
    <w:rsid w:val="00686E49"/>
    <w:rsid w:val="00692150"/>
    <w:rsid w:val="0069523D"/>
    <w:rsid w:val="00696005"/>
    <w:rsid w:val="006A0AC6"/>
    <w:rsid w:val="006A4C50"/>
    <w:rsid w:val="006A604B"/>
    <w:rsid w:val="006A667C"/>
    <w:rsid w:val="006A6A81"/>
    <w:rsid w:val="006A6C13"/>
    <w:rsid w:val="006B0DBD"/>
    <w:rsid w:val="006B1A96"/>
    <w:rsid w:val="006B1ED8"/>
    <w:rsid w:val="006B37B1"/>
    <w:rsid w:val="006B6726"/>
    <w:rsid w:val="006C3622"/>
    <w:rsid w:val="006C43AD"/>
    <w:rsid w:val="006C5249"/>
    <w:rsid w:val="006D1472"/>
    <w:rsid w:val="006D1DB2"/>
    <w:rsid w:val="006D3E01"/>
    <w:rsid w:val="006D541F"/>
    <w:rsid w:val="006D69AF"/>
    <w:rsid w:val="006E7260"/>
    <w:rsid w:val="006E74B9"/>
    <w:rsid w:val="006E77AB"/>
    <w:rsid w:val="006F2D31"/>
    <w:rsid w:val="006F3F66"/>
    <w:rsid w:val="006F5C6A"/>
    <w:rsid w:val="006F5D3A"/>
    <w:rsid w:val="006F7393"/>
    <w:rsid w:val="006F7D49"/>
    <w:rsid w:val="00701FFE"/>
    <w:rsid w:val="0070224F"/>
    <w:rsid w:val="007024A5"/>
    <w:rsid w:val="00705357"/>
    <w:rsid w:val="007055D8"/>
    <w:rsid w:val="00707020"/>
    <w:rsid w:val="0070744B"/>
    <w:rsid w:val="00707C04"/>
    <w:rsid w:val="007115F7"/>
    <w:rsid w:val="00711F99"/>
    <w:rsid w:val="007134A1"/>
    <w:rsid w:val="0071367A"/>
    <w:rsid w:val="007165EB"/>
    <w:rsid w:val="00717C6B"/>
    <w:rsid w:val="00720E04"/>
    <w:rsid w:val="00721AF6"/>
    <w:rsid w:val="00721FCC"/>
    <w:rsid w:val="007226C9"/>
    <w:rsid w:val="00723AB4"/>
    <w:rsid w:val="007244D9"/>
    <w:rsid w:val="0072521A"/>
    <w:rsid w:val="007252D5"/>
    <w:rsid w:val="00730268"/>
    <w:rsid w:val="007322FD"/>
    <w:rsid w:val="00734EB4"/>
    <w:rsid w:val="00742729"/>
    <w:rsid w:val="00746B8D"/>
    <w:rsid w:val="00751EEF"/>
    <w:rsid w:val="00756404"/>
    <w:rsid w:val="00757049"/>
    <w:rsid w:val="00762779"/>
    <w:rsid w:val="00763084"/>
    <w:rsid w:val="007643B4"/>
    <w:rsid w:val="007666C0"/>
    <w:rsid w:val="0077131C"/>
    <w:rsid w:val="00773075"/>
    <w:rsid w:val="00775017"/>
    <w:rsid w:val="0077614C"/>
    <w:rsid w:val="007831A7"/>
    <w:rsid w:val="00785689"/>
    <w:rsid w:val="00796947"/>
    <w:rsid w:val="0079754B"/>
    <w:rsid w:val="00797D1C"/>
    <w:rsid w:val="007A1E6D"/>
    <w:rsid w:val="007A1F6B"/>
    <w:rsid w:val="007A2F95"/>
    <w:rsid w:val="007A44FD"/>
    <w:rsid w:val="007A4506"/>
    <w:rsid w:val="007A4C2C"/>
    <w:rsid w:val="007A512E"/>
    <w:rsid w:val="007A65D7"/>
    <w:rsid w:val="007B0EB2"/>
    <w:rsid w:val="007B148E"/>
    <w:rsid w:val="007B7C31"/>
    <w:rsid w:val="007B7FBD"/>
    <w:rsid w:val="007C2C89"/>
    <w:rsid w:val="007C6095"/>
    <w:rsid w:val="007C7C51"/>
    <w:rsid w:val="007D0368"/>
    <w:rsid w:val="007D6650"/>
    <w:rsid w:val="007E380A"/>
    <w:rsid w:val="007F54D0"/>
    <w:rsid w:val="007F78B6"/>
    <w:rsid w:val="007F7EA6"/>
    <w:rsid w:val="00800E6D"/>
    <w:rsid w:val="00802A23"/>
    <w:rsid w:val="008059F4"/>
    <w:rsid w:val="00810B6F"/>
    <w:rsid w:val="008114D8"/>
    <w:rsid w:val="00812876"/>
    <w:rsid w:val="00813712"/>
    <w:rsid w:val="008141BC"/>
    <w:rsid w:val="00814781"/>
    <w:rsid w:val="008153DA"/>
    <w:rsid w:val="00815BAD"/>
    <w:rsid w:val="00817131"/>
    <w:rsid w:val="008217C1"/>
    <w:rsid w:val="00822CE0"/>
    <w:rsid w:val="00825762"/>
    <w:rsid w:val="0082589A"/>
    <w:rsid w:val="00827FEF"/>
    <w:rsid w:val="0083290C"/>
    <w:rsid w:val="008345BC"/>
    <w:rsid w:val="00834BD2"/>
    <w:rsid w:val="00835447"/>
    <w:rsid w:val="0083709F"/>
    <w:rsid w:val="008412DB"/>
    <w:rsid w:val="00841AB1"/>
    <w:rsid w:val="008421FE"/>
    <w:rsid w:val="0084353F"/>
    <w:rsid w:val="00845CEF"/>
    <w:rsid w:val="00851477"/>
    <w:rsid w:val="00854B23"/>
    <w:rsid w:val="00863C86"/>
    <w:rsid w:val="00890264"/>
    <w:rsid w:val="00891B13"/>
    <w:rsid w:val="00892881"/>
    <w:rsid w:val="00893EF0"/>
    <w:rsid w:val="0089539C"/>
    <w:rsid w:val="008A0D5E"/>
    <w:rsid w:val="008A1C14"/>
    <w:rsid w:val="008A3B67"/>
    <w:rsid w:val="008A5CB1"/>
    <w:rsid w:val="008B0A3A"/>
    <w:rsid w:val="008B1215"/>
    <w:rsid w:val="008B554C"/>
    <w:rsid w:val="008B5AA8"/>
    <w:rsid w:val="008C307E"/>
    <w:rsid w:val="008C513D"/>
    <w:rsid w:val="008C68F1"/>
    <w:rsid w:val="008D170E"/>
    <w:rsid w:val="008D1A70"/>
    <w:rsid w:val="008D1B04"/>
    <w:rsid w:val="008D39E8"/>
    <w:rsid w:val="008D7DDF"/>
    <w:rsid w:val="008E08E7"/>
    <w:rsid w:val="008E2F76"/>
    <w:rsid w:val="008E35ED"/>
    <w:rsid w:val="008E751D"/>
    <w:rsid w:val="008F2002"/>
    <w:rsid w:val="008F3920"/>
    <w:rsid w:val="008F59CE"/>
    <w:rsid w:val="00904E5E"/>
    <w:rsid w:val="009118AC"/>
    <w:rsid w:val="009145BE"/>
    <w:rsid w:val="0091527B"/>
    <w:rsid w:val="0092050E"/>
    <w:rsid w:val="00921024"/>
    <w:rsid w:val="00921803"/>
    <w:rsid w:val="00921B15"/>
    <w:rsid w:val="009224F1"/>
    <w:rsid w:val="00922804"/>
    <w:rsid w:val="00924C49"/>
    <w:rsid w:val="00926503"/>
    <w:rsid w:val="00931069"/>
    <w:rsid w:val="00936892"/>
    <w:rsid w:val="00936972"/>
    <w:rsid w:val="00946B0B"/>
    <w:rsid w:val="00952443"/>
    <w:rsid w:val="00953982"/>
    <w:rsid w:val="009539DF"/>
    <w:rsid w:val="00954FEB"/>
    <w:rsid w:val="00955F62"/>
    <w:rsid w:val="00956599"/>
    <w:rsid w:val="00961DA4"/>
    <w:rsid w:val="00962064"/>
    <w:rsid w:val="009726D8"/>
    <w:rsid w:val="009924FB"/>
    <w:rsid w:val="00996161"/>
    <w:rsid w:val="00996DD8"/>
    <w:rsid w:val="0099749B"/>
    <w:rsid w:val="009A43E5"/>
    <w:rsid w:val="009A5F9E"/>
    <w:rsid w:val="009B0099"/>
    <w:rsid w:val="009B517C"/>
    <w:rsid w:val="009B65CF"/>
    <w:rsid w:val="009B7F8E"/>
    <w:rsid w:val="009C23DD"/>
    <w:rsid w:val="009C4CE6"/>
    <w:rsid w:val="009C5E0F"/>
    <w:rsid w:val="009C72A7"/>
    <w:rsid w:val="009D11F5"/>
    <w:rsid w:val="009D1FDA"/>
    <w:rsid w:val="009D7A84"/>
    <w:rsid w:val="009E0B52"/>
    <w:rsid w:val="009E1EC8"/>
    <w:rsid w:val="009E3B59"/>
    <w:rsid w:val="009E4519"/>
    <w:rsid w:val="009E6FBC"/>
    <w:rsid w:val="009E79C8"/>
    <w:rsid w:val="009F1F01"/>
    <w:rsid w:val="009F5A0A"/>
    <w:rsid w:val="009F76DB"/>
    <w:rsid w:val="00A03D08"/>
    <w:rsid w:val="00A056F7"/>
    <w:rsid w:val="00A05E08"/>
    <w:rsid w:val="00A143B4"/>
    <w:rsid w:val="00A14F0D"/>
    <w:rsid w:val="00A15BDE"/>
    <w:rsid w:val="00A15E59"/>
    <w:rsid w:val="00A1604A"/>
    <w:rsid w:val="00A22D93"/>
    <w:rsid w:val="00A261F6"/>
    <w:rsid w:val="00A26BD3"/>
    <w:rsid w:val="00A274D8"/>
    <w:rsid w:val="00A32C3B"/>
    <w:rsid w:val="00A36853"/>
    <w:rsid w:val="00A4179C"/>
    <w:rsid w:val="00A4496F"/>
    <w:rsid w:val="00A45F4F"/>
    <w:rsid w:val="00A46161"/>
    <w:rsid w:val="00A508CB"/>
    <w:rsid w:val="00A51F17"/>
    <w:rsid w:val="00A55C56"/>
    <w:rsid w:val="00A600A9"/>
    <w:rsid w:val="00A602CF"/>
    <w:rsid w:val="00A64321"/>
    <w:rsid w:val="00A7242C"/>
    <w:rsid w:val="00A80EFB"/>
    <w:rsid w:val="00A84974"/>
    <w:rsid w:val="00A8725D"/>
    <w:rsid w:val="00A872F1"/>
    <w:rsid w:val="00A9290E"/>
    <w:rsid w:val="00A92DF7"/>
    <w:rsid w:val="00A93548"/>
    <w:rsid w:val="00A93A7D"/>
    <w:rsid w:val="00A943AB"/>
    <w:rsid w:val="00A9741D"/>
    <w:rsid w:val="00AA45DF"/>
    <w:rsid w:val="00AA55B7"/>
    <w:rsid w:val="00AA5B9E"/>
    <w:rsid w:val="00AB1638"/>
    <w:rsid w:val="00AB2407"/>
    <w:rsid w:val="00AB2663"/>
    <w:rsid w:val="00AB53DF"/>
    <w:rsid w:val="00AB64FE"/>
    <w:rsid w:val="00AC4ED1"/>
    <w:rsid w:val="00AC5A12"/>
    <w:rsid w:val="00AC5A8A"/>
    <w:rsid w:val="00AD143F"/>
    <w:rsid w:val="00AD2DC9"/>
    <w:rsid w:val="00AD5798"/>
    <w:rsid w:val="00AD7158"/>
    <w:rsid w:val="00AD74E7"/>
    <w:rsid w:val="00AE086A"/>
    <w:rsid w:val="00AF110D"/>
    <w:rsid w:val="00AF40D8"/>
    <w:rsid w:val="00AF58CD"/>
    <w:rsid w:val="00AF7A50"/>
    <w:rsid w:val="00B0635A"/>
    <w:rsid w:val="00B07E5C"/>
    <w:rsid w:val="00B2219C"/>
    <w:rsid w:val="00B22524"/>
    <w:rsid w:val="00B22966"/>
    <w:rsid w:val="00B3679E"/>
    <w:rsid w:val="00B36EAF"/>
    <w:rsid w:val="00B40946"/>
    <w:rsid w:val="00B42C4D"/>
    <w:rsid w:val="00B463AF"/>
    <w:rsid w:val="00B471BF"/>
    <w:rsid w:val="00B47D14"/>
    <w:rsid w:val="00B50147"/>
    <w:rsid w:val="00B514F2"/>
    <w:rsid w:val="00B52056"/>
    <w:rsid w:val="00B563A8"/>
    <w:rsid w:val="00B61AC1"/>
    <w:rsid w:val="00B61F7A"/>
    <w:rsid w:val="00B624A0"/>
    <w:rsid w:val="00B62A34"/>
    <w:rsid w:val="00B62E47"/>
    <w:rsid w:val="00B739D0"/>
    <w:rsid w:val="00B75962"/>
    <w:rsid w:val="00B811F7"/>
    <w:rsid w:val="00B83BF4"/>
    <w:rsid w:val="00B86119"/>
    <w:rsid w:val="00B86BF9"/>
    <w:rsid w:val="00B91367"/>
    <w:rsid w:val="00B92F0A"/>
    <w:rsid w:val="00BA1CDA"/>
    <w:rsid w:val="00BA2C7B"/>
    <w:rsid w:val="00BA32D3"/>
    <w:rsid w:val="00BA3328"/>
    <w:rsid w:val="00BA5DC6"/>
    <w:rsid w:val="00BA6196"/>
    <w:rsid w:val="00BA65A4"/>
    <w:rsid w:val="00BB106F"/>
    <w:rsid w:val="00BB1C4A"/>
    <w:rsid w:val="00BB302F"/>
    <w:rsid w:val="00BB7AD0"/>
    <w:rsid w:val="00BC3C4C"/>
    <w:rsid w:val="00BC60D9"/>
    <w:rsid w:val="00BC6D8C"/>
    <w:rsid w:val="00BD228C"/>
    <w:rsid w:val="00BD2F90"/>
    <w:rsid w:val="00BD7C92"/>
    <w:rsid w:val="00BD7EE2"/>
    <w:rsid w:val="00BE18FB"/>
    <w:rsid w:val="00BE1964"/>
    <w:rsid w:val="00BF0D92"/>
    <w:rsid w:val="00BF209F"/>
    <w:rsid w:val="00BF2BC4"/>
    <w:rsid w:val="00BF6B50"/>
    <w:rsid w:val="00C00F71"/>
    <w:rsid w:val="00C018D6"/>
    <w:rsid w:val="00C01BEC"/>
    <w:rsid w:val="00C0712E"/>
    <w:rsid w:val="00C07AD8"/>
    <w:rsid w:val="00C07FB9"/>
    <w:rsid w:val="00C11508"/>
    <w:rsid w:val="00C1328E"/>
    <w:rsid w:val="00C22928"/>
    <w:rsid w:val="00C24154"/>
    <w:rsid w:val="00C3183D"/>
    <w:rsid w:val="00C34006"/>
    <w:rsid w:val="00C426B1"/>
    <w:rsid w:val="00C52166"/>
    <w:rsid w:val="00C53F66"/>
    <w:rsid w:val="00C55584"/>
    <w:rsid w:val="00C55A46"/>
    <w:rsid w:val="00C56FB5"/>
    <w:rsid w:val="00C57B9B"/>
    <w:rsid w:val="00C657E7"/>
    <w:rsid w:val="00C66160"/>
    <w:rsid w:val="00C704CD"/>
    <w:rsid w:val="00C721AC"/>
    <w:rsid w:val="00C72BB6"/>
    <w:rsid w:val="00C7422A"/>
    <w:rsid w:val="00C742C7"/>
    <w:rsid w:val="00C76E17"/>
    <w:rsid w:val="00C83E66"/>
    <w:rsid w:val="00C8575F"/>
    <w:rsid w:val="00C90C08"/>
    <w:rsid w:val="00C90D6A"/>
    <w:rsid w:val="00C92F87"/>
    <w:rsid w:val="00C93120"/>
    <w:rsid w:val="00C95AED"/>
    <w:rsid w:val="00C95BE8"/>
    <w:rsid w:val="00C97F71"/>
    <w:rsid w:val="00CA247E"/>
    <w:rsid w:val="00CA2481"/>
    <w:rsid w:val="00CA525F"/>
    <w:rsid w:val="00CA5AE8"/>
    <w:rsid w:val="00CA7FF0"/>
    <w:rsid w:val="00CB16FD"/>
    <w:rsid w:val="00CB2826"/>
    <w:rsid w:val="00CB2E63"/>
    <w:rsid w:val="00CB44DA"/>
    <w:rsid w:val="00CC27AA"/>
    <w:rsid w:val="00CC2B28"/>
    <w:rsid w:val="00CC5AF4"/>
    <w:rsid w:val="00CC6E21"/>
    <w:rsid w:val="00CC72B6"/>
    <w:rsid w:val="00CD17FC"/>
    <w:rsid w:val="00CD4BE3"/>
    <w:rsid w:val="00CD596D"/>
    <w:rsid w:val="00CD6546"/>
    <w:rsid w:val="00CD6EEA"/>
    <w:rsid w:val="00CE24AC"/>
    <w:rsid w:val="00CE4523"/>
    <w:rsid w:val="00CE6496"/>
    <w:rsid w:val="00CF24E5"/>
    <w:rsid w:val="00D0218D"/>
    <w:rsid w:val="00D04AC6"/>
    <w:rsid w:val="00D07A7A"/>
    <w:rsid w:val="00D142CE"/>
    <w:rsid w:val="00D16FDA"/>
    <w:rsid w:val="00D17191"/>
    <w:rsid w:val="00D17DF9"/>
    <w:rsid w:val="00D20A12"/>
    <w:rsid w:val="00D2176D"/>
    <w:rsid w:val="00D222AB"/>
    <w:rsid w:val="00D237E8"/>
    <w:rsid w:val="00D256C3"/>
    <w:rsid w:val="00D258DA"/>
    <w:rsid w:val="00D25F4E"/>
    <w:rsid w:val="00D25FB5"/>
    <w:rsid w:val="00D27A73"/>
    <w:rsid w:val="00D325EF"/>
    <w:rsid w:val="00D41131"/>
    <w:rsid w:val="00D41C48"/>
    <w:rsid w:val="00D44223"/>
    <w:rsid w:val="00D447DD"/>
    <w:rsid w:val="00D46873"/>
    <w:rsid w:val="00D513ED"/>
    <w:rsid w:val="00D51B48"/>
    <w:rsid w:val="00D52213"/>
    <w:rsid w:val="00D550A9"/>
    <w:rsid w:val="00D571DE"/>
    <w:rsid w:val="00D61400"/>
    <w:rsid w:val="00D650ED"/>
    <w:rsid w:val="00D673FC"/>
    <w:rsid w:val="00D8106B"/>
    <w:rsid w:val="00D90AB5"/>
    <w:rsid w:val="00DA016D"/>
    <w:rsid w:val="00DA0598"/>
    <w:rsid w:val="00DA14C0"/>
    <w:rsid w:val="00DA1F2B"/>
    <w:rsid w:val="00DA2529"/>
    <w:rsid w:val="00DA3BFF"/>
    <w:rsid w:val="00DA4D59"/>
    <w:rsid w:val="00DA6E0F"/>
    <w:rsid w:val="00DA7272"/>
    <w:rsid w:val="00DA7FBB"/>
    <w:rsid w:val="00DB130A"/>
    <w:rsid w:val="00DB2758"/>
    <w:rsid w:val="00DB2EBB"/>
    <w:rsid w:val="00DB3BB3"/>
    <w:rsid w:val="00DB49FE"/>
    <w:rsid w:val="00DB585E"/>
    <w:rsid w:val="00DB7226"/>
    <w:rsid w:val="00DC10A1"/>
    <w:rsid w:val="00DC34FC"/>
    <w:rsid w:val="00DC3E18"/>
    <w:rsid w:val="00DC50B5"/>
    <w:rsid w:val="00DC655F"/>
    <w:rsid w:val="00DC6C8B"/>
    <w:rsid w:val="00DD09C4"/>
    <w:rsid w:val="00DD0B59"/>
    <w:rsid w:val="00DD0BC9"/>
    <w:rsid w:val="00DD49CB"/>
    <w:rsid w:val="00DD7B42"/>
    <w:rsid w:val="00DD7EBD"/>
    <w:rsid w:val="00DE0F35"/>
    <w:rsid w:val="00DE1E84"/>
    <w:rsid w:val="00DE296D"/>
    <w:rsid w:val="00DE36AD"/>
    <w:rsid w:val="00DE72B5"/>
    <w:rsid w:val="00DF0698"/>
    <w:rsid w:val="00DF179D"/>
    <w:rsid w:val="00DF38B8"/>
    <w:rsid w:val="00DF4AB1"/>
    <w:rsid w:val="00DF5BC6"/>
    <w:rsid w:val="00DF62B6"/>
    <w:rsid w:val="00DF6438"/>
    <w:rsid w:val="00DF74EF"/>
    <w:rsid w:val="00DF7692"/>
    <w:rsid w:val="00E01AC1"/>
    <w:rsid w:val="00E0264D"/>
    <w:rsid w:val="00E03A8E"/>
    <w:rsid w:val="00E07225"/>
    <w:rsid w:val="00E07B2D"/>
    <w:rsid w:val="00E10FC3"/>
    <w:rsid w:val="00E11C6B"/>
    <w:rsid w:val="00E12065"/>
    <w:rsid w:val="00E12290"/>
    <w:rsid w:val="00E12BB7"/>
    <w:rsid w:val="00E168FE"/>
    <w:rsid w:val="00E2038F"/>
    <w:rsid w:val="00E21A83"/>
    <w:rsid w:val="00E25FB8"/>
    <w:rsid w:val="00E271BD"/>
    <w:rsid w:val="00E30728"/>
    <w:rsid w:val="00E31C5D"/>
    <w:rsid w:val="00E336DF"/>
    <w:rsid w:val="00E352C4"/>
    <w:rsid w:val="00E3696C"/>
    <w:rsid w:val="00E4175A"/>
    <w:rsid w:val="00E432F6"/>
    <w:rsid w:val="00E46531"/>
    <w:rsid w:val="00E46CB1"/>
    <w:rsid w:val="00E47BE4"/>
    <w:rsid w:val="00E50E42"/>
    <w:rsid w:val="00E519F9"/>
    <w:rsid w:val="00E5409F"/>
    <w:rsid w:val="00E555BA"/>
    <w:rsid w:val="00E56D25"/>
    <w:rsid w:val="00E60196"/>
    <w:rsid w:val="00E606DD"/>
    <w:rsid w:val="00E658B8"/>
    <w:rsid w:val="00E6604C"/>
    <w:rsid w:val="00E66C62"/>
    <w:rsid w:val="00E6783F"/>
    <w:rsid w:val="00E724E3"/>
    <w:rsid w:val="00E74586"/>
    <w:rsid w:val="00E75E30"/>
    <w:rsid w:val="00E82482"/>
    <w:rsid w:val="00E83223"/>
    <w:rsid w:val="00E86F5D"/>
    <w:rsid w:val="00E87AD4"/>
    <w:rsid w:val="00E87D5A"/>
    <w:rsid w:val="00E97072"/>
    <w:rsid w:val="00EA1EA8"/>
    <w:rsid w:val="00EA3EBE"/>
    <w:rsid w:val="00EA7466"/>
    <w:rsid w:val="00EB1AAB"/>
    <w:rsid w:val="00EB1B2E"/>
    <w:rsid w:val="00EB3CC7"/>
    <w:rsid w:val="00EB7ADC"/>
    <w:rsid w:val="00EC109C"/>
    <w:rsid w:val="00EC3234"/>
    <w:rsid w:val="00EC4912"/>
    <w:rsid w:val="00EC623A"/>
    <w:rsid w:val="00ED0CC9"/>
    <w:rsid w:val="00ED0EFA"/>
    <w:rsid w:val="00ED235E"/>
    <w:rsid w:val="00ED5ED2"/>
    <w:rsid w:val="00ED77E4"/>
    <w:rsid w:val="00EE2542"/>
    <w:rsid w:val="00EE25F9"/>
    <w:rsid w:val="00EE59C1"/>
    <w:rsid w:val="00EE6488"/>
    <w:rsid w:val="00EE71A3"/>
    <w:rsid w:val="00EF330B"/>
    <w:rsid w:val="00EF5428"/>
    <w:rsid w:val="00EF62F9"/>
    <w:rsid w:val="00EF6358"/>
    <w:rsid w:val="00F01E38"/>
    <w:rsid w:val="00F021FA"/>
    <w:rsid w:val="00F03241"/>
    <w:rsid w:val="00F06C8E"/>
    <w:rsid w:val="00F0763B"/>
    <w:rsid w:val="00F07FF6"/>
    <w:rsid w:val="00F12B9F"/>
    <w:rsid w:val="00F160E8"/>
    <w:rsid w:val="00F170F3"/>
    <w:rsid w:val="00F17246"/>
    <w:rsid w:val="00F225FE"/>
    <w:rsid w:val="00F236BC"/>
    <w:rsid w:val="00F23876"/>
    <w:rsid w:val="00F262B0"/>
    <w:rsid w:val="00F268C2"/>
    <w:rsid w:val="00F27A65"/>
    <w:rsid w:val="00F30096"/>
    <w:rsid w:val="00F32AEE"/>
    <w:rsid w:val="00F33333"/>
    <w:rsid w:val="00F34367"/>
    <w:rsid w:val="00F37A1D"/>
    <w:rsid w:val="00F37A7B"/>
    <w:rsid w:val="00F4064B"/>
    <w:rsid w:val="00F43958"/>
    <w:rsid w:val="00F43E45"/>
    <w:rsid w:val="00F4421B"/>
    <w:rsid w:val="00F50A85"/>
    <w:rsid w:val="00F53127"/>
    <w:rsid w:val="00F563FB"/>
    <w:rsid w:val="00F60227"/>
    <w:rsid w:val="00F608F9"/>
    <w:rsid w:val="00F60C99"/>
    <w:rsid w:val="00F6123F"/>
    <w:rsid w:val="00F62E97"/>
    <w:rsid w:val="00F64209"/>
    <w:rsid w:val="00F75632"/>
    <w:rsid w:val="00F8022C"/>
    <w:rsid w:val="00F8280F"/>
    <w:rsid w:val="00F8535A"/>
    <w:rsid w:val="00F87827"/>
    <w:rsid w:val="00F93BF5"/>
    <w:rsid w:val="00F94F14"/>
    <w:rsid w:val="00F95510"/>
    <w:rsid w:val="00FA35AF"/>
    <w:rsid w:val="00FB0440"/>
    <w:rsid w:val="00FB147A"/>
    <w:rsid w:val="00FB400D"/>
    <w:rsid w:val="00FB4865"/>
    <w:rsid w:val="00FB6488"/>
    <w:rsid w:val="00FB7A24"/>
    <w:rsid w:val="00FC1CC6"/>
    <w:rsid w:val="00FC1E99"/>
    <w:rsid w:val="00FC5B2A"/>
    <w:rsid w:val="00FD2590"/>
    <w:rsid w:val="00FD3B05"/>
    <w:rsid w:val="00FD5226"/>
    <w:rsid w:val="00FE28D0"/>
    <w:rsid w:val="00FF60F3"/>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D170E"/>
    <w:pPr>
      <w:keepNext/>
      <w:numPr>
        <w:ilvl w:val="1"/>
        <w:numId w:val="3"/>
      </w:numPr>
      <w:tabs>
        <w:tab w:val="clear" w:pos="1440"/>
        <w:tab w:val="num" w:pos="-2160"/>
      </w:tabs>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basedOn w:val="DefaultParagraphFont"/>
    <w:link w:val="Footer"/>
    <w:rsid w:val="00400906"/>
    <w:rPr>
      <w:snapToGrid w:val="0"/>
      <w:kern w:val="28"/>
      <w:sz w:val="22"/>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rsid w:val="00106D8E"/>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1A49BD"/>
  </w:style>
  <w:style w:type="character" w:customStyle="1" w:styleId="ParaNumChar">
    <w:name w:val="ParaNum Char"/>
    <w:link w:val="ParaNum"/>
    <w:locked/>
    <w:rsid w:val="001A49BD"/>
    <w:rPr>
      <w:snapToGrid w:val="0"/>
      <w:kern w:val="28"/>
      <w:sz w:val="22"/>
    </w:rPr>
  </w:style>
  <w:style w:type="table" w:styleId="TableGrid">
    <w:name w:val="Table Grid"/>
    <w:basedOn w:val="TableNormal"/>
    <w:uiPriority w:val="59"/>
    <w:rsid w:val="00F8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B4EA9"/>
    <w:rPr>
      <w:sz w:val="16"/>
      <w:szCs w:val="16"/>
    </w:rPr>
  </w:style>
  <w:style w:type="paragraph" w:styleId="CommentText">
    <w:name w:val="annotation text"/>
    <w:basedOn w:val="Normal"/>
    <w:link w:val="CommentTextChar"/>
    <w:rsid w:val="005B4EA9"/>
    <w:rPr>
      <w:sz w:val="20"/>
    </w:rPr>
  </w:style>
  <w:style w:type="character" w:customStyle="1" w:styleId="CommentTextChar">
    <w:name w:val="Comment Text Char"/>
    <w:basedOn w:val="DefaultParagraphFont"/>
    <w:link w:val="CommentText"/>
    <w:rsid w:val="005B4EA9"/>
    <w:rPr>
      <w:snapToGrid w:val="0"/>
      <w:kern w:val="28"/>
    </w:rPr>
  </w:style>
  <w:style w:type="paragraph" w:styleId="CommentSubject">
    <w:name w:val="annotation subject"/>
    <w:basedOn w:val="CommentText"/>
    <w:next w:val="CommentText"/>
    <w:link w:val="CommentSubjectChar"/>
    <w:rsid w:val="005B4EA9"/>
    <w:rPr>
      <w:b/>
      <w:bCs/>
    </w:rPr>
  </w:style>
  <w:style w:type="character" w:customStyle="1" w:styleId="CommentSubjectChar">
    <w:name w:val="Comment Subject Char"/>
    <w:basedOn w:val="CommentTextChar"/>
    <w:link w:val="CommentSubject"/>
    <w:rsid w:val="005B4EA9"/>
    <w:rPr>
      <w:b/>
      <w:bCs/>
      <w:snapToGrid w:val="0"/>
      <w:kern w:val="28"/>
    </w:rPr>
  </w:style>
  <w:style w:type="paragraph" w:styleId="BalloonText">
    <w:name w:val="Balloon Text"/>
    <w:basedOn w:val="Normal"/>
    <w:link w:val="BalloonTextChar"/>
    <w:rsid w:val="005B4EA9"/>
    <w:rPr>
      <w:rFonts w:ascii="Tahoma" w:hAnsi="Tahoma" w:cs="Tahoma"/>
      <w:sz w:val="16"/>
      <w:szCs w:val="16"/>
    </w:rPr>
  </w:style>
  <w:style w:type="character" w:customStyle="1" w:styleId="BalloonTextChar">
    <w:name w:val="Balloon Text Char"/>
    <w:basedOn w:val="DefaultParagraphFont"/>
    <w:link w:val="BalloonText"/>
    <w:rsid w:val="005B4EA9"/>
    <w:rPr>
      <w:rFonts w:ascii="Tahoma" w:hAnsi="Tahoma" w:cs="Tahoma"/>
      <w:snapToGrid w:val="0"/>
      <w:kern w:val="28"/>
      <w:sz w:val="16"/>
      <w:szCs w:val="16"/>
    </w:rPr>
  </w:style>
  <w:style w:type="character" w:styleId="FollowedHyperlink">
    <w:name w:val="FollowedHyperlink"/>
    <w:basedOn w:val="DefaultParagraphFont"/>
    <w:rsid w:val="00C07FB9"/>
    <w:rPr>
      <w:color w:val="800080" w:themeColor="followedHyperlink"/>
      <w:u w:val="single"/>
    </w:rPr>
  </w:style>
  <w:style w:type="paragraph" w:styleId="Revision">
    <w:name w:val="Revision"/>
    <w:hidden/>
    <w:uiPriority w:val="99"/>
    <w:semiHidden/>
    <w:rsid w:val="006C5249"/>
    <w:rPr>
      <w:snapToGrid w:val="0"/>
      <w:kern w:val="28"/>
      <w:sz w:val="22"/>
    </w:rPr>
  </w:style>
  <w:style w:type="character" w:customStyle="1" w:styleId="Heading2Char">
    <w:name w:val="Heading 2 Char"/>
    <w:basedOn w:val="DefaultParagraphFont"/>
    <w:link w:val="Heading2"/>
    <w:rsid w:val="00721AF6"/>
    <w:rPr>
      <w:b/>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uiPriority w:val="99"/>
    <w:locked/>
    <w:rsid w:val="00F34367"/>
    <w:rPr>
      <w:rFonts w:cs="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D170E"/>
    <w:pPr>
      <w:keepNext/>
      <w:numPr>
        <w:ilvl w:val="1"/>
        <w:numId w:val="3"/>
      </w:numPr>
      <w:tabs>
        <w:tab w:val="clear" w:pos="1440"/>
        <w:tab w:val="num" w:pos="-2160"/>
      </w:tabs>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basedOn w:val="DefaultParagraphFont"/>
    <w:link w:val="Footer"/>
    <w:rsid w:val="00400906"/>
    <w:rPr>
      <w:snapToGrid w:val="0"/>
      <w:kern w:val="28"/>
      <w:sz w:val="22"/>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rsid w:val="00106D8E"/>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1A49BD"/>
  </w:style>
  <w:style w:type="character" w:customStyle="1" w:styleId="ParaNumChar">
    <w:name w:val="ParaNum Char"/>
    <w:link w:val="ParaNum"/>
    <w:locked/>
    <w:rsid w:val="001A49BD"/>
    <w:rPr>
      <w:snapToGrid w:val="0"/>
      <w:kern w:val="28"/>
      <w:sz w:val="22"/>
    </w:rPr>
  </w:style>
  <w:style w:type="table" w:styleId="TableGrid">
    <w:name w:val="Table Grid"/>
    <w:basedOn w:val="TableNormal"/>
    <w:uiPriority w:val="59"/>
    <w:rsid w:val="00F8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B4EA9"/>
    <w:rPr>
      <w:sz w:val="16"/>
      <w:szCs w:val="16"/>
    </w:rPr>
  </w:style>
  <w:style w:type="paragraph" w:styleId="CommentText">
    <w:name w:val="annotation text"/>
    <w:basedOn w:val="Normal"/>
    <w:link w:val="CommentTextChar"/>
    <w:rsid w:val="005B4EA9"/>
    <w:rPr>
      <w:sz w:val="20"/>
    </w:rPr>
  </w:style>
  <w:style w:type="character" w:customStyle="1" w:styleId="CommentTextChar">
    <w:name w:val="Comment Text Char"/>
    <w:basedOn w:val="DefaultParagraphFont"/>
    <w:link w:val="CommentText"/>
    <w:rsid w:val="005B4EA9"/>
    <w:rPr>
      <w:snapToGrid w:val="0"/>
      <w:kern w:val="28"/>
    </w:rPr>
  </w:style>
  <w:style w:type="paragraph" w:styleId="CommentSubject">
    <w:name w:val="annotation subject"/>
    <w:basedOn w:val="CommentText"/>
    <w:next w:val="CommentText"/>
    <w:link w:val="CommentSubjectChar"/>
    <w:rsid w:val="005B4EA9"/>
    <w:rPr>
      <w:b/>
      <w:bCs/>
    </w:rPr>
  </w:style>
  <w:style w:type="character" w:customStyle="1" w:styleId="CommentSubjectChar">
    <w:name w:val="Comment Subject Char"/>
    <w:basedOn w:val="CommentTextChar"/>
    <w:link w:val="CommentSubject"/>
    <w:rsid w:val="005B4EA9"/>
    <w:rPr>
      <w:b/>
      <w:bCs/>
      <w:snapToGrid w:val="0"/>
      <w:kern w:val="28"/>
    </w:rPr>
  </w:style>
  <w:style w:type="paragraph" w:styleId="BalloonText">
    <w:name w:val="Balloon Text"/>
    <w:basedOn w:val="Normal"/>
    <w:link w:val="BalloonTextChar"/>
    <w:rsid w:val="005B4EA9"/>
    <w:rPr>
      <w:rFonts w:ascii="Tahoma" w:hAnsi="Tahoma" w:cs="Tahoma"/>
      <w:sz w:val="16"/>
      <w:szCs w:val="16"/>
    </w:rPr>
  </w:style>
  <w:style w:type="character" w:customStyle="1" w:styleId="BalloonTextChar">
    <w:name w:val="Balloon Text Char"/>
    <w:basedOn w:val="DefaultParagraphFont"/>
    <w:link w:val="BalloonText"/>
    <w:rsid w:val="005B4EA9"/>
    <w:rPr>
      <w:rFonts w:ascii="Tahoma" w:hAnsi="Tahoma" w:cs="Tahoma"/>
      <w:snapToGrid w:val="0"/>
      <w:kern w:val="28"/>
      <w:sz w:val="16"/>
      <w:szCs w:val="16"/>
    </w:rPr>
  </w:style>
  <w:style w:type="character" w:styleId="FollowedHyperlink">
    <w:name w:val="FollowedHyperlink"/>
    <w:basedOn w:val="DefaultParagraphFont"/>
    <w:rsid w:val="00C07FB9"/>
    <w:rPr>
      <w:color w:val="800080" w:themeColor="followedHyperlink"/>
      <w:u w:val="single"/>
    </w:rPr>
  </w:style>
  <w:style w:type="paragraph" w:styleId="Revision">
    <w:name w:val="Revision"/>
    <w:hidden/>
    <w:uiPriority w:val="99"/>
    <w:semiHidden/>
    <w:rsid w:val="006C5249"/>
    <w:rPr>
      <w:snapToGrid w:val="0"/>
      <w:kern w:val="28"/>
      <w:sz w:val="22"/>
    </w:rPr>
  </w:style>
  <w:style w:type="character" w:customStyle="1" w:styleId="Heading2Char">
    <w:name w:val="Heading 2 Char"/>
    <w:basedOn w:val="DefaultParagraphFont"/>
    <w:link w:val="Heading2"/>
    <w:rsid w:val="00721AF6"/>
    <w:rPr>
      <w:b/>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uiPriority w:val="99"/>
    <w:locked/>
    <w:rsid w:val="00F34367"/>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262">
      <w:bodyDiv w:val="1"/>
      <w:marLeft w:val="0"/>
      <w:marRight w:val="0"/>
      <w:marTop w:val="0"/>
      <w:marBottom w:val="0"/>
      <w:divBdr>
        <w:top w:val="none" w:sz="0" w:space="0" w:color="auto"/>
        <w:left w:val="none" w:sz="0" w:space="0" w:color="auto"/>
        <w:bottom w:val="none" w:sz="0" w:space="0" w:color="auto"/>
        <w:right w:val="none" w:sz="0" w:space="0" w:color="auto"/>
      </w:divBdr>
    </w:div>
    <w:div w:id="202595481">
      <w:bodyDiv w:val="1"/>
      <w:marLeft w:val="0"/>
      <w:marRight w:val="0"/>
      <w:marTop w:val="0"/>
      <w:marBottom w:val="0"/>
      <w:divBdr>
        <w:top w:val="none" w:sz="0" w:space="0" w:color="auto"/>
        <w:left w:val="none" w:sz="0" w:space="0" w:color="auto"/>
        <w:bottom w:val="none" w:sz="0" w:space="0" w:color="auto"/>
        <w:right w:val="none" w:sz="0" w:space="0" w:color="auto"/>
      </w:divBdr>
    </w:div>
    <w:div w:id="668407196">
      <w:bodyDiv w:val="1"/>
      <w:marLeft w:val="0"/>
      <w:marRight w:val="0"/>
      <w:marTop w:val="0"/>
      <w:marBottom w:val="0"/>
      <w:divBdr>
        <w:top w:val="none" w:sz="0" w:space="0" w:color="auto"/>
        <w:left w:val="none" w:sz="0" w:space="0" w:color="auto"/>
        <w:bottom w:val="none" w:sz="0" w:space="0" w:color="auto"/>
        <w:right w:val="none" w:sz="0" w:space="0" w:color="auto"/>
      </w:divBdr>
    </w:div>
    <w:div w:id="737094711">
      <w:bodyDiv w:val="1"/>
      <w:marLeft w:val="0"/>
      <w:marRight w:val="0"/>
      <w:marTop w:val="0"/>
      <w:marBottom w:val="0"/>
      <w:divBdr>
        <w:top w:val="none" w:sz="0" w:space="0" w:color="auto"/>
        <w:left w:val="none" w:sz="0" w:space="0" w:color="auto"/>
        <w:bottom w:val="none" w:sz="0" w:space="0" w:color="auto"/>
        <w:right w:val="none" w:sz="0" w:space="0" w:color="auto"/>
      </w:divBdr>
    </w:div>
    <w:div w:id="864826445">
      <w:bodyDiv w:val="1"/>
      <w:marLeft w:val="0"/>
      <w:marRight w:val="0"/>
      <w:marTop w:val="0"/>
      <w:marBottom w:val="0"/>
      <w:divBdr>
        <w:top w:val="none" w:sz="0" w:space="0" w:color="auto"/>
        <w:left w:val="none" w:sz="0" w:space="0" w:color="auto"/>
        <w:bottom w:val="none" w:sz="0" w:space="0" w:color="auto"/>
        <w:right w:val="none" w:sz="0" w:space="0" w:color="auto"/>
      </w:divBdr>
    </w:div>
    <w:div w:id="1014455749">
      <w:bodyDiv w:val="1"/>
      <w:marLeft w:val="0"/>
      <w:marRight w:val="0"/>
      <w:marTop w:val="0"/>
      <w:marBottom w:val="0"/>
      <w:divBdr>
        <w:top w:val="none" w:sz="0" w:space="0" w:color="auto"/>
        <w:left w:val="none" w:sz="0" w:space="0" w:color="auto"/>
        <w:bottom w:val="none" w:sz="0" w:space="0" w:color="auto"/>
        <w:right w:val="none" w:sz="0" w:space="0" w:color="auto"/>
      </w:divBdr>
    </w:div>
    <w:div w:id="1075778844">
      <w:bodyDiv w:val="1"/>
      <w:marLeft w:val="0"/>
      <w:marRight w:val="0"/>
      <w:marTop w:val="0"/>
      <w:marBottom w:val="0"/>
      <w:divBdr>
        <w:top w:val="none" w:sz="0" w:space="0" w:color="auto"/>
        <w:left w:val="none" w:sz="0" w:space="0" w:color="auto"/>
        <w:bottom w:val="none" w:sz="0" w:space="0" w:color="auto"/>
        <w:right w:val="none" w:sz="0" w:space="0" w:color="auto"/>
      </w:divBdr>
    </w:div>
    <w:div w:id="1092777301">
      <w:bodyDiv w:val="1"/>
      <w:marLeft w:val="0"/>
      <w:marRight w:val="0"/>
      <w:marTop w:val="0"/>
      <w:marBottom w:val="0"/>
      <w:divBdr>
        <w:top w:val="none" w:sz="0" w:space="0" w:color="auto"/>
        <w:left w:val="none" w:sz="0" w:space="0" w:color="auto"/>
        <w:bottom w:val="none" w:sz="0" w:space="0" w:color="auto"/>
        <w:right w:val="none" w:sz="0" w:space="0" w:color="auto"/>
      </w:divBdr>
    </w:div>
    <w:div w:id="1231576819">
      <w:bodyDiv w:val="1"/>
      <w:marLeft w:val="0"/>
      <w:marRight w:val="0"/>
      <w:marTop w:val="0"/>
      <w:marBottom w:val="0"/>
      <w:divBdr>
        <w:top w:val="none" w:sz="0" w:space="0" w:color="auto"/>
        <w:left w:val="none" w:sz="0" w:space="0" w:color="auto"/>
        <w:bottom w:val="none" w:sz="0" w:space="0" w:color="auto"/>
        <w:right w:val="none" w:sz="0" w:space="0" w:color="auto"/>
      </w:divBdr>
    </w:div>
    <w:div w:id="1237085045">
      <w:bodyDiv w:val="1"/>
      <w:marLeft w:val="0"/>
      <w:marRight w:val="0"/>
      <w:marTop w:val="0"/>
      <w:marBottom w:val="0"/>
      <w:divBdr>
        <w:top w:val="none" w:sz="0" w:space="0" w:color="auto"/>
        <w:left w:val="none" w:sz="0" w:space="0" w:color="auto"/>
        <w:bottom w:val="none" w:sz="0" w:space="0" w:color="auto"/>
        <w:right w:val="none" w:sz="0" w:space="0" w:color="auto"/>
      </w:divBdr>
    </w:div>
    <w:div w:id="1287278782">
      <w:bodyDiv w:val="1"/>
      <w:marLeft w:val="0"/>
      <w:marRight w:val="0"/>
      <w:marTop w:val="0"/>
      <w:marBottom w:val="0"/>
      <w:divBdr>
        <w:top w:val="none" w:sz="0" w:space="0" w:color="auto"/>
        <w:left w:val="none" w:sz="0" w:space="0" w:color="auto"/>
        <w:bottom w:val="none" w:sz="0" w:space="0" w:color="auto"/>
        <w:right w:val="none" w:sz="0" w:space="0" w:color="auto"/>
      </w:divBdr>
    </w:div>
    <w:div w:id="1457337964">
      <w:bodyDiv w:val="1"/>
      <w:marLeft w:val="0"/>
      <w:marRight w:val="0"/>
      <w:marTop w:val="0"/>
      <w:marBottom w:val="0"/>
      <w:divBdr>
        <w:top w:val="none" w:sz="0" w:space="0" w:color="auto"/>
        <w:left w:val="none" w:sz="0" w:space="0" w:color="auto"/>
        <w:bottom w:val="none" w:sz="0" w:space="0" w:color="auto"/>
        <w:right w:val="none" w:sz="0" w:space="0" w:color="auto"/>
      </w:divBdr>
      <w:divsChild>
        <w:div w:id="1306857518">
          <w:marLeft w:val="0"/>
          <w:marRight w:val="0"/>
          <w:marTop w:val="0"/>
          <w:marBottom w:val="0"/>
          <w:divBdr>
            <w:top w:val="none" w:sz="0" w:space="0" w:color="auto"/>
            <w:left w:val="none" w:sz="0" w:space="0" w:color="auto"/>
            <w:bottom w:val="none" w:sz="0" w:space="0" w:color="auto"/>
            <w:right w:val="none" w:sz="0" w:space="0" w:color="auto"/>
          </w:divBdr>
        </w:div>
        <w:div w:id="1114860425">
          <w:marLeft w:val="0"/>
          <w:marRight w:val="0"/>
          <w:marTop w:val="0"/>
          <w:marBottom w:val="0"/>
          <w:divBdr>
            <w:top w:val="none" w:sz="0" w:space="0" w:color="auto"/>
            <w:left w:val="none" w:sz="0" w:space="0" w:color="auto"/>
            <w:bottom w:val="none" w:sz="0" w:space="0" w:color="auto"/>
            <w:right w:val="none" w:sz="0" w:space="0" w:color="auto"/>
          </w:divBdr>
        </w:div>
        <w:div w:id="257910595">
          <w:marLeft w:val="0"/>
          <w:marRight w:val="0"/>
          <w:marTop w:val="0"/>
          <w:marBottom w:val="0"/>
          <w:divBdr>
            <w:top w:val="none" w:sz="0" w:space="0" w:color="auto"/>
            <w:left w:val="none" w:sz="0" w:space="0" w:color="auto"/>
            <w:bottom w:val="none" w:sz="0" w:space="0" w:color="auto"/>
            <w:right w:val="none" w:sz="0" w:space="0" w:color="auto"/>
          </w:divBdr>
        </w:div>
        <w:div w:id="496463950">
          <w:marLeft w:val="0"/>
          <w:marRight w:val="0"/>
          <w:marTop w:val="0"/>
          <w:marBottom w:val="0"/>
          <w:divBdr>
            <w:top w:val="none" w:sz="0" w:space="0" w:color="auto"/>
            <w:left w:val="none" w:sz="0" w:space="0" w:color="auto"/>
            <w:bottom w:val="none" w:sz="0" w:space="0" w:color="auto"/>
            <w:right w:val="none" w:sz="0" w:space="0" w:color="auto"/>
          </w:divBdr>
        </w:div>
        <w:div w:id="17315456">
          <w:marLeft w:val="0"/>
          <w:marRight w:val="0"/>
          <w:marTop w:val="0"/>
          <w:marBottom w:val="0"/>
          <w:divBdr>
            <w:top w:val="none" w:sz="0" w:space="0" w:color="auto"/>
            <w:left w:val="none" w:sz="0" w:space="0" w:color="auto"/>
            <w:bottom w:val="none" w:sz="0" w:space="0" w:color="auto"/>
            <w:right w:val="none" w:sz="0" w:space="0" w:color="auto"/>
          </w:divBdr>
        </w:div>
        <w:div w:id="1998067933">
          <w:marLeft w:val="0"/>
          <w:marRight w:val="0"/>
          <w:marTop w:val="0"/>
          <w:marBottom w:val="0"/>
          <w:divBdr>
            <w:top w:val="none" w:sz="0" w:space="0" w:color="auto"/>
            <w:left w:val="none" w:sz="0" w:space="0" w:color="auto"/>
            <w:bottom w:val="none" w:sz="0" w:space="0" w:color="auto"/>
            <w:right w:val="none" w:sz="0" w:space="0" w:color="auto"/>
          </w:divBdr>
        </w:div>
        <w:div w:id="2000184944">
          <w:marLeft w:val="0"/>
          <w:marRight w:val="0"/>
          <w:marTop w:val="0"/>
          <w:marBottom w:val="0"/>
          <w:divBdr>
            <w:top w:val="none" w:sz="0" w:space="0" w:color="auto"/>
            <w:left w:val="none" w:sz="0" w:space="0" w:color="auto"/>
            <w:bottom w:val="none" w:sz="0" w:space="0" w:color="auto"/>
            <w:right w:val="none" w:sz="0" w:space="0" w:color="auto"/>
          </w:divBdr>
        </w:div>
        <w:div w:id="2089881087">
          <w:marLeft w:val="0"/>
          <w:marRight w:val="0"/>
          <w:marTop w:val="0"/>
          <w:marBottom w:val="0"/>
          <w:divBdr>
            <w:top w:val="none" w:sz="0" w:space="0" w:color="auto"/>
            <w:left w:val="none" w:sz="0" w:space="0" w:color="auto"/>
            <w:bottom w:val="none" w:sz="0" w:space="0" w:color="auto"/>
            <w:right w:val="none" w:sz="0" w:space="0" w:color="auto"/>
          </w:divBdr>
        </w:div>
        <w:div w:id="2109307718">
          <w:marLeft w:val="0"/>
          <w:marRight w:val="0"/>
          <w:marTop w:val="0"/>
          <w:marBottom w:val="0"/>
          <w:divBdr>
            <w:top w:val="none" w:sz="0" w:space="0" w:color="auto"/>
            <w:left w:val="none" w:sz="0" w:space="0" w:color="auto"/>
            <w:bottom w:val="none" w:sz="0" w:space="0" w:color="auto"/>
            <w:right w:val="none" w:sz="0" w:space="0" w:color="auto"/>
          </w:divBdr>
        </w:div>
      </w:divsChild>
    </w:div>
    <w:div w:id="15612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wcb/CAF%20II%20Challenge%20App%20A.zi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wcb/CAF%20II%20Challenge%20App%20A.zi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wcb/CAF%20II%20Challenge%20App%20A.zip" TargetMode="External"/><Relationship Id="rId3" Type="http://schemas.openxmlformats.org/officeDocument/2006/relationships/hyperlink" Target="https://apps.fcc.gov/edocs_public/attachmatch/DOC-329607A1.xlsx" TargetMode="External"/><Relationship Id="rId7" Type="http://schemas.openxmlformats.org/officeDocument/2006/relationships/hyperlink" Target="https://tigerweb.geo.census.gov/tigerweb/" TargetMode="External"/><Relationship Id="rId2" Type="http://schemas.openxmlformats.org/officeDocument/2006/relationships/hyperlink" Target="http://www.fcc.gov/encyclopedia/connect-america-phase-ii-challenge-process" TargetMode="External"/><Relationship Id="rId1" Type="http://schemas.openxmlformats.org/officeDocument/2006/relationships/hyperlink" Target="http://www.fcc.gov/encyclopedia/connect-america-phase-ii-challenge-process" TargetMode="External"/><Relationship Id="rId6" Type="http://schemas.openxmlformats.org/officeDocument/2006/relationships/hyperlink" Target="http://www.pewinternet.org/data-trend/internet-use/latest-stats/" TargetMode="External"/><Relationship Id="rId5" Type="http://schemas.openxmlformats.org/officeDocument/2006/relationships/hyperlink" Target="http://www.pewinternet.org/2014/04/03/usage-and-adoption/" TargetMode="External"/><Relationship Id="rId4" Type="http://schemas.openxmlformats.org/officeDocument/2006/relationships/hyperlink" Target="https://apps.fcc.gov/edocs_public/attachmatch/DOC-329606A1.xlsx" TargetMode="External"/><Relationship Id="rId9" Type="http://schemas.openxmlformats.org/officeDocument/2006/relationships/hyperlink" Target="http://www.fcc.gov/wcb/CAF%20II%20Challenge%20App%20A.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cnet\fccroot\App\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6738</Words>
  <Characters>35856</Characters>
  <Application>Microsoft Office Word</Application>
  <DocSecurity>0</DocSecurity>
  <Lines>783</Lines>
  <Paragraphs>274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42564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2015-04-09T13:07:00Z</cp:lastPrinted>
  <dcterms:created xsi:type="dcterms:W3CDTF">2015-04-13T18:34:00Z</dcterms:created>
  <dcterms:modified xsi:type="dcterms:W3CDTF">2015-04-13T18:34:00Z</dcterms:modified>
  <cp:category> </cp:category>
  <cp:contentStatus> </cp:contentStatus>
</cp:coreProperties>
</file>