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BCD" w:rsidRDefault="00502BCD">
      <w:pPr>
        <w:pStyle w:val="Title"/>
        <w:outlineLvl w:val="0"/>
        <w:rPr>
          <w:b/>
          <w:sz w:val="22"/>
        </w:rPr>
      </w:pPr>
      <w:bookmarkStart w:id="0" w:name="_GoBack"/>
      <w:bookmarkEnd w:id="0"/>
    </w:p>
    <w:p w:rsidR="00502BCD" w:rsidRDefault="00502BCD">
      <w:pPr>
        <w:pStyle w:val="Title"/>
        <w:outlineLvl w:val="0"/>
        <w:rPr>
          <w:b/>
          <w:sz w:val="22"/>
        </w:rPr>
      </w:pPr>
      <w:r>
        <w:rPr>
          <w:b/>
          <w:sz w:val="22"/>
        </w:rPr>
        <w:t>Before the</w:t>
      </w:r>
    </w:p>
    <w:p w:rsidR="00502BCD" w:rsidRDefault="00502BCD">
      <w:pPr>
        <w:pStyle w:val="Title"/>
        <w:outlineLvl w:val="0"/>
        <w:rPr>
          <w:b/>
          <w:sz w:val="22"/>
        </w:rPr>
      </w:pPr>
      <w:r>
        <w:rPr>
          <w:b/>
          <w:sz w:val="22"/>
        </w:rPr>
        <w:t>Federal Communications Commission</w:t>
      </w:r>
    </w:p>
    <w:p w:rsidR="00502BCD" w:rsidRDefault="00121898">
      <w:pPr>
        <w:pStyle w:val="Title"/>
        <w:outlineLvl w:val="0"/>
        <w:rPr>
          <w:b/>
          <w:sz w:val="22"/>
        </w:rPr>
      </w:pPr>
      <w:r>
        <w:rPr>
          <w:b/>
          <w:sz w:val="22"/>
        </w:rPr>
        <w:t>Washington, D.C. 20554</w:t>
      </w:r>
    </w:p>
    <w:p w:rsidR="00502BCD" w:rsidRDefault="00502BCD">
      <w:pPr>
        <w:pStyle w:val="Title"/>
        <w:outlineLvl w:val="0"/>
        <w:rPr>
          <w:b/>
          <w:sz w:val="22"/>
        </w:rPr>
      </w:pPr>
    </w:p>
    <w:p w:rsidR="00502BCD" w:rsidRDefault="00502BCD">
      <w:pPr>
        <w:tabs>
          <w:tab w:val="left" w:pos="-720"/>
        </w:tabs>
        <w:suppressAutoHyphens/>
        <w:spacing w:line="227" w:lineRule="auto"/>
        <w:jc w:val="both"/>
        <w:rPr>
          <w:spacing w:val="-2"/>
          <w:sz w:val="22"/>
        </w:rPr>
      </w:pPr>
    </w:p>
    <w:tbl>
      <w:tblPr>
        <w:tblW w:w="0" w:type="auto"/>
        <w:tblLayout w:type="fixed"/>
        <w:tblLook w:val="0000" w:firstRow="0" w:lastRow="0" w:firstColumn="0" w:lastColumn="0" w:noHBand="0" w:noVBand="0"/>
      </w:tblPr>
      <w:tblGrid>
        <w:gridCol w:w="4698"/>
        <w:gridCol w:w="630"/>
        <w:gridCol w:w="4248"/>
      </w:tblGrid>
      <w:tr w:rsidR="00502BCD">
        <w:tc>
          <w:tcPr>
            <w:tcW w:w="4698" w:type="dxa"/>
          </w:tcPr>
          <w:p w:rsidR="00502BCD" w:rsidRDefault="00E32377">
            <w:pPr>
              <w:tabs>
                <w:tab w:val="center" w:pos="4680"/>
              </w:tabs>
              <w:suppressAutoHyphens/>
              <w:rPr>
                <w:snapToGrid w:val="0"/>
                <w:kern w:val="22"/>
                <w:sz w:val="22"/>
              </w:rPr>
            </w:pPr>
            <w:r>
              <w:rPr>
                <w:snapToGrid w:val="0"/>
                <w:kern w:val="22"/>
                <w:sz w:val="22"/>
              </w:rPr>
              <w:t>In the M</w:t>
            </w:r>
            <w:r w:rsidR="00502BCD">
              <w:rPr>
                <w:snapToGrid w:val="0"/>
                <w:kern w:val="22"/>
                <w:sz w:val="22"/>
              </w:rPr>
              <w:t>atter of</w:t>
            </w:r>
            <w:r>
              <w:rPr>
                <w:snapToGrid w:val="0"/>
                <w:kern w:val="22"/>
                <w:sz w:val="22"/>
              </w:rPr>
              <w:t>:</w:t>
            </w:r>
          </w:p>
          <w:p w:rsidR="00502BCD" w:rsidRDefault="00502BCD">
            <w:pPr>
              <w:tabs>
                <w:tab w:val="center" w:pos="4680"/>
              </w:tabs>
              <w:suppressAutoHyphens/>
              <w:rPr>
                <w:snapToGrid w:val="0"/>
                <w:kern w:val="22"/>
                <w:sz w:val="22"/>
              </w:rPr>
            </w:pPr>
          </w:p>
          <w:p w:rsidR="00502BCD" w:rsidRDefault="00502BCD">
            <w:pPr>
              <w:rPr>
                <w:b/>
                <w:caps/>
                <w:snapToGrid w:val="0"/>
                <w:kern w:val="22"/>
                <w:sz w:val="22"/>
              </w:rPr>
            </w:pPr>
            <w:r>
              <w:rPr>
                <w:b/>
                <w:caps/>
                <w:snapToGrid w:val="0"/>
                <w:kern w:val="22"/>
                <w:sz w:val="22"/>
              </w:rPr>
              <w:t>Shenzhen Tangreat Technology Co., Ltd.</w:t>
            </w:r>
          </w:p>
          <w:p w:rsidR="00502BCD" w:rsidRDefault="00502BCD">
            <w:pPr>
              <w:rPr>
                <w:snapToGrid w:val="0"/>
                <w:kern w:val="22"/>
                <w:sz w:val="22"/>
              </w:rPr>
            </w:pPr>
          </w:p>
          <w:p w:rsidR="00502BCD" w:rsidRDefault="00502BCD">
            <w:pPr>
              <w:rPr>
                <w:snapToGrid w:val="0"/>
                <w:kern w:val="22"/>
                <w:sz w:val="22"/>
              </w:rPr>
            </w:pPr>
            <w:r>
              <w:rPr>
                <w:snapToGrid w:val="0"/>
                <w:kern w:val="22"/>
                <w:sz w:val="22"/>
              </w:rPr>
              <w:t>Grantee of Equipment Authorization,</w:t>
            </w:r>
            <w:r>
              <w:rPr>
                <w:snapToGrid w:val="0"/>
                <w:kern w:val="22"/>
                <w:sz w:val="22"/>
              </w:rPr>
              <w:br/>
              <w:t>FCC ID No. XRLTG-VIPJAMM</w:t>
            </w:r>
          </w:p>
          <w:p w:rsidR="00502BCD" w:rsidRDefault="00502BCD">
            <w:pPr>
              <w:rPr>
                <w:snapToGrid w:val="0"/>
                <w:kern w:val="22"/>
                <w:sz w:val="22"/>
              </w:rPr>
            </w:pPr>
          </w:p>
        </w:tc>
        <w:tc>
          <w:tcPr>
            <w:tcW w:w="630" w:type="dxa"/>
          </w:tcPr>
          <w:p w:rsidR="00502BCD" w:rsidRDefault="00502BCD">
            <w:pPr>
              <w:tabs>
                <w:tab w:val="center" w:pos="4680"/>
              </w:tabs>
              <w:suppressAutoHyphens/>
              <w:rPr>
                <w:snapToGrid w:val="0"/>
                <w:kern w:val="22"/>
                <w:sz w:val="22"/>
              </w:rPr>
            </w:pPr>
            <w:r>
              <w:rPr>
                <w:snapToGrid w:val="0"/>
                <w:kern w:val="22"/>
                <w:sz w:val="22"/>
              </w:rPr>
              <w:t>)</w:t>
            </w:r>
          </w:p>
          <w:p w:rsidR="00502BCD" w:rsidRDefault="00502BCD">
            <w:pPr>
              <w:tabs>
                <w:tab w:val="center" w:pos="4680"/>
              </w:tabs>
              <w:suppressAutoHyphens/>
              <w:rPr>
                <w:snapToGrid w:val="0"/>
                <w:kern w:val="22"/>
                <w:sz w:val="22"/>
              </w:rPr>
            </w:pPr>
            <w:r>
              <w:rPr>
                <w:snapToGrid w:val="0"/>
                <w:kern w:val="22"/>
                <w:sz w:val="22"/>
              </w:rPr>
              <w:t>)</w:t>
            </w:r>
          </w:p>
          <w:p w:rsidR="00502BCD" w:rsidRDefault="00502BCD">
            <w:pPr>
              <w:tabs>
                <w:tab w:val="center" w:pos="4680"/>
              </w:tabs>
              <w:suppressAutoHyphens/>
              <w:rPr>
                <w:snapToGrid w:val="0"/>
                <w:kern w:val="22"/>
                <w:sz w:val="22"/>
              </w:rPr>
            </w:pPr>
            <w:r>
              <w:rPr>
                <w:snapToGrid w:val="0"/>
                <w:kern w:val="22"/>
                <w:sz w:val="22"/>
              </w:rPr>
              <w:t>)</w:t>
            </w:r>
          </w:p>
          <w:p w:rsidR="00502BCD" w:rsidRDefault="00502BCD">
            <w:pPr>
              <w:tabs>
                <w:tab w:val="center" w:pos="4680"/>
              </w:tabs>
              <w:suppressAutoHyphens/>
              <w:rPr>
                <w:snapToGrid w:val="0"/>
                <w:kern w:val="22"/>
                <w:sz w:val="22"/>
              </w:rPr>
            </w:pPr>
            <w:r>
              <w:rPr>
                <w:snapToGrid w:val="0"/>
                <w:kern w:val="22"/>
                <w:sz w:val="22"/>
              </w:rPr>
              <w:t>)</w:t>
            </w:r>
          </w:p>
          <w:p w:rsidR="00502BCD" w:rsidRDefault="00502BCD">
            <w:pPr>
              <w:tabs>
                <w:tab w:val="center" w:pos="4680"/>
              </w:tabs>
              <w:suppressAutoHyphens/>
              <w:rPr>
                <w:snapToGrid w:val="0"/>
                <w:kern w:val="22"/>
                <w:sz w:val="22"/>
              </w:rPr>
            </w:pPr>
            <w:r>
              <w:rPr>
                <w:snapToGrid w:val="0"/>
                <w:kern w:val="22"/>
                <w:sz w:val="22"/>
              </w:rPr>
              <w:t>)</w:t>
            </w:r>
          </w:p>
          <w:p w:rsidR="00502BCD" w:rsidRDefault="00502BCD">
            <w:pPr>
              <w:tabs>
                <w:tab w:val="center" w:pos="4680"/>
              </w:tabs>
              <w:suppressAutoHyphens/>
              <w:rPr>
                <w:snapToGrid w:val="0"/>
                <w:kern w:val="22"/>
                <w:sz w:val="22"/>
              </w:rPr>
            </w:pPr>
            <w:r>
              <w:rPr>
                <w:snapToGrid w:val="0"/>
                <w:kern w:val="22"/>
                <w:sz w:val="22"/>
              </w:rPr>
              <w:t>)</w:t>
            </w:r>
          </w:p>
          <w:p w:rsidR="00502BCD" w:rsidRDefault="00502BCD">
            <w:pPr>
              <w:pStyle w:val="Header"/>
              <w:suppressAutoHyphens/>
              <w:rPr>
                <w:snapToGrid w:val="0"/>
                <w:kern w:val="22"/>
                <w:sz w:val="22"/>
              </w:rPr>
            </w:pPr>
            <w:r>
              <w:rPr>
                <w:snapToGrid w:val="0"/>
                <w:kern w:val="22"/>
                <w:sz w:val="22"/>
              </w:rPr>
              <w:t>)</w:t>
            </w:r>
          </w:p>
          <w:p w:rsidR="00502BCD" w:rsidRDefault="00502BCD">
            <w:pPr>
              <w:pStyle w:val="Header"/>
              <w:suppressAutoHyphens/>
              <w:rPr>
                <w:snapToGrid w:val="0"/>
                <w:kern w:val="22"/>
                <w:sz w:val="22"/>
              </w:rPr>
            </w:pPr>
          </w:p>
        </w:tc>
        <w:tc>
          <w:tcPr>
            <w:tcW w:w="4248" w:type="dxa"/>
          </w:tcPr>
          <w:p w:rsidR="0098056A" w:rsidRPr="0098056A" w:rsidRDefault="0098056A" w:rsidP="0098056A">
            <w:pPr>
              <w:tabs>
                <w:tab w:val="center" w:pos="4680"/>
              </w:tabs>
              <w:suppressAutoHyphens/>
              <w:rPr>
                <w:snapToGrid w:val="0"/>
                <w:kern w:val="22"/>
                <w:sz w:val="22"/>
              </w:rPr>
            </w:pPr>
            <w:r w:rsidRPr="0098056A">
              <w:rPr>
                <w:snapToGrid w:val="0"/>
                <w:kern w:val="22"/>
                <w:sz w:val="22"/>
              </w:rPr>
              <w:t>EB Docket No.: 1</w:t>
            </w:r>
            <w:r w:rsidR="00BF25D1">
              <w:rPr>
                <w:snapToGrid w:val="0"/>
                <w:kern w:val="22"/>
                <w:sz w:val="22"/>
              </w:rPr>
              <w:t>5-</w:t>
            </w:r>
            <w:r w:rsidR="00DF1E8D">
              <w:rPr>
                <w:snapToGrid w:val="0"/>
                <w:kern w:val="22"/>
                <w:sz w:val="22"/>
              </w:rPr>
              <w:t>67</w:t>
            </w:r>
          </w:p>
          <w:p w:rsidR="00502BCD" w:rsidRDefault="00502BCD">
            <w:pPr>
              <w:tabs>
                <w:tab w:val="center" w:pos="4680"/>
              </w:tabs>
              <w:suppressAutoHyphens/>
              <w:rPr>
                <w:snapToGrid w:val="0"/>
                <w:kern w:val="22"/>
                <w:sz w:val="22"/>
              </w:rPr>
            </w:pPr>
          </w:p>
          <w:p w:rsidR="00502BCD" w:rsidRDefault="00502BCD">
            <w:pPr>
              <w:tabs>
                <w:tab w:val="center" w:pos="4680"/>
              </w:tabs>
              <w:suppressAutoHyphens/>
              <w:spacing w:after="120"/>
              <w:rPr>
                <w:snapToGrid w:val="0"/>
                <w:kern w:val="22"/>
                <w:sz w:val="22"/>
              </w:rPr>
            </w:pPr>
            <w:r>
              <w:rPr>
                <w:snapToGrid w:val="0"/>
                <w:kern w:val="22"/>
                <w:sz w:val="22"/>
              </w:rPr>
              <w:t>File No.: EB-10-SE-164</w:t>
            </w:r>
          </w:p>
          <w:p w:rsidR="00502BCD" w:rsidRDefault="00502BCD">
            <w:pPr>
              <w:tabs>
                <w:tab w:val="center" w:pos="4680"/>
              </w:tabs>
              <w:suppressAutoHyphens/>
              <w:spacing w:after="120"/>
              <w:rPr>
                <w:snapToGrid w:val="0"/>
                <w:kern w:val="22"/>
                <w:sz w:val="22"/>
              </w:rPr>
            </w:pPr>
            <w:r>
              <w:rPr>
                <w:snapToGrid w:val="0"/>
                <w:kern w:val="22"/>
                <w:sz w:val="22"/>
              </w:rPr>
              <w:t xml:space="preserve">FRN: </w:t>
            </w:r>
            <w:r>
              <w:rPr>
                <w:sz w:val="22"/>
                <w:szCs w:val="22"/>
              </w:rPr>
              <w:t>0019109180</w:t>
            </w:r>
          </w:p>
          <w:p w:rsidR="00502BCD" w:rsidRDefault="00502BCD">
            <w:pPr>
              <w:tabs>
                <w:tab w:val="center" w:pos="4680"/>
              </w:tabs>
              <w:suppressAutoHyphens/>
              <w:rPr>
                <w:snapToGrid w:val="0"/>
                <w:kern w:val="22"/>
                <w:sz w:val="22"/>
              </w:rPr>
            </w:pPr>
          </w:p>
        </w:tc>
      </w:tr>
    </w:tbl>
    <w:p w:rsidR="00502BCD" w:rsidRDefault="00502BCD">
      <w:pPr>
        <w:pStyle w:val="Heading9"/>
        <w:rPr>
          <w:bCs/>
          <w:snapToGrid w:val="0"/>
          <w:kern w:val="22"/>
          <w:u w:val="none"/>
        </w:rPr>
      </w:pPr>
      <w:r>
        <w:rPr>
          <w:bCs/>
          <w:snapToGrid w:val="0"/>
          <w:kern w:val="22"/>
          <w:u w:val="none"/>
        </w:rPr>
        <w:t xml:space="preserve">ORDER TO SHOW CAUSE  </w:t>
      </w:r>
    </w:p>
    <w:p w:rsidR="00502BCD" w:rsidRDefault="00502BCD">
      <w:pPr>
        <w:pStyle w:val="Heading9"/>
        <w:rPr>
          <w:bCs/>
          <w:snapToGrid w:val="0"/>
          <w:kern w:val="22"/>
          <w:u w:val="none"/>
        </w:rPr>
      </w:pPr>
      <w:r>
        <w:rPr>
          <w:bCs/>
          <w:snapToGrid w:val="0"/>
          <w:kern w:val="22"/>
          <w:u w:val="none"/>
        </w:rPr>
        <w:t>AND NOTICE OF OPPORTUNITY FOR HEARING</w:t>
      </w:r>
    </w:p>
    <w:p w:rsidR="00502BCD" w:rsidRDefault="00502BCD">
      <w:pPr>
        <w:rPr>
          <w:snapToGrid w:val="0"/>
          <w:kern w:val="22"/>
          <w:sz w:val="22"/>
        </w:rPr>
      </w:pPr>
      <w:r>
        <w:rPr>
          <w:snapToGrid w:val="0"/>
          <w:kern w:val="22"/>
          <w:sz w:val="22"/>
        </w:rPr>
        <w:tab/>
      </w:r>
    </w:p>
    <w:p w:rsidR="00502BCD" w:rsidRDefault="00502BCD">
      <w:pPr>
        <w:rPr>
          <w:snapToGrid w:val="0"/>
          <w:kern w:val="22"/>
          <w:sz w:val="22"/>
        </w:rPr>
      </w:pPr>
      <w:r>
        <w:rPr>
          <w:snapToGrid w:val="0"/>
          <w:kern w:val="22"/>
          <w:sz w:val="22"/>
        </w:rPr>
        <w:t xml:space="preserve">Adopted:  </w:t>
      </w:r>
      <w:r w:rsidR="005D60D8">
        <w:rPr>
          <w:snapToGrid w:val="0"/>
          <w:kern w:val="22"/>
          <w:sz w:val="22"/>
        </w:rPr>
        <w:t>April 21</w:t>
      </w:r>
      <w:r w:rsidR="00DF1E8D">
        <w:rPr>
          <w:snapToGrid w:val="0"/>
          <w:kern w:val="22"/>
          <w:sz w:val="22"/>
        </w:rPr>
        <w:t>, 2015</w:t>
      </w:r>
      <w:r w:rsidR="003C10FA">
        <w:rPr>
          <w:snapToGrid w:val="0"/>
          <w:kern w:val="22"/>
          <w:sz w:val="22"/>
        </w:rPr>
        <w:tab/>
      </w:r>
      <w:r>
        <w:rPr>
          <w:b/>
          <w:snapToGrid w:val="0"/>
          <w:kern w:val="22"/>
          <w:sz w:val="22"/>
        </w:rPr>
        <w:tab/>
      </w:r>
      <w:r w:rsidR="00DF1E8D">
        <w:rPr>
          <w:snapToGrid w:val="0"/>
          <w:kern w:val="22"/>
          <w:sz w:val="22"/>
        </w:rPr>
        <w:tab/>
      </w:r>
      <w:r w:rsidR="00DF1E8D">
        <w:rPr>
          <w:snapToGrid w:val="0"/>
          <w:kern w:val="22"/>
          <w:sz w:val="22"/>
        </w:rPr>
        <w:tab/>
      </w:r>
      <w:r w:rsidR="00DF1E8D">
        <w:rPr>
          <w:snapToGrid w:val="0"/>
          <w:kern w:val="22"/>
          <w:sz w:val="22"/>
        </w:rPr>
        <w:tab/>
      </w:r>
      <w:r w:rsidR="00DF1E8D">
        <w:rPr>
          <w:snapToGrid w:val="0"/>
          <w:kern w:val="22"/>
          <w:sz w:val="22"/>
        </w:rPr>
        <w:tab/>
      </w:r>
      <w:r>
        <w:rPr>
          <w:snapToGrid w:val="0"/>
          <w:kern w:val="22"/>
          <w:sz w:val="22"/>
        </w:rPr>
        <w:t xml:space="preserve">Released:  </w:t>
      </w:r>
      <w:r w:rsidR="005D60D8">
        <w:rPr>
          <w:snapToGrid w:val="0"/>
          <w:kern w:val="22"/>
          <w:sz w:val="22"/>
        </w:rPr>
        <w:t>April 21</w:t>
      </w:r>
      <w:r w:rsidR="00DF1E8D">
        <w:rPr>
          <w:snapToGrid w:val="0"/>
          <w:kern w:val="22"/>
          <w:sz w:val="22"/>
        </w:rPr>
        <w:t>, 2015</w:t>
      </w:r>
    </w:p>
    <w:p w:rsidR="00502BCD" w:rsidRDefault="00502BCD">
      <w:pPr>
        <w:rPr>
          <w:snapToGrid w:val="0"/>
          <w:kern w:val="22"/>
          <w:sz w:val="22"/>
        </w:rPr>
      </w:pPr>
    </w:p>
    <w:p w:rsidR="00502BCD" w:rsidRDefault="00502BCD">
      <w:pPr>
        <w:rPr>
          <w:snapToGrid w:val="0"/>
          <w:kern w:val="22"/>
          <w:sz w:val="22"/>
        </w:rPr>
      </w:pPr>
      <w:r>
        <w:rPr>
          <w:snapToGrid w:val="0"/>
          <w:kern w:val="22"/>
          <w:sz w:val="22"/>
        </w:rPr>
        <w:t>By the Chief, Enforcement Bureau:</w:t>
      </w:r>
    </w:p>
    <w:p w:rsidR="00502BCD" w:rsidRDefault="00502BCD">
      <w:pPr>
        <w:rPr>
          <w:sz w:val="22"/>
        </w:rPr>
      </w:pPr>
    </w:p>
    <w:p w:rsidR="00502BCD" w:rsidRPr="00B552A6" w:rsidRDefault="00502BCD" w:rsidP="003E6B62">
      <w:pPr>
        <w:pStyle w:val="ListParagraph"/>
        <w:numPr>
          <w:ilvl w:val="0"/>
          <w:numId w:val="41"/>
        </w:numPr>
        <w:outlineLvl w:val="0"/>
        <w:rPr>
          <w:b/>
          <w:sz w:val="22"/>
        </w:rPr>
      </w:pPr>
      <w:r w:rsidRPr="00B552A6">
        <w:rPr>
          <w:b/>
          <w:sz w:val="22"/>
        </w:rPr>
        <w:t>INTRODUCTION</w:t>
      </w:r>
    </w:p>
    <w:p w:rsidR="00502BCD" w:rsidRPr="00B552A6" w:rsidRDefault="00502BCD">
      <w:pPr>
        <w:rPr>
          <w:sz w:val="22"/>
        </w:rPr>
      </w:pPr>
    </w:p>
    <w:p w:rsidR="00502BCD" w:rsidRPr="00B552A6" w:rsidRDefault="003819A3" w:rsidP="00DF09A1">
      <w:pPr>
        <w:pStyle w:val="ParaNum"/>
        <w:widowControl/>
        <w:tabs>
          <w:tab w:val="num" w:pos="1440"/>
        </w:tabs>
        <w:spacing w:after="120"/>
        <w:ind w:left="0"/>
        <w:jc w:val="left"/>
        <w:rPr>
          <w:kern w:val="22"/>
        </w:rPr>
      </w:pPr>
      <w:r w:rsidRPr="00B552A6">
        <w:rPr>
          <w:kern w:val="22"/>
        </w:rPr>
        <w:t>W</w:t>
      </w:r>
      <w:r w:rsidR="00502BCD" w:rsidRPr="00B552A6">
        <w:rPr>
          <w:kern w:val="22"/>
        </w:rPr>
        <w:t xml:space="preserve">e </w:t>
      </w:r>
      <w:r w:rsidR="00705D34" w:rsidRPr="00B552A6">
        <w:rPr>
          <w:kern w:val="22"/>
        </w:rPr>
        <w:t>direct Shenzhen Tang</w:t>
      </w:r>
      <w:r w:rsidR="00EA71AD" w:rsidRPr="00B552A6">
        <w:rPr>
          <w:kern w:val="22"/>
        </w:rPr>
        <w:t>reat Technology Company, Ltd. (</w:t>
      </w:r>
      <w:r w:rsidR="00705D34" w:rsidRPr="00B552A6">
        <w:rPr>
          <w:kern w:val="22"/>
        </w:rPr>
        <w:t>Shenzhen), to show cause</w:t>
      </w:r>
      <w:r w:rsidR="006D36D4" w:rsidRPr="00B552A6">
        <w:rPr>
          <w:kern w:val="22"/>
        </w:rPr>
        <w:t xml:space="preserve"> in an administrative hearing</w:t>
      </w:r>
      <w:r w:rsidR="00EE1873" w:rsidRPr="00B552A6">
        <w:rPr>
          <w:kern w:val="22"/>
        </w:rPr>
        <w:t xml:space="preserve"> why its </w:t>
      </w:r>
      <w:r w:rsidR="00312C21">
        <w:rPr>
          <w:kern w:val="22"/>
        </w:rPr>
        <w:t xml:space="preserve">Commission-certified </w:t>
      </w:r>
      <w:r w:rsidR="00705D34" w:rsidRPr="00B552A6">
        <w:rPr>
          <w:kern w:val="22"/>
        </w:rPr>
        <w:t xml:space="preserve">equipment authorization </w:t>
      </w:r>
      <w:r w:rsidR="00110852" w:rsidRPr="00B552A6">
        <w:rPr>
          <w:kern w:val="22"/>
        </w:rPr>
        <w:t xml:space="preserve">(the Disputed Authorization) </w:t>
      </w:r>
      <w:r w:rsidR="00705D34" w:rsidRPr="00B552A6">
        <w:rPr>
          <w:kern w:val="22"/>
        </w:rPr>
        <w:t>should not be revoked.  We take this action</w:t>
      </w:r>
      <w:r w:rsidR="00502BCD" w:rsidRPr="00B552A6">
        <w:rPr>
          <w:kern w:val="22"/>
        </w:rPr>
        <w:t xml:space="preserve"> </w:t>
      </w:r>
      <w:r w:rsidR="0084505D" w:rsidRPr="00B552A6">
        <w:rPr>
          <w:kern w:val="22"/>
        </w:rPr>
        <w:t xml:space="preserve">based on </w:t>
      </w:r>
      <w:r w:rsidR="00705D34" w:rsidRPr="00B552A6">
        <w:rPr>
          <w:kern w:val="22"/>
        </w:rPr>
        <w:t>evidence that Shenz</w:t>
      </w:r>
      <w:r w:rsidR="00EA71AD" w:rsidRPr="00B552A6">
        <w:rPr>
          <w:kern w:val="22"/>
        </w:rPr>
        <w:t>h</w:t>
      </w:r>
      <w:r w:rsidR="0086782D" w:rsidRPr="00B552A6">
        <w:rPr>
          <w:kern w:val="22"/>
        </w:rPr>
        <w:t xml:space="preserve">en </w:t>
      </w:r>
      <w:r w:rsidR="00EF2718" w:rsidRPr="00B552A6">
        <w:rPr>
          <w:kern w:val="22"/>
        </w:rPr>
        <w:t xml:space="preserve">apparently </w:t>
      </w:r>
      <w:r w:rsidR="0086782D" w:rsidRPr="00B552A6">
        <w:rPr>
          <w:kern w:val="22"/>
        </w:rPr>
        <w:t>misrepresented to the Commission the equipment to</w:t>
      </w:r>
      <w:r w:rsidR="00EF2718" w:rsidRPr="0098033E">
        <w:rPr>
          <w:kern w:val="22"/>
        </w:rPr>
        <w:t xml:space="preserve"> be marketed and sold under the Disputed A</w:t>
      </w:r>
      <w:r w:rsidR="0086782D" w:rsidRPr="0098033E">
        <w:rPr>
          <w:kern w:val="22"/>
        </w:rPr>
        <w:t xml:space="preserve">uthorization.  Instead of the approved use, </w:t>
      </w:r>
      <w:r w:rsidR="0086782D" w:rsidRPr="00B552A6">
        <w:rPr>
          <w:kern w:val="22"/>
        </w:rPr>
        <w:t>Shenzhen</w:t>
      </w:r>
      <w:r w:rsidR="0086782D" w:rsidRPr="0098033E">
        <w:rPr>
          <w:kern w:val="22"/>
        </w:rPr>
        <w:t xml:space="preserve"> </w:t>
      </w:r>
      <w:r w:rsidR="00EF2718" w:rsidRPr="0098033E">
        <w:rPr>
          <w:kern w:val="22"/>
        </w:rPr>
        <w:t xml:space="preserve">apparently </w:t>
      </w:r>
      <w:r w:rsidR="0086782D" w:rsidRPr="0098033E">
        <w:rPr>
          <w:kern w:val="22"/>
        </w:rPr>
        <w:t xml:space="preserve">marketed and sold </w:t>
      </w:r>
      <w:r w:rsidR="00110852" w:rsidRPr="0098033E">
        <w:rPr>
          <w:kern w:val="22"/>
        </w:rPr>
        <w:t xml:space="preserve">jammer </w:t>
      </w:r>
      <w:r w:rsidR="0086782D" w:rsidRPr="0098033E">
        <w:rPr>
          <w:kern w:val="22"/>
        </w:rPr>
        <w:t>equipment, in violation of Sections 302(b) and 333 of the Communications Act of 1934</w:t>
      </w:r>
      <w:r w:rsidR="00EE1873" w:rsidRPr="0098033E">
        <w:rPr>
          <w:kern w:val="22"/>
        </w:rPr>
        <w:t>.</w:t>
      </w:r>
      <w:r w:rsidR="006F3A06">
        <w:t xml:space="preserve"> </w:t>
      </w:r>
    </w:p>
    <w:p w:rsidR="00502BCD" w:rsidRPr="003E6B62" w:rsidRDefault="00502BCD" w:rsidP="003E6B62">
      <w:pPr>
        <w:pStyle w:val="ListParagraph"/>
        <w:numPr>
          <w:ilvl w:val="0"/>
          <w:numId w:val="41"/>
        </w:numPr>
        <w:suppressAutoHyphens/>
        <w:spacing w:after="220"/>
        <w:outlineLvl w:val="0"/>
        <w:rPr>
          <w:b/>
          <w:snapToGrid w:val="0"/>
          <w:kern w:val="22"/>
          <w:sz w:val="22"/>
        </w:rPr>
      </w:pPr>
      <w:r w:rsidRPr="003E6B62">
        <w:rPr>
          <w:b/>
          <w:bCs/>
          <w:snapToGrid w:val="0"/>
          <w:kern w:val="22"/>
          <w:sz w:val="22"/>
        </w:rPr>
        <w:t>BACKGROUND</w:t>
      </w:r>
      <w:r w:rsidRPr="003E6B62">
        <w:rPr>
          <w:b/>
          <w:snapToGrid w:val="0"/>
          <w:kern w:val="22"/>
          <w:sz w:val="22"/>
        </w:rPr>
        <w:tab/>
      </w:r>
    </w:p>
    <w:p w:rsidR="00D73061" w:rsidRPr="00110852" w:rsidRDefault="00D73061" w:rsidP="00110852">
      <w:pPr>
        <w:pStyle w:val="ParaNum"/>
        <w:widowControl/>
        <w:tabs>
          <w:tab w:val="left" w:pos="1440"/>
        </w:tabs>
        <w:ind w:left="0"/>
        <w:jc w:val="left"/>
        <w:rPr>
          <w:kern w:val="22"/>
          <w:szCs w:val="22"/>
        </w:rPr>
      </w:pPr>
      <w:r w:rsidRPr="00D73061">
        <w:rPr>
          <w:spacing w:val="-2"/>
        </w:rPr>
        <w:t xml:space="preserve">Cell and other </w:t>
      </w:r>
      <w:r w:rsidRPr="00B552A6">
        <w:rPr>
          <w:spacing w:val="-2"/>
        </w:rPr>
        <w:t>s</w:t>
      </w:r>
      <w:r w:rsidRPr="00B552A6">
        <w:t xml:space="preserve">ignal jammers operate by transmitting radio signals that overpower, block, or interfere with authorized </w:t>
      </w:r>
      <w:r w:rsidR="00EE1873" w:rsidRPr="00B552A6">
        <w:t>communi</w:t>
      </w:r>
      <w:r w:rsidR="00EE1873">
        <w:t>cations.  Although</w:t>
      </w:r>
      <w:r>
        <w:t xml:space="preserve"> these devices have been marketed with increasing frequency over the Internet, their use in the United States is generally unlawful</w:t>
      </w:r>
      <w:r w:rsidR="00110852">
        <w:t>.</w:t>
      </w:r>
      <w:r>
        <w:rPr>
          <w:rStyle w:val="FootnoteReference"/>
          <w:szCs w:val="22"/>
        </w:rPr>
        <w:footnoteReference w:id="1"/>
      </w:r>
      <w:r>
        <w:t xml:space="preserve">  Jammers are designed to impede authorized communications, thereby interfering with the rights of the general public and legitimate spectrum users.  They may also disrupt critical emergency communications between first responders, such as public safety, law enforcement, </w:t>
      </w:r>
      <w:r w:rsidRPr="00B552A6">
        <w:t>emergency</w:t>
      </w:r>
      <w:r>
        <w:t xml:space="preserve"> medical, and emergency response personnel.  Similarly, jammers can endanger life and property by preventing individuals from making     9-1-1 or other emergency calls or disrupting communications essential to aviation and marine safety.  In order to protect the public and preserve unfettered access to and use of emergency and other communications services, the Act generally prohibits the importation, use, marketing, manufacture, and sale of jammers.</w:t>
      </w:r>
      <w:r>
        <w:rPr>
          <w:rStyle w:val="FootnoteReference"/>
          <w:szCs w:val="22"/>
        </w:rPr>
        <w:footnoteReference w:id="2"/>
      </w:r>
      <w:r>
        <w:t xml:space="preserve">  </w:t>
      </w:r>
    </w:p>
    <w:p w:rsidR="001D4527" w:rsidRPr="001D4527" w:rsidRDefault="00F55772" w:rsidP="00DF09A1">
      <w:pPr>
        <w:pStyle w:val="ParaNum"/>
        <w:widowControl/>
        <w:tabs>
          <w:tab w:val="left" w:pos="1440"/>
        </w:tabs>
        <w:ind w:left="0"/>
        <w:jc w:val="left"/>
        <w:rPr>
          <w:kern w:val="22"/>
          <w:szCs w:val="22"/>
        </w:rPr>
      </w:pPr>
      <w:r w:rsidRPr="00F55772">
        <w:rPr>
          <w:kern w:val="22"/>
          <w:szCs w:val="22"/>
        </w:rPr>
        <w:lastRenderedPageBreak/>
        <w:t>Shenzhen is a China-based corporation that develops and markets security and telecommunications equipment</w:t>
      </w:r>
      <w:r w:rsidR="0084505D">
        <w:rPr>
          <w:kern w:val="22"/>
          <w:szCs w:val="22"/>
        </w:rPr>
        <w:t xml:space="preserve"> and by its own description specializes in jammer equipment</w:t>
      </w:r>
      <w:r w:rsidRPr="00F55772">
        <w:rPr>
          <w:kern w:val="22"/>
          <w:szCs w:val="22"/>
        </w:rPr>
        <w:t>.</w:t>
      </w:r>
      <w:r>
        <w:rPr>
          <w:rStyle w:val="FootnoteReference"/>
          <w:kern w:val="22"/>
          <w:szCs w:val="22"/>
        </w:rPr>
        <w:footnoteReference w:id="3"/>
      </w:r>
      <w:r w:rsidRPr="00F55772">
        <w:rPr>
          <w:kern w:val="22"/>
          <w:szCs w:val="22"/>
        </w:rPr>
        <w:t xml:space="preserve">  In 2009, Shenzhen submitted an application to an authorized </w:t>
      </w:r>
      <w:r w:rsidRPr="00F55772">
        <w:rPr>
          <w:kern w:val="22"/>
        </w:rPr>
        <w:t>Telecommunications Certification Body (TCB)</w:t>
      </w:r>
      <w:r>
        <w:rPr>
          <w:rStyle w:val="FootnoteReference"/>
          <w:kern w:val="22"/>
        </w:rPr>
        <w:footnoteReference w:id="4"/>
      </w:r>
      <w:r w:rsidRPr="00F55772">
        <w:rPr>
          <w:kern w:val="22"/>
          <w:szCs w:val="22"/>
        </w:rPr>
        <w:t xml:space="preserve"> seeking equipment authorization for a device that Shenzhen intended to market in the United States.</w:t>
      </w:r>
      <w:r>
        <w:rPr>
          <w:rStyle w:val="FootnoteReference"/>
          <w:kern w:val="22"/>
          <w:szCs w:val="22"/>
        </w:rPr>
        <w:footnoteReference w:id="5"/>
      </w:r>
      <w:r w:rsidR="00DF09A1">
        <w:rPr>
          <w:kern w:val="22"/>
          <w:szCs w:val="22"/>
        </w:rPr>
        <w:t xml:space="preserve">  </w:t>
      </w:r>
      <w:r w:rsidRPr="00DF09A1">
        <w:rPr>
          <w:kern w:val="22"/>
        </w:rPr>
        <w:t>Shenzhen’s application described the device as a “JBP - Part 15 Class B computing peripheral”</w:t>
      </w:r>
      <w:r>
        <w:rPr>
          <w:rStyle w:val="FootnoteReference"/>
          <w:kern w:val="22"/>
        </w:rPr>
        <w:footnoteReference w:id="6"/>
      </w:r>
      <w:r w:rsidRPr="00DF09A1">
        <w:rPr>
          <w:kern w:val="22"/>
        </w:rPr>
        <w:t xml:space="preserve"> to be used for “preprocessing data.”</w:t>
      </w:r>
      <w:r>
        <w:rPr>
          <w:rStyle w:val="FootnoteReference"/>
          <w:kern w:val="22"/>
          <w:szCs w:val="22"/>
        </w:rPr>
        <w:footnoteReference w:id="7"/>
      </w:r>
    </w:p>
    <w:p w:rsidR="00D73061" w:rsidRDefault="00DF09A1" w:rsidP="00D73061">
      <w:pPr>
        <w:pStyle w:val="ParaNum"/>
        <w:widowControl/>
        <w:tabs>
          <w:tab w:val="left" w:pos="1440"/>
        </w:tabs>
        <w:ind w:left="0"/>
        <w:jc w:val="left"/>
        <w:rPr>
          <w:kern w:val="22"/>
          <w:szCs w:val="22"/>
        </w:rPr>
      </w:pPr>
      <w:r>
        <w:rPr>
          <w:kern w:val="22"/>
        </w:rPr>
        <w:t>During its review of the application, the</w:t>
      </w:r>
      <w:r w:rsidR="00EA71AD" w:rsidRPr="00DF09A1">
        <w:rPr>
          <w:kern w:val="22"/>
        </w:rPr>
        <w:t xml:space="preserve"> </w:t>
      </w:r>
      <w:r w:rsidRPr="00DF09A1">
        <w:rPr>
          <w:kern w:val="22"/>
        </w:rPr>
        <w:t xml:space="preserve">TCB observed </w:t>
      </w:r>
      <w:r w:rsidR="00F55772" w:rsidRPr="00DF09A1">
        <w:rPr>
          <w:kern w:val="22"/>
        </w:rPr>
        <w:t>that the block diagram and schematics accompanying the a</w:t>
      </w:r>
      <w:r w:rsidR="00E44E1E" w:rsidRPr="00DF09A1">
        <w:rPr>
          <w:kern w:val="22"/>
        </w:rPr>
        <w:t xml:space="preserve">pplication appeared to depict </w:t>
      </w:r>
      <w:r w:rsidR="00F55772" w:rsidRPr="00DF09A1">
        <w:rPr>
          <w:kern w:val="22"/>
        </w:rPr>
        <w:t>receiver circuitry</w:t>
      </w:r>
      <w:r w:rsidR="00EA71AD" w:rsidRPr="00DF09A1">
        <w:rPr>
          <w:kern w:val="22"/>
        </w:rPr>
        <w:t xml:space="preserve">, which would mean the device was </w:t>
      </w:r>
      <w:r w:rsidR="00110852">
        <w:rPr>
          <w:kern w:val="22"/>
        </w:rPr>
        <w:t xml:space="preserve">not a peripheral device but </w:t>
      </w:r>
      <w:r w:rsidR="00EA71AD" w:rsidRPr="00DF09A1">
        <w:rPr>
          <w:kern w:val="22"/>
        </w:rPr>
        <w:t>an “intentional radiator” subject to processing under different Commission Rules.</w:t>
      </w:r>
      <w:r w:rsidR="00EA71AD">
        <w:rPr>
          <w:rStyle w:val="FootnoteReference"/>
          <w:kern w:val="22"/>
        </w:rPr>
        <w:footnoteReference w:id="8"/>
      </w:r>
      <w:r w:rsidR="00F55772" w:rsidRPr="00DF09A1">
        <w:rPr>
          <w:kern w:val="22"/>
        </w:rPr>
        <w:t xml:space="preserve">  In response, Shenzhen resubmitted the application with revised exhibits that no longer depicted receiver circuitry.</w:t>
      </w:r>
      <w:r w:rsidR="00F55772">
        <w:rPr>
          <w:rStyle w:val="FootnoteReference"/>
          <w:kern w:val="22"/>
        </w:rPr>
        <w:footnoteReference w:id="9"/>
      </w:r>
      <w:r w:rsidR="00F55772" w:rsidRPr="00DF09A1">
        <w:rPr>
          <w:kern w:val="22"/>
        </w:rPr>
        <w:t xml:space="preserve">  </w:t>
      </w:r>
      <w:r w:rsidR="008175B1" w:rsidRPr="00DF09A1">
        <w:rPr>
          <w:kern w:val="22"/>
        </w:rPr>
        <w:t>The TCB determined that t</w:t>
      </w:r>
      <w:r w:rsidR="00F55772" w:rsidRPr="00DF09A1">
        <w:rPr>
          <w:kern w:val="22"/>
        </w:rPr>
        <w:t xml:space="preserve">he revised technical information </w:t>
      </w:r>
      <w:r w:rsidR="008175B1" w:rsidRPr="00DF09A1">
        <w:rPr>
          <w:kern w:val="22"/>
        </w:rPr>
        <w:t xml:space="preserve">generally </w:t>
      </w:r>
      <w:r w:rsidR="008861EC" w:rsidRPr="00DF09A1">
        <w:rPr>
          <w:kern w:val="22"/>
        </w:rPr>
        <w:t>supported Shenzhen’s</w:t>
      </w:r>
      <w:r w:rsidR="00F55772" w:rsidRPr="00DF09A1">
        <w:rPr>
          <w:kern w:val="22"/>
        </w:rPr>
        <w:t xml:space="preserve"> characterization of the device as a peripheral capable of complying with the Commission’s Rules applicable to unintentional radiators.</w:t>
      </w:r>
      <w:r w:rsidR="00F55772">
        <w:rPr>
          <w:rStyle w:val="FootnoteReference"/>
          <w:kern w:val="22"/>
        </w:rPr>
        <w:footnoteReference w:id="10"/>
      </w:r>
      <w:r w:rsidR="00F55772" w:rsidRPr="00DF09A1">
        <w:rPr>
          <w:kern w:val="22"/>
        </w:rPr>
        <w:t xml:space="preserve">  Accordingly, on October 20, 2009 the TCB granted </w:t>
      </w:r>
      <w:r w:rsidR="00067BA8" w:rsidRPr="00DF09A1">
        <w:rPr>
          <w:kern w:val="22"/>
        </w:rPr>
        <w:t xml:space="preserve">Shenzhen’s request for an equipment authorization </w:t>
      </w:r>
      <w:r w:rsidR="00F55772" w:rsidRPr="00DF09A1">
        <w:rPr>
          <w:kern w:val="22"/>
          <w:szCs w:val="22"/>
        </w:rPr>
        <w:t xml:space="preserve">under </w:t>
      </w:r>
      <w:r w:rsidR="004A2C8C" w:rsidRPr="00DF09A1">
        <w:rPr>
          <w:kern w:val="22"/>
        </w:rPr>
        <w:t xml:space="preserve">the </w:t>
      </w:r>
      <w:r w:rsidR="00EA71AD" w:rsidRPr="00DF09A1">
        <w:rPr>
          <w:kern w:val="22"/>
        </w:rPr>
        <w:t>Disputed Authorization</w:t>
      </w:r>
      <w:r w:rsidR="00F55772" w:rsidRPr="00DF09A1">
        <w:rPr>
          <w:kern w:val="22"/>
        </w:rPr>
        <w:t>.</w:t>
      </w:r>
      <w:r w:rsidR="00F55772">
        <w:rPr>
          <w:rStyle w:val="FootnoteReference"/>
          <w:kern w:val="22"/>
        </w:rPr>
        <w:footnoteReference w:id="11"/>
      </w:r>
      <w:r w:rsidR="00F55772" w:rsidRPr="00DF09A1">
        <w:rPr>
          <w:kern w:val="22"/>
        </w:rPr>
        <w:t xml:space="preserve">  </w:t>
      </w:r>
    </w:p>
    <w:p w:rsidR="00F55772" w:rsidRPr="00D73061" w:rsidRDefault="00F55772" w:rsidP="00DF09A1">
      <w:pPr>
        <w:pStyle w:val="ParaNum"/>
        <w:widowControl/>
        <w:tabs>
          <w:tab w:val="left" w:pos="1440"/>
        </w:tabs>
        <w:ind w:left="0"/>
        <w:jc w:val="left"/>
        <w:rPr>
          <w:kern w:val="22"/>
          <w:szCs w:val="22"/>
        </w:rPr>
      </w:pPr>
      <w:r w:rsidRPr="00D73061">
        <w:rPr>
          <w:kern w:val="22"/>
          <w:szCs w:val="22"/>
        </w:rPr>
        <w:t xml:space="preserve">In early 2010, the Enforcement Bureau (Bureau) received information indicating that a device called TxTStopper™ was being offered for sale in the United States for the purpose of preventing cell phones from being used in moving vehicles.  The Bureau </w:t>
      </w:r>
      <w:r w:rsidR="000B6F23" w:rsidRPr="00D73061">
        <w:rPr>
          <w:kern w:val="22"/>
          <w:szCs w:val="22"/>
        </w:rPr>
        <w:t xml:space="preserve">began </w:t>
      </w:r>
      <w:r w:rsidRPr="00D73061">
        <w:rPr>
          <w:kern w:val="22"/>
          <w:szCs w:val="22"/>
        </w:rPr>
        <w:t>an investigation</w:t>
      </w:r>
      <w:r w:rsidR="0028102A" w:rsidRPr="00D73061">
        <w:rPr>
          <w:kern w:val="22"/>
          <w:szCs w:val="22"/>
        </w:rPr>
        <w:t xml:space="preserve"> to determine whether the apparatus might constitute an i</w:t>
      </w:r>
      <w:r w:rsidR="00110852">
        <w:rPr>
          <w:kern w:val="22"/>
          <w:szCs w:val="22"/>
        </w:rPr>
        <w:t>llegal cell phone jammer</w:t>
      </w:r>
      <w:r w:rsidR="0028102A" w:rsidRPr="00D73061">
        <w:rPr>
          <w:kern w:val="22"/>
          <w:szCs w:val="22"/>
        </w:rPr>
        <w:t xml:space="preserve">.  </w:t>
      </w:r>
      <w:r w:rsidRPr="00D73061">
        <w:rPr>
          <w:kern w:val="22"/>
          <w:szCs w:val="22"/>
        </w:rPr>
        <w:t xml:space="preserve">TxTStopper™ was </w:t>
      </w:r>
      <w:r w:rsidR="00415E35" w:rsidRPr="00D73061">
        <w:rPr>
          <w:kern w:val="22"/>
          <w:szCs w:val="22"/>
        </w:rPr>
        <w:t xml:space="preserve">being marketed </w:t>
      </w:r>
      <w:r w:rsidRPr="00D73061">
        <w:rPr>
          <w:kern w:val="22"/>
          <w:szCs w:val="22"/>
        </w:rPr>
        <w:t>as a “state of the art, hard wired mobile electronic device that totally prevents cell phone use while the vehicle is in drive mode.”</w:t>
      </w:r>
      <w:r w:rsidRPr="001A4E77">
        <w:rPr>
          <w:rStyle w:val="FootnoteReference"/>
          <w:kern w:val="22"/>
          <w:szCs w:val="22"/>
        </w:rPr>
        <w:footnoteReference w:id="12"/>
      </w:r>
      <w:r w:rsidRPr="00D73061">
        <w:rPr>
          <w:kern w:val="22"/>
          <w:szCs w:val="22"/>
        </w:rPr>
        <w:t xml:space="preserve">  The </w:t>
      </w:r>
      <w:r w:rsidR="00415E35" w:rsidRPr="00D73061">
        <w:rPr>
          <w:kern w:val="22"/>
          <w:szCs w:val="22"/>
        </w:rPr>
        <w:t xml:space="preserve">associated </w:t>
      </w:r>
      <w:r w:rsidRPr="00D73061">
        <w:rPr>
          <w:kern w:val="22"/>
          <w:szCs w:val="22"/>
        </w:rPr>
        <w:t>website indicated that TxTStopper™ worked</w:t>
      </w:r>
      <w:r w:rsidR="00415E35" w:rsidRPr="00D73061">
        <w:rPr>
          <w:kern w:val="22"/>
          <w:szCs w:val="22"/>
        </w:rPr>
        <w:t xml:space="preserve"> with any U.S.-based cell phone </w:t>
      </w:r>
      <w:r w:rsidRPr="00D73061">
        <w:rPr>
          <w:kern w:val="22"/>
          <w:szCs w:val="22"/>
        </w:rPr>
        <w:t xml:space="preserve">to prevent anyone in the vehicle from making or receiving cell phone calls, text </w:t>
      </w:r>
      <w:r w:rsidRPr="00D73061">
        <w:rPr>
          <w:kern w:val="22"/>
          <w:szCs w:val="22"/>
        </w:rPr>
        <w:lastRenderedPageBreak/>
        <w:t>messages, and e-mails within the “TXTSafe Zone™</w:t>
      </w:r>
      <w:r w:rsidR="00415E35" w:rsidRPr="00D73061">
        <w:rPr>
          <w:kern w:val="22"/>
          <w:szCs w:val="22"/>
        </w:rPr>
        <w:t>.</w:t>
      </w:r>
      <w:r w:rsidR="00415E35">
        <w:rPr>
          <w:rStyle w:val="FootnoteReference"/>
          <w:kern w:val="22"/>
          <w:szCs w:val="22"/>
        </w:rPr>
        <w:footnoteReference w:id="13"/>
      </w:r>
      <w:r w:rsidR="00415E35" w:rsidRPr="00D73061">
        <w:rPr>
          <w:kern w:val="22"/>
          <w:szCs w:val="22"/>
        </w:rPr>
        <w:t xml:space="preserve">   Once </w:t>
      </w:r>
      <w:r w:rsidRPr="00D73061">
        <w:rPr>
          <w:kern w:val="22"/>
          <w:szCs w:val="22"/>
        </w:rPr>
        <w:t xml:space="preserve">installed, </w:t>
      </w:r>
      <w:r w:rsidR="00415E35" w:rsidRPr="00D73061">
        <w:rPr>
          <w:kern w:val="22"/>
          <w:szCs w:val="22"/>
        </w:rPr>
        <w:t>the TxTStopper™</w:t>
      </w:r>
      <w:r w:rsidR="008861EC" w:rsidRPr="00D73061">
        <w:rPr>
          <w:kern w:val="22"/>
          <w:szCs w:val="22"/>
        </w:rPr>
        <w:t xml:space="preserve"> </w:t>
      </w:r>
      <w:r w:rsidRPr="00D73061">
        <w:rPr>
          <w:kern w:val="22"/>
          <w:szCs w:val="22"/>
        </w:rPr>
        <w:t>could not be intentionally or accidentally disabled by the driver.</w:t>
      </w:r>
      <w:r w:rsidR="00415E35">
        <w:rPr>
          <w:rStyle w:val="FootnoteReference"/>
          <w:kern w:val="22"/>
          <w:szCs w:val="22"/>
        </w:rPr>
        <w:footnoteReference w:id="14"/>
      </w:r>
      <w:r w:rsidRPr="00D73061">
        <w:rPr>
          <w:kern w:val="22"/>
          <w:szCs w:val="22"/>
        </w:rPr>
        <w:t xml:space="preserve"> </w:t>
      </w:r>
    </w:p>
    <w:p w:rsidR="00F55772" w:rsidRPr="00D10BA3" w:rsidRDefault="00F55772" w:rsidP="00DF09A1">
      <w:pPr>
        <w:pStyle w:val="ParaNum"/>
        <w:widowControl/>
        <w:tabs>
          <w:tab w:val="left" w:pos="1440"/>
        </w:tabs>
        <w:ind w:left="0"/>
        <w:jc w:val="left"/>
        <w:rPr>
          <w:kern w:val="22"/>
          <w:szCs w:val="22"/>
        </w:rPr>
      </w:pPr>
      <w:r w:rsidRPr="00D10BA3">
        <w:rPr>
          <w:kern w:val="22"/>
          <w:szCs w:val="22"/>
        </w:rPr>
        <w:t>On July 20, 2010, the Bureau sent a letter of inquiry (LOI) to Share Enterprises Unlimited, Inc. (Share), the company that operated the txtstopper.com website</w:t>
      </w:r>
      <w:r w:rsidR="008861EC">
        <w:rPr>
          <w:kern w:val="22"/>
          <w:szCs w:val="22"/>
        </w:rPr>
        <w:t xml:space="preserve"> requesting, among other inquiries, a sample of the </w:t>
      </w:r>
      <w:r w:rsidR="008861EC" w:rsidRPr="00D10BA3">
        <w:rPr>
          <w:kern w:val="22"/>
          <w:szCs w:val="22"/>
        </w:rPr>
        <w:t>TxTStopper™ device for independent testing</w:t>
      </w:r>
      <w:r w:rsidRPr="00D10BA3">
        <w:rPr>
          <w:kern w:val="22"/>
          <w:szCs w:val="22"/>
        </w:rPr>
        <w:t>.</w:t>
      </w:r>
      <w:r>
        <w:rPr>
          <w:rStyle w:val="FootnoteReference"/>
          <w:kern w:val="22"/>
          <w:szCs w:val="22"/>
        </w:rPr>
        <w:footnoteReference w:id="15"/>
      </w:r>
      <w:r w:rsidRPr="00D10BA3">
        <w:rPr>
          <w:kern w:val="22"/>
          <w:szCs w:val="22"/>
        </w:rPr>
        <w:t xml:space="preserve">  In its</w:t>
      </w:r>
      <w:r w:rsidR="003340A4">
        <w:rPr>
          <w:kern w:val="22"/>
          <w:szCs w:val="22"/>
        </w:rPr>
        <w:t xml:space="preserve"> September 6, 2010</w:t>
      </w:r>
      <w:r w:rsidRPr="00D10BA3">
        <w:rPr>
          <w:kern w:val="22"/>
          <w:szCs w:val="22"/>
        </w:rPr>
        <w:t xml:space="preserve"> response, Share stated that it began “market research” of the TxTStopper™ on July 1, 2010, in response to a new Georgia law that banned texting while driving as well as other global initiatives intended to eliminate cell phone use while operating a motor vehicle.</w:t>
      </w:r>
      <w:r>
        <w:rPr>
          <w:rStyle w:val="FootnoteReference"/>
          <w:kern w:val="22"/>
          <w:szCs w:val="22"/>
        </w:rPr>
        <w:footnoteReference w:id="16"/>
      </w:r>
      <w:r w:rsidRPr="00D10BA3">
        <w:rPr>
          <w:kern w:val="22"/>
          <w:szCs w:val="22"/>
        </w:rPr>
        <w:t xml:space="preserve">  According to Share, TxTStopper™ affected only cell phones inside a vehicle in which the device was installed, and created no outside interference.</w:t>
      </w:r>
      <w:r>
        <w:rPr>
          <w:rStyle w:val="FootnoteReference"/>
          <w:kern w:val="22"/>
          <w:szCs w:val="22"/>
        </w:rPr>
        <w:footnoteReference w:id="17"/>
      </w:r>
      <w:r w:rsidRPr="00D10BA3">
        <w:rPr>
          <w:kern w:val="22"/>
          <w:szCs w:val="22"/>
        </w:rPr>
        <w:t xml:space="preserve">  Share further asserted that TxTStopper™ did not interfere with the user’s ability to make 9-1-1 calls at any time.</w:t>
      </w:r>
      <w:r>
        <w:rPr>
          <w:rStyle w:val="FootnoteReference"/>
          <w:kern w:val="22"/>
          <w:szCs w:val="22"/>
        </w:rPr>
        <w:footnoteReference w:id="18"/>
      </w:r>
      <w:r w:rsidRPr="00D10BA3">
        <w:rPr>
          <w:kern w:val="22"/>
          <w:szCs w:val="22"/>
        </w:rPr>
        <w:t xml:space="preserve">  </w:t>
      </w:r>
      <w:r w:rsidR="008329C5" w:rsidRPr="00D10BA3">
        <w:rPr>
          <w:kern w:val="22"/>
          <w:szCs w:val="22"/>
        </w:rPr>
        <w:t xml:space="preserve">Although </w:t>
      </w:r>
      <w:r w:rsidRPr="00D10BA3">
        <w:rPr>
          <w:szCs w:val="22"/>
        </w:rPr>
        <w:t>Share did not provide any technical data or other evidence to substantiate these claims</w:t>
      </w:r>
      <w:r w:rsidR="008329C5" w:rsidRPr="00D10BA3">
        <w:rPr>
          <w:szCs w:val="22"/>
        </w:rPr>
        <w:t>, it represented t</w:t>
      </w:r>
      <w:r w:rsidR="001D4527">
        <w:rPr>
          <w:szCs w:val="22"/>
        </w:rPr>
        <w:t>hat the device had been certified</w:t>
      </w:r>
      <w:r w:rsidR="008329C5" w:rsidRPr="00D10BA3">
        <w:rPr>
          <w:szCs w:val="22"/>
        </w:rPr>
        <w:t xml:space="preserve"> </w:t>
      </w:r>
      <w:r w:rsidRPr="00D10BA3">
        <w:rPr>
          <w:kern w:val="22"/>
          <w:szCs w:val="22"/>
        </w:rPr>
        <w:t>under</w:t>
      </w:r>
      <w:r w:rsidR="004A2C8C">
        <w:rPr>
          <w:kern w:val="22"/>
          <w:szCs w:val="22"/>
        </w:rPr>
        <w:t xml:space="preserve"> the </w:t>
      </w:r>
      <w:r w:rsidR="00EA71AD">
        <w:rPr>
          <w:kern w:val="22"/>
          <w:szCs w:val="22"/>
        </w:rPr>
        <w:t>Disputed Authorization</w:t>
      </w:r>
      <w:r w:rsidRPr="00D10BA3">
        <w:rPr>
          <w:kern w:val="22"/>
        </w:rPr>
        <w:t>.</w:t>
      </w:r>
      <w:r>
        <w:rPr>
          <w:rStyle w:val="FootnoteReference"/>
          <w:kern w:val="22"/>
        </w:rPr>
        <w:footnoteReference w:id="19"/>
      </w:r>
      <w:r w:rsidRPr="00D10BA3">
        <w:rPr>
          <w:kern w:val="22"/>
        </w:rPr>
        <w:t xml:space="preserve">  </w:t>
      </w:r>
      <w:r w:rsidR="001D4527">
        <w:rPr>
          <w:kern w:val="22"/>
          <w:szCs w:val="22"/>
        </w:rPr>
        <w:t>Share did not comply with the request for</w:t>
      </w:r>
      <w:r w:rsidRPr="00D10BA3">
        <w:rPr>
          <w:kern w:val="22"/>
          <w:szCs w:val="22"/>
        </w:rPr>
        <w:t xml:space="preserve"> a sample of the device</w:t>
      </w:r>
      <w:r w:rsidR="00B100E5" w:rsidRPr="00D10BA3">
        <w:rPr>
          <w:kern w:val="22"/>
          <w:szCs w:val="22"/>
        </w:rPr>
        <w:t xml:space="preserve">.  </w:t>
      </w:r>
    </w:p>
    <w:p w:rsidR="008175B1" w:rsidRPr="008175B1" w:rsidRDefault="003340A4" w:rsidP="00DF09A1">
      <w:pPr>
        <w:pStyle w:val="ParaNum"/>
        <w:widowControl/>
        <w:tabs>
          <w:tab w:val="left" w:pos="1440"/>
        </w:tabs>
        <w:ind w:left="0"/>
        <w:jc w:val="left"/>
        <w:rPr>
          <w:kern w:val="22"/>
          <w:szCs w:val="22"/>
        </w:rPr>
      </w:pPr>
      <w:r>
        <w:rPr>
          <w:kern w:val="22"/>
          <w:szCs w:val="22"/>
        </w:rPr>
        <w:t xml:space="preserve">The </w:t>
      </w:r>
      <w:r w:rsidR="008175B1" w:rsidRPr="008175B1">
        <w:rPr>
          <w:kern w:val="22"/>
          <w:szCs w:val="22"/>
        </w:rPr>
        <w:t xml:space="preserve">Bureau requested </w:t>
      </w:r>
      <w:r w:rsidR="00DC2444">
        <w:rPr>
          <w:kern w:val="22"/>
          <w:szCs w:val="22"/>
        </w:rPr>
        <w:t xml:space="preserve">that </w:t>
      </w:r>
      <w:r w:rsidR="00D10BA3">
        <w:rPr>
          <w:kern w:val="22"/>
          <w:szCs w:val="22"/>
        </w:rPr>
        <w:t>the Commission</w:t>
      </w:r>
      <w:r w:rsidR="008F59D0">
        <w:rPr>
          <w:kern w:val="22"/>
          <w:szCs w:val="22"/>
        </w:rPr>
        <w:t>’s</w:t>
      </w:r>
      <w:r w:rsidR="00D10BA3">
        <w:rPr>
          <w:kern w:val="22"/>
          <w:szCs w:val="22"/>
        </w:rPr>
        <w:t xml:space="preserve"> Office of Engineering and Technology</w:t>
      </w:r>
      <w:r>
        <w:rPr>
          <w:kern w:val="22"/>
          <w:szCs w:val="22"/>
        </w:rPr>
        <w:t xml:space="preserve"> (OET)</w:t>
      </w:r>
      <w:r w:rsidR="00D10BA3">
        <w:rPr>
          <w:kern w:val="22"/>
          <w:szCs w:val="22"/>
        </w:rPr>
        <w:t xml:space="preserve"> </w:t>
      </w:r>
      <w:r w:rsidR="008175B1" w:rsidRPr="008175B1">
        <w:rPr>
          <w:kern w:val="22"/>
          <w:szCs w:val="22"/>
        </w:rPr>
        <w:t xml:space="preserve">review the </w:t>
      </w:r>
      <w:r>
        <w:rPr>
          <w:kern w:val="22"/>
          <w:szCs w:val="22"/>
        </w:rPr>
        <w:t xml:space="preserve">relevant equipment authorization, </w:t>
      </w:r>
      <w:r w:rsidR="008175B1" w:rsidRPr="008175B1">
        <w:rPr>
          <w:kern w:val="22"/>
        </w:rPr>
        <w:t>as well as the underlying application and supporting documents.</w:t>
      </w:r>
      <w:r w:rsidR="008175B1">
        <w:rPr>
          <w:rStyle w:val="FootnoteReference"/>
          <w:kern w:val="22"/>
        </w:rPr>
        <w:footnoteReference w:id="20"/>
      </w:r>
      <w:r>
        <w:rPr>
          <w:kern w:val="22"/>
        </w:rPr>
        <w:t xml:space="preserve">  OET’s review showed that</w:t>
      </w:r>
      <w:r w:rsidR="001D4527">
        <w:rPr>
          <w:kern w:val="22"/>
        </w:rPr>
        <w:t>,</w:t>
      </w:r>
      <w:r>
        <w:rPr>
          <w:kern w:val="22"/>
        </w:rPr>
        <w:t xml:space="preserve"> although</w:t>
      </w:r>
      <w:r w:rsidR="008175B1" w:rsidRPr="008175B1">
        <w:rPr>
          <w:kern w:val="22"/>
        </w:rPr>
        <w:t xml:space="preserve"> Shenzhen’s application described the proposed device as a computer peripheral and Shenzhen’s accompanying test data suggested that the device generated no emissions other than those associated with a computer-related digital device, </w:t>
      </w:r>
      <w:r w:rsidR="007D342D">
        <w:rPr>
          <w:kern w:val="22"/>
        </w:rPr>
        <w:t xml:space="preserve">Shenzhen </w:t>
      </w:r>
      <w:r w:rsidR="008175B1" w:rsidRPr="008175B1">
        <w:rPr>
          <w:kern w:val="22"/>
        </w:rPr>
        <w:t>nonetheless characterized the equipment as an “RF Jammer.”</w:t>
      </w:r>
      <w:r>
        <w:rPr>
          <w:rStyle w:val="FootnoteReference"/>
          <w:kern w:val="22"/>
        </w:rPr>
        <w:footnoteReference w:id="21"/>
      </w:r>
      <w:r w:rsidR="008175B1" w:rsidRPr="008175B1">
        <w:rPr>
          <w:kern w:val="22"/>
        </w:rPr>
        <w:t xml:space="preserve">  </w:t>
      </w:r>
    </w:p>
    <w:p w:rsidR="008175B1" w:rsidRDefault="0009335A" w:rsidP="00DF09A1">
      <w:pPr>
        <w:pStyle w:val="ParaNum"/>
        <w:widowControl/>
        <w:tabs>
          <w:tab w:val="left" w:pos="1440"/>
        </w:tabs>
        <w:ind w:left="0"/>
        <w:jc w:val="left"/>
        <w:rPr>
          <w:kern w:val="22"/>
          <w:szCs w:val="22"/>
        </w:rPr>
      </w:pPr>
      <w:r>
        <w:rPr>
          <w:kern w:val="22"/>
          <w:szCs w:val="22"/>
        </w:rPr>
        <w:t xml:space="preserve">In response to an OET inquiry, the </w:t>
      </w:r>
      <w:r w:rsidR="008175B1">
        <w:rPr>
          <w:kern w:val="22"/>
          <w:szCs w:val="22"/>
        </w:rPr>
        <w:t xml:space="preserve">TCB </w:t>
      </w:r>
      <w:r w:rsidR="001D4527">
        <w:rPr>
          <w:kern w:val="22"/>
        </w:rPr>
        <w:t>confirmed t</w:t>
      </w:r>
      <w:r w:rsidR="008175B1">
        <w:rPr>
          <w:kern w:val="22"/>
        </w:rPr>
        <w:t xml:space="preserve">hat Shenzhen’s application indicated that the equipment was intended to be used as </w:t>
      </w:r>
      <w:r w:rsidR="008F59D0">
        <w:rPr>
          <w:kern w:val="22"/>
        </w:rPr>
        <w:t xml:space="preserve">a </w:t>
      </w:r>
      <w:r w:rsidR="008175B1">
        <w:rPr>
          <w:kern w:val="22"/>
        </w:rPr>
        <w:t>computing device peripheral.</w:t>
      </w:r>
      <w:r w:rsidR="008175B1">
        <w:rPr>
          <w:rStyle w:val="FootnoteReference"/>
          <w:kern w:val="22"/>
        </w:rPr>
        <w:footnoteReference w:id="22"/>
      </w:r>
      <w:r w:rsidR="008175B1">
        <w:rPr>
          <w:kern w:val="22"/>
        </w:rPr>
        <w:t xml:space="preserve">  The TCB noted that</w:t>
      </w:r>
      <w:r w:rsidR="008E088D">
        <w:rPr>
          <w:kern w:val="22"/>
        </w:rPr>
        <w:t>,</w:t>
      </w:r>
      <w:r w:rsidR="008175B1">
        <w:rPr>
          <w:kern w:val="22"/>
        </w:rPr>
        <w:t xml:space="preserve"> although the diagram that Shenzhen initially provided raised questions about whether the proposed device contained receiver and/or t</w:t>
      </w:r>
      <w:r>
        <w:rPr>
          <w:kern w:val="22"/>
        </w:rPr>
        <w:t xml:space="preserve">ransmitting circuitry, Shenzhen’s revised </w:t>
      </w:r>
      <w:r w:rsidR="008175B1">
        <w:rPr>
          <w:kern w:val="22"/>
        </w:rPr>
        <w:t xml:space="preserve">exhibit </w:t>
      </w:r>
      <w:r w:rsidR="008E088D">
        <w:rPr>
          <w:kern w:val="22"/>
        </w:rPr>
        <w:t xml:space="preserve">addressed those </w:t>
      </w:r>
      <w:r w:rsidR="008175B1">
        <w:rPr>
          <w:kern w:val="22"/>
        </w:rPr>
        <w:t>concerns.  Based on Shenzhen’s representations and its revised schematic diagrams, the TCB ultimately concluded that the device was strictly a computer peripheral without any receiving or transmitting circuitry.</w:t>
      </w:r>
      <w:r w:rsidR="008175B1">
        <w:rPr>
          <w:rStyle w:val="FootnoteReference"/>
          <w:kern w:val="22"/>
        </w:rPr>
        <w:footnoteReference w:id="23"/>
      </w:r>
      <w:r w:rsidR="008175B1">
        <w:rPr>
          <w:kern w:val="22"/>
        </w:rPr>
        <w:t xml:space="preserve">  </w:t>
      </w:r>
    </w:p>
    <w:p w:rsidR="008175B1" w:rsidRDefault="008175B1" w:rsidP="00DF09A1">
      <w:pPr>
        <w:pStyle w:val="ParaNum"/>
        <w:widowControl/>
        <w:tabs>
          <w:tab w:val="left" w:pos="1440"/>
        </w:tabs>
        <w:ind w:left="0"/>
        <w:jc w:val="left"/>
        <w:rPr>
          <w:kern w:val="22"/>
          <w:szCs w:val="22"/>
        </w:rPr>
      </w:pPr>
      <w:r>
        <w:rPr>
          <w:kern w:val="22"/>
          <w:szCs w:val="22"/>
        </w:rPr>
        <w:t xml:space="preserve">On September 9, 2010, OET directed Shenzhen </w:t>
      </w:r>
      <w:r w:rsidR="00AC094B">
        <w:rPr>
          <w:kern w:val="22"/>
          <w:szCs w:val="22"/>
        </w:rPr>
        <w:t xml:space="preserve">to </w:t>
      </w:r>
      <w:r>
        <w:rPr>
          <w:kern w:val="22"/>
          <w:szCs w:val="22"/>
        </w:rPr>
        <w:t>provide within 30 days an explanation as to why the application was submitted as a JBP application for a Part 15 Class B computing peripheral device when it appeared to be an intentional radiator capable of transmitting radio signals.</w:t>
      </w:r>
      <w:r>
        <w:rPr>
          <w:rStyle w:val="FootnoteReference"/>
          <w:kern w:val="22"/>
          <w:szCs w:val="22"/>
        </w:rPr>
        <w:footnoteReference w:id="24"/>
      </w:r>
      <w:r>
        <w:rPr>
          <w:kern w:val="22"/>
          <w:szCs w:val="22"/>
        </w:rPr>
        <w:t xml:space="preserve">  On September 16, 2010, OET </w:t>
      </w:r>
      <w:r w:rsidR="006E1FFF">
        <w:rPr>
          <w:kern w:val="22"/>
          <w:szCs w:val="22"/>
        </w:rPr>
        <w:t>directed</w:t>
      </w:r>
      <w:r w:rsidR="0009335A">
        <w:rPr>
          <w:kern w:val="22"/>
          <w:szCs w:val="22"/>
        </w:rPr>
        <w:t xml:space="preserve"> </w:t>
      </w:r>
      <w:r>
        <w:rPr>
          <w:kern w:val="22"/>
          <w:szCs w:val="22"/>
        </w:rPr>
        <w:t xml:space="preserve">Shenzhen </w:t>
      </w:r>
      <w:r w:rsidR="006E1FFF">
        <w:rPr>
          <w:kern w:val="22"/>
          <w:szCs w:val="22"/>
        </w:rPr>
        <w:t xml:space="preserve">to </w:t>
      </w:r>
      <w:r>
        <w:rPr>
          <w:kern w:val="22"/>
          <w:szCs w:val="22"/>
        </w:rPr>
        <w:t xml:space="preserve">provide within 30 days a sample of the device certified under </w:t>
      </w:r>
      <w:r w:rsidR="004A2C8C">
        <w:rPr>
          <w:kern w:val="22"/>
          <w:szCs w:val="22"/>
        </w:rPr>
        <w:t xml:space="preserve">the </w:t>
      </w:r>
      <w:r w:rsidR="00EA71AD">
        <w:rPr>
          <w:kern w:val="22"/>
          <w:szCs w:val="22"/>
        </w:rPr>
        <w:t>Disputed Authorization</w:t>
      </w:r>
      <w:r w:rsidR="004A2C8C">
        <w:rPr>
          <w:kern w:val="22"/>
          <w:szCs w:val="22"/>
        </w:rPr>
        <w:t xml:space="preserve"> </w:t>
      </w:r>
      <w:r>
        <w:rPr>
          <w:kern w:val="22"/>
        </w:rPr>
        <w:t>to the OET Laboratory for testing.</w:t>
      </w:r>
      <w:r>
        <w:rPr>
          <w:rStyle w:val="FootnoteReference"/>
          <w:kern w:val="22"/>
        </w:rPr>
        <w:footnoteReference w:id="25"/>
      </w:r>
      <w:r>
        <w:rPr>
          <w:kern w:val="22"/>
        </w:rPr>
        <w:t xml:space="preserve">  There is no record that Shenzhen ever re</w:t>
      </w:r>
      <w:r w:rsidR="008E088D">
        <w:rPr>
          <w:kern w:val="22"/>
        </w:rPr>
        <w:t xml:space="preserve">sponded to either </w:t>
      </w:r>
      <w:r w:rsidR="002E393F">
        <w:rPr>
          <w:kern w:val="22"/>
        </w:rPr>
        <w:t>directive</w:t>
      </w:r>
      <w:r>
        <w:rPr>
          <w:kern w:val="22"/>
        </w:rPr>
        <w:t xml:space="preserve">.  </w:t>
      </w:r>
    </w:p>
    <w:p w:rsidR="00F41708" w:rsidRDefault="008175B1" w:rsidP="00F41708">
      <w:pPr>
        <w:pStyle w:val="ParaNum"/>
        <w:widowControl/>
        <w:tabs>
          <w:tab w:val="left" w:pos="1440"/>
        </w:tabs>
        <w:ind w:left="0"/>
        <w:jc w:val="left"/>
        <w:rPr>
          <w:kern w:val="22"/>
          <w:szCs w:val="22"/>
        </w:rPr>
      </w:pPr>
      <w:r>
        <w:rPr>
          <w:kern w:val="22"/>
          <w:szCs w:val="22"/>
        </w:rPr>
        <w:t xml:space="preserve">On November 2, 2010, agents from the Bureau’s Atlanta Field Office examined a unit of the </w:t>
      </w:r>
      <w:r>
        <w:rPr>
          <w:szCs w:val="22"/>
        </w:rPr>
        <w:t>TxTStopper™ that had been installed in a vehicle owned by Just Driver Training, a driver’s education training school located in Canton, Georgia.  Tests conducted by the agents indicated that the TxTStopper™ was in fact a cellular/PCS jamming device and that, when installed in a vehicle, the TxTStopper™ was capable of blocking cellular communications initiated from both inside and outside of the vehicle,</w:t>
      </w:r>
      <w:r>
        <w:rPr>
          <w:rStyle w:val="FootnoteReference"/>
          <w:szCs w:val="22"/>
        </w:rPr>
        <w:footnoteReference w:id="26"/>
      </w:r>
      <w:r>
        <w:rPr>
          <w:szCs w:val="22"/>
        </w:rPr>
        <w:t xml:space="preserve"> apparently including 9-1-1 and other emergency calls.</w:t>
      </w:r>
      <w:r w:rsidR="00F55772">
        <w:rPr>
          <w:szCs w:val="22"/>
        </w:rPr>
        <w:t xml:space="preserve"> </w:t>
      </w:r>
    </w:p>
    <w:p w:rsidR="00502BCD" w:rsidRPr="003E6B62" w:rsidRDefault="00502BCD" w:rsidP="003E6B62">
      <w:pPr>
        <w:pStyle w:val="ParaNum"/>
        <w:numPr>
          <w:ilvl w:val="0"/>
          <w:numId w:val="40"/>
        </w:numPr>
        <w:rPr>
          <w:b/>
        </w:rPr>
      </w:pPr>
      <w:r w:rsidRPr="003E6B62">
        <w:rPr>
          <w:b/>
        </w:rPr>
        <w:t xml:space="preserve">DISCUSSION </w:t>
      </w:r>
    </w:p>
    <w:p w:rsidR="008F59D0" w:rsidRDefault="00D073BE" w:rsidP="008E088D">
      <w:pPr>
        <w:pStyle w:val="ParaNum"/>
        <w:widowControl/>
        <w:tabs>
          <w:tab w:val="left" w:pos="1440"/>
        </w:tabs>
        <w:ind w:left="0"/>
        <w:jc w:val="left"/>
        <w:rPr>
          <w:kern w:val="22"/>
        </w:rPr>
      </w:pPr>
      <w:r>
        <w:rPr>
          <w:kern w:val="22"/>
        </w:rPr>
        <w:t xml:space="preserve">Revoking </w:t>
      </w:r>
      <w:r w:rsidR="00CE3187">
        <w:rPr>
          <w:kern w:val="22"/>
        </w:rPr>
        <w:t>an</w:t>
      </w:r>
      <w:r>
        <w:rPr>
          <w:kern w:val="22"/>
        </w:rPr>
        <w:t xml:space="preserve"> equipment authorization requires</w:t>
      </w:r>
      <w:r w:rsidR="00CE3187">
        <w:rPr>
          <w:kern w:val="22"/>
        </w:rPr>
        <w:t xml:space="preserve"> the same procedures </w:t>
      </w:r>
      <w:r w:rsidR="008E088D">
        <w:rPr>
          <w:kern w:val="22"/>
        </w:rPr>
        <w:t xml:space="preserve">as </w:t>
      </w:r>
      <w:r>
        <w:rPr>
          <w:kern w:val="22"/>
        </w:rPr>
        <w:t xml:space="preserve">revoking a </w:t>
      </w:r>
      <w:r w:rsidR="00CE3187">
        <w:rPr>
          <w:kern w:val="22"/>
        </w:rPr>
        <w:t>radio station license</w:t>
      </w:r>
      <w:r w:rsidR="008E088D">
        <w:rPr>
          <w:kern w:val="22"/>
        </w:rPr>
        <w:t>.</w:t>
      </w:r>
      <w:r>
        <w:rPr>
          <w:rStyle w:val="FootnoteReference"/>
          <w:rFonts w:ascii="Times New Roman" w:hAnsi="Times New Roman"/>
          <w:kern w:val="22"/>
          <w:sz w:val="22"/>
        </w:rPr>
        <w:footnoteReference w:id="27"/>
      </w:r>
      <w:r w:rsidR="008E088D">
        <w:rPr>
          <w:kern w:val="22"/>
        </w:rPr>
        <w:t xml:space="preserve">  The</w:t>
      </w:r>
      <w:r>
        <w:rPr>
          <w:kern w:val="22"/>
        </w:rPr>
        <w:t xml:space="preserve"> </w:t>
      </w:r>
      <w:r w:rsidRPr="00CE3187">
        <w:rPr>
          <w:kern w:val="22"/>
        </w:rPr>
        <w:t xml:space="preserve">Commission must serve the licensee with an order to show cause why revocation should not be </w:t>
      </w:r>
      <w:r>
        <w:rPr>
          <w:kern w:val="22"/>
        </w:rPr>
        <w:t xml:space="preserve">ordered </w:t>
      </w:r>
      <w:r w:rsidRPr="00CE3187">
        <w:rPr>
          <w:kern w:val="22"/>
        </w:rPr>
        <w:t xml:space="preserve">and must provide the licensee with an opportunity for </w:t>
      </w:r>
      <w:r w:rsidR="00162CB5">
        <w:rPr>
          <w:kern w:val="22"/>
        </w:rPr>
        <w:t xml:space="preserve">a </w:t>
      </w:r>
      <w:r w:rsidRPr="00CE3187">
        <w:rPr>
          <w:kern w:val="22"/>
        </w:rPr>
        <w:t>heari</w:t>
      </w:r>
      <w:r>
        <w:rPr>
          <w:kern w:val="22"/>
        </w:rPr>
        <w:t>ng</w:t>
      </w:r>
      <w:r w:rsidR="00CE3187" w:rsidRPr="00CE3187">
        <w:rPr>
          <w:kern w:val="22"/>
        </w:rPr>
        <w:t>.</w:t>
      </w:r>
      <w:r w:rsidR="00CE3187">
        <w:rPr>
          <w:rStyle w:val="FootnoteReference"/>
          <w:rFonts w:ascii="Times New Roman" w:hAnsi="Times New Roman"/>
          <w:kern w:val="22"/>
          <w:sz w:val="22"/>
        </w:rPr>
        <w:footnoteReference w:id="28"/>
      </w:r>
      <w:r w:rsidR="008E088D">
        <w:rPr>
          <w:kern w:val="22"/>
        </w:rPr>
        <w:t xml:space="preserve">  </w:t>
      </w:r>
      <w:r w:rsidR="00CE3187" w:rsidRPr="008E088D">
        <w:rPr>
          <w:kern w:val="22"/>
        </w:rPr>
        <w:t xml:space="preserve">As relevant here, the Commission may revoke any equipment authorization for any of the following </w:t>
      </w:r>
      <w:r w:rsidR="008E088D">
        <w:rPr>
          <w:kern w:val="22"/>
        </w:rPr>
        <w:t>r</w:t>
      </w:r>
      <w:r w:rsidR="00CE3187" w:rsidRPr="008E088D">
        <w:rPr>
          <w:kern w:val="22"/>
        </w:rPr>
        <w:t xml:space="preserve">easons: </w:t>
      </w:r>
    </w:p>
    <w:p w:rsidR="008F59D0" w:rsidRDefault="00CE3187" w:rsidP="008F59D0">
      <w:pPr>
        <w:pStyle w:val="ParaNum"/>
        <w:widowControl/>
        <w:numPr>
          <w:ilvl w:val="1"/>
          <w:numId w:val="43"/>
        </w:numPr>
        <w:tabs>
          <w:tab w:val="left" w:pos="1440"/>
        </w:tabs>
        <w:jc w:val="left"/>
        <w:rPr>
          <w:kern w:val="22"/>
        </w:rPr>
      </w:pPr>
      <w:r w:rsidRPr="008E088D">
        <w:rPr>
          <w:kern w:val="22"/>
        </w:rPr>
        <w:t>“false statements or representations made either in the application or in materials or response submitted in connection therewith;”</w:t>
      </w:r>
      <w:r>
        <w:rPr>
          <w:rStyle w:val="FootnoteReference"/>
          <w:kern w:val="22"/>
        </w:rPr>
        <w:footnoteReference w:id="29"/>
      </w:r>
      <w:r w:rsidRPr="008E088D">
        <w:rPr>
          <w:kern w:val="22"/>
        </w:rPr>
        <w:t xml:space="preserve"> </w:t>
      </w:r>
    </w:p>
    <w:p w:rsidR="008F59D0" w:rsidRDefault="00CE3187" w:rsidP="008F59D0">
      <w:pPr>
        <w:pStyle w:val="ParaNum"/>
        <w:widowControl/>
        <w:numPr>
          <w:ilvl w:val="1"/>
          <w:numId w:val="43"/>
        </w:numPr>
        <w:tabs>
          <w:tab w:val="left" w:pos="1440"/>
        </w:tabs>
        <w:jc w:val="left"/>
        <w:rPr>
          <w:kern w:val="22"/>
        </w:rPr>
      </w:pPr>
      <w:r w:rsidRPr="008E088D">
        <w:rPr>
          <w:kern w:val="22"/>
        </w:rPr>
        <w:t>“[i]f upon subsequent inspection or operation it is determined that the equipment does not conform to the pertinent technical requirements or to the representations made in the original</w:t>
      </w:r>
      <w:r w:rsidR="00190527" w:rsidRPr="008E088D">
        <w:rPr>
          <w:kern w:val="22"/>
        </w:rPr>
        <w:t xml:space="preserve"> application;</w:t>
      </w:r>
      <w:r w:rsidRPr="008E088D">
        <w:rPr>
          <w:kern w:val="22"/>
        </w:rPr>
        <w:t>”</w:t>
      </w:r>
      <w:r>
        <w:rPr>
          <w:rStyle w:val="FootnoteReference"/>
          <w:rFonts w:ascii="Times New Roman" w:hAnsi="Times New Roman"/>
          <w:kern w:val="22"/>
          <w:sz w:val="22"/>
        </w:rPr>
        <w:footnoteReference w:id="30"/>
      </w:r>
      <w:r w:rsidRPr="008E088D">
        <w:rPr>
          <w:kern w:val="22"/>
        </w:rPr>
        <w:t xml:space="preserve"> </w:t>
      </w:r>
    </w:p>
    <w:p w:rsidR="008F59D0" w:rsidRDefault="00CE3187" w:rsidP="008F59D0">
      <w:pPr>
        <w:pStyle w:val="ParaNum"/>
        <w:widowControl/>
        <w:numPr>
          <w:ilvl w:val="1"/>
          <w:numId w:val="43"/>
        </w:numPr>
        <w:tabs>
          <w:tab w:val="left" w:pos="1440"/>
        </w:tabs>
        <w:jc w:val="left"/>
        <w:rPr>
          <w:kern w:val="22"/>
        </w:rPr>
      </w:pPr>
      <w:r w:rsidRPr="008E088D">
        <w:rPr>
          <w:kern w:val="22"/>
        </w:rPr>
        <w:t>“[i]f it is determined that changes have been made in the equipment other than those authorized by the rules or otherwise express</w:t>
      </w:r>
      <w:r w:rsidR="00190527" w:rsidRPr="008E088D">
        <w:rPr>
          <w:kern w:val="22"/>
        </w:rPr>
        <w:t>ly authorized by the Commission;</w:t>
      </w:r>
      <w:r w:rsidRPr="008E088D">
        <w:rPr>
          <w:kern w:val="22"/>
        </w:rPr>
        <w:t>”</w:t>
      </w:r>
      <w:r>
        <w:rPr>
          <w:rStyle w:val="FootnoteReference"/>
          <w:kern w:val="22"/>
        </w:rPr>
        <w:footnoteReference w:id="31"/>
      </w:r>
      <w:r w:rsidR="00190527" w:rsidRPr="008E088D">
        <w:rPr>
          <w:kern w:val="22"/>
        </w:rPr>
        <w:t xml:space="preserve"> or </w:t>
      </w:r>
    </w:p>
    <w:p w:rsidR="008F59D0" w:rsidRDefault="00DC2444" w:rsidP="008F59D0">
      <w:pPr>
        <w:pStyle w:val="ParaNum"/>
        <w:widowControl/>
        <w:numPr>
          <w:ilvl w:val="1"/>
          <w:numId w:val="43"/>
        </w:numPr>
        <w:tabs>
          <w:tab w:val="left" w:pos="1440"/>
        </w:tabs>
        <w:jc w:val="left"/>
        <w:rPr>
          <w:kern w:val="22"/>
        </w:rPr>
      </w:pPr>
      <w:r>
        <w:rPr>
          <w:kern w:val="22"/>
        </w:rPr>
        <w:t xml:space="preserve">“because </w:t>
      </w:r>
      <w:r w:rsidR="00CE3187" w:rsidRPr="008E088D">
        <w:rPr>
          <w:kern w:val="22"/>
        </w:rPr>
        <w:t xml:space="preserve">of conditions </w:t>
      </w:r>
      <w:r>
        <w:rPr>
          <w:kern w:val="22"/>
        </w:rPr>
        <w:t xml:space="preserve">coming to the attention of the Commission </w:t>
      </w:r>
      <w:r w:rsidR="00CE3187" w:rsidRPr="008E088D">
        <w:rPr>
          <w:kern w:val="22"/>
        </w:rPr>
        <w:t>which would warrant it</w:t>
      </w:r>
      <w:r>
        <w:rPr>
          <w:kern w:val="22"/>
        </w:rPr>
        <w:t xml:space="preserve"> in refusing </w:t>
      </w:r>
      <w:r w:rsidR="00CE3187" w:rsidRPr="008E088D">
        <w:rPr>
          <w:kern w:val="22"/>
        </w:rPr>
        <w:t>to grant an original application.</w:t>
      </w:r>
      <w:r>
        <w:rPr>
          <w:kern w:val="22"/>
        </w:rPr>
        <w:t>”</w:t>
      </w:r>
      <w:r w:rsidR="00CE3187">
        <w:rPr>
          <w:rStyle w:val="FootnoteReference"/>
          <w:rFonts w:ascii="Times New Roman" w:hAnsi="Times New Roman"/>
          <w:kern w:val="22"/>
          <w:sz w:val="22"/>
        </w:rPr>
        <w:footnoteReference w:id="32"/>
      </w:r>
      <w:r w:rsidR="00CE3187" w:rsidRPr="008E088D">
        <w:rPr>
          <w:kern w:val="22"/>
        </w:rPr>
        <w:t xml:space="preserve">  </w:t>
      </w:r>
    </w:p>
    <w:p w:rsidR="00D073BE" w:rsidRPr="008E088D" w:rsidRDefault="00190527" w:rsidP="008F59D0">
      <w:pPr>
        <w:pStyle w:val="ParaNum"/>
        <w:widowControl/>
        <w:numPr>
          <w:ilvl w:val="0"/>
          <w:numId w:val="0"/>
        </w:numPr>
        <w:tabs>
          <w:tab w:val="left" w:pos="1440"/>
        </w:tabs>
        <w:jc w:val="left"/>
        <w:rPr>
          <w:kern w:val="22"/>
        </w:rPr>
      </w:pPr>
      <w:r w:rsidRPr="008E088D">
        <w:rPr>
          <w:kern w:val="22"/>
        </w:rPr>
        <w:t>Shenzhen</w:t>
      </w:r>
      <w:r w:rsidR="008E088D">
        <w:rPr>
          <w:kern w:val="22"/>
        </w:rPr>
        <w:t>’s</w:t>
      </w:r>
      <w:r w:rsidRPr="008E088D">
        <w:rPr>
          <w:kern w:val="22"/>
        </w:rPr>
        <w:t xml:space="preserve"> </w:t>
      </w:r>
      <w:r w:rsidR="00D073BE" w:rsidRPr="008E088D">
        <w:rPr>
          <w:kern w:val="22"/>
        </w:rPr>
        <w:t xml:space="preserve">original application </w:t>
      </w:r>
      <w:r w:rsidR="00B61139">
        <w:rPr>
          <w:kern w:val="22"/>
        </w:rPr>
        <w:t xml:space="preserve">apparently </w:t>
      </w:r>
      <w:r w:rsidR="00D073BE" w:rsidRPr="008E088D">
        <w:rPr>
          <w:kern w:val="22"/>
        </w:rPr>
        <w:t>conta</w:t>
      </w:r>
      <w:r w:rsidR="008E088D">
        <w:rPr>
          <w:kern w:val="22"/>
        </w:rPr>
        <w:t xml:space="preserve">ined misrepresentations and/or </w:t>
      </w:r>
      <w:r w:rsidR="00D073BE" w:rsidRPr="008E088D">
        <w:rPr>
          <w:kern w:val="22"/>
        </w:rPr>
        <w:t xml:space="preserve">unauthorized changes were </w:t>
      </w:r>
      <w:r w:rsidR="00B61139">
        <w:rPr>
          <w:kern w:val="22"/>
        </w:rPr>
        <w:t xml:space="preserve">apparently </w:t>
      </w:r>
      <w:r w:rsidR="00D073BE" w:rsidRPr="008E088D">
        <w:rPr>
          <w:kern w:val="22"/>
        </w:rPr>
        <w:t>made to the TxTStopper</w:t>
      </w:r>
      <w:r w:rsidR="00D073BE" w:rsidRPr="008E088D">
        <w:rPr>
          <w:kern w:val="22"/>
          <w:vertAlign w:val="superscript"/>
        </w:rPr>
        <w:t>TM</w:t>
      </w:r>
      <w:r w:rsidR="00D073BE" w:rsidRPr="008E088D">
        <w:rPr>
          <w:kern w:val="22"/>
        </w:rPr>
        <w:t xml:space="preserve"> device post-certification.  </w:t>
      </w:r>
      <w:r w:rsidR="00EE1873">
        <w:rPr>
          <w:kern w:val="22"/>
        </w:rPr>
        <w:t xml:space="preserve">Based on these </w:t>
      </w:r>
      <w:r w:rsidR="00485D21">
        <w:rPr>
          <w:kern w:val="22"/>
        </w:rPr>
        <w:t xml:space="preserve">apparent </w:t>
      </w:r>
      <w:r w:rsidR="00EE1873">
        <w:rPr>
          <w:kern w:val="22"/>
        </w:rPr>
        <w:t xml:space="preserve">misrepresentations and/or unauthorized changes, </w:t>
      </w:r>
      <w:r w:rsidR="00D073BE" w:rsidRPr="008E088D">
        <w:rPr>
          <w:kern w:val="22"/>
        </w:rPr>
        <w:t xml:space="preserve">Shenzhen </w:t>
      </w:r>
      <w:r w:rsidR="00CE3187" w:rsidRPr="008E088D">
        <w:rPr>
          <w:kern w:val="22"/>
        </w:rPr>
        <w:t>apparen</w:t>
      </w:r>
      <w:r w:rsidRPr="008E088D">
        <w:rPr>
          <w:kern w:val="22"/>
        </w:rPr>
        <w:t xml:space="preserve">tly, willfully, and repeatedly violated these Rules and </w:t>
      </w:r>
      <w:r w:rsidR="00485D21">
        <w:rPr>
          <w:kern w:val="22"/>
        </w:rPr>
        <w:t xml:space="preserve">therefore substantial and material questions exist as to whether </w:t>
      </w:r>
      <w:r w:rsidRPr="008E088D">
        <w:rPr>
          <w:kern w:val="22"/>
        </w:rPr>
        <w:t>its authorization should be revoked</w:t>
      </w:r>
      <w:r w:rsidR="00D073BE" w:rsidRPr="008E088D">
        <w:rPr>
          <w:kern w:val="22"/>
        </w:rPr>
        <w:t>.</w:t>
      </w:r>
    </w:p>
    <w:p w:rsidR="004A2C8C" w:rsidRPr="00656808" w:rsidRDefault="004A2C8C" w:rsidP="00DF09A1">
      <w:pPr>
        <w:pStyle w:val="ParaNum"/>
        <w:numPr>
          <w:ilvl w:val="0"/>
          <w:numId w:val="33"/>
        </w:numPr>
        <w:rPr>
          <w:b/>
        </w:rPr>
      </w:pPr>
      <w:r w:rsidRPr="00656808">
        <w:rPr>
          <w:b/>
        </w:rPr>
        <w:t xml:space="preserve">Shenzhen Made False Statements </w:t>
      </w:r>
      <w:r w:rsidR="00656808">
        <w:rPr>
          <w:b/>
        </w:rPr>
        <w:t>and/</w:t>
      </w:r>
      <w:r w:rsidRPr="00656808">
        <w:rPr>
          <w:b/>
        </w:rPr>
        <w:t xml:space="preserve">or </w:t>
      </w:r>
      <w:r w:rsidR="00656808">
        <w:rPr>
          <w:b/>
        </w:rPr>
        <w:t>Misr</w:t>
      </w:r>
      <w:r w:rsidRPr="00656808">
        <w:rPr>
          <w:b/>
        </w:rPr>
        <w:t>epresentations in the Application or Supporting Materials</w:t>
      </w:r>
      <w:r w:rsidR="00E50835">
        <w:rPr>
          <w:b/>
        </w:rPr>
        <w:t>.</w:t>
      </w:r>
    </w:p>
    <w:p w:rsidR="004A2C8C" w:rsidRPr="004A2C8C" w:rsidRDefault="004A2C8C" w:rsidP="00DF09A1">
      <w:pPr>
        <w:pStyle w:val="ParaNum"/>
        <w:widowControl/>
        <w:tabs>
          <w:tab w:val="left" w:pos="1440"/>
        </w:tabs>
        <w:ind w:left="0"/>
        <w:jc w:val="left"/>
        <w:rPr>
          <w:kern w:val="22"/>
        </w:rPr>
      </w:pPr>
      <w:r w:rsidRPr="004A2C8C">
        <w:rPr>
          <w:kern w:val="22"/>
        </w:rPr>
        <w:t>Shenzhen’s application described the device as a “JBP - Part 15 Class B compu</w:t>
      </w:r>
      <w:r w:rsidR="003A5118">
        <w:rPr>
          <w:kern w:val="22"/>
        </w:rPr>
        <w:t>ting peripheral.”  By using that description in its application</w:t>
      </w:r>
      <w:r w:rsidRPr="004A2C8C">
        <w:rPr>
          <w:kern w:val="22"/>
        </w:rPr>
        <w:t>, Shenzhen apparently intended for its proposed device to be processed under Commission rules relating to “unintentional radiators.”  When the TCB observed that the block diagram and schematics accompanying the application appeared to depict “receiver circuitry,” Shenzhen resubmitted the application with revised exhibits that no longer depicted receiver circuitry.  The TCB determined that the revised technical information generally supported Shenzhen’s characterization of the device and thus granted Shenzhen’s request</w:t>
      </w:r>
      <w:r w:rsidR="00656808">
        <w:rPr>
          <w:kern w:val="22"/>
        </w:rPr>
        <w:t xml:space="preserve"> for the </w:t>
      </w:r>
      <w:r w:rsidR="00EA71AD">
        <w:rPr>
          <w:kern w:val="22"/>
        </w:rPr>
        <w:t>Disputed Authorization</w:t>
      </w:r>
      <w:r w:rsidRPr="004A2C8C">
        <w:rPr>
          <w:kern w:val="22"/>
        </w:rPr>
        <w:t xml:space="preserve"> based on the revised information.    </w:t>
      </w:r>
    </w:p>
    <w:p w:rsidR="00656808" w:rsidRDefault="004A2C8C" w:rsidP="00DF09A1">
      <w:pPr>
        <w:pStyle w:val="ParaNum"/>
        <w:widowControl/>
        <w:tabs>
          <w:tab w:val="left" w:pos="1440"/>
        </w:tabs>
        <w:ind w:left="0"/>
        <w:jc w:val="left"/>
        <w:rPr>
          <w:kern w:val="22"/>
        </w:rPr>
      </w:pPr>
      <w:r>
        <w:rPr>
          <w:kern w:val="22"/>
        </w:rPr>
        <w:t xml:space="preserve"> </w:t>
      </w:r>
      <w:r w:rsidRPr="004A2C8C">
        <w:rPr>
          <w:kern w:val="22"/>
        </w:rPr>
        <w:t xml:space="preserve">The </w:t>
      </w:r>
      <w:r>
        <w:rPr>
          <w:kern w:val="22"/>
        </w:rPr>
        <w:t xml:space="preserve">Commission’s investigation, however, determined that </w:t>
      </w:r>
      <w:r w:rsidRPr="004A2C8C">
        <w:rPr>
          <w:kern w:val="22"/>
        </w:rPr>
        <w:t xml:space="preserve">the device marketed under </w:t>
      </w:r>
      <w:r w:rsidR="00656808">
        <w:rPr>
          <w:kern w:val="22"/>
        </w:rPr>
        <w:t xml:space="preserve">the </w:t>
      </w:r>
      <w:r w:rsidR="00EA71AD">
        <w:rPr>
          <w:kern w:val="22"/>
        </w:rPr>
        <w:t>Disputed Authorization</w:t>
      </w:r>
      <w:r w:rsidR="00656808">
        <w:rPr>
          <w:kern w:val="22"/>
        </w:rPr>
        <w:t xml:space="preserve"> </w:t>
      </w:r>
      <w:r w:rsidRPr="004A2C8C">
        <w:rPr>
          <w:kern w:val="22"/>
        </w:rPr>
        <w:t xml:space="preserve">is an intentional radiator with a transmitter circuit designed to block, jam, or otherwise interfere with radio communications.  </w:t>
      </w:r>
      <w:r w:rsidR="00656808">
        <w:rPr>
          <w:kern w:val="22"/>
        </w:rPr>
        <w:t xml:space="preserve">The </w:t>
      </w:r>
      <w:r w:rsidRPr="004A2C8C">
        <w:rPr>
          <w:kern w:val="22"/>
        </w:rPr>
        <w:t>Commission’s review of the test report</w:t>
      </w:r>
      <w:r w:rsidRPr="004A2C8C">
        <w:rPr>
          <w:rStyle w:val="FootnoteReference"/>
          <w:kern w:val="22"/>
        </w:rPr>
        <w:t xml:space="preserve"> </w:t>
      </w:r>
      <w:r w:rsidRPr="004A2C8C">
        <w:rPr>
          <w:kern w:val="22"/>
        </w:rPr>
        <w:t xml:space="preserve">and other data submitted with the application indicates that the device approved under </w:t>
      </w:r>
      <w:r w:rsidR="00656808">
        <w:rPr>
          <w:kern w:val="22"/>
        </w:rPr>
        <w:t xml:space="preserve">the </w:t>
      </w:r>
      <w:r w:rsidR="00EA71AD">
        <w:rPr>
          <w:kern w:val="22"/>
        </w:rPr>
        <w:t>Disputed Authorization</w:t>
      </w:r>
      <w:r w:rsidR="00656808">
        <w:rPr>
          <w:kern w:val="22"/>
        </w:rPr>
        <w:t xml:space="preserve"> </w:t>
      </w:r>
      <w:r w:rsidRPr="004A2C8C">
        <w:rPr>
          <w:kern w:val="22"/>
        </w:rPr>
        <w:t>was tested when connected to a personal computer and the AC power line (rather than in a motor vehicle) and that it did not have any circuitry for receiving or transmitting radio signals.</w:t>
      </w:r>
      <w:r w:rsidR="00656808">
        <w:rPr>
          <w:kern w:val="22"/>
        </w:rPr>
        <w:t xml:space="preserve">  </w:t>
      </w:r>
      <w:r w:rsidRPr="00656808">
        <w:rPr>
          <w:kern w:val="22"/>
        </w:rPr>
        <w:t xml:space="preserve">By contrast, the TxTStopper™ device that is being marketed by Share Enterprises under the </w:t>
      </w:r>
      <w:r w:rsidR="00EA71AD">
        <w:rPr>
          <w:kern w:val="22"/>
        </w:rPr>
        <w:t>Disputed Authorization</w:t>
      </w:r>
      <w:r w:rsidRPr="00656808">
        <w:rPr>
          <w:kern w:val="22"/>
        </w:rPr>
        <w:t xml:space="preserve"> is clearly inte</w:t>
      </w:r>
      <w:r w:rsidR="007702E9">
        <w:rPr>
          <w:kern w:val="22"/>
        </w:rPr>
        <w:t xml:space="preserve">nded for use in a motor vehicle, </w:t>
      </w:r>
      <w:r w:rsidRPr="00656808">
        <w:rPr>
          <w:kern w:val="22"/>
        </w:rPr>
        <w:t>is apparently powered by the car battery</w:t>
      </w:r>
      <w:r w:rsidR="007702E9">
        <w:rPr>
          <w:kern w:val="22"/>
        </w:rPr>
        <w:t>, and contains receiving and transmitting circuitry</w:t>
      </w:r>
      <w:r w:rsidRPr="00656808">
        <w:rPr>
          <w:kern w:val="22"/>
        </w:rPr>
        <w:t>.</w:t>
      </w:r>
      <w:r>
        <w:rPr>
          <w:rStyle w:val="FootnoteReference"/>
          <w:kern w:val="22"/>
        </w:rPr>
        <w:footnoteReference w:id="33"/>
      </w:r>
      <w:r w:rsidRPr="00656808">
        <w:rPr>
          <w:kern w:val="22"/>
        </w:rPr>
        <w:t xml:space="preserve">  </w:t>
      </w:r>
    </w:p>
    <w:p w:rsidR="004A2C8C" w:rsidRDefault="004A2C8C" w:rsidP="00DF09A1">
      <w:pPr>
        <w:pStyle w:val="ParaNum"/>
        <w:widowControl/>
        <w:tabs>
          <w:tab w:val="left" w:pos="1440"/>
        </w:tabs>
        <w:ind w:left="0"/>
        <w:jc w:val="left"/>
        <w:rPr>
          <w:kern w:val="22"/>
        </w:rPr>
      </w:pPr>
      <w:r w:rsidRPr="00656808">
        <w:rPr>
          <w:kern w:val="22"/>
        </w:rPr>
        <w:t xml:space="preserve">Accordingly, the device marketed under </w:t>
      </w:r>
      <w:r w:rsidR="00656808">
        <w:rPr>
          <w:kern w:val="22"/>
        </w:rPr>
        <w:t xml:space="preserve">the </w:t>
      </w:r>
      <w:r w:rsidR="00EA71AD">
        <w:rPr>
          <w:kern w:val="22"/>
        </w:rPr>
        <w:t>Disputed Authorization</w:t>
      </w:r>
      <w:r w:rsidR="00656808">
        <w:rPr>
          <w:kern w:val="22"/>
        </w:rPr>
        <w:t xml:space="preserve"> </w:t>
      </w:r>
      <w:r w:rsidR="00485D21">
        <w:rPr>
          <w:kern w:val="22"/>
        </w:rPr>
        <w:t xml:space="preserve">apparently </w:t>
      </w:r>
      <w:r w:rsidRPr="00656808">
        <w:rPr>
          <w:kern w:val="22"/>
        </w:rPr>
        <w:t xml:space="preserve">is not identical to the sample tested as part of the application for certification, nor does it conform to the representations made in the original applications. </w:t>
      </w:r>
      <w:r w:rsidR="00656808">
        <w:rPr>
          <w:kern w:val="22"/>
        </w:rPr>
        <w:t xml:space="preserve"> The representations in the original applications were apparently made to mislead the certification body into concluding </w:t>
      </w:r>
      <w:r w:rsidR="00656808" w:rsidRPr="00656808">
        <w:rPr>
          <w:kern w:val="22"/>
        </w:rPr>
        <w:t>that the device is an unintentional radiator, a Part 15 Class B computer peripheral.</w:t>
      </w:r>
      <w:r w:rsidRPr="00656808">
        <w:rPr>
          <w:kern w:val="22"/>
        </w:rPr>
        <w:t xml:space="preserve"> </w:t>
      </w:r>
      <w:r w:rsidR="00656808">
        <w:rPr>
          <w:kern w:val="22"/>
        </w:rPr>
        <w:t>T</w:t>
      </w:r>
      <w:r w:rsidRPr="00656808">
        <w:rPr>
          <w:kern w:val="22"/>
        </w:rPr>
        <w:t>herefore,</w:t>
      </w:r>
      <w:r w:rsidR="00656808">
        <w:rPr>
          <w:kern w:val="22"/>
        </w:rPr>
        <w:t xml:space="preserve"> </w:t>
      </w:r>
      <w:r w:rsidR="00485D21">
        <w:rPr>
          <w:kern w:val="22"/>
        </w:rPr>
        <w:t xml:space="preserve">substantial and material questions exist as to whether </w:t>
      </w:r>
      <w:r w:rsidR="00AF3A33">
        <w:rPr>
          <w:kern w:val="22"/>
        </w:rPr>
        <w:t xml:space="preserve">the </w:t>
      </w:r>
      <w:r w:rsidR="003A5118">
        <w:rPr>
          <w:kern w:val="22"/>
        </w:rPr>
        <w:t xml:space="preserve">authorization should be revoked </w:t>
      </w:r>
      <w:r w:rsidR="00656808">
        <w:rPr>
          <w:kern w:val="22"/>
        </w:rPr>
        <w:t>because the information in the application was false or misleading</w:t>
      </w:r>
      <w:r w:rsidR="00593564">
        <w:rPr>
          <w:kern w:val="22"/>
        </w:rPr>
        <w:t>.</w:t>
      </w:r>
      <w:r>
        <w:rPr>
          <w:rStyle w:val="FootnoteReference"/>
          <w:kern w:val="22"/>
          <w:szCs w:val="22"/>
        </w:rPr>
        <w:footnoteReference w:id="34"/>
      </w:r>
      <w:r w:rsidRPr="00656808">
        <w:rPr>
          <w:kern w:val="22"/>
        </w:rPr>
        <w:t xml:space="preserve">  </w:t>
      </w:r>
    </w:p>
    <w:p w:rsidR="00656808" w:rsidRPr="00593564" w:rsidRDefault="00485D21" w:rsidP="00DF09A1">
      <w:pPr>
        <w:pStyle w:val="ParaNum"/>
        <w:widowControl/>
        <w:numPr>
          <w:ilvl w:val="0"/>
          <w:numId w:val="33"/>
        </w:numPr>
        <w:tabs>
          <w:tab w:val="left" w:pos="1440"/>
        </w:tabs>
        <w:jc w:val="left"/>
        <w:rPr>
          <w:b/>
          <w:kern w:val="22"/>
        </w:rPr>
      </w:pPr>
      <w:r>
        <w:rPr>
          <w:b/>
          <w:kern w:val="22"/>
        </w:rPr>
        <w:t xml:space="preserve">The </w:t>
      </w:r>
      <w:r w:rsidR="00656808" w:rsidRPr="00593564">
        <w:rPr>
          <w:b/>
          <w:kern w:val="22"/>
        </w:rPr>
        <w:t xml:space="preserve">Equipment </w:t>
      </w:r>
      <w:r w:rsidR="00AF3A33">
        <w:rPr>
          <w:b/>
          <w:kern w:val="22"/>
        </w:rPr>
        <w:t xml:space="preserve">Either </w:t>
      </w:r>
      <w:r w:rsidR="00656808" w:rsidRPr="00593564">
        <w:rPr>
          <w:b/>
          <w:kern w:val="22"/>
        </w:rPr>
        <w:t>Does Not Conform to the Technical Specifications in the Application</w:t>
      </w:r>
      <w:r w:rsidR="00593564">
        <w:rPr>
          <w:b/>
          <w:kern w:val="22"/>
        </w:rPr>
        <w:t xml:space="preserve"> and/or Unauthorized Changes Have Been Made to the Equipment</w:t>
      </w:r>
      <w:r w:rsidR="00E50835">
        <w:rPr>
          <w:b/>
          <w:kern w:val="22"/>
        </w:rPr>
        <w:t>.</w:t>
      </w:r>
    </w:p>
    <w:p w:rsidR="008F59D0" w:rsidRDefault="008F59D0" w:rsidP="00DF09A1">
      <w:pPr>
        <w:pStyle w:val="ParaNum"/>
        <w:widowControl/>
        <w:tabs>
          <w:tab w:val="left" w:pos="1440"/>
        </w:tabs>
        <w:ind w:left="0"/>
        <w:jc w:val="left"/>
        <w:rPr>
          <w:kern w:val="22"/>
        </w:rPr>
      </w:pPr>
      <w:r>
        <w:rPr>
          <w:kern w:val="22"/>
        </w:rPr>
        <w:t xml:space="preserve">The Commission’s investigation demonstrated </w:t>
      </w:r>
      <w:r w:rsidR="003A5118">
        <w:rPr>
          <w:kern w:val="22"/>
        </w:rPr>
        <w:t xml:space="preserve">that the equipment marketed under the Disputed Authorization does not match the specifications described in the application granting the authorization. </w:t>
      </w:r>
      <w:r w:rsidR="007702E9">
        <w:rPr>
          <w:kern w:val="22"/>
        </w:rPr>
        <w:t xml:space="preserve">The nonconformity with the application provides two potential grounds for revocation. </w:t>
      </w:r>
    </w:p>
    <w:p w:rsidR="00B61139" w:rsidRDefault="00312C21" w:rsidP="00DF09A1">
      <w:pPr>
        <w:pStyle w:val="ParaNum"/>
        <w:widowControl/>
        <w:tabs>
          <w:tab w:val="left" w:pos="1440"/>
        </w:tabs>
        <w:ind w:left="0"/>
        <w:jc w:val="left"/>
        <w:rPr>
          <w:kern w:val="22"/>
        </w:rPr>
      </w:pPr>
      <w:r>
        <w:rPr>
          <w:kern w:val="22"/>
        </w:rPr>
        <w:t xml:space="preserve">First, </w:t>
      </w:r>
      <w:r w:rsidR="00485D21">
        <w:rPr>
          <w:kern w:val="22"/>
        </w:rPr>
        <w:t xml:space="preserve">substantial and material questions exist as to whether </w:t>
      </w:r>
      <w:r>
        <w:rPr>
          <w:kern w:val="22"/>
        </w:rPr>
        <w:t>t</w:t>
      </w:r>
      <w:r w:rsidR="008F59D0">
        <w:rPr>
          <w:kern w:val="22"/>
        </w:rPr>
        <w:t xml:space="preserve">he authorization should be revoked because </w:t>
      </w:r>
      <w:r w:rsidR="00593564">
        <w:rPr>
          <w:kern w:val="22"/>
        </w:rPr>
        <w:t>the equipment does not conform to the technical specifications in the applica</w:t>
      </w:r>
      <w:r w:rsidR="008F59D0">
        <w:rPr>
          <w:kern w:val="22"/>
        </w:rPr>
        <w:t>tion</w:t>
      </w:r>
      <w:r w:rsidR="00593564">
        <w:rPr>
          <w:kern w:val="22"/>
        </w:rPr>
        <w:t>.</w:t>
      </w:r>
      <w:r w:rsidR="008F59D0">
        <w:rPr>
          <w:rStyle w:val="FootnoteReference"/>
          <w:kern w:val="22"/>
        </w:rPr>
        <w:footnoteReference w:id="35"/>
      </w:r>
      <w:r w:rsidR="00593564">
        <w:rPr>
          <w:kern w:val="22"/>
        </w:rPr>
        <w:t xml:space="preserve"> </w:t>
      </w:r>
      <w:r w:rsidR="00B61139">
        <w:rPr>
          <w:kern w:val="22"/>
        </w:rPr>
        <w:t xml:space="preserve"> As described above, </w:t>
      </w:r>
      <w:r w:rsidR="00B61139" w:rsidRPr="00593564">
        <w:rPr>
          <w:kern w:val="22"/>
        </w:rPr>
        <w:t>Shenzhen’s application described the device as a “JBP - Part 15 Class B computing peripheral.”</w:t>
      </w:r>
      <w:r w:rsidR="00B61139">
        <w:rPr>
          <w:kern w:val="22"/>
        </w:rPr>
        <w:t xml:space="preserve">  The Commission’s investigation revealed that, contrary to this description, </w:t>
      </w:r>
      <w:r w:rsidR="00B61139" w:rsidRPr="00593564">
        <w:rPr>
          <w:kern w:val="22"/>
        </w:rPr>
        <w:t xml:space="preserve">the device is </w:t>
      </w:r>
      <w:r w:rsidR="00B61139">
        <w:rPr>
          <w:kern w:val="22"/>
        </w:rPr>
        <w:t xml:space="preserve">apparently </w:t>
      </w:r>
      <w:r w:rsidR="00B61139" w:rsidRPr="00593564">
        <w:rPr>
          <w:kern w:val="22"/>
        </w:rPr>
        <w:t>an intentional radiator with a transmitter circuit designed to block, jam, or otherwise interfere with radio communications.</w:t>
      </w:r>
      <w:r w:rsidR="00B61139">
        <w:rPr>
          <w:kern w:val="22"/>
        </w:rPr>
        <w:t xml:space="preserve">  The equipment marketed under the Disputed Authorization therefore does not conform to the specifications in the application, a ground for revocation.</w:t>
      </w:r>
      <w:r w:rsidR="003A5118">
        <w:rPr>
          <w:rStyle w:val="FootnoteReference"/>
          <w:kern w:val="22"/>
        </w:rPr>
        <w:footnoteReference w:id="36"/>
      </w:r>
      <w:r w:rsidR="00B61139">
        <w:rPr>
          <w:kern w:val="22"/>
        </w:rPr>
        <w:t xml:space="preserve"> </w:t>
      </w:r>
    </w:p>
    <w:p w:rsidR="00593564" w:rsidRDefault="00312C21" w:rsidP="00DF09A1">
      <w:pPr>
        <w:pStyle w:val="ParaNum"/>
        <w:widowControl/>
        <w:tabs>
          <w:tab w:val="left" w:pos="1440"/>
        </w:tabs>
        <w:ind w:left="0"/>
        <w:jc w:val="left"/>
        <w:rPr>
          <w:kern w:val="22"/>
        </w:rPr>
      </w:pPr>
      <w:r>
        <w:rPr>
          <w:kern w:val="22"/>
        </w:rPr>
        <w:t>Second, i</w:t>
      </w:r>
      <w:r w:rsidR="00B61139">
        <w:rPr>
          <w:kern w:val="22"/>
        </w:rPr>
        <w:t xml:space="preserve">n the alternative, </w:t>
      </w:r>
      <w:r w:rsidR="00485D21">
        <w:rPr>
          <w:kern w:val="22"/>
        </w:rPr>
        <w:t xml:space="preserve">substantial and material questions exist as to whether </w:t>
      </w:r>
      <w:r w:rsidR="003A5118">
        <w:rPr>
          <w:kern w:val="22"/>
        </w:rPr>
        <w:t xml:space="preserve">the authorization should be revoked </w:t>
      </w:r>
      <w:r w:rsidR="008F59D0">
        <w:rPr>
          <w:kern w:val="22"/>
        </w:rPr>
        <w:t>because of unauthorized changes made to the equipment</w:t>
      </w:r>
      <w:r w:rsidR="00E73B1A">
        <w:rPr>
          <w:kern w:val="22"/>
        </w:rPr>
        <w:t xml:space="preserve"> since the application’s grant</w:t>
      </w:r>
      <w:r w:rsidR="008F59D0">
        <w:rPr>
          <w:kern w:val="22"/>
        </w:rPr>
        <w:t>.</w:t>
      </w:r>
      <w:r w:rsidR="008F59D0">
        <w:rPr>
          <w:rStyle w:val="FootnoteReference"/>
          <w:kern w:val="22"/>
        </w:rPr>
        <w:footnoteReference w:id="37"/>
      </w:r>
      <w:r w:rsidR="008F59D0">
        <w:rPr>
          <w:kern w:val="22"/>
        </w:rPr>
        <w:t xml:space="preserve">  </w:t>
      </w:r>
      <w:r w:rsidR="003A5118">
        <w:rPr>
          <w:kern w:val="22"/>
        </w:rPr>
        <w:t xml:space="preserve">If </w:t>
      </w:r>
      <w:r w:rsidR="00B61139">
        <w:rPr>
          <w:kern w:val="22"/>
        </w:rPr>
        <w:t xml:space="preserve">the specifications were correct at the time of the application, Shenzhen must have made changes to the equipment </w:t>
      </w:r>
      <w:r w:rsidR="00593564">
        <w:rPr>
          <w:kern w:val="22"/>
        </w:rPr>
        <w:t>that were neither authorized by the Rules nor explicitly authorize</w:t>
      </w:r>
      <w:r w:rsidR="003A5118">
        <w:rPr>
          <w:kern w:val="22"/>
        </w:rPr>
        <w:t>d by the Commission</w:t>
      </w:r>
      <w:r w:rsidR="00297640">
        <w:rPr>
          <w:kern w:val="22"/>
        </w:rPr>
        <w:t>.</w:t>
      </w:r>
    </w:p>
    <w:p w:rsidR="00593564" w:rsidRPr="000954CD" w:rsidRDefault="00297640" w:rsidP="00DF09A1">
      <w:pPr>
        <w:pStyle w:val="ParaNum"/>
        <w:widowControl/>
        <w:numPr>
          <w:ilvl w:val="0"/>
          <w:numId w:val="33"/>
        </w:numPr>
        <w:tabs>
          <w:tab w:val="left" w:pos="1440"/>
        </w:tabs>
        <w:jc w:val="left"/>
        <w:rPr>
          <w:b/>
          <w:kern w:val="22"/>
        </w:rPr>
      </w:pPr>
      <w:r w:rsidRPr="000954CD">
        <w:rPr>
          <w:b/>
          <w:kern w:val="22"/>
        </w:rPr>
        <w:t>The Application Never Should Have Been Granted Originally</w:t>
      </w:r>
      <w:r w:rsidR="00E50835">
        <w:rPr>
          <w:b/>
          <w:kern w:val="22"/>
        </w:rPr>
        <w:t>.</w:t>
      </w:r>
    </w:p>
    <w:p w:rsidR="00593564" w:rsidRDefault="00297640" w:rsidP="00DF09A1">
      <w:pPr>
        <w:pStyle w:val="ParaNum"/>
        <w:widowControl/>
        <w:tabs>
          <w:tab w:val="left" w:pos="1440"/>
        </w:tabs>
        <w:ind w:left="0"/>
        <w:jc w:val="left"/>
        <w:rPr>
          <w:kern w:val="22"/>
        </w:rPr>
      </w:pPr>
      <w:r w:rsidRPr="00B01A1E">
        <w:rPr>
          <w:kern w:val="22"/>
        </w:rPr>
        <w:t xml:space="preserve">An </w:t>
      </w:r>
      <w:r>
        <w:t>application for equipment certification should only be granted if it would serve the public interest and the device would comply with the pertinent technical rules.</w:t>
      </w:r>
      <w:r>
        <w:rPr>
          <w:rStyle w:val="FootnoteReference"/>
        </w:rPr>
        <w:footnoteReference w:id="38"/>
      </w:r>
      <w:r>
        <w:t xml:space="preserve">  </w:t>
      </w:r>
      <w:r w:rsidRPr="00B01A1E">
        <w:rPr>
          <w:kern w:val="22"/>
        </w:rPr>
        <w:t xml:space="preserve">As detailed above and based on the field tests conducted by Bureau staff, the TxTStopper™ </w:t>
      </w:r>
      <w:r>
        <w:t>–</w:t>
      </w:r>
      <w:r w:rsidRPr="00B01A1E">
        <w:rPr>
          <w:kern w:val="22"/>
        </w:rPr>
        <w:t xml:space="preserve"> the device apparently being marketed under </w:t>
      </w:r>
      <w:r>
        <w:rPr>
          <w:kern w:val="22"/>
        </w:rPr>
        <w:t xml:space="preserve">the </w:t>
      </w:r>
      <w:r w:rsidR="00EA71AD">
        <w:rPr>
          <w:kern w:val="22"/>
        </w:rPr>
        <w:t>Disputed Authorization</w:t>
      </w:r>
      <w:r>
        <w:rPr>
          <w:kern w:val="22"/>
        </w:rPr>
        <w:t xml:space="preserve"> neither served the public interest nor complied with the pertinent technical rules.  </w:t>
      </w:r>
    </w:p>
    <w:p w:rsidR="00297640" w:rsidRPr="000954CD" w:rsidRDefault="00297640" w:rsidP="00DF09A1">
      <w:pPr>
        <w:pStyle w:val="ParaNum"/>
        <w:widowControl/>
        <w:tabs>
          <w:tab w:val="left" w:pos="1440"/>
        </w:tabs>
        <w:ind w:left="0"/>
        <w:jc w:val="left"/>
        <w:rPr>
          <w:kern w:val="22"/>
        </w:rPr>
      </w:pPr>
      <w:r>
        <w:rPr>
          <w:kern w:val="22"/>
        </w:rPr>
        <w:t xml:space="preserve">The Act and the Rules prohibit the use of </w:t>
      </w:r>
      <w:r w:rsidRPr="00B01A1E">
        <w:rPr>
          <w:kern w:val="22"/>
        </w:rPr>
        <w:t>radio frequency jammer</w:t>
      </w:r>
      <w:r>
        <w:rPr>
          <w:kern w:val="22"/>
        </w:rPr>
        <w:t xml:space="preserve">s </w:t>
      </w:r>
      <w:r w:rsidRPr="00B01A1E">
        <w:rPr>
          <w:kern w:val="22"/>
        </w:rPr>
        <w:t xml:space="preserve">which </w:t>
      </w:r>
      <w:r>
        <w:rPr>
          <w:szCs w:val="22"/>
        </w:rPr>
        <w:t>interfere</w:t>
      </w:r>
      <w:r w:rsidR="00E73B1A">
        <w:rPr>
          <w:szCs w:val="22"/>
        </w:rPr>
        <w:t xml:space="preserve"> with or block</w:t>
      </w:r>
      <w:r w:rsidRPr="00B01A1E">
        <w:rPr>
          <w:szCs w:val="22"/>
        </w:rPr>
        <w:t xml:space="preserve"> authorized radio signals</w:t>
      </w:r>
      <w:r>
        <w:rPr>
          <w:szCs w:val="22"/>
        </w:rPr>
        <w:t>.</w:t>
      </w:r>
      <w:r w:rsidR="000954CD">
        <w:rPr>
          <w:szCs w:val="22"/>
        </w:rPr>
        <w:t xml:space="preserve">  </w:t>
      </w:r>
      <w:r w:rsidR="00B01A1E">
        <w:t xml:space="preserve">The </w:t>
      </w:r>
      <w:r>
        <w:t xml:space="preserve">Act unequivocally </w:t>
      </w:r>
      <w:r w:rsidR="00B01A1E">
        <w:t xml:space="preserve">states that “[n]o person shall willfully or maliciously interfere with or </w:t>
      </w:r>
      <w:r w:rsidR="00B01A1E" w:rsidRPr="00297640">
        <w:rPr>
          <w:kern w:val="22"/>
        </w:rPr>
        <w:t>cause</w:t>
      </w:r>
      <w:r w:rsidR="00B01A1E">
        <w:t xml:space="preserve"> interference to any radio communications of any station licensed or authorized by or under this Act or operated by the United States Government.”</w:t>
      </w:r>
      <w:r w:rsidR="00B01A1E">
        <w:rPr>
          <w:rStyle w:val="FootnoteReference"/>
        </w:rPr>
        <w:footnoteReference w:id="39"/>
      </w:r>
      <w:r w:rsidR="00B01A1E">
        <w:t xml:space="preserve">    </w:t>
      </w:r>
    </w:p>
    <w:p w:rsidR="000954CD" w:rsidRPr="00D975FA" w:rsidRDefault="000954CD" w:rsidP="00DF09A1">
      <w:pPr>
        <w:pStyle w:val="ParaNum"/>
        <w:widowControl/>
        <w:tabs>
          <w:tab w:val="left" w:pos="1440"/>
        </w:tabs>
        <w:ind w:left="0"/>
        <w:jc w:val="left"/>
        <w:rPr>
          <w:kern w:val="22"/>
        </w:rPr>
      </w:pPr>
      <w:r>
        <w:t>Despite</w:t>
      </w:r>
      <w:r w:rsidR="00E73B1A">
        <w:t xml:space="preserve"> this prohibition</w:t>
      </w:r>
      <w:r>
        <w:t xml:space="preserve">, the Commission investigation demonstrated that the device marketed under the </w:t>
      </w:r>
      <w:r w:rsidR="003A5118">
        <w:t xml:space="preserve">Disputed Authorization </w:t>
      </w:r>
      <w:r>
        <w:rPr>
          <w:kern w:val="22"/>
        </w:rPr>
        <w:t xml:space="preserve">could </w:t>
      </w:r>
      <w:r w:rsidRPr="00B01A1E">
        <w:rPr>
          <w:kern w:val="22"/>
        </w:rPr>
        <w:t xml:space="preserve">prevent anyone in a vehicle in which it is installed from making or receiving cell phone calls or sending or receiving text messages or emails on a cell phone, and also can </w:t>
      </w:r>
      <w:r w:rsidRPr="00B01A1E">
        <w:rPr>
          <w:szCs w:val="22"/>
        </w:rPr>
        <w:t>block calls made from outside the vehicle, apparently including 9-1-1 and other emergency calls.</w:t>
      </w:r>
      <w:r>
        <w:rPr>
          <w:rStyle w:val="FootnoteReference"/>
          <w:kern w:val="22"/>
        </w:rPr>
        <w:footnoteReference w:id="40"/>
      </w:r>
      <w:r w:rsidRPr="00B01A1E">
        <w:rPr>
          <w:kern w:val="22"/>
        </w:rPr>
        <w:t xml:space="preserve">  Thus, this device is a radio frequency jammer, which </w:t>
      </w:r>
      <w:r w:rsidRPr="00B01A1E">
        <w:rPr>
          <w:szCs w:val="22"/>
        </w:rPr>
        <w:t>interferes with or blocks authorized radio si</w:t>
      </w:r>
      <w:r>
        <w:rPr>
          <w:szCs w:val="22"/>
        </w:rPr>
        <w:t xml:space="preserve">gnals.  </w:t>
      </w:r>
      <w:r w:rsidR="00E73B1A">
        <w:rPr>
          <w:szCs w:val="22"/>
        </w:rPr>
        <w:t xml:space="preserve">The </w:t>
      </w:r>
      <w:r>
        <w:t xml:space="preserve">device marketed under the </w:t>
      </w:r>
      <w:r w:rsidR="00EA71AD">
        <w:t>Disputed Authorization</w:t>
      </w:r>
      <w:r>
        <w:t xml:space="preserve"> operated as a radio frequency jammer, in violation of the Act, our Rules, and </w:t>
      </w:r>
      <w:r w:rsidR="003A5118">
        <w:t xml:space="preserve">contrary to the public interest, meaning </w:t>
      </w:r>
      <w:r w:rsidR="00485D21">
        <w:rPr>
          <w:kern w:val="22"/>
        </w:rPr>
        <w:t xml:space="preserve">substantial and material questions exist as to whether </w:t>
      </w:r>
      <w:r w:rsidR="003A5118">
        <w:t>the application should have been granted.</w:t>
      </w:r>
      <w:r>
        <w:t xml:space="preserve"> </w:t>
      </w:r>
    </w:p>
    <w:p w:rsidR="00FE0638" w:rsidRPr="00FE0638" w:rsidRDefault="00FE0638" w:rsidP="00FE0638">
      <w:pPr>
        <w:pStyle w:val="ParaNum"/>
        <w:numPr>
          <w:ilvl w:val="0"/>
          <w:numId w:val="40"/>
        </w:numPr>
        <w:rPr>
          <w:b/>
        </w:rPr>
      </w:pPr>
      <w:r w:rsidRPr="00FE0638">
        <w:rPr>
          <w:b/>
        </w:rPr>
        <w:t>CONCLUSION</w:t>
      </w:r>
    </w:p>
    <w:p w:rsidR="00FE0638" w:rsidRDefault="00FE0638" w:rsidP="00FE0638">
      <w:pPr>
        <w:pStyle w:val="ParaNum"/>
        <w:widowControl/>
        <w:tabs>
          <w:tab w:val="clear" w:pos="2520"/>
          <w:tab w:val="left" w:pos="1440"/>
        </w:tabs>
        <w:spacing w:after="240"/>
        <w:ind w:left="0"/>
        <w:jc w:val="left"/>
        <w:rPr>
          <w:kern w:val="22"/>
        </w:rPr>
      </w:pPr>
      <w:r>
        <w:rPr>
          <w:kern w:val="22"/>
        </w:rPr>
        <w:t>Accordingly, we are designating this matter for hearing before an Administrative Law Judge to determine whether the Disputed Authorization held by Shenzhen should be revoked on some or all of the bases outlined</w:t>
      </w:r>
      <w:r w:rsidR="00AC048D">
        <w:rPr>
          <w:kern w:val="22"/>
        </w:rPr>
        <w:t xml:space="preserve"> herein</w:t>
      </w:r>
      <w:r>
        <w:rPr>
          <w:kern w:val="22"/>
        </w:rPr>
        <w:t xml:space="preserve">. </w:t>
      </w:r>
    </w:p>
    <w:p w:rsidR="00FE0638" w:rsidRPr="00FE0638" w:rsidRDefault="00FE0638" w:rsidP="00FE0638">
      <w:pPr>
        <w:pStyle w:val="ParaNum"/>
        <w:widowControl/>
        <w:numPr>
          <w:ilvl w:val="0"/>
          <w:numId w:val="40"/>
        </w:numPr>
        <w:tabs>
          <w:tab w:val="left" w:pos="1440"/>
        </w:tabs>
        <w:spacing w:after="240"/>
        <w:jc w:val="left"/>
        <w:rPr>
          <w:b/>
          <w:kern w:val="22"/>
        </w:rPr>
      </w:pPr>
      <w:r w:rsidRPr="00FE0638">
        <w:rPr>
          <w:b/>
          <w:kern w:val="22"/>
        </w:rPr>
        <w:t>ORDERING CLAUSES</w:t>
      </w:r>
    </w:p>
    <w:p w:rsidR="00CE3187" w:rsidRPr="00FE0638" w:rsidRDefault="00CE3187" w:rsidP="00FE0638">
      <w:pPr>
        <w:pStyle w:val="ParaNum"/>
        <w:widowControl/>
        <w:tabs>
          <w:tab w:val="clear" w:pos="2520"/>
          <w:tab w:val="left" w:pos="1440"/>
        </w:tabs>
        <w:spacing w:after="240"/>
        <w:ind w:left="0"/>
        <w:jc w:val="left"/>
        <w:rPr>
          <w:kern w:val="22"/>
        </w:rPr>
      </w:pPr>
      <w:r>
        <w:t xml:space="preserve">Accordingly, </w:t>
      </w:r>
      <w:r w:rsidRPr="00FE0638">
        <w:rPr>
          <w:b/>
          <w:bCs/>
        </w:rPr>
        <w:t>IT IS ORDERED</w:t>
      </w:r>
      <w:r>
        <w:t xml:space="preserve"> that, pursuant to sections 312(a) and (c) of the Act,</w:t>
      </w:r>
      <w:r>
        <w:rPr>
          <w:rStyle w:val="FootnoteReference"/>
        </w:rPr>
        <w:footnoteReference w:id="41"/>
      </w:r>
      <w:r>
        <w:t xml:space="preserve"> and authority delegated pursuant to sections 0.111, 0.311, 1.91(a) and 2.939(b) of the Rules,</w:t>
      </w:r>
      <w:r>
        <w:rPr>
          <w:rStyle w:val="FootnoteReference"/>
          <w:kern w:val="22"/>
          <w:szCs w:val="22"/>
        </w:rPr>
        <w:footnoteReference w:id="42"/>
      </w:r>
      <w:r>
        <w:t xml:space="preserve"> Shenzhen Tangreat Technology Co., Ltd. is hereby </w:t>
      </w:r>
      <w:r w:rsidRPr="00FE0638">
        <w:rPr>
          <w:b/>
          <w:bCs/>
        </w:rPr>
        <w:t>ORDERED TO SHOW CAUSE</w:t>
      </w:r>
      <w:r>
        <w:t xml:space="preserve"> why its equipment authorization, FCC ID No. XRLTG-VIPJAMM, </w:t>
      </w:r>
      <w:r w:rsidRPr="00FE0638">
        <w:rPr>
          <w:b/>
          <w:bCs/>
        </w:rPr>
        <w:t>SHOULD NOT BE REVOKED</w:t>
      </w:r>
      <w:r>
        <w:t xml:space="preserve">.  Shenzhen </w:t>
      </w:r>
      <w:r w:rsidRPr="00FE0638">
        <w:rPr>
          <w:b/>
          <w:bCs/>
        </w:rPr>
        <w:t>SHALL APPEAR</w:t>
      </w:r>
      <w:r>
        <w:t xml:space="preserve"> before an Administrative Law Judge at a time and place to be specified</w:t>
      </w:r>
      <w:r w:rsidR="00686324">
        <w:rPr>
          <w:rStyle w:val="FootnoteReference"/>
        </w:rPr>
        <w:footnoteReference w:id="43"/>
      </w:r>
      <w:r w:rsidR="00686324">
        <w:t xml:space="preserve"> </w:t>
      </w:r>
      <w:r>
        <w:t xml:space="preserve"> in a subsequent order and give evidence upon the following issues:  </w:t>
      </w:r>
    </w:p>
    <w:p w:rsidR="00E32377" w:rsidRPr="00E32377" w:rsidRDefault="00E32377" w:rsidP="00DF09A1">
      <w:pPr>
        <w:numPr>
          <w:ilvl w:val="0"/>
          <w:numId w:val="3"/>
        </w:numPr>
        <w:tabs>
          <w:tab w:val="clear" w:pos="1800"/>
          <w:tab w:val="left" w:pos="720"/>
          <w:tab w:val="num" w:pos="1080"/>
        </w:tabs>
        <w:suppressAutoHyphens/>
        <w:spacing w:after="220"/>
        <w:ind w:left="1080" w:right="720"/>
        <w:rPr>
          <w:kern w:val="22"/>
          <w:sz w:val="22"/>
          <w:szCs w:val="22"/>
        </w:rPr>
      </w:pPr>
      <w:r>
        <w:rPr>
          <w:sz w:val="22"/>
          <w:szCs w:val="22"/>
        </w:rPr>
        <w:t>To determine whether Shenzhen made false statements or representations either in the application or in materials submitted in connection therewith (</w:t>
      </w:r>
      <w:r>
        <w:rPr>
          <w:i/>
          <w:sz w:val="22"/>
          <w:szCs w:val="22"/>
        </w:rPr>
        <w:t>see</w:t>
      </w:r>
      <w:r>
        <w:rPr>
          <w:sz w:val="22"/>
          <w:szCs w:val="22"/>
        </w:rPr>
        <w:t xml:space="preserve"> Section 2.939(a)(1));</w:t>
      </w:r>
    </w:p>
    <w:p w:rsidR="00E32377" w:rsidRDefault="00E32377" w:rsidP="00DF09A1">
      <w:pPr>
        <w:numPr>
          <w:ilvl w:val="0"/>
          <w:numId w:val="3"/>
        </w:numPr>
        <w:tabs>
          <w:tab w:val="clear" w:pos="1800"/>
          <w:tab w:val="left" w:pos="720"/>
          <w:tab w:val="num" w:pos="1080"/>
        </w:tabs>
        <w:suppressAutoHyphens/>
        <w:spacing w:after="220"/>
        <w:ind w:left="1080" w:right="720"/>
        <w:rPr>
          <w:kern w:val="22"/>
          <w:sz w:val="22"/>
          <w:szCs w:val="22"/>
        </w:rPr>
      </w:pPr>
      <w:r>
        <w:rPr>
          <w:kern w:val="22"/>
          <w:sz w:val="22"/>
          <w:szCs w:val="22"/>
        </w:rPr>
        <w:t xml:space="preserve">To determine whether the device </w:t>
      </w:r>
      <w:r>
        <w:rPr>
          <w:sz w:val="22"/>
          <w:szCs w:val="22"/>
        </w:rPr>
        <w:t>marketed</w:t>
      </w:r>
      <w:r>
        <w:rPr>
          <w:kern w:val="22"/>
          <w:sz w:val="22"/>
          <w:szCs w:val="22"/>
        </w:rPr>
        <w:t xml:space="preserve"> under FCC ID No. XRLTG-VIPJAMM does not conform to the pertinent technical requirements or to the representations made in the original application (</w:t>
      </w:r>
      <w:r>
        <w:rPr>
          <w:i/>
          <w:kern w:val="22"/>
          <w:sz w:val="22"/>
          <w:szCs w:val="22"/>
        </w:rPr>
        <w:t>see</w:t>
      </w:r>
      <w:r>
        <w:rPr>
          <w:kern w:val="22"/>
          <w:sz w:val="22"/>
          <w:szCs w:val="22"/>
        </w:rPr>
        <w:t xml:space="preserve"> Section 2.939(a)(2))</w:t>
      </w:r>
      <w:r>
        <w:rPr>
          <w:sz w:val="22"/>
          <w:szCs w:val="22"/>
        </w:rPr>
        <w:t>;</w:t>
      </w:r>
      <w:r>
        <w:rPr>
          <w:kern w:val="22"/>
          <w:sz w:val="22"/>
          <w:szCs w:val="22"/>
        </w:rPr>
        <w:t xml:space="preserve"> </w:t>
      </w:r>
    </w:p>
    <w:p w:rsidR="00E32377" w:rsidRDefault="00E32377" w:rsidP="00DF09A1">
      <w:pPr>
        <w:numPr>
          <w:ilvl w:val="0"/>
          <w:numId w:val="3"/>
        </w:numPr>
        <w:tabs>
          <w:tab w:val="clear" w:pos="1800"/>
          <w:tab w:val="left" w:pos="720"/>
          <w:tab w:val="num" w:pos="1080"/>
        </w:tabs>
        <w:suppressAutoHyphens/>
        <w:spacing w:after="220"/>
        <w:ind w:left="1080" w:right="720"/>
        <w:rPr>
          <w:kern w:val="22"/>
          <w:sz w:val="22"/>
          <w:szCs w:val="22"/>
        </w:rPr>
      </w:pPr>
      <w:r>
        <w:rPr>
          <w:kern w:val="22"/>
          <w:sz w:val="22"/>
          <w:szCs w:val="22"/>
        </w:rPr>
        <w:t>To determine whether changes were made to the device certified under equipment authorization FCC ID No. XRLTG-VIPJAMM other than those authorized by the rules or otherwise expressly authorized by the Commission (</w:t>
      </w:r>
      <w:r>
        <w:rPr>
          <w:i/>
          <w:kern w:val="22"/>
          <w:sz w:val="22"/>
          <w:szCs w:val="22"/>
        </w:rPr>
        <w:t>see</w:t>
      </w:r>
      <w:r>
        <w:rPr>
          <w:kern w:val="22"/>
          <w:sz w:val="22"/>
          <w:szCs w:val="22"/>
        </w:rPr>
        <w:t xml:space="preserve"> Section </w:t>
      </w:r>
      <w:r>
        <w:rPr>
          <w:sz w:val="22"/>
          <w:szCs w:val="22"/>
        </w:rPr>
        <w:t>2.939(a)(3));</w:t>
      </w:r>
    </w:p>
    <w:p w:rsidR="00E32377" w:rsidRDefault="00E32377" w:rsidP="00DF09A1">
      <w:pPr>
        <w:numPr>
          <w:ilvl w:val="0"/>
          <w:numId w:val="3"/>
        </w:numPr>
        <w:tabs>
          <w:tab w:val="clear" w:pos="1800"/>
          <w:tab w:val="left" w:pos="720"/>
          <w:tab w:val="num" w:pos="1080"/>
        </w:tabs>
        <w:suppressAutoHyphens/>
        <w:spacing w:after="220"/>
        <w:ind w:left="1080" w:right="720"/>
        <w:rPr>
          <w:kern w:val="22"/>
          <w:sz w:val="22"/>
          <w:szCs w:val="22"/>
        </w:rPr>
      </w:pPr>
      <w:r>
        <w:rPr>
          <w:kern w:val="22"/>
          <w:sz w:val="22"/>
          <w:szCs w:val="22"/>
        </w:rPr>
        <w:t>To determine whether the Commission would be warranted in refusing to grant an original application for equipment authorization for the device certified under FCC ID No. XRLTG-VIPJAMM (</w:t>
      </w:r>
      <w:r>
        <w:rPr>
          <w:i/>
          <w:kern w:val="22"/>
          <w:sz w:val="22"/>
          <w:szCs w:val="22"/>
        </w:rPr>
        <w:t>see</w:t>
      </w:r>
      <w:r w:rsidR="003E6B62">
        <w:rPr>
          <w:kern w:val="22"/>
          <w:sz w:val="22"/>
          <w:szCs w:val="22"/>
        </w:rPr>
        <w:t xml:space="preserve"> Section 2.939(a)(4));</w:t>
      </w:r>
      <w:r w:rsidR="00F41708">
        <w:rPr>
          <w:kern w:val="22"/>
          <w:sz w:val="22"/>
          <w:szCs w:val="22"/>
        </w:rPr>
        <w:t xml:space="preserve"> and</w:t>
      </w:r>
    </w:p>
    <w:p w:rsidR="00CE3187" w:rsidRPr="003E6B62" w:rsidRDefault="00CE3187" w:rsidP="00DF09A1">
      <w:pPr>
        <w:numPr>
          <w:ilvl w:val="0"/>
          <w:numId w:val="3"/>
        </w:numPr>
        <w:tabs>
          <w:tab w:val="clear" w:pos="1800"/>
          <w:tab w:val="left" w:pos="720"/>
          <w:tab w:val="num" w:pos="1080"/>
        </w:tabs>
        <w:suppressAutoHyphens/>
        <w:spacing w:after="220"/>
        <w:ind w:left="1080" w:right="720"/>
        <w:jc w:val="both"/>
        <w:rPr>
          <w:snapToGrid w:val="0"/>
          <w:kern w:val="22"/>
          <w:sz w:val="22"/>
        </w:rPr>
      </w:pPr>
      <w:r w:rsidRPr="003E6B62">
        <w:rPr>
          <w:kern w:val="22"/>
          <w:sz w:val="22"/>
          <w:szCs w:val="22"/>
        </w:rPr>
        <w:t>To determine, in light of the evidence adduced pursuant to the foregoing issues, whether the equipment authorization held by Shenzhen under FCC ID No. XRLTG-VIPJAMM should be revoked.</w:t>
      </w:r>
    </w:p>
    <w:p w:rsidR="00CE3187" w:rsidRDefault="00CE3187" w:rsidP="003E6B62">
      <w:pPr>
        <w:pStyle w:val="ParaNum"/>
        <w:widowControl/>
        <w:tabs>
          <w:tab w:val="left" w:pos="1440"/>
          <w:tab w:val="left" w:pos="5040"/>
        </w:tabs>
        <w:ind w:left="0"/>
        <w:jc w:val="left"/>
        <w:rPr>
          <w:kern w:val="22"/>
        </w:rPr>
      </w:pPr>
      <w:r>
        <w:rPr>
          <w:b/>
          <w:bCs/>
          <w:kern w:val="22"/>
        </w:rPr>
        <w:t>IT IS FURTHER ORDERED</w:t>
      </w:r>
      <w:r>
        <w:rPr>
          <w:kern w:val="22"/>
        </w:rPr>
        <w:t xml:space="preserve"> that, pursuant to section</w:t>
      </w:r>
      <w:r>
        <w:t xml:space="preserve"> 312(c) of the</w:t>
      </w:r>
      <w:r>
        <w:rPr>
          <w:kern w:val="22"/>
        </w:rPr>
        <w:t xml:space="preserve"> Act and sections 1.91(c) and 2.939(b) of the Rules,</w:t>
      </w:r>
      <w:r>
        <w:rPr>
          <w:rStyle w:val="FootnoteReference"/>
          <w:kern w:val="22"/>
        </w:rPr>
        <w:footnoteReference w:id="44"/>
      </w:r>
      <w:r>
        <w:rPr>
          <w:kern w:val="22"/>
        </w:rPr>
        <w:t xml:space="preserve"> to avail itself of the opportunity to be heard and to present evidence at a hearing in this proceeding, Shenzhen, in person or by an attorney, </w:t>
      </w:r>
      <w:r>
        <w:rPr>
          <w:b/>
          <w:bCs/>
          <w:kern w:val="22"/>
        </w:rPr>
        <w:t>SHALL FILE</w:t>
      </w:r>
      <w:r>
        <w:rPr>
          <w:kern w:val="22"/>
        </w:rPr>
        <w:t xml:space="preserve"> with the Commission, within</w:t>
      </w:r>
      <w:r w:rsidR="007702E9">
        <w:rPr>
          <w:kern w:val="22"/>
        </w:rPr>
        <w:t xml:space="preserve"> thirty (30) days of the service</w:t>
      </w:r>
      <w:r>
        <w:rPr>
          <w:kern w:val="22"/>
        </w:rPr>
        <w:t xml:space="preserve"> of this Order to Show Cause, a written appearance stating that it will appear at the hearing and present evidence on the issues specified above.  </w:t>
      </w:r>
    </w:p>
    <w:p w:rsidR="00CE3187" w:rsidRDefault="00CE3187" w:rsidP="003E6B62">
      <w:pPr>
        <w:pStyle w:val="ParaNum"/>
        <w:widowControl/>
        <w:tabs>
          <w:tab w:val="left" w:pos="1440"/>
          <w:tab w:val="left" w:pos="5040"/>
        </w:tabs>
        <w:ind w:left="0"/>
        <w:jc w:val="left"/>
        <w:rPr>
          <w:kern w:val="22"/>
        </w:rPr>
      </w:pPr>
      <w:r>
        <w:rPr>
          <w:b/>
          <w:bCs/>
          <w:kern w:val="22"/>
        </w:rPr>
        <w:t>IT IS FURTHER ORDERED</w:t>
      </w:r>
      <w:r>
        <w:rPr>
          <w:kern w:val="22"/>
        </w:rPr>
        <w:t xml:space="preserve"> that, pursuant to section</w:t>
      </w:r>
      <w:r>
        <w:t xml:space="preserve"> 312(c) of the</w:t>
      </w:r>
      <w:r>
        <w:rPr>
          <w:kern w:val="22"/>
        </w:rPr>
        <w:t xml:space="preserve"> Act and sections 1.92(c) and 2.939(b) of the Rules,</w:t>
      </w:r>
      <w:r>
        <w:rPr>
          <w:rStyle w:val="FootnoteReference"/>
          <w:kern w:val="22"/>
        </w:rPr>
        <w:footnoteReference w:id="45"/>
      </w:r>
      <w:r>
        <w:rPr>
          <w:kern w:val="22"/>
        </w:rPr>
        <w:t xml:space="preserve"> if Shenzhen fails to file a timely notice of appearance within the thirty (30) day period, </w:t>
      </w:r>
      <w:r>
        <w:rPr>
          <w:szCs w:val="22"/>
        </w:rPr>
        <w:t xml:space="preserve">or has not filed a petition to accept, for good cause shown, a written appearance beyond the expiration of the thirty (30)-day period, </w:t>
      </w:r>
      <w:r>
        <w:rPr>
          <w:kern w:val="22"/>
        </w:rPr>
        <w:t xml:space="preserve">its right to a hearing </w:t>
      </w:r>
      <w:r>
        <w:rPr>
          <w:b/>
          <w:bCs/>
          <w:kern w:val="22"/>
        </w:rPr>
        <w:t>SHALL BE DEEMED TO BE WAIVED</w:t>
      </w:r>
      <w:r>
        <w:rPr>
          <w:kern w:val="22"/>
        </w:rPr>
        <w:t xml:space="preserve">.  In the event that Shenzhen waives its right to a hearing, the presiding Administrative Law Judge </w:t>
      </w:r>
      <w:r>
        <w:rPr>
          <w:b/>
          <w:bCs/>
          <w:kern w:val="22"/>
        </w:rPr>
        <w:t>SHALL</w:t>
      </w:r>
      <w:r>
        <w:rPr>
          <w:kern w:val="22"/>
        </w:rPr>
        <w:t xml:space="preserve">, at the earliest practicable date, </w:t>
      </w:r>
      <w:r>
        <w:rPr>
          <w:b/>
          <w:bCs/>
          <w:kern w:val="22"/>
        </w:rPr>
        <w:t>ISSUE</w:t>
      </w:r>
      <w:r>
        <w:rPr>
          <w:kern w:val="22"/>
        </w:rPr>
        <w:t xml:space="preserve"> an order reciting the events or circumstances constituting a waiver of hearing, terminating the hearing proceeding, and certifying the case to the Commission.  </w:t>
      </w:r>
    </w:p>
    <w:p w:rsidR="00CE3187" w:rsidRDefault="00CE3187" w:rsidP="003E6B62">
      <w:pPr>
        <w:pStyle w:val="ParaNum"/>
        <w:widowControl/>
        <w:tabs>
          <w:tab w:val="left" w:pos="1440"/>
        </w:tabs>
        <w:ind w:left="0"/>
        <w:jc w:val="left"/>
        <w:rPr>
          <w:kern w:val="22"/>
        </w:rPr>
      </w:pPr>
      <w:r>
        <w:rPr>
          <w:b/>
          <w:bCs/>
          <w:kern w:val="22"/>
        </w:rPr>
        <w:t>IT IS FURTHER ORDERED</w:t>
      </w:r>
      <w:r>
        <w:rPr>
          <w:kern w:val="22"/>
        </w:rPr>
        <w:t xml:space="preserve"> that the Chief, Enforcement Bureau, shall be made a party to this proceeding without the need to file a written appearance.</w:t>
      </w:r>
      <w:r>
        <w:rPr>
          <w:rStyle w:val="FootnoteReference"/>
          <w:rFonts w:ascii="Times New Roman" w:hAnsi="Times New Roman"/>
          <w:kern w:val="22"/>
          <w:sz w:val="22"/>
        </w:rPr>
        <w:footnoteReference w:id="46"/>
      </w:r>
      <w:r>
        <w:rPr>
          <w:kern w:val="22"/>
        </w:rPr>
        <w:t xml:space="preserve"> </w:t>
      </w:r>
    </w:p>
    <w:p w:rsidR="00CE3187" w:rsidRDefault="00CE3187" w:rsidP="003E6B62">
      <w:pPr>
        <w:pStyle w:val="ParaNum"/>
        <w:widowControl/>
        <w:tabs>
          <w:tab w:val="left" w:pos="1440"/>
        </w:tabs>
        <w:ind w:left="0"/>
        <w:jc w:val="left"/>
        <w:rPr>
          <w:kern w:val="22"/>
        </w:rPr>
      </w:pPr>
      <w:r>
        <w:rPr>
          <w:b/>
          <w:bCs/>
          <w:kern w:val="22"/>
        </w:rPr>
        <w:t>IT IS FURTHER ORDERED</w:t>
      </w:r>
      <w:r>
        <w:rPr>
          <w:kern w:val="22"/>
        </w:rPr>
        <w:t xml:space="preserve"> that, pursuant to section 312(d) of the Act and sections 1.91(d) and 2.939(b) of the Rules,</w:t>
      </w:r>
      <w:r>
        <w:rPr>
          <w:rStyle w:val="FootnoteReference"/>
          <w:kern w:val="22"/>
        </w:rPr>
        <w:footnoteReference w:id="47"/>
      </w:r>
      <w:r>
        <w:rPr>
          <w:kern w:val="22"/>
        </w:rPr>
        <w:t xml:space="preserve"> the burden of proceeding with the introduction of evidence and the burden of proof with respect to the issues specified above shall be on the Chief, Enforcement Bureau.</w:t>
      </w:r>
    </w:p>
    <w:p w:rsidR="00CE3187" w:rsidRDefault="00CE3187" w:rsidP="003E6B62">
      <w:pPr>
        <w:pStyle w:val="ParaNum"/>
        <w:widowControl/>
        <w:tabs>
          <w:tab w:val="left" w:pos="1440"/>
        </w:tabs>
        <w:ind w:left="0"/>
        <w:jc w:val="left"/>
        <w:rPr>
          <w:kern w:val="22"/>
        </w:rPr>
      </w:pPr>
      <w:r>
        <w:rPr>
          <w:b/>
          <w:bCs/>
          <w:kern w:val="22"/>
        </w:rPr>
        <w:t>IT IS FURTHER ORDERED</w:t>
      </w:r>
      <w:r>
        <w:rPr>
          <w:kern w:val="22"/>
        </w:rPr>
        <w:t xml:space="preserve"> that a copy of this Order to Show Cause shall be sent </w:t>
      </w:r>
      <w:r w:rsidR="004C0BDF">
        <w:rPr>
          <w:kern w:val="22"/>
        </w:rPr>
        <w:t>pursuant to the “</w:t>
      </w:r>
      <w:r w:rsidR="004C0BDF">
        <w:t xml:space="preserve">Hague Convention on Service Abroad of Judicial and Extrajudicial Documents” to the Central Authority of the People’s Republic of China, Ministry of Justice, International Legal Cooperation Center (ILCC), No. 6, Chaoyangmen Nandajie, Chaoyang District, Beijing, 100020, People’s Republic of China, to effect service on </w:t>
      </w:r>
      <w:r w:rsidR="004C0BDF">
        <w:rPr>
          <w:kern w:val="22"/>
        </w:rPr>
        <w:t xml:space="preserve"> </w:t>
      </w:r>
      <w:r w:rsidRPr="004C0BDF">
        <w:rPr>
          <w:kern w:val="22"/>
        </w:rPr>
        <w:t>Shenzhen Tangreat Technology Co., Ltd., 4</w:t>
      </w:r>
      <w:r w:rsidRPr="004C0BDF">
        <w:rPr>
          <w:kern w:val="22"/>
          <w:vertAlign w:val="superscript"/>
        </w:rPr>
        <w:t>th</w:t>
      </w:r>
      <w:r w:rsidRPr="004C0BDF">
        <w:rPr>
          <w:kern w:val="22"/>
        </w:rPr>
        <w:t xml:space="preserve"> Floor, R&amp;D Building, Dacheng Industry, Jihua Road, </w:t>
      </w:r>
      <w:r w:rsidR="004C0BDF">
        <w:rPr>
          <w:kern w:val="22"/>
        </w:rPr>
        <w:t>Buji</w:t>
      </w:r>
      <w:r w:rsidRPr="004C0BDF">
        <w:rPr>
          <w:kern w:val="22"/>
        </w:rPr>
        <w:t xml:space="preserve">, Shenzhen, 518129, </w:t>
      </w:r>
      <w:r w:rsidR="004C0BDF">
        <w:rPr>
          <w:kern w:val="22"/>
        </w:rPr>
        <w:t xml:space="preserve">People’s Republic of </w:t>
      </w:r>
      <w:r w:rsidRPr="004C0BDF">
        <w:rPr>
          <w:kern w:val="22"/>
        </w:rPr>
        <w:t>China, 86-755-82527821 (facsimile), tangreat@tangreat.com (email).</w:t>
      </w:r>
      <w:r>
        <w:rPr>
          <w:kern w:val="22"/>
        </w:rPr>
        <w:t xml:space="preserve">  </w:t>
      </w:r>
    </w:p>
    <w:p w:rsidR="00CE3187" w:rsidRDefault="00CE3187" w:rsidP="003E6B62">
      <w:pPr>
        <w:pStyle w:val="ParaNum"/>
        <w:widowControl/>
        <w:tabs>
          <w:tab w:val="left" w:pos="1440"/>
        </w:tabs>
        <w:ind w:left="0"/>
        <w:jc w:val="left"/>
        <w:rPr>
          <w:kern w:val="22"/>
        </w:rPr>
      </w:pPr>
      <w:r>
        <w:rPr>
          <w:b/>
          <w:bCs/>
          <w:kern w:val="22"/>
        </w:rPr>
        <w:t>IT IS FURTHER ORDERED</w:t>
      </w:r>
      <w:r>
        <w:rPr>
          <w:kern w:val="22"/>
        </w:rPr>
        <w:t xml:space="preserve"> that a copy of this Order to Show Cause, or a summary thereof, shall be published in the Federal Register.</w:t>
      </w:r>
    </w:p>
    <w:p w:rsidR="00CE3187" w:rsidRDefault="00CE3187" w:rsidP="00CE3187">
      <w:pPr>
        <w:tabs>
          <w:tab w:val="left" w:pos="0"/>
        </w:tabs>
        <w:suppressAutoHyphens/>
        <w:ind w:firstLine="720"/>
        <w:jc w:val="both"/>
        <w:rPr>
          <w:snapToGrid w:val="0"/>
          <w:kern w:val="22"/>
          <w:sz w:val="22"/>
        </w:rPr>
      </w:pPr>
    </w:p>
    <w:p w:rsidR="00CE3187" w:rsidRDefault="00CE3187" w:rsidP="00CE3187">
      <w:pPr>
        <w:tabs>
          <w:tab w:val="left" w:pos="0"/>
        </w:tabs>
        <w:suppressAutoHyphens/>
        <w:ind w:firstLine="720"/>
        <w:jc w:val="both"/>
        <w:rPr>
          <w:snapToGrid w:val="0"/>
          <w:kern w:val="22"/>
          <w:sz w:val="22"/>
        </w:rPr>
      </w:pPr>
      <w:r>
        <w:rPr>
          <w:snapToGrid w:val="0"/>
          <w:kern w:val="22"/>
          <w:sz w:val="22"/>
        </w:rPr>
        <w:tab/>
      </w:r>
      <w:r>
        <w:rPr>
          <w:snapToGrid w:val="0"/>
          <w:kern w:val="22"/>
          <w:sz w:val="22"/>
        </w:rPr>
        <w:tab/>
      </w:r>
      <w:r>
        <w:rPr>
          <w:snapToGrid w:val="0"/>
          <w:kern w:val="22"/>
          <w:sz w:val="22"/>
        </w:rPr>
        <w:tab/>
      </w:r>
      <w:r>
        <w:rPr>
          <w:snapToGrid w:val="0"/>
          <w:kern w:val="22"/>
          <w:sz w:val="22"/>
        </w:rPr>
        <w:tab/>
        <w:t>FEDERAL COMMUNICATIONS COMMISSION</w:t>
      </w:r>
    </w:p>
    <w:p w:rsidR="00CE3187" w:rsidRDefault="00CE3187" w:rsidP="00CE3187">
      <w:pPr>
        <w:tabs>
          <w:tab w:val="left" w:pos="0"/>
        </w:tabs>
        <w:suppressAutoHyphens/>
        <w:jc w:val="both"/>
        <w:rPr>
          <w:snapToGrid w:val="0"/>
          <w:kern w:val="22"/>
          <w:sz w:val="22"/>
        </w:rPr>
      </w:pPr>
    </w:p>
    <w:p w:rsidR="00CE3187" w:rsidRDefault="00CE3187" w:rsidP="00CE3187">
      <w:pPr>
        <w:tabs>
          <w:tab w:val="left" w:pos="0"/>
        </w:tabs>
        <w:suppressAutoHyphens/>
        <w:jc w:val="both"/>
        <w:rPr>
          <w:snapToGrid w:val="0"/>
          <w:kern w:val="22"/>
          <w:sz w:val="22"/>
        </w:rPr>
      </w:pPr>
    </w:p>
    <w:p w:rsidR="00CE3187" w:rsidRDefault="00CE3187" w:rsidP="00CE3187">
      <w:pPr>
        <w:tabs>
          <w:tab w:val="left" w:pos="0"/>
        </w:tabs>
        <w:suppressAutoHyphens/>
        <w:jc w:val="both"/>
        <w:rPr>
          <w:snapToGrid w:val="0"/>
          <w:kern w:val="22"/>
          <w:sz w:val="22"/>
        </w:rPr>
      </w:pPr>
      <w:r>
        <w:rPr>
          <w:snapToGrid w:val="0"/>
          <w:kern w:val="22"/>
          <w:sz w:val="22"/>
        </w:rPr>
        <w:tab/>
      </w:r>
    </w:p>
    <w:p w:rsidR="00CE3187" w:rsidRDefault="00E32377" w:rsidP="00CE3187">
      <w:pPr>
        <w:tabs>
          <w:tab w:val="left" w:pos="0"/>
        </w:tabs>
        <w:suppressAutoHyphens/>
        <w:jc w:val="both"/>
        <w:rPr>
          <w:snapToGrid w:val="0"/>
          <w:kern w:val="22"/>
          <w:sz w:val="22"/>
        </w:rPr>
      </w:pPr>
      <w:r>
        <w:rPr>
          <w:snapToGrid w:val="0"/>
          <w:kern w:val="22"/>
          <w:sz w:val="22"/>
        </w:rPr>
        <w:tab/>
      </w:r>
      <w:r>
        <w:rPr>
          <w:snapToGrid w:val="0"/>
          <w:kern w:val="22"/>
          <w:sz w:val="22"/>
        </w:rPr>
        <w:tab/>
      </w:r>
      <w:r>
        <w:rPr>
          <w:snapToGrid w:val="0"/>
          <w:kern w:val="22"/>
          <w:sz w:val="22"/>
        </w:rPr>
        <w:tab/>
      </w:r>
      <w:r>
        <w:rPr>
          <w:snapToGrid w:val="0"/>
          <w:kern w:val="22"/>
          <w:sz w:val="22"/>
        </w:rPr>
        <w:tab/>
      </w:r>
      <w:r>
        <w:rPr>
          <w:snapToGrid w:val="0"/>
          <w:kern w:val="22"/>
          <w:sz w:val="22"/>
        </w:rPr>
        <w:tab/>
        <w:t>Travis LeBlanc</w:t>
      </w:r>
    </w:p>
    <w:p w:rsidR="00CE3187" w:rsidRDefault="00CE3187" w:rsidP="00CE3187">
      <w:pPr>
        <w:pStyle w:val="ParaNum"/>
        <w:widowControl/>
        <w:numPr>
          <w:ilvl w:val="0"/>
          <w:numId w:val="0"/>
        </w:numPr>
        <w:rPr>
          <w:kern w:val="22"/>
        </w:rPr>
      </w:pPr>
      <w:r>
        <w:rPr>
          <w:kern w:val="22"/>
        </w:rPr>
        <w:tab/>
      </w:r>
      <w:r>
        <w:rPr>
          <w:kern w:val="22"/>
        </w:rPr>
        <w:tab/>
      </w:r>
      <w:r>
        <w:rPr>
          <w:kern w:val="22"/>
        </w:rPr>
        <w:tab/>
      </w:r>
      <w:r>
        <w:rPr>
          <w:kern w:val="22"/>
        </w:rPr>
        <w:tab/>
      </w:r>
      <w:r>
        <w:rPr>
          <w:kern w:val="22"/>
        </w:rPr>
        <w:tab/>
        <w:t>Chief, Enforcement Bureau</w:t>
      </w:r>
    </w:p>
    <w:p w:rsidR="00CE3187" w:rsidRDefault="00CE3187" w:rsidP="00CE3187">
      <w:pPr>
        <w:pStyle w:val="ParaNum"/>
        <w:widowControl/>
        <w:numPr>
          <w:ilvl w:val="0"/>
          <w:numId w:val="0"/>
        </w:numPr>
        <w:tabs>
          <w:tab w:val="left" w:pos="720"/>
          <w:tab w:val="left" w:pos="1440"/>
        </w:tabs>
        <w:jc w:val="left"/>
        <w:rPr>
          <w:kern w:val="22"/>
        </w:rPr>
      </w:pPr>
    </w:p>
    <w:p w:rsidR="00502BCD" w:rsidRDefault="00502BCD">
      <w:pPr>
        <w:pStyle w:val="ParaNum"/>
        <w:widowControl/>
        <w:numPr>
          <w:ilvl w:val="0"/>
          <w:numId w:val="0"/>
        </w:numPr>
        <w:rPr>
          <w:kern w:val="22"/>
        </w:rPr>
      </w:pPr>
    </w:p>
    <w:sectPr w:rsidR="00502BCD">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D80" w:rsidRDefault="008E3D80">
      <w:r>
        <w:separator/>
      </w:r>
    </w:p>
  </w:endnote>
  <w:endnote w:type="continuationSeparator" w:id="0">
    <w:p w:rsidR="008E3D80" w:rsidRDefault="008E3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BCD" w:rsidRDefault="00502B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502BCD" w:rsidRDefault="00502B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BCD" w:rsidRDefault="00502B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304C">
      <w:rPr>
        <w:rStyle w:val="PageNumber"/>
        <w:noProof/>
      </w:rPr>
      <w:t>2</w:t>
    </w:r>
    <w:r>
      <w:rPr>
        <w:rStyle w:val="PageNumber"/>
      </w:rPr>
      <w:fldChar w:fldCharType="end"/>
    </w:r>
  </w:p>
  <w:p w:rsidR="00502BCD" w:rsidRDefault="00502BCD">
    <w:pPr>
      <w:pStyle w:val="Footer"/>
    </w:pPr>
  </w:p>
  <w:p w:rsidR="00502BCD" w:rsidRDefault="00502BCD">
    <w:pPr>
      <w:pStyle w:val="Header"/>
    </w:pPr>
    <w:r>
      <w:rPr>
        <w:rFonts w:ascii="Arial" w:hAnsi="Arial" w:cs="Arial"/>
        <w:sz w:val="22"/>
        <w:szCs w:val="22"/>
      </w:rPr>
      <w:tab/>
    </w:r>
  </w:p>
  <w:p w:rsidR="00502BCD" w:rsidRDefault="00502B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BCD" w:rsidRDefault="00502BCD">
    <w:pPr>
      <w:pStyle w:val="Header"/>
    </w:pPr>
    <w:r>
      <w:rPr>
        <w:rFonts w:ascii="Arial" w:hAnsi="Arial" w:cs="Arial"/>
        <w:sz w:val="22"/>
        <w:szCs w:val="22"/>
      </w:rPr>
      <w:tab/>
    </w:r>
  </w:p>
  <w:p w:rsidR="00502BCD" w:rsidRDefault="00502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D80" w:rsidRDefault="008E3D80">
      <w:r>
        <w:separator/>
      </w:r>
    </w:p>
  </w:footnote>
  <w:footnote w:type="continuationSeparator" w:id="0">
    <w:p w:rsidR="008E3D80" w:rsidRDefault="008E3D80">
      <w:r>
        <w:continuationSeparator/>
      </w:r>
    </w:p>
  </w:footnote>
  <w:footnote w:id="1">
    <w:p w:rsidR="00D73061" w:rsidRPr="00313E64" w:rsidRDefault="00D73061" w:rsidP="00313E64">
      <w:pPr>
        <w:pStyle w:val="FootnoteText"/>
        <w:spacing w:after="120"/>
        <w:rPr>
          <w:sz w:val="20"/>
        </w:rPr>
      </w:pPr>
      <w:r w:rsidRPr="00313E64">
        <w:rPr>
          <w:rStyle w:val="FootnoteReference"/>
          <w:rFonts w:ascii="Times New Roman" w:hAnsi="Times New Roman"/>
        </w:rPr>
        <w:footnoteRef/>
      </w:r>
      <w:r w:rsidRPr="00313E64">
        <w:rPr>
          <w:sz w:val="20"/>
        </w:rPr>
        <w:t xml:space="preserve"> In this regard, we note that there are several narrow exceptions that apply outside the context of jammer use by (or sales to) individuals or businesses in the United States.  For example, in very limited circumstances and consistent with applicable procurement requirements, jamming devices may be marketed to the federal government for authorized, official use.  </w:t>
      </w:r>
      <w:r w:rsidRPr="00313E64">
        <w:rPr>
          <w:i/>
          <w:sz w:val="20"/>
        </w:rPr>
        <w:t>See</w:t>
      </w:r>
      <w:r w:rsidRPr="00313E64">
        <w:rPr>
          <w:sz w:val="20"/>
        </w:rPr>
        <w:t xml:space="preserve"> 47 U.S.C. § 302a(c); 47 C.F.R. § 2.807(d).</w:t>
      </w:r>
    </w:p>
  </w:footnote>
  <w:footnote w:id="2">
    <w:p w:rsidR="00D73061" w:rsidRPr="00313E64" w:rsidRDefault="00D73061" w:rsidP="00313E64">
      <w:pPr>
        <w:pStyle w:val="FootnoteText"/>
        <w:spacing w:after="120"/>
        <w:rPr>
          <w:sz w:val="20"/>
        </w:rPr>
      </w:pPr>
      <w:r w:rsidRPr="00313E64">
        <w:rPr>
          <w:rStyle w:val="FootnoteReference"/>
          <w:rFonts w:ascii="Times New Roman" w:hAnsi="Times New Roman"/>
        </w:rPr>
        <w:footnoteRef/>
      </w:r>
      <w:r w:rsidRPr="00313E64">
        <w:rPr>
          <w:sz w:val="20"/>
        </w:rPr>
        <w:t xml:space="preserve"> 47 U.S.C. § 302</w:t>
      </w:r>
      <w:r w:rsidR="00F7422B" w:rsidRPr="00313E64">
        <w:rPr>
          <w:sz w:val="20"/>
        </w:rPr>
        <w:t>(</w:t>
      </w:r>
      <w:r w:rsidRPr="00313E64">
        <w:rPr>
          <w:sz w:val="20"/>
        </w:rPr>
        <w:t>a</w:t>
      </w:r>
      <w:r w:rsidR="00F7422B" w:rsidRPr="00313E64">
        <w:rPr>
          <w:sz w:val="20"/>
        </w:rPr>
        <w:t xml:space="preserve">) &amp; </w:t>
      </w:r>
      <w:r w:rsidRPr="00313E64">
        <w:rPr>
          <w:sz w:val="20"/>
        </w:rPr>
        <w:t xml:space="preserve">(b). </w:t>
      </w:r>
    </w:p>
  </w:footnote>
  <w:footnote w:id="3">
    <w:p w:rsidR="0050335A" w:rsidRPr="00313E64" w:rsidRDefault="00F55772" w:rsidP="00313E64">
      <w:pPr>
        <w:pStyle w:val="FootnoteText"/>
        <w:spacing w:after="120"/>
        <w:rPr>
          <w:sz w:val="20"/>
        </w:rPr>
      </w:pPr>
      <w:r w:rsidRPr="00313E64">
        <w:rPr>
          <w:rStyle w:val="FootnoteReference"/>
          <w:rFonts w:ascii="Times New Roman" w:hAnsi="Times New Roman"/>
        </w:rPr>
        <w:footnoteRef/>
      </w:r>
      <w:r w:rsidRPr="00313E64">
        <w:rPr>
          <w:sz w:val="20"/>
        </w:rPr>
        <w:t xml:space="preserve"> </w:t>
      </w:r>
      <w:r w:rsidRPr="00313E64">
        <w:rPr>
          <w:i/>
          <w:sz w:val="20"/>
        </w:rPr>
        <w:t>See</w:t>
      </w:r>
      <w:r w:rsidRPr="00313E64">
        <w:rPr>
          <w:sz w:val="20"/>
        </w:rPr>
        <w:t xml:space="preserve"> Shenzhen website at http://www.tangreat.com/en/aboutus-default.html (</w:t>
      </w:r>
      <w:r w:rsidR="00F7422B" w:rsidRPr="00C12C26">
        <w:rPr>
          <w:sz w:val="20"/>
        </w:rPr>
        <w:t xml:space="preserve">last visited </w:t>
      </w:r>
      <w:r w:rsidR="001D4527" w:rsidRPr="00C12C26">
        <w:rPr>
          <w:sz w:val="20"/>
        </w:rPr>
        <w:t xml:space="preserve">Jan. </w:t>
      </w:r>
      <w:r w:rsidR="0084505D" w:rsidRPr="00C12C26">
        <w:rPr>
          <w:sz w:val="20"/>
        </w:rPr>
        <w:t>8, 2015</w:t>
      </w:r>
      <w:r w:rsidRPr="00313E64">
        <w:rPr>
          <w:sz w:val="20"/>
        </w:rPr>
        <w:t>).</w:t>
      </w:r>
    </w:p>
  </w:footnote>
  <w:footnote w:id="4">
    <w:p w:rsidR="0050335A" w:rsidRPr="00313E64" w:rsidRDefault="00F55772" w:rsidP="00313E64">
      <w:pPr>
        <w:pStyle w:val="FootnoteText"/>
        <w:spacing w:after="120"/>
        <w:rPr>
          <w:sz w:val="20"/>
        </w:rPr>
      </w:pPr>
      <w:r w:rsidRPr="00313E64">
        <w:rPr>
          <w:rStyle w:val="FootnoteReference"/>
          <w:rFonts w:ascii="Times New Roman" w:hAnsi="Times New Roman"/>
        </w:rPr>
        <w:footnoteRef/>
      </w:r>
      <w:r w:rsidRPr="00313E64">
        <w:rPr>
          <w:sz w:val="20"/>
        </w:rPr>
        <w:t xml:space="preserve"> A TCB is a private entity accredited by the National Institute of Standards and Technology and designated by the Commission, pursuant to Sections 2.960 and 2.962 of the Commission’s Rules, to evaluate and, when appropriate, to approve, applications for equipment certifications</w:t>
      </w:r>
      <w:r w:rsidR="008325F4" w:rsidRPr="00313E64">
        <w:rPr>
          <w:sz w:val="20"/>
        </w:rPr>
        <w:t>.</w:t>
      </w:r>
    </w:p>
  </w:footnote>
  <w:footnote w:id="5">
    <w:p w:rsidR="008325F4" w:rsidRPr="00313E64" w:rsidRDefault="00F55772" w:rsidP="00313E64">
      <w:pPr>
        <w:pStyle w:val="FootnoteText"/>
        <w:spacing w:after="120"/>
        <w:rPr>
          <w:sz w:val="20"/>
        </w:rPr>
      </w:pPr>
      <w:r w:rsidRPr="00313E64">
        <w:rPr>
          <w:rStyle w:val="FootnoteReference"/>
          <w:rFonts w:ascii="Times New Roman" w:hAnsi="Times New Roman"/>
        </w:rPr>
        <w:footnoteRef/>
      </w:r>
      <w:r w:rsidRPr="00313E64">
        <w:rPr>
          <w:sz w:val="20"/>
        </w:rPr>
        <w:t xml:space="preserve"> </w:t>
      </w:r>
      <w:r w:rsidRPr="00313E64">
        <w:rPr>
          <w:i/>
          <w:sz w:val="20"/>
        </w:rPr>
        <w:t>See</w:t>
      </w:r>
      <w:r w:rsidRPr="00313E64">
        <w:rPr>
          <w:sz w:val="20"/>
        </w:rPr>
        <w:t xml:space="preserve"> Letter from Timco Engineering, Inc. (the TCB for this authorization) to Raymond LaForge, Chief, Auditing and Compliance Branch, Office of Engineering and Technology Laboratory, Federal Communications Commission (September 17, 2010)(TCB Letter).</w:t>
      </w:r>
    </w:p>
  </w:footnote>
  <w:footnote w:id="6">
    <w:p w:rsidR="0050335A" w:rsidRPr="00313E64" w:rsidRDefault="00F55772" w:rsidP="00313E64">
      <w:pPr>
        <w:pStyle w:val="FootnoteText"/>
        <w:tabs>
          <w:tab w:val="left" w:pos="360"/>
        </w:tabs>
        <w:spacing w:after="120"/>
        <w:rPr>
          <w:sz w:val="20"/>
        </w:rPr>
      </w:pPr>
      <w:r w:rsidRPr="00313E64">
        <w:rPr>
          <w:rStyle w:val="FootnoteReference"/>
          <w:rFonts w:ascii="Times New Roman" w:hAnsi="Times New Roman"/>
        </w:rPr>
        <w:footnoteRef/>
      </w:r>
      <w:r w:rsidRPr="00313E64">
        <w:rPr>
          <w:sz w:val="20"/>
        </w:rPr>
        <w:t xml:space="preserve"> “JBP” is the equipment class code assigned by the Commission to designate Part 15 Class B Computing Device Peripherals on FCC Form 731, Application for Equipment Authorization.  </w:t>
      </w:r>
      <w:r w:rsidR="00110852" w:rsidRPr="00313E64">
        <w:rPr>
          <w:sz w:val="20"/>
        </w:rPr>
        <w:t xml:space="preserve">A </w:t>
      </w:r>
      <w:r w:rsidR="001D4527" w:rsidRPr="00313E64">
        <w:rPr>
          <w:sz w:val="20"/>
        </w:rPr>
        <w:t>peripheral device is an input/output unit of a system that feeds data into and/or receives data from the central processing unit of a digital device.  Examples of peripheral devices include terminals, printers, external floppy disk drives and other data storage devices, video monitors, keyboards, interface boards, external memory expansion cards, and other input/output devices that may or may not contain digital circuitry.47 C.F.R. § 15.3(r).</w:t>
      </w:r>
    </w:p>
  </w:footnote>
  <w:footnote w:id="7">
    <w:p w:rsidR="0050335A" w:rsidRPr="00313E64" w:rsidRDefault="00F55772" w:rsidP="00313E64">
      <w:pPr>
        <w:pStyle w:val="FootnoteText"/>
        <w:spacing w:after="120"/>
        <w:rPr>
          <w:sz w:val="20"/>
        </w:rPr>
      </w:pPr>
      <w:r w:rsidRPr="00313E64">
        <w:rPr>
          <w:rStyle w:val="FootnoteReference"/>
          <w:rFonts w:ascii="Times New Roman" w:hAnsi="Times New Roman"/>
        </w:rPr>
        <w:footnoteRef/>
      </w:r>
      <w:r w:rsidRPr="00313E64">
        <w:rPr>
          <w:sz w:val="20"/>
        </w:rPr>
        <w:t xml:space="preserve"> </w:t>
      </w:r>
      <w:r w:rsidRPr="00313E64">
        <w:rPr>
          <w:i/>
          <w:sz w:val="20"/>
        </w:rPr>
        <w:t xml:space="preserve">See </w:t>
      </w:r>
      <w:r w:rsidRPr="00313E64">
        <w:rPr>
          <w:sz w:val="20"/>
        </w:rPr>
        <w:t>TCB Letter.</w:t>
      </w:r>
    </w:p>
  </w:footnote>
  <w:footnote w:id="8">
    <w:p w:rsidR="00EA71AD" w:rsidRPr="00313E64" w:rsidRDefault="00EA71AD" w:rsidP="00313E64">
      <w:pPr>
        <w:pStyle w:val="FootnoteText"/>
        <w:spacing w:after="120"/>
        <w:rPr>
          <w:sz w:val="20"/>
        </w:rPr>
      </w:pPr>
      <w:r w:rsidRPr="00313E64">
        <w:rPr>
          <w:rStyle w:val="FootnoteReference"/>
          <w:rFonts w:ascii="Times New Roman" w:hAnsi="Times New Roman"/>
        </w:rPr>
        <w:footnoteRef/>
      </w:r>
      <w:r w:rsidRPr="00313E64">
        <w:rPr>
          <w:sz w:val="20"/>
        </w:rPr>
        <w:t xml:space="preserve"> </w:t>
      </w:r>
      <w:r w:rsidRPr="00313E64">
        <w:rPr>
          <w:i/>
          <w:sz w:val="20"/>
        </w:rPr>
        <w:t>See id.</w:t>
      </w:r>
      <w:r w:rsidR="001D4527" w:rsidRPr="00313E64">
        <w:rPr>
          <w:sz w:val="20"/>
        </w:rPr>
        <w:t xml:space="preserve">  An intentional radiator is a device that intentionally generates and emits radio frequency energy by radiation or induction. 47 C.F.R. § 15.3(o).</w:t>
      </w:r>
    </w:p>
  </w:footnote>
  <w:footnote w:id="9">
    <w:p w:rsidR="00F55772" w:rsidRPr="00313E64" w:rsidRDefault="00F55772" w:rsidP="00313E64">
      <w:pPr>
        <w:pStyle w:val="FootnoteText"/>
        <w:spacing w:after="120"/>
        <w:rPr>
          <w:sz w:val="20"/>
        </w:rPr>
      </w:pPr>
      <w:r w:rsidRPr="00313E64">
        <w:rPr>
          <w:rStyle w:val="FootnoteReference"/>
          <w:rFonts w:ascii="Times New Roman" w:hAnsi="Times New Roman"/>
        </w:rPr>
        <w:footnoteRef/>
      </w:r>
      <w:r w:rsidRPr="00313E64">
        <w:rPr>
          <w:sz w:val="20"/>
        </w:rPr>
        <w:t xml:space="preserve"> </w:t>
      </w:r>
      <w:r w:rsidRPr="00313E64">
        <w:rPr>
          <w:i/>
          <w:sz w:val="20"/>
        </w:rPr>
        <w:t>See id.</w:t>
      </w:r>
    </w:p>
  </w:footnote>
  <w:footnote w:id="10">
    <w:p w:rsidR="00F55772" w:rsidRPr="00313E64" w:rsidRDefault="00F55772" w:rsidP="00313E64">
      <w:pPr>
        <w:pStyle w:val="FootnoteText"/>
        <w:spacing w:after="120"/>
        <w:rPr>
          <w:sz w:val="20"/>
        </w:rPr>
      </w:pPr>
      <w:r w:rsidRPr="00313E64">
        <w:rPr>
          <w:rStyle w:val="FootnoteReference"/>
          <w:rFonts w:ascii="Times New Roman" w:hAnsi="Times New Roman"/>
        </w:rPr>
        <w:footnoteRef/>
      </w:r>
      <w:r w:rsidRPr="00313E64">
        <w:rPr>
          <w:sz w:val="20"/>
        </w:rPr>
        <w:t xml:space="preserve"> </w:t>
      </w:r>
      <w:r w:rsidRPr="00313E64">
        <w:rPr>
          <w:i/>
          <w:sz w:val="20"/>
        </w:rPr>
        <w:t>See id.</w:t>
      </w:r>
    </w:p>
  </w:footnote>
  <w:footnote w:id="11">
    <w:p w:rsidR="00F55772" w:rsidRPr="00313E64" w:rsidRDefault="00F55772" w:rsidP="00313E64">
      <w:pPr>
        <w:pStyle w:val="FootnoteText"/>
        <w:spacing w:after="120"/>
        <w:rPr>
          <w:sz w:val="20"/>
        </w:rPr>
      </w:pPr>
      <w:r w:rsidRPr="00313E64">
        <w:rPr>
          <w:rStyle w:val="FootnoteReference"/>
          <w:rFonts w:ascii="Times New Roman" w:hAnsi="Times New Roman"/>
        </w:rPr>
        <w:footnoteRef/>
      </w:r>
      <w:r w:rsidRPr="00313E64">
        <w:rPr>
          <w:sz w:val="20"/>
        </w:rPr>
        <w:t xml:space="preserve"> </w:t>
      </w:r>
      <w:r w:rsidRPr="00313E64">
        <w:rPr>
          <w:i/>
          <w:sz w:val="20"/>
        </w:rPr>
        <w:t xml:space="preserve">See </w:t>
      </w:r>
      <w:r w:rsidR="00686324" w:rsidRPr="00313E64">
        <w:rPr>
          <w:i/>
          <w:sz w:val="20"/>
        </w:rPr>
        <w:t>https://fjallfoss.fcc.gov/oetcf/eas/reports/GenericSearch.cfm</w:t>
      </w:r>
      <w:r w:rsidRPr="00313E64">
        <w:rPr>
          <w:i/>
          <w:sz w:val="20"/>
        </w:rPr>
        <w:t>.</w:t>
      </w:r>
      <w:r w:rsidR="00686324" w:rsidRPr="00313E64">
        <w:rPr>
          <w:i/>
          <w:sz w:val="20"/>
        </w:rPr>
        <w:t xml:space="preserve"> </w:t>
      </w:r>
      <w:r w:rsidR="00686324" w:rsidRPr="00313E64">
        <w:rPr>
          <w:sz w:val="20"/>
        </w:rPr>
        <w:t xml:space="preserve">The equipment authorization </w:t>
      </w:r>
      <w:r w:rsidR="00686324" w:rsidRPr="00313E64">
        <w:rPr>
          <w:kern w:val="22"/>
          <w:sz w:val="20"/>
        </w:rPr>
        <w:t xml:space="preserve">bears FCC ID No. XRLTG-VIPJAMM. </w:t>
      </w:r>
    </w:p>
  </w:footnote>
  <w:footnote w:id="12">
    <w:p w:rsidR="008329C5" w:rsidRPr="00313E64" w:rsidRDefault="00F55772" w:rsidP="00313E64">
      <w:pPr>
        <w:pStyle w:val="FootnoteText"/>
        <w:spacing w:after="120"/>
        <w:rPr>
          <w:sz w:val="20"/>
        </w:rPr>
      </w:pPr>
      <w:r w:rsidRPr="00313E64">
        <w:rPr>
          <w:rStyle w:val="FootnoteReference"/>
          <w:rFonts w:ascii="Times New Roman" w:hAnsi="Times New Roman"/>
        </w:rPr>
        <w:footnoteRef/>
      </w:r>
      <w:r w:rsidRPr="00313E64">
        <w:rPr>
          <w:sz w:val="20"/>
        </w:rPr>
        <w:t xml:space="preserve"> </w:t>
      </w:r>
      <w:r w:rsidRPr="00313E64">
        <w:rPr>
          <w:i/>
          <w:sz w:val="20"/>
        </w:rPr>
        <w:t>TxTStopper™ website, at http://www.txtstopper.com/cms (visited June 29, 2010 and October 18, 2010)</w:t>
      </w:r>
      <w:r w:rsidR="00F7422B" w:rsidRPr="00313E64">
        <w:rPr>
          <w:i/>
          <w:sz w:val="20"/>
        </w:rPr>
        <w:t>.</w:t>
      </w:r>
    </w:p>
  </w:footnote>
  <w:footnote w:id="13">
    <w:p w:rsidR="00415E35" w:rsidRPr="00313E64" w:rsidRDefault="00415E35" w:rsidP="00313E64">
      <w:pPr>
        <w:pStyle w:val="FootnoteText"/>
        <w:spacing w:after="120"/>
        <w:rPr>
          <w:sz w:val="20"/>
        </w:rPr>
      </w:pPr>
      <w:r w:rsidRPr="00313E64">
        <w:rPr>
          <w:rStyle w:val="FootnoteReference"/>
          <w:rFonts w:ascii="Times New Roman" w:hAnsi="Times New Roman"/>
        </w:rPr>
        <w:footnoteRef/>
      </w:r>
      <w:r w:rsidRPr="00313E64">
        <w:rPr>
          <w:sz w:val="20"/>
        </w:rPr>
        <w:t xml:space="preserve"> </w:t>
      </w:r>
      <w:r w:rsidRPr="00313E64">
        <w:rPr>
          <w:i/>
          <w:sz w:val="20"/>
        </w:rPr>
        <w:t>See id.</w:t>
      </w:r>
      <w:r w:rsidRPr="00313E64">
        <w:rPr>
          <w:sz w:val="20"/>
        </w:rPr>
        <w:t xml:space="preserve"> at</w:t>
      </w:r>
      <w:r w:rsidRPr="00313E64">
        <w:rPr>
          <w:i/>
          <w:sz w:val="20"/>
        </w:rPr>
        <w:t xml:space="preserve"> </w:t>
      </w:r>
      <w:r w:rsidRPr="00313E64">
        <w:rPr>
          <w:sz w:val="20"/>
        </w:rPr>
        <w:t>http://www.txtstopper.com/cms/content/faqs (visited June 29, 2010 and October 18, 2010).</w:t>
      </w:r>
    </w:p>
  </w:footnote>
  <w:footnote w:id="14">
    <w:p w:rsidR="00415E35" w:rsidRPr="00313E64" w:rsidRDefault="00415E35" w:rsidP="00313E64">
      <w:pPr>
        <w:pStyle w:val="FootnoteText"/>
        <w:spacing w:after="120"/>
        <w:rPr>
          <w:sz w:val="20"/>
        </w:rPr>
      </w:pPr>
      <w:r w:rsidRPr="00313E64">
        <w:rPr>
          <w:rStyle w:val="FootnoteReference"/>
          <w:rFonts w:ascii="Times New Roman" w:hAnsi="Times New Roman"/>
        </w:rPr>
        <w:footnoteRef/>
      </w:r>
      <w:r w:rsidRPr="00313E64">
        <w:rPr>
          <w:sz w:val="20"/>
        </w:rPr>
        <w:t xml:space="preserve"> </w:t>
      </w:r>
      <w:r w:rsidRPr="00313E64">
        <w:rPr>
          <w:i/>
          <w:sz w:val="20"/>
        </w:rPr>
        <w:t>See id.</w:t>
      </w:r>
    </w:p>
  </w:footnote>
  <w:footnote w:id="15">
    <w:p w:rsidR="00F55772" w:rsidRPr="00313E64" w:rsidRDefault="00F55772" w:rsidP="00313E64">
      <w:pPr>
        <w:pStyle w:val="FootnoteText"/>
        <w:spacing w:after="120"/>
        <w:rPr>
          <w:sz w:val="20"/>
        </w:rPr>
      </w:pPr>
      <w:r w:rsidRPr="00313E64">
        <w:rPr>
          <w:rStyle w:val="FootnoteReference"/>
          <w:rFonts w:ascii="Times New Roman" w:hAnsi="Times New Roman"/>
        </w:rPr>
        <w:footnoteRef/>
      </w:r>
      <w:r w:rsidRPr="00313E64">
        <w:rPr>
          <w:sz w:val="20"/>
        </w:rPr>
        <w:t xml:space="preserve"> </w:t>
      </w:r>
      <w:r w:rsidRPr="00313E64">
        <w:rPr>
          <w:i/>
          <w:sz w:val="20"/>
        </w:rPr>
        <w:t xml:space="preserve">See </w:t>
      </w:r>
      <w:r w:rsidRPr="00313E64">
        <w:rPr>
          <w:sz w:val="20"/>
        </w:rPr>
        <w:t>Letter from Kathryn S. Berthot, Chief, Spectrum Enforcement Division, Enforcement Bureau, Federal Communications Commission, to Terrence Williams, CFO, Share Enterprises Unlimited, Inc. (July 20, 2010).</w:t>
      </w:r>
    </w:p>
  </w:footnote>
  <w:footnote w:id="16">
    <w:p w:rsidR="00F55772" w:rsidRPr="00313E64" w:rsidRDefault="00F55772" w:rsidP="00313E64">
      <w:pPr>
        <w:pStyle w:val="FootnoteText"/>
        <w:spacing w:after="120"/>
        <w:rPr>
          <w:sz w:val="20"/>
        </w:rPr>
      </w:pPr>
      <w:r w:rsidRPr="00313E64">
        <w:rPr>
          <w:rStyle w:val="FootnoteReference"/>
          <w:rFonts w:ascii="Times New Roman" w:hAnsi="Times New Roman"/>
        </w:rPr>
        <w:footnoteRef/>
      </w:r>
      <w:r w:rsidRPr="00313E64">
        <w:rPr>
          <w:sz w:val="20"/>
        </w:rPr>
        <w:t xml:space="preserve"> </w:t>
      </w:r>
      <w:r w:rsidR="00DA0C48" w:rsidRPr="00313E64">
        <w:rPr>
          <w:i/>
          <w:sz w:val="20"/>
        </w:rPr>
        <w:t xml:space="preserve">See </w:t>
      </w:r>
      <w:r w:rsidR="00DA0C48" w:rsidRPr="00313E64">
        <w:rPr>
          <w:sz w:val="20"/>
        </w:rPr>
        <w:t>Letter from Terrence Williams, Principal, Share Enterprises Unlimited, Inc., to Samantha Peoples, Spectrum Enforcement Division, Enforcement Bureau, Federal Communications Commission, dated September 6, 2010 (LOI Response) at 1.</w:t>
      </w:r>
    </w:p>
  </w:footnote>
  <w:footnote w:id="17">
    <w:p w:rsidR="00F55772" w:rsidRPr="00313E64" w:rsidRDefault="00F55772" w:rsidP="00313E64">
      <w:pPr>
        <w:pStyle w:val="FootnoteText"/>
        <w:tabs>
          <w:tab w:val="left" w:pos="360"/>
        </w:tabs>
        <w:spacing w:after="120"/>
        <w:rPr>
          <w:sz w:val="20"/>
        </w:rPr>
      </w:pPr>
      <w:r w:rsidRPr="00313E64">
        <w:rPr>
          <w:rStyle w:val="FootnoteReference"/>
          <w:rFonts w:ascii="Times New Roman" w:hAnsi="Times New Roman"/>
        </w:rPr>
        <w:footnoteRef/>
      </w:r>
      <w:r w:rsidRPr="00313E64">
        <w:rPr>
          <w:sz w:val="20"/>
        </w:rPr>
        <w:t xml:space="preserve"> </w:t>
      </w:r>
      <w:r w:rsidR="008F59D0" w:rsidRPr="00313E64">
        <w:rPr>
          <w:i/>
          <w:sz w:val="20"/>
        </w:rPr>
        <w:t xml:space="preserve">See </w:t>
      </w:r>
      <w:r w:rsidR="008F59D0" w:rsidRPr="00313E64">
        <w:rPr>
          <w:sz w:val="20"/>
        </w:rPr>
        <w:t>LOI Response at 2.</w:t>
      </w:r>
    </w:p>
  </w:footnote>
  <w:footnote w:id="18">
    <w:p w:rsidR="00F55772" w:rsidRPr="00313E64" w:rsidRDefault="00F55772" w:rsidP="00313E64">
      <w:pPr>
        <w:pStyle w:val="FootnoteText"/>
        <w:tabs>
          <w:tab w:val="left" w:pos="360"/>
        </w:tabs>
        <w:spacing w:after="120"/>
        <w:rPr>
          <w:sz w:val="20"/>
        </w:rPr>
      </w:pPr>
      <w:r w:rsidRPr="00313E64">
        <w:rPr>
          <w:rStyle w:val="FootnoteReference"/>
          <w:rFonts w:ascii="Times New Roman" w:hAnsi="Times New Roman"/>
        </w:rPr>
        <w:footnoteRef/>
      </w:r>
      <w:r w:rsidRPr="00313E64">
        <w:rPr>
          <w:sz w:val="20"/>
        </w:rPr>
        <w:t xml:space="preserve"> </w:t>
      </w:r>
      <w:r w:rsidRPr="00313E64">
        <w:rPr>
          <w:i/>
          <w:sz w:val="20"/>
        </w:rPr>
        <w:t>See id.</w:t>
      </w:r>
      <w:r w:rsidRPr="00313E64">
        <w:rPr>
          <w:sz w:val="20"/>
        </w:rPr>
        <w:t xml:space="preserve">  </w:t>
      </w:r>
    </w:p>
  </w:footnote>
  <w:footnote w:id="19">
    <w:p w:rsidR="00F55772" w:rsidRPr="00313E64" w:rsidRDefault="00F55772" w:rsidP="00313E64">
      <w:pPr>
        <w:pStyle w:val="FootnoteText"/>
        <w:tabs>
          <w:tab w:val="left" w:pos="360"/>
        </w:tabs>
        <w:spacing w:after="120"/>
        <w:rPr>
          <w:sz w:val="20"/>
        </w:rPr>
      </w:pPr>
      <w:r w:rsidRPr="00313E64">
        <w:rPr>
          <w:rStyle w:val="FootnoteReference"/>
          <w:rFonts w:ascii="Times New Roman" w:hAnsi="Times New Roman"/>
        </w:rPr>
        <w:footnoteRef/>
      </w:r>
      <w:r w:rsidRPr="00313E64">
        <w:rPr>
          <w:sz w:val="20"/>
        </w:rPr>
        <w:t xml:space="preserve"> </w:t>
      </w:r>
      <w:r w:rsidRPr="00313E64">
        <w:rPr>
          <w:i/>
          <w:sz w:val="20"/>
        </w:rPr>
        <w:t>See</w:t>
      </w:r>
      <w:r w:rsidR="00EF2922" w:rsidRPr="00313E64">
        <w:rPr>
          <w:sz w:val="20"/>
        </w:rPr>
        <w:t xml:space="preserve"> </w:t>
      </w:r>
      <w:r w:rsidR="00EF2922" w:rsidRPr="00313E64">
        <w:rPr>
          <w:i/>
          <w:sz w:val="20"/>
        </w:rPr>
        <w:t>id</w:t>
      </w:r>
      <w:r w:rsidRPr="00313E64">
        <w:rPr>
          <w:i/>
          <w:sz w:val="20"/>
        </w:rPr>
        <w:t>.</w:t>
      </w:r>
    </w:p>
  </w:footnote>
  <w:footnote w:id="20">
    <w:p w:rsidR="008175B1" w:rsidRPr="00313E64" w:rsidRDefault="008175B1" w:rsidP="00313E64">
      <w:pPr>
        <w:pStyle w:val="FootnoteText"/>
        <w:tabs>
          <w:tab w:val="left" w:pos="360"/>
        </w:tabs>
        <w:spacing w:after="120"/>
        <w:rPr>
          <w:kern w:val="22"/>
          <w:sz w:val="20"/>
        </w:rPr>
      </w:pPr>
      <w:r w:rsidRPr="00313E64">
        <w:rPr>
          <w:rStyle w:val="FootnoteReference"/>
          <w:rFonts w:ascii="Times New Roman" w:hAnsi="Times New Roman"/>
        </w:rPr>
        <w:footnoteRef/>
      </w:r>
      <w:r w:rsidRPr="00313E64">
        <w:rPr>
          <w:sz w:val="20"/>
        </w:rPr>
        <w:t xml:space="preserve"> The </w:t>
      </w:r>
      <w:r w:rsidR="00EF2922" w:rsidRPr="00313E64">
        <w:rPr>
          <w:sz w:val="20"/>
        </w:rPr>
        <w:t>Disputed Authoriz</w:t>
      </w:r>
      <w:r w:rsidR="008E088D" w:rsidRPr="00313E64">
        <w:rPr>
          <w:sz w:val="20"/>
        </w:rPr>
        <w:t xml:space="preserve">ation </w:t>
      </w:r>
      <w:r w:rsidRPr="00313E64">
        <w:rPr>
          <w:kern w:val="22"/>
          <w:sz w:val="20"/>
        </w:rPr>
        <w:t xml:space="preserve">was granted to Shenzhen on October 20, 2009.  </w:t>
      </w:r>
      <w:r w:rsidRPr="00313E64">
        <w:rPr>
          <w:i/>
          <w:kern w:val="22"/>
          <w:sz w:val="20"/>
        </w:rPr>
        <w:t>See</w:t>
      </w:r>
      <w:r w:rsidRPr="00313E64">
        <w:rPr>
          <w:kern w:val="22"/>
          <w:sz w:val="20"/>
        </w:rPr>
        <w:t xml:space="preserve"> https://fjallfoss.fcc.gov/oetcf/eas/reports/GenericSearch.cfm.</w:t>
      </w:r>
    </w:p>
  </w:footnote>
  <w:footnote w:id="21">
    <w:p w:rsidR="003340A4" w:rsidRPr="00313E64" w:rsidRDefault="003340A4" w:rsidP="00313E64">
      <w:pPr>
        <w:pStyle w:val="FootnoteText"/>
        <w:spacing w:after="120"/>
        <w:rPr>
          <w:sz w:val="20"/>
        </w:rPr>
      </w:pPr>
      <w:r w:rsidRPr="00313E64">
        <w:rPr>
          <w:rStyle w:val="FootnoteReference"/>
          <w:rFonts w:ascii="Times New Roman" w:hAnsi="Times New Roman"/>
        </w:rPr>
        <w:footnoteRef/>
      </w:r>
      <w:r w:rsidRPr="00313E64">
        <w:rPr>
          <w:sz w:val="20"/>
        </w:rPr>
        <w:t xml:space="preserve"> </w:t>
      </w:r>
      <w:r w:rsidRPr="00313E64">
        <w:rPr>
          <w:i/>
          <w:sz w:val="20"/>
        </w:rPr>
        <w:t xml:space="preserve">See </w:t>
      </w:r>
      <w:r w:rsidRPr="00313E64">
        <w:rPr>
          <w:sz w:val="20"/>
        </w:rPr>
        <w:t xml:space="preserve">FCC ID No. XRL-TGVIPJAMM, </w:t>
      </w:r>
      <w:r w:rsidR="00F7422B" w:rsidRPr="00313E64">
        <w:rPr>
          <w:sz w:val="20"/>
        </w:rPr>
        <w:t xml:space="preserve">available </w:t>
      </w:r>
      <w:r w:rsidRPr="00313E64">
        <w:rPr>
          <w:sz w:val="20"/>
        </w:rPr>
        <w:t xml:space="preserve">at https://fjallfoss.fcc.gov/oetcf/eas/reports/GenericSearch.cfm.  </w:t>
      </w:r>
    </w:p>
  </w:footnote>
  <w:footnote w:id="22">
    <w:p w:rsidR="008175B1" w:rsidRPr="00313E64" w:rsidRDefault="008175B1" w:rsidP="00313E64">
      <w:pPr>
        <w:pStyle w:val="FootnoteText"/>
        <w:tabs>
          <w:tab w:val="left" w:pos="360"/>
        </w:tabs>
        <w:spacing w:after="120"/>
        <w:rPr>
          <w:i/>
          <w:sz w:val="20"/>
        </w:rPr>
      </w:pPr>
      <w:r w:rsidRPr="00313E64">
        <w:rPr>
          <w:rStyle w:val="FootnoteReference"/>
          <w:rFonts w:ascii="Times New Roman" w:hAnsi="Times New Roman"/>
        </w:rPr>
        <w:footnoteRef/>
      </w:r>
      <w:r w:rsidRPr="00313E64">
        <w:rPr>
          <w:sz w:val="20"/>
        </w:rPr>
        <w:t xml:space="preserve"> </w:t>
      </w:r>
      <w:r w:rsidRPr="00313E64">
        <w:rPr>
          <w:i/>
          <w:sz w:val="20"/>
        </w:rPr>
        <w:t xml:space="preserve">See </w:t>
      </w:r>
      <w:r w:rsidRPr="00313E64">
        <w:rPr>
          <w:sz w:val="20"/>
        </w:rPr>
        <w:t>E-mail from Gretchen Greene, Timco Engineering, Inc., to Raymond LaForge, Chief, Auditing and Compliance Branch, Office of Engineering and Technology Laboratory, Federal Communications Commission (September 17, 2010).</w:t>
      </w:r>
    </w:p>
  </w:footnote>
  <w:footnote w:id="23">
    <w:p w:rsidR="008175B1" w:rsidRPr="00313E64" w:rsidRDefault="008175B1" w:rsidP="00313E64">
      <w:pPr>
        <w:pStyle w:val="FootnoteText"/>
        <w:tabs>
          <w:tab w:val="left" w:pos="360"/>
        </w:tabs>
        <w:spacing w:after="120"/>
        <w:rPr>
          <w:sz w:val="20"/>
        </w:rPr>
      </w:pPr>
      <w:r w:rsidRPr="00313E64">
        <w:rPr>
          <w:rStyle w:val="FootnoteReference"/>
          <w:rFonts w:ascii="Times New Roman" w:hAnsi="Times New Roman"/>
        </w:rPr>
        <w:footnoteRef/>
      </w:r>
      <w:r w:rsidRPr="00313E64">
        <w:rPr>
          <w:sz w:val="20"/>
        </w:rPr>
        <w:t xml:space="preserve"> </w:t>
      </w:r>
      <w:r w:rsidRPr="00313E64">
        <w:rPr>
          <w:i/>
          <w:sz w:val="20"/>
        </w:rPr>
        <w:t>See id.</w:t>
      </w:r>
    </w:p>
  </w:footnote>
  <w:footnote w:id="24">
    <w:p w:rsidR="008175B1" w:rsidRPr="00313E64" w:rsidRDefault="008175B1" w:rsidP="00313E64">
      <w:pPr>
        <w:pStyle w:val="FootnoteText"/>
        <w:tabs>
          <w:tab w:val="left" w:pos="360"/>
        </w:tabs>
        <w:spacing w:after="120"/>
        <w:rPr>
          <w:sz w:val="20"/>
        </w:rPr>
      </w:pPr>
      <w:r w:rsidRPr="00313E64">
        <w:rPr>
          <w:rStyle w:val="FootnoteReference"/>
          <w:rFonts w:ascii="Times New Roman" w:hAnsi="Times New Roman"/>
        </w:rPr>
        <w:footnoteRef/>
      </w:r>
      <w:r w:rsidRPr="00313E64">
        <w:rPr>
          <w:sz w:val="20"/>
        </w:rPr>
        <w:t xml:space="preserve"> </w:t>
      </w:r>
      <w:r w:rsidRPr="00313E64">
        <w:rPr>
          <w:i/>
          <w:sz w:val="20"/>
        </w:rPr>
        <w:t xml:space="preserve">See </w:t>
      </w:r>
      <w:r w:rsidRPr="00313E64">
        <w:rPr>
          <w:sz w:val="20"/>
        </w:rPr>
        <w:t>Letter from Raymond LaForge, Chief, Auditing and Compliance Branch, Office of Engineering and Technology Laboratory, Federal Communications Commission, to Junrong Jiang, General Manager, Shenzhen Tangreat Technology Co., Inc. (September 9, 2010).  The letter was sent to the email address listed in Shenzhen’s equipment authorization application, tangreat@tangreat.com.</w:t>
      </w:r>
    </w:p>
  </w:footnote>
  <w:footnote w:id="25">
    <w:p w:rsidR="008175B1" w:rsidRPr="00313E64" w:rsidRDefault="008175B1" w:rsidP="00313E64">
      <w:pPr>
        <w:pStyle w:val="FootnoteText"/>
        <w:tabs>
          <w:tab w:val="left" w:pos="360"/>
        </w:tabs>
        <w:spacing w:after="120"/>
        <w:rPr>
          <w:i/>
          <w:sz w:val="20"/>
        </w:rPr>
      </w:pPr>
      <w:r w:rsidRPr="00313E64">
        <w:rPr>
          <w:rStyle w:val="FootnoteReference"/>
          <w:rFonts w:ascii="Times New Roman" w:hAnsi="Times New Roman"/>
        </w:rPr>
        <w:footnoteRef/>
      </w:r>
      <w:r w:rsidRPr="00313E64">
        <w:rPr>
          <w:sz w:val="20"/>
        </w:rPr>
        <w:t xml:space="preserve"> </w:t>
      </w:r>
      <w:r w:rsidRPr="00313E64">
        <w:rPr>
          <w:i/>
          <w:sz w:val="20"/>
        </w:rPr>
        <w:t xml:space="preserve">See </w:t>
      </w:r>
      <w:r w:rsidRPr="00313E64">
        <w:rPr>
          <w:sz w:val="20"/>
        </w:rPr>
        <w:t>Letter from Raymond LaForge, Chief, Auditing and Compliance Branch, Office of Engineering and Technology Laboratory, to Shenzhen Tangreat Technology Co., Inc. (September 16, 2010).  Under Section 2.945 of the Rules, the Commission may require responsible parties to submit equipment samples in order to determine the extent to which the equipment continues to comply with the data submitted by the applicant.  47 C.F.R. § 2.945.</w:t>
      </w:r>
    </w:p>
  </w:footnote>
  <w:footnote w:id="26">
    <w:p w:rsidR="008175B1" w:rsidRPr="00313E64" w:rsidRDefault="008175B1" w:rsidP="00313E64">
      <w:pPr>
        <w:pStyle w:val="FootnoteText"/>
        <w:spacing w:after="120"/>
        <w:rPr>
          <w:sz w:val="20"/>
        </w:rPr>
      </w:pPr>
      <w:r w:rsidRPr="00313E64">
        <w:rPr>
          <w:rStyle w:val="FootnoteReference"/>
          <w:rFonts w:ascii="Times New Roman" w:hAnsi="Times New Roman"/>
        </w:rPr>
        <w:footnoteRef/>
      </w:r>
      <w:r w:rsidRPr="00313E64">
        <w:rPr>
          <w:sz w:val="20"/>
        </w:rPr>
        <w:t xml:space="preserve"> Field tests indicate that calls are blocked within a 150-foot radius of the vehicle.</w:t>
      </w:r>
    </w:p>
  </w:footnote>
  <w:footnote w:id="27">
    <w:p w:rsidR="00D073BE" w:rsidRPr="00313E64" w:rsidRDefault="00D073BE" w:rsidP="00313E64">
      <w:pPr>
        <w:pStyle w:val="FootnoteText"/>
        <w:spacing w:after="120"/>
        <w:rPr>
          <w:sz w:val="20"/>
        </w:rPr>
      </w:pPr>
      <w:r w:rsidRPr="00313E64">
        <w:rPr>
          <w:rStyle w:val="FootnoteReference"/>
          <w:rFonts w:ascii="Times New Roman" w:hAnsi="Times New Roman"/>
        </w:rPr>
        <w:footnoteRef/>
      </w:r>
      <w:r w:rsidRPr="00313E64">
        <w:rPr>
          <w:sz w:val="20"/>
        </w:rPr>
        <w:t xml:space="preserve"> </w:t>
      </w:r>
      <w:r w:rsidRPr="00313E64">
        <w:rPr>
          <w:i/>
          <w:sz w:val="20"/>
        </w:rPr>
        <w:t xml:space="preserve">See </w:t>
      </w:r>
      <w:r w:rsidRPr="00313E64">
        <w:rPr>
          <w:sz w:val="20"/>
        </w:rPr>
        <w:t>47 C.F.R. § 2.939(b) (“Revocation of an equipment authorization shall be made in the same manner as revocation of radio station licenses.”)</w:t>
      </w:r>
      <w:r w:rsidR="00F7422B" w:rsidRPr="00313E64">
        <w:rPr>
          <w:sz w:val="20"/>
        </w:rPr>
        <w:t>.</w:t>
      </w:r>
    </w:p>
  </w:footnote>
  <w:footnote w:id="28">
    <w:p w:rsidR="00CE3187" w:rsidRPr="00313E64" w:rsidRDefault="00CE3187" w:rsidP="00313E64">
      <w:pPr>
        <w:pStyle w:val="FootnoteText"/>
        <w:tabs>
          <w:tab w:val="left" w:pos="360"/>
        </w:tabs>
        <w:spacing w:after="120"/>
        <w:rPr>
          <w:sz w:val="20"/>
        </w:rPr>
      </w:pPr>
      <w:r w:rsidRPr="00313E64">
        <w:rPr>
          <w:rStyle w:val="FootnoteReference"/>
          <w:rFonts w:ascii="Times New Roman" w:hAnsi="Times New Roman"/>
        </w:rPr>
        <w:footnoteRef/>
      </w:r>
      <w:r w:rsidRPr="00313E64">
        <w:rPr>
          <w:sz w:val="20"/>
        </w:rPr>
        <w:t xml:space="preserve"> 47 U.S.C. § 312(c).</w:t>
      </w:r>
    </w:p>
  </w:footnote>
  <w:footnote w:id="29">
    <w:p w:rsidR="00CE3187" w:rsidRPr="00313E64" w:rsidRDefault="00CE3187" w:rsidP="00313E64">
      <w:pPr>
        <w:pStyle w:val="FootnoteText"/>
        <w:spacing w:after="120"/>
        <w:rPr>
          <w:sz w:val="20"/>
        </w:rPr>
      </w:pPr>
      <w:r w:rsidRPr="00313E64">
        <w:rPr>
          <w:rStyle w:val="FootnoteReference"/>
          <w:rFonts w:ascii="Times New Roman" w:hAnsi="Times New Roman"/>
        </w:rPr>
        <w:footnoteRef/>
      </w:r>
      <w:r w:rsidRPr="00313E64">
        <w:rPr>
          <w:sz w:val="20"/>
        </w:rPr>
        <w:t xml:space="preserve"> 47 C.F.R. § 2.939(a)(1).</w:t>
      </w:r>
    </w:p>
  </w:footnote>
  <w:footnote w:id="30">
    <w:p w:rsidR="00CE3187" w:rsidRPr="00313E64" w:rsidRDefault="00CE3187" w:rsidP="00313E64">
      <w:pPr>
        <w:pStyle w:val="FootnoteText"/>
        <w:tabs>
          <w:tab w:val="left" w:pos="360"/>
        </w:tabs>
        <w:spacing w:after="120"/>
        <w:rPr>
          <w:sz w:val="20"/>
        </w:rPr>
      </w:pPr>
      <w:r w:rsidRPr="00313E64">
        <w:rPr>
          <w:rStyle w:val="FootnoteReference"/>
          <w:rFonts w:ascii="Times New Roman" w:hAnsi="Times New Roman"/>
        </w:rPr>
        <w:footnoteRef/>
      </w:r>
      <w:r w:rsidRPr="00313E64">
        <w:rPr>
          <w:sz w:val="20"/>
        </w:rPr>
        <w:t xml:space="preserve"> </w:t>
      </w:r>
      <w:r w:rsidRPr="00313E64">
        <w:rPr>
          <w:i/>
          <w:sz w:val="20"/>
        </w:rPr>
        <w:t>Id.</w:t>
      </w:r>
      <w:r w:rsidRPr="00313E64">
        <w:rPr>
          <w:sz w:val="20"/>
        </w:rPr>
        <w:t xml:space="preserve"> § 2.939(a)(2).</w:t>
      </w:r>
    </w:p>
  </w:footnote>
  <w:footnote w:id="31">
    <w:p w:rsidR="00CE3187" w:rsidRPr="00313E64" w:rsidRDefault="00CE3187" w:rsidP="00313E64">
      <w:pPr>
        <w:pStyle w:val="FootnoteText"/>
        <w:tabs>
          <w:tab w:val="left" w:pos="360"/>
        </w:tabs>
        <w:spacing w:after="120"/>
        <w:rPr>
          <w:sz w:val="20"/>
        </w:rPr>
      </w:pPr>
      <w:r w:rsidRPr="00313E64">
        <w:rPr>
          <w:rStyle w:val="FootnoteReference"/>
          <w:rFonts w:ascii="Times New Roman" w:hAnsi="Times New Roman"/>
        </w:rPr>
        <w:footnoteRef/>
      </w:r>
      <w:r w:rsidRPr="00313E64">
        <w:rPr>
          <w:sz w:val="20"/>
        </w:rPr>
        <w:t xml:space="preserve"> </w:t>
      </w:r>
      <w:r w:rsidRPr="00313E64">
        <w:rPr>
          <w:i/>
          <w:sz w:val="20"/>
        </w:rPr>
        <w:t>Id.</w:t>
      </w:r>
      <w:r w:rsidRPr="00313E64">
        <w:rPr>
          <w:sz w:val="20"/>
        </w:rPr>
        <w:t xml:space="preserve"> § 2.939(a)(3).</w:t>
      </w:r>
    </w:p>
  </w:footnote>
  <w:footnote w:id="32">
    <w:p w:rsidR="00CE3187" w:rsidRPr="00313E64" w:rsidRDefault="00CE3187" w:rsidP="00313E64">
      <w:pPr>
        <w:pStyle w:val="FootnoteText"/>
        <w:tabs>
          <w:tab w:val="left" w:pos="360"/>
        </w:tabs>
        <w:spacing w:after="120"/>
        <w:rPr>
          <w:sz w:val="20"/>
        </w:rPr>
      </w:pPr>
      <w:r w:rsidRPr="00313E64">
        <w:rPr>
          <w:rStyle w:val="FootnoteReference"/>
          <w:rFonts w:ascii="Times New Roman" w:hAnsi="Times New Roman"/>
        </w:rPr>
        <w:footnoteRef/>
      </w:r>
      <w:r w:rsidRPr="00313E64">
        <w:rPr>
          <w:sz w:val="20"/>
        </w:rPr>
        <w:t xml:space="preserve"> </w:t>
      </w:r>
      <w:r w:rsidRPr="00313E64">
        <w:rPr>
          <w:i/>
          <w:sz w:val="20"/>
        </w:rPr>
        <w:t xml:space="preserve">Id. </w:t>
      </w:r>
      <w:r w:rsidRPr="00313E64">
        <w:rPr>
          <w:sz w:val="20"/>
        </w:rPr>
        <w:t>§ 2.939(a)(4).</w:t>
      </w:r>
    </w:p>
  </w:footnote>
  <w:footnote w:id="33">
    <w:p w:rsidR="004A2C8C" w:rsidRPr="00313E64" w:rsidRDefault="004A2C8C" w:rsidP="00313E64">
      <w:pPr>
        <w:pStyle w:val="FootnoteText"/>
        <w:spacing w:after="120"/>
        <w:rPr>
          <w:sz w:val="20"/>
        </w:rPr>
      </w:pPr>
      <w:r w:rsidRPr="00313E64">
        <w:rPr>
          <w:rStyle w:val="FootnoteReference"/>
          <w:rFonts w:ascii="Times New Roman" w:hAnsi="Times New Roman"/>
        </w:rPr>
        <w:footnoteRef/>
      </w:r>
      <w:r w:rsidRPr="00313E64">
        <w:rPr>
          <w:sz w:val="20"/>
        </w:rPr>
        <w:t xml:space="preserve"> According to the txtstopper.com website, </w:t>
      </w:r>
      <w:r w:rsidRPr="00313E64">
        <w:rPr>
          <w:kern w:val="22"/>
          <w:sz w:val="20"/>
        </w:rPr>
        <w:t xml:space="preserve">TxTStopper™ is “a simple 12v device and is easily installed in less than 1 hour by your local professional car stereo/auto alarm technician.”  </w:t>
      </w:r>
      <w:r w:rsidRPr="00313E64">
        <w:rPr>
          <w:sz w:val="20"/>
        </w:rPr>
        <w:t xml:space="preserve">http://www.txtstopper.com/cms/content/faqs (visited June 29, 2010 and October 18, 2010).  </w:t>
      </w:r>
    </w:p>
  </w:footnote>
  <w:footnote w:id="34">
    <w:p w:rsidR="004A2C8C" w:rsidRPr="00313E64" w:rsidRDefault="004A2C8C" w:rsidP="00313E64">
      <w:pPr>
        <w:pStyle w:val="FootnoteText"/>
        <w:spacing w:after="120"/>
        <w:rPr>
          <w:sz w:val="20"/>
        </w:rPr>
      </w:pPr>
      <w:r w:rsidRPr="00313E64">
        <w:rPr>
          <w:rStyle w:val="FootnoteReference"/>
          <w:rFonts w:ascii="Times New Roman" w:hAnsi="Times New Roman"/>
        </w:rPr>
        <w:footnoteRef/>
      </w:r>
      <w:r w:rsidRPr="00313E64">
        <w:rPr>
          <w:sz w:val="20"/>
        </w:rPr>
        <w:t xml:space="preserve"> </w:t>
      </w:r>
      <w:r w:rsidRPr="00313E64">
        <w:rPr>
          <w:i/>
          <w:sz w:val="20"/>
        </w:rPr>
        <w:t>See</w:t>
      </w:r>
      <w:r w:rsidRPr="00313E64">
        <w:rPr>
          <w:sz w:val="20"/>
        </w:rPr>
        <w:t xml:space="preserve"> </w:t>
      </w:r>
      <w:r w:rsidRPr="00313E64">
        <w:rPr>
          <w:i/>
          <w:sz w:val="20"/>
        </w:rPr>
        <w:t>id.</w:t>
      </w:r>
      <w:r w:rsidRPr="00313E64">
        <w:rPr>
          <w:sz w:val="20"/>
        </w:rPr>
        <w:t xml:space="preserve"> § 15.101-15.124.</w:t>
      </w:r>
    </w:p>
  </w:footnote>
  <w:footnote w:id="35">
    <w:p w:rsidR="008F59D0" w:rsidRPr="00313E64" w:rsidRDefault="008F59D0" w:rsidP="00313E64">
      <w:pPr>
        <w:pStyle w:val="FootnoteText"/>
        <w:spacing w:after="120"/>
        <w:rPr>
          <w:sz w:val="20"/>
        </w:rPr>
      </w:pPr>
      <w:r w:rsidRPr="00313E64">
        <w:rPr>
          <w:rStyle w:val="FootnoteReference"/>
          <w:rFonts w:ascii="Times New Roman" w:hAnsi="Times New Roman"/>
        </w:rPr>
        <w:footnoteRef/>
      </w:r>
      <w:r w:rsidRPr="00313E64">
        <w:rPr>
          <w:sz w:val="20"/>
        </w:rPr>
        <w:t xml:space="preserve"> </w:t>
      </w:r>
      <w:r w:rsidRPr="00313E64">
        <w:rPr>
          <w:kern w:val="22"/>
          <w:sz w:val="20"/>
        </w:rPr>
        <w:t>47 C.F.R. § 2.939(a)(2).</w:t>
      </w:r>
    </w:p>
  </w:footnote>
  <w:footnote w:id="36">
    <w:p w:rsidR="003A5118" w:rsidRPr="00313E64" w:rsidRDefault="003A5118" w:rsidP="00313E64">
      <w:pPr>
        <w:pStyle w:val="FootnoteText"/>
        <w:spacing w:after="120"/>
        <w:rPr>
          <w:i/>
          <w:sz w:val="20"/>
        </w:rPr>
      </w:pPr>
      <w:r w:rsidRPr="00313E64">
        <w:rPr>
          <w:rStyle w:val="FootnoteReference"/>
          <w:rFonts w:ascii="Times New Roman" w:hAnsi="Times New Roman"/>
        </w:rPr>
        <w:footnoteRef/>
      </w:r>
      <w:r w:rsidR="00F7422B" w:rsidRPr="00313E64">
        <w:rPr>
          <w:sz w:val="20"/>
        </w:rPr>
        <w:t xml:space="preserve"> </w:t>
      </w:r>
      <w:r w:rsidR="00F7422B" w:rsidRPr="00313E64">
        <w:rPr>
          <w:i/>
          <w:sz w:val="20"/>
        </w:rPr>
        <w:t>See i</w:t>
      </w:r>
      <w:r w:rsidRPr="00313E64">
        <w:rPr>
          <w:i/>
          <w:sz w:val="20"/>
        </w:rPr>
        <w:t>d.</w:t>
      </w:r>
    </w:p>
  </w:footnote>
  <w:footnote w:id="37">
    <w:p w:rsidR="008F59D0" w:rsidRPr="00313E64" w:rsidRDefault="008F59D0" w:rsidP="00313E64">
      <w:pPr>
        <w:pStyle w:val="FootnoteText"/>
        <w:spacing w:after="120"/>
        <w:rPr>
          <w:sz w:val="20"/>
        </w:rPr>
      </w:pPr>
      <w:r w:rsidRPr="00313E64">
        <w:rPr>
          <w:rStyle w:val="FootnoteReference"/>
          <w:rFonts w:ascii="Times New Roman" w:hAnsi="Times New Roman"/>
        </w:rPr>
        <w:footnoteRef/>
      </w:r>
      <w:r w:rsidRPr="00313E64">
        <w:rPr>
          <w:sz w:val="20"/>
        </w:rPr>
        <w:t xml:space="preserve"> </w:t>
      </w:r>
      <w:r w:rsidRPr="00313E64">
        <w:rPr>
          <w:kern w:val="22"/>
          <w:sz w:val="20"/>
        </w:rPr>
        <w:t xml:space="preserve">47 C.F.R. § </w:t>
      </w:r>
      <w:r w:rsidR="003A5118" w:rsidRPr="00313E64">
        <w:rPr>
          <w:kern w:val="22"/>
          <w:sz w:val="20"/>
        </w:rPr>
        <w:t>2.939(a)(3</w:t>
      </w:r>
      <w:r w:rsidRPr="00313E64">
        <w:rPr>
          <w:kern w:val="22"/>
          <w:sz w:val="20"/>
        </w:rPr>
        <w:t>).</w:t>
      </w:r>
    </w:p>
  </w:footnote>
  <w:footnote w:id="38">
    <w:p w:rsidR="00297640" w:rsidRPr="00313E64" w:rsidRDefault="00297640" w:rsidP="00313E64">
      <w:pPr>
        <w:pStyle w:val="FootnoteText"/>
        <w:spacing w:after="120"/>
        <w:rPr>
          <w:i/>
          <w:sz w:val="20"/>
        </w:rPr>
      </w:pPr>
      <w:r w:rsidRPr="00313E64">
        <w:rPr>
          <w:rStyle w:val="FootnoteReference"/>
          <w:rFonts w:ascii="Times New Roman" w:hAnsi="Times New Roman"/>
        </w:rPr>
        <w:footnoteRef/>
      </w:r>
      <w:r w:rsidRPr="00313E64">
        <w:rPr>
          <w:sz w:val="20"/>
        </w:rPr>
        <w:t xml:space="preserve"> </w:t>
      </w:r>
      <w:r w:rsidRPr="00313E64">
        <w:rPr>
          <w:i/>
          <w:sz w:val="20"/>
        </w:rPr>
        <w:t>Id</w:t>
      </w:r>
      <w:r w:rsidRPr="00313E64">
        <w:rPr>
          <w:sz w:val="20"/>
        </w:rPr>
        <w:t>. § 2.803.  The relevant technical rules here are 47 C.F.R. §§ 2.915, 2.931, 15.201.</w:t>
      </w:r>
    </w:p>
  </w:footnote>
  <w:footnote w:id="39">
    <w:p w:rsidR="00B01A1E" w:rsidRPr="00313E64" w:rsidRDefault="00B01A1E" w:rsidP="00313E64">
      <w:pPr>
        <w:pStyle w:val="FootnoteText"/>
        <w:tabs>
          <w:tab w:val="left" w:pos="360"/>
        </w:tabs>
        <w:spacing w:after="120"/>
        <w:rPr>
          <w:sz w:val="20"/>
        </w:rPr>
      </w:pPr>
      <w:r w:rsidRPr="00313E64">
        <w:rPr>
          <w:rStyle w:val="FootnoteReference"/>
          <w:rFonts w:ascii="Times New Roman" w:hAnsi="Times New Roman"/>
        </w:rPr>
        <w:footnoteRef/>
      </w:r>
      <w:r w:rsidRPr="00313E64">
        <w:rPr>
          <w:sz w:val="20"/>
        </w:rPr>
        <w:t xml:space="preserve"> 47 U.S.C. § 333.</w:t>
      </w:r>
    </w:p>
  </w:footnote>
  <w:footnote w:id="40">
    <w:p w:rsidR="000954CD" w:rsidRPr="00313E64" w:rsidRDefault="000954CD" w:rsidP="00313E64">
      <w:pPr>
        <w:pStyle w:val="FootnoteText"/>
        <w:spacing w:after="120"/>
        <w:rPr>
          <w:color w:val="0000FF"/>
          <w:sz w:val="20"/>
        </w:rPr>
      </w:pPr>
      <w:r w:rsidRPr="00313E64">
        <w:rPr>
          <w:rStyle w:val="FootnoteReference"/>
          <w:rFonts w:ascii="Times New Roman" w:hAnsi="Times New Roman"/>
        </w:rPr>
        <w:footnoteRef/>
      </w:r>
      <w:r w:rsidRPr="00313E64">
        <w:rPr>
          <w:sz w:val="20"/>
          <w:lang w:val="it-IT"/>
        </w:rPr>
        <w:t xml:space="preserve"> </w:t>
      </w:r>
      <w:r w:rsidRPr="00313E64">
        <w:rPr>
          <w:sz w:val="20"/>
        </w:rPr>
        <w:t xml:space="preserve">The importance of preserving public safety and emergency communications free of jamming signals cannot be overstated and is reflected in the Commission’s investigations and enforcement actions in this area.  </w:t>
      </w:r>
      <w:r w:rsidRPr="00313E64">
        <w:rPr>
          <w:i/>
          <w:iCs/>
          <w:sz w:val="20"/>
        </w:rPr>
        <w:t>See, e.g.</w:t>
      </w:r>
      <w:r w:rsidRPr="00313E64">
        <w:rPr>
          <w:sz w:val="20"/>
        </w:rPr>
        <w:t xml:space="preserve">, </w:t>
      </w:r>
      <w:r w:rsidRPr="00313E64">
        <w:rPr>
          <w:i/>
          <w:iCs/>
          <w:sz w:val="20"/>
        </w:rPr>
        <w:t>Phonejammer.com</w:t>
      </w:r>
      <w:r w:rsidRPr="00313E64">
        <w:rPr>
          <w:sz w:val="20"/>
        </w:rPr>
        <w:t xml:space="preserve">, Notice of Apparent Liability for Forfeiture, 25 FCC Rcd 3827 (Enf. Bur. Apr. 20, 2010) (initiating a $25,000 forfeiture proceeding against the company for marketing jammers designed to interfere with cellular and “PCS” utilized by St. Lucie County, Florida Sheriff’s Office); </w:t>
      </w:r>
      <w:r w:rsidRPr="00313E64">
        <w:rPr>
          <w:i/>
          <w:iCs/>
          <w:sz w:val="20"/>
        </w:rPr>
        <w:t>Everybuying.com</w:t>
      </w:r>
      <w:r w:rsidRPr="00313E64">
        <w:rPr>
          <w:sz w:val="20"/>
        </w:rPr>
        <w:t xml:space="preserve">, Citation, DA 10-2295 (Enf. Bur. Dec. 6, 2010) (citing the company for marketing both cell phone signal and Global Positioning System (“GPS”) signal blocker devices, and noting that GPS signal blockers operate within restricted frequency bands listed in Section 15.205(a) of the Rules). </w:t>
      </w:r>
    </w:p>
  </w:footnote>
  <w:footnote w:id="41">
    <w:p w:rsidR="00CE3187" w:rsidRPr="00313E64" w:rsidRDefault="00CE3187" w:rsidP="00313E64">
      <w:pPr>
        <w:pStyle w:val="FootnoteText"/>
        <w:spacing w:after="120"/>
        <w:rPr>
          <w:sz w:val="20"/>
        </w:rPr>
      </w:pPr>
      <w:r w:rsidRPr="00313E64">
        <w:rPr>
          <w:rStyle w:val="FootnoteReference"/>
          <w:rFonts w:ascii="Times New Roman" w:hAnsi="Times New Roman"/>
        </w:rPr>
        <w:footnoteRef/>
      </w:r>
      <w:r w:rsidRPr="00313E64">
        <w:rPr>
          <w:sz w:val="20"/>
        </w:rPr>
        <w:t xml:space="preserve"> 47 U.S.C. § 312(a), (c).</w:t>
      </w:r>
    </w:p>
  </w:footnote>
  <w:footnote w:id="42">
    <w:p w:rsidR="00CE3187" w:rsidRPr="00313E64" w:rsidRDefault="00CE3187" w:rsidP="00313E64">
      <w:pPr>
        <w:pStyle w:val="FootnoteText"/>
        <w:spacing w:after="120"/>
        <w:rPr>
          <w:sz w:val="20"/>
        </w:rPr>
      </w:pPr>
      <w:r w:rsidRPr="00313E64">
        <w:rPr>
          <w:rStyle w:val="FootnoteReference"/>
          <w:rFonts w:ascii="Times New Roman" w:hAnsi="Times New Roman"/>
        </w:rPr>
        <w:footnoteRef/>
      </w:r>
      <w:r w:rsidRPr="00313E64">
        <w:rPr>
          <w:sz w:val="20"/>
        </w:rPr>
        <w:t xml:space="preserve"> 47 C.F.R. §§ 0.111, 0.311, 1.91(a), 2.939(b).</w:t>
      </w:r>
    </w:p>
  </w:footnote>
  <w:footnote w:id="43">
    <w:p w:rsidR="00686324" w:rsidRPr="00313E64" w:rsidRDefault="00686324" w:rsidP="00313E64">
      <w:pPr>
        <w:pStyle w:val="FootnoteText"/>
        <w:spacing w:after="120"/>
        <w:rPr>
          <w:sz w:val="20"/>
        </w:rPr>
      </w:pPr>
      <w:r w:rsidRPr="00313E64">
        <w:rPr>
          <w:rStyle w:val="FootnoteReference"/>
          <w:rFonts w:ascii="Times New Roman" w:hAnsi="Times New Roman"/>
        </w:rPr>
        <w:footnoteRef/>
      </w:r>
      <w:r w:rsidRPr="00313E64">
        <w:rPr>
          <w:sz w:val="20"/>
        </w:rPr>
        <w:t xml:space="preserve"> The hearing proceeding that we commence with the release of this Order to Show Cause and Notice of Opportunity for Hearing supersedes in all respects the unresolved hearing proceeding commenced in EB Docket No. 10-247.  </w:t>
      </w:r>
    </w:p>
  </w:footnote>
  <w:footnote w:id="44">
    <w:p w:rsidR="00CE3187" w:rsidRPr="00313E64" w:rsidRDefault="00CE3187" w:rsidP="00313E64">
      <w:pPr>
        <w:pStyle w:val="FootnoteText"/>
        <w:spacing w:after="120"/>
        <w:rPr>
          <w:sz w:val="20"/>
        </w:rPr>
      </w:pPr>
      <w:r w:rsidRPr="00313E64">
        <w:rPr>
          <w:rStyle w:val="FootnoteReference"/>
          <w:rFonts w:ascii="Times New Roman" w:hAnsi="Times New Roman"/>
        </w:rPr>
        <w:footnoteRef/>
      </w:r>
      <w:r w:rsidRPr="00313E64">
        <w:rPr>
          <w:sz w:val="20"/>
        </w:rPr>
        <w:t xml:space="preserve"> 47 U.S.C. § 312(c); 47 C.F.R. §§ 1.91(c), 2.939(b).</w:t>
      </w:r>
    </w:p>
  </w:footnote>
  <w:footnote w:id="45">
    <w:p w:rsidR="00CE3187" w:rsidRPr="00313E64" w:rsidRDefault="00CE3187" w:rsidP="00313E64">
      <w:pPr>
        <w:pStyle w:val="FootnoteText"/>
        <w:spacing w:after="120"/>
        <w:rPr>
          <w:sz w:val="20"/>
        </w:rPr>
      </w:pPr>
      <w:r w:rsidRPr="00313E64">
        <w:rPr>
          <w:rStyle w:val="FootnoteReference"/>
          <w:rFonts w:ascii="Times New Roman" w:hAnsi="Times New Roman"/>
        </w:rPr>
        <w:footnoteRef/>
      </w:r>
      <w:r w:rsidRPr="00313E64">
        <w:rPr>
          <w:sz w:val="20"/>
        </w:rPr>
        <w:t xml:space="preserve"> 47 U.S.C. § 312(c); 47 C.F.R. §§ 1.92(c), 2.939(b).</w:t>
      </w:r>
    </w:p>
  </w:footnote>
  <w:footnote w:id="46">
    <w:p w:rsidR="00CE3187" w:rsidRPr="00313E64" w:rsidRDefault="00CE3187" w:rsidP="00313E64">
      <w:pPr>
        <w:pStyle w:val="FootnoteText"/>
        <w:spacing w:after="120"/>
        <w:rPr>
          <w:sz w:val="20"/>
        </w:rPr>
      </w:pPr>
      <w:r w:rsidRPr="00313E64">
        <w:rPr>
          <w:rStyle w:val="FootnoteReference"/>
          <w:rFonts w:ascii="Times New Roman" w:hAnsi="Times New Roman"/>
        </w:rPr>
        <w:footnoteRef/>
      </w:r>
      <w:r w:rsidRPr="00313E64">
        <w:rPr>
          <w:sz w:val="20"/>
        </w:rPr>
        <w:t xml:space="preserve"> </w:t>
      </w:r>
      <w:r w:rsidRPr="00313E64">
        <w:rPr>
          <w:i/>
          <w:sz w:val="20"/>
        </w:rPr>
        <w:t xml:space="preserve">See </w:t>
      </w:r>
      <w:r w:rsidRPr="00313E64">
        <w:rPr>
          <w:sz w:val="20"/>
        </w:rPr>
        <w:t>47 C.F.R. § 0.111(b).</w:t>
      </w:r>
    </w:p>
  </w:footnote>
  <w:footnote w:id="47">
    <w:p w:rsidR="00CE3187" w:rsidRPr="0084505D" w:rsidRDefault="00CE3187" w:rsidP="00313E64">
      <w:pPr>
        <w:pStyle w:val="FootnoteText"/>
        <w:spacing w:after="120"/>
        <w:rPr>
          <w:sz w:val="20"/>
        </w:rPr>
      </w:pPr>
      <w:r w:rsidRPr="00313E64">
        <w:rPr>
          <w:rStyle w:val="FootnoteReference"/>
          <w:rFonts w:ascii="Times New Roman" w:hAnsi="Times New Roman"/>
        </w:rPr>
        <w:footnoteRef/>
      </w:r>
      <w:r w:rsidRPr="00313E64">
        <w:rPr>
          <w:sz w:val="20"/>
        </w:rPr>
        <w:t xml:space="preserve"> </w:t>
      </w:r>
      <w:r w:rsidRPr="00313E64">
        <w:rPr>
          <w:i/>
          <w:sz w:val="20"/>
        </w:rPr>
        <w:t xml:space="preserve">See </w:t>
      </w:r>
      <w:r w:rsidRPr="00313E64">
        <w:rPr>
          <w:sz w:val="20"/>
        </w:rPr>
        <w:t>47 U.S.C. § 312(d); 47 C.F.R. §§ 1.91(d), 2.939(b).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34E" w:rsidRDefault="004213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BCD" w:rsidRDefault="00502BCD">
    <w:pPr>
      <w:pStyle w:val="Header"/>
      <w:tabs>
        <w:tab w:val="clear" w:pos="4320"/>
        <w:tab w:val="clear" w:pos="8640"/>
        <w:tab w:val="center" w:pos="4680"/>
        <w:tab w:val="right" w:pos="9360"/>
      </w:tabs>
      <w:rPr>
        <w:b/>
      </w:rPr>
    </w:pPr>
    <w:r>
      <w:rPr>
        <w:b/>
      </w:rPr>
      <w:tab/>
    </w:r>
    <w:r>
      <w:rPr>
        <w:b/>
        <w:sz w:val="22"/>
        <w:szCs w:val="22"/>
      </w:rPr>
      <w:t>Federal Communications Commission</w:t>
    </w:r>
    <w:r>
      <w:rPr>
        <w:b/>
        <w:sz w:val="22"/>
        <w:szCs w:val="22"/>
      </w:rPr>
      <w:tab/>
      <w:t>DA 1</w:t>
    </w:r>
    <w:r w:rsidR="00E50835">
      <w:rPr>
        <w:b/>
        <w:sz w:val="22"/>
        <w:szCs w:val="22"/>
      </w:rPr>
      <w:t>5</w:t>
    </w:r>
    <w:r>
      <w:rPr>
        <w:b/>
      </w:rPr>
      <w:t>-</w:t>
    </w:r>
    <w:r w:rsidR="00DF1E8D">
      <w:rPr>
        <w:b/>
      </w:rPr>
      <w:t>366</w:t>
    </w:r>
    <w:r>
      <w:rPr>
        <w:b/>
      </w:rPr>
      <w:t xml:space="preserve"> </w:t>
    </w:r>
  </w:p>
  <w:p w:rsidR="00502BCD" w:rsidRDefault="000B59E9">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4AF2AC0C" wp14:editId="5ABF3514">
              <wp:simplePos x="0" y="0"/>
              <wp:positionH relativeFrom="column">
                <wp:posOffset>0</wp:posOffset>
              </wp:positionH>
              <wp:positionV relativeFrom="paragraph">
                <wp:posOffset>22225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BCD" w:rsidRDefault="00502BCD">
    <w:pPr>
      <w:pStyle w:val="Header"/>
      <w:tabs>
        <w:tab w:val="clear" w:pos="4320"/>
        <w:tab w:val="clear" w:pos="8640"/>
        <w:tab w:val="center" w:pos="4680"/>
        <w:tab w:val="right" w:pos="9360"/>
      </w:tabs>
      <w:rPr>
        <w:b/>
        <w:sz w:val="22"/>
        <w:szCs w:val="22"/>
      </w:rPr>
    </w:pPr>
    <w:r>
      <w:rPr>
        <w:b/>
      </w:rPr>
      <w:tab/>
    </w:r>
    <w:r>
      <w:rPr>
        <w:b/>
        <w:sz w:val="22"/>
        <w:szCs w:val="22"/>
      </w:rPr>
      <w:t>Federal Communications Commission</w:t>
    </w:r>
    <w:r>
      <w:rPr>
        <w:b/>
        <w:sz w:val="22"/>
        <w:szCs w:val="22"/>
      </w:rPr>
      <w:tab/>
      <w:t>DA 1</w:t>
    </w:r>
    <w:r w:rsidR="00E32377">
      <w:rPr>
        <w:b/>
        <w:sz w:val="22"/>
        <w:szCs w:val="22"/>
      </w:rPr>
      <w:t>5</w:t>
    </w:r>
    <w:r>
      <w:rPr>
        <w:b/>
        <w:sz w:val="22"/>
        <w:szCs w:val="22"/>
      </w:rPr>
      <w:t>-</w:t>
    </w:r>
    <w:r w:rsidR="00DF1E8D">
      <w:rPr>
        <w:b/>
        <w:sz w:val="22"/>
        <w:szCs w:val="22"/>
      </w:rPr>
      <w:t>366</w:t>
    </w:r>
    <w:r>
      <w:rPr>
        <w:b/>
        <w:sz w:val="22"/>
        <w:szCs w:val="22"/>
      </w:rPr>
      <w:t xml:space="preserve"> </w:t>
    </w:r>
  </w:p>
  <w:p w:rsidR="00502BCD" w:rsidRDefault="000B59E9">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7CD2"/>
    <w:multiLevelType w:val="hybridMultilevel"/>
    <w:tmpl w:val="8A181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75568"/>
    <w:multiLevelType w:val="hybridMultilevel"/>
    <w:tmpl w:val="7EC00500"/>
    <w:lvl w:ilvl="0" w:tplc="FE4443AA">
      <w:start w:val="3"/>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C949DB"/>
    <w:multiLevelType w:val="singleLevel"/>
    <w:tmpl w:val="9D3A513E"/>
    <w:lvl w:ilvl="0">
      <w:start w:val="1"/>
      <w:numFmt w:val="upperRoman"/>
      <w:pStyle w:val="Heading3"/>
      <w:lvlText w:val="%1."/>
      <w:lvlJc w:val="left"/>
      <w:pPr>
        <w:tabs>
          <w:tab w:val="num" w:pos="720"/>
        </w:tabs>
        <w:ind w:left="720" w:hanging="720"/>
      </w:pPr>
      <w:rPr>
        <w:rFonts w:hint="default"/>
      </w:rPr>
    </w:lvl>
  </w:abstractNum>
  <w:abstractNum w:abstractNumId="3">
    <w:nsid w:val="1FDE46E3"/>
    <w:multiLevelType w:val="hybridMultilevel"/>
    <w:tmpl w:val="79FA0910"/>
    <w:lvl w:ilvl="0" w:tplc="612658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6877D6"/>
    <w:multiLevelType w:val="singleLevel"/>
    <w:tmpl w:val="1BF6F506"/>
    <w:lvl w:ilvl="0">
      <w:start w:val="4"/>
      <w:numFmt w:val="upperRoman"/>
      <w:lvlText w:val="%1."/>
      <w:lvlJc w:val="left"/>
      <w:pPr>
        <w:tabs>
          <w:tab w:val="num" w:pos="765"/>
        </w:tabs>
        <w:ind w:left="765" w:hanging="720"/>
      </w:pPr>
      <w:rPr>
        <w:rFonts w:hint="default"/>
      </w:rPr>
    </w:lvl>
  </w:abstractNum>
  <w:abstractNum w:abstractNumId="5">
    <w:nsid w:val="25271018"/>
    <w:multiLevelType w:val="hybridMultilevel"/>
    <w:tmpl w:val="0F1015E4"/>
    <w:lvl w:ilvl="0" w:tplc="FE4443AA">
      <w:start w:val="3"/>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B671A5"/>
    <w:multiLevelType w:val="hybridMultilevel"/>
    <w:tmpl w:val="A9721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021CEB"/>
    <w:multiLevelType w:val="hybridMultilevel"/>
    <w:tmpl w:val="03C282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1B3741"/>
    <w:multiLevelType w:val="hybridMultilevel"/>
    <w:tmpl w:val="DAAA28B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A06C2B"/>
    <w:multiLevelType w:val="hybridMultilevel"/>
    <w:tmpl w:val="FDFEA85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EB7B2A"/>
    <w:multiLevelType w:val="hybridMultilevel"/>
    <w:tmpl w:val="B3B48762"/>
    <w:lvl w:ilvl="0" w:tplc="FE4443AA">
      <w:start w:val="3"/>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B062EC"/>
    <w:multiLevelType w:val="hybridMultilevel"/>
    <w:tmpl w:val="B316F4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9A57AB"/>
    <w:multiLevelType w:val="hybridMultilevel"/>
    <w:tmpl w:val="8DB278B8"/>
    <w:lvl w:ilvl="0" w:tplc="FE4443AA">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182925"/>
    <w:multiLevelType w:val="multilevel"/>
    <w:tmpl w:val="0C38071E"/>
    <w:lvl w:ilvl="0">
      <w:start w:val="1"/>
      <w:numFmt w:val="decimal"/>
      <w:pStyle w:val="ParaNum"/>
      <w:lvlText w:val="%1."/>
      <w:lvlJc w:val="left"/>
      <w:pPr>
        <w:tabs>
          <w:tab w:val="num" w:pos="2520"/>
        </w:tabs>
        <w:ind w:left="1440" w:firstLine="720"/>
      </w:pPr>
      <w:rPr>
        <w:i w:val="0"/>
      </w:rPr>
    </w:lvl>
    <w:lvl w:ilvl="1">
      <w:start w:val="1"/>
      <w:numFmt w:val="lowerRoman"/>
      <w:lvlText w:val="(%2)"/>
      <w:lvlJc w:val="left"/>
      <w:pPr>
        <w:ind w:left="2700" w:hanging="720"/>
      </w:pPr>
      <w:rPr>
        <w:rFonts w:hint="default"/>
      </w:r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14">
    <w:nsid w:val="66F50355"/>
    <w:multiLevelType w:val="singleLevel"/>
    <w:tmpl w:val="28B4DB32"/>
    <w:lvl w:ilvl="0">
      <w:start w:val="1"/>
      <w:numFmt w:val="lowerLetter"/>
      <w:lvlText w:val="(%1)"/>
      <w:lvlJc w:val="left"/>
      <w:pPr>
        <w:tabs>
          <w:tab w:val="num" w:pos="1800"/>
        </w:tabs>
        <w:ind w:left="1800" w:hanging="360"/>
      </w:pPr>
      <w:rPr>
        <w:rFonts w:hint="default"/>
      </w:rPr>
    </w:lvl>
  </w:abstractNum>
  <w:abstractNum w:abstractNumId="15">
    <w:nsid w:val="6D2B48D2"/>
    <w:multiLevelType w:val="singleLevel"/>
    <w:tmpl w:val="8A0C983C"/>
    <w:lvl w:ilvl="0">
      <w:start w:val="1"/>
      <w:numFmt w:val="decimal"/>
      <w:pStyle w:val="Paranum0"/>
      <w:lvlText w:val="%1."/>
      <w:lvlJc w:val="left"/>
      <w:pPr>
        <w:tabs>
          <w:tab w:val="num" w:pos="360"/>
        </w:tabs>
        <w:ind w:left="360" w:hanging="360"/>
      </w:pPr>
    </w:lvl>
  </w:abstractNum>
  <w:abstractNum w:abstractNumId="16">
    <w:nsid w:val="703621C9"/>
    <w:multiLevelType w:val="singleLevel"/>
    <w:tmpl w:val="373411A8"/>
    <w:lvl w:ilvl="0">
      <w:start w:val="1"/>
      <w:numFmt w:val="decimal"/>
      <w:lvlText w:val="%1."/>
      <w:lvlJc w:val="left"/>
      <w:pPr>
        <w:tabs>
          <w:tab w:val="num" w:pos="1080"/>
        </w:tabs>
        <w:ind w:left="0" w:firstLine="720"/>
      </w:pPr>
    </w:lvl>
  </w:abstractNum>
  <w:abstractNum w:abstractNumId="17">
    <w:nsid w:val="7DA2056B"/>
    <w:multiLevelType w:val="hybridMultilevel"/>
    <w:tmpl w:val="477828D4"/>
    <w:lvl w:ilvl="0" w:tplc="972E63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14"/>
  </w:num>
  <w:num w:numId="4">
    <w:abstractNumId w:val="4"/>
  </w:num>
  <w:num w:numId="5">
    <w:abstractNumId w:val="15"/>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6"/>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lvlOverride w:ilvl="0">
      <w:startOverride w:val="1"/>
    </w:lvlOverride>
  </w:num>
  <w:num w:numId="28">
    <w:abstractNumId w:val="13"/>
  </w:num>
  <w:num w:numId="29">
    <w:abstractNumId w:val="13"/>
    <w:lvlOverride w:ilvl="0">
      <w:startOverride w:val="1"/>
    </w:lvlOverride>
  </w:num>
  <w:num w:numId="30">
    <w:abstractNumId w:val="13"/>
  </w:num>
  <w:num w:numId="31">
    <w:abstractNumId w:val="3"/>
  </w:num>
  <w:num w:numId="32">
    <w:abstractNumId w:val="11"/>
  </w:num>
  <w:num w:numId="33">
    <w:abstractNumId w:val="9"/>
  </w:num>
  <w:num w:numId="34">
    <w:abstractNumId w:val="13"/>
    <w:lvlOverride w:ilvl="0">
      <w:startOverride w:val="1"/>
    </w:lvlOverride>
  </w:num>
  <w:num w:numId="35">
    <w:abstractNumId w:val="13"/>
    <w:lvlOverride w:ilvl="0">
      <w:startOverride w:val="1"/>
    </w:lvlOverride>
  </w:num>
  <w:num w:numId="36">
    <w:abstractNumId w:val="13"/>
    <w:lvlOverride w:ilvl="0">
      <w:startOverride w:val="1"/>
    </w:lvlOverride>
  </w:num>
  <w:num w:numId="37">
    <w:abstractNumId w:val="13"/>
    <w:lvlOverride w:ilvl="0">
      <w:startOverride w:val="1"/>
    </w:lvlOverride>
  </w:num>
  <w:num w:numId="38">
    <w:abstractNumId w:val="10"/>
  </w:num>
  <w:num w:numId="39">
    <w:abstractNumId w:val="1"/>
  </w:num>
  <w:num w:numId="40">
    <w:abstractNumId w:val="12"/>
  </w:num>
  <w:num w:numId="41">
    <w:abstractNumId w:val="7"/>
  </w:num>
  <w:num w:numId="42">
    <w:abstractNumId w:val="17"/>
  </w:num>
  <w:num w:numId="43">
    <w:abstractNumId w:val="8"/>
  </w:num>
  <w:num w:numId="44">
    <w:abstractNumId w:val="6"/>
  </w:num>
  <w:num w:numId="45">
    <w:abstractNumId w:val="0"/>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09D"/>
    <w:rsid w:val="0003179A"/>
    <w:rsid w:val="000331B2"/>
    <w:rsid w:val="000367ED"/>
    <w:rsid w:val="00067BA8"/>
    <w:rsid w:val="0007275C"/>
    <w:rsid w:val="00081165"/>
    <w:rsid w:val="00083542"/>
    <w:rsid w:val="00084B24"/>
    <w:rsid w:val="0009335A"/>
    <w:rsid w:val="000954CD"/>
    <w:rsid w:val="000B59E9"/>
    <w:rsid w:val="000B6F23"/>
    <w:rsid w:val="000C5EF8"/>
    <w:rsid w:val="001016B3"/>
    <w:rsid w:val="00102F92"/>
    <w:rsid w:val="00105184"/>
    <w:rsid w:val="00110852"/>
    <w:rsid w:val="00121898"/>
    <w:rsid w:val="00121B19"/>
    <w:rsid w:val="00126BFA"/>
    <w:rsid w:val="00144054"/>
    <w:rsid w:val="0014685D"/>
    <w:rsid w:val="00162CB5"/>
    <w:rsid w:val="00163FDA"/>
    <w:rsid w:val="00190527"/>
    <w:rsid w:val="00190A83"/>
    <w:rsid w:val="001C5CE0"/>
    <w:rsid w:val="001C6BAE"/>
    <w:rsid w:val="001D0B97"/>
    <w:rsid w:val="001D4527"/>
    <w:rsid w:val="001D4CBD"/>
    <w:rsid w:val="001E1345"/>
    <w:rsid w:val="00220D2E"/>
    <w:rsid w:val="00230E99"/>
    <w:rsid w:val="00276B5A"/>
    <w:rsid w:val="00280CA7"/>
    <w:rsid w:val="0028102A"/>
    <w:rsid w:val="00292836"/>
    <w:rsid w:val="00297640"/>
    <w:rsid w:val="002C07E5"/>
    <w:rsid w:val="002C0938"/>
    <w:rsid w:val="002C2A89"/>
    <w:rsid w:val="002E393F"/>
    <w:rsid w:val="00312C21"/>
    <w:rsid w:val="00313E64"/>
    <w:rsid w:val="00332A1D"/>
    <w:rsid w:val="003340A4"/>
    <w:rsid w:val="00340F00"/>
    <w:rsid w:val="003819A3"/>
    <w:rsid w:val="003A5118"/>
    <w:rsid w:val="003A6D71"/>
    <w:rsid w:val="003C10FA"/>
    <w:rsid w:val="003E6B62"/>
    <w:rsid w:val="004003F5"/>
    <w:rsid w:val="00415E35"/>
    <w:rsid w:val="0042134E"/>
    <w:rsid w:val="004452EE"/>
    <w:rsid w:val="00463386"/>
    <w:rsid w:val="0047126F"/>
    <w:rsid w:val="00474DE6"/>
    <w:rsid w:val="00485D21"/>
    <w:rsid w:val="004A1FD3"/>
    <w:rsid w:val="004A2C8C"/>
    <w:rsid w:val="004A304C"/>
    <w:rsid w:val="004B415F"/>
    <w:rsid w:val="004C0BDF"/>
    <w:rsid w:val="004D743C"/>
    <w:rsid w:val="00502BCD"/>
    <w:rsid w:val="0050335A"/>
    <w:rsid w:val="00537A25"/>
    <w:rsid w:val="005467DD"/>
    <w:rsid w:val="00575456"/>
    <w:rsid w:val="00593564"/>
    <w:rsid w:val="005D60D8"/>
    <w:rsid w:val="005E193D"/>
    <w:rsid w:val="005E737A"/>
    <w:rsid w:val="006153F5"/>
    <w:rsid w:val="00643706"/>
    <w:rsid w:val="006552BB"/>
    <w:rsid w:val="00656808"/>
    <w:rsid w:val="006711CD"/>
    <w:rsid w:val="00686324"/>
    <w:rsid w:val="006A0176"/>
    <w:rsid w:val="006B57B7"/>
    <w:rsid w:val="006D36D4"/>
    <w:rsid w:val="006E1FFF"/>
    <w:rsid w:val="006F1AAB"/>
    <w:rsid w:val="006F3A06"/>
    <w:rsid w:val="00705D34"/>
    <w:rsid w:val="00751DFD"/>
    <w:rsid w:val="007702E9"/>
    <w:rsid w:val="00771570"/>
    <w:rsid w:val="0078383B"/>
    <w:rsid w:val="00784FE8"/>
    <w:rsid w:val="007851E7"/>
    <w:rsid w:val="007B021B"/>
    <w:rsid w:val="007D342D"/>
    <w:rsid w:val="007F0484"/>
    <w:rsid w:val="007F5C26"/>
    <w:rsid w:val="00801FCB"/>
    <w:rsid w:val="0081120C"/>
    <w:rsid w:val="00812A9B"/>
    <w:rsid w:val="008175B1"/>
    <w:rsid w:val="008211EB"/>
    <w:rsid w:val="008325F4"/>
    <w:rsid w:val="008329C5"/>
    <w:rsid w:val="0084505D"/>
    <w:rsid w:val="00862097"/>
    <w:rsid w:val="0086782D"/>
    <w:rsid w:val="00873F23"/>
    <w:rsid w:val="008861EC"/>
    <w:rsid w:val="008E088D"/>
    <w:rsid w:val="008E3D80"/>
    <w:rsid w:val="008F59D0"/>
    <w:rsid w:val="009544B8"/>
    <w:rsid w:val="0098033E"/>
    <w:rsid w:val="0098056A"/>
    <w:rsid w:val="00981C61"/>
    <w:rsid w:val="00983588"/>
    <w:rsid w:val="009C147B"/>
    <w:rsid w:val="009D0FAE"/>
    <w:rsid w:val="00A06747"/>
    <w:rsid w:val="00A11B65"/>
    <w:rsid w:val="00A15CF6"/>
    <w:rsid w:val="00A322B4"/>
    <w:rsid w:val="00A4195D"/>
    <w:rsid w:val="00A44E9A"/>
    <w:rsid w:val="00A7168F"/>
    <w:rsid w:val="00AB4A0A"/>
    <w:rsid w:val="00AC048D"/>
    <w:rsid w:val="00AC094B"/>
    <w:rsid w:val="00AF3A33"/>
    <w:rsid w:val="00B01A1E"/>
    <w:rsid w:val="00B100E5"/>
    <w:rsid w:val="00B552A6"/>
    <w:rsid w:val="00B61139"/>
    <w:rsid w:val="00B62E7C"/>
    <w:rsid w:val="00B82B4C"/>
    <w:rsid w:val="00B967A1"/>
    <w:rsid w:val="00BF0D48"/>
    <w:rsid w:val="00BF25D1"/>
    <w:rsid w:val="00BF36E1"/>
    <w:rsid w:val="00C0222D"/>
    <w:rsid w:val="00C12C26"/>
    <w:rsid w:val="00C23E2B"/>
    <w:rsid w:val="00C254F4"/>
    <w:rsid w:val="00C4027B"/>
    <w:rsid w:val="00C61DF7"/>
    <w:rsid w:val="00C911B7"/>
    <w:rsid w:val="00CA309D"/>
    <w:rsid w:val="00CE3187"/>
    <w:rsid w:val="00D06A2E"/>
    <w:rsid w:val="00D073BE"/>
    <w:rsid w:val="00D10BA3"/>
    <w:rsid w:val="00D24D63"/>
    <w:rsid w:val="00D32087"/>
    <w:rsid w:val="00D64A07"/>
    <w:rsid w:val="00D73061"/>
    <w:rsid w:val="00D8722A"/>
    <w:rsid w:val="00D975FA"/>
    <w:rsid w:val="00DA0C48"/>
    <w:rsid w:val="00DA62C2"/>
    <w:rsid w:val="00DA79B3"/>
    <w:rsid w:val="00DB507B"/>
    <w:rsid w:val="00DC220F"/>
    <w:rsid w:val="00DC2444"/>
    <w:rsid w:val="00DC3D3B"/>
    <w:rsid w:val="00DE1D81"/>
    <w:rsid w:val="00DF09A1"/>
    <w:rsid w:val="00DF1E8D"/>
    <w:rsid w:val="00E00B06"/>
    <w:rsid w:val="00E13937"/>
    <w:rsid w:val="00E32377"/>
    <w:rsid w:val="00E4390F"/>
    <w:rsid w:val="00E44E1E"/>
    <w:rsid w:val="00E50835"/>
    <w:rsid w:val="00E73B1A"/>
    <w:rsid w:val="00E77C0E"/>
    <w:rsid w:val="00E81697"/>
    <w:rsid w:val="00E96542"/>
    <w:rsid w:val="00EA3D23"/>
    <w:rsid w:val="00EA71AD"/>
    <w:rsid w:val="00EE1873"/>
    <w:rsid w:val="00EF2718"/>
    <w:rsid w:val="00EF2922"/>
    <w:rsid w:val="00F038AA"/>
    <w:rsid w:val="00F41708"/>
    <w:rsid w:val="00F55772"/>
    <w:rsid w:val="00F7422B"/>
    <w:rsid w:val="00F9084E"/>
    <w:rsid w:val="00F90CD1"/>
    <w:rsid w:val="00FC0B12"/>
    <w:rsid w:val="00FE0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right"/>
      <w:outlineLvl w:val="1"/>
    </w:pPr>
    <w:rPr>
      <w:sz w:val="24"/>
    </w:rPr>
  </w:style>
  <w:style w:type="paragraph" w:styleId="Heading3">
    <w:name w:val="heading 3"/>
    <w:basedOn w:val="Normal"/>
    <w:next w:val="Normal"/>
    <w:qFormat/>
    <w:pPr>
      <w:keepNext/>
      <w:numPr>
        <w:numId w:val="1"/>
      </w:numPr>
      <w:spacing w:line="480" w:lineRule="auto"/>
      <w:outlineLvl w:val="2"/>
    </w:pPr>
    <w:rPr>
      <w:sz w:val="24"/>
      <w:u w:val="single"/>
    </w:rPr>
  </w:style>
  <w:style w:type="paragraph" w:styleId="Heading4">
    <w:name w:val="heading 4"/>
    <w:basedOn w:val="Normal"/>
    <w:next w:val="Normal"/>
    <w:qFormat/>
    <w:pPr>
      <w:keepNext/>
      <w:spacing w:line="480" w:lineRule="auto"/>
      <w:outlineLvl w:val="3"/>
    </w:pPr>
    <w:rPr>
      <w:sz w:val="24"/>
    </w:rPr>
  </w:style>
  <w:style w:type="paragraph" w:styleId="Heading5">
    <w:name w:val="heading 5"/>
    <w:basedOn w:val="Normal"/>
    <w:next w:val="Normal"/>
    <w:qFormat/>
    <w:pPr>
      <w:keepNext/>
      <w:ind w:firstLine="360"/>
      <w:outlineLvl w:val="4"/>
    </w:pPr>
    <w:rPr>
      <w:sz w:val="24"/>
    </w:rPr>
  </w:style>
  <w:style w:type="paragraph" w:styleId="Heading6">
    <w:name w:val="heading 6"/>
    <w:basedOn w:val="Normal"/>
    <w:next w:val="Normal"/>
    <w:qFormat/>
    <w:pPr>
      <w:keepNext/>
      <w:outlineLvl w:val="5"/>
    </w:pPr>
    <w:rPr>
      <w:sz w:val="22"/>
      <w:u w:val="single"/>
    </w:rPr>
  </w:style>
  <w:style w:type="paragraph" w:styleId="Heading7">
    <w:name w:val="heading 7"/>
    <w:basedOn w:val="Normal"/>
    <w:next w:val="Normal"/>
    <w:qFormat/>
    <w:pPr>
      <w:keepNext/>
      <w:tabs>
        <w:tab w:val="left" w:pos="-720"/>
      </w:tabs>
      <w:suppressAutoHyphens/>
      <w:spacing w:line="227" w:lineRule="auto"/>
      <w:jc w:val="both"/>
      <w:outlineLvl w:val="6"/>
    </w:pPr>
    <w:rPr>
      <w:spacing w:val="-2"/>
      <w:sz w:val="22"/>
      <w:u w:val="single"/>
    </w:rPr>
  </w:style>
  <w:style w:type="paragraph" w:styleId="Heading8">
    <w:name w:val="heading 8"/>
    <w:basedOn w:val="Normal"/>
    <w:next w:val="Normal"/>
    <w:qFormat/>
    <w:pPr>
      <w:keepNext/>
      <w:spacing w:line="480" w:lineRule="auto"/>
      <w:jc w:val="both"/>
      <w:outlineLvl w:val="7"/>
    </w:pPr>
    <w:rPr>
      <w:sz w:val="24"/>
      <w:u w:val="single"/>
    </w:rPr>
  </w:style>
  <w:style w:type="paragraph" w:styleId="Heading9">
    <w:name w:val="heading 9"/>
    <w:basedOn w:val="Normal"/>
    <w:next w:val="Normal"/>
    <w:qFormat/>
    <w:pPr>
      <w:keepNext/>
      <w:jc w:val="center"/>
      <w:outlineLvl w:val="8"/>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Subtitle">
    <w:name w:val="Subtitle"/>
    <w:basedOn w:val="Normal"/>
    <w:qFormat/>
    <w:pPr>
      <w:jc w:val="center"/>
    </w:pPr>
    <w:rPr>
      <w:sz w:val="24"/>
    </w:rPr>
  </w:style>
  <w:style w:type="paragraph" w:styleId="BodyTextIndent">
    <w:name w:val="Body Text Indent"/>
    <w:basedOn w:val="Normal"/>
    <w:pPr>
      <w:ind w:firstLine="360"/>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Footnote Text Char1 Char,Footnote Text Char Char Char,rrfootnote Char Char Char,Footnote Text Char1 Char Char Char,Footnote Text Char Char Char Char Char,Footnote Text Char1 Char Char Char Char Char,Footnote Text Char1,f"/>
    <w:basedOn w:val="Normal"/>
    <w:link w:val="FootnoteTextChar2"/>
    <w:pPr>
      <w:widowControl w:val="0"/>
      <w:tabs>
        <w:tab w:val="left" w:pos="0"/>
      </w:tabs>
      <w:suppressAutoHyphens/>
    </w:pPr>
    <w:rPr>
      <w:snapToGrid w:val="0"/>
      <w:sz w:val="24"/>
    </w:rPr>
  </w:style>
  <w:style w:type="character" w:styleId="FootnoteReference">
    <w:name w:val="footnote reference"/>
    <w:aliases w:val="Style 4,Appel note de bas de p,Style 12,(NECG) Footnote Reference,Style 124,Style 13,o,fr,Style 3,Footnote Reference1,FR,Style 17,Style 6,Footnote Reference/"/>
    <w:rPr>
      <w:rFonts w:ascii="CG Times" w:hAnsi="CG Times"/>
      <w:noProof w:val="0"/>
      <w:sz w:val="20"/>
      <w:vertAlign w:val="superscript"/>
      <w:lang w:val="en-US"/>
    </w:rPr>
  </w:style>
  <w:style w:type="paragraph" w:styleId="BodyText">
    <w:name w:val="Body Text"/>
    <w:basedOn w:val="Normal"/>
    <w:pPr>
      <w:tabs>
        <w:tab w:val="left" w:pos="-720"/>
      </w:tabs>
      <w:suppressAutoHyphens/>
      <w:spacing w:line="227" w:lineRule="auto"/>
      <w:jc w:val="both"/>
    </w:pPr>
    <w:rPr>
      <w:spacing w:val="-2"/>
      <w:sz w:val="22"/>
    </w:rPr>
  </w:style>
  <w:style w:type="paragraph" w:styleId="Header">
    <w:name w:val="header"/>
    <w:basedOn w:val="Normal"/>
    <w:pPr>
      <w:tabs>
        <w:tab w:val="center" w:pos="4320"/>
        <w:tab w:val="right" w:pos="8640"/>
      </w:tabs>
    </w:pPr>
  </w:style>
  <w:style w:type="paragraph" w:styleId="BodyTextIndent2">
    <w:name w:val="Body Text Indent 2"/>
    <w:basedOn w:val="Normal"/>
    <w:pPr>
      <w:tabs>
        <w:tab w:val="left" w:pos="-720"/>
      </w:tabs>
      <w:suppressAutoHyphens/>
      <w:spacing w:line="480" w:lineRule="auto"/>
      <w:ind w:left="720"/>
      <w:jc w:val="both"/>
    </w:pPr>
    <w:rPr>
      <w:spacing w:val="-2"/>
      <w:sz w:val="22"/>
    </w:rPr>
  </w:style>
  <w:style w:type="character" w:styleId="EndnoteReference">
    <w:name w:val="endnote reference"/>
    <w:semiHidden/>
    <w:rPr>
      <w:vertAlign w:val="superscript"/>
    </w:rPr>
  </w:style>
  <w:style w:type="paragraph" w:styleId="BodyTextIndent3">
    <w:name w:val="Body Text Indent 3"/>
    <w:basedOn w:val="Normal"/>
    <w:pPr>
      <w:ind w:firstLine="720"/>
    </w:pPr>
    <w:rPr>
      <w:sz w:val="24"/>
    </w:rPr>
  </w:style>
  <w:style w:type="paragraph" w:styleId="BodyText2">
    <w:name w:val="Body Text 2"/>
    <w:basedOn w:val="Normal"/>
    <w:rPr>
      <w:sz w:val="22"/>
    </w:rPr>
  </w:style>
  <w:style w:type="paragraph" w:styleId="BlockText">
    <w:name w:val="Block Text"/>
    <w:basedOn w:val="Normal"/>
    <w:pPr>
      <w:ind w:left="720" w:right="720"/>
      <w:jc w:val="both"/>
    </w:pPr>
    <w:rPr>
      <w:sz w:val="22"/>
    </w:rPr>
  </w:style>
  <w:style w:type="paragraph" w:styleId="EndnoteText">
    <w:name w:val="endnote text"/>
    <w:basedOn w:val="Normal"/>
    <w:semiHidden/>
    <w:pPr>
      <w:widowControl w:val="0"/>
    </w:pPr>
    <w:rPr>
      <w:snapToGrid w:val="0"/>
      <w:sz w:val="24"/>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ParaNum">
    <w:name w:val="ParaNum"/>
    <w:basedOn w:val="Normal"/>
    <w:link w:val="ParaNumChar"/>
    <w:pPr>
      <w:widowControl w:val="0"/>
      <w:numPr>
        <w:numId w:val="2"/>
      </w:numPr>
      <w:spacing w:after="220"/>
      <w:jc w:val="both"/>
    </w:pPr>
    <w:rPr>
      <w:snapToGrid w:val="0"/>
      <w:kern w:val="28"/>
      <w:sz w:val="22"/>
    </w:rPr>
  </w:style>
  <w:style w:type="paragraph" w:styleId="BodyText3">
    <w:name w:val="Body Text 3"/>
    <w:basedOn w:val="Normal"/>
    <w:pPr>
      <w:spacing w:after="120"/>
    </w:pPr>
    <w:rPr>
      <w:sz w:val="16"/>
      <w:szCs w:val="16"/>
    </w:rPr>
  </w:style>
  <w:style w:type="paragraph" w:customStyle="1" w:styleId="Paranum0">
    <w:name w:val="Paranum"/>
    <w:pPr>
      <w:numPr>
        <w:numId w:val="5"/>
      </w:numPr>
      <w:tabs>
        <w:tab w:val="clear" w:pos="360"/>
        <w:tab w:val="left" w:pos="1440"/>
      </w:tabs>
      <w:spacing w:after="240"/>
      <w:ind w:left="0" w:firstLine="720"/>
      <w:jc w:val="both"/>
    </w:pPr>
    <w:rPr>
      <w:sz w:val="22"/>
    </w:rPr>
  </w:style>
  <w:style w:type="character" w:customStyle="1" w:styleId="FootnoteTextChar2">
    <w:name w:val="Footnote Text Char2"/>
    <w:aliases w:val="Footnote Text Char Char,Footnote Text Char1 Char Char,Footnote Text Char Char Char Char,rrfootnote Char Char Char Char,Footnote Text Char1 Char Char Char Char,Footnote Text Char Char Char Char Char Char,Footnote Text Char1 Char1"/>
    <w:link w:val="FootnoteText"/>
    <w:rPr>
      <w:snapToGrid w:val="0"/>
      <w:sz w:val="24"/>
      <w:lang w:val="en-US" w:eastAsia="en-US" w:bidi="ar-SA"/>
    </w:rPr>
  </w:style>
  <w:style w:type="character" w:customStyle="1" w:styleId="ParaNumChar">
    <w:name w:val="ParaNum Char"/>
    <w:link w:val="ParaNum"/>
    <w:rPr>
      <w:snapToGrid w:val="0"/>
      <w:kern w:val="28"/>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Revision">
    <w:name w:val="Revision"/>
    <w:hidden/>
    <w:uiPriority w:val="99"/>
    <w:semiHidden/>
  </w:style>
  <w:style w:type="character" w:customStyle="1" w:styleId="CommentTextChar">
    <w:name w:val="Comment Text Char"/>
    <w:link w:val="CommentText"/>
    <w:uiPriority w:val="99"/>
    <w:semiHidden/>
    <w:locked/>
    <w:rsid w:val="00F55772"/>
  </w:style>
  <w:style w:type="paragraph" w:styleId="ListParagraph">
    <w:name w:val="List Paragraph"/>
    <w:basedOn w:val="Normal"/>
    <w:uiPriority w:val="34"/>
    <w:qFormat/>
    <w:rsid w:val="00DF09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right"/>
      <w:outlineLvl w:val="1"/>
    </w:pPr>
    <w:rPr>
      <w:sz w:val="24"/>
    </w:rPr>
  </w:style>
  <w:style w:type="paragraph" w:styleId="Heading3">
    <w:name w:val="heading 3"/>
    <w:basedOn w:val="Normal"/>
    <w:next w:val="Normal"/>
    <w:qFormat/>
    <w:pPr>
      <w:keepNext/>
      <w:numPr>
        <w:numId w:val="1"/>
      </w:numPr>
      <w:spacing w:line="480" w:lineRule="auto"/>
      <w:outlineLvl w:val="2"/>
    </w:pPr>
    <w:rPr>
      <w:sz w:val="24"/>
      <w:u w:val="single"/>
    </w:rPr>
  </w:style>
  <w:style w:type="paragraph" w:styleId="Heading4">
    <w:name w:val="heading 4"/>
    <w:basedOn w:val="Normal"/>
    <w:next w:val="Normal"/>
    <w:qFormat/>
    <w:pPr>
      <w:keepNext/>
      <w:spacing w:line="480" w:lineRule="auto"/>
      <w:outlineLvl w:val="3"/>
    </w:pPr>
    <w:rPr>
      <w:sz w:val="24"/>
    </w:rPr>
  </w:style>
  <w:style w:type="paragraph" w:styleId="Heading5">
    <w:name w:val="heading 5"/>
    <w:basedOn w:val="Normal"/>
    <w:next w:val="Normal"/>
    <w:qFormat/>
    <w:pPr>
      <w:keepNext/>
      <w:ind w:firstLine="360"/>
      <w:outlineLvl w:val="4"/>
    </w:pPr>
    <w:rPr>
      <w:sz w:val="24"/>
    </w:rPr>
  </w:style>
  <w:style w:type="paragraph" w:styleId="Heading6">
    <w:name w:val="heading 6"/>
    <w:basedOn w:val="Normal"/>
    <w:next w:val="Normal"/>
    <w:qFormat/>
    <w:pPr>
      <w:keepNext/>
      <w:outlineLvl w:val="5"/>
    </w:pPr>
    <w:rPr>
      <w:sz w:val="22"/>
      <w:u w:val="single"/>
    </w:rPr>
  </w:style>
  <w:style w:type="paragraph" w:styleId="Heading7">
    <w:name w:val="heading 7"/>
    <w:basedOn w:val="Normal"/>
    <w:next w:val="Normal"/>
    <w:qFormat/>
    <w:pPr>
      <w:keepNext/>
      <w:tabs>
        <w:tab w:val="left" w:pos="-720"/>
      </w:tabs>
      <w:suppressAutoHyphens/>
      <w:spacing w:line="227" w:lineRule="auto"/>
      <w:jc w:val="both"/>
      <w:outlineLvl w:val="6"/>
    </w:pPr>
    <w:rPr>
      <w:spacing w:val="-2"/>
      <w:sz w:val="22"/>
      <w:u w:val="single"/>
    </w:rPr>
  </w:style>
  <w:style w:type="paragraph" w:styleId="Heading8">
    <w:name w:val="heading 8"/>
    <w:basedOn w:val="Normal"/>
    <w:next w:val="Normal"/>
    <w:qFormat/>
    <w:pPr>
      <w:keepNext/>
      <w:spacing w:line="480" w:lineRule="auto"/>
      <w:jc w:val="both"/>
      <w:outlineLvl w:val="7"/>
    </w:pPr>
    <w:rPr>
      <w:sz w:val="24"/>
      <w:u w:val="single"/>
    </w:rPr>
  </w:style>
  <w:style w:type="paragraph" w:styleId="Heading9">
    <w:name w:val="heading 9"/>
    <w:basedOn w:val="Normal"/>
    <w:next w:val="Normal"/>
    <w:qFormat/>
    <w:pPr>
      <w:keepNext/>
      <w:jc w:val="center"/>
      <w:outlineLvl w:val="8"/>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Subtitle">
    <w:name w:val="Subtitle"/>
    <w:basedOn w:val="Normal"/>
    <w:qFormat/>
    <w:pPr>
      <w:jc w:val="center"/>
    </w:pPr>
    <w:rPr>
      <w:sz w:val="24"/>
    </w:rPr>
  </w:style>
  <w:style w:type="paragraph" w:styleId="BodyTextIndent">
    <w:name w:val="Body Text Indent"/>
    <w:basedOn w:val="Normal"/>
    <w:pPr>
      <w:ind w:firstLine="360"/>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Footnote Text Char1 Char,Footnote Text Char Char Char,rrfootnote Char Char Char,Footnote Text Char1 Char Char Char,Footnote Text Char Char Char Char Char,Footnote Text Char1 Char Char Char Char Char,Footnote Text Char1,f"/>
    <w:basedOn w:val="Normal"/>
    <w:link w:val="FootnoteTextChar2"/>
    <w:pPr>
      <w:widowControl w:val="0"/>
      <w:tabs>
        <w:tab w:val="left" w:pos="0"/>
      </w:tabs>
      <w:suppressAutoHyphens/>
    </w:pPr>
    <w:rPr>
      <w:snapToGrid w:val="0"/>
      <w:sz w:val="24"/>
    </w:rPr>
  </w:style>
  <w:style w:type="character" w:styleId="FootnoteReference">
    <w:name w:val="footnote reference"/>
    <w:aliases w:val="Style 4,Appel note de bas de p,Style 12,(NECG) Footnote Reference,Style 124,Style 13,o,fr,Style 3,Footnote Reference1,FR,Style 17,Style 6,Footnote Reference/"/>
    <w:rPr>
      <w:rFonts w:ascii="CG Times" w:hAnsi="CG Times"/>
      <w:noProof w:val="0"/>
      <w:sz w:val="20"/>
      <w:vertAlign w:val="superscript"/>
      <w:lang w:val="en-US"/>
    </w:rPr>
  </w:style>
  <w:style w:type="paragraph" w:styleId="BodyText">
    <w:name w:val="Body Text"/>
    <w:basedOn w:val="Normal"/>
    <w:pPr>
      <w:tabs>
        <w:tab w:val="left" w:pos="-720"/>
      </w:tabs>
      <w:suppressAutoHyphens/>
      <w:spacing w:line="227" w:lineRule="auto"/>
      <w:jc w:val="both"/>
    </w:pPr>
    <w:rPr>
      <w:spacing w:val="-2"/>
      <w:sz w:val="22"/>
    </w:rPr>
  </w:style>
  <w:style w:type="paragraph" w:styleId="Header">
    <w:name w:val="header"/>
    <w:basedOn w:val="Normal"/>
    <w:pPr>
      <w:tabs>
        <w:tab w:val="center" w:pos="4320"/>
        <w:tab w:val="right" w:pos="8640"/>
      </w:tabs>
    </w:pPr>
  </w:style>
  <w:style w:type="paragraph" w:styleId="BodyTextIndent2">
    <w:name w:val="Body Text Indent 2"/>
    <w:basedOn w:val="Normal"/>
    <w:pPr>
      <w:tabs>
        <w:tab w:val="left" w:pos="-720"/>
      </w:tabs>
      <w:suppressAutoHyphens/>
      <w:spacing w:line="480" w:lineRule="auto"/>
      <w:ind w:left="720"/>
      <w:jc w:val="both"/>
    </w:pPr>
    <w:rPr>
      <w:spacing w:val="-2"/>
      <w:sz w:val="22"/>
    </w:rPr>
  </w:style>
  <w:style w:type="character" w:styleId="EndnoteReference">
    <w:name w:val="endnote reference"/>
    <w:semiHidden/>
    <w:rPr>
      <w:vertAlign w:val="superscript"/>
    </w:rPr>
  </w:style>
  <w:style w:type="paragraph" w:styleId="BodyTextIndent3">
    <w:name w:val="Body Text Indent 3"/>
    <w:basedOn w:val="Normal"/>
    <w:pPr>
      <w:ind w:firstLine="720"/>
    </w:pPr>
    <w:rPr>
      <w:sz w:val="24"/>
    </w:rPr>
  </w:style>
  <w:style w:type="paragraph" w:styleId="BodyText2">
    <w:name w:val="Body Text 2"/>
    <w:basedOn w:val="Normal"/>
    <w:rPr>
      <w:sz w:val="22"/>
    </w:rPr>
  </w:style>
  <w:style w:type="paragraph" w:styleId="BlockText">
    <w:name w:val="Block Text"/>
    <w:basedOn w:val="Normal"/>
    <w:pPr>
      <w:ind w:left="720" w:right="720"/>
      <w:jc w:val="both"/>
    </w:pPr>
    <w:rPr>
      <w:sz w:val="22"/>
    </w:rPr>
  </w:style>
  <w:style w:type="paragraph" w:styleId="EndnoteText">
    <w:name w:val="endnote text"/>
    <w:basedOn w:val="Normal"/>
    <w:semiHidden/>
    <w:pPr>
      <w:widowControl w:val="0"/>
    </w:pPr>
    <w:rPr>
      <w:snapToGrid w:val="0"/>
      <w:sz w:val="24"/>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ParaNum">
    <w:name w:val="ParaNum"/>
    <w:basedOn w:val="Normal"/>
    <w:link w:val="ParaNumChar"/>
    <w:pPr>
      <w:widowControl w:val="0"/>
      <w:numPr>
        <w:numId w:val="2"/>
      </w:numPr>
      <w:spacing w:after="220"/>
      <w:jc w:val="both"/>
    </w:pPr>
    <w:rPr>
      <w:snapToGrid w:val="0"/>
      <w:kern w:val="28"/>
      <w:sz w:val="22"/>
    </w:rPr>
  </w:style>
  <w:style w:type="paragraph" w:styleId="BodyText3">
    <w:name w:val="Body Text 3"/>
    <w:basedOn w:val="Normal"/>
    <w:pPr>
      <w:spacing w:after="120"/>
    </w:pPr>
    <w:rPr>
      <w:sz w:val="16"/>
      <w:szCs w:val="16"/>
    </w:rPr>
  </w:style>
  <w:style w:type="paragraph" w:customStyle="1" w:styleId="Paranum0">
    <w:name w:val="Paranum"/>
    <w:pPr>
      <w:numPr>
        <w:numId w:val="5"/>
      </w:numPr>
      <w:tabs>
        <w:tab w:val="clear" w:pos="360"/>
        <w:tab w:val="left" w:pos="1440"/>
      </w:tabs>
      <w:spacing w:after="240"/>
      <w:ind w:left="0" w:firstLine="720"/>
      <w:jc w:val="both"/>
    </w:pPr>
    <w:rPr>
      <w:sz w:val="22"/>
    </w:rPr>
  </w:style>
  <w:style w:type="character" w:customStyle="1" w:styleId="FootnoteTextChar2">
    <w:name w:val="Footnote Text Char2"/>
    <w:aliases w:val="Footnote Text Char Char,Footnote Text Char1 Char Char,Footnote Text Char Char Char Char,rrfootnote Char Char Char Char,Footnote Text Char1 Char Char Char Char,Footnote Text Char Char Char Char Char Char,Footnote Text Char1 Char1"/>
    <w:link w:val="FootnoteText"/>
    <w:rPr>
      <w:snapToGrid w:val="0"/>
      <w:sz w:val="24"/>
      <w:lang w:val="en-US" w:eastAsia="en-US" w:bidi="ar-SA"/>
    </w:rPr>
  </w:style>
  <w:style w:type="character" w:customStyle="1" w:styleId="ParaNumChar">
    <w:name w:val="ParaNum Char"/>
    <w:link w:val="ParaNum"/>
    <w:rPr>
      <w:snapToGrid w:val="0"/>
      <w:kern w:val="28"/>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Revision">
    <w:name w:val="Revision"/>
    <w:hidden/>
    <w:uiPriority w:val="99"/>
    <w:semiHidden/>
  </w:style>
  <w:style w:type="character" w:customStyle="1" w:styleId="CommentTextChar">
    <w:name w:val="Comment Text Char"/>
    <w:link w:val="CommentText"/>
    <w:uiPriority w:val="99"/>
    <w:semiHidden/>
    <w:locked/>
    <w:rsid w:val="00F55772"/>
  </w:style>
  <w:style w:type="paragraph" w:styleId="ListParagraph">
    <w:name w:val="List Paragraph"/>
    <w:basedOn w:val="Normal"/>
    <w:uiPriority w:val="34"/>
    <w:qFormat/>
    <w:rsid w:val="00DF09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20417">
      <w:bodyDiv w:val="1"/>
      <w:marLeft w:val="0"/>
      <w:marRight w:val="0"/>
      <w:marTop w:val="0"/>
      <w:marBottom w:val="0"/>
      <w:divBdr>
        <w:top w:val="none" w:sz="0" w:space="0" w:color="auto"/>
        <w:left w:val="none" w:sz="0" w:space="0" w:color="auto"/>
        <w:bottom w:val="none" w:sz="0" w:space="0" w:color="auto"/>
        <w:right w:val="none" w:sz="0" w:space="0" w:color="auto"/>
      </w:divBdr>
    </w:div>
    <w:div w:id="194084279">
      <w:bodyDiv w:val="1"/>
      <w:marLeft w:val="0"/>
      <w:marRight w:val="0"/>
      <w:marTop w:val="0"/>
      <w:marBottom w:val="0"/>
      <w:divBdr>
        <w:top w:val="none" w:sz="0" w:space="0" w:color="auto"/>
        <w:left w:val="none" w:sz="0" w:space="0" w:color="auto"/>
        <w:bottom w:val="none" w:sz="0" w:space="0" w:color="auto"/>
        <w:right w:val="none" w:sz="0" w:space="0" w:color="auto"/>
      </w:divBdr>
    </w:div>
    <w:div w:id="504706184">
      <w:bodyDiv w:val="1"/>
      <w:marLeft w:val="0"/>
      <w:marRight w:val="0"/>
      <w:marTop w:val="0"/>
      <w:marBottom w:val="0"/>
      <w:divBdr>
        <w:top w:val="none" w:sz="0" w:space="0" w:color="auto"/>
        <w:left w:val="none" w:sz="0" w:space="0" w:color="auto"/>
        <w:bottom w:val="none" w:sz="0" w:space="0" w:color="auto"/>
        <w:right w:val="none" w:sz="0" w:space="0" w:color="auto"/>
      </w:divBdr>
    </w:div>
    <w:div w:id="605819001">
      <w:bodyDiv w:val="1"/>
      <w:marLeft w:val="0"/>
      <w:marRight w:val="0"/>
      <w:marTop w:val="0"/>
      <w:marBottom w:val="0"/>
      <w:divBdr>
        <w:top w:val="none" w:sz="0" w:space="0" w:color="auto"/>
        <w:left w:val="none" w:sz="0" w:space="0" w:color="auto"/>
        <w:bottom w:val="none" w:sz="0" w:space="0" w:color="auto"/>
        <w:right w:val="none" w:sz="0" w:space="0" w:color="auto"/>
      </w:divBdr>
    </w:div>
    <w:div w:id="719131050">
      <w:bodyDiv w:val="1"/>
      <w:marLeft w:val="0"/>
      <w:marRight w:val="0"/>
      <w:marTop w:val="0"/>
      <w:marBottom w:val="0"/>
      <w:divBdr>
        <w:top w:val="none" w:sz="0" w:space="0" w:color="auto"/>
        <w:left w:val="none" w:sz="0" w:space="0" w:color="auto"/>
        <w:bottom w:val="none" w:sz="0" w:space="0" w:color="auto"/>
        <w:right w:val="none" w:sz="0" w:space="0" w:color="auto"/>
      </w:divBdr>
    </w:div>
    <w:div w:id="996346286">
      <w:bodyDiv w:val="1"/>
      <w:marLeft w:val="0"/>
      <w:marRight w:val="0"/>
      <w:marTop w:val="0"/>
      <w:marBottom w:val="0"/>
      <w:divBdr>
        <w:top w:val="none" w:sz="0" w:space="0" w:color="auto"/>
        <w:left w:val="none" w:sz="0" w:space="0" w:color="auto"/>
        <w:bottom w:val="none" w:sz="0" w:space="0" w:color="auto"/>
        <w:right w:val="none" w:sz="0" w:space="0" w:color="auto"/>
      </w:divBdr>
    </w:div>
    <w:div w:id="1320306297">
      <w:bodyDiv w:val="1"/>
      <w:marLeft w:val="0"/>
      <w:marRight w:val="0"/>
      <w:marTop w:val="0"/>
      <w:marBottom w:val="0"/>
      <w:divBdr>
        <w:top w:val="none" w:sz="0" w:space="0" w:color="auto"/>
        <w:left w:val="none" w:sz="0" w:space="0" w:color="auto"/>
        <w:bottom w:val="none" w:sz="0" w:space="0" w:color="auto"/>
        <w:right w:val="none" w:sz="0" w:space="0" w:color="auto"/>
      </w:divBdr>
    </w:div>
    <w:div w:id="1841460862">
      <w:bodyDiv w:val="1"/>
      <w:marLeft w:val="0"/>
      <w:marRight w:val="0"/>
      <w:marTop w:val="0"/>
      <w:marBottom w:val="0"/>
      <w:divBdr>
        <w:top w:val="none" w:sz="0" w:space="0" w:color="auto"/>
        <w:left w:val="none" w:sz="0" w:space="0" w:color="auto"/>
        <w:bottom w:val="none" w:sz="0" w:space="0" w:color="auto"/>
        <w:right w:val="none" w:sz="0" w:space="0" w:color="auto"/>
      </w:divBdr>
    </w:div>
    <w:div w:id="1920485269">
      <w:bodyDiv w:val="1"/>
      <w:marLeft w:val="0"/>
      <w:marRight w:val="0"/>
      <w:marTop w:val="0"/>
      <w:marBottom w:val="0"/>
      <w:divBdr>
        <w:top w:val="none" w:sz="0" w:space="0" w:color="auto"/>
        <w:left w:val="none" w:sz="0" w:space="0" w:color="auto"/>
        <w:bottom w:val="none" w:sz="0" w:space="0" w:color="auto"/>
        <w:right w:val="none" w:sz="0" w:space="0" w:color="auto"/>
      </w:divBdr>
    </w:div>
    <w:div w:id="205438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2767</Words>
  <Characters>15807</Characters>
  <Application>Microsoft Office Word</Application>
  <DocSecurity>0</DocSecurity>
  <Lines>253</Lines>
  <Paragraphs>69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18636</CharactersWithSpaces>
  <SharedDoc>false</SharedDoc>
  <HyperlinkBase> </HyperlinkBase>
  <HLinks>
    <vt:vector size="36" baseType="variant">
      <vt:variant>
        <vt:i4>3276821</vt:i4>
      </vt:variant>
      <vt:variant>
        <vt:i4>0</vt:i4>
      </vt:variant>
      <vt:variant>
        <vt:i4>0</vt:i4>
      </vt:variant>
      <vt:variant>
        <vt:i4>5</vt:i4>
      </vt:variant>
      <vt:variant>
        <vt:lpwstr>mailto:tangreat@tangreat.com</vt:lpwstr>
      </vt:variant>
      <vt:variant>
        <vt:lpwstr/>
      </vt:variant>
      <vt:variant>
        <vt:i4>3014691</vt:i4>
      </vt:variant>
      <vt:variant>
        <vt:i4>12</vt:i4>
      </vt:variant>
      <vt:variant>
        <vt:i4>0</vt:i4>
      </vt:variant>
      <vt:variant>
        <vt:i4>5</vt:i4>
      </vt:variant>
      <vt:variant>
        <vt:lpwstr>http://www.txtstopper.com/cms/content/faqs</vt:lpwstr>
      </vt:variant>
      <vt:variant>
        <vt:lpwstr/>
      </vt:variant>
      <vt:variant>
        <vt:i4>4653135</vt:i4>
      </vt:variant>
      <vt:variant>
        <vt:i4>9</vt:i4>
      </vt:variant>
      <vt:variant>
        <vt:i4>0</vt:i4>
      </vt:variant>
      <vt:variant>
        <vt:i4>5</vt:i4>
      </vt:variant>
      <vt:variant>
        <vt:lpwstr>https://fjallfoss.fcc.gov/oetcf/eas/reports/GenericSearch.cfm</vt:lpwstr>
      </vt:variant>
      <vt:variant>
        <vt:lpwstr/>
      </vt:variant>
      <vt:variant>
        <vt:i4>3014691</vt:i4>
      </vt:variant>
      <vt:variant>
        <vt:i4>6</vt:i4>
      </vt:variant>
      <vt:variant>
        <vt:i4>0</vt:i4>
      </vt:variant>
      <vt:variant>
        <vt:i4>5</vt:i4>
      </vt:variant>
      <vt:variant>
        <vt:lpwstr>http://www.txtstopper.com/cms/content/faqs</vt:lpwstr>
      </vt:variant>
      <vt:variant>
        <vt:lpwstr/>
      </vt:variant>
      <vt:variant>
        <vt:i4>8192039</vt:i4>
      </vt:variant>
      <vt:variant>
        <vt:i4>3</vt:i4>
      </vt:variant>
      <vt:variant>
        <vt:i4>0</vt:i4>
      </vt:variant>
      <vt:variant>
        <vt:i4>5</vt:i4>
      </vt:variant>
      <vt:variant>
        <vt:lpwstr>http://www.youtube.com/watch?v=io8AtlGRjpQ</vt:lpwstr>
      </vt:variant>
      <vt:variant>
        <vt:lpwstr/>
      </vt:variant>
      <vt:variant>
        <vt:i4>4784219</vt:i4>
      </vt:variant>
      <vt:variant>
        <vt:i4>0</vt:i4>
      </vt:variant>
      <vt:variant>
        <vt:i4>0</vt:i4>
      </vt:variant>
      <vt:variant>
        <vt:i4>5</vt:i4>
      </vt:variant>
      <vt:variant>
        <vt:lpwstr>http://www.txtstopper.com/cms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2011-02-09T15:17:00Z</cp:lastPrinted>
  <dcterms:created xsi:type="dcterms:W3CDTF">2015-04-21T15:25:00Z</dcterms:created>
  <dcterms:modified xsi:type="dcterms:W3CDTF">2015-04-21T15:25:00Z</dcterms:modified>
  <cp:category> </cp:category>
  <cp:contentStatus> </cp:contentStatus>
</cp:coreProperties>
</file>