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67D2E" w14:textId="77777777" w:rsidR="00DE5386" w:rsidRDefault="00DE5386">
      <w:pPr>
        <w:tabs>
          <w:tab w:val="center" w:pos="4680"/>
        </w:tabs>
        <w:suppressAutoHyphens/>
        <w:spacing w:line="240" w:lineRule="atLeast"/>
        <w:jc w:val="center"/>
        <w:outlineLvl w:val="0"/>
        <w:rPr>
          <w:b/>
        </w:rPr>
      </w:pPr>
      <w:bookmarkStart w:id="0" w:name="_GoBack"/>
      <w:bookmarkEnd w:id="0"/>
      <w:r>
        <w:rPr>
          <w:b/>
        </w:rPr>
        <w:t>Before the</w:t>
      </w:r>
    </w:p>
    <w:p w14:paraId="2DAD120C" w14:textId="77777777" w:rsidR="00DE5386" w:rsidRDefault="00DE5386">
      <w:pPr>
        <w:tabs>
          <w:tab w:val="center" w:pos="4680"/>
        </w:tabs>
        <w:suppressAutoHyphens/>
        <w:spacing w:line="240" w:lineRule="atLeast"/>
        <w:jc w:val="both"/>
        <w:outlineLvl w:val="0"/>
        <w:rPr>
          <w:b/>
        </w:rPr>
      </w:pPr>
      <w:r>
        <w:rPr>
          <w:b/>
        </w:rPr>
        <w:tab/>
        <w:t>Federal Communications Commission</w:t>
      </w:r>
    </w:p>
    <w:p w14:paraId="639A2302" w14:textId="77777777" w:rsidR="00DE5386" w:rsidRDefault="00DE5386">
      <w:pPr>
        <w:tabs>
          <w:tab w:val="center" w:pos="4680"/>
        </w:tabs>
        <w:suppressAutoHyphens/>
        <w:spacing w:line="240" w:lineRule="atLeast"/>
        <w:jc w:val="both"/>
        <w:outlineLvl w:val="0"/>
        <w:rPr>
          <w:b/>
        </w:rPr>
      </w:pPr>
      <w:r>
        <w:rPr>
          <w:b/>
        </w:rPr>
        <w:tab/>
      </w: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14:paraId="2B3DFCF6" w14:textId="77777777" w:rsidR="00DE5386" w:rsidRDefault="00DE5386">
      <w:pPr>
        <w:tabs>
          <w:tab w:val="center" w:pos="4680"/>
        </w:tabs>
        <w:suppressAutoHyphens/>
        <w:spacing w:line="240" w:lineRule="atLeast"/>
        <w:jc w:val="both"/>
        <w:outlineLvl w:val="0"/>
        <w:rPr>
          <w:b/>
        </w:rPr>
      </w:pPr>
    </w:p>
    <w:tbl>
      <w:tblPr>
        <w:tblW w:w="0" w:type="auto"/>
        <w:tblLayout w:type="fixed"/>
        <w:tblLook w:val="0000" w:firstRow="0" w:lastRow="0" w:firstColumn="0" w:lastColumn="0" w:noHBand="0" w:noVBand="0"/>
      </w:tblPr>
      <w:tblGrid>
        <w:gridCol w:w="4622"/>
        <w:gridCol w:w="354"/>
        <w:gridCol w:w="4552"/>
      </w:tblGrid>
      <w:tr w:rsidR="00DE5386" w14:paraId="492F6F10" w14:textId="77777777" w:rsidTr="00215EF4">
        <w:trPr>
          <w:trHeight w:val="1872"/>
        </w:trPr>
        <w:tc>
          <w:tcPr>
            <w:tcW w:w="4622" w:type="dxa"/>
          </w:tcPr>
          <w:p w14:paraId="041E3F2A" w14:textId="77777777" w:rsidR="009A462D" w:rsidRDefault="009A462D" w:rsidP="009A462D">
            <w:r>
              <w:t xml:space="preserve">In the Matter of </w:t>
            </w:r>
          </w:p>
          <w:p w14:paraId="1769E0EA" w14:textId="77777777" w:rsidR="009A462D" w:rsidRDefault="009A462D" w:rsidP="009A462D"/>
          <w:p w14:paraId="64CA73B4" w14:textId="77777777" w:rsidR="009E0617" w:rsidRPr="009E0617" w:rsidRDefault="009E0617" w:rsidP="009E0617">
            <w:r w:rsidRPr="009E0617">
              <w:t>Duhamel Broadcasting Enterprises</w:t>
            </w:r>
          </w:p>
          <w:p w14:paraId="45C5A877" w14:textId="77777777" w:rsidR="009E0617" w:rsidRPr="009E0617" w:rsidRDefault="009E0617" w:rsidP="009E0617"/>
          <w:p w14:paraId="4ADCC288" w14:textId="77777777" w:rsidR="009E0617" w:rsidRPr="009E0617" w:rsidRDefault="009E0617" w:rsidP="009E0617">
            <w:r w:rsidRPr="009E0617">
              <w:t>Owner of Antenna Structure Number 1042912</w:t>
            </w:r>
          </w:p>
          <w:p w14:paraId="121FCB6D" w14:textId="77777777" w:rsidR="009E0617" w:rsidRPr="009E0617" w:rsidRDefault="009E0617" w:rsidP="009E0617">
            <w:r w:rsidRPr="009E0617">
              <w:t>Rapid City, South Dakota</w:t>
            </w:r>
          </w:p>
          <w:p w14:paraId="329C47AD" w14:textId="77777777" w:rsidR="009A462D" w:rsidRDefault="009A462D" w:rsidP="009E0617">
            <w:pPr>
              <w:rPr>
                <w:spacing w:val="-2"/>
              </w:rPr>
            </w:pPr>
          </w:p>
        </w:tc>
        <w:tc>
          <w:tcPr>
            <w:tcW w:w="354" w:type="dxa"/>
          </w:tcPr>
          <w:p w14:paraId="30767BE2" w14:textId="77777777" w:rsidR="00DE5386" w:rsidRDefault="00DE5386">
            <w:pPr>
              <w:tabs>
                <w:tab w:val="center" w:pos="4680"/>
              </w:tabs>
              <w:suppressAutoHyphens/>
              <w:spacing w:line="240" w:lineRule="atLeast"/>
              <w:jc w:val="both"/>
              <w:outlineLvl w:val="0"/>
            </w:pPr>
            <w:r>
              <w:t>)</w:t>
            </w:r>
          </w:p>
          <w:p w14:paraId="4C7B643E" w14:textId="77777777" w:rsidR="00DE5386" w:rsidRDefault="00DE5386">
            <w:pPr>
              <w:tabs>
                <w:tab w:val="center" w:pos="4680"/>
              </w:tabs>
              <w:suppressAutoHyphens/>
              <w:spacing w:line="240" w:lineRule="atLeast"/>
              <w:jc w:val="both"/>
              <w:outlineLvl w:val="0"/>
            </w:pPr>
            <w:r>
              <w:t>)</w:t>
            </w:r>
          </w:p>
          <w:p w14:paraId="34C181E1" w14:textId="77777777" w:rsidR="00DE5386" w:rsidRDefault="00DE5386">
            <w:pPr>
              <w:tabs>
                <w:tab w:val="center" w:pos="4680"/>
              </w:tabs>
              <w:suppressAutoHyphens/>
              <w:spacing w:line="240" w:lineRule="atLeast"/>
              <w:jc w:val="both"/>
              <w:outlineLvl w:val="0"/>
            </w:pPr>
            <w:r>
              <w:t>)</w:t>
            </w:r>
          </w:p>
          <w:p w14:paraId="7EA06907" w14:textId="77777777" w:rsidR="00DE5386" w:rsidRDefault="00DE5386">
            <w:pPr>
              <w:tabs>
                <w:tab w:val="center" w:pos="4680"/>
              </w:tabs>
              <w:suppressAutoHyphens/>
              <w:spacing w:line="240" w:lineRule="atLeast"/>
              <w:jc w:val="both"/>
              <w:outlineLvl w:val="0"/>
            </w:pPr>
            <w:r>
              <w:t>)</w:t>
            </w:r>
          </w:p>
          <w:p w14:paraId="6AEA3F01" w14:textId="77777777" w:rsidR="00DE5386" w:rsidRDefault="00DE5386">
            <w:pPr>
              <w:tabs>
                <w:tab w:val="center" w:pos="4680"/>
              </w:tabs>
              <w:suppressAutoHyphens/>
              <w:spacing w:line="240" w:lineRule="atLeast"/>
              <w:jc w:val="both"/>
              <w:outlineLvl w:val="0"/>
            </w:pPr>
            <w:r>
              <w:t>)</w:t>
            </w:r>
          </w:p>
          <w:p w14:paraId="1FD0C018" w14:textId="2448390C" w:rsidR="00215EF4" w:rsidRPr="009A462D" w:rsidRDefault="00215EF4" w:rsidP="009A462D">
            <w:pPr>
              <w:tabs>
                <w:tab w:val="center" w:pos="4680"/>
              </w:tabs>
              <w:suppressAutoHyphens/>
              <w:spacing w:line="240" w:lineRule="atLeast"/>
              <w:jc w:val="both"/>
              <w:outlineLvl w:val="0"/>
            </w:pPr>
            <w:r>
              <w:t>)</w:t>
            </w:r>
          </w:p>
        </w:tc>
        <w:tc>
          <w:tcPr>
            <w:tcW w:w="4552" w:type="dxa"/>
          </w:tcPr>
          <w:p w14:paraId="266616D6" w14:textId="77777777" w:rsidR="00DE5386" w:rsidRDefault="00DE5386">
            <w:pPr>
              <w:rPr>
                <w:spacing w:val="-2"/>
              </w:rPr>
            </w:pPr>
          </w:p>
          <w:p w14:paraId="3586D979" w14:textId="77777777" w:rsidR="00DE5386" w:rsidRDefault="00DE5386">
            <w:pPr>
              <w:ind w:left="702"/>
              <w:rPr>
                <w:spacing w:val="-2"/>
              </w:rPr>
            </w:pPr>
          </w:p>
          <w:p w14:paraId="4B654EC2" w14:textId="77777777" w:rsidR="009E0617" w:rsidRPr="009E0617" w:rsidRDefault="00215EF4" w:rsidP="009E0617">
            <w:r>
              <w:t xml:space="preserve">        </w:t>
            </w:r>
            <w:r w:rsidR="009E0617" w:rsidRPr="009E0617">
              <w:t>File No.:  EB-FIELDWR-13-00010468</w:t>
            </w:r>
          </w:p>
          <w:p w14:paraId="088B32E2" w14:textId="709C93DF" w:rsidR="009E0617" w:rsidRPr="009E0617" w:rsidRDefault="009E0617" w:rsidP="009E0617">
            <w:r>
              <w:t xml:space="preserve">        </w:t>
            </w:r>
            <w:r w:rsidRPr="009E0617">
              <w:t>NAL/Acct. No.:  201432800004</w:t>
            </w:r>
          </w:p>
          <w:p w14:paraId="0FFEC6E3" w14:textId="41E1D5E3" w:rsidR="009E0617" w:rsidRDefault="009E0617" w:rsidP="009E0617">
            <w:r>
              <w:t xml:space="preserve">        </w:t>
            </w:r>
            <w:r w:rsidRPr="009E0617">
              <w:t>FRN:  0002433340</w:t>
            </w:r>
          </w:p>
          <w:p w14:paraId="6C654719" w14:textId="2FC89BDD" w:rsidR="009E0617" w:rsidRDefault="001F4B55" w:rsidP="009E0617">
            <w:r w:rsidRPr="001F4B55">
              <w:t xml:space="preserve"> </w:t>
            </w:r>
          </w:p>
          <w:p w14:paraId="7F7F1401" w14:textId="183150D5" w:rsidR="00DE5386" w:rsidRDefault="00DE5386" w:rsidP="001F4B55"/>
        </w:tc>
      </w:tr>
    </w:tbl>
    <w:p w14:paraId="3BC486AA" w14:textId="77777777" w:rsidR="009A462D" w:rsidRPr="009A462D" w:rsidRDefault="009A462D" w:rsidP="009A462D">
      <w:pPr>
        <w:jc w:val="center"/>
        <w:rPr>
          <w:b/>
        </w:rPr>
      </w:pPr>
      <w:r w:rsidRPr="009A462D">
        <w:rPr>
          <w:b/>
        </w:rPr>
        <w:t>FORFEITURE ORDER</w:t>
      </w:r>
    </w:p>
    <w:p w14:paraId="7D6EF707" w14:textId="77777777" w:rsidR="005215D5" w:rsidRDefault="005215D5" w:rsidP="009A462D">
      <w:pPr>
        <w:jc w:val="center"/>
      </w:pPr>
    </w:p>
    <w:p w14:paraId="2507CE7E" w14:textId="22ED596B" w:rsidR="00DE5386" w:rsidRDefault="00DE5386" w:rsidP="00627660">
      <w:pPr>
        <w:tabs>
          <w:tab w:val="left" w:pos="0"/>
          <w:tab w:val="left" w:pos="720"/>
          <w:tab w:val="left" w:pos="5760"/>
        </w:tabs>
        <w:suppressAutoHyphens/>
        <w:spacing w:line="240" w:lineRule="atLeast"/>
      </w:pPr>
      <w:r>
        <w:rPr>
          <w:b/>
        </w:rPr>
        <w:t xml:space="preserve">Adopted: </w:t>
      </w:r>
      <w:r w:rsidR="009A462D">
        <w:rPr>
          <w:b/>
        </w:rPr>
        <w:t xml:space="preserve"> </w:t>
      </w:r>
      <w:r w:rsidR="001518DA">
        <w:rPr>
          <w:b/>
        </w:rPr>
        <w:t>January 8, 2015</w:t>
      </w:r>
      <w:r>
        <w:rPr>
          <w:b/>
        </w:rPr>
        <w:tab/>
      </w:r>
      <w:r>
        <w:rPr>
          <w:b/>
        </w:rPr>
        <w:tab/>
        <w:t xml:space="preserve">Released:  </w:t>
      </w:r>
      <w:r w:rsidR="001518DA">
        <w:rPr>
          <w:b/>
        </w:rPr>
        <w:t>January 9, 2015</w:t>
      </w:r>
    </w:p>
    <w:p w14:paraId="3789707F" w14:textId="77777777" w:rsidR="00DE5386" w:rsidRDefault="00DE5386" w:rsidP="00627660">
      <w:pPr>
        <w:tabs>
          <w:tab w:val="left" w:pos="0"/>
          <w:tab w:val="left" w:pos="720"/>
          <w:tab w:val="left" w:pos="5760"/>
        </w:tabs>
        <w:suppressAutoHyphens/>
        <w:spacing w:line="240" w:lineRule="atLeast"/>
        <w:jc w:val="both"/>
      </w:pPr>
    </w:p>
    <w:p w14:paraId="2EAD7EDF" w14:textId="77777777" w:rsidR="00DE5386" w:rsidRPr="002A7814" w:rsidRDefault="001F0226" w:rsidP="00A76318">
      <w:pPr>
        <w:tabs>
          <w:tab w:val="left" w:pos="0"/>
          <w:tab w:val="left" w:pos="720"/>
          <w:tab w:val="left" w:pos="5760"/>
        </w:tabs>
        <w:suppressAutoHyphens/>
        <w:spacing w:line="240" w:lineRule="atLeast"/>
        <w:jc w:val="both"/>
        <w:rPr>
          <w:color w:val="000000"/>
          <w:spacing w:val="-2"/>
        </w:rPr>
      </w:pPr>
      <w:r w:rsidRPr="002A7814">
        <w:rPr>
          <w:color w:val="000000"/>
          <w:spacing w:val="-2"/>
        </w:rPr>
        <w:t>By the Regional Director, Western</w:t>
      </w:r>
      <w:r w:rsidR="00DE5386" w:rsidRPr="002A7814">
        <w:rPr>
          <w:color w:val="000000"/>
          <w:spacing w:val="-2"/>
        </w:rPr>
        <w:t xml:space="preserve"> Region, Enforcement Bureau:</w:t>
      </w:r>
    </w:p>
    <w:p w14:paraId="50E8F678" w14:textId="77777777" w:rsidR="00DE5386" w:rsidRPr="002A7814" w:rsidRDefault="00DE5386" w:rsidP="00A76318">
      <w:pPr>
        <w:tabs>
          <w:tab w:val="left" w:pos="0"/>
        </w:tabs>
        <w:suppressAutoHyphens/>
        <w:spacing w:line="240" w:lineRule="atLeast"/>
        <w:rPr>
          <w:color w:val="000000"/>
          <w:spacing w:val="-2"/>
        </w:rPr>
      </w:pPr>
    </w:p>
    <w:p w14:paraId="1444420C" w14:textId="77777777" w:rsidR="00DE5386" w:rsidRPr="002A7814" w:rsidRDefault="00DE5386" w:rsidP="008E5F5B">
      <w:pPr>
        <w:tabs>
          <w:tab w:val="center" w:pos="720"/>
        </w:tabs>
        <w:suppressAutoHyphens/>
        <w:spacing w:after="120"/>
        <w:rPr>
          <w:b/>
          <w:color w:val="000000"/>
          <w:spacing w:val="-2"/>
        </w:rPr>
      </w:pPr>
      <w:r w:rsidRPr="002A7814">
        <w:rPr>
          <w:b/>
          <w:color w:val="000000"/>
          <w:spacing w:val="-2"/>
        </w:rPr>
        <w:t xml:space="preserve">I.  </w:t>
      </w:r>
      <w:r w:rsidRPr="002A7814">
        <w:rPr>
          <w:b/>
          <w:color w:val="000000"/>
          <w:spacing w:val="-2"/>
        </w:rPr>
        <w:tab/>
        <w:t xml:space="preserve">         INTRODUCTION</w:t>
      </w:r>
    </w:p>
    <w:p w14:paraId="19A681C8" w14:textId="3D742ECC" w:rsidR="00972009" w:rsidRPr="00531604" w:rsidRDefault="00972009" w:rsidP="00531604">
      <w:pPr>
        <w:numPr>
          <w:ilvl w:val="0"/>
          <w:numId w:val="1"/>
        </w:numPr>
        <w:tabs>
          <w:tab w:val="clear" w:pos="1080"/>
          <w:tab w:val="left" w:pos="0"/>
          <w:tab w:val="num" w:pos="1440"/>
        </w:tabs>
        <w:suppressAutoHyphens/>
        <w:autoSpaceDE w:val="0"/>
        <w:autoSpaceDN w:val="0"/>
        <w:adjustRightInd w:val="0"/>
        <w:spacing w:after="120"/>
        <w:rPr>
          <w:color w:val="000000"/>
          <w:spacing w:val="-2"/>
        </w:rPr>
      </w:pPr>
      <w:r w:rsidRPr="00972009">
        <w:rPr>
          <w:color w:val="000000"/>
          <w:spacing w:val="-2"/>
        </w:rPr>
        <w:t>We impose a penalty of $</w:t>
      </w:r>
      <w:r w:rsidR="001F15E6">
        <w:rPr>
          <w:color w:val="000000"/>
          <w:spacing w:val="-2"/>
        </w:rPr>
        <w:t>8</w:t>
      </w:r>
      <w:r>
        <w:rPr>
          <w:color w:val="000000"/>
          <w:spacing w:val="-2"/>
        </w:rPr>
        <w:t>,000</w:t>
      </w:r>
      <w:r w:rsidRPr="00972009">
        <w:rPr>
          <w:color w:val="000000"/>
          <w:spacing w:val="-2"/>
        </w:rPr>
        <w:t xml:space="preserve"> against </w:t>
      </w:r>
      <w:r w:rsidR="001F6ECD" w:rsidRPr="001F6ECD">
        <w:rPr>
          <w:color w:val="000000"/>
          <w:spacing w:val="-2"/>
        </w:rPr>
        <w:t>Duhamel Bro</w:t>
      </w:r>
      <w:r w:rsidR="00BA5097">
        <w:rPr>
          <w:color w:val="000000"/>
          <w:spacing w:val="-2"/>
        </w:rPr>
        <w:t>adcasting Enterprises (Duhamel)</w:t>
      </w:r>
      <w:r w:rsidR="001F6ECD" w:rsidRPr="001F6ECD">
        <w:rPr>
          <w:color w:val="000000"/>
          <w:spacing w:val="-2"/>
        </w:rPr>
        <w:t xml:space="preserve"> for failing to ensure that its antenna structure was properly illuminated</w:t>
      </w:r>
      <w:r w:rsidR="00BA5097">
        <w:rPr>
          <w:color w:val="000000"/>
          <w:spacing w:val="-2"/>
        </w:rPr>
        <w:t xml:space="preserve"> and</w:t>
      </w:r>
      <w:r w:rsidR="00DC0C96">
        <w:rPr>
          <w:color w:val="000000"/>
          <w:spacing w:val="-2"/>
        </w:rPr>
        <w:t xml:space="preserve"> </w:t>
      </w:r>
      <w:r w:rsidR="00DC0C96" w:rsidRPr="00DC0C96">
        <w:rPr>
          <w:color w:val="000000"/>
          <w:spacing w:val="-2"/>
        </w:rPr>
        <w:t>notify the Federal Avia</w:t>
      </w:r>
      <w:r w:rsidR="00BA5097">
        <w:rPr>
          <w:color w:val="000000"/>
          <w:spacing w:val="-2"/>
        </w:rPr>
        <w:t>tion Administration (FAA) of a known</w:t>
      </w:r>
      <w:r w:rsidR="00DC0C96" w:rsidRPr="00DC0C96">
        <w:rPr>
          <w:color w:val="000000"/>
          <w:spacing w:val="-2"/>
        </w:rPr>
        <w:t xml:space="preserve"> light outage.</w:t>
      </w:r>
      <w:r w:rsidR="00DC0C96">
        <w:rPr>
          <w:color w:val="000000"/>
          <w:spacing w:val="-2"/>
        </w:rPr>
        <w:t xml:space="preserve"> </w:t>
      </w:r>
      <w:r w:rsidR="00DC0C96" w:rsidRPr="00DC0C96">
        <w:rPr>
          <w:color w:val="000000"/>
          <w:spacing w:val="-2"/>
        </w:rPr>
        <w:t xml:space="preserve"> </w:t>
      </w:r>
      <w:r w:rsidR="001F6ECD" w:rsidRPr="001F6ECD">
        <w:rPr>
          <w:color w:val="000000"/>
          <w:spacing w:val="-2"/>
        </w:rPr>
        <w:t xml:space="preserve">Duhamel </w:t>
      </w:r>
      <w:r w:rsidR="00531604">
        <w:rPr>
          <w:color w:val="000000"/>
          <w:spacing w:val="-2"/>
        </w:rPr>
        <w:t>seeks</w:t>
      </w:r>
      <w:r w:rsidR="00BA5097">
        <w:rPr>
          <w:color w:val="000000"/>
          <w:spacing w:val="-2"/>
        </w:rPr>
        <w:t xml:space="preserve"> cancellation or reduction of the </w:t>
      </w:r>
      <w:r w:rsidR="00531604">
        <w:rPr>
          <w:color w:val="000000"/>
          <w:spacing w:val="-2"/>
        </w:rPr>
        <w:t xml:space="preserve">proposed </w:t>
      </w:r>
      <w:r w:rsidR="00BA5097">
        <w:rPr>
          <w:color w:val="000000"/>
          <w:spacing w:val="-2"/>
        </w:rPr>
        <w:t>forfeiture</w:t>
      </w:r>
      <w:r w:rsidR="00531604">
        <w:rPr>
          <w:color w:val="000000"/>
          <w:spacing w:val="-2"/>
        </w:rPr>
        <w:t xml:space="preserve"> because </w:t>
      </w:r>
      <w:r w:rsidR="00DC0C96">
        <w:rPr>
          <w:color w:val="000000"/>
          <w:spacing w:val="-2"/>
        </w:rPr>
        <w:t xml:space="preserve">it </w:t>
      </w:r>
      <w:r w:rsidR="00BA5097">
        <w:rPr>
          <w:color w:val="000000"/>
          <w:spacing w:val="-2"/>
        </w:rPr>
        <w:t xml:space="preserve">mistakenly </w:t>
      </w:r>
      <w:r w:rsidR="001F6ECD" w:rsidRPr="001F6ECD">
        <w:rPr>
          <w:color w:val="000000"/>
          <w:spacing w:val="-2"/>
        </w:rPr>
        <w:t xml:space="preserve">believed that the </w:t>
      </w:r>
      <w:r w:rsidR="00531604">
        <w:rPr>
          <w:color w:val="000000"/>
          <w:spacing w:val="-2"/>
        </w:rPr>
        <w:t>FAA granted its request to extinguish the lights on the center antenna structure in its three-tower array</w:t>
      </w:r>
      <w:r w:rsidR="00375529">
        <w:rPr>
          <w:color w:val="000000"/>
          <w:spacing w:val="-2"/>
        </w:rPr>
        <w:t xml:space="preserve"> and took immediate action to resolve the outage</w:t>
      </w:r>
      <w:r w:rsidR="00531604">
        <w:rPr>
          <w:color w:val="000000"/>
          <w:spacing w:val="-2"/>
        </w:rPr>
        <w:t xml:space="preserve">.  We find that Duhamel’s mistaken interpretation of the FAA’s determination, even if inadvertent, does not excuse the violations or justify a forfeiture reduction or cancellation.  However, we find </w:t>
      </w:r>
      <w:r w:rsidR="0095288E" w:rsidRPr="00531604">
        <w:rPr>
          <w:color w:val="000000"/>
          <w:spacing w:val="-2"/>
        </w:rPr>
        <w:t xml:space="preserve">that </w:t>
      </w:r>
      <w:r w:rsidR="00F62E34">
        <w:rPr>
          <w:color w:val="000000"/>
          <w:spacing w:val="-2"/>
        </w:rPr>
        <w:t xml:space="preserve">a forfeiture reduction is warranted based on </w:t>
      </w:r>
      <w:r w:rsidR="00DC0C96" w:rsidRPr="00531604">
        <w:rPr>
          <w:color w:val="000000"/>
          <w:spacing w:val="-2"/>
        </w:rPr>
        <w:t>Duhamel</w:t>
      </w:r>
      <w:r w:rsidR="00F62E34">
        <w:rPr>
          <w:color w:val="000000"/>
          <w:spacing w:val="-2"/>
        </w:rPr>
        <w:t xml:space="preserve">’s </w:t>
      </w:r>
      <w:r w:rsidR="0095288E" w:rsidRPr="00531604">
        <w:rPr>
          <w:color w:val="000000"/>
          <w:spacing w:val="-2"/>
        </w:rPr>
        <w:t>history of complia</w:t>
      </w:r>
      <w:r w:rsidR="00F62E34">
        <w:rPr>
          <w:color w:val="000000"/>
          <w:spacing w:val="-2"/>
        </w:rPr>
        <w:t>nce with the Commission’s rules.</w:t>
      </w:r>
      <w:r w:rsidR="007531E0" w:rsidRPr="00531604">
        <w:rPr>
          <w:color w:val="000000"/>
          <w:spacing w:val="-2"/>
        </w:rPr>
        <w:t xml:space="preserve"> </w:t>
      </w:r>
    </w:p>
    <w:p w14:paraId="23CD8AB5" w14:textId="0218A620" w:rsidR="00DE5386" w:rsidRPr="002A7814" w:rsidRDefault="00835FE8" w:rsidP="00333191">
      <w:pPr>
        <w:numPr>
          <w:ilvl w:val="0"/>
          <w:numId w:val="1"/>
        </w:numPr>
        <w:tabs>
          <w:tab w:val="clear" w:pos="1080"/>
          <w:tab w:val="left" w:pos="0"/>
          <w:tab w:val="num" w:pos="1440"/>
        </w:tabs>
        <w:suppressAutoHyphens/>
        <w:autoSpaceDE w:val="0"/>
        <w:autoSpaceDN w:val="0"/>
        <w:adjustRightInd w:val="0"/>
        <w:spacing w:after="120"/>
        <w:rPr>
          <w:color w:val="000000"/>
          <w:spacing w:val="-2"/>
        </w:rPr>
      </w:pPr>
      <w:r>
        <w:rPr>
          <w:color w:val="000000"/>
          <w:spacing w:val="-2"/>
        </w:rPr>
        <w:t>Specifically</w:t>
      </w:r>
      <w:r w:rsidR="00DE5386" w:rsidRPr="002A7814">
        <w:rPr>
          <w:color w:val="000000"/>
          <w:spacing w:val="-2"/>
        </w:rPr>
        <w:t>, we issue a monet</w:t>
      </w:r>
      <w:r>
        <w:rPr>
          <w:color w:val="000000"/>
          <w:spacing w:val="-2"/>
        </w:rPr>
        <w:t xml:space="preserve">ary forfeiture </w:t>
      </w:r>
      <w:r w:rsidR="00DE5386" w:rsidRPr="002A7814">
        <w:rPr>
          <w:color w:val="000000"/>
          <w:spacing w:val="-2"/>
        </w:rPr>
        <w:t>to</w:t>
      </w:r>
      <w:r w:rsidR="009A3B4C">
        <w:rPr>
          <w:color w:val="000000"/>
          <w:spacing w:val="-2"/>
        </w:rPr>
        <w:t xml:space="preserve"> </w:t>
      </w:r>
      <w:r w:rsidR="00377189" w:rsidRPr="00377189">
        <w:rPr>
          <w:color w:val="000000"/>
          <w:spacing w:val="-2"/>
        </w:rPr>
        <w:t xml:space="preserve">Duhamel, owner of antenna structure number 1042912 in Rapid City, South Dakota (Antenna Structure), </w:t>
      </w:r>
      <w:r w:rsidR="00377189">
        <w:rPr>
          <w:color w:val="000000"/>
          <w:spacing w:val="-2"/>
        </w:rPr>
        <w:t>for</w:t>
      </w:r>
      <w:r w:rsidR="00377189" w:rsidRPr="00377189">
        <w:rPr>
          <w:color w:val="000000"/>
          <w:spacing w:val="-2"/>
        </w:rPr>
        <w:t xml:space="preserve"> willfully and repeatedly violat</w:t>
      </w:r>
      <w:r w:rsidR="005F4571">
        <w:rPr>
          <w:color w:val="000000"/>
          <w:spacing w:val="-2"/>
        </w:rPr>
        <w:t>ing</w:t>
      </w:r>
      <w:r w:rsidR="00377189" w:rsidRPr="00377189">
        <w:rPr>
          <w:color w:val="000000"/>
          <w:spacing w:val="-2"/>
        </w:rPr>
        <w:t xml:space="preserve"> Section 303(q) of the Communications Act of 1934, as amended (Act),</w:t>
      </w:r>
      <w:r w:rsidR="00377189">
        <w:rPr>
          <w:rStyle w:val="FootnoteReference"/>
          <w:color w:val="000000"/>
          <w:spacing w:val="-2"/>
        </w:rPr>
        <w:footnoteReference w:id="2"/>
      </w:r>
      <w:r w:rsidR="00377189" w:rsidRPr="00377189">
        <w:rPr>
          <w:color w:val="000000"/>
          <w:spacing w:val="-2"/>
        </w:rPr>
        <w:t xml:space="preserve"> and Sections 17.23 and 17.48(a)</w:t>
      </w:r>
      <w:r w:rsidR="00377189" w:rsidRPr="00377189">
        <w:rPr>
          <w:b/>
          <w:color w:val="000000"/>
          <w:spacing w:val="-2"/>
        </w:rPr>
        <w:t xml:space="preserve"> </w:t>
      </w:r>
      <w:r w:rsidR="00377189" w:rsidRPr="00377189">
        <w:rPr>
          <w:color w:val="000000"/>
          <w:spacing w:val="-2"/>
        </w:rPr>
        <w:t>of the Commission’s rules (Rules)</w:t>
      </w:r>
      <w:r w:rsidR="00F62E34">
        <w:rPr>
          <w:color w:val="000000"/>
          <w:spacing w:val="-2"/>
        </w:rPr>
        <w:t>.</w:t>
      </w:r>
      <w:r w:rsidR="00377189" w:rsidRPr="00377189">
        <w:rPr>
          <w:color w:val="000000"/>
          <w:spacing w:val="-2"/>
          <w:vertAlign w:val="superscript"/>
        </w:rPr>
        <w:footnoteReference w:id="3"/>
      </w:r>
      <w:r w:rsidR="0095288E" w:rsidRPr="0095288E">
        <w:rPr>
          <w:spacing w:val="-2"/>
        </w:rPr>
        <w:t xml:space="preserve">  </w:t>
      </w:r>
      <w:r w:rsidR="00224EAA" w:rsidRPr="00224EAA">
        <w:rPr>
          <w:spacing w:val="-2"/>
        </w:rPr>
        <w:t xml:space="preserve">   </w:t>
      </w:r>
      <w:r w:rsidR="009A3B4C" w:rsidRPr="009A3B4C">
        <w:rPr>
          <w:color w:val="000000"/>
          <w:spacing w:val="-2"/>
        </w:rPr>
        <w:t xml:space="preserve">  </w:t>
      </w:r>
    </w:p>
    <w:p w14:paraId="1F4F0C4F" w14:textId="77777777" w:rsidR="00DE5386" w:rsidRPr="002A7814" w:rsidRDefault="00DE5386" w:rsidP="00333191">
      <w:pPr>
        <w:pStyle w:val="ParaNum"/>
        <w:numPr>
          <w:ilvl w:val="0"/>
          <w:numId w:val="0"/>
        </w:numPr>
        <w:spacing w:after="120"/>
        <w:rPr>
          <w:b/>
          <w:color w:val="000000"/>
          <w:spacing w:val="-2"/>
        </w:rPr>
      </w:pPr>
      <w:r w:rsidRPr="002A7814">
        <w:rPr>
          <w:b/>
          <w:color w:val="000000"/>
          <w:spacing w:val="-2"/>
        </w:rPr>
        <w:t xml:space="preserve">II.  </w:t>
      </w:r>
      <w:r w:rsidRPr="002A7814">
        <w:rPr>
          <w:b/>
          <w:color w:val="000000"/>
          <w:spacing w:val="-2"/>
        </w:rPr>
        <w:tab/>
        <w:t>BACKGROUND</w:t>
      </w:r>
    </w:p>
    <w:p w14:paraId="3EABFEEE" w14:textId="6A9100CA" w:rsidR="00F62E34" w:rsidRPr="00F62E34" w:rsidRDefault="00DE5386" w:rsidP="00F62E34">
      <w:pPr>
        <w:numPr>
          <w:ilvl w:val="0"/>
          <w:numId w:val="1"/>
        </w:numPr>
        <w:tabs>
          <w:tab w:val="clear" w:pos="1080"/>
          <w:tab w:val="left" w:pos="0"/>
          <w:tab w:val="num" w:pos="1440"/>
        </w:tabs>
        <w:suppressAutoHyphens/>
        <w:autoSpaceDE w:val="0"/>
        <w:autoSpaceDN w:val="0"/>
        <w:adjustRightInd w:val="0"/>
        <w:spacing w:after="120"/>
        <w:rPr>
          <w:color w:val="000000"/>
          <w:spacing w:val="-2"/>
        </w:rPr>
      </w:pPr>
      <w:r w:rsidRPr="002A7814">
        <w:rPr>
          <w:color w:val="000000"/>
          <w:spacing w:val="-2"/>
        </w:rPr>
        <w:t xml:space="preserve">On </w:t>
      </w:r>
      <w:r w:rsidR="00FB77D0">
        <w:rPr>
          <w:color w:val="000000"/>
          <w:spacing w:val="-2"/>
        </w:rPr>
        <w:t>June 19,</w:t>
      </w:r>
      <w:r w:rsidR="00146E82">
        <w:rPr>
          <w:color w:val="000000"/>
          <w:spacing w:val="-2"/>
        </w:rPr>
        <w:t xml:space="preserve"> 2014</w:t>
      </w:r>
      <w:r w:rsidRPr="002A7814">
        <w:rPr>
          <w:color w:val="000000"/>
          <w:spacing w:val="-2"/>
        </w:rPr>
        <w:t>, the Enforcement Bureau’s</w:t>
      </w:r>
      <w:r w:rsidR="009A3B4C">
        <w:rPr>
          <w:color w:val="000000"/>
          <w:spacing w:val="-2"/>
        </w:rPr>
        <w:t xml:space="preserve"> </w:t>
      </w:r>
      <w:r w:rsidR="00FB77D0">
        <w:rPr>
          <w:color w:val="000000"/>
          <w:spacing w:val="-2"/>
        </w:rPr>
        <w:t>Denver Offi</w:t>
      </w:r>
      <w:r w:rsidR="00934211">
        <w:rPr>
          <w:color w:val="000000"/>
          <w:spacing w:val="-2"/>
        </w:rPr>
        <w:t>ce</w:t>
      </w:r>
      <w:r w:rsidR="00835FE8">
        <w:rPr>
          <w:color w:val="000000"/>
          <w:spacing w:val="-2"/>
        </w:rPr>
        <w:t xml:space="preserve"> </w:t>
      </w:r>
      <w:r w:rsidRPr="002A7814">
        <w:rPr>
          <w:color w:val="000000"/>
          <w:spacing w:val="-2"/>
        </w:rPr>
        <w:t>issued a Notice of Apparent Liability for Forfeiture</w:t>
      </w:r>
      <w:r w:rsidR="00DD1F81">
        <w:rPr>
          <w:color w:val="000000"/>
          <w:spacing w:val="-2"/>
        </w:rPr>
        <w:t xml:space="preserve"> </w:t>
      </w:r>
      <w:r w:rsidR="00F62E34">
        <w:rPr>
          <w:color w:val="000000"/>
          <w:spacing w:val="-2"/>
        </w:rPr>
        <w:t xml:space="preserve">and Order </w:t>
      </w:r>
      <w:r w:rsidRPr="002A7814">
        <w:rPr>
          <w:color w:val="000000"/>
          <w:spacing w:val="-2"/>
        </w:rPr>
        <w:t>(</w:t>
      </w:r>
      <w:r w:rsidRPr="00E26178">
        <w:rPr>
          <w:i/>
          <w:color w:val="000000"/>
          <w:spacing w:val="-2"/>
        </w:rPr>
        <w:t>NAL</w:t>
      </w:r>
      <w:r w:rsidRPr="002A7814">
        <w:rPr>
          <w:color w:val="000000"/>
          <w:spacing w:val="-2"/>
        </w:rPr>
        <w:t>)</w:t>
      </w:r>
      <w:r w:rsidRPr="002A7814">
        <w:rPr>
          <w:rStyle w:val="FootnoteReference"/>
          <w:color w:val="000000"/>
          <w:spacing w:val="-2"/>
          <w:sz w:val="22"/>
        </w:rPr>
        <w:t xml:space="preserve"> </w:t>
      </w:r>
      <w:r w:rsidR="005511AE">
        <w:rPr>
          <w:color w:val="000000"/>
          <w:spacing w:val="-2"/>
        </w:rPr>
        <w:t>proposing a</w:t>
      </w:r>
      <w:r w:rsidR="005511AE" w:rsidRPr="002A7814">
        <w:rPr>
          <w:color w:val="000000"/>
          <w:spacing w:val="-2"/>
        </w:rPr>
        <w:t xml:space="preserve"> </w:t>
      </w:r>
      <w:r w:rsidRPr="002A7814">
        <w:rPr>
          <w:color w:val="000000"/>
          <w:spacing w:val="-2"/>
        </w:rPr>
        <w:t>$</w:t>
      </w:r>
      <w:r w:rsidR="00A17FBD">
        <w:rPr>
          <w:color w:val="000000"/>
          <w:spacing w:val="-2"/>
        </w:rPr>
        <w:t>1</w:t>
      </w:r>
      <w:r w:rsidR="009A3B4C">
        <w:rPr>
          <w:color w:val="000000"/>
          <w:spacing w:val="-2"/>
        </w:rPr>
        <w:t>0</w:t>
      </w:r>
      <w:r w:rsidR="00226B3D">
        <w:rPr>
          <w:color w:val="000000"/>
          <w:spacing w:val="-2"/>
        </w:rPr>
        <w:t>,</w:t>
      </w:r>
      <w:r w:rsidRPr="002A7814">
        <w:rPr>
          <w:color w:val="000000"/>
          <w:spacing w:val="-2"/>
        </w:rPr>
        <w:t xml:space="preserve">000 </w:t>
      </w:r>
      <w:r w:rsidR="005511AE">
        <w:rPr>
          <w:color w:val="000000"/>
          <w:spacing w:val="-2"/>
        </w:rPr>
        <w:t>forfeiture against</w:t>
      </w:r>
      <w:r w:rsidRPr="002A7814">
        <w:rPr>
          <w:color w:val="000000"/>
          <w:spacing w:val="-2"/>
        </w:rPr>
        <w:t xml:space="preserve"> </w:t>
      </w:r>
      <w:r w:rsidR="00FB77D0">
        <w:rPr>
          <w:color w:val="000000"/>
          <w:spacing w:val="-2"/>
        </w:rPr>
        <w:t>Duhamel</w:t>
      </w:r>
      <w:r w:rsidR="009A3B4C">
        <w:rPr>
          <w:color w:val="000000"/>
          <w:spacing w:val="-2"/>
        </w:rPr>
        <w:t xml:space="preserve"> </w:t>
      </w:r>
      <w:r w:rsidR="00FB29D6">
        <w:rPr>
          <w:color w:val="000000"/>
          <w:spacing w:val="-2"/>
        </w:rPr>
        <w:t xml:space="preserve">for </w:t>
      </w:r>
      <w:r w:rsidR="00146E82" w:rsidRPr="00146E82">
        <w:rPr>
          <w:color w:val="000000"/>
          <w:spacing w:val="-2"/>
        </w:rPr>
        <w:t xml:space="preserve">failing to exhibit the Antenna Structure’s required </w:t>
      </w:r>
      <w:r w:rsidR="00FB77D0">
        <w:rPr>
          <w:color w:val="000000"/>
          <w:spacing w:val="-2"/>
        </w:rPr>
        <w:t xml:space="preserve">red obstruction </w:t>
      </w:r>
      <w:r w:rsidR="00146E82" w:rsidRPr="00146E82">
        <w:rPr>
          <w:color w:val="000000"/>
          <w:spacing w:val="-2"/>
        </w:rPr>
        <w:t xml:space="preserve">lighting </w:t>
      </w:r>
      <w:r w:rsidR="00F62E34">
        <w:rPr>
          <w:color w:val="000000"/>
          <w:spacing w:val="-2"/>
        </w:rPr>
        <w:t xml:space="preserve">and </w:t>
      </w:r>
      <w:r w:rsidR="00146E82" w:rsidRPr="00146E82">
        <w:rPr>
          <w:color w:val="000000"/>
          <w:spacing w:val="-2"/>
        </w:rPr>
        <w:t>notify the FAA of a known lighting outage on the Antenna Structure.</w:t>
      </w:r>
      <w:r w:rsidR="00146E82" w:rsidRPr="00146E82">
        <w:rPr>
          <w:color w:val="000000"/>
          <w:spacing w:val="-2"/>
          <w:vertAlign w:val="superscript"/>
        </w:rPr>
        <w:footnoteReference w:id="4"/>
      </w:r>
      <w:r w:rsidR="00146E82" w:rsidRPr="00146E82">
        <w:rPr>
          <w:color w:val="000000"/>
          <w:spacing w:val="-2"/>
        </w:rPr>
        <w:t xml:space="preserve"> </w:t>
      </w:r>
      <w:r w:rsidRPr="002A7814">
        <w:rPr>
          <w:color w:val="000000"/>
          <w:spacing w:val="-2"/>
        </w:rPr>
        <w:t xml:space="preserve"> In </w:t>
      </w:r>
      <w:r w:rsidR="00146E82">
        <w:rPr>
          <w:color w:val="000000"/>
          <w:spacing w:val="-2"/>
        </w:rPr>
        <w:t xml:space="preserve">its </w:t>
      </w:r>
      <w:r w:rsidR="005E5B28">
        <w:rPr>
          <w:i/>
          <w:color w:val="000000"/>
          <w:spacing w:val="-2"/>
        </w:rPr>
        <w:t>NAL Response</w:t>
      </w:r>
      <w:r w:rsidRPr="002A7814">
        <w:rPr>
          <w:color w:val="000000"/>
          <w:spacing w:val="-2"/>
        </w:rPr>
        <w:t xml:space="preserve">, </w:t>
      </w:r>
      <w:r w:rsidR="00FB77D0">
        <w:rPr>
          <w:color w:val="000000"/>
          <w:spacing w:val="-2"/>
        </w:rPr>
        <w:t>Duhamel ackn</w:t>
      </w:r>
      <w:r w:rsidR="00A5530F">
        <w:rPr>
          <w:color w:val="000000"/>
          <w:spacing w:val="-2"/>
        </w:rPr>
        <w:t>o</w:t>
      </w:r>
      <w:r w:rsidR="006E1122">
        <w:rPr>
          <w:color w:val="000000"/>
          <w:spacing w:val="-2"/>
        </w:rPr>
        <w:t>wl</w:t>
      </w:r>
      <w:r w:rsidR="00A5530F">
        <w:rPr>
          <w:color w:val="000000"/>
          <w:spacing w:val="-2"/>
        </w:rPr>
        <w:t>e</w:t>
      </w:r>
      <w:r w:rsidR="006E1122">
        <w:rPr>
          <w:color w:val="000000"/>
          <w:spacing w:val="-2"/>
        </w:rPr>
        <w:t>dges that the lights on t</w:t>
      </w:r>
      <w:r w:rsidR="00A5530F">
        <w:rPr>
          <w:color w:val="000000"/>
          <w:spacing w:val="-2"/>
        </w:rPr>
        <w:t>h</w:t>
      </w:r>
      <w:r w:rsidR="006E1122">
        <w:rPr>
          <w:color w:val="000000"/>
          <w:spacing w:val="-2"/>
        </w:rPr>
        <w:t>e</w:t>
      </w:r>
      <w:r w:rsidR="00F62E34">
        <w:rPr>
          <w:color w:val="000000"/>
          <w:spacing w:val="-2"/>
        </w:rPr>
        <w:t xml:space="preserve"> Antenna Structure </w:t>
      </w:r>
      <w:r w:rsidR="006E1122">
        <w:rPr>
          <w:color w:val="000000"/>
          <w:spacing w:val="-2"/>
        </w:rPr>
        <w:t>were not ill</w:t>
      </w:r>
      <w:r w:rsidR="00A5530F">
        <w:rPr>
          <w:color w:val="000000"/>
          <w:spacing w:val="-2"/>
        </w:rPr>
        <w:t>uminated</w:t>
      </w:r>
      <w:r w:rsidR="00F62E34">
        <w:rPr>
          <w:color w:val="000000"/>
          <w:spacing w:val="-2"/>
        </w:rPr>
        <w:t xml:space="preserve">, but explains that it previously </w:t>
      </w:r>
      <w:r w:rsidR="006E1122">
        <w:rPr>
          <w:color w:val="000000"/>
          <w:spacing w:val="-2"/>
        </w:rPr>
        <w:t>sought permission from th</w:t>
      </w:r>
      <w:r w:rsidR="00A5530F">
        <w:rPr>
          <w:color w:val="000000"/>
          <w:spacing w:val="-2"/>
        </w:rPr>
        <w:t>e</w:t>
      </w:r>
      <w:r w:rsidR="006E1122">
        <w:rPr>
          <w:color w:val="000000"/>
          <w:spacing w:val="-2"/>
        </w:rPr>
        <w:t xml:space="preserve"> FAA </w:t>
      </w:r>
      <w:r w:rsidR="00F62E34">
        <w:rPr>
          <w:color w:val="000000"/>
          <w:spacing w:val="-2"/>
        </w:rPr>
        <w:t xml:space="preserve">and state authorities </w:t>
      </w:r>
      <w:r w:rsidR="006E1122">
        <w:rPr>
          <w:color w:val="000000"/>
          <w:spacing w:val="-2"/>
        </w:rPr>
        <w:t>to extinguish the lights on</w:t>
      </w:r>
      <w:r w:rsidR="00F62E34">
        <w:rPr>
          <w:color w:val="000000"/>
          <w:spacing w:val="-2"/>
        </w:rPr>
        <w:t xml:space="preserve"> the center tower while </w:t>
      </w:r>
      <w:r w:rsidR="006E1122">
        <w:rPr>
          <w:color w:val="000000"/>
          <w:spacing w:val="-2"/>
        </w:rPr>
        <w:t>maintain</w:t>
      </w:r>
      <w:r w:rsidR="00F62E34">
        <w:rPr>
          <w:color w:val="000000"/>
          <w:spacing w:val="-2"/>
        </w:rPr>
        <w:t xml:space="preserve">ing </w:t>
      </w:r>
      <w:r w:rsidR="006E1122">
        <w:rPr>
          <w:color w:val="000000"/>
          <w:spacing w:val="-2"/>
        </w:rPr>
        <w:t xml:space="preserve">lighting on the two end </w:t>
      </w:r>
      <w:r w:rsidR="006E1122">
        <w:rPr>
          <w:color w:val="000000"/>
          <w:spacing w:val="-2"/>
        </w:rPr>
        <w:lastRenderedPageBreak/>
        <w:t>structures</w:t>
      </w:r>
      <w:r w:rsidR="00F62E34">
        <w:rPr>
          <w:color w:val="000000"/>
          <w:spacing w:val="-2"/>
        </w:rPr>
        <w:t xml:space="preserve"> of the tower array.</w:t>
      </w:r>
      <w:r w:rsidR="00B8444B" w:rsidRPr="00B8444B">
        <w:rPr>
          <w:color w:val="000000"/>
          <w:spacing w:val="-2"/>
          <w:vertAlign w:val="superscript"/>
        </w:rPr>
        <w:footnoteReference w:id="5"/>
      </w:r>
      <w:r w:rsidR="009A3B4C">
        <w:rPr>
          <w:color w:val="000000"/>
          <w:spacing w:val="-2"/>
        </w:rPr>
        <w:t xml:space="preserve"> </w:t>
      </w:r>
      <w:r w:rsidR="006E1122">
        <w:rPr>
          <w:color w:val="000000"/>
          <w:spacing w:val="-2"/>
        </w:rPr>
        <w:t xml:space="preserve"> Duhamel argues that it understood the FAA’s</w:t>
      </w:r>
      <w:r w:rsidR="00597723">
        <w:rPr>
          <w:color w:val="000000"/>
          <w:spacing w:val="-2"/>
        </w:rPr>
        <w:t xml:space="preserve"> requirement</w:t>
      </w:r>
      <w:r w:rsidR="006E1122">
        <w:rPr>
          <w:color w:val="000000"/>
          <w:spacing w:val="-2"/>
        </w:rPr>
        <w:t xml:space="preserve"> that “the structure should be marked/and/or lighted . . .”</w:t>
      </w:r>
      <w:r w:rsidR="00F62E34">
        <w:rPr>
          <w:rStyle w:val="FootnoteReference"/>
          <w:color w:val="000000"/>
          <w:spacing w:val="-2"/>
        </w:rPr>
        <w:footnoteReference w:id="6"/>
      </w:r>
      <w:r w:rsidR="006E1122">
        <w:rPr>
          <w:color w:val="000000"/>
          <w:spacing w:val="-2"/>
        </w:rPr>
        <w:t xml:space="preserve"> to apply </w:t>
      </w:r>
      <w:r w:rsidR="00F62E34">
        <w:rPr>
          <w:color w:val="000000"/>
          <w:spacing w:val="-2"/>
        </w:rPr>
        <w:t xml:space="preserve">only </w:t>
      </w:r>
      <w:r w:rsidR="006E1122">
        <w:rPr>
          <w:color w:val="000000"/>
          <w:spacing w:val="-2"/>
        </w:rPr>
        <w:t>to the two end structures</w:t>
      </w:r>
      <w:r w:rsidR="00597723">
        <w:rPr>
          <w:color w:val="000000"/>
          <w:spacing w:val="-2"/>
        </w:rPr>
        <w:t xml:space="preserve"> of</w:t>
      </w:r>
      <w:r w:rsidR="00F62E34">
        <w:rPr>
          <w:color w:val="000000"/>
          <w:spacing w:val="-2"/>
        </w:rPr>
        <w:t xml:space="preserve"> the tower array</w:t>
      </w:r>
      <w:r w:rsidR="006E1122">
        <w:rPr>
          <w:color w:val="000000"/>
          <w:spacing w:val="-2"/>
        </w:rPr>
        <w:t xml:space="preserve">, given that the FAA did not </w:t>
      </w:r>
      <w:r w:rsidR="00F62E34">
        <w:rPr>
          <w:color w:val="000000"/>
          <w:spacing w:val="-2"/>
        </w:rPr>
        <w:t xml:space="preserve">specifically </w:t>
      </w:r>
      <w:r w:rsidR="006E1122">
        <w:rPr>
          <w:color w:val="000000"/>
          <w:spacing w:val="-2"/>
        </w:rPr>
        <w:t xml:space="preserve">deny </w:t>
      </w:r>
      <w:r w:rsidR="00426F4E">
        <w:rPr>
          <w:color w:val="000000"/>
          <w:spacing w:val="-2"/>
        </w:rPr>
        <w:t xml:space="preserve">Duhamel’s </w:t>
      </w:r>
      <w:r w:rsidR="006E1122">
        <w:rPr>
          <w:color w:val="000000"/>
          <w:spacing w:val="-2"/>
        </w:rPr>
        <w:t xml:space="preserve">request </w:t>
      </w:r>
      <w:r w:rsidR="00597723">
        <w:rPr>
          <w:color w:val="000000"/>
          <w:spacing w:val="-2"/>
        </w:rPr>
        <w:t xml:space="preserve">to extinguish the lights on the </w:t>
      </w:r>
      <w:r w:rsidR="006E1122">
        <w:rPr>
          <w:color w:val="000000"/>
          <w:spacing w:val="-2"/>
        </w:rPr>
        <w:t>Antenn</w:t>
      </w:r>
      <w:r w:rsidR="00426F4E">
        <w:rPr>
          <w:color w:val="000000"/>
          <w:spacing w:val="-2"/>
        </w:rPr>
        <w:t>a</w:t>
      </w:r>
      <w:r w:rsidR="006E1122">
        <w:rPr>
          <w:color w:val="000000"/>
          <w:spacing w:val="-2"/>
        </w:rPr>
        <w:t xml:space="preserve"> Structure.</w:t>
      </w:r>
      <w:r w:rsidR="0060774F">
        <w:rPr>
          <w:rStyle w:val="FootnoteReference"/>
          <w:color w:val="000000"/>
          <w:spacing w:val="-2"/>
        </w:rPr>
        <w:footnoteReference w:id="7"/>
      </w:r>
      <w:r w:rsidR="002366FC">
        <w:rPr>
          <w:color w:val="000000"/>
          <w:spacing w:val="-2"/>
        </w:rPr>
        <w:t xml:space="preserve">  Duhamel contends that this “good faith misunderstanding,” combined with its immediate efforts to remedy the violation warrant a forfeiture cancellation or reduction.</w:t>
      </w:r>
      <w:r w:rsidR="0060774F">
        <w:rPr>
          <w:color w:val="000000"/>
          <w:spacing w:val="-2"/>
        </w:rPr>
        <w:t xml:space="preserve">  </w:t>
      </w:r>
    </w:p>
    <w:p w14:paraId="009C0D87" w14:textId="77777777" w:rsidR="00DE5386" w:rsidRPr="002A7814" w:rsidRDefault="00DE5386" w:rsidP="00333191">
      <w:pPr>
        <w:numPr>
          <w:ilvl w:val="0"/>
          <w:numId w:val="3"/>
        </w:numPr>
        <w:tabs>
          <w:tab w:val="clear" w:pos="1080"/>
          <w:tab w:val="num" w:pos="450"/>
        </w:tabs>
        <w:suppressAutoHyphens/>
        <w:autoSpaceDE w:val="0"/>
        <w:autoSpaceDN w:val="0"/>
        <w:adjustRightInd w:val="0"/>
        <w:spacing w:after="120"/>
        <w:ind w:left="0" w:firstLine="0"/>
        <w:rPr>
          <w:b/>
          <w:color w:val="000000"/>
          <w:spacing w:val="-2"/>
        </w:rPr>
      </w:pPr>
      <w:r w:rsidRPr="002A7814">
        <w:rPr>
          <w:b/>
          <w:color w:val="000000"/>
          <w:spacing w:val="-2"/>
        </w:rPr>
        <w:tab/>
        <w:t>DISCUSSION</w:t>
      </w:r>
    </w:p>
    <w:p w14:paraId="7DBF9C33" w14:textId="3DBCCDF2" w:rsidR="001C0059" w:rsidRDefault="001C0059" w:rsidP="00333191">
      <w:pPr>
        <w:numPr>
          <w:ilvl w:val="0"/>
          <w:numId w:val="1"/>
        </w:numPr>
        <w:tabs>
          <w:tab w:val="clear" w:pos="1080"/>
          <w:tab w:val="num" w:pos="1440"/>
          <w:tab w:val="left" w:pos="4680"/>
          <w:tab w:val="left" w:pos="5760"/>
        </w:tabs>
        <w:autoSpaceDE w:val="0"/>
        <w:autoSpaceDN w:val="0"/>
        <w:adjustRightInd w:val="0"/>
        <w:spacing w:after="120"/>
        <w:rPr>
          <w:color w:val="000000"/>
          <w:spacing w:val="-2"/>
        </w:rPr>
      </w:pPr>
      <w:r w:rsidRPr="002A7814">
        <w:rPr>
          <w:color w:val="000000"/>
          <w:spacing w:val="-2"/>
        </w:rPr>
        <w:t>The proposed forfeiture amount in this case was assessed in accord</w:t>
      </w:r>
      <w:r w:rsidR="002366FC">
        <w:rPr>
          <w:color w:val="000000"/>
          <w:spacing w:val="-2"/>
        </w:rPr>
        <w:t xml:space="preserve">ance with Section 503(b) of the </w:t>
      </w:r>
      <w:r w:rsidRPr="002A7814">
        <w:rPr>
          <w:color w:val="000000"/>
          <w:spacing w:val="-2"/>
        </w:rPr>
        <w:t>Act,</w:t>
      </w:r>
      <w:r w:rsidRPr="008E5F5B">
        <w:rPr>
          <w:rStyle w:val="FootnoteReference"/>
          <w:color w:val="000000"/>
          <w:spacing w:val="-2"/>
        </w:rPr>
        <w:footnoteReference w:id="8"/>
      </w:r>
      <w:r w:rsidRPr="002A7814">
        <w:rPr>
          <w:color w:val="000000"/>
          <w:spacing w:val="-2"/>
        </w:rPr>
        <w:t xml:space="preserve"> Section 1.80 of the Rules,</w:t>
      </w:r>
      <w:r w:rsidRPr="008E5F5B">
        <w:rPr>
          <w:rStyle w:val="FootnoteReference"/>
          <w:color w:val="000000"/>
          <w:spacing w:val="-2"/>
        </w:rPr>
        <w:footnoteReference w:id="9"/>
      </w:r>
      <w:r w:rsidRPr="002A7814">
        <w:rPr>
          <w:color w:val="000000"/>
          <w:spacing w:val="-2"/>
        </w:rPr>
        <w:t xml:space="preserve"> and the </w:t>
      </w:r>
      <w:r w:rsidRPr="00D94C13">
        <w:rPr>
          <w:i/>
          <w:color w:val="000000"/>
          <w:spacing w:val="-2"/>
        </w:rPr>
        <w:t>Forfeiture Policy Statement</w:t>
      </w:r>
      <w:r w:rsidRPr="002A7814">
        <w:rPr>
          <w:color w:val="000000"/>
          <w:spacing w:val="-2"/>
        </w:rPr>
        <w:t>.</w:t>
      </w:r>
      <w:r w:rsidRPr="008E5F5B">
        <w:rPr>
          <w:rStyle w:val="FootnoteReference"/>
          <w:color w:val="000000"/>
          <w:spacing w:val="-2"/>
        </w:rPr>
        <w:footnoteReference w:id="10"/>
      </w:r>
      <w:r w:rsidRPr="008E5F5B">
        <w:rPr>
          <w:color w:val="000000"/>
          <w:spacing w:val="-2"/>
          <w:sz w:val="20"/>
        </w:rPr>
        <w:t xml:space="preserve"> </w:t>
      </w:r>
      <w:r w:rsidRPr="002A7814">
        <w:rPr>
          <w:color w:val="000000"/>
          <w:spacing w:val="-2"/>
        </w:rPr>
        <w:t xml:space="preserve"> In examining </w:t>
      </w:r>
      <w:r w:rsidR="00426F4E">
        <w:rPr>
          <w:color w:val="000000"/>
          <w:spacing w:val="-2"/>
        </w:rPr>
        <w:t>Duhamel’</w:t>
      </w:r>
      <w:r w:rsidR="0060774F">
        <w:rPr>
          <w:color w:val="000000"/>
          <w:spacing w:val="-2"/>
        </w:rPr>
        <w:t>s</w:t>
      </w:r>
      <w:r w:rsidRPr="002A7814">
        <w:rPr>
          <w:color w:val="000000"/>
          <w:spacing w:val="-2"/>
        </w:rPr>
        <w:t xml:space="preserve"> </w:t>
      </w:r>
      <w:r>
        <w:rPr>
          <w:i/>
          <w:color w:val="000000"/>
          <w:spacing w:val="-2"/>
        </w:rPr>
        <w:t>NAL R</w:t>
      </w:r>
      <w:r w:rsidRPr="00DC2EFE">
        <w:rPr>
          <w:i/>
          <w:color w:val="000000"/>
          <w:spacing w:val="-2"/>
        </w:rPr>
        <w:t>esponse</w:t>
      </w:r>
      <w:r w:rsidRPr="002A7814">
        <w:rPr>
          <w:color w:val="000000"/>
          <w:spacing w:val="-2"/>
        </w:rPr>
        <w:t>, Section 503(b)(2)(E) of the Act requires that the Commission take into account the nature, circumstances, extent, and gravity of the violation and, with respect to the violator, the degree of culpability, any history of prior offenses, ability to pay, and other such matters as justice may require.</w:t>
      </w:r>
      <w:r w:rsidRPr="008E5F5B">
        <w:rPr>
          <w:rStyle w:val="FootnoteReference"/>
          <w:color w:val="000000"/>
          <w:spacing w:val="-2"/>
        </w:rPr>
        <w:footnoteReference w:id="11"/>
      </w:r>
      <w:r w:rsidR="000E468A">
        <w:rPr>
          <w:color w:val="000000"/>
          <w:spacing w:val="-2"/>
        </w:rPr>
        <w:t xml:space="preserve">  As discussed below, we have fully considered </w:t>
      </w:r>
      <w:r w:rsidR="00426F4E">
        <w:rPr>
          <w:color w:val="000000"/>
          <w:spacing w:val="-2"/>
        </w:rPr>
        <w:t>Duhamel</w:t>
      </w:r>
      <w:r w:rsidR="005D6D4F">
        <w:rPr>
          <w:color w:val="000000"/>
          <w:spacing w:val="-2"/>
        </w:rPr>
        <w:t>’s</w:t>
      </w:r>
      <w:r w:rsidR="000E468A" w:rsidRPr="002A7814">
        <w:rPr>
          <w:color w:val="000000"/>
          <w:spacing w:val="-2"/>
        </w:rPr>
        <w:t xml:space="preserve"> </w:t>
      </w:r>
      <w:r w:rsidR="000E468A">
        <w:rPr>
          <w:i/>
          <w:color w:val="000000"/>
          <w:spacing w:val="-2"/>
        </w:rPr>
        <w:t>NAL R</w:t>
      </w:r>
      <w:r w:rsidR="000E468A" w:rsidRPr="00DC2EFE">
        <w:rPr>
          <w:i/>
          <w:color w:val="000000"/>
          <w:spacing w:val="-2"/>
        </w:rPr>
        <w:t>esponse</w:t>
      </w:r>
      <w:r w:rsidR="000E468A">
        <w:rPr>
          <w:i/>
          <w:color w:val="000000"/>
          <w:spacing w:val="-2"/>
        </w:rPr>
        <w:t xml:space="preserve"> </w:t>
      </w:r>
      <w:r w:rsidR="000E468A">
        <w:rPr>
          <w:color w:val="000000"/>
          <w:spacing w:val="-2"/>
        </w:rPr>
        <w:t xml:space="preserve">in light of these statutory factors and find that reduction of the proposed forfeiture is warranted. </w:t>
      </w:r>
      <w:r w:rsidRPr="002A7814">
        <w:rPr>
          <w:color w:val="000000"/>
          <w:spacing w:val="-2"/>
        </w:rPr>
        <w:t xml:space="preserve">  </w:t>
      </w:r>
    </w:p>
    <w:p w14:paraId="26566194" w14:textId="60739344" w:rsidR="004A10EE" w:rsidRPr="004A10EE" w:rsidRDefault="00426F4E" w:rsidP="00C42516">
      <w:pPr>
        <w:numPr>
          <w:ilvl w:val="0"/>
          <w:numId w:val="1"/>
        </w:numPr>
        <w:tabs>
          <w:tab w:val="clear" w:pos="1080"/>
          <w:tab w:val="num" w:pos="1440"/>
          <w:tab w:val="left" w:pos="4680"/>
          <w:tab w:val="left" w:pos="5760"/>
        </w:tabs>
        <w:suppressAutoHyphens/>
        <w:autoSpaceDE w:val="0"/>
        <w:autoSpaceDN w:val="0"/>
        <w:adjustRightInd w:val="0"/>
        <w:spacing w:after="120"/>
      </w:pPr>
      <w:r w:rsidRPr="00EA12BF">
        <w:rPr>
          <w:color w:val="000000"/>
          <w:spacing w:val="-2"/>
        </w:rPr>
        <w:t>Duhamel</w:t>
      </w:r>
      <w:r w:rsidR="00B175EB" w:rsidRPr="00EA12BF">
        <w:rPr>
          <w:color w:val="000000"/>
          <w:spacing w:val="-2"/>
        </w:rPr>
        <w:t xml:space="preserve"> does not deny any of the facts in the </w:t>
      </w:r>
      <w:r w:rsidR="00B175EB" w:rsidRPr="00EA12BF">
        <w:rPr>
          <w:i/>
          <w:color w:val="000000"/>
          <w:spacing w:val="-2"/>
        </w:rPr>
        <w:t>NAL</w:t>
      </w:r>
      <w:r w:rsidR="000E468A" w:rsidRPr="00EA12BF">
        <w:rPr>
          <w:color w:val="000000"/>
          <w:spacing w:val="-2"/>
        </w:rPr>
        <w:t xml:space="preserve"> and </w:t>
      </w:r>
      <w:r w:rsidR="00B175EB" w:rsidRPr="00EA12BF">
        <w:rPr>
          <w:color w:val="000000"/>
        </w:rPr>
        <w:t xml:space="preserve">we </w:t>
      </w:r>
      <w:r w:rsidR="000E468A" w:rsidRPr="00EA12BF">
        <w:rPr>
          <w:color w:val="000000"/>
        </w:rPr>
        <w:t xml:space="preserve">therefore </w:t>
      </w:r>
      <w:r w:rsidR="00B175EB" w:rsidRPr="00EA12BF">
        <w:rPr>
          <w:color w:val="000000"/>
        </w:rPr>
        <w:t xml:space="preserve">affirm the </w:t>
      </w:r>
      <w:r w:rsidR="00B175EB" w:rsidRPr="00EA12BF">
        <w:rPr>
          <w:i/>
          <w:color w:val="000000"/>
        </w:rPr>
        <w:t>NAL</w:t>
      </w:r>
      <w:r w:rsidR="00B175EB" w:rsidRPr="00EA12BF">
        <w:rPr>
          <w:color w:val="000000"/>
        </w:rPr>
        <w:t xml:space="preserve">’s findings that </w:t>
      </w:r>
      <w:r w:rsidR="00B4765D">
        <w:rPr>
          <w:color w:val="000000"/>
        </w:rPr>
        <w:t>Duhamel</w:t>
      </w:r>
      <w:r w:rsidR="00B8444B" w:rsidRPr="00EA12BF">
        <w:rPr>
          <w:color w:val="000000"/>
        </w:rPr>
        <w:t xml:space="preserve"> </w:t>
      </w:r>
      <w:r w:rsidR="004641DD">
        <w:rPr>
          <w:color w:val="000000"/>
        </w:rPr>
        <w:t xml:space="preserve">willfully and repeatedly </w:t>
      </w:r>
      <w:r w:rsidR="00B175EB" w:rsidRPr="00EA12BF">
        <w:rPr>
          <w:color w:val="000000"/>
        </w:rPr>
        <w:t xml:space="preserve">violated </w:t>
      </w:r>
      <w:r w:rsidR="00430434" w:rsidRPr="00EA12BF">
        <w:rPr>
          <w:color w:val="000000"/>
        </w:rPr>
        <w:t>Section 30</w:t>
      </w:r>
      <w:r w:rsidR="0060774F" w:rsidRPr="00EA12BF">
        <w:rPr>
          <w:color w:val="000000"/>
        </w:rPr>
        <w:t>3(q)</w:t>
      </w:r>
      <w:r w:rsidR="00430434" w:rsidRPr="00EA12BF">
        <w:rPr>
          <w:color w:val="000000"/>
        </w:rPr>
        <w:t xml:space="preserve"> of the Act and Se</w:t>
      </w:r>
      <w:r w:rsidR="00CB0E65" w:rsidRPr="00EA12BF">
        <w:rPr>
          <w:color w:val="000000"/>
        </w:rPr>
        <w:t>ctions</w:t>
      </w:r>
      <w:r w:rsidR="0060774F" w:rsidRPr="00EA12BF">
        <w:rPr>
          <w:color w:val="000000"/>
        </w:rPr>
        <w:t xml:space="preserve"> 17.23 and 17.48(a)</w:t>
      </w:r>
      <w:r w:rsidR="00792346" w:rsidRPr="00EA12BF">
        <w:rPr>
          <w:color w:val="000000"/>
        </w:rPr>
        <w:t xml:space="preserve"> of the Rules </w:t>
      </w:r>
      <w:r w:rsidR="0060774F" w:rsidRPr="00EA12BF">
        <w:rPr>
          <w:color w:val="000000"/>
        </w:rPr>
        <w:t xml:space="preserve">by failing to exhibit required </w:t>
      </w:r>
      <w:r w:rsidRPr="00EA12BF">
        <w:rPr>
          <w:color w:val="000000"/>
        </w:rPr>
        <w:t>red obstruction</w:t>
      </w:r>
      <w:r w:rsidR="0060774F" w:rsidRPr="00EA12BF">
        <w:rPr>
          <w:color w:val="000000"/>
        </w:rPr>
        <w:t xml:space="preserve"> lighting on the Antenna Structure </w:t>
      </w:r>
      <w:r w:rsidRPr="00EA12BF">
        <w:rPr>
          <w:color w:val="000000"/>
        </w:rPr>
        <w:t xml:space="preserve">during nighttime hours </w:t>
      </w:r>
      <w:r w:rsidR="002366FC">
        <w:rPr>
          <w:color w:val="000000"/>
        </w:rPr>
        <w:t>and</w:t>
      </w:r>
      <w:r w:rsidR="0060774F" w:rsidRPr="00EA12BF">
        <w:rPr>
          <w:color w:val="000000"/>
        </w:rPr>
        <w:t xml:space="preserve"> </w:t>
      </w:r>
      <w:r w:rsidR="005F4571">
        <w:rPr>
          <w:color w:val="000000"/>
        </w:rPr>
        <w:t xml:space="preserve">immediately </w:t>
      </w:r>
      <w:r w:rsidR="0060774F" w:rsidRPr="00EA12BF">
        <w:rPr>
          <w:color w:val="000000"/>
        </w:rPr>
        <w:t>notify the FAA of the light outage</w:t>
      </w:r>
      <w:r w:rsidR="005F4571">
        <w:rPr>
          <w:color w:val="000000"/>
        </w:rPr>
        <w:t>.</w:t>
      </w:r>
      <w:r w:rsidR="00B175EB" w:rsidRPr="00694D63">
        <w:rPr>
          <w:color w:val="000000"/>
          <w:vertAlign w:val="superscript"/>
        </w:rPr>
        <w:footnoteReference w:id="12"/>
      </w:r>
      <w:r w:rsidR="00B175EB" w:rsidRPr="00EA12BF">
        <w:rPr>
          <w:color w:val="000000"/>
        </w:rPr>
        <w:t xml:space="preserve">  </w:t>
      </w:r>
      <w:r w:rsidR="00DE5386" w:rsidRPr="00EA12BF">
        <w:rPr>
          <w:color w:val="000000"/>
        </w:rPr>
        <w:t>In</w:t>
      </w:r>
      <w:r w:rsidR="00792346" w:rsidRPr="00EA12BF">
        <w:rPr>
          <w:color w:val="000000"/>
        </w:rPr>
        <w:t xml:space="preserve"> </w:t>
      </w:r>
      <w:r w:rsidR="0060774F" w:rsidRPr="00EA12BF">
        <w:rPr>
          <w:color w:val="000000"/>
        </w:rPr>
        <w:t>its</w:t>
      </w:r>
      <w:r w:rsidR="00DE5386" w:rsidRPr="00EA12BF">
        <w:rPr>
          <w:color w:val="000000"/>
        </w:rPr>
        <w:t xml:space="preserve"> </w:t>
      </w:r>
      <w:r w:rsidR="00DE5386" w:rsidRPr="00EA12BF">
        <w:rPr>
          <w:i/>
          <w:color w:val="000000"/>
        </w:rPr>
        <w:t>NAL</w:t>
      </w:r>
      <w:r w:rsidR="00855EC9" w:rsidRPr="00EA12BF">
        <w:rPr>
          <w:i/>
          <w:color w:val="000000"/>
        </w:rPr>
        <w:t xml:space="preserve"> Response</w:t>
      </w:r>
      <w:r w:rsidR="0061124B" w:rsidRPr="00EA12BF">
        <w:rPr>
          <w:color w:val="000000"/>
        </w:rPr>
        <w:t xml:space="preserve">, </w:t>
      </w:r>
      <w:r w:rsidRPr="00EA12BF">
        <w:rPr>
          <w:color w:val="000000"/>
        </w:rPr>
        <w:t>Duhamel</w:t>
      </w:r>
      <w:r w:rsidR="00430434" w:rsidRPr="00EA12BF">
        <w:rPr>
          <w:color w:val="000000"/>
        </w:rPr>
        <w:t xml:space="preserve"> </w:t>
      </w:r>
      <w:r w:rsidR="00DE5386" w:rsidRPr="00EA12BF">
        <w:rPr>
          <w:color w:val="000000"/>
        </w:rPr>
        <w:t>requests</w:t>
      </w:r>
      <w:r w:rsidR="0060774F" w:rsidRPr="00EA12BF">
        <w:rPr>
          <w:color w:val="000000"/>
        </w:rPr>
        <w:t xml:space="preserve"> reduction or </w:t>
      </w:r>
      <w:r w:rsidR="00647BFE" w:rsidRPr="00EA12BF">
        <w:rPr>
          <w:color w:val="000000"/>
        </w:rPr>
        <w:t xml:space="preserve">cancellation </w:t>
      </w:r>
      <w:r w:rsidR="000E468A" w:rsidRPr="00EA12BF">
        <w:rPr>
          <w:color w:val="000000"/>
        </w:rPr>
        <w:t xml:space="preserve">of the </w:t>
      </w:r>
      <w:r w:rsidR="00855EC9" w:rsidRPr="00EA12BF">
        <w:rPr>
          <w:color w:val="000000"/>
        </w:rPr>
        <w:t xml:space="preserve">proposed </w:t>
      </w:r>
      <w:r w:rsidR="00DE5386" w:rsidRPr="00EA12BF">
        <w:rPr>
          <w:color w:val="000000"/>
        </w:rPr>
        <w:t>forfeiture</w:t>
      </w:r>
      <w:r w:rsidR="00236992" w:rsidRPr="00EA12BF">
        <w:rPr>
          <w:color w:val="000000"/>
        </w:rPr>
        <w:t xml:space="preserve"> because </w:t>
      </w:r>
      <w:r w:rsidRPr="00EA12BF">
        <w:rPr>
          <w:color w:val="000000"/>
        </w:rPr>
        <w:t>Duhamel mistakenly believed that the FAA</w:t>
      </w:r>
      <w:r w:rsidR="002366FC">
        <w:rPr>
          <w:color w:val="000000"/>
        </w:rPr>
        <w:t xml:space="preserve"> granted its request </w:t>
      </w:r>
      <w:r w:rsidRPr="00EA12BF">
        <w:rPr>
          <w:color w:val="000000"/>
        </w:rPr>
        <w:t>to exting</w:t>
      </w:r>
      <w:r w:rsidR="002366FC">
        <w:rPr>
          <w:color w:val="000000"/>
        </w:rPr>
        <w:t>uish the lights on the Antenna Structure while maintaining lighting on the two end structures of its tower array</w:t>
      </w:r>
      <w:r w:rsidR="00EA12BF" w:rsidRPr="00EA12BF">
        <w:rPr>
          <w:color w:val="000000"/>
        </w:rPr>
        <w:t>.</w:t>
      </w:r>
      <w:r w:rsidR="00792346" w:rsidRPr="00694D63">
        <w:rPr>
          <w:color w:val="000000"/>
          <w:vertAlign w:val="superscript"/>
        </w:rPr>
        <w:footnoteReference w:id="13"/>
      </w:r>
      <w:r w:rsidR="00C42516">
        <w:rPr>
          <w:color w:val="000000"/>
        </w:rPr>
        <w:t xml:space="preserve">  As explained in the </w:t>
      </w:r>
      <w:r w:rsidR="00C42516">
        <w:rPr>
          <w:i/>
          <w:color w:val="000000"/>
        </w:rPr>
        <w:t>NAL</w:t>
      </w:r>
      <w:r w:rsidR="00C42516">
        <w:rPr>
          <w:color w:val="000000"/>
        </w:rPr>
        <w:t>,</w:t>
      </w:r>
      <w:r w:rsidR="00597723" w:rsidRPr="00862BD1">
        <w:rPr>
          <w:i/>
          <w:color w:val="000000"/>
        </w:rPr>
        <w:t xml:space="preserve"> </w:t>
      </w:r>
      <w:r w:rsidR="00597723">
        <w:rPr>
          <w:color w:val="000000"/>
        </w:rPr>
        <w:t xml:space="preserve">however, </w:t>
      </w:r>
      <w:r w:rsidR="00C42516">
        <w:rPr>
          <w:color w:val="000000"/>
        </w:rPr>
        <w:t>even if Duhamel received incorrect guidance orally from an FAA representative that the proposed extinguishment would be unobjectionable, the FAA formally denied its request to keep the Antenna Structure unlit in both 2005 and 2013.</w:t>
      </w:r>
      <w:r w:rsidR="00C42516">
        <w:rPr>
          <w:rStyle w:val="FootnoteReference"/>
          <w:color w:val="000000"/>
        </w:rPr>
        <w:footnoteReference w:id="14"/>
      </w:r>
      <w:r w:rsidR="00C42516">
        <w:rPr>
          <w:color w:val="000000"/>
        </w:rPr>
        <w:t xml:space="preserve">  Each time, the FAA’s determination stated </w:t>
      </w:r>
      <w:r w:rsidR="00322833" w:rsidRPr="00C42516">
        <w:rPr>
          <w:color w:val="000000"/>
        </w:rPr>
        <w:t xml:space="preserve">that lighting and marking must </w:t>
      </w:r>
      <w:r w:rsidR="00C42516">
        <w:rPr>
          <w:color w:val="000000"/>
        </w:rPr>
        <w:t>be maintained on “the structure,</w:t>
      </w:r>
      <w:r w:rsidR="00322833" w:rsidRPr="00C42516">
        <w:rPr>
          <w:color w:val="000000"/>
        </w:rPr>
        <w:t>”</w:t>
      </w:r>
      <w:r w:rsidR="00C42516">
        <w:rPr>
          <w:color w:val="000000"/>
        </w:rPr>
        <w:t xml:space="preserve"> meaning the Antenna Structure.  Duhamel’s incorrect assumption that the lighting requirement only applied to the two end structures of its tower array</w:t>
      </w:r>
      <w:r w:rsidR="00796157">
        <w:rPr>
          <w:color w:val="000000"/>
        </w:rPr>
        <w:t>, even if inadvertent,</w:t>
      </w:r>
      <w:r w:rsidR="00C42516" w:rsidRPr="00C42516">
        <w:rPr>
          <w:color w:val="000000"/>
        </w:rPr>
        <w:t xml:space="preserve"> </w:t>
      </w:r>
      <w:r w:rsidR="00796157">
        <w:rPr>
          <w:color w:val="000000"/>
        </w:rPr>
        <w:t xml:space="preserve">does not present </w:t>
      </w:r>
      <w:r w:rsidR="00A5530F" w:rsidRPr="00C42516">
        <w:rPr>
          <w:color w:val="000000"/>
        </w:rPr>
        <w:t>mitigating circumstances that justify a forfeiture reduction.</w:t>
      </w:r>
      <w:r w:rsidR="00A5530F" w:rsidRPr="00A5530F">
        <w:rPr>
          <w:color w:val="000000"/>
          <w:vertAlign w:val="superscript"/>
        </w:rPr>
        <w:footnoteReference w:id="15"/>
      </w:r>
      <w:r w:rsidR="00A5530F" w:rsidRPr="00C42516">
        <w:rPr>
          <w:color w:val="000000"/>
        </w:rPr>
        <w:t xml:space="preserve">  As a </w:t>
      </w:r>
      <w:r w:rsidR="00A5530F" w:rsidRPr="00C42516">
        <w:rPr>
          <w:color w:val="000000"/>
        </w:rPr>
        <w:lastRenderedPageBreak/>
        <w:t xml:space="preserve">Commission licensee, </w:t>
      </w:r>
      <w:r w:rsidR="00EA12BF" w:rsidRPr="00C42516">
        <w:rPr>
          <w:color w:val="000000"/>
        </w:rPr>
        <w:t>Duhamel</w:t>
      </w:r>
      <w:r w:rsidR="00A5530F" w:rsidRPr="00C42516">
        <w:rPr>
          <w:color w:val="000000"/>
        </w:rPr>
        <w:t xml:space="preserve"> is charged with knowledge of the full range of its obligations under the Rules.</w:t>
      </w:r>
      <w:r w:rsidR="00A5530F" w:rsidRPr="00A5530F">
        <w:rPr>
          <w:color w:val="000000"/>
          <w:vertAlign w:val="superscript"/>
        </w:rPr>
        <w:footnoteReference w:id="16"/>
      </w:r>
      <w:r w:rsidR="00A5530F" w:rsidRPr="00C42516">
        <w:rPr>
          <w:color w:val="000000"/>
        </w:rPr>
        <w:t xml:space="preserve">  </w:t>
      </w:r>
    </w:p>
    <w:p w14:paraId="5981F0F6" w14:textId="21B90CF6" w:rsidR="003E4E57" w:rsidRDefault="00597723" w:rsidP="00862BD1">
      <w:pPr>
        <w:numPr>
          <w:ilvl w:val="0"/>
          <w:numId w:val="1"/>
        </w:numPr>
        <w:tabs>
          <w:tab w:val="clear" w:pos="1080"/>
          <w:tab w:val="num" w:pos="1440"/>
          <w:tab w:val="left" w:pos="4680"/>
          <w:tab w:val="left" w:pos="5760"/>
        </w:tabs>
        <w:suppressAutoHyphens/>
        <w:autoSpaceDE w:val="0"/>
        <w:autoSpaceDN w:val="0"/>
        <w:adjustRightInd w:val="0"/>
        <w:spacing w:after="120"/>
      </w:pPr>
      <w:r>
        <w:rPr>
          <w:color w:val="000000"/>
        </w:rPr>
        <w:t>Duhamel also states that it “immediately took steps to restore the lighting as appropriate, demonstrating its intent and efforts to ensure compliance and safety.”</w:t>
      </w:r>
      <w:r>
        <w:rPr>
          <w:rStyle w:val="FootnoteReference"/>
          <w:color w:val="000000"/>
        </w:rPr>
        <w:footnoteReference w:id="17"/>
      </w:r>
      <w:r>
        <w:rPr>
          <w:color w:val="000000"/>
        </w:rPr>
        <w:t xml:space="preserve">  </w:t>
      </w:r>
      <w:r>
        <w:t xml:space="preserve">The Commission has determined that </w:t>
      </w:r>
      <w:r w:rsidRPr="00430434">
        <w:t>“corrective action taken to come into compliance with Commission rules or policy is expected, and does not nullify or mitigate any prior forfeitures or violations.</w:t>
      </w:r>
      <w:bookmarkStart w:id="3" w:name="FN[FN8]"/>
      <w:bookmarkEnd w:id="3"/>
      <w:r w:rsidRPr="00430434">
        <w:t>”</w:t>
      </w:r>
      <w:r w:rsidRPr="00430434">
        <w:rPr>
          <w:vertAlign w:val="superscript"/>
        </w:rPr>
        <w:footnoteReference w:id="18"/>
      </w:r>
      <w:r w:rsidRPr="00430434">
        <w:t xml:space="preserve">  Consequently, we </w:t>
      </w:r>
      <w:r>
        <w:t>decline to reduce the</w:t>
      </w:r>
      <w:r w:rsidRPr="00430434">
        <w:t xml:space="preserve"> proposed forfeiture</w:t>
      </w:r>
      <w:r>
        <w:t xml:space="preserve"> based on Duhamel’s corrective efforts undertaken </w:t>
      </w:r>
      <w:r w:rsidRPr="008626A7">
        <w:rPr>
          <w:i/>
        </w:rPr>
        <w:t>after</w:t>
      </w:r>
      <w:r>
        <w:t xml:space="preserve"> being notified of the violation by the Denver Office.  </w:t>
      </w:r>
      <w:r w:rsidR="004A10EE">
        <w:rPr>
          <w:color w:val="000000"/>
        </w:rPr>
        <w:t>We note</w:t>
      </w:r>
      <w:r w:rsidR="00EA12BF" w:rsidRPr="00C42516">
        <w:rPr>
          <w:color w:val="000000"/>
        </w:rPr>
        <w:t xml:space="preserve">, however, that Duhamel </w:t>
      </w:r>
      <w:r>
        <w:rPr>
          <w:color w:val="000000"/>
        </w:rPr>
        <w:t>has</w:t>
      </w:r>
      <w:r w:rsidR="00694D63" w:rsidRPr="00C42516">
        <w:rPr>
          <w:color w:val="000000"/>
        </w:rPr>
        <w:t xml:space="preserve"> a</w:t>
      </w:r>
      <w:r w:rsidR="00AD214C" w:rsidRPr="00C42516">
        <w:rPr>
          <w:color w:val="000000"/>
        </w:rPr>
        <w:t xml:space="preserve"> history of compliance </w:t>
      </w:r>
      <w:r w:rsidR="00694D63" w:rsidRPr="00C42516">
        <w:rPr>
          <w:color w:val="000000"/>
        </w:rPr>
        <w:t>w</w:t>
      </w:r>
      <w:r w:rsidR="00AD214C" w:rsidRPr="00C42516">
        <w:rPr>
          <w:color w:val="000000"/>
        </w:rPr>
        <w:t>ith</w:t>
      </w:r>
      <w:r w:rsidR="00694D63" w:rsidRPr="00C42516">
        <w:rPr>
          <w:color w:val="000000"/>
        </w:rPr>
        <w:t xml:space="preserve"> the Rules.  </w:t>
      </w:r>
      <w:r w:rsidR="0000158E" w:rsidRPr="0000158E">
        <w:t>Therefore, after consideration of the entire record and the factors listed above, we find that a forfeiture in the amount of $</w:t>
      </w:r>
      <w:r w:rsidR="0073386F">
        <w:t>8</w:t>
      </w:r>
      <w:r w:rsidR="0000158E" w:rsidRPr="0000158E">
        <w:t>,000 is warranted.</w:t>
      </w:r>
      <w:r w:rsidR="004A10EE">
        <w:rPr>
          <w:rStyle w:val="FootnoteReference"/>
        </w:rPr>
        <w:footnoteReference w:id="19"/>
      </w:r>
    </w:p>
    <w:p w14:paraId="5DB9F3B0" w14:textId="77777777" w:rsidR="00DE5386" w:rsidRPr="00624567" w:rsidRDefault="00DE5386" w:rsidP="00333191">
      <w:pPr>
        <w:numPr>
          <w:ilvl w:val="0"/>
          <w:numId w:val="3"/>
        </w:numPr>
        <w:tabs>
          <w:tab w:val="clear" w:pos="1080"/>
          <w:tab w:val="num" w:pos="450"/>
        </w:tabs>
        <w:suppressAutoHyphens/>
        <w:autoSpaceDE w:val="0"/>
        <w:autoSpaceDN w:val="0"/>
        <w:adjustRightInd w:val="0"/>
        <w:spacing w:after="120"/>
        <w:ind w:left="0" w:firstLine="0"/>
        <w:rPr>
          <w:b/>
          <w:color w:val="000000"/>
          <w:spacing w:val="-2"/>
        </w:rPr>
      </w:pPr>
      <w:bookmarkStart w:id="4" w:name="_Toc70235218"/>
      <w:r w:rsidRPr="00624567">
        <w:rPr>
          <w:b/>
          <w:color w:val="000000"/>
          <w:spacing w:val="-2"/>
        </w:rPr>
        <w:tab/>
        <w:t>ORDERING CLAUSES</w:t>
      </w:r>
      <w:bookmarkEnd w:id="4"/>
    </w:p>
    <w:p w14:paraId="7EF43ACE" w14:textId="4CE57FA1" w:rsidR="0066702C" w:rsidRPr="00246614" w:rsidRDefault="00DE5386" w:rsidP="00862BD1">
      <w:pPr>
        <w:numPr>
          <w:ilvl w:val="0"/>
          <w:numId w:val="1"/>
        </w:numPr>
        <w:tabs>
          <w:tab w:val="clear" w:pos="1080"/>
          <w:tab w:val="left" w:pos="0"/>
        </w:tabs>
        <w:suppressAutoHyphens/>
        <w:autoSpaceDE w:val="0"/>
        <w:autoSpaceDN w:val="0"/>
        <w:adjustRightInd w:val="0"/>
        <w:spacing w:after="120"/>
        <w:rPr>
          <w:color w:val="000000"/>
          <w:spacing w:val="-2"/>
        </w:rPr>
      </w:pPr>
      <w:r w:rsidRPr="00246614">
        <w:rPr>
          <w:color w:val="000000"/>
          <w:spacing w:val="-2"/>
        </w:rPr>
        <w:t xml:space="preserve">Accordingly, </w:t>
      </w:r>
      <w:r w:rsidRPr="00246614">
        <w:rPr>
          <w:b/>
          <w:color w:val="000000"/>
          <w:spacing w:val="-2"/>
        </w:rPr>
        <w:t>IT IS ORDERED</w:t>
      </w:r>
      <w:r w:rsidRPr="00246614">
        <w:rPr>
          <w:color w:val="000000"/>
          <w:spacing w:val="-2"/>
        </w:rPr>
        <w:t xml:space="preserve"> that, pursuant t</w:t>
      </w:r>
      <w:r w:rsidR="00D471D6" w:rsidRPr="00246614">
        <w:rPr>
          <w:color w:val="000000"/>
          <w:spacing w:val="-2"/>
        </w:rPr>
        <w:t xml:space="preserve">o Section 503(b) of the Act </w:t>
      </w:r>
      <w:r w:rsidRPr="00246614">
        <w:rPr>
          <w:color w:val="000000"/>
          <w:spacing w:val="-2"/>
        </w:rPr>
        <w:t>and Sections 0.111, 0.204, 0.311, 0.314, and 1.80</w:t>
      </w:r>
      <w:r w:rsidR="00D471D6" w:rsidRPr="00246614">
        <w:rPr>
          <w:color w:val="000000"/>
          <w:spacing w:val="-2"/>
        </w:rPr>
        <w:t>(f)(4) of the Rules</w:t>
      </w:r>
      <w:r w:rsidRPr="00246614">
        <w:rPr>
          <w:color w:val="000000"/>
          <w:spacing w:val="-2"/>
        </w:rPr>
        <w:t xml:space="preserve">, </w:t>
      </w:r>
      <w:r w:rsidR="00EA12BF" w:rsidRPr="00EA12BF">
        <w:rPr>
          <w:color w:val="000000"/>
          <w:spacing w:val="-2"/>
        </w:rPr>
        <w:t xml:space="preserve">Duhamel Broadcasting Enterprises </w:t>
      </w:r>
      <w:r w:rsidRPr="00246614">
        <w:rPr>
          <w:b/>
          <w:color w:val="000000"/>
          <w:spacing w:val="-2"/>
        </w:rPr>
        <w:t>IS LIABLE FOR A MONETARY FORFEITURE</w:t>
      </w:r>
      <w:r w:rsidR="00375529">
        <w:rPr>
          <w:color w:val="000000"/>
          <w:spacing w:val="-2"/>
        </w:rPr>
        <w:t xml:space="preserve"> in the amount of</w:t>
      </w:r>
      <w:r w:rsidR="006E1EA9">
        <w:rPr>
          <w:color w:val="000000"/>
          <w:spacing w:val="-2"/>
        </w:rPr>
        <w:t xml:space="preserve"> eight</w:t>
      </w:r>
      <w:r w:rsidR="0040394E" w:rsidRPr="00246614">
        <w:rPr>
          <w:color w:val="000000"/>
          <w:spacing w:val="-2"/>
        </w:rPr>
        <w:t xml:space="preserve"> </w:t>
      </w:r>
      <w:r w:rsidR="00627660" w:rsidRPr="00246614">
        <w:rPr>
          <w:color w:val="000000"/>
          <w:spacing w:val="-2"/>
        </w:rPr>
        <w:t>thousand</w:t>
      </w:r>
      <w:r w:rsidRPr="00246614">
        <w:rPr>
          <w:color w:val="000000"/>
          <w:spacing w:val="-2"/>
        </w:rPr>
        <w:t xml:space="preserve"> dollars ($</w:t>
      </w:r>
      <w:r w:rsidR="006E1EA9">
        <w:rPr>
          <w:color w:val="000000"/>
          <w:spacing w:val="-2"/>
        </w:rPr>
        <w:t>8</w:t>
      </w:r>
      <w:r w:rsidR="005F2619" w:rsidRPr="00246614">
        <w:rPr>
          <w:color w:val="000000"/>
          <w:spacing w:val="-2"/>
        </w:rPr>
        <w:t>,</w:t>
      </w:r>
      <w:r w:rsidR="0040394E" w:rsidRPr="00246614">
        <w:rPr>
          <w:color w:val="000000"/>
          <w:spacing w:val="-2"/>
        </w:rPr>
        <w:t>0</w:t>
      </w:r>
      <w:r w:rsidR="00627660" w:rsidRPr="00246614">
        <w:rPr>
          <w:color w:val="000000"/>
          <w:spacing w:val="-2"/>
        </w:rPr>
        <w:t>00</w:t>
      </w:r>
      <w:r w:rsidRPr="00246614">
        <w:rPr>
          <w:color w:val="000000"/>
          <w:spacing w:val="-2"/>
        </w:rPr>
        <w:t xml:space="preserve">) for violations of </w:t>
      </w:r>
      <w:r w:rsidR="0066702C" w:rsidRPr="00246614">
        <w:rPr>
          <w:color w:val="000000"/>
          <w:spacing w:val="-2"/>
        </w:rPr>
        <w:t>Section 30</w:t>
      </w:r>
      <w:r w:rsidR="006E1EA9">
        <w:rPr>
          <w:color w:val="000000"/>
          <w:spacing w:val="-2"/>
        </w:rPr>
        <w:t>3(q)</w:t>
      </w:r>
      <w:r w:rsidR="0066702C" w:rsidRPr="00246614">
        <w:rPr>
          <w:color w:val="000000"/>
          <w:spacing w:val="-2"/>
        </w:rPr>
        <w:t xml:space="preserve"> of the Act and Sectio</w:t>
      </w:r>
      <w:r w:rsidR="00316860" w:rsidRPr="00246614">
        <w:rPr>
          <w:color w:val="000000"/>
          <w:spacing w:val="-2"/>
        </w:rPr>
        <w:t>n</w:t>
      </w:r>
      <w:r w:rsidR="006E1EA9">
        <w:rPr>
          <w:color w:val="000000"/>
          <w:spacing w:val="-2"/>
        </w:rPr>
        <w:t>s 17.23 and 17.48(a)</w:t>
      </w:r>
      <w:r w:rsidR="00316860" w:rsidRPr="00246614">
        <w:rPr>
          <w:color w:val="000000"/>
          <w:spacing w:val="-2"/>
        </w:rPr>
        <w:t xml:space="preserve"> </w:t>
      </w:r>
      <w:r w:rsidR="0066702C" w:rsidRPr="00246614">
        <w:rPr>
          <w:color w:val="000000"/>
          <w:spacing w:val="-2"/>
        </w:rPr>
        <w:t>of the Rules.</w:t>
      </w:r>
      <w:r w:rsidR="0066702C" w:rsidRPr="0066702C">
        <w:rPr>
          <w:color w:val="000000"/>
          <w:spacing w:val="-2"/>
          <w:vertAlign w:val="superscript"/>
        </w:rPr>
        <w:footnoteReference w:id="20"/>
      </w:r>
    </w:p>
    <w:p w14:paraId="6E9D92D5" w14:textId="6EC654B7" w:rsidR="0066702C" w:rsidRPr="00246614" w:rsidRDefault="00DE5386" w:rsidP="00333191">
      <w:pPr>
        <w:numPr>
          <w:ilvl w:val="0"/>
          <w:numId w:val="1"/>
        </w:numPr>
        <w:tabs>
          <w:tab w:val="clear" w:pos="1080"/>
          <w:tab w:val="left" w:pos="0"/>
          <w:tab w:val="num" w:pos="1440"/>
        </w:tabs>
        <w:suppressAutoHyphens/>
        <w:autoSpaceDE w:val="0"/>
        <w:autoSpaceDN w:val="0"/>
        <w:adjustRightInd w:val="0"/>
        <w:spacing w:after="120"/>
        <w:rPr>
          <w:rFonts w:eastAsia="MS Mincho"/>
          <w:color w:val="000000"/>
          <w:spacing w:val="-2"/>
        </w:rPr>
      </w:pPr>
      <w:r w:rsidRPr="0066702C">
        <w:rPr>
          <w:color w:val="000000"/>
          <w:spacing w:val="-2"/>
        </w:rPr>
        <w:t>Payment</w:t>
      </w:r>
      <w:r w:rsidRPr="0066702C">
        <w:rPr>
          <w:rFonts w:eastAsia="MS Mincho"/>
          <w:color w:val="000000"/>
          <w:spacing w:val="-2"/>
        </w:rPr>
        <w:t xml:space="preserve"> of the forfeiture shall be made in the manner provided for in Section 1.80 of the Rules within thirty (30) calendar days after the release date of this Forfeiture Order.</w:t>
      </w:r>
      <w:r w:rsidRPr="008E5F5B">
        <w:rPr>
          <w:rStyle w:val="FootnoteReference"/>
          <w:rFonts w:eastAsia="MS Mincho"/>
          <w:color w:val="000000"/>
          <w:spacing w:val="-2"/>
        </w:rPr>
        <w:footnoteReference w:id="21"/>
      </w:r>
      <w:r w:rsidRPr="0066702C">
        <w:rPr>
          <w:rFonts w:eastAsia="MS Mincho"/>
          <w:color w:val="000000"/>
          <w:spacing w:val="-2"/>
        </w:rPr>
        <w:t xml:space="preserve">  If the forfeiture is not paid within the period specified, the case may be referred to the U.S. Department of Justice for enforcement of the forfeiture pursuant to Section 504(a) of the Act.</w:t>
      </w:r>
      <w:r w:rsidRPr="008E5F5B">
        <w:rPr>
          <w:rStyle w:val="FootnoteReference"/>
          <w:rFonts w:eastAsia="MS Mincho"/>
          <w:color w:val="000000"/>
          <w:spacing w:val="-2"/>
        </w:rPr>
        <w:footnoteReference w:id="22"/>
      </w:r>
      <w:r w:rsidRPr="0066702C">
        <w:rPr>
          <w:rFonts w:eastAsia="MS Mincho"/>
          <w:color w:val="000000"/>
          <w:spacing w:val="-2"/>
        </w:rPr>
        <w:t> </w:t>
      </w:r>
      <w:r w:rsidR="005F2619" w:rsidRPr="0066702C">
        <w:rPr>
          <w:rFonts w:eastAsia="MS Mincho"/>
          <w:color w:val="000000"/>
          <w:spacing w:val="-2"/>
        </w:rPr>
        <w:t xml:space="preserve"> </w:t>
      </w:r>
      <w:r w:rsidR="00EA12BF" w:rsidRPr="00EA12BF">
        <w:rPr>
          <w:rFonts w:eastAsia="MS Mincho"/>
          <w:color w:val="000000"/>
          <w:spacing w:val="-2"/>
        </w:rPr>
        <w:t xml:space="preserve">Duhamel Broadcasting Enterprises </w:t>
      </w:r>
      <w:r w:rsidRPr="00246614">
        <w:rPr>
          <w:rFonts w:eastAsia="MS Mincho"/>
          <w:color w:val="000000"/>
          <w:spacing w:val="-2"/>
        </w:rPr>
        <w:t>shall send electronic notification of payment to</w:t>
      </w:r>
      <w:r w:rsidR="002A7814" w:rsidRPr="00246614">
        <w:rPr>
          <w:rFonts w:eastAsia="MS Mincho"/>
          <w:color w:val="000000"/>
          <w:spacing w:val="-2"/>
        </w:rPr>
        <w:t xml:space="preserve"> WR</w:t>
      </w:r>
      <w:r w:rsidRPr="00246614">
        <w:rPr>
          <w:color w:val="000000"/>
          <w:spacing w:val="-2"/>
        </w:rPr>
        <w:t>-Response@fcc.gov</w:t>
      </w:r>
      <w:r w:rsidRPr="00246614">
        <w:rPr>
          <w:rFonts w:eastAsia="MS Mincho"/>
          <w:color w:val="000000"/>
          <w:spacing w:val="-2"/>
        </w:rPr>
        <w:t xml:space="preserve"> on the date said payment is made.</w:t>
      </w:r>
      <w:r w:rsidRPr="00246614">
        <w:rPr>
          <w:color w:val="000000"/>
          <w:spacing w:val="-2"/>
        </w:rPr>
        <w:t xml:space="preserve">  </w:t>
      </w:r>
      <w:r w:rsidRPr="00246614">
        <w:rPr>
          <w:rFonts w:eastAsia="MS Mincho"/>
          <w:color w:val="000000"/>
          <w:spacing w:val="-2"/>
        </w:rPr>
        <w:t>The </w:t>
      </w:r>
      <w:r w:rsidRPr="00246614">
        <w:rPr>
          <w:color w:val="000000"/>
          <w:spacing w:val="-2"/>
        </w:rPr>
        <w:t>payment</w:t>
      </w:r>
      <w:r w:rsidRPr="00246614">
        <w:rPr>
          <w:rFonts w:eastAsia="MS Mincho"/>
          <w:color w:val="000000"/>
          <w:spacing w:val="-2"/>
        </w:rPr>
        <w:t xml:space="preserve"> must be made by check or similar instrument, wire transfer, or credit card, an</w:t>
      </w:r>
      <w:r w:rsidR="00D471D6" w:rsidRPr="00246614">
        <w:rPr>
          <w:rFonts w:eastAsia="MS Mincho"/>
          <w:color w:val="000000"/>
          <w:spacing w:val="-2"/>
        </w:rPr>
        <w:t>d must include the NAL/Account N</w:t>
      </w:r>
      <w:r w:rsidRPr="00246614">
        <w:rPr>
          <w:rFonts w:eastAsia="MS Mincho"/>
          <w:color w:val="000000"/>
          <w:spacing w:val="-2"/>
        </w:rPr>
        <w:t>umber and FRN referenced above.  Regardless of the form of payment, a completed FCC Form 159 (Remittance Advice) must be submitted.</w:t>
      </w:r>
      <w:r w:rsidRPr="008E5F5B">
        <w:rPr>
          <w:rStyle w:val="FootnoteReference"/>
          <w:rFonts w:eastAsia="MS Mincho"/>
          <w:color w:val="000000"/>
          <w:spacing w:val="-2"/>
        </w:rPr>
        <w:footnoteReference w:id="23"/>
      </w:r>
      <w:r w:rsidRPr="00246614">
        <w:rPr>
          <w:rFonts w:eastAsia="MS Mincho"/>
          <w:color w:val="000000"/>
          <w:spacing w:val="-2"/>
        </w:rPr>
        <w:t xml:space="preserve">  When completing the FCC Form 159, enter the Account Number in block number 23A (call sign/other ID) and enter the letters “FORF” in block </w:t>
      </w:r>
      <w:r w:rsidR="00D471D6" w:rsidRPr="00246614">
        <w:rPr>
          <w:rFonts w:eastAsia="MS Mincho"/>
          <w:color w:val="000000"/>
          <w:spacing w:val="-2"/>
        </w:rPr>
        <w:t>number 24A (payment type code).</w:t>
      </w:r>
      <w:r w:rsidRPr="00246614">
        <w:rPr>
          <w:rFonts w:eastAsia="MS Mincho"/>
          <w:color w:val="000000"/>
          <w:spacing w:val="-2"/>
        </w:rPr>
        <w:t xml:space="preserve">  </w:t>
      </w:r>
      <w:r w:rsidRPr="00246614">
        <w:rPr>
          <w:color w:val="000000"/>
          <w:spacing w:val="-2"/>
        </w:rPr>
        <w:t>Below are additional instructions you should follow based on the form of payment you select:</w:t>
      </w:r>
    </w:p>
    <w:p w14:paraId="16C10AC4" w14:textId="77777777" w:rsidR="0066702C" w:rsidRPr="00667A0E" w:rsidRDefault="0066702C" w:rsidP="00333191">
      <w:pPr>
        <w:numPr>
          <w:ilvl w:val="0"/>
          <w:numId w:val="11"/>
        </w:numPr>
        <w:tabs>
          <w:tab w:val="left" w:pos="0"/>
          <w:tab w:val="num" w:pos="2160"/>
        </w:tabs>
        <w:suppressAutoHyphens/>
        <w:autoSpaceDE w:val="0"/>
        <w:autoSpaceDN w:val="0"/>
        <w:adjustRightInd w:val="0"/>
        <w:spacing w:after="120"/>
        <w:rPr>
          <w:color w:val="000000"/>
          <w:spacing w:val="-2"/>
        </w:rPr>
      </w:pPr>
      <w:r w:rsidRPr="00667A0E">
        <w:rPr>
          <w:color w:val="000000"/>
          <w:spacing w:val="-2"/>
        </w:rPr>
        <w:t xml:space="preserve">Payment by check or money order must be made payable to the order of the Federal Communications Commission.  Such payments (along with the completed Form 159) must be mailed to Federal Communications Commission, </w:t>
      </w:r>
      <w:smartTag w:uri="urn:schemas-microsoft-com:office:smarttags" w:element="address">
        <w:smartTag w:uri="urn:schemas-microsoft-com:office:smarttags" w:element="Street">
          <w:r w:rsidRPr="00667A0E">
            <w:rPr>
              <w:color w:val="000000"/>
              <w:spacing w:val="-2"/>
            </w:rPr>
            <w:t>P.O. Box 979088</w:t>
          </w:r>
        </w:smartTag>
        <w:r w:rsidRPr="00667A0E">
          <w:rPr>
            <w:color w:val="000000"/>
            <w:spacing w:val="-2"/>
          </w:rPr>
          <w:t xml:space="preserve">, </w:t>
        </w:r>
        <w:smartTag w:uri="urn:schemas-microsoft-com:office:smarttags" w:element="City">
          <w:r w:rsidRPr="00667A0E">
            <w:rPr>
              <w:color w:val="000000"/>
              <w:spacing w:val="-2"/>
            </w:rPr>
            <w:t>St. Louis</w:t>
          </w:r>
        </w:smartTag>
        <w:r w:rsidRPr="00667A0E">
          <w:rPr>
            <w:color w:val="000000"/>
            <w:spacing w:val="-2"/>
          </w:rPr>
          <w:t xml:space="preserve">, </w:t>
        </w:r>
        <w:smartTag w:uri="urn:schemas-microsoft-com:office:smarttags" w:element="State">
          <w:r w:rsidRPr="00667A0E">
            <w:rPr>
              <w:color w:val="000000"/>
              <w:spacing w:val="-2"/>
            </w:rPr>
            <w:t>MO</w:t>
          </w:r>
        </w:smartTag>
        <w:r w:rsidRPr="00667A0E">
          <w:rPr>
            <w:color w:val="000000"/>
            <w:spacing w:val="-2"/>
          </w:rPr>
          <w:t xml:space="preserve"> </w:t>
        </w:r>
        <w:smartTag w:uri="urn:schemas-microsoft-com:office:smarttags" w:element="PostalCode">
          <w:r w:rsidRPr="00667A0E">
            <w:rPr>
              <w:color w:val="000000"/>
              <w:spacing w:val="-2"/>
            </w:rPr>
            <w:t>63197-9000</w:t>
          </w:r>
        </w:smartTag>
      </w:smartTag>
      <w:r w:rsidRPr="00667A0E">
        <w:rPr>
          <w:color w:val="000000"/>
          <w:spacing w:val="-2"/>
        </w:rPr>
        <w:t xml:space="preserve">, or sent via overnight mail to U.S. Bank – Government Lockbox #979088, SL-MO-C2-GL, 1005 </w:t>
      </w:r>
      <w:smartTag w:uri="urn:schemas-microsoft-com:office:smarttags" w:element="PlaceName">
        <w:r w:rsidRPr="00667A0E">
          <w:rPr>
            <w:color w:val="000000"/>
            <w:spacing w:val="-2"/>
          </w:rPr>
          <w:t>Convention</w:t>
        </w:r>
      </w:smartTag>
      <w:r w:rsidRPr="00667A0E">
        <w:rPr>
          <w:color w:val="000000"/>
          <w:spacing w:val="-2"/>
        </w:rPr>
        <w:t xml:space="preserve"> </w:t>
      </w:r>
      <w:smartTag w:uri="urn:schemas-microsoft-com:office:smarttags" w:element="PlaceType">
        <w:r w:rsidRPr="00667A0E">
          <w:rPr>
            <w:color w:val="000000"/>
            <w:spacing w:val="-2"/>
          </w:rPr>
          <w:t>Plaza</w:t>
        </w:r>
      </w:smartTag>
      <w:r w:rsidRPr="00667A0E">
        <w:rPr>
          <w:color w:val="000000"/>
          <w:spacing w:val="-2"/>
        </w:rPr>
        <w:t xml:space="preserve">, </w:t>
      </w:r>
      <w:smartTag w:uri="urn:schemas-microsoft-com:office:smarttags" w:element="place">
        <w:smartTag w:uri="urn:schemas-microsoft-com:office:smarttags" w:element="City">
          <w:r w:rsidRPr="00667A0E">
            <w:rPr>
              <w:color w:val="000000"/>
              <w:spacing w:val="-2"/>
            </w:rPr>
            <w:t>St. Louis</w:t>
          </w:r>
        </w:smartTag>
        <w:r w:rsidRPr="00667A0E">
          <w:rPr>
            <w:color w:val="000000"/>
            <w:spacing w:val="-2"/>
          </w:rPr>
          <w:t xml:space="preserve">, </w:t>
        </w:r>
        <w:smartTag w:uri="urn:schemas-microsoft-com:office:smarttags" w:element="State">
          <w:r w:rsidRPr="00667A0E">
            <w:rPr>
              <w:color w:val="000000"/>
              <w:spacing w:val="-2"/>
            </w:rPr>
            <w:t>MO</w:t>
          </w:r>
        </w:smartTag>
        <w:r w:rsidRPr="00667A0E">
          <w:rPr>
            <w:color w:val="000000"/>
            <w:spacing w:val="-2"/>
          </w:rPr>
          <w:t xml:space="preserve"> </w:t>
        </w:r>
        <w:smartTag w:uri="urn:schemas-microsoft-com:office:smarttags" w:element="PostalCode">
          <w:r w:rsidRPr="00667A0E">
            <w:rPr>
              <w:color w:val="000000"/>
              <w:spacing w:val="-2"/>
            </w:rPr>
            <w:t>63101</w:t>
          </w:r>
        </w:smartTag>
      </w:smartTag>
      <w:r w:rsidRPr="00667A0E">
        <w:rPr>
          <w:color w:val="000000"/>
          <w:spacing w:val="-2"/>
        </w:rPr>
        <w:t xml:space="preserve">.  </w:t>
      </w:r>
    </w:p>
    <w:p w14:paraId="06C6C727" w14:textId="77777777" w:rsidR="0066702C" w:rsidRPr="00667A0E" w:rsidRDefault="0066702C" w:rsidP="00333191">
      <w:pPr>
        <w:numPr>
          <w:ilvl w:val="0"/>
          <w:numId w:val="11"/>
        </w:numPr>
        <w:tabs>
          <w:tab w:val="left" w:pos="0"/>
          <w:tab w:val="num" w:pos="2160"/>
        </w:tabs>
        <w:suppressAutoHyphens/>
        <w:autoSpaceDE w:val="0"/>
        <w:autoSpaceDN w:val="0"/>
        <w:adjustRightInd w:val="0"/>
        <w:spacing w:after="120"/>
        <w:rPr>
          <w:color w:val="000000"/>
          <w:spacing w:val="-2"/>
        </w:rPr>
      </w:pPr>
      <w:r w:rsidRPr="00667A0E">
        <w:rPr>
          <w:color w:val="000000"/>
          <w:spacing w:val="-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12D2D902" w14:textId="77777777" w:rsidR="0066702C" w:rsidRPr="00667A0E" w:rsidRDefault="0066702C" w:rsidP="00333191">
      <w:pPr>
        <w:numPr>
          <w:ilvl w:val="0"/>
          <w:numId w:val="11"/>
        </w:numPr>
        <w:tabs>
          <w:tab w:val="left" w:pos="0"/>
          <w:tab w:val="num" w:pos="2160"/>
        </w:tabs>
        <w:suppressAutoHyphens/>
        <w:autoSpaceDE w:val="0"/>
        <w:autoSpaceDN w:val="0"/>
        <w:adjustRightInd w:val="0"/>
        <w:spacing w:after="120"/>
        <w:rPr>
          <w:color w:val="000000"/>
          <w:spacing w:val="-2"/>
        </w:rPr>
      </w:pPr>
      <w:r w:rsidRPr="00667A0E">
        <w:rPr>
          <w:color w:val="000000"/>
          <w:spacing w:val="-2"/>
        </w:rPr>
        <w:t>Payment by credit card must be made by providing the required credit card information on FCC Form 159 and signing and dating the Form 159 to aut</w:t>
      </w:r>
      <w:r>
        <w:rPr>
          <w:color w:val="000000"/>
          <w:spacing w:val="-2"/>
        </w:rPr>
        <w:t>horize the credit card payment.</w:t>
      </w:r>
      <w:r w:rsidRPr="00667A0E">
        <w:rPr>
          <w:color w:val="000000"/>
          <w:spacing w:val="-2"/>
        </w:rPr>
        <w:t xml:space="preserve">  The completed Form 159 must then be mailed to Federal Communications Commission, </w:t>
      </w:r>
      <w:smartTag w:uri="urn:schemas-microsoft-com:office:smarttags" w:element="address">
        <w:smartTag w:uri="urn:schemas-microsoft-com:office:smarttags" w:element="Street">
          <w:r w:rsidRPr="00667A0E">
            <w:rPr>
              <w:color w:val="000000"/>
              <w:spacing w:val="-2"/>
            </w:rPr>
            <w:t>P.O. Box 979088</w:t>
          </w:r>
        </w:smartTag>
        <w:r w:rsidRPr="00667A0E">
          <w:rPr>
            <w:color w:val="000000"/>
            <w:spacing w:val="-2"/>
          </w:rPr>
          <w:t xml:space="preserve">, </w:t>
        </w:r>
        <w:smartTag w:uri="urn:schemas-microsoft-com:office:smarttags" w:element="City">
          <w:r w:rsidRPr="00667A0E">
            <w:rPr>
              <w:color w:val="000000"/>
              <w:spacing w:val="-2"/>
            </w:rPr>
            <w:t>St. Louis</w:t>
          </w:r>
        </w:smartTag>
        <w:r w:rsidRPr="00667A0E">
          <w:rPr>
            <w:color w:val="000000"/>
            <w:spacing w:val="-2"/>
          </w:rPr>
          <w:t xml:space="preserve">, </w:t>
        </w:r>
        <w:smartTag w:uri="urn:schemas-microsoft-com:office:smarttags" w:element="State">
          <w:r w:rsidRPr="00667A0E">
            <w:rPr>
              <w:color w:val="000000"/>
              <w:spacing w:val="-2"/>
            </w:rPr>
            <w:t>MO</w:t>
          </w:r>
        </w:smartTag>
        <w:r w:rsidRPr="00667A0E">
          <w:rPr>
            <w:color w:val="000000"/>
            <w:spacing w:val="-2"/>
          </w:rPr>
          <w:t xml:space="preserve"> </w:t>
        </w:r>
        <w:smartTag w:uri="urn:schemas-microsoft-com:office:smarttags" w:element="PostalCode">
          <w:r w:rsidRPr="00667A0E">
            <w:rPr>
              <w:color w:val="000000"/>
              <w:spacing w:val="-2"/>
            </w:rPr>
            <w:t>63197-9000</w:t>
          </w:r>
        </w:smartTag>
      </w:smartTag>
      <w:r w:rsidRPr="00667A0E">
        <w:rPr>
          <w:color w:val="000000"/>
          <w:spacing w:val="-2"/>
        </w:rPr>
        <w:t xml:space="preserve">, or sent via overnight mail to U.S. Bank – Government Lockbox #979088, SL-MO-C2-GL, 1005 </w:t>
      </w:r>
      <w:smartTag w:uri="urn:schemas-microsoft-com:office:smarttags" w:element="PlaceName">
        <w:r w:rsidRPr="00667A0E">
          <w:rPr>
            <w:color w:val="000000"/>
            <w:spacing w:val="-2"/>
          </w:rPr>
          <w:t>Convention</w:t>
        </w:r>
      </w:smartTag>
      <w:r w:rsidRPr="00667A0E">
        <w:rPr>
          <w:color w:val="000000"/>
          <w:spacing w:val="-2"/>
        </w:rPr>
        <w:t xml:space="preserve"> </w:t>
      </w:r>
      <w:smartTag w:uri="urn:schemas-microsoft-com:office:smarttags" w:element="PlaceType">
        <w:r w:rsidRPr="00667A0E">
          <w:rPr>
            <w:color w:val="000000"/>
            <w:spacing w:val="-2"/>
          </w:rPr>
          <w:t>Plaza</w:t>
        </w:r>
      </w:smartTag>
      <w:r w:rsidRPr="00667A0E">
        <w:rPr>
          <w:color w:val="000000"/>
          <w:spacing w:val="-2"/>
        </w:rPr>
        <w:t xml:space="preserve">, </w:t>
      </w:r>
      <w:smartTag w:uri="urn:schemas-microsoft-com:office:smarttags" w:element="place">
        <w:smartTag w:uri="urn:schemas-microsoft-com:office:smarttags" w:element="City">
          <w:r w:rsidRPr="00667A0E">
            <w:rPr>
              <w:color w:val="000000"/>
              <w:spacing w:val="-2"/>
            </w:rPr>
            <w:t>St. Louis</w:t>
          </w:r>
        </w:smartTag>
        <w:r w:rsidRPr="00667A0E">
          <w:rPr>
            <w:color w:val="000000"/>
            <w:spacing w:val="-2"/>
          </w:rPr>
          <w:t xml:space="preserve">, </w:t>
        </w:r>
        <w:smartTag w:uri="urn:schemas-microsoft-com:office:smarttags" w:element="State">
          <w:r w:rsidRPr="00667A0E">
            <w:rPr>
              <w:color w:val="000000"/>
              <w:spacing w:val="-2"/>
            </w:rPr>
            <w:t>MO</w:t>
          </w:r>
        </w:smartTag>
        <w:r w:rsidRPr="00667A0E">
          <w:rPr>
            <w:color w:val="000000"/>
            <w:spacing w:val="-2"/>
          </w:rPr>
          <w:t xml:space="preserve"> </w:t>
        </w:r>
        <w:smartTag w:uri="urn:schemas-microsoft-com:office:smarttags" w:element="PostalCode">
          <w:r w:rsidRPr="00667A0E">
            <w:rPr>
              <w:color w:val="000000"/>
              <w:spacing w:val="-2"/>
            </w:rPr>
            <w:t>63101</w:t>
          </w:r>
        </w:smartTag>
      </w:smartTag>
      <w:r w:rsidRPr="00667A0E">
        <w:rPr>
          <w:color w:val="000000"/>
          <w:spacing w:val="-2"/>
        </w:rPr>
        <w:t xml:space="preserve">.  </w:t>
      </w:r>
    </w:p>
    <w:p w14:paraId="0127B2AC" w14:textId="7821A327" w:rsidR="00150D99" w:rsidRPr="00333191" w:rsidRDefault="00DE5386" w:rsidP="00333191">
      <w:pPr>
        <w:numPr>
          <w:ilvl w:val="0"/>
          <w:numId w:val="1"/>
        </w:numPr>
        <w:tabs>
          <w:tab w:val="clear" w:pos="1080"/>
          <w:tab w:val="left" w:pos="0"/>
        </w:tabs>
        <w:suppressAutoHyphens/>
        <w:autoSpaceDE w:val="0"/>
        <w:autoSpaceDN w:val="0"/>
        <w:adjustRightInd w:val="0"/>
        <w:spacing w:after="120"/>
        <w:rPr>
          <w:b/>
          <w:color w:val="000000"/>
          <w:spacing w:val="-2"/>
        </w:rPr>
      </w:pPr>
      <w:r w:rsidRPr="00150D99">
        <w:rPr>
          <w:color w:val="000000"/>
          <w:spacing w:val="-2"/>
        </w:rPr>
        <w:t>Any</w:t>
      </w:r>
      <w:r w:rsidRPr="00150D99">
        <w:rPr>
          <w:rFonts w:eastAsia="MS Mincho"/>
          <w:color w:val="000000"/>
          <w:spacing w:val="-2"/>
        </w:rPr>
        <w:t xml:space="preserve"> request for</w:t>
      </w:r>
      <w:r w:rsidR="005B6CDE" w:rsidRPr="00150D99">
        <w:rPr>
          <w:rFonts w:eastAsia="MS Mincho"/>
          <w:color w:val="000000"/>
          <w:spacing w:val="-2"/>
        </w:rPr>
        <w:t xml:space="preserve"> making</w:t>
      </w:r>
      <w:r w:rsidRPr="00150D99">
        <w:rPr>
          <w:rFonts w:eastAsia="MS Mincho"/>
          <w:color w:val="000000"/>
          <w:spacing w:val="-2"/>
        </w:rPr>
        <w:t xml:space="preserve"> full payment</w:t>
      </w:r>
      <w:r w:rsidR="00A80EF9" w:rsidRPr="00150D99">
        <w:rPr>
          <w:rFonts w:eastAsia="MS Mincho"/>
          <w:color w:val="000000"/>
          <w:spacing w:val="-2"/>
        </w:rPr>
        <w:t xml:space="preserve"> over time</w:t>
      </w:r>
      <w:r w:rsidRPr="00150D99">
        <w:rPr>
          <w:rFonts w:eastAsia="MS Mincho"/>
          <w:color w:val="000000"/>
          <w:spacing w:val="-2"/>
        </w:rPr>
        <w:t xml:space="preserve"> under an installment plan should be sent to:  Chief Financial Officer—</w:t>
      </w:r>
      <w:r w:rsidRPr="00150D99">
        <w:rPr>
          <w:color w:val="000000"/>
          <w:spacing w:val="-2"/>
        </w:rPr>
        <w:t>Financial</w:t>
      </w:r>
      <w:r w:rsidRPr="00150D99">
        <w:rPr>
          <w:rFonts w:eastAsia="MS Mincho"/>
          <w:color w:val="000000"/>
          <w:spacing w:val="-2"/>
        </w:rPr>
        <w:t xml:space="preserve"> Operations, Federal Communications Commission, 445 12th Street, S.W., Room 1-A625, Washington, D.C.  20554.</w:t>
      </w:r>
      <w:r w:rsidRPr="008E5F5B">
        <w:rPr>
          <w:rStyle w:val="FootnoteReference"/>
          <w:rFonts w:eastAsia="MS Mincho"/>
          <w:color w:val="000000"/>
          <w:spacing w:val="-2"/>
        </w:rPr>
        <w:footnoteReference w:id="24"/>
      </w:r>
      <w:r w:rsidRPr="00150D99">
        <w:rPr>
          <w:rFonts w:eastAsia="MS Mincho"/>
          <w:color w:val="000000"/>
          <w:spacing w:val="-2"/>
        </w:rPr>
        <w:t>  If you have questions regarding payment procedures, please contact the Financial Operations Group Help Desk by phone, 1-877-480-3201, or by e</w:t>
      </w:r>
      <w:r w:rsidRPr="00150D99">
        <w:rPr>
          <w:rFonts w:eastAsia="MS Mincho"/>
          <w:color w:val="000000"/>
          <w:spacing w:val="-2"/>
        </w:rPr>
        <w:noBreakHyphen/>
        <w:t xml:space="preserve">mail, </w:t>
      </w:r>
      <w:hyperlink r:id="rId8" w:history="1">
        <w:r w:rsidRPr="00150D99">
          <w:rPr>
            <w:rStyle w:val="Hyperlink"/>
            <w:rFonts w:eastAsia="MS Mincho"/>
            <w:color w:val="000000"/>
            <w:spacing w:val="-2"/>
            <w:u w:val="none"/>
          </w:rPr>
          <w:t>ARINQUIRIES@fcc.gov</w:t>
        </w:r>
      </w:hyperlink>
      <w:r w:rsidRPr="00150D99">
        <w:rPr>
          <w:rFonts w:eastAsia="MS Mincho"/>
          <w:color w:val="000000"/>
          <w:spacing w:val="-2"/>
        </w:rPr>
        <w:t>.</w:t>
      </w:r>
    </w:p>
    <w:p w14:paraId="01C7F552" w14:textId="1CF8F170" w:rsidR="0066702C" w:rsidRPr="00333191" w:rsidRDefault="00DE5386" w:rsidP="00862BD1">
      <w:pPr>
        <w:pStyle w:val="ListParagraph"/>
        <w:numPr>
          <w:ilvl w:val="0"/>
          <w:numId w:val="1"/>
        </w:numPr>
        <w:tabs>
          <w:tab w:val="clear" w:pos="1080"/>
          <w:tab w:val="left" w:pos="0"/>
          <w:tab w:val="num" w:pos="1440"/>
        </w:tabs>
        <w:suppressAutoHyphens/>
        <w:spacing w:after="120"/>
        <w:rPr>
          <w:color w:val="000000"/>
          <w:spacing w:val="-2"/>
        </w:rPr>
      </w:pPr>
      <w:r w:rsidRPr="00246614">
        <w:rPr>
          <w:b/>
          <w:color w:val="000000"/>
          <w:spacing w:val="-2"/>
        </w:rPr>
        <w:t>IT IS FURTHER ORDERED</w:t>
      </w:r>
      <w:r w:rsidRPr="00246614">
        <w:rPr>
          <w:color w:val="000000"/>
          <w:spacing w:val="-2"/>
        </w:rPr>
        <w:t xml:space="preserve"> that a copy of this </w:t>
      </w:r>
      <w:r w:rsidR="00835FE8" w:rsidRPr="00246614">
        <w:rPr>
          <w:color w:val="000000"/>
          <w:spacing w:val="-2"/>
        </w:rPr>
        <w:t xml:space="preserve">Forfeiture </w:t>
      </w:r>
      <w:r w:rsidRPr="00246614">
        <w:rPr>
          <w:color w:val="000000"/>
          <w:spacing w:val="-2"/>
        </w:rPr>
        <w:t xml:space="preserve">Order shall be sent by both First Class and Certified Mail, Return Receipt Requested, to </w:t>
      </w:r>
      <w:r w:rsidR="00EA12BF" w:rsidRPr="00EA12BF">
        <w:rPr>
          <w:color w:val="000000"/>
          <w:spacing w:val="-2"/>
        </w:rPr>
        <w:t>Duhamel Broadcasting Enterprises, 518 St. Joseph Street, Rapid City, SD 57701, and its counsel, Lauren Lynch Flick, Esquire, Pillsbury Winthrop Shaw Pittman LLP, 2300 N Street, NW, Washington, D</w:t>
      </w:r>
      <w:r w:rsidR="00375529">
        <w:rPr>
          <w:color w:val="000000"/>
          <w:spacing w:val="-2"/>
        </w:rPr>
        <w:t>.</w:t>
      </w:r>
      <w:r w:rsidR="00EA12BF" w:rsidRPr="00EA12BF">
        <w:rPr>
          <w:color w:val="000000"/>
          <w:spacing w:val="-2"/>
        </w:rPr>
        <w:t>C</w:t>
      </w:r>
      <w:r w:rsidR="00375529">
        <w:rPr>
          <w:color w:val="000000"/>
          <w:spacing w:val="-2"/>
        </w:rPr>
        <w:t>.</w:t>
      </w:r>
      <w:r w:rsidR="00EA12BF" w:rsidRPr="00EA12BF">
        <w:rPr>
          <w:color w:val="000000"/>
          <w:spacing w:val="-2"/>
        </w:rPr>
        <w:t xml:space="preserve">, 20037-1122. </w:t>
      </w:r>
    </w:p>
    <w:p w14:paraId="19F87D50" w14:textId="77777777" w:rsidR="00DE5386" w:rsidRDefault="00DE5386" w:rsidP="00A76318">
      <w:pPr>
        <w:tabs>
          <w:tab w:val="left" w:pos="0"/>
        </w:tabs>
        <w:suppressAutoHyphens/>
        <w:autoSpaceDE w:val="0"/>
        <w:autoSpaceDN w:val="0"/>
        <w:adjustRightInd w:val="0"/>
        <w:spacing w:line="240" w:lineRule="atLeast"/>
        <w:ind w:left="720"/>
        <w:rPr>
          <w:color w:val="000000"/>
          <w:spacing w:val="-2"/>
        </w:rPr>
      </w:pPr>
    </w:p>
    <w:p w14:paraId="469FCC42" w14:textId="77777777" w:rsidR="0066702C" w:rsidRDefault="0066702C" w:rsidP="00A76318">
      <w:pPr>
        <w:tabs>
          <w:tab w:val="left" w:pos="0"/>
        </w:tabs>
        <w:suppressAutoHyphens/>
        <w:autoSpaceDE w:val="0"/>
        <w:autoSpaceDN w:val="0"/>
        <w:adjustRightInd w:val="0"/>
        <w:spacing w:line="240" w:lineRule="atLeast"/>
        <w:ind w:left="720"/>
        <w:rPr>
          <w:color w:val="000000"/>
          <w:spacing w:val="-2"/>
        </w:rPr>
      </w:pPr>
    </w:p>
    <w:p w14:paraId="6CEC2094" w14:textId="77777777" w:rsidR="00DE5386" w:rsidRPr="002A7814" w:rsidRDefault="00DE5386" w:rsidP="00A76318">
      <w:pPr>
        <w:pStyle w:val="ParaNum"/>
        <w:numPr>
          <w:ilvl w:val="0"/>
          <w:numId w:val="0"/>
        </w:numPr>
        <w:spacing w:after="0"/>
        <w:ind w:left="4320"/>
        <w:rPr>
          <w:color w:val="000000"/>
          <w:spacing w:val="-2"/>
        </w:rPr>
      </w:pPr>
      <w:r w:rsidRPr="002A7814">
        <w:rPr>
          <w:color w:val="000000"/>
          <w:spacing w:val="-2"/>
        </w:rPr>
        <w:t>FEDERAL COMMUNICATIONS COMMISSION</w:t>
      </w:r>
    </w:p>
    <w:p w14:paraId="39AAC8A6" w14:textId="77777777" w:rsidR="00DE5386" w:rsidRPr="002A7814" w:rsidRDefault="00DE5386" w:rsidP="00A76318">
      <w:pPr>
        <w:pStyle w:val="ParaNum"/>
        <w:numPr>
          <w:ilvl w:val="0"/>
          <w:numId w:val="0"/>
        </w:numPr>
        <w:spacing w:after="0"/>
        <w:ind w:left="4320"/>
        <w:rPr>
          <w:color w:val="000000"/>
          <w:spacing w:val="-2"/>
        </w:rPr>
      </w:pPr>
    </w:p>
    <w:p w14:paraId="67E05DF2" w14:textId="77777777" w:rsidR="00DE5386" w:rsidRPr="002A7814" w:rsidRDefault="00DE5386" w:rsidP="00A76318">
      <w:pPr>
        <w:pStyle w:val="ParaNum"/>
        <w:numPr>
          <w:ilvl w:val="0"/>
          <w:numId w:val="0"/>
        </w:numPr>
        <w:spacing w:after="0"/>
        <w:ind w:left="4320"/>
        <w:rPr>
          <w:color w:val="000000"/>
          <w:spacing w:val="-2"/>
        </w:rPr>
      </w:pPr>
    </w:p>
    <w:p w14:paraId="2580FE5C" w14:textId="77777777" w:rsidR="00DE5386" w:rsidRPr="002A7814" w:rsidRDefault="00DE5386" w:rsidP="00A76318">
      <w:pPr>
        <w:pStyle w:val="ParaNum"/>
        <w:numPr>
          <w:ilvl w:val="0"/>
          <w:numId w:val="0"/>
        </w:numPr>
        <w:spacing w:after="0"/>
        <w:ind w:left="4320"/>
        <w:rPr>
          <w:color w:val="000000"/>
          <w:spacing w:val="-2"/>
        </w:rPr>
      </w:pPr>
    </w:p>
    <w:p w14:paraId="60AAC30C" w14:textId="77777777" w:rsidR="00DC2EFE" w:rsidRDefault="00DC2EFE" w:rsidP="00A76318">
      <w:pPr>
        <w:pStyle w:val="ParaNum"/>
        <w:numPr>
          <w:ilvl w:val="0"/>
          <w:numId w:val="0"/>
        </w:numPr>
        <w:spacing w:after="0"/>
        <w:ind w:left="3600" w:firstLine="720"/>
        <w:rPr>
          <w:color w:val="000000"/>
          <w:spacing w:val="-2"/>
        </w:rPr>
      </w:pPr>
    </w:p>
    <w:p w14:paraId="120982F9" w14:textId="77777777" w:rsidR="00DE5386" w:rsidRPr="002A7814" w:rsidRDefault="00627660" w:rsidP="00A76318">
      <w:pPr>
        <w:pStyle w:val="ParaNum"/>
        <w:numPr>
          <w:ilvl w:val="0"/>
          <w:numId w:val="0"/>
        </w:numPr>
        <w:spacing w:after="0"/>
        <w:ind w:left="3600" w:firstLine="720"/>
        <w:rPr>
          <w:color w:val="000000"/>
          <w:spacing w:val="-2"/>
        </w:rPr>
      </w:pPr>
      <w:r w:rsidRPr="002A7814">
        <w:rPr>
          <w:color w:val="000000"/>
          <w:spacing w:val="-2"/>
        </w:rPr>
        <w:t>Rebecca L. Dorch</w:t>
      </w:r>
    </w:p>
    <w:p w14:paraId="11F2353F" w14:textId="77777777" w:rsidR="00DE5386" w:rsidRPr="002A7814" w:rsidRDefault="00DE5386" w:rsidP="00A76318">
      <w:pPr>
        <w:pStyle w:val="ParaNum"/>
        <w:numPr>
          <w:ilvl w:val="0"/>
          <w:numId w:val="0"/>
        </w:numPr>
        <w:spacing w:after="0"/>
        <w:ind w:left="3600" w:firstLine="720"/>
        <w:rPr>
          <w:color w:val="000000"/>
          <w:spacing w:val="-2"/>
        </w:rPr>
      </w:pPr>
      <w:r w:rsidRPr="002A7814">
        <w:rPr>
          <w:color w:val="000000"/>
          <w:spacing w:val="-2"/>
        </w:rPr>
        <w:t xml:space="preserve">Regional Director, </w:t>
      </w:r>
      <w:r w:rsidR="00627660" w:rsidRPr="002A7814">
        <w:rPr>
          <w:color w:val="000000"/>
          <w:spacing w:val="-2"/>
        </w:rPr>
        <w:t>Western</w:t>
      </w:r>
      <w:r w:rsidRPr="002A7814">
        <w:rPr>
          <w:color w:val="000000"/>
          <w:spacing w:val="-2"/>
        </w:rPr>
        <w:t xml:space="preserve"> Region</w:t>
      </w:r>
    </w:p>
    <w:p w14:paraId="13F15A80" w14:textId="77777777" w:rsidR="00DE5386" w:rsidRPr="002A7814" w:rsidRDefault="00DE5386" w:rsidP="00A76318">
      <w:pPr>
        <w:pStyle w:val="ParaNum"/>
        <w:numPr>
          <w:ilvl w:val="0"/>
          <w:numId w:val="0"/>
        </w:numPr>
        <w:spacing w:after="0"/>
        <w:ind w:left="3600" w:firstLine="720"/>
        <w:rPr>
          <w:color w:val="000000"/>
          <w:spacing w:val="-2"/>
        </w:rPr>
      </w:pPr>
      <w:r w:rsidRPr="002A7814">
        <w:rPr>
          <w:color w:val="000000"/>
          <w:spacing w:val="-2"/>
        </w:rPr>
        <w:t>Enforcement Bureau</w:t>
      </w:r>
    </w:p>
    <w:sectPr w:rsidR="00DE5386" w:rsidRPr="002A781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08" w:left="1440" w:header="1008"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6D72F" w14:textId="77777777" w:rsidR="008B456C" w:rsidRDefault="008B456C">
      <w:r>
        <w:separator/>
      </w:r>
    </w:p>
  </w:endnote>
  <w:endnote w:type="continuationSeparator" w:id="0">
    <w:p w14:paraId="6DC0A7EF" w14:textId="77777777" w:rsidR="008B456C" w:rsidRDefault="008B456C">
      <w:r>
        <w:continuationSeparator/>
      </w:r>
    </w:p>
  </w:endnote>
  <w:endnote w:type="continuationNotice" w:id="1">
    <w:p w14:paraId="373C19E2" w14:textId="77777777" w:rsidR="008B456C" w:rsidRDefault="008B4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7D60C" w14:textId="77777777" w:rsidR="00A80EF9" w:rsidRDefault="00A80E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DB43C1" w14:textId="77777777" w:rsidR="00A80EF9" w:rsidRDefault="00A80E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3C542" w14:textId="77777777" w:rsidR="00A80EF9" w:rsidRDefault="00A80EF9">
    <w:pPr>
      <w:pStyle w:val="Footer"/>
      <w:framePr w:wrap="around" w:vAnchor="text" w:hAnchor="margin" w:xAlign="center"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233F20">
      <w:rPr>
        <w:rStyle w:val="PageNumber"/>
        <w:noProof/>
        <w:sz w:val="20"/>
        <w:szCs w:val="20"/>
      </w:rPr>
      <w:t>2</w:t>
    </w:r>
    <w:r>
      <w:rPr>
        <w:rStyle w:val="PageNumber"/>
        <w:sz w:val="20"/>
        <w:szCs w:val="20"/>
      </w:rPr>
      <w:fldChar w:fldCharType="end"/>
    </w:r>
  </w:p>
  <w:p w14:paraId="01B360CD" w14:textId="77777777" w:rsidR="00A80EF9" w:rsidRDefault="00A80EF9" w:rsidP="009C6F42">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434F9" w14:textId="77777777" w:rsidR="001F0810" w:rsidRDefault="001F0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56EC8" w14:textId="77777777" w:rsidR="008B456C" w:rsidRDefault="008B456C">
      <w:r>
        <w:separator/>
      </w:r>
    </w:p>
  </w:footnote>
  <w:footnote w:type="continuationSeparator" w:id="0">
    <w:p w14:paraId="43718C0B" w14:textId="77777777" w:rsidR="008B456C" w:rsidRPr="008E5F5B" w:rsidRDefault="008B456C" w:rsidP="008E5F5B">
      <w:pPr>
        <w:spacing w:before="120"/>
        <w:rPr>
          <w:sz w:val="20"/>
        </w:rPr>
      </w:pPr>
      <w:r>
        <w:rPr>
          <w:sz w:val="20"/>
        </w:rPr>
        <w:t xml:space="preserve">(Continued from previous page)  </w:t>
      </w:r>
      <w:r>
        <w:rPr>
          <w:sz w:val="20"/>
        </w:rPr>
        <w:separator/>
      </w:r>
    </w:p>
  </w:footnote>
  <w:footnote w:type="continuationNotice" w:id="1">
    <w:p w14:paraId="52D3B228" w14:textId="77777777" w:rsidR="008B456C" w:rsidRPr="008E5F5B" w:rsidRDefault="008B456C" w:rsidP="008E5F5B">
      <w:pPr>
        <w:jc w:val="right"/>
        <w:rPr>
          <w:sz w:val="20"/>
        </w:rPr>
      </w:pPr>
      <w:r>
        <w:rPr>
          <w:sz w:val="20"/>
        </w:rPr>
        <w:t>(continued….)</w:t>
      </w:r>
    </w:p>
  </w:footnote>
  <w:footnote w:id="2">
    <w:p w14:paraId="5F3FD369" w14:textId="4B006363" w:rsidR="00377189" w:rsidRDefault="00377189" w:rsidP="00862BD1">
      <w:pPr>
        <w:pStyle w:val="FootnoteText"/>
        <w:ind w:firstLine="0"/>
        <w:jc w:val="left"/>
      </w:pPr>
      <w:r>
        <w:rPr>
          <w:rStyle w:val="FootnoteReference"/>
        </w:rPr>
        <w:footnoteRef/>
      </w:r>
      <w:r>
        <w:t xml:space="preserve"> 47 U.S.C. § 303(q).</w:t>
      </w:r>
    </w:p>
  </w:footnote>
  <w:footnote w:id="3">
    <w:p w14:paraId="2876B840" w14:textId="0C7EADDC" w:rsidR="00377189" w:rsidRPr="006A6CA4" w:rsidRDefault="00377189" w:rsidP="00597723">
      <w:pPr>
        <w:pStyle w:val="FootnoteText"/>
        <w:ind w:firstLine="0"/>
        <w:jc w:val="left"/>
        <w:rPr>
          <w:color w:val="000000"/>
        </w:rPr>
      </w:pPr>
      <w:r>
        <w:rPr>
          <w:rStyle w:val="FootnoteReference"/>
        </w:rPr>
        <w:footnoteRef/>
      </w:r>
      <w:r w:rsidRPr="006A6CA4">
        <w:rPr>
          <w:color w:val="000000"/>
        </w:rPr>
        <w:t xml:space="preserve"> 47 C.F.R. §§ 17.</w:t>
      </w:r>
      <w:r>
        <w:rPr>
          <w:color w:val="000000"/>
        </w:rPr>
        <w:t>23, 17.</w:t>
      </w:r>
      <w:r w:rsidRPr="006A6CA4">
        <w:rPr>
          <w:color w:val="000000"/>
        </w:rPr>
        <w:t>48(a).</w:t>
      </w:r>
      <w:r w:rsidR="00C66DA7">
        <w:rPr>
          <w:color w:val="000000"/>
        </w:rPr>
        <w:t xml:space="preserve">  </w:t>
      </w:r>
      <w:r w:rsidR="00C66DA7" w:rsidRPr="00C66DA7">
        <w:rPr>
          <w:color w:val="000000"/>
        </w:rPr>
        <w:t xml:space="preserve">The Commission recently amended Sections </w:t>
      </w:r>
      <w:r w:rsidR="00C66DA7">
        <w:rPr>
          <w:color w:val="000000"/>
        </w:rPr>
        <w:t xml:space="preserve">17.23 and 17.48 </w:t>
      </w:r>
      <w:r w:rsidR="00C66DA7" w:rsidRPr="00C66DA7">
        <w:rPr>
          <w:color w:val="000000"/>
        </w:rPr>
        <w:t xml:space="preserve">of the Rules.  </w:t>
      </w:r>
      <w:r w:rsidR="00F62E34">
        <w:rPr>
          <w:i/>
          <w:color w:val="000000"/>
        </w:rPr>
        <w:t xml:space="preserve">See </w:t>
      </w:r>
      <w:r w:rsidR="00C66DA7" w:rsidRPr="00C66DA7">
        <w:rPr>
          <w:i/>
          <w:color w:val="000000"/>
        </w:rPr>
        <w:t>2004 and 2006 Biennial Regulatory Review – Streamlining and Other Revisions of Parts 1 and 17 of the Commission’s Rules Governing Construction, Marking and Lighting of Antenna Structures</w:t>
      </w:r>
      <w:r w:rsidR="00C66DA7" w:rsidRPr="00C66DA7">
        <w:rPr>
          <w:color w:val="000000"/>
        </w:rPr>
        <w:t xml:space="preserve">, Report and Order, 29 FCC Rcd 9787 (2014).  The Rules cited to in this </w:t>
      </w:r>
      <w:r w:rsidR="00F62E34">
        <w:rPr>
          <w:color w:val="000000"/>
        </w:rPr>
        <w:t xml:space="preserve">Forfeiture </w:t>
      </w:r>
      <w:r w:rsidR="00C66DA7" w:rsidRPr="00C66DA7">
        <w:rPr>
          <w:color w:val="000000"/>
        </w:rPr>
        <w:t>Order, however, were the Rules in effect at the time of the violation</w:t>
      </w:r>
      <w:r w:rsidR="00C66DA7">
        <w:rPr>
          <w:color w:val="000000"/>
        </w:rPr>
        <w:t>s</w:t>
      </w:r>
      <w:r w:rsidR="00C66DA7" w:rsidRPr="00C66DA7">
        <w:rPr>
          <w:color w:val="000000"/>
        </w:rPr>
        <w:t xml:space="preserve">.     </w:t>
      </w:r>
    </w:p>
  </w:footnote>
  <w:footnote w:id="4">
    <w:p w14:paraId="6E0562D6" w14:textId="4FDA6955" w:rsidR="00146E82" w:rsidRPr="00163967" w:rsidRDefault="00146E82" w:rsidP="00597723">
      <w:pPr>
        <w:pStyle w:val="FootnoteText"/>
        <w:widowControl/>
        <w:ind w:firstLine="0"/>
        <w:jc w:val="left"/>
        <w:rPr>
          <w:szCs w:val="20"/>
        </w:rPr>
      </w:pPr>
      <w:r w:rsidRPr="00163967">
        <w:rPr>
          <w:rStyle w:val="FootnoteReference"/>
        </w:rPr>
        <w:footnoteRef/>
      </w:r>
      <w:r w:rsidRPr="00163967">
        <w:rPr>
          <w:szCs w:val="20"/>
        </w:rPr>
        <w:t xml:space="preserve"> </w:t>
      </w:r>
      <w:r w:rsidR="00040102">
        <w:rPr>
          <w:i/>
          <w:szCs w:val="20"/>
        </w:rPr>
        <w:t>Duhamel Broadcasting Enterprises</w:t>
      </w:r>
      <w:r w:rsidR="00F62E34" w:rsidRPr="00862BD1">
        <w:t>,</w:t>
      </w:r>
      <w:r w:rsidRPr="00163967">
        <w:rPr>
          <w:szCs w:val="20"/>
        </w:rPr>
        <w:t xml:space="preserve"> Notice of Apparent Liability for Forfeiture</w:t>
      </w:r>
      <w:r w:rsidR="00F62E34">
        <w:rPr>
          <w:szCs w:val="20"/>
        </w:rPr>
        <w:t xml:space="preserve"> and Order</w:t>
      </w:r>
      <w:r w:rsidRPr="00163967">
        <w:rPr>
          <w:szCs w:val="20"/>
        </w:rPr>
        <w:t>, 2</w:t>
      </w:r>
      <w:r>
        <w:rPr>
          <w:szCs w:val="20"/>
        </w:rPr>
        <w:t>9</w:t>
      </w:r>
      <w:r w:rsidRPr="00163967">
        <w:rPr>
          <w:szCs w:val="20"/>
        </w:rPr>
        <w:t xml:space="preserve"> FCC Rcd </w:t>
      </w:r>
      <w:r w:rsidR="00040102">
        <w:rPr>
          <w:szCs w:val="20"/>
        </w:rPr>
        <w:t>7327</w:t>
      </w:r>
      <w:r w:rsidRPr="00163967">
        <w:rPr>
          <w:szCs w:val="20"/>
        </w:rPr>
        <w:t xml:space="preserve"> (Enf. Bur. 201</w:t>
      </w:r>
      <w:r>
        <w:rPr>
          <w:szCs w:val="20"/>
        </w:rPr>
        <w:t>4</w:t>
      </w:r>
      <w:r w:rsidRPr="00163967">
        <w:rPr>
          <w:szCs w:val="20"/>
        </w:rPr>
        <w:t>) (</w:t>
      </w:r>
      <w:r w:rsidRPr="00163967">
        <w:rPr>
          <w:i/>
          <w:szCs w:val="20"/>
        </w:rPr>
        <w:t>NAL</w:t>
      </w:r>
      <w:r w:rsidRPr="00163967">
        <w:rPr>
          <w:szCs w:val="20"/>
        </w:rPr>
        <w:t xml:space="preserve">).  A recitation of the facts of this case can be found in the </w:t>
      </w:r>
      <w:r w:rsidRPr="00163967">
        <w:rPr>
          <w:i/>
          <w:szCs w:val="20"/>
        </w:rPr>
        <w:t>NAL</w:t>
      </w:r>
      <w:r w:rsidRPr="00163967">
        <w:rPr>
          <w:szCs w:val="20"/>
        </w:rPr>
        <w:t xml:space="preserve"> and is incorporated herein by reference.  </w:t>
      </w:r>
    </w:p>
  </w:footnote>
  <w:footnote w:id="5">
    <w:p w14:paraId="667DA69B" w14:textId="3BDDE028" w:rsidR="00B8444B" w:rsidRPr="00163967" w:rsidRDefault="00B8444B" w:rsidP="00862BD1">
      <w:pPr>
        <w:pStyle w:val="FootnoteText"/>
        <w:widowControl/>
        <w:ind w:firstLine="0"/>
        <w:jc w:val="left"/>
        <w:rPr>
          <w:szCs w:val="20"/>
        </w:rPr>
      </w:pPr>
      <w:r w:rsidRPr="00163967">
        <w:rPr>
          <w:rStyle w:val="FootnoteReference"/>
        </w:rPr>
        <w:footnoteRef/>
      </w:r>
      <w:r w:rsidRPr="00163967">
        <w:rPr>
          <w:szCs w:val="20"/>
        </w:rPr>
        <w:t xml:space="preserve"> </w:t>
      </w:r>
      <w:r w:rsidRPr="00163967">
        <w:rPr>
          <w:i/>
          <w:szCs w:val="20"/>
        </w:rPr>
        <w:t>See</w:t>
      </w:r>
      <w:r w:rsidRPr="00163967">
        <w:rPr>
          <w:szCs w:val="20"/>
        </w:rPr>
        <w:t xml:space="preserve"> Response of </w:t>
      </w:r>
      <w:r w:rsidR="00040102">
        <w:rPr>
          <w:szCs w:val="20"/>
        </w:rPr>
        <w:t>Duhamel Broadcasting Enterprises</w:t>
      </w:r>
      <w:r w:rsidR="00A17FBD">
        <w:rPr>
          <w:szCs w:val="20"/>
        </w:rPr>
        <w:t xml:space="preserve"> </w:t>
      </w:r>
      <w:r w:rsidRPr="00163967">
        <w:rPr>
          <w:szCs w:val="20"/>
        </w:rPr>
        <w:t xml:space="preserve">to </w:t>
      </w:r>
      <w:r w:rsidR="00040102">
        <w:rPr>
          <w:szCs w:val="20"/>
        </w:rPr>
        <w:t>Denver Office</w:t>
      </w:r>
      <w:r w:rsidRPr="00163967">
        <w:rPr>
          <w:szCs w:val="20"/>
        </w:rPr>
        <w:t>, Western Region, Enforcement Bureau (</w:t>
      </w:r>
      <w:r w:rsidR="00040102">
        <w:rPr>
          <w:szCs w:val="20"/>
        </w:rPr>
        <w:t>Jul. 21</w:t>
      </w:r>
      <w:r>
        <w:rPr>
          <w:szCs w:val="20"/>
        </w:rPr>
        <w:t>, 201</w:t>
      </w:r>
      <w:r w:rsidR="00146E82">
        <w:rPr>
          <w:szCs w:val="20"/>
        </w:rPr>
        <w:t>4</w:t>
      </w:r>
      <w:r w:rsidRPr="00163967">
        <w:rPr>
          <w:szCs w:val="20"/>
        </w:rPr>
        <w:t>) (on file in EB-FIELDWR-</w:t>
      </w:r>
      <w:r w:rsidR="00A17FBD">
        <w:rPr>
          <w:szCs w:val="20"/>
        </w:rPr>
        <w:t>1</w:t>
      </w:r>
      <w:r w:rsidR="00224EAA">
        <w:rPr>
          <w:szCs w:val="20"/>
        </w:rPr>
        <w:t>3</w:t>
      </w:r>
      <w:r w:rsidR="00A17FBD">
        <w:rPr>
          <w:szCs w:val="20"/>
        </w:rPr>
        <w:t>-</w:t>
      </w:r>
      <w:r w:rsidRPr="00B8444B">
        <w:rPr>
          <w:szCs w:val="20"/>
        </w:rPr>
        <w:t>000</w:t>
      </w:r>
      <w:r w:rsidR="00040102">
        <w:rPr>
          <w:szCs w:val="20"/>
        </w:rPr>
        <w:t>1</w:t>
      </w:r>
      <w:r w:rsidRPr="00B8444B">
        <w:rPr>
          <w:szCs w:val="20"/>
        </w:rPr>
        <w:t>0</w:t>
      </w:r>
      <w:r w:rsidR="00040102">
        <w:rPr>
          <w:szCs w:val="20"/>
        </w:rPr>
        <w:t>468</w:t>
      </w:r>
      <w:r w:rsidRPr="00163967">
        <w:rPr>
          <w:szCs w:val="20"/>
        </w:rPr>
        <w:t>) (</w:t>
      </w:r>
      <w:r w:rsidRPr="00163967">
        <w:rPr>
          <w:i/>
          <w:szCs w:val="20"/>
        </w:rPr>
        <w:t>NAL Response</w:t>
      </w:r>
      <w:r w:rsidRPr="00163967">
        <w:rPr>
          <w:szCs w:val="20"/>
        </w:rPr>
        <w:t>).</w:t>
      </w:r>
    </w:p>
  </w:footnote>
  <w:footnote w:id="6">
    <w:p w14:paraId="3FE033D7" w14:textId="5D973F17" w:rsidR="00F62E34" w:rsidRDefault="00F62E34" w:rsidP="00597723">
      <w:pPr>
        <w:pStyle w:val="FootnoteText"/>
        <w:tabs>
          <w:tab w:val="clear" w:pos="720"/>
        </w:tabs>
        <w:ind w:firstLine="0"/>
        <w:jc w:val="left"/>
      </w:pPr>
      <w:r>
        <w:rPr>
          <w:rStyle w:val="FootnoteReference"/>
        </w:rPr>
        <w:footnoteRef/>
      </w:r>
      <w:r>
        <w:t xml:space="preserve"> </w:t>
      </w:r>
      <w:r>
        <w:rPr>
          <w:i/>
        </w:rPr>
        <w:t xml:space="preserve">See </w:t>
      </w:r>
      <w:r>
        <w:t xml:space="preserve">FAA Aeronautical Study No. 2005-AGL-2629-OE (issued June 2, 2005) </w:t>
      </w:r>
      <w:r w:rsidRPr="00163967">
        <w:rPr>
          <w:szCs w:val="20"/>
        </w:rPr>
        <w:t>(on file in EB-FIELDWR-</w:t>
      </w:r>
      <w:r>
        <w:rPr>
          <w:szCs w:val="20"/>
        </w:rPr>
        <w:t>13-</w:t>
      </w:r>
      <w:r w:rsidRPr="00B8444B">
        <w:rPr>
          <w:szCs w:val="20"/>
        </w:rPr>
        <w:t>000</w:t>
      </w:r>
      <w:r>
        <w:rPr>
          <w:szCs w:val="20"/>
        </w:rPr>
        <w:t>1</w:t>
      </w:r>
      <w:r w:rsidRPr="00B8444B">
        <w:rPr>
          <w:szCs w:val="20"/>
        </w:rPr>
        <w:t>0</w:t>
      </w:r>
      <w:r>
        <w:rPr>
          <w:szCs w:val="20"/>
        </w:rPr>
        <w:t>468</w:t>
      </w:r>
      <w:r w:rsidRPr="00163967">
        <w:rPr>
          <w:szCs w:val="20"/>
        </w:rPr>
        <w:t>)</w:t>
      </w:r>
      <w:r>
        <w:t>.</w:t>
      </w:r>
    </w:p>
  </w:footnote>
  <w:footnote w:id="7">
    <w:p w14:paraId="076312F3" w14:textId="14B036D6" w:rsidR="0060774F" w:rsidRPr="0060774F" w:rsidRDefault="0060774F" w:rsidP="00862BD1">
      <w:pPr>
        <w:pStyle w:val="FootnoteText"/>
        <w:ind w:firstLine="0"/>
        <w:jc w:val="left"/>
      </w:pPr>
      <w:r>
        <w:rPr>
          <w:rStyle w:val="FootnoteReference"/>
        </w:rPr>
        <w:footnoteRef/>
      </w:r>
      <w:r>
        <w:t xml:space="preserve"> </w:t>
      </w:r>
      <w:r w:rsidR="00150D99">
        <w:rPr>
          <w:i/>
        </w:rPr>
        <w:t>NAL Response</w:t>
      </w:r>
      <w:r>
        <w:rPr>
          <w:i/>
        </w:rPr>
        <w:t xml:space="preserve"> </w:t>
      </w:r>
      <w:r>
        <w:t>at</w:t>
      </w:r>
      <w:r w:rsidR="00F62E34">
        <w:t xml:space="preserve"> 1–4.</w:t>
      </w:r>
    </w:p>
  </w:footnote>
  <w:footnote w:id="8">
    <w:p w14:paraId="1A9132AC" w14:textId="77777777" w:rsidR="001C0059" w:rsidRPr="00163967" w:rsidRDefault="001C0059" w:rsidP="00597723">
      <w:pPr>
        <w:pStyle w:val="FootnoteText"/>
        <w:widowControl/>
        <w:ind w:firstLine="0"/>
        <w:jc w:val="left"/>
        <w:rPr>
          <w:szCs w:val="20"/>
        </w:rPr>
      </w:pPr>
      <w:r w:rsidRPr="00163967">
        <w:rPr>
          <w:rStyle w:val="FootnoteReference"/>
        </w:rPr>
        <w:footnoteRef/>
      </w:r>
      <w:r w:rsidRPr="00163967">
        <w:rPr>
          <w:szCs w:val="20"/>
        </w:rPr>
        <w:t xml:space="preserve"> 47 U.S.C. § 503(b).</w:t>
      </w:r>
    </w:p>
  </w:footnote>
  <w:footnote w:id="9">
    <w:p w14:paraId="4F51A7EE" w14:textId="77777777" w:rsidR="001C0059" w:rsidRPr="00163967" w:rsidRDefault="001C0059" w:rsidP="00597723">
      <w:pPr>
        <w:pStyle w:val="FootnoteText"/>
        <w:widowControl/>
        <w:ind w:firstLine="0"/>
        <w:jc w:val="left"/>
        <w:rPr>
          <w:szCs w:val="20"/>
        </w:rPr>
      </w:pPr>
      <w:r w:rsidRPr="00163967">
        <w:rPr>
          <w:rStyle w:val="FootnoteReference"/>
        </w:rPr>
        <w:footnoteRef/>
      </w:r>
      <w:r w:rsidRPr="00163967">
        <w:rPr>
          <w:szCs w:val="20"/>
        </w:rPr>
        <w:t xml:space="preserve"> 47 C.F.R. § 1.80.</w:t>
      </w:r>
    </w:p>
  </w:footnote>
  <w:footnote w:id="10">
    <w:p w14:paraId="0AA43F30" w14:textId="77777777" w:rsidR="001C0059" w:rsidRPr="00163967" w:rsidRDefault="001C0059" w:rsidP="00597723">
      <w:pPr>
        <w:pStyle w:val="FootnoteText"/>
        <w:widowControl/>
        <w:tabs>
          <w:tab w:val="clear" w:pos="720"/>
        </w:tabs>
        <w:ind w:firstLine="0"/>
        <w:jc w:val="left"/>
        <w:rPr>
          <w:szCs w:val="20"/>
        </w:rPr>
      </w:pPr>
      <w:r w:rsidRPr="00163967">
        <w:rPr>
          <w:rStyle w:val="FootnoteReference"/>
        </w:rPr>
        <w:footnoteRef/>
      </w:r>
      <w:r w:rsidRPr="00163967">
        <w:rPr>
          <w:szCs w:val="20"/>
        </w:rPr>
        <w:t xml:space="preserve"> </w:t>
      </w:r>
      <w:r w:rsidRPr="00163967">
        <w:rPr>
          <w:i/>
          <w:szCs w:val="20"/>
        </w:rPr>
        <w:t>The Commission’s Forfeiture Policy Statement and Amendment of Section 1.80 of the Rules to Incorporate the Forfeiture Guidelines</w:t>
      </w:r>
      <w:r w:rsidRPr="00163967">
        <w:rPr>
          <w:szCs w:val="20"/>
        </w:rPr>
        <w:t xml:space="preserve">, Report and Order, 12 FCC Rcd 17087 (1997), </w:t>
      </w:r>
      <w:r w:rsidRPr="00163967">
        <w:rPr>
          <w:i/>
          <w:szCs w:val="20"/>
        </w:rPr>
        <w:t>recons. denied</w:t>
      </w:r>
      <w:r w:rsidRPr="00163967">
        <w:rPr>
          <w:szCs w:val="20"/>
        </w:rPr>
        <w:t>, 15 FCC Rcd 303 (1999) (</w:t>
      </w:r>
      <w:r w:rsidRPr="00163967">
        <w:rPr>
          <w:i/>
          <w:szCs w:val="20"/>
        </w:rPr>
        <w:t>Forfeiture Policy Statement</w:t>
      </w:r>
      <w:r w:rsidRPr="00163967">
        <w:rPr>
          <w:szCs w:val="20"/>
        </w:rPr>
        <w:t xml:space="preserve">).  </w:t>
      </w:r>
    </w:p>
  </w:footnote>
  <w:footnote w:id="11">
    <w:p w14:paraId="5A18D33A" w14:textId="77777777" w:rsidR="001C0059" w:rsidRPr="00163967" w:rsidRDefault="001C0059" w:rsidP="00597723">
      <w:pPr>
        <w:pStyle w:val="FootnoteText"/>
        <w:widowControl/>
        <w:tabs>
          <w:tab w:val="clear" w:pos="720"/>
        </w:tabs>
        <w:ind w:firstLine="0"/>
        <w:jc w:val="left"/>
        <w:rPr>
          <w:szCs w:val="20"/>
        </w:rPr>
      </w:pPr>
      <w:r w:rsidRPr="00163967">
        <w:rPr>
          <w:rStyle w:val="FootnoteReference"/>
        </w:rPr>
        <w:footnoteRef/>
      </w:r>
      <w:r w:rsidRPr="00163967">
        <w:rPr>
          <w:szCs w:val="20"/>
        </w:rPr>
        <w:t xml:space="preserve"> 47 U.S.C. § 503(b)(2)(E).</w:t>
      </w:r>
    </w:p>
  </w:footnote>
  <w:footnote w:id="12">
    <w:p w14:paraId="056C3A28" w14:textId="0BA30FF4" w:rsidR="00B175EB" w:rsidRPr="00163967" w:rsidRDefault="00B175EB" w:rsidP="00597723">
      <w:pPr>
        <w:pStyle w:val="FootnoteText"/>
        <w:widowControl/>
        <w:tabs>
          <w:tab w:val="clear" w:pos="720"/>
        </w:tabs>
        <w:ind w:firstLine="0"/>
        <w:jc w:val="left"/>
        <w:rPr>
          <w:szCs w:val="20"/>
        </w:rPr>
      </w:pPr>
      <w:r w:rsidRPr="00163967">
        <w:rPr>
          <w:rStyle w:val="FootnoteReference"/>
        </w:rPr>
        <w:footnoteRef/>
      </w:r>
      <w:r w:rsidRPr="00163967">
        <w:rPr>
          <w:i/>
          <w:szCs w:val="20"/>
        </w:rPr>
        <w:t xml:space="preserve"> See NAL</w:t>
      </w:r>
      <w:r w:rsidRPr="00163967">
        <w:rPr>
          <w:szCs w:val="20"/>
        </w:rPr>
        <w:t xml:space="preserve"> </w:t>
      </w:r>
      <w:r w:rsidRPr="00163967">
        <w:rPr>
          <w:i/>
          <w:szCs w:val="20"/>
        </w:rPr>
        <w:t>supra</w:t>
      </w:r>
      <w:r w:rsidRPr="00163967">
        <w:rPr>
          <w:szCs w:val="20"/>
        </w:rPr>
        <w:t xml:space="preserve"> note </w:t>
      </w:r>
      <w:r w:rsidR="00CB0E65">
        <w:rPr>
          <w:szCs w:val="20"/>
        </w:rPr>
        <w:t>3</w:t>
      </w:r>
      <w:r w:rsidRPr="00163967">
        <w:rPr>
          <w:szCs w:val="20"/>
        </w:rPr>
        <w:t xml:space="preserve">. </w:t>
      </w:r>
    </w:p>
  </w:footnote>
  <w:footnote w:id="13">
    <w:p w14:paraId="143AF7FB" w14:textId="77968DCA" w:rsidR="00792346" w:rsidRDefault="00792346" w:rsidP="00597723">
      <w:pPr>
        <w:pStyle w:val="FootnoteText"/>
        <w:ind w:firstLine="0"/>
        <w:jc w:val="left"/>
      </w:pPr>
      <w:r>
        <w:rPr>
          <w:rStyle w:val="FootnoteReference"/>
        </w:rPr>
        <w:footnoteRef/>
      </w:r>
      <w:r>
        <w:t xml:space="preserve"> </w:t>
      </w:r>
      <w:r>
        <w:rPr>
          <w:i/>
        </w:rPr>
        <w:t xml:space="preserve">NAL Response </w:t>
      </w:r>
      <w:r w:rsidR="00150D99">
        <w:t>at 1–4</w:t>
      </w:r>
      <w:r w:rsidR="00ED6E26">
        <w:t xml:space="preserve">. </w:t>
      </w:r>
    </w:p>
  </w:footnote>
  <w:footnote w:id="14">
    <w:p w14:paraId="059CE694" w14:textId="16DF76B6" w:rsidR="00C42516" w:rsidRPr="00C42516" w:rsidRDefault="00C42516" w:rsidP="00597723">
      <w:pPr>
        <w:pStyle w:val="FootnoteText"/>
        <w:tabs>
          <w:tab w:val="clear" w:pos="720"/>
        </w:tabs>
        <w:ind w:firstLine="0"/>
        <w:jc w:val="left"/>
      </w:pPr>
      <w:r>
        <w:rPr>
          <w:rStyle w:val="FootnoteReference"/>
        </w:rPr>
        <w:footnoteRef/>
      </w:r>
      <w:r>
        <w:t xml:space="preserve"> </w:t>
      </w:r>
      <w:r>
        <w:rPr>
          <w:i/>
        </w:rPr>
        <w:t>See NAL</w:t>
      </w:r>
      <w:r>
        <w:t>, 29 FCC Rcd at 7329, para. 8.</w:t>
      </w:r>
    </w:p>
  </w:footnote>
  <w:footnote w:id="15">
    <w:p w14:paraId="0052C34E" w14:textId="473476ED" w:rsidR="00A5530F" w:rsidRPr="00163967" w:rsidRDefault="00A5530F" w:rsidP="00597723">
      <w:pPr>
        <w:pStyle w:val="FootnoteText"/>
        <w:tabs>
          <w:tab w:val="clear" w:pos="720"/>
        </w:tabs>
        <w:ind w:firstLine="0"/>
        <w:jc w:val="left"/>
        <w:rPr>
          <w:szCs w:val="20"/>
        </w:rPr>
      </w:pPr>
      <w:r w:rsidRPr="00163967">
        <w:rPr>
          <w:rStyle w:val="FootnoteReference"/>
        </w:rPr>
        <w:footnoteRef/>
      </w:r>
      <w:r w:rsidRPr="00163967">
        <w:rPr>
          <w:szCs w:val="20"/>
        </w:rPr>
        <w:t xml:space="preserve"> </w:t>
      </w:r>
      <w:r w:rsidRPr="00163967">
        <w:rPr>
          <w:i/>
          <w:szCs w:val="20"/>
        </w:rPr>
        <w:t>See, e.g.</w:t>
      </w:r>
      <w:r w:rsidRPr="00163967">
        <w:rPr>
          <w:szCs w:val="20"/>
        </w:rPr>
        <w:t>,</w:t>
      </w:r>
      <w:r w:rsidRPr="00163967">
        <w:rPr>
          <w:i/>
          <w:szCs w:val="20"/>
        </w:rPr>
        <w:t xml:space="preserve"> S. Cal. Broad.</w:t>
      </w:r>
      <w:r>
        <w:t xml:space="preserve">, Memorandum Opinion and Order, 6 FCC Rcd 4387, </w:t>
      </w:r>
      <w:r w:rsidRPr="00163967">
        <w:rPr>
          <w:szCs w:val="20"/>
        </w:rPr>
        <w:t>4387, para. 3</w:t>
      </w:r>
      <w:r>
        <w:rPr>
          <w:szCs w:val="20"/>
        </w:rPr>
        <w:t xml:space="preserve"> (1991)</w:t>
      </w:r>
      <w:r w:rsidRPr="00163967">
        <w:rPr>
          <w:rStyle w:val="apple-converted-space"/>
          <w:color w:val="000000"/>
          <w:szCs w:val="20"/>
          <w:shd w:val="clear" w:color="auto" w:fill="FFFFFF"/>
        </w:rPr>
        <w:t xml:space="preserve"> </w:t>
      </w:r>
      <w:r w:rsidRPr="00163967">
        <w:rPr>
          <w:color w:val="000000"/>
          <w:szCs w:val="20"/>
          <w:shd w:val="clear" w:color="auto" w:fill="FFFFFF"/>
        </w:rPr>
        <w:t>(“‘[I]nadvertence’ . . . is at best,</w:t>
      </w:r>
      <w:r w:rsidRPr="00163967">
        <w:rPr>
          <w:rStyle w:val="apple-converted-space"/>
          <w:color w:val="000000"/>
          <w:szCs w:val="20"/>
          <w:shd w:val="clear" w:color="auto" w:fill="FFFFFF"/>
        </w:rPr>
        <w:t> </w:t>
      </w:r>
      <w:bookmarkStart w:id="1" w:name="SR;3880"/>
      <w:bookmarkEnd w:id="1"/>
      <w:r w:rsidRPr="00163967">
        <w:rPr>
          <w:rStyle w:val="apple-converted-space"/>
          <w:color w:val="000000"/>
          <w:szCs w:val="20"/>
          <w:shd w:val="clear" w:color="auto" w:fill="FFFFFF"/>
        </w:rPr>
        <w:t>ignorance </w:t>
      </w:r>
      <w:r w:rsidRPr="00163967">
        <w:rPr>
          <w:color w:val="000000"/>
          <w:szCs w:val="20"/>
          <w:shd w:val="clear" w:color="auto" w:fill="FFFFFF"/>
        </w:rPr>
        <w:t>of the</w:t>
      </w:r>
      <w:r w:rsidRPr="00163967">
        <w:rPr>
          <w:rStyle w:val="apple-converted-space"/>
          <w:color w:val="000000"/>
          <w:szCs w:val="20"/>
          <w:shd w:val="clear" w:color="auto" w:fill="FFFFFF"/>
        </w:rPr>
        <w:t> </w:t>
      </w:r>
      <w:bookmarkStart w:id="2" w:name="SR;3883"/>
      <w:bookmarkEnd w:id="2"/>
      <w:r w:rsidRPr="00163967">
        <w:rPr>
          <w:rStyle w:val="apple-converted-space"/>
          <w:color w:val="000000"/>
          <w:szCs w:val="20"/>
          <w:shd w:val="clear" w:color="auto" w:fill="FFFFFF"/>
        </w:rPr>
        <w:t>law</w:t>
      </w:r>
      <w:r w:rsidRPr="00163967">
        <w:rPr>
          <w:color w:val="000000"/>
          <w:szCs w:val="20"/>
          <w:shd w:val="clear" w:color="auto" w:fill="FFFFFF"/>
        </w:rPr>
        <w:t xml:space="preserve">, which the Commission does not consider a mitigating circumstance”); </w:t>
      </w:r>
      <w:r w:rsidR="00796157">
        <w:rPr>
          <w:i/>
          <w:color w:val="000000"/>
          <w:szCs w:val="20"/>
          <w:shd w:val="clear" w:color="auto" w:fill="FFFFFF"/>
        </w:rPr>
        <w:t>W. Slope Commc’ns, LLC</w:t>
      </w:r>
      <w:r w:rsidR="00796157">
        <w:rPr>
          <w:color w:val="000000"/>
          <w:szCs w:val="20"/>
          <w:shd w:val="clear" w:color="auto" w:fill="FFFFFF"/>
        </w:rPr>
        <w:t>, Forfeiture Order, 29 FCC Rcd 10470, 10471, para. 6 (Enf. Bur. 2014) (“Inadvertent mistakes are not mitigating circumstances that can serve to justify a forfeiture reduction.”);</w:t>
      </w:r>
      <w:r w:rsidR="00796157">
        <w:rPr>
          <w:i/>
          <w:color w:val="000000"/>
          <w:szCs w:val="20"/>
          <w:shd w:val="clear" w:color="auto" w:fill="FFFFFF"/>
        </w:rPr>
        <w:t xml:space="preserve"> </w:t>
      </w:r>
      <w:r w:rsidRPr="00163967">
        <w:rPr>
          <w:i/>
          <w:iCs/>
          <w:color w:val="000000"/>
          <w:szCs w:val="20"/>
          <w:shd w:val="clear" w:color="auto" w:fill="FFFFFF"/>
        </w:rPr>
        <w:t>Emigrant Storage</w:t>
      </w:r>
      <w:r w:rsidR="00796157">
        <w:rPr>
          <w:i/>
          <w:iCs/>
          <w:color w:val="000000"/>
          <w:szCs w:val="20"/>
          <w:shd w:val="clear" w:color="auto" w:fill="FFFFFF"/>
        </w:rPr>
        <w:t xml:space="preserve"> LLC</w:t>
      </w:r>
      <w:r w:rsidRPr="00163967">
        <w:rPr>
          <w:color w:val="000000"/>
          <w:szCs w:val="20"/>
          <w:shd w:val="clear" w:color="auto" w:fill="FFFFFF"/>
        </w:rPr>
        <w:t>, Notice of Apparent Liability for Forfeiture, 27 FCC Rcd 8917, 8920, para. 9 (Enf. Bur. 2012) (declining to downwardly adjust a forfeiture where the violation resulted from oversight and a change in personnel).</w:t>
      </w:r>
    </w:p>
  </w:footnote>
  <w:footnote w:id="16">
    <w:p w14:paraId="021B2563" w14:textId="54559516" w:rsidR="00A5530F" w:rsidRPr="004A10EE" w:rsidRDefault="00A5530F" w:rsidP="00597723">
      <w:pPr>
        <w:spacing w:after="120"/>
      </w:pPr>
      <w:r w:rsidRPr="00163967">
        <w:rPr>
          <w:rStyle w:val="FootnoteReference"/>
        </w:rPr>
        <w:footnoteRef/>
      </w:r>
      <w:r w:rsidRPr="008E5F5B">
        <w:rPr>
          <w:sz w:val="20"/>
        </w:rPr>
        <w:t xml:space="preserve"> </w:t>
      </w:r>
      <w:r w:rsidRPr="008E5F5B">
        <w:rPr>
          <w:i/>
          <w:sz w:val="20"/>
        </w:rPr>
        <w:t>Discussion Radio, Inc.</w:t>
      </w:r>
      <w:r w:rsidRPr="008E5F5B">
        <w:rPr>
          <w:sz w:val="20"/>
        </w:rPr>
        <w:t>, Memorandum Opinion and Order</w:t>
      </w:r>
      <w:r w:rsidRPr="00163967">
        <w:rPr>
          <w:sz w:val="20"/>
          <w:szCs w:val="20"/>
        </w:rPr>
        <w:t xml:space="preserve"> and Notice of Apparent Liability</w:t>
      </w:r>
      <w:r w:rsidRPr="008E5F5B">
        <w:rPr>
          <w:sz w:val="20"/>
        </w:rPr>
        <w:t>, 19 FCC Rcd 7433, 7437, para. 12 (2004)</w:t>
      </w:r>
      <w:r w:rsidR="004A10EE">
        <w:rPr>
          <w:color w:val="000000" w:themeColor="text1"/>
          <w:sz w:val="20"/>
        </w:rPr>
        <w:t xml:space="preserve">; </w:t>
      </w:r>
      <w:r w:rsidR="004A10EE">
        <w:rPr>
          <w:i/>
          <w:color w:val="000000" w:themeColor="text1"/>
          <w:sz w:val="20"/>
        </w:rPr>
        <w:t>W. Slope Commc’ns</w:t>
      </w:r>
      <w:r w:rsidR="004A10EE">
        <w:rPr>
          <w:color w:val="000000" w:themeColor="text1"/>
          <w:sz w:val="20"/>
        </w:rPr>
        <w:t>, 29 FCC Rcd at 10471, para. 6.</w:t>
      </w:r>
    </w:p>
  </w:footnote>
  <w:footnote w:id="17">
    <w:p w14:paraId="1624D1AB" w14:textId="50070D14" w:rsidR="00597723" w:rsidRPr="00597723" w:rsidRDefault="00597723" w:rsidP="00597723">
      <w:pPr>
        <w:pStyle w:val="FootnoteText"/>
        <w:tabs>
          <w:tab w:val="clear" w:pos="720"/>
        </w:tabs>
        <w:ind w:firstLine="0"/>
        <w:jc w:val="left"/>
      </w:pPr>
      <w:r>
        <w:rPr>
          <w:rStyle w:val="FootnoteReference"/>
        </w:rPr>
        <w:footnoteRef/>
      </w:r>
      <w:r>
        <w:t xml:space="preserve"> </w:t>
      </w:r>
      <w:r>
        <w:rPr>
          <w:i/>
        </w:rPr>
        <w:t xml:space="preserve">NAL Response </w:t>
      </w:r>
      <w:r>
        <w:t>at 4.</w:t>
      </w:r>
    </w:p>
  </w:footnote>
  <w:footnote w:id="18">
    <w:p w14:paraId="1B6219B7" w14:textId="77777777" w:rsidR="00597723" w:rsidRPr="005A6D93" w:rsidRDefault="00597723" w:rsidP="00597723">
      <w:pPr>
        <w:pStyle w:val="FootnoteText"/>
        <w:ind w:firstLine="0"/>
        <w:jc w:val="left"/>
      </w:pPr>
      <w:r w:rsidRPr="005A6D93">
        <w:rPr>
          <w:rStyle w:val="FootnoteReference"/>
        </w:rPr>
        <w:footnoteRef/>
      </w:r>
      <w:r w:rsidRPr="005A6D93">
        <w:t xml:space="preserve"> </w:t>
      </w:r>
      <w:r w:rsidRPr="005A6D93">
        <w:rPr>
          <w:i/>
          <w:iCs/>
        </w:rPr>
        <w:t>See, e.g.</w:t>
      </w:r>
      <w:r w:rsidRPr="005A6D93">
        <w:t>,</w:t>
      </w:r>
      <w:r w:rsidRPr="005A6D93">
        <w:rPr>
          <w:i/>
          <w:iCs/>
        </w:rPr>
        <w:t xml:space="preserve"> </w:t>
      </w:r>
      <w:r w:rsidRPr="001E38F2">
        <w:rPr>
          <w:i/>
          <w:iCs/>
        </w:rPr>
        <w:t>Seawest Yacht Brokers</w:t>
      </w:r>
      <w:r w:rsidRPr="001E38F2">
        <w:rPr>
          <w:iCs/>
        </w:rPr>
        <w:t xml:space="preserve">, </w:t>
      </w:r>
      <w:r w:rsidRPr="001E38F2">
        <w:t>Notice of Forfeiture</w:t>
      </w:r>
      <w:r w:rsidRPr="001E38F2">
        <w:rPr>
          <w:iCs/>
        </w:rPr>
        <w:t>, 9 FCC Rcd 6099, 6099, para. 7 (1994)</w:t>
      </w:r>
      <w:r w:rsidRPr="005A6D93">
        <w:rPr>
          <w:iCs/>
        </w:rPr>
        <w:t xml:space="preserve"> </w:t>
      </w:r>
      <w:r w:rsidRPr="005A6D93">
        <w:t>(</w:t>
      </w:r>
      <w:r w:rsidRPr="005A6D93">
        <w:rPr>
          <w:iCs/>
        </w:rPr>
        <w:t>citations omitted)</w:t>
      </w:r>
      <w:r w:rsidRPr="005A6D93">
        <w:t xml:space="preserve">; </w:t>
      </w:r>
      <w:r w:rsidRPr="001E38F2">
        <w:rPr>
          <w:i/>
          <w:iCs/>
        </w:rPr>
        <w:t>Exec. Broad. Corp.</w:t>
      </w:r>
      <w:r w:rsidRPr="001E38F2">
        <w:t xml:space="preserve">, </w:t>
      </w:r>
      <w:r>
        <w:t xml:space="preserve">Memorandum Opinion and Order, </w:t>
      </w:r>
      <w:r w:rsidRPr="001E38F2">
        <w:t>3 FCC 2d 699, 700, para. 6 (1966)</w:t>
      </w:r>
      <w:r w:rsidRPr="005A6D93">
        <w:t xml:space="preserve"> (“The fact that prompt corrective action was taken . . . does not excuse the prior violations.”).</w:t>
      </w:r>
    </w:p>
  </w:footnote>
  <w:footnote w:id="19">
    <w:p w14:paraId="22EE6868" w14:textId="5D6F377E" w:rsidR="004A10EE" w:rsidRDefault="004A10EE" w:rsidP="00597723">
      <w:pPr>
        <w:pStyle w:val="FootnoteText"/>
        <w:tabs>
          <w:tab w:val="clear" w:pos="720"/>
        </w:tabs>
        <w:ind w:firstLine="0"/>
        <w:jc w:val="left"/>
      </w:pPr>
      <w:r>
        <w:rPr>
          <w:rStyle w:val="FootnoteReference"/>
        </w:rPr>
        <w:footnoteRef/>
      </w:r>
      <w:r>
        <w:t xml:space="preserve"> </w:t>
      </w:r>
      <w:r w:rsidRPr="00F0517B">
        <w:rPr>
          <w:i/>
        </w:rPr>
        <w:t>See</w:t>
      </w:r>
      <w:r>
        <w:rPr>
          <w:i/>
        </w:rPr>
        <w:t>, e.g.</w:t>
      </w:r>
      <w:r>
        <w:t>,</w:t>
      </w:r>
      <w:r w:rsidRPr="00F0517B">
        <w:rPr>
          <w:i/>
        </w:rPr>
        <w:t xml:space="preserve"> Centro Colegial Cristiano, Inc.</w:t>
      </w:r>
      <w:r w:rsidRPr="00F0517B">
        <w:t xml:space="preserve">, Forfeiture Order, 28 FCC Rcd 14734 (Enf. Bur. 2013) (proposed forfeiture reduced based on history </w:t>
      </w:r>
      <w:r>
        <w:t>of compliance with the Rules).</w:t>
      </w:r>
    </w:p>
  </w:footnote>
  <w:footnote w:id="20">
    <w:p w14:paraId="2384013A" w14:textId="68421976" w:rsidR="0066702C" w:rsidRPr="005F515C" w:rsidRDefault="0066702C" w:rsidP="00597723">
      <w:pPr>
        <w:pStyle w:val="FootnoteText"/>
        <w:ind w:firstLine="0"/>
        <w:jc w:val="left"/>
        <w:rPr>
          <w:color w:val="000000"/>
        </w:rPr>
      </w:pPr>
      <w:r w:rsidRPr="005F515C">
        <w:rPr>
          <w:rStyle w:val="FootnoteReference"/>
          <w:color w:val="000000"/>
        </w:rPr>
        <w:footnoteRef/>
      </w:r>
      <w:r w:rsidR="004A10EE">
        <w:rPr>
          <w:color w:val="000000"/>
        </w:rPr>
        <w:t xml:space="preserve"> 47 U.S.C. §§ 303</w:t>
      </w:r>
      <w:r w:rsidR="006E1EA9">
        <w:rPr>
          <w:color w:val="000000"/>
        </w:rPr>
        <w:t>(q)</w:t>
      </w:r>
      <w:r w:rsidRPr="005F515C">
        <w:rPr>
          <w:color w:val="000000"/>
        </w:rPr>
        <w:t>, 503(b); 47 C.F.R. §§ 0.111, 0.204, 0.311, 0.314, 1.80</w:t>
      </w:r>
      <w:r w:rsidR="004A10EE">
        <w:rPr>
          <w:color w:val="000000"/>
        </w:rPr>
        <w:t>(f)(4)</w:t>
      </w:r>
      <w:r w:rsidRPr="005F515C">
        <w:rPr>
          <w:color w:val="000000"/>
        </w:rPr>
        <w:t>, 1</w:t>
      </w:r>
      <w:r w:rsidR="006E1EA9">
        <w:rPr>
          <w:color w:val="000000"/>
        </w:rPr>
        <w:t>7.23, 17.48(a)</w:t>
      </w:r>
      <w:r w:rsidRPr="005F515C">
        <w:rPr>
          <w:color w:val="000000"/>
        </w:rPr>
        <w:t>.</w:t>
      </w:r>
    </w:p>
  </w:footnote>
  <w:footnote w:id="21">
    <w:p w14:paraId="234AF86A" w14:textId="77777777" w:rsidR="00A80EF9" w:rsidRPr="00163967" w:rsidRDefault="00A80EF9" w:rsidP="00597723">
      <w:pPr>
        <w:pStyle w:val="FootnoteText"/>
        <w:widowControl/>
        <w:ind w:firstLine="0"/>
        <w:jc w:val="left"/>
        <w:rPr>
          <w:szCs w:val="20"/>
        </w:rPr>
      </w:pPr>
      <w:r w:rsidRPr="00163967">
        <w:rPr>
          <w:rStyle w:val="FootnoteReference"/>
        </w:rPr>
        <w:footnoteRef/>
      </w:r>
      <w:r w:rsidRPr="00163967">
        <w:rPr>
          <w:szCs w:val="20"/>
        </w:rPr>
        <w:t xml:space="preserve"> 47 C.F.R. § 1.80.</w:t>
      </w:r>
    </w:p>
  </w:footnote>
  <w:footnote w:id="22">
    <w:p w14:paraId="0E28AD76" w14:textId="77777777" w:rsidR="00A80EF9" w:rsidRPr="00163967" w:rsidRDefault="00A80EF9" w:rsidP="00597723">
      <w:pPr>
        <w:pStyle w:val="FootnoteText"/>
        <w:widowControl/>
        <w:ind w:firstLine="0"/>
        <w:jc w:val="left"/>
        <w:rPr>
          <w:szCs w:val="20"/>
        </w:rPr>
      </w:pPr>
      <w:r w:rsidRPr="00163967">
        <w:rPr>
          <w:rStyle w:val="FootnoteReference"/>
        </w:rPr>
        <w:footnoteRef/>
      </w:r>
      <w:r w:rsidRPr="00163967">
        <w:rPr>
          <w:szCs w:val="20"/>
        </w:rPr>
        <w:t xml:space="preserve"> 47 U.S.C. § 504(a).</w:t>
      </w:r>
    </w:p>
  </w:footnote>
  <w:footnote w:id="23">
    <w:p w14:paraId="49934F20" w14:textId="77777777" w:rsidR="00A80EF9" w:rsidRPr="00163967" w:rsidRDefault="00A80EF9" w:rsidP="00597723">
      <w:pPr>
        <w:pStyle w:val="FootnoteText"/>
        <w:widowControl/>
        <w:ind w:firstLine="0"/>
        <w:jc w:val="left"/>
        <w:rPr>
          <w:szCs w:val="20"/>
        </w:rPr>
      </w:pPr>
      <w:r w:rsidRPr="00163967">
        <w:rPr>
          <w:rStyle w:val="FootnoteReference"/>
        </w:rPr>
        <w:footnoteRef/>
      </w:r>
      <w:r w:rsidRPr="00163967">
        <w:rPr>
          <w:szCs w:val="20"/>
        </w:rPr>
        <w:t xml:space="preserve"> </w:t>
      </w:r>
      <w:r w:rsidRPr="00163967">
        <w:rPr>
          <w:rFonts w:eastAsia="MS Mincho" w:cs="Arial"/>
          <w:szCs w:val="20"/>
        </w:rPr>
        <w:t>An FCC Form 159 and detailed instructions for completing the form may be obtained at http://www.fcc.gov/Forms/Form159/159.pdf.</w:t>
      </w:r>
    </w:p>
  </w:footnote>
  <w:footnote w:id="24">
    <w:p w14:paraId="334F4E80" w14:textId="77777777" w:rsidR="00A80EF9" w:rsidRPr="00163967" w:rsidRDefault="00A80EF9" w:rsidP="00597723">
      <w:pPr>
        <w:pStyle w:val="FootnoteText"/>
        <w:widowControl/>
        <w:ind w:firstLine="0"/>
        <w:jc w:val="left"/>
        <w:rPr>
          <w:szCs w:val="20"/>
        </w:rPr>
      </w:pPr>
      <w:r w:rsidRPr="00163967">
        <w:rPr>
          <w:rStyle w:val="FootnoteReference"/>
        </w:rPr>
        <w:footnoteRef/>
      </w:r>
      <w:r w:rsidRPr="00163967">
        <w:rPr>
          <w:szCs w:val="20"/>
        </w:rPr>
        <w:t xml:space="preserve"> </w:t>
      </w:r>
      <w:r w:rsidRPr="00163967">
        <w:rPr>
          <w:i/>
          <w:szCs w:val="20"/>
        </w:rPr>
        <w:t>See</w:t>
      </w:r>
      <w:r w:rsidRPr="00163967">
        <w:rPr>
          <w:szCs w:val="20"/>
        </w:rP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15410" w14:textId="77777777" w:rsidR="001F0810" w:rsidRDefault="001F08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97C9D" w14:textId="0E22BEEE" w:rsidR="00A80EF9" w:rsidRDefault="00A80EF9">
    <w:pPr>
      <w:tabs>
        <w:tab w:val="center" w:pos="4680"/>
        <w:tab w:val="right" w:pos="9360"/>
      </w:tabs>
      <w:suppressAutoHyphens/>
      <w:spacing w:line="227" w:lineRule="auto"/>
      <w:jc w:val="both"/>
      <w:rPr>
        <w:b/>
      </w:rPr>
    </w:pPr>
    <w:r>
      <w:rPr>
        <w:b/>
      </w:rPr>
      <w:tab/>
      <w:t>Federal Communications Commission</w:t>
    </w:r>
    <w:r>
      <w:rPr>
        <w:b/>
      </w:rPr>
      <w:tab/>
      <w:t>DA 1</w:t>
    </w:r>
    <w:r w:rsidR="00333191">
      <w:rPr>
        <w:b/>
      </w:rPr>
      <w:t>5</w:t>
    </w:r>
    <w:r>
      <w:rPr>
        <w:b/>
      </w:rPr>
      <w:t>-</w:t>
    </w:r>
    <w:r w:rsidR="001518DA">
      <w:rPr>
        <w:b/>
      </w:rPr>
      <w:t>27</w:t>
    </w:r>
  </w:p>
  <w:p w14:paraId="7E7E8765" w14:textId="77777777" w:rsidR="00A80EF9" w:rsidRDefault="00345358">
    <w:pPr>
      <w:pStyle w:val="Header"/>
      <w:jc w:val="both"/>
      <w:rPr>
        <w:b/>
      </w:rPr>
    </w:pPr>
    <w:r>
      <w:rPr>
        <w:b/>
        <w:noProof/>
      </w:rPr>
      <mc:AlternateContent>
        <mc:Choice Requires="wps">
          <w:drawing>
            <wp:anchor distT="0" distB="0" distL="114300" distR="114300" simplePos="0" relativeHeight="251657216" behindDoc="1" locked="0" layoutInCell="0" allowOverlap="1" wp14:anchorId="290CFB6D" wp14:editId="72164FD3">
              <wp:simplePos x="0" y="0"/>
              <wp:positionH relativeFrom="margin">
                <wp:posOffset>0</wp:posOffset>
              </wp:positionH>
              <wp:positionV relativeFrom="paragraph">
                <wp:posOffset>-8890</wp:posOffset>
              </wp:positionV>
              <wp:extent cx="5943600" cy="1206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83501B" w14:textId="77777777" w:rsidR="00A80EF9" w:rsidRDefault="00A80E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0;margin-top:-.7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Ue7AIAAD4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" o:allowincell="f" fillcolor="black" stroked="f" strokeweight=".05pt">
              <v:textbox>
                <w:txbxContent>
                  <w:p w14:paraId="0483501B" w14:textId="77777777" w:rsidR="00A80EF9" w:rsidRDefault="00A80EF9"/>
                </w:txbxContent>
              </v:textbox>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001BB" w14:textId="780D0038" w:rsidR="00A80EF9" w:rsidRDefault="00A80EF9">
    <w:pPr>
      <w:tabs>
        <w:tab w:val="center" w:pos="4680"/>
        <w:tab w:val="right" w:pos="9360"/>
      </w:tabs>
      <w:suppressAutoHyphens/>
      <w:spacing w:line="227" w:lineRule="auto"/>
      <w:jc w:val="both"/>
      <w:rPr>
        <w:spacing w:val="-2"/>
      </w:rPr>
    </w:pPr>
    <w:r>
      <w:rPr>
        <w:b/>
        <w:spacing w:val="-2"/>
      </w:rPr>
      <w:tab/>
      <w:t>Federal</w:t>
    </w:r>
    <w:r w:rsidR="00333191">
      <w:rPr>
        <w:b/>
        <w:spacing w:val="-2"/>
      </w:rPr>
      <w:t xml:space="preserve"> Communications Commission</w:t>
    </w:r>
    <w:r w:rsidR="00333191">
      <w:rPr>
        <w:b/>
        <w:spacing w:val="-2"/>
      </w:rPr>
      <w:tab/>
      <w:t>DA 15</w:t>
    </w:r>
    <w:r>
      <w:rPr>
        <w:b/>
        <w:spacing w:val="-2"/>
      </w:rPr>
      <w:t>-</w:t>
    </w:r>
    <w:r w:rsidR="001518DA">
      <w:rPr>
        <w:b/>
        <w:spacing w:val="-2"/>
      </w:rPr>
      <w:t>27</w:t>
    </w:r>
  </w:p>
  <w:p w14:paraId="4E0F5559" w14:textId="7A20EEE5" w:rsidR="00A80EF9" w:rsidRPr="008E5F5B" w:rsidRDefault="00345358" w:rsidP="008E5F5B">
    <w:pPr>
      <w:tabs>
        <w:tab w:val="left" w:pos="-1440"/>
        <w:tab w:val="left" w:pos="-720"/>
        <w:tab w:val="left" w:pos="3240"/>
      </w:tabs>
      <w:suppressAutoHyphens/>
      <w:spacing w:line="19" w:lineRule="exact"/>
      <w:jc w:val="both"/>
      <w:rPr>
        <w:spacing w:val="-2"/>
      </w:rPr>
    </w:pPr>
    <w:r>
      <w:rPr>
        <w:noProof/>
      </w:rPr>
      <mc:AlternateContent>
        <mc:Choice Requires="wps">
          <w:drawing>
            <wp:anchor distT="0" distB="0" distL="114300" distR="114300" simplePos="0" relativeHeight="251658240" behindDoc="1" locked="0" layoutInCell="0" allowOverlap="1" wp14:anchorId="24622C34" wp14:editId="6546999C">
              <wp:simplePos x="0" y="0"/>
              <wp:positionH relativeFrom="margin">
                <wp:posOffset>0</wp:posOffset>
              </wp:positionH>
              <wp:positionV relativeFrom="paragraph">
                <wp:posOffset>0</wp:posOffset>
              </wp:positionV>
              <wp:extent cx="5943600" cy="12065"/>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4642F6" w14:textId="77777777" w:rsidR="00A80EF9" w:rsidRDefault="00A80E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Ua7wIAAEU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" o:allowincell="f" fillcolor="black" stroked="f" strokeweight=".05pt">
              <v:textbox>
                <w:txbxContent>
                  <w:p w14:paraId="1B4642F6" w14:textId="77777777" w:rsidR="00A80EF9" w:rsidRDefault="00A80EF9"/>
                </w:txbxContent>
              </v:textbox>
              <w10:wrap anchorx="margin"/>
            </v:rect>
          </w:pict>
        </mc:Fallback>
      </mc:AlternateContent>
    </w:r>
    <w:r w:rsidR="00DC2EFE" w:rsidRPr="008E5F5B">
      <w:rPr>
        <w:spacing w:val="-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645E"/>
    <w:multiLevelType w:val="singleLevel"/>
    <w:tmpl w:val="C2CC7D36"/>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1">
    <w:nsid w:val="17070BBF"/>
    <w:multiLevelType w:val="singleLevel"/>
    <w:tmpl w:val="8A4E7E60"/>
    <w:lvl w:ilvl="0">
      <w:start w:val="1"/>
      <w:numFmt w:val="decimal"/>
      <w:lvlText w:val="%1."/>
      <w:lvlJc w:val="left"/>
      <w:pPr>
        <w:tabs>
          <w:tab w:val="num" w:pos="1515"/>
        </w:tabs>
        <w:ind w:left="1515" w:hanging="795"/>
      </w:pPr>
      <w:rPr>
        <w:rFonts w:hint="default"/>
        <w:b w:val="0"/>
      </w:rPr>
    </w:lvl>
  </w:abstractNum>
  <w:abstractNum w:abstractNumId="2">
    <w:nsid w:val="1A2F361D"/>
    <w:multiLevelType w:val="singleLevel"/>
    <w:tmpl w:val="C2CC7D36"/>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3">
    <w:nsid w:val="1CDB4623"/>
    <w:multiLevelType w:val="hybridMultilevel"/>
    <w:tmpl w:val="3B860DE8"/>
    <w:lvl w:ilvl="0" w:tplc="CABAE556">
      <w:start w:val="1"/>
      <w:numFmt w:val="decimal"/>
      <w:lvlText w:val="%1."/>
      <w:lvlJc w:val="left"/>
      <w:pPr>
        <w:tabs>
          <w:tab w:val="num" w:pos="1260"/>
        </w:tabs>
        <w:ind w:left="180" w:firstLine="72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BB274C"/>
    <w:multiLevelType w:val="hybridMultilevel"/>
    <w:tmpl w:val="92BE03C4"/>
    <w:lvl w:ilvl="0" w:tplc="6D1AE0AA">
      <w:start w:val="2"/>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2CCD7CCE"/>
    <w:multiLevelType w:val="hybridMultilevel"/>
    <w:tmpl w:val="3DB6DD78"/>
    <w:lvl w:ilvl="0" w:tplc="36049E4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222D9A"/>
    <w:multiLevelType w:val="singleLevel"/>
    <w:tmpl w:val="E0B2BEC6"/>
    <w:lvl w:ilvl="0">
      <w:start w:val="1"/>
      <w:numFmt w:val="decimal"/>
      <w:lvlText w:val="%1."/>
      <w:legacy w:legacy="1" w:legacySpace="0" w:legacyIndent="720"/>
      <w:lvlJc w:val="left"/>
      <w:rPr>
        <w:rFonts w:ascii="Times New Roman" w:hAnsi="Times New Roman" w:cs="Times New Roman" w:hint="default"/>
      </w:rPr>
    </w:lvl>
  </w:abstractNum>
  <w:abstractNum w:abstractNumId="7">
    <w:nsid w:val="3D0F1B3D"/>
    <w:multiLevelType w:val="singleLevel"/>
    <w:tmpl w:val="FBEE92A4"/>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9">
    <w:nsid w:val="432817C4"/>
    <w:multiLevelType w:val="singleLevel"/>
    <w:tmpl w:val="C2CC7D36"/>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10">
    <w:nsid w:val="50A21FC2"/>
    <w:multiLevelType w:val="hybridMultilevel"/>
    <w:tmpl w:val="DBBAF81E"/>
    <w:lvl w:ilvl="0" w:tplc="ABA4337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1182925"/>
    <w:multiLevelType w:val="singleLevel"/>
    <w:tmpl w:val="D5A8460C"/>
    <w:lvl w:ilvl="0">
      <w:start w:val="1"/>
      <w:numFmt w:val="decimal"/>
      <w:lvlText w:val="%1."/>
      <w:lvlJc w:val="left"/>
      <w:pPr>
        <w:tabs>
          <w:tab w:val="num" w:pos="1080"/>
        </w:tabs>
        <w:ind w:left="0" w:firstLine="720"/>
      </w:pPr>
      <w:rPr>
        <w:b w:val="0"/>
      </w:rPr>
    </w:lvl>
  </w:abstractNum>
  <w:abstractNum w:abstractNumId="12">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7E5C6F81"/>
    <w:multiLevelType w:val="hybridMultilevel"/>
    <w:tmpl w:val="F0E4DE98"/>
    <w:lvl w:ilvl="0" w:tplc="CABAE556">
      <w:start w:val="1"/>
      <w:numFmt w:val="decimal"/>
      <w:lvlText w:val="%1."/>
      <w:lvlJc w:val="left"/>
      <w:pPr>
        <w:tabs>
          <w:tab w:val="num" w:pos="1080"/>
        </w:tabs>
        <w:ind w:left="0" w:firstLine="720"/>
      </w:pPr>
      <w:rPr>
        <w:rFonts w:ascii="Times New Roman" w:hAnsi="Times New Roman" w:hint="default"/>
        <w:b w:val="0"/>
        <w:i w:val="0"/>
        <w:sz w:val="22"/>
        <w:szCs w:val="22"/>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9"/>
  </w:num>
  <w:num w:numId="2">
    <w:abstractNumId w:val="7"/>
  </w:num>
  <w:num w:numId="3">
    <w:abstractNumId w:val="5"/>
  </w:num>
  <w:num w:numId="4">
    <w:abstractNumId w:val="12"/>
  </w:num>
  <w:num w:numId="5">
    <w:abstractNumId w:val="4"/>
  </w:num>
  <w:num w:numId="6">
    <w:abstractNumId w:val="6"/>
  </w:num>
  <w:num w:numId="7">
    <w:abstractNumId w:val="3"/>
  </w:num>
  <w:num w:numId="8">
    <w:abstractNumId w:val="13"/>
  </w:num>
  <w:num w:numId="9">
    <w:abstractNumId w:val="11"/>
  </w:num>
  <w:num w:numId="1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386"/>
    <w:rsid w:val="0000158E"/>
    <w:rsid w:val="00013AE8"/>
    <w:rsid w:val="00017501"/>
    <w:rsid w:val="000357E9"/>
    <w:rsid w:val="00040102"/>
    <w:rsid w:val="00045489"/>
    <w:rsid w:val="000478B5"/>
    <w:rsid w:val="0006591B"/>
    <w:rsid w:val="00065D52"/>
    <w:rsid w:val="00093028"/>
    <w:rsid w:val="00095EBC"/>
    <w:rsid w:val="000B4DF2"/>
    <w:rsid w:val="000B6F53"/>
    <w:rsid w:val="000B7B9C"/>
    <w:rsid w:val="000D0607"/>
    <w:rsid w:val="000D7FCC"/>
    <w:rsid w:val="000E468A"/>
    <w:rsid w:val="000E5BF2"/>
    <w:rsid w:val="001143CD"/>
    <w:rsid w:val="001221C1"/>
    <w:rsid w:val="00136A91"/>
    <w:rsid w:val="00136BBF"/>
    <w:rsid w:val="00146E82"/>
    <w:rsid w:val="00150D99"/>
    <w:rsid w:val="001518DA"/>
    <w:rsid w:val="001557D7"/>
    <w:rsid w:val="00160E82"/>
    <w:rsid w:val="00163967"/>
    <w:rsid w:val="00187123"/>
    <w:rsid w:val="001B2825"/>
    <w:rsid w:val="001B5E6D"/>
    <w:rsid w:val="001C0059"/>
    <w:rsid w:val="001C0F6A"/>
    <w:rsid w:val="001C1B23"/>
    <w:rsid w:val="001C3864"/>
    <w:rsid w:val="001D3E1E"/>
    <w:rsid w:val="001D684D"/>
    <w:rsid w:val="001E38F2"/>
    <w:rsid w:val="001E3A4D"/>
    <w:rsid w:val="001F0226"/>
    <w:rsid w:val="001F0810"/>
    <w:rsid w:val="001F15E6"/>
    <w:rsid w:val="001F4B55"/>
    <w:rsid w:val="001F55A1"/>
    <w:rsid w:val="001F6ECD"/>
    <w:rsid w:val="001F73B5"/>
    <w:rsid w:val="00211A8B"/>
    <w:rsid w:val="00215EF4"/>
    <w:rsid w:val="00224EAA"/>
    <w:rsid w:val="00226B3D"/>
    <w:rsid w:val="00233F20"/>
    <w:rsid w:val="002366FC"/>
    <w:rsid w:val="00236992"/>
    <w:rsid w:val="002375F1"/>
    <w:rsid w:val="00243A06"/>
    <w:rsid w:val="00246614"/>
    <w:rsid w:val="00250566"/>
    <w:rsid w:val="00257394"/>
    <w:rsid w:val="00257A91"/>
    <w:rsid w:val="002622B8"/>
    <w:rsid w:val="0026705B"/>
    <w:rsid w:val="0027787A"/>
    <w:rsid w:val="00287E3C"/>
    <w:rsid w:val="002A5137"/>
    <w:rsid w:val="002A7814"/>
    <w:rsid w:val="002C4062"/>
    <w:rsid w:val="002C7509"/>
    <w:rsid w:val="002E2B38"/>
    <w:rsid w:val="002F2B12"/>
    <w:rsid w:val="00300B98"/>
    <w:rsid w:val="00306A7D"/>
    <w:rsid w:val="00316860"/>
    <w:rsid w:val="00322833"/>
    <w:rsid w:val="00323B69"/>
    <w:rsid w:val="00333191"/>
    <w:rsid w:val="00334D47"/>
    <w:rsid w:val="00334DCA"/>
    <w:rsid w:val="00345358"/>
    <w:rsid w:val="00360754"/>
    <w:rsid w:val="003621F1"/>
    <w:rsid w:val="00375529"/>
    <w:rsid w:val="00377189"/>
    <w:rsid w:val="0038494B"/>
    <w:rsid w:val="003876EE"/>
    <w:rsid w:val="003C54FB"/>
    <w:rsid w:val="003E4E57"/>
    <w:rsid w:val="0040394E"/>
    <w:rsid w:val="00403CCA"/>
    <w:rsid w:val="00404144"/>
    <w:rsid w:val="004167ED"/>
    <w:rsid w:val="00426F4E"/>
    <w:rsid w:val="00430434"/>
    <w:rsid w:val="00430B8A"/>
    <w:rsid w:val="0043171B"/>
    <w:rsid w:val="00436EF6"/>
    <w:rsid w:val="00447053"/>
    <w:rsid w:val="004573F0"/>
    <w:rsid w:val="004641DD"/>
    <w:rsid w:val="00474D57"/>
    <w:rsid w:val="00484344"/>
    <w:rsid w:val="00495717"/>
    <w:rsid w:val="004A0570"/>
    <w:rsid w:val="004A10EE"/>
    <w:rsid w:val="004A76ED"/>
    <w:rsid w:val="004B3D91"/>
    <w:rsid w:val="004C3A68"/>
    <w:rsid w:val="004C50D7"/>
    <w:rsid w:val="004C55DA"/>
    <w:rsid w:val="004D32B8"/>
    <w:rsid w:val="004E4192"/>
    <w:rsid w:val="00500C3C"/>
    <w:rsid w:val="00507736"/>
    <w:rsid w:val="0051192E"/>
    <w:rsid w:val="005201B5"/>
    <w:rsid w:val="005215D5"/>
    <w:rsid w:val="00525280"/>
    <w:rsid w:val="00525D4F"/>
    <w:rsid w:val="005269A2"/>
    <w:rsid w:val="00526CFB"/>
    <w:rsid w:val="00531604"/>
    <w:rsid w:val="00532D14"/>
    <w:rsid w:val="00532DC0"/>
    <w:rsid w:val="00545D6D"/>
    <w:rsid w:val="005511AE"/>
    <w:rsid w:val="0056260A"/>
    <w:rsid w:val="00563587"/>
    <w:rsid w:val="00567C29"/>
    <w:rsid w:val="00580574"/>
    <w:rsid w:val="005869CB"/>
    <w:rsid w:val="00594F52"/>
    <w:rsid w:val="00597723"/>
    <w:rsid w:val="005B0CE2"/>
    <w:rsid w:val="005B290C"/>
    <w:rsid w:val="005B6CDE"/>
    <w:rsid w:val="005C10DB"/>
    <w:rsid w:val="005D6D4F"/>
    <w:rsid w:val="005E5B28"/>
    <w:rsid w:val="005F2619"/>
    <w:rsid w:val="005F4571"/>
    <w:rsid w:val="0060774F"/>
    <w:rsid w:val="0061124B"/>
    <w:rsid w:val="00624567"/>
    <w:rsid w:val="00627660"/>
    <w:rsid w:val="00640254"/>
    <w:rsid w:val="00647BFE"/>
    <w:rsid w:val="0066026B"/>
    <w:rsid w:val="00665A4F"/>
    <w:rsid w:val="0066702C"/>
    <w:rsid w:val="00667A0E"/>
    <w:rsid w:val="006738C7"/>
    <w:rsid w:val="00692370"/>
    <w:rsid w:val="00694D63"/>
    <w:rsid w:val="006A5DE0"/>
    <w:rsid w:val="006D2C3C"/>
    <w:rsid w:val="006E1122"/>
    <w:rsid w:val="006E1EA9"/>
    <w:rsid w:val="006E6B64"/>
    <w:rsid w:val="006F37EC"/>
    <w:rsid w:val="00701719"/>
    <w:rsid w:val="007065B6"/>
    <w:rsid w:val="00726B4C"/>
    <w:rsid w:val="0073386F"/>
    <w:rsid w:val="0073534D"/>
    <w:rsid w:val="00745774"/>
    <w:rsid w:val="00747D0C"/>
    <w:rsid w:val="00750BB9"/>
    <w:rsid w:val="007531E0"/>
    <w:rsid w:val="0075733D"/>
    <w:rsid w:val="007703F8"/>
    <w:rsid w:val="00786081"/>
    <w:rsid w:val="00792346"/>
    <w:rsid w:val="00792824"/>
    <w:rsid w:val="00796157"/>
    <w:rsid w:val="007B3C8E"/>
    <w:rsid w:val="007D4710"/>
    <w:rsid w:val="007D72FB"/>
    <w:rsid w:val="0080440F"/>
    <w:rsid w:val="00804F58"/>
    <w:rsid w:val="008115F3"/>
    <w:rsid w:val="00817091"/>
    <w:rsid w:val="00835FE8"/>
    <w:rsid w:val="008411BC"/>
    <w:rsid w:val="00843372"/>
    <w:rsid w:val="00855EC9"/>
    <w:rsid w:val="00857739"/>
    <w:rsid w:val="00862BD1"/>
    <w:rsid w:val="00864481"/>
    <w:rsid w:val="00886B82"/>
    <w:rsid w:val="00895196"/>
    <w:rsid w:val="008B3887"/>
    <w:rsid w:val="008B3D50"/>
    <w:rsid w:val="008B456C"/>
    <w:rsid w:val="008C1A0C"/>
    <w:rsid w:val="008E079A"/>
    <w:rsid w:val="008E5F5B"/>
    <w:rsid w:val="008E6666"/>
    <w:rsid w:val="00912147"/>
    <w:rsid w:val="00917001"/>
    <w:rsid w:val="00923CCC"/>
    <w:rsid w:val="00925A53"/>
    <w:rsid w:val="009278D5"/>
    <w:rsid w:val="00934211"/>
    <w:rsid w:val="00951A66"/>
    <w:rsid w:val="0095288E"/>
    <w:rsid w:val="009559FA"/>
    <w:rsid w:val="009564E9"/>
    <w:rsid w:val="00972009"/>
    <w:rsid w:val="009732D2"/>
    <w:rsid w:val="009A3B4C"/>
    <w:rsid w:val="009A462D"/>
    <w:rsid w:val="009B3B64"/>
    <w:rsid w:val="009C17AA"/>
    <w:rsid w:val="009C6F42"/>
    <w:rsid w:val="009E0617"/>
    <w:rsid w:val="009E61A9"/>
    <w:rsid w:val="009F56D6"/>
    <w:rsid w:val="00A04FA3"/>
    <w:rsid w:val="00A15C53"/>
    <w:rsid w:val="00A1624B"/>
    <w:rsid w:val="00A17FBD"/>
    <w:rsid w:val="00A22F36"/>
    <w:rsid w:val="00A31F76"/>
    <w:rsid w:val="00A4026E"/>
    <w:rsid w:val="00A44DE6"/>
    <w:rsid w:val="00A52750"/>
    <w:rsid w:val="00A54EF7"/>
    <w:rsid w:val="00A5530F"/>
    <w:rsid w:val="00A6515B"/>
    <w:rsid w:val="00A7111A"/>
    <w:rsid w:val="00A72764"/>
    <w:rsid w:val="00A76318"/>
    <w:rsid w:val="00A80EF9"/>
    <w:rsid w:val="00A85887"/>
    <w:rsid w:val="00A86D7F"/>
    <w:rsid w:val="00A96136"/>
    <w:rsid w:val="00AC3EB8"/>
    <w:rsid w:val="00AD214C"/>
    <w:rsid w:val="00AF6CE4"/>
    <w:rsid w:val="00B055B2"/>
    <w:rsid w:val="00B175EB"/>
    <w:rsid w:val="00B2411E"/>
    <w:rsid w:val="00B33D4E"/>
    <w:rsid w:val="00B41224"/>
    <w:rsid w:val="00B4765D"/>
    <w:rsid w:val="00B558BA"/>
    <w:rsid w:val="00B61D95"/>
    <w:rsid w:val="00B63C6B"/>
    <w:rsid w:val="00B81DE3"/>
    <w:rsid w:val="00B83394"/>
    <w:rsid w:val="00B8444B"/>
    <w:rsid w:val="00BA5097"/>
    <w:rsid w:val="00BB693A"/>
    <w:rsid w:val="00BC4D7B"/>
    <w:rsid w:val="00BD060F"/>
    <w:rsid w:val="00BD10A2"/>
    <w:rsid w:val="00BE6EDF"/>
    <w:rsid w:val="00BF6CE1"/>
    <w:rsid w:val="00C0743B"/>
    <w:rsid w:val="00C1614E"/>
    <w:rsid w:val="00C16F99"/>
    <w:rsid w:val="00C22884"/>
    <w:rsid w:val="00C25105"/>
    <w:rsid w:val="00C3123B"/>
    <w:rsid w:val="00C330EF"/>
    <w:rsid w:val="00C401BE"/>
    <w:rsid w:val="00C41085"/>
    <w:rsid w:val="00C42218"/>
    <w:rsid w:val="00C42516"/>
    <w:rsid w:val="00C42E4D"/>
    <w:rsid w:val="00C45ADC"/>
    <w:rsid w:val="00C506B5"/>
    <w:rsid w:val="00C54B26"/>
    <w:rsid w:val="00C66DA7"/>
    <w:rsid w:val="00C67679"/>
    <w:rsid w:val="00CB0E65"/>
    <w:rsid w:val="00CB677B"/>
    <w:rsid w:val="00CC4DC9"/>
    <w:rsid w:val="00CD1DBE"/>
    <w:rsid w:val="00D00FED"/>
    <w:rsid w:val="00D07731"/>
    <w:rsid w:val="00D22F42"/>
    <w:rsid w:val="00D269A7"/>
    <w:rsid w:val="00D44695"/>
    <w:rsid w:val="00D471D6"/>
    <w:rsid w:val="00D54BD4"/>
    <w:rsid w:val="00D60D8C"/>
    <w:rsid w:val="00D70CCD"/>
    <w:rsid w:val="00D741DB"/>
    <w:rsid w:val="00D83E65"/>
    <w:rsid w:val="00D9193E"/>
    <w:rsid w:val="00D94C13"/>
    <w:rsid w:val="00DA26DD"/>
    <w:rsid w:val="00DA316C"/>
    <w:rsid w:val="00DC0C96"/>
    <w:rsid w:val="00DC25A2"/>
    <w:rsid w:val="00DC2C72"/>
    <w:rsid w:val="00DC2EFE"/>
    <w:rsid w:val="00DC59AD"/>
    <w:rsid w:val="00DD1F81"/>
    <w:rsid w:val="00DD22E5"/>
    <w:rsid w:val="00DD5284"/>
    <w:rsid w:val="00DD75F8"/>
    <w:rsid w:val="00DE5386"/>
    <w:rsid w:val="00DF4B5A"/>
    <w:rsid w:val="00E01A32"/>
    <w:rsid w:val="00E0232F"/>
    <w:rsid w:val="00E0519C"/>
    <w:rsid w:val="00E26178"/>
    <w:rsid w:val="00E43B0E"/>
    <w:rsid w:val="00E61A51"/>
    <w:rsid w:val="00E6231A"/>
    <w:rsid w:val="00E71504"/>
    <w:rsid w:val="00E72CE4"/>
    <w:rsid w:val="00E80E52"/>
    <w:rsid w:val="00E8363E"/>
    <w:rsid w:val="00E9705D"/>
    <w:rsid w:val="00EA12BF"/>
    <w:rsid w:val="00EA58D7"/>
    <w:rsid w:val="00EB7588"/>
    <w:rsid w:val="00EC740C"/>
    <w:rsid w:val="00ED6E26"/>
    <w:rsid w:val="00ED704F"/>
    <w:rsid w:val="00EE3170"/>
    <w:rsid w:val="00F07DF9"/>
    <w:rsid w:val="00F12E62"/>
    <w:rsid w:val="00F225B6"/>
    <w:rsid w:val="00F34069"/>
    <w:rsid w:val="00F37040"/>
    <w:rsid w:val="00F4427B"/>
    <w:rsid w:val="00F62E34"/>
    <w:rsid w:val="00F638B5"/>
    <w:rsid w:val="00F6621C"/>
    <w:rsid w:val="00F85FC5"/>
    <w:rsid w:val="00F900FA"/>
    <w:rsid w:val="00FA5A31"/>
    <w:rsid w:val="00FA623A"/>
    <w:rsid w:val="00FA7F8B"/>
    <w:rsid w:val="00FB29D6"/>
    <w:rsid w:val="00FB3EAE"/>
    <w:rsid w:val="00FB617A"/>
    <w:rsid w:val="00FB77D0"/>
    <w:rsid w:val="00FC01EE"/>
    <w:rsid w:val="00FC0AA9"/>
    <w:rsid w:val="00FE3257"/>
    <w:rsid w:val="00FE5B98"/>
    <w:rsid w:val="00FE731F"/>
    <w:rsid w:val="00FF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58E"/>
    <w:rPr>
      <w:sz w:val="22"/>
      <w:szCs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Pr>
      <w:sz w:val="20"/>
      <w:szCs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pPr>
      <w:widowControl w:val="0"/>
      <w:tabs>
        <w:tab w:val="left" w:pos="720"/>
      </w:tabs>
      <w:suppressAutoHyphens/>
      <w:spacing w:after="120"/>
      <w:ind w:firstLine="360"/>
      <w:jc w:val="both"/>
    </w:pPr>
    <w:rPr>
      <w:snapToGrid w:val="0"/>
      <w:sz w:val="20"/>
    </w:rPr>
  </w:style>
  <w:style w:type="paragraph" w:styleId="BodyText2">
    <w:name w:val="Body Text 2"/>
    <w:basedOn w:val="Normal"/>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paragraph" w:customStyle="1" w:styleId="ParaNum">
    <w:name w:val="ParaNum"/>
    <w:basedOn w:val="Normal"/>
    <w:link w:val="ParaNumChar"/>
    <w:pPr>
      <w:numPr>
        <w:numId w:val="2"/>
      </w:numPr>
      <w:tabs>
        <w:tab w:val="clear" w:pos="1080"/>
        <w:tab w:val="num" w:pos="1440"/>
      </w:tabs>
      <w:spacing w:after="220"/>
    </w:p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3"/>
    <w:link w:val="FootnoteText"/>
    <w:rPr>
      <w:snapToGrid w:val="0"/>
      <w:szCs w:val="22"/>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ocumentbody">
    <w:name w:val="documentbody"/>
    <w:basedOn w:val="DefaultParagraphFont"/>
    <w:uiPriority w:val="99"/>
  </w:style>
  <w:style w:type="character" w:styleId="Hyperlink">
    <w:name w:val="Hyperlink"/>
    <w:rPr>
      <w:color w:val="0000FF"/>
      <w:u w:val="single"/>
    </w:rPr>
  </w:style>
  <w:style w:type="character" w:customStyle="1" w:styleId="searchterm">
    <w:name w:val="searchterm"/>
    <w:basedOn w:val="DefaultParagraphFont"/>
  </w:style>
  <w:style w:type="character" w:customStyle="1" w:styleId="documentbody1">
    <w:name w:val="documentbody1"/>
    <w:rPr>
      <w:rFonts w:ascii="Verdana" w:hAnsi="Verdana" w:hint="default"/>
      <w:sz w:val="19"/>
      <w:szCs w:val="19"/>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3">
    <w:name w:val="toc 3"/>
    <w:basedOn w:val="Normal"/>
    <w:next w:val="Normal"/>
    <w:semiHidden/>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basedOn w:val="DefaultParagraphFont"/>
  </w:style>
  <w:style w:type="character" w:customStyle="1" w:styleId="pmterms2">
    <w:name w:val="pmterms2"/>
    <w:basedOn w:val="DefaultParagraphFont"/>
  </w:style>
  <w:style w:type="character" w:customStyle="1" w:styleId="rrfootnoteCharChar">
    <w:name w:val="rrfootnote Char Char"/>
    <w:aliases w:val="rrfootnote Char Char Char1 Char,rrfootnote Char1 Char Char,rrfootnote Char Char1,Footnote Text Char2 Char Char Char Char,Footnote Text Char1 Char2 Char Char Char Char,Footnote Text Char1 Char Char1"/>
    <w:rPr>
      <w:lang w:val="en-US" w:eastAsia="en-US" w:bidi="ar-SA"/>
    </w:rPr>
  </w:style>
  <w:style w:type="character" w:customStyle="1" w:styleId="rrfootnoteCharCharCharCharChar">
    <w:name w:val="rrfootnote Char Char Char Char Char"/>
    <w:aliases w:val="Footnote Text Char Char Char Char Char Char,rrfootnote Char,f Char,fn Char Char"/>
    <w:locked/>
    <w:rPr>
      <w:rFonts w:cs="Times New Roman"/>
      <w:color w:val="000000"/>
      <w:lang w:val="en-US" w:eastAsia="en-US" w:bidi="ar-SA"/>
    </w:rPr>
  </w:style>
  <w:style w:type="paragraph" w:styleId="BodyTextIndent3">
    <w:name w:val="Body Text Indent 3"/>
    <w:basedOn w:val="Normal"/>
    <w:pPr>
      <w:spacing w:after="120"/>
      <w:ind w:left="360"/>
    </w:pPr>
    <w:rPr>
      <w:sz w:val="16"/>
      <w:szCs w:val="16"/>
    </w:rPr>
  </w:style>
  <w:style w:type="character" w:customStyle="1" w:styleId="NOVBodyindented">
    <w:name w:val="NOV Body indented"/>
    <w:rPr>
      <w:sz w:val="22"/>
      <w:szCs w:val="22"/>
    </w:rPr>
  </w:style>
  <w:style w:type="paragraph" w:styleId="BodyText">
    <w:name w:val="Body Text"/>
    <w:basedOn w:val="Normal"/>
    <w:pPr>
      <w:spacing w:after="120"/>
    </w:pPr>
  </w:style>
  <w:style w:type="character" w:customStyle="1" w:styleId="starpage">
    <w:name w:val="starpage"/>
    <w:basedOn w:val="DefaultParagraphFont"/>
  </w:style>
  <w:style w:type="character" w:styleId="CommentReference">
    <w:name w:val="annotation reference"/>
    <w:semiHidden/>
    <w:rPr>
      <w:sz w:val="16"/>
      <w:szCs w:val="16"/>
    </w:rPr>
  </w:style>
  <w:style w:type="paragraph" w:customStyle="1" w:styleId="textinfo">
    <w:name w:val="textinfo"/>
    <w:basedOn w:val="Normal"/>
    <w:pPr>
      <w:spacing w:before="100" w:beforeAutospacing="1" w:after="100" w:afterAutospacing="1"/>
    </w:pPr>
    <w:rPr>
      <w:sz w:val="24"/>
      <w:szCs w:val="24"/>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styleId="TOAHeading">
    <w:name w:val="toa heading"/>
    <w:basedOn w:val="Normal"/>
    <w:next w:val="Normal"/>
    <w:pPr>
      <w:widowControl w:val="0"/>
      <w:tabs>
        <w:tab w:val="right" w:pos="9360"/>
      </w:tabs>
      <w:suppressAutoHyphens/>
    </w:pPr>
    <w:rPr>
      <w:snapToGrid w:val="0"/>
      <w:kern w:val="28"/>
      <w:szCs w:val="20"/>
    </w:rPr>
  </w:style>
  <w:style w:type="character" w:customStyle="1" w:styleId="FootnoteCharacters">
    <w:name w:val="Footnote Characters"/>
    <w:uiPriority w:val="99"/>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Pr>
      <w:sz w:val="20"/>
      <w:szCs w:val="20"/>
      <w:lang w:eastAsia="ar-SA"/>
    </w:rPr>
  </w:style>
  <w:style w:type="character" w:customStyle="1" w:styleId="apple-converted-space">
    <w:name w:val="apple-converted-space"/>
  </w:style>
  <w:style w:type="character" w:customStyle="1" w:styleId="ParaNumChar">
    <w:name w:val="ParaNum Char"/>
    <w:link w:val="ParaNum"/>
    <w:locked/>
    <w:rPr>
      <w:sz w:val="22"/>
      <w:szCs w:val="22"/>
    </w:rPr>
  </w:style>
  <w:style w:type="character" w:styleId="Emphasis">
    <w:name w:val="Emphasis"/>
    <w:basedOn w:val="DefaultParagraphFont"/>
    <w:uiPriority w:val="20"/>
    <w:qFormat/>
    <w:rsid w:val="005B0C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58E"/>
    <w:rPr>
      <w:sz w:val="22"/>
      <w:szCs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Pr>
      <w:sz w:val="20"/>
      <w:szCs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pPr>
      <w:widowControl w:val="0"/>
      <w:tabs>
        <w:tab w:val="left" w:pos="720"/>
      </w:tabs>
      <w:suppressAutoHyphens/>
      <w:spacing w:after="120"/>
      <w:ind w:firstLine="360"/>
      <w:jc w:val="both"/>
    </w:pPr>
    <w:rPr>
      <w:snapToGrid w:val="0"/>
      <w:sz w:val="20"/>
    </w:rPr>
  </w:style>
  <w:style w:type="paragraph" w:styleId="BodyText2">
    <w:name w:val="Body Text 2"/>
    <w:basedOn w:val="Normal"/>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paragraph" w:customStyle="1" w:styleId="ParaNum">
    <w:name w:val="ParaNum"/>
    <w:basedOn w:val="Normal"/>
    <w:link w:val="ParaNumChar"/>
    <w:pPr>
      <w:numPr>
        <w:numId w:val="2"/>
      </w:numPr>
      <w:tabs>
        <w:tab w:val="clear" w:pos="1080"/>
        <w:tab w:val="num" w:pos="1440"/>
      </w:tabs>
      <w:spacing w:after="220"/>
    </w:p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3"/>
    <w:link w:val="FootnoteText"/>
    <w:rPr>
      <w:snapToGrid w:val="0"/>
      <w:szCs w:val="22"/>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ocumentbody">
    <w:name w:val="documentbody"/>
    <w:basedOn w:val="DefaultParagraphFont"/>
    <w:uiPriority w:val="99"/>
  </w:style>
  <w:style w:type="character" w:styleId="Hyperlink">
    <w:name w:val="Hyperlink"/>
    <w:rPr>
      <w:color w:val="0000FF"/>
      <w:u w:val="single"/>
    </w:rPr>
  </w:style>
  <w:style w:type="character" w:customStyle="1" w:styleId="searchterm">
    <w:name w:val="searchterm"/>
    <w:basedOn w:val="DefaultParagraphFont"/>
  </w:style>
  <w:style w:type="character" w:customStyle="1" w:styleId="documentbody1">
    <w:name w:val="documentbody1"/>
    <w:rPr>
      <w:rFonts w:ascii="Verdana" w:hAnsi="Verdana" w:hint="default"/>
      <w:sz w:val="19"/>
      <w:szCs w:val="19"/>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3">
    <w:name w:val="toc 3"/>
    <w:basedOn w:val="Normal"/>
    <w:next w:val="Normal"/>
    <w:semiHidden/>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basedOn w:val="DefaultParagraphFont"/>
  </w:style>
  <w:style w:type="character" w:customStyle="1" w:styleId="pmterms2">
    <w:name w:val="pmterms2"/>
    <w:basedOn w:val="DefaultParagraphFont"/>
  </w:style>
  <w:style w:type="character" w:customStyle="1" w:styleId="rrfootnoteCharChar">
    <w:name w:val="rrfootnote Char Char"/>
    <w:aliases w:val="rrfootnote Char Char Char1 Char,rrfootnote Char1 Char Char,rrfootnote Char Char1,Footnote Text Char2 Char Char Char Char,Footnote Text Char1 Char2 Char Char Char Char,Footnote Text Char1 Char Char1"/>
    <w:rPr>
      <w:lang w:val="en-US" w:eastAsia="en-US" w:bidi="ar-SA"/>
    </w:rPr>
  </w:style>
  <w:style w:type="character" w:customStyle="1" w:styleId="rrfootnoteCharCharCharCharChar">
    <w:name w:val="rrfootnote Char Char Char Char Char"/>
    <w:aliases w:val="Footnote Text Char Char Char Char Char Char,rrfootnote Char,f Char,fn Char Char"/>
    <w:locked/>
    <w:rPr>
      <w:rFonts w:cs="Times New Roman"/>
      <w:color w:val="000000"/>
      <w:lang w:val="en-US" w:eastAsia="en-US" w:bidi="ar-SA"/>
    </w:rPr>
  </w:style>
  <w:style w:type="paragraph" w:styleId="BodyTextIndent3">
    <w:name w:val="Body Text Indent 3"/>
    <w:basedOn w:val="Normal"/>
    <w:pPr>
      <w:spacing w:after="120"/>
      <w:ind w:left="360"/>
    </w:pPr>
    <w:rPr>
      <w:sz w:val="16"/>
      <w:szCs w:val="16"/>
    </w:rPr>
  </w:style>
  <w:style w:type="character" w:customStyle="1" w:styleId="NOVBodyindented">
    <w:name w:val="NOV Body indented"/>
    <w:rPr>
      <w:sz w:val="22"/>
      <w:szCs w:val="22"/>
    </w:rPr>
  </w:style>
  <w:style w:type="paragraph" w:styleId="BodyText">
    <w:name w:val="Body Text"/>
    <w:basedOn w:val="Normal"/>
    <w:pPr>
      <w:spacing w:after="120"/>
    </w:pPr>
  </w:style>
  <w:style w:type="character" w:customStyle="1" w:styleId="starpage">
    <w:name w:val="starpage"/>
    <w:basedOn w:val="DefaultParagraphFont"/>
  </w:style>
  <w:style w:type="character" w:styleId="CommentReference">
    <w:name w:val="annotation reference"/>
    <w:semiHidden/>
    <w:rPr>
      <w:sz w:val="16"/>
      <w:szCs w:val="16"/>
    </w:rPr>
  </w:style>
  <w:style w:type="paragraph" w:customStyle="1" w:styleId="textinfo">
    <w:name w:val="textinfo"/>
    <w:basedOn w:val="Normal"/>
    <w:pPr>
      <w:spacing w:before="100" w:beforeAutospacing="1" w:after="100" w:afterAutospacing="1"/>
    </w:pPr>
    <w:rPr>
      <w:sz w:val="24"/>
      <w:szCs w:val="24"/>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styleId="TOAHeading">
    <w:name w:val="toa heading"/>
    <w:basedOn w:val="Normal"/>
    <w:next w:val="Normal"/>
    <w:pPr>
      <w:widowControl w:val="0"/>
      <w:tabs>
        <w:tab w:val="right" w:pos="9360"/>
      </w:tabs>
      <w:suppressAutoHyphens/>
    </w:pPr>
    <w:rPr>
      <w:snapToGrid w:val="0"/>
      <w:kern w:val="28"/>
      <w:szCs w:val="20"/>
    </w:rPr>
  </w:style>
  <w:style w:type="character" w:customStyle="1" w:styleId="FootnoteCharacters">
    <w:name w:val="Footnote Characters"/>
    <w:uiPriority w:val="99"/>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Pr>
      <w:sz w:val="20"/>
      <w:szCs w:val="20"/>
      <w:lang w:eastAsia="ar-SA"/>
    </w:rPr>
  </w:style>
  <w:style w:type="character" w:customStyle="1" w:styleId="apple-converted-space">
    <w:name w:val="apple-converted-space"/>
  </w:style>
  <w:style w:type="character" w:customStyle="1" w:styleId="ParaNumChar">
    <w:name w:val="ParaNum Char"/>
    <w:link w:val="ParaNum"/>
    <w:locked/>
    <w:rPr>
      <w:sz w:val="22"/>
      <w:szCs w:val="22"/>
    </w:rPr>
  </w:style>
  <w:style w:type="character" w:styleId="Emphasis">
    <w:name w:val="Emphasis"/>
    <w:basedOn w:val="DefaultParagraphFont"/>
    <w:uiPriority w:val="20"/>
    <w:qFormat/>
    <w:rsid w:val="005B0C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19204">
      <w:bodyDiv w:val="1"/>
      <w:marLeft w:val="0"/>
      <w:marRight w:val="0"/>
      <w:marTop w:val="0"/>
      <w:marBottom w:val="0"/>
      <w:divBdr>
        <w:top w:val="none" w:sz="0" w:space="0" w:color="auto"/>
        <w:left w:val="none" w:sz="0" w:space="0" w:color="auto"/>
        <w:bottom w:val="none" w:sz="0" w:space="0" w:color="auto"/>
        <w:right w:val="none" w:sz="0" w:space="0" w:color="auto"/>
      </w:divBdr>
    </w:div>
    <w:div w:id="313022983">
      <w:bodyDiv w:val="1"/>
      <w:marLeft w:val="0"/>
      <w:marRight w:val="0"/>
      <w:marTop w:val="0"/>
      <w:marBottom w:val="0"/>
      <w:divBdr>
        <w:top w:val="none" w:sz="0" w:space="0" w:color="auto"/>
        <w:left w:val="none" w:sz="0" w:space="0" w:color="auto"/>
        <w:bottom w:val="none" w:sz="0" w:space="0" w:color="auto"/>
        <w:right w:val="none" w:sz="0" w:space="0" w:color="auto"/>
      </w:divBdr>
      <w:divsChild>
        <w:div w:id="1709792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4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669058">
      <w:bodyDiv w:val="1"/>
      <w:marLeft w:val="0"/>
      <w:marRight w:val="0"/>
      <w:marTop w:val="0"/>
      <w:marBottom w:val="0"/>
      <w:divBdr>
        <w:top w:val="none" w:sz="0" w:space="0" w:color="auto"/>
        <w:left w:val="none" w:sz="0" w:space="0" w:color="auto"/>
        <w:bottom w:val="none" w:sz="0" w:space="0" w:color="auto"/>
        <w:right w:val="none" w:sz="0" w:space="0" w:color="auto"/>
      </w:divBdr>
    </w:div>
    <w:div w:id="978337345">
      <w:bodyDiv w:val="1"/>
      <w:marLeft w:val="0"/>
      <w:marRight w:val="0"/>
      <w:marTop w:val="0"/>
      <w:marBottom w:val="0"/>
      <w:divBdr>
        <w:top w:val="none" w:sz="0" w:space="0" w:color="auto"/>
        <w:left w:val="none" w:sz="0" w:space="0" w:color="auto"/>
        <w:bottom w:val="none" w:sz="0" w:space="0" w:color="auto"/>
        <w:right w:val="none" w:sz="0" w:space="0" w:color="auto"/>
      </w:divBdr>
    </w:div>
    <w:div w:id="992223233">
      <w:bodyDiv w:val="1"/>
      <w:marLeft w:val="0"/>
      <w:marRight w:val="0"/>
      <w:marTop w:val="0"/>
      <w:marBottom w:val="0"/>
      <w:divBdr>
        <w:top w:val="none" w:sz="0" w:space="0" w:color="auto"/>
        <w:left w:val="none" w:sz="0" w:space="0" w:color="auto"/>
        <w:bottom w:val="none" w:sz="0" w:space="0" w:color="auto"/>
        <w:right w:val="none" w:sz="0" w:space="0" w:color="auto"/>
      </w:divBdr>
      <w:divsChild>
        <w:div w:id="1303535507">
          <w:marLeft w:val="0"/>
          <w:marRight w:val="0"/>
          <w:marTop w:val="0"/>
          <w:marBottom w:val="0"/>
          <w:divBdr>
            <w:top w:val="none" w:sz="0" w:space="0" w:color="auto"/>
            <w:left w:val="none" w:sz="0" w:space="0" w:color="auto"/>
            <w:bottom w:val="none" w:sz="0" w:space="0" w:color="auto"/>
            <w:right w:val="none" w:sz="0" w:space="0" w:color="auto"/>
          </w:divBdr>
          <w:divsChild>
            <w:div w:id="1258751242">
              <w:marLeft w:val="0"/>
              <w:marRight w:val="0"/>
              <w:marTop w:val="0"/>
              <w:marBottom w:val="0"/>
              <w:divBdr>
                <w:top w:val="none" w:sz="0" w:space="0" w:color="auto"/>
                <w:left w:val="none" w:sz="0" w:space="0" w:color="auto"/>
                <w:bottom w:val="none" w:sz="0" w:space="0" w:color="auto"/>
                <w:right w:val="none" w:sz="0" w:space="0" w:color="auto"/>
              </w:divBdr>
              <w:divsChild>
                <w:div w:id="13889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01105">
      <w:bodyDiv w:val="1"/>
      <w:marLeft w:val="0"/>
      <w:marRight w:val="0"/>
      <w:marTop w:val="0"/>
      <w:marBottom w:val="0"/>
      <w:divBdr>
        <w:top w:val="none" w:sz="0" w:space="0" w:color="auto"/>
        <w:left w:val="none" w:sz="0" w:space="0" w:color="auto"/>
        <w:bottom w:val="none" w:sz="0" w:space="0" w:color="auto"/>
        <w:right w:val="none" w:sz="0" w:space="0" w:color="auto"/>
      </w:divBdr>
    </w:div>
    <w:div w:id="1040781086">
      <w:bodyDiv w:val="1"/>
      <w:marLeft w:val="0"/>
      <w:marRight w:val="0"/>
      <w:marTop w:val="0"/>
      <w:marBottom w:val="0"/>
      <w:divBdr>
        <w:top w:val="none" w:sz="0" w:space="0" w:color="auto"/>
        <w:left w:val="none" w:sz="0" w:space="0" w:color="auto"/>
        <w:bottom w:val="none" w:sz="0" w:space="0" w:color="auto"/>
        <w:right w:val="none" w:sz="0" w:space="0" w:color="auto"/>
      </w:divBdr>
    </w:div>
    <w:div w:id="1300377653">
      <w:bodyDiv w:val="1"/>
      <w:marLeft w:val="0"/>
      <w:marRight w:val="0"/>
      <w:marTop w:val="0"/>
      <w:marBottom w:val="0"/>
      <w:divBdr>
        <w:top w:val="none" w:sz="0" w:space="0" w:color="auto"/>
        <w:left w:val="none" w:sz="0" w:space="0" w:color="auto"/>
        <w:bottom w:val="none" w:sz="0" w:space="0" w:color="auto"/>
        <w:right w:val="none" w:sz="0" w:space="0" w:color="auto"/>
      </w:divBdr>
    </w:div>
    <w:div w:id="1865443038">
      <w:bodyDiv w:val="1"/>
      <w:marLeft w:val="30"/>
      <w:marRight w:val="30"/>
      <w:marTop w:val="30"/>
      <w:marBottom w:val="30"/>
      <w:divBdr>
        <w:top w:val="none" w:sz="0" w:space="0" w:color="auto"/>
        <w:left w:val="none" w:sz="0" w:space="0" w:color="auto"/>
        <w:bottom w:val="none" w:sz="0" w:space="0" w:color="auto"/>
        <w:right w:val="none" w:sz="0" w:space="0" w:color="auto"/>
      </w:divBdr>
      <w:divsChild>
        <w:div w:id="331223384">
          <w:marLeft w:val="0"/>
          <w:marRight w:val="0"/>
          <w:marTop w:val="0"/>
          <w:marBottom w:val="0"/>
          <w:divBdr>
            <w:top w:val="none" w:sz="0" w:space="0" w:color="auto"/>
            <w:left w:val="none" w:sz="0" w:space="0" w:color="auto"/>
            <w:bottom w:val="none" w:sz="0" w:space="0" w:color="auto"/>
            <w:right w:val="none" w:sz="0" w:space="0" w:color="auto"/>
          </w:divBdr>
          <w:divsChild>
            <w:div w:id="976959446">
              <w:marLeft w:val="45"/>
              <w:marRight w:val="45"/>
              <w:marTop w:val="45"/>
              <w:marBottom w:val="45"/>
              <w:divBdr>
                <w:top w:val="none" w:sz="0" w:space="0" w:color="auto"/>
                <w:left w:val="none" w:sz="0" w:space="0" w:color="auto"/>
                <w:bottom w:val="none" w:sz="0" w:space="0" w:color="auto"/>
                <w:right w:val="none" w:sz="0" w:space="0" w:color="auto"/>
              </w:divBdr>
              <w:divsChild>
                <w:div w:id="1996255291">
                  <w:marLeft w:val="0"/>
                  <w:marRight w:val="0"/>
                  <w:marTop w:val="0"/>
                  <w:marBottom w:val="0"/>
                  <w:divBdr>
                    <w:top w:val="none" w:sz="0" w:space="0" w:color="auto"/>
                    <w:left w:val="none" w:sz="0" w:space="0" w:color="auto"/>
                    <w:bottom w:val="none" w:sz="0" w:space="0" w:color="auto"/>
                    <w:right w:val="none" w:sz="0" w:space="0" w:color="auto"/>
                  </w:divBdr>
                  <w:divsChild>
                    <w:div w:id="8160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77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INQUIRIE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1375</Words>
  <Characters>7540</Characters>
  <Application>Microsoft Office Word</Application>
  <DocSecurity>0</DocSecurity>
  <Lines>135</Lines>
  <Paragraphs>40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8976</CharactersWithSpaces>
  <SharedDoc>false</SharedDoc>
  <HyperlinkBase> </HyperlinkBase>
  <HLinks>
    <vt:vector size="6" baseType="variant">
      <vt:variant>
        <vt:i4>8126550</vt:i4>
      </vt:variant>
      <vt:variant>
        <vt:i4>0</vt:i4>
      </vt:variant>
      <vt:variant>
        <vt:i4>0</vt:i4>
      </vt:variant>
      <vt:variant>
        <vt:i4>5</vt:i4>
      </vt:variant>
      <vt:variant>
        <vt:lpwstr>mailto:ARINQUIRIES@fcc.gov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2013-08-30T01:41:00Z</cp:lastPrinted>
  <dcterms:created xsi:type="dcterms:W3CDTF">2015-01-09T01:57:00Z</dcterms:created>
  <dcterms:modified xsi:type="dcterms:W3CDTF">2015-01-09T01:57:00Z</dcterms:modified>
  <cp:category> </cp:category>
  <cp:contentStatus> </cp:contentStatus>
</cp:coreProperties>
</file>