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31" w:rsidRDefault="00595B31" w:rsidP="00595B31">
      <w:pPr>
        <w:pStyle w:val="Header"/>
        <w:jc w:val="right"/>
        <w:rPr>
          <w:b/>
          <w:szCs w:val="22"/>
        </w:rPr>
      </w:pPr>
      <w:bookmarkStart w:id="0" w:name="_GoBack"/>
      <w:bookmarkEnd w:id="0"/>
      <w:r>
        <w:rPr>
          <w:b/>
          <w:szCs w:val="22"/>
        </w:rPr>
        <w:t>DA 15-</w:t>
      </w:r>
      <w:r w:rsidR="00EF4B03">
        <w:rPr>
          <w:b/>
          <w:szCs w:val="22"/>
        </w:rPr>
        <w:t>278</w:t>
      </w:r>
    </w:p>
    <w:p w:rsidR="00595B31" w:rsidRDefault="008550A4" w:rsidP="00595B31">
      <w:pPr>
        <w:pStyle w:val="Header"/>
        <w:jc w:val="right"/>
        <w:rPr>
          <w:b/>
          <w:szCs w:val="22"/>
        </w:rPr>
      </w:pPr>
      <w:r>
        <w:rPr>
          <w:b/>
          <w:szCs w:val="22"/>
        </w:rPr>
        <w:t>March 3</w:t>
      </w:r>
      <w:r w:rsidR="00595B31">
        <w:rPr>
          <w:b/>
          <w:szCs w:val="22"/>
        </w:rPr>
        <w:t>, 2015</w:t>
      </w:r>
    </w:p>
    <w:p w:rsidR="00595B31" w:rsidRDefault="00595B31" w:rsidP="00595B31">
      <w:pPr>
        <w:jc w:val="right"/>
        <w:rPr>
          <w:szCs w:val="22"/>
        </w:rPr>
      </w:pPr>
    </w:p>
    <w:p w:rsidR="00595B31" w:rsidRDefault="00595B31" w:rsidP="00595B31">
      <w:pPr>
        <w:jc w:val="center"/>
        <w:rPr>
          <w:b/>
          <w:caps/>
          <w:color w:val="000000"/>
          <w:szCs w:val="22"/>
        </w:rPr>
      </w:pPr>
      <w:r>
        <w:rPr>
          <w:b/>
          <w:caps/>
          <w:szCs w:val="22"/>
        </w:rPr>
        <w:t xml:space="preserve">Public safety and homeland security bureau </w:t>
      </w:r>
      <w:r w:rsidR="00B33540">
        <w:rPr>
          <w:b/>
          <w:caps/>
          <w:szCs w:val="22"/>
        </w:rPr>
        <w:t>SEEKS</w:t>
      </w:r>
      <w:r>
        <w:rPr>
          <w:b/>
          <w:caps/>
          <w:szCs w:val="22"/>
        </w:rPr>
        <w:t xml:space="preserve"> </w:t>
      </w:r>
      <w:r w:rsidR="00B33540">
        <w:rPr>
          <w:b/>
          <w:caps/>
          <w:szCs w:val="22"/>
        </w:rPr>
        <w:t xml:space="preserve">COMMENT ON RECOMMENDED </w:t>
      </w:r>
      <w:r>
        <w:rPr>
          <w:b/>
          <w:caps/>
          <w:szCs w:val="22"/>
        </w:rPr>
        <w:t>NATIONWIDE CHANNELS FOR DEPLOYABLE TRUNKED SYSTEMS IN THE 700 MHZ NARROWBAND</w:t>
      </w:r>
      <w:r w:rsidR="00B33540">
        <w:rPr>
          <w:b/>
          <w:caps/>
          <w:szCs w:val="22"/>
        </w:rPr>
        <w:t xml:space="preserve"> PUBLIC SAFETY BAND</w:t>
      </w:r>
    </w:p>
    <w:p w:rsidR="00595B31" w:rsidRDefault="00595B31" w:rsidP="00595B31">
      <w:pPr>
        <w:jc w:val="center"/>
        <w:rPr>
          <w:b/>
          <w:caps/>
          <w:color w:val="000000"/>
          <w:szCs w:val="22"/>
        </w:rPr>
      </w:pPr>
    </w:p>
    <w:p w:rsidR="00595B31" w:rsidRDefault="00595B31" w:rsidP="00595B31">
      <w:pPr>
        <w:spacing w:after="240"/>
        <w:jc w:val="center"/>
        <w:rPr>
          <w:b/>
          <w:szCs w:val="22"/>
        </w:rPr>
      </w:pPr>
      <w:r>
        <w:rPr>
          <w:b/>
          <w:szCs w:val="22"/>
        </w:rPr>
        <w:t>PS Docket Nos. 13-87 and WT Docket 02-378</w:t>
      </w:r>
    </w:p>
    <w:p w:rsidR="008550A4" w:rsidRDefault="008550A4" w:rsidP="008550A4">
      <w:pPr>
        <w:spacing w:after="240"/>
        <w:rPr>
          <w:b/>
          <w:szCs w:val="22"/>
        </w:rPr>
      </w:pPr>
      <w:r>
        <w:rPr>
          <w:b/>
          <w:szCs w:val="22"/>
        </w:rPr>
        <w:t>Comments due: April 2, 2015</w:t>
      </w:r>
    </w:p>
    <w:p w:rsidR="008550A4" w:rsidRPr="008550A4" w:rsidRDefault="008550A4" w:rsidP="008550A4">
      <w:pPr>
        <w:spacing w:after="240"/>
        <w:rPr>
          <w:b/>
          <w:szCs w:val="22"/>
        </w:rPr>
      </w:pPr>
      <w:r>
        <w:rPr>
          <w:b/>
          <w:szCs w:val="22"/>
        </w:rPr>
        <w:t>Reply Comments due: April 17, 2015</w:t>
      </w:r>
    </w:p>
    <w:p w:rsidR="00595B31" w:rsidRPr="00321A2C" w:rsidRDefault="00595B31" w:rsidP="00595B31">
      <w:pPr>
        <w:rPr>
          <w:szCs w:val="24"/>
        </w:rPr>
      </w:pPr>
      <w:r>
        <w:rPr>
          <w:sz w:val="24"/>
        </w:rPr>
        <w:tab/>
      </w:r>
      <w:r w:rsidR="001C217C" w:rsidRPr="001C217C">
        <w:rPr>
          <w:i/>
          <w:sz w:val="24"/>
        </w:rPr>
        <w:t>Introduction</w:t>
      </w:r>
      <w:r w:rsidR="001C217C">
        <w:rPr>
          <w:sz w:val="24"/>
        </w:rPr>
        <w:t xml:space="preserve">.  </w:t>
      </w:r>
      <w:r w:rsidRPr="00321A2C">
        <w:rPr>
          <w:szCs w:val="24"/>
        </w:rPr>
        <w:t xml:space="preserve">By this </w:t>
      </w:r>
      <w:r w:rsidRPr="00321A2C">
        <w:rPr>
          <w:i/>
          <w:szCs w:val="24"/>
        </w:rPr>
        <w:t>Public Notice</w:t>
      </w:r>
      <w:r w:rsidRPr="00321A2C">
        <w:rPr>
          <w:szCs w:val="24"/>
        </w:rPr>
        <w:t xml:space="preserve">, the </w:t>
      </w:r>
      <w:r>
        <w:rPr>
          <w:szCs w:val="24"/>
        </w:rPr>
        <w:t>Public Safety and Homeland Security Bureau</w:t>
      </w:r>
      <w:r w:rsidRPr="00321A2C">
        <w:rPr>
          <w:szCs w:val="24"/>
        </w:rPr>
        <w:t xml:space="preserve"> (Bureau) </w:t>
      </w:r>
      <w:r w:rsidR="00B33540">
        <w:rPr>
          <w:szCs w:val="24"/>
        </w:rPr>
        <w:t>seek</w:t>
      </w:r>
      <w:r w:rsidRPr="00321A2C">
        <w:rPr>
          <w:szCs w:val="24"/>
        </w:rPr>
        <w:t xml:space="preserve">s </w:t>
      </w:r>
      <w:r w:rsidR="00B33540">
        <w:rPr>
          <w:szCs w:val="24"/>
        </w:rPr>
        <w:t xml:space="preserve">comment on </w:t>
      </w:r>
      <w:r w:rsidRPr="00321A2C">
        <w:rPr>
          <w:szCs w:val="24"/>
        </w:rPr>
        <w:t>a recommended set of six channels available nationwide for 700 MHz deployable trunked systems.  These channel sets were recommended by the National Public Safety Telecommunications Council and the National Regional Planning Council.</w:t>
      </w:r>
      <w:r w:rsidRPr="00321A2C">
        <w:rPr>
          <w:rStyle w:val="FootnoteReference"/>
          <w:szCs w:val="24"/>
        </w:rPr>
        <w:footnoteReference w:id="1"/>
      </w:r>
      <w:r w:rsidR="001A591C">
        <w:rPr>
          <w:szCs w:val="24"/>
        </w:rPr>
        <w:t xml:space="preserve">  </w:t>
      </w:r>
    </w:p>
    <w:p w:rsidR="00595B31" w:rsidRPr="00321A2C" w:rsidRDefault="00595B31" w:rsidP="00595B31">
      <w:pPr>
        <w:ind w:firstLine="720"/>
        <w:rPr>
          <w:szCs w:val="24"/>
        </w:rPr>
      </w:pPr>
    </w:p>
    <w:p w:rsidR="00595B31" w:rsidRPr="00321A2C" w:rsidRDefault="00595B31" w:rsidP="00595B31">
      <w:pPr>
        <w:pStyle w:val="FootnoteText"/>
      </w:pPr>
      <w:r w:rsidRPr="00321A2C">
        <w:rPr>
          <w:szCs w:val="24"/>
        </w:rPr>
        <w:tab/>
      </w:r>
      <w:r w:rsidR="001C217C" w:rsidRPr="001C217C">
        <w:rPr>
          <w:i/>
          <w:szCs w:val="24"/>
        </w:rPr>
        <w:t>Background</w:t>
      </w:r>
      <w:r w:rsidR="001C217C">
        <w:rPr>
          <w:szCs w:val="24"/>
        </w:rPr>
        <w:t xml:space="preserve">.  </w:t>
      </w:r>
      <w:r w:rsidRPr="00321A2C">
        <w:rPr>
          <w:szCs w:val="24"/>
        </w:rPr>
        <w:t xml:space="preserve">On October 17, 2014, the Commission adopted a </w:t>
      </w:r>
      <w:r w:rsidRPr="00321A2C">
        <w:rPr>
          <w:i/>
          <w:iCs/>
          <w:szCs w:val="24"/>
        </w:rPr>
        <w:t>Report and Order</w:t>
      </w:r>
      <w:r w:rsidRPr="00321A2C">
        <w:rPr>
          <w:szCs w:val="24"/>
        </w:rPr>
        <w:t xml:space="preserve"> revising certain rules governing the 700 MHz public safety narrowband channels.</w:t>
      </w:r>
      <w:r w:rsidRPr="00321A2C">
        <w:rPr>
          <w:rStyle w:val="FootnoteReference"/>
          <w:szCs w:val="24"/>
        </w:rPr>
        <w:footnoteReference w:id="2"/>
      </w:r>
      <w:r w:rsidRPr="00321A2C">
        <w:rPr>
          <w:szCs w:val="24"/>
        </w:rPr>
        <w:t xml:space="preserve">  Specifically, the Commission released the narrowband reserve channels (twenty four 12.5 kHz channels) to General Use under the administration of the 700 MHz Regional Planning Committees (RPCs) for the benefit of state and local public safety licensees.</w:t>
      </w:r>
      <w:r w:rsidRPr="00321A2C">
        <w:rPr>
          <w:rStyle w:val="FootnoteReference"/>
          <w:szCs w:val="24"/>
        </w:rPr>
        <w:footnoteReference w:id="3"/>
      </w:r>
      <w:r w:rsidRPr="00321A2C">
        <w:rPr>
          <w:szCs w:val="24"/>
        </w:rPr>
        <w:t xml:space="preserve">  In the T-Band markets,</w:t>
      </w:r>
      <w:r w:rsidRPr="00321A2C">
        <w:rPr>
          <w:rStyle w:val="FootnoteReference"/>
          <w:szCs w:val="24"/>
        </w:rPr>
        <w:footnoteReference w:id="4"/>
      </w:r>
      <w:r w:rsidRPr="00321A2C">
        <w:rPr>
          <w:szCs w:val="24"/>
        </w:rPr>
        <w:t xml:space="preserve"> the Commission released the reserve channels for General Use under RPC administration with priority access given to T-Band incumbents within 80 km of the city center coordinates as specified in Sections 90.303 and 90.305</w:t>
      </w:r>
      <w:r w:rsidRPr="00321A2C">
        <w:rPr>
          <w:rStyle w:val="FootnoteReference"/>
          <w:szCs w:val="24"/>
        </w:rPr>
        <w:footnoteReference w:id="5"/>
      </w:r>
      <w:r w:rsidRPr="00321A2C">
        <w:rPr>
          <w:szCs w:val="24"/>
        </w:rPr>
        <w:t xml:space="preserve"> of the Commission’s rules.  </w:t>
      </w:r>
      <w:r w:rsidRPr="00321A2C">
        <w:rPr>
          <w:szCs w:val="24"/>
        </w:rPr>
        <w:lastRenderedPageBreak/>
        <w:t>Outside the T-Band markets the Commission authorized the RPCs to assign (1) up to eight 12.5 kHz former reserve channels for deployable trunked systems and (2) sixteen 12.5 kHz channels for General Use, including vehicular mobile repeaters (MO3).</w:t>
      </w:r>
      <w:r w:rsidRPr="00321A2C">
        <w:rPr>
          <w:rStyle w:val="FootnoteReference"/>
          <w:szCs w:val="24"/>
        </w:rPr>
        <w:footnoteReference w:id="6"/>
      </w:r>
      <w:r w:rsidRPr="00321A2C">
        <w:rPr>
          <w:szCs w:val="24"/>
        </w:rPr>
        <w:t xml:space="preserve">  While </w:t>
      </w:r>
      <w:r w:rsidRPr="00DF5277">
        <w:rPr>
          <w:szCs w:val="22"/>
        </w:rPr>
        <w:t>the Commission stated, “RPCs have the flexibility to designate a mixture of General Use and temporary (deployable trunked infrastructure) channels in their Regional Plans[,]”</w:t>
      </w:r>
      <w:r w:rsidRPr="00DF5277">
        <w:rPr>
          <w:rStyle w:val="FootnoteReference"/>
          <w:szCs w:val="22"/>
        </w:rPr>
        <w:footnoteReference w:id="7"/>
      </w:r>
      <w:r w:rsidRPr="00DF5277">
        <w:rPr>
          <w:szCs w:val="22"/>
        </w:rPr>
        <w:t xml:space="preserve"> t</w:t>
      </w:r>
      <w:r w:rsidRPr="00321A2C">
        <w:rPr>
          <w:szCs w:val="24"/>
        </w:rPr>
        <w:t xml:space="preserve">he Commission also encouraged NPSTC and the NRPC to specify discrete channels for deployable trunked systems and technical standards for RPCs within three months of the publication of the </w:t>
      </w:r>
      <w:r w:rsidRPr="00321A2C">
        <w:rPr>
          <w:i/>
          <w:szCs w:val="24"/>
        </w:rPr>
        <w:t>Report and Order</w:t>
      </w:r>
      <w:r w:rsidRPr="00321A2C">
        <w:rPr>
          <w:szCs w:val="24"/>
        </w:rPr>
        <w:t xml:space="preserve"> in the Federal Register (</w:t>
      </w:r>
      <w:r w:rsidRPr="00321A2C">
        <w:rPr>
          <w:i/>
          <w:szCs w:val="24"/>
        </w:rPr>
        <w:t>i.e.</w:t>
      </w:r>
      <w:r w:rsidRPr="00321A2C">
        <w:rPr>
          <w:szCs w:val="24"/>
        </w:rPr>
        <w:t xml:space="preserve"> March 2, 2015).</w:t>
      </w:r>
      <w:r w:rsidRPr="00321A2C">
        <w:t xml:space="preserve">   </w:t>
      </w:r>
    </w:p>
    <w:p w:rsidR="00595B31" w:rsidRPr="00321A2C" w:rsidRDefault="00595B31" w:rsidP="00595B31">
      <w:pPr>
        <w:pStyle w:val="FootnoteText"/>
      </w:pPr>
      <w:r w:rsidRPr="00321A2C">
        <w:tab/>
      </w:r>
      <w:r w:rsidR="001C217C" w:rsidRPr="001C217C">
        <w:rPr>
          <w:i/>
        </w:rPr>
        <w:t>NPSTC and NRPC Recommended Channel list for Deployable Trunked Systems</w:t>
      </w:r>
      <w:r w:rsidR="001C217C">
        <w:t xml:space="preserve">.  </w:t>
      </w:r>
      <w:r w:rsidRPr="00321A2C">
        <w:t xml:space="preserve">On February 13, 2015, NPSTC and the NRPC recommended a list of six sets of 700 MHz channels to be allocated nationwide for 700 MHz deployable systems.  The NPSTC/NRPC Recommended Channel Allocation for Deployable Trunked Systems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95B31" w:rsidRPr="00321A2C" w:rsidTr="00320027">
        <w:tc>
          <w:tcPr>
            <w:tcW w:w="2394" w:type="dxa"/>
            <w:shd w:val="clear" w:color="auto" w:fill="auto"/>
          </w:tcPr>
          <w:p w:rsidR="00595B31" w:rsidRPr="00321A2C" w:rsidRDefault="00595B31" w:rsidP="00320027">
            <w:pPr>
              <w:pStyle w:val="FootnoteText"/>
              <w:jc w:val="center"/>
            </w:pPr>
            <w:r w:rsidRPr="00321A2C">
              <w:t xml:space="preserve">Deployable Trunked Channel </w:t>
            </w:r>
          </w:p>
        </w:tc>
        <w:tc>
          <w:tcPr>
            <w:tcW w:w="2394" w:type="dxa"/>
            <w:shd w:val="clear" w:color="auto" w:fill="auto"/>
          </w:tcPr>
          <w:p w:rsidR="00595B31" w:rsidRPr="00321A2C" w:rsidRDefault="00595B31" w:rsidP="00320027">
            <w:pPr>
              <w:pStyle w:val="FootnoteText"/>
              <w:jc w:val="center"/>
            </w:pPr>
            <w:r w:rsidRPr="00321A2C">
              <w:t>Channel Number</w:t>
            </w:r>
          </w:p>
        </w:tc>
        <w:tc>
          <w:tcPr>
            <w:tcW w:w="2394" w:type="dxa"/>
            <w:shd w:val="clear" w:color="auto" w:fill="auto"/>
          </w:tcPr>
          <w:p w:rsidR="00595B31" w:rsidRPr="00321A2C" w:rsidRDefault="00595B31" w:rsidP="00320027">
            <w:pPr>
              <w:pStyle w:val="FootnoteText"/>
              <w:jc w:val="center"/>
            </w:pPr>
            <w:r w:rsidRPr="00321A2C">
              <w:t>12.5 kHz Center Frequency</w:t>
            </w:r>
          </w:p>
        </w:tc>
        <w:tc>
          <w:tcPr>
            <w:tcW w:w="2394" w:type="dxa"/>
            <w:shd w:val="clear" w:color="auto" w:fill="auto"/>
          </w:tcPr>
          <w:p w:rsidR="00595B31" w:rsidRPr="00321A2C" w:rsidRDefault="00595B31" w:rsidP="00320027">
            <w:pPr>
              <w:pStyle w:val="FootnoteText"/>
              <w:jc w:val="center"/>
            </w:pPr>
            <w:r w:rsidRPr="00321A2C">
              <w:t>Channel Spacing (kHz)</w:t>
            </w:r>
          </w:p>
        </w:tc>
      </w:tr>
      <w:tr w:rsidR="00595B31" w:rsidRPr="00321A2C" w:rsidTr="00320027">
        <w:tc>
          <w:tcPr>
            <w:tcW w:w="2394" w:type="dxa"/>
            <w:shd w:val="clear" w:color="auto" w:fill="auto"/>
          </w:tcPr>
          <w:p w:rsidR="00595B31" w:rsidRPr="00321A2C" w:rsidRDefault="00595B31" w:rsidP="00320027">
            <w:pPr>
              <w:pStyle w:val="FootnoteText"/>
              <w:jc w:val="center"/>
            </w:pPr>
            <w:r w:rsidRPr="00321A2C">
              <w:t>A</w:t>
            </w:r>
          </w:p>
        </w:tc>
        <w:tc>
          <w:tcPr>
            <w:tcW w:w="2394" w:type="dxa"/>
            <w:shd w:val="clear" w:color="auto" w:fill="auto"/>
          </w:tcPr>
          <w:p w:rsidR="00595B31" w:rsidRPr="00321A2C" w:rsidRDefault="00595B31" w:rsidP="00320027">
            <w:pPr>
              <w:pStyle w:val="FootnoteText"/>
              <w:jc w:val="center"/>
            </w:pPr>
            <w:r w:rsidRPr="00321A2C">
              <w:t>37-38</w:t>
            </w:r>
          </w:p>
        </w:tc>
        <w:tc>
          <w:tcPr>
            <w:tcW w:w="2394" w:type="dxa"/>
            <w:shd w:val="clear" w:color="auto" w:fill="auto"/>
          </w:tcPr>
          <w:p w:rsidR="00595B31" w:rsidRPr="00321A2C" w:rsidRDefault="00595B31" w:rsidP="00320027">
            <w:pPr>
              <w:pStyle w:val="FootnoteText"/>
              <w:jc w:val="center"/>
            </w:pPr>
            <w:r w:rsidRPr="00321A2C">
              <w:t>769.23125</w:t>
            </w:r>
          </w:p>
        </w:tc>
        <w:tc>
          <w:tcPr>
            <w:tcW w:w="2394" w:type="dxa"/>
            <w:shd w:val="clear" w:color="auto" w:fill="auto"/>
          </w:tcPr>
          <w:p w:rsidR="00595B31" w:rsidRPr="00321A2C" w:rsidRDefault="00595B31" w:rsidP="00320027">
            <w:pPr>
              <w:pStyle w:val="FootnoteText"/>
              <w:jc w:val="center"/>
            </w:pPr>
            <w:r w:rsidRPr="00321A2C">
              <w:t>N/A</w:t>
            </w:r>
          </w:p>
        </w:tc>
      </w:tr>
      <w:tr w:rsidR="00595B31" w:rsidRPr="00321A2C" w:rsidTr="00320027">
        <w:tc>
          <w:tcPr>
            <w:tcW w:w="2394" w:type="dxa"/>
            <w:shd w:val="clear" w:color="auto" w:fill="auto"/>
          </w:tcPr>
          <w:p w:rsidR="00595B31" w:rsidRPr="00321A2C" w:rsidRDefault="00595B31" w:rsidP="00320027">
            <w:pPr>
              <w:pStyle w:val="FootnoteText"/>
              <w:jc w:val="center"/>
            </w:pPr>
            <w:r w:rsidRPr="00321A2C">
              <w:t>B</w:t>
            </w:r>
          </w:p>
        </w:tc>
        <w:tc>
          <w:tcPr>
            <w:tcW w:w="2394" w:type="dxa"/>
            <w:shd w:val="clear" w:color="auto" w:fill="auto"/>
          </w:tcPr>
          <w:p w:rsidR="00595B31" w:rsidRPr="00321A2C" w:rsidRDefault="00595B31" w:rsidP="00320027">
            <w:pPr>
              <w:pStyle w:val="FootnoteText"/>
              <w:jc w:val="center"/>
            </w:pPr>
            <w:r w:rsidRPr="00321A2C">
              <w:t>61-62</w:t>
            </w:r>
          </w:p>
        </w:tc>
        <w:tc>
          <w:tcPr>
            <w:tcW w:w="2394" w:type="dxa"/>
            <w:shd w:val="clear" w:color="auto" w:fill="auto"/>
          </w:tcPr>
          <w:p w:rsidR="00595B31" w:rsidRPr="00321A2C" w:rsidRDefault="00595B31" w:rsidP="00320027">
            <w:pPr>
              <w:pStyle w:val="FootnoteText"/>
              <w:jc w:val="center"/>
            </w:pPr>
            <w:r w:rsidRPr="00321A2C">
              <w:t>769.38125</w:t>
            </w:r>
          </w:p>
        </w:tc>
        <w:tc>
          <w:tcPr>
            <w:tcW w:w="2394" w:type="dxa"/>
            <w:shd w:val="clear" w:color="auto" w:fill="auto"/>
          </w:tcPr>
          <w:p w:rsidR="00595B31" w:rsidRPr="00321A2C" w:rsidRDefault="00595B31" w:rsidP="00320027">
            <w:pPr>
              <w:pStyle w:val="FootnoteText"/>
              <w:jc w:val="center"/>
            </w:pPr>
            <w:r w:rsidRPr="00321A2C">
              <w:t>150</w:t>
            </w:r>
          </w:p>
        </w:tc>
      </w:tr>
      <w:tr w:rsidR="00595B31" w:rsidRPr="00321A2C" w:rsidTr="00320027">
        <w:tc>
          <w:tcPr>
            <w:tcW w:w="2394" w:type="dxa"/>
            <w:shd w:val="clear" w:color="auto" w:fill="auto"/>
          </w:tcPr>
          <w:p w:rsidR="00595B31" w:rsidRPr="00321A2C" w:rsidRDefault="00595B31" w:rsidP="00320027">
            <w:pPr>
              <w:pStyle w:val="FootnoteText"/>
              <w:jc w:val="center"/>
            </w:pPr>
            <w:r w:rsidRPr="00321A2C">
              <w:t>C</w:t>
            </w:r>
          </w:p>
        </w:tc>
        <w:tc>
          <w:tcPr>
            <w:tcW w:w="2394" w:type="dxa"/>
            <w:shd w:val="clear" w:color="auto" w:fill="auto"/>
          </w:tcPr>
          <w:p w:rsidR="00595B31" w:rsidRPr="00321A2C" w:rsidRDefault="00595B31" w:rsidP="00320027">
            <w:pPr>
              <w:pStyle w:val="FootnoteText"/>
              <w:jc w:val="center"/>
            </w:pPr>
            <w:r w:rsidRPr="00321A2C">
              <w:t>117-118</w:t>
            </w:r>
          </w:p>
        </w:tc>
        <w:tc>
          <w:tcPr>
            <w:tcW w:w="2394" w:type="dxa"/>
            <w:shd w:val="clear" w:color="auto" w:fill="auto"/>
          </w:tcPr>
          <w:p w:rsidR="00595B31" w:rsidRPr="00321A2C" w:rsidRDefault="00595B31" w:rsidP="00320027">
            <w:pPr>
              <w:pStyle w:val="FootnoteText"/>
              <w:jc w:val="center"/>
            </w:pPr>
            <w:r w:rsidRPr="00321A2C">
              <w:t>769.73125</w:t>
            </w:r>
          </w:p>
        </w:tc>
        <w:tc>
          <w:tcPr>
            <w:tcW w:w="2394" w:type="dxa"/>
            <w:shd w:val="clear" w:color="auto" w:fill="auto"/>
          </w:tcPr>
          <w:p w:rsidR="00595B31" w:rsidRPr="00321A2C" w:rsidRDefault="00595B31" w:rsidP="00320027">
            <w:pPr>
              <w:pStyle w:val="FootnoteText"/>
              <w:jc w:val="center"/>
            </w:pPr>
            <w:r w:rsidRPr="00321A2C">
              <w:t>350</w:t>
            </w:r>
          </w:p>
        </w:tc>
      </w:tr>
      <w:tr w:rsidR="00595B31" w:rsidRPr="00321A2C" w:rsidTr="00320027">
        <w:tc>
          <w:tcPr>
            <w:tcW w:w="2394" w:type="dxa"/>
            <w:shd w:val="clear" w:color="auto" w:fill="auto"/>
          </w:tcPr>
          <w:p w:rsidR="00595B31" w:rsidRPr="00321A2C" w:rsidRDefault="00595B31" w:rsidP="00320027">
            <w:pPr>
              <w:pStyle w:val="FootnoteText"/>
              <w:jc w:val="center"/>
            </w:pPr>
            <w:r w:rsidRPr="00321A2C">
              <w:t>D</w:t>
            </w:r>
          </w:p>
        </w:tc>
        <w:tc>
          <w:tcPr>
            <w:tcW w:w="2394" w:type="dxa"/>
            <w:shd w:val="clear" w:color="auto" w:fill="auto"/>
          </w:tcPr>
          <w:p w:rsidR="00595B31" w:rsidRPr="00321A2C" w:rsidRDefault="00595B31" w:rsidP="00320027">
            <w:pPr>
              <w:pStyle w:val="FootnoteText"/>
              <w:jc w:val="center"/>
            </w:pPr>
            <w:r w:rsidRPr="00321A2C">
              <w:t>141-142</w:t>
            </w:r>
          </w:p>
        </w:tc>
        <w:tc>
          <w:tcPr>
            <w:tcW w:w="2394" w:type="dxa"/>
            <w:shd w:val="clear" w:color="auto" w:fill="auto"/>
          </w:tcPr>
          <w:p w:rsidR="00595B31" w:rsidRPr="00321A2C" w:rsidRDefault="00595B31" w:rsidP="00320027">
            <w:pPr>
              <w:pStyle w:val="FootnoteText"/>
              <w:jc w:val="center"/>
            </w:pPr>
            <w:r w:rsidRPr="00321A2C">
              <w:t>769.88125</w:t>
            </w:r>
          </w:p>
        </w:tc>
        <w:tc>
          <w:tcPr>
            <w:tcW w:w="2394" w:type="dxa"/>
            <w:shd w:val="clear" w:color="auto" w:fill="auto"/>
          </w:tcPr>
          <w:p w:rsidR="00595B31" w:rsidRPr="00321A2C" w:rsidRDefault="00595B31" w:rsidP="00320027">
            <w:pPr>
              <w:pStyle w:val="FootnoteText"/>
              <w:jc w:val="center"/>
            </w:pPr>
            <w:r w:rsidRPr="00321A2C">
              <w:t>150</w:t>
            </w:r>
          </w:p>
        </w:tc>
      </w:tr>
      <w:tr w:rsidR="00595B31" w:rsidRPr="00321A2C" w:rsidTr="00320027">
        <w:tc>
          <w:tcPr>
            <w:tcW w:w="2394" w:type="dxa"/>
            <w:shd w:val="clear" w:color="auto" w:fill="auto"/>
          </w:tcPr>
          <w:p w:rsidR="00595B31" w:rsidRPr="00321A2C" w:rsidRDefault="00595B31" w:rsidP="00320027">
            <w:pPr>
              <w:pStyle w:val="FootnoteText"/>
              <w:jc w:val="center"/>
            </w:pPr>
            <w:r w:rsidRPr="00321A2C">
              <w:t>E</w:t>
            </w:r>
          </w:p>
        </w:tc>
        <w:tc>
          <w:tcPr>
            <w:tcW w:w="2394" w:type="dxa"/>
            <w:shd w:val="clear" w:color="auto" w:fill="auto"/>
          </w:tcPr>
          <w:p w:rsidR="00595B31" w:rsidRPr="00321A2C" w:rsidRDefault="00595B31" w:rsidP="00320027">
            <w:pPr>
              <w:pStyle w:val="FootnoteText"/>
              <w:jc w:val="center"/>
            </w:pPr>
            <w:r w:rsidRPr="00321A2C">
              <w:t>883-884</w:t>
            </w:r>
          </w:p>
        </w:tc>
        <w:tc>
          <w:tcPr>
            <w:tcW w:w="2394" w:type="dxa"/>
            <w:shd w:val="clear" w:color="auto" w:fill="auto"/>
          </w:tcPr>
          <w:p w:rsidR="00595B31" w:rsidRPr="00321A2C" w:rsidRDefault="00595B31" w:rsidP="00320027">
            <w:pPr>
              <w:pStyle w:val="FootnoteText"/>
              <w:jc w:val="center"/>
            </w:pPr>
            <w:r w:rsidRPr="00321A2C">
              <w:t>774.51875 CC-P</w:t>
            </w:r>
          </w:p>
          <w:p w:rsidR="00595B31" w:rsidRPr="00321A2C" w:rsidRDefault="00595B31" w:rsidP="00320027">
            <w:pPr>
              <w:pStyle w:val="FootnoteText"/>
              <w:jc w:val="center"/>
            </w:pPr>
            <w:r w:rsidRPr="00321A2C">
              <w:t xml:space="preserve">(Channel 883-884 is designated as a Primary Control Channel </w:t>
            </w:r>
            <w:r>
              <w:t xml:space="preserve">(CC-P) </w:t>
            </w:r>
            <w:r w:rsidRPr="00321A2C">
              <w:t>for the nationwide deployable system)</w:t>
            </w:r>
          </w:p>
        </w:tc>
        <w:tc>
          <w:tcPr>
            <w:tcW w:w="2394" w:type="dxa"/>
            <w:shd w:val="clear" w:color="auto" w:fill="auto"/>
          </w:tcPr>
          <w:p w:rsidR="00595B31" w:rsidRPr="00321A2C" w:rsidRDefault="00595B31" w:rsidP="00320027">
            <w:pPr>
              <w:pStyle w:val="FootnoteText"/>
              <w:jc w:val="center"/>
            </w:pPr>
            <w:r w:rsidRPr="00321A2C">
              <w:t>4500</w:t>
            </w:r>
          </w:p>
        </w:tc>
      </w:tr>
      <w:tr w:rsidR="00595B31" w:rsidRPr="00321A2C" w:rsidTr="00320027">
        <w:tc>
          <w:tcPr>
            <w:tcW w:w="2394" w:type="dxa"/>
            <w:shd w:val="clear" w:color="auto" w:fill="auto"/>
          </w:tcPr>
          <w:p w:rsidR="00595B31" w:rsidRPr="00321A2C" w:rsidRDefault="00595B31" w:rsidP="00320027">
            <w:pPr>
              <w:pStyle w:val="FootnoteText"/>
              <w:jc w:val="center"/>
            </w:pPr>
            <w:r w:rsidRPr="00321A2C">
              <w:t>F</w:t>
            </w:r>
          </w:p>
        </w:tc>
        <w:tc>
          <w:tcPr>
            <w:tcW w:w="2394" w:type="dxa"/>
            <w:shd w:val="clear" w:color="auto" w:fill="auto"/>
          </w:tcPr>
          <w:p w:rsidR="00595B31" w:rsidRPr="00321A2C" w:rsidRDefault="00595B31" w:rsidP="00320027">
            <w:pPr>
              <w:pStyle w:val="FootnoteText"/>
              <w:jc w:val="center"/>
            </w:pPr>
            <w:r w:rsidRPr="00321A2C">
              <w:t>939-940</w:t>
            </w:r>
          </w:p>
        </w:tc>
        <w:tc>
          <w:tcPr>
            <w:tcW w:w="2394" w:type="dxa"/>
            <w:shd w:val="clear" w:color="auto" w:fill="auto"/>
          </w:tcPr>
          <w:p w:rsidR="00595B31" w:rsidRPr="00321A2C" w:rsidRDefault="00595B31" w:rsidP="00320027">
            <w:pPr>
              <w:pStyle w:val="FootnoteText"/>
              <w:jc w:val="center"/>
            </w:pPr>
            <w:r w:rsidRPr="00321A2C">
              <w:t>774.86875 CC-A</w:t>
            </w:r>
          </w:p>
          <w:p w:rsidR="00595B31" w:rsidRPr="00321A2C" w:rsidRDefault="00595B31" w:rsidP="00320027">
            <w:pPr>
              <w:pStyle w:val="FootnoteText"/>
              <w:jc w:val="center"/>
            </w:pPr>
            <w:r w:rsidRPr="00321A2C">
              <w:t xml:space="preserve">(Channel 939-940 is designated Alternate Control Channel </w:t>
            </w:r>
            <w:r>
              <w:t xml:space="preserve">(CC-A) </w:t>
            </w:r>
            <w:r w:rsidRPr="00321A2C">
              <w:t>for the nationwide deployable system)</w:t>
            </w:r>
          </w:p>
        </w:tc>
        <w:tc>
          <w:tcPr>
            <w:tcW w:w="2394" w:type="dxa"/>
            <w:shd w:val="clear" w:color="auto" w:fill="auto"/>
          </w:tcPr>
          <w:p w:rsidR="00595B31" w:rsidRPr="00321A2C" w:rsidRDefault="00595B31" w:rsidP="00320027">
            <w:pPr>
              <w:pStyle w:val="FootnoteText"/>
              <w:jc w:val="center"/>
            </w:pPr>
            <w:r w:rsidRPr="00321A2C">
              <w:t>350</w:t>
            </w:r>
          </w:p>
        </w:tc>
      </w:tr>
    </w:tbl>
    <w:p w:rsidR="00595B31" w:rsidRPr="00321A2C" w:rsidRDefault="00595B31" w:rsidP="00595B31">
      <w:pPr>
        <w:pStyle w:val="FootnoteText"/>
      </w:pPr>
    </w:p>
    <w:p w:rsidR="00595B31" w:rsidRPr="00321A2C" w:rsidRDefault="00595B31" w:rsidP="00595B31">
      <w:pPr>
        <w:pStyle w:val="FootnoteText"/>
        <w:rPr>
          <w:szCs w:val="24"/>
        </w:rPr>
      </w:pPr>
      <w:r w:rsidRPr="00321A2C">
        <w:tab/>
        <w:t xml:space="preserve">While NPSTC and the NRPC acknowledge that the </w:t>
      </w:r>
      <w:r w:rsidRPr="00321A2C">
        <w:rPr>
          <w:i/>
        </w:rPr>
        <w:t>Report and Order</w:t>
      </w:r>
      <w:r w:rsidRPr="00321A2C">
        <w:t xml:space="preserve"> specified that up to eight channels could be selected for deployable trunked use, NPSTC and NRPC note that their proposed six channel sets have the “most commonality nationwide” while providing the following benefits:   </w:t>
      </w:r>
    </w:p>
    <w:p w:rsidR="00595B31" w:rsidRPr="00321A2C" w:rsidRDefault="00595B31" w:rsidP="00595B31">
      <w:pPr>
        <w:numPr>
          <w:ilvl w:val="0"/>
          <w:numId w:val="21"/>
        </w:numPr>
        <w:tabs>
          <w:tab w:val="clear" w:pos="360"/>
          <w:tab w:val="num" w:pos="1080"/>
        </w:tabs>
        <w:ind w:left="1080"/>
      </w:pPr>
      <w:r w:rsidRPr="00321A2C">
        <w:t>A minimum channel separation of 150 kHz for combiner suitability.</w:t>
      </w:r>
    </w:p>
    <w:p w:rsidR="00595B31" w:rsidRPr="00321A2C" w:rsidRDefault="00595B31" w:rsidP="00595B31">
      <w:pPr>
        <w:numPr>
          <w:ilvl w:val="0"/>
          <w:numId w:val="21"/>
        </w:numPr>
        <w:tabs>
          <w:tab w:val="clear" w:pos="360"/>
          <w:tab w:val="num" w:pos="1080"/>
        </w:tabs>
        <w:ind w:left="1080"/>
      </w:pPr>
      <w:r w:rsidRPr="00321A2C">
        <w:t>Ability to use U.S. primary channels in the Mexican and Canadian border areas.</w:t>
      </w:r>
    </w:p>
    <w:p w:rsidR="00595B31" w:rsidRPr="00321A2C" w:rsidRDefault="00595B31" w:rsidP="00595B31">
      <w:pPr>
        <w:numPr>
          <w:ilvl w:val="0"/>
          <w:numId w:val="21"/>
        </w:numPr>
        <w:tabs>
          <w:tab w:val="clear" w:pos="360"/>
          <w:tab w:val="num" w:pos="1080"/>
        </w:tabs>
        <w:ind w:left="1080"/>
      </w:pPr>
      <w:r w:rsidRPr="00321A2C">
        <w:t>Consistent use of channels in the border and non-border areas.</w:t>
      </w:r>
    </w:p>
    <w:p w:rsidR="00595B31" w:rsidRPr="00321A2C" w:rsidRDefault="00595B31" w:rsidP="00595B31">
      <w:pPr>
        <w:numPr>
          <w:ilvl w:val="0"/>
          <w:numId w:val="21"/>
        </w:numPr>
        <w:tabs>
          <w:tab w:val="clear" w:pos="360"/>
          <w:tab w:val="num" w:pos="1080"/>
        </w:tabs>
        <w:ind w:left="1080"/>
      </w:pPr>
      <w:r w:rsidRPr="00321A2C">
        <w:lastRenderedPageBreak/>
        <w:t>Operationally simple.</w:t>
      </w:r>
    </w:p>
    <w:p w:rsidR="00595B31" w:rsidRPr="00321A2C" w:rsidRDefault="00595B31" w:rsidP="00595B31">
      <w:pPr>
        <w:numPr>
          <w:ilvl w:val="0"/>
          <w:numId w:val="21"/>
        </w:numPr>
        <w:tabs>
          <w:tab w:val="clear" w:pos="360"/>
          <w:tab w:val="num" w:pos="1080"/>
        </w:tabs>
        <w:ind w:left="1080"/>
      </w:pPr>
      <w:r w:rsidRPr="00321A2C">
        <w:t>Enough capacity to handle the majority of incidents that require deployable trunk systems; and</w:t>
      </w:r>
    </w:p>
    <w:p w:rsidR="00595B31" w:rsidRPr="00321A2C" w:rsidRDefault="00595B31" w:rsidP="00595B31">
      <w:pPr>
        <w:numPr>
          <w:ilvl w:val="0"/>
          <w:numId w:val="21"/>
        </w:numPr>
        <w:tabs>
          <w:tab w:val="clear" w:pos="360"/>
          <w:tab w:val="num" w:pos="1080"/>
        </w:tabs>
        <w:ind w:left="1080"/>
      </w:pPr>
      <w:r w:rsidRPr="00321A2C">
        <w:t>The channels are usable in all geographical areas of the nation except for channels 117-118 and 141-142, in the Canada sharing sector 2 area.</w:t>
      </w:r>
      <w:r w:rsidRPr="00321A2C">
        <w:rPr>
          <w:rStyle w:val="FootnoteReference"/>
        </w:rPr>
        <w:footnoteReference w:id="8"/>
      </w:r>
      <w:r w:rsidRPr="00321A2C">
        <w:br/>
      </w:r>
    </w:p>
    <w:p w:rsidR="00595B31" w:rsidRDefault="00595B31" w:rsidP="00595B31">
      <w:pPr>
        <w:ind w:firstLine="720"/>
      </w:pPr>
      <w:r w:rsidRPr="00321A2C">
        <w:t>Furthermore, NPSTC and NRPC state that the Telecommunications Industry Association has concluded that the proposed channel plan is workable.</w:t>
      </w:r>
      <w:r w:rsidRPr="00321A2C">
        <w:rPr>
          <w:rStyle w:val="FootnoteReference"/>
        </w:rPr>
        <w:footnoteReference w:id="9"/>
      </w:r>
      <w:r w:rsidRPr="00321A2C">
        <w:t xml:space="preserve">  NPSTC and the NRPC considered alternative proposals but found that the trade-off of lower transmit combiner costs and increased capacity did not overcome the loss of sufficient coverage in the U.S./Canada border area and increased operational complexity.</w:t>
      </w:r>
      <w:r w:rsidRPr="00321A2C">
        <w:rPr>
          <w:rStyle w:val="FootnoteReference"/>
        </w:rPr>
        <w:footnoteReference w:id="10"/>
      </w:r>
      <w:r w:rsidRPr="00321A2C">
        <w:t xml:space="preserve">  NPSTC and the NRPC recognized that public safety agencies could work directly with the relevant RPC if more than six channels were needed for deployable trunked systems.</w:t>
      </w:r>
      <w:r w:rsidR="008D29AE">
        <w:rPr>
          <w:rStyle w:val="FootnoteReference"/>
        </w:rPr>
        <w:footnoteReference w:id="11"/>
      </w:r>
      <w:r w:rsidRPr="00321A2C">
        <w:t xml:space="preserve">  Finally, NPSTC and the NRPC continue to work on a number of operational issues regarding deployable trunked systems, including identification of common system key, common interoperable talk group names and other technical matters to ensure the effective use of these systems nationwide.</w:t>
      </w:r>
      <w:r w:rsidR="008D29AE">
        <w:rPr>
          <w:rStyle w:val="FootnoteReference"/>
        </w:rPr>
        <w:footnoteReference w:id="12"/>
      </w:r>
      <w:r w:rsidRPr="00321A2C">
        <w:t xml:space="preserve">      </w:t>
      </w:r>
    </w:p>
    <w:p w:rsidR="00B33540" w:rsidRDefault="00B33540" w:rsidP="00595B31">
      <w:pPr>
        <w:ind w:firstLine="720"/>
      </w:pPr>
    </w:p>
    <w:p w:rsidR="008550A4" w:rsidRDefault="008550A4" w:rsidP="008550A4">
      <w:pPr>
        <w:tabs>
          <w:tab w:val="left" w:pos="6030"/>
        </w:tabs>
        <w:autoSpaceDE w:val="0"/>
        <w:autoSpaceDN w:val="0"/>
        <w:adjustRightInd w:val="0"/>
        <w:ind w:firstLine="720"/>
        <w:rPr>
          <w:color w:val="000000"/>
          <w:szCs w:val="22"/>
        </w:rPr>
      </w:pPr>
      <w:r>
        <w:rPr>
          <w:i/>
          <w:color w:val="000000"/>
          <w:szCs w:val="22"/>
        </w:rPr>
        <w:t>Request for Comments on the NPSTC and NRPC Recommendations.</w:t>
      </w:r>
      <w:r>
        <w:rPr>
          <w:b/>
          <w:i/>
          <w:color w:val="000000"/>
          <w:szCs w:val="22"/>
        </w:rPr>
        <w:t xml:space="preserve"> </w:t>
      </w:r>
      <w:r>
        <w:rPr>
          <w:i/>
          <w:color w:val="000000"/>
          <w:szCs w:val="22"/>
        </w:rPr>
        <w:t xml:space="preserve"> </w:t>
      </w:r>
      <w:r>
        <w:rPr>
          <w:color w:val="000000"/>
          <w:szCs w:val="22"/>
        </w:rPr>
        <w:t xml:space="preserve">Prior to taking further action on the NPSTC and NRPC recommendations, by this </w:t>
      </w:r>
      <w:r w:rsidRPr="001C217C">
        <w:rPr>
          <w:i/>
          <w:color w:val="000000"/>
          <w:szCs w:val="22"/>
        </w:rPr>
        <w:t>Public Notice</w:t>
      </w:r>
      <w:r>
        <w:rPr>
          <w:color w:val="000000"/>
          <w:szCs w:val="22"/>
        </w:rPr>
        <w:t xml:space="preserve"> we solicit comments on the recommended set of channels for deployable trunked systems. </w:t>
      </w:r>
    </w:p>
    <w:p w:rsidR="008550A4" w:rsidRDefault="008550A4" w:rsidP="008550A4">
      <w:pPr>
        <w:tabs>
          <w:tab w:val="left" w:pos="6030"/>
        </w:tabs>
        <w:autoSpaceDE w:val="0"/>
        <w:autoSpaceDN w:val="0"/>
        <w:adjustRightInd w:val="0"/>
        <w:ind w:firstLine="720"/>
        <w:rPr>
          <w:color w:val="000000"/>
          <w:szCs w:val="22"/>
        </w:rPr>
      </w:pPr>
    </w:p>
    <w:p w:rsidR="008550A4" w:rsidRDefault="008550A4" w:rsidP="008550A4">
      <w:pPr>
        <w:tabs>
          <w:tab w:val="left" w:pos="6030"/>
        </w:tabs>
        <w:autoSpaceDE w:val="0"/>
        <w:autoSpaceDN w:val="0"/>
        <w:adjustRightInd w:val="0"/>
        <w:ind w:firstLine="720"/>
        <w:rPr>
          <w:szCs w:val="22"/>
        </w:rPr>
      </w:pPr>
      <w:r>
        <w:rPr>
          <w:color w:val="000000"/>
          <w:szCs w:val="22"/>
        </w:rPr>
        <w:t xml:space="preserve">Pursuant to Sections 1.415 and 1.419 of the Commission’s rules, 47 C.F.R. §§ 1.415, 1.419, interested parties may file comments on the </w:t>
      </w:r>
      <w:r w:rsidR="001C217C">
        <w:rPr>
          <w:color w:val="000000"/>
          <w:szCs w:val="22"/>
        </w:rPr>
        <w:t>recommendations</w:t>
      </w:r>
      <w:r>
        <w:rPr>
          <w:color w:val="000000"/>
          <w:szCs w:val="22"/>
        </w:rPr>
        <w:t xml:space="preserve"> </w:t>
      </w:r>
      <w:r>
        <w:rPr>
          <w:szCs w:val="22"/>
        </w:rPr>
        <w:t>on or before</w:t>
      </w:r>
      <w:r>
        <w:rPr>
          <w:b/>
          <w:szCs w:val="22"/>
        </w:rPr>
        <w:t xml:space="preserve"> </w:t>
      </w:r>
      <w:r w:rsidR="001C217C">
        <w:rPr>
          <w:b/>
          <w:szCs w:val="22"/>
        </w:rPr>
        <w:t>April 2</w:t>
      </w:r>
      <w:r>
        <w:rPr>
          <w:b/>
          <w:szCs w:val="22"/>
        </w:rPr>
        <w:t>, 2015</w:t>
      </w:r>
      <w:r>
        <w:rPr>
          <w:szCs w:val="22"/>
        </w:rPr>
        <w:t>.</w:t>
      </w:r>
      <w:r>
        <w:rPr>
          <w:b/>
          <w:szCs w:val="22"/>
        </w:rPr>
        <w:t xml:space="preserve">  </w:t>
      </w:r>
      <w:r>
        <w:rPr>
          <w:color w:val="000000"/>
          <w:szCs w:val="22"/>
        </w:rPr>
        <w:t xml:space="preserve">All comments should reference </w:t>
      </w:r>
      <w:r w:rsidR="001C217C">
        <w:rPr>
          <w:b/>
          <w:iCs/>
          <w:color w:val="000000"/>
          <w:szCs w:val="22"/>
        </w:rPr>
        <w:t>PS Docket 13-87 and W</w:t>
      </w:r>
      <w:r>
        <w:rPr>
          <w:b/>
          <w:iCs/>
          <w:color w:val="000000"/>
          <w:szCs w:val="22"/>
        </w:rPr>
        <w:t>T Docket No. 02-378</w:t>
      </w:r>
      <w:r>
        <w:rPr>
          <w:b/>
          <w:color w:val="000000"/>
          <w:szCs w:val="22"/>
        </w:rPr>
        <w:t>.</w:t>
      </w:r>
      <w:r>
        <w:rPr>
          <w:iCs/>
          <w:color w:val="000000"/>
          <w:szCs w:val="22"/>
        </w:rPr>
        <w:t xml:space="preserve">  Parties may file </w:t>
      </w:r>
      <w:r>
        <w:rPr>
          <w:szCs w:val="22"/>
        </w:rPr>
        <w:t xml:space="preserve">comments and reply comments by using (1) the Commission’s Electronic Comment Filing System (ECFS), (2) the Federal Government’s eRulemaking Portal, or (3) by filing paper copies.  </w:t>
      </w:r>
      <w:r>
        <w:rPr>
          <w:i/>
          <w:szCs w:val="22"/>
        </w:rPr>
        <w:t>See</w:t>
      </w:r>
      <w:r>
        <w:rPr>
          <w:szCs w:val="22"/>
        </w:rPr>
        <w:t xml:space="preserve"> Electronic Filing of Documents in Rulemaking Proceedings, 63 FR 24121 (1998).</w:t>
      </w:r>
    </w:p>
    <w:p w:rsidR="008550A4" w:rsidRDefault="008550A4" w:rsidP="008550A4">
      <w:pPr>
        <w:ind w:left="1440" w:hanging="720"/>
        <w:rPr>
          <w:szCs w:val="22"/>
        </w:rPr>
      </w:pPr>
    </w:p>
    <w:p w:rsidR="008550A4" w:rsidRDefault="008550A4" w:rsidP="008550A4">
      <w:pPr>
        <w:numPr>
          <w:ilvl w:val="0"/>
          <w:numId w:val="22"/>
        </w:numPr>
        <w:tabs>
          <w:tab w:val="clear" w:pos="1800"/>
        </w:tabs>
        <w:ind w:left="1170" w:hanging="450"/>
        <w:rPr>
          <w:szCs w:val="22"/>
        </w:rPr>
      </w:pPr>
      <w:r>
        <w:rPr>
          <w:rFonts w:cs="Courier New"/>
          <w:szCs w:val="22"/>
          <w:u w:val="single"/>
        </w:rPr>
        <w:t>Electronic Filers</w:t>
      </w:r>
      <w:r>
        <w:rPr>
          <w:rFonts w:cs="Courier New"/>
          <w:szCs w:val="22"/>
        </w:rPr>
        <w:t>:  Comments may be filed electronically using the Internet by accessing the ECFS:  http://www.fcc.gov/cgb/ecfs or the Federal eRulemaking Portal:  http://www.regulations.gov.  Filers should follow the instructions provided on the</w:t>
      </w:r>
      <w:r>
        <w:rPr>
          <w:szCs w:val="22"/>
        </w:rPr>
        <w:t xml:space="preserve"> website for submitting comments.  </w:t>
      </w:r>
    </w:p>
    <w:p w:rsidR="008550A4" w:rsidRDefault="008550A4" w:rsidP="008550A4">
      <w:pPr>
        <w:ind w:left="720"/>
        <w:rPr>
          <w:szCs w:val="22"/>
        </w:rPr>
      </w:pPr>
    </w:p>
    <w:p w:rsidR="008550A4" w:rsidRDefault="008550A4" w:rsidP="008550A4">
      <w:pPr>
        <w:numPr>
          <w:ilvl w:val="0"/>
          <w:numId w:val="22"/>
        </w:numPr>
        <w:tabs>
          <w:tab w:val="clear" w:pos="1800"/>
        </w:tabs>
        <w:ind w:left="1170" w:hanging="450"/>
        <w:rPr>
          <w:szCs w:val="22"/>
        </w:rPr>
      </w:pPr>
      <w:r>
        <w:rPr>
          <w:rFonts w:cs="Courier New"/>
          <w:szCs w:val="22"/>
          <w:u w:val="single"/>
        </w:rPr>
        <w:t>For ECFS Filers</w:t>
      </w:r>
      <w:r>
        <w:rPr>
          <w:rFonts w:cs="Courier New"/>
          <w:szCs w:val="22"/>
        </w:rPr>
        <w:t>:  I</w:t>
      </w:r>
      <w:r>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Pr>
          <w:rFonts w:cs="Courier New"/>
          <w:szCs w:val="22"/>
        </w:rPr>
        <w:t>include</w:t>
      </w:r>
      <w:r>
        <w:rPr>
          <w:szCs w:val="22"/>
        </w:rPr>
        <w:t xml:space="preserve"> the following words in the body of the message: “get form.”  A sample form and directions will be sent in response.</w:t>
      </w:r>
    </w:p>
    <w:p w:rsidR="008550A4" w:rsidRDefault="008550A4" w:rsidP="008550A4">
      <w:pPr>
        <w:rPr>
          <w:rFonts w:cs="Courier New"/>
          <w:szCs w:val="22"/>
          <w:u w:val="single"/>
        </w:rPr>
      </w:pPr>
    </w:p>
    <w:p w:rsidR="008550A4" w:rsidRDefault="008550A4" w:rsidP="008550A4">
      <w:pPr>
        <w:numPr>
          <w:ilvl w:val="0"/>
          <w:numId w:val="22"/>
        </w:numPr>
        <w:tabs>
          <w:tab w:val="clear" w:pos="1800"/>
        </w:tabs>
        <w:ind w:left="1170" w:hanging="450"/>
        <w:rPr>
          <w:szCs w:val="22"/>
        </w:rPr>
      </w:pPr>
      <w:r>
        <w:rPr>
          <w:rFonts w:cs="Courier New"/>
          <w:szCs w:val="22"/>
          <w:u w:val="single"/>
        </w:rPr>
        <w:t>Paper Filers</w:t>
      </w:r>
      <w:r>
        <w:rPr>
          <w:rFonts w:cs="Courier New"/>
          <w:szCs w:val="22"/>
        </w:rPr>
        <w:t>:  Parties who choose to file by paper must file an original</w:t>
      </w:r>
      <w:r>
        <w:rPr>
          <w:szCs w:val="22"/>
        </w:rPr>
        <w:t xml:space="preserve"> and four copies of each filing. </w:t>
      </w:r>
    </w:p>
    <w:p w:rsidR="008550A4" w:rsidRDefault="008550A4" w:rsidP="008550A4">
      <w:pPr>
        <w:ind w:firstLine="720"/>
        <w:rPr>
          <w:szCs w:val="22"/>
        </w:rPr>
      </w:pPr>
    </w:p>
    <w:p w:rsidR="008550A4" w:rsidRDefault="008550A4" w:rsidP="008550A4">
      <w:pPr>
        <w:ind w:firstLine="720"/>
        <w:rPr>
          <w:szCs w:val="22"/>
        </w:rPr>
      </w:pPr>
      <w:r>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8550A4" w:rsidRDefault="008550A4" w:rsidP="008550A4">
      <w:pPr>
        <w:ind w:left="1440" w:hanging="720"/>
        <w:rPr>
          <w:szCs w:val="22"/>
        </w:rPr>
      </w:pPr>
    </w:p>
    <w:p w:rsidR="008550A4" w:rsidRDefault="008550A4" w:rsidP="008550A4">
      <w:pPr>
        <w:numPr>
          <w:ilvl w:val="0"/>
          <w:numId w:val="22"/>
        </w:numPr>
        <w:tabs>
          <w:tab w:val="clear" w:pos="1800"/>
        </w:tabs>
        <w:ind w:left="1170" w:hanging="450"/>
        <w:rPr>
          <w:szCs w:val="22"/>
        </w:rPr>
      </w:pPr>
      <w:r>
        <w:rPr>
          <w:rFonts w:cs="Courier New"/>
          <w:szCs w:val="22"/>
        </w:rPr>
        <w:t>Effective December 28, 2009, commenters must submit all hand-delivered or messenger-delivered paper filings for the Commission’s Secretary to FCC Headquarters at 445 12</w:t>
      </w:r>
      <w:r>
        <w:rPr>
          <w:rFonts w:cs="Courier New"/>
          <w:szCs w:val="22"/>
          <w:vertAlign w:val="superscript"/>
        </w:rPr>
        <w:t>th</w:t>
      </w:r>
      <w:r>
        <w:rPr>
          <w:rFonts w:cs="Courier New"/>
          <w:szCs w:val="22"/>
        </w:rPr>
        <w:t xml:space="preserve"> Street, SW, Room TW-A325, Washington, DC 20554.  All hand deliveries must be </w:t>
      </w:r>
      <w:r>
        <w:rPr>
          <w:szCs w:val="22"/>
        </w:rPr>
        <w:t xml:space="preserve">held together with rubber bands or fasteners.  Any envelopes must be disposed of before entering the building.  </w:t>
      </w:r>
      <w:r>
        <w:rPr>
          <w:b/>
          <w:szCs w:val="22"/>
        </w:rPr>
        <w:t xml:space="preserve">PLEASE NOTE:  </w:t>
      </w:r>
      <w:r>
        <w:rPr>
          <w:szCs w:val="22"/>
        </w:rPr>
        <w:t xml:space="preserve">The Commission’s former filing location at 236 Massachusetts Avenue, NE is permanently closed. </w:t>
      </w:r>
    </w:p>
    <w:p w:rsidR="008550A4" w:rsidRDefault="008550A4" w:rsidP="008550A4">
      <w:pPr>
        <w:ind w:left="1440" w:hanging="720"/>
        <w:rPr>
          <w:szCs w:val="22"/>
        </w:rPr>
      </w:pPr>
    </w:p>
    <w:p w:rsidR="008550A4" w:rsidRDefault="008550A4" w:rsidP="008550A4">
      <w:pPr>
        <w:numPr>
          <w:ilvl w:val="0"/>
          <w:numId w:val="22"/>
        </w:numPr>
        <w:tabs>
          <w:tab w:val="clear" w:pos="1800"/>
        </w:tabs>
        <w:ind w:left="1170" w:hanging="450"/>
        <w:rPr>
          <w:szCs w:val="22"/>
        </w:rPr>
      </w:pPr>
      <w:r>
        <w:rPr>
          <w:rFonts w:cs="Courier New"/>
          <w:szCs w:val="22"/>
        </w:rPr>
        <w:t xml:space="preserve">Commercial </w:t>
      </w:r>
      <w:r>
        <w:rPr>
          <w:szCs w:val="22"/>
        </w:rPr>
        <w:t>overnight</w:t>
      </w:r>
      <w:r>
        <w:rPr>
          <w:rFonts w:cs="Courier New"/>
          <w:szCs w:val="22"/>
        </w:rPr>
        <w:t xml:space="preserve"> mail (other than U.S. Postal Service Express </w:t>
      </w:r>
      <w:r>
        <w:rPr>
          <w:szCs w:val="22"/>
        </w:rPr>
        <w:t>Mail and Priority Mail) must be sent to 9300 East Hampton Drive, Capitol Heights, MD 20743.</w:t>
      </w:r>
    </w:p>
    <w:p w:rsidR="008550A4" w:rsidRDefault="008550A4" w:rsidP="008550A4">
      <w:pPr>
        <w:ind w:left="1440" w:hanging="720"/>
        <w:rPr>
          <w:szCs w:val="22"/>
        </w:rPr>
      </w:pPr>
    </w:p>
    <w:p w:rsidR="008550A4" w:rsidRDefault="008550A4" w:rsidP="008550A4">
      <w:pPr>
        <w:numPr>
          <w:ilvl w:val="0"/>
          <w:numId w:val="22"/>
        </w:numPr>
        <w:tabs>
          <w:tab w:val="clear" w:pos="1800"/>
        </w:tabs>
        <w:ind w:left="1170" w:hanging="450"/>
        <w:rPr>
          <w:rFonts w:eastAsia="Batang" w:cs="Batang"/>
          <w:szCs w:val="22"/>
        </w:rPr>
      </w:pPr>
      <w:r>
        <w:rPr>
          <w:rFonts w:cs="Courier New"/>
          <w:szCs w:val="22"/>
        </w:rPr>
        <w:t xml:space="preserve">U.S. Postal </w:t>
      </w:r>
      <w:r>
        <w:rPr>
          <w:szCs w:val="22"/>
        </w:rPr>
        <w:t>Service</w:t>
      </w:r>
      <w:r>
        <w:rPr>
          <w:rFonts w:cs="Courier New"/>
          <w:szCs w:val="22"/>
        </w:rPr>
        <w:t xml:space="preserve"> first-class, Express, and Priority mail should be addressed to 445 12th Street, SW, Washington, D.C. 20554.</w:t>
      </w:r>
    </w:p>
    <w:p w:rsidR="008550A4" w:rsidRDefault="008550A4" w:rsidP="008550A4">
      <w:pPr>
        <w:rPr>
          <w:rFonts w:eastAsia="Batang" w:cs="Batang"/>
          <w:szCs w:val="22"/>
        </w:rPr>
      </w:pPr>
    </w:p>
    <w:p w:rsidR="008550A4" w:rsidRDefault="008550A4" w:rsidP="008550A4">
      <w:pPr>
        <w:numPr>
          <w:ilvl w:val="0"/>
          <w:numId w:val="22"/>
        </w:numPr>
        <w:tabs>
          <w:tab w:val="clear" w:pos="1800"/>
        </w:tabs>
        <w:ind w:left="1170" w:hanging="450"/>
        <w:rPr>
          <w:rFonts w:eastAsia="Batang" w:cs="Batang"/>
          <w:szCs w:val="22"/>
        </w:rPr>
      </w:pPr>
      <w:r>
        <w:rPr>
          <w:rFonts w:cs="Courier New"/>
          <w:szCs w:val="22"/>
          <w:u w:val="single"/>
        </w:rPr>
        <w:t>People with Disabilities</w:t>
      </w:r>
      <w:r>
        <w:rPr>
          <w:rFonts w:cs="Courier New"/>
          <w:szCs w:val="22"/>
        </w:rPr>
        <w:t xml:space="preserve">:  To request materials in accessible formats for people with disabilities (Braille, large print, electronic files, audio format), send an email to </w:t>
      </w:r>
      <w:r>
        <w:rPr>
          <w:rFonts w:cs="Courier New"/>
          <w:szCs w:val="22"/>
          <w:u w:val="single"/>
        </w:rPr>
        <w:t xml:space="preserve">fcc504@fcc.gov </w:t>
      </w:r>
      <w:r>
        <w:rPr>
          <w:rFonts w:cs="Courier New"/>
          <w:szCs w:val="22"/>
        </w:rPr>
        <w:t>or call the Consumer &amp; Governmental Affairs Bureau at (202) 418-0530 (voice), (202) 418-0432 (tty).</w:t>
      </w:r>
    </w:p>
    <w:p w:rsidR="008550A4" w:rsidRDefault="008550A4" w:rsidP="008550A4">
      <w:pPr>
        <w:rPr>
          <w:szCs w:val="22"/>
        </w:rPr>
      </w:pPr>
    </w:p>
    <w:p w:rsidR="008550A4" w:rsidRDefault="008550A4" w:rsidP="008550A4">
      <w:pPr>
        <w:ind w:firstLine="720"/>
        <w:rPr>
          <w:szCs w:val="22"/>
        </w:rPr>
      </w:pPr>
      <w:r>
        <w:rPr>
          <w:szCs w:val="22"/>
        </w:rPr>
        <w:t xml:space="preserve">Commenters must address all filings to the Commission’s Secretary, Marlene H. Dortch, Office of the Secretary, Federal Communications Commission, 445 12th Street, SW, Washington, D.C. 20554.  Parties must also serve one copy with the Commission’s copy contractor, Best Copy and Printing, Inc. (BCPI), Portals II, 445 12th Street, SW, Room CY-B402, Washington, D.C. 20554, (202) 488-5300, or via email to fcc@bcpiweb.com.  </w:t>
      </w:r>
    </w:p>
    <w:p w:rsidR="008550A4" w:rsidRDefault="008550A4" w:rsidP="008550A4">
      <w:pPr>
        <w:rPr>
          <w:szCs w:val="22"/>
        </w:rPr>
      </w:pPr>
    </w:p>
    <w:p w:rsidR="008550A4" w:rsidRDefault="008550A4" w:rsidP="008550A4">
      <w:pPr>
        <w:tabs>
          <w:tab w:val="left" w:pos="6030"/>
        </w:tabs>
        <w:autoSpaceDE w:val="0"/>
        <w:autoSpaceDN w:val="0"/>
        <w:adjustRightInd w:val="0"/>
        <w:ind w:firstLine="720"/>
        <w:rPr>
          <w:szCs w:val="22"/>
        </w:rPr>
      </w:pPr>
      <w:r>
        <w:rPr>
          <w:color w:val="000000"/>
          <w:szCs w:val="22"/>
        </w:rPr>
        <w:t xml:space="preserve">The </w:t>
      </w:r>
      <w:r w:rsidR="001C217C">
        <w:rPr>
          <w:color w:val="000000"/>
          <w:szCs w:val="22"/>
        </w:rPr>
        <w:t>NPSTC and NRPC Recommendations are</w:t>
      </w:r>
      <w:r>
        <w:rPr>
          <w:color w:val="000000"/>
          <w:szCs w:val="22"/>
        </w:rPr>
        <w:t xml:space="preserve"> available through ECFS at </w:t>
      </w:r>
      <w:r>
        <w:rPr>
          <w:szCs w:val="22"/>
        </w:rPr>
        <w:t xml:space="preserve">ecfs@fcc.gov.  </w:t>
      </w:r>
      <w:r w:rsidR="001C217C">
        <w:rPr>
          <w:szCs w:val="22"/>
        </w:rPr>
        <w:t xml:space="preserve">The NPSTC and NRPC </w:t>
      </w:r>
      <w:r>
        <w:rPr>
          <w:szCs w:val="22"/>
        </w:rPr>
        <w:t xml:space="preserve">documents in </w:t>
      </w:r>
      <w:r w:rsidR="001C217C">
        <w:rPr>
          <w:b/>
          <w:iCs/>
          <w:color w:val="000000"/>
          <w:szCs w:val="22"/>
        </w:rPr>
        <w:t>PS Docket 13-87 and W</w:t>
      </w:r>
      <w:r>
        <w:rPr>
          <w:b/>
          <w:iCs/>
          <w:color w:val="000000"/>
          <w:szCs w:val="22"/>
        </w:rPr>
        <w:t xml:space="preserve">T Docket No. 02-378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fcc@bcpiweb.com.  </w:t>
      </w:r>
    </w:p>
    <w:p w:rsidR="008550A4" w:rsidRDefault="008550A4" w:rsidP="008550A4">
      <w:pPr>
        <w:tabs>
          <w:tab w:val="left" w:pos="6030"/>
        </w:tabs>
        <w:autoSpaceDE w:val="0"/>
        <w:autoSpaceDN w:val="0"/>
        <w:adjustRightInd w:val="0"/>
        <w:ind w:firstLine="720"/>
        <w:rPr>
          <w:iCs/>
          <w:color w:val="000000"/>
          <w:szCs w:val="22"/>
        </w:rPr>
      </w:pPr>
    </w:p>
    <w:p w:rsidR="008550A4" w:rsidRDefault="008550A4" w:rsidP="008550A4">
      <w:pPr>
        <w:ind w:firstLine="720"/>
        <w:rPr>
          <w:szCs w:val="22"/>
        </w:rPr>
      </w:pPr>
      <w:r>
        <w:rPr>
          <w:szCs w:val="22"/>
        </w:rPr>
        <w:t xml:space="preserve">For further information regarding this matter, contact John A. Evanoff, Esq., Policy and Licensing Division, Public Safety and Homeland Security Bureau at (202) 418-0848 or </w:t>
      </w:r>
      <w:hyperlink r:id="rId8" w:history="1">
        <w:r w:rsidR="00705E0F" w:rsidRPr="00D20038">
          <w:rPr>
            <w:rStyle w:val="Hyperlink"/>
            <w:szCs w:val="22"/>
          </w:rPr>
          <w:t>John.Evanoff@fcc.gov</w:t>
        </w:r>
      </w:hyperlink>
      <w:r>
        <w:rPr>
          <w:szCs w:val="22"/>
        </w:rPr>
        <w:t>.</w:t>
      </w:r>
    </w:p>
    <w:p w:rsidR="00705E0F" w:rsidRDefault="00705E0F" w:rsidP="008550A4">
      <w:pPr>
        <w:ind w:firstLine="720"/>
        <w:rPr>
          <w:szCs w:val="22"/>
        </w:rPr>
      </w:pPr>
    </w:p>
    <w:p w:rsidR="00595B31" w:rsidRPr="00321A2C" w:rsidRDefault="00595B31" w:rsidP="00595B31">
      <w:pPr>
        <w:autoSpaceDE w:val="0"/>
        <w:autoSpaceDN w:val="0"/>
        <w:adjustRightInd w:val="0"/>
        <w:rPr>
          <w:rFonts w:cs="TimesNewRoman"/>
          <w:color w:val="000000"/>
          <w:szCs w:val="22"/>
        </w:rPr>
      </w:pPr>
    </w:p>
    <w:p w:rsidR="00595B31" w:rsidRDefault="00595B31" w:rsidP="00595B31">
      <w:pPr>
        <w:spacing w:after="240"/>
        <w:jc w:val="center"/>
        <w:rPr>
          <w:b/>
          <w:szCs w:val="22"/>
        </w:rPr>
      </w:pPr>
      <w:r>
        <w:rPr>
          <w:rFonts w:ascii="TimesNewRoman" w:hAnsi="TimesNewRoman" w:cs="TimesNewRoman"/>
          <w:color w:val="000000"/>
          <w:szCs w:val="22"/>
        </w:rPr>
        <w:t>-FCC-</w:t>
      </w:r>
    </w:p>
    <w:p w:rsidR="0007109F" w:rsidRPr="00595B31" w:rsidRDefault="0007109F" w:rsidP="00595B31"/>
    <w:sectPr w:rsidR="0007109F" w:rsidRPr="00595B3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49" w:rsidRDefault="007D5549">
      <w:r>
        <w:separator/>
      </w:r>
    </w:p>
  </w:endnote>
  <w:endnote w:type="continuationSeparator" w:id="0">
    <w:p w:rsidR="007D5549" w:rsidRDefault="007D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B6" w:rsidRDefault="00CE4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B6" w:rsidRDefault="00CE4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B6" w:rsidRDefault="00CE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49" w:rsidRDefault="007D5549">
      <w:r>
        <w:separator/>
      </w:r>
    </w:p>
  </w:footnote>
  <w:footnote w:type="continuationSeparator" w:id="0">
    <w:p w:rsidR="007D5549" w:rsidRDefault="007D5549">
      <w:r>
        <w:continuationSeparator/>
      </w:r>
    </w:p>
  </w:footnote>
  <w:footnote w:id="1">
    <w:p w:rsidR="00595B31" w:rsidRPr="000A604A" w:rsidRDefault="00595B31" w:rsidP="00595B31">
      <w:pPr>
        <w:pStyle w:val="FootnoteText"/>
        <w:rPr>
          <w:sz w:val="20"/>
        </w:rPr>
      </w:pPr>
      <w:r w:rsidRPr="000A604A">
        <w:rPr>
          <w:rStyle w:val="FootnoteReference"/>
          <w:sz w:val="20"/>
        </w:rPr>
        <w:footnoteRef/>
      </w:r>
      <w:r w:rsidRPr="000A604A">
        <w:rPr>
          <w:sz w:val="20"/>
        </w:rPr>
        <w:t xml:space="preserve"> </w:t>
      </w:r>
      <w:r w:rsidRPr="000A604A">
        <w:rPr>
          <w:i/>
          <w:sz w:val="20"/>
        </w:rPr>
        <w:t>See</w:t>
      </w:r>
      <w:r w:rsidRPr="000A604A">
        <w:rPr>
          <w:sz w:val="20"/>
        </w:rPr>
        <w:t xml:space="preserve"> Letter to David G. Simpson, Rear Admiral (ret.), U.S. Navy, Chief, Public Safety and Homeland Security Bureau, from Ralph Haller, Chair, National Public Safety Telecommunications Council and William J. Carter, Chair, National Regional Planning Council </w:t>
      </w:r>
      <w:r w:rsidRPr="000A604A">
        <w:rPr>
          <w:i/>
          <w:sz w:val="20"/>
        </w:rPr>
        <w:t>re</w:t>
      </w:r>
      <w:r w:rsidRPr="000A604A">
        <w:rPr>
          <w:sz w:val="20"/>
        </w:rPr>
        <w:t xml:space="preserve"> PS Docket 13-87 and WT Docket 02-278 (dated Feb. 13, 2015)</w:t>
      </w:r>
      <w:r>
        <w:rPr>
          <w:sz w:val="20"/>
        </w:rPr>
        <w:t xml:space="preserve"> (NPSTC/NRPC Letter)</w:t>
      </w:r>
      <w:r w:rsidRPr="000A604A">
        <w:rPr>
          <w:sz w:val="20"/>
        </w:rPr>
        <w:t>.</w:t>
      </w:r>
    </w:p>
  </w:footnote>
  <w:footnote w:id="2">
    <w:p w:rsidR="00595B31" w:rsidRPr="000A604A" w:rsidRDefault="00595B31" w:rsidP="00595B31">
      <w:pPr>
        <w:pStyle w:val="FootnoteText"/>
        <w:rPr>
          <w:sz w:val="20"/>
        </w:rPr>
      </w:pPr>
      <w:r w:rsidRPr="000A604A">
        <w:rPr>
          <w:rStyle w:val="FootnoteReference"/>
          <w:sz w:val="20"/>
        </w:rPr>
        <w:footnoteRef/>
      </w:r>
      <w:r w:rsidRPr="000A604A">
        <w:rPr>
          <w:sz w:val="20"/>
        </w:rPr>
        <w:t xml:space="preserve"> Proposed Amendments to the Service Rules Governing Public Safety Narrowband Operations in the 769-775/799-805 MHz Bands,  PS Docket No. 13-87, PS Docket No. 06-229, WT Docket No. 96-86, RM-11433, RM-11577,</w:t>
      </w:r>
      <w:r w:rsidRPr="000A604A">
        <w:rPr>
          <w:i/>
          <w:sz w:val="20"/>
        </w:rPr>
        <w:t xml:space="preserve"> </w:t>
      </w:r>
      <w:r w:rsidRPr="000A604A">
        <w:rPr>
          <w:i/>
          <w:iCs/>
          <w:sz w:val="20"/>
        </w:rPr>
        <w:t>Report and Order</w:t>
      </w:r>
      <w:r w:rsidRPr="000A604A">
        <w:rPr>
          <w:iCs/>
          <w:sz w:val="20"/>
        </w:rPr>
        <w:t xml:space="preserve">, </w:t>
      </w:r>
      <w:r>
        <w:rPr>
          <w:iCs/>
          <w:sz w:val="20"/>
        </w:rPr>
        <w:t>29 FCC Rcd 13283</w:t>
      </w:r>
      <w:r w:rsidRPr="000A604A">
        <w:rPr>
          <w:iCs/>
          <w:sz w:val="20"/>
        </w:rPr>
        <w:t xml:space="preserve"> (2014) </w:t>
      </w:r>
      <w:r w:rsidRPr="000A604A">
        <w:rPr>
          <w:sz w:val="20"/>
        </w:rPr>
        <w:t>(</w:t>
      </w:r>
      <w:r w:rsidRPr="000A604A">
        <w:rPr>
          <w:i/>
          <w:iCs/>
          <w:sz w:val="20"/>
        </w:rPr>
        <w:t>Report and Order</w:t>
      </w:r>
      <w:r w:rsidRPr="000A604A">
        <w:rPr>
          <w:sz w:val="20"/>
        </w:rPr>
        <w:t>).</w:t>
      </w:r>
    </w:p>
  </w:footnote>
  <w:footnote w:id="3">
    <w:p w:rsidR="00595B31" w:rsidRPr="000A604A" w:rsidRDefault="00595B31" w:rsidP="00595B31">
      <w:pPr>
        <w:pStyle w:val="FootnoteText"/>
        <w:rPr>
          <w:sz w:val="20"/>
        </w:rPr>
      </w:pPr>
      <w:r w:rsidRPr="000A604A">
        <w:rPr>
          <w:rStyle w:val="FootnoteReference"/>
          <w:sz w:val="20"/>
        </w:rPr>
        <w:footnoteRef/>
      </w:r>
      <w:r w:rsidRPr="000A604A">
        <w:rPr>
          <w:sz w:val="20"/>
        </w:rPr>
        <w:t xml:space="preserve"> </w:t>
      </w:r>
      <w:r w:rsidRPr="000A604A">
        <w:rPr>
          <w:i/>
          <w:sz w:val="20"/>
        </w:rPr>
        <w:t>Id</w:t>
      </w:r>
      <w:r w:rsidRPr="000A604A">
        <w:rPr>
          <w:sz w:val="20"/>
        </w:rPr>
        <w:t xml:space="preserve">. at </w:t>
      </w:r>
      <w:r>
        <w:rPr>
          <w:sz w:val="20"/>
        </w:rPr>
        <w:t xml:space="preserve">13297 </w:t>
      </w:r>
      <w:r w:rsidRPr="000A604A">
        <w:rPr>
          <w:sz w:val="20"/>
        </w:rPr>
        <w:t>¶ 39.  47 C.F.R. § 90.531(b)(2).</w:t>
      </w:r>
    </w:p>
  </w:footnote>
  <w:footnote w:id="4">
    <w:p w:rsidR="00595B31" w:rsidRPr="000A604A" w:rsidRDefault="00595B31" w:rsidP="00595B31">
      <w:pPr>
        <w:pStyle w:val="FootnoteText"/>
        <w:rPr>
          <w:sz w:val="20"/>
        </w:rPr>
      </w:pPr>
      <w:r w:rsidRPr="000A604A">
        <w:rPr>
          <w:rStyle w:val="FootnoteReference"/>
          <w:sz w:val="20"/>
        </w:rPr>
        <w:footnoteRef/>
      </w:r>
      <w:r w:rsidRPr="000A604A">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0A604A">
        <w:rPr>
          <w:i/>
          <w:sz w:val="20"/>
        </w:rPr>
        <w:t xml:space="preserve">See </w:t>
      </w:r>
      <w:r w:rsidRPr="000A604A">
        <w:rPr>
          <w:sz w:val="20"/>
        </w:rPr>
        <w:t xml:space="preserve">47 C.F.R. § 90.303.  There are no T-Band public safety incumbents in Cleveland, Ohio, or Detroit, Michigan.  </w:t>
      </w:r>
      <w:r w:rsidRPr="000A604A">
        <w:rPr>
          <w:i/>
          <w:sz w:val="20"/>
        </w:rPr>
        <w:t>Id</w:t>
      </w:r>
      <w:r w:rsidRPr="000A604A">
        <w:rPr>
          <w:sz w:val="20"/>
        </w:rPr>
        <w:t>.</w:t>
      </w:r>
    </w:p>
  </w:footnote>
  <w:footnote w:id="5">
    <w:p w:rsidR="00595B31" w:rsidRPr="000A604A" w:rsidRDefault="00595B31" w:rsidP="00595B31">
      <w:pPr>
        <w:pStyle w:val="FootnoteText"/>
        <w:rPr>
          <w:sz w:val="20"/>
        </w:rPr>
      </w:pPr>
      <w:r w:rsidRPr="000A604A">
        <w:rPr>
          <w:rStyle w:val="FootnoteReference"/>
          <w:sz w:val="20"/>
        </w:rPr>
        <w:footnoteRef/>
      </w:r>
      <w:r w:rsidRPr="000A604A">
        <w:rPr>
          <w:sz w:val="20"/>
        </w:rPr>
        <w:t xml:space="preserve"> 47 C.F.R. §§ 90.303, 90.305.</w:t>
      </w:r>
    </w:p>
  </w:footnote>
  <w:footnote w:id="6">
    <w:p w:rsidR="00595B31" w:rsidRPr="000A604A" w:rsidRDefault="00595B31" w:rsidP="00595B31">
      <w:pPr>
        <w:pStyle w:val="FootnoteText"/>
        <w:rPr>
          <w:sz w:val="20"/>
        </w:rPr>
      </w:pPr>
      <w:r w:rsidRPr="000A604A">
        <w:rPr>
          <w:rStyle w:val="FootnoteReference"/>
          <w:sz w:val="20"/>
        </w:rPr>
        <w:footnoteRef/>
      </w:r>
      <w:r w:rsidRPr="000A604A">
        <w:rPr>
          <w:sz w:val="20"/>
        </w:rPr>
        <w:t xml:space="preserve"> </w:t>
      </w:r>
      <w:r>
        <w:rPr>
          <w:i/>
          <w:sz w:val="20"/>
        </w:rPr>
        <w:t>Report and Order</w:t>
      </w:r>
      <w:r>
        <w:rPr>
          <w:sz w:val="20"/>
        </w:rPr>
        <w:t xml:space="preserve">, </w:t>
      </w:r>
      <w:r w:rsidRPr="000A604A">
        <w:rPr>
          <w:sz w:val="20"/>
        </w:rPr>
        <w:t xml:space="preserve">at </w:t>
      </w:r>
      <w:r>
        <w:rPr>
          <w:sz w:val="20"/>
        </w:rPr>
        <w:t xml:space="preserve">13299, 13301 </w:t>
      </w:r>
      <w:r w:rsidRPr="000A604A">
        <w:rPr>
          <w:iCs/>
          <w:color w:val="000000"/>
          <w:sz w:val="20"/>
        </w:rPr>
        <w:t xml:space="preserve">¶¶ 46, 51. </w:t>
      </w:r>
      <w:r w:rsidRPr="000A604A">
        <w:rPr>
          <w:sz w:val="20"/>
        </w:rPr>
        <w:t xml:space="preserve"> </w:t>
      </w:r>
    </w:p>
  </w:footnote>
  <w:footnote w:id="7">
    <w:p w:rsidR="00595B31" w:rsidRDefault="00595B31" w:rsidP="00595B31">
      <w:pPr>
        <w:pStyle w:val="FootnoteText"/>
        <w:rPr>
          <w:sz w:val="20"/>
        </w:rPr>
      </w:pPr>
      <w:r>
        <w:rPr>
          <w:rStyle w:val="FootnoteReference"/>
          <w:sz w:val="20"/>
        </w:rPr>
        <w:footnoteRef/>
      </w:r>
      <w:r>
        <w:rPr>
          <w:sz w:val="20"/>
        </w:rPr>
        <w:t xml:space="preserve"> </w:t>
      </w:r>
      <w:r>
        <w:rPr>
          <w:i/>
          <w:sz w:val="20"/>
        </w:rPr>
        <w:t>Id</w:t>
      </w:r>
      <w:r>
        <w:rPr>
          <w:sz w:val="20"/>
        </w:rPr>
        <w:t>. at foot</w:t>
      </w:r>
      <w:r>
        <w:rPr>
          <w:iCs/>
          <w:color w:val="000000"/>
          <w:sz w:val="20"/>
        </w:rPr>
        <w:t>note 126.</w:t>
      </w:r>
    </w:p>
  </w:footnote>
  <w:footnote w:id="8">
    <w:p w:rsidR="00595B31" w:rsidRPr="000A604A" w:rsidRDefault="00595B31" w:rsidP="00595B31">
      <w:pPr>
        <w:pStyle w:val="FootnoteText"/>
        <w:rPr>
          <w:sz w:val="20"/>
        </w:rPr>
      </w:pPr>
      <w:r w:rsidRPr="000A604A">
        <w:rPr>
          <w:rStyle w:val="FootnoteReference"/>
          <w:sz w:val="20"/>
        </w:rPr>
        <w:footnoteRef/>
      </w:r>
      <w:r w:rsidRPr="000A604A">
        <w:rPr>
          <w:sz w:val="20"/>
        </w:rPr>
        <w:t xml:space="preserve"> NPSTC/NRPC Letter at 1-2 and note 1.</w:t>
      </w:r>
      <w:r w:rsidR="008D29AE">
        <w:rPr>
          <w:sz w:val="20"/>
        </w:rPr>
        <w:t xml:space="preserve">  NPSTC and the NRPC recommended that the Commission engage in further discussions with Canada over increased sharing of these channels to support increased interoperable trunked solutions along the Sector 2 border area.  </w:t>
      </w:r>
      <w:r w:rsidR="008D29AE" w:rsidRPr="008D29AE">
        <w:rPr>
          <w:i/>
          <w:sz w:val="20"/>
        </w:rPr>
        <w:t>Id</w:t>
      </w:r>
      <w:r w:rsidR="008D29AE">
        <w:rPr>
          <w:sz w:val="20"/>
        </w:rPr>
        <w:t>. at note 4.</w:t>
      </w:r>
    </w:p>
  </w:footnote>
  <w:footnote w:id="9">
    <w:p w:rsidR="00595B31" w:rsidRPr="000A604A" w:rsidRDefault="00595B31" w:rsidP="00595B31">
      <w:pPr>
        <w:pStyle w:val="FootnoteText"/>
        <w:rPr>
          <w:sz w:val="20"/>
        </w:rPr>
      </w:pPr>
      <w:r w:rsidRPr="000A604A">
        <w:rPr>
          <w:rStyle w:val="FootnoteReference"/>
          <w:sz w:val="20"/>
        </w:rPr>
        <w:footnoteRef/>
      </w:r>
      <w:r w:rsidRPr="000A604A">
        <w:rPr>
          <w:sz w:val="20"/>
        </w:rPr>
        <w:t xml:space="preserve"> </w:t>
      </w:r>
      <w:r w:rsidRPr="00F276FB">
        <w:rPr>
          <w:i/>
          <w:sz w:val="20"/>
        </w:rPr>
        <w:t>Id</w:t>
      </w:r>
      <w:r>
        <w:rPr>
          <w:sz w:val="20"/>
        </w:rPr>
        <w:t>.</w:t>
      </w:r>
      <w:r w:rsidRPr="000A604A">
        <w:rPr>
          <w:sz w:val="20"/>
        </w:rPr>
        <w:t xml:space="preserve"> at 2.</w:t>
      </w:r>
    </w:p>
  </w:footnote>
  <w:footnote w:id="10">
    <w:p w:rsidR="00595B31" w:rsidRPr="008D29AE" w:rsidRDefault="00595B31" w:rsidP="00595B31">
      <w:pPr>
        <w:pStyle w:val="FootnoteText"/>
        <w:rPr>
          <w:sz w:val="20"/>
        </w:rPr>
      </w:pPr>
      <w:r w:rsidRPr="008D29AE">
        <w:rPr>
          <w:rStyle w:val="FootnoteReference"/>
          <w:sz w:val="20"/>
        </w:rPr>
        <w:footnoteRef/>
      </w:r>
      <w:r w:rsidRPr="008D29AE">
        <w:rPr>
          <w:sz w:val="20"/>
        </w:rPr>
        <w:t xml:space="preserve"> </w:t>
      </w:r>
      <w:r w:rsidRPr="008D29AE">
        <w:rPr>
          <w:i/>
          <w:sz w:val="20"/>
        </w:rPr>
        <w:t>Id</w:t>
      </w:r>
      <w:r w:rsidRPr="008D29AE">
        <w:rPr>
          <w:sz w:val="20"/>
        </w:rPr>
        <w:t>.  In its letter filing, NPSTC and the NRPC attached a copy of the alternative proposals they rejected.</w:t>
      </w:r>
    </w:p>
  </w:footnote>
  <w:footnote w:id="11">
    <w:p w:rsidR="008D29AE" w:rsidRPr="008D29AE" w:rsidRDefault="008D29AE">
      <w:pPr>
        <w:pStyle w:val="FootnoteText"/>
        <w:rPr>
          <w:sz w:val="20"/>
        </w:rPr>
      </w:pPr>
      <w:r w:rsidRPr="008D29AE">
        <w:rPr>
          <w:rStyle w:val="FootnoteReference"/>
          <w:sz w:val="20"/>
        </w:rPr>
        <w:footnoteRef/>
      </w:r>
      <w:r w:rsidRPr="008D29AE">
        <w:rPr>
          <w:sz w:val="20"/>
        </w:rPr>
        <w:t xml:space="preserve"> </w:t>
      </w:r>
      <w:r w:rsidRPr="008D29AE">
        <w:rPr>
          <w:i/>
          <w:sz w:val="20"/>
        </w:rPr>
        <w:t>Id</w:t>
      </w:r>
      <w:r w:rsidRPr="008D29AE">
        <w:rPr>
          <w:sz w:val="20"/>
        </w:rPr>
        <w:t>. at 3.</w:t>
      </w:r>
    </w:p>
  </w:footnote>
  <w:footnote w:id="12">
    <w:p w:rsidR="008D29AE" w:rsidRPr="008D29AE" w:rsidRDefault="008D29AE">
      <w:pPr>
        <w:pStyle w:val="FootnoteText"/>
        <w:rPr>
          <w:sz w:val="20"/>
        </w:rPr>
      </w:pPr>
      <w:r w:rsidRPr="008D29AE">
        <w:rPr>
          <w:rStyle w:val="FootnoteReference"/>
          <w:sz w:val="20"/>
        </w:rPr>
        <w:footnoteRef/>
      </w:r>
      <w:r w:rsidRPr="008D29AE">
        <w:rPr>
          <w:sz w:val="20"/>
        </w:rPr>
        <w:t xml:space="preserve"> </w:t>
      </w:r>
      <w:r w:rsidRPr="008D29AE">
        <w:rPr>
          <w:i/>
          <w:sz w:val="20"/>
        </w:rPr>
        <w:t>Id</w:t>
      </w:r>
      <w:r w:rsidRPr="008D29AE">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B6" w:rsidRDefault="00CE4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B6" w:rsidRDefault="00CE4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2F" w:rsidRPr="003F4FFA" w:rsidRDefault="0012032F" w:rsidP="0012032F">
    <w:pPr>
      <w:pStyle w:val="Header"/>
      <w:tabs>
        <w:tab w:val="clear" w:pos="4320"/>
        <w:tab w:val="clear" w:pos="8640"/>
      </w:tabs>
      <w:spacing w:before="4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2B8C1109" wp14:editId="377657B8">
          <wp:simplePos x="0" y="0"/>
          <wp:positionH relativeFrom="column">
            <wp:posOffset>24765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11">
      <w:rPr>
        <w:rFonts w:ascii="News Gothic MT" w:hAnsi="News Gothic MT"/>
        <w:b/>
        <w:kern w:val="28"/>
        <w:sz w:val="96"/>
      </w:rPr>
      <w:t xml:space="preserve">  </w:t>
    </w:r>
    <w:r w:rsidR="00E03A11">
      <w:rPr>
        <w:rFonts w:ascii="News Gothic MT" w:hAnsi="News Gothic MT"/>
        <w:b/>
        <w:kern w:val="28"/>
        <w:sz w:val="96"/>
      </w:rPr>
      <w:tab/>
    </w:r>
    <w:r w:rsidR="00E03A11">
      <w:rPr>
        <w:rFonts w:ascii="Arial" w:hAnsi="Arial" w:cs="Arial"/>
        <w:b/>
        <w:kern w:val="28"/>
        <w:sz w:val="96"/>
      </w:rPr>
      <w:t xml:space="preserve">PUBLIC </w:t>
    </w:r>
    <w:r w:rsidRPr="003F4FFA">
      <w:rPr>
        <w:rFonts w:ascii="Arial" w:hAnsi="Arial" w:cs="Arial"/>
        <w:b/>
        <w:kern w:val="28"/>
        <w:sz w:val="96"/>
      </w:rPr>
      <w:t>NOTICE</w:t>
    </w:r>
  </w:p>
  <w:p w:rsidR="0012032F" w:rsidRDefault="0012032F" w:rsidP="0012032F">
    <w:pPr>
      <w:pStyle w:val="Header"/>
      <w:tabs>
        <w:tab w:val="clear" w:pos="4320"/>
        <w:tab w:val="clear" w:pos="8640"/>
        <w:tab w:val="left" w:pos="108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3521E5" wp14:editId="59623F2F">
              <wp:simplePos x="0" y="0"/>
              <wp:positionH relativeFrom="column">
                <wp:posOffset>-85725</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32F" w:rsidRDefault="0012032F">
                          <w:pPr>
                            <w:rPr>
                              <w:rFonts w:ascii="Arial" w:hAnsi="Arial"/>
                              <w:b/>
                            </w:rPr>
                          </w:pPr>
                          <w:r>
                            <w:rPr>
                              <w:rFonts w:ascii="Arial" w:hAnsi="Arial"/>
                              <w:b/>
                            </w:rPr>
                            <w:t>Federal Communications Commission</w:t>
                          </w:r>
                        </w:p>
                        <w:p w:rsidR="0012032F" w:rsidRDefault="001203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032F" w:rsidRDefault="001203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" o:allowincell="f" stroked="f">
              <v:textbox>
                <w:txbxContent>
                  <w:p w:rsidR="0012032F" w:rsidRDefault="0012032F">
                    <w:pPr>
                      <w:rPr>
                        <w:rFonts w:ascii="Arial" w:hAnsi="Arial"/>
                        <w:b/>
                      </w:rPr>
                    </w:pPr>
                    <w:r>
                      <w:rPr>
                        <w:rFonts w:ascii="Arial" w:hAnsi="Arial"/>
                        <w:b/>
                      </w:rPr>
                      <w:t>Federal Communications Commission</w:t>
                    </w:r>
                  </w:p>
                  <w:p w:rsidR="0012032F" w:rsidRDefault="001203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032F" w:rsidRDefault="0012032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2F971AA" wp14:editId="668A719B">
              <wp:simplePos x="0" y="0"/>
              <wp:positionH relativeFrom="column">
                <wp:posOffset>20320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4.95pt" to="465.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EAD71A4" wp14:editId="3EED904C">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32F" w:rsidRDefault="0012032F">
                          <w:pPr>
                            <w:spacing w:before="40"/>
                            <w:jc w:val="right"/>
                            <w:rPr>
                              <w:rFonts w:ascii="Arial" w:hAnsi="Arial"/>
                              <w:b/>
                              <w:sz w:val="16"/>
                            </w:rPr>
                          </w:pPr>
                          <w:r>
                            <w:rPr>
                              <w:rFonts w:ascii="Arial" w:hAnsi="Arial"/>
                              <w:b/>
                              <w:sz w:val="16"/>
                            </w:rPr>
                            <w:t>News Media Information 202 / 418-0500</w:t>
                          </w:r>
                        </w:p>
                        <w:p w:rsidR="0012032F" w:rsidRDefault="001203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2032F" w:rsidRDefault="0012032F">
                          <w:pPr>
                            <w:jc w:val="right"/>
                            <w:rPr>
                              <w:rFonts w:ascii="Arial" w:hAnsi="Arial"/>
                              <w:b/>
                              <w:sz w:val="16"/>
                            </w:rPr>
                          </w:pPr>
                          <w:r>
                            <w:rPr>
                              <w:rFonts w:ascii="Arial" w:hAnsi="Arial"/>
                              <w:b/>
                              <w:sz w:val="16"/>
                            </w:rPr>
                            <w:t>TTY: 1-888-835-5322</w:t>
                          </w:r>
                        </w:p>
                        <w:p w:rsidR="0012032F" w:rsidRDefault="0012032F" w:rsidP="0012032F">
                          <w:pPr>
                            <w:ind w:right="270"/>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12032F" w:rsidRDefault="0012032F">
                    <w:pPr>
                      <w:spacing w:before="40"/>
                      <w:jc w:val="right"/>
                      <w:rPr>
                        <w:rFonts w:ascii="Arial" w:hAnsi="Arial"/>
                        <w:b/>
                        <w:sz w:val="16"/>
                      </w:rPr>
                    </w:pPr>
                    <w:r>
                      <w:rPr>
                        <w:rFonts w:ascii="Arial" w:hAnsi="Arial"/>
                        <w:b/>
                        <w:sz w:val="16"/>
                      </w:rPr>
                      <w:t>News Media Information 202 / 418-0500</w:t>
                    </w:r>
                  </w:p>
                  <w:p w:rsidR="0012032F" w:rsidRDefault="0012032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2032F" w:rsidRDefault="0012032F">
                    <w:pPr>
                      <w:jc w:val="right"/>
                      <w:rPr>
                        <w:rFonts w:ascii="Arial" w:hAnsi="Arial"/>
                        <w:b/>
                        <w:sz w:val="16"/>
                      </w:rPr>
                    </w:pPr>
                    <w:r>
                      <w:rPr>
                        <w:rFonts w:ascii="Arial" w:hAnsi="Arial"/>
                        <w:b/>
                        <w:sz w:val="16"/>
                      </w:rPr>
                      <w:t>TTY: 1-888-835-5322</w:t>
                    </w:r>
                  </w:p>
                  <w:p w:rsidR="0012032F" w:rsidRDefault="0012032F" w:rsidP="0012032F">
                    <w:pPr>
                      <w:ind w:right="270"/>
                      <w:jc w:val="right"/>
                    </w:pPr>
                  </w:p>
                </w:txbxContent>
              </v:textbox>
            </v:shape>
          </w:pict>
        </mc:Fallback>
      </mc:AlternateContent>
    </w:r>
  </w:p>
  <w:p w:rsidR="0012032F" w:rsidRDefault="0012032F" w:rsidP="0012032F">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F325C"/>
    <w:multiLevelType w:val="hybridMultilevel"/>
    <w:tmpl w:val="80025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78A6B69"/>
    <w:multiLevelType w:val="hybridMultilevel"/>
    <w:tmpl w:val="EA4CF8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A82407"/>
    <w:multiLevelType w:val="hybridMultilevel"/>
    <w:tmpl w:val="4E70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3F65A0"/>
    <w:multiLevelType w:val="hybridMultilevel"/>
    <w:tmpl w:val="D3A4C810"/>
    <w:lvl w:ilvl="0" w:tplc="5EC6675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BD2719"/>
    <w:multiLevelType w:val="hybridMultilevel"/>
    <w:tmpl w:val="3D3C9E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A281330"/>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num w:numId="1">
    <w:abstractNumId w:val="10"/>
  </w:num>
  <w:num w:numId="2">
    <w:abstractNumId w:val="9"/>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7"/>
  </w:num>
  <w:num w:numId="12">
    <w:abstractNumId w:val="5"/>
  </w:num>
  <w:num w:numId="13">
    <w:abstractNumId w:val="13"/>
  </w:num>
  <w:num w:numId="14">
    <w:abstractNumId w:val="11"/>
  </w:num>
  <w:num w:numId="15">
    <w:abstractNumId w:val="6"/>
  </w:num>
  <w:num w:numId="16">
    <w:abstractNumId w:val="14"/>
  </w:num>
  <w:num w:numId="17">
    <w:abstractNumId w:val="1"/>
  </w:num>
  <w:num w:numId="18">
    <w:abstractNumId w:val="0"/>
  </w:num>
  <w:num w:numId="19">
    <w:abstractNumId w:val="2"/>
  </w:num>
  <w:num w:numId="20">
    <w:abstractNumId w:val="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FA"/>
    <w:rsid w:val="000265AE"/>
    <w:rsid w:val="0007109F"/>
    <w:rsid w:val="0012032F"/>
    <w:rsid w:val="001A591C"/>
    <w:rsid w:val="001C217C"/>
    <w:rsid w:val="002C15B7"/>
    <w:rsid w:val="003448F2"/>
    <w:rsid w:val="003F4FFA"/>
    <w:rsid w:val="00530E83"/>
    <w:rsid w:val="00587C81"/>
    <w:rsid w:val="00595B31"/>
    <w:rsid w:val="005F0BB5"/>
    <w:rsid w:val="00602577"/>
    <w:rsid w:val="00675A7E"/>
    <w:rsid w:val="00705E0F"/>
    <w:rsid w:val="00726ECE"/>
    <w:rsid w:val="00785A2E"/>
    <w:rsid w:val="007B38C3"/>
    <w:rsid w:val="007D5549"/>
    <w:rsid w:val="008550A4"/>
    <w:rsid w:val="008634D6"/>
    <w:rsid w:val="008A4A64"/>
    <w:rsid w:val="008D29AE"/>
    <w:rsid w:val="009C50E5"/>
    <w:rsid w:val="00B2473A"/>
    <w:rsid w:val="00B33540"/>
    <w:rsid w:val="00C055A7"/>
    <w:rsid w:val="00CA563D"/>
    <w:rsid w:val="00CE4CB6"/>
    <w:rsid w:val="00D17DC0"/>
    <w:rsid w:val="00D60EFF"/>
    <w:rsid w:val="00E03A11"/>
    <w:rsid w:val="00E25659"/>
    <w:rsid w:val="00EC3D29"/>
    <w:rsid w:val="00E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Style 17,FR,Style 6,Footnote Reference/"/>
    <w:uiPriority w:val="99"/>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character" w:customStyle="1" w:styleId="HeaderChar">
    <w:name w:val="Header Char"/>
    <w:basedOn w:val="DefaultParagraphFont"/>
    <w:link w:val="Header"/>
    <w:rsid w:val="00595B31"/>
    <w:rPr>
      <w:sz w:val="22"/>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uiPriority w:val="99"/>
    <w:rsid w:val="00595B3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Style 17,FR,Style 6,Footnote Reference/"/>
    <w:uiPriority w:val="99"/>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character" w:customStyle="1" w:styleId="HeaderChar">
    <w:name w:val="Header Char"/>
    <w:basedOn w:val="DefaultParagraphFont"/>
    <w:link w:val="Header"/>
    <w:rsid w:val="00595B31"/>
    <w:rPr>
      <w:sz w:val="22"/>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uiPriority w:val="99"/>
    <w:rsid w:val="00595B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vanoff@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A252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A252948</Template>
  <TotalTime>0</TotalTime>
  <Pages>3</Pages>
  <Words>1262</Words>
  <Characters>7188</Characters>
  <Application>Microsoft Office Word</Application>
  <DocSecurity>0</DocSecurity>
  <Lines>163</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2015-03-03T11:05:00Z</dcterms:created>
  <dcterms:modified xsi:type="dcterms:W3CDTF">2015-03-03T11:05:00Z</dcterms:modified>
  <cp:category> </cp:category>
  <cp:contentStatus> </cp:contentStatus>
</cp:coreProperties>
</file>