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63" w:rsidRPr="002728DB" w:rsidRDefault="009B47C2" w:rsidP="00C80CD5">
      <w:pPr>
        <w:widowControl/>
        <w:tabs>
          <w:tab w:val="left" w:pos="3330"/>
        </w:tabs>
        <w:jc w:val="center"/>
        <w:rPr>
          <w:szCs w:val="22"/>
        </w:rPr>
      </w:pPr>
      <w:bookmarkStart w:id="0" w:name="_GoBack"/>
      <w:bookmarkEnd w:id="0"/>
      <w:r w:rsidRPr="002728DB">
        <w:rPr>
          <w:b/>
          <w:szCs w:val="22"/>
        </w:rPr>
        <w:t>B</w:t>
      </w:r>
      <w:r w:rsidR="005E0F63" w:rsidRPr="002728DB">
        <w:rPr>
          <w:b/>
          <w:szCs w:val="22"/>
        </w:rPr>
        <w:t>efore the</w:t>
      </w:r>
    </w:p>
    <w:p w:rsidR="005E0F63" w:rsidRPr="002728DB" w:rsidRDefault="005E0F63" w:rsidP="00C80CD5">
      <w:pPr>
        <w:widowControl/>
        <w:jc w:val="center"/>
        <w:rPr>
          <w:b/>
          <w:szCs w:val="22"/>
        </w:rPr>
      </w:pPr>
      <w:bookmarkStart w:id="1" w:name="_Toc336255590"/>
      <w:r w:rsidRPr="002728DB">
        <w:rPr>
          <w:b/>
          <w:szCs w:val="22"/>
        </w:rPr>
        <w:t>Federal Communications Commission</w:t>
      </w:r>
      <w:bookmarkEnd w:id="1"/>
    </w:p>
    <w:p w:rsidR="005E0F63" w:rsidRPr="002728DB" w:rsidRDefault="005E0F63" w:rsidP="00C80CD5">
      <w:pPr>
        <w:widowControl/>
        <w:jc w:val="center"/>
        <w:rPr>
          <w:b/>
          <w:szCs w:val="22"/>
        </w:rPr>
      </w:pPr>
      <w:bookmarkStart w:id="2" w:name="_Toc336255591"/>
      <w:r w:rsidRPr="002728DB">
        <w:rPr>
          <w:b/>
          <w:szCs w:val="22"/>
        </w:rPr>
        <w:t>Washington, D.C. 20554</w:t>
      </w:r>
      <w:bookmarkEnd w:id="2"/>
    </w:p>
    <w:p w:rsidR="005E0F63" w:rsidRPr="002728DB" w:rsidRDefault="005E0F63" w:rsidP="00333C44">
      <w:pPr>
        <w:widowControl/>
        <w:rPr>
          <w:szCs w:val="22"/>
        </w:rPr>
      </w:pPr>
    </w:p>
    <w:tbl>
      <w:tblPr>
        <w:tblW w:w="9648" w:type="dxa"/>
        <w:tblLayout w:type="fixed"/>
        <w:tblLook w:val="0000" w:firstRow="0" w:lastRow="0" w:firstColumn="0" w:lastColumn="0" w:noHBand="0" w:noVBand="0"/>
      </w:tblPr>
      <w:tblGrid>
        <w:gridCol w:w="4698"/>
        <w:gridCol w:w="720"/>
        <w:gridCol w:w="4230"/>
      </w:tblGrid>
      <w:tr w:rsidR="00A1739F" w:rsidRPr="002728DB">
        <w:tc>
          <w:tcPr>
            <w:tcW w:w="4698" w:type="dxa"/>
          </w:tcPr>
          <w:p w:rsidR="005E0F63" w:rsidRPr="002728DB" w:rsidRDefault="005E0F63" w:rsidP="00333C44">
            <w:pPr>
              <w:widowControl/>
              <w:rPr>
                <w:szCs w:val="22"/>
              </w:rPr>
            </w:pPr>
            <w:r w:rsidRPr="002728DB">
              <w:rPr>
                <w:szCs w:val="22"/>
              </w:rPr>
              <w:t>In the Matter of</w:t>
            </w:r>
          </w:p>
          <w:p w:rsidR="0037057B" w:rsidRPr="002728DB" w:rsidRDefault="0037057B" w:rsidP="00333C44">
            <w:pPr>
              <w:widowControl/>
              <w:rPr>
                <w:szCs w:val="22"/>
              </w:rPr>
            </w:pPr>
          </w:p>
          <w:p w:rsidR="0037057B" w:rsidRPr="002728DB" w:rsidRDefault="00A61B76" w:rsidP="00333C44">
            <w:pPr>
              <w:widowControl/>
              <w:rPr>
                <w:szCs w:val="22"/>
              </w:rPr>
            </w:pPr>
            <w:r w:rsidRPr="002728DB">
              <w:rPr>
                <w:szCs w:val="22"/>
              </w:rPr>
              <w:t>C</w:t>
            </w:r>
            <w:r w:rsidR="00E80A36" w:rsidRPr="002728DB">
              <w:rPr>
                <w:szCs w:val="22"/>
              </w:rPr>
              <w:t>onnect America Fund</w:t>
            </w:r>
          </w:p>
          <w:p w:rsidR="005E0F63" w:rsidRPr="002728DB" w:rsidRDefault="005E0F63" w:rsidP="00333C44">
            <w:pPr>
              <w:widowControl/>
              <w:rPr>
                <w:caps/>
                <w:noProof/>
                <w:szCs w:val="22"/>
              </w:rPr>
            </w:pPr>
          </w:p>
          <w:p w:rsidR="00E80A36" w:rsidRPr="002728DB" w:rsidRDefault="00506C43" w:rsidP="00333C44">
            <w:pPr>
              <w:widowControl/>
              <w:rPr>
                <w:szCs w:val="22"/>
              </w:rPr>
            </w:pPr>
            <w:r>
              <w:rPr>
                <w:szCs w:val="22"/>
              </w:rPr>
              <w:t>Developing a</w:t>
            </w:r>
            <w:r w:rsidR="00E80A36" w:rsidRPr="002728DB">
              <w:rPr>
                <w:szCs w:val="22"/>
              </w:rPr>
              <w:t xml:space="preserve"> Unified Intercarrier Compensation Regime</w:t>
            </w:r>
          </w:p>
          <w:p w:rsidR="00E80A36" w:rsidRPr="002728DB" w:rsidRDefault="00E80A36" w:rsidP="00333C44">
            <w:pPr>
              <w:widowControl/>
              <w:rPr>
                <w:caps/>
                <w:noProof/>
                <w:szCs w:val="22"/>
              </w:rPr>
            </w:pPr>
          </w:p>
        </w:tc>
        <w:tc>
          <w:tcPr>
            <w:tcW w:w="720" w:type="dxa"/>
          </w:tcPr>
          <w:p w:rsidR="005E0F63" w:rsidRPr="002728DB" w:rsidRDefault="005E0F63" w:rsidP="00333C44">
            <w:pPr>
              <w:widowControl/>
              <w:rPr>
                <w:szCs w:val="22"/>
              </w:rPr>
            </w:pPr>
            <w:r w:rsidRPr="002728DB">
              <w:rPr>
                <w:szCs w:val="22"/>
              </w:rPr>
              <w:t>)</w:t>
            </w:r>
          </w:p>
          <w:p w:rsidR="005E0F63" w:rsidRPr="002728DB" w:rsidRDefault="005E0F63" w:rsidP="00333C44">
            <w:pPr>
              <w:widowControl/>
              <w:rPr>
                <w:szCs w:val="22"/>
              </w:rPr>
            </w:pPr>
            <w:r w:rsidRPr="002728DB">
              <w:rPr>
                <w:szCs w:val="22"/>
              </w:rPr>
              <w:t>)</w:t>
            </w:r>
          </w:p>
          <w:p w:rsidR="005E0F63" w:rsidRPr="002728DB" w:rsidRDefault="005E0F63" w:rsidP="00333C44">
            <w:pPr>
              <w:widowControl/>
              <w:rPr>
                <w:szCs w:val="22"/>
              </w:rPr>
            </w:pPr>
            <w:r w:rsidRPr="002728DB">
              <w:rPr>
                <w:szCs w:val="22"/>
              </w:rPr>
              <w:t>)</w:t>
            </w:r>
          </w:p>
          <w:p w:rsidR="005E0F63" w:rsidRPr="002728DB" w:rsidRDefault="005E0F63" w:rsidP="00333C44">
            <w:pPr>
              <w:widowControl/>
              <w:rPr>
                <w:szCs w:val="22"/>
              </w:rPr>
            </w:pPr>
            <w:r w:rsidRPr="002728DB">
              <w:rPr>
                <w:szCs w:val="22"/>
              </w:rPr>
              <w:t>)</w:t>
            </w:r>
          </w:p>
          <w:p w:rsidR="005E0F63" w:rsidRPr="002728DB" w:rsidRDefault="005E0F63" w:rsidP="00333C44">
            <w:pPr>
              <w:widowControl/>
              <w:rPr>
                <w:szCs w:val="22"/>
              </w:rPr>
            </w:pPr>
            <w:r w:rsidRPr="002728DB">
              <w:rPr>
                <w:szCs w:val="22"/>
              </w:rPr>
              <w:t>)</w:t>
            </w:r>
          </w:p>
          <w:p w:rsidR="005E0F63" w:rsidRPr="002728DB" w:rsidRDefault="00E80A36" w:rsidP="00333C44">
            <w:pPr>
              <w:widowControl/>
              <w:rPr>
                <w:szCs w:val="22"/>
              </w:rPr>
            </w:pPr>
            <w:r w:rsidRPr="002728DB">
              <w:rPr>
                <w:szCs w:val="22"/>
              </w:rPr>
              <w:t>)</w:t>
            </w:r>
          </w:p>
          <w:p w:rsidR="002844AC" w:rsidRPr="002728DB" w:rsidRDefault="002844AC" w:rsidP="00333C44">
            <w:pPr>
              <w:widowControl/>
              <w:rPr>
                <w:szCs w:val="22"/>
              </w:rPr>
            </w:pPr>
          </w:p>
        </w:tc>
        <w:tc>
          <w:tcPr>
            <w:tcW w:w="4230" w:type="dxa"/>
          </w:tcPr>
          <w:p w:rsidR="005E0F63" w:rsidRPr="002728DB" w:rsidRDefault="005E0F63" w:rsidP="00333C44">
            <w:pPr>
              <w:widowControl/>
              <w:rPr>
                <w:szCs w:val="22"/>
              </w:rPr>
            </w:pPr>
          </w:p>
          <w:p w:rsidR="005E0F63" w:rsidRPr="002728DB" w:rsidRDefault="005E0F63" w:rsidP="00333C44">
            <w:pPr>
              <w:widowControl/>
              <w:rPr>
                <w:szCs w:val="22"/>
              </w:rPr>
            </w:pPr>
          </w:p>
          <w:p w:rsidR="00257962" w:rsidRPr="002728DB" w:rsidRDefault="00E80A36" w:rsidP="00333C44">
            <w:pPr>
              <w:widowControl/>
              <w:rPr>
                <w:szCs w:val="22"/>
              </w:rPr>
            </w:pPr>
            <w:r w:rsidRPr="002728DB">
              <w:rPr>
                <w:szCs w:val="22"/>
              </w:rPr>
              <w:t>WC Docket No. 10-90</w:t>
            </w:r>
          </w:p>
          <w:p w:rsidR="00123360" w:rsidRPr="002728DB" w:rsidRDefault="00123360" w:rsidP="00333C44">
            <w:pPr>
              <w:widowControl/>
              <w:rPr>
                <w:szCs w:val="22"/>
              </w:rPr>
            </w:pPr>
          </w:p>
          <w:p w:rsidR="00123360" w:rsidRPr="002728DB" w:rsidRDefault="00E80A36" w:rsidP="00333C44">
            <w:pPr>
              <w:widowControl/>
              <w:rPr>
                <w:szCs w:val="22"/>
              </w:rPr>
            </w:pPr>
            <w:r w:rsidRPr="002728DB">
              <w:rPr>
                <w:szCs w:val="22"/>
              </w:rPr>
              <w:t>CC Docket No. 01-92</w:t>
            </w:r>
          </w:p>
          <w:p w:rsidR="008C3CCD" w:rsidRPr="002728DB" w:rsidRDefault="008C3CCD" w:rsidP="00333C44">
            <w:pPr>
              <w:widowControl/>
              <w:rPr>
                <w:szCs w:val="22"/>
              </w:rPr>
            </w:pPr>
          </w:p>
        </w:tc>
      </w:tr>
    </w:tbl>
    <w:p w:rsidR="005E0F63" w:rsidRPr="002728DB" w:rsidRDefault="00E80A36" w:rsidP="00333C44">
      <w:pPr>
        <w:pStyle w:val="Caption"/>
        <w:widowControl/>
        <w:jc w:val="center"/>
        <w:rPr>
          <w:szCs w:val="22"/>
        </w:rPr>
      </w:pPr>
      <w:r w:rsidRPr="002728DB">
        <w:rPr>
          <w:szCs w:val="22"/>
        </w:rPr>
        <w:t>ORDER</w:t>
      </w:r>
    </w:p>
    <w:p w:rsidR="005E0F63" w:rsidRPr="002728DB" w:rsidRDefault="005E0F63" w:rsidP="00333C44">
      <w:pPr>
        <w:widowControl/>
        <w:tabs>
          <w:tab w:val="right" w:pos="9360"/>
        </w:tabs>
        <w:rPr>
          <w:b/>
          <w:szCs w:val="22"/>
        </w:rPr>
      </w:pPr>
      <w:r w:rsidRPr="002728DB">
        <w:rPr>
          <w:b/>
          <w:szCs w:val="22"/>
        </w:rPr>
        <w:t xml:space="preserve">Adopted:  </w:t>
      </w:r>
      <w:r w:rsidR="00655416">
        <w:rPr>
          <w:b/>
          <w:szCs w:val="22"/>
        </w:rPr>
        <w:t>February</w:t>
      </w:r>
      <w:r w:rsidR="0062358B">
        <w:rPr>
          <w:b/>
          <w:szCs w:val="22"/>
        </w:rPr>
        <w:t xml:space="preserve"> 24</w:t>
      </w:r>
      <w:r w:rsidR="00257962" w:rsidRPr="002728DB">
        <w:rPr>
          <w:b/>
          <w:szCs w:val="22"/>
        </w:rPr>
        <w:t>, 201</w:t>
      </w:r>
      <w:r w:rsidR="00655416">
        <w:rPr>
          <w:b/>
          <w:szCs w:val="22"/>
        </w:rPr>
        <w:t>5</w:t>
      </w:r>
      <w:r w:rsidR="00257962" w:rsidRPr="002728DB">
        <w:rPr>
          <w:b/>
          <w:szCs w:val="22"/>
        </w:rPr>
        <w:tab/>
        <w:t xml:space="preserve">Released:  </w:t>
      </w:r>
      <w:r w:rsidR="00655416">
        <w:rPr>
          <w:b/>
          <w:szCs w:val="22"/>
        </w:rPr>
        <w:t>February</w:t>
      </w:r>
      <w:r w:rsidR="0062358B">
        <w:rPr>
          <w:b/>
          <w:szCs w:val="22"/>
        </w:rPr>
        <w:t xml:space="preserve"> 24</w:t>
      </w:r>
      <w:r w:rsidR="00182FA0" w:rsidRPr="002728DB">
        <w:rPr>
          <w:b/>
          <w:szCs w:val="22"/>
        </w:rPr>
        <w:t>, 201</w:t>
      </w:r>
      <w:r w:rsidR="00655416">
        <w:rPr>
          <w:b/>
          <w:szCs w:val="22"/>
        </w:rPr>
        <w:t>5</w:t>
      </w:r>
    </w:p>
    <w:p w:rsidR="00435F3C" w:rsidRPr="002728DB" w:rsidRDefault="00435F3C" w:rsidP="00333C44">
      <w:pPr>
        <w:widowControl/>
        <w:rPr>
          <w:b/>
          <w:szCs w:val="22"/>
        </w:rPr>
      </w:pPr>
    </w:p>
    <w:p w:rsidR="00335099" w:rsidRDefault="00D543D7" w:rsidP="00333C44">
      <w:pPr>
        <w:pStyle w:val="Byline"/>
        <w:widowControl/>
        <w:rPr>
          <w:sz w:val="22"/>
          <w:szCs w:val="22"/>
        </w:rPr>
      </w:pPr>
      <w:r>
        <w:rPr>
          <w:sz w:val="22"/>
          <w:szCs w:val="22"/>
        </w:rPr>
        <w:t>By the</w:t>
      </w:r>
      <w:r w:rsidR="00CB6F13">
        <w:rPr>
          <w:sz w:val="22"/>
          <w:szCs w:val="22"/>
        </w:rPr>
        <w:t xml:space="preserve"> Associate</w:t>
      </w:r>
      <w:r w:rsidR="008878B9">
        <w:rPr>
          <w:sz w:val="22"/>
          <w:szCs w:val="22"/>
        </w:rPr>
        <w:t xml:space="preserve"> </w:t>
      </w:r>
      <w:r w:rsidR="00257962" w:rsidRPr="002728DB">
        <w:rPr>
          <w:sz w:val="22"/>
          <w:szCs w:val="22"/>
        </w:rPr>
        <w:t>C</w:t>
      </w:r>
      <w:r w:rsidR="00E80A36" w:rsidRPr="002728DB">
        <w:rPr>
          <w:sz w:val="22"/>
          <w:szCs w:val="22"/>
        </w:rPr>
        <w:t>hief, Wireline Competition Bureau</w:t>
      </w:r>
      <w:r w:rsidR="00805C06" w:rsidRPr="002728DB">
        <w:rPr>
          <w:sz w:val="22"/>
          <w:szCs w:val="22"/>
        </w:rPr>
        <w:t>:</w:t>
      </w:r>
    </w:p>
    <w:p w:rsidR="00125C2E" w:rsidRPr="002728DB" w:rsidRDefault="00125C2E" w:rsidP="00333C44">
      <w:pPr>
        <w:pStyle w:val="Byline"/>
        <w:widowControl/>
        <w:rPr>
          <w:sz w:val="22"/>
          <w:szCs w:val="22"/>
        </w:rPr>
      </w:pPr>
    </w:p>
    <w:p w:rsidR="005E0F63" w:rsidRPr="002728DB" w:rsidRDefault="0016197A" w:rsidP="00333C44">
      <w:pPr>
        <w:pStyle w:val="Heading1"/>
        <w:widowControl/>
        <w:rPr>
          <w:rFonts w:ascii="Times New Roman" w:hAnsi="Times New Roman"/>
          <w:szCs w:val="22"/>
        </w:rPr>
      </w:pPr>
      <w:bookmarkStart w:id="3" w:name="_Toc373849365"/>
      <w:bookmarkStart w:id="4" w:name="_Toc373849423"/>
      <w:bookmarkStart w:id="5" w:name="_Toc379291441"/>
      <w:bookmarkStart w:id="6" w:name="_Toc381719682"/>
      <w:bookmarkStart w:id="7" w:name="_Toc79814552"/>
      <w:bookmarkStart w:id="8" w:name="_Ref84181662"/>
      <w:bookmarkStart w:id="9" w:name="_Toc112065101"/>
      <w:r w:rsidRPr="002728DB">
        <w:rPr>
          <w:rFonts w:ascii="Times New Roman" w:hAnsi="Times New Roman"/>
          <w:szCs w:val="22"/>
        </w:rPr>
        <w:t>introductio</w:t>
      </w:r>
      <w:r w:rsidR="0019495C" w:rsidRPr="002728DB">
        <w:rPr>
          <w:rFonts w:ascii="Times New Roman" w:hAnsi="Times New Roman"/>
          <w:szCs w:val="22"/>
        </w:rPr>
        <w:t>N</w:t>
      </w:r>
      <w:bookmarkEnd w:id="3"/>
      <w:bookmarkEnd w:id="4"/>
      <w:bookmarkEnd w:id="5"/>
      <w:bookmarkEnd w:id="6"/>
    </w:p>
    <w:p w:rsidR="00C60642" w:rsidRPr="002728DB" w:rsidRDefault="00571AF9" w:rsidP="00333C44">
      <w:pPr>
        <w:pStyle w:val="ParaNum"/>
        <w:widowControl/>
        <w:rPr>
          <w:szCs w:val="22"/>
        </w:rPr>
      </w:pPr>
      <w:r w:rsidRPr="002728DB">
        <w:rPr>
          <w:szCs w:val="22"/>
        </w:rPr>
        <w:t xml:space="preserve">In the </w:t>
      </w:r>
      <w:r w:rsidRPr="002728DB">
        <w:rPr>
          <w:i/>
          <w:szCs w:val="22"/>
        </w:rPr>
        <w:t>USF/ICC Transformation Order</w:t>
      </w:r>
      <w:r w:rsidRPr="002728DB">
        <w:rPr>
          <w:szCs w:val="22"/>
        </w:rPr>
        <w:t xml:space="preserve">, the Commission delegated to the Wireline Competition Bureau (Bureau) the authority to make any rule revisions necessary to ensure that the </w:t>
      </w:r>
      <w:r w:rsidR="00711187">
        <w:rPr>
          <w:szCs w:val="22"/>
        </w:rPr>
        <w:t xml:space="preserve">intercarrier compensation (ICC) </w:t>
      </w:r>
      <w:r w:rsidRPr="002728DB">
        <w:rPr>
          <w:szCs w:val="22"/>
        </w:rPr>
        <w:t xml:space="preserve">reforms adopted </w:t>
      </w:r>
      <w:r w:rsidR="00F71C0A" w:rsidRPr="002728DB">
        <w:rPr>
          <w:szCs w:val="22"/>
        </w:rPr>
        <w:t xml:space="preserve">by the Commission </w:t>
      </w:r>
      <w:r w:rsidRPr="002728DB">
        <w:rPr>
          <w:szCs w:val="22"/>
        </w:rPr>
        <w:t xml:space="preserve">are properly reflected in the </w:t>
      </w:r>
      <w:r w:rsidR="00E20AC8">
        <w:rPr>
          <w:szCs w:val="22"/>
        </w:rPr>
        <w:t xml:space="preserve">Commission’s </w:t>
      </w:r>
      <w:r w:rsidRPr="002728DB">
        <w:rPr>
          <w:szCs w:val="22"/>
        </w:rPr>
        <w:t xml:space="preserve">rules, </w:t>
      </w:r>
      <w:r w:rsidR="00F71C0A" w:rsidRPr="002728DB">
        <w:rPr>
          <w:szCs w:val="22"/>
        </w:rPr>
        <w:t xml:space="preserve">including correction of any conflicts between the new or revised rules and </w:t>
      </w:r>
      <w:r w:rsidRPr="002728DB">
        <w:rPr>
          <w:szCs w:val="22"/>
        </w:rPr>
        <w:t>addressing any omissions or oversights.</w:t>
      </w:r>
      <w:r w:rsidRPr="002728DB">
        <w:rPr>
          <w:rStyle w:val="FootnoteReference"/>
          <w:sz w:val="22"/>
          <w:szCs w:val="22"/>
        </w:rPr>
        <w:footnoteReference w:id="2"/>
      </w:r>
      <w:r w:rsidRPr="002728DB">
        <w:rPr>
          <w:szCs w:val="22"/>
        </w:rPr>
        <w:t xml:space="preserve">  In this Order, the Bureau acts pursuant to</w:t>
      </w:r>
      <w:r w:rsidR="00260082" w:rsidRPr="002728DB">
        <w:rPr>
          <w:szCs w:val="22"/>
        </w:rPr>
        <w:t xml:space="preserve"> its</w:t>
      </w:r>
      <w:r w:rsidRPr="002728DB">
        <w:rPr>
          <w:szCs w:val="22"/>
        </w:rPr>
        <w:t xml:space="preserve"> delegated authority to clari</w:t>
      </w:r>
      <w:r w:rsidR="004E5C93" w:rsidRPr="002728DB">
        <w:rPr>
          <w:szCs w:val="22"/>
        </w:rPr>
        <w:t>fy certain rules</w:t>
      </w:r>
      <w:r w:rsidR="009C587F" w:rsidRPr="002728DB">
        <w:rPr>
          <w:szCs w:val="22"/>
        </w:rPr>
        <w:t xml:space="preserve"> relating to </w:t>
      </w:r>
      <w:r w:rsidR="0008750A" w:rsidRPr="002728DB">
        <w:rPr>
          <w:szCs w:val="22"/>
        </w:rPr>
        <w:t xml:space="preserve">implementation of the </w:t>
      </w:r>
      <w:r w:rsidR="00F65DBB" w:rsidRPr="002728DB">
        <w:rPr>
          <w:szCs w:val="22"/>
        </w:rPr>
        <w:t>ICC transition</w:t>
      </w:r>
      <w:r w:rsidR="004E5C93" w:rsidRPr="002728DB">
        <w:rPr>
          <w:szCs w:val="22"/>
        </w:rPr>
        <w:t xml:space="preserve"> </w:t>
      </w:r>
      <w:r w:rsidR="00CC1EC1">
        <w:rPr>
          <w:szCs w:val="22"/>
        </w:rPr>
        <w:t xml:space="preserve">for rate-of-return local exchange carriers (LECs) </w:t>
      </w:r>
      <w:r w:rsidR="008A3C0C" w:rsidRPr="002728DB">
        <w:rPr>
          <w:szCs w:val="22"/>
        </w:rPr>
        <w:t xml:space="preserve">adopted in the </w:t>
      </w:r>
      <w:r w:rsidR="008A3C0C" w:rsidRPr="002728DB">
        <w:rPr>
          <w:i/>
          <w:szCs w:val="22"/>
        </w:rPr>
        <w:t>USF/ICC Transformation Order</w:t>
      </w:r>
      <w:r w:rsidR="00A22C6B" w:rsidRPr="00281B1B">
        <w:rPr>
          <w:szCs w:val="22"/>
        </w:rPr>
        <w:t xml:space="preserve">. </w:t>
      </w:r>
      <w:r w:rsidR="0056448C" w:rsidRPr="002728DB">
        <w:rPr>
          <w:szCs w:val="22"/>
        </w:rPr>
        <w:t xml:space="preserve"> </w:t>
      </w:r>
      <w:r w:rsidR="00110971">
        <w:t>W</w:t>
      </w:r>
      <w:r w:rsidR="00661D7A">
        <w:t xml:space="preserve">e clarify the Commission’s rules governing Eligible Recovery calculations under section 51.917(d) to address a limited number of unanticipated results </w:t>
      </w:r>
      <w:r w:rsidR="008319C5">
        <w:t xml:space="preserve">associated with application of the true-up process </w:t>
      </w:r>
      <w:r w:rsidR="00661D7A">
        <w:t xml:space="preserve">that became apparent in rate-of-return carriers’ 2014 annual access tariff filings.  </w:t>
      </w:r>
      <w:r w:rsidR="00A22C6B" w:rsidRPr="002728DB">
        <w:rPr>
          <w:szCs w:val="22"/>
        </w:rPr>
        <w:t>Specific</w:t>
      </w:r>
      <w:r w:rsidR="008A3C0C" w:rsidRPr="002728DB">
        <w:rPr>
          <w:szCs w:val="22"/>
        </w:rPr>
        <w:t xml:space="preserve">ally, </w:t>
      </w:r>
      <w:r w:rsidR="00DB7A8E">
        <w:rPr>
          <w:szCs w:val="22"/>
        </w:rPr>
        <w:t xml:space="preserve">we </w:t>
      </w:r>
      <w:r w:rsidR="00CB764B" w:rsidRPr="002728DB">
        <w:rPr>
          <w:szCs w:val="22"/>
        </w:rPr>
        <w:t>clarif</w:t>
      </w:r>
      <w:r w:rsidR="00DB7A8E">
        <w:rPr>
          <w:szCs w:val="22"/>
        </w:rPr>
        <w:t>y</w:t>
      </w:r>
      <w:r w:rsidR="00CB764B" w:rsidRPr="002728DB">
        <w:rPr>
          <w:szCs w:val="22"/>
        </w:rPr>
        <w:t xml:space="preserve"> </w:t>
      </w:r>
      <w:r w:rsidR="00C874B9">
        <w:rPr>
          <w:szCs w:val="22"/>
        </w:rPr>
        <w:t xml:space="preserve">that a rate-of-return carrier that received too much Eligible Recovery in 2012-13 because of an under-projection of demand for that tariff period, and does not have sufficient Eligible Recovery in 2014-15 to fully offset the 2012-13 amount of over-recovery, must refund the amount that is not offset to </w:t>
      </w:r>
      <w:r w:rsidR="00B570E1">
        <w:rPr>
          <w:szCs w:val="22"/>
        </w:rPr>
        <w:t>the Universal Service Administrative Company (</w:t>
      </w:r>
      <w:r w:rsidR="00C874B9">
        <w:rPr>
          <w:szCs w:val="22"/>
        </w:rPr>
        <w:t>USAC</w:t>
      </w:r>
      <w:r w:rsidR="00B570E1">
        <w:rPr>
          <w:szCs w:val="22"/>
        </w:rPr>
        <w:t>)</w:t>
      </w:r>
      <w:r w:rsidR="00C874B9">
        <w:rPr>
          <w:szCs w:val="22"/>
        </w:rPr>
        <w:t xml:space="preserve"> to avoid duplicative recovery.  </w:t>
      </w:r>
      <w:r w:rsidR="007C3272">
        <w:rPr>
          <w:szCs w:val="22"/>
        </w:rPr>
        <w:t>Additionally, t</w:t>
      </w:r>
      <w:r w:rsidR="00C874B9">
        <w:rPr>
          <w:szCs w:val="22"/>
        </w:rPr>
        <w:t xml:space="preserve">o </w:t>
      </w:r>
      <w:r w:rsidR="007C3272">
        <w:rPr>
          <w:szCs w:val="22"/>
        </w:rPr>
        <w:t xml:space="preserve">ensure </w:t>
      </w:r>
      <w:r w:rsidR="00C874B9">
        <w:rPr>
          <w:szCs w:val="22"/>
        </w:rPr>
        <w:t>a carrier receiv</w:t>
      </w:r>
      <w:r w:rsidR="007C3272">
        <w:rPr>
          <w:szCs w:val="22"/>
        </w:rPr>
        <w:t>es</w:t>
      </w:r>
      <w:r w:rsidR="00C874B9">
        <w:rPr>
          <w:szCs w:val="22"/>
        </w:rPr>
        <w:t xml:space="preserve"> the Eligible Recovery it was entitled to in 2012-13, we clarify that a rate-of-return carrier that received too little Eligible Recovery in 2012-13 because of an over-projection of demand for that tariff period may seek </w:t>
      </w:r>
      <w:r w:rsidR="00C80CD5">
        <w:rPr>
          <w:szCs w:val="22"/>
        </w:rPr>
        <w:t>r</w:t>
      </w:r>
      <w:r w:rsidR="00C874B9">
        <w:rPr>
          <w:szCs w:val="22"/>
        </w:rPr>
        <w:t xml:space="preserve">ecovery for any amounts </w:t>
      </w:r>
      <w:r w:rsidR="007C3272">
        <w:rPr>
          <w:szCs w:val="22"/>
        </w:rPr>
        <w:t xml:space="preserve">it was not able to recover through its 2014-15 Eligible Recovery </w:t>
      </w:r>
      <w:r w:rsidR="00C874B9">
        <w:rPr>
          <w:szCs w:val="22"/>
        </w:rPr>
        <w:t>from USAC.</w:t>
      </w:r>
      <w:r w:rsidR="00C80CD5">
        <w:rPr>
          <w:rStyle w:val="FootnoteReference"/>
          <w:szCs w:val="22"/>
        </w:rPr>
        <w:footnoteReference w:id="3"/>
      </w:r>
      <w:r w:rsidR="00C874B9">
        <w:rPr>
          <w:szCs w:val="22"/>
        </w:rPr>
        <w:t xml:space="preserve"> </w:t>
      </w:r>
      <w:r w:rsidR="00E67DB1">
        <w:rPr>
          <w:szCs w:val="22"/>
        </w:rPr>
        <w:t xml:space="preserve"> </w:t>
      </w:r>
      <w:r w:rsidR="00BE2EE1">
        <w:rPr>
          <w:szCs w:val="22"/>
        </w:rPr>
        <w:t xml:space="preserve">We also revise section 51.917 </w:t>
      </w:r>
      <w:r w:rsidR="00E20AC8">
        <w:rPr>
          <w:szCs w:val="22"/>
        </w:rPr>
        <w:t xml:space="preserve">of the Commission’s rules </w:t>
      </w:r>
      <w:r w:rsidR="00BE2EE1">
        <w:rPr>
          <w:szCs w:val="22"/>
        </w:rPr>
        <w:t xml:space="preserve">to </w:t>
      </w:r>
      <w:r w:rsidR="006E6613">
        <w:rPr>
          <w:szCs w:val="22"/>
        </w:rPr>
        <w:t xml:space="preserve">address </w:t>
      </w:r>
      <w:r w:rsidR="00CA6607">
        <w:rPr>
          <w:szCs w:val="22"/>
        </w:rPr>
        <w:t xml:space="preserve">similar </w:t>
      </w:r>
      <w:r w:rsidR="00C62F7F">
        <w:rPr>
          <w:szCs w:val="22"/>
        </w:rPr>
        <w:t xml:space="preserve">discrepancies that </w:t>
      </w:r>
      <w:r w:rsidR="000160DB">
        <w:rPr>
          <w:szCs w:val="22"/>
        </w:rPr>
        <w:t>may</w:t>
      </w:r>
      <w:r w:rsidR="00C62F7F">
        <w:rPr>
          <w:szCs w:val="22"/>
        </w:rPr>
        <w:t xml:space="preserve"> occur in </w:t>
      </w:r>
      <w:r w:rsidR="00C8022B">
        <w:rPr>
          <w:szCs w:val="22"/>
        </w:rPr>
        <w:t xml:space="preserve">future </w:t>
      </w:r>
      <w:r w:rsidR="006E6613">
        <w:rPr>
          <w:szCs w:val="22"/>
        </w:rPr>
        <w:t>years</w:t>
      </w:r>
      <w:r w:rsidR="00C62F7F">
        <w:rPr>
          <w:szCs w:val="22"/>
        </w:rPr>
        <w:t xml:space="preserve"> </w:t>
      </w:r>
      <w:r w:rsidR="00CA6607">
        <w:rPr>
          <w:szCs w:val="22"/>
        </w:rPr>
        <w:t xml:space="preserve">as a result of </w:t>
      </w:r>
      <w:r w:rsidR="00C62F7F">
        <w:rPr>
          <w:szCs w:val="22"/>
        </w:rPr>
        <w:t>the true-up process</w:t>
      </w:r>
      <w:r w:rsidR="00BA451E">
        <w:rPr>
          <w:szCs w:val="22"/>
        </w:rPr>
        <w:t>.</w:t>
      </w:r>
      <w:r w:rsidR="00826D96">
        <w:rPr>
          <w:rStyle w:val="FootnoteReference"/>
          <w:szCs w:val="22"/>
        </w:rPr>
        <w:footnoteReference w:id="4"/>
      </w:r>
    </w:p>
    <w:p w:rsidR="000C6BC0" w:rsidRPr="002728DB" w:rsidRDefault="000C6BC0" w:rsidP="00333C44">
      <w:pPr>
        <w:pStyle w:val="Heading1"/>
        <w:widowControl/>
        <w:rPr>
          <w:rFonts w:ascii="Times New Roman" w:hAnsi="Times New Roman"/>
          <w:szCs w:val="22"/>
        </w:rPr>
      </w:pPr>
      <w:bookmarkStart w:id="10" w:name="_Toc373849366"/>
      <w:bookmarkStart w:id="11" w:name="_Toc373849424"/>
      <w:bookmarkStart w:id="12" w:name="_Toc379291442"/>
      <w:bookmarkStart w:id="13" w:name="_Toc381719683"/>
      <w:r w:rsidRPr="002728DB">
        <w:rPr>
          <w:rFonts w:ascii="Times New Roman" w:hAnsi="Times New Roman"/>
          <w:szCs w:val="22"/>
        </w:rPr>
        <w:t>BACKGROUND</w:t>
      </w:r>
      <w:bookmarkEnd w:id="10"/>
      <w:bookmarkEnd w:id="11"/>
      <w:bookmarkEnd w:id="12"/>
      <w:bookmarkEnd w:id="13"/>
    </w:p>
    <w:p w:rsidR="00B74017" w:rsidRDefault="00DF6A2F" w:rsidP="00736272">
      <w:pPr>
        <w:pStyle w:val="ParaNum"/>
        <w:widowControl/>
        <w:rPr>
          <w:szCs w:val="22"/>
        </w:rPr>
      </w:pPr>
      <w:r>
        <w:rPr>
          <w:szCs w:val="22"/>
        </w:rPr>
        <w:t>In t</w:t>
      </w:r>
      <w:r w:rsidR="00046349" w:rsidRPr="002846F0">
        <w:rPr>
          <w:szCs w:val="22"/>
        </w:rPr>
        <w:t xml:space="preserve">he </w:t>
      </w:r>
      <w:r w:rsidR="00046349" w:rsidRPr="002846F0">
        <w:rPr>
          <w:i/>
          <w:szCs w:val="22"/>
        </w:rPr>
        <w:t>USF/ICC Transformation Order</w:t>
      </w:r>
      <w:r w:rsidRPr="005F08F0">
        <w:rPr>
          <w:szCs w:val="22"/>
        </w:rPr>
        <w:t>, the Commission</w:t>
      </w:r>
      <w:r w:rsidR="00046349" w:rsidRPr="002846F0">
        <w:rPr>
          <w:i/>
          <w:szCs w:val="22"/>
        </w:rPr>
        <w:t xml:space="preserve"> </w:t>
      </w:r>
      <w:r w:rsidR="00046349" w:rsidRPr="002846F0">
        <w:rPr>
          <w:szCs w:val="22"/>
        </w:rPr>
        <w:t xml:space="preserve">adopted, among other things, </w:t>
      </w:r>
      <w:r w:rsidR="001151D0">
        <w:rPr>
          <w:szCs w:val="22"/>
        </w:rPr>
        <w:t>rules to implement the</w:t>
      </w:r>
      <w:r w:rsidR="001151D0" w:rsidRPr="002846F0">
        <w:rPr>
          <w:szCs w:val="22"/>
        </w:rPr>
        <w:t xml:space="preserve"> </w:t>
      </w:r>
      <w:r w:rsidR="00046349" w:rsidRPr="002846F0">
        <w:rPr>
          <w:szCs w:val="22"/>
        </w:rPr>
        <w:t>ICC reform timeline that require carriers to adjust, over a period of years</w:t>
      </w:r>
      <w:r w:rsidR="009C587F" w:rsidRPr="002846F0">
        <w:rPr>
          <w:szCs w:val="22"/>
        </w:rPr>
        <w:t xml:space="preserve">, many of </w:t>
      </w:r>
      <w:r w:rsidR="009C587F" w:rsidRPr="002846F0">
        <w:rPr>
          <w:szCs w:val="22"/>
        </w:rPr>
        <w:lastRenderedPageBreak/>
        <w:t>their legacy ICC</w:t>
      </w:r>
      <w:r w:rsidR="00046349" w:rsidRPr="002846F0">
        <w:rPr>
          <w:szCs w:val="22"/>
        </w:rPr>
        <w:t xml:space="preserve"> </w:t>
      </w:r>
      <w:r w:rsidR="00F65DBB" w:rsidRPr="002846F0">
        <w:rPr>
          <w:szCs w:val="22"/>
        </w:rPr>
        <w:t>rates</w:t>
      </w:r>
      <w:r w:rsidR="00DE7005" w:rsidRPr="002846F0">
        <w:rPr>
          <w:szCs w:val="22"/>
        </w:rPr>
        <w:t xml:space="preserve"> effective on July 1 of each of those years, with the ultimate goal of transitioning to a bill-and-keep regime.</w:t>
      </w:r>
      <w:r w:rsidR="00DE7005" w:rsidRPr="002728DB">
        <w:rPr>
          <w:rStyle w:val="FootnoteReference"/>
          <w:sz w:val="22"/>
          <w:szCs w:val="22"/>
        </w:rPr>
        <w:footnoteReference w:id="5"/>
      </w:r>
      <w:r w:rsidR="00F7327F" w:rsidRPr="002846F0">
        <w:rPr>
          <w:szCs w:val="22"/>
        </w:rPr>
        <w:t xml:space="preserve">  The Commission also adopted a recovery mechanism to mitigate the impact of reduced ICC revenues on carriers and to facilitate continued investment in broadband infrastructure while providing greater certainty and predictability going forward.</w:t>
      </w:r>
      <w:r w:rsidR="00F7327F" w:rsidRPr="002728DB">
        <w:rPr>
          <w:rStyle w:val="FootnoteReference"/>
          <w:sz w:val="22"/>
          <w:szCs w:val="22"/>
        </w:rPr>
        <w:footnoteReference w:id="6"/>
      </w:r>
      <w:r w:rsidR="00F7327F" w:rsidRPr="002846F0">
        <w:rPr>
          <w:szCs w:val="22"/>
        </w:rPr>
        <w:t xml:space="preserve">  </w:t>
      </w:r>
      <w:r w:rsidR="009C14BB" w:rsidRPr="002846F0">
        <w:rPr>
          <w:szCs w:val="22"/>
        </w:rPr>
        <w:t>The</w:t>
      </w:r>
      <w:r w:rsidR="00F7327F" w:rsidRPr="002846F0">
        <w:rPr>
          <w:szCs w:val="22"/>
        </w:rPr>
        <w:t xml:space="preserve"> recovery mechanism allows incumbent LECs to recover ICC revenues reduced due to the ICC reforms, up to </w:t>
      </w:r>
      <w:r w:rsidR="0097701D" w:rsidRPr="002846F0">
        <w:rPr>
          <w:szCs w:val="22"/>
        </w:rPr>
        <w:t>an amo</w:t>
      </w:r>
      <w:r w:rsidR="00553718" w:rsidRPr="002846F0">
        <w:rPr>
          <w:szCs w:val="22"/>
        </w:rPr>
        <w:t xml:space="preserve">unt defined for each year of </w:t>
      </w:r>
      <w:r w:rsidR="0097701D" w:rsidRPr="002846F0">
        <w:rPr>
          <w:szCs w:val="22"/>
        </w:rPr>
        <w:t>the transition</w:t>
      </w:r>
      <w:r w:rsidR="00F7327F" w:rsidRPr="002846F0">
        <w:rPr>
          <w:szCs w:val="22"/>
        </w:rPr>
        <w:t>, which is</w:t>
      </w:r>
      <w:r w:rsidR="00EA6089" w:rsidRPr="002846F0">
        <w:rPr>
          <w:szCs w:val="22"/>
        </w:rPr>
        <w:t xml:space="preserve"> referred to</w:t>
      </w:r>
      <w:r w:rsidR="00CA36EB" w:rsidRPr="002846F0">
        <w:rPr>
          <w:szCs w:val="22"/>
        </w:rPr>
        <w:t xml:space="preserve"> </w:t>
      </w:r>
      <w:r w:rsidR="00F7327F" w:rsidRPr="002846F0">
        <w:rPr>
          <w:szCs w:val="22"/>
        </w:rPr>
        <w:t>as “Eligible Recovery.”</w:t>
      </w:r>
      <w:r w:rsidR="00F7327F" w:rsidRPr="002728DB">
        <w:rPr>
          <w:rStyle w:val="FootnoteReference"/>
          <w:sz w:val="22"/>
          <w:szCs w:val="22"/>
        </w:rPr>
        <w:footnoteReference w:id="7"/>
      </w:r>
      <w:r w:rsidR="002D5936">
        <w:rPr>
          <w:szCs w:val="22"/>
        </w:rPr>
        <w:t xml:space="preserve">  A Rate-of-Return carrier initially may recover its Eligible Recovery each year from its end users through the Access Recovery Charge (ARC)</w:t>
      </w:r>
      <w:r w:rsidR="00F83387">
        <w:rPr>
          <w:szCs w:val="22"/>
        </w:rPr>
        <w:t xml:space="preserve"> subject to an annual cap</w:t>
      </w:r>
      <w:r w:rsidR="002D5936">
        <w:rPr>
          <w:szCs w:val="22"/>
        </w:rPr>
        <w:t>.</w:t>
      </w:r>
      <w:r w:rsidR="002D5936">
        <w:rPr>
          <w:rStyle w:val="FootnoteReference"/>
          <w:szCs w:val="22"/>
        </w:rPr>
        <w:footnoteReference w:id="8"/>
      </w:r>
      <w:r w:rsidR="002D5936">
        <w:rPr>
          <w:szCs w:val="22"/>
        </w:rPr>
        <w:t xml:space="preserve">  If the projected ARC revenues do not recover the entire Eligible Recovery amount, the carrier may elect to collect the remainder from Connect America Fund ICC support.</w:t>
      </w:r>
      <w:r w:rsidR="002D5936">
        <w:rPr>
          <w:rStyle w:val="FootnoteReference"/>
          <w:szCs w:val="22"/>
        </w:rPr>
        <w:footnoteReference w:id="9"/>
      </w:r>
      <w:r w:rsidR="00F7327F" w:rsidRPr="002846F0">
        <w:rPr>
          <w:szCs w:val="22"/>
        </w:rPr>
        <w:t xml:space="preserve">  </w:t>
      </w:r>
    </w:p>
    <w:p w:rsidR="005B6CFE" w:rsidRDefault="009C14BB" w:rsidP="00333C44">
      <w:pPr>
        <w:pStyle w:val="ParaNum"/>
        <w:widowControl/>
        <w:rPr>
          <w:szCs w:val="22"/>
        </w:rPr>
      </w:pPr>
      <w:r w:rsidRPr="003705BE">
        <w:rPr>
          <w:szCs w:val="22"/>
        </w:rPr>
        <w:t xml:space="preserve">For rate-of-return LECs, the </w:t>
      </w:r>
      <w:r w:rsidR="00BA3F9C" w:rsidRPr="003705BE">
        <w:rPr>
          <w:szCs w:val="22"/>
        </w:rPr>
        <w:t xml:space="preserve">calculation each year of </w:t>
      </w:r>
      <w:r w:rsidR="001639A7" w:rsidRPr="003705BE">
        <w:rPr>
          <w:szCs w:val="22"/>
        </w:rPr>
        <w:t xml:space="preserve">a carrier’s </w:t>
      </w:r>
      <w:r w:rsidR="00BA3F9C" w:rsidRPr="003705BE">
        <w:rPr>
          <w:szCs w:val="22"/>
        </w:rPr>
        <w:t>Eligible R</w:t>
      </w:r>
      <w:r w:rsidRPr="003705BE">
        <w:rPr>
          <w:szCs w:val="22"/>
        </w:rPr>
        <w:t xml:space="preserve">ecovery </w:t>
      </w:r>
      <w:r w:rsidR="008B6589" w:rsidRPr="003705BE">
        <w:rPr>
          <w:szCs w:val="22"/>
        </w:rPr>
        <w:t>begins</w:t>
      </w:r>
      <w:r w:rsidR="003F50FD" w:rsidRPr="003705BE">
        <w:rPr>
          <w:szCs w:val="22"/>
        </w:rPr>
        <w:t xml:space="preserve"> with </w:t>
      </w:r>
      <w:r w:rsidR="001639A7" w:rsidRPr="003705BE">
        <w:rPr>
          <w:szCs w:val="22"/>
        </w:rPr>
        <w:t xml:space="preserve">its </w:t>
      </w:r>
      <w:r w:rsidR="003F50FD" w:rsidRPr="003705BE">
        <w:rPr>
          <w:szCs w:val="22"/>
        </w:rPr>
        <w:t>Base P</w:t>
      </w:r>
      <w:r w:rsidR="008B6589" w:rsidRPr="003705BE">
        <w:rPr>
          <w:szCs w:val="22"/>
        </w:rPr>
        <w:t>eriod Revenue (BPR)</w:t>
      </w:r>
      <w:r w:rsidR="001639A7" w:rsidRPr="003705BE">
        <w:rPr>
          <w:szCs w:val="22"/>
        </w:rPr>
        <w:t>.</w:t>
      </w:r>
      <w:r w:rsidR="005F08F0">
        <w:rPr>
          <w:rStyle w:val="FootnoteReference"/>
          <w:szCs w:val="22"/>
        </w:rPr>
        <w:footnoteReference w:id="10"/>
      </w:r>
      <w:r w:rsidR="008B6589" w:rsidRPr="003705BE">
        <w:rPr>
          <w:szCs w:val="22"/>
        </w:rPr>
        <w:t xml:space="preserve"> </w:t>
      </w:r>
      <w:r w:rsidR="001639A7" w:rsidRPr="003705BE">
        <w:rPr>
          <w:szCs w:val="22"/>
        </w:rPr>
        <w:t xml:space="preserve"> </w:t>
      </w:r>
      <w:r w:rsidR="006752C3">
        <w:rPr>
          <w:szCs w:val="22"/>
        </w:rPr>
        <w:t xml:space="preserve">A rate-of-return carrier’s </w:t>
      </w:r>
      <w:r w:rsidR="003F50FD" w:rsidRPr="003705BE">
        <w:rPr>
          <w:szCs w:val="22"/>
        </w:rPr>
        <w:t>BPR is the sum of certain ICC intrastate switched access revenues and net reciprocal compensation revenues received by March 31, 2012, for services provided during FY 2011</w:t>
      </w:r>
      <w:r w:rsidR="00BD1E3F" w:rsidRPr="003705BE">
        <w:rPr>
          <w:szCs w:val="22"/>
        </w:rPr>
        <w:t>,</w:t>
      </w:r>
      <w:r w:rsidR="003F50FD">
        <w:rPr>
          <w:rStyle w:val="FootnoteReference"/>
          <w:szCs w:val="22"/>
        </w:rPr>
        <w:footnoteReference w:id="11"/>
      </w:r>
      <w:r w:rsidR="003F50FD" w:rsidRPr="003705BE">
        <w:rPr>
          <w:szCs w:val="22"/>
        </w:rPr>
        <w:t xml:space="preserve"> and the projected revenue requirement for interstate switched access services provided during the 2011-2012 tariff period.</w:t>
      </w:r>
      <w:r w:rsidR="003F50FD">
        <w:rPr>
          <w:rStyle w:val="FootnoteReference"/>
          <w:szCs w:val="22"/>
        </w:rPr>
        <w:footnoteReference w:id="12"/>
      </w:r>
      <w:r w:rsidR="00C74EB4" w:rsidRPr="003705BE">
        <w:rPr>
          <w:szCs w:val="22"/>
        </w:rPr>
        <w:t xml:space="preserve">  </w:t>
      </w:r>
      <w:r w:rsidR="00FE1039">
        <w:rPr>
          <w:szCs w:val="22"/>
        </w:rPr>
        <w:t xml:space="preserve">The </w:t>
      </w:r>
      <w:r w:rsidR="00C74EB4" w:rsidRPr="003705BE">
        <w:rPr>
          <w:szCs w:val="22"/>
        </w:rPr>
        <w:t xml:space="preserve">BPR </w:t>
      </w:r>
      <w:r w:rsidR="00FE1039">
        <w:rPr>
          <w:szCs w:val="22"/>
        </w:rPr>
        <w:t xml:space="preserve">for rate-of-return carriers </w:t>
      </w:r>
      <w:r w:rsidR="001639A7" w:rsidRPr="003705BE">
        <w:rPr>
          <w:szCs w:val="22"/>
        </w:rPr>
        <w:t xml:space="preserve">was </w:t>
      </w:r>
      <w:r w:rsidR="00C74EB4" w:rsidRPr="003705BE">
        <w:rPr>
          <w:szCs w:val="22"/>
        </w:rPr>
        <w:t xml:space="preserve">reduced by 5% initially and </w:t>
      </w:r>
      <w:r w:rsidR="001639A7" w:rsidRPr="003705BE">
        <w:rPr>
          <w:szCs w:val="22"/>
        </w:rPr>
        <w:t xml:space="preserve">is reduced </w:t>
      </w:r>
      <w:r w:rsidR="00C74EB4" w:rsidRPr="003705BE">
        <w:rPr>
          <w:szCs w:val="22"/>
        </w:rPr>
        <w:t>by an additional 5% in each year of the transition.</w:t>
      </w:r>
      <w:r w:rsidR="00C74EB4">
        <w:rPr>
          <w:rStyle w:val="FootnoteReference"/>
          <w:szCs w:val="22"/>
        </w:rPr>
        <w:footnoteReference w:id="13"/>
      </w:r>
      <w:r w:rsidR="00ED5267" w:rsidRPr="003705BE">
        <w:rPr>
          <w:szCs w:val="22"/>
        </w:rPr>
        <w:t xml:space="preserve">  </w:t>
      </w:r>
      <w:r w:rsidR="001639A7" w:rsidRPr="003705BE">
        <w:rPr>
          <w:szCs w:val="22"/>
        </w:rPr>
        <w:t xml:space="preserve">A rate-of-return LEC’s </w:t>
      </w:r>
      <w:r w:rsidR="00C8022B" w:rsidRPr="003705BE">
        <w:rPr>
          <w:szCs w:val="22"/>
        </w:rPr>
        <w:t xml:space="preserve">Eligible </w:t>
      </w:r>
      <w:r w:rsidR="005B6CFE">
        <w:rPr>
          <w:szCs w:val="22"/>
        </w:rPr>
        <w:t>R</w:t>
      </w:r>
      <w:r w:rsidR="00C8022B" w:rsidRPr="003705BE">
        <w:rPr>
          <w:szCs w:val="22"/>
        </w:rPr>
        <w:t xml:space="preserve">ecovery </w:t>
      </w:r>
      <w:r w:rsidR="00ED5267" w:rsidRPr="003705BE">
        <w:rPr>
          <w:szCs w:val="22"/>
        </w:rPr>
        <w:t>is equal to the adjusted BPR for the year in question less, for each relevant year of the transition, the sum of (1) projected intrastate switched access revenue; (2) projected interstate switched access revenue; and (3) projected net reciprocal compensation revenue.</w:t>
      </w:r>
      <w:r w:rsidR="00ED5267">
        <w:rPr>
          <w:rStyle w:val="FootnoteReference"/>
          <w:szCs w:val="22"/>
        </w:rPr>
        <w:footnoteReference w:id="14"/>
      </w:r>
      <w:r w:rsidR="009F5F09" w:rsidRPr="003705BE">
        <w:rPr>
          <w:szCs w:val="22"/>
        </w:rPr>
        <w:t xml:space="preserve">  </w:t>
      </w:r>
    </w:p>
    <w:p w:rsidR="002D5936" w:rsidRDefault="00C631E0" w:rsidP="00333C44">
      <w:pPr>
        <w:pStyle w:val="ParaNum"/>
        <w:widowControl/>
        <w:rPr>
          <w:szCs w:val="22"/>
        </w:rPr>
      </w:pPr>
      <w:r w:rsidRPr="003705BE">
        <w:rPr>
          <w:szCs w:val="22"/>
        </w:rPr>
        <w:t xml:space="preserve">Beginning in 2014, the recovery mechanism also incorporates in the Eligible Recovery calculation a true-up of the revenue difference between projected and actual demand for </w:t>
      </w:r>
      <w:r w:rsidR="00F83387">
        <w:rPr>
          <w:szCs w:val="22"/>
        </w:rPr>
        <w:t xml:space="preserve">interstate and intrastate </w:t>
      </w:r>
      <w:r w:rsidRPr="003705BE">
        <w:rPr>
          <w:szCs w:val="22"/>
        </w:rPr>
        <w:t>switched access services, re</w:t>
      </w:r>
      <w:r w:rsidR="00815B59">
        <w:rPr>
          <w:szCs w:val="22"/>
        </w:rPr>
        <w:t xml:space="preserve">ciprocal compensation, and the </w:t>
      </w:r>
      <w:r w:rsidR="00C860E3">
        <w:rPr>
          <w:szCs w:val="22"/>
        </w:rPr>
        <w:t>A</w:t>
      </w:r>
      <w:r w:rsidR="00815B59">
        <w:rPr>
          <w:szCs w:val="22"/>
        </w:rPr>
        <w:t xml:space="preserve">RC </w:t>
      </w:r>
      <w:r w:rsidR="002E357F" w:rsidRPr="003705BE">
        <w:rPr>
          <w:szCs w:val="22"/>
        </w:rPr>
        <w:t>for the tariff period that began two years earlier.</w:t>
      </w:r>
      <w:r w:rsidR="0082734F" w:rsidRPr="003705BE">
        <w:rPr>
          <w:rStyle w:val="FootnoteReference"/>
          <w:szCs w:val="22"/>
        </w:rPr>
        <w:footnoteReference w:id="15"/>
      </w:r>
      <w:r w:rsidR="00E377EB">
        <w:rPr>
          <w:szCs w:val="22"/>
        </w:rPr>
        <w:t xml:space="preserve">  This adjustment measures the extent to which a carrier received more or less than the revenues it projected for the earlier period and thus whether it received to</w:t>
      </w:r>
      <w:r w:rsidR="00110971">
        <w:rPr>
          <w:szCs w:val="22"/>
        </w:rPr>
        <w:t>o</w:t>
      </w:r>
      <w:r w:rsidR="00E377EB">
        <w:rPr>
          <w:szCs w:val="22"/>
        </w:rPr>
        <w:t xml:space="preserve"> little, or too much</w:t>
      </w:r>
      <w:r w:rsidR="00552C21">
        <w:rPr>
          <w:szCs w:val="22"/>
        </w:rPr>
        <w:t>,</w:t>
      </w:r>
      <w:r w:rsidR="00E377EB">
        <w:rPr>
          <w:szCs w:val="22"/>
        </w:rPr>
        <w:t xml:space="preserve"> </w:t>
      </w:r>
      <w:r w:rsidR="005B6CFE">
        <w:rPr>
          <w:szCs w:val="22"/>
        </w:rPr>
        <w:t>Eligible Recovery</w:t>
      </w:r>
      <w:r w:rsidR="002D5936">
        <w:rPr>
          <w:szCs w:val="22"/>
        </w:rPr>
        <w:t xml:space="preserve"> through ARCs and/or </w:t>
      </w:r>
      <w:r w:rsidR="00E377EB">
        <w:rPr>
          <w:szCs w:val="22"/>
        </w:rPr>
        <w:t xml:space="preserve">Connect America Fund ICC support for that period.  The true-up is achieved by adjusting the later </w:t>
      </w:r>
      <w:r w:rsidR="006D27DC">
        <w:rPr>
          <w:szCs w:val="22"/>
        </w:rPr>
        <w:t xml:space="preserve">tariff </w:t>
      </w:r>
      <w:r w:rsidR="00E377EB">
        <w:rPr>
          <w:szCs w:val="22"/>
        </w:rPr>
        <w:t xml:space="preserve">period’s Eligible Recovery </w:t>
      </w:r>
      <w:r w:rsidR="005B6CFE">
        <w:rPr>
          <w:szCs w:val="22"/>
        </w:rPr>
        <w:t xml:space="preserve">to account for the carrier’s </w:t>
      </w:r>
      <w:r w:rsidR="00E17967">
        <w:rPr>
          <w:szCs w:val="22"/>
        </w:rPr>
        <w:t>revenue variance resulti</w:t>
      </w:r>
      <w:r w:rsidR="00B47EAA">
        <w:rPr>
          <w:szCs w:val="22"/>
        </w:rPr>
        <w:t>n</w:t>
      </w:r>
      <w:r w:rsidR="00E17967">
        <w:rPr>
          <w:szCs w:val="22"/>
        </w:rPr>
        <w:t xml:space="preserve">g from differences between projected and </w:t>
      </w:r>
      <w:r w:rsidR="005B6CFE">
        <w:rPr>
          <w:szCs w:val="22"/>
        </w:rPr>
        <w:t>actual demand</w:t>
      </w:r>
      <w:r w:rsidR="00F83387">
        <w:rPr>
          <w:szCs w:val="22"/>
        </w:rPr>
        <w:t xml:space="preserve"> for the prior period</w:t>
      </w:r>
      <w:r w:rsidR="00736272">
        <w:rPr>
          <w:szCs w:val="22"/>
        </w:rPr>
        <w:t xml:space="preserve">. </w:t>
      </w:r>
      <w:r w:rsidR="005B6CFE">
        <w:rPr>
          <w:szCs w:val="22"/>
        </w:rPr>
        <w:t xml:space="preserve"> </w:t>
      </w:r>
      <w:r w:rsidR="00DD7E20">
        <w:rPr>
          <w:szCs w:val="22"/>
        </w:rPr>
        <w:t>T</w:t>
      </w:r>
      <w:r w:rsidR="006F09F2">
        <w:rPr>
          <w:szCs w:val="22"/>
        </w:rPr>
        <w:t>he true-up</w:t>
      </w:r>
      <w:r w:rsidR="00655416">
        <w:rPr>
          <w:szCs w:val="22"/>
        </w:rPr>
        <w:t xml:space="preserve"> process</w:t>
      </w:r>
      <w:r w:rsidR="006F09F2">
        <w:rPr>
          <w:szCs w:val="22"/>
        </w:rPr>
        <w:t xml:space="preserve"> </w:t>
      </w:r>
      <w:r w:rsidR="00F93A89">
        <w:rPr>
          <w:szCs w:val="22"/>
        </w:rPr>
        <w:t>ensure</w:t>
      </w:r>
      <w:r w:rsidR="00655416">
        <w:rPr>
          <w:szCs w:val="22"/>
        </w:rPr>
        <w:t>s</w:t>
      </w:r>
      <w:r w:rsidR="00F93A89">
        <w:rPr>
          <w:szCs w:val="22"/>
        </w:rPr>
        <w:t xml:space="preserve"> </w:t>
      </w:r>
      <w:r w:rsidR="006F09F2">
        <w:rPr>
          <w:szCs w:val="22"/>
        </w:rPr>
        <w:t xml:space="preserve">that </w:t>
      </w:r>
      <w:r w:rsidR="00F93A89">
        <w:rPr>
          <w:szCs w:val="22"/>
        </w:rPr>
        <w:t>rate-of-return</w:t>
      </w:r>
      <w:r w:rsidR="006F09F2">
        <w:rPr>
          <w:szCs w:val="22"/>
        </w:rPr>
        <w:t xml:space="preserve"> carrier</w:t>
      </w:r>
      <w:r w:rsidR="00F93A89">
        <w:rPr>
          <w:szCs w:val="22"/>
        </w:rPr>
        <w:t xml:space="preserve">s </w:t>
      </w:r>
      <w:r w:rsidR="00143522">
        <w:rPr>
          <w:szCs w:val="22"/>
        </w:rPr>
        <w:t xml:space="preserve">at a minimum </w:t>
      </w:r>
      <w:r w:rsidR="00F93A89">
        <w:rPr>
          <w:szCs w:val="22"/>
        </w:rPr>
        <w:t xml:space="preserve">have the opportunity to receive their </w:t>
      </w:r>
      <w:r w:rsidR="00755845">
        <w:rPr>
          <w:szCs w:val="22"/>
        </w:rPr>
        <w:t xml:space="preserve">adjusted </w:t>
      </w:r>
      <w:r w:rsidR="00F2217E">
        <w:rPr>
          <w:szCs w:val="22"/>
        </w:rPr>
        <w:t>BPR</w:t>
      </w:r>
      <w:r w:rsidR="00F93A89">
        <w:rPr>
          <w:szCs w:val="22"/>
        </w:rPr>
        <w:t>, notwithstanding changes in demand for their intercarrier compensation rates being capped or reduced</w:t>
      </w:r>
      <w:r w:rsidR="00F2217E">
        <w:rPr>
          <w:szCs w:val="22"/>
        </w:rPr>
        <w:t>.</w:t>
      </w:r>
      <w:r w:rsidR="00F2217E">
        <w:rPr>
          <w:rStyle w:val="FootnoteReference"/>
          <w:szCs w:val="22"/>
        </w:rPr>
        <w:footnoteReference w:id="16"/>
      </w:r>
      <w:r w:rsidR="00F2217E">
        <w:rPr>
          <w:szCs w:val="22"/>
        </w:rPr>
        <w:t xml:space="preserve">  The true-up process does not require that a carrier</w:t>
      </w:r>
      <w:r w:rsidR="006F09F2">
        <w:rPr>
          <w:szCs w:val="22"/>
        </w:rPr>
        <w:t xml:space="preserve"> that </w:t>
      </w:r>
      <w:r w:rsidR="00B826EC">
        <w:rPr>
          <w:szCs w:val="22"/>
        </w:rPr>
        <w:t xml:space="preserve">has negative Eligible Recovery, meaning the carrier </w:t>
      </w:r>
      <w:r w:rsidR="006F09F2">
        <w:rPr>
          <w:szCs w:val="22"/>
        </w:rPr>
        <w:t xml:space="preserve">received revenues in excess of its </w:t>
      </w:r>
      <w:r w:rsidR="00F2217E">
        <w:rPr>
          <w:szCs w:val="22"/>
        </w:rPr>
        <w:t xml:space="preserve">adjusted </w:t>
      </w:r>
      <w:r w:rsidR="00DD7E20">
        <w:rPr>
          <w:szCs w:val="22"/>
        </w:rPr>
        <w:t>BPR</w:t>
      </w:r>
      <w:r w:rsidR="00F2217E">
        <w:rPr>
          <w:szCs w:val="22"/>
        </w:rPr>
        <w:t xml:space="preserve"> from </w:t>
      </w:r>
      <w:r w:rsidR="000D6B20">
        <w:rPr>
          <w:szCs w:val="22"/>
        </w:rPr>
        <w:t xml:space="preserve">its </w:t>
      </w:r>
      <w:r w:rsidR="006F09F2">
        <w:rPr>
          <w:szCs w:val="22"/>
        </w:rPr>
        <w:t>interstate and intrastate switched access and reciprocal compensation alone</w:t>
      </w:r>
      <w:r w:rsidR="000D6B20">
        <w:rPr>
          <w:szCs w:val="22"/>
        </w:rPr>
        <w:t xml:space="preserve"> and </w:t>
      </w:r>
      <w:r w:rsidR="000D6B20">
        <w:rPr>
          <w:i/>
          <w:szCs w:val="22"/>
        </w:rPr>
        <w:t xml:space="preserve">not </w:t>
      </w:r>
      <w:r w:rsidR="000D6B20">
        <w:rPr>
          <w:szCs w:val="22"/>
        </w:rPr>
        <w:t xml:space="preserve">through an ARC or Connect America Fund ICC </w:t>
      </w:r>
      <w:r w:rsidR="00DD7E20">
        <w:rPr>
          <w:szCs w:val="22"/>
        </w:rPr>
        <w:t>s</w:t>
      </w:r>
      <w:r w:rsidR="000D6B20">
        <w:rPr>
          <w:szCs w:val="22"/>
        </w:rPr>
        <w:t>upport</w:t>
      </w:r>
      <w:r w:rsidR="00B826EC">
        <w:rPr>
          <w:szCs w:val="22"/>
        </w:rPr>
        <w:t>,</w:t>
      </w:r>
      <w:r w:rsidR="000D6B20">
        <w:rPr>
          <w:szCs w:val="22"/>
        </w:rPr>
        <w:t xml:space="preserve"> </w:t>
      </w:r>
      <w:r w:rsidR="00B826EC">
        <w:rPr>
          <w:szCs w:val="22"/>
        </w:rPr>
        <w:t xml:space="preserve">to </w:t>
      </w:r>
      <w:r w:rsidR="000D6B20">
        <w:rPr>
          <w:szCs w:val="22"/>
        </w:rPr>
        <w:t xml:space="preserve">refund any </w:t>
      </w:r>
      <w:r w:rsidR="00DD7E20">
        <w:rPr>
          <w:szCs w:val="22"/>
        </w:rPr>
        <w:t xml:space="preserve">of the </w:t>
      </w:r>
      <w:r w:rsidR="000D6B20">
        <w:rPr>
          <w:szCs w:val="22"/>
        </w:rPr>
        <w:t xml:space="preserve">revenues </w:t>
      </w:r>
      <w:r w:rsidR="00DD7E20">
        <w:rPr>
          <w:szCs w:val="22"/>
        </w:rPr>
        <w:t xml:space="preserve">it </w:t>
      </w:r>
      <w:r w:rsidR="00B826EC">
        <w:rPr>
          <w:szCs w:val="22"/>
        </w:rPr>
        <w:t>received</w:t>
      </w:r>
      <w:r w:rsidR="00DD7E20">
        <w:rPr>
          <w:szCs w:val="22"/>
        </w:rPr>
        <w:t>.</w:t>
      </w:r>
    </w:p>
    <w:p w:rsidR="006E0224" w:rsidRDefault="005B6CFE" w:rsidP="00333C44">
      <w:pPr>
        <w:pStyle w:val="ParaNum"/>
        <w:widowControl/>
        <w:rPr>
          <w:szCs w:val="22"/>
        </w:rPr>
      </w:pPr>
      <w:bookmarkStart w:id="14" w:name="_Ref404178105"/>
      <w:r>
        <w:rPr>
          <w:szCs w:val="22"/>
        </w:rPr>
        <w:t>To provide context for how the t</w:t>
      </w:r>
      <w:r w:rsidR="009424D8">
        <w:rPr>
          <w:szCs w:val="22"/>
        </w:rPr>
        <w:t>rue-up process works,</w:t>
      </w:r>
      <w:r>
        <w:rPr>
          <w:szCs w:val="22"/>
        </w:rPr>
        <w:t xml:space="preserve"> the following two examples demonstrate scenarios in which the carrier either under-projected or over-projected its revenues</w:t>
      </w:r>
      <w:r w:rsidR="00816D5D">
        <w:rPr>
          <w:szCs w:val="22"/>
        </w:rPr>
        <w:t>,</w:t>
      </w:r>
      <w:r>
        <w:rPr>
          <w:szCs w:val="22"/>
        </w:rPr>
        <w:t xml:space="preserve"> and thus must engage in a true-up calculation pursuant to section</w:t>
      </w:r>
      <w:r w:rsidR="009424D8">
        <w:rPr>
          <w:szCs w:val="22"/>
        </w:rPr>
        <w:t xml:space="preserve"> </w:t>
      </w:r>
      <w:r w:rsidR="009424D8">
        <w:t>51.917(d)(1)(iii)</w:t>
      </w:r>
      <w:r w:rsidR="00041164">
        <w:t>-(iv)</w:t>
      </w:r>
      <w:r w:rsidR="009424D8">
        <w:t xml:space="preserve"> of the Commission’s rules.</w:t>
      </w:r>
      <w:r w:rsidR="00A83CF7">
        <w:rPr>
          <w:rStyle w:val="FootnoteReference"/>
        </w:rPr>
        <w:footnoteReference w:id="17"/>
      </w:r>
      <w:r>
        <w:rPr>
          <w:szCs w:val="22"/>
        </w:rPr>
        <w:t xml:space="preserve">  </w:t>
      </w:r>
      <w:r w:rsidR="00126DE4">
        <w:rPr>
          <w:szCs w:val="22"/>
        </w:rPr>
        <w:t>In th</w:t>
      </w:r>
      <w:r w:rsidR="009424D8">
        <w:rPr>
          <w:szCs w:val="22"/>
        </w:rPr>
        <w:t xml:space="preserve">is </w:t>
      </w:r>
      <w:r w:rsidR="00126DE4">
        <w:rPr>
          <w:szCs w:val="22"/>
        </w:rPr>
        <w:t>f</w:t>
      </w:r>
      <w:r w:rsidR="009424D8">
        <w:rPr>
          <w:szCs w:val="22"/>
        </w:rPr>
        <w:t>irst</w:t>
      </w:r>
      <w:r w:rsidR="00126DE4">
        <w:rPr>
          <w:szCs w:val="22"/>
        </w:rPr>
        <w:t xml:space="preserve"> example,</w:t>
      </w:r>
      <w:r w:rsidR="002E638C">
        <w:rPr>
          <w:szCs w:val="22"/>
        </w:rPr>
        <w:t xml:space="preserve"> </w:t>
      </w:r>
      <w:r w:rsidR="009424D8">
        <w:rPr>
          <w:szCs w:val="22"/>
        </w:rPr>
        <w:t>C</w:t>
      </w:r>
      <w:r w:rsidR="00C50502">
        <w:rPr>
          <w:szCs w:val="22"/>
        </w:rPr>
        <w:t xml:space="preserve">arrier </w:t>
      </w:r>
      <w:r w:rsidR="009424D8">
        <w:rPr>
          <w:szCs w:val="22"/>
        </w:rPr>
        <w:t xml:space="preserve">A </w:t>
      </w:r>
      <w:r w:rsidR="00C50502">
        <w:rPr>
          <w:szCs w:val="22"/>
        </w:rPr>
        <w:t xml:space="preserve">under-projected its actual revenues and received too much Eligible Recovery for the 2012-2013 tariff period. </w:t>
      </w:r>
      <w:r w:rsidR="006279F8">
        <w:rPr>
          <w:szCs w:val="22"/>
        </w:rPr>
        <w:t xml:space="preserve"> </w:t>
      </w:r>
      <w:r w:rsidR="009424D8">
        <w:rPr>
          <w:szCs w:val="22"/>
        </w:rPr>
        <w:t>Carrier A</w:t>
      </w:r>
      <w:r w:rsidR="002E638C">
        <w:rPr>
          <w:szCs w:val="22"/>
        </w:rPr>
        <w:t xml:space="preserve"> had a BPR of </w:t>
      </w:r>
      <w:r w:rsidR="00A22EEB">
        <w:rPr>
          <w:szCs w:val="22"/>
        </w:rPr>
        <w:t>$</w:t>
      </w:r>
      <w:r w:rsidR="002E638C">
        <w:rPr>
          <w:szCs w:val="22"/>
        </w:rPr>
        <w:t>100</w:t>
      </w:r>
      <w:r w:rsidR="008E1227">
        <w:rPr>
          <w:szCs w:val="22"/>
        </w:rPr>
        <w:t>.00</w:t>
      </w:r>
      <w:r w:rsidR="002E638C">
        <w:rPr>
          <w:szCs w:val="22"/>
        </w:rPr>
        <w:t xml:space="preserve">, a projected revenue amount of </w:t>
      </w:r>
      <w:r w:rsidR="00A22EEB">
        <w:rPr>
          <w:szCs w:val="22"/>
        </w:rPr>
        <w:t>$</w:t>
      </w:r>
      <w:r w:rsidR="002E638C">
        <w:rPr>
          <w:szCs w:val="22"/>
        </w:rPr>
        <w:t>80</w:t>
      </w:r>
      <w:r w:rsidR="008E1227">
        <w:rPr>
          <w:szCs w:val="22"/>
        </w:rPr>
        <w:t>.00</w:t>
      </w:r>
      <w:r w:rsidR="002E638C">
        <w:rPr>
          <w:szCs w:val="22"/>
        </w:rPr>
        <w:t xml:space="preserve"> and an actual revenue amount of </w:t>
      </w:r>
      <w:r w:rsidR="00A22EEB">
        <w:rPr>
          <w:szCs w:val="22"/>
        </w:rPr>
        <w:t>$</w:t>
      </w:r>
      <w:r w:rsidR="002E638C">
        <w:rPr>
          <w:szCs w:val="22"/>
        </w:rPr>
        <w:t>85</w:t>
      </w:r>
      <w:r w:rsidR="008E1227">
        <w:rPr>
          <w:szCs w:val="22"/>
        </w:rPr>
        <w:t>.00</w:t>
      </w:r>
      <w:r w:rsidR="002E638C">
        <w:rPr>
          <w:szCs w:val="22"/>
        </w:rPr>
        <w:t>:</w:t>
      </w:r>
      <w:bookmarkEnd w:id="14"/>
      <w:r w:rsidR="006E0224">
        <w:rPr>
          <w:szCs w:val="22"/>
        </w:rPr>
        <w:t xml:space="preserve">  </w:t>
      </w:r>
    </w:p>
    <w:p w:rsidR="006E0224" w:rsidRDefault="006E0224" w:rsidP="000D0B6C">
      <w:pPr>
        <w:pStyle w:val="ParaNum"/>
        <w:widowControl/>
        <w:numPr>
          <w:ilvl w:val="0"/>
          <w:numId w:val="0"/>
        </w:numPr>
        <w:ind w:left="720"/>
        <w:rPr>
          <w:szCs w:val="22"/>
        </w:rPr>
      </w:pPr>
      <w:r>
        <w:rPr>
          <w:szCs w:val="22"/>
        </w:rPr>
        <w:t xml:space="preserve">2012-2013 BPR is </w:t>
      </w:r>
      <w:r w:rsidR="00A22EEB">
        <w:rPr>
          <w:szCs w:val="22"/>
        </w:rPr>
        <w:t>$</w:t>
      </w:r>
      <w:r>
        <w:rPr>
          <w:szCs w:val="22"/>
        </w:rPr>
        <w:t>100</w:t>
      </w:r>
      <w:r w:rsidR="008E1227">
        <w:rPr>
          <w:szCs w:val="22"/>
        </w:rPr>
        <w:t>.00</w:t>
      </w:r>
      <w:r>
        <w:rPr>
          <w:szCs w:val="22"/>
        </w:rPr>
        <w:t xml:space="preserve"> x .95 =</w:t>
      </w:r>
      <w:r w:rsidR="008E1227">
        <w:rPr>
          <w:szCs w:val="22"/>
        </w:rPr>
        <w:t xml:space="preserve"> </w:t>
      </w:r>
      <w:r w:rsidR="00A22EEB">
        <w:rPr>
          <w:szCs w:val="22"/>
        </w:rPr>
        <w:t>$</w:t>
      </w:r>
      <w:r>
        <w:rPr>
          <w:szCs w:val="22"/>
        </w:rPr>
        <w:t>95</w:t>
      </w:r>
      <w:r w:rsidR="00565260">
        <w:rPr>
          <w:szCs w:val="22"/>
        </w:rPr>
        <w:t>.00</w:t>
      </w:r>
      <w:r w:rsidR="00F656B8">
        <w:rPr>
          <w:szCs w:val="22"/>
        </w:rPr>
        <w:t xml:space="preserve"> (Adjusted BPR) </w:t>
      </w:r>
    </w:p>
    <w:p w:rsidR="006E0224" w:rsidRDefault="006E0224" w:rsidP="000D0B6C">
      <w:pPr>
        <w:pStyle w:val="ParaNum"/>
        <w:widowControl/>
        <w:numPr>
          <w:ilvl w:val="0"/>
          <w:numId w:val="0"/>
        </w:numPr>
        <w:ind w:left="720"/>
        <w:rPr>
          <w:szCs w:val="22"/>
        </w:rPr>
      </w:pPr>
      <w:r>
        <w:rPr>
          <w:szCs w:val="22"/>
        </w:rPr>
        <w:t xml:space="preserve">2012-2013 </w:t>
      </w:r>
      <w:r w:rsidR="00F656B8">
        <w:rPr>
          <w:szCs w:val="22"/>
        </w:rPr>
        <w:t xml:space="preserve">Total </w:t>
      </w:r>
      <w:r>
        <w:rPr>
          <w:szCs w:val="22"/>
        </w:rPr>
        <w:t>Projected Revenue</w:t>
      </w:r>
      <w:r w:rsidR="00F656B8">
        <w:rPr>
          <w:szCs w:val="22"/>
        </w:rPr>
        <w:t xml:space="preserve">s = </w:t>
      </w:r>
      <w:r w:rsidR="00A22EEB">
        <w:rPr>
          <w:szCs w:val="22"/>
        </w:rPr>
        <w:t>$</w:t>
      </w:r>
      <w:r>
        <w:rPr>
          <w:szCs w:val="22"/>
        </w:rPr>
        <w:t>80</w:t>
      </w:r>
      <w:r w:rsidR="008E1227">
        <w:rPr>
          <w:szCs w:val="22"/>
        </w:rPr>
        <w:t>.00</w:t>
      </w:r>
    </w:p>
    <w:p w:rsidR="006E0224" w:rsidRDefault="006E0224" w:rsidP="000D0B6C">
      <w:pPr>
        <w:pStyle w:val="ParaNum"/>
        <w:widowControl/>
        <w:numPr>
          <w:ilvl w:val="0"/>
          <w:numId w:val="0"/>
        </w:numPr>
        <w:ind w:left="720"/>
        <w:rPr>
          <w:szCs w:val="22"/>
        </w:rPr>
      </w:pPr>
      <w:r>
        <w:rPr>
          <w:szCs w:val="22"/>
        </w:rPr>
        <w:t>2012-2013 Eligible Recovery</w:t>
      </w:r>
      <w:r w:rsidR="00F656B8">
        <w:rPr>
          <w:szCs w:val="22"/>
        </w:rPr>
        <w:t xml:space="preserve"> (Adjusted BPR-Projected Revenues)</w:t>
      </w:r>
      <w:r>
        <w:rPr>
          <w:szCs w:val="22"/>
        </w:rPr>
        <w:t xml:space="preserve"> = </w:t>
      </w:r>
      <w:r w:rsidR="00A22EEB">
        <w:rPr>
          <w:szCs w:val="22"/>
        </w:rPr>
        <w:t>$</w:t>
      </w:r>
      <w:r>
        <w:rPr>
          <w:szCs w:val="22"/>
        </w:rPr>
        <w:t>15</w:t>
      </w:r>
      <w:r w:rsidR="008E1227">
        <w:rPr>
          <w:szCs w:val="22"/>
        </w:rPr>
        <w:t>.00</w:t>
      </w:r>
      <w:r>
        <w:rPr>
          <w:szCs w:val="22"/>
        </w:rPr>
        <w:t xml:space="preserve"> </w:t>
      </w:r>
      <w:r>
        <w:rPr>
          <w:szCs w:val="22"/>
        </w:rPr>
        <w:tab/>
      </w:r>
    </w:p>
    <w:p w:rsidR="006E0224" w:rsidRDefault="00F656B8" w:rsidP="000D0B6C">
      <w:pPr>
        <w:pStyle w:val="ParaNum"/>
        <w:widowControl/>
        <w:numPr>
          <w:ilvl w:val="0"/>
          <w:numId w:val="0"/>
        </w:numPr>
        <w:ind w:left="720"/>
        <w:rPr>
          <w:szCs w:val="22"/>
        </w:rPr>
      </w:pPr>
      <w:r>
        <w:rPr>
          <w:szCs w:val="22"/>
        </w:rPr>
        <w:t>2012-2013 Total Actual Revenues</w:t>
      </w:r>
      <w:r w:rsidR="006E0224">
        <w:rPr>
          <w:szCs w:val="22"/>
        </w:rPr>
        <w:t xml:space="preserve"> = </w:t>
      </w:r>
      <w:r w:rsidR="00A22EEB">
        <w:rPr>
          <w:szCs w:val="22"/>
        </w:rPr>
        <w:t>$</w:t>
      </w:r>
      <w:r w:rsidR="006E0224">
        <w:rPr>
          <w:szCs w:val="22"/>
        </w:rPr>
        <w:t>85</w:t>
      </w:r>
      <w:r w:rsidR="008E1227">
        <w:rPr>
          <w:szCs w:val="22"/>
        </w:rPr>
        <w:t>.00</w:t>
      </w:r>
    </w:p>
    <w:p w:rsidR="006E0224" w:rsidRDefault="006E0224" w:rsidP="000D0B6C">
      <w:pPr>
        <w:pStyle w:val="ParaNum"/>
        <w:widowControl/>
        <w:numPr>
          <w:ilvl w:val="0"/>
          <w:numId w:val="0"/>
        </w:numPr>
        <w:ind w:left="720"/>
        <w:rPr>
          <w:szCs w:val="22"/>
        </w:rPr>
      </w:pPr>
      <w:r>
        <w:rPr>
          <w:szCs w:val="22"/>
        </w:rPr>
        <w:t xml:space="preserve">Projected Revenue – Actual Revenue = </w:t>
      </w:r>
      <w:r w:rsidR="008E1227">
        <w:rPr>
          <w:szCs w:val="22"/>
        </w:rPr>
        <w:t>$</w:t>
      </w:r>
      <w:r>
        <w:rPr>
          <w:szCs w:val="22"/>
        </w:rPr>
        <w:t>-5</w:t>
      </w:r>
      <w:r w:rsidR="008E1227">
        <w:rPr>
          <w:szCs w:val="22"/>
        </w:rPr>
        <w:t>.00</w:t>
      </w:r>
      <w:r>
        <w:rPr>
          <w:szCs w:val="22"/>
        </w:rPr>
        <w:t xml:space="preserve"> (true-up amount)</w:t>
      </w:r>
    </w:p>
    <w:p w:rsidR="006E0224" w:rsidRDefault="00F656B8" w:rsidP="000D0B6C">
      <w:pPr>
        <w:pStyle w:val="ParaNum"/>
        <w:widowControl/>
        <w:numPr>
          <w:ilvl w:val="0"/>
          <w:numId w:val="0"/>
        </w:numPr>
        <w:ind w:firstLine="720"/>
        <w:rPr>
          <w:szCs w:val="22"/>
        </w:rPr>
      </w:pPr>
      <w:r>
        <w:rPr>
          <w:szCs w:val="22"/>
        </w:rPr>
        <w:t>2014-2015 Eligible</w:t>
      </w:r>
      <w:r w:rsidR="0055752E">
        <w:rPr>
          <w:szCs w:val="22"/>
        </w:rPr>
        <w:t xml:space="preserve"> Recovery a</w:t>
      </w:r>
      <w:r w:rsidR="006E0224">
        <w:rPr>
          <w:szCs w:val="22"/>
        </w:rPr>
        <w:t xml:space="preserve">djusted by </w:t>
      </w:r>
      <w:r w:rsidR="008E1227">
        <w:rPr>
          <w:szCs w:val="22"/>
        </w:rPr>
        <w:t>$</w:t>
      </w:r>
      <w:r w:rsidR="006E0224">
        <w:rPr>
          <w:szCs w:val="22"/>
        </w:rPr>
        <w:t>-5</w:t>
      </w:r>
      <w:r w:rsidR="008E1227">
        <w:rPr>
          <w:szCs w:val="22"/>
        </w:rPr>
        <w:t>.00</w:t>
      </w:r>
    </w:p>
    <w:p w:rsidR="00565260" w:rsidRDefault="002E638C" w:rsidP="006279F8">
      <w:pPr>
        <w:pStyle w:val="ParaNum"/>
        <w:widowControl/>
        <w:numPr>
          <w:ilvl w:val="0"/>
          <w:numId w:val="0"/>
        </w:numPr>
        <w:rPr>
          <w:szCs w:val="22"/>
        </w:rPr>
      </w:pPr>
      <w:r>
        <w:rPr>
          <w:szCs w:val="22"/>
        </w:rPr>
        <w:t>As a result</w:t>
      </w:r>
      <w:r w:rsidR="00A31A2E">
        <w:rPr>
          <w:szCs w:val="22"/>
        </w:rPr>
        <w:t xml:space="preserve"> of its under-projection</w:t>
      </w:r>
      <w:r w:rsidR="00F656B8">
        <w:rPr>
          <w:szCs w:val="22"/>
        </w:rPr>
        <w:t xml:space="preserve">, </w:t>
      </w:r>
      <w:r w:rsidR="009424D8">
        <w:rPr>
          <w:szCs w:val="22"/>
        </w:rPr>
        <w:t>C</w:t>
      </w:r>
      <w:r w:rsidR="00F656B8">
        <w:rPr>
          <w:szCs w:val="22"/>
        </w:rPr>
        <w:t>arrier</w:t>
      </w:r>
      <w:r w:rsidR="009424D8">
        <w:rPr>
          <w:szCs w:val="22"/>
        </w:rPr>
        <w:t xml:space="preserve"> A</w:t>
      </w:r>
      <w:r w:rsidR="00F656B8">
        <w:rPr>
          <w:szCs w:val="22"/>
        </w:rPr>
        <w:t xml:space="preserve"> would </w:t>
      </w:r>
      <w:r w:rsidR="008E1227">
        <w:rPr>
          <w:szCs w:val="22"/>
        </w:rPr>
        <w:t xml:space="preserve">need to </w:t>
      </w:r>
      <w:r w:rsidR="00F656B8">
        <w:rPr>
          <w:szCs w:val="22"/>
        </w:rPr>
        <w:t>reduce its 2014-2015 tariff period Eligible Recovery</w:t>
      </w:r>
      <w:r w:rsidR="0055752E">
        <w:rPr>
          <w:szCs w:val="22"/>
        </w:rPr>
        <w:t xml:space="preserve"> by five</w:t>
      </w:r>
      <w:r w:rsidR="00F656B8">
        <w:rPr>
          <w:szCs w:val="22"/>
        </w:rPr>
        <w:t xml:space="preserve"> </w:t>
      </w:r>
      <w:r w:rsidR="00A56D34">
        <w:rPr>
          <w:szCs w:val="22"/>
        </w:rPr>
        <w:t xml:space="preserve">dollars </w:t>
      </w:r>
      <w:r w:rsidR="00F656B8">
        <w:rPr>
          <w:szCs w:val="22"/>
        </w:rPr>
        <w:t>to reflect the difference</w:t>
      </w:r>
      <w:r w:rsidR="00A56D34">
        <w:rPr>
          <w:szCs w:val="22"/>
        </w:rPr>
        <w:t xml:space="preserve"> between its actual revenues and projected revenues for the 2012-2013 tariff period</w:t>
      </w:r>
      <w:r w:rsidR="00F656B8">
        <w:rPr>
          <w:szCs w:val="22"/>
        </w:rPr>
        <w:t xml:space="preserve">.  </w:t>
      </w:r>
    </w:p>
    <w:p w:rsidR="00565260" w:rsidRDefault="00E417F1" w:rsidP="001322F7">
      <w:pPr>
        <w:pStyle w:val="ParaNum"/>
        <w:widowControl/>
        <w:rPr>
          <w:szCs w:val="22"/>
        </w:rPr>
      </w:pPr>
      <w:r>
        <w:rPr>
          <w:szCs w:val="22"/>
        </w:rPr>
        <w:t>Conversely, i</w:t>
      </w:r>
      <w:r w:rsidR="009424D8">
        <w:rPr>
          <w:szCs w:val="22"/>
        </w:rPr>
        <w:t>n the second example, Carrier B</w:t>
      </w:r>
      <w:r w:rsidR="006E0224">
        <w:rPr>
          <w:szCs w:val="22"/>
        </w:rPr>
        <w:t xml:space="preserve"> over-projected its</w:t>
      </w:r>
      <w:r>
        <w:rPr>
          <w:szCs w:val="22"/>
        </w:rPr>
        <w:t xml:space="preserve"> revenue</w:t>
      </w:r>
      <w:r w:rsidR="006E0224">
        <w:rPr>
          <w:szCs w:val="22"/>
        </w:rPr>
        <w:t xml:space="preserve"> amounts</w:t>
      </w:r>
      <w:r>
        <w:rPr>
          <w:szCs w:val="22"/>
        </w:rPr>
        <w:t xml:space="preserve"> in the 2012</w:t>
      </w:r>
      <w:r w:rsidR="006E0224">
        <w:rPr>
          <w:szCs w:val="22"/>
        </w:rPr>
        <w:t>-2013 ta</w:t>
      </w:r>
      <w:r w:rsidR="002E638C">
        <w:rPr>
          <w:szCs w:val="22"/>
        </w:rPr>
        <w:t>riff period</w:t>
      </w:r>
      <w:r w:rsidR="006E0224">
        <w:rPr>
          <w:szCs w:val="22"/>
        </w:rPr>
        <w:t xml:space="preserve">, </w:t>
      </w:r>
      <w:r w:rsidR="009424D8">
        <w:rPr>
          <w:szCs w:val="22"/>
        </w:rPr>
        <w:t xml:space="preserve">and </w:t>
      </w:r>
      <w:r w:rsidR="006E0224">
        <w:rPr>
          <w:szCs w:val="22"/>
        </w:rPr>
        <w:t>it would</w:t>
      </w:r>
      <w:r w:rsidR="00F656B8">
        <w:rPr>
          <w:szCs w:val="22"/>
        </w:rPr>
        <w:t xml:space="preserve"> need to</w:t>
      </w:r>
      <w:r w:rsidR="006E0224">
        <w:rPr>
          <w:szCs w:val="22"/>
        </w:rPr>
        <w:t xml:space="preserve"> </w:t>
      </w:r>
      <w:r w:rsidR="00F656B8">
        <w:rPr>
          <w:szCs w:val="22"/>
        </w:rPr>
        <w:t>increase</w:t>
      </w:r>
      <w:r>
        <w:rPr>
          <w:szCs w:val="22"/>
        </w:rPr>
        <w:t xml:space="preserve"> its 2014</w:t>
      </w:r>
      <w:r w:rsidR="00F656B8">
        <w:rPr>
          <w:szCs w:val="22"/>
        </w:rPr>
        <w:t>-2015</w:t>
      </w:r>
      <w:r>
        <w:rPr>
          <w:szCs w:val="22"/>
        </w:rPr>
        <w:t xml:space="preserve"> Eligible Recovery</w:t>
      </w:r>
      <w:r w:rsidR="00F656B8">
        <w:rPr>
          <w:szCs w:val="22"/>
        </w:rPr>
        <w:t xml:space="preserve"> amounts to reflect the difference.</w:t>
      </w:r>
      <w:r w:rsidR="006E0224">
        <w:rPr>
          <w:szCs w:val="22"/>
        </w:rPr>
        <w:t xml:space="preserve"> </w:t>
      </w:r>
      <w:r w:rsidR="00565260">
        <w:rPr>
          <w:szCs w:val="22"/>
        </w:rPr>
        <w:t xml:space="preserve"> </w:t>
      </w:r>
      <w:r w:rsidR="009424D8">
        <w:rPr>
          <w:szCs w:val="22"/>
        </w:rPr>
        <w:t>C</w:t>
      </w:r>
      <w:r w:rsidR="00565260">
        <w:rPr>
          <w:szCs w:val="22"/>
        </w:rPr>
        <w:t xml:space="preserve">arrier </w:t>
      </w:r>
      <w:r w:rsidR="009424D8">
        <w:rPr>
          <w:szCs w:val="22"/>
        </w:rPr>
        <w:t xml:space="preserve">B </w:t>
      </w:r>
      <w:r w:rsidR="00565260">
        <w:rPr>
          <w:szCs w:val="22"/>
        </w:rPr>
        <w:t>had a BPR of $100.00, a projected revenue amount of $85.00 and an actual revenue amount of $80.00</w:t>
      </w:r>
      <w:r w:rsidR="000D0B6C">
        <w:rPr>
          <w:szCs w:val="22"/>
        </w:rPr>
        <w:t>:</w:t>
      </w:r>
    </w:p>
    <w:p w:rsidR="00565260" w:rsidRDefault="00565260" w:rsidP="000D0B6C">
      <w:pPr>
        <w:pStyle w:val="ParaNum"/>
        <w:widowControl/>
        <w:numPr>
          <w:ilvl w:val="0"/>
          <w:numId w:val="0"/>
        </w:numPr>
        <w:ind w:left="720"/>
        <w:rPr>
          <w:szCs w:val="22"/>
        </w:rPr>
      </w:pPr>
      <w:r>
        <w:rPr>
          <w:szCs w:val="22"/>
        </w:rPr>
        <w:t>2012-2013 BRP is $100.00 x .95 = $95.00 (Adjusted BPR)</w:t>
      </w:r>
    </w:p>
    <w:p w:rsidR="00565260" w:rsidRDefault="00565260" w:rsidP="000D0B6C">
      <w:pPr>
        <w:pStyle w:val="ParaNum"/>
        <w:widowControl/>
        <w:numPr>
          <w:ilvl w:val="0"/>
          <w:numId w:val="0"/>
        </w:numPr>
        <w:ind w:left="720"/>
        <w:rPr>
          <w:szCs w:val="22"/>
        </w:rPr>
      </w:pPr>
      <w:r>
        <w:rPr>
          <w:szCs w:val="22"/>
        </w:rPr>
        <w:t>2012-2013 Total Projected Revenues = $85.00</w:t>
      </w:r>
    </w:p>
    <w:p w:rsidR="006E6613" w:rsidRDefault="00565260" w:rsidP="000D0B6C">
      <w:pPr>
        <w:pStyle w:val="ParaNum"/>
        <w:widowControl/>
        <w:numPr>
          <w:ilvl w:val="0"/>
          <w:numId w:val="0"/>
        </w:numPr>
        <w:ind w:left="720"/>
        <w:rPr>
          <w:szCs w:val="22"/>
        </w:rPr>
      </w:pPr>
      <w:r>
        <w:rPr>
          <w:szCs w:val="22"/>
        </w:rPr>
        <w:t>2012-2013 Eligible Recovery (Adjusted BPR-Projected Revenues) = $10.00</w:t>
      </w:r>
      <w:bookmarkStart w:id="15" w:name="_Toc379291443"/>
      <w:bookmarkStart w:id="16" w:name="_Toc381719684"/>
      <w:bookmarkStart w:id="17" w:name="_Toc373849367"/>
      <w:bookmarkStart w:id="18" w:name="_Toc373849425"/>
    </w:p>
    <w:p w:rsidR="00565260" w:rsidRDefault="00565260" w:rsidP="000D0B6C">
      <w:pPr>
        <w:pStyle w:val="ParaNum"/>
        <w:widowControl/>
        <w:numPr>
          <w:ilvl w:val="0"/>
          <w:numId w:val="0"/>
        </w:numPr>
        <w:ind w:left="720"/>
        <w:rPr>
          <w:szCs w:val="22"/>
        </w:rPr>
      </w:pPr>
      <w:r>
        <w:rPr>
          <w:szCs w:val="22"/>
        </w:rPr>
        <w:t>2012-2013 Total Actual Revenues = $80.00</w:t>
      </w:r>
    </w:p>
    <w:p w:rsidR="00565260" w:rsidRDefault="00565260" w:rsidP="000D0B6C">
      <w:pPr>
        <w:pStyle w:val="ParaNum"/>
        <w:widowControl/>
        <w:numPr>
          <w:ilvl w:val="0"/>
          <w:numId w:val="0"/>
        </w:numPr>
        <w:ind w:left="720"/>
        <w:rPr>
          <w:szCs w:val="22"/>
        </w:rPr>
      </w:pPr>
      <w:r>
        <w:rPr>
          <w:szCs w:val="22"/>
        </w:rPr>
        <w:t>Projected Revenue – Actual Revenue = $5.00 (true-up amount)</w:t>
      </w:r>
    </w:p>
    <w:p w:rsidR="00565260" w:rsidRDefault="00565260" w:rsidP="000D0B6C">
      <w:pPr>
        <w:pStyle w:val="ParaNum"/>
        <w:widowControl/>
        <w:numPr>
          <w:ilvl w:val="0"/>
          <w:numId w:val="0"/>
        </w:numPr>
        <w:ind w:left="720"/>
        <w:rPr>
          <w:szCs w:val="22"/>
        </w:rPr>
      </w:pPr>
      <w:r>
        <w:rPr>
          <w:szCs w:val="22"/>
        </w:rPr>
        <w:t>2014-2015 Eligible Recovery adjusted by $5.00</w:t>
      </w:r>
    </w:p>
    <w:p w:rsidR="003705BE" w:rsidRDefault="00565260" w:rsidP="006279F8">
      <w:pPr>
        <w:pStyle w:val="ParaNum"/>
        <w:widowControl/>
        <w:numPr>
          <w:ilvl w:val="0"/>
          <w:numId w:val="0"/>
        </w:numPr>
        <w:rPr>
          <w:szCs w:val="22"/>
        </w:rPr>
      </w:pPr>
      <w:r>
        <w:rPr>
          <w:szCs w:val="22"/>
        </w:rPr>
        <w:t>Thus, in this example, the carrier will need to increase its 2014-2015 Eligible Recovery amount by five dollars to reflect the difference between its actual revenues and projected revenues for the 2012-2013 tariff period.</w:t>
      </w:r>
      <w:r w:rsidR="00815B59">
        <w:rPr>
          <w:szCs w:val="22"/>
        </w:rPr>
        <w:t xml:space="preserve">  </w:t>
      </w:r>
    </w:p>
    <w:p w:rsidR="00A84721" w:rsidRPr="003705BE" w:rsidRDefault="00A84721" w:rsidP="003705BE">
      <w:pPr>
        <w:pStyle w:val="Heading1"/>
      </w:pPr>
      <w:r w:rsidRPr="003705BE">
        <w:t>discussion</w:t>
      </w:r>
      <w:bookmarkEnd w:id="15"/>
      <w:bookmarkEnd w:id="16"/>
    </w:p>
    <w:p w:rsidR="002E357F" w:rsidRPr="00D9320D" w:rsidRDefault="00307D65" w:rsidP="00D9320D">
      <w:pPr>
        <w:pStyle w:val="ParaNum"/>
      </w:pPr>
      <w:bookmarkStart w:id="19" w:name="_Toc336255603"/>
      <w:bookmarkEnd w:id="17"/>
      <w:bookmarkEnd w:id="18"/>
      <w:r>
        <w:t xml:space="preserve">As noted above, the 2014 annual tariff filing was the first time that Eligible Recovery was adjusted to incorporate a true-up of projected demand used in calculating Eligible Recovery for an earlier tariff period.  </w:t>
      </w:r>
      <w:r w:rsidR="00591D4B">
        <w:t xml:space="preserve">The true-up process is designed to provide certainty to rate-of-return carriers by accounting for any difference between projected and actual </w:t>
      </w:r>
      <w:r w:rsidR="009424D8">
        <w:t xml:space="preserve">switched access revenues, </w:t>
      </w:r>
      <w:r w:rsidR="00591D4B">
        <w:t>reciprocal compensation revenues, or ARC revenues due to demand variations.</w:t>
      </w:r>
      <w:r w:rsidR="00BB2735">
        <w:rPr>
          <w:rStyle w:val="FootnoteReference"/>
        </w:rPr>
        <w:footnoteReference w:id="18"/>
      </w:r>
      <w:r w:rsidR="00591D4B">
        <w:t xml:space="preserve">  As the </w:t>
      </w:r>
      <w:r w:rsidR="00816D5D">
        <w:t xml:space="preserve">above </w:t>
      </w:r>
      <w:r w:rsidR="00591D4B">
        <w:t>example</w:t>
      </w:r>
      <w:r w:rsidR="00BC2F43">
        <w:t>s</w:t>
      </w:r>
      <w:r w:rsidR="00A83CF7">
        <w:t xml:space="preserve"> </w:t>
      </w:r>
      <w:r w:rsidR="00816D5D">
        <w:t xml:space="preserve">and the </w:t>
      </w:r>
      <w:r w:rsidR="00552C21">
        <w:t>illustration</w:t>
      </w:r>
      <w:r w:rsidR="00816D5D">
        <w:t xml:space="preserve"> in the </w:t>
      </w:r>
      <w:r w:rsidR="00816D5D">
        <w:rPr>
          <w:i/>
        </w:rPr>
        <w:t>USF/ICC Transformation Order</w:t>
      </w:r>
      <w:r w:rsidR="00951C84">
        <w:t xml:space="preserve"> (</w:t>
      </w:r>
      <w:r w:rsidR="008353F6">
        <w:t xml:space="preserve">which </w:t>
      </w:r>
      <w:r w:rsidR="001D5B44">
        <w:t xml:space="preserve">similarly </w:t>
      </w:r>
      <w:r w:rsidR="008353F6">
        <w:t>shows</w:t>
      </w:r>
      <w:r w:rsidR="00B42976">
        <w:t xml:space="preserve"> opera</w:t>
      </w:r>
      <w:r w:rsidR="00951C84">
        <w:t>tion of the true-up process</w:t>
      </w:r>
      <w:r w:rsidR="00B42976">
        <w:t xml:space="preserve"> when a carrier</w:t>
      </w:r>
      <w:r w:rsidR="00951C84">
        <w:t xml:space="preserve"> both</w:t>
      </w:r>
      <w:r w:rsidR="00B42976">
        <w:t xml:space="preserve"> overestimated and underestimated its </w:t>
      </w:r>
      <w:r w:rsidR="000F7314">
        <w:t>projected revenues</w:t>
      </w:r>
      <w:r w:rsidR="008353F6">
        <w:t xml:space="preserve"> for the first year of the ICC reforms adopted by the Commission</w:t>
      </w:r>
      <w:r w:rsidR="00951C84">
        <w:t>)</w:t>
      </w:r>
      <w:r w:rsidR="00816D5D">
        <w:rPr>
          <w:i/>
        </w:rPr>
        <w:t xml:space="preserve"> </w:t>
      </w:r>
      <w:r w:rsidR="00816D5D">
        <w:t>demonstrate,</w:t>
      </w:r>
      <w:r w:rsidR="00591D4B">
        <w:t xml:space="preserve"> a carrier’s Eligible Recovery was to be adjusted either upward or downward based on any such differences.</w:t>
      </w:r>
      <w:r w:rsidR="00591D4B">
        <w:rPr>
          <w:rStyle w:val="FootnoteReference"/>
        </w:rPr>
        <w:footnoteReference w:id="19"/>
      </w:r>
      <w:r w:rsidR="00591D4B">
        <w:t xml:space="preserve">  As th</w:t>
      </w:r>
      <w:r w:rsidR="000C65DD">
        <w:t>e</w:t>
      </w:r>
      <w:r w:rsidR="00591D4B">
        <w:t xml:space="preserve"> </w:t>
      </w:r>
      <w:r w:rsidR="008353F6">
        <w:t>illustration</w:t>
      </w:r>
      <w:r w:rsidR="00591D4B">
        <w:t xml:space="preserve"> </w:t>
      </w:r>
      <w:r w:rsidR="000C65DD">
        <w:t xml:space="preserve">in the </w:t>
      </w:r>
      <w:r w:rsidR="000C65DD">
        <w:rPr>
          <w:i/>
        </w:rPr>
        <w:t>USF/ICC Transformation Order</w:t>
      </w:r>
      <w:r w:rsidR="00591D4B">
        <w:t xml:space="preserve"> reflects, the Commission </w:t>
      </w:r>
      <w:r w:rsidR="00B826EC">
        <w:t xml:space="preserve">expected that </w:t>
      </w:r>
      <w:r w:rsidR="00591D4B">
        <w:t xml:space="preserve">the amount of any adjustment </w:t>
      </w:r>
      <w:r w:rsidR="00B826EC">
        <w:t>could be completely offset through adjustments to</w:t>
      </w:r>
      <w:r w:rsidR="00591D4B">
        <w:t xml:space="preserve"> the amount of Eligible Recovery for which ARC </w:t>
      </w:r>
      <w:r w:rsidR="0082734F">
        <w:t xml:space="preserve">rates could be assessed and Connect America Fund </w:t>
      </w:r>
      <w:r w:rsidR="00591D4B">
        <w:t>ICC support could be received.</w:t>
      </w:r>
      <w:r w:rsidR="00591D4B" w:rsidRPr="00D9320D">
        <w:rPr>
          <w:rStyle w:val="FootnoteReference"/>
          <w:sz w:val="22"/>
        </w:rPr>
        <w:footnoteReference w:id="20"/>
      </w:r>
      <w:r w:rsidR="00591D4B" w:rsidRPr="00D9320D">
        <w:t xml:space="preserve">  </w:t>
      </w:r>
    </w:p>
    <w:p w:rsidR="001B5B1C" w:rsidRPr="00C20C4A" w:rsidRDefault="00854D7B" w:rsidP="001B5B1C">
      <w:pPr>
        <w:pStyle w:val="ParaNum"/>
        <w:widowControl/>
        <w:rPr>
          <w:szCs w:val="22"/>
        </w:rPr>
      </w:pPr>
      <w:r>
        <w:t xml:space="preserve">In conjunction with the 2014 annual tariff filing process, </w:t>
      </w:r>
      <w:r w:rsidR="00C8022B">
        <w:t>NECA</w:t>
      </w:r>
      <w:r w:rsidR="00F5473D" w:rsidRPr="000D5365">
        <w:t xml:space="preserve"> </w:t>
      </w:r>
      <w:r>
        <w:t xml:space="preserve">informally sought clarification concerning a limited number of cases in which the true-up process did not work as outlined </w:t>
      </w:r>
      <w:r w:rsidR="00D3212C">
        <w:t xml:space="preserve">above and </w:t>
      </w:r>
      <w:r w:rsidR="00A21E2B">
        <w:t>for which the</w:t>
      </w:r>
      <w:r w:rsidR="0013687C">
        <w:t xml:space="preserve"> </w:t>
      </w:r>
      <w:r w:rsidR="00A21E2B">
        <w:t>rules do not provide a</w:t>
      </w:r>
      <w:r w:rsidR="005650C3">
        <w:t xml:space="preserve">n unambiguous </w:t>
      </w:r>
      <w:r w:rsidR="00A21E2B">
        <w:t>resolution</w:t>
      </w:r>
      <w:r>
        <w:t>.  In this Order, we clarify how rate-of-return carriers and</w:t>
      </w:r>
      <w:r w:rsidR="001B5B1C">
        <w:t xml:space="preserve"> USAC should address the </w:t>
      </w:r>
      <w:r w:rsidR="00C72282">
        <w:t xml:space="preserve">2014-15 </w:t>
      </w:r>
      <w:r w:rsidR="000D6B20">
        <w:t xml:space="preserve">fact scenarios </w:t>
      </w:r>
      <w:r w:rsidR="001B5B1C">
        <w:t>described below</w:t>
      </w:r>
      <w:r w:rsidR="004D1043">
        <w:t>,</w:t>
      </w:r>
      <w:r w:rsidR="001B5B1C">
        <w:t xml:space="preserve"> </w:t>
      </w:r>
      <w:r w:rsidR="00A21E2B">
        <w:t>consistent with the policy goals of the</w:t>
      </w:r>
      <w:r w:rsidR="008D604B">
        <w:t xml:space="preserve"> </w:t>
      </w:r>
      <w:r w:rsidR="008D604B">
        <w:rPr>
          <w:i/>
        </w:rPr>
        <w:t xml:space="preserve">USF/ICC Transformation </w:t>
      </w:r>
      <w:r w:rsidR="008D604B" w:rsidRPr="00D64D3B">
        <w:rPr>
          <w:i/>
        </w:rPr>
        <w:t>Order</w:t>
      </w:r>
      <w:r w:rsidR="004D1043">
        <w:t>,</w:t>
      </w:r>
      <w:r w:rsidR="008D604B">
        <w:t xml:space="preserve"> </w:t>
      </w:r>
      <w:r w:rsidR="001B5B1C" w:rsidRPr="008D604B">
        <w:t>and</w:t>
      </w:r>
      <w:r w:rsidR="001B5B1C">
        <w:t xml:space="preserve"> revise the Commission’s rules</w:t>
      </w:r>
      <w:r w:rsidR="004D1043">
        <w:t>,</w:t>
      </w:r>
      <w:r w:rsidR="001B5B1C">
        <w:t xml:space="preserve"> as set forth in the Appendix</w:t>
      </w:r>
      <w:r w:rsidR="004D1043">
        <w:t>,</w:t>
      </w:r>
      <w:r w:rsidR="001B5B1C">
        <w:t xml:space="preserve"> to </w:t>
      </w:r>
      <w:r w:rsidR="00C5545E">
        <w:t xml:space="preserve">provide clarity </w:t>
      </w:r>
      <w:r w:rsidR="001B5B1C">
        <w:t xml:space="preserve">for future tariff periods.  </w:t>
      </w:r>
    </w:p>
    <w:p w:rsidR="000D5365" w:rsidRPr="000D0B6C" w:rsidRDefault="00E3790F" w:rsidP="000D0B6C">
      <w:pPr>
        <w:pStyle w:val="ParaNum"/>
        <w:rPr>
          <w:kern w:val="0"/>
        </w:rPr>
      </w:pPr>
      <w:r>
        <w:t>T</w:t>
      </w:r>
      <w:r w:rsidR="00306E82">
        <w:t xml:space="preserve">he first </w:t>
      </w:r>
      <w:r w:rsidR="000D6B20">
        <w:t xml:space="preserve">set of facts identified </w:t>
      </w:r>
      <w:r w:rsidR="00306E82">
        <w:t xml:space="preserve">by NECA </w:t>
      </w:r>
      <w:r>
        <w:t xml:space="preserve">involves </w:t>
      </w:r>
      <w:r w:rsidR="008975C1">
        <w:t>several carrier</w:t>
      </w:r>
      <w:r w:rsidR="00F5473D" w:rsidRPr="000D5365">
        <w:t xml:space="preserve">s </w:t>
      </w:r>
      <w:r w:rsidR="008975C1">
        <w:t xml:space="preserve">whose </w:t>
      </w:r>
      <w:r w:rsidR="00F5473D" w:rsidRPr="000D5365">
        <w:t>2012</w:t>
      </w:r>
      <w:r w:rsidR="00901B49">
        <w:t>-13</w:t>
      </w:r>
      <w:r w:rsidR="00B12245">
        <w:t xml:space="preserve"> tariff period</w:t>
      </w:r>
      <w:r w:rsidR="003C0288" w:rsidRPr="000D5365">
        <w:t xml:space="preserve"> </w:t>
      </w:r>
      <w:r w:rsidR="00F5473D" w:rsidRPr="000D5365">
        <w:t xml:space="preserve">projected demand was underestimated compared to </w:t>
      </w:r>
      <w:r w:rsidR="00940F66">
        <w:t>their</w:t>
      </w:r>
      <w:r w:rsidR="00901B49">
        <w:t xml:space="preserve"> ultimate </w:t>
      </w:r>
      <w:r w:rsidR="00F5473D" w:rsidRPr="000D5365">
        <w:t>actual d</w:t>
      </w:r>
      <w:r w:rsidR="0096778A" w:rsidRPr="000D5365">
        <w:t>emand</w:t>
      </w:r>
      <w:r>
        <w:t xml:space="preserve">. </w:t>
      </w:r>
      <w:r w:rsidR="0096778A" w:rsidRPr="000D5365">
        <w:t xml:space="preserve"> </w:t>
      </w:r>
      <w:r w:rsidR="008975C1">
        <w:t xml:space="preserve">Each </w:t>
      </w:r>
      <w:r w:rsidR="00F5473D" w:rsidRPr="000D5365">
        <w:t xml:space="preserve">carrier </w:t>
      </w:r>
      <w:r>
        <w:t xml:space="preserve">therefore </w:t>
      </w:r>
      <w:r w:rsidR="00F5473D" w:rsidRPr="000D5365">
        <w:t xml:space="preserve">received too much </w:t>
      </w:r>
      <w:r w:rsidR="00795A57">
        <w:t xml:space="preserve">Eligible Recovery in </w:t>
      </w:r>
      <w:r w:rsidR="004112B2">
        <w:t>2012</w:t>
      </w:r>
      <w:r w:rsidR="00901B49">
        <w:t>-13</w:t>
      </w:r>
      <w:r w:rsidR="00C55968">
        <w:t>,</w:t>
      </w:r>
      <w:r w:rsidR="008975C1">
        <w:t xml:space="preserve"> and</w:t>
      </w:r>
      <w:r w:rsidR="00901B49">
        <w:t>, under the rules,</w:t>
      </w:r>
      <w:r w:rsidR="008975C1">
        <w:t xml:space="preserve"> </w:t>
      </w:r>
      <w:r w:rsidR="00940F66">
        <w:t>their</w:t>
      </w:r>
      <w:r w:rsidR="008975C1">
        <w:t xml:space="preserve"> 2014</w:t>
      </w:r>
      <w:r w:rsidR="00901B49">
        <w:t>-15</w:t>
      </w:r>
      <w:r w:rsidR="008975C1">
        <w:t xml:space="preserve"> Eligible Recovery</w:t>
      </w:r>
      <w:r w:rsidR="0066036B">
        <w:t xml:space="preserve"> </w:t>
      </w:r>
      <w:r w:rsidR="008975C1">
        <w:t>should be reduced by the amount of revenues associated with the demand difference</w:t>
      </w:r>
      <w:r w:rsidR="0071101C" w:rsidRPr="000D5365">
        <w:t>.</w:t>
      </w:r>
      <w:r w:rsidR="00DA47E4">
        <w:rPr>
          <w:rStyle w:val="FootnoteReference"/>
        </w:rPr>
        <w:footnoteReference w:id="21"/>
      </w:r>
      <w:r w:rsidR="004112B2">
        <w:t xml:space="preserve">  </w:t>
      </w:r>
      <w:r w:rsidR="008975C1">
        <w:t>T</w:t>
      </w:r>
      <w:r w:rsidR="004112B2">
        <w:t xml:space="preserve">he </w:t>
      </w:r>
      <w:r w:rsidR="00123651">
        <w:t>carrier</w:t>
      </w:r>
      <w:r w:rsidR="004112B2">
        <w:t>s</w:t>
      </w:r>
      <w:r w:rsidR="00123651">
        <w:t>’</w:t>
      </w:r>
      <w:r w:rsidR="004112B2">
        <w:t xml:space="preserve"> Eligible Recovery </w:t>
      </w:r>
      <w:r w:rsidR="00901B49">
        <w:t xml:space="preserve">for </w:t>
      </w:r>
      <w:r w:rsidR="004112B2">
        <w:t>2014</w:t>
      </w:r>
      <w:r w:rsidR="00901B49">
        <w:t>-15</w:t>
      </w:r>
      <w:r w:rsidR="008975C1">
        <w:t xml:space="preserve"> before reflecting the true-up adjustment, however, was </w:t>
      </w:r>
      <w:r w:rsidR="004112B2">
        <w:t xml:space="preserve">not large enough to </w:t>
      </w:r>
      <w:r w:rsidR="000D6B20">
        <w:t xml:space="preserve">offset completely </w:t>
      </w:r>
      <w:r w:rsidR="004112B2">
        <w:t xml:space="preserve">the </w:t>
      </w:r>
      <w:r w:rsidR="008975C1">
        <w:t xml:space="preserve">true-up </w:t>
      </w:r>
      <w:r w:rsidR="004112B2">
        <w:t xml:space="preserve">reduction </w:t>
      </w:r>
      <w:r w:rsidR="008975C1">
        <w:t xml:space="preserve">from </w:t>
      </w:r>
      <w:r w:rsidR="00C55968">
        <w:t xml:space="preserve">the </w:t>
      </w:r>
      <w:r w:rsidR="008975C1">
        <w:t>2012-13</w:t>
      </w:r>
      <w:r w:rsidR="00C55968">
        <w:t xml:space="preserve"> tariff period</w:t>
      </w:r>
      <w:r w:rsidR="008975C1">
        <w:t xml:space="preserve">. </w:t>
      </w:r>
      <w:r w:rsidR="001322F7">
        <w:t xml:space="preserve"> </w:t>
      </w:r>
      <w:r w:rsidR="00BA77C5">
        <w:t xml:space="preserve">Thus, the </w:t>
      </w:r>
      <w:r w:rsidR="00C55968">
        <w:t xml:space="preserve">excess </w:t>
      </w:r>
      <w:r w:rsidR="00795A57">
        <w:t xml:space="preserve">Eligible Recovery </w:t>
      </w:r>
      <w:r w:rsidR="00BA77C5">
        <w:t>carrier</w:t>
      </w:r>
      <w:r w:rsidR="00123651">
        <w:t>s</w:t>
      </w:r>
      <w:r w:rsidR="00BA77C5">
        <w:t xml:space="preserve"> received during </w:t>
      </w:r>
      <w:r w:rsidR="00C55968">
        <w:t xml:space="preserve">the </w:t>
      </w:r>
      <w:r w:rsidR="00BA77C5">
        <w:t>2012-13</w:t>
      </w:r>
      <w:r w:rsidR="00C55968">
        <w:t xml:space="preserve"> tariff period</w:t>
      </w:r>
      <w:r w:rsidR="00BA77C5">
        <w:t xml:space="preserve"> has not been fully offset</w:t>
      </w:r>
      <w:r w:rsidR="007033DF">
        <w:t>,</w:t>
      </w:r>
      <w:r w:rsidR="00BA77C5">
        <w:t xml:space="preserve"> and</w:t>
      </w:r>
      <w:r w:rsidR="004112B2">
        <w:t xml:space="preserve"> </w:t>
      </w:r>
      <w:r w:rsidR="00BA77C5">
        <w:t xml:space="preserve">the </w:t>
      </w:r>
      <w:r w:rsidR="00123651">
        <w:t xml:space="preserve">carriers </w:t>
      </w:r>
      <w:r w:rsidR="00BA77C5">
        <w:t>w</w:t>
      </w:r>
      <w:r w:rsidR="004112B2">
        <w:t xml:space="preserve">ould be left with </w:t>
      </w:r>
      <w:r w:rsidR="00E44F02">
        <w:t>duplicative recovery</w:t>
      </w:r>
      <w:r w:rsidR="00E76461">
        <w:t xml:space="preserve"> </w:t>
      </w:r>
      <w:r w:rsidR="00FC5E49">
        <w:t xml:space="preserve">in contravention of section 51.917(d)(1)(vii) of the rules </w:t>
      </w:r>
      <w:r w:rsidR="004112B2">
        <w:t>absent clarification to specify the procedures to be followed under these circumstances.</w:t>
      </w:r>
      <w:r w:rsidR="00FC5E49">
        <w:rPr>
          <w:rStyle w:val="FootnoteReference"/>
        </w:rPr>
        <w:footnoteReference w:id="22"/>
      </w:r>
      <w:r w:rsidR="009328A8">
        <w:t xml:space="preserve"> </w:t>
      </w:r>
      <w:r w:rsidR="00FC5E49">
        <w:t xml:space="preserve"> </w:t>
      </w:r>
      <w:r w:rsidR="00BA77C5">
        <w:t>We accordingly c</w:t>
      </w:r>
      <w:r w:rsidR="000F7CF6">
        <w:t>l</w:t>
      </w:r>
      <w:r w:rsidR="00BA77C5">
        <w:t>arify that carrier</w:t>
      </w:r>
      <w:r w:rsidR="000F7CF6">
        <w:t>s</w:t>
      </w:r>
      <w:r w:rsidR="00552C21">
        <w:t xml:space="preserve"> that are</w:t>
      </w:r>
      <w:r w:rsidR="00007AF0">
        <w:t xml:space="preserve"> </w:t>
      </w:r>
      <w:r w:rsidR="000F7CF6">
        <w:t xml:space="preserve">in this situation with respect to their 2014-15 Eligible Recovery calculation must refund to </w:t>
      </w:r>
      <w:r w:rsidR="00123651">
        <w:t>USAC</w:t>
      </w:r>
      <w:r w:rsidR="00F25642">
        <w:t xml:space="preserve"> </w:t>
      </w:r>
      <w:r w:rsidR="000F7CF6">
        <w:t>the amount of the excess recovery that was not offset within</w:t>
      </w:r>
      <w:r w:rsidR="00123651">
        <w:t xml:space="preserve"> thirty</w:t>
      </w:r>
      <w:r w:rsidR="000F7CF6">
        <w:t xml:space="preserve"> </w:t>
      </w:r>
      <w:r w:rsidR="00123651">
        <w:t>(</w:t>
      </w:r>
      <w:r w:rsidR="000F7CF6">
        <w:t>30</w:t>
      </w:r>
      <w:r w:rsidR="00123651">
        <w:t>)</w:t>
      </w:r>
      <w:r w:rsidR="000F7CF6">
        <w:t xml:space="preserve"> days of the </w:t>
      </w:r>
      <w:r w:rsidR="00125C2E">
        <w:t xml:space="preserve">effective date </w:t>
      </w:r>
      <w:r w:rsidR="000F7CF6">
        <w:t>of this Order.</w:t>
      </w:r>
      <w:r w:rsidR="00F25642">
        <w:rPr>
          <w:rStyle w:val="FootnoteReference"/>
          <w:szCs w:val="22"/>
        </w:rPr>
        <w:footnoteReference w:id="23"/>
      </w:r>
      <w:r w:rsidR="00F25642">
        <w:t xml:space="preserve">  </w:t>
      </w:r>
      <w:r w:rsidR="001B6D47">
        <w:t>Consistent</w:t>
      </w:r>
      <w:r w:rsidR="00901B49">
        <w:t xml:space="preserve"> with the rules we adopt</w:t>
      </w:r>
      <w:r w:rsidR="00931EF7">
        <w:t>,</w:t>
      </w:r>
      <w:r w:rsidR="00901B49">
        <w:t xml:space="preserve"> as set forth in the A</w:t>
      </w:r>
      <w:r w:rsidR="00940F66">
        <w:t>p</w:t>
      </w:r>
      <w:r w:rsidR="00901B49">
        <w:t xml:space="preserve">pendix, </w:t>
      </w:r>
      <w:r w:rsidR="00931EF7">
        <w:t xml:space="preserve">in the future </w:t>
      </w:r>
      <w:r w:rsidR="003F08F1">
        <w:t xml:space="preserve">a carrier in this situation must refund </w:t>
      </w:r>
      <w:r w:rsidR="00123651">
        <w:t xml:space="preserve">excess </w:t>
      </w:r>
      <w:r w:rsidR="003F08F1">
        <w:t>amount</w:t>
      </w:r>
      <w:r w:rsidR="00123651">
        <w:t>s</w:t>
      </w:r>
      <w:r w:rsidR="003F08F1">
        <w:t xml:space="preserve"> to USAC by August 1 </w:t>
      </w:r>
      <w:r w:rsidR="00D64D3B">
        <w:t>following</w:t>
      </w:r>
      <w:r w:rsidR="003F08F1">
        <w:t xml:space="preserve"> the date of the annual access tariff filing.</w:t>
      </w:r>
      <w:r w:rsidR="00F25642">
        <w:rPr>
          <w:rStyle w:val="FootnoteReference"/>
        </w:rPr>
        <w:footnoteReference w:id="24"/>
      </w:r>
      <w:r w:rsidR="00F25642">
        <w:rPr>
          <w:kern w:val="0"/>
          <w:sz w:val="24"/>
          <w:szCs w:val="24"/>
        </w:rPr>
        <w:t xml:space="preserve"> </w:t>
      </w:r>
    </w:p>
    <w:p w:rsidR="008D604B" w:rsidRPr="00D9320D" w:rsidRDefault="00FB769D" w:rsidP="008D604B">
      <w:pPr>
        <w:pStyle w:val="ParaNum"/>
        <w:widowControl/>
      </w:pPr>
      <w:r w:rsidRPr="008D604B">
        <w:rPr>
          <w:szCs w:val="22"/>
        </w:rPr>
        <w:t xml:space="preserve">The second </w:t>
      </w:r>
      <w:r w:rsidR="000D6B20">
        <w:rPr>
          <w:szCs w:val="22"/>
        </w:rPr>
        <w:t xml:space="preserve">set of facts that </w:t>
      </w:r>
      <w:r w:rsidRPr="008D604B">
        <w:rPr>
          <w:szCs w:val="22"/>
        </w:rPr>
        <w:t xml:space="preserve">NECA sought clarification </w:t>
      </w:r>
      <w:r w:rsidR="000D6B20">
        <w:rPr>
          <w:szCs w:val="22"/>
        </w:rPr>
        <w:t xml:space="preserve">on </w:t>
      </w:r>
      <w:r w:rsidRPr="008D604B">
        <w:rPr>
          <w:szCs w:val="22"/>
        </w:rPr>
        <w:t>involves several carriers</w:t>
      </w:r>
      <w:r w:rsidR="0071101C" w:rsidRPr="008D604B">
        <w:rPr>
          <w:szCs w:val="22"/>
        </w:rPr>
        <w:t xml:space="preserve"> </w:t>
      </w:r>
      <w:r w:rsidRPr="008D604B">
        <w:rPr>
          <w:szCs w:val="22"/>
        </w:rPr>
        <w:t xml:space="preserve">who overestimated </w:t>
      </w:r>
      <w:r w:rsidR="00CB3384" w:rsidRPr="008D604B">
        <w:rPr>
          <w:szCs w:val="22"/>
        </w:rPr>
        <w:t xml:space="preserve">their </w:t>
      </w:r>
      <w:r w:rsidR="0071101C" w:rsidRPr="008D604B">
        <w:rPr>
          <w:szCs w:val="22"/>
        </w:rPr>
        <w:t>2012</w:t>
      </w:r>
      <w:r w:rsidRPr="008D604B">
        <w:rPr>
          <w:szCs w:val="22"/>
        </w:rPr>
        <w:t>-13</w:t>
      </w:r>
      <w:r w:rsidR="00890AD4">
        <w:rPr>
          <w:szCs w:val="22"/>
        </w:rPr>
        <w:t xml:space="preserve"> tariff period</w:t>
      </w:r>
      <w:r w:rsidR="0071101C" w:rsidRPr="008D604B">
        <w:rPr>
          <w:szCs w:val="22"/>
        </w:rPr>
        <w:t xml:space="preserve"> projected demand </w:t>
      </w:r>
      <w:r w:rsidR="0096778A" w:rsidRPr="008D604B">
        <w:rPr>
          <w:szCs w:val="22"/>
        </w:rPr>
        <w:t xml:space="preserve">compared to </w:t>
      </w:r>
      <w:r w:rsidR="00CB3384" w:rsidRPr="008D604B">
        <w:rPr>
          <w:szCs w:val="22"/>
        </w:rPr>
        <w:t xml:space="preserve">the resulting </w:t>
      </w:r>
      <w:r w:rsidR="0096778A" w:rsidRPr="008D604B">
        <w:rPr>
          <w:szCs w:val="22"/>
        </w:rPr>
        <w:t>actual demand</w:t>
      </w:r>
      <w:r w:rsidR="00CB3384" w:rsidRPr="008D604B">
        <w:rPr>
          <w:szCs w:val="22"/>
        </w:rPr>
        <w:t>.  Thus,</w:t>
      </w:r>
      <w:r w:rsidR="00CE10CF">
        <w:rPr>
          <w:szCs w:val="22"/>
        </w:rPr>
        <w:t xml:space="preserve"> to the extent </w:t>
      </w:r>
      <w:r w:rsidR="00621D70">
        <w:rPr>
          <w:szCs w:val="22"/>
        </w:rPr>
        <w:t xml:space="preserve">carriers </w:t>
      </w:r>
      <w:r w:rsidR="00CE10CF">
        <w:rPr>
          <w:szCs w:val="22"/>
        </w:rPr>
        <w:t>would have been entitled to</w:t>
      </w:r>
      <w:r w:rsidR="0071101C" w:rsidRPr="008D604B">
        <w:rPr>
          <w:szCs w:val="22"/>
        </w:rPr>
        <w:t xml:space="preserve"> </w:t>
      </w:r>
      <w:r w:rsidR="00D97BC6">
        <w:rPr>
          <w:szCs w:val="22"/>
        </w:rPr>
        <w:t>Eligible Recovery</w:t>
      </w:r>
      <w:r w:rsidR="004112B2" w:rsidRPr="008D604B">
        <w:rPr>
          <w:szCs w:val="22"/>
        </w:rPr>
        <w:t xml:space="preserve"> </w:t>
      </w:r>
      <w:r w:rsidR="00CE10CF">
        <w:rPr>
          <w:szCs w:val="22"/>
        </w:rPr>
        <w:t>for</w:t>
      </w:r>
      <w:r w:rsidR="004112B2" w:rsidRPr="008D604B">
        <w:rPr>
          <w:szCs w:val="22"/>
        </w:rPr>
        <w:t xml:space="preserve"> </w:t>
      </w:r>
      <w:r w:rsidR="00A851AA">
        <w:rPr>
          <w:szCs w:val="22"/>
        </w:rPr>
        <w:t xml:space="preserve">tariff period </w:t>
      </w:r>
      <w:r w:rsidR="004112B2" w:rsidRPr="008D604B">
        <w:rPr>
          <w:szCs w:val="22"/>
        </w:rPr>
        <w:t>2012</w:t>
      </w:r>
      <w:r w:rsidR="00CB3384" w:rsidRPr="008D604B">
        <w:rPr>
          <w:szCs w:val="22"/>
        </w:rPr>
        <w:t>-13</w:t>
      </w:r>
      <w:r w:rsidR="00577D94">
        <w:rPr>
          <w:szCs w:val="22"/>
        </w:rPr>
        <w:t xml:space="preserve"> </w:t>
      </w:r>
      <w:r w:rsidR="00CE10CF">
        <w:rPr>
          <w:szCs w:val="22"/>
        </w:rPr>
        <w:t xml:space="preserve">if they had accurately projected their demand, these carriers received </w:t>
      </w:r>
      <w:r w:rsidR="00621D70">
        <w:rPr>
          <w:szCs w:val="22"/>
        </w:rPr>
        <w:t>too little</w:t>
      </w:r>
      <w:r w:rsidR="00003CCA">
        <w:rPr>
          <w:szCs w:val="22"/>
        </w:rPr>
        <w:t xml:space="preserve"> </w:t>
      </w:r>
      <w:r w:rsidR="000825CD" w:rsidRPr="008D604B">
        <w:rPr>
          <w:szCs w:val="22"/>
        </w:rPr>
        <w:t>Eligible Recovery in</w:t>
      </w:r>
      <w:r w:rsidR="00A851AA">
        <w:rPr>
          <w:szCs w:val="22"/>
        </w:rPr>
        <w:t xml:space="preserve"> tariff period</w:t>
      </w:r>
      <w:r w:rsidR="000825CD" w:rsidRPr="008D604B">
        <w:rPr>
          <w:szCs w:val="22"/>
        </w:rPr>
        <w:t xml:space="preserve"> </w:t>
      </w:r>
      <w:r w:rsidR="00955552">
        <w:rPr>
          <w:szCs w:val="22"/>
        </w:rPr>
        <w:t>2012-13</w:t>
      </w:r>
      <w:r w:rsidR="00621D70">
        <w:rPr>
          <w:szCs w:val="22"/>
        </w:rPr>
        <w:t>.</w:t>
      </w:r>
      <w:r w:rsidR="006279F8" w:rsidRPr="006279F8">
        <w:rPr>
          <w:rStyle w:val="FootnoteReference"/>
        </w:rPr>
        <w:footnoteReference w:id="25"/>
      </w:r>
      <w:r w:rsidR="00621D70">
        <w:rPr>
          <w:szCs w:val="22"/>
        </w:rPr>
        <w:t xml:space="preserve">  The affected carriers also have negative </w:t>
      </w:r>
      <w:r w:rsidR="00803D41">
        <w:rPr>
          <w:szCs w:val="22"/>
        </w:rPr>
        <w:t>Eligible Recovery in the 2014-</w:t>
      </w:r>
      <w:r w:rsidR="00621D70">
        <w:rPr>
          <w:szCs w:val="22"/>
        </w:rPr>
        <w:t>15 tariff period</w:t>
      </w:r>
      <w:r w:rsidR="00630A5E" w:rsidRPr="008D604B">
        <w:rPr>
          <w:szCs w:val="22"/>
        </w:rPr>
        <w:t xml:space="preserve"> </w:t>
      </w:r>
      <w:r w:rsidR="0044167A" w:rsidRPr="008D604B">
        <w:rPr>
          <w:szCs w:val="22"/>
        </w:rPr>
        <w:t>before adjusting for any true-ups.</w:t>
      </w:r>
      <w:r w:rsidR="00901B49">
        <w:rPr>
          <w:rStyle w:val="FootnoteReference"/>
          <w:szCs w:val="22"/>
        </w:rPr>
        <w:footnoteReference w:id="26"/>
      </w:r>
      <w:r w:rsidR="0044167A" w:rsidRPr="008D604B">
        <w:rPr>
          <w:szCs w:val="22"/>
        </w:rPr>
        <w:t xml:space="preserve">  </w:t>
      </w:r>
      <w:r w:rsidR="002A29C2">
        <w:rPr>
          <w:szCs w:val="22"/>
        </w:rPr>
        <w:t>Absent a clarification of our rules</w:t>
      </w:r>
      <w:r w:rsidR="00803D41">
        <w:rPr>
          <w:szCs w:val="22"/>
        </w:rPr>
        <w:t xml:space="preserve">, these carriers would </w:t>
      </w:r>
      <w:r w:rsidR="002A29C2">
        <w:rPr>
          <w:szCs w:val="22"/>
        </w:rPr>
        <w:t xml:space="preserve">not receive the same level of revenues </w:t>
      </w:r>
      <w:r w:rsidR="00803D41">
        <w:rPr>
          <w:szCs w:val="22"/>
        </w:rPr>
        <w:t xml:space="preserve">they would have been entitled to if they had projected their demand accurately in the </w:t>
      </w:r>
      <w:r w:rsidR="005A5AAA">
        <w:rPr>
          <w:szCs w:val="22"/>
        </w:rPr>
        <w:t>20</w:t>
      </w:r>
      <w:r w:rsidR="00955552">
        <w:rPr>
          <w:szCs w:val="22"/>
        </w:rPr>
        <w:t>12-13</w:t>
      </w:r>
      <w:r w:rsidR="00803D41">
        <w:rPr>
          <w:szCs w:val="22"/>
        </w:rPr>
        <w:t xml:space="preserve"> tariff period.  This occurs because the positive amount of the 2012-13 under-recovery would be reduced by the negative 2014-15 Eligible Recovery amount before further Eligible Recovery would be possible in tariff period 2014-15.</w:t>
      </w:r>
      <w:r w:rsidR="005A5AAA">
        <w:rPr>
          <w:rStyle w:val="FootnoteReference"/>
          <w:szCs w:val="22"/>
        </w:rPr>
        <w:footnoteReference w:id="27"/>
      </w:r>
      <w:r w:rsidR="00803D41">
        <w:rPr>
          <w:szCs w:val="22"/>
        </w:rPr>
        <w:t xml:space="preserve">  </w:t>
      </w:r>
      <w:r w:rsidR="000D5AF5">
        <w:rPr>
          <w:szCs w:val="22"/>
        </w:rPr>
        <w:t>This would deprive such</w:t>
      </w:r>
      <w:r w:rsidR="008D604B" w:rsidRPr="008D604B">
        <w:rPr>
          <w:szCs w:val="22"/>
        </w:rPr>
        <w:t xml:space="preserve"> carrier</w:t>
      </w:r>
      <w:r w:rsidR="000D5AF5">
        <w:rPr>
          <w:szCs w:val="22"/>
        </w:rPr>
        <w:t>s</w:t>
      </w:r>
      <w:r w:rsidR="008D604B" w:rsidRPr="008D604B">
        <w:rPr>
          <w:szCs w:val="22"/>
        </w:rPr>
        <w:t xml:space="preserve"> of the </w:t>
      </w:r>
      <w:r w:rsidR="002E6A09">
        <w:rPr>
          <w:szCs w:val="22"/>
        </w:rPr>
        <w:t xml:space="preserve">cash </w:t>
      </w:r>
      <w:r w:rsidR="00003CCA">
        <w:rPr>
          <w:szCs w:val="22"/>
        </w:rPr>
        <w:t xml:space="preserve">flow </w:t>
      </w:r>
      <w:r w:rsidR="008D604B" w:rsidRPr="008D604B">
        <w:rPr>
          <w:szCs w:val="22"/>
        </w:rPr>
        <w:t xml:space="preserve">certainty the Commission sought to provide carriers through the recovery </w:t>
      </w:r>
      <w:r w:rsidR="00D64D3B" w:rsidRPr="008D604B">
        <w:rPr>
          <w:szCs w:val="22"/>
        </w:rPr>
        <w:t>mechanism</w:t>
      </w:r>
      <w:r w:rsidR="008D604B" w:rsidRPr="008D604B">
        <w:rPr>
          <w:szCs w:val="22"/>
        </w:rPr>
        <w:t xml:space="preserve">.  </w:t>
      </w:r>
      <w:r w:rsidR="002D2800">
        <w:rPr>
          <w:szCs w:val="22"/>
        </w:rPr>
        <w:t>As explained above, carriers that have negative Eligible Recovery were allowed to retain any revenues received through intercarrier revenue payments</w:t>
      </w:r>
      <w:r w:rsidR="00143522">
        <w:rPr>
          <w:szCs w:val="22"/>
        </w:rPr>
        <w:t>, consistent with</w:t>
      </w:r>
      <w:r w:rsidR="00B16272">
        <w:rPr>
          <w:szCs w:val="22"/>
        </w:rPr>
        <w:t xml:space="preserve"> the transition from strict rate</w:t>
      </w:r>
      <w:r w:rsidR="004E3FB2">
        <w:rPr>
          <w:szCs w:val="22"/>
        </w:rPr>
        <w:t>-</w:t>
      </w:r>
      <w:r w:rsidR="00B16272">
        <w:rPr>
          <w:szCs w:val="22"/>
        </w:rPr>
        <w:t>of</w:t>
      </w:r>
      <w:r w:rsidR="004E3FB2">
        <w:rPr>
          <w:szCs w:val="22"/>
        </w:rPr>
        <w:t>-</w:t>
      </w:r>
      <w:r w:rsidR="00B16272">
        <w:rPr>
          <w:szCs w:val="22"/>
        </w:rPr>
        <w:t>return regulation to incentive regulation</w:t>
      </w:r>
      <w:r w:rsidR="002D2800">
        <w:rPr>
          <w:szCs w:val="22"/>
        </w:rPr>
        <w:t>.</w:t>
      </w:r>
      <w:r w:rsidR="002F115C">
        <w:rPr>
          <w:rStyle w:val="FootnoteReference"/>
          <w:szCs w:val="22"/>
        </w:rPr>
        <w:footnoteReference w:id="28"/>
      </w:r>
      <w:r w:rsidR="002D2800">
        <w:rPr>
          <w:szCs w:val="22"/>
        </w:rPr>
        <w:t xml:space="preserve">  </w:t>
      </w:r>
      <w:r w:rsidR="008D604B">
        <w:t>We accordingly clarify that those carriers that were in this situation with respect to their</w:t>
      </w:r>
      <w:r w:rsidR="00A8694D">
        <w:t xml:space="preserve"> tariff period</w:t>
      </w:r>
      <w:r w:rsidR="008D604B">
        <w:t xml:space="preserve"> 2014-15 Eligible Recovery calculation may seek recovery</w:t>
      </w:r>
      <w:r w:rsidR="002D2800">
        <w:t xml:space="preserve"> of </w:t>
      </w:r>
      <w:r w:rsidR="00810A6F">
        <w:t>2012-13</w:t>
      </w:r>
      <w:r w:rsidR="002D2800">
        <w:t xml:space="preserve"> </w:t>
      </w:r>
      <w:r w:rsidR="00B570E1">
        <w:t xml:space="preserve">true-up </w:t>
      </w:r>
      <w:r w:rsidR="002D2800">
        <w:t>under</w:t>
      </w:r>
      <w:r w:rsidR="002F115C">
        <w:t>-</w:t>
      </w:r>
      <w:r w:rsidR="002D2800">
        <w:t>recovery</w:t>
      </w:r>
      <w:r w:rsidR="008D604B">
        <w:t xml:space="preserve"> from USAC</w:t>
      </w:r>
      <w:r w:rsidR="002D2800">
        <w:t xml:space="preserve"> and are not required to offset</w:t>
      </w:r>
      <w:r w:rsidR="00810A6F">
        <w:t xml:space="preserve"> the 2012-13</w:t>
      </w:r>
      <w:r w:rsidR="002D2800">
        <w:t xml:space="preserve"> amounts they </w:t>
      </w:r>
      <w:r w:rsidR="00810A6F">
        <w:t>c</w:t>
      </w:r>
      <w:r w:rsidR="002D2800">
        <w:t xml:space="preserve">ould have received in Eligible Recovery in </w:t>
      </w:r>
      <w:r w:rsidR="00810A6F">
        <w:t>the 2012-13 tariff period if they had projected demand correctly</w:t>
      </w:r>
      <w:r w:rsidR="002D2800">
        <w:t xml:space="preserve"> against their </w:t>
      </w:r>
      <w:r w:rsidR="00810A6F">
        <w:t>2014-15</w:t>
      </w:r>
      <w:r w:rsidR="002D2800">
        <w:t xml:space="preserve"> negative Eligible Recovery</w:t>
      </w:r>
      <w:r w:rsidR="008D604B">
        <w:t>.</w:t>
      </w:r>
      <w:r w:rsidR="00D8620E">
        <w:rPr>
          <w:rStyle w:val="FootnoteReference"/>
        </w:rPr>
        <w:footnoteReference w:id="29"/>
      </w:r>
      <w:r w:rsidR="008D604B">
        <w:t xml:space="preserve">  The </w:t>
      </w:r>
      <w:r w:rsidR="00476C0A">
        <w:t>carrier’s Eligible R</w:t>
      </w:r>
      <w:r w:rsidR="008D604B">
        <w:t>ecovery</w:t>
      </w:r>
      <w:r w:rsidR="000D6F9D">
        <w:t xml:space="preserve"> from USAC </w:t>
      </w:r>
      <w:r w:rsidR="008D604B">
        <w:t xml:space="preserve">shall be equal to the amount </w:t>
      </w:r>
      <w:r w:rsidR="006A0206">
        <w:t xml:space="preserve">of the 2012-13 </w:t>
      </w:r>
      <w:r w:rsidR="009338E1">
        <w:t xml:space="preserve">true-up that a carrier could have recovered through Eligible Recovery in the 2012-13 tariff period if it had accurately projected demand and which amount </w:t>
      </w:r>
      <w:r w:rsidR="006A0206">
        <w:t xml:space="preserve">a </w:t>
      </w:r>
      <w:r w:rsidR="008D604B">
        <w:t>carrier</w:t>
      </w:r>
      <w:r w:rsidR="00A8694D">
        <w:t xml:space="preserve"> </w:t>
      </w:r>
      <w:r w:rsidR="006A0206">
        <w:t xml:space="preserve">was </w:t>
      </w:r>
      <w:r w:rsidR="008D604B">
        <w:t xml:space="preserve">unable to recover </w:t>
      </w:r>
      <w:r w:rsidR="00B61AA6">
        <w:t xml:space="preserve">as Eligible Recovery </w:t>
      </w:r>
      <w:r w:rsidR="008D604B">
        <w:t xml:space="preserve">in </w:t>
      </w:r>
      <w:r w:rsidR="00A8694D">
        <w:t xml:space="preserve">tariff period </w:t>
      </w:r>
      <w:r w:rsidR="008D604B">
        <w:t>2014-15</w:t>
      </w:r>
      <w:r w:rsidR="006A0206">
        <w:t>.</w:t>
      </w:r>
      <w:r w:rsidR="00384CDA">
        <w:rPr>
          <w:rStyle w:val="FootnoteReference"/>
        </w:rPr>
        <w:footnoteReference w:id="30"/>
      </w:r>
      <w:r w:rsidR="006A0206">
        <w:t xml:space="preserve">  </w:t>
      </w:r>
      <w:r w:rsidR="005926A5">
        <w:t xml:space="preserve">Consistent with the rules we adopt in the Appendix, </w:t>
      </w:r>
      <w:r w:rsidR="00931EF7">
        <w:t>in the future</w:t>
      </w:r>
      <w:r w:rsidR="008D604B">
        <w:t xml:space="preserve"> a carrier in this situation</w:t>
      </w:r>
      <w:r w:rsidR="001237E1">
        <w:t xml:space="preserve"> </w:t>
      </w:r>
      <w:r w:rsidR="008D604B">
        <w:t xml:space="preserve">must </w:t>
      </w:r>
      <w:r w:rsidR="00102820">
        <w:t xml:space="preserve">treat the amount eligible for true-up as its Eligible Recovery for the </w:t>
      </w:r>
      <w:r w:rsidR="00D8620E">
        <w:t>true-up</w:t>
      </w:r>
      <w:r w:rsidR="00102820">
        <w:t xml:space="preserve"> tariff period and flow that amount through the normal procedures associated with the recovery mechanism.</w:t>
      </w:r>
      <w:r w:rsidR="000800C0">
        <w:rPr>
          <w:rStyle w:val="FootnoteReference"/>
        </w:rPr>
        <w:footnoteReference w:id="31"/>
      </w:r>
      <w:r w:rsidR="00102820">
        <w:t xml:space="preserve">  This is consistent with the priorities established for recovery of Eligible Recovery in the </w:t>
      </w:r>
      <w:r w:rsidR="00102820">
        <w:rPr>
          <w:i/>
        </w:rPr>
        <w:t>USF/ICC Transformation Order</w:t>
      </w:r>
      <w:r w:rsidR="00102820">
        <w:t>.</w:t>
      </w:r>
      <w:r w:rsidR="00102820">
        <w:rPr>
          <w:rStyle w:val="FootnoteReference"/>
        </w:rPr>
        <w:footnoteReference w:id="32"/>
      </w:r>
      <w:r w:rsidR="00102820">
        <w:rPr>
          <w:i/>
        </w:rPr>
        <w:t xml:space="preserve">  </w:t>
      </w:r>
    </w:p>
    <w:p w:rsidR="00724B5E" w:rsidRPr="00AF2117" w:rsidRDefault="00943420" w:rsidP="000C791D">
      <w:pPr>
        <w:pStyle w:val="ParaNum"/>
        <w:widowControl/>
        <w:rPr>
          <w:szCs w:val="22"/>
        </w:rPr>
      </w:pPr>
      <w:r>
        <w:rPr>
          <w:szCs w:val="22"/>
        </w:rPr>
        <w:t>Finally, we clarify how ARC rates are to be handled in making Eligible Recovery calculations in light of mid-year revisions that some carriers have made to their ARC rates</w:t>
      </w:r>
      <w:r w:rsidR="0098354E">
        <w:rPr>
          <w:szCs w:val="22"/>
        </w:rPr>
        <w:t xml:space="preserve"> after discovering errors</w:t>
      </w:r>
      <w:r w:rsidR="008B4EB5">
        <w:rPr>
          <w:szCs w:val="22"/>
        </w:rPr>
        <w:t xml:space="preserve"> in the rates that were charged.</w:t>
      </w:r>
      <w:r>
        <w:rPr>
          <w:szCs w:val="22"/>
        </w:rPr>
        <w:t xml:space="preserve">  T</w:t>
      </w:r>
      <w:r w:rsidR="00F704FE">
        <w:rPr>
          <w:szCs w:val="22"/>
        </w:rPr>
        <w:t>he Commission’s rules do not address</w:t>
      </w:r>
      <w:r w:rsidR="00D11B67">
        <w:rPr>
          <w:szCs w:val="22"/>
        </w:rPr>
        <w:t xml:space="preserve"> applicable procedures </w:t>
      </w:r>
      <w:r>
        <w:rPr>
          <w:szCs w:val="22"/>
        </w:rPr>
        <w:t xml:space="preserve">for addressing such rate changes.  </w:t>
      </w:r>
      <w:r w:rsidR="00F46E98">
        <w:rPr>
          <w:szCs w:val="22"/>
        </w:rPr>
        <w:t xml:space="preserve">If a </w:t>
      </w:r>
      <w:r w:rsidR="00D64D3B">
        <w:rPr>
          <w:szCs w:val="22"/>
        </w:rPr>
        <w:t>carrier</w:t>
      </w:r>
      <w:r w:rsidR="00F46E98">
        <w:rPr>
          <w:szCs w:val="22"/>
        </w:rPr>
        <w:t xml:space="preserve"> assessed an ARC rate that was too high for part of a tariff period, it must use this higher rate and the associated demand for that time period in calculating future true-ups for that tariff period.  Failure to account for the higher ARC rates for the period in question </w:t>
      </w:r>
      <w:r w:rsidR="000C791D">
        <w:rPr>
          <w:szCs w:val="22"/>
        </w:rPr>
        <w:t xml:space="preserve">would constitute impermissible </w:t>
      </w:r>
      <w:r w:rsidR="007A6EE8">
        <w:rPr>
          <w:szCs w:val="22"/>
        </w:rPr>
        <w:t>duplicative</w:t>
      </w:r>
      <w:r w:rsidR="000C791D">
        <w:rPr>
          <w:szCs w:val="22"/>
        </w:rPr>
        <w:t xml:space="preserve"> recovery</w:t>
      </w:r>
      <w:r w:rsidR="001237E1">
        <w:rPr>
          <w:szCs w:val="22"/>
        </w:rPr>
        <w:t xml:space="preserve"> because, without this treatment, the carrier would have received the ARC revenues without having to offset Eligible Recovery to reflect their receipt</w:t>
      </w:r>
      <w:r w:rsidR="000C791D">
        <w:rPr>
          <w:szCs w:val="22"/>
        </w:rPr>
        <w:t>.</w:t>
      </w:r>
      <w:r w:rsidR="004400DB">
        <w:rPr>
          <w:rStyle w:val="FootnoteReference"/>
          <w:szCs w:val="22"/>
        </w:rPr>
        <w:footnoteReference w:id="33"/>
      </w:r>
      <w:r w:rsidR="000C791D">
        <w:rPr>
          <w:szCs w:val="22"/>
        </w:rPr>
        <w:t xml:space="preserve">  </w:t>
      </w:r>
      <w:r w:rsidR="00CB7261">
        <w:rPr>
          <w:szCs w:val="22"/>
        </w:rPr>
        <w:t xml:space="preserve">We also </w:t>
      </w:r>
      <w:r w:rsidR="00500ECF">
        <w:rPr>
          <w:szCs w:val="22"/>
        </w:rPr>
        <w:t xml:space="preserve">take this opportunity to </w:t>
      </w:r>
      <w:r w:rsidR="00F46E98">
        <w:rPr>
          <w:szCs w:val="22"/>
        </w:rPr>
        <w:t xml:space="preserve">remind carriers </w:t>
      </w:r>
      <w:r w:rsidR="00CB7261">
        <w:rPr>
          <w:szCs w:val="22"/>
        </w:rPr>
        <w:t xml:space="preserve">that if </w:t>
      </w:r>
      <w:r w:rsidR="00F46E98">
        <w:rPr>
          <w:szCs w:val="22"/>
        </w:rPr>
        <w:t xml:space="preserve">they </w:t>
      </w:r>
      <w:r w:rsidR="00CB7261">
        <w:rPr>
          <w:szCs w:val="22"/>
        </w:rPr>
        <w:t xml:space="preserve">charge ARCs that are below the maximum rate </w:t>
      </w:r>
      <w:r w:rsidR="00F46E98">
        <w:rPr>
          <w:szCs w:val="22"/>
        </w:rPr>
        <w:t xml:space="preserve">that could have been charged, whether for the whole year or </w:t>
      </w:r>
      <w:r w:rsidR="000D5AF5">
        <w:rPr>
          <w:szCs w:val="22"/>
        </w:rPr>
        <w:t xml:space="preserve">for </w:t>
      </w:r>
      <w:r w:rsidR="00F46E98">
        <w:rPr>
          <w:szCs w:val="22"/>
        </w:rPr>
        <w:t xml:space="preserve">part of a year, </w:t>
      </w:r>
      <w:r w:rsidR="00CB7261">
        <w:rPr>
          <w:szCs w:val="22"/>
        </w:rPr>
        <w:t xml:space="preserve">they are </w:t>
      </w:r>
      <w:r w:rsidR="00F46E98">
        <w:rPr>
          <w:szCs w:val="22"/>
        </w:rPr>
        <w:t>required to impute</w:t>
      </w:r>
      <w:r w:rsidR="00CB7261">
        <w:rPr>
          <w:szCs w:val="22"/>
        </w:rPr>
        <w:t xml:space="preserve"> the maximum rate that they could have assessed</w:t>
      </w:r>
      <w:r w:rsidR="00E16B51">
        <w:rPr>
          <w:szCs w:val="22"/>
        </w:rPr>
        <w:t xml:space="preserve"> for</w:t>
      </w:r>
      <w:r w:rsidR="0098354E">
        <w:rPr>
          <w:szCs w:val="22"/>
        </w:rPr>
        <w:t xml:space="preserve"> </w:t>
      </w:r>
      <w:r w:rsidR="00E16B51">
        <w:rPr>
          <w:szCs w:val="22"/>
        </w:rPr>
        <w:t xml:space="preserve">purposes of determining the carrier’s </w:t>
      </w:r>
      <w:r w:rsidR="0042447D">
        <w:rPr>
          <w:szCs w:val="22"/>
        </w:rPr>
        <w:t>Eligible R</w:t>
      </w:r>
      <w:r w:rsidR="00E16B51">
        <w:rPr>
          <w:szCs w:val="22"/>
        </w:rPr>
        <w:t>ecovery</w:t>
      </w:r>
      <w:r w:rsidR="00CB7261">
        <w:rPr>
          <w:szCs w:val="22"/>
        </w:rPr>
        <w:t>.</w:t>
      </w:r>
      <w:r w:rsidR="00CB7261">
        <w:rPr>
          <w:rStyle w:val="FootnoteReference"/>
          <w:szCs w:val="22"/>
        </w:rPr>
        <w:footnoteReference w:id="34"/>
      </w:r>
      <w:r w:rsidR="00CB7261">
        <w:rPr>
          <w:szCs w:val="22"/>
        </w:rPr>
        <w:t xml:space="preserve">  </w:t>
      </w:r>
      <w:r w:rsidR="00D11B67">
        <w:rPr>
          <w:szCs w:val="22"/>
        </w:rPr>
        <w:t xml:space="preserve">These clarifications help to ensure that the recovery mechanism adopted for rate-of-return carriers in the </w:t>
      </w:r>
      <w:r w:rsidR="00D11B67">
        <w:rPr>
          <w:i/>
          <w:szCs w:val="22"/>
        </w:rPr>
        <w:t>USF/ICC Transformation Order</w:t>
      </w:r>
      <w:r w:rsidR="00D11B67">
        <w:rPr>
          <w:szCs w:val="22"/>
        </w:rPr>
        <w:t xml:space="preserve"> works as intended.</w:t>
      </w:r>
    </w:p>
    <w:p w:rsidR="001E00D5" w:rsidRPr="002728DB" w:rsidRDefault="00427057" w:rsidP="00333C44">
      <w:pPr>
        <w:pStyle w:val="Heading1"/>
        <w:widowControl/>
        <w:rPr>
          <w:rFonts w:ascii="Times New Roman" w:hAnsi="Times New Roman"/>
          <w:szCs w:val="22"/>
        </w:rPr>
      </w:pPr>
      <w:bookmarkStart w:id="20" w:name="_Toc361059378"/>
      <w:bookmarkStart w:id="21" w:name="_Toc361237740"/>
      <w:bookmarkStart w:id="22" w:name="_Toc361389643"/>
      <w:bookmarkStart w:id="23" w:name="_Toc362272885"/>
      <w:bookmarkStart w:id="24" w:name="_Toc362356909"/>
      <w:bookmarkStart w:id="25" w:name="_Toc362357183"/>
      <w:bookmarkStart w:id="26" w:name="_Toc363032932"/>
      <w:bookmarkStart w:id="27" w:name="_Toc363033267"/>
      <w:bookmarkStart w:id="28" w:name="_Toc363554667"/>
      <w:bookmarkStart w:id="29" w:name="_Toc364432496"/>
      <w:bookmarkStart w:id="30" w:name="_Toc364432600"/>
      <w:bookmarkStart w:id="31" w:name="_Toc364432727"/>
      <w:bookmarkStart w:id="32" w:name="_Toc364866675"/>
      <w:bookmarkStart w:id="33" w:name="_Toc366666149"/>
      <w:bookmarkStart w:id="34" w:name="_Toc367187743"/>
      <w:bookmarkStart w:id="35" w:name="_Toc367196532"/>
      <w:bookmarkStart w:id="36" w:name="_Toc365539880"/>
      <w:bookmarkStart w:id="37" w:name="_Toc370128128"/>
      <w:bookmarkStart w:id="38" w:name="_Toc370129300"/>
      <w:bookmarkStart w:id="39" w:name="_Toc373849369"/>
      <w:bookmarkStart w:id="40" w:name="_Toc373849427"/>
      <w:bookmarkStart w:id="41" w:name="_Toc379291447"/>
      <w:bookmarkStart w:id="42" w:name="_Toc381719688"/>
      <w:r w:rsidRPr="002728DB">
        <w:rPr>
          <w:rFonts w:ascii="Times New Roman" w:hAnsi="Times New Roman"/>
          <w:szCs w:val="22"/>
        </w:rPr>
        <w:t>procedural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9495C" w:rsidRPr="002728DB" w:rsidRDefault="0019495C" w:rsidP="00333C44">
      <w:pPr>
        <w:pStyle w:val="Heading2"/>
        <w:widowControl/>
        <w:rPr>
          <w:szCs w:val="22"/>
        </w:rPr>
      </w:pPr>
      <w:bookmarkStart w:id="43" w:name="_Toc373849370"/>
      <w:bookmarkStart w:id="44" w:name="_Toc373849428"/>
      <w:bookmarkStart w:id="45" w:name="_Toc379291448"/>
      <w:bookmarkStart w:id="46" w:name="_Toc381719689"/>
      <w:r w:rsidRPr="002728DB">
        <w:rPr>
          <w:szCs w:val="22"/>
        </w:rPr>
        <w:t>Paperwork Reduction Act</w:t>
      </w:r>
      <w:bookmarkEnd w:id="43"/>
      <w:bookmarkEnd w:id="44"/>
      <w:bookmarkEnd w:id="45"/>
      <w:bookmarkEnd w:id="46"/>
    </w:p>
    <w:p w:rsidR="0058098F" w:rsidRPr="002728DB" w:rsidRDefault="00E32857" w:rsidP="00333C44">
      <w:pPr>
        <w:pStyle w:val="ParaNum"/>
        <w:widowControl/>
        <w:rPr>
          <w:szCs w:val="22"/>
        </w:rPr>
      </w:pPr>
      <w:r w:rsidRPr="002728DB">
        <w:rPr>
          <w:szCs w:val="22"/>
        </w:rPr>
        <w:t xml:space="preserve">  </w:t>
      </w:r>
      <w:r w:rsidR="0058098F" w:rsidRPr="002728DB">
        <w:rPr>
          <w:szCs w:val="22"/>
        </w:rPr>
        <w:t>This document does not contain any new or modified information collection requirements subject to the Paperwork Reduction Act of 1995 (PRA).</w:t>
      </w:r>
      <w:r w:rsidR="0058098F" w:rsidRPr="002728DB">
        <w:rPr>
          <w:rStyle w:val="FootnoteReference"/>
          <w:sz w:val="22"/>
          <w:szCs w:val="22"/>
        </w:rPr>
        <w:footnoteReference w:id="35"/>
      </w:r>
      <w:r w:rsidR="005E7AB6">
        <w:rPr>
          <w:szCs w:val="22"/>
        </w:rPr>
        <w:t xml:space="preserve">  </w:t>
      </w:r>
      <w:r w:rsidR="006A7D50">
        <w:rPr>
          <w:szCs w:val="22"/>
        </w:rPr>
        <w:t>In addition, therefore</w:t>
      </w:r>
      <w:r w:rsidR="00CC78C2">
        <w:rPr>
          <w:szCs w:val="22"/>
        </w:rPr>
        <w:t>,</w:t>
      </w:r>
      <w:r w:rsidR="005E7AB6">
        <w:rPr>
          <w:szCs w:val="22"/>
        </w:rPr>
        <w:t xml:space="preserve"> it</w:t>
      </w:r>
      <w:r w:rsidR="00FF00E8" w:rsidRPr="002728DB">
        <w:rPr>
          <w:szCs w:val="22"/>
        </w:rPr>
        <w:t xml:space="preserve"> does not contain any new or modifie</w:t>
      </w:r>
      <w:r w:rsidR="005E7AB6">
        <w:rPr>
          <w:szCs w:val="22"/>
        </w:rPr>
        <w:t>d information collection burden for small business concerns</w:t>
      </w:r>
      <w:r w:rsidR="00FF00E8" w:rsidRPr="002728DB">
        <w:rPr>
          <w:szCs w:val="22"/>
        </w:rPr>
        <w:t xml:space="preserve"> with fewer than 25 employees, pursuant to the Small Business Paperwork Relief Act of 2002.</w:t>
      </w:r>
      <w:r w:rsidR="00FF00E8" w:rsidRPr="002728DB">
        <w:rPr>
          <w:rStyle w:val="FootnoteReference"/>
          <w:sz w:val="22"/>
          <w:szCs w:val="22"/>
        </w:rPr>
        <w:footnoteReference w:id="36"/>
      </w:r>
    </w:p>
    <w:p w:rsidR="00584726" w:rsidRPr="002728DB" w:rsidRDefault="0019495C" w:rsidP="00333C44">
      <w:pPr>
        <w:pStyle w:val="Heading2"/>
        <w:widowControl/>
        <w:rPr>
          <w:szCs w:val="22"/>
        </w:rPr>
      </w:pPr>
      <w:bookmarkStart w:id="47" w:name="_Toc373849371"/>
      <w:bookmarkStart w:id="48" w:name="_Toc373849429"/>
      <w:bookmarkStart w:id="49" w:name="_Toc379291449"/>
      <w:bookmarkStart w:id="50" w:name="_Toc381719690"/>
      <w:r w:rsidRPr="002728DB">
        <w:rPr>
          <w:szCs w:val="22"/>
        </w:rPr>
        <w:t>Final Regulatory Flexibility Act Certification</w:t>
      </w:r>
      <w:bookmarkEnd w:id="47"/>
      <w:bookmarkEnd w:id="48"/>
      <w:bookmarkEnd w:id="49"/>
      <w:bookmarkEnd w:id="50"/>
    </w:p>
    <w:p w:rsidR="00FF00E8" w:rsidRPr="002728DB" w:rsidRDefault="00E32857" w:rsidP="00333C44">
      <w:pPr>
        <w:pStyle w:val="ParaNum"/>
        <w:widowControl/>
        <w:rPr>
          <w:szCs w:val="22"/>
        </w:rPr>
      </w:pPr>
      <w:r w:rsidRPr="002728DB">
        <w:rPr>
          <w:szCs w:val="22"/>
        </w:rPr>
        <w:t xml:space="preserve">  </w:t>
      </w:r>
      <w:r w:rsidR="00ED0B16" w:rsidRPr="002728DB">
        <w:rPr>
          <w:szCs w:val="22"/>
        </w:rPr>
        <w:t>The Regulatory Flexibility Act of 1980, as amended (RFA),</w:t>
      </w:r>
      <w:r w:rsidR="00ED0B16" w:rsidRPr="002728DB">
        <w:rPr>
          <w:rStyle w:val="FootnoteReference"/>
          <w:sz w:val="22"/>
          <w:szCs w:val="22"/>
        </w:rPr>
        <w:footnoteReference w:id="37"/>
      </w:r>
      <w:r w:rsidR="00FA6A5A" w:rsidRPr="002728DB">
        <w:rPr>
          <w:szCs w:val="22"/>
        </w:rPr>
        <w:t xml:space="preserve"> requires </w:t>
      </w:r>
      <w:r w:rsidR="006A7D50">
        <w:rPr>
          <w:szCs w:val="22"/>
        </w:rPr>
        <w:t>that</w:t>
      </w:r>
      <w:r w:rsidR="00FA6A5A" w:rsidRPr="002728DB">
        <w:rPr>
          <w:szCs w:val="22"/>
        </w:rPr>
        <w:t xml:space="preserve"> a regulatory flexibility analysis </w:t>
      </w:r>
      <w:r w:rsidR="006A7D50">
        <w:rPr>
          <w:szCs w:val="22"/>
        </w:rPr>
        <w:t xml:space="preserve">be prepared </w:t>
      </w:r>
      <w:r w:rsidR="00FA6A5A" w:rsidRPr="002728DB">
        <w:rPr>
          <w:szCs w:val="22"/>
        </w:rPr>
        <w:t>for rulemaking proceedings, unless the agency certifies that “the rule will not have a significant economic impact on a subst</w:t>
      </w:r>
      <w:r w:rsidR="00614F45">
        <w:rPr>
          <w:szCs w:val="22"/>
        </w:rPr>
        <w:t>antial number of small entities.</w:t>
      </w:r>
      <w:r w:rsidR="00FA6A5A" w:rsidRPr="002728DB">
        <w:rPr>
          <w:szCs w:val="22"/>
        </w:rPr>
        <w:t>”</w:t>
      </w:r>
      <w:r w:rsidR="00FA6A5A" w:rsidRPr="002728DB">
        <w:rPr>
          <w:rStyle w:val="FootnoteReference"/>
          <w:sz w:val="22"/>
          <w:szCs w:val="22"/>
        </w:rPr>
        <w:footnoteReference w:id="38"/>
      </w:r>
      <w:r w:rsidR="00FA6A5A" w:rsidRPr="002728DB">
        <w:rPr>
          <w:szCs w:val="22"/>
        </w:rPr>
        <w:t xml:space="preserve">  The RFA generally defines “small entity” as having the same meaning as the terms “small business,” “small organization,” and “small governmental jurisdiction.”</w:t>
      </w:r>
      <w:r w:rsidR="00FA6A5A" w:rsidRPr="002728DB">
        <w:rPr>
          <w:rStyle w:val="FootnoteReference"/>
          <w:sz w:val="22"/>
          <w:szCs w:val="22"/>
        </w:rPr>
        <w:footnoteReference w:id="39"/>
      </w:r>
      <w:r w:rsidR="00FA6A5A" w:rsidRPr="002728DB">
        <w:rPr>
          <w:szCs w:val="22"/>
        </w:rPr>
        <w:t xml:space="preserve">  In addition, the term “small business” has the same meaning as the term “small business concern” under the Small Business Act.</w:t>
      </w:r>
      <w:r w:rsidR="00FA6A5A" w:rsidRPr="002728DB">
        <w:rPr>
          <w:rStyle w:val="FootnoteReference"/>
          <w:sz w:val="22"/>
          <w:szCs w:val="22"/>
        </w:rPr>
        <w:footnoteReference w:id="40"/>
      </w:r>
      <w:r w:rsidR="00920C59" w:rsidRPr="002728DB">
        <w:rPr>
          <w:szCs w:val="22"/>
        </w:rPr>
        <w:t xml:space="preserve">  A small business concern is one which: (1) is independently owned and operated; (2) is not dominant in its field of operation; and (3) satisfies any additional criteria established by the Small Business Administration (SBA).</w:t>
      </w:r>
      <w:r w:rsidR="00920C59" w:rsidRPr="002728DB">
        <w:rPr>
          <w:rStyle w:val="FootnoteReference"/>
          <w:sz w:val="22"/>
          <w:szCs w:val="22"/>
        </w:rPr>
        <w:footnoteReference w:id="41"/>
      </w:r>
    </w:p>
    <w:p w:rsidR="00920C59" w:rsidRPr="002728DB" w:rsidRDefault="00E32857" w:rsidP="00333C44">
      <w:pPr>
        <w:pStyle w:val="ParaNum"/>
        <w:widowControl/>
        <w:rPr>
          <w:szCs w:val="22"/>
        </w:rPr>
      </w:pPr>
      <w:r w:rsidRPr="002728DB">
        <w:rPr>
          <w:szCs w:val="22"/>
        </w:rPr>
        <w:t xml:space="preserve">  </w:t>
      </w:r>
      <w:r w:rsidR="00920C59" w:rsidRPr="002728DB">
        <w:rPr>
          <w:szCs w:val="22"/>
        </w:rPr>
        <w:t xml:space="preserve">We hereby certify that the rule revisions adopted in this Order will not have a significant economic impact on a substantial number of small entities.  This Order amends rules adopted in the </w:t>
      </w:r>
      <w:r w:rsidR="00920C59" w:rsidRPr="002728DB">
        <w:rPr>
          <w:i/>
          <w:szCs w:val="22"/>
        </w:rPr>
        <w:t xml:space="preserve">USF/ICC Transformation Order </w:t>
      </w:r>
      <w:r w:rsidR="00920C59" w:rsidRPr="002728DB">
        <w:rPr>
          <w:szCs w:val="22"/>
        </w:rPr>
        <w:t xml:space="preserve">by correcting conflicts between the new or revised rules and existing rules, as well as addressing omissions or oversights.  These revisions do not create any burdens, benefits, or requirements that were not addressed by the Final Regulatory Flexibility Analysis attached to the </w:t>
      </w:r>
      <w:r w:rsidR="00920C59" w:rsidRPr="002728DB">
        <w:rPr>
          <w:i/>
          <w:szCs w:val="22"/>
        </w:rPr>
        <w:t>USF/ICC Transformation Order</w:t>
      </w:r>
      <w:r w:rsidR="00920C59" w:rsidRPr="002728DB">
        <w:rPr>
          <w:szCs w:val="22"/>
        </w:rPr>
        <w:t>.</w:t>
      </w:r>
      <w:r w:rsidR="00920C59" w:rsidRPr="002728DB">
        <w:rPr>
          <w:rStyle w:val="FootnoteReference"/>
          <w:sz w:val="22"/>
          <w:szCs w:val="22"/>
        </w:rPr>
        <w:footnoteReference w:id="42"/>
      </w:r>
      <w:r w:rsidR="00B75F12" w:rsidRPr="002728DB">
        <w:rPr>
          <w:szCs w:val="22"/>
        </w:rPr>
        <w:t xml:space="preserve">  The Commission will send a copy of this Order, including a copy of this final certification, </w:t>
      </w:r>
      <w:r w:rsidR="00AD7039" w:rsidRPr="002728DB">
        <w:rPr>
          <w:szCs w:val="22"/>
        </w:rPr>
        <w:t>to the Chief Counsel for Advocacy of the SBA.</w:t>
      </w:r>
      <w:r w:rsidR="00AD7039" w:rsidRPr="002728DB">
        <w:rPr>
          <w:rStyle w:val="FootnoteReference"/>
          <w:sz w:val="22"/>
          <w:szCs w:val="22"/>
        </w:rPr>
        <w:footnoteReference w:id="43"/>
      </w:r>
      <w:r w:rsidR="00D97FB7" w:rsidRPr="002728DB">
        <w:rPr>
          <w:szCs w:val="22"/>
        </w:rPr>
        <w:t xml:space="preserve">  In addition, the Order (or a summary thereof) and certification will be published in the Federal Register.</w:t>
      </w:r>
      <w:r w:rsidR="00D97FB7" w:rsidRPr="002728DB">
        <w:rPr>
          <w:rStyle w:val="FootnoteReference"/>
          <w:sz w:val="22"/>
          <w:szCs w:val="22"/>
        </w:rPr>
        <w:footnoteReference w:id="44"/>
      </w:r>
      <w:r w:rsidR="00D97FB7" w:rsidRPr="002728DB">
        <w:rPr>
          <w:szCs w:val="22"/>
        </w:rPr>
        <w:t xml:space="preserve"> </w:t>
      </w:r>
    </w:p>
    <w:p w:rsidR="0019495C" w:rsidRPr="002728DB" w:rsidRDefault="0019495C" w:rsidP="00333C44">
      <w:pPr>
        <w:pStyle w:val="Heading2"/>
        <w:widowControl/>
        <w:rPr>
          <w:szCs w:val="22"/>
        </w:rPr>
      </w:pPr>
      <w:bookmarkStart w:id="51" w:name="_Toc373849372"/>
      <w:bookmarkStart w:id="52" w:name="_Toc373849430"/>
      <w:bookmarkStart w:id="53" w:name="_Toc379291450"/>
      <w:bookmarkStart w:id="54" w:name="_Toc381719691"/>
      <w:r w:rsidRPr="002728DB">
        <w:rPr>
          <w:szCs w:val="22"/>
        </w:rPr>
        <w:t>Congressional Review Act</w:t>
      </w:r>
      <w:bookmarkEnd w:id="51"/>
      <w:bookmarkEnd w:id="52"/>
      <w:bookmarkEnd w:id="53"/>
      <w:bookmarkEnd w:id="54"/>
    </w:p>
    <w:p w:rsidR="00D97FB7" w:rsidRPr="002728DB" w:rsidRDefault="00E32857" w:rsidP="00333C44">
      <w:pPr>
        <w:pStyle w:val="ParaNum"/>
        <w:widowControl/>
        <w:rPr>
          <w:szCs w:val="22"/>
        </w:rPr>
      </w:pPr>
      <w:r w:rsidRPr="002728DB">
        <w:rPr>
          <w:szCs w:val="22"/>
        </w:rPr>
        <w:t xml:space="preserve">  </w:t>
      </w:r>
      <w:r w:rsidR="00D97FB7" w:rsidRPr="002728DB">
        <w:rPr>
          <w:szCs w:val="22"/>
        </w:rPr>
        <w:t>The Commission will send a copy of this Order to Congress and the Government Accountability Office pursuant to the Congressional Review Act.</w:t>
      </w:r>
      <w:r w:rsidR="00D97FB7" w:rsidRPr="002728DB">
        <w:rPr>
          <w:rStyle w:val="FootnoteReference"/>
          <w:sz w:val="22"/>
          <w:szCs w:val="22"/>
        </w:rPr>
        <w:footnoteReference w:id="45"/>
      </w:r>
    </w:p>
    <w:p w:rsidR="0019495C" w:rsidRPr="002728DB" w:rsidRDefault="0019495C" w:rsidP="00333C44">
      <w:pPr>
        <w:pStyle w:val="Heading1"/>
        <w:widowControl/>
        <w:rPr>
          <w:rFonts w:ascii="Times New Roman" w:hAnsi="Times New Roman"/>
          <w:szCs w:val="22"/>
        </w:rPr>
      </w:pPr>
      <w:bookmarkStart w:id="55" w:name="_Toc373849373"/>
      <w:bookmarkStart w:id="56" w:name="_Toc373849431"/>
      <w:bookmarkStart w:id="57" w:name="_Toc379291451"/>
      <w:bookmarkStart w:id="58" w:name="_Toc381719692"/>
      <w:r w:rsidRPr="002728DB">
        <w:rPr>
          <w:rFonts w:ascii="Times New Roman" w:hAnsi="Times New Roman"/>
          <w:szCs w:val="22"/>
        </w:rPr>
        <w:t>Ordering clauses</w:t>
      </w:r>
      <w:bookmarkEnd w:id="55"/>
      <w:bookmarkEnd w:id="56"/>
      <w:bookmarkEnd w:id="57"/>
      <w:bookmarkEnd w:id="58"/>
    </w:p>
    <w:p w:rsidR="00272C1D" w:rsidRPr="002728DB" w:rsidRDefault="00E32857" w:rsidP="00333C44">
      <w:pPr>
        <w:pStyle w:val="ParaNum"/>
        <w:widowControl/>
        <w:rPr>
          <w:szCs w:val="22"/>
        </w:rPr>
      </w:pPr>
      <w:r w:rsidRPr="002728DB">
        <w:rPr>
          <w:szCs w:val="22"/>
        </w:rPr>
        <w:t xml:space="preserve">  </w:t>
      </w:r>
      <w:r w:rsidR="00272C1D" w:rsidRPr="002728DB">
        <w:rPr>
          <w:szCs w:val="22"/>
        </w:rPr>
        <w:t xml:space="preserve">Accordingly, IT IS ORDERED, </w:t>
      </w:r>
      <w:r w:rsidR="00AD054A" w:rsidRPr="002728DB">
        <w:rPr>
          <w:szCs w:val="22"/>
        </w:rPr>
        <w:t xml:space="preserve">that </w:t>
      </w:r>
      <w:r w:rsidR="00272C1D" w:rsidRPr="002728DB">
        <w:rPr>
          <w:szCs w:val="22"/>
        </w:rPr>
        <w:t>pursuant to the authority contained in sections 1, 2, 4(i), 201-203, 220, 251, 252, 254, 303(r) and 403 of the Communications Act of 1934, as amended, 47 U.S.C. §</w:t>
      </w:r>
      <w:r w:rsidR="007A741C" w:rsidRPr="002728DB">
        <w:rPr>
          <w:szCs w:val="22"/>
        </w:rPr>
        <w:t xml:space="preserve">§ 151, 152, 154(i), 201-203, 220, 251, 252, 254, 303(r) and 403, and pursuant to sections 0.91, 0.201(d), 0.291, 1.3, and 1.427 of the Commission’s rules, 47 C.F.R. §§ 0.91, 0.201(d), </w:t>
      </w:r>
      <w:r w:rsidR="00A83769" w:rsidRPr="002728DB">
        <w:rPr>
          <w:szCs w:val="22"/>
        </w:rPr>
        <w:t xml:space="preserve">0.291, </w:t>
      </w:r>
      <w:r w:rsidR="007A741C" w:rsidRPr="002728DB">
        <w:rPr>
          <w:szCs w:val="22"/>
        </w:rPr>
        <w:t>1.3 and 1.427</w:t>
      </w:r>
      <w:r w:rsidR="00AD054A" w:rsidRPr="002728DB">
        <w:rPr>
          <w:szCs w:val="22"/>
        </w:rPr>
        <w:t>,</w:t>
      </w:r>
      <w:r w:rsidR="007A741C" w:rsidRPr="002728DB">
        <w:rPr>
          <w:szCs w:val="22"/>
        </w:rPr>
        <w:t xml:space="preserve"> and pursuant to the delegation of authority in paragraph 1404 of 26 FCC Rcd 17663 (2011),</w:t>
      </w:r>
      <w:r w:rsidR="00AA779D" w:rsidRPr="002728DB">
        <w:rPr>
          <w:szCs w:val="22"/>
        </w:rPr>
        <w:t xml:space="preserve"> this Order</w:t>
      </w:r>
      <w:r w:rsidR="0042447D">
        <w:rPr>
          <w:szCs w:val="22"/>
        </w:rPr>
        <w:t xml:space="preserve"> and the rules revising Part 5</w:t>
      </w:r>
      <w:r w:rsidR="00F961A2">
        <w:rPr>
          <w:szCs w:val="22"/>
        </w:rPr>
        <w:t>1</w:t>
      </w:r>
      <w:r w:rsidR="0042447D">
        <w:rPr>
          <w:szCs w:val="22"/>
        </w:rPr>
        <w:t xml:space="preserve"> of the Commission’s rules as set forth in the Appendix are </w:t>
      </w:r>
      <w:r w:rsidR="00AA779D" w:rsidRPr="002728DB">
        <w:rPr>
          <w:szCs w:val="22"/>
        </w:rPr>
        <w:t xml:space="preserve"> ADOPTED, effective thirty (30) days after publication of the text or summary thereof in the Federal Register.</w:t>
      </w:r>
    </w:p>
    <w:p w:rsidR="00736272" w:rsidRDefault="00E32857" w:rsidP="00333C44">
      <w:pPr>
        <w:pStyle w:val="ParaNum"/>
        <w:keepNext/>
        <w:widowControl/>
        <w:rPr>
          <w:szCs w:val="22"/>
        </w:rPr>
      </w:pPr>
      <w:r w:rsidRPr="002728DB">
        <w:rPr>
          <w:szCs w:val="22"/>
        </w:rPr>
        <w:t xml:space="preserve">  </w:t>
      </w:r>
      <w:r w:rsidR="005B10AE" w:rsidRPr="002728DB">
        <w:rPr>
          <w:szCs w:val="22"/>
        </w:rPr>
        <w:t>IT IS FURTHER ORDERED that the Commission SHALL SEND a copy of this Order</w:t>
      </w:r>
      <w:r w:rsidR="00892F01" w:rsidRPr="002728DB">
        <w:rPr>
          <w:szCs w:val="22"/>
        </w:rPr>
        <w:t xml:space="preserve"> to Congress and the Government Accountability Office pursuant to the Congressional Review Act.</w:t>
      </w:r>
      <w:r w:rsidR="00892F01" w:rsidRPr="002728DB">
        <w:rPr>
          <w:rStyle w:val="FootnoteReference"/>
          <w:sz w:val="22"/>
          <w:szCs w:val="22"/>
        </w:rPr>
        <w:footnoteReference w:id="46"/>
      </w:r>
    </w:p>
    <w:p w:rsidR="00736272" w:rsidRDefault="00736272">
      <w:pPr>
        <w:widowControl/>
        <w:rPr>
          <w:szCs w:val="22"/>
        </w:rPr>
      </w:pPr>
      <w:r>
        <w:rPr>
          <w:szCs w:val="22"/>
        </w:rPr>
        <w:br w:type="page"/>
      </w:r>
    </w:p>
    <w:p w:rsidR="00892F01" w:rsidRPr="002728DB" w:rsidRDefault="00E32857" w:rsidP="00333C44">
      <w:pPr>
        <w:pStyle w:val="ParaNum"/>
        <w:widowControl/>
        <w:rPr>
          <w:szCs w:val="22"/>
        </w:rPr>
      </w:pPr>
      <w:r w:rsidRPr="002728DB">
        <w:rPr>
          <w:szCs w:val="22"/>
        </w:rPr>
        <w:t xml:space="preserve">  </w:t>
      </w:r>
      <w:r w:rsidR="00892F01" w:rsidRPr="002728DB">
        <w:rPr>
          <w:szCs w:val="22"/>
        </w:rPr>
        <w:t xml:space="preserve">IT IS FURTHER ORDERED that the Commission’s Consumer and Governmental Affairs Bureau, Reference Information Center, </w:t>
      </w:r>
      <w:r w:rsidR="00126B5D" w:rsidRPr="002728DB">
        <w:rPr>
          <w:szCs w:val="22"/>
        </w:rPr>
        <w:t>SHALL SEND a copy of this Order, including the Final Regulatory Flexibility Certification, to the Chief Counsel for Advocacy of the Small Business Administration.</w:t>
      </w:r>
    </w:p>
    <w:p w:rsidR="00272C1D" w:rsidRPr="002728DB" w:rsidRDefault="00272C1D" w:rsidP="00333C44">
      <w:pPr>
        <w:keepNext/>
        <w:widowControl/>
        <w:autoSpaceDE w:val="0"/>
        <w:autoSpaceDN w:val="0"/>
        <w:adjustRightInd w:val="0"/>
        <w:spacing w:after="120"/>
        <w:rPr>
          <w:szCs w:val="22"/>
        </w:rPr>
      </w:pPr>
    </w:p>
    <w:p w:rsidR="00A30E96" w:rsidRPr="002728DB" w:rsidRDefault="00A30E96" w:rsidP="00333C44">
      <w:pPr>
        <w:keepNext/>
        <w:keepLines/>
        <w:widowControl/>
        <w:spacing w:after="100" w:afterAutospacing="1"/>
        <w:ind w:left="2880" w:firstLine="720"/>
        <w:rPr>
          <w:szCs w:val="22"/>
        </w:rPr>
      </w:pPr>
      <w:r w:rsidRPr="002728DB">
        <w:rPr>
          <w:szCs w:val="22"/>
        </w:rPr>
        <w:t>FEDERAL COMMUNICATIONS COMMISSION</w:t>
      </w:r>
    </w:p>
    <w:p w:rsidR="00A30E96" w:rsidRPr="002728DB" w:rsidRDefault="00A30E96" w:rsidP="00333C44">
      <w:pPr>
        <w:keepNext/>
        <w:keepLines/>
        <w:widowControl/>
        <w:tabs>
          <w:tab w:val="left" w:pos="-1440"/>
          <w:tab w:val="left" w:pos="-720"/>
        </w:tabs>
        <w:suppressAutoHyphens/>
        <w:rPr>
          <w:szCs w:val="22"/>
        </w:rPr>
      </w:pPr>
      <w:r w:rsidRPr="002728DB">
        <w:rPr>
          <w:szCs w:val="22"/>
        </w:rPr>
        <w:tab/>
      </w:r>
      <w:r w:rsidRPr="002728DB">
        <w:rPr>
          <w:szCs w:val="22"/>
        </w:rPr>
        <w:tab/>
      </w:r>
      <w:r w:rsidRPr="002728DB">
        <w:rPr>
          <w:szCs w:val="22"/>
        </w:rPr>
        <w:tab/>
      </w:r>
      <w:r w:rsidRPr="002728DB">
        <w:rPr>
          <w:szCs w:val="22"/>
        </w:rPr>
        <w:tab/>
      </w:r>
      <w:r w:rsidRPr="002728DB">
        <w:rPr>
          <w:szCs w:val="22"/>
        </w:rPr>
        <w:tab/>
      </w:r>
    </w:p>
    <w:p w:rsidR="00277E20" w:rsidRPr="002728DB" w:rsidRDefault="00277E20" w:rsidP="00333C44">
      <w:pPr>
        <w:keepNext/>
        <w:keepLines/>
        <w:widowControl/>
        <w:tabs>
          <w:tab w:val="left" w:pos="-1440"/>
          <w:tab w:val="left" w:pos="-720"/>
        </w:tabs>
        <w:suppressAutoHyphens/>
        <w:rPr>
          <w:szCs w:val="22"/>
        </w:rPr>
      </w:pPr>
    </w:p>
    <w:p w:rsidR="00A30E96" w:rsidRPr="002728DB" w:rsidRDefault="00A30E96" w:rsidP="00333C44">
      <w:pPr>
        <w:keepNext/>
        <w:keepLines/>
        <w:widowControl/>
        <w:rPr>
          <w:szCs w:val="22"/>
        </w:rPr>
      </w:pPr>
      <w:r w:rsidRPr="002728DB">
        <w:rPr>
          <w:szCs w:val="22"/>
        </w:rPr>
        <w:tab/>
      </w:r>
      <w:r w:rsidRPr="002728DB">
        <w:rPr>
          <w:szCs w:val="22"/>
        </w:rPr>
        <w:tab/>
      </w:r>
      <w:r w:rsidRPr="002728DB">
        <w:rPr>
          <w:szCs w:val="22"/>
        </w:rPr>
        <w:tab/>
      </w:r>
      <w:r w:rsidRPr="002728DB">
        <w:rPr>
          <w:szCs w:val="22"/>
        </w:rPr>
        <w:tab/>
      </w:r>
      <w:r w:rsidRPr="002728DB">
        <w:rPr>
          <w:szCs w:val="22"/>
        </w:rPr>
        <w:tab/>
      </w:r>
      <w:r w:rsidR="008878B9">
        <w:rPr>
          <w:szCs w:val="22"/>
        </w:rPr>
        <w:t>Deena M. Shetler</w:t>
      </w:r>
    </w:p>
    <w:p w:rsidR="00746444" w:rsidRPr="002728DB" w:rsidRDefault="00A30E96" w:rsidP="00333C44">
      <w:pPr>
        <w:keepNext/>
        <w:keepLines/>
        <w:widowControl/>
        <w:rPr>
          <w:szCs w:val="22"/>
        </w:rPr>
      </w:pPr>
      <w:r w:rsidRPr="002728DB">
        <w:rPr>
          <w:szCs w:val="22"/>
        </w:rPr>
        <w:tab/>
      </w:r>
      <w:r w:rsidRPr="002728DB">
        <w:rPr>
          <w:szCs w:val="22"/>
        </w:rPr>
        <w:tab/>
      </w:r>
      <w:r w:rsidRPr="002728DB">
        <w:rPr>
          <w:szCs w:val="22"/>
        </w:rPr>
        <w:tab/>
      </w:r>
      <w:r w:rsidRPr="002728DB">
        <w:rPr>
          <w:szCs w:val="22"/>
        </w:rPr>
        <w:tab/>
      </w:r>
      <w:r w:rsidRPr="002728DB">
        <w:rPr>
          <w:szCs w:val="22"/>
        </w:rPr>
        <w:tab/>
      </w:r>
      <w:r w:rsidR="00CB6F13">
        <w:rPr>
          <w:szCs w:val="22"/>
        </w:rPr>
        <w:t>Associate</w:t>
      </w:r>
      <w:r w:rsidR="008878B9">
        <w:rPr>
          <w:szCs w:val="22"/>
        </w:rPr>
        <w:t xml:space="preserve"> </w:t>
      </w:r>
      <w:r w:rsidR="000F6451" w:rsidRPr="002728DB">
        <w:rPr>
          <w:szCs w:val="22"/>
        </w:rPr>
        <w:t>Chief, Wireline Competition Bureau</w:t>
      </w:r>
      <w:r w:rsidRPr="002728DB">
        <w:rPr>
          <w:szCs w:val="22"/>
        </w:rPr>
        <w:tab/>
      </w:r>
      <w:bookmarkEnd w:id="7"/>
      <w:bookmarkEnd w:id="8"/>
      <w:bookmarkEnd w:id="9"/>
      <w:bookmarkEnd w:id="19"/>
    </w:p>
    <w:p w:rsidR="00746444" w:rsidRPr="002728DB" w:rsidRDefault="00746444" w:rsidP="00333C44">
      <w:pPr>
        <w:widowControl/>
        <w:rPr>
          <w:szCs w:val="22"/>
        </w:rPr>
      </w:pPr>
      <w:r w:rsidRPr="002728DB">
        <w:rPr>
          <w:szCs w:val="22"/>
        </w:rPr>
        <w:br w:type="page"/>
      </w:r>
    </w:p>
    <w:p w:rsidR="00746444" w:rsidRPr="002728DB" w:rsidRDefault="00746444" w:rsidP="002A2297">
      <w:pPr>
        <w:widowControl/>
        <w:spacing w:after="120" w:line="276" w:lineRule="auto"/>
        <w:jc w:val="center"/>
        <w:rPr>
          <w:rFonts w:eastAsia="Calibri"/>
          <w:b/>
          <w:snapToGrid/>
          <w:kern w:val="0"/>
          <w:szCs w:val="22"/>
        </w:rPr>
      </w:pPr>
      <w:r w:rsidRPr="002728DB">
        <w:rPr>
          <w:rFonts w:eastAsia="Calibri"/>
          <w:b/>
          <w:snapToGrid/>
          <w:kern w:val="0"/>
          <w:szCs w:val="22"/>
        </w:rPr>
        <w:t>APPENDIX</w:t>
      </w:r>
      <w:r w:rsidR="00B1144C">
        <w:rPr>
          <w:rFonts w:eastAsia="Calibri"/>
          <w:b/>
          <w:snapToGrid/>
          <w:kern w:val="0"/>
          <w:szCs w:val="22"/>
        </w:rPr>
        <w:t xml:space="preserve">  </w:t>
      </w:r>
    </w:p>
    <w:p w:rsidR="00746444" w:rsidRPr="002728DB" w:rsidRDefault="00746444" w:rsidP="00333C44">
      <w:pPr>
        <w:widowControl/>
        <w:spacing w:after="200" w:line="276" w:lineRule="auto"/>
        <w:jc w:val="center"/>
        <w:rPr>
          <w:rFonts w:eastAsia="Calibri"/>
          <w:b/>
          <w:snapToGrid/>
          <w:kern w:val="0"/>
          <w:szCs w:val="22"/>
        </w:rPr>
      </w:pPr>
      <w:r w:rsidRPr="002728DB">
        <w:rPr>
          <w:rFonts w:eastAsia="Calibri"/>
          <w:b/>
          <w:snapToGrid/>
          <w:kern w:val="0"/>
          <w:szCs w:val="22"/>
        </w:rPr>
        <w:t>Final Rules</w:t>
      </w:r>
    </w:p>
    <w:p w:rsidR="00C77A71" w:rsidRPr="002728DB" w:rsidRDefault="00C77A71" w:rsidP="00C77A71">
      <w:pPr>
        <w:widowControl/>
        <w:spacing w:after="200" w:line="276" w:lineRule="auto"/>
        <w:rPr>
          <w:rFonts w:eastAsia="Calibri"/>
          <w:snapToGrid/>
          <w:kern w:val="0"/>
          <w:szCs w:val="22"/>
        </w:rPr>
      </w:pPr>
      <w:r w:rsidRPr="002728DB">
        <w:rPr>
          <w:rFonts w:eastAsia="Calibri"/>
          <w:snapToGrid/>
          <w:kern w:val="0"/>
          <w:szCs w:val="22"/>
        </w:rPr>
        <w:t>For the reasons discussed in the preamble, the Federal Communications Commission amends 47 C.F.R. part 51.</w:t>
      </w:r>
    </w:p>
    <w:p w:rsidR="00C77A71" w:rsidRPr="002728DB" w:rsidRDefault="00C77A71" w:rsidP="00C77A71">
      <w:pPr>
        <w:widowControl/>
        <w:spacing w:after="200" w:line="276" w:lineRule="auto"/>
        <w:rPr>
          <w:rFonts w:eastAsia="Calibri"/>
          <w:b/>
          <w:snapToGrid/>
          <w:kern w:val="0"/>
          <w:szCs w:val="22"/>
        </w:rPr>
      </w:pPr>
      <w:r w:rsidRPr="002728DB">
        <w:rPr>
          <w:rFonts w:eastAsia="Calibri"/>
          <w:b/>
          <w:snapToGrid/>
          <w:kern w:val="0"/>
          <w:szCs w:val="22"/>
        </w:rPr>
        <w:t>PART 51—INTERCONNECTION</w:t>
      </w:r>
    </w:p>
    <w:p w:rsidR="00C77A71" w:rsidRPr="002728DB" w:rsidRDefault="00C77A71" w:rsidP="00C77A71">
      <w:pPr>
        <w:widowControl/>
        <w:tabs>
          <w:tab w:val="left" w:pos="720"/>
          <w:tab w:val="left" w:pos="1440"/>
          <w:tab w:val="left" w:pos="2160"/>
          <w:tab w:val="left" w:pos="2880"/>
          <w:tab w:val="left" w:pos="3600"/>
          <w:tab w:val="left" w:pos="4320"/>
          <w:tab w:val="left" w:pos="5040"/>
          <w:tab w:val="left" w:pos="5760"/>
          <w:tab w:val="left" w:pos="6774"/>
        </w:tabs>
        <w:spacing w:after="200"/>
        <w:rPr>
          <w:rFonts w:eastAsia="Calibri"/>
          <w:snapToGrid/>
          <w:kern w:val="0"/>
          <w:szCs w:val="22"/>
        </w:rPr>
      </w:pPr>
      <w:r w:rsidRPr="002728DB">
        <w:rPr>
          <w:rFonts w:eastAsia="Calibri"/>
          <w:snapToGrid/>
          <w:kern w:val="0"/>
          <w:szCs w:val="22"/>
        </w:rPr>
        <w:t>1.</w:t>
      </w:r>
      <w:r w:rsidRPr="002728DB">
        <w:rPr>
          <w:rFonts w:eastAsia="Calibri"/>
          <w:snapToGrid/>
          <w:kern w:val="0"/>
          <w:szCs w:val="22"/>
        </w:rPr>
        <w:tab/>
        <w:t>The authority citation for part 51 continues to read as follows:</w:t>
      </w:r>
      <w:r w:rsidRPr="002728DB">
        <w:rPr>
          <w:rFonts w:eastAsia="Calibri"/>
          <w:snapToGrid/>
          <w:kern w:val="0"/>
          <w:szCs w:val="22"/>
        </w:rPr>
        <w:tab/>
      </w:r>
    </w:p>
    <w:p w:rsidR="00C77A71" w:rsidRPr="002728DB" w:rsidRDefault="00C77A71" w:rsidP="00C77A71">
      <w:pPr>
        <w:widowControl/>
        <w:spacing w:after="200"/>
        <w:rPr>
          <w:rFonts w:eastAsia="Calibri"/>
          <w:snapToGrid/>
          <w:kern w:val="0"/>
          <w:szCs w:val="22"/>
        </w:rPr>
      </w:pPr>
      <w:r w:rsidRPr="002728DB">
        <w:rPr>
          <w:rFonts w:eastAsia="Calibri"/>
          <w:snapToGrid/>
          <w:kern w:val="0"/>
          <w:szCs w:val="22"/>
        </w:rPr>
        <w:t>AUTHORITY: Sections 1–5, 7, 201–05, 207–09, 218, 220, 225–27, 251–54, 256, 271, 303(r), 332, 706 of the Telecommunication Act of 1996, 48 Stat. 1070, as amended, 1077; 47 U.S.C. 151–55, 157, 201–05, 207–09, 218, 220, 225–27, 251–54, 256, 271, 303(r), 332, 1302, 47 U.S.C. 157 note, unless otherwise noted.</w:t>
      </w:r>
    </w:p>
    <w:p w:rsidR="00C77A71" w:rsidRPr="002728DB" w:rsidRDefault="00C77A71" w:rsidP="00C77A71">
      <w:pPr>
        <w:widowControl/>
        <w:spacing w:after="200" w:line="276" w:lineRule="auto"/>
        <w:rPr>
          <w:rFonts w:eastAsia="Calibri"/>
          <w:snapToGrid/>
          <w:kern w:val="0"/>
          <w:szCs w:val="22"/>
        </w:rPr>
      </w:pPr>
      <w:r w:rsidRPr="002728DB">
        <w:rPr>
          <w:rFonts w:eastAsia="Calibri"/>
          <w:b/>
          <w:snapToGrid/>
          <w:kern w:val="0"/>
          <w:szCs w:val="22"/>
        </w:rPr>
        <w:t>Subpart J—Transitional Access Service Pricing</w:t>
      </w:r>
    </w:p>
    <w:p w:rsidR="00C77A71" w:rsidRPr="002728DB" w:rsidRDefault="00C77A71" w:rsidP="00C77A71">
      <w:pPr>
        <w:widowControl/>
        <w:rPr>
          <w:rFonts w:eastAsia="Calibri"/>
          <w:snapToGrid/>
          <w:kern w:val="0"/>
          <w:szCs w:val="22"/>
        </w:rPr>
      </w:pPr>
      <w:r>
        <w:rPr>
          <w:rFonts w:eastAsia="Calibri"/>
          <w:snapToGrid/>
          <w:kern w:val="0"/>
          <w:szCs w:val="22"/>
        </w:rPr>
        <w:t>2</w:t>
      </w:r>
      <w:r w:rsidRPr="002728DB">
        <w:rPr>
          <w:rFonts w:eastAsia="Calibri"/>
          <w:snapToGrid/>
          <w:kern w:val="0"/>
          <w:szCs w:val="22"/>
        </w:rPr>
        <w:t>.</w:t>
      </w:r>
      <w:r w:rsidRPr="002728DB">
        <w:rPr>
          <w:rFonts w:eastAsia="Calibri"/>
          <w:snapToGrid/>
          <w:kern w:val="0"/>
          <w:szCs w:val="22"/>
        </w:rPr>
        <w:tab/>
        <w:t xml:space="preserve">Amend 47 C.F.R. § 51.917 by </w:t>
      </w:r>
      <w:r>
        <w:rPr>
          <w:rFonts w:eastAsia="Calibri"/>
          <w:snapToGrid/>
          <w:kern w:val="0"/>
          <w:szCs w:val="22"/>
        </w:rPr>
        <w:t>adding (d)(1)(viii)(A)</w:t>
      </w:r>
      <w:r w:rsidR="00476C0A">
        <w:rPr>
          <w:rFonts w:eastAsia="Calibri"/>
          <w:snapToGrid/>
          <w:kern w:val="0"/>
          <w:szCs w:val="22"/>
        </w:rPr>
        <w:t xml:space="preserve"> and</w:t>
      </w:r>
      <w:r>
        <w:rPr>
          <w:rFonts w:eastAsia="Calibri"/>
          <w:snapToGrid/>
          <w:kern w:val="0"/>
          <w:szCs w:val="22"/>
        </w:rPr>
        <w:t xml:space="preserve"> (B)</w:t>
      </w:r>
      <w:r w:rsidRPr="002728DB">
        <w:rPr>
          <w:rFonts w:eastAsia="Calibri"/>
          <w:snapToGrid/>
          <w:kern w:val="0"/>
          <w:szCs w:val="22"/>
        </w:rPr>
        <w:t xml:space="preserve"> as follows:</w:t>
      </w:r>
    </w:p>
    <w:p w:rsidR="00C77A71" w:rsidRPr="002728DB" w:rsidRDefault="00C77A71" w:rsidP="00C77A71">
      <w:pPr>
        <w:widowControl/>
        <w:rPr>
          <w:rFonts w:eastAsia="Calibri"/>
          <w:snapToGrid/>
          <w:kern w:val="0"/>
          <w:szCs w:val="22"/>
        </w:rPr>
      </w:pPr>
    </w:p>
    <w:p w:rsidR="00C77A71" w:rsidRPr="002728DB" w:rsidRDefault="00C77A71" w:rsidP="000668D4">
      <w:pPr>
        <w:widowControl/>
        <w:spacing w:after="120"/>
        <w:rPr>
          <w:rFonts w:eastAsia="Calibri"/>
          <w:b/>
          <w:snapToGrid/>
          <w:kern w:val="0"/>
          <w:szCs w:val="22"/>
          <w:u w:val="single"/>
        </w:rPr>
      </w:pPr>
      <w:r w:rsidRPr="002728DB">
        <w:rPr>
          <w:rFonts w:eastAsia="Calibri"/>
          <w:b/>
          <w:snapToGrid/>
          <w:kern w:val="0"/>
          <w:szCs w:val="22"/>
          <w:u w:val="single"/>
        </w:rPr>
        <w:t>§ 51.917 Revenue recovery for rate-of-return carriers.</w:t>
      </w:r>
    </w:p>
    <w:p w:rsidR="00C77A71" w:rsidRPr="002728DB" w:rsidRDefault="00C77A71" w:rsidP="00C77A71">
      <w:pPr>
        <w:widowControl/>
        <w:rPr>
          <w:rFonts w:eastAsia="Calibri"/>
          <w:snapToGrid/>
          <w:kern w:val="0"/>
          <w:szCs w:val="22"/>
        </w:rPr>
      </w:pPr>
    </w:p>
    <w:p w:rsidR="00C77A71" w:rsidRPr="002728DB" w:rsidRDefault="00C77A71" w:rsidP="000668D4">
      <w:pPr>
        <w:widowControl/>
        <w:spacing w:after="120"/>
        <w:rPr>
          <w:rFonts w:eastAsia="Calibri"/>
          <w:snapToGrid/>
          <w:kern w:val="0"/>
          <w:szCs w:val="22"/>
        </w:rPr>
      </w:pPr>
      <w:r w:rsidRPr="002728DB">
        <w:rPr>
          <w:rFonts w:eastAsia="Calibri"/>
          <w:snapToGrid/>
          <w:kern w:val="0"/>
          <w:szCs w:val="22"/>
        </w:rPr>
        <w:t>* * * * *</w:t>
      </w:r>
    </w:p>
    <w:p w:rsidR="00C77A71" w:rsidRPr="002728DB" w:rsidRDefault="00C77A71" w:rsidP="00C77A71">
      <w:pPr>
        <w:widowControl/>
        <w:rPr>
          <w:rFonts w:eastAsia="Calibri"/>
          <w:snapToGrid/>
          <w:kern w:val="0"/>
          <w:szCs w:val="22"/>
        </w:rPr>
      </w:pPr>
      <w:r>
        <w:rPr>
          <w:rFonts w:eastAsia="Calibri"/>
          <w:snapToGrid/>
          <w:kern w:val="0"/>
          <w:szCs w:val="22"/>
        </w:rPr>
        <w:t>(d</w:t>
      </w:r>
      <w:r w:rsidRPr="002728DB">
        <w:rPr>
          <w:rFonts w:eastAsia="Calibri"/>
          <w:snapToGrid/>
          <w:kern w:val="0"/>
          <w:szCs w:val="22"/>
        </w:rPr>
        <w:t>) * * *</w:t>
      </w:r>
    </w:p>
    <w:p w:rsidR="00C77A71" w:rsidRPr="002728DB" w:rsidRDefault="00C77A71" w:rsidP="00C77A71">
      <w:pPr>
        <w:widowControl/>
        <w:rPr>
          <w:rFonts w:eastAsia="Calibri"/>
          <w:snapToGrid/>
          <w:kern w:val="0"/>
          <w:szCs w:val="22"/>
        </w:rPr>
      </w:pPr>
    </w:p>
    <w:p w:rsidR="00C77A71" w:rsidRPr="002728DB" w:rsidRDefault="00C77A71" w:rsidP="00C77A71">
      <w:pPr>
        <w:widowControl/>
        <w:spacing w:after="200"/>
        <w:ind w:left="720"/>
        <w:contextualSpacing/>
        <w:rPr>
          <w:rFonts w:eastAsia="Calibri"/>
          <w:snapToGrid/>
          <w:kern w:val="0"/>
          <w:szCs w:val="22"/>
        </w:rPr>
      </w:pPr>
      <w:r>
        <w:rPr>
          <w:rFonts w:eastAsia="Calibri"/>
          <w:snapToGrid/>
          <w:kern w:val="0"/>
          <w:szCs w:val="22"/>
        </w:rPr>
        <w:t>(1)</w:t>
      </w:r>
      <w:r w:rsidRPr="002728DB">
        <w:rPr>
          <w:rFonts w:eastAsia="Calibri"/>
          <w:snapToGrid/>
          <w:kern w:val="0"/>
          <w:szCs w:val="22"/>
        </w:rPr>
        <w:t>* * *</w:t>
      </w:r>
    </w:p>
    <w:p w:rsidR="00C77A71" w:rsidRPr="002728DB" w:rsidRDefault="00C77A71" w:rsidP="00C77A71">
      <w:pPr>
        <w:widowControl/>
        <w:rPr>
          <w:rFonts w:eastAsia="Calibri"/>
          <w:snapToGrid/>
          <w:kern w:val="0"/>
          <w:szCs w:val="22"/>
        </w:rPr>
      </w:pPr>
      <w:r w:rsidRPr="002728DB">
        <w:rPr>
          <w:rFonts w:eastAsia="Calibri"/>
          <w:snapToGrid/>
          <w:kern w:val="0"/>
          <w:szCs w:val="22"/>
        </w:rPr>
        <w:tab/>
      </w:r>
    </w:p>
    <w:p w:rsidR="00C77A71" w:rsidRDefault="00C77A71" w:rsidP="000668D4">
      <w:pPr>
        <w:widowControl/>
        <w:spacing w:after="120"/>
        <w:ind w:left="720" w:firstLine="720"/>
        <w:contextualSpacing/>
        <w:rPr>
          <w:rFonts w:eastAsia="Calibri"/>
          <w:snapToGrid/>
          <w:kern w:val="0"/>
          <w:szCs w:val="22"/>
        </w:rPr>
      </w:pPr>
      <w:r>
        <w:rPr>
          <w:rFonts w:eastAsia="Calibri"/>
          <w:snapToGrid/>
          <w:kern w:val="0"/>
          <w:szCs w:val="22"/>
        </w:rPr>
        <w:t>(viii)</w:t>
      </w:r>
      <w:r w:rsidRPr="002728DB">
        <w:rPr>
          <w:rFonts w:eastAsia="Calibri"/>
          <w:snapToGrid/>
          <w:kern w:val="0"/>
          <w:szCs w:val="22"/>
        </w:rPr>
        <w:t>* * *</w:t>
      </w:r>
    </w:p>
    <w:p w:rsidR="00C77A71" w:rsidRPr="002728DB" w:rsidRDefault="00C77A71" w:rsidP="00C77A71">
      <w:pPr>
        <w:widowControl/>
        <w:spacing w:after="200"/>
        <w:ind w:left="720" w:firstLine="720"/>
        <w:contextualSpacing/>
        <w:rPr>
          <w:rFonts w:eastAsia="Calibri"/>
          <w:snapToGrid/>
          <w:kern w:val="0"/>
          <w:szCs w:val="22"/>
        </w:rPr>
      </w:pPr>
    </w:p>
    <w:p w:rsidR="00C77A71" w:rsidRPr="00753C21" w:rsidRDefault="00C77A71" w:rsidP="00C77A71">
      <w:pPr>
        <w:pStyle w:val="ListParagraph"/>
        <w:widowControl/>
        <w:numPr>
          <w:ilvl w:val="0"/>
          <w:numId w:val="30"/>
        </w:numPr>
        <w:rPr>
          <w:szCs w:val="22"/>
        </w:rPr>
      </w:pPr>
      <w:r>
        <w:rPr>
          <w:rFonts w:eastAsia="Calibri"/>
          <w:snapToGrid/>
          <w:kern w:val="0"/>
          <w:szCs w:val="22"/>
        </w:rPr>
        <w:t>I</w:t>
      </w:r>
      <w:r w:rsidRPr="00753C21">
        <w:rPr>
          <w:rFonts w:eastAsia="Calibri"/>
          <w:snapToGrid/>
          <w:kern w:val="0"/>
          <w:szCs w:val="22"/>
        </w:rPr>
        <w:t xml:space="preserve">f a Rate-of-Return Carrier </w:t>
      </w:r>
      <w:r>
        <w:rPr>
          <w:rFonts w:eastAsia="Calibri"/>
          <w:snapToGrid/>
          <w:kern w:val="0"/>
          <w:szCs w:val="22"/>
        </w:rPr>
        <w:t xml:space="preserve">in any </w:t>
      </w:r>
      <w:r w:rsidR="00C74DE1">
        <w:rPr>
          <w:rFonts w:eastAsia="Calibri"/>
          <w:snapToGrid/>
          <w:kern w:val="0"/>
          <w:szCs w:val="22"/>
        </w:rPr>
        <w:t>tariff period</w:t>
      </w:r>
      <w:r>
        <w:rPr>
          <w:rFonts w:eastAsia="Calibri"/>
          <w:snapToGrid/>
          <w:kern w:val="0"/>
          <w:szCs w:val="22"/>
        </w:rPr>
        <w:t xml:space="preserve"> </w:t>
      </w:r>
      <w:r w:rsidRPr="00EE34E1">
        <w:rPr>
          <w:rFonts w:eastAsia="Calibri"/>
          <w:snapToGrid/>
          <w:kern w:val="0"/>
          <w:szCs w:val="22"/>
        </w:rPr>
        <w:t>underestimates its</w:t>
      </w:r>
      <w:r>
        <w:rPr>
          <w:rFonts w:eastAsia="Calibri"/>
          <w:snapToGrid/>
          <w:kern w:val="0"/>
          <w:szCs w:val="22"/>
        </w:rPr>
        <w:t xml:space="preserve"> projected demand for services covered by section 51.917(b)(6) or 51.915(b)(13), </w:t>
      </w:r>
      <w:r w:rsidR="00022088">
        <w:rPr>
          <w:rFonts w:eastAsia="Calibri"/>
          <w:snapToGrid/>
          <w:kern w:val="0"/>
          <w:szCs w:val="22"/>
        </w:rPr>
        <w:t xml:space="preserve">and thus has too much Eligible Recovery in that tariff period, </w:t>
      </w:r>
      <w:r w:rsidRPr="00753C21">
        <w:rPr>
          <w:rFonts w:eastAsia="Calibri"/>
          <w:snapToGrid/>
          <w:kern w:val="0"/>
          <w:szCs w:val="22"/>
        </w:rPr>
        <w:t>it shall refund the</w:t>
      </w:r>
      <w:r>
        <w:rPr>
          <w:rFonts w:eastAsia="Calibri"/>
          <w:snapToGrid/>
          <w:kern w:val="0"/>
          <w:szCs w:val="22"/>
        </w:rPr>
        <w:t xml:space="preserve"> amount</w:t>
      </w:r>
      <w:r w:rsidRPr="00753C21">
        <w:rPr>
          <w:rFonts w:eastAsia="Calibri"/>
          <w:snapToGrid/>
          <w:kern w:val="0"/>
          <w:szCs w:val="22"/>
        </w:rPr>
        <w:t xml:space="preserve"> </w:t>
      </w:r>
      <w:r>
        <w:rPr>
          <w:rFonts w:eastAsia="Calibri"/>
          <w:snapToGrid/>
          <w:kern w:val="0"/>
          <w:szCs w:val="22"/>
        </w:rPr>
        <w:t xml:space="preserve">of any such True-up Revenues or True-up Revenues for Access Recovery </w:t>
      </w:r>
      <w:r w:rsidRPr="00EE34E1">
        <w:rPr>
          <w:rFonts w:eastAsia="Calibri"/>
          <w:snapToGrid/>
          <w:kern w:val="0"/>
          <w:szCs w:val="22"/>
        </w:rPr>
        <w:t xml:space="preserve">Charge </w:t>
      </w:r>
      <w:r>
        <w:rPr>
          <w:rFonts w:eastAsia="Calibri"/>
          <w:snapToGrid/>
          <w:kern w:val="0"/>
          <w:szCs w:val="22"/>
        </w:rPr>
        <w:t xml:space="preserve">that are not offset by the Rate-of-Return Carrier’s Eligible Recovery (calculated before including the true-up amounts in the Eligible Recovery calculation) in the </w:t>
      </w:r>
      <w:r w:rsidRPr="00C74DE1">
        <w:rPr>
          <w:rFonts w:eastAsia="Calibri"/>
          <w:snapToGrid/>
          <w:kern w:val="0"/>
          <w:szCs w:val="22"/>
        </w:rPr>
        <w:t xml:space="preserve">true-up </w:t>
      </w:r>
      <w:r w:rsidR="00C74DE1">
        <w:rPr>
          <w:rFonts w:eastAsia="Calibri"/>
          <w:snapToGrid/>
          <w:kern w:val="0"/>
          <w:szCs w:val="22"/>
        </w:rPr>
        <w:t>tariff period</w:t>
      </w:r>
      <w:r>
        <w:rPr>
          <w:rFonts w:eastAsia="Calibri"/>
          <w:snapToGrid/>
          <w:kern w:val="0"/>
          <w:szCs w:val="22"/>
        </w:rPr>
        <w:t xml:space="preserve"> to the </w:t>
      </w:r>
      <w:r w:rsidRPr="00753C21">
        <w:rPr>
          <w:rFonts w:eastAsia="Calibri"/>
          <w:snapToGrid/>
          <w:kern w:val="0"/>
          <w:szCs w:val="22"/>
        </w:rPr>
        <w:t xml:space="preserve">Administrator by August 1 following the date of the Rate-of-Return Carrier’s annual access tariff filing.  </w:t>
      </w:r>
    </w:p>
    <w:p w:rsidR="00C77A71" w:rsidRPr="00FC020E" w:rsidRDefault="00C77A71" w:rsidP="00C77A71">
      <w:pPr>
        <w:pStyle w:val="ListParagraph"/>
        <w:widowControl/>
        <w:ind w:left="2520"/>
        <w:rPr>
          <w:szCs w:val="22"/>
        </w:rPr>
      </w:pPr>
    </w:p>
    <w:p w:rsidR="00C77A71" w:rsidRPr="00591C74" w:rsidRDefault="00C77A71" w:rsidP="000668D4">
      <w:pPr>
        <w:pStyle w:val="ListParagraph"/>
        <w:keepNext/>
        <w:widowControl/>
        <w:numPr>
          <w:ilvl w:val="0"/>
          <w:numId w:val="30"/>
        </w:numPr>
        <w:rPr>
          <w:szCs w:val="22"/>
        </w:rPr>
      </w:pPr>
      <w:r>
        <w:rPr>
          <w:rFonts w:eastAsia="Calibri"/>
          <w:kern w:val="0"/>
          <w:szCs w:val="22"/>
        </w:rPr>
        <w:t xml:space="preserve">If a Rate-of-Return Carrier in any </w:t>
      </w:r>
      <w:r w:rsidR="00C74DE1">
        <w:rPr>
          <w:rFonts w:eastAsia="Calibri"/>
          <w:kern w:val="0"/>
          <w:szCs w:val="22"/>
        </w:rPr>
        <w:t xml:space="preserve">tariff period </w:t>
      </w:r>
      <w:r w:rsidR="00022088">
        <w:rPr>
          <w:rFonts w:eastAsia="Calibri"/>
          <w:kern w:val="0"/>
          <w:szCs w:val="22"/>
        </w:rPr>
        <w:t xml:space="preserve">receives too little Eligible Recovery because it </w:t>
      </w:r>
      <w:r w:rsidRPr="00EE34E1">
        <w:rPr>
          <w:rFonts w:eastAsia="Calibri"/>
          <w:kern w:val="0"/>
          <w:szCs w:val="22"/>
        </w:rPr>
        <w:t>overestimates</w:t>
      </w:r>
      <w:r>
        <w:rPr>
          <w:rFonts w:eastAsia="Calibri"/>
          <w:kern w:val="0"/>
          <w:szCs w:val="22"/>
        </w:rPr>
        <w:t xml:space="preserve"> its projected demand for services covered by section 51.917(b)(6) or 51.915(b)(13), which True-up Revenues and True-up Revenues for Access Recovery Charge it cannot recover in the true-up tariff period because the Rate-of-Return Carrier ha</w:t>
      </w:r>
      <w:r w:rsidR="00022088">
        <w:rPr>
          <w:rFonts w:eastAsia="Calibri"/>
          <w:kern w:val="0"/>
          <w:szCs w:val="22"/>
        </w:rPr>
        <w:t>s</w:t>
      </w:r>
      <w:r>
        <w:rPr>
          <w:rFonts w:eastAsia="Calibri"/>
          <w:kern w:val="0"/>
          <w:szCs w:val="22"/>
        </w:rPr>
        <w:t xml:space="preserve"> a negative Eligible Recovery in the true-up tariff period (before calculating the true-up amount in the Eligible Recovery calculation), the Rate-of-Return Carrier</w:t>
      </w:r>
      <w:r w:rsidR="00022088">
        <w:rPr>
          <w:rFonts w:eastAsia="Calibri"/>
          <w:kern w:val="0"/>
          <w:szCs w:val="22"/>
        </w:rPr>
        <w:t xml:space="preserve"> shall treat the unrecoverable true-up</w:t>
      </w:r>
      <w:r w:rsidR="00476C0A">
        <w:rPr>
          <w:rFonts w:eastAsia="Calibri"/>
          <w:kern w:val="0"/>
          <w:szCs w:val="22"/>
        </w:rPr>
        <w:t xml:space="preserve"> amount as </w:t>
      </w:r>
      <w:r w:rsidR="00022088">
        <w:rPr>
          <w:rFonts w:eastAsia="Calibri"/>
          <w:kern w:val="0"/>
          <w:szCs w:val="22"/>
        </w:rPr>
        <w:t>its Eligible Recovery for</w:t>
      </w:r>
      <w:r w:rsidR="00476C0A">
        <w:rPr>
          <w:rFonts w:eastAsia="Calibri"/>
          <w:kern w:val="0"/>
          <w:szCs w:val="22"/>
        </w:rPr>
        <w:t xml:space="preserve"> the true-up </w:t>
      </w:r>
      <w:r w:rsidR="00C74DE1">
        <w:rPr>
          <w:rFonts w:eastAsia="Calibri"/>
          <w:kern w:val="0"/>
          <w:szCs w:val="22"/>
        </w:rPr>
        <w:t xml:space="preserve">tariff </w:t>
      </w:r>
      <w:r w:rsidR="00476C0A">
        <w:rPr>
          <w:rFonts w:eastAsia="Calibri"/>
          <w:kern w:val="0"/>
          <w:szCs w:val="22"/>
        </w:rPr>
        <w:t>period.</w:t>
      </w:r>
      <w:r>
        <w:rPr>
          <w:rFonts w:eastAsia="Calibri"/>
          <w:kern w:val="0"/>
          <w:szCs w:val="22"/>
        </w:rPr>
        <w:t xml:space="preserve">  </w:t>
      </w:r>
    </w:p>
    <w:p w:rsidR="00C77A71" w:rsidRPr="00591C74" w:rsidRDefault="00C77A71" w:rsidP="00C77A71">
      <w:pPr>
        <w:pStyle w:val="ListParagraph"/>
        <w:rPr>
          <w:rFonts w:eastAsia="Calibri"/>
          <w:kern w:val="0"/>
          <w:szCs w:val="22"/>
        </w:rPr>
      </w:pPr>
    </w:p>
    <w:p w:rsidR="00F5079F" w:rsidRPr="002728DB" w:rsidRDefault="000668D4" w:rsidP="00D9320D">
      <w:pPr>
        <w:widowControl/>
        <w:rPr>
          <w:rFonts w:eastAsia="Calibri"/>
          <w:snapToGrid/>
          <w:kern w:val="0"/>
          <w:szCs w:val="22"/>
        </w:rPr>
      </w:pPr>
      <w:r w:rsidRPr="002728DB">
        <w:rPr>
          <w:rFonts w:eastAsia="Calibri"/>
          <w:snapToGrid/>
          <w:kern w:val="0"/>
          <w:szCs w:val="22"/>
        </w:rPr>
        <w:t>* * * * *</w:t>
      </w:r>
    </w:p>
    <w:sectPr w:rsidR="00F5079F" w:rsidRPr="002728DB" w:rsidSect="00CC1EC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50" w:rsidRDefault="00C61950">
      <w:pPr>
        <w:spacing w:line="20" w:lineRule="exact"/>
      </w:pPr>
    </w:p>
  </w:endnote>
  <w:endnote w:type="continuationSeparator" w:id="0">
    <w:p w:rsidR="00C61950" w:rsidRDefault="00C61950">
      <w:r>
        <w:t xml:space="preserve"> </w:t>
      </w:r>
    </w:p>
  </w:endnote>
  <w:endnote w:type="continuationNotice" w:id="1">
    <w:p w:rsidR="00C61950" w:rsidRDefault="00C619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A" w:rsidRDefault="009D7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00560"/>
      <w:docPartObj>
        <w:docPartGallery w:val="Page Numbers (Bottom of Page)"/>
        <w:docPartUnique/>
      </w:docPartObj>
    </w:sdtPr>
    <w:sdtEndPr>
      <w:rPr>
        <w:noProof/>
      </w:rPr>
    </w:sdtEndPr>
    <w:sdtContent>
      <w:p w:rsidR="00F93A89" w:rsidRPr="003567F1" w:rsidRDefault="00F93A89">
        <w:pPr>
          <w:pStyle w:val="Footer"/>
          <w:jc w:val="center"/>
        </w:pPr>
        <w:r w:rsidRPr="003567F1">
          <w:fldChar w:fldCharType="begin"/>
        </w:r>
        <w:r w:rsidRPr="003567F1">
          <w:instrText xml:space="preserve"> PAGE   \* MERGEFORMAT </w:instrText>
        </w:r>
        <w:r w:rsidRPr="003567F1">
          <w:fldChar w:fldCharType="separate"/>
        </w:r>
        <w:r w:rsidR="00336333">
          <w:rPr>
            <w:noProof/>
          </w:rPr>
          <w:t>2</w:t>
        </w:r>
        <w:r w:rsidRPr="003567F1">
          <w:rPr>
            <w:noProof/>
          </w:rPr>
          <w:fldChar w:fldCharType="end"/>
        </w:r>
      </w:p>
    </w:sdtContent>
  </w:sdt>
  <w:p w:rsidR="00F93A89" w:rsidRDefault="00F93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89" w:rsidRDefault="00F93A89" w:rsidP="00B566B4">
    <w:pPr>
      <w:pStyle w:val="Footer"/>
      <w:spacing w:before="160"/>
      <w:jc w:val="center"/>
    </w:pPr>
  </w:p>
  <w:p w:rsidR="00F93A89" w:rsidRDefault="00F9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50" w:rsidRPr="00587145" w:rsidRDefault="00C61950" w:rsidP="00587145">
      <w:pPr>
        <w:spacing w:before="120"/>
        <w:rPr>
          <w:sz w:val="20"/>
        </w:rPr>
      </w:pPr>
      <w:r w:rsidRPr="00587145">
        <w:rPr>
          <w:sz w:val="20"/>
        </w:rPr>
        <w:separator/>
      </w:r>
    </w:p>
  </w:footnote>
  <w:footnote w:type="continuationSeparator" w:id="0">
    <w:p w:rsidR="00C61950" w:rsidRDefault="00C61950" w:rsidP="00587145">
      <w:pPr>
        <w:spacing w:before="120"/>
        <w:rPr>
          <w:sz w:val="20"/>
        </w:rPr>
      </w:pPr>
      <w:r>
        <w:rPr>
          <w:sz w:val="20"/>
        </w:rPr>
        <w:t>(Continued from previous page)</w:t>
      </w:r>
      <w:r>
        <w:rPr>
          <w:sz w:val="20"/>
        </w:rPr>
        <w:separator/>
      </w:r>
    </w:p>
  </w:footnote>
  <w:footnote w:type="continuationNotice" w:id="1">
    <w:p w:rsidR="00C61950" w:rsidRDefault="00C61950" w:rsidP="00587145">
      <w:pPr>
        <w:jc w:val="right"/>
        <w:rPr>
          <w:sz w:val="20"/>
        </w:rPr>
      </w:pPr>
      <w:r>
        <w:rPr>
          <w:sz w:val="20"/>
        </w:rPr>
        <w:t>(continued . . .)</w:t>
      </w:r>
    </w:p>
  </w:footnote>
  <w:footnote w:id="2">
    <w:p w:rsidR="00F93A89" w:rsidRPr="00D04E93" w:rsidRDefault="00F93A89" w:rsidP="00571AF9">
      <w:pPr>
        <w:pStyle w:val="FootnoteText"/>
      </w:pPr>
      <w:r w:rsidRPr="00D04E93">
        <w:rPr>
          <w:rStyle w:val="FootnoteReference"/>
        </w:rPr>
        <w:footnoteRef/>
      </w:r>
      <w:r w:rsidRPr="00D04E93">
        <w:t xml:space="preserve"> </w:t>
      </w:r>
      <w:r>
        <w:rPr>
          <w:i/>
          <w:iCs/>
        </w:rPr>
        <w:t xml:space="preserve">Connect America Fund </w:t>
      </w:r>
      <w:r w:rsidRPr="00D04E93">
        <w:rPr>
          <w:i/>
          <w:iCs/>
        </w:rPr>
        <w:t>et al.</w:t>
      </w:r>
      <w:r w:rsidRPr="00D04E93">
        <w:rPr>
          <w:iCs/>
        </w:rPr>
        <w:t xml:space="preserve">, </w:t>
      </w:r>
      <w:r w:rsidRPr="00D04E93">
        <w:t xml:space="preserve">WC Docket No. 10-90 </w:t>
      </w:r>
      <w:r w:rsidRPr="00DF1E92">
        <w:t>et al.,</w:t>
      </w:r>
      <w:r w:rsidR="00063EA8">
        <w:t xml:space="preserve"> </w:t>
      </w:r>
      <w:r w:rsidRPr="00D04E93">
        <w:t>Report and Order and Further Notice of Proposed Rulemaking, 26 FCC Rcd 17663, 18149, para. 1404 (2011) (</w:t>
      </w:r>
      <w:r w:rsidRPr="00D04E93">
        <w:rPr>
          <w:i/>
          <w:iCs/>
        </w:rPr>
        <w:t>USF/ICC Transformation Order</w:t>
      </w:r>
      <w:r>
        <w:rPr>
          <w:iCs/>
        </w:rPr>
        <w:t>)</w:t>
      </w:r>
      <w:r>
        <w:t xml:space="preserve">, </w:t>
      </w:r>
      <w:r w:rsidRPr="001462CB">
        <w:rPr>
          <w:i/>
        </w:rPr>
        <w:t>pet</w:t>
      </w:r>
      <w:r>
        <w:rPr>
          <w:i/>
        </w:rPr>
        <w:t>s</w:t>
      </w:r>
      <w:r w:rsidRPr="001462CB">
        <w:rPr>
          <w:i/>
        </w:rPr>
        <w:t xml:space="preserve">. for review denied sub nom. </w:t>
      </w:r>
      <w:r>
        <w:rPr>
          <w:i/>
        </w:rPr>
        <w:t xml:space="preserve"> </w:t>
      </w:r>
      <w:r w:rsidRPr="00661F1A">
        <w:rPr>
          <w:i/>
        </w:rPr>
        <w:t>In re FCC 11-161</w:t>
      </w:r>
      <w:r w:rsidRPr="00E95DC2">
        <w:t>, 753 F.3d 1015 (10th Cir. 2014</w:t>
      </w:r>
      <w:r>
        <w:t>).</w:t>
      </w:r>
    </w:p>
  </w:footnote>
  <w:footnote w:id="3">
    <w:p w:rsidR="00C80CD5" w:rsidRPr="002607A7" w:rsidRDefault="00C80CD5" w:rsidP="00C80CD5">
      <w:pPr>
        <w:spacing w:after="120"/>
        <w:rPr>
          <w:sz w:val="20"/>
        </w:rPr>
      </w:pPr>
      <w:r w:rsidRPr="002607A7">
        <w:rPr>
          <w:rStyle w:val="FootnoteReference"/>
        </w:rPr>
        <w:footnoteRef/>
      </w:r>
      <w:r w:rsidRPr="002607A7">
        <w:rPr>
          <w:sz w:val="20"/>
        </w:rPr>
        <w:t xml:space="preserve"> </w:t>
      </w:r>
      <w:r w:rsidRPr="002607A7">
        <w:rPr>
          <w:i/>
          <w:sz w:val="20"/>
        </w:rPr>
        <w:t>See</w:t>
      </w:r>
      <w:r w:rsidRPr="002607A7">
        <w:rPr>
          <w:sz w:val="20"/>
        </w:rPr>
        <w:t xml:space="preserve"> 47 C.F.R. § 51.917(d)(1)(iii).   </w:t>
      </w:r>
    </w:p>
  </w:footnote>
  <w:footnote w:id="4">
    <w:p w:rsidR="00F93A89" w:rsidRDefault="00F93A89">
      <w:pPr>
        <w:pStyle w:val="FootnoteText"/>
      </w:pPr>
      <w:r>
        <w:rPr>
          <w:rStyle w:val="FootnoteReference"/>
        </w:rPr>
        <w:footnoteRef/>
      </w:r>
      <w:r>
        <w:t xml:space="preserve"> </w:t>
      </w:r>
      <w:r>
        <w:rPr>
          <w:i/>
        </w:rPr>
        <w:t>See</w:t>
      </w:r>
      <w:r>
        <w:t xml:space="preserve"> Appendix at 47</w:t>
      </w:r>
      <w:r w:rsidR="00336333">
        <w:t xml:space="preserve"> C.F.R. § 51.917(d)(1)(viii)(A-B</w:t>
      </w:r>
      <w:r>
        <w:t>).  The clarifications made herein apply to all rate-of-return carriers, whether they are National Exchange Carrier Association (NECA) pool participants or not.</w:t>
      </w:r>
    </w:p>
  </w:footnote>
  <w:footnote w:id="5">
    <w:p w:rsidR="00F93A89" w:rsidRPr="00D04E93" w:rsidRDefault="00F93A89">
      <w:pPr>
        <w:pStyle w:val="FootnoteText"/>
      </w:pPr>
      <w:r w:rsidRPr="00D04E93">
        <w:rPr>
          <w:rStyle w:val="FootnoteReference"/>
        </w:rPr>
        <w:footnoteRef/>
      </w:r>
      <w:r w:rsidRPr="00D04E93">
        <w:t xml:space="preserve"> </w:t>
      </w:r>
      <w:r w:rsidRPr="00D04E93">
        <w:rPr>
          <w:i/>
          <w:iCs/>
        </w:rPr>
        <w:t>USF/ICC Transformation Order</w:t>
      </w:r>
      <w:r w:rsidRPr="00D04E93">
        <w:rPr>
          <w:iCs/>
        </w:rPr>
        <w:t xml:space="preserve">, 26 FCC Rcd at 17934-35, para. 801 and Fig. 9.  </w:t>
      </w:r>
      <w:r w:rsidRPr="00D04E93">
        <w:t xml:space="preserve">The </w:t>
      </w:r>
      <w:r w:rsidRPr="00D04E93">
        <w:rPr>
          <w:i/>
          <w:iCs/>
        </w:rPr>
        <w:t>USF/ICC Transformation Order</w:t>
      </w:r>
      <w:r w:rsidRPr="00D04E93">
        <w:rPr>
          <w:iCs/>
        </w:rPr>
        <w:t xml:space="preserve"> altered the regulatory treatment of interstate and intrastate switched access traffic, which is now subject to the reciprocal compensation framework under section 251(b)(5) of the Communications Act, rather than the legacy access charge regime.  </w:t>
      </w:r>
      <w:r w:rsidRPr="00D04E93">
        <w:rPr>
          <w:i/>
          <w:iCs/>
        </w:rPr>
        <w:t>See USF/ICC Transformation Order</w:t>
      </w:r>
      <w:r>
        <w:rPr>
          <w:iCs/>
        </w:rPr>
        <w:t xml:space="preserve">, 26 FCC Rcd at 17914-16, </w:t>
      </w:r>
      <w:r w:rsidRPr="00D04E93">
        <w:rPr>
          <w:iCs/>
        </w:rPr>
        <w:t xml:space="preserve">paras. 760-64; </w:t>
      </w:r>
      <w:r w:rsidRPr="00D04E93">
        <w:rPr>
          <w:i/>
          <w:iCs/>
        </w:rPr>
        <w:t xml:space="preserve">see also </w:t>
      </w:r>
      <w:r w:rsidRPr="00D04E93">
        <w:rPr>
          <w:iCs/>
        </w:rPr>
        <w:t xml:space="preserve">47 U.S.C. </w:t>
      </w:r>
      <w:r w:rsidRPr="00D04E93">
        <w:t xml:space="preserve">§ 251(b)(5).  </w:t>
      </w:r>
    </w:p>
  </w:footnote>
  <w:footnote w:id="6">
    <w:p w:rsidR="00F93A89" w:rsidRPr="00D04E93" w:rsidRDefault="00F93A89">
      <w:pPr>
        <w:pStyle w:val="FootnoteText"/>
      </w:pPr>
      <w:r w:rsidRPr="00D04E93">
        <w:rPr>
          <w:rStyle w:val="FootnoteReference"/>
        </w:rPr>
        <w:footnoteRef/>
      </w:r>
      <w:r w:rsidRPr="00D04E93">
        <w:t xml:space="preserve"> </w:t>
      </w:r>
      <w:r w:rsidRPr="00D04E93">
        <w:rPr>
          <w:i/>
          <w:iCs/>
        </w:rPr>
        <w:t>USF/ICC Transformation Order</w:t>
      </w:r>
      <w:r w:rsidRPr="00D04E93">
        <w:rPr>
          <w:iCs/>
        </w:rPr>
        <w:t>, 26 FCC Rcd</w:t>
      </w:r>
      <w:r w:rsidRPr="00D04E93">
        <w:t xml:space="preserve"> at 17677, para. 36.</w:t>
      </w:r>
    </w:p>
  </w:footnote>
  <w:footnote w:id="7">
    <w:p w:rsidR="00F93A89" w:rsidRPr="00D04E93" w:rsidRDefault="00F93A89">
      <w:pPr>
        <w:pStyle w:val="FootnoteText"/>
      </w:pPr>
      <w:r w:rsidRPr="00D04E93">
        <w:rPr>
          <w:rStyle w:val="FootnoteReference"/>
        </w:rPr>
        <w:footnoteRef/>
      </w:r>
      <w:r w:rsidRPr="00D04E93">
        <w:t xml:space="preserve"> </w:t>
      </w:r>
      <w:r w:rsidRPr="00D04E93">
        <w:rPr>
          <w:i/>
        </w:rPr>
        <w:t>Id</w:t>
      </w:r>
      <w:r w:rsidRPr="00D04E93">
        <w:t>. at 17956-57, paras. 847, 850.</w:t>
      </w:r>
    </w:p>
  </w:footnote>
  <w:footnote w:id="8">
    <w:p w:rsidR="00F93A89" w:rsidRDefault="00F93A89" w:rsidP="002D5936">
      <w:pPr>
        <w:pStyle w:val="FootnoteText"/>
      </w:pPr>
      <w:r>
        <w:rPr>
          <w:rStyle w:val="FootnoteReference"/>
        </w:rPr>
        <w:footnoteRef/>
      </w:r>
      <w:r>
        <w:t xml:space="preserve"> 47 C.F.R. § 51.917(e)-(f).  </w:t>
      </w:r>
    </w:p>
  </w:footnote>
  <w:footnote w:id="9">
    <w:p w:rsidR="00F93A89" w:rsidRDefault="00F93A89" w:rsidP="002D5936">
      <w:pPr>
        <w:pStyle w:val="FootnoteText"/>
      </w:pPr>
      <w:r>
        <w:rPr>
          <w:rStyle w:val="FootnoteReference"/>
        </w:rPr>
        <w:footnoteRef/>
      </w:r>
      <w:r>
        <w:t xml:space="preserve"> </w:t>
      </w:r>
      <w:r w:rsidRPr="00347B0E">
        <w:rPr>
          <w:i/>
        </w:rPr>
        <w:t>Id</w:t>
      </w:r>
      <w:r>
        <w:t xml:space="preserve">.  </w:t>
      </w:r>
      <w:r w:rsidRPr="008113E2">
        <w:rPr>
          <w:i/>
        </w:rPr>
        <w:t>See</w:t>
      </w:r>
      <w:r>
        <w:rPr>
          <w:i/>
        </w:rPr>
        <w:t xml:space="preserve"> </w:t>
      </w:r>
      <w:r w:rsidRPr="00D04E93">
        <w:rPr>
          <w:i/>
          <w:iCs/>
        </w:rPr>
        <w:t>USF/ICC Transformation Order</w:t>
      </w:r>
      <w:r w:rsidRPr="00D04E93">
        <w:rPr>
          <w:iCs/>
        </w:rPr>
        <w:t>, 26 FCC Rcd</w:t>
      </w:r>
      <w:r>
        <w:t xml:space="preserve"> at 17981, para. 89</w:t>
      </w:r>
      <w:r w:rsidRPr="00D04E93">
        <w:t>6.</w:t>
      </w:r>
    </w:p>
  </w:footnote>
  <w:footnote w:id="10">
    <w:p w:rsidR="00F93A89" w:rsidRDefault="00F93A89">
      <w:pPr>
        <w:pStyle w:val="FootnoteText"/>
      </w:pPr>
      <w:r>
        <w:rPr>
          <w:rStyle w:val="FootnoteReference"/>
        </w:rPr>
        <w:footnoteRef/>
      </w:r>
      <w:r>
        <w:t xml:space="preserve"> </w:t>
      </w:r>
      <w:r>
        <w:rPr>
          <w:i/>
        </w:rPr>
        <w:t xml:space="preserve">See </w:t>
      </w:r>
      <w:r>
        <w:t>47 C.F.R. § 51.917(d).</w:t>
      </w:r>
    </w:p>
  </w:footnote>
  <w:footnote w:id="11">
    <w:p w:rsidR="00F93A89" w:rsidRDefault="00F93A89">
      <w:pPr>
        <w:pStyle w:val="FootnoteText"/>
      </w:pPr>
      <w:r>
        <w:rPr>
          <w:rStyle w:val="FootnoteReference"/>
        </w:rPr>
        <w:footnoteRef/>
      </w:r>
      <w:r>
        <w:t xml:space="preserve"> For purposes of the recovery mechanism, Fiscal Year 2011 (FY 2011) is defined as October 1, 2010 to September 30, 2011.  </w:t>
      </w:r>
      <w:r>
        <w:rPr>
          <w:i/>
        </w:rPr>
        <w:t xml:space="preserve">See </w:t>
      </w:r>
      <w:r>
        <w:t>47 C.F.R. § 51.903(e).</w:t>
      </w:r>
    </w:p>
  </w:footnote>
  <w:footnote w:id="12">
    <w:p w:rsidR="00F93A89" w:rsidRDefault="00F93A89">
      <w:pPr>
        <w:pStyle w:val="FootnoteText"/>
      </w:pPr>
      <w:r>
        <w:rPr>
          <w:rStyle w:val="FootnoteReference"/>
        </w:rPr>
        <w:footnoteRef/>
      </w:r>
      <w:r>
        <w:t xml:space="preserve"> </w:t>
      </w:r>
      <w:r>
        <w:rPr>
          <w:i/>
        </w:rPr>
        <w:t xml:space="preserve">See </w:t>
      </w:r>
      <w:r>
        <w:t>47 C.F.R. § 51.917(b)(7); the 2011-2012 tariff period was July 1, 2011, through June 30, 2012.</w:t>
      </w:r>
    </w:p>
  </w:footnote>
  <w:footnote w:id="13">
    <w:p w:rsidR="00F93A89" w:rsidRDefault="00F93A89">
      <w:pPr>
        <w:pStyle w:val="FootnoteText"/>
      </w:pPr>
      <w:r>
        <w:rPr>
          <w:rStyle w:val="FootnoteReference"/>
        </w:rPr>
        <w:footnoteRef/>
      </w:r>
      <w:r>
        <w:t xml:space="preserve"> </w:t>
      </w:r>
      <w:r>
        <w:rPr>
          <w:i/>
        </w:rPr>
        <w:t xml:space="preserve">See </w:t>
      </w:r>
      <w:r>
        <w:t>47 C.F.R. § 51.917(b)(3).</w:t>
      </w:r>
    </w:p>
  </w:footnote>
  <w:footnote w:id="14">
    <w:p w:rsidR="00F93A89" w:rsidRDefault="00F93A89">
      <w:pPr>
        <w:pStyle w:val="FootnoteText"/>
      </w:pPr>
      <w:r>
        <w:rPr>
          <w:rStyle w:val="FootnoteReference"/>
        </w:rPr>
        <w:footnoteRef/>
      </w:r>
      <w:r>
        <w:t xml:space="preserve"> 47 C.F.R. § 51.917(d).  </w:t>
      </w:r>
    </w:p>
  </w:footnote>
  <w:footnote w:id="15">
    <w:p w:rsidR="00F93A89" w:rsidRDefault="00F93A89">
      <w:pPr>
        <w:pStyle w:val="FootnoteText"/>
      </w:pPr>
      <w:r>
        <w:rPr>
          <w:rStyle w:val="FootnoteReference"/>
        </w:rPr>
        <w:footnoteRef/>
      </w:r>
      <w:r>
        <w:t xml:space="preserve"> </w:t>
      </w:r>
      <w:r>
        <w:rPr>
          <w:i/>
        </w:rPr>
        <w:t xml:space="preserve">See </w:t>
      </w:r>
      <w:r>
        <w:t>47 C.F.R. § 51.917(d)(1)(iii).</w:t>
      </w:r>
    </w:p>
  </w:footnote>
  <w:footnote w:id="16">
    <w:p w:rsidR="00F2217E" w:rsidRPr="002607A7" w:rsidRDefault="00F2217E" w:rsidP="00F2217E">
      <w:pPr>
        <w:spacing w:after="120"/>
        <w:rPr>
          <w:i/>
          <w:sz w:val="20"/>
        </w:rPr>
      </w:pPr>
      <w:r w:rsidRPr="002607A7">
        <w:rPr>
          <w:rStyle w:val="FootnoteReference"/>
        </w:rPr>
        <w:footnoteRef/>
      </w:r>
      <w:r w:rsidRPr="002607A7">
        <w:rPr>
          <w:sz w:val="20"/>
        </w:rPr>
        <w:t xml:space="preserve"> </w:t>
      </w:r>
      <w:r w:rsidRPr="002607A7">
        <w:rPr>
          <w:i/>
          <w:sz w:val="20"/>
        </w:rPr>
        <w:t xml:space="preserve">See </w:t>
      </w:r>
      <w:r w:rsidRPr="002607A7">
        <w:rPr>
          <w:i/>
          <w:iCs/>
          <w:sz w:val="20"/>
        </w:rPr>
        <w:t>USF/ICC Transformation Order</w:t>
      </w:r>
      <w:r w:rsidRPr="002607A7">
        <w:rPr>
          <w:iCs/>
          <w:sz w:val="20"/>
        </w:rPr>
        <w:t>, 26 FCC Rcd</w:t>
      </w:r>
      <w:r w:rsidRPr="002607A7">
        <w:rPr>
          <w:sz w:val="20"/>
        </w:rPr>
        <w:t xml:space="preserve"> at 17977, para. 891. </w:t>
      </w:r>
    </w:p>
  </w:footnote>
  <w:footnote w:id="17">
    <w:p w:rsidR="00F93A89" w:rsidRDefault="00F93A89">
      <w:pPr>
        <w:pStyle w:val="FootnoteText"/>
      </w:pPr>
      <w:r>
        <w:rPr>
          <w:rStyle w:val="FootnoteReference"/>
        </w:rPr>
        <w:footnoteRef/>
      </w:r>
      <w:r>
        <w:t xml:space="preserve"> </w:t>
      </w:r>
      <w:r>
        <w:rPr>
          <w:i/>
        </w:rPr>
        <w:t xml:space="preserve">See </w:t>
      </w:r>
      <w:r>
        <w:t xml:space="preserve">47 C.F.R. § 51.917(d)(1)(iii)-(iv).  </w:t>
      </w:r>
      <w:r>
        <w:rPr>
          <w:i/>
        </w:rPr>
        <w:t xml:space="preserve">See also </w:t>
      </w:r>
      <w:r w:rsidRPr="00D04E93">
        <w:rPr>
          <w:i/>
          <w:iCs/>
        </w:rPr>
        <w:t>USF/ICC</w:t>
      </w:r>
      <w:r w:rsidRPr="000D0B6C">
        <w:rPr>
          <w:i/>
        </w:rPr>
        <w:t xml:space="preserve"> Transformation Order</w:t>
      </w:r>
      <w:r w:rsidRPr="00D04E93">
        <w:rPr>
          <w:iCs/>
        </w:rPr>
        <w:t>, 26 FCC Rcd</w:t>
      </w:r>
      <w:r>
        <w:t xml:space="preserve"> at 17982-83, para. 899.</w:t>
      </w:r>
    </w:p>
  </w:footnote>
  <w:footnote w:id="18">
    <w:p w:rsidR="00F93A89" w:rsidRDefault="00F93A89">
      <w:pPr>
        <w:pStyle w:val="FootnoteText"/>
      </w:pPr>
      <w:r>
        <w:rPr>
          <w:rStyle w:val="FootnoteReference"/>
        </w:rPr>
        <w:footnoteRef/>
      </w:r>
      <w:r>
        <w:t xml:space="preserve"> </w:t>
      </w:r>
      <w:r>
        <w:rPr>
          <w:i/>
        </w:rPr>
        <w:t>See i</w:t>
      </w:r>
      <w:r w:rsidRPr="001003FD">
        <w:rPr>
          <w:i/>
        </w:rPr>
        <w:t>d</w:t>
      </w:r>
      <w:r>
        <w:t>. at 17982, para. 898.</w:t>
      </w:r>
    </w:p>
  </w:footnote>
  <w:footnote w:id="19">
    <w:p w:rsidR="00F93A89" w:rsidRDefault="00F93A89" w:rsidP="00591D4B">
      <w:pPr>
        <w:pStyle w:val="FootnoteText"/>
      </w:pPr>
      <w:r>
        <w:rPr>
          <w:rStyle w:val="FootnoteReference"/>
        </w:rPr>
        <w:footnoteRef/>
      </w:r>
      <w:r w:rsidRPr="0082734F">
        <w:rPr>
          <w:i/>
        </w:rPr>
        <w:t xml:space="preserve"> </w:t>
      </w:r>
      <w:r>
        <w:rPr>
          <w:i/>
        </w:rPr>
        <w:t xml:space="preserve">See </w:t>
      </w:r>
      <w:r>
        <w:rPr>
          <w:i/>
          <w:iCs/>
        </w:rPr>
        <w:t>id</w:t>
      </w:r>
      <w:r w:rsidRPr="00EF7A4E">
        <w:rPr>
          <w:i/>
          <w:iCs/>
        </w:rPr>
        <w:t>.</w:t>
      </w:r>
      <w:r w:rsidRPr="00131E1E">
        <w:t xml:space="preserve"> </w:t>
      </w:r>
      <w:r>
        <w:t>at 17982-83, para. 899.</w:t>
      </w:r>
    </w:p>
  </w:footnote>
  <w:footnote w:id="20">
    <w:p w:rsidR="00F93A89" w:rsidRDefault="00F93A89" w:rsidP="00591D4B">
      <w:pPr>
        <w:pStyle w:val="FootnoteText"/>
      </w:pPr>
      <w:r>
        <w:rPr>
          <w:rStyle w:val="FootnoteReference"/>
        </w:rPr>
        <w:footnoteRef/>
      </w:r>
      <w:r>
        <w:t xml:space="preserve"> </w:t>
      </w:r>
      <w:r>
        <w:rPr>
          <w:i/>
        </w:rPr>
        <w:t>Id</w:t>
      </w:r>
      <w:r>
        <w:t>.</w:t>
      </w:r>
    </w:p>
  </w:footnote>
  <w:footnote w:id="21">
    <w:p w:rsidR="00F93A89" w:rsidRPr="001322F7" w:rsidRDefault="00F93A89" w:rsidP="00DA47E4">
      <w:pPr>
        <w:pStyle w:val="FootnoteText"/>
      </w:pPr>
      <w:r>
        <w:rPr>
          <w:rStyle w:val="FootnoteReference"/>
        </w:rPr>
        <w:footnoteRef/>
      </w:r>
      <w:r>
        <w:t xml:space="preserve"> </w:t>
      </w:r>
      <w:r>
        <w:rPr>
          <w:i/>
        </w:rPr>
        <w:t xml:space="preserve">See supra </w:t>
      </w:r>
      <w:r>
        <w:t>para. 5.</w:t>
      </w:r>
    </w:p>
  </w:footnote>
  <w:footnote w:id="22">
    <w:p w:rsidR="00F93A89" w:rsidRDefault="00F93A89" w:rsidP="00FC5E49">
      <w:pPr>
        <w:pStyle w:val="FootnoteText"/>
      </w:pPr>
      <w:r>
        <w:rPr>
          <w:rStyle w:val="FootnoteReference"/>
        </w:rPr>
        <w:footnoteRef/>
      </w:r>
      <w:r>
        <w:t xml:space="preserve"> </w:t>
      </w:r>
      <w:r>
        <w:rPr>
          <w:i/>
        </w:rPr>
        <w:t xml:space="preserve">See </w:t>
      </w:r>
      <w:r>
        <w:t>47 C.F.R. § 51.917(d)(1)(vii).</w:t>
      </w:r>
    </w:p>
  </w:footnote>
  <w:footnote w:id="23">
    <w:p w:rsidR="00F93A89" w:rsidRDefault="00F93A89" w:rsidP="00F25642">
      <w:pPr>
        <w:pStyle w:val="ParaNum"/>
        <w:widowControl/>
        <w:numPr>
          <w:ilvl w:val="0"/>
          <w:numId w:val="0"/>
        </w:numPr>
        <w:tabs>
          <w:tab w:val="left" w:pos="720"/>
        </w:tabs>
      </w:pPr>
      <w:r w:rsidRPr="002607A7">
        <w:rPr>
          <w:rStyle w:val="FootnoteReference"/>
        </w:rPr>
        <w:footnoteRef/>
      </w:r>
      <w:r w:rsidRPr="002607A7">
        <w:rPr>
          <w:sz w:val="20"/>
        </w:rPr>
        <w:t xml:space="preserve"> </w:t>
      </w:r>
      <w:r w:rsidRPr="002607A7">
        <w:rPr>
          <w:i/>
          <w:sz w:val="20"/>
        </w:rPr>
        <w:t>See</w:t>
      </w:r>
      <w:r w:rsidRPr="002607A7">
        <w:rPr>
          <w:sz w:val="20"/>
        </w:rPr>
        <w:t xml:space="preserve"> Appendix at 47 C.F.R. § 51.917(d)(1)(viii)(A).</w:t>
      </w:r>
      <w:r>
        <w:t xml:space="preserve">  </w:t>
      </w:r>
      <w:r>
        <w:rPr>
          <w:sz w:val="20"/>
        </w:rPr>
        <w:t xml:space="preserve">Section 54.304 of the Commission’s rules provides for Connect America Fund ICC support to be administered by USAC.  </w:t>
      </w:r>
      <w:r>
        <w:rPr>
          <w:i/>
          <w:sz w:val="20"/>
        </w:rPr>
        <w:t xml:space="preserve">See </w:t>
      </w:r>
      <w:r>
        <w:rPr>
          <w:sz w:val="20"/>
        </w:rPr>
        <w:t xml:space="preserve">47 C.F.R. § 51.304.  Rate-of-return carriers electing to receive Connect America Fund ICC support must file data with USAC, the Commission, and relevant state commissions on a specified date each year that shows the carrier’s projected eligibility for Connect America Fund ICC support during the upcoming funding period, including any true-ups associated with an earlier funding period as required by section 51.917.  47 C.F.R. § 51.304(d)(1).  </w:t>
      </w:r>
      <w:r>
        <w:rPr>
          <w:i/>
          <w:sz w:val="20"/>
        </w:rPr>
        <w:t xml:space="preserve">See </w:t>
      </w:r>
      <w:r>
        <w:rPr>
          <w:sz w:val="20"/>
        </w:rPr>
        <w:t xml:space="preserve">47 C.F.R. § 51.917(d).  </w:t>
      </w:r>
    </w:p>
  </w:footnote>
  <w:footnote w:id="24">
    <w:p w:rsidR="00F93A89" w:rsidRDefault="00F93A89" w:rsidP="00F25642">
      <w:pPr>
        <w:pStyle w:val="FootnoteText"/>
      </w:pPr>
      <w:r>
        <w:rPr>
          <w:rStyle w:val="FootnoteReference"/>
        </w:rPr>
        <w:footnoteRef/>
      </w:r>
      <w:r>
        <w:t xml:space="preserve"> We note that the carriers involved are all participants in the NECA traffic-sensitive pool.  This situation could also arise for rate-of-return carriers that are not participants in the NECA pool and the revised rules adopted in this order requiring refunds would be applicable to those carriers as well.</w:t>
      </w:r>
    </w:p>
  </w:footnote>
  <w:footnote w:id="25">
    <w:p w:rsidR="00F93A89" w:rsidRPr="00DA47E4" w:rsidRDefault="00F93A89" w:rsidP="006279F8">
      <w:pPr>
        <w:pStyle w:val="FootnoteText"/>
      </w:pPr>
      <w:r>
        <w:rPr>
          <w:rStyle w:val="FootnoteReference"/>
        </w:rPr>
        <w:footnoteRef/>
      </w:r>
      <w:r>
        <w:t xml:space="preserve"> </w:t>
      </w:r>
      <w:r>
        <w:rPr>
          <w:i/>
        </w:rPr>
        <w:t>See supra</w:t>
      </w:r>
      <w:r>
        <w:t xml:space="preserve"> para. 6.</w:t>
      </w:r>
    </w:p>
  </w:footnote>
  <w:footnote w:id="26">
    <w:p w:rsidR="00F93A89" w:rsidRPr="0088368B" w:rsidRDefault="00F93A89">
      <w:pPr>
        <w:pStyle w:val="FootnoteText"/>
      </w:pPr>
      <w:r>
        <w:rPr>
          <w:rStyle w:val="FootnoteReference"/>
        </w:rPr>
        <w:footnoteRef/>
      </w:r>
      <w:r>
        <w:t xml:space="preserve"> A negative Eligible Recovery occurs when a carrier’s projected revenues exceed its adjusted BPR, meaning that it is not eligible to assess ARCs or receive any Connect America Fund ICC support.  </w:t>
      </w:r>
      <w:r>
        <w:rPr>
          <w:i/>
        </w:rPr>
        <w:t xml:space="preserve">See supra </w:t>
      </w:r>
      <w:r>
        <w:t>para. 4.</w:t>
      </w:r>
    </w:p>
  </w:footnote>
  <w:footnote w:id="27">
    <w:p w:rsidR="00F93A89" w:rsidRPr="004E3FB2" w:rsidRDefault="00F93A89" w:rsidP="005A5AAA">
      <w:pPr>
        <w:pStyle w:val="FootnoteText"/>
      </w:pPr>
      <w:r>
        <w:rPr>
          <w:rStyle w:val="FootnoteReference"/>
        </w:rPr>
        <w:footnoteRef/>
      </w:r>
      <w:r>
        <w:t xml:space="preserve"> A partial recovery would occur if the carriers’ shortfall from tariff period 2012-13 was more than the dollar amount they were short in tariff period 2014-15 from being able to receive Eligible Recovery. </w:t>
      </w:r>
    </w:p>
  </w:footnote>
  <w:footnote w:id="28">
    <w:p w:rsidR="002F115C" w:rsidRDefault="002F115C" w:rsidP="00C80CD5">
      <w:pPr>
        <w:spacing w:after="120"/>
      </w:pPr>
      <w:r w:rsidRPr="004E3FB2">
        <w:rPr>
          <w:rStyle w:val="FootnoteReference"/>
        </w:rPr>
        <w:footnoteRef/>
      </w:r>
      <w:r w:rsidRPr="00072A0E">
        <w:rPr>
          <w:sz w:val="20"/>
        </w:rPr>
        <w:t xml:space="preserve"> </w:t>
      </w:r>
      <w:r w:rsidRPr="00072A0E">
        <w:rPr>
          <w:i/>
          <w:sz w:val="20"/>
        </w:rPr>
        <w:t xml:space="preserve">See supra </w:t>
      </w:r>
      <w:r w:rsidRPr="00072A0E">
        <w:rPr>
          <w:sz w:val="20"/>
        </w:rPr>
        <w:t>para. 4.</w:t>
      </w:r>
      <w:r w:rsidR="00B16272" w:rsidRPr="00072A0E">
        <w:rPr>
          <w:sz w:val="20"/>
        </w:rPr>
        <w:t xml:space="preserve">  While the price cap and rate-of-return carrier recovery mechanisms employ different methods for pacing the rate transitions and establishing a carrier’s Eligible Recovery, the Commission found that both recovery mechanisms “provide carriers with significantly more revenue certainty than the status quo, enabling carriers to reap the benefits of efficiencies and reduced switching costs, while giving providers stable support for investment as they adjust to an IP world.”  </w:t>
      </w:r>
      <w:r w:rsidR="00B16272" w:rsidRPr="00072A0E">
        <w:rPr>
          <w:i/>
          <w:iCs/>
          <w:sz w:val="20"/>
        </w:rPr>
        <w:t>USF/ICC Transformation Order</w:t>
      </w:r>
      <w:r w:rsidR="00B16272" w:rsidRPr="00072A0E">
        <w:rPr>
          <w:sz w:val="20"/>
        </w:rPr>
        <w:t xml:space="preserve">, 26 FCC Rcd at 17678, para. 39.  </w:t>
      </w:r>
      <w:r w:rsidR="00B16272" w:rsidRPr="00072A0E">
        <w:rPr>
          <w:i/>
          <w:iCs/>
          <w:sz w:val="20"/>
        </w:rPr>
        <w:t>See also</w:t>
      </w:r>
      <w:r w:rsidR="00B16272" w:rsidRPr="00072A0E">
        <w:rPr>
          <w:sz w:val="20"/>
        </w:rPr>
        <w:t xml:space="preserve"> </w:t>
      </w:r>
      <w:r w:rsidR="00B16272" w:rsidRPr="00072A0E">
        <w:rPr>
          <w:i/>
          <w:iCs/>
          <w:sz w:val="20"/>
        </w:rPr>
        <w:t>id</w:t>
      </w:r>
      <w:r w:rsidR="00B16272" w:rsidRPr="00072A0E">
        <w:rPr>
          <w:sz w:val="20"/>
        </w:rPr>
        <w:t xml:space="preserve">. at 17971, 17977, paras. 879 and 891.  Unlike the rate-of-return carrier recovery mechanism, the price cap recovery mechanism did not establish a true-up process for switched access MOUs.  The Commission thus noted that if price cap carrier MOU “decline is less than 10 percent, carriers will receive the benefit of additional revenues.  Conversely, if MOU decline accelerates, the risk of decreased revenues falls on the carriers.”  </w:t>
      </w:r>
      <w:r w:rsidR="00B16272" w:rsidRPr="00072A0E">
        <w:rPr>
          <w:i/>
          <w:iCs/>
          <w:sz w:val="20"/>
        </w:rPr>
        <w:t>Id</w:t>
      </w:r>
      <w:r w:rsidR="00B16272" w:rsidRPr="00072A0E">
        <w:rPr>
          <w:sz w:val="20"/>
        </w:rPr>
        <w:t xml:space="preserve">. at 17971, para. 879.  While the Commission removed switched access services </w:t>
      </w:r>
      <w:r w:rsidR="00B570E1" w:rsidRPr="00072A0E">
        <w:rPr>
          <w:sz w:val="20"/>
        </w:rPr>
        <w:t xml:space="preserve">of rate-of-return carriers </w:t>
      </w:r>
      <w:r w:rsidR="00B16272" w:rsidRPr="00072A0E">
        <w:rPr>
          <w:sz w:val="20"/>
        </w:rPr>
        <w:t xml:space="preserve">from rate-of-return regulation, </w:t>
      </w:r>
      <w:r w:rsidR="00B16272" w:rsidRPr="00072A0E">
        <w:rPr>
          <w:i/>
          <w:iCs/>
          <w:sz w:val="20"/>
        </w:rPr>
        <w:t>Id</w:t>
      </w:r>
      <w:r w:rsidR="00B16272" w:rsidRPr="00072A0E">
        <w:rPr>
          <w:sz w:val="20"/>
        </w:rPr>
        <w:t>. at 17983-84,</w:t>
      </w:r>
      <w:r w:rsidR="00B16272" w:rsidRPr="00072A0E">
        <w:rPr>
          <w:i/>
          <w:iCs/>
          <w:sz w:val="20"/>
        </w:rPr>
        <w:t xml:space="preserve"> </w:t>
      </w:r>
      <w:r w:rsidR="00B16272" w:rsidRPr="00072A0E">
        <w:rPr>
          <w:sz w:val="20"/>
        </w:rPr>
        <w:t xml:space="preserve">para. 900, it adopted a true-up mechanism for rate-of-return carriers that was designed to ensure that at a minimum they recovered their adjusted BPR each year, thus eliminating the risk of </w:t>
      </w:r>
      <w:r w:rsidR="00B570E1" w:rsidRPr="00072A0E">
        <w:rPr>
          <w:sz w:val="20"/>
        </w:rPr>
        <w:t xml:space="preserve">higher </w:t>
      </w:r>
      <w:r w:rsidR="00B16272" w:rsidRPr="00072A0E">
        <w:rPr>
          <w:sz w:val="20"/>
        </w:rPr>
        <w:t xml:space="preserve">demand losses that is faced by price cap carriers.  </w:t>
      </w:r>
      <w:r w:rsidR="00B16272" w:rsidRPr="00072A0E">
        <w:rPr>
          <w:i/>
          <w:iCs/>
          <w:sz w:val="20"/>
        </w:rPr>
        <w:t>See id</w:t>
      </w:r>
      <w:r w:rsidR="00B16272" w:rsidRPr="00072A0E">
        <w:rPr>
          <w:sz w:val="20"/>
        </w:rPr>
        <w:t>. at 17977, para. 891.  And, to the extent they recover more Eligible Recovery</w:t>
      </w:r>
      <w:r w:rsidR="00B570E1" w:rsidRPr="00072A0E">
        <w:rPr>
          <w:sz w:val="20"/>
        </w:rPr>
        <w:t xml:space="preserve"> because of an under-projection of demand in the year being trued-up</w:t>
      </w:r>
      <w:r w:rsidR="00B16272" w:rsidRPr="00072A0E">
        <w:rPr>
          <w:sz w:val="20"/>
        </w:rPr>
        <w:t xml:space="preserve">, rate-of-return carriers are required to refund such over-recovery, as discussed in para. </w:t>
      </w:r>
      <w:r w:rsidR="00B570E1" w:rsidRPr="00072A0E">
        <w:rPr>
          <w:sz w:val="20"/>
        </w:rPr>
        <w:t>9</w:t>
      </w:r>
      <w:r w:rsidR="00B16272" w:rsidRPr="00072A0E">
        <w:rPr>
          <w:sz w:val="20"/>
        </w:rPr>
        <w:t xml:space="preserve"> above.  In the case of </w:t>
      </w:r>
      <w:r w:rsidR="00B570E1" w:rsidRPr="00072A0E">
        <w:rPr>
          <w:sz w:val="20"/>
        </w:rPr>
        <w:t xml:space="preserve">a carrier with </w:t>
      </w:r>
      <w:r w:rsidR="00B16272" w:rsidRPr="00072A0E">
        <w:rPr>
          <w:sz w:val="20"/>
        </w:rPr>
        <w:t>negative Eligible Recovery, however, the rate</w:t>
      </w:r>
      <w:r w:rsidR="004E3FB2" w:rsidRPr="00072A0E">
        <w:rPr>
          <w:sz w:val="20"/>
        </w:rPr>
        <w:t>-</w:t>
      </w:r>
      <w:r w:rsidR="00B16272" w:rsidRPr="00072A0E">
        <w:rPr>
          <w:sz w:val="20"/>
        </w:rPr>
        <w:t>of</w:t>
      </w:r>
      <w:r w:rsidR="004E3FB2" w:rsidRPr="00072A0E">
        <w:rPr>
          <w:sz w:val="20"/>
        </w:rPr>
        <w:t>-</w:t>
      </w:r>
      <w:r w:rsidR="00B16272" w:rsidRPr="00072A0E">
        <w:rPr>
          <w:sz w:val="20"/>
        </w:rPr>
        <w:t xml:space="preserve"> return carrier</w:t>
      </w:r>
      <w:r w:rsidR="00B5659A" w:rsidRPr="00072A0E">
        <w:rPr>
          <w:sz w:val="20"/>
        </w:rPr>
        <w:t xml:space="preserve"> is providing more </w:t>
      </w:r>
      <w:r w:rsidR="00B570E1" w:rsidRPr="00072A0E">
        <w:rPr>
          <w:sz w:val="20"/>
        </w:rPr>
        <w:t xml:space="preserve">service than reflected in its adjusted BPR </w:t>
      </w:r>
      <w:r w:rsidR="00B5659A" w:rsidRPr="00072A0E">
        <w:rPr>
          <w:sz w:val="20"/>
        </w:rPr>
        <w:t>and, t</w:t>
      </w:r>
      <w:r w:rsidR="00B16272" w:rsidRPr="00072A0E">
        <w:rPr>
          <w:sz w:val="20"/>
        </w:rPr>
        <w:t xml:space="preserve">o ensure that </w:t>
      </w:r>
      <w:r w:rsidR="00B5659A" w:rsidRPr="00072A0E">
        <w:rPr>
          <w:sz w:val="20"/>
        </w:rPr>
        <w:t>such</w:t>
      </w:r>
      <w:r w:rsidR="00B16272" w:rsidRPr="00072A0E">
        <w:rPr>
          <w:sz w:val="20"/>
        </w:rPr>
        <w:t xml:space="preserve"> carriers can continue investment as they adjust </w:t>
      </w:r>
      <w:r w:rsidR="00B16272" w:rsidRPr="00AB5EEB">
        <w:rPr>
          <w:sz w:val="20"/>
        </w:rPr>
        <w:t>to an IP world</w:t>
      </w:r>
      <w:r w:rsidR="00B5659A" w:rsidRPr="00AB5EEB">
        <w:rPr>
          <w:sz w:val="20"/>
        </w:rPr>
        <w:t xml:space="preserve"> consistent with the incentive structure adopted in the </w:t>
      </w:r>
      <w:r w:rsidR="00B5659A" w:rsidRPr="00AB5EEB">
        <w:rPr>
          <w:i/>
          <w:sz w:val="20"/>
        </w:rPr>
        <w:t xml:space="preserve">USF/ICC </w:t>
      </w:r>
      <w:r w:rsidR="00B570E1" w:rsidRPr="00AB5EEB">
        <w:rPr>
          <w:i/>
          <w:sz w:val="20"/>
        </w:rPr>
        <w:t>T</w:t>
      </w:r>
      <w:r w:rsidR="00B5659A" w:rsidRPr="00AB5EEB">
        <w:rPr>
          <w:i/>
          <w:sz w:val="20"/>
        </w:rPr>
        <w:t>ransformation Order</w:t>
      </w:r>
      <w:r w:rsidR="00B5659A" w:rsidRPr="00AB5EEB">
        <w:rPr>
          <w:sz w:val="20"/>
        </w:rPr>
        <w:t xml:space="preserve">, </w:t>
      </w:r>
      <w:r w:rsidR="00AB5EEB" w:rsidRPr="00AB5EEB">
        <w:rPr>
          <w:sz w:val="20"/>
        </w:rPr>
        <w:t>rate</w:t>
      </w:r>
      <w:r w:rsidR="00AB5EEB">
        <w:rPr>
          <w:sz w:val="20"/>
        </w:rPr>
        <w:t>-</w:t>
      </w:r>
      <w:r w:rsidR="00B5659A" w:rsidRPr="00AB5EEB">
        <w:rPr>
          <w:sz w:val="20"/>
        </w:rPr>
        <w:t>of</w:t>
      </w:r>
      <w:r w:rsidR="00AB5EEB">
        <w:rPr>
          <w:sz w:val="20"/>
        </w:rPr>
        <w:t>-</w:t>
      </w:r>
      <w:r w:rsidR="00B5659A" w:rsidRPr="00AB5EEB">
        <w:rPr>
          <w:sz w:val="20"/>
        </w:rPr>
        <w:t xml:space="preserve"> return carrier</w:t>
      </w:r>
      <w:r w:rsidR="00B16272" w:rsidRPr="00AB5EEB">
        <w:rPr>
          <w:sz w:val="20"/>
        </w:rPr>
        <w:t xml:space="preserve"> Eligible Recovery allowed by the true-up process </w:t>
      </w:r>
      <w:r w:rsidR="00B5659A" w:rsidRPr="00AB5EEB">
        <w:rPr>
          <w:sz w:val="20"/>
        </w:rPr>
        <w:t xml:space="preserve">should </w:t>
      </w:r>
      <w:r w:rsidR="00B16272" w:rsidRPr="00AB5EEB">
        <w:rPr>
          <w:sz w:val="20"/>
        </w:rPr>
        <w:t xml:space="preserve">not be reduced or eliminated by the existence of a </w:t>
      </w:r>
      <w:r w:rsidR="00B16272" w:rsidRPr="00072A0E">
        <w:rPr>
          <w:sz w:val="20"/>
        </w:rPr>
        <w:t>negative Eligible Recovery in the true-up year.</w:t>
      </w:r>
    </w:p>
  </w:footnote>
  <w:footnote w:id="29">
    <w:p w:rsidR="00D8620E" w:rsidRDefault="00D8620E">
      <w:pPr>
        <w:pStyle w:val="FootnoteText"/>
      </w:pPr>
      <w:r>
        <w:rPr>
          <w:rStyle w:val="FootnoteReference"/>
        </w:rPr>
        <w:footnoteRef/>
      </w:r>
      <w:r>
        <w:t xml:space="preserve">  We note that for carriers in this situation for the 2014-15 tariff period, because much of the tariff period has already elapsed, it is not feasible to apply the recovery mechanism for these payments.  Accordingly, we are adopting a single payment for this period.</w:t>
      </w:r>
    </w:p>
  </w:footnote>
  <w:footnote w:id="30">
    <w:p w:rsidR="00F93A89" w:rsidRDefault="00F93A89">
      <w:pPr>
        <w:pStyle w:val="FootnoteText"/>
      </w:pPr>
      <w:r>
        <w:rPr>
          <w:rStyle w:val="FootnoteReference"/>
        </w:rPr>
        <w:footnoteRef/>
      </w:r>
      <w:r>
        <w:t xml:space="preserve">  We note that a carrier that received no Eligible Recovery in tariff period 2012-13 and would not have received any Eligible Recovery in 2012-13 if it had projected its demand accurately cannot use any demand forecast variance for 2012-13 to create additional Eligible Recovery in the 2014-15 tariff period because that would constitute duplicative recovery.  To illustrate, if a carrier’s 2012-13 tariff period projected revenues exceeded BPR by $2000.00 and its actual revenues exceeded BPR by $1000.00, the carrier could not use the $1000.00 revenue variance to obtain additional Eligible Recovery in 2014-15.</w:t>
      </w:r>
    </w:p>
  </w:footnote>
  <w:footnote w:id="31">
    <w:p w:rsidR="000800C0" w:rsidRPr="000800C0" w:rsidRDefault="000800C0">
      <w:pPr>
        <w:pStyle w:val="FootnoteText"/>
        <w:rPr>
          <w:i/>
        </w:rPr>
      </w:pPr>
      <w:r>
        <w:rPr>
          <w:rStyle w:val="FootnoteReference"/>
        </w:rPr>
        <w:footnoteRef/>
      </w:r>
      <w:r>
        <w:t xml:space="preserve"> </w:t>
      </w:r>
      <w:r>
        <w:rPr>
          <w:i/>
        </w:rPr>
        <w:t>See</w:t>
      </w:r>
      <w:r>
        <w:t xml:space="preserve"> Appendix at 47 C.F.R. § 51.917(d)(1)(viii)(B).  </w:t>
      </w:r>
    </w:p>
  </w:footnote>
  <w:footnote w:id="32">
    <w:p w:rsidR="00102820" w:rsidRDefault="00102820">
      <w:pPr>
        <w:pStyle w:val="FootnoteText"/>
      </w:pPr>
      <w:r>
        <w:rPr>
          <w:rStyle w:val="FootnoteReference"/>
        </w:rPr>
        <w:footnoteRef/>
      </w:r>
      <w:r>
        <w:t xml:space="preserve"> </w:t>
      </w:r>
      <w:r>
        <w:rPr>
          <w:i/>
        </w:rPr>
        <w:t xml:space="preserve">See </w:t>
      </w:r>
      <w:r w:rsidRPr="00CD3C03">
        <w:rPr>
          <w:i/>
          <w:iCs/>
        </w:rPr>
        <w:t>USF/ICC Transformation Order</w:t>
      </w:r>
      <w:r w:rsidRPr="00CD3C03">
        <w:rPr>
          <w:iCs/>
        </w:rPr>
        <w:t>, 26 FCC Rcd</w:t>
      </w:r>
      <w:r>
        <w:t xml:space="preserve"> at 17977, </w:t>
      </w:r>
      <w:r w:rsidRPr="00CD3C03">
        <w:t>para</w:t>
      </w:r>
      <w:r>
        <w:t>. 891.</w:t>
      </w:r>
    </w:p>
  </w:footnote>
  <w:footnote w:id="33">
    <w:p w:rsidR="00F93A89" w:rsidRPr="004400DB" w:rsidRDefault="00F93A89">
      <w:pPr>
        <w:pStyle w:val="FootnoteText"/>
        <w:rPr>
          <w:i/>
        </w:rPr>
      </w:pPr>
      <w:r>
        <w:rPr>
          <w:rStyle w:val="FootnoteReference"/>
        </w:rPr>
        <w:footnoteRef/>
      </w:r>
      <w:r>
        <w:t xml:space="preserve"> </w:t>
      </w:r>
      <w:r>
        <w:rPr>
          <w:i/>
        </w:rPr>
        <w:t>See</w:t>
      </w:r>
      <w:r w:rsidRPr="00D04E93">
        <w:rPr>
          <w:i/>
        </w:rPr>
        <w:t xml:space="preserve"> Connect America Fund et. al</w:t>
      </w:r>
      <w:r>
        <w:t>, WC Docket No</w:t>
      </w:r>
      <w:r w:rsidRPr="00D04E93">
        <w:t>. 10-90, 12-63, CC Docket No. 01-92</w:t>
      </w:r>
      <w:r>
        <w:t xml:space="preserve">, Order, 29 </w:t>
      </w:r>
      <w:r w:rsidRPr="00D04E93">
        <w:t xml:space="preserve">FCC </w:t>
      </w:r>
      <w:r>
        <w:t>Rcd 3245, para. 16</w:t>
      </w:r>
      <w:r w:rsidRPr="00D04E93">
        <w:t xml:space="preserve"> (Wireline Comp. Bur.</w:t>
      </w:r>
      <w:r w:rsidRPr="00D04E93">
        <w:rPr>
          <w:u w:val="words"/>
        </w:rPr>
        <w:t xml:space="preserve"> </w:t>
      </w:r>
      <w:r>
        <w:t>2014</w:t>
      </w:r>
      <w:r w:rsidRPr="00D04E93">
        <w:t>) (</w:t>
      </w:r>
      <w:r>
        <w:rPr>
          <w:i/>
        </w:rPr>
        <w:t>2014</w:t>
      </w:r>
      <w:r w:rsidRPr="00D04E93">
        <w:rPr>
          <w:i/>
        </w:rPr>
        <w:t xml:space="preserve"> ICC Clarification Order</w:t>
      </w:r>
      <w:r>
        <w:t>)</w:t>
      </w:r>
      <w:r>
        <w:rPr>
          <w:szCs w:val="22"/>
        </w:rPr>
        <w:t xml:space="preserve">; </w:t>
      </w:r>
      <w:r>
        <w:t xml:space="preserve">47 C.F.R.§ </w:t>
      </w:r>
      <w:r>
        <w:rPr>
          <w:szCs w:val="22"/>
        </w:rPr>
        <w:t>51.917(d)(1)(vii).</w:t>
      </w:r>
    </w:p>
  </w:footnote>
  <w:footnote w:id="34">
    <w:p w:rsidR="00F93A89" w:rsidRDefault="00F93A89">
      <w:pPr>
        <w:pStyle w:val="FootnoteText"/>
      </w:pPr>
      <w:r>
        <w:rPr>
          <w:rStyle w:val="FootnoteReference"/>
        </w:rPr>
        <w:footnoteRef/>
      </w:r>
      <w:r>
        <w:t xml:space="preserve"> </w:t>
      </w:r>
      <w:r>
        <w:rPr>
          <w:i/>
        </w:rPr>
        <w:t xml:space="preserve">See </w:t>
      </w:r>
      <w:r>
        <w:t>47 C.F.R. § 51.917(f)(2).</w:t>
      </w:r>
    </w:p>
  </w:footnote>
  <w:footnote w:id="35">
    <w:p w:rsidR="00F93A89" w:rsidRPr="00D04E93" w:rsidRDefault="00F93A89">
      <w:pPr>
        <w:pStyle w:val="FootnoteText"/>
      </w:pPr>
      <w:r w:rsidRPr="00D04E93">
        <w:rPr>
          <w:rStyle w:val="FootnoteReference"/>
        </w:rPr>
        <w:footnoteRef/>
      </w:r>
      <w:r w:rsidRPr="00D04E93">
        <w:t xml:space="preserve"> Pub. Law</w:t>
      </w:r>
      <w:r>
        <w:t xml:space="preserve"> No. 104-13.</w:t>
      </w:r>
    </w:p>
  </w:footnote>
  <w:footnote w:id="36">
    <w:p w:rsidR="00F93A89" w:rsidRPr="00D04E93" w:rsidRDefault="00F93A89">
      <w:pPr>
        <w:pStyle w:val="FootnoteText"/>
      </w:pPr>
      <w:r w:rsidRPr="00D04E93">
        <w:rPr>
          <w:rStyle w:val="FootnoteReference"/>
        </w:rPr>
        <w:footnoteRef/>
      </w:r>
      <w:r w:rsidRPr="00D04E93">
        <w:t xml:space="preserve"> Pub. Law No. 107-198; </w:t>
      </w:r>
      <w:r w:rsidRPr="00D04E93">
        <w:rPr>
          <w:i/>
        </w:rPr>
        <w:t xml:space="preserve">see </w:t>
      </w:r>
      <w:r>
        <w:t>44 U.S.C. § 35</w:t>
      </w:r>
      <w:r w:rsidRPr="00D04E93">
        <w:t>06(c)(4).</w:t>
      </w:r>
    </w:p>
  </w:footnote>
  <w:footnote w:id="37">
    <w:p w:rsidR="00F93A89" w:rsidRPr="00D04E93" w:rsidRDefault="00F93A89">
      <w:pPr>
        <w:pStyle w:val="FootnoteText"/>
      </w:pPr>
      <w:r w:rsidRPr="00D04E93">
        <w:rPr>
          <w:rStyle w:val="FootnoteReference"/>
        </w:rPr>
        <w:footnoteRef/>
      </w:r>
      <w:r w:rsidRPr="00D04E93">
        <w:t xml:space="preserve"> The RFA, </w:t>
      </w:r>
      <w:r w:rsidRPr="00D04E93">
        <w:rPr>
          <w:i/>
        </w:rPr>
        <w:t xml:space="preserve">see </w:t>
      </w:r>
      <w:r w:rsidRPr="00D04E93">
        <w:t xml:space="preserve">5 U.S.C. § 601 </w:t>
      </w:r>
      <w:r w:rsidRPr="00D04E93">
        <w:rPr>
          <w:i/>
        </w:rPr>
        <w:t>et seq</w:t>
      </w:r>
      <w:r w:rsidRPr="00D04E93">
        <w:t>., has been amended by the Contract with America Advancement Act of 1996, Pub. L. No. 104-121, 110 Stat. 847 (1996) (CWAAA).  Title II of the CWAAA is the Small Business Regulatory Enforcement Fairness Act of 1996 (SBREFA).</w:t>
      </w:r>
    </w:p>
  </w:footnote>
  <w:footnote w:id="38">
    <w:p w:rsidR="00F93A89" w:rsidRPr="00D04E93" w:rsidRDefault="00F93A89">
      <w:pPr>
        <w:pStyle w:val="FootnoteText"/>
      </w:pPr>
      <w:r w:rsidRPr="00D04E93">
        <w:rPr>
          <w:rStyle w:val="FootnoteReference"/>
        </w:rPr>
        <w:footnoteRef/>
      </w:r>
      <w:r w:rsidRPr="00D04E93">
        <w:t xml:space="preserve"> 5 U.S.C. § 605(b).</w:t>
      </w:r>
    </w:p>
  </w:footnote>
  <w:footnote w:id="39">
    <w:p w:rsidR="00F93A89" w:rsidRPr="00D04E93" w:rsidRDefault="00F93A89">
      <w:pPr>
        <w:pStyle w:val="FootnoteText"/>
      </w:pPr>
      <w:r w:rsidRPr="00D04E93">
        <w:rPr>
          <w:rStyle w:val="FootnoteReference"/>
        </w:rPr>
        <w:footnoteRef/>
      </w:r>
      <w:r w:rsidRPr="00D04E93">
        <w:t xml:space="preserve"> 5 U.S.C. § 601(</w:t>
      </w:r>
      <w:r w:rsidR="00D953F7">
        <w:t>6</w:t>
      </w:r>
      <w:r w:rsidRPr="00D04E93">
        <w:t>).</w:t>
      </w:r>
    </w:p>
  </w:footnote>
  <w:footnote w:id="40">
    <w:p w:rsidR="00F93A89" w:rsidRPr="00D04E93" w:rsidRDefault="00F93A89" w:rsidP="00FA6A5A">
      <w:pPr>
        <w:widowControl/>
        <w:autoSpaceDE w:val="0"/>
        <w:autoSpaceDN w:val="0"/>
        <w:adjustRightInd w:val="0"/>
        <w:rPr>
          <w:snapToGrid/>
          <w:kern w:val="0"/>
          <w:sz w:val="20"/>
        </w:rPr>
      </w:pPr>
      <w:r w:rsidRPr="00D04E93">
        <w:rPr>
          <w:rStyle w:val="FootnoteReference"/>
        </w:rPr>
        <w:footnoteRef/>
      </w:r>
      <w:r w:rsidRPr="00D04E93">
        <w:t xml:space="preserve"> </w:t>
      </w:r>
      <w:r w:rsidRPr="00D04E93">
        <w:rPr>
          <w:snapToGrid/>
          <w:kern w:val="0"/>
          <w:sz w:val="20"/>
        </w:rPr>
        <w:t>5 U.S.C. § 601(3) (incorporating by reference the definition of “small business concern” in Small Business Act,</w:t>
      </w:r>
    </w:p>
    <w:p w:rsidR="00F93A89" w:rsidRPr="00D04E93" w:rsidRDefault="00F93A89" w:rsidP="00D34510">
      <w:pPr>
        <w:pStyle w:val="FootnoteText"/>
      </w:pPr>
      <w:r w:rsidRPr="00D04E93">
        <w:t>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1">
    <w:p w:rsidR="00F93A89" w:rsidRPr="00D04E93" w:rsidRDefault="00F93A89">
      <w:pPr>
        <w:pStyle w:val="FootnoteText"/>
      </w:pPr>
      <w:r w:rsidRPr="00D04E93">
        <w:rPr>
          <w:rStyle w:val="FootnoteReference"/>
        </w:rPr>
        <w:footnoteRef/>
      </w:r>
      <w:r w:rsidRPr="00D04E93">
        <w:t xml:space="preserve"> Small Business Act, 15 U.S.C. § 632.</w:t>
      </w:r>
    </w:p>
  </w:footnote>
  <w:footnote w:id="42">
    <w:p w:rsidR="00F93A89" w:rsidRPr="00D04E93" w:rsidRDefault="00F93A89">
      <w:pPr>
        <w:pStyle w:val="FootnoteText"/>
        <w:rPr>
          <w:i/>
        </w:rPr>
      </w:pPr>
      <w:r w:rsidRPr="00D04E93">
        <w:rPr>
          <w:rStyle w:val="FootnoteReference"/>
        </w:rPr>
        <w:footnoteRef/>
      </w:r>
      <w:r w:rsidRPr="00D04E93">
        <w:t xml:space="preserve"> </w:t>
      </w:r>
      <w:r w:rsidRPr="00D04E93">
        <w:rPr>
          <w:i/>
        </w:rPr>
        <w:t xml:space="preserve">See </w:t>
      </w:r>
      <w:r w:rsidRPr="00D04E93">
        <w:rPr>
          <w:i/>
          <w:iCs/>
        </w:rPr>
        <w:t>USF/ICC Transformation Order</w:t>
      </w:r>
      <w:r w:rsidRPr="00D04E93">
        <w:rPr>
          <w:iCs/>
        </w:rPr>
        <w:t>, 26 FCC Rcd at 18324-63, App</w:t>
      </w:r>
      <w:r>
        <w:rPr>
          <w:iCs/>
        </w:rPr>
        <w:t>.</w:t>
      </w:r>
      <w:r w:rsidRPr="00D04E93">
        <w:rPr>
          <w:iCs/>
        </w:rPr>
        <w:t xml:space="preserve"> O</w:t>
      </w:r>
      <w:r w:rsidRPr="00D04E93">
        <w:t>.</w:t>
      </w:r>
    </w:p>
  </w:footnote>
  <w:footnote w:id="43">
    <w:p w:rsidR="00F93A89" w:rsidRPr="00D04E93" w:rsidRDefault="00F93A89">
      <w:pPr>
        <w:pStyle w:val="FootnoteText"/>
      </w:pPr>
      <w:r w:rsidRPr="00D04E93">
        <w:rPr>
          <w:rStyle w:val="FootnoteReference"/>
        </w:rPr>
        <w:footnoteRef/>
      </w:r>
      <w:r w:rsidRPr="00D04E93">
        <w:t xml:space="preserve"> 15 U.S.C. § 632.</w:t>
      </w:r>
    </w:p>
  </w:footnote>
  <w:footnote w:id="44">
    <w:p w:rsidR="00F93A89" w:rsidRPr="00D04E93" w:rsidRDefault="00F93A89">
      <w:pPr>
        <w:pStyle w:val="FootnoteText"/>
        <w:rPr>
          <w:i/>
        </w:rPr>
      </w:pPr>
      <w:r w:rsidRPr="00D04E93">
        <w:rPr>
          <w:rStyle w:val="FootnoteReference"/>
        </w:rPr>
        <w:footnoteRef/>
      </w:r>
      <w:r w:rsidRPr="00D04E93">
        <w:t xml:space="preserve"> </w:t>
      </w:r>
      <w:r w:rsidRPr="00D04E93">
        <w:rPr>
          <w:i/>
        </w:rPr>
        <w:t>Id.</w:t>
      </w:r>
    </w:p>
  </w:footnote>
  <w:footnote w:id="45">
    <w:p w:rsidR="00F93A89" w:rsidRPr="00D04E93" w:rsidRDefault="00F93A89">
      <w:pPr>
        <w:pStyle w:val="FootnoteText"/>
      </w:pPr>
      <w:r w:rsidRPr="00D04E93">
        <w:rPr>
          <w:rStyle w:val="FootnoteReference"/>
        </w:rPr>
        <w:footnoteRef/>
      </w:r>
      <w:r w:rsidRPr="00D04E93">
        <w:t xml:space="preserve"> </w:t>
      </w:r>
      <w:r w:rsidRPr="00D04E93">
        <w:rPr>
          <w:i/>
        </w:rPr>
        <w:t>See</w:t>
      </w:r>
      <w:r w:rsidRPr="00D04E93">
        <w:t xml:space="preserve"> 5 U.S.C. § 801(a)(1)(A).</w:t>
      </w:r>
    </w:p>
  </w:footnote>
  <w:footnote w:id="46">
    <w:p w:rsidR="00F93A89" w:rsidRPr="00D04E93" w:rsidRDefault="00F93A89">
      <w:pPr>
        <w:pStyle w:val="FootnoteText"/>
      </w:pPr>
      <w:r w:rsidRPr="00D04E93">
        <w:rPr>
          <w:rStyle w:val="FootnoteReference"/>
        </w:rPr>
        <w:footnoteRef/>
      </w:r>
      <w:r w:rsidRPr="00D04E93">
        <w:t xml:space="preserve"> </w:t>
      </w:r>
      <w:r w:rsidRPr="00D04E93">
        <w:rPr>
          <w:i/>
        </w:rPr>
        <w:t>Id</w:t>
      </w:r>
      <w:r w:rsidRPr="00D04E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A" w:rsidRDefault="009D7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89" w:rsidRDefault="00F93A89" w:rsidP="009355F9">
    <w:pPr>
      <w:pBdr>
        <w:bottom w:val="single" w:sz="12" w:space="1" w:color="auto"/>
      </w:pBdr>
      <w:tabs>
        <w:tab w:val="center" w:pos="4680"/>
        <w:tab w:val="right" w:pos="9360"/>
      </w:tabs>
      <w:jc w:val="center"/>
      <w:rPr>
        <w:b/>
        <w:szCs w:val="24"/>
      </w:rPr>
    </w:pPr>
  </w:p>
  <w:p w:rsidR="00F93A89" w:rsidRDefault="00F93A89" w:rsidP="009355F9">
    <w:pPr>
      <w:pBdr>
        <w:bottom w:val="single" w:sz="12" w:space="1" w:color="auto"/>
      </w:pBdr>
      <w:tabs>
        <w:tab w:val="center" w:pos="4680"/>
        <w:tab w:val="right" w:pos="9360"/>
      </w:tabs>
      <w:jc w:val="center"/>
      <w:rPr>
        <w:b/>
        <w:szCs w:val="24"/>
      </w:rPr>
    </w:pPr>
  </w:p>
  <w:p w:rsidR="00F93A89" w:rsidRDefault="00F93A89" w:rsidP="009355F9">
    <w:pPr>
      <w:pBdr>
        <w:bottom w:val="single" w:sz="12" w:space="1" w:color="auto"/>
      </w:pBdr>
      <w:tabs>
        <w:tab w:val="center" w:pos="4680"/>
        <w:tab w:val="right" w:pos="9360"/>
      </w:tabs>
      <w:jc w:val="center"/>
      <w:rPr>
        <w:b/>
        <w:szCs w:val="24"/>
      </w:rPr>
    </w:pPr>
  </w:p>
  <w:p w:rsidR="00F93A89" w:rsidRDefault="00F93A89" w:rsidP="009355F9">
    <w:pPr>
      <w:pBdr>
        <w:bottom w:val="single" w:sz="12" w:space="1" w:color="auto"/>
      </w:pBdr>
      <w:tabs>
        <w:tab w:val="center" w:pos="4680"/>
        <w:tab w:val="right" w:pos="9360"/>
      </w:tabs>
      <w:jc w:val="center"/>
      <w:rPr>
        <w:b/>
        <w:szCs w:val="24"/>
      </w:rPr>
    </w:pPr>
    <w:r>
      <w:rPr>
        <w:b/>
        <w:szCs w:val="24"/>
      </w:rPr>
      <w:t xml:space="preserve">                                                   Federal Communica</w:t>
    </w:r>
    <w:r w:rsidR="00A45B1D">
      <w:rPr>
        <w:b/>
        <w:szCs w:val="24"/>
      </w:rPr>
      <w:t>tions Commission                                   DA 15-249</w:t>
    </w:r>
    <w:r>
      <w:rPr>
        <w:b/>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89" w:rsidRDefault="00F93A89" w:rsidP="00D2122E">
    <w:pPr>
      <w:pStyle w:val="Header"/>
    </w:pPr>
  </w:p>
  <w:p w:rsidR="00F93A89" w:rsidRDefault="00F93A89" w:rsidP="009355F9">
    <w:pPr>
      <w:pBdr>
        <w:bottom w:val="single" w:sz="12" w:space="1" w:color="auto"/>
      </w:pBdr>
      <w:tabs>
        <w:tab w:val="center" w:pos="4680"/>
        <w:tab w:val="right" w:pos="9360"/>
      </w:tabs>
      <w:jc w:val="center"/>
      <w:rPr>
        <w:b/>
        <w:szCs w:val="24"/>
      </w:rPr>
    </w:pPr>
  </w:p>
  <w:p w:rsidR="00F93A89" w:rsidRDefault="00F93A89" w:rsidP="009355F9">
    <w:pPr>
      <w:pBdr>
        <w:bottom w:val="single" w:sz="12" w:space="1" w:color="auto"/>
      </w:pBdr>
      <w:tabs>
        <w:tab w:val="center" w:pos="4680"/>
        <w:tab w:val="right" w:pos="9360"/>
      </w:tabs>
      <w:jc w:val="center"/>
      <w:rPr>
        <w:b/>
        <w:szCs w:val="24"/>
      </w:rPr>
    </w:pPr>
  </w:p>
  <w:p w:rsidR="00F93A89" w:rsidRPr="00CC1EC1" w:rsidRDefault="00F93A89" w:rsidP="00CC1EC1">
    <w:pPr>
      <w:pBdr>
        <w:bottom w:val="single" w:sz="12" w:space="1" w:color="auto"/>
      </w:pBdr>
      <w:tabs>
        <w:tab w:val="center" w:pos="4680"/>
        <w:tab w:val="right" w:pos="9360"/>
      </w:tabs>
      <w:jc w:val="center"/>
      <w:rPr>
        <w:b/>
        <w:szCs w:val="24"/>
      </w:rPr>
    </w:pPr>
    <w:r>
      <w:rPr>
        <w:b/>
        <w:szCs w:val="24"/>
      </w:rPr>
      <w:t xml:space="preserve">                                                   Federal Communica</w:t>
    </w:r>
    <w:r w:rsidR="00A45B1D">
      <w:rPr>
        <w:b/>
        <w:szCs w:val="24"/>
      </w:rPr>
      <w:t>tions Commission                                 DA 15-249</w:t>
    </w:r>
    <w:r>
      <w:rPr>
        <w:b/>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11953FCE"/>
    <w:multiLevelType w:val="hybridMultilevel"/>
    <w:tmpl w:val="864A66F8"/>
    <w:lvl w:ilvl="0" w:tplc="FFFFFFFF">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D00BEF"/>
    <w:multiLevelType w:val="multilevel"/>
    <w:tmpl w:val="F24C07CC"/>
    <w:lvl w:ilvl="0">
      <w:start w:val="3"/>
      <w:numFmt w:val="decimal"/>
      <w:lvlText w:val="%1"/>
      <w:lvlJc w:val="left"/>
      <w:pPr>
        <w:ind w:left="1005" w:hanging="1005"/>
      </w:pPr>
      <w:rPr>
        <w:rFonts w:hint="default"/>
      </w:rPr>
    </w:lvl>
    <w:lvl w:ilvl="1">
      <w:start w:val="2015"/>
      <w:numFmt w:val="decimal"/>
      <w:lvlText w:val="%1-%2"/>
      <w:lvlJc w:val="left"/>
      <w:pPr>
        <w:ind w:left="2445" w:hanging="1005"/>
      </w:pPr>
      <w:rPr>
        <w:rFonts w:hint="default"/>
      </w:rPr>
    </w:lvl>
    <w:lvl w:ilvl="2">
      <w:start w:val="1"/>
      <w:numFmt w:val="decimal"/>
      <w:lvlText w:val="%1-%2.%3"/>
      <w:lvlJc w:val="left"/>
      <w:pPr>
        <w:ind w:left="3885" w:hanging="1005"/>
      </w:pPr>
      <w:rPr>
        <w:rFonts w:hint="default"/>
      </w:rPr>
    </w:lvl>
    <w:lvl w:ilvl="3">
      <w:start w:val="1"/>
      <w:numFmt w:val="decimal"/>
      <w:lvlText w:val="%1-%2.%3.%4"/>
      <w:lvlJc w:val="left"/>
      <w:pPr>
        <w:ind w:left="5325" w:hanging="100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CC468EF"/>
    <w:multiLevelType w:val="hybridMultilevel"/>
    <w:tmpl w:val="2022189E"/>
    <w:lvl w:ilvl="0" w:tplc="8C423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FE07E17"/>
    <w:multiLevelType w:val="hybridMultilevel"/>
    <w:tmpl w:val="FB1CE84C"/>
    <w:lvl w:ilvl="0" w:tplc="6E066B36">
      <w:start w:val="1"/>
      <w:numFmt w:val="lowerRoman"/>
      <w:lvlText w:val="(%1)"/>
      <w:lvlJc w:val="left"/>
      <w:pPr>
        <w:ind w:left="2160" w:hanging="72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7">
    <w:nsid w:val="59D93575"/>
    <w:multiLevelType w:val="hybridMultilevel"/>
    <w:tmpl w:val="D14E58CA"/>
    <w:lvl w:ilvl="0" w:tplc="10DC3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E75908"/>
    <w:multiLevelType w:val="hybridMultilevel"/>
    <w:tmpl w:val="359024A2"/>
    <w:lvl w:ilvl="0" w:tplc="EF1E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625691D"/>
    <w:multiLevelType w:val="hybridMultilevel"/>
    <w:tmpl w:val="B2F4E8AE"/>
    <w:lvl w:ilvl="0" w:tplc="D0EE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F647F"/>
    <w:multiLevelType w:val="hybridMultilevel"/>
    <w:tmpl w:val="0E24DC76"/>
    <w:lvl w:ilvl="0" w:tplc="A5D67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3668E3"/>
    <w:multiLevelType w:val="hybridMultilevel"/>
    <w:tmpl w:val="884C54E2"/>
    <w:lvl w:ilvl="0" w:tplc="1FB0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147DE3"/>
    <w:multiLevelType w:val="hybridMultilevel"/>
    <w:tmpl w:val="DAC65A38"/>
    <w:lvl w:ilvl="0" w:tplc="C36EF63A">
      <w:start w:val="1"/>
      <w:numFmt w:val="upperLetter"/>
      <w:lvlText w:val="(%1)"/>
      <w:lvlJc w:val="left"/>
      <w:pPr>
        <w:ind w:left="2520" w:hanging="360"/>
      </w:pPr>
      <w:rPr>
        <w:rFonts w:eastAsia="Calibr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4"/>
  </w:num>
  <w:num w:numId="3">
    <w:abstractNumId w:val="16"/>
  </w:num>
  <w:num w:numId="4">
    <w:abstractNumId w:val="5"/>
  </w:num>
  <w:num w:numId="5">
    <w:abstractNumId w:val="3"/>
  </w:num>
  <w:num w:numId="6">
    <w:abstractNumId w:val="2"/>
  </w:num>
  <w:num w:numId="7">
    <w:abstractNumId w:val="1"/>
  </w:num>
  <w:num w:numId="8">
    <w:abstractNumId w:val="0"/>
  </w:num>
  <w:num w:numId="9">
    <w:abstractNumId w:val="13"/>
  </w:num>
  <w:num w:numId="10">
    <w:abstractNumId w:val="7"/>
  </w:num>
  <w:num w:numId="11">
    <w:abstractNumId w:val="19"/>
  </w:num>
  <w:num w:numId="12">
    <w:abstractNumId w:val="9"/>
  </w:num>
  <w:num w:numId="13">
    <w:abstractNumId w:val="14"/>
  </w:num>
  <w:num w:numId="14">
    <w:abstractNumId w:val="10"/>
  </w:num>
  <w:num w:numId="15">
    <w:abstractNumId w:val="6"/>
  </w:num>
  <w:num w:numId="16">
    <w:abstractNumId w:val="17"/>
  </w:num>
  <w:num w:numId="17">
    <w:abstractNumId w:val="22"/>
  </w:num>
  <w:num w:numId="18">
    <w:abstractNumId w:val="15"/>
  </w:num>
  <w:num w:numId="19">
    <w:abstractNumId w:val="18"/>
  </w:num>
  <w:num w:numId="20">
    <w:abstractNumId w:val="12"/>
  </w:num>
  <w:num w:numId="21">
    <w:abstractNumId w:val="20"/>
  </w:num>
  <w:num w:numId="22">
    <w:abstractNumId w:val="21"/>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8"/>
  </w:num>
  <w:num w:numId="28">
    <w:abstractNumId w:val="19"/>
  </w:num>
  <w:num w:numId="29">
    <w:abstractNumId w:val="19"/>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73"/>
    <w:rsid w:val="0000006C"/>
    <w:rsid w:val="000005E4"/>
    <w:rsid w:val="00000667"/>
    <w:rsid w:val="00000F36"/>
    <w:rsid w:val="00001010"/>
    <w:rsid w:val="00001944"/>
    <w:rsid w:val="0000230C"/>
    <w:rsid w:val="0000257B"/>
    <w:rsid w:val="00002ED9"/>
    <w:rsid w:val="000039E3"/>
    <w:rsid w:val="00003CCA"/>
    <w:rsid w:val="00003E33"/>
    <w:rsid w:val="00003F24"/>
    <w:rsid w:val="000047DD"/>
    <w:rsid w:val="000048D0"/>
    <w:rsid w:val="00004A82"/>
    <w:rsid w:val="00004C7D"/>
    <w:rsid w:val="0000547A"/>
    <w:rsid w:val="00005615"/>
    <w:rsid w:val="00005757"/>
    <w:rsid w:val="00005CD3"/>
    <w:rsid w:val="00006872"/>
    <w:rsid w:val="0000692E"/>
    <w:rsid w:val="00006A2D"/>
    <w:rsid w:val="00006CBB"/>
    <w:rsid w:val="00006F8F"/>
    <w:rsid w:val="000072AD"/>
    <w:rsid w:val="00007577"/>
    <w:rsid w:val="00007AF0"/>
    <w:rsid w:val="0001072B"/>
    <w:rsid w:val="00010865"/>
    <w:rsid w:val="00010BC5"/>
    <w:rsid w:val="000119DA"/>
    <w:rsid w:val="000123C9"/>
    <w:rsid w:val="000142C3"/>
    <w:rsid w:val="00014973"/>
    <w:rsid w:val="00015EEC"/>
    <w:rsid w:val="00016089"/>
    <w:rsid w:val="000160D1"/>
    <w:rsid w:val="000160DB"/>
    <w:rsid w:val="000166C8"/>
    <w:rsid w:val="00016F04"/>
    <w:rsid w:val="0001740D"/>
    <w:rsid w:val="000176A9"/>
    <w:rsid w:val="00017CDC"/>
    <w:rsid w:val="00017F6D"/>
    <w:rsid w:val="00020941"/>
    <w:rsid w:val="0002094C"/>
    <w:rsid w:val="00020BE5"/>
    <w:rsid w:val="00020CED"/>
    <w:rsid w:val="00021063"/>
    <w:rsid w:val="00022088"/>
    <w:rsid w:val="000234AF"/>
    <w:rsid w:val="00023D59"/>
    <w:rsid w:val="00023D9F"/>
    <w:rsid w:val="000243CD"/>
    <w:rsid w:val="0002468A"/>
    <w:rsid w:val="00024A63"/>
    <w:rsid w:val="00024ADD"/>
    <w:rsid w:val="00024F60"/>
    <w:rsid w:val="0002723C"/>
    <w:rsid w:val="00027827"/>
    <w:rsid w:val="00027E4C"/>
    <w:rsid w:val="00027F66"/>
    <w:rsid w:val="00030C87"/>
    <w:rsid w:val="00030D7F"/>
    <w:rsid w:val="00031E40"/>
    <w:rsid w:val="0003298F"/>
    <w:rsid w:val="00032B8A"/>
    <w:rsid w:val="00032D51"/>
    <w:rsid w:val="00033185"/>
    <w:rsid w:val="00033E13"/>
    <w:rsid w:val="00034E5E"/>
    <w:rsid w:val="00035B6A"/>
    <w:rsid w:val="0003702C"/>
    <w:rsid w:val="0004010E"/>
    <w:rsid w:val="00040170"/>
    <w:rsid w:val="00040C55"/>
    <w:rsid w:val="00040F29"/>
    <w:rsid w:val="00041164"/>
    <w:rsid w:val="00041551"/>
    <w:rsid w:val="000420A0"/>
    <w:rsid w:val="00042183"/>
    <w:rsid w:val="000423F5"/>
    <w:rsid w:val="00042400"/>
    <w:rsid w:val="00042CA6"/>
    <w:rsid w:val="00043A65"/>
    <w:rsid w:val="0004447C"/>
    <w:rsid w:val="000444B9"/>
    <w:rsid w:val="000444CF"/>
    <w:rsid w:val="00044E1E"/>
    <w:rsid w:val="00044E41"/>
    <w:rsid w:val="00045C55"/>
    <w:rsid w:val="00046197"/>
    <w:rsid w:val="00046349"/>
    <w:rsid w:val="0004647B"/>
    <w:rsid w:val="00046CC1"/>
    <w:rsid w:val="0004726F"/>
    <w:rsid w:val="00047336"/>
    <w:rsid w:val="00047C94"/>
    <w:rsid w:val="00047CB7"/>
    <w:rsid w:val="00050A85"/>
    <w:rsid w:val="00050DDB"/>
    <w:rsid w:val="0005105B"/>
    <w:rsid w:val="00051EF8"/>
    <w:rsid w:val="000527F1"/>
    <w:rsid w:val="00054384"/>
    <w:rsid w:val="00054E7D"/>
    <w:rsid w:val="00055CD5"/>
    <w:rsid w:val="0005643A"/>
    <w:rsid w:val="000569D8"/>
    <w:rsid w:val="00057FE3"/>
    <w:rsid w:val="00060704"/>
    <w:rsid w:val="0006126C"/>
    <w:rsid w:val="000613CA"/>
    <w:rsid w:val="0006149E"/>
    <w:rsid w:val="00061C81"/>
    <w:rsid w:val="00062512"/>
    <w:rsid w:val="0006284B"/>
    <w:rsid w:val="00063690"/>
    <w:rsid w:val="00063EA8"/>
    <w:rsid w:val="00064389"/>
    <w:rsid w:val="000651C8"/>
    <w:rsid w:val="00065380"/>
    <w:rsid w:val="000658DA"/>
    <w:rsid w:val="00065EB7"/>
    <w:rsid w:val="00066534"/>
    <w:rsid w:val="000668D4"/>
    <w:rsid w:val="00066F73"/>
    <w:rsid w:val="000671F8"/>
    <w:rsid w:val="000701D4"/>
    <w:rsid w:val="000711C6"/>
    <w:rsid w:val="000712B7"/>
    <w:rsid w:val="00071781"/>
    <w:rsid w:val="000725FD"/>
    <w:rsid w:val="00072A0E"/>
    <w:rsid w:val="00072DD9"/>
    <w:rsid w:val="00072E85"/>
    <w:rsid w:val="000731A2"/>
    <w:rsid w:val="00073618"/>
    <w:rsid w:val="0007449A"/>
    <w:rsid w:val="00074573"/>
    <w:rsid w:val="00074CAF"/>
    <w:rsid w:val="00075774"/>
    <w:rsid w:val="0007636C"/>
    <w:rsid w:val="00077724"/>
    <w:rsid w:val="00077D20"/>
    <w:rsid w:val="000800C0"/>
    <w:rsid w:val="000816AD"/>
    <w:rsid w:val="000825CD"/>
    <w:rsid w:val="00083351"/>
    <w:rsid w:val="0008338A"/>
    <w:rsid w:val="0008434C"/>
    <w:rsid w:val="000853D7"/>
    <w:rsid w:val="00085793"/>
    <w:rsid w:val="00085A11"/>
    <w:rsid w:val="00086562"/>
    <w:rsid w:val="00086633"/>
    <w:rsid w:val="000870B4"/>
    <w:rsid w:val="0008726C"/>
    <w:rsid w:val="0008750A"/>
    <w:rsid w:val="00090C31"/>
    <w:rsid w:val="000923BC"/>
    <w:rsid w:val="00092F3C"/>
    <w:rsid w:val="0009309A"/>
    <w:rsid w:val="00093117"/>
    <w:rsid w:val="000934A8"/>
    <w:rsid w:val="0009374A"/>
    <w:rsid w:val="00093CE9"/>
    <w:rsid w:val="00093DCE"/>
    <w:rsid w:val="000940B7"/>
    <w:rsid w:val="0009443E"/>
    <w:rsid w:val="000952E7"/>
    <w:rsid w:val="000956CD"/>
    <w:rsid w:val="00095A5A"/>
    <w:rsid w:val="00095B49"/>
    <w:rsid w:val="00095E3C"/>
    <w:rsid w:val="00095E92"/>
    <w:rsid w:val="0009686C"/>
    <w:rsid w:val="00096977"/>
    <w:rsid w:val="000969D9"/>
    <w:rsid w:val="000969DB"/>
    <w:rsid w:val="00096C34"/>
    <w:rsid w:val="00097352"/>
    <w:rsid w:val="0009794F"/>
    <w:rsid w:val="00097F8A"/>
    <w:rsid w:val="000A03B2"/>
    <w:rsid w:val="000A0D6C"/>
    <w:rsid w:val="000A0DA8"/>
    <w:rsid w:val="000A0F58"/>
    <w:rsid w:val="000A14CC"/>
    <w:rsid w:val="000A1815"/>
    <w:rsid w:val="000A1B7A"/>
    <w:rsid w:val="000A22D8"/>
    <w:rsid w:val="000A27E5"/>
    <w:rsid w:val="000A4009"/>
    <w:rsid w:val="000A4050"/>
    <w:rsid w:val="000A4123"/>
    <w:rsid w:val="000A4332"/>
    <w:rsid w:val="000A4371"/>
    <w:rsid w:val="000A4B88"/>
    <w:rsid w:val="000A6AC9"/>
    <w:rsid w:val="000A6C71"/>
    <w:rsid w:val="000A6C77"/>
    <w:rsid w:val="000A6F0E"/>
    <w:rsid w:val="000A7977"/>
    <w:rsid w:val="000B001B"/>
    <w:rsid w:val="000B0886"/>
    <w:rsid w:val="000B0AE0"/>
    <w:rsid w:val="000B1037"/>
    <w:rsid w:val="000B1814"/>
    <w:rsid w:val="000B1B85"/>
    <w:rsid w:val="000B1D9F"/>
    <w:rsid w:val="000B2BAF"/>
    <w:rsid w:val="000B2E9A"/>
    <w:rsid w:val="000B319E"/>
    <w:rsid w:val="000B4376"/>
    <w:rsid w:val="000B4F29"/>
    <w:rsid w:val="000B567B"/>
    <w:rsid w:val="000B5803"/>
    <w:rsid w:val="000B600A"/>
    <w:rsid w:val="000B6536"/>
    <w:rsid w:val="000B6C3D"/>
    <w:rsid w:val="000C02B5"/>
    <w:rsid w:val="000C0C46"/>
    <w:rsid w:val="000C0CAA"/>
    <w:rsid w:val="000C1B28"/>
    <w:rsid w:val="000C2078"/>
    <w:rsid w:val="000C22D4"/>
    <w:rsid w:val="000C25D3"/>
    <w:rsid w:val="000C2A05"/>
    <w:rsid w:val="000C2D50"/>
    <w:rsid w:val="000C35BB"/>
    <w:rsid w:val="000C3EB5"/>
    <w:rsid w:val="000C4B7D"/>
    <w:rsid w:val="000C4B7E"/>
    <w:rsid w:val="000C51D0"/>
    <w:rsid w:val="000C5784"/>
    <w:rsid w:val="000C579C"/>
    <w:rsid w:val="000C65DD"/>
    <w:rsid w:val="000C6B80"/>
    <w:rsid w:val="000C6BC0"/>
    <w:rsid w:val="000C6C7D"/>
    <w:rsid w:val="000C791D"/>
    <w:rsid w:val="000C7E8F"/>
    <w:rsid w:val="000D0B6C"/>
    <w:rsid w:val="000D0E1A"/>
    <w:rsid w:val="000D1F32"/>
    <w:rsid w:val="000D27B4"/>
    <w:rsid w:val="000D31BB"/>
    <w:rsid w:val="000D38E5"/>
    <w:rsid w:val="000D3A0B"/>
    <w:rsid w:val="000D3DD7"/>
    <w:rsid w:val="000D4B91"/>
    <w:rsid w:val="000D5365"/>
    <w:rsid w:val="000D5AF5"/>
    <w:rsid w:val="000D66D6"/>
    <w:rsid w:val="000D6749"/>
    <w:rsid w:val="000D6ABC"/>
    <w:rsid w:val="000D6B20"/>
    <w:rsid w:val="000D6F9D"/>
    <w:rsid w:val="000E0B2C"/>
    <w:rsid w:val="000E142B"/>
    <w:rsid w:val="000E14C6"/>
    <w:rsid w:val="000E156F"/>
    <w:rsid w:val="000E246E"/>
    <w:rsid w:val="000E2501"/>
    <w:rsid w:val="000E265F"/>
    <w:rsid w:val="000E2765"/>
    <w:rsid w:val="000E4EFD"/>
    <w:rsid w:val="000E5203"/>
    <w:rsid w:val="000E6B6F"/>
    <w:rsid w:val="000E6D71"/>
    <w:rsid w:val="000E6E93"/>
    <w:rsid w:val="000E7606"/>
    <w:rsid w:val="000E7E8C"/>
    <w:rsid w:val="000F02DD"/>
    <w:rsid w:val="000F0614"/>
    <w:rsid w:val="000F0875"/>
    <w:rsid w:val="000F0884"/>
    <w:rsid w:val="000F0D30"/>
    <w:rsid w:val="000F0F58"/>
    <w:rsid w:val="000F15A3"/>
    <w:rsid w:val="000F1917"/>
    <w:rsid w:val="000F218B"/>
    <w:rsid w:val="000F4FDF"/>
    <w:rsid w:val="000F5DC3"/>
    <w:rsid w:val="000F60B8"/>
    <w:rsid w:val="000F61F7"/>
    <w:rsid w:val="000F6451"/>
    <w:rsid w:val="000F6719"/>
    <w:rsid w:val="000F7314"/>
    <w:rsid w:val="000F79F0"/>
    <w:rsid w:val="000F7BD1"/>
    <w:rsid w:val="000F7CF6"/>
    <w:rsid w:val="000F7D55"/>
    <w:rsid w:val="0010005A"/>
    <w:rsid w:val="001003FD"/>
    <w:rsid w:val="00100529"/>
    <w:rsid w:val="00101207"/>
    <w:rsid w:val="00101236"/>
    <w:rsid w:val="00101F85"/>
    <w:rsid w:val="00102820"/>
    <w:rsid w:val="00102F36"/>
    <w:rsid w:val="0010318B"/>
    <w:rsid w:val="001033F5"/>
    <w:rsid w:val="00105B03"/>
    <w:rsid w:val="00105CD5"/>
    <w:rsid w:val="00106148"/>
    <w:rsid w:val="001069AF"/>
    <w:rsid w:val="0010799A"/>
    <w:rsid w:val="00107A75"/>
    <w:rsid w:val="00107AF9"/>
    <w:rsid w:val="001105DC"/>
    <w:rsid w:val="0011070A"/>
    <w:rsid w:val="00110971"/>
    <w:rsid w:val="00110C9C"/>
    <w:rsid w:val="0011100E"/>
    <w:rsid w:val="001111DB"/>
    <w:rsid w:val="00111E82"/>
    <w:rsid w:val="00112176"/>
    <w:rsid w:val="0011264D"/>
    <w:rsid w:val="00112842"/>
    <w:rsid w:val="00112907"/>
    <w:rsid w:val="001129BF"/>
    <w:rsid w:val="00112BA8"/>
    <w:rsid w:val="00112CBC"/>
    <w:rsid w:val="00113061"/>
    <w:rsid w:val="0011309C"/>
    <w:rsid w:val="00113209"/>
    <w:rsid w:val="00114E91"/>
    <w:rsid w:val="001151D0"/>
    <w:rsid w:val="00115358"/>
    <w:rsid w:val="00115628"/>
    <w:rsid w:val="00115953"/>
    <w:rsid w:val="00115C8A"/>
    <w:rsid w:val="00116697"/>
    <w:rsid w:val="001167AB"/>
    <w:rsid w:val="00116A19"/>
    <w:rsid w:val="00117453"/>
    <w:rsid w:val="00117519"/>
    <w:rsid w:val="00120C82"/>
    <w:rsid w:val="00120E4B"/>
    <w:rsid w:val="001213FB"/>
    <w:rsid w:val="00121982"/>
    <w:rsid w:val="00122D2F"/>
    <w:rsid w:val="00123360"/>
    <w:rsid w:val="00123424"/>
    <w:rsid w:val="00123651"/>
    <w:rsid w:val="001237E1"/>
    <w:rsid w:val="0012504E"/>
    <w:rsid w:val="0012540C"/>
    <w:rsid w:val="001254DE"/>
    <w:rsid w:val="0012596F"/>
    <w:rsid w:val="001259BD"/>
    <w:rsid w:val="00125C2E"/>
    <w:rsid w:val="0012635C"/>
    <w:rsid w:val="0012642B"/>
    <w:rsid w:val="00126B5D"/>
    <w:rsid w:val="00126DE4"/>
    <w:rsid w:val="00126E51"/>
    <w:rsid w:val="001278D8"/>
    <w:rsid w:val="00127CF9"/>
    <w:rsid w:val="00131466"/>
    <w:rsid w:val="001318F8"/>
    <w:rsid w:val="00131E1E"/>
    <w:rsid w:val="001322F7"/>
    <w:rsid w:val="00133BF9"/>
    <w:rsid w:val="0013438E"/>
    <w:rsid w:val="001347C0"/>
    <w:rsid w:val="00134BA6"/>
    <w:rsid w:val="00135786"/>
    <w:rsid w:val="001366C2"/>
    <w:rsid w:val="0013687C"/>
    <w:rsid w:val="001368E9"/>
    <w:rsid w:val="00136B08"/>
    <w:rsid w:val="00137DDB"/>
    <w:rsid w:val="00140140"/>
    <w:rsid w:val="001402B3"/>
    <w:rsid w:val="00141932"/>
    <w:rsid w:val="00141AD1"/>
    <w:rsid w:val="00142295"/>
    <w:rsid w:val="00142963"/>
    <w:rsid w:val="001429A8"/>
    <w:rsid w:val="00142C9A"/>
    <w:rsid w:val="00143522"/>
    <w:rsid w:val="0014393D"/>
    <w:rsid w:val="001443FF"/>
    <w:rsid w:val="00144730"/>
    <w:rsid w:val="00144C44"/>
    <w:rsid w:val="00144C8C"/>
    <w:rsid w:val="00145439"/>
    <w:rsid w:val="0014608E"/>
    <w:rsid w:val="001461DF"/>
    <w:rsid w:val="00146CDD"/>
    <w:rsid w:val="00147274"/>
    <w:rsid w:val="00147AEE"/>
    <w:rsid w:val="00150871"/>
    <w:rsid w:val="00150E52"/>
    <w:rsid w:val="00150EBB"/>
    <w:rsid w:val="00151026"/>
    <w:rsid w:val="0015108C"/>
    <w:rsid w:val="00151271"/>
    <w:rsid w:val="0015247F"/>
    <w:rsid w:val="001531A2"/>
    <w:rsid w:val="00155D8B"/>
    <w:rsid w:val="0015662D"/>
    <w:rsid w:val="00156C88"/>
    <w:rsid w:val="00156D6F"/>
    <w:rsid w:val="00156F06"/>
    <w:rsid w:val="00157B60"/>
    <w:rsid w:val="00157D5F"/>
    <w:rsid w:val="00157E2B"/>
    <w:rsid w:val="00160200"/>
    <w:rsid w:val="001604C8"/>
    <w:rsid w:val="00160787"/>
    <w:rsid w:val="00160CB9"/>
    <w:rsid w:val="0016197A"/>
    <w:rsid w:val="00161BEE"/>
    <w:rsid w:val="00161E6B"/>
    <w:rsid w:val="00162244"/>
    <w:rsid w:val="00162C59"/>
    <w:rsid w:val="0016330C"/>
    <w:rsid w:val="0016339A"/>
    <w:rsid w:val="001634A1"/>
    <w:rsid w:val="001639A7"/>
    <w:rsid w:val="001649C8"/>
    <w:rsid w:val="0016578D"/>
    <w:rsid w:val="00165960"/>
    <w:rsid w:val="00165DAC"/>
    <w:rsid w:val="00166250"/>
    <w:rsid w:val="00167EB9"/>
    <w:rsid w:val="001703AE"/>
    <w:rsid w:val="0017068E"/>
    <w:rsid w:val="001714FE"/>
    <w:rsid w:val="001734D8"/>
    <w:rsid w:val="00173507"/>
    <w:rsid w:val="00173987"/>
    <w:rsid w:val="00174202"/>
    <w:rsid w:val="0017474D"/>
    <w:rsid w:val="001751DA"/>
    <w:rsid w:val="0017593B"/>
    <w:rsid w:val="00175A08"/>
    <w:rsid w:val="00175B00"/>
    <w:rsid w:val="00175B33"/>
    <w:rsid w:val="001766B2"/>
    <w:rsid w:val="0017691E"/>
    <w:rsid w:val="00177253"/>
    <w:rsid w:val="00177EA8"/>
    <w:rsid w:val="00180598"/>
    <w:rsid w:val="00180722"/>
    <w:rsid w:val="00180B4D"/>
    <w:rsid w:val="0018113B"/>
    <w:rsid w:val="0018130D"/>
    <w:rsid w:val="001816AC"/>
    <w:rsid w:val="00182B0F"/>
    <w:rsid w:val="00182FA0"/>
    <w:rsid w:val="00183092"/>
    <w:rsid w:val="001843E3"/>
    <w:rsid w:val="00184D3F"/>
    <w:rsid w:val="00185EBF"/>
    <w:rsid w:val="00186F59"/>
    <w:rsid w:val="001870BC"/>
    <w:rsid w:val="001870D1"/>
    <w:rsid w:val="0018758E"/>
    <w:rsid w:val="001876F3"/>
    <w:rsid w:val="00187743"/>
    <w:rsid w:val="00190203"/>
    <w:rsid w:val="00190768"/>
    <w:rsid w:val="00190D7F"/>
    <w:rsid w:val="00191126"/>
    <w:rsid w:val="00191151"/>
    <w:rsid w:val="001919F3"/>
    <w:rsid w:val="00191E80"/>
    <w:rsid w:val="00192302"/>
    <w:rsid w:val="00192732"/>
    <w:rsid w:val="001929B2"/>
    <w:rsid w:val="001935BC"/>
    <w:rsid w:val="00193D78"/>
    <w:rsid w:val="0019495C"/>
    <w:rsid w:val="001949E5"/>
    <w:rsid w:val="001949F6"/>
    <w:rsid w:val="00194F6A"/>
    <w:rsid w:val="00195939"/>
    <w:rsid w:val="00196225"/>
    <w:rsid w:val="00196344"/>
    <w:rsid w:val="00196392"/>
    <w:rsid w:val="00196F19"/>
    <w:rsid w:val="001971C4"/>
    <w:rsid w:val="001972AA"/>
    <w:rsid w:val="001A0754"/>
    <w:rsid w:val="001A09FA"/>
    <w:rsid w:val="001A0C26"/>
    <w:rsid w:val="001A18A9"/>
    <w:rsid w:val="001A1A57"/>
    <w:rsid w:val="001A1FDC"/>
    <w:rsid w:val="001A2D5B"/>
    <w:rsid w:val="001A2DED"/>
    <w:rsid w:val="001A2F6C"/>
    <w:rsid w:val="001A4649"/>
    <w:rsid w:val="001A4665"/>
    <w:rsid w:val="001A59B8"/>
    <w:rsid w:val="001A5A21"/>
    <w:rsid w:val="001A5CD0"/>
    <w:rsid w:val="001A5F23"/>
    <w:rsid w:val="001A66DF"/>
    <w:rsid w:val="001A76EE"/>
    <w:rsid w:val="001A7E44"/>
    <w:rsid w:val="001B0A14"/>
    <w:rsid w:val="001B0F57"/>
    <w:rsid w:val="001B227C"/>
    <w:rsid w:val="001B293B"/>
    <w:rsid w:val="001B2C85"/>
    <w:rsid w:val="001B3120"/>
    <w:rsid w:val="001B33BE"/>
    <w:rsid w:val="001B3EB6"/>
    <w:rsid w:val="001B45DA"/>
    <w:rsid w:val="001B4CDE"/>
    <w:rsid w:val="001B50B8"/>
    <w:rsid w:val="001B5274"/>
    <w:rsid w:val="001B5B1C"/>
    <w:rsid w:val="001B5C36"/>
    <w:rsid w:val="001B6713"/>
    <w:rsid w:val="001B6D47"/>
    <w:rsid w:val="001B6D8B"/>
    <w:rsid w:val="001B7E6D"/>
    <w:rsid w:val="001C014B"/>
    <w:rsid w:val="001C0391"/>
    <w:rsid w:val="001C0755"/>
    <w:rsid w:val="001C0C70"/>
    <w:rsid w:val="001C1273"/>
    <w:rsid w:val="001C1AB3"/>
    <w:rsid w:val="001C20F8"/>
    <w:rsid w:val="001C2109"/>
    <w:rsid w:val="001C2D5F"/>
    <w:rsid w:val="001C3330"/>
    <w:rsid w:val="001C3665"/>
    <w:rsid w:val="001C385C"/>
    <w:rsid w:val="001C577C"/>
    <w:rsid w:val="001C5CE6"/>
    <w:rsid w:val="001C6F33"/>
    <w:rsid w:val="001C72BB"/>
    <w:rsid w:val="001C7D03"/>
    <w:rsid w:val="001D0428"/>
    <w:rsid w:val="001D0794"/>
    <w:rsid w:val="001D160E"/>
    <w:rsid w:val="001D1A30"/>
    <w:rsid w:val="001D1AD2"/>
    <w:rsid w:val="001D2E62"/>
    <w:rsid w:val="001D33F4"/>
    <w:rsid w:val="001D3FAA"/>
    <w:rsid w:val="001D5B44"/>
    <w:rsid w:val="001D6000"/>
    <w:rsid w:val="001D66D6"/>
    <w:rsid w:val="001D6790"/>
    <w:rsid w:val="001D7265"/>
    <w:rsid w:val="001E00D5"/>
    <w:rsid w:val="001E0182"/>
    <w:rsid w:val="001E095C"/>
    <w:rsid w:val="001E28BE"/>
    <w:rsid w:val="001E4202"/>
    <w:rsid w:val="001E43D6"/>
    <w:rsid w:val="001E4B91"/>
    <w:rsid w:val="001E5458"/>
    <w:rsid w:val="001E56D8"/>
    <w:rsid w:val="001E6AAA"/>
    <w:rsid w:val="001E6D78"/>
    <w:rsid w:val="001E6FCF"/>
    <w:rsid w:val="001E7500"/>
    <w:rsid w:val="001E7592"/>
    <w:rsid w:val="001E75A1"/>
    <w:rsid w:val="001E7C85"/>
    <w:rsid w:val="001F0237"/>
    <w:rsid w:val="001F06C8"/>
    <w:rsid w:val="001F08EC"/>
    <w:rsid w:val="001F0AF2"/>
    <w:rsid w:val="001F126E"/>
    <w:rsid w:val="001F16B5"/>
    <w:rsid w:val="001F37FC"/>
    <w:rsid w:val="001F3CA4"/>
    <w:rsid w:val="001F40AA"/>
    <w:rsid w:val="001F56E8"/>
    <w:rsid w:val="001F5797"/>
    <w:rsid w:val="001F57F6"/>
    <w:rsid w:val="001F6635"/>
    <w:rsid w:val="001F67F4"/>
    <w:rsid w:val="001F6A0A"/>
    <w:rsid w:val="001F6E77"/>
    <w:rsid w:val="001F7138"/>
    <w:rsid w:val="001F7DD3"/>
    <w:rsid w:val="001F7F77"/>
    <w:rsid w:val="002000F6"/>
    <w:rsid w:val="002014E6"/>
    <w:rsid w:val="002019EC"/>
    <w:rsid w:val="00201E23"/>
    <w:rsid w:val="002022A1"/>
    <w:rsid w:val="00202310"/>
    <w:rsid w:val="002023AD"/>
    <w:rsid w:val="0020444E"/>
    <w:rsid w:val="00204531"/>
    <w:rsid w:val="00204687"/>
    <w:rsid w:val="002054EE"/>
    <w:rsid w:val="0020655B"/>
    <w:rsid w:val="00207B15"/>
    <w:rsid w:val="00210D66"/>
    <w:rsid w:val="002126DA"/>
    <w:rsid w:val="00212BED"/>
    <w:rsid w:val="00212FCA"/>
    <w:rsid w:val="0021329F"/>
    <w:rsid w:val="0021347C"/>
    <w:rsid w:val="002138BE"/>
    <w:rsid w:val="00213D07"/>
    <w:rsid w:val="0021495B"/>
    <w:rsid w:val="00214B86"/>
    <w:rsid w:val="00215133"/>
    <w:rsid w:val="00215527"/>
    <w:rsid w:val="00215B9E"/>
    <w:rsid w:val="00216241"/>
    <w:rsid w:val="002175D6"/>
    <w:rsid w:val="00217A54"/>
    <w:rsid w:val="00217B94"/>
    <w:rsid w:val="00221AFF"/>
    <w:rsid w:val="00222549"/>
    <w:rsid w:val="002227F5"/>
    <w:rsid w:val="00222DA5"/>
    <w:rsid w:val="002231C1"/>
    <w:rsid w:val="002238E3"/>
    <w:rsid w:val="002247F2"/>
    <w:rsid w:val="00225734"/>
    <w:rsid w:val="0022723E"/>
    <w:rsid w:val="002305D8"/>
    <w:rsid w:val="00230766"/>
    <w:rsid w:val="0023089B"/>
    <w:rsid w:val="00230FE7"/>
    <w:rsid w:val="002331BB"/>
    <w:rsid w:val="00233387"/>
    <w:rsid w:val="00233D39"/>
    <w:rsid w:val="002343E1"/>
    <w:rsid w:val="00234465"/>
    <w:rsid w:val="00235147"/>
    <w:rsid w:val="0023668E"/>
    <w:rsid w:val="00236900"/>
    <w:rsid w:val="00236D81"/>
    <w:rsid w:val="0023719B"/>
    <w:rsid w:val="0023745E"/>
    <w:rsid w:val="00237F8F"/>
    <w:rsid w:val="00240484"/>
    <w:rsid w:val="00240864"/>
    <w:rsid w:val="0024122B"/>
    <w:rsid w:val="002412F1"/>
    <w:rsid w:val="00241582"/>
    <w:rsid w:val="00241EFA"/>
    <w:rsid w:val="00243285"/>
    <w:rsid w:val="002437F0"/>
    <w:rsid w:val="00243FF3"/>
    <w:rsid w:val="00244872"/>
    <w:rsid w:val="00245051"/>
    <w:rsid w:val="00245B3C"/>
    <w:rsid w:val="00246841"/>
    <w:rsid w:val="002477C1"/>
    <w:rsid w:val="00250D19"/>
    <w:rsid w:val="00251A04"/>
    <w:rsid w:val="00251BEB"/>
    <w:rsid w:val="002520EE"/>
    <w:rsid w:val="00252F9A"/>
    <w:rsid w:val="002534F2"/>
    <w:rsid w:val="002535E0"/>
    <w:rsid w:val="00253CD2"/>
    <w:rsid w:val="0025436E"/>
    <w:rsid w:val="00254619"/>
    <w:rsid w:val="002555A9"/>
    <w:rsid w:val="00255D59"/>
    <w:rsid w:val="00256465"/>
    <w:rsid w:val="00256F06"/>
    <w:rsid w:val="00256F0B"/>
    <w:rsid w:val="0025715D"/>
    <w:rsid w:val="00257962"/>
    <w:rsid w:val="00257E98"/>
    <w:rsid w:val="00260082"/>
    <w:rsid w:val="002602BC"/>
    <w:rsid w:val="002606D9"/>
    <w:rsid w:val="002607A7"/>
    <w:rsid w:val="00261B0A"/>
    <w:rsid w:val="00262097"/>
    <w:rsid w:val="00262606"/>
    <w:rsid w:val="00262953"/>
    <w:rsid w:val="00265A79"/>
    <w:rsid w:val="00265D24"/>
    <w:rsid w:val="002663E2"/>
    <w:rsid w:val="00266810"/>
    <w:rsid w:val="00267855"/>
    <w:rsid w:val="00267D31"/>
    <w:rsid w:val="00267D45"/>
    <w:rsid w:val="00267E5E"/>
    <w:rsid w:val="00270518"/>
    <w:rsid w:val="00271010"/>
    <w:rsid w:val="00271C2E"/>
    <w:rsid w:val="00271CCF"/>
    <w:rsid w:val="002728DB"/>
    <w:rsid w:val="00272C1D"/>
    <w:rsid w:val="002734F9"/>
    <w:rsid w:val="00273D14"/>
    <w:rsid w:val="00273DF8"/>
    <w:rsid w:val="00273F0B"/>
    <w:rsid w:val="00273F6C"/>
    <w:rsid w:val="002744B8"/>
    <w:rsid w:val="0027462C"/>
    <w:rsid w:val="00275662"/>
    <w:rsid w:val="002758BE"/>
    <w:rsid w:val="00276458"/>
    <w:rsid w:val="00277A66"/>
    <w:rsid w:val="00277E20"/>
    <w:rsid w:val="00277FC3"/>
    <w:rsid w:val="00280552"/>
    <w:rsid w:val="00280FA2"/>
    <w:rsid w:val="0028144C"/>
    <w:rsid w:val="002815C8"/>
    <w:rsid w:val="00281A0C"/>
    <w:rsid w:val="00281B1B"/>
    <w:rsid w:val="00281E03"/>
    <w:rsid w:val="00282BFF"/>
    <w:rsid w:val="00282C00"/>
    <w:rsid w:val="00282FAB"/>
    <w:rsid w:val="0028397A"/>
    <w:rsid w:val="002842A3"/>
    <w:rsid w:val="002844AC"/>
    <w:rsid w:val="002846F0"/>
    <w:rsid w:val="002847A7"/>
    <w:rsid w:val="0028505D"/>
    <w:rsid w:val="00285623"/>
    <w:rsid w:val="0028564F"/>
    <w:rsid w:val="002857E2"/>
    <w:rsid w:val="00285A3B"/>
    <w:rsid w:val="0028664C"/>
    <w:rsid w:val="00286B57"/>
    <w:rsid w:val="002871E0"/>
    <w:rsid w:val="00287AFC"/>
    <w:rsid w:val="002901C3"/>
    <w:rsid w:val="00291475"/>
    <w:rsid w:val="002915DB"/>
    <w:rsid w:val="00291B14"/>
    <w:rsid w:val="00291B29"/>
    <w:rsid w:val="002925FD"/>
    <w:rsid w:val="00292894"/>
    <w:rsid w:val="0029420A"/>
    <w:rsid w:val="00294316"/>
    <w:rsid w:val="00294A88"/>
    <w:rsid w:val="00294B4A"/>
    <w:rsid w:val="00295061"/>
    <w:rsid w:val="00295A2F"/>
    <w:rsid w:val="002967EA"/>
    <w:rsid w:val="00296B2C"/>
    <w:rsid w:val="00296C10"/>
    <w:rsid w:val="002A1A29"/>
    <w:rsid w:val="002A225C"/>
    <w:rsid w:val="002A2297"/>
    <w:rsid w:val="002A2325"/>
    <w:rsid w:val="002A29C2"/>
    <w:rsid w:val="002A2F33"/>
    <w:rsid w:val="002A31EF"/>
    <w:rsid w:val="002A3FAE"/>
    <w:rsid w:val="002A453A"/>
    <w:rsid w:val="002A4810"/>
    <w:rsid w:val="002A558F"/>
    <w:rsid w:val="002A56D1"/>
    <w:rsid w:val="002A58F1"/>
    <w:rsid w:val="002A599D"/>
    <w:rsid w:val="002A6106"/>
    <w:rsid w:val="002A66A5"/>
    <w:rsid w:val="002A6F4D"/>
    <w:rsid w:val="002A7A11"/>
    <w:rsid w:val="002B0505"/>
    <w:rsid w:val="002B0557"/>
    <w:rsid w:val="002B05BC"/>
    <w:rsid w:val="002B0945"/>
    <w:rsid w:val="002B0A4F"/>
    <w:rsid w:val="002B0ACD"/>
    <w:rsid w:val="002B0B43"/>
    <w:rsid w:val="002B0C55"/>
    <w:rsid w:val="002B1D7F"/>
    <w:rsid w:val="002B2A1E"/>
    <w:rsid w:val="002B3185"/>
    <w:rsid w:val="002B3229"/>
    <w:rsid w:val="002B6395"/>
    <w:rsid w:val="002B66B9"/>
    <w:rsid w:val="002B6832"/>
    <w:rsid w:val="002B6C2A"/>
    <w:rsid w:val="002B6E72"/>
    <w:rsid w:val="002B759D"/>
    <w:rsid w:val="002B76C4"/>
    <w:rsid w:val="002B78A0"/>
    <w:rsid w:val="002B79B0"/>
    <w:rsid w:val="002C04A4"/>
    <w:rsid w:val="002C1132"/>
    <w:rsid w:val="002C1343"/>
    <w:rsid w:val="002C295B"/>
    <w:rsid w:val="002C339E"/>
    <w:rsid w:val="002C3F1B"/>
    <w:rsid w:val="002C4446"/>
    <w:rsid w:val="002C5CD9"/>
    <w:rsid w:val="002C68F0"/>
    <w:rsid w:val="002C723D"/>
    <w:rsid w:val="002C7966"/>
    <w:rsid w:val="002D0436"/>
    <w:rsid w:val="002D045A"/>
    <w:rsid w:val="002D0993"/>
    <w:rsid w:val="002D151A"/>
    <w:rsid w:val="002D1690"/>
    <w:rsid w:val="002D198A"/>
    <w:rsid w:val="002D25C4"/>
    <w:rsid w:val="002D2800"/>
    <w:rsid w:val="002D2B7A"/>
    <w:rsid w:val="002D4137"/>
    <w:rsid w:val="002D4BEC"/>
    <w:rsid w:val="002D5936"/>
    <w:rsid w:val="002D6717"/>
    <w:rsid w:val="002D7B77"/>
    <w:rsid w:val="002E1A07"/>
    <w:rsid w:val="002E239C"/>
    <w:rsid w:val="002E248A"/>
    <w:rsid w:val="002E27C8"/>
    <w:rsid w:val="002E2920"/>
    <w:rsid w:val="002E2992"/>
    <w:rsid w:val="002E2BFD"/>
    <w:rsid w:val="002E2EC6"/>
    <w:rsid w:val="002E2EE9"/>
    <w:rsid w:val="002E34A4"/>
    <w:rsid w:val="002E357F"/>
    <w:rsid w:val="002E3690"/>
    <w:rsid w:val="002E3C07"/>
    <w:rsid w:val="002E3D24"/>
    <w:rsid w:val="002E4A18"/>
    <w:rsid w:val="002E4A4A"/>
    <w:rsid w:val="002E4DD6"/>
    <w:rsid w:val="002E508C"/>
    <w:rsid w:val="002E5662"/>
    <w:rsid w:val="002E579F"/>
    <w:rsid w:val="002E638C"/>
    <w:rsid w:val="002E6991"/>
    <w:rsid w:val="002E6A09"/>
    <w:rsid w:val="002E6FD3"/>
    <w:rsid w:val="002E72D6"/>
    <w:rsid w:val="002E7A0A"/>
    <w:rsid w:val="002F018F"/>
    <w:rsid w:val="002F04ED"/>
    <w:rsid w:val="002F0D1B"/>
    <w:rsid w:val="002F0D91"/>
    <w:rsid w:val="002F115C"/>
    <w:rsid w:val="002F120A"/>
    <w:rsid w:val="002F14EC"/>
    <w:rsid w:val="002F1519"/>
    <w:rsid w:val="002F1D28"/>
    <w:rsid w:val="002F1D9A"/>
    <w:rsid w:val="002F26F9"/>
    <w:rsid w:val="002F2DB8"/>
    <w:rsid w:val="002F30A0"/>
    <w:rsid w:val="002F311A"/>
    <w:rsid w:val="002F4E3A"/>
    <w:rsid w:val="002F50FB"/>
    <w:rsid w:val="002F5600"/>
    <w:rsid w:val="002F6778"/>
    <w:rsid w:val="002F6D3F"/>
    <w:rsid w:val="002F6EB8"/>
    <w:rsid w:val="002F74C1"/>
    <w:rsid w:val="0030014A"/>
    <w:rsid w:val="0030033F"/>
    <w:rsid w:val="00300DCC"/>
    <w:rsid w:val="003016E2"/>
    <w:rsid w:val="003018AB"/>
    <w:rsid w:val="003020C7"/>
    <w:rsid w:val="00302198"/>
    <w:rsid w:val="00302440"/>
    <w:rsid w:val="0030259E"/>
    <w:rsid w:val="00302DA6"/>
    <w:rsid w:val="003031E9"/>
    <w:rsid w:val="00303606"/>
    <w:rsid w:val="003039B3"/>
    <w:rsid w:val="00303A64"/>
    <w:rsid w:val="00304446"/>
    <w:rsid w:val="003044D2"/>
    <w:rsid w:val="0030492A"/>
    <w:rsid w:val="00305178"/>
    <w:rsid w:val="003052A7"/>
    <w:rsid w:val="003062D5"/>
    <w:rsid w:val="0030653C"/>
    <w:rsid w:val="00306E82"/>
    <w:rsid w:val="00307D65"/>
    <w:rsid w:val="00307DE2"/>
    <w:rsid w:val="0031050D"/>
    <w:rsid w:val="00310E7C"/>
    <w:rsid w:val="0031172B"/>
    <w:rsid w:val="00313535"/>
    <w:rsid w:val="00313982"/>
    <w:rsid w:val="003139F7"/>
    <w:rsid w:val="00314187"/>
    <w:rsid w:val="003141B1"/>
    <w:rsid w:val="0031422F"/>
    <w:rsid w:val="00315BAB"/>
    <w:rsid w:val="00315CCE"/>
    <w:rsid w:val="00315EC7"/>
    <w:rsid w:val="00316A9E"/>
    <w:rsid w:val="003177FB"/>
    <w:rsid w:val="0031789D"/>
    <w:rsid w:val="003179A2"/>
    <w:rsid w:val="00317E27"/>
    <w:rsid w:val="00317FAE"/>
    <w:rsid w:val="003203C4"/>
    <w:rsid w:val="00320C55"/>
    <w:rsid w:val="0032105E"/>
    <w:rsid w:val="003218BC"/>
    <w:rsid w:val="003220E4"/>
    <w:rsid w:val="003226E4"/>
    <w:rsid w:val="00322B1F"/>
    <w:rsid w:val="00322B5B"/>
    <w:rsid w:val="00323071"/>
    <w:rsid w:val="00323A0B"/>
    <w:rsid w:val="00323E8D"/>
    <w:rsid w:val="003241F7"/>
    <w:rsid w:val="0032483D"/>
    <w:rsid w:val="00324F55"/>
    <w:rsid w:val="00327E90"/>
    <w:rsid w:val="00330171"/>
    <w:rsid w:val="00331DBC"/>
    <w:rsid w:val="0033393D"/>
    <w:rsid w:val="00333ACD"/>
    <w:rsid w:val="00333C44"/>
    <w:rsid w:val="00334151"/>
    <w:rsid w:val="00334180"/>
    <w:rsid w:val="003342DF"/>
    <w:rsid w:val="003343B1"/>
    <w:rsid w:val="00335099"/>
    <w:rsid w:val="003361E2"/>
    <w:rsid w:val="00336333"/>
    <w:rsid w:val="003367B8"/>
    <w:rsid w:val="00336B8C"/>
    <w:rsid w:val="0033769E"/>
    <w:rsid w:val="00340D55"/>
    <w:rsid w:val="00340FCD"/>
    <w:rsid w:val="00341392"/>
    <w:rsid w:val="00341DD3"/>
    <w:rsid w:val="00342CCF"/>
    <w:rsid w:val="0034303F"/>
    <w:rsid w:val="00343067"/>
    <w:rsid w:val="00343118"/>
    <w:rsid w:val="0034396E"/>
    <w:rsid w:val="00343E13"/>
    <w:rsid w:val="00344360"/>
    <w:rsid w:val="00344854"/>
    <w:rsid w:val="003453C2"/>
    <w:rsid w:val="00346522"/>
    <w:rsid w:val="00346550"/>
    <w:rsid w:val="00346BA7"/>
    <w:rsid w:val="00346CFE"/>
    <w:rsid w:val="003476E6"/>
    <w:rsid w:val="00347B0E"/>
    <w:rsid w:val="003503AD"/>
    <w:rsid w:val="003514FD"/>
    <w:rsid w:val="0035175B"/>
    <w:rsid w:val="00351D5A"/>
    <w:rsid w:val="0035235C"/>
    <w:rsid w:val="00352455"/>
    <w:rsid w:val="00352C09"/>
    <w:rsid w:val="00352EF3"/>
    <w:rsid w:val="0035353E"/>
    <w:rsid w:val="00354097"/>
    <w:rsid w:val="003542C9"/>
    <w:rsid w:val="003545B4"/>
    <w:rsid w:val="00354717"/>
    <w:rsid w:val="00354A3C"/>
    <w:rsid w:val="00354AD2"/>
    <w:rsid w:val="00354C49"/>
    <w:rsid w:val="0035524D"/>
    <w:rsid w:val="00355906"/>
    <w:rsid w:val="003567F1"/>
    <w:rsid w:val="00356CFA"/>
    <w:rsid w:val="003601DC"/>
    <w:rsid w:val="003609E4"/>
    <w:rsid w:val="003611FA"/>
    <w:rsid w:val="003618FD"/>
    <w:rsid w:val="00361BD5"/>
    <w:rsid w:val="00361D3C"/>
    <w:rsid w:val="00362B7F"/>
    <w:rsid w:val="0036453D"/>
    <w:rsid w:val="003647F9"/>
    <w:rsid w:val="00364DA5"/>
    <w:rsid w:val="00364F6C"/>
    <w:rsid w:val="003654BC"/>
    <w:rsid w:val="00365732"/>
    <w:rsid w:val="00365D6D"/>
    <w:rsid w:val="00365E5E"/>
    <w:rsid w:val="00366E0A"/>
    <w:rsid w:val="00367D29"/>
    <w:rsid w:val="00367EA9"/>
    <w:rsid w:val="0037006F"/>
    <w:rsid w:val="0037057B"/>
    <w:rsid w:val="003705BE"/>
    <w:rsid w:val="003711C8"/>
    <w:rsid w:val="00371F7C"/>
    <w:rsid w:val="00372713"/>
    <w:rsid w:val="0037274E"/>
    <w:rsid w:val="0037289E"/>
    <w:rsid w:val="00373796"/>
    <w:rsid w:val="003741CA"/>
    <w:rsid w:val="003746CE"/>
    <w:rsid w:val="00375292"/>
    <w:rsid w:val="00375BB5"/>
    <w:rsid w:val="00375F72"/>
    <w:rsid w:val="003768F6"/>
    <w:rsid w:val="00376DA3"/>
    <w:rsid w:val="00377162"/>
    <w:rsid w:val="0037717B"/>
    <w:rsid w:val="003772B6"/>
    <w:rsid w:val="00377647"/>
    <w:rsid w:val="00377879"/>
    <w:rsid w:val="003807D9"/>
    <w:rsid w:val="00380F3B"/>
    <w:rsid w:val="00380F49"/>
    <w:rsid w:val="00381204"/>
    <w:rsid w:val="00382276"/>
    <w:rsid w:val="0038288D"/>
    <w:rsid w:val="003828EA"/>
    <w:rsid w:val="00382B22"/>
    <w:rsid w:val="00382EC7"/>
    <w:rsid w:val="00383F4F"/>
    <w:rsid w:val="00384066"/>
    <w:rsid w:val="00384793"/>
    <w:rsid w:val="00384A97"/>
    <w:rsid w:val="00384CDA"/>
    <w:rsid w:val="00385BE7"/>
    <w:rsid w:val="00385F3E"/>
    <w:rsid w:val="0038618C"/>
    <w:rsid w:val="003866D8"/>
    <w:rsid w:val="00386948"/>
    <w:rsid w:val="003877EF"/>
    <w:rsid w:val="0038794C"/>
    <w:rsid w:val="00390045"/>
    <w:rsid w:val="003902AD"/>
    <w:rsid w:val="00392508"/>
    <w:rsid w:val="0039252C"/>
    <w:rsid w:val="00393A1F"/>
    <w:rsid w:val="00393EB4"/>
    <w:rsid w:val="003949F9"/>
    <w:rsid w:val="00394AD4"/>
    <w:rsid w:val="003958AD"/>
    <w:rsid w:val="00395C85"/>
    <w:rsid w:val="0039702B"/>
    <w:rsid w:val="00397212"/>
    <w:rsid w:val="0039724C"/>
    <w:rsid w:val="00397ADB"/>
    <w:rsid w:val="00397B8A"/>
    <w:rsid w:val="003A06EF"/>
    <w:rsid w:val="003A147A"/>
    <w:rsid w:val="003A1743"/>
    <w:rsid w:val="003A174F"/>
    <w:rsid w:val="003A1C04"/>
    <w:rsid w:val="003A1D67"/>
    <w:rsid w:val="003A1DA3"/>
    <w:rsid w:val="003A1E6A"/>
    <w:rsid w:val="003A2032"/>
    <w:rsid w:val="003A211F"/>
    <w:rsid w:val="003A2E1D"/>
    <w:rsid w:val="003A343A"/>
    <w:rsid w:val="003A7196"/>
    <w:rsid w:val="003A7C5F"/>
    <w:rsid w:val="003B0470"/>
    <w:rsid w:val="003B07DF"/>
    <w:rsid w:val="003B0844"/>
    <w:rsid w:val="003B0F3A"/>
    <w:rsid w:val="003B193D"/>
    <w:rsid w:val="003B2283"/>
    <w:rsid w:val="003B3C1F"/>
    <w:rsid w:val="003B4052"/>
    <w:rsid w:val="003B41D5"/>
    <w:rsid w:val="003B4B5D"/>
    <w:rsid w:val="003B4EF5"/>
    <w:rsid w:val="003B7145"/>
    <w:rsid w:val="003B751C"/>
    <w:rsid w:val="003B798E"/>
    <w:rsid w:val="003C0288"/>
    <w:rsid w:val="003C0973"/>
    <w:rsid w:val="003C0DA7"/>
    <w:rsid w:val="003C119B"/>
    <w:rsid w:val="003C1727"/>
    <w:rsid w:val="003C1CA6"/>
    <w:rsid w:val="003C263A"/>
    <w:rsid w:val="003C265C"/>
    <w:rsid w:val="003C2C0A"/>
    <w:rsid w:val="003C2F5E"/>
    <w:rsid w:val="003C334A"/>
    <w:rsid w:val="003C4E65"/>
    <w:rsid w:val="003C4EC8"/>
    <w:rsid w:val="003C6585"/>
    <w:rsid w:val="003C6952"/>
    <w:rsid w:val="003C6B6C"/>
    <w:rsid w:val="003C7554"/>
    <w:rsid w:val="003C79EC"/>
    <w:rsid w:val="003C7D04"/>
    <w:rsid w:val="003D016C"/>
    <w:rsid w:val="003D05B1"/>
    <w:rsid w:val="003D0878"/>
    <w:rsid w:val="003D08D8"/>
    <w:rsid w:val="003D09E2"/>
    <w:rsid w:val="003D1135"/>
    <w:rsid w:val="003D13DE"/>
    <w:rsid w:val="003D1690"/>
    <w:rsid w:val="003D1697"/>
    <w:rsid w:val="003D1B31"/>
    <w:rsid w:val="003D3071"/>
    <w:rsid w:val="003D31F2"/>
    <w:rsid w:val="003D324F"/>
    <w:rsid w:val="003D33A5"/>
    <w:rsid w:val="003D358B"/>
    <w:rsid w:val="003D46F7"/>
    <w:rsid w:val="003D4BF0"/>
    <w:rsid w:val="003D4FC0"/>
    <w:rsid w:val="003D59E6"/>
    <w:rsid w:val="003D5F80"/>
    <w:rsid w:val="003D66EB"/>
    <w:rsid w:val="003D7D44"/>
    <w:rsid w:val="003D7D99"/>
    <w:rsid w:val="003E015A"/>
    <w:rsid w:val="003E23E8"/>
    <w:rsid w:val="003E25B6"/>
    <w:rsid w:val="003E26DD"/>
    <w:rsid w:val="003E2A4E"/>
    <w:rsid w:val="003E36C6"/>
    <w:rsid w:val="003E3DDA"/>
    <w:rsid w:val="003E5582"/>
    <w:rsid w:val="003E565A"/>
    <w:rsid w:val="003E5A62"/>
    <w:rsid w:val="003E5B4B"/>
    <w:rsid w:val="003E61B5"/>
    <w:rsid w:val="003E705D"/>
    <w:rsid w:val="003E722B"/>
    <w:rsid w:val="003E73E7"/>
    <w:rsid w:val="003E7A1B"/>
    <w:rsid w:val="003E7ED9"/>
    <w:rsid w:val="003F04AC"/>
    <w:rsid w:val="003F08F1"/>
    <w:rsid w:val="003F0AB7"/>
    <w:rsid w:val="003F0B0C"/>
    <w:rsid w:val="003F1517"/>
    <w:rsid w:val="003F179E"/>
    <w:rsid w:val="003F1C5C"/>
    <w:rsid w:val="003F3CDF"/>
    <w:rsid w:val="003F3D76"/>
    <w:rsid w:val="003F4084"/>
    <w:rsid w:val="003F50BB"/>
    <w:rsid w:val="003F50FD"/>
    <w:rsid w:val="003F515D"/>
    <w:rsid w:val="003F5511"/>
    <w:rsid w:val="003F6015"/>
    <w:rsid w:val="003F6810"/>
    <w:rsid w:val="003F72F1"/>
    <w:rsid w:val="003F7C4F"/>
    <w:rsid w:val="00400501"/>
    <w:rsid w:val="00400C55"/>
    <w:rsid w:val="0040107B"/>
    <w:rsid w:val="00403256"/>
    <w:rsid w:val="004033C3"/>
    <w:rsid w:val="00404718"/>
    <w:rsid w:val="00404BEF"/>
    <w:rsid w:val="00404F70"/>
    <w:rsid w:val="00405429"/>
    <w:rsid w:val="00405E70"/>
    <w:rsid w:val="00406624"/>
    <w:rsid w:val="00406949"/>
    <w:rsid w:val="00406DB8"/>
    <w:rsid w:val="00407418"/>
    <w:rsid w:val="004075FF"/>
    <w:rsid w:val="00410962"/>
    <w:rsid w:val="00411044"/>
    <w:rsid w:val="004112B2"/>
    <w:rsid w:val="00411859"/>
    <w:rsid w:val="00411AFE"/>
    <w:rsid w:val="004122BE"/>
    <w:rsid w:val="004123C8"/>
    <w:rsid w:val="004134F7"/>
    <w:rsid w:val="004138A2"/>
    <w:rsid w:val="00413AE1"/>
    <w:rsid w:val="0041470D"/>
    <w:rsid w:val="00414DE7"/>
    <w:rsid w:val="00414E3B"/>
    <w:rsid w:val="004153B3"/>
    <w:rsid w:val="004156E0"/>
    <w:rsid w:val="004160B5"/>
    <w:rsid w:val="004162F0"/>
    <w:rsid w:val="00416734"/>
    <w:rsid w:val="004173CC"/>
    <w:rsid w:val="004178E5"/>
    <w:rsid w:val="0041796D"/>
    <w:rsid w:val="00420B6B"/>
    <w:rsid w:val="0042165B"/>
    <w:rsid w:val="004219C9"/>
    <w:rsid w:val="004224A1"/>
    <w:rsid w:val="00422500"/>
    <w:rsid w:val="0042275C"/>
    <w:rsid w:val="00422D08"/>
    <w:rsid w:val="00423054"/>
    <w:rsid w:val="00423326"/>
    <w:rsid w:val="00424330"/>
    <w:rsid w:val="0042447D"/>
    <w:rsid w:val="00424653"/>
    <w:rsid w:val="00424AA1"/>
    <w:rsid w:val="00424FC7"/>
    <w:rsid w:val="00425A40"/>
    <w:rsid w:val="00425BEB"/>
    <w:rsid w:val="00427057"/>
    <w:rsid w:val="004278A8"/>
    <w:rsid w:val="00427A81"/>
    <w:rsid w:val="00427AD7"/>
    <w:rsid w:val="00427F31"/>
    <w:rsid w:val="004303D9"/>
    <w:rsid w:val="00430EDA"/>
    <w:rsid w:val="004319EC"/>
    <w:rsid w:val="004324F2"/>
    <w:rsid w:val="00432A6F"/>
    <w:rsid w:val="0043384D"/>
    <w:rsid w:val="004338C6"/>
    <w:rsid w:val="004338E3"/>
    <w:rsid w:val="00433A4F"/>
    <w:rsid w:val="00433F6A"/>
    <w:rsid w:val="0043404C"/>
    <w:rsid w:val="004342EC"/>
    <w:rsid w:val="00434FAD"/>
    <w:rsid w:val="0043527B"/>
    <w:rsid w:val="00435F3C"/>
    <w:rsid w:val="00436220"/>
    <w:rsid w:val="00436AAA"/>
    <w:rsid w:val="00437464"/>
    <w:rsid w:val="004374AF"/>
    <w:rsid w:val="0043770E"/>
    <w:rsid w:val="00437970"/>
    <w:rsid w:val="004400DB"/>
    <w:rsid w:val="00440359"/>
    <w:rsid w:val="0044167A"/>
    <w:rsid w:val="00441E44"/>
    <w:rsid w:val="00442515"/>
    <w:rsid w:val="004425E0"/>
    <w:rsid w:val="0044260A"/>
    <w:rsid w:val="004428F1"/>
    <w:rsid w:val="00442FDF"/>
    <w:rsid w:val="004432B8"/>
    <w:rsid w:val="00443905"/>
    <w:rsid w:val="00443BC2"/>
    <w:rsid w:val="00443BE5"/>
    <w:rsid w:val="004446A7"/>
    <w:rsid w:val="00446458"/>
    <w:rsid w:val="00446639"/>
    <w:rsid w:val="00446CB7"/>
    <w:rsid w:val="00447EAA"/>
    <w:rsid w:val="00450D31"/>
    <w:rsid w:val="00451792"/>
    <w:rsid w:val="00451833"/>
    <w:rsid w:val="00452767"/>
    <w:rsid w:val="00452935"/>
    <w:rsid w:val="00452AC4"/>
    <w:rsid w:val="00452C4E"/>
    <w:rsid w:val="00452CD8"/>
    <w:rsid w:val="004536E5"/>
    <w:rsid w:val="004536F3"/>
    <w:rsid w:val="00454B52"/>
    <w:rsid w:val="0045654B"/>
    <w:rsid w:val="00457556"/>
    <w:rsid w:val="004578CF"/>
    <w:rsid w:val="00457E55"/>
    <w:rsid w:val="00457EDC"/>
    <w:rsid w:val="00460B01"/>
    <w:rsid w:val="004610B7"/>
    <w:rsid w:val="004614CA"/>
    <w:rsid w:val="00461E8C"/>
    <w:rsid w:val="00462193"/>
    <w:rsid w:val="0046374A"/>
    <w:rsid w:val="00463BFF"/>
    <w:rsid w:val="004645B6"/>
    <w:rsid w:val="00464AF3"/>
    <w:rsid w:val="00465106"/>
    <w:rsid w:val="004664A1"/>
    <w:rsid w:val="00466837"/>
    <w:rsid w:val="004675BB"/>
    <w:rsid w:val="004677A8"/>
    <w:rsid w:val="004701F2"/>
    <w:rsid w:val="00470658"/>
    <w:rsid w:val="0047088D"/>
    <w:rsid w:val="00471B20"/>
    <w:rsid w:val="00471CAC"/>
    <w:rsid w:val="00471D20"/>
    <w:rsid w:val="00472A56"/>
    <w:rsid w:val="00473767"/>
    <w:rsid w:val="004744E0"/>
    <w:rsid w:val="00474744"/>
    <w:rsid w:val="00476450"/>
    <w:rsid w:val="00476724"/>
    <w:rsid w:val="00476C0A"/>
    <w:rsid w:val="004773A1"/>
    <w:rsid w:val="004777D7"/>
    <w:rsid w:val="004777FA"/>
    <w:rsid w:val="004778D4"/>
    <w:rsid w:val="00477F21"/>
    <w:rsid w:val="00480508"/>
    <w:rsid w:val="00480869"/>
    <w:rsid w:val="004824B9"/>
    <w:rsid w:val="0048263C"/>
    <w:rsid w:val="00483061"/>
    <w:rsid w:val="0048324D"/>
    <w:rsid w:val="0048357C"/>
    <w:rsid w:val="00483D23"/>
    <w:rsid w:val="00483FAD"/>
    <w:rsid w:val="004844A2"/>
    <w:rsid w:val="00484653"/>
    <w:rsid w:val="00484CF1"/>
    <w:rsid w:val="00484D89"/>
    <w:rsid w:val="004861DE"/>
    <w:rsid w:val="004868F2"/>
    <w:rsid w:val="00486BD9"/>
    <w:rsid w:val="00487812"/>
    <w:rsid w:val="00487C5A"/>
    <w:rsid w:val="004907B0"/>
    <w:rsid w:val="0049205F"/>
    <w:rsid w:val="00492D7C"/>
    <w:rsid w:val="00492F22"/>
    <w:rsid w:val="00493504"/>
    <w:rsid w:val="00494123"/>
    <w:rsid w:val="00494E5F"/>
    <w:rsid w:val="004961EF"/>
    <w:rsid w:val="004967C6"/>
    <w:rsid w:val="00496ED5"/>
    <w:rsid w:val="00497245"/>
    <w:rsid w:val="004A027D"/>
    <w:rsid w:val="004A03EB"/>
    <w:rsid w:val="004A0867"/>
    <w:rsid w:val="004A0F88"/>
    <w:rsid w:val="004A13EC"/>
    <w:rsid w:val="004A1857"/>
    <w:rsid w:val="004A1B08"/>
    <w:rsid w:val="004A22A6"/>
    <w:rsid w:val="004A25E6"/>
    <w:rsid w:val="004A2632"/>
    <w:rsid w:val="004A2707"/>
    <w:rsid w:val="004A3C64"/>
    <w:rsid w:val="004A45A3"/>
    <w:rsid w:val="004A479A"/>
    <w:rsid w:val="004A4885"/>
    <w:rsid w:val="004A6520"/>
    <w:rsid w:val="004A6598"/>
    <w:rsid w:val="004A6908"/>
    <w:rsid w:val="004A7B0F"/>
    <w:rsid w:val="004A7D36"/>
    <w:rsid w:val="004A7E38"/>
    <w:rsid w:val="004B03AA"/>
    <w:rsid w:val="004B12CC"/>
    <w:rsid w:val="004B1969"/>
    <w:rsid w:val="004B1FA2"/>
    <w:rsid w:val="004B20C4"/>
    <w:rsid w:val="004B22A6"/>
    <w:rsid w:val="004B22D4"/>
    <w:rsid w:val="004B3FF1"/>
    <w:rsid w:val="004B4001"/>
    <w:rsid w:val="004B401F"/>
    <w:rsid w:val="004B4203"/>
    <w:rsid w:val="004B5C5D"/>
    <w:rsid w:val="004B605D"/>
    <w:rsid w:val="004B61C8"/>
    <w:rsid w:val="004B625D"/>
    <w:rsid w:val="004B666F"/>
    <w:rsid w:val="004B6790"/>
    <w:rsid w:val="004B686B"/>
    <w:rsid w:val="004B6C99"/>
    <w:rsid w:val="004B6EA3"/>
    <w:rsid w:val="004B7933"/>
    <w:rsid w:val="004C05EA"/>
    <w:rsid w:val="004C0CA2"/>
    <w:rsid w:val="004C0F74"/>
    <w:rsid w:val="004C115D"/>
    <w:rsid w:val="004C146E"/>
    <w:rsid w:val="004C14B7"/>
    <w:rsid w:val="004C174E"/>
    <w:rsid w:val="004C2357"/>
    <w:rsid w:val="004C28C4"/>
    <w:rsid w:val="004C2B26"/>
    <w:rsid w:val="004C2B72"/>
    <w:rsid w:val="004C2D49"/>
    <w:rsid w:val="004C3199"/>
    <w:rsid w:val="004C3653"/>
    <w:rsid w:val="004C3BE3"/>
    <w:rsid w:val="004C4788"/>
    <w:rsid w:val="004C5825"/>
    <w:rsid w:val="004C5DEA"/>
    <w:rsid w:val="004C6B98"/>
    <w:rsid w:val="004C7998"/>
    <w:rsid w:val="004C7B42"/>
    <w:rsid w:val="004D09CD"/>
    <w:rsid w:val="004D09E0"/>
    <w:rsid w:val="004D0E4B"/>
    <w:rsid w:val="004D1043"/>
    <w:rsid w:val="004D189C"/>
    <w:rsid w:val="004D1CD2"/>
    <w:rsid w:val="004D1F28"/>
    <w:rsid w:val="004D278C"/>
    <w:rsid w:val="004D3159"/>
    <w:rsid w:val="004D3359"/>
    <w:rsid w:val="004D3CA0"/>
    <w:rsid w:val="004D4054"/>
    <w:rsid w:val="004D45E1"/>
    <w:rsid w:val="004D49AB"/>
    <w:rsid w:val="004D52C4"/>
    <w:rsid w:val="004D5EEC"/>
    <w:rsid w:val="004D62EC"/>
    <w:rsid w:val="004D6AB8"/>
    <w:rsid w:val="004D765A"/>
    <w:rsid w:val="004E0337"/>
    <w:rsid w:val="004E0A4F"/>
    <w:rsid w:val="004E17E8"/>
    <w:rsid w:val="004E1812"/>
    <w:rsid w:val="004E1906"/>
    <w:rsid w:val="004E1DD8"/>
    <w:rsid w:val="004E3120"/>
    <w:rsid w:val="004E3FB2"/>
    <w:rsid w:val="004E4004"/>
    <w:rsid w:val="004E404E"/>
    <w:rsid w:val="004E4657"/>
    <w:rsid w:val="004E4F08"/>
    <w:rsid w:val="004E5952"/>
    <w:rsid w:val="004E5AFF"/>
    <w:rsid w:val="004E5C93"/>
    <w:rsid w:val="004E752F"/>
    <w:rsid w:val="004E7B95"/>
    <w:rsid w:val="004E7DEF"/>
    <w:rsid w:val="004F02B5"/>
    <w:rsid w:val="004F02B9"/>
    <w:rsid w:val="004F0A07"/>
    <w:rsid w:val="004F18C2"/>
    <w:rsid w:val="004F22C7"/>
    <w:rsid w:val="004F46C2"/>
    <w:rsid w:val="004F4D72"/>
    <w:rsid w:val="004F52FD"/>
    <w:rsid w:val="004F5302"/>
    <w:rsid w:val="004F594D"/>
    <w:rsid w:val="004F6775"/>
    <w:rsid w:val="004F6B87"/>
    <w:rsid w:val="004F6BAC"/>
    <w:rsid w:val="004F6E3D"/>
    <w:rsid w:val="004F7FB8"/>
    <w:rsid w:val="0050068C"/>
    <w:rsid w:val="00500B4E"/>
    <w:rsid w:val="00500DAF"/>
    <w:rsid w:val="00500ECF"/>
    <w:rsid w:val="00501668"/>
    <w:rsid w:val="00501710"/>
    <w:rsid w:val="00501989"/>
    <w:rsid w:val="00501A80"/>
    <w:rsid w:val="00501A8F"/>
    <w:rsid w:val="00502D45"/>
    <w:rsid w:val="00502EC5"/>
    <w:rsid w:val="005035BE"/>
    <w:rsid w:val="00504281"/>
    <w:rsid w:val="00506C43"/>
    <w:rsid w:val="00506F00"/>
    <w:rsid w:val="005075D4"/>
    <w:rsid w:val="00510506"/>
    <w:rsid w:val="00510770"/>
    <w:rsid w:val="00510C19"/>
    <w:rsid w:val="0051100A"/>
    <w:rsid w:val="00511FE0"/>
    <w:rsid w:val="00512681"/>
    <w:rsid w:val="005126C5"/>
    <w:rsid w:val="005128D0"/>
    <w:rsid w:val="00513C2E"/>
    <w:rsid w:val="00514949"/>
    <w:rsid w:val="00515510"/>
    <w:rsid w:val="00515851"/>
    <w:rsid w:val="0051594E"/>
    <w:rsid w:val="00516B94"/>
    <w:rsid w:val="00516E5C"/>
    <w:rsid w:val="00516EFA"/>
    <w:rsid w:val="00517EBD"/>
    <w:rsid w:val="00521203"/>
    <w:rsid w:val="00521EB8"/>
    <w:rsid w:val="005227A1"/>
    <w:rsid w:val="005227BD"/>
    <w:rsid w:val="00522C14"/>
    <w:rsid w:val="00522C17"/>
    <w:rsid w:val="00522E9F"/>
    <w:rsid w:val="00523DEB"/>
    <w:rsid w:val="00524267"/>
    <w:rsid w:val="005242C6"/>
    <w:rsid w:val="00525946"/>
    <w:rsid w:val="00526674"/>
    <w:rsid w:val="005268D3"/>
    <w:rsid w:val="00526D9C"/>
    <w:rsid w:val="0052722F"/>
    <w:rsid w:val="00527725"/>
    <w:rsid w:val="00527C93"/>
    <w:rsid w:val="00527FC4"/>
    <w:rsid w:val="00530219"/>
    <w:rsid w:val="005308C6"/>
    <w:rsid w:val="00530F45"/>
    <w:rsid w:val="00531E89"/>
    <w:rsid w:val="005322CE"/>
    <w:rsid w:val="00532414"/>
    <w:rsid w:val="00534365"/>
    <w:rsid w:val="0053438D"/>
    <w:rsid w:val="00534715"/>
    <w:rsid w:val="00534844"/>
    <w:rsid w:val="00534DED"/>
    <w:rsid w:val="00534F21"/>
    <w:rsid w:val="00535103"/>
    <w:rsid w:val="005372EB"/>
    <w:rsid w:val="005403EA"/>
    <w:rsid w:val="00541DC2"/>
    <w:rsid w:val="0054243A"/>
    <w:rsid w:val="00542730"/>
    <w:rsid w:val="00542F99"/>
    <w:rsid w:val="0054390A"/>
    <w:rsid w:val="00543DA7"/>
    <w:rsid w:val="00543E84"/>
    <w:rsid w:val="00544056"/>
    <w:rsid w:val="005446B0"/>
    <w:rsid w:val="00544B29"/>
    <w:rsid w:val="00544EF4"/>
    <w:rsid w:val="005453DC"/>
    <w:rsid w:val="005458D7"/>
    <w:rsid w:val="0054637C"/>
    <w:rsid w:val="0054713E"/>
    <w:rsid w:val="005501E0"/>
    <w:rsid w:val="00551A6D"/>
    <w:rsid w:val="00551C1B"/>
    <w:rsid w:val="00551DC0"/>
    <w:rsid w:val="00552878"/>
    <w:rsid w:val="00552B62"/>
    <w:rsid w:val="00552C21"/>
    <w:rsid w:val="005530AD"/>
    <w:rsid w:val="00553667"/>
    <w:rsid w:val="00553718"/>
    <w:rsid w:val="00554031"/>
    <w:rsid w:val="0055443C"/>
    <w:rsid w:val="005548A7"/>
    <w:rsid w:val="00554EEF"/>
    <w:rsid w:val="0055585D"/>
    <w:rsid w:val="00555B7E"/>
    <w:rsid w:val="00555FD6"/>
    <w:rsid w:val="00557518"/>
    <w:rsid w:val="0055752E"/>
    <w:rsid w:val="00557D09"/>
    <w:rsid w:val="00557E7B"/>
    <w:rsid w:val="00560578"/>
    <w:rsid w:val="00560EF8"/>
    <w:rsid w:val="00561650"/>
    <w:rsid w:val="00562EDF"/>
    <w:rsid w:val="005635BB"/>
    <w:rsid w:val="005638C3"/>
    <w:rsid w:val="00563AB6"/>
    <w:rsid w:val="00563EC0"/>
    <w:rsid w:val="00564332"/>
    <w:rsid w:val="0056448C"/>
    <w:rsid w:val="005650C3"/>
    <w:rsid w:val="00565260"/>
    <w:rsid w:val="005653E3"/>
    <w:rsid w:val="00566F16"/>
    <w:rsid w:val="005670DB"/>
    <w:rsid w:val="005675F6"/>
    <w:rsid w:val="00567843"/>
    <w:rsid w:val="00567D53"/>
    <w:rsid w:val="005706A0"/>
    <w:rsid w:val="005708FC"/>
    <w:rsid w:val="00571168"/>
    <w:rsid w:val="0057163B"/>
    <w:rsid w:val="005719DE"/>
    <w:rsid w:val="00571AF9"/>
    <w:rsid w:val="00571DA4"/>
    <w:rsid w:val="005723C3"/>
    <w:rsid w:val="005727AF"/>
    <w:rsid w:val="00572A1B"/>
    <w:rsid w:val="00572AD5"/>
    <w:rsid w:val="005730C2"/>
    <w:rsid w:val="0057398C"/>
    <w:rsid w:val="00574DD3"/>
    <w:rsid w:val="0057506F"/>
    <w:rsid w:val="00575166"/>
    <w:rsid w:val="0057537E"/>
    <w:rsid w:val="00575694"/>
    <w:rsid w:val="0057586A"/>
    <w:rsid w:val="00575A36"/>
    <w:rsid w:val="00575BBD"/>
    <w:rsid w:val="005768D5"/>
    <w:rsid w:val="0057771C"/>
    <w:rsid w:val="00577764"/>
    <w:rsid w:val="00577D94"/>
    <w:rsid w:val="00577FE3"/>
    <w:rsid w:val="005805C2"/>
    <w:rsid w:val="00580732"/>
    <w:rsid w:val="0058098F"/>
    <w:rsid w:val="00581B6E"/>
    <w:rsid w:val="00581CF4"/>
    <w:rsid w:val="00581F25"/>
    <w:rsid w:val="00582370"/>
    <w:rsid w:val="00582D73"/>
    <w:rsid w:val="0058363F"/>
    <w:rsid w:val="00583F8C"/>
    <w:rsid w:val="00584726"/>
    <w:rsid w:val="00584BAC"/>
    <w:rsid w:val="00584C3A"/>
    <w:rsid w:val="00584EB3"/>
    <w:rsid w:val="00586502"/>
    <w:rsid w:val="00586930"/>
    <w:rsid w:val="00587145"/>
    <w:rsid w:val="005872A4"/>
    <w:rsid w:val="00587D20"/>
    <w:rsid w:val="005902AA"/>
    <w:rsid w:val="00590FB6"/>
    <w:rsid w:val="005912F0"/>
    <w:rsid w:val="005913EA"/>
    <w:rsid w:val="00591449"/>
    <w:rsid w:val="005915BA"/>
    <w:rsid w:val="00591D4B"/>
    <w:rsid w:val="005926A5"/>
    <w:rsid w:val="00594573"/>
    <w:rsid w:val="00594F29"/>
    <w:rsid w:val="00594F57"/>
    <w:rsid w:val="00595891"/>
    <w:rsid w:val="00596C86"/>
    <w:rsid w:val="005A03B3"/>
    <w:rsid w:val="005A1303"/>
    <w:rsid w:val="005A1612"/>
    <w:rsid w:val="005A1882"/>
    <w:rsid w:val="005A18E3"/>
    <w:rsid w:val="005A2ADA"/>
    <w:rsid w:val="005A31CD"/>
    <w:rsid w:val="005A4747"/>
    <w:rsid w:val="005A4B5E"/>
    <w:rsid w:val="005A4CB5"/>
    <w:rsid w:val="005A4FB3"/>
    <w:rsid w:val="005A5AAA"/>
    <w:rsid w:val="005A5FF6"/>
    <w:rsid w:val="005A6778"/>
    <w:rsid w:val="005A6920"/>
    <w:rsid w:val="005A69D2"/>
    <w:rsid w:val="005A73BC"/>
    <w:rsid w:val="005A7445"/>
    <w:rsid w:val="005B044E"/>
    <w:rsid w:val="005B0B01"/>
    <w:rsid w:val="005B105E"/>
    <w:rsid w:val="005B10AE"/>
    <w:rsid w:val="005B172D"/>
    <w:rsid w:val="005B1A45"/>
    <w:rsid w:val="005B1D9E"/>
    <w:rsid w:val="005B2B84"/>
    <w:rsid w:val="005B3A2C"/>
    <w:rsid w:val="005B3E59"/>
    <w:rsid w:val="005B48E0"/>
    <w:rsid w:val="005B577D"/>
    <w:rsid w:val="005B6250"/>
    <w:rsid w:val="005B684F"/>
    <w:rsid w:val="005B6CFE"/>
    <w:rsid w:val="005B6F25"/>
    <w:rsid w:val="005B7078"/>
    <w:rsid w:val="005B7F5A"/>
    <w:rsid w:val="005C012D"/>
    <w:rsid w:val="005C08C7"/>
    <w:rsid w:val="005C0B52"/>
    <w:rsid w:val="005C1515"/>
    <w:rsid w:val="005C1A2D"/>
    <w:rsid w:val="005C2070"/>
    <w:rsid w:val="005C2BD4"/>
    <w:rsid w:val="005C354A"/>
    <w:rsid w:val="005C383D"/>
    <w:rsid w:val="005C3973"/>
    <w:rsid w:val="005C3AA9"/>
    <w:rsid w:val="005C4DC7"/>
    <w:rsid w:val="005C51E9"/>
    <w:rsid w:val="005C5B10"/>
    <w:rsid w:val="005C6E45"/>
    <w:rsid w:val="005C72CC"/>
    <w:rsid w:val="005C74EE"/>
    <w:rsid w:val="005C7748"/>
    <w:rsid w:val="005D05E2"/>
    <w:rsid w:val="005D0BC0"/>
    <w:rsid w:val="005D1849"/>
    <w:rsid w:val="005D251D"/>
    <w:rsid w:val="005D25F8"/>
    <w:rsid w:val="005D26D6"/>
    <w:rsid w:val="005D2C48"/>
    <w:rsid w:val="005D3B78"/>
    <w:rsid w:val="005D3D76"/>
    <w:rsid w:val="005D5ADC"/>
    <w:rsid w:val="005D5BDB"/>
    <w:rsid w:val="005D65C7"/>
    <w:rsid w:val="005D6A71"/>
    <w:rsid w:val="005D6C9B"/>
    <w:rsid w:val="005D7024"/>
    <w:rsid w:val="005D71E8"/>
    <w:rsid w:val="005D7529"/>
    <w:rsid w:val="005D7557"/>
    <w:rsid w:val="005D7B5E"/>
    <w:rsid w:val="005D7DF6"/>
    <w:rsid w:val="005E02FD"/>
    <w:rsid w:val="005E049E"/>
    <w:rsid w:val="005E0C00"/>
    <w:rsid w:val="005E0F63"/>
    <w:rsid w:val="005E1089"/>
    <w:rsid w:val="005E143C"/>
    <w:rsid w:val="005E1AD2"/>
    <w:rsid w:val="005E1F42"/>
    <w:rsid w:val="005E2216"/>
    <w:rsid w:val="005E38B0"/>
    <w:rsid w:val="005E46EF"/>
    <w:rsid w:val="005E4889"/>
    <w:rsid w:val="005E4D6F"/>
    <w:rsid w:val="005E4DAD"/>
    <w:rsid w:val="005E51C1"/>
    <w:rsid w:val="005E557A"/>
    <w:rsid w:val="005E5D09"/>
    <w:rsid w:val="005E668A"/>
    <w:rsid w:val="005E7808"/>
    <w:rsid w:val="005E7AB6"/>
    <w:rsid w:val="005F034A"/>
    <w:rsid w:val="005F08F0"/>
    <w:rsid w:val="005F0964"/>
    <w:rsid w:val="005F0C4F"/>
    <w:rsid w:val="005F1249"/>
    <w:rsid w:val="005F1B7B"/>
    <w:rsid w:val="005F3013"/>
    <w:rsid w:val="005F3A71"/>
    <w:rsid w:val="005F3A92"/>
    <w:rsid w:val="005F41DA"/>
    <w:rsid w:val="005F4971"/>
    <w:rsid w:val="005F4CB9"/>
    <w:rsid w:val="005F5B4A"/>
    <w:rsid w:val="005F68E4"/>
    <w:rsid w:val="005F708C"/>
    <w:rsid w:val="005F7A41"/>
    <w:rsid w:val="0060095B"/>
    <w:rsid w:val="00600A51"/>
    <w:rsid w:val="0060149F"/>
    <w:rsid w:val="00601C5B"/>
    <w:rsid w:val="00601EE9"/>
    <w:rsid w:val="00602318"/>
    <w:rsid w:val="0060233B"/>
    <w:rsid w:val="0060254F"/>
    <w:rsid w:val="006025DE"/>
    <w:rsid w:val="00603192"/>
    <w:rsid w:val="0060355F"/>
    <w:rsid w:val="00605020"/>
    <w:rsid w:val="00605475"/>
    <w:rsid w:val="00605E54"/>
    <w:rsid w:val="00605EFE"/>
    <w:rsid w:val="006065DE"/>
    <w:rsid w:val="006065F3"/>
    <w:rsid w:val="00606D18"/>
    <w:rsid w:val="00607173"/>
    <w:rsid w:val="00607C30"/>
    <w:rsid w:val="00607E0B"/>
    <w:rsid w:val="00610BC6"/>
    <w:rsid w:val="00611C06"/>
    <w:rsid w:val="0061289F"/>
    <w:rsid w:val="00612CAF"/>
    <w:rsid w:val="006133A4"/>
    <w:rsid w:val="00613CD3"/>
    <w:rsid w:val="00614F45"/>
    <w:rsid w:val="0061530D"/>
    <w:rsid w:val="006159E7"/>
    <w:rsid w:val="006160A5"/>
    <w:rsid w:val="006168EF"/>
    <w:rsid w:val="00616DA2"/>
    <w:rsid w:val="00617699"/>
    <w:rsid w:val="00617930"/>
    <w:rsid w:val="00617A0E"/>
    <w:rsid w:val="006203FC"/>
    <w:rsid w:val="006209BE"/>
    <w:rsid w:val="00620B1A"/>
    <w:rsid w:val="00620E58"/>
    <w:rsid w:val="00620ED4"/>
    <w:rsid w:val="0062141C"/>
    <w:rsid w:val="00621929"/>
    <w:rsid w:val="00621D70"/>
    <w:rsid w:val="00622764"/>
    <w:rsid w:val="00622F70"/>
    <w:rsid w:val="0062358B"/>
    <w:rsid w:val="006237A2"/>
    <w:rsid w:val="00623BB9"/>
    <w:rsid w:val="00624F24"/>
    <w:rsid w:val="00624FEA"/>
    <w:rsid w:val="0062525F"/>
    <w:rsid w:val="00625D43"/>
    <w:rsid w:val="00625FBE"/>
    <w:rsid w:val="00626BF4"/>
    <w:rsid w:val="00626D08"/>
    <w:rsid w:val="00627743"/>
    <w:rsid w:val="00627783"/>
    <w:rsid w:val="006278D6"/>
    <w:rsid w:val="00627938"/>
    <w:rsid w:val="006279F8"/>
    <w:rsid w:val="00627A71"/>
    <w:rsid w:val="00630193"/>
    <w:rsid w:val="006308BF"/>
    <w:rsid w:val="00630A5E"/>
    <w:rsid w:val="00631053"/>
    <w:rsid w:val="006310F5"/>
    <w:rsid w:val="00631591"/>
    <w:rsid w:val="00631AF6"/>
    <w:rsid w:val="00631DE0"/>
    <w:rsid w:val="00632EC2"/>
    <w:rsid w:val="006343C6"/>
    <w:rsid w:val="0063520E"/>
    <w:rsid w:val="006364D2"/>
    <w:rsid w:val="00640FA4"/>
    <w:rsid w:val="00641307"/>
    <w:rsid w:val="006415F2"/>
    <w:rsid w:val="0064175E"/>
    <w:rsid w:val="00642640"/>
    <w:rsid w:val="00642D43"/>
    <w:rsid w:val="00643A8E"/>
    <w:rsid w:val="00644162"/>
    <w:rsid w:val="00645EBF"/>
    <w:rsid w:val="00646866"/>
    <w:rsid w:val="00646A6B"/>
    <w:rsid w:val="00647441"/>
    <w:rsid w:val="00647829"/>
    <w:rsid w:val="00647965"/>
    <w:rsid w:val="0065142C"/>
    <w:rsid w:val="006517B8"/>
    <w:rsid w:val="00652221"/>
    <w:rsid w:val="006529DE"/>
    <w:rsid w:val="006530B2"/>
    <w:rsid w:val="00654C2C"/>
    <w:rsid w:val="00655066"/>
    <w:rsid w:val="0065506A"/>
    <w:rsid w:val="00655416"/>
    <w:rsid w:val="0065576B"/>
    <w:rsid w:val="00655EA1"/>
    <w:rsid w:val="006564A1"/>
    <w:rsid w:val="00656953"/>
    <w:rsid w:val="0065728D"/>
    <w:rsid w:val="00657E7C"/>
    <w:rsid w:val="00657E7E"/>
    <w:rsid w:val="00660199"/>
    <w:rsid w:val="0066036B"/>
    <w:rsid w:val="00661D7A"/>
    <w:rsid w:val="00661F86"/>
    <w:rsid w:val="0066225D"/>
    <w:rsid w:val="00662E03"/>
    <w:rsid w:val="0066330C"/>
    <w:rsid w:val="00663459"/>
    <w:rsid w:val="00663990"/>
    <w:rsid w:val="006641F5"/>
    <w:rsid w:val="006648CF"/>
    <w:rsid w:val="00665460"/>
    <w:rsid w:val="0066575E"/>
    <w:rsid w:val="0066577E"/>
    <w:rsid w:val="00665950"/>
    <w:rsid w:val="00665E8A"/>
    <w:rsid w:val="0066633C"/>
    <w:rsid w:val="006667EE"/>
    <w:rsid w:val="00666FC8"/>
    <w:rsid w:val="006672CB"/>
    <w:rsid w:val="006673F8"/>
    <w:rsid w:val="006676A6"/>
    <w:rsid w:val="00667FCC"/>
    <w:rsid w:val="006704CE"/>
    <w:rsid w:val="0067245E"/>
    <w:rsid w:val="00672DE2"/>
    <w:rsid w:val="0067323D"/>
    <w:rsid w:val="00673BA4"/>
    <w:rsid w:val="00674461"/>
    <w:rsid w:val="00674727"/>
    <w:rsid w:val="006748A4"/>
    <w:rsid w:val="006749F6"/>
    <w:rsid w:val="00674A94"/>
    <w:rsid w:val="006752C3"/>
    <w:rsid w:val="006754CD"/>
    <w:rsid w:val="00675B40"/>
    <w:rsid w:val="0067607E"/>
    <w:rsid w:val="006801A3"/>
    <w:rsid w:val="006801C2"/>
    <w:rsid w:val="00680771"/>
    <w:rsid w:val="00680794"/>
    <w:rsid w:val="00680992"/>
    <w:rsid w:val="00680D58"/>
    <w:rsid w:val="006812EB"/>
    <w:rsid w:val="0068138B"/>
    <w:rsid w:val="00681A16"/>
    <w:rsid w:val="00681A8E"/>
    <w:rsid w:val="0068222C"/>
    <w:rsid w:val="00682FE7"/>
    <w:rsid w:val="00683149"/>
    <w:rsid w:val="0068353F"/>
    <w:rsid w:val="006835A6"/>
    <w:rsid w:val="0068365B"/>
    <w:rsid w:val="0068379F"/>
    <w:rsid w:val="00683B0C"/>
    <w:rsid w:val="00683E2C"/>
    <w:rsid w:val="00684370"/>
    <w:rsid w:val="006846DF"/>
    <w:rsid w:val="0068493D"/>
    <w:rsid w:val="00685299"/>
    <w:rsid w:val="0068667D"/>
    <w:rsid w:val="00687242"/>
    <w:rsid w:val="0068781E"/>
    <w:rsid w:val="00687BEA"/>
    <w:rsid w:val="00687F47"/>
    <w:rsid w:val="00690C76"/>
    <w:rsid w:val="00691316"/>
    <w:rsid w:val="00691330"/>
    <w:rsid w:val="00691657"/>
    <w:rsid w:val="00691D9C"/>
    <w:rsid w:val="00692B23"/>
    <w:rsid w:val="00692CD3"/>
    <w:rsid w:val="00695C34"/>
    <w:rsid w:val="00695ECA"/>
    <w:rsid w:val="006969C9"/>
    <w:rsid w:val="006A0206"/>
    <w:rsid w:val="006A0500"/>
    <w:rsid w:val="006A0D61"/>
    <w:rsid w:val="006A1772"/>
    <w:rsid w:val="006A237D"/>
    <w:rsid w:val="006A3296"/>
    <w:rsid w:val="006A3599"/>
    <w:rsid w:val="006A4647"/>
    <w:rsid w:val="006A4AC9"/>
    <w:rsid w:val="006A535A"/>
    <w:rsid w:val="006A69F1"/>
    <w:rsid w:val="006A6C95"/>
    <w:rsid w:val="006A6E56"/>
    <w:rsid w:val="006A6F9E"/>
    <w:rsid w:val="006A7803"/>
    <w:rsid w:val="006A7D50"/>
    <w:rsid w:val="006B085D"/>
    <w:rsid w:val="006B0B2E"/>
    <w:rsid w:val="006B1248"/>
    <w:rsid w:val="006B24CA"/>
    <w:rsid w:val="006B2753"/>
    <w:rsid w:val="006B28B9"/>
    <w:rsid w:val="006B3082"/>
    <w:rsid w:val="006B3588"/>
    <w:rsid w:val="006B3A2A"/>
    <w:rsid w:val="006B43E2"/>
    <w:rsid w:val="006B4544"/>
    <w:rsid w:val="006B461A"/>
    <w:rsid w:val="006B4F81"/>
    <w:rsid w:val="006B513B"/>
    <w:rsid w:val="006B6474"/>
    <w:rsid w:val="006B66BF"/>
    <w:rsid w:val="006B6D48"/>
    <w:rsid w:val="006B73B1"/>
    <w:rsid w:val="006B749F"/>
    <w:rsid w:val="006B7BC1"/>
    <w:rsid w:val="006C0E06"/>
    <w:rsid w:val="006C176D"/>
    <w:rsid w:val="006C17E4"/>
    <w:rsid w:val="006C1EAC"/>
    <w:rsid w:val="006C23A2"/>
    <w:rsid w:val="006C28AC"/>
    <w:rsid w:val="006C3357"/>
    <w:rsid w:val="006C39BD"/>
    <w:rsid w:val="006C3FBD"/>
    <w:rsid w:val="006C4533"/>
    <w:rsid w:val="006C495A"/>
    <w:rsid w:val="006C4DE2"/>
    <w:rsid w:val="006C5A17"/>
    <w:rsid w:val="006C5DAE"/>
    <w:rsid w:val="006C5EE5"/>
    <w:rsid w:val="006C603A"/>
    <w:rsid w:val="006C7292"/>
    <w:rsid w:val="006C76A4"/>
    <w:rsid w:val="006C789F"/>
    <w:rsid w:val="006D02E5"/>
    <w:rsid w:val="006D05A3"/>
    <w:rsid w:val="006D1012"/>
    <w:rsid w:val="006D1D94"/>
    <w:rsid w:val="006D2082"/>
    <w:rsid w:val="006D21E6"/>
    <w:rsid w:val="006D27DC"/>
    <w:rsid w:val="006D2980"/>
    <w:rsid w:val="006D322F"/>
    <w:rsid w:val="006D4BC6"/>
    <w:rsid w:val="006D5324"/>
    <w:rsid w:val="006D5331"/>
    <w:rsid w:val="006D6680"/>
    <w:rsid w:val="006D6B52"/>
    <w:rsid w:val="006D70F1"/>
    <w:rsid w:val="006D7EE4"/>
    <w:rsid w:val="006E0224"/>
    <w:rsid w:val="006E0882"/>
    <w:rsid w:val="006E1078"/>
    <w:rsid w:val="006E1A52"/>
    <w:rsid w:val="006E21EF"/>
    <w:rsid w:val="006E2B3F"/>
    <w:rsid w:val="006E3696"/>
    <w:rsid w:val="006E45C5"/>
    <w:rsid w:val="006E4866"/>
    <w:rsid w:val="006E654A"/>
    <w:rsid w:val="006E6613"/>
    <w:rsid w:val="006E7201"/>
    <w:rsid w:val="006E7836"/>
    <w:rsid w:val="006E7CC7"/>
    <w:rsid w:val="006F0762"/>
    <w:rsid w:val="006F0910"/>
    <w:rsid w:val="006F09F2"/>
    <w:rsid w:val="006F0DD9"/>
    <w:rsid w:val="006F1029"/>
    <w:rsid w:val="006F1617"/>
    <w:rsid w:val="006F1A05"/>
    <w:rsid w:val="006F1A90"/>
    <w:rsid w:val="006F1E6D"/>
    <w:rsid w:val="006F2015"/>
    <w:rsid w:val="006F22D6"/>
    <w:rsid w:val="006F2395"/>
    <w:rsid w:val="006F6850"/>
    <w:rsid w:val="006F7DFC"/>
    <w:rsid w:val="00700057"/>
    <w:rsid w:val="007006A1"/>
    <w:rsid w:val="0070145D"/>
    <w:rsid w:val="0070155F"/>
    <w:rsid w:val="00701B53"/>
    <w:rsid w:val="00702195"/>
    <w:rsid w:val="00702591"/>
    <w:rsid w:val="00702AB2"/>
    <w:rsid w:val="00703041"/>
    <w:rsid w:val="0070335A"/>
    <w:rsid w:val="007033DF"/>
    <w:rsid w:val="00703DE0"/>
    <w:rsid w:val="00703EC5"/>
    <w:rsid w:val="00704686"/>
    <w:rsid w:val="0070484E"/>
    <w:rsid w:val="00704C5D"/>
    <w:rsid w:val="00704D00"/>
    <w:rsid w:val="00704ED9"/>
    <w:rsid w:val="00704F2E"/>
    <w:rsid w:val="00705331"/>
    <w:rsid w:val="0070583E"/>
    <w:rsid w:val="00706FA9"/>
    <w:rsid w:val="00707022"/>
    <w:rsid w:val="007070F5"/>
    <w:rsid w:val="00707ABC"/>
    <w:rsid w:val="00707B42"/>
    <w:rsid w:val="00707DE7"/>
    <w:rsid w:val="007102C9"/>
    <w:rsid w:val="007106A4"/>
    <w:rsid w:val="00710E6A"/>
    <w:rsid w:val="0071101C"/>
    <w:rsid w:val="00711187"/>
    <w:rsid w:val="0071180F"/>
    <w:rsid w:val="007118B8"/>
    <w:rsid w:val="00711D44"/>
    <w:rsid w:val="00712452"/>
    <w:rsid w:val="00712654"/>
    <w:rsid w:val="00712DD0"/>
    <w:rsid w:val="00713E7D"/>
    <w:rsid w:val="00713FEC"/>
    <w:rsid w:val="0071422E"/>
    <w:rsid w:val="00714CE1"/>
    <w:rsid w:val="00714FD2"/>
    <w:rsid w:val="00715E3B"/>
    <w:rsid w:val="00715F05"/>
    <w:rsid w:val="007168DB"/>
    <w:rsid w:val="00716D1F"/>
    <w:rsid w:val="0071714A"/>
    <w:rsid w:val="00717196"/>
    <w:rsid w:val="00717853"/>
    <w:rsid w:val="0072019F"/>
    <w:rsid w:val="00721E24"/>
    <w:rsid w:val="00721EBF"/>
    <w:rsid w:val="00722784"/>
    <w:rsid w:val="007229EE"/>
    <w:rsid w:val="00722A10"/>
    <w:rsid w:val="00723693"/>
    <w:rsid w:val="007237B6"/>
    <w:rsid w:val="00723D04"/>
    <w:rsid w:val="00724799"/>
    <w:rsid w:val="00724B5E"/>
    <w:rsid w:val="00725A67"/>
    <w:rsid w:val="00726DA4"/>
    <w:rsid w:val="0072792B"/>
    <w:rsid w:val="0073080A"/>
    <w:rsid w:val="00731144"/>
    <w:rsid w:val="007321E8"/>
    <w:rsid w:val="00733E1B"/>
    <w:rsid w:val="007340AA"/>
    <w:rsid w:val="007345FC"/>
    <w:rsid w:val="00734D58"/>
    <w:rsid w:val="00736272"/>
    <w:rsid w:val="00737005"/>
    <w:rsid w:val="00737D32"/>
    <w:rsid w:val="007401D6"/>
    <w:rsid w:val="0074099C"/>
    <w:rsid w:val="00741CF8"/>
    <w:rsid w:val="007420FB"/>
    <w:rsid w:val="00742366"/>
    <w:rsid w:val="007436ED"/>
    <w:rsid w:val="007444E5"/>
    <w:rsid w:val="00744727"/>
    <w:rsid w:val="00744966"/>
    <w:rsid w:val="0074516F"/>
    <w:rsid w:val="00745DA0"/>
    <w:rsid w:val="00746444"/>
    <w:rsid w:val="007467DA"/>
    <w:rsid w:val="00746E64"/>
    <w:rsid w:val="007471B0"/>
    <w:rsid w:val="00747411"/>
    <w:rsid w:val="00747B67"/>
    <w:rsid w:val="00747B96"/>
    <w:rsid w:val="007505E3"/>
    <w:rsid w:val="00750864"/>
    <w:rsid w:val="00750CBA"/>
    <w:rsid w:val="00752D60"/>
    <w:rsid w:val="0075391C"/>
    <w:rsid w:val="00753D02"/>
    <w:rsid w:val="007544D2"/>
    <w:rsid w:val="0075547B"/>
    <w:rsid w:val="00755845"/>
    <w:rsid w:val="00755F7E"/>
    <w:rsid w:val="007564CD"/>
    <w:rsid w:val="007566A5"/>
    <w:rsid w:val="00756B10"/>
    <w:rsid w:val="00756BE9"/>
    <w:rsid w:val="00757FCF"/>
    <w:rsid w:val="00761333"/>
    <w:rsid w:val="007613F7"/>
    <w:rsid w:val="00762356"/>
    <w:rsid w:val="007623F1"/>
    <w:rsid w:val="0076301C"/>
    <w:rsid w:val="00763276"/>
    <w:rsid w:val="00763C19"/>
    <w:rsid w:val="00763C46"/>
    <w:rsid w:val="00763FE0"/>
    <w:rsid w:val="007645FC"/>
    <w:rsid w:val="0076514D"/>
    <w:rsid w:val="007652EE"/>
    <w:rsid w:val="00765E6E"/>
    <w:rsid w:val="00766422"/>
    <w:rsid w:val="007664E3"/>
    <w:rsid w:val="00766A6E"/>
    <w:rsid w:val="007671CF"/>
    <w:rsid w:val="00767747"/>
    <w:rsid w:val="00767819"/>
    <w:rsid w:val="00767E0F"/>
    <w:rsid w:val="00767F05"/>
    <w:rsid w:val="00767FB0"/>
    <w:rsid w:val="00770BF9"/>
    <w:rsid w:val="00770DC7"/>
    <w:rsid w:val="00770E35"/>
    <w:rsid w:val="00771839"/>
    <w:rsid w:val="00771BE6"/>
    <w:rsid w:val="00771E67"/>
    <w:rsid w:val="00771FF2"/>
    <w:rsid w:val="00773171"/>
    <w:rsid w:val="0077435F"/>
    <w:rsid w:val="007746CC"/>
    <w:rsid w:val="007748C6"/>
    <w:rsid w:val="00774D07"/>
    <w:rsid w:val="00775C94"/>
    <w:rsid w:val="00775EEC"/>
    <w:rsid w:val="007769D3"/>
    <w:rsid w:val="00776AF4"/>
    <w:rsid w:val="007778BE"/>
    <w:rsid w:val="00777FBD"/>
    <w:rsid w:val="00780273"/>
    <w:rsid w:val="00780708"/>
    <w:rsid w:val="00780737"/>
    <w:rsid w:val="00780F92"/>
    <w:rsid w:val="007811F6"/>
    <w:rsid w:val="007824E0"/>
    <w:rsid w:val="00782AD2"/>
    <w:rsid w:val="00782CF8"/>
    <w:rsid w:val="00782D99"/>
    <w:rsid w:val="007838AF"/>
    <w:rsid w:val="00783D7B"/>
    <w:rsid w:val="0078464C"/>
    <w:rsid w:val="00784840"/>
    <w:rsid w:val="00784961"/>
    <w:rsid w:val="00785018"/>
    <w:rsid w:val="00785114"/>
    <w:rsid w:val="007851D1"/>
    <w:rsid w:val="00785349"/>
    <w:rsid w:val="00786D70"/>
    <w:rsid w:val="0078707C"/>
    <w:rsid w:val="00787351"/>
    <w:rsid w:val="00787479"/>
    <w:rsid w:val="00787B62"/>
    <w:rsid w:val="00790198"/>
    <w:rsid w:val="007908D7"/>
    <w:rsid w:val="007911D4"/>
    <w:rsid w:val="00791BE7"/>
    <w:rsid w:val="00792488"/>
    <w:rsid w:val="007925E2"/>
    <w:rsid w:val="00792E47"/>
    <w:rsid w:val="00793927"/>
    <w:rsid w:val="007943B8"/>
    <w:rsid w:val="00794F0D"/>
    <w:rsid w:val="00795A57"/>
    <w:rsid w:val="00795BB9"/>
    <w:rsid w:val="00795F64"/>
    <w:rsid w:val="00796B64"/>
    <w:rsid w:val="00796CBE"/>
    <w:rsid w:val="00797B3B"/>
    <w:rsid w:val="00797C29"/>
    <w:rsid w:val="007A066E"/>
    <w:rsid w:val="007A084D"/>
    <w:rsid w:val="007A0D50"/>
    <w:rsid w:val="007A190F"/>
    <w:rsid w:val="007A1BAD"/>
    <w:rsid w:val="007A2B3B"/>
    <w:rsid w:val="007A2EBF"/>
    <w:rsid w:val="007A387D"/>
    <w:rsid w:val="007A3B40"/>
    <w:rsid w:val="007A4460"/>
    <w:rsid w:val="007A5AE0"/>
    <w:rsid w:val="007A5BC5"/>
    <w:rsid w:val="007A604D"/>
    <w:rsid w:val="007A6802"/>
    <w:rsid w:val="007A6886"/>
    <w:rsid w:val="007A6C24"/>
    <w:rsid w:val="007A6EE8"/>
    <w:rsid w:val="007A741C"/>
    <w:rsid w:val="007A7690"/>
    <w:rsid w:val="007A7BB7"/>
    <w:rsid w:val="007A7DBF"/>
    <w:rsid w:val="007B020C"/>
    <w:rsid w:val="007B0730"/>
    <w:rsid w:val="007B14F9"/>
    <w:rsid w:val="007B1732"/>
    <w:rsid w:val="007B1C7F"/>
    <w:rsid w:val="007B204B"/>
    <w:rsid w:val="007B2F1A"/>
    <w:rsid w:val="007B35F5"/>
    <w:rsid w:val="007B38DC"/>
    <w:rsid w:val="007B45E6"/>
    <w:rsid w:val="007B4615"/>
    <w:rsid w:val="007B4969"/>
    <w:rsid w:val="007B4FC9"/>
    <w:rsid w:val="007B5108"/>
    <w:rsid w:val="007B557E"/>
    <w:rsid w:val="007B575F"/>
    <w:rsid w:val="007B5DD2"/>
    <w:rsid w:val="007B60F4"/>
    <w:rsid w:val="007C00A3"/>
    <w:rsid w:val="007C0A66"/>
    <w:rsid w:val="007C0D7E"/>
    <w:rsid w:val="007C0EC2"/>
    <w:rsid w:val="007C1F9A"/>
    <w:rsid w:val="007C2316"/>
    <w:rsid w:val="007C2947"/>
    <w:rsid w:val="007C2A2F"/>
    <w:rsid w:val="007C3272"/>
    <w:rsid w:val="007C3CE9"/>
    <w:rsid w:val="007C4066"/>
    <w:rsid w:val="007C407A"/>
    <w:rsid w:val="007C4BAB"/>
    <w:rsid w:val="007C58C1"/>
    <w:rsid w:val="007C5AB7"/>
    <w:rsid w:val="007C61D0"/>
    <w:rsid w:val="007C6EA5"/>
    <w:rsid w:val="007C775D"/>
    <w:rsid w:val="007D0484"/>
    <w:rsid w:val="007D0634"/>
    <w:rsid w:val="007D0A53"/>
    <w:rsid w:val="007D0B07"/>
    <w:rsid w:val="007D1062"/>
    <w:rsid w:val="007D1106"/>
    <w:rsid w:val="007D1172"/>
    <w:rsid w:val="007D1276"/>
    <w:rsid w:val="007D17A6"/>
    <w:rsid w:val="007D22CF"/>
    <w:rsid w:val="007D244B"/>
    <w:rsid w:val="007D2FC7"/>
    <w:rsid w:val="007D3724"/>
    <w:rsid w:val="007D4709"/>
    <w:rsid w:val="007D4D02"/>
    <w:rsid w:val="007D4D10"/>
    <w:rsid w:val="007D4F11"/>
    <w:rsid w:val="007D53E6"/>
    <w:rsid w:val="007D575F"/>
    <w:rsid w:val="007D6F99"/>
    <w:rsid w:val="007D73D5"/>
    <w:rsid w:val="007E02BB"/>
    <w:rsid w:val="007E06EF"/>
    <w:rsid w:val="007E0D25"/>
    <w:rsid w:val="007E0E19"/>
    <w:rsid w:val="007E1094"/>
    <w:rsid w:val="007E1E8A"/>
    <w:rsid w:val="007E262A"/>
    <w:rsid w:val="007E2859"/>
    <w:rsid w:val="007E2B98"/>
    <w:rsid w:val="007E31B0"/>
    <w:rsid w:val="007E3953"/>
    <w:rsid w:val="007E3B7D"/>
    <w:rsid w:val="007E3D3E"/>
    <w:rsid w:val="007E3FF0"/>
    <w:rsid w:val="007E44AC"/>
    <w:rsid w:val="007E4D69"/>
    <w:rsid w:val="007E50A8"/>
    <w:rsid w:val="007E5722"/>
    <w:rsid w:val="007E5848"/>
    <w:rsid w:val="007E6D6D"/>
    <w:rsid w:val="007E70AB"/>
    <w:rsid w:val="007E7E83"/>
    <w:rsid w:val="007F0005"/>
    <w:rsid w:val="007F105F"/>
    <w:rsid w:val="007F22CF"/>
    <w:rsid w:val="007F22DB"/>
    <w:rsid w:val="007F3851"/>
    <w:rsid w:val="007F3F25"/>
    <w:rsid w:val="007F4713"/>
    <w:rsid w:val="007F5163"/>
    <w:rsid w:val="007F537C"/>
    <w:rsid w:val="007F56BD"/>
    <w:rsid w:val="007F7277"/>
    <w:rsid w:val="007F7510"/>
    <w:rsid w:val="007F7AD0"/>
    <w:rsid w:val="007F7F79"/>
    <w:rsid w:val="00800418"/>
    <w:rsid w:val="0080065E"/>
    <w:rsid w:val="00800DEA"/>
    <w:rsid w:val="00800FF6"/>
    <w:rsid w:val="008010CF"/>
    <w:rsid w:val="00802A9B"/>
    <w:rsid w:val="008030D1"/>
    <w:rsid w:val="00803D41"/>
    <w:rsid w:val="008043BB"/>
    <w:rsid w:val="008057B6"/>
    <w:rsid w:val="00805C06"/>
    <w:rsid w:val="00806FE3"/>
    <w:rsid w:val="00807423"/>
    <w:rsid w:val="00807890"/>
    <w:rsid w:val="00807B60"/>
    <w:rsid w:val="00807D3E"/>
    <w:rsid w:val="00807E1C"/>
    <w:rsid w:val="00807F97"/>
    <w:rsid w:val="00810067"/>
    <w:rsid w:val="008101B5"/>
    <w:rsid w:val="00810A6F"/>
    <w:rsid w:val="008113E2"/>
    <w:rsid w:val="00811843"/>
    <w:rsid w:val="00811C1B"/>
    <w:rsid w:val="00812902"/>
    <w:rsid w:val="00812DB1"/>
    <w:rsid w:val="00813283"/>
    <w:rsid w:val="0081382F"/>
    <w:rsid w:val="0081397A"/>
    <w:rsid w:val="00813BCD"/>
    <w:rsid w:val="0081483C"/>
    <w:rsid w:val="008149A8"/>
    <w:rsid w:val="008154FA"/>
    <w:rsid w:val="00815AA6"/>
    <w:rsid w:val="00815B59"/>
    <w:rsid w:val="00815FE2"/>
    <w:rsid w:val="00815FFF"/>
    <w:rsid w:val="00816C83"/>
    <w:rsid w:val="00816D5D"/>
    <w:rsid w:val="008171E4"/>
    <w:rsid w:val="00817968"/>
    <w:rsid w:val="008179E1"/>
    <w:rsid w:val="00817D63"/>
    <w:rsid w:val="0082011E"/>
    <w:rsid w:val="0082022A"/>
    <w:rsid w:val="00820A6B"/>
    <w:rsid w:val="00821119"/>
    <w:rsid w:val="00822648"/>
    <w:rsid w:val="00822824"/>
    <w:rsid w:val="00822D5D"/>
    <w:rsid w:val="008230F1"/>
    <w:rsid w:val="00823340"/>
    <w:rsid w:val="008248A3"/>
    <w:rsid w:val="00825338"/>
    <w:rsid w:val="00825781"/>
    <w:rsid w:val="00826D96"/>
    <w:rsid w:val="0082734F"/>
    <w:rsid w:val="008278CE"/>
    <w:rsid w:val="008279FA"/>
    <w:rsid w:val="00827A33"/>
    <w:rsid w:val="00827CBF"/>
    <w:rsid w:val="00827E37"/>
    <w:rsid w:val="00827F99"/>
    <w:rsid w:val="00831455"/>
    <w:rsid w:val="00831872"/>
    <w:rsid w:val="008319C5"/>
    <w:rsid w:val="00831DBE"/>
    <w:rsid w:val="008321A8"/>
    <w:rsid w:val="00832BF4"/>
    <w:rsid w:val="00833ED3"/>
    <w:rsid w:val="008348E6"/>
    <w:rsid w:val="008353F6"/>
    <w:rsid w:val="00835C4A"/>
    <w:rsid w:val="00836290"/>
    <w:rsid w:val="008365C6"/>
    <w:rsid w:val="00836732"/>
    <w:rsid w:val="00836816"/>
    <w:rsid w:val="008379CF"/>
    <w:rsid w:val="00840437"/>
    <w:rsid w:val="00840B6B"/>
    <w:rsid w:val="008410AD"/>
    <w:rsid w:val="008411D8"/>
    <w:rsid w:val="00842662"/>
    <w:rsid w:val="00842BC1"/>
    <w:rsid w:val="00843A7A"/>
    <w:rsid w:val="0084434B"/>
    <w:rsid w:val="00844649"/>
    <w:rsid w:val="008448D1"/>
    <w:rsid w:val="008449E4"/>
    <w:rsid w:val="00845167"/>
    <w:rsid w:val="00845455"/>
    <w:rsid w:val="00845801"/>
    <w:rsid w:val="00846071"/>
    <w:rsid w:val="00846174"/>
    <w:rsid w:val="00846A4F"/>
    <w:rsid w:val="0084780B"/>
    <w:rsid w:val="008479F8"/>
    <w:rsid w:val="00847A42"/>
    <w:rsid w:val="00847A6B"/>
    <w:rsid w:val="00850569"/>
    <w:rsid w:val="00850856"/>
    <w:rsid w:val="00850F87"/>
    <w:rsid w:val="0085113C"/>
    <w:rsid w:val="00851555"/>
    <w:rsid w:val="00851B9F"/>
    <w:rsid w:val="00853044"/>
    <w:rsid w:val="00853162"/>
    <w:rsid w:val="00853B1B"/>
    <w:rsid w:val="00854D7B"/>
    <w:rsid w:val="00856429"/>
    <w:rsid w:val="008569C6"/>
    <w:rsid w:val="008608E7"/>
    <w:rsid w:val="00861973"/>
    <w:rsid w:val="00861CA4"/>
    <w:rsid w:val="0086229D"/>
    <w:rsid w:val="00862BAB"/>
    <w:rsid w:val="008636B8"/>
    <w:rsid w:val="0086377A"/>
    <w:rsid w:val="00863BCD"/>
    <w:rsid w:val="0086479A"/>
    <w:rsid w:val="008650FF"/>
    <w:rsid w:val="00865D24"/>
    <w:rsid w:val="00866E9B"/>
    <w:rsid w:val="00867023"/>
    <w:rsid w:val="008670BC"/>
    <w:rsid w:val="008672B7"/>
    <w:rsid w:val="00870022"/>
    <w:rsid w:val="008709C0"/>
    <w:rsid w:val="00870EEA"/>
    <w:rsid w:val="00871318"/>
    <w:rsid w:val="008715DB"/>
    <w:rsid w:val="00871851"/>
    <w:rsid w:val="00871A3D"/>
    <w:rsid w:val="00871A8E"/>
    <w:rsid w:val="00871F56"/>
    <w:rsid w:val="008720EB"/>
    <w:rsid w:val="008722A9"/>
    <w:rsid w:val="00872740"/>
    <w:rsid w:val="008729FE"/>
    <w:rsid w:val="008735DD"/>
    <w:rsid w:val="0087370B"/>
    <w:rsid w:val="00873EA5"/>
    <w:rsid w:val="00874212"/>
    <w:rsid w:val="00874889"/>
    <w:rsid w:val="00875BAB"/>
    <w:rsid w:val="008770D9"/>
    <w:rsid w:val="00877274"/>
    <w:rsid w:val="00877F27"/>
    <w:rsid w:val="0088012B"/>
    <w:rsid w:val="008803E7"/>
    <w:rsid w:val="0088106F"/>
    <w:rsid w:val="0088368B"/>
    <w:rsid w:val="008845E1"/>
    <w:rsid w:val="008846CC"/>
    <w:rsid w:val="00884FF6"/>
    <w:rsid w:val="008852BC"/>
    <w:rsid w:val="00885D3B"/>
    <w:rsid w:val="00886C2A"/>
    <w:rsid w:val="00886E22"/>
    <w:rsid w:val="00886E38"/>
    <w:rsid w:val="008873AD"/>
    <w:rsid w:val="008878B9"/>
    <w:rsid w:val="00890527"/>
    <w:rsid w:val="0089053A"/>
    <w:rsid w:val="00890AD4"/>
    <w:rsid w:val="00890CF6"/>
    <w:rsid w:val="00890E4F"/>
    <w:rsid w:val="00890F47"/>
    <w:rsid w:val="00890F97"/>
    <w:rsid w:val="00891611"/>
    <w:rsid w:val="008917AC"/>
    <w:rsid w:val="00892062"/>
    <w:rsid w:val="0089236E"/>
    <w:rsid w:val="00892BCE"/>
    <w:rsid w:val="00892F01"/>
    <w:rsid w:val="00895891"/>
    <w:rsid w:val="008958CF"/>
    <w:rsid w:val="00895F70"/>
    <w:rsid w:val="008965B1"/>
    <w:rsid w:val="00896D0A"/>
    <w:rsid w:val="00896DC9"/>
    <w:rsid w:val="008970B9"/>
    <w:rsid w:val="008975C1"/>
    <w:rsid w:val="008979F4"/>
    <w:rsid w:val="008A001A"/>
    <w:rsid w:val="008A0BB6"/>
    <w:rsid w:val="008A1127"/>
    <w:rsid w:val="008A1ABD"/>
    <w:rsid w:val="008A2019"/>
    <w:rsid w:val="008A2024"/>
    <w:rsid w:val="008A2681"/>
    <w:rsid w:val="008A28A7"/>
    <w:rsid w:val="008A2D94"/>
    <w:rsid w:val="008A3069"/>
    <w:rsid w:val="008A3759"/>
    <w:rsid w:val="008A38B8"/>
    <w:rsid w:val="008A3A60"/>
    <w:rsid w:val="008A3B2B"/>
    <w:rsid w:val="008A3C0C"/>
    <w:rsid w:val="008A473D"/>
    <w:rsid w:val="008A50A8"/>
    <w:rsid w:val="008A51E2"/>
    <w:rsid w:val="008A52AF"/>
    <w:rsid w:val="008A60AF"/>
    <w:rsid w:val="008A63AF"/>
    <w:rsid w:val="008A6907"/>
    <w:rsid w:val="008A7B0F"/>
    <w:rsid w:val="008B0047"/>
    <w:rsid w:val="008B1F67"/>
    <w:rsid w:val="008B2403"/>
    <w:rsid w:val="008B26B7"/>
    <w:rsid w:val="008B2730"/>
    <w:rsid w:val="008B2DFB"/>
    <w:rsid w:val="008B2E86"/>
    <w:rsid w:val="008B4EB5"/>
    <w:rsid w:val="008B5548"/>
    <w:rsid w:val="008B5DF2"/>
    <w:rsid w:val="008B5F7F"/>
    <w:rsid w:val="008B62A8"/>
    <w:rsid w:val="008B63E5"/>
    <w:rsid w:val="008B63E8"/>
    <w:rsid w:val="008B6589"/>
    <w:rsid w:val="008B6D03"/>
    <w:rsid w:val="008B7171"/>
    <w:rsid w:val="008B751A"/>
    <w:rsid w:val="008B79AB"/>
    <w:rsid w:val="008C00CC"/>
    <w:rsid w:val="008C021A"/>
    <w:rsid w:val="008C0509"/>
    <w:rsid w:val="008C0660"/>
    <w:rsid w:val="008C07CC"/>
    <w:rsid w:val="008C0A57"/>
    <w:rsid w:val="008C1165"/>
    <w:rsid w:val="008C1681"/>
    <w:rsid w:val="008C1921"/>
    <w:rsid w:val="008C1C1E"/>
    <w:rsid w:val="008C2387"/>
    <w:rsid w:val="008C256D"/>
    <w:rsid w:val="008C27A5"/>
    <w:rsid w:val="008C31BE"/>
    <w:rsid w:val="008C39B4"/>
    <w:rsid w:val="008C3B67"/>
    <w:rsid w:val="008C3CCD"/>
    <w:rsid w:val="008C49E7"/>
    <w:rsid w:val="008C61CA"/>
    <w:rsid w:val="008C61D2"/>
    <w:rsid w:val="008C7480"/>
    <w:rsid w:val="008C78F0"/>
    <w:rsid w:val="008C7BAA"/>
    <w:rsid w:val="008C7FC1"/>
    <w:rsid w:val="008D04D2"/>
    <w:rsid w:val="008D05BE"/>
    <w:rsid w:val="008D073C"/>
    <w:rsid w:val="008D081F"/>
    <w:rsid w:val="008D0960"/>
    <w:rsid w:val="008D1D19"/>
    <w:rsid w:val="008D247A"/>
    <w:rsid w:val="008D28B5"/>
    <w:rsid w:val="008D4104"/>
    <w:rsid w:val="008D42B2"/>
    <w:rsid w:val="008D44BF"/>
    <w:rsid w:val="008D52B8"/>
    <w:rsid w:val="008D52E7"/>
    <w:rsid w:val="008D5469"/>
    <w:rsid w:val="008D5A06"/>
    <w:rsid w:val="008D604B"/>
    <w:rsid w:val="008D71AE"/>
    <w:rsid w:val="008D7D45"/>
    <w:rsid w:val="008D7DA4"/>
    <w:rsid w:val="008E1227"/>
    <w:rsid w:val="008E1409"/>
    <w:rsid w:val="008E1505"/>
    <w:rsid w:val="008E1533"/>
    <w:rsid w:val="008E254E"/>
    <w:rsid w:val="008E26D0"/>
    <w:rsid w:val="008E3E91"/>
    <w:rsid w:val="008E4536"/>
    <w:rsid w:val="008E570A"/>
    <w:rsid w:val="008E5D29"/>
    <w:rsid w:val="008E5DF7"/>
    <w:rsid w:val="008E662C"/>
    <w:rsid w:val="008E6A1E"/>
    <w:rsid w:val="008E7A23"/>
    <w:rsid w:val="008E7CF5"/>
    <w:rsid w:val="008F0A74"/>
    <w:rsid w:val="008F0AEA"/>
    <w:rsid w:val="008F15BD"/>
    <w:rsid w:val="008F24B6"/>
    <w:rsid w:val="008F28EB"/>
    <w:rsid w:val="008F30F3"/>
    <w:rsid w:val="008F363D"/>
    <w:rsid w:val="008F37F1"/>
    <w:rsid w:val="008F3B97"/>
    <w:rsid w:val="008F3ED4"/>
    <w:rsid w:val="008F4DA7"/>
    <w:rsid w:val="008F505E"/>
    <w:rsid w:val="008F6054"/>
    <w:rsid w:val="008F759A"/>
    <w:rsid w:val="00900D26"/>
    <w:rsid w:val="009018AB"/>
    <w:rsid w:val="00901B49"/>
    <w:rsid w:val="00901D0B"/>
    <w:rsid w:val="009028C8"/>
    <w:rsid w:val="00902D93"/>
    <w:rsid w:val="00903505"/>
    <w:rsid w:val="0090400E"/>
    <w:rsid w:val="00904C34"/>
    <w:rsid w:val="00905628"/>
    <w:rsid w:val="00905671"/>
    <w:rsid w:val="009060A7"/>
    <w:rsid w:val="00906126"/>
    <w:rsid w:val="009067A1"/>
    <w:rsid w:val="00907AA1"/>
    <w:rsid w:val="00910277"/>
    <w:rsid w:val="00910441"/>
    <w:rsid w:val="009108C0"/>
    <w:rsid w:val="00910A3C"/>
    <w:rsid w:val="00910C3A"/>
    <w:rsid w:val="00910CE7"/>
    <w:rsid w:val="00910F99"/>
    <w:rsid w:val="009110DD"/>
    <w:rsid w:val="009115D9"/>
    <w:rsid w:val="009122C3"/>
    <w:rsid w:val="00912493"/>
    <w:rsid w:val="00912AF8"/>
    <w:rsid w:val="0091377B"/>
    <w:rsid w:val="00914145"/>
    <w:rsid w:val="00914B2A"/>
    <w:rsid w:val="00914B3D"/>
    <w:rsid w:val="00914C23"/>
    <w:rsid w:val="00914D24"/>
    <w:rsid w:val="00914F14"/>
    <w:rsid w:val="00915371"/>
    <w:rsid w:val="00915456"/>
    <w:rsid w:val="00915CCF"/>
    <w:rsid w:val="00916B9C"/>
    <w:rsid w:val="00916EAF"/>
    <w:rsid w:val="009208D3"/>
    <w:rsid w:val="00920C59"/>
    <w:rsid w:val="0092119C"/>
    <w:rsid w:val="009224DF"/>
    <w:rsid w:val="00922569"/>
    <w:rsid w:val="0092294A"/>
    <w:rsid w:val="0092305B"/>
    <w:rsid w:val="00923438"/>
    <w:rsid w:val="009235DA"/>
    <w:rsid w:val="00923634"/>
    <w:rsid w:val="009237DC"/>
    <w:rsid w:val="009239ED"/>
    <w:rsid w:val="00923B8B"/>
    <w:rsid w:val="009247A1"/>
    <w:rsid w:val="00924C4D"/>
    <w:rsid w:val="00924D29"/>
    <w:rsid w:val="00924D65"/>
    <w:rsid w:val="0092562D"/>
    <w:rsid w:val="0092581C"/>
    <w:rsid w:val="0092589D"/>
    <w:rsid w:val="00927067"/>
    <w:rsid w:val="0092711B"/>
    <w:rsid w:val="0092787F"/>
    <w:rsid w:val="00927FB4"/>
    <w:rsid w:val="00930668"/>
    <w:rsid w:val="00930B88"/>
    <w:rsid w:val="00931EF7"/>
    <w:rsid w:val="009328A8"/>
    <w:rsid w:val="0093302F"/>
    <w:rsid w:val="009330EF"/>
    <w:rsid w:val="009338E1"/>
    <w:rsid w:val="009344E4"/>
    <w:rsid w:val="00934B08"/>
    <w:rsid w:val="00935294"/>
    <w:rsid w:val="009355F9"/>
    <w:rsid w:val="0093668A"/>
    <w:rsid w:val="009377B8"/>
    <w:rsid w:val="00937D59"/>
    <w:rsid w:val="00937E09"/>
    <w:rsid w:val="00940126"/>
    <w:rsid w:val="009409A8"/>
    <w:rsid w:val="00940ACC"/>
    <w:rsid w:val="00940F66"/>
    <w:rsid w:val="00941563"/>
    <w:rsid w:val="009424D8"/>
    <w:rsid w:val="009427DD"/>
    <w:rsid w:val="00942AC9"/>
    <w:rsid w:val="00943074"/>
    <w:rsid w:val="009433CE"/>
    <w:rsid w:val="00943420"/>
    <w:rsid w:val="00943681"/>
    <w:rsid w:val="00943818"/>
    <w:rsid w:val="00944578"/>
    <w:rsid w:val="0094485C"/>
    <w:rsid w:val="00945686"/>
    <w:rsid w:val="00945FFF"/>
    <w:rsid w:val="0094695D"/>
    <w:rsid w:val="00946C4E"/>
    <w:rsid w:val="00946CD4"/>
    <w:rsid w:val="00947EF1"/>
    <w:rsid w:val="0095062F"/>
    <w:rsid w:val="00950DAE"/>
    <w:rsid w:val="00951343"/>
    <w:rsid w:val="00951C84"/>
    <w:rsid w:val="00952237"/>
    <w:rsid w:val="00953107"/>
    <w:rsid w:val="009534BE"/>
    <w:rsid w:val="00953809"/>
    <w:rsid w:val="00953A46"/>
    <w:rsid w:val="00953CD6"/>
    <w:rsid w:val="00953F3D"/>
    <w:rsid w:val="00954B61"/>
    <w:rsid w:val="00954E55"/>
    <w:rsid w:val="00955552"/>
    <w:rsid w:val="009565B2"/>
    <w:rsid w:val="009565FC"/>
    <w:rsid w:val="009566F7"/>
    <w:rsid w:val="0095695E"/>
    <w:rsid w:val="00956DFE"/>
    <w:rsid w:val="00957075"/>
    <w:rsid w:val="00957A38"/>
    <w:rsid w:val="009610FC"/>
    <w:rsid w:val="00961DE6"/>
    <w:rsid w:val="00961EA9"/>
    <w:rsid w:val="00962941"/>
    <w:rsid w:val="009630AE"/>
    <w:rsid w:val="00963245"/>
    <w:rsid w:val="00963720"/>
    <w:rsid w:val="0096378A"/>
    <w:rsid w:val="00963967"/>
    <w:rsid w:val="009639C0"/>
    <w:rsid w:val="009644FF"/>
    <w:rsid w:val="009649E4"/>
    <w:rsid w:val="009653A5"/>
    <w:rsid w:val="009658AC"/>
    <w:rsid w:val="00966393"/>
    <w:rsid w:val="00966647"/>
    <w:rsid w:val="00966840"/>
    <w:rsid w:val="0096778A"/>
    <w:rsid w:val="00967A19"/>
    <w:rsid w:val="0097031D"/>
    <w:rsid w:val="00970ACF"/>
    <w:rsid w:val="00971434"/>
    <w:rsid w:val="0097151C"/>
    <w:rsid w:val="00971BA9"/>
    <w:rsid w:val="00972BD4"/>
    <w:rsid w:val="00972BE8"/>
    <w:rsid w:val="009733EA"/>
    <w:rsid w:val="00973A87"/>
    <w:rsid w:val="00973F4F"/>
    <w:rsid w:val="00974756"/>
    <w:rsid w:val="009747E9"/>
    <w:rsid w:val="00976BE1"/>
    <w:rsid w:val="00976F80"/>
    <w:rsid w:val="0097701D"/>
    <w:rsid w:val="00977FF2"/>
    <w:rsid w:val="00980077"/>
    <w:rsid w:val="00980AC0"/>
    <w:rsid w:val="009810DE"/>
    <w:rsid w:val="0098346F"/>
    <w:rsid w:val="0098354E"/>
    <w:rsid w:val="009840D5"/>
    <w:rsid w:val="009842B4"/>
    <w:rsid w:val="009844F1"/>
    <w:rsid w:val="00984B03"/>
    <w:rsid w:val="00985544"/>
    <w:rsid w:val="00985DD5"/>
    <w:rsid w:val="00986E7E"/>
    <w:rsid w:val="0098720A"/>
    <w:rsid w:val="00987D44"/>
    <w:rsid w:val="00990DF0"/>
    <w:rsid w:val="00990E13"/>
    <w:rsid w:val="0099105A"/>
    <w:rsid w:val="009910AC"/>
    <w:rsid w:val="00991BE0"/>
    <w:rsid w:val="00992002"/>
    <w:rsid w:val="009920C6"/>
    <w:rsid w:val="009922C4"/>
    <w:rsid w:val="009934D5"/>
    <w:rsid w:val="00995938"/>
    <w:rsid w:val="00995A8B"/>
    <w:rsid w:val="00996BF4"/>
    <w:rsid w:val="00996F38"/>
    <w:rsid w:val="00997C1C"/>
    <w:rsid w:val="009A03F2"/>
    <w:rsid w:val="009A0D8D"/>
    <w:rsid w:val="009A0E51"/>
    <w:rsid w:val="009A0F9A"/>
    <w:rsid w:val="009A1286"/>
    <w:rsid w:val="009A1AF8"/>
    <w:rsid w:val="009A1C08"/>
    <w:rsid w:val="009A2618"/>
    <w:rsid w:val="009A29DC"/>
    <w:rsid w:val="009A2C11"/>
    <w:rsid w:val="009A2E9D"/>
    <w:rsid w:val="009A350B"/>
    <w:rsid w:val="009A41FC"/>
    <w:rsid w:val="009A458A"/>
    <w:rsid w:val="009A45DA"/>
    <w:rsid w:val="009A5622"/>
    <w:rsid w:val="009A574D"/>
    <w:rsid w:val="009A6685"/>
    <w:rsid w:val="009A6EBA"/>
    <w:rsid w:val="009A6FE0"/>
    <w:rsid w:val="009A753A"/>
    <w:rsid w:val="009B08A8"/>
    <w:rsid w:val="009B148B"/>
    <w:rsid w:val="009B14A4"/>
    <w:rsid w:val="009B151A"/>
    <w:rsid w:val="009B1696"/>
    <w:rsid w:val="009B1B0B"/>
    <w:rsid w:val="009B1FFD"/>
    <w:rsid w:val="009B2344"/>
    <w:rsid w:val="009B2678"/>
    <w:rsid w:val="009B30C3"/>
    <w:rsid w:val="009B3E1E"/>
    <w:rsid w:val="009B40A0"/>
    <w:rsid w:val="009B4249"/>
    <w:rsid w:val="009B4582"/>
    <w:rsid w:val="009B47C2"/>
    <w:rsid w:val="009B4CE7"/>
    <w:rsid w:val="009B54C3"/>
    <w:rsid w:val="009B5FE6"/>
    <w:rsid w:val="009B6BF3"/>
    <w:rsid w:val="009B6CD2"/>
    <w:rsid w:val="009B77CF"/>
    <w:rsid w:val="009C1158"/>
    <w:rsid w:val="009C14BB"/>
    <w:rsid w:val="009C4E21"/>
    <w:rsid w:val="009C587F"/>
    <w:rsid w:val="009C5CC8"/>
    <w:rsid w:val="009C62DA"/>
    <w:rsid w:val="009C6B15"/>
    <w:rsid w:val="009C6D14"/>
    <w:rsid w:val="009C724F"/>
    <w:rsid w:val="009C77C1"/>
    <w:rsid w:val="009C7A9D"/>
    <w:rsid w:val="009D0711"/>
    <w:rsid w:val="009D0C4C"/>
    <w:rsid w:val="009D1678"/>
    <w:rsid w:val="009D250F"/>
    <w:rsid w:val="009D2A94"/>
    <w:rsid w:val="009D2D9A"/>
    <w:rsid w:val="009D2EF9"/>
    <w:rsid w:val="009D3359"/>
    <w:rsid w:val="009D3AA7"/>
    <w:rsid w:val="009D3D8B"/>
    <w:rsid w:val="009D3E0D"/>
    <w:rsid w:val="009D40A7"/>
    <w:rsid w:val="009D52C7"/>
    <w:rsid w:val="009D547B"/>
    <w:rsid w:val="009D55F2"/>
    <w:rsid w:val="009D5878"/>
    <w:rsid w:val="009D647B"/>
    <w:rsid w:val="009D68A2"/>
    <w:rsid w:val="009D6C6F"/>
    <w:rsid w:val="009D6EE4"/>
    <w:rsid w:val="009D6F58"/>
    <w:rsid w:val="009D780A"/>
    <w:rsid w:val="009D782E"/>
    <w:rsid w:val="009E0523"/>
    <w:rsid w:val="009E0A92"/>
    <w:rsid w:val="009E0B2A"/>
    <w:rsid w:val="009E0E44"/>
    <w:rsid w:val="009E41D6"/>
    <w:rsid w:val="009E5883"/>
    <w:rsid w:val="009E6812"/>
    <w:rsid w:val="009E7643"/>
    <w:rsid w:val="009E7B95"/>
    <w:rsid w:val="009F0017"/>
    <w:rsid w:val="009F0836"/>
    <w:rsid w:val="009F0C20"/>
    <w:rsid w:val="009F0FF9"/>
    <w:rsid w:val="009F108E"/>
    <w:rsid w:val="009F13E3"/>
    <w:rsid w:val="009F1745"/>
    <w:rsid w:val="009F1B52"/>
    <w:rsid w:val="009F1EC7"/>
    <w:rsid w:val="009F1FEB"/>
    <w:rsid w:val="009F2142"/>
    <w:rsid w:val="009F24ED"/>
    <w:rsid w:val="009F2BDC"/>
    <w:rsid w:val="009F3809"/>
    <w:rsid w:val="009F3AFD"/>
    <w:rsid w:val="009F574B"/>
    <w:rsid w:val="009F5F09"/>
    <w:rsid w:val="00A00312"/>
    <w:rsid w:val="00A00A0D"/>
    <w:rsid w:val="00A00BEE"/>
    <w:rsid w:val="00A00FA3"/>
    <w:rsid w:val="00A011C4"/>
    <w:rsid w:val="00A01261"/>
    <w:rsid w:val="00A02FF4"/>
    <w:rsid w:val="00A032D0"/>
    <w:rsid w:val="00A03749"/>
    <w:rsid w:val="00A0459C"/>
    <w:rsid w:val="00A047E2"/>
    <w:rsid w:val="00A04B1C"/>
    <w:rsid w:val="00A061D6"/>
    <w:rsid w:val="00A06BEC"/>
    <w:rsid w:val="00A10BA2"/>
    <w:rsid w:val="00A113C4"/>
    <w:rsid w:val="00A113CD"/>
    <w:rsid w:val="00A1251C"/>
    <w:rsid w:val="00A136D5"/>
    <w:rsid w:val="00A1371E"/>
    <w:rsid w:val="00A1419E"/>
    <w:rsid w:val="00A149B2"/>
    <w:rsid w:val="00A15265"/>
    <w:rsid w:val="00A154D8"/>
    <w:rsid w:val="00A15583"/>
    <w:rsid w:val="00A1559E"/>
    <w:rsid w:val="00A15A39"/>
    <w:rsid w:val="00A15B99"/>
    <w:rsid w:val="00A16CE0"/>
    <w:rsid w:val="00A16D5E"/>
    <w:rsid w:val="00A16F3F"/>
    <w:rsid w:val="00A1700C"/>
    <w:rsid w:val="00A1739F"/>
    <w:rsid w:val="00A17841"/>
    <w:rsid w:val="00A17A38"/>
    <w:rsid w:val="00A17F6C"/>
    <w:rsid w:val="00A20203"/>
    <w:rsid w:val="00A204DA"/>
    <w:rsid w:val="00A20B87"/>
    <w:rsid w:val="00A20DA6"/>
    <w:rsid w:val="00A2127D"/>
    <w:rsid w:val="00A21801"/>
    <w:rsid w:val="00A21A4E"/>
    <w:rsid w:val="00A21E2B"/>
    <w:rsid w:val="00A220C1"/>
    <w:rsid w:val="00A225EF"/>
    <w:rsid w:val="00A22C6B"/>
    <w:rsid w:val="00A22EEB"/>
    <w:rsid w:val="00A23EED"/>
    <w:rsid w:val="00A24ABF"/>
    <w:rsid w:val="00A25130"/>
    <w:rsid w:val="00A2516D"/>
    <w:rsid w:val="00A25707"/>
    <w:rsid w:val="00A2574C"/>
    <w:rsid w:val="00A259BF"/>
    <w:rsid w:val="00A26BD6"/>
    <w:rsid w:val="00A26F0D"/>
    <w:rsid w:val="00A27037"/>
    <w:rsid w:val="00A27C1F"/>
    <w:rsid w:val="00A3085E"/>
    <w:rsid w:val="00A30E96"/>
    <w:rsid w:val="00A30FE1"/>
    <w:rsid w:val="00A31921"/>
    <w:rsid w:val="00A31A2E"/>
    <w:rsid w:val="00A320EA"/>
    <w:rsid w:val="00A324EA"/>
    <w:rsid w:val="00A327AD"/>
    <w:rsid w:val="00A332EF"/>
    <w:rsid w:val="00A33C75"/>
    <w:rsid w:val="00A34C32"/>
    <w:rsid w:val="00A35236"/>
    <w:rsid w:val="00A354B7"/>
    <w:rsid w:val="00A35AA2"/>
    <w:rsid w:val="00A35BC6"/>
    <w:rsid w:val="00A35F9E"/>
    <w:rsid w:val="00A362B9"/>
    <w:rsid w:val="00A3672F"/>
    <w:rsid w:val="00A36948"/>
    <w:rsid w:val="00A36E35"/>
    <w:rsid w:val="00A4040A"/>
    <w:rsid w:val="00A40FB5"/>
    <w:rsid w:val="00A42913"/>
    <w:rsid w:val="00A42AB0"/>
    <w:rsid w:val="00A42EBB"/>
    <w:rsid w:val="00A439CA"/>
    <w:rsid w:val="00A43E73"/>
    <w:rsid w:val="00A4407B"/>
    <w:rsid w:val="00A442C1"/>
    <w:rsid w:val="00A445DE"/>
    <w:rsid w:val="00A45583"/>
    <w:rsid w:val="00A45B1D"/>
    <w:rsid w:val="00A4615B"/>
    <w:rsid w:val="00A473BB"/>
    <w:rsid w:val="00A47F49"/>
    <w:rsid w:val="00A50086"/>
    <w:rsid w:val="00A506D2"/>
    <w:rsid w:val="00A51CD8"/>
    <w:rsid w:val="00A522E5"/>
    <w:rsid w:val="00A52390"/>
    <w:rsid w:val="00A52E8A"/>
    <w:rsid w:val="00A5403E"/>
    <w:rsid w:val="00A54DA8"/>
    <w:rsid w:val="00A54E61"/>
    <w:rsid w:val="00A54F13"/>
    <w:rsid w:val="00A55107"/>
    <w:rsid w:val="00A55856"/>
    <w:rsid w:val="00A56248"/>
    <w:rsid w:val="00A56D34"/>
    <w:rsid w:val="00A57735"/>
    <w:rsid w:val="00A57F1C"/>
    <w:rsid w:val="00A57F48"/>
    <w:rsid w:val="00A603C5"/>
    <w:rsid w:val="00A604D7"/>
    <w:rsid w:val="00A605C7"/>
    <w:rsid w:val="00A60AA8"/>
    <w:rsid w:val="00A60EA4"/>
    <w:rsid w:val="00A61B76"/>
    <w:rsid w:val="00A623B2"/>
    <w:rsid w:val="00A6279F"/>
    <w:rsid w:val="00A62A51"/>
    <w:rsid w:val="00A62E11"/>
    <w:rsid w:val="00A63323"/>
    <w:rsid w:val="00A64C36"/>
    <w:rsid w:val="00A65CBB"/>
    <w:rsid w:val="00A65DAD"/>
    <w:rsid w:val="00A65EF6"/>
    <w:rsid w:val="00A65F1B"/>
    <w:rsid w:val="00A67077"/>
    <w:rsid w:val="00A67A2E"/>
    <w:rsid w:val="00A702A6"/>
    <w:rsid w:val="00A7041F"/>
    <w:rsid w:val="00A70FAA"/>
    <w:rsid w:val="00A71A17"/>
    <w:rsid w:val="00A72201"/>
    <w:rsid w:val="00A7251E"/>
    <w:rsid w:val="00A72556"/>
    <w:rsid w:val="00A72AA1"/>
    <w:rsid w:val="00A72BB0"/>
    <w:rsid w:val="00A7465E"/>
    <w:rsid w:val="00A75229"/>
    <w:rsid w:val="00A75790"/>
    <w:rsid w:val="00A757C6"/>
    <w:rsid w:val="00A759F4"/>
    <w:rsid w:val="00A76BA4"/>
    <w:rsid w:val="00A773D8"/>
    <w:rsid w:val="00A77A7C"/>
    <w:rsid w:val="00A77D2D"/>
    <w:rsid w:val="00A80170"/>
    <w:rsid w:val="00A81132"/>
    <w:rsid w:val="00A819D4"/>
    <w:rsid w:val="00A81DBB"/>
    <w:rsid w:val="00A8251F"/>
    <w:rsid w:val="00A836F2"/>
    <w:rsid w:val="00A83769"/>
    <w:rsid w:val="00A8399B"/>
    <w:rsid w:val="00A83B21"/>
    <w:rsid w:val="00A83CF7"/>
    <w:rsid w:val="00A83FC5"/>
    <w:rsid w:val="00A84066"/>
    <w:rsid w:val="00A84532"/>
    <w:rsid w:val="00A84721"/>
    <w:rsid w:val="00A851AA"/>
    <w:rsid w:val="00A85A0B"/>
    <w:rsid w:val="00A85AF6"/>
    <w:rsid w:val="00A85CB4"/>
    <w:rsid w:val="00A86142"/>
    <w:rsid w:val="00A86312"/>
    <w:rsid w:val="00A8694D"/>
    <w:rsid w:val="00A86A77"/>
    <w:rsid w:val="00A86CB8"/>
    <w:rsid w:val="00A8767B"/>
    <w:rsid w:val="00A9019D"/>
    <w:rsid w:val="00A901B3"/>
    <w:rsid w:val="00A91547"/>
    <w:rsid w:val="00A93635"/>
    <w:rsid w:val="00A93AFD"/>
    <w:rsid w:val="00A93B1A"/>
    <w:rsid w:val="00A94149"/>
    <w:rsid w:val="00A94806"/>
    <w:rsid w:val="00A94CA2"/>
    <w:rsid w:val="00A94DDC"/>
    <w:rsid w:val="00A950CD"/>
    <w:rsid w:val="00A950E4"/>
    <w:rsid w:val="00A954F3"/>
    <w:rsid w:val="00A95BE1"/>
    <w:rsid w:val="00A96924"/>
    <w:rsid w:val="00A96D4F"/>
    <w:rsid w:val="00A97539"/>
    <w:rsid w:val="00A97CC0"/>
    <w:rsid w:val="00A97F8B"/>
    <w:rsid w:val="00A97FBE"/>
    <w:rsid w:val="00AA0312"/>
    <w:rsid w:val="00AA08C4"/>
    <w:rsid w:val="00AA1670"/>
    <w:rsid w:val="00AA1723"/>
    <w:rsid w:val="00AA1DDC"/>
    <w:rsid w:val="00AA2666"/>
    <w:rsid w:val="00AA334E"/>
    <w:rsid w:val="00AA3C97"/>
    <w:rsid w:val="00AA3D2A"/>
    <w:rsid w:val="00AA3F12"/>
    <w:rsid w:val="00AA458B"/>
    <w:rsid w:val="00AA482C"/>
    <w:rsid w:val="00AA53D1"/>
    <w:rsid w:val="00AA6507"/>
    <w:rsid w:val="00AA6AD1"/>
    <w:rsid w:val="00AA71E0"/>
    <w:rsid w:val="00AA779D"/>
    <w:rsid w:val="00AB0566"/>
    <w:rsid w:val="00AB074D"/>
    <w:rsid w:val="00AB0A89"/>
    <w:rsid w:val="00AB132F"/>
    <w:rsid w:val="00AB14DC"/>
    <w:rsid w:val="00AB1CBF"/>
    <w:rsid w:val="00AB2513"/>
    <w:rsid w:val="00AB265B"/>
    <w:rsid w:val="00AB370E"/>
    <w:rsid w:val="00AB3992"/>
    <w:rsid w:val="00AB3DA6"/>
    <w:rsid w:val="00AB4AF3"/>
    <w:rsid w:val="00AB4DC0"/>
    <w:rsid w:val="00AB5494"/>
    <w:rsid w:val="00AB5EEB"/>
    <w:rsid w:val="00AB6FAC"/>
    <w:rsid w:val="00AB7BB4"/>
    <w:rsid w:val="00AC0392"/>
    <w:rsid w:val="00AC11BC"/>
    <w:rsid w:val="00AC1953"/>
    <w:rsid w:val="00AC1B7E"/>
    <w:rsid w:val="00AC24DA"/>
    <w:rsid w:val="00AC26FE"/>
    <w:rsid w:val="00AC35D8"/>
    <w:rsid w:val="00AC3D0B"/>
    <w:rsid w:val="00AC3E5C"/>
    <w:rsid w:val="00AC55C4"/>
    <w:rsid w:val="00AC5B4F"/>
    <w:rsid w:val="00AC6785"/>
    <w:rsid w:val="00AC72CC"/>
    <w:rsid w:val="00AC73EC"/>
    <w:rsid w:val="00AD019F"/>
    <w:rsid w:val="00AD04C3"/>
    <w:rsid w:val="00AD054A"/>
    <w:rsid w:val="00AD0C84"/>
    <w:rsid w:val="00AD1FAB"/>
    <w:rsid w:val="00AD2258"/>
    <w:rsid w:val="00AD2454"/>
    <w:rsid w:val="00AD3333"/>
    <w:rsid w:val="00AD364D"/>
    <w:rsid w:val="00AD370B"/>
    <w:rsid w:val="00AD39CA"/>
    <w:rsid w:val="00AD3D84"/>
    <w:rsid w:val="00AD4DA5"/>
    <w:rsid w:val="00AD4F1D"/>
    <w:rsid w:val="00AD62D9"/>
    <w:rsid w:val="00AD6685"/>
    <w:rsid w:val="00AD69F0"/>
    <w:rsid w:val="00AD7039"/>
    <w:rsid w:val="00AD79A8"/>
    <w:rsid w:val="00AE04BE"/>
    <w:rsid w:val="00AE0993"/>
    <w:rsid w:val="00AE1651"/>
    <w:rsid w:val="00AE1CBD"/>
    <w:rsid w:val="00AE2C17"/>
    <w:rsid w:val="00AE3679"/>
    <w:rsid w:val="00AE3979"/>
    <w:rsid w:val="00AE3DC9"/>
    <w:rsid w:val="00AE56B7"/>
    <w:rsid w:val="00AE6222"/>
    <w:rsid w:val="00AE622E"/>
    <w:rsid w:val="00AE743B"/>
    <w:rsid w:val="00AE7FDE"/>
    <w:rsid w:val="00AF076B"/>
    <w:rsid w:val="00AF15F2"/>
    <w:rsid w:val="00AF1A2E"/>
    <w:rsid w:val="00AF1D19"/>
    <w:rsid w:val="00AF20C1"/>
    <w:rsid w:val="00AF2117"/>
    <w:rsid w:val="00AF498B"/>
    <w:rsid w:val="00AF4A32"/>
    <w:rsid w:val="00AF5867"/>
    <w:rsid w:val="00AF610F"/>
    <w:rsid w:val="00AF6300"/>
    <w:rsid w:val="00AF65B9"/>
    <w:rsid w:val="00AF7455"/>
    <w:rsid w:val="00B00382"/>
    <w:rsid w:val="00B00D38"/>
    <w:rsid w:val="00B01F44"/>
    <w:rsid w:val="00B01FF5"/>
    <w:rsid w:val="00B02959"/>
    <w:rsid w:val="00B0305D"/>
    <w:rsid w:val="00B03747"/>
    <w:rsid w:val="00B03E60"/>
    <w:rsid w:val="00B03FAE"/>
    <w:rsid w:val="00B0448A"/>
    <w:rsid w:val="00B04CB3"/>
    <w:rsid w:val="00B04E7B"/>
    <w:rsid w:val="00B0547D"/>
    <w:rsid w:val="00B0576D"/>
    <w:rsid w:val="00B06351"/>
    <w:rsid w:val="00B06541"/>
    <w:rsid w:val="00B06861"/>
    <w:rsid w:val="00B068ED"/>
    <w:rsid w:val="00B06910"/>
    <w:rsid w:val="00B0696F"/>
    <w:rsid w:val="00B06EEE"/>
    <w:rsid w:val="00B07276"/>
    <w:rsid w:val="00B076A2"/>
    <w:rsid w:val="00B07E20"/>
    <w:rsid w:val="00B102DB"/>
    <w:rsid w:val="00B1144C"/>
    <w:rsid w:val="00B114A8"/>
    <w:rsid w:val="00B1174B"/>
    <w:rsid w:val="00B12245"/>
    <w:rsid w:val="00B126B4"/>
    <w:rsid w:val="00B13128"/>
    <w:rsid w:val="00B135A7"/>
    <w:rsid w:val="00B13AEE"/>
    <w:rsid w:val="00B14953"/>
    <w:rsid w:val="00B15DC7"/>
    <w:rsid w:val="00B15E1C"/>
    <w:rsid w:val="00B16272"/>
    <w:rsid w:val="00B167D0"/>
    <w:rsid w:val="00B175DE"/>
    <w:rsid w:val="00B176C2"/>
    <w:rsid w:val="00B2077B"/>
    <w:rsid w:val="00B20F01"/>
    <w:rsid w:val="00B210E0"/>
    <w:rsid w:val="00B21744"/>
    <w:rsid w:val="00B21CB6"/>
    <w:rsid w:val="00B21E67"/>
    <w:rsid w:val="00B21EB6"/>
    <w:rsid w:val="00B22654"/>
    <w:rsid w:val="00B22C82"/>
    <w:rsid w:val="00B22DDC"/>
    <w:rsid w:val="00B22EA8"/>
    <w:rsid w:val="00B231DE"/>
    <w:rsid w:val="00B23936"/>
    <w:rsid w:val="00B24881"/>
    <w:rsid w:val="00B24CAA"/>
    <w:rsid w:val="00B24DCB"/>
    <w:rsid w:val="00B25418"/>
    <w:rsid w:val="00B2576F"/>
    <w:rsid w:val="00B26898"/>
    <w:rsid w:val="00B269B2"/>
    <w:rsid w:val="00B270C3"/>
    <w:rsid w:val="00B27597"/>
    <w:rsid w:val="00B27997"/>
    <w:rsid w:val="00B27B2A"/>
    <w:rsid w:val="00B27ECD"/>
    <w:rsid w:val="00B3212B"/>
    <w:rsid w:val="00B32357"/>
    <w:rsid w:val="00B3249F"/>
    <w:rsid w:val="00B32660"/>
    <w:rsid w:val="00B335F9"/>
    <w:rsid w:val="00B336F9"/>
    <w:rsid w:val="00B33C4A"/>
    <w:rsid w:val="00B33E40"/>
    <w:rsid w:val="00B342C8"/>
    <w:rsid w:val="00B346AF"/>
    <w:rsid w:val="00B34A06"/>
    <w:rsid w:val="00B34CDC"/>
    <w:rsid w:val="00B35536"/>
    <w:rsid w:val="00B359FB"/>
    <w:rsid w:val="00B35F85"/>
    <w:rsid w:val="00B366A2"/>
    <w:rsid w:val="00B36FB6"/>
    <w:rsid w:val="00B37000"/>
    <w:rsid w:val="00B37405"/>
    <w:rsid w:val="00B40A2E"/>
    <w:rsid w:val="00B40D5D"/>
    <w:rsid w:val="00B42704"/>
    <w:rsid w:val="00B42976"/>
    <w:rsid w:val="00B4310D"/>
    <w:rsid w:val="00B431AA"/>
    <w:rsid w:val="00B43855"/>
    <w:rsid w:val="00B43C3F"/>
    <w:rsid w:val="00B4435F"/>
    <w:rsid w:val="00B45877"/>
    <w:rsid w:val="00B459C4"/>
    <w:rsid w:val="00B45AE1"/>
    <w:rsid w:val="00B45D32"/>
    <w:rsid w:val="00B47461"/>
    <w:rsid w:val="00B47EAA"/>
    <w:rsid w:val="00B50CA6"/>
    <w:rsid w:val="00B51FA1"/>
    <w:rsid w:val="00B5383B"/>
    <w:rsid w:val="00B53D44"/>
    <w:rsid w:val="00B54282"/>
    <w:rsid w:val="00B549B0"/>
    <w:rsid w:val="00B54D11"/>
    <w:rsid w:val="00B55D08"/>
    <w:rsid w:val="00B55D96"/>
    <w:rsid w:val="00B561DA"/>
    <w:rsid w:val="00B5632F"/>
    <w:rsid w:val="00B5659A"/>
    <w:rsid w:val="00B56628"/>
    <w:rsid w:val="00B566B4"/>
    <w:rsid w:val="00B56762"/>
    <w:rsid w:val="00B56935"/>
    <w:rsid w:val="00B570E1"/>
    <w:rsid w:val="00B57676"/>
    <w:rsid w:val="00B577A1"/>
    <w:rsid w:val="00B57F38"/>
    <w:rsid w:val="00B57F9A"/>
    <w:rsid w:val="00B60E4C"/>
    <w:rsid w:val="00B613E7"/>
    <w:rsid w:val="00B61A76"/>
    <w:rsid w:val="00B61AA6"/>
    <w:rsid w:val="00B62953"/>
    <w:rsid w:val="00B63930"/>
    <w:rsid w:val="00B64624"/>
    <w:rsid w:val="00B64830"/>
    <w:rsid w:val="00B650F4"/>
    <w:rsid w:val="00B65CB1"/>
    <w:rsid w:val="00B661DD"/>
    <w:rsid w:val="00B66528"/>
    <w:rsid w:val="00B673E5"/>
    <w:rsid w:val="00B67AC6"/>
    <w:rsid w:val="00B70F8E"/>
    <w:rsid w:val="00B73385"/>
    <w:rsid w:val="00B73E04"/>
    <w:rsid w:val="00B74017"/>
    <w:rsid w:val="00B74A09"/>
    <w:rsid w:val="00B75F12"/>
    <w:rsid w:val="00B76194"/>
    <w:rsid w:val="00B769F9"/>
    <w:rsid w:val="00B76D6B"/>
    <w:rsid w:val="00B76E29"/>
    <w:rsid w:val="00B76ED2"/>
    <w:rsid w:val="00B774BE"/>
    <w:rsid w:val="00B779FB"/>
    <w:rsid w:val="00B77AEC"/>
    <w:rsid w:val="00B8181B"/>
    <w:rsid w:val="00B818B8"/>
    <w:rsid w:val="00B826EC"/>
    <w:rsid w:val="00B82CA9"/>
    <w:rsid w:val="00B82D53"/>
    <w:rsid w:val="00B83C97"/>
    <w:rsid w:val="00B841EF"/>
    <w:rsid w:val="00B84BEC"/>
    <w:rsid w:val="00B84C34"/>
    <w:rsid w:val="00B84EA0"/>
    <w:rsid w:val="00B85A08"/>
    <w:rsid w:val="00B86682"/>
    <w:rsid w:val="00B86753"/>
    <w:rsid w:val="00B87093"/>
    <w:rsid w:val="00B90446"/>
    <w:rsid w:val="00B9070C"/>
    <w:rsid w:val="00B9178D"/>
    <w:rsid w:val="00B91A07"/>
    <w:rsid w:val="00B92194"/>
    <w:rsid w:val="00B92CDB"/>
    <w:rsid w:val="00B934F8"/>
    <w:rsid w:val="00B939A0"/>
    <w:rsid w:val="00B93F14"/>
    <w:rsid w:val="00B9465A"/>
    <w:rsid w:val="00B94B35"/>
    <w:rsid w:val="00B94CF3"/>
    <w:rsid w:val="00B9563B"/>
    <w:rsid w:val="00B95918"/>
    <w:rsid w:val="00B95ABF"/>
    <w:rsid w:val="00BA01F5"/>
    <w:rsid w:val="00BA054B"/>
    <w:rsid w:val="00BA13C5"/>
    <w:rsid w:val="00BA1536"/>
    <w:rsid w:val="00BA331A"/>
    <w:rsid w:val="00BA3965"/>
    <w:rsid w:val="00BA3AD4"/>
    <w:rsid w:val="00BA3F9C"/>
    <w:rsid w:val="00BA428E"/>
    <w:rsid w:val="00BA451E"/>
    <w:rsid w:val="00BA47BA"/>
    <w:rsid w:val="00BA4EDA"/>
    <w:rsid w:val="00BA5443"/>
    <w:rsid w:val="00BA5EC9"/>
    <w:rsid w:val="00BA6624"/>
    <w:rsid w:val="00BA6CB2"/>
    <w:rsid w:val="00BA6E98"/>
    <w:rsid w:val="00BA6ED1"/>
    <w:rsid w:val="00BA7358"/>
    <w:rsid w:val="00BA77C5"/>
    <w:rsid w:val="00BA789C"/>
    <w:rsid w:val="00BA7A1A"/>
    <w:rsid w:val="00BB0053"/>
    <w:rsid w:val="00BB0CC2"/>
    <w:rsid w:val="00BB0D4E"/>
    <w:rsid w:val="00BB0D5C"/>
    <w:rsid w:val="00BB128B"/>
    <w:rsid w:val="00BB1731"/>
    <w:rsid w:val="00BB2735"/>
    <w:rsid w:val="00BB372A"/>
    <w:rsid w:val="00BB387C"/>
    <w:rsid w:val="00BB38B2"/>
    <w:rsid w:val="00BB392A"/>
    <w:rsid w:val="00BB3CBD"/>
    <w:rsid w:val="00BB4892"/>
    <w:rsid w:val="00BB579C"/>
    <w:rsid w:val="00BB6766"/>
    <w:rsid w:val="00BB688D"/>
    <w:rsid w:val="00BB737B"/>
    <w:rsid w:val="00BC09CB"/>
    <w:rsid w:val="00BC0DA3"/>
    <w:rsid w:val="00BC110B"/>
    <w:rsid w:val="00BC1548"/>
    <w:rsid w:val="00BC19EF"/>
    <w:rsid w:val="00BC1C60"/>
    <w:rsid w:val="00BC2637"/>
    <w:rsid w:val="00BC285C"/>
    <w:rsid w:val="00BC2E76"/>
    <w:rsid w:val="00BC2F43"/>
    <w:rsid w:val="00BC3324"/>
    <w:rsid w:val="00BC4863"/>
    <w:rsid w:val="00BC4DB4"/>
    <w:rsid w:val="00BC57C6"/>
    <w:rsid w:val="00BC581B"/>
    <w:rsid w:val="00BC5942"/>
    <w:rsid w:val="00BC5E42"/>
    <w:rsid w:val="00BC720B"/>
    <w:rsid w:val="00BD021A"/>
    <w:rsid w:val="00BD0852"/>
    <w:rsid w:val="00BD1A11"/>
    <w:rsid w:val="00BD1C77"/>
    <w:rsid w:val="00BD1E3F"/>
    <w:rsid w:val="00BD2241"/>
    <w:rsid w:val="00BD269B"/>
    <w:rsid w:val="00BD2923"/>
    <w:rsid w:val="00BD2AC4"/>
    <w:rsid w:val="00BD33D1"/>
    <w:rsid w:val="00BD35B7"/>
    <w:rsid w:val="00BD41EA"/>
    <w:rsid w:val="00BD4AE9"/>
    <w:rsid w:val="00BD50E2"/>
    <w:rsid w:val="00BD53C3"/>
    <w:rsid w:val="00BD5EA8"/>
    <w:rsid w:val="00BD641A"/>
    <w:rsid w:val="00BD7A4B"/>
    <w:rsid w:val="00BE0939"/>
    <w:rsid w:val="00BE0E38"/>
    <w:rsid w:val="00BE109E"/>
    <w:rsid w:val="00BE18E7"/>
    <w:rsid w:val="00BE1A6B"/>
    <w:rsid w:val="00BE2082"/>
    <w:rsid w:val="00BE2B6C"/>
    <w:rsid w:val="00BE2EE1"/>
    <w:rsid w:val="00BE35E1"/>
    <w:rsid w:val="00BE36A4"/>
    <w:rsid w:val="00BE3875"/>
    <w:rsid w:val="00BE4777"/>
    <w:rsid w:val="00BE53E0"/>
    <w:rsid w:val="00BE5460"/>
    <w:rsid w:val="00BE603C"/>
    <w:rsid w:val="00BE6122"/>
    <w:rsid w:val="00BE62F3"/>
    <w:rsid w:val="00BE78BB"/>
    <w:rsid w:val="00BF0ADC"/>
    <w:rsid w:val="00BF0E18"/>
    <w:rsid w:val="00BF0E70"/>
    <w:rsid w:val="00BF1381"/>
    <w:rsid w:val="00BF15B6"/>
    <w:rsid w:val="00BF25C3"/>
    <w:rsid w:val="00BF28B7"/>
    <w:rsid w:val="00BF2DC1"/>
    <w:rsid w:val="00BF39A5"/>
    <w:rsid w:val="00BF3AEB"/>
    <w:rsid w:val="00BF3F53"/>
    <w:rsid w:val="00BF4583"/>
    <w:rsid w:val="00BF5889"/>
    <w:rsid w:val="00BF7413"/>
    <w:rsid w:val="00BF746F"/>
    <w:rsid w:val="00BF7641"/>
    <w:rsid w:val="00BF7DAA"/>
    <w:rsid w:val="00BF7E0D"/>
    <w:rsid w:val="00C00270"/>
    <w:rsid w:val="00C0042F"/>
    <w:rsid w:val="00C00DA4"/>
    <w:rsid w:val="00C00E1A"/>
    <w:rsid w:val="00C01131"/>
    <w:rsid w:val="00C013E0"/>
    <w:rsid w:val="00C015D6"/>
    <w:rsid w:val="00C01870"/>
    <w:rsid w:val="00C01A96"/>
    <w:rsid w:val="00C02F9F"/>
    <w:rsid w:val="00C05AB9"/>
    <w:rsid w:val="00C06035"/>
    <w:rsid w:val="00C06A38"/>
    <w:rsid w:val="00C06C84"/>
    <w:rsid w:val="00C073FC"/>
    <w:rsid w:val="00C078B8"/>
    <w:rsid w:val="00C07DED"/>
    <w:rsid w:val="00C1011F"/>
    <w:rsid w:val="00C10675"/>
    <w:rsid w:val="00C11762"/>
    <w:rsid w:val="00C11843"/>
    <w:rsid w:val="00C12234"/>
    <w:rsid w:val="00C12258"/>
    <w:rsid w:val="00C12B3E"/>
    <w:rsid w:val="00C13185"/>
    <w:rsid w:val="00C132A8"/>
    <w:rsid w:val="00C1366E"/>
    <w:rsid w:val="00C13CD3"/>
    <w:rsid w:val="00C14ADE"/>
    <w:rsid w:val="00C1502D"/>
    <w:rsid w:val="00C1509F"/>
    <w:rsid w:val="00C1613D"/>
    <w:rsid w:val="00C168A0"/>
    <w:rsid w:val="00C16A09"/>
    <w:rsid w:val="00C16EDC"/>
    <w:rsid w:val="00C1743D"/>
    <w:rsid w:val="00C17FD9"/>
    <w:rsid w:val="00C20651"/>
    <w:rsid w:val="00C2065D"/>
    <w:rsid w:val="00C20C4A"/>
    <w:rsid w:val="00C2240C"/>
    <w:rsid w:val="00C224F2"/>
    <w:rsid w:val="00C22924"/>
    <w:rsid w:val="00C22A22"/>
    <w:rsid w:val="00C22A78"/>
    <w:rsid w:val="00C2313C"/>
    <w:rsid w:val="00C236DC"/>
    <w:rsid w:val="00C2376B"/>
    <w:rsid w:val="00C239D3"/>
    <w:rsid w:val="00C24C2D"/>
    <w:rsid w:val="00C25015"/>
    <w:rsid w:val="00C26F42"/>
    <w:rsid w:val="00C27400"/>
    <w:rsid w:val="00C27C41"/>
    <w:rsid w:val="00C27DC4"/>
    <w:rsid w:val="00C27F32"/>
    <w:rsid w:val="00C3026E"/>
    <w:rsid w:val="00C30ECB"/>
    <w:rsid w:val="00C31A80"/>
    <w:rsid w:val="00C321D1"/>
    <w:rsid w:val="00C3295D"/>
    <w:rsid w:val="00C32B34"/>
    <w:rsid w:val="00C32FC7"/>
    <w:rsid w:val="00C33212"/>
    <w:rsid w:val="00C33E03"/>
    <w:rsid w:val="00C3480F"/>
    <w:rsid w:val="00C3559F"/>
    <w:rsid w:val="00C36688"/>
    <w:rsid w:val="00C36945"/>
    <w:rsid w:val="00C36B96"/>
    <w:rsid w:val="00C36C33"/>
    <w:rsid w:val="00C40F7D"/>
    <w:rsid w:val="00C40FCE"/>
    <w:rsid w:val="00C412C0"/>
    <w:rsid w:val="00C4187E"/>
    <w:rsid w:val="00C418D4"/>
    <w:rsid w:val="00C41938"/>
    <w:rsid w:val="00C41EC1"/>
    <w:rsid w:val="00C42950"/>
    <w:rsid w:val="00C42FD9"/>
    <w:rsid w:val="00C43302"/>
    <w:rsid w:val="00C43AF5"/>
    <w:rsid w:val="00C4468B"/>
    <w:rsid w:val="00C44809"/>
    <w:rsid w:val="00C448F7"/>
    <w:rsid w:val="00C45037"/>
    <w:rsid w:val="00C45462"/>
    <w:rsid w:val="00C456EC"/>
    <w:rsid w:val="00C46977"/>
    <w:rsid w:val="00C46A56"/>
    <w:rsid w:val="00C46E33"/>
    <w:rsid w:val="00C47A40"/>
    <w:rsid w:val="00C47C30"/>
    <w:rsid w:val="00C500D3"/>
    <w:rsid w:val="00C50502"/>
    <w:rsid w:val="00C50F75"/>
    <w:rsid w:val="00C52136"/>
    <w:rsid w:val="00C5380F"/>
    <w:rsid w:val="00C5383A"/>
    <w:rsid w:val="00C53A0F"/>
    <w:rsid w:val="00C5407B"/>
    <w:rsid w:val="00C5492A"/>
    <w:rsid w:val="00C54B7F"/>
    <w:rsid w:val="00C54D57"/>
    <w:rsid w:val="00C54DC1"/>
    <w:rsid w:val="00C5545E"/>
    <w:rsid w:val="00C55968"/>
    <w:rsid w:val="00C55A47"/>
    <w:rsid w:val="00C5619B"/>
    <w:rsid w:val="00C5619F"/>
    <w:rsid w:val="00C563FD"/>
    <w:rsid w:val="00C56A39"/>
    <w:rsid w:val="00C57A10"/>
    <w:rsid w:val="00C57C3F"/>
    <w:rsid w:val="00C57D42"/>
    <w:rsid w:val="00C60182"/>
    <w:rsid w:val="00C60642"/>
    <w:rsid w:val="00C61950"/>
    <w:rsid w:val="00C61B89"/>
    <w:rsid w:val="00C626C8"/>
    <w:rsid w:val="00C62923"/>
    <w:rsid w:val="00C62931"/>
    <w:rsid w:val="00C62A5B"/>
    <w:rsid w:val="00C62A8B"/>
    <w:rsid w:val="00C62F5E"/>
    <w:rsid w:val="00C62F7F"/>
    <w:rsid w:val="00C631E0"/>
    <w:rsid w:val="00C6369D"/>
    <w:rsid w:val="00C64191"/>
    <w:rsid w:val="00C64B88"/>
    <w:rsid w:val="00C64CD5"/>
    <w:rsid w:val="00C64E95"/>
    <w:rsid w:val="00C655DF"/>
    <w:rsid w:val="00C65829"/>
    <w:rsid w:val="00C6665D"/>
    <w:rsid w:val="00C66760"/>
    <w:rsid w:val="00C66F37"/>
    <w:rsid w:val="00C670E4"/>
    <w:rsid w:val="00C67563"/>
    <w:rsid w:val="00C678D8"/>
    <w:rsid w:val="00C67A76"/>
    <w:rsid w:val="00C67E56"/>
    <w:rsid w:val="00C702F7"/>
    <w:rsid w:val="00C70F68"/>
    <w:rsid w:val="00C72282"/>
    <w:rsid w:val="00C72BFA"/>
    <w:rsid w:val="00C738BE"/>
    <w:rsid w:val="00C73C53"/>
    <w:rsid w:val="00C743D1"/>
    <w:rsid w:val="00C7476B"/>
    <w:rsid w:val="00C7499B"/>
    <w:rsid w:val="00C74C87"/>
    <w:rsid w:val="00C74DAD"/>
    <w:rsid w:val="00C74DE1"/>
    <w:rsid w:val="00C74EB4"/>
    <w:rsid w:val="00C75DF3"/>
    <w:rsid w:val="00C76A18"/>
    <w:rsid w:val="00C77019"/>
    <w:rsid w:val="00C7701A"/>
    <w:rsid w:val="00C77024"/>
    <w:rsid w:val="00C77A71"/>
    <w:rsid w:val="00C77AFD"/>
    <w:rsid w:val="00C77C58"/>
    <w:rsid w:val="00C77D22"/>
    <w:rsid w:val="00C8022B"/>
    <w:rsid w:val="00C804A9"/>
    <w:rsid w:val="00C80CD5"/>
    <w:rsid w:val="00C80D6B"/>
    <w:rsid w:val="00C811CF"/>
    <w:rsid w:val="00C815A0"/>
    <w:rsid w:val="00C81E57"/>
    <w:rsid w:val="00C83DA6"/>
    <w:rsid w:val="00C8451D"/>
    <w:rsid w:val="00C84854"/>
    <w:rsid w:val="00C85DEA"/>
    <w:rsid w:val="00C860E3"/>
    <w:rsid w:val="00C86AC0"/>
    <w:rsid w:val="00C87209"/>
    <w:rsid w:val="00C874B9"/>
    <w:rsid w:val="00C87C0A"/>
    <w:rsid w:val="00C87C94"/>
    <w:rsid w:val="00C90089"/>
    <w:rsid w:val="00C9078D"/>
    <w:rsid w:val="00C90FA7"/>
    <w:rsid w:val="00C91011"/>
    <w:rsid w:val="00C91065"/>
    <w:rsid w:val="00C91159"/>
    <w:rsid w:val="00C91574"/>
    <w:rsid w:val="00C91C74"/>
    <w:rsid w:val="00C921FB"/>
    <w:rsid w:val="00C924E2"/>
    <w:rsid w:val="00C9323B"/>
    <w:rsid w:val="00C93D99"/>
    <w:rsid w:val="00C95412"/>
    <w:rsid w:val="00C95CFD"/>
    <w:rsid w:val="00C971A7"/>
    <w:rsid w:val="00C973CB"/>
    <w:rsid w:val="00C9790D"/>
    <w:rsid w:val="00C97A9F"/>
    <w:rsid w:val="00C97EDB"/>
    <w:rsid w:val="00CA00AD"/>
    <w:rsid w:val="00CA010B"/>
    <w:rsid w:val="00CA155A"/>
    <w:rsid w:val="00CA1822"/>
    <w:rsid w:val="00CA1EAA"/>
    <w:rsid w:val="00CA2483"/>
    <w:rsid w:val="00CA27C2"/>
    <w:rsid w:val="00CA3314"/>
    <w:rsid w:val="00CA3460"/>
    <w:rsid w:val="00CA36EB"/>
    <w:rsid w:val="00CA3975"/>
    <w:rsid w:val="00CA44DE"/>
    <w:rsid w:val="00CA47FA"/>
    <w:rsid w:val="00CA49F2"/>
    <w:rsid w:val="00CA4D98"/>
    <w:rsid w:val="00CA4DB6"/>
    <w:rsid w:val="00CA5600"/>
    <w:rsid w:val="00CA63E7"/>
    <w:rsid w:val="00CA6607"/>
    <w:rsid w:val="00CA71A2"/>
    <w:rsid w:val="00CA7588"/>
    <w:rsid w:val="00CB0257"/>
    <w:rsid w:val="00CB1365"/>
    <w:rsid w:val="00CB2675"/>
    <w:rsid w:val="00CB3384"/>
    <w:rsid w:val="00CB3D21"/>
    <w:rsid w:val="00CB45A0"/>
    <w:rsid w:val="00CB4600"/>
    <w:rsid w:val="00CB471C"/>
    <w:rsid w:val="00CB47A7"/>
    <w:rsid w:val="00CB4B91"/>
    <w:rsid w:val="00CB4EA2"/>
    <w:rsid w:val="00CB518F"/>
    <w:rsid w:val="00CB532D"/>
    <w:rsid w:val="00CB61B1"/>
    <w:rsid w:val="00CB65C4"/>
    <w:rsid w:val="00CB6F13"/>
    <w:rsid w:val="00CB704F"/>
    <w:rsid w:val="00CB7261"/>
    <w:rsid w:val="00CB764B"/>
    <w:rsid w:val="00CC05A5"/>
    <w:rsid w:val="00CC0B9E"/>
    <w:rsid w:val="00CC14C1"/>
    <w:rsid w:val="00CC14E6"/>
    <w:rsid w:val="00CC1866"/>
    <w:rsid w:val="00CC1EC1"/>
    <w:rsid w:val="00CC20C5"/>
    <w:rsid w:val="00CC2578"/>
    <w:rsid w:val="00CC2D5B"/>
    <w:rsid w:val="00CC31E1"/>
    <w:rsid w:val="00CC35FA"/>
    <w:rsid w:val="00CC46B5"/>
    <w:rsid w:val="00CC471F"/>
    <w:rsid w:val="00CC48A4"/>
    <w:rsid w:val="00CC49C4"/>
    <w:rsid w:val="00CC49E2"/>
    <w:rsid w:val="00CC50AF"/>
    <w:rsid w:val="00CC5DAA"/>
    <w:rsid w:val="00CC6058"/>
    <w:rsid w:val="00CC6105"/>
    <w:rsid w:val="00CC7186"/>
    <w:rsid w:val="00CC78C2"/>
    <w:rsid w:val="00CD10D7"/>
    <w:rsid w:val="00CD1421"/>
    <w:rsid w:val="00CD149F"/>
    <w:rsid w:val="00CD1929"/>
    <w:rsid w:val="00CD2669"/>
    <w:rsid w:val="00CD2D83"/>
    <w:rsid w:val="00CD2E5D"/>
    <w:rsid w:val="00CD3027"/>
    <w:rsid w:val="00CD336D"/>
    <w:rsid w:val="00CD3909"/>
    <w:rsid w:val="00CD3C03"/>
    <w:rsid w:val="00CD3C1F"/>
    <w:rsid w:val="00CD58BE"/>
    <w:rsid w:val="00CD5C3B"/>
    <w:rsid w:val="00CD6268"/>
    <w:rsid w:val="00CD714D"/>
    <w:rsid w:val="00CD78D8"/>
    <w:rsid w:val="00CE0196"/>
    <w:rsid w:val="00CE0475"/>
    <w:rsid w:val="00CE1061"/>
    <w:rsid w:val="00CE10CF"/>
    <w:rsid w:val="00CE2B6B"/>
    <w:rsid w:val="00CE31B5"/>
    <w:rsid w:val="00CE3E1B"/>
    <w:rsid w:val="00CE4C3F"/>
    <w:rsid w:val="00CE5322"/>
    <w:rsid w:val="00CE5832"/>
    <w:rsid w:val="00CE6172"/>
    <w:rsid w:val="00CE61C0"/>
    <w:rsid w:val="00CE6E55"/>
    <w:rsid w:val="00CE70AF"/>
    <w:rsid w:val="00CE7478"/>
    <w:rsid w:val="00CE7742"/>
    <w:rsid w:val="00CE7C56"/>
    <w:rsid w:val="00CF0E95"/>
    <w:rsid w:val="00CF0FC4"/>
    <w:rsid w:val="00CF13C8"/>
    <w:rsid w:val="00CF1F43"/>
    <w:rsid w:val="00CF2E6D"/>
    <w:rsid w:val="00CF2EB6"/>
    <w:rsid w:val="00CF3536"/>
    <w:rsid w:val="00CF3B61"/>
    <w:rsid w:val="00CF4F8D"/>
    <w:rsid w:val="00CF6E47"/>
    <w:rsid w:val="00CF7188"/>
    <w:rsid w:val="00CF72CE"/>
    <w:rsid w:val="00CF7877"/>
    <w:rsid w:val="00CF7C20"/>
    <w:rsid w:val="00D00E8E"/>
    <w:rsid w:val="00D016C9"/>
    <w:rsid w:val="00D02481"/>
    <w:rsid w:val="00D02715"/>
    <w:rsid w:val="00D02B7A"/>
    <w:rsid w:val="00D03538"/>
    <w:rsid w:val="00D04066"/>
    <w:rsid w:val="00D04363"/>
    <w:rsid w:val="00D04AD5"/>
    <w:rsid w:val="00D04E93"/>
    <w:rsid w:val="00D05212"/>
    <w:rsid w:val="00D06BCF"/>
    <w:rsid w:val="00D07719"/>
    <w:rsid w:val="00D0778D"/>
    <w:rsid w:val="00D07852"/>
    <w:rsid w:val="00D10711"/>
    <w:rsid w:val="00D10B58"/>
    <w:rsid w:val="00D10BEC"/>
    <w:rsid w:val="00D10E57"/>
    <w:rsid w:val="00D10FA8"/>
    <w:rsid w:val="00D112DE"/>
    <w:rsid w:val="00D11493"/>
    <w:rsid w:val="00D1161B"/>
    <w:rsid w:val="00D11B67"/>
    <w:rsid w:val="00D123E7"/>
    <w:rsid w:val="00D12513"/>
    <w:rsid w:val="00D12581"/>
    <w:rsid w:val="00D12A1E"/>
    <w:rsid w:val="00D13E55"/>
    <w:rsid w:val="00D1405B"/>
    <w:rsid w:val="00D16258"/>
    <w:rsid w:val="00D1625C"/>
    <w:rsid w:val="00D16861"/>
    <w:rsid w:val="00D16BC9"/>
    <w:rsid w:val="00D16BFF"/>
    <w:rsid w:val="00D17961"/>
    <w:rsid w:val="00D2077D"/>
    <w:rsid w:val="00D2122E"/>
    <w:rsid w:val="00D212C1"/>
    <w:rsid w:val="00D213F6"/>
    <w:rsid w:val="00D219A4"/>
    <w:rsid w:val="00D220CB"/>
    <w:rsid w:val="00D227C7"/>
    <w:rsid w:val="00D22F34"/>
    <w:rsid w:val="00D23196"/>
    <w:rsid w:val="00D23FEC"/>
    <w:rsid w:val="00D247EC"/>
    <w:rsid w:val="00D25102"/>
    <w:rsid w:val="00D2665A"/>
    <w:rsid w:val="00D269E2"/>
    <w:rsid w:val="00D26EBC"/>
    <w:rsid w:val="00D27799"/>
    <w:rsid w:val="00D308E7"/>
    <w:rsid w:val="00D30B2A"/>
    <w:rsid w:val="00D31956"/>
    <w:rsid w:val="00D3212C"/>
    <w:rsid w:val="00D32DC6"/>
    <w:rsid w:val="00D3386A"/>
    <w:rsid w:val="00D339CE"/>
    <w:rsid w:val="00D33CC1"/>
    <w:rsid w:val="00D34510"/>
    <w:rsid w:val="00D3505B"/>
    <w:rsid w:val="00D36A7D"/>
    <w:rsid w:val="00D375F9"/>
    <w:rsid w:val="00D405D9"/>
    <w:rsid w:val="00D40DDC"/>
    <w:rsid w:val="00D41682"/>
    <w:rsid w:val="00D41A39"/>
    <w:rsid w:val="00D41C0E"/>
    <w:rsid w:val="00D421DC"/>
    <w:rsid w:val="00D438E2"/>
    <w:rsid w:val="00D44446"/>
    <w:rsid w:val="00D44882"/>
    <w:rsid w:val="00D44DD4"/>
    <w:rsid w:val="00D45ABD"/>
    <w:rsid w:val="00D46954"/>
    <w:rsid w:val="00D46A71"/>
    <w:rsid w:val="00D475C0"/>
    <w:rsid w:val="00D4764B"/>
    <w:rsid w:val="00D47755"/>
    <w:rsid w:val="00D478D8"/>
    <w:rsid w:val="00D50EC0"/>
    <w:rsid w:val="00D51758"/>
    <w:rsid w:val="00D543D7"/>
    <w:rsid w:val="00D55130"/>
    <w:rsid w:val="00D553B1"/>
    <w:rsid w:val="00D55DF7"/>
    <w:rsid w:val="00D55FCA"/>
    <w:rsid w:val="00D56DE7"/>
    <w:rsid w:val="00D5736C"/>
    <w:rsid w:val="00D57759"/>
    <w:rsid w:val="00D6017D"/>
    <w:rsid w:val="00D607A4"/>
    <w:rsid w:val="00D611E8"/>
    <w:rsid w:val="00D61BEB"/>
    <w:rsid w:val="00D61E8A"/>
    <w:rsid w:val="00D62F3D"/>
    <w:rsid w:val="00D635B1"/>
    <w:rsid w:val="00D637A5"/>
    <w:rsid w:val="00D64032"/>
    <w:rsid w:val="00D643B8"/>
    <w:rsid w:val="00D64457"/>
    <w:rsid w:val="00D6451F"/>
    <w:rsid w:val="00D64D3B"/>
    <w:rsid w:val="00D65B93"/>
    <w:rsid w:val="00D66125"/>
    <w:rsid w:val="00D66130"/>
    <w:rsid w:val="00D663B0"/>
    <w:rsid w:val="00D6677E"/>
    <w:rsid w:val="00D6694B"/>
    <w:rsid w:val="00D676AF"/>
    <w:rsid w:val="00D67983"/>
    <w:rsid w:val="00D67CB2"/>
    <w:rsid w:val="00D70983"/>
    <w:rsid w:val="00D70B7E"/>
    <w:rsid w:val="00D70F23"/>
    <w:rsid w:val="00D711E7"/>
    <w:rsid w:val="00D7172A"/>
    <w:rsid w:val="00D7182F"/>
    <w:rsid w:val="00D7190D"/>
    <w:rsid w:val="00D72010"/>
    <w:rsid w:val="00D7214A"/>
    <w:rsid w:val="00D725E3"/>
    <w:rsid w:val="00D72F35"/>
    <w:rsid w:val="00D73108"/>
    <w:rsid w:val="00D737F4"/>
    <w:rsid w:val="00D756A4"/>
    <w:rsid w:val="00D7606F"/>
    <w:rsid w:val="00D7634A"/>
    <w:rsid w:val="00D767F6"/>
    <w:rsid w:val="00D7696A"/>
    <w:rsid w:val="00D77A59"/>
    <w:rsid w:val="00D77DDD"/>
    <w:rsid w:val="00D81086"/>
    <w:rsid w:val="00D8176D"/>
    <w:rsid w:val="00D81E6E"/>
    <w:rsid w:val="00D82D58"/>
    <w:rsid w:val="00D83289"/>
    <w:rsid w:val="00D83A6A"/>
    <w:rsid w:val="00D83B3A"/>
    <w:rsid w:val="00D84E5E"/>
    <w:rsid w:val="00D855B0"/>
    <w:rsid w:val="00D85753"/>
    <w:rsid w:val="00D86075"/>
    <w:rsid w:val="00D86090"/>
    <w:rsid w:val="00D8620E"/>
    <w:rsid w:val="00D86FD2"/>
    <w:rsid w:val="00D876C9"/>
    <w:rsid w:val="00D87C69"/>
    <w:rsid w:val="00D87D84"/>
    <w:rsid w:val="00D91301"/>
    <w:rsid w:val="00D91472"/>
    <w:rsid w:val="00D917BA"/>
    <w:rsid w:val="00D91FFE"/>
    <w:rsid w:val="00D9256F"/>
    <w:rsid w:val="00D92AB8"/>
    <w:rsid w:val="00D9320D"/>
    <w:rsid w:val="00D93526"/>
    <w:rsid w:val="00D9353A"/>
    <w:rsid w:val="00D93C66"/>
    <w:rsid w:val="00D94838"/>
    <w:rsid w:val="00D94ED6"/>
    <w:rsid w:val="00D953F7"/>
    <w:rsid w:val="00D9563B"/>
    <w:rsid w:val="00D956C0"/>
    <w:rsid w:val="00D95E79"/>
    <w:rsid w:val="00D9642F"/>
    <w:rsid w:val="00D9647F"/>
    <w:rsid w:val="00D968C0"/>
    <w:rsid w:val="00D96EC8"/>
    <w:rsid w:val="00D97BC6"/>
    <w:rsid w:val="00D97FB7"/>
    <w:rsid w:val="00DA1646"/>
    <w:rsid w:val="00DA1D02"/>
    <w:rsid w:val="00DA2B90"/>
    <w:rsid w:val="00DA33F4"/>
    <w:rsid w:val="00DA47E4"/>
    <w:rsid w:val="00DA5326"/>
    <w:rsid w:val="00DA5675"/>
    <w:rsid w:val="00DA6886"/>
    <w:rsid w:val="00DA6D50"/>
    <w:rsid w:val="00DA6E82"/>
    <w:rsid w:val="00DA6EF5"/>
    <w:rsid w:val="00DA7E5E"/>
    <w:rsid w:val="00DB0036"/>
    <w:rsid w:val="00DB097A"/>
    <w:rsid w:val="00DB0DB3"/>
    <w:rsid w:val="00DB0EBE"/>
    <w:rsid w:val="00DB1259"/>
    <w:rsid w:val="00DB225A"/>
    <w:rsid w:val="00DB2704"/>
    <w:rsid w:val="00DB282A"/>
    <w:rsid w:val="00DB2A9E"/>
    <w:rsid w:val="00DB2BA2"/>
    <w:rsid w:val="00DB2C7A"/>
    <w:rsid w:val="00DB2E95"/>
    <w:rsid w:val="00DB348F"/>
    <w:rsid w:val="00DB370E"/>
    <w:rsid w:val="00DB3E13"/>
    <w:rsid w:val="00DB419F"/>
    <w:rsid w:val="00DB44EA"/>
    <w:rsid w:val="00DB458F"/>
    <w:rsid w:val="00DB51E6"/>
    <w:rsid w:val="00DB578B"/>
    <w:rsid w:val="00DB5BB8"/>
    <w:rsid w:val="00DB63E2"/>
    <w:rsid w:val="00DB6525"/>
    <w:rsid w:val="00DB696C"/>
    <w:rsid w:val="00DB71E1"/>
    <w:rsid w:val="00DB7A8E"/>
    <w:rsid w:val="00DB7D81"/>
    <w:rsid w:val="00DC0EF2"/>
    <w:rsid w:val="00DC120B"/>
    <w:rsid w:val="00DC14CC"/>
    <w:rsid w:val="00DC2D38"/>
    <w:rsid w:val="00DC2ED5"/>
    <w:rsid w:val="00DC3BFE"/>
    <w:rsid w:val="00DC3C34"/>
    <w:rsid w:val="00DC3F09"/>
    <w:rsid w:val="00DC4B4A"/>
    <w:rsid w:val="00DC60EF"/>
    <w:rsid w:val="00DC65A3"/>
    <w:rsid w:val="00DC69D9"/>
    <w:rsid w:val="00DC7DCB"/>
    <w:rsid w:val="00DC7FF7"/>
    <w:rsid w:val="00DD0397"/>
    <w:rsid w:val="00DD04E0"/>
    <w:rsid w:val="00DD07DC"/>
    <w:rsid w:val="00DD163B"/>
    <w:rsid w:val="00DD1E81"/>
    <w:rsid w:val="00DD1F42"/>
    <w:rsid w:val="00DD2806"/>
    <w:rsid w:val="00DD2FB3"/>
    <w:rsid w:val="00DD3790"/>
    <w:rsid w:val="00DD3C30"/>
    <w:rsid w:val="00DD403F"/>
    <w:rsid w:val="00DD4198"/>
    <w:rsid w:val="00DD42DE"/>
    <w:rsid w:val="00DD46F6"/>
    <w:rsid w:val="00DD4941"/>
    <w:rsid w:val="00DD6267"/>
    <w:rsid w:val="00DD6600"/>
    <w:rsid w:val="00DD74D2"/>
    <w:rsid w:val="00DD7E20"/>
    <w:rsid w:val="00DE018B"/>
    <w:rsid w:val="00DE029E"/>
    <w:rsid w:val="00DE06E4"/>
    <w:rsid w:val="00DE1170"/>
    <w:rsid w:val="00DE1DD6"/>
    <w:rsid w:val="00DE1E4A"/>
    <w:rsid w:val="00DE21B9"/>
    <w:rsid w:val="00DE21BE"/>
    <w:rsid w:val="00DE30D3"/>
    <w:rsid w:val="00DE327C"/>
    <w:rsid w:val="00DE331F"/>
    <w:rsid w:val="00DE3BC5"/>
    <w:rsid w:val="00DE3DE2"/>
    <w:rsid w:val="00DE478A"/>
    <w:rsid w:val="00DE4E9F"/>
    <w:rsid w:val="00DE4F73"/>
    <w:rsid w:val="00DE5BF2"/>
    <w:rsid w:val="00DE6756"/>
    <w:rsid w:val="00DE6C9C"/>
    <w:rsid w:val="00DE7005"/>
    <w:rsid w:val="00DE7C1F"/>
    <w:rsid w:val="00DE7F81"/>
    <w:rsid w:val="00DF00E9"/>
    <w:rsid w:val="00DF1104"/>
    <w:rsid w:val="00DF16BC"/>
    <w:rsid w:val="00DF196A"/>
    <w:rsid w:val="00DF1BE2"/>
    <w:rsid w:val="00DF1E92"/>
    <w:rsid w:val="00DF2882"/>
    <w:rsid w:val="00DF2BAA"/>
    <w:rsid w:val="00DF2C29"/>
    <w:rsid w:val="00DF3002"/>
    <w:rsid w:val="00DF307C"/>
    <w:rsid w:val="00DF318F"/>
    <w:rsid w:val="00DF3A6A"/>
    <w:rsid w:val="00DF4492"/>
    <w:rsid w:val="00DF51C8"/>
    <w:rsid w:val="00DF5AE1"/>
    <w:rsid w:val="00DF5DFC"/>
    <w:rsid w:val="00DF6118"/>
    <w:rsid w:val="00DF62B3"/>
    <w:rsid w:val="00DF6A2F"/>
    <w:rsid w:val="00DF6B08"/>
    <w:rsid w:val="00DF7143"/>
    <w:rsid w:val="00DF74F3"/>
    <w:rsid w:val="00DF7764"/>
    <w:rsid w:val="00DF78F6"/>
    <w:rsid w:val="00DF7AA3"/>
    <w:rsid w:val="00E00D07"/>
    <w:rsid w:val="00E01DD4"/>
    <w:rsid w:val="00E026D7"/>
    <w:rsid w:val="00E02E75"/>
    <w:rsid w:val="00E03A98"/>
    <w:rsid w:val="00E046C5"/>
    <w:rsid w:val="00E05393"/>
    <w:rsid w:val="00E05F09"/>
    <w:rsid w:val="00E07522"/>
    <w:rsid w:val="00E07CB2"/>
    <w:rsid w:val="00E104B8"/>
    <w:rsid w:val="00E10D4B"/>
    <w:rsid w:val="00E10F8C"/>
    <w:rsid w:val="00E10FF0"/>
    <w:rsid w:val="00E1176E"/>
    <w:rsid w:val="00E11FE6"/>
    <w:rsid w:val="00E12B57"/>
    <w:rsid w:val="00E13B19"/>
    <w:rsid w:val="00E147C8"/>
    <w:rsid w:val="00E147E4"/>
    <w:rsid w:val="00E14D71"/>
    <w:rsid w:val="00E1576D"/>
    <w:rsid w:val="00E159BF"/>
    <w:rsid w:val="00E16B51"/>
    <w:rsid w:val="00E1708C"/>
    <w:rsid w:val="00E172C0"/>
    <w:rsid w:val="00E178E4"/>
    <w:rsid w:val="00E17967"/>
    <w:rsid w:val="00E17E75"/>
    <w:rsid w:val="00E2003D"/>
    <w:rsid w:val="00E20AC8"/>
    <w:rsid w:val="00E20C24"/>
    <w:rsid w:val="00E21948"/>
    <w:rsid w:val="00E21F72"/>
    <w:rsid w:val="00E2223E"/>
    <w:rsid w:val="00E223CF"/>
    <w:rsid w:val="00E23777"/>
    <w:rsid w:val="00E23CB5"/>
    <w:rsid w:val="00E24AB6"/>
    <w:rsid w:val="00E2549D"/>
    <w:rsid w:val="00E25D43"/>
    <w:rsid w:val="00E2655F"/>
    <w:rsid w:val="00E268F9"/>
    <w:rsid w:val="00E26CFF"/>
    <w:rsid w:val="00E27066"/>
    <w:rsid w:val="00E273EA"/>
    <w:rsid w:val="00E27485"/>
    <w:rsid w:val="00E274B7"/>
    <w:rsid w:val="00E30516"/>
    <w:rsid w:val="00E3090D"/>
    <w:rsid w:val="00E309AF"/>
    <w:rsid w:val="00E30DF5"/>
    <w:rsid w:val="00E3226D"/>
    <w:rsid w:val="00E32586"/>
    <w:rsid w:val="00E32857"/>
    <w:rsid w:val="00E328E1"/>
    <w:rsid w:val="00E32923"/>
    <w:rsid w:val="00E32A3C"/>
    <w:rsid w:val="00E339F5"/>
    <w:rsid w:val="00E344A2"/>
    <w:rsid w:val="00E3482D"/>
    <w:rsid w:val="00E34EFA"/>
    <w:rsid w:val="00E35E47"/>
    <w:rsid w:val="00E36333"/>
    <w:rsid w:val="00E364CB"/>
    <w:rsid w:val="00E367FE"/>
    <w:rsid w:val="00E377B8"/>
    <w:rsid w:val="00E377EB"/>
    <w:rsid w:val="00E3790F"/>
    <w:rsid w:val="00E379D1"/>
    <w:rsid w:val="00E37CF1"/>
    <w:rsid w:val="00E41599"/>
    <w:rsid w:val="00E417F1"/>
    <w:rsid w:val="00E41949"/>
    <w:rsid w:val="00E42773"/>
    <w:rsid w:val="00E427AD"/>
    <w:rsid w:val="00E42C43"/>
    <w:rsid w:val="00E42DB9"/>
    <w:rsid w:val="00E433E9"/>
    <w:rsid w:val="00E43AFC"/>
    <w:rsid w:val="00E448B1"/>
    <w:rsid w:val="00E44F02"/>
    <w:rsid w:val="00E45550"/>
    <w:rsid w:val="00E45623"/>
    <w:rsid w:val="00E46AE0"/>
    <w:rsid w:val="00E46B29"/>
    <w:rsid w:val="00E46CB0"/>
    <w:rsid w:val="00E4786A"/>
    <w:rsid w:val="00E47D07"/>
    <w:rsid w:val="00E50FF2"/>
    <w:rsid w:val="00E51F6F"/>
    <w:rsid w:val="00E5218A"/>
    <w:rsid w:val="00E523E5"/>
    <w:rsid w:val="00E52A74"/>
    <w:rsid w:val="00E530B1"/>
    <w:rsid w:val="00E53CE2"/>
    <w:rsid w:val="00E53D89"/>
    <w:rsid w:val="00E53E42"/>
    <w:rsid w:val="00E548E0"/>
    <w:rsid w:val="00E54DB9"/>
    <w:rsid w:val="00E54FB6"/>
    <w:rsid w:val="00E55389"/>
    <w:rsid w:val="00E55AD4"/>
    <w:rsid w:val="00E568FE"/>
    <w:rsid w:val="00E56B09"/>
    <w:rsid w:val="00E57854"/>
    <w:rsid w:val="00E57F45"/>
    <w:rsid w:val="00E6033F"/>
    <w:rsid w:val="00E60C70"/>
    <w:rsid w:val="00E6275E"/>
    <w:rsid w:val="00E62A49"/>
    <w:rsid w:val="00E62F78"/>
    <w:rsid w:val="00E632B9"/>
    <w:rsid w:val="00E63A61"/>
    <w:rsid w:val="00E64327"/>
    <w:rsid w:val="00E643AE"/>
    <w:rsid w:val="00E64BE1"/>
    <w:rsid w:val="00E64D7D"/>
    <w:rsid w:val="00E64E02"/>
    <w:rsid w:val="00E65E71"/>
    <w:rsid w:val="00E66802"/>
    <w:rsid w:val="00E66B08"/>
    <w:rsid w:val="00E66F1C"/>
    <w:rsid w:val="00E67515"/>
    <w:rsid w:val="00E67815"/>
    <w:rsid w:val="00E67DB1"/>
    <w:rsid w:val="00E7008E"/>
    <w:rsid w:val="00E705BA"/>
    <w:rsid w:val="00E70B52"/>
    <w:rsid w:val="00E712E9"/>
    <w:rsid w:val="00E7154E"/>
    <w:rsid w:val="00E71B09"/>
    <w:rsid w:val="00E7200E"/>
    <w:rsid w:val="00E721AE"/>
    <w:rsid w:val="00E726DB"/>
    <w:rsid w:val="00E7270A"/>
    <w:rsid w:val="00E72CB7"/>
    <w:rsid w:val="00E72F1C"/>
    <w:rsid w:val="00E7301C"/>
    <w:rsid w:val="00E733CD"/>
    <w:rsid w:val="00E737A2"/>
    <w:rsid w:val="00E738FB"/>
    <w:rsid w:val="00E762FC"/>
    <w:rsid w:val="00E76461"/>
    <w:rsid w:val="00E76BBA"/>
    <w:rsid w:val="00E77007"/>
    <w:rsid w:val="00E77CAB"/>
    <w:rsid w:val="00E80A36"/>
    <w:rsid w:val="00E8132B"/>
    <w:rsid w:val="00E81A26"/>
    <w:rsid w:val="00E81AF0"/>
    <w:rsid w:val="00E81CF5"/>
    <w:rsid w:val="00E81E5B"/>
    <w:rsid w:val="00E83B8C"/>
    <w:rsid w:val="00E84094"/>
    <w:rsid w:val="00E84EA1"/>
    <w:rsid w:val="00E85C1A"/>
    <w:rsid w:val="00E861CE"/>
    <w:rsid w:val="00E86606"/>
    <w:rsid w:val="00E86CF3"/>
    <w:rsid w:val="00E86D9D"/>
    <w:rsid w:val="00E87012"/>
    <w:rsid w:val="00E872B3"/>
    <w:rsid w:val="00E878BC"/>
    <w:rsid w:val="00E90B99"/>
    <w:rsid w:val="00E9163D"/>
    <w:rsid w:val="00E9193E"/>
    <w:rsid w:val="00E91D45"/>
    <w:rsid w:val="00E91D49"/>
    <w:rsid w:val="00E92B38"/>
    <w:rsid w:val="00E933DA"/>
    <w:rsid w:val="00E935F3"/>
    <w:rsid w:val="00E93716"/>
    <w:rsid w:val="00E93768"/>
    <w:rsid w:val="00E93D4D"/>
    <w:rsid w:val="00E9444A"/>
    <w:rsid w:val="00E94478"/>
    <w:rsid w:val="00E9454B"/>
    <w:rsid w:val="00E94A91"/>
    <w:rsid w:val="00E94D66"/>
    <w:rsid w:val="00E9614B"/>
    <w:rsid w:val="00E9630A"/>
    <w:rsid w:val="00E96EF3"/>
    <w:rsid w:val="00E97638"/>
    <w:rsid w:val="00EA0373"/>
    <w:rsid w:val="00EA0482"/>
    <w:rsid w:val="00EA0C4D"/>
    <w:rsid w:val="00EA1025"/>
    <w:rsid w:val="00EA21FF"/>
    <w:rsid w:val="00EA24C8"/>
    <w:rsid w:val="00EA2FB5"/>
    <w:rsid w:val="00EA3202"/>
    <w:rsid w:val="00EA3658"/>
    <w:rsid w:val="00EA490E"/>
    <w:rsid w:val="00EA6089"/>
    <w:rsid w:val="00EA68DF"/>
    <w:rsid w:val="00EA6D33"/>
    <w:rsid w:val="00EB0D29"/>
    <w:rsid w:val="00EB17E9"/>
    <w:rsid w:val="00EB1AF8"/>
    <w:rsid w:val="00EB202A"/>
    <w:rsid w:val="00EB2164"/>
    <w:rsid w:val="00EB2755"/>
    <w:rsid w:val="00EB2D92"/>
    <w:rsid w:val="00EB2DA1"/>
    <w:rsid w:val="00EB31DC"/>
    <w:rsid w:val="00EB3417"/>
    <w:rsid w:val="00EB35D3"/>
    <w:rsid w:val="00EB3981"/>
    <w:rsid w:val="00EB3E45"/>
    <w:rsid w:val="00EB3E8D"/>
    <w:rsid w:val="00EB4383"/>
    <w:rsid w:val="00EB45DE"/>
    <w:rsid w:val="00EB4932"/>
    <w:rsid w:val="00EB52D8"/>
    <w:rsid w:val="00EB63B3"/>
    <w:rsid w:val="00EB7506"/>
    <w:rsid w:val="00EB76B7"/>
    <w:rsid w:val="00EC00CA"/>
    <w:rsid w:val="00EC058F"/>
    <w:rsid w:val="00EC0940"/>
    <w:rsid w:val="00EC0B22"/>
    <w:rsid w:val="00EC1AC3"/>
    <w:rsid w:val="00EC1D4C"/>
    <w:rsid w:val="00EC3179"/>
    <w:rsid w:val="00EC31AF"/>
    <w:rsid w:val="00EC325F"/>
    <w:rsid w:val="00EC3612"/>
    <w:rsid w:val="00EC3A84"/>
    <w:rsid w:val="00EC3B84"/>
    <w:rsid w:val="00EC3BC8"/>
    <w:rsid w:val="00EC3C99"/>
    <w:rsid w:val="00EC44FF"/>
    <w:rsid w:val="00EC4BA9"/>
    <w:rsid w:val="00EC4DE2"/>
    <w:rsid w:val="00EC4FBA"/>
    <w:rsid w:val="00EC5E9E"/>
    <w:rsid w:val="00EC77B7"/>
    <w:rsid w:val="00EC7FF8"/>
    <w:rsid w:val="00ED0B16"/>
    <w:rsid w:val="00ED175B"/>
    <w:rsid w:val="00ED19CF"/>
    <w:rsid w:val="00ED1D9B"/>
    <w:rsid w:val="00ED1E36"/>
    <w:rsid w:val="00ED1FA0"/>
    <w:rsid w:val="00ED217A"/>
    <w:rsid w:val="00ED275B"/>
    <w:rsid w:val="00ED2A5C"/>
    <w:rsid w:val="00ED2DC1"/>
    <w:rsid w:val="00ED42E3"/>
    <w:rsid w:val="00ED4435"/>
    <w:rsid w:val="00ED4613"/>
    <w:rsid w:val="00ED4619"/>
    <w:rsid w:val="00ED4B52"/>
    <w:rsid w:val="00ED4D08"/>
    <w:rsid w:val="00ED5267"/>
    <w:rsid w:val="00ED5C86"/>
    <w:rsid w:val="00ED5D5C"/>
    <w:rsid w:val="00ED689C"/>
    <w:rsid w:val="00ED6FD6"/>
    <w:rsid w:val="00ED75C3"/>
    <w:rsid w:val="00ED7EB8"/>
    <w:rsid w:val="00EE04FA"/>
    <w:rsid w:val="00EE0746"/>
    <w:rsid w:val="00EE0ADE"/>
    <w:rsid w:val="00EE1E38"/>
    <w:rsid w:val="00EE265A"/>
    <w:rsid w:val="00EE5305"/>
    <w:rsid w:val="00EE5E4D"/>
    <w:rsid w:val="00EE5EB5"/>
    <w:rsid w:val="00EE60DA"/>
    <w:rsid w:val="00EE66E8"/>
    <w:rsid w:val="00EE6705"/>
    <w:rsid w:val="00EE67CF"/>
    <w:rsid w:val="00EE69B1"/>
    <w:rsid w:val="00EE77DF"/>
    <w:rsid w:val="00EE7FC9"/>
    <w:rsid w:val="00EF04F1"/>
    <w:rsid w:val="00EF0CA6"/>
    <w:rsid w:val="00EF0CFE"/>
    <w:rsid w:val="00EF0F4E"/>
    <w:rsid w:val="00EF1891"/>
    <w:rsid w:val="00EF19E3"/>
    <w:rsid w:val="00EF1C0A"/>
    <w:rsid w:val="00EF223B"/>
    <w:rsid w:val="00EF31DD"/>
    <w:rsid w:val="00EF34A6"/>
    <w:rsid w:val="00EF39AE"/>
    <w:rsid w:val="00EF3B21"/>
    <w:rsid w:val="00EF4F22"/>
    <w:rsid w:val="00EF54FD"/>
    <w:rsid w:val="00EF5625"/>
    <w:rsid w:val="00EF5D89"/>
    <w:rsid w:val="00EF6064"/>
    <w:rsid w:val="00EF6866"/>
    <w:rsid w:val="00EF7834"/>
    <w:rsid w:val="00EF7A4E"/>
    <w:rsid w:val="00F0179B"/>
    <w:rsid w:val="00F01F7B"/>
    <w:rsid w:val="00F0262B"/>
    <w:rsid w:val="00F0336A"/>
    <w:rsid w:val="00F03865"/>
    <w:rsid w:val="00F04FF5"/>
    <w:rsid w:val="00F0500F"/>
    <w:rsid w:val="00F0512C"/>
    <w:rsid w:val="00F053F8"/>
    <w:rsid w:val="00F05ED1"/>
    <w:rsid w:val="00F06DF4"/>
    <w:rsid w:val="00F07167"/>
    <w:rsid w:val="00F07AB7"/>
    <w:rsid w:val="00F07BAF"/>
    <w:rsid w:val="00F10200"/>
    <w:rsid w:val="00F1185F"/>
    <w:rsid w:val="00F11936"/>
    <w:rsid w:val="00F11E6F"/>
    <w:rsid w:val="00F12394"/>
    <w:rsid w:val="00F124FD"/>
    <w:rsid w:val="00F127FB"/>
    <w:rsid w:val="00F12848"/>
    <w:rsid w:val="00F129DD"/>
    <w:rsid w:val="00F12C56"/>
    <w:rsid w:val="00F1326E"/>
    <w:rsid w:val="00F147AB"/>
    <w:rsid w:val="00F14FCC"/>
    <w:rsid w:val="00F152B9"/>
    <w:rsid w:val="00F16CBD"/>
    <w:rsid w:val="00F17150"/>
    <w:rsid w:val="00F1754A"/>
    <w:rsid w:val="00F208B0"/>
    <w:rsid w:val="00F20D57"/>
    <w:rsid w:val="00F20DFD"/>
    <w:rsid w:val="00F210CE"/>
    <w:rsid w:val="00F21237"/>
    <w:rsid w:val="00F21F3C"/>
    <w:rsid w:val="00F2217E"/>
    <w:rsid w:val="00F22625"/>
    <w:rsid w:val="00F248EE"/>
    <w:rsid w:val="00F24FF5"/>
    <w:rsid w:val="00F25220"/>
    <w:rsid w:val="00F252BD"/>
    <w:rsid w:val="00F25642"/>
    <w:rsid w:val="00F3020C"/>
    <w:rsid w:val="00F314C9"/>
    <w:rsid w:val="00F32666"/>
    <w:rsid w:val="00F32EE8"/>
    <w:rsid w:val="00F34A55"/>
    <w:rsid w:val="00F34C84"/>
    <w:rsid w:val="00F35564"/>
    <w:rsid w:val="00F3592D"/>
    <w:rsid w:val="00F35997"/>
    <w:rsid w:val="00F37320"/>
    <w:rsid w:val="00F378F0"/>
    <w:rsid w:val="00F40CCC"/>
    <w:rsid w:val="00F41429"/>
    <w:rsid w:val="00F41D39"/>
    <w:rsid w:val="00F42E1C"/>
    <w:rsid w:val="00F43662"/>
    <w:rsid w:val="00F438A1"/>
    <w:rsid w:val="00F43C10"/>
    <w:rsid w:val="00F43DD3"/>
    <w:rsid w:val="00F44275"/>
    <w:rsid w:val="00F44911"/>
    <w:rsid w:val="00F450D4"/>
    <w:rsid w:val="00F451C1"/>
    <w:rsid w:val="00F452BB"/>
    <w:rsid w:val="00F4560C"/>
    <w:rsid w:val="00F45AA2"/>
    <w:rsid w:val="00F45C32"/>
    <w:rsid w:val="00F45DA0"/>
    <w:rsid w:val="00F46513"/>
    <w:rsid w:val="00F465F0"/>
    <w:rsid w:val="00F4682C"/>
    <w:rsid w:val="00F4684F"/>
    <w:rsid w:val="00F46B43"/>
    <w:rsid w:val="00F46E98"/>
    <w:rsid w:val="00F473D7"/>
    <w:rsid w:val="00F47BC1"/>
    <w:rsid w:val="00F47E14"/>
    <w:rsid w:val="00F5079F"/>
    <w:rsid w:val="00F50C26"/>
    <w:rsid w:val="00F51A29"/>
    <w:rsid w:val="00F51FBC"/>
    <w:rsid w:val="00F525CA"/>
    <w:rsid w:val="00F53193"/>
    <w:rsid w:val="00F539F9"/>
    <w:rsid w:val="00F53D3B"/>
    <w:rsid w:val="00F54277"/>
    <w:rsid w:val="00F543A9"/>
    <w:rsid w:val="00F5473D"/>
    <w:rsid w:val="00F54A82"/>
    <w:rsid w:val="00F54F4B"/>
    <w:rsid w:val="00F55196"/>
    <w:rsid w:val="00F5554F"/>
    <w:rsid w:val="00F55CB9"/>
    <w:rsid w:val="00F57D7C"/>
    <w:rsid w:val="00F57DFF"/>
    <w:rsid w:val="00F61260"/>
    <w:rsid w:val="00F61890"/>
    <w:rsid w:val="00F61A23"/>
    <w:rsid w:val="00F61CC0"/>
    <w:rsid w:val="00F627DF"/>
    <w:rsid w:val="00F62963"/>
    <w:rsid w:val="00F62B68"/>
    <w:rsid w:val="00F6355F"/>
    <w:rsid w:val="00F6433A"/>
    <w:rsid w:val="00F64A92"/>
    <w:rsid w:val="00F64E93"/>
    <w:rsid w:val="00F656B8"/>
    <w:rsid w:val="00F659C1"/>
    <w:rsid w:val="00F65DBB"/>
    <w:rsid w:val="00F65E2C"/>
    <w:rsid w:val="00F65EBA"/>
    <w:rsid w:val="00F65F19"/>
    <w:rsid w:val="00F6718B"/>
    <w:rsid w:val="00F7024B"/>
    <w:rsid w:val="00F704FE"/>
    <w:rsid w:val="00F70D39"/>
    <w:rsid w:val="00F719D4"/>
    <w:rsid w:val="00F71C0A"/>
    <w:rsid w:val="00F722EB"/>
    <w:rsid w:val="00F72F28"/>
    <w:rsid w:val="00F7327F"/>
    <w:rsid w:val="00F73B1B"/>
    <w:rsid w:val="00F7465E"/>
    <w:rsid w:val="00F746AE"/>
    <w:rsid w:val="00F74939"/>
    <w:rsid w:val="00F74A1A"/>
    <w:rsid w:val="00F765A7"/>
    <w:rsid w:val="00F76882"/>
    <w:rsid w:val="00F76C9C"/>
    <w:rsid w:val="00F7756D"/>
    <w:rsid w:val="00F775C5"/>
    <w:rsid w:val="00F77C1A"/>
    <w:rsid w:val="00F8195D"/>
    <w:rsid w:val="00F81E5F"/>
    <w:rsid w:val="00F82AEA"/>
    <w:rsid w:val="00F82E89"/>
    <w:rsid w:val="00F83387"/>
    <w:rsid w:val="00F83E33"/>
    <w:rsid w:val="00F8429B"/>
    <w:rsid w:val="00F85082"/>
    <w:rsid w:val="00F86005"/>
    <w:rsid w:val="00F868BF"/>
    <w:rsid w:val="00F86D9A"/>
    <w:rsid w:val="00F86DB5"/>
    <w:rsid w:val="00F8748F"/>
    <w:rsid w:val="00F90155"/>
    <w:rsid w:val="00F909B8"/>
    <w:rsid w:val="00F91867"/>
    <w:rsid w:val="00F92EED"/>
    <w:rsid w:val="00F92FB4"/>
    <w:rsid w:val="00F930D8"/>
    <w:rsid w:val="00F93A89"/>
    <w:rsid w:val="00F94532"/>
    <w:rsid w:val="00F9471B"/>
    <w:rsid w:val="00F94FD8"/>
    <w:rsid w:val="00F94FEC"/>
    <w:rsid w:val="00F95426"/>
    <w:rsid w:val="00F961A2"/>
    <w:rsid w:val="00F97896"/>
    <w:rsid w:val="00FA05E7"/>
    <w:rsid w:val="00FA09FF"/>
    <w:rsid w:val="00FA1C99"/>
    <w:rsid w:val="00FA24BB"/>
    <w:rsid w:val="00FA2594"/>
    <w:rsid w:val="00FA2945"/>
    <w:rsid w:val="00FA29A5"/>
    <w:rsid w:val="00FA3309"/>
    <w:rsid w:val="00FA3FA4"/>
    <w:rsid w:val="00FA4A2D"/>
    <w:rsid w:val="00FA4D70"/>
    <w:rsid w:val="00FA5021"/>
    <w:rsid w:val="00FA55F4"/>
    <w:rsid w:val="00FA5F1D"/>
    <w:rsid w:val="00FA6203"/>
    <w:rsid w:val="00FA6683"/>
    <w:rsid w:val="00FA67DE"/>
    <w:rsid w:val="00FA6A5A"/>
    <w:rsid w:val="00FA6CF8"/>
    <w:rsid w:val="00FA74CB"/>
    <w:rsid w:val="00FB0D1C"/>
    <w:rsid w:val="00FB0DA3"/>
    <w:rsid w:val="00FB22BC"/>
    <w:rsid w:val="00FB2915"/>
    <w:rsid w:val="00FB2B7E"/>
    <w:rsid w:val="00FB2C86"/>
    <w:rsid w:val="00FB2F2C"/>
    <w:rsid w:val="00FB30C6"/>
    <w:rsid w:val="00FB3447"/>
    <w:rsid w:val="00FB3696"/>
    <w:rsid w:val="00FB3926"/>
    <w:rsid w:val="00FB5801"/>
    <w:rsid w:val="00FB59EB"/>
    <w:rsid w:val="00FB60C4"/>
    <w:rsid w:val="00FB625E"/>
    <w:rsid w:val="00FB6C9C"/>
    <w:rsid w:val="00FB769D"/>
    <w:rsid w:val="00FB77F0"/>
    <w:rsid w:val="00FC09AD"/>
    <w:rsid w:val="00FC0E08"/>
    <w:rsid w:val="00FC1ECB"/>
    <w:rsid w:val="00FC2886"/>
    <w:rsid w:val="00FC3CB8"/>
    <w:rsid w:val="00FC4747"/>
    <w:rsid w:val="00FC493B"/>
    <w:rsid w:val="00FC4E17"/>
    <w:rsid w:val="00FC4FB3"/>
    <w:rsid w:val="00FC5E49"/>
    <w:rsid w:val="00FC6246"/>
    <w:rsid w:val="00FC62F0"/>
    <w:rsid w:val="00FC6E03"/>
    <w:rsid w:val="00FC7BC4"/>
    <w:rsid w:val="00FC7FB6"/>
    <w:rsid w:val="00FD1051"/>
    <w:rsid w:val="00FD243A"/>
    <w:rsid w:val="00FD255C"/>
    <w:rsid w:val="00FD2914"/>
    <w:rsid w:val="00FD2FF6"/>
    <w:rsid w:val="00FD320D"/>
    <w:rsid w:val="00FD3373"/>
    <w:rsid w:val="00FD51FE"/>
    <w:rsid w:val="00FD5370"/>
    <w:rsid w:val="00FD54DF"/>
    <w:rsid w:val="00FD6848"/>
    <w:rsid w:val="00FD6A17"/>
    <w:rsid w:val="00FD6DDC"/>
    <w:rsid w:val="00FD7752"/>
    <w:rsid w:val="00FD7CA7"/>
    <w:rsid w:val="00FE0167"/>
    <w:rsid w:val="00FE0A24"/>
    <w:rsid w:val="00FE1039"/>
    <w:rsid w:val="00FE123F"/>
    <w:rsid w:val="00FE14DB"/>
    <w:rsid w:val="00FE1E4A"/>
    <w:rsid w:val="00FE2407"/>
    <w:rsid w:val="00FE36A5"/>
    <w:rsid w:val="00FE3830"/>
    <w:rsid w:val="00FE3AE9"/>
    <w:rsid w:val="00FE3EFB"/>
    <w:rsid w:val="00FE42DC"/>
    <w:rsid w:val="00FE57DD"/>
    <w:rsid w:val="00FE58DD"/>
    <w:rsid w:val="00FE66FC"/>
    <w:rsid w:val="00FE6FA8"/>
    <w:rsid w:val="00FE7519"/>
    <w:rsid w:val="00FF00E8"/>
    <w:rsid w:val="00FF02B1"/>
    <w:rsid w:val="00FF02B2"/>
    <w:rsid w:val="00FF04E7"/>
    <w:rsid w:val="00FF0EE1"/>
    <w:rsid w:val="00FF11E2"/>
    <w:rsid w:val="00FF1205"/>
    <w:rsid w:val="00FF212E"/>
    <w:rsid w:val="00FF2411"/>
    <w:rsid w:val="00FF2795"/>
    <w:rsid w:val="00FF2C42"/>
    <w:rsid w:val="00FF31DB"/>
    <w:rsid w:val="00FF356F"/>
    <w:rsid w:val="00FF4297"/>
    <w:rsid w:val="00FF462D"/>
    <w:rsid w:val="00FF502B"/>
    <w:rsid w:val="00FF57BA"/>
    <w:rsid w:val="00FF5A68"/>
    <w:rsid w:val="00FF5C25"/>
    <w:rsid w:val="00FF64AD"/>
    <w:rsid w:val="00FF6663"/>
    <w:rsid w:val="00FF6EBC"/>
    <w:rsid w:val="00FF7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93"/>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64E93"/>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F64E93"/>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F64E93"/>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64E93"/>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F64E93"/>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F64E93"/>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F64E93"/>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64E93"/>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F64E93"/>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4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E93"/>
  </w:style>
  <w:style w:type="paragraph" w:customStyle="1" w:styleId="ParaNum">
    <w:name w:val="ParaNum"/>
    <w:basedOn w:val="Normal"/>
    <w:link w:val="ParaNumChar"/>
    <w:rsid w:val="00F64E93"/>
    <w:pPr>
      <w:numPr>
        <w:numId w:val="11"/>
      </w:numPr>
      <w:tabs>
        <w:tab w:val="clear" w:pos="1080"/>
        <w:tab w:val="num" w:pos="1440"/>
      </w:tabs>
      <w:spacing w:after="120"/>
    </w:pPr>
  </w:style>
  <w:style w:type="paragraph" w:styleId="EndnoteText">
    <w:name w:val="endnote text"/>
    <w:basedOn w:val="Normal"/>
    <w:semiHidden/>
    <w:rsid w:val="00F64E93"/>
    <w:rPr>
      <w:sz w:val="20"/>
    </w:rPr>
  </w:style>
  <w:style w:type="character" w:styleId="EndnoteReference">
    <w:name w:val="endnote reference"/>
    <w:semiHidden/>
    <w:rsid w:val="00F64E93"/>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F64E93"/>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F64E93"/>
    <w:rPr>
      <w:rFonts w:ascii="Times New Roman" w:hAnsi="Times New Roman"/>
      <w:dstrike w:val="0"/>
      <w:color w:val="auto"/>
      <w:sz w:val="20"/>
      <w:vertAlign w:val="superscript"/>
    </w:rPr>
  </w:style>
  <w:style w:type="paragraph" w:styleId="TOC1">
    <w:name w:val="toc 1"/>
    <w:basedOn w:val="Normal"/>
    <w:next w:val="Normal"/>
    <w:rsid w:val="00F64E93"/>
    <w:pPr>
      <w:tabs>
        <w:tab w:val="left" w:pos="360"/>
        <w:tab w:val="right" w:leader="dot" w:pos="9360"/>
      </w:tabs>
      <w:suppressAutoHyphens/>
      <w:ind w:left="360" w:right="720" w:hanging="360"/>
    </w:pPr>
    <w:rPr>
      <w:caps/>
      <w:noProof/>
    </w:rPr>
  </w:style>
  <w:style w:type="paragraph" w:styleId="TOC2">
    <w:name w:val="toc 2"/>
    <w:basedOn w:val="Normal"/>
    <w:next w:val="Normal"/>
    <w:rsid w:val="00F64E93"/>
    <w:pPr>
      <w:tabs>
        <w:tab w:val="left" w:pos="720"/>
        <w:tab w:val="right" w:leader="dot" w:pos="9360"/>
      </w:tabs>
      <w:suppressAutoHyphens/>
      <w:ind w:left="720" w:right="720" w:hanging="360"/>
    </w:pPr>
    <w:rPr>
      <w:noProof/>
    </w:rPr>
  </w:style>
  <w:style w:type="paragraph" w:styleId="TOC3">
    <w:name w:val="toc 3"/>
    <w:basedOn w:val="Normal"/>
    <w:next w:val="Normal"/>
    <w:rsid w:val="00F64E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4E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4E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4E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4E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4E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4E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4E93"/>
    <w:pPr>
      <w:tabs>
        <w:tab w:val="right" w:pos="9360"/>
      </w:tabs>
      <w:suppressAutoHyphens/>
    </w:pPr>
  </w:style>
  <w:style w:type="character" w:customStyle="1" w:styleId="EquationCaption">
    <w:name w:val="_Equation Caption"/>
    <w:rsid w:val="00F64E93"/>
  </w:style>
  <w:style w:type="paragraph" w:styleId="Header">
    <w:name w:val="header"/>
    <w:basedOn w:val="Normal"/>
    <w:link w:val="HeaderChar"/>
    <w:autoRedefine/>
    <w:rsid w:val="00F64E93"/>
    <w:pPr>
      <w:tabs>
        <w:tab w:val="center" w:pos="4680"/>
        <w:tab w:val="right" w:pos="9360"/>
      </w:tabs>
    </w:pPr>
    <w:rPr>
      <w:b/>
    </w:rPr>
  </w:style>
  <w:style w:type="paragraph" w:styleId="Footer">
    <w:name w:val="footer"/>
    <w:basedOn w:val="Normal"/>
    <w:link w:val="FooterChar"/>
    <w:rsid w:val="00F64E93"/>
    <w:pPr>
      <w:tabs>
        <w:tab w:val="center" w:pos="4320"/>
        <w:tab w:val="right" w:pos="8640"/>
      </w:tabs>
    </w:pPr>
  </w:style>
  <w:style w:type="character" w:styleId="PageNumber">
    <w:name w:val="page number"/>
    <w:basedOn w:val="DefaultParagraphFont"/>
    <w:rsid w:val="00F64E93"/>
  </w:style>
  <w:style w:type="paragraph" w:styleId="BlockText">
    <w:name w:val="Block Text"/>
    <w:basedOn w:val="Normal"/>
    <w:rsid w:val="00F64E93"/>
    <w:pPr>
      <w:spacing w:after="240"/>
      <w:ind w:left="1440" w:right="1440"/>
    </w:pPr>
  </w:style>
  <w:style w:type="paragraph" w:customStyle="1" w:styleId="Paratitle">
    <w:name w:val="Para title"/>
    <w:basedOn w:val="Normal"/>
    <w:rsid w:val="00F64E93"/>
    <w:pPr>
      <w:tabs>
        <w:tab w:val="center" w:pos="9270"/>
      </w:tabs>
      <w:spacing w:after="240"/>
    </w:pPr>
    <w:rPr>
      <w:spacing w:val="-2"/>
    </w:rPr>
  </w:style>
  <w:style w:type="paragraph" w:customStyle="1" w:styleId="Bullet">
    <w:name w:val="Bullet"/>
    <w:basedOn w:val="Normal"/>
    <w:rsid w:val="00F64E93"/>
    <w:pPr>
      <w:tabs>
        <w:tab w:val="left" w:pos="2160"/>
      </w:tabs>
      <w:spacing w:after="220"/>
      <w:ind w:left="2160" w:hanging="720"/>
    </w:pPr>
  </w:style>
  <w:style w:type="paragraph" w:customStyle="1" w:styleId="TableFormat">
    <w:name w:val="TableFormat"/>
    <w:basedOn w:val="Bullet"/>
    <w:rsid w:val="00F64E93"/>
    <w:pPr>
      <w:tabs>
        <w:tab w:val="clear" w:pos="2160"/>
        <w:tab w:val="left" w:pos="5040"/>
      </w:tabs>
      <w:ind w:left="5040" w:hanging="3600"/>
    </w:pPr>
  </w:style>
  <w:style w:type="paragraph" w:customStyle="1" w:styleId="TOCTitle">
    <w:name w:val="TOC Title"/>
    <w:basedOn w:val="Normal"/>
    <w:rsid w:val="00F64E93"/>
    <w:pPr>
      <w:spacing w:before="240" w:after="240"/>
      <w:jc w:val="center"/>
    </w:pPr>
    <w:rPr>
      <w:rFonts w:ascii="Times New Roman Bold" w:hAnsi="Times New Roman Bold"/>
      <w:b/>
      <w:caps/>
      <w:spacing w:val="-2"/>
    </w:rPr>
  </w:style>
  <w:style w:type="character" w:styleId="Hyperlink">
    <w:name w:val="Hyperlink"/>
    <w:rsid w:val="00F64E93"/>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FA3309"/>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F64E93"/>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551A6D"/>
    <w:pPr>
      <w:keepNext/>
      <w:widowControl/>
      <w:tabs>
        <w:tab w:val="num" w:pos="1440"/>
      </w:tabs>
      <w:spacing w:before="240" w:after="120"/>
      <w:ind w:left="1440" w:hanging="720"/>
      <w:outlineLvl w:val="1"/>
    </w:pPr>
    <w:rPr>
      <w:b/>
      <w:snapToGrid/>
      <w:color w:val="000000"/>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93"/>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64E93"/>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F64E93"/>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F64E93"/>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64E93"/>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F64E93"/>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F64E93"/>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F64E93"/>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64E93"/>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F64E93"/>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4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E93"/>
  </w:style>
  <w:style w:type="paragraph" w:customStyle="1" w:styleId="ParaNum">
    <w:name w:val="ParaNum"/>
    <w:basedOn w:val="Normal"/>
    <w:link w:val="ParaNumChar"/>
    <w:rsid w:val="00F64E93"/>
    <w:pPr>
      <w:numPr>
        <w:numId w:val="11"/>
      </w:numPr>
      <w:tabs>
        <w:tab w:val="clear" w:pos="1080"/>
        <w:tab w:val="num" w:pos="1440"/>
      </w:tabs>
      <w:spacing w:after="120"/>
    </w:pPr>
  </w:style>
  <w:style w:type="paragraph" w:styleId="EndnoteText">
    <w:name w:val="endnote text"/>
    <w:basedOn w:val="Normal"/>
    <w:semiHidden/>
    <w:rsid w:val="00F64E93"/>
    <w:rPr>
      <w:sz w:val="20"/>
    </w:rPr>
  </w:style>
  <w:style w:type="character" w:styleId="EndnoteReference">
    <w:name w:val="endnote reference"/>
    <w:semiHidden/>
    <w:rsid w:val="00F64E93"/>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F64E93"/>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F64E93"/>
    <w:rPr>
      <w:rFonts w:ascii="Times New Roman" w:hAnsi="Times New Roman"/>
      <w:dstrike w:val="0"/>
      <w:color w:val="auto"/>
      <w:sz w:val="20"/>
      <w:vertAlign w:val="superscript"/>
    </w:rPr>
  </w:style>
  <w:style w:type="paragraph" w:styleId="TOC1">
    <w:name w:val="toc 1"/>
    <w:basedOn w:val="Normal"/>
    <w:next w:val="Normal"/>
    <w:rsid w:val="00F64E93"/>
    <w:pPr>
      <w:tabs>
        <w:tab w:val="left" w:pos="360"/>
        <w:tab w:val="right" w:leader="dot" w:pos="9360"/>
      </w:tabs>
      <w:suppressAutoHyphens/>
      <w:ind w:left="360" w:right="720" w:hanging="360"/>
    </w:pPr>
    <w:rPr>
      <w:caps/>
      <w:noProof/>
    </w:rPr>
  </w:style>
  <w:style w:type="paragraph" w:styleId="TOC2">
    <w:name w:val="toc 2"/>
    <w:basedOn w:val="Normal"/>
    <w:next w:val="Normal"/>
    <w:rsid w:val="00F64E93"/>
    <w:pPr>
      <w:tabs>
        <w:tab w:val="left" w:pos="720"/>
        <w:tab w:val="right" w:leader="dot" w:pos="9360"/>
      </w:tabs>
      <w:suppressAutoHyphens/>
      <w:ind w:left="720" w:right="720" w:hanging="360"/>
    </w:pPr>
    <w:rPr>
      <w:noProof/>
    </w:rPr>
  </w:style>
  <w:style w:type="paragraph" w:styleId="TOC3">
    <w:name w:val="toc 3"/>
    <w:basedOn w:val="Normal"/>
    <w:next w:val="Normal"/>
    <w:rsid w:val="00F64E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4E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4E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4E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4E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4E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4E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4E93"/>
    <w:pPr>
      <w:tabs>
        <w:tab w:val="right" w:pos="9360"/>
      </w:tabs>
      <w:suppressAutoHyphens/>
    </w:pPr>
  </w:style>
  <w:style w:type="character" w:customStyle="1" w:styleId="EquationCaption">
    <w:name w:val="_Equation Caption"/>
    <w:rsid w:val="00F64E93"/>
  </w:style>
  <w:style w:type="paragraph" w:styleId="Header">
    <w:name w:val="header"/>
    <w:basedOn w:val="Normal"/>
    <w:link w:val="HeaderChar"/>
    <w:autoRedefine/>
    <w:rsid w:val="00F64E93"/>
    <w:pPr>
      <w:tabs>
        <w:tab w:val="center" w:pos="4680"/>
        <w:tab w:val="right" w:pos="9360"/>
      </w:tabs>
    </w:pPr>
    <w:rPr>
      <w:b/>
    </w:rPr>
  </w:style>
  <w:style w:type="paragraph" w:styleId="Footer">
    <w:name w:val="footer"/>
    <w:basedOn w:val="Normal"/>
    <w:link w:val="FooterChar"/>
    <w:rsid w:val="00F64E93"/>
    <w:pPr>
      <w:tabs>
        <w:tab w:val="center" w:pos="4320"/>
        <w:tab w:val="right" w:pos="8640"/>
      </w:tabs>
    </w:pPr>
  </w:style>
  <w:style w:type="character" w:styleId="PageNumber">
    <w:name w:val="page number"/>
    <w:basedOn w:val="DefaultParagraphFont"/>
    <w:rsid w:val="00F64E93"/>
  </w:style>
  <w:style w:type="paragraph" w:styleId="BlockText">
    <w:name w:val="Block Text"/>
    <w:basedOn w:val="Normal"/>
    <w:rsid w:val="00F64E93"/>
    <w:pPr>
      <w:spacing w:after="240"/>
      <w:ind w:left="1440" w:right="1440"/>
    </w:pPr>
  </w:style>
  <w:style w:type="paragraph" w:customStyle="1" w:styleId="Paratitle">
    <w:name w:val="Para title"/>
    <w:basedOn w:val="Normal"/>
    <w:rsid w:val="00F64E93"/>
    <w:pPr>
      <w:tabs>
        <w:tab w:val="center" w:pos="9270"/>
      </w:tabs>
      <w:spacing w:after="240"/>
    </w:pPr>
    <w:rPr>
      <w:spacing w:val="-2"/>
    </w:rPr>
  </w:style>
  <w:style w:type="paragraph" w:customStyle="1" w:styleId="Bullet">
    <w:name w:val="Bullet"/>
    <w:basedOn w:val="Normal"/>
    <w:rsid w:val="00F64E93"/>
    <w:pPr>
      <w:tabs>
        <w:tab w:val="left" w:pos="2160"/>
      </w:tabs>
      <w:spacing w:after="220"/>
      <w:ind w:left="2160" w:hanging="720"/>
    </w:pPr>
  </w:style>
  <w:style w:type="paragraph" w:customStyle="1" w:styleId="TableFormat">
    <w:name w:val="TableFormat"/>
    <w:basedOn w:val="Bullet"/>
    <w:rsid w:val="00F64E93"/>
    <w:pPr>
      <w:tabs>
        <w:tab w:val="clear" w:pos="2160"/>
        <w:tab w:val="left" w:pos="5040"/>
      </w:tabs>
      <w:ind w:left="5040" w:hanging="3600"/>
    </w:pPr>
  </w:style>
  <w:style w:type="paragraph" w:customStyle="1" w:styleId="TOCTitle">
    <w:name w:val="TOC Title"/>
    <w:basedOn w:val="Normal"/>
    <w:rsid w:val="00F64E93"/>
    <w:pPr>
      <w:spacing w:before="240" w:after="240"/>
      <w:jc w:val="center"/>
    </w:pPr>
    <w:rPr>
      <w:rFonts w:ascii="Times New Roman Bold" w:hAnsi="Times New Roman Bold"/>
      <w:b/>
      <w:caps/>
      <w:spacing w:val="-2"/>
    </w:rPr>
  </w:style>
  <w:style w:type="character" w:styleId="Hyperlink">
    <w:name w:val="Hyperlink"/>
    <w:rsid w:val="00F64E93"/>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FA3309"/>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F64E93"/>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551A6D"/>
    <w:pPr>
      <w:keepNext/>
      <w:widowControl/>
      <w:tabs>
        <w:tab w:val="num" w:pos="1440"/>
      </w:tabs>
      <w:spacing w:before="240" w:after="120"/>
      <w:ind w:left="1440" w:hanging="720"/>
      <w:outlineLvl w:val="1"/>
    </w:pPr>
    <w:rPr>
      <w:b/>
      <w:snapToGrid/>
      <w:color w:val="00000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097">
      <w:bodyDiv w:val="1"/>
      <w:marLeft w:val="0"/>
      <w:marRight w:val="0"/>
      <w:marTop w:val="0"/>
      <w:marBottom w:val="0"/>
      <w:divBdr>
        <w:top w:val="none" w:sz="0" w:space="0" w:color="auto"/>
        <w:left w:val="none" w:sz="0" w:space="0" w:color="auto"/>
        <w:bottom w:val="none" w:sz="0" w:space="0" w:color="auto"/>
        <w:right w:val="none" w:sz="0" w:space="0" w:color="auto"/>
      </w:divBdr>
    </w:div>
    <w:div w:id="48454455">
      <w:bodyDiv w:val="1"/>
      <w:marLeft w:val="0"/>
      <w:marRight w:val="0"/>
      <w:marTop w:val="0"/>
      <w:marBottom w:val="0"/>
      <w:divBdr>
        <w:top w:val="none" w:sz="0" w:space="0" w:color="auto"/>
        <w:left w:val="none" w:sz="0" w:space="0" w:color="auto"/>
        <w:bottom w:val="none" w:sz="0" w:space="0" w:color="auto"/>
        <w:right w:val="none" w:sz="0" w:space="0" w:color="auto"/>
      </w:divBdr>
    </w:div>
    <w:div w:id="78991418">
      <w:bodyDiv w:val="1"/>
      <w:marLeft w:val="0"/>
      <w:marRight w:val="0"/>
      <w:marTop w:val="0"/>
      <w:marBottom w:val="0"/>
      <w:divBdr>
        <w:top w:val="none" w:sz="0" w:space="0" w:color="auto"/>
        <w:left w:val="none" w:sz="0" w:space="0" w:color="auto"/>
        <w:bottom w:val="none" w:sz="0" w:space="0" w:color="auto"/>
        <w:right w:val="none" w:sz="0" w:space="0" w:color="auto"/>
      </w:divBdr>
    </w:div>
    <w:div w:id="83110073">
      <w:bodyDiv w:val="1"/>
      <w:marLeft w:val="0"/>
      <w:marRight w:val="0"/>
      <w:marTop w:val="0"/>
      <w:marBottom w:val="0"/>
      <w:divBdr>
        <w:top w:val="none" w:sz="0" w:space="0" w:color="auto"/>
        <w:left w:val="none" w:sz="0" w:space="0" w:color="auto"/>
        <w:bottom w:val="none" w:sz="0" w:space="0" w:color="auto"/>
        <w:right w:val="none" w:sz="0" w:space="0" w:color="auto"/>
      </w:divBdr>
    </w:div>
    <w:div w:id="156503904">
      <w:bodyDiv w:val="1"/>
      <w:marLeft w:val="0"/>
      <w:marRight w:val="0"/>
      <w:marTop w:val="0"/>
      <w:marBottom w:val="0"/>
      <w:divBdr>
        <w:top w:val="none" w:sz="0" w:space="0" w:color="auto"/>
        <w:left w:val="none" w:sz="0" w:space="0" w:color="auto"/>
        <w:bottom w:val="none" w:sz="0" w:space="0" w:color="auto"/>
        <w:right w:val="none" w:sz="0" w:space="0" w:color="auto"/>
      </w:divBdr>
    </w:div>
    <w:div w:id="166867143">
      <w:bodyDiv w:val="1"/>
      <w:marLeft w:val="0"/>
      <w:marRight w:val="0"/>
      <w:marTop w:val="0"/>
      <w:marBottom w:val="0"/>
      <w:divBdr>
        <w:top w:val="none" w:sz="0" w:space="0" w:color="auto"/>
        <w:left w:val="none" w:sz="0" w:space="0" w:color="auto"/>
        <w:bottom w:val="none" w:sz="0" w:space="0" w:color="auto"/>
        <w:right w:val="none" w:sz="0" w:space="0" w:color="auto"/>
      </w:divBdr>
    </w:div>
    <w:div w:id="227614127">
      <w:bodyDiv w:val="1"/>
      <w:marLeft w:val="0"/>
      <w:marRight w:val="0"/>
      <w:marTop w:val="0"/>
      <w:marBottom w:val="0"/>
      <w:divBdr>
        <w:top w:val="none" w:sz="0" w:space="0" w:color="auto"/>
        <w:left w:val="none" w:sz="0" w:space="0" w:color="auto"/>
        <w:bottom w:val="none" w:sz="0" w:space="0" w:color="auto"/>
        <w:right w:val="none" w:sz="0" w:space="0" w:color="auto"/>
      </w:divBdr>
    </w:div>
    <w:div w:id="294415705">
      <w:bodyDiv w:val="1"/>
      <w:marLeft w:val="0"/>
      <w:marRight w:val="0"/>
      <w:marTop w:val="0"/>
      <w:marBottom w:val="0"/>
      <w:divBdr>
        <w:top w:val="none" w:sz="0" w:space="0" w:color="auto"/>
        <w:left w:val="none" w:sz="0" w:space="0" w:color="auto"/>
        <w:bottom w:val="none" w:sz="0" w:space="0" w:color="auto"/>
        <w:right w:val="none" w:sz="0" w:space="0" w:color="auto"/>
      </w:divBdr>
    </w:div>
    <w:div w:id="309941476">
      <w:bodyDiv w:val="1"/>
      <w:marLeft w:val="0"/>
      <w:marRight w:val="0"/>
      <w:marTop w:val="0"/>
      <w:marBottom w:val="0"/>
      <w:divBdr>
        <w:top w:val="none" w:sz="0" w:space="0" w:color="auto"/>
        <w:left w:val="none" w:sz="0" w:space="0" w:color="auto"/>
        <w:bottom w:val="none" w:sz="0" w:space="0" w:color="auto"/>
        <w:right w:val="none" w:sz="0" w:space="0" w:color="auto"/>
      </w:divBdr>
    </w:div>
    <w:div w:id="332227073">
      <w:bodyDiv w:val="1"/>
      <w:marLeft w:val="0"/>
      <w:marRight w:val="0"/>
      <w:marTop w:val="0"/>
      <w:marBottom w:val="0"/>
      <w:divBdr>
        <w:top w:val="none" w:sz="0" w:space="0" w:color="auto"/>
        <w:left w:val="none" w:sz="0" w:space="0" w:color="auto"/>
        <w:bottom w:val="none" w:sz="0" w:space="0" w:color="auto"/>
        <w:right w:val="none" w:sz="0" w:space="0" w:color="auto"/>
      </w:divBdr>
    </w:div>
    <w:div w:id="368647893">
      <w:bodyDiv w:val="1"/>
      <w:marLeft w:val="0"/>
      <w:marRight w:val="0"/>
      <w:marTop w:val="0"/>
      <w:marBottom w:val="0"/>
      <w:divBdr>
        <w:top w:val="none" w:sz="0" w:space="0" w:color="auto"/>
        <w:left w:val="none" w:sz="0" w:space="0" w:color="auto"/>
        <w:bottom w:val="none" w:sz="0" w:space="0" w:color="auto"/>
        <w:right w:val="none" w:sz="0" w:space="0" w:color="auto"/>
      </w:divBdr>
    </w:div>
    <w:div w:id="428084655">
      <w:bodyDiv w:val="1"/>
      <w:marLeft w:val="0"/>
      <w:marRight w:val="0"/>
      <w:marTop w:val="0"/>
      <w:marBottom w:val="0"/>
      <w:divBdr>
        <w:top w:val="none" w:sz="0" w:space="0" w:color="auto"/>
        <w:left w:val="none" w:sz="0" w:space="0" w:color="auto"/>
        <w:bottom w:val="none" w:sz="0" w:space="0" w:color="auto"/>
        <w:right w:val="none" w:sz="0" w:space="0" w:color="auto"/>
      </w:divBdr>
    </w:div>
    <w:div w:id="437220450">
      <w:bodyDiv w:val="1"/>
      <w:marLeft w:val="0"/>
      <w:marRight w:val="0"/>
      <w:marTop w:val="0"/>
      <w:marBottom w:val="0"/>
      <w:divBdr>
        <w:top w:val="none" w:sz="0" w:space="0" w:color="auto"/>
        <w:left w:val="none" w:sz="0" w:space="0" w:color="auto"/>
        <w:bottom w:val="none" w:sz="0" w:space="0" w:color="auto"/>
        <w:right w:val="none" w:sz="0" w:space="0" w:color="auto"/>
      </w:divBdr>
    </w:div>
    <w:div w:id="460652922">
      <w:bodyDiv w:val="1"/>
      <w:marLeft w:val="0"/>
      <w:marRight w:val="0"/>
      <w:marTop w:val="0"/>
      <w:marBottom w:val="0"/>
      <w:divBdr>
        <w:top w:val="none" w:sz="0" w:space="0" w:color="auto"/>
        <w:left w:val="none" w:sz="0" w:space="0" w:color="auto"/>
        <w:bottom w:val="none" w:sz="0" w:space="0" w:color="auto"/>
        <w:right w:val="none" w:sz="0" w:space="0" w:color="auto"/>
      </w:divBdr>
      <w:divsChild>
        <w:div w:id="1371762540">
          <w:marLeft w:val="0"/>
          <w:marRight w:val="0"/>
          <w:marTop w:val="0"/>
          <w:marBottom w:val="0"/>
          <w:divBdr>
            <w:top w:val="none" w:sz="0" w:space="0" w:color="auto"/>
            <w:left w:val="none" w:sz="0" w:space="0" w:color="auto"/>
            <w:bottom w:val="none" w:sz="0" w:space="0" w:color="auto"/>
            <w:right w:val="none" w:sz="0" w:space="0" w:color="auto"/>
          </w:divBdr>
        </w:div>
      </w:divsChild>
    </w:div>
    <w:div w:id="484324349">
      <w:bodyDiv w:val="1"/>
      <w:marLeft w:val="0"/>
      <w:marRight w:val="0"/>
      <w:marTop w:val="0"/>
      <w:marBottom w:val="0"/>
      <w:divBdr>
        <w:top w:val="none" w:sz="0" w:space="0" w:color="auto"/>
        <w:left w:val="none" w:sz="0" w:space="0" w:color="auto"/>
        <w:bottom w:val="none" w:sz="0" w:space="0" w:color="auto"/>
        <w:right w:val="none" w:sz="0" w:space="0" w:color="auto"/>
      </w:divBdr>
    </w:div>
    <w:div w:id="491795654">
      <w:bodyDiv w:val="1"/>
      <w:marLeft w:val="0"/>
      <w:marRight w:val="0"/>
      <w:marTop w:val="0"/>
      <w:marBottom w:val="0"/>
      <w:divBdr>
        <w:top w:val="none" w:sz="0" w:space="0" w:color="auto"/>
        <w:left w:val="none" w:sz="0" w:space="0" w:color="auto"/>
        <w:bottom w:val="none" w:sz="0" w:space="0" w:color="auto"/>
        <w:right w:val="none" w:sz="0" w:space="0" w:color="auto"/>
      </w:divBdr>
    </w:div>
    <w:div w:id="502820886">
      <w:bodyDiv w:val="1"/>
      <w:marLeft w:val="0"/>
      <w:marRight w:val="0"/>
      <w:marTop w:val="0"/>
      <w:marBottom w:val="0"/>
      <w:divBdr>
        <w:top w:val="none" w:sz="0" w:space="0" w:color="auto"/>
        <w:left w:val="none" w:sz="0" w:space="0" w:color="auto"/>
        <w:bottom w:val="none" w:sz="0" w:space="0" w:color="auto"/>
        <w:right w:val="none" w:sz="0" w:space="0" w:color="auto"/>
      </w:divBdr>
      <w:divsChild>
        <w:div w:id="259143441">
          <w:marLeft w:val="0"/>
          <w:marRight w:val="0"/>
          <w:marTop w:val="0"/>
          <w:marBottom w:val="0"/>
          <w:divBdr>
            <w:top w:val="none" w:sz="0" w:space="0" w:color="auto"/>
            <w:left w:val="none" w:sz="0" w:space="0" w:color="auto"/>
            <w:bottom w:val="none" w:sz="0" w:space="0" w:color="auto"/>
            <w:right w:val="none" w:sz="0" w:space="0" w:color="auto"/>
          </w:divBdr>
        </w:div>
      </w:divsChild>
    </w:div>
    <w:div w:id="588730839">
      <w:bodyDiv w:val="1"/>
      <w:marLeft w:val="0"/>
      <w:marRight w:val="0"/>
      <w:marTop w:val="0"/>
      <w:marBottom w:val="0"/>
      <w:divBdr>
        <w:top w:val="none" w:sz="0" w:space="0" w:color="auto"/>
        <w:left w:val="none" w:sz="0" w:space="0" w:color="auto"/>
        <w:bottom w:val="none" w:sz="0" w:space="0" w:color="auto"/>
        <w:right w:val="none" w:sz="0" w:space="0" w:color="auto"/>
      </w:divBdr>
    </w:div>
    <w:div w:id="670332001">
      <w:bodyDiv w:val="1"/>
      <w:marLeft w:val="0"/>
      <w:marRight w:val="0"/>
      <w:marTop w:val="0"/>
      <w:marBottom w:val="0"/>
      <w:divBdr>
        <w:top w:val="none" w:sz="0" w:space="0" w:color="auto"/>
        <w:left w:val="none" w:sz="0" w:space="0" w:color="auto"/>
        <w:bottom w:val="none" w:sz="0" w:space="0" w:color="auto"/>
        <w:right w:val="none" w:sz="0" w:space="0" w:color="auto"/>
      </w:divBdr>
    </w:div>
    <w:div w:id="682393513">
      <w:bodyDiv w:val="1"/>
      <w:marLeft w:val="0"/>
      <w:marRight w:val="0"/>
      <w:marTop w:val="0"/>
      <w:marBottom w:val="0"/>
      <w:divBdr>
        <w:top w:val="none" w:sz="0" w:space="0" w:color="auto"/>
        <w:left w:val="none" w:sz="0" w:space="0" w:color="auto"/>
        <w:bottom w:val="none" w:sz="0" w:space="0" w:color="auto"/>
        <w:right w:val="none" w:sz="0" w:space="0" w:color="auto"/>
      </w:divBdr>
    </w:div>
    <w:div w:id="759526435">
      <w:bodyDiv w:val="1"/>
      <w:marLeft w:val="0"/>
      <w:marRight w:val="0"/>
      <w:marTop w:val="0"/>
      <w:marBottom w:val="0"/>
      <w:divBdr>
        <w:top w:val="none" w:sz="0" w:space="0" w:color="auto"/>
        <w:left w:val="none" w:sz="0" w:space="0" w:color="auto"/>
        <w:bottom w:val="none" w:sz="0" w:space="0" w:color="auto"/>
        <w:right w:val="none" w:sz="0" w:space="0" w:color="auto"/>
      </w:divBdr>
    </w:div>
    <w:div w:id="781412303">
      <w:bodyDiv w:val="1"/>
      <w:marLeft w:val="0"/>
      <w:marRight w:val="0"/>
      <w:marTop w:val="0"/>
      <w:marBottom w:val="0"/>
      <w:divBdr>
        <w:top w:val="none" w:sz="0" w:space="0" w:color="auto"/>
        <w:left w:val="none" w:sz="0" w:space="0" w:color="auto"/>
        <w:bottom w:val="none" w:sz="0" w:space="0" w:color="auto"/>
        <w:right w:val="none" w:sz="0" w:space="0" w:color="auto"/>
      </w:divBdr>
    </w:div>
    <w:div w:id="833179272">
      <w:bodyDiv w:val="1"/>
      <w:marLeft w:val="0"/>
      <w:marRight w:val="0"/>
      <w:marTop w:val="0"/>
      <w:marBottom w:val="0"/>
      <w:divBdr>
        <w:top w:val="none" w:sz="0" w:space="0" w:color="auto"/>
        <w:left w:val="none" w:sz="0" w:space="0" w:color="auto"/>
        <w:bottom w:val="none" w:sz="0" w:space="0" w:color="auto"/>
        <w:right w:val="none" w:sz="0" w:space="0" w:color="auto"/>
      </w:divBdr>
    </w:div>
    <w:div w:id="868298104">
      <w:bodyDiv w:val="1"/>
      <w:marLeft w:val="0"/>
      <w:marRight w:val="0"/>
      <w:marTop w:val="30"/>
      <w:marBottom w:val="750"/>
      <w:divBdr>
        <w:top w:val="none" w:sz="0" w:space="0" w:color="auto"/>
        <w:left w:val="none" w:sz="0" w:space="0" w:color="auto"/>
        <w:bottom w:val="none" w:sz="0" w:space="0" w:color="auto"/>
        <w:right w:val="none" w:sz="0" w:space="0" w:color="auto"/>
      </w:divBdr>
      <w:divsChild>
        <w:div w:id="1049572939">
          <w:marLeft w:val="0"/>
          <w:marRight w:val="0"/>
          <w:marTop w:val="0"/>
          <w:marBottom w:val="0"/>
          <w:divBdr>
            <w:top w:val="none" w:sz="0" w:space="0" w:color="auto"/>
            <w:left w:val="none" w:sz="0" w:space="0" w:color="auto"/>
            <w:bottom w:val="none" w:sz="0" w:space="0" w:color="auto"/>
            <w:right w:val="none" w:sz="0" w:space="0" w:color="auto"/>
          </w:divBdr>
        </w:div>
      </w:divsChild>
    </w:div>
    <w:div w:id="870455463">
      <w:bodyDiv w:val="1"/>
      <w:marLeft w:val="0"/>
      <w:marRight w:val="0"/>
      <w:marTop w:val="0"/>
      <w:marBottom w:val="0"/>
      <w:divBdr>
        <w:top w:val="none" w:sz="0" w:space="0" w:color="auto"/>
        <w:left w:val="none" w:sz="0" w:space="0" w:color="auto"/>
        <w:bottom w:val="none" w:sz="0" w:space="0" w:color="auto"/>
        <w:right w:val="none" w:sz="0" w:space="0" w:color="auto"/>
      </w:divBdr>
    </w:div>
    <w:div w:id="918635328">
      <w:bodyDiv w:val="1"/>
      <w:marLeft w:val="0"/>
      <w:marRight w:val="0"/>
      <w:marTop w:val="0"/>
      <w:marBottom w:val="0"/>
      <w:divBdr>
        <w:top w:val="none" w:sz="0" w:space="0" w:color="auto"/>
        <w:left w:val="none" w:sz="0" w:space="0" w:color="auto"/>
        <w:bottom w:val="none" w:sz="0" w:space="0" w:color="auto"/>
        <w:right w:val="none" w:sz="0" w:space="0" w:color="auto"/>
      </w:divBdr>
    </w:div>
    <w:div w:id="999311727">
      <w:bodyDiv w:val="1"/>
      <w:marLeft w:val="0"/>
      <w:marRight w:val="0"/>
      <w:marTop w:val="0"/>
      <w:marBottom w:val="0"/>
      <w:divBdr>
        <w:top w:val="none" w:sz="0" w:space="0" w:color="auto"/>
        <w:left w:val="none" w:sz="0" w:space="0" w:color="auto"/>
        <w:bottom w:val="none" w:sz="0" w:space="0" w:color="auto"/>
        <w:right w:val="none" w:sz="0" w:space="0" w:color="auto"/>
      </w:divBdr>
    </w:div>
    <w:div w:id="1094325168">
      <w:bodyDiv w:val="1"/>
      <w:marLeft w:val="0"/>
      <w:marRight w:val="0"/>
      <w:marTop w:val="0"/>
      <w:marBottom w:val="0"/>
      <w:divBdr>
        <w:top w:val="none" w:sz="0" w:space="0" w:color="auto"/>
        <w:left w:val="none" w:sz="0" w:space="0" w:color="auto"/>
        <w:bottom w:val="none" w:sz="0" w:space="0" w:color="auto"/>
        <w:right w:val="none" w:sz="0" w:space="0" w:color="auto"/>
      </w:divBdr>
    </w:div>
    <w:div w:id="1162312587">
      <w:bodyDiv w:val="1"/>
      <w:marLeft w:val="0"/>
      <w:marRight w:val="0"/>
      <w:marTop w:val="0"/>
      <w:marBottom w:val="0"/>
      <w:divBdr>
        <w:top w:val="none" w:sz="0" w:space="0" w:color="auto"/>
        <w:left w:val="none" w:sz="0" w:space="0" w:color="auto"/>
        <w:bottom w:val="none" w:sz="0" w:space="0" w:color="auto"/>
        <w:right w:val="none" w:sz="0" w:space="0" w:color="auto"/>
      </w:divBdr>
    </w:div>
    <w:div w:id="1162508419">
      <w:bodyDiv w:val="1"/>
      <w:marLeft w:val="0"/>
      <w:marRight w:val="0"/>
      <w:marTop w:val="0"/>
      <w:marBottom w:val="0"/>
      <w:divBdr>
        <w:top w:val="none" w:sz="0" w:space="0" w:color="auto"/>
        <w:left w:val="none" w:sz="0" w:space="0" w:color="auto"/>
        <w:bottom w:val="none" w:sz="0" w:space="0" w:color="auto"/>
        <w:right w:val="none" w:sz="0" w:space="0" w:color="auto"/>
      </w:divBdr>
    </w:div>
    <w:div w:id="1209997505">
      <w:bodyDiv w:val="1"/>
      <w:marLeft w:val="0"/>
      <w:marRight w:val="0"/>
      <w:marTop w:val="0"/>
      <w:marBottom w:val="0"/>
      <w:divBdr>
        <w:top w:val="none" w:sz="0" w:space="0" w:color="auto"/>
        <w:left w:val="none" w:sz="0" w:space="0" w:color="auto"/>
        <w:bottom w:val="none" w:sz="0" w:space="0" w:color="auto"/>
        <w:right w:val="none" w:sz="0" w:space="0" w:color="auto"/>
      </w:divBdr>
    </w:div>
    <w:div w:id="1274827350">
      <w:bodyDiv w:val="1"/>
      <w:marLeft w:val="0"/>
      <w:marRight w:val="0"/>
      <w:marTop w:val="0"/>
      <w:marBottom w:val="0"/>
      <w:divBdr>
        <w:top w:val="none" w:sz="0" w:space="0" w:color="auto"/>
        <w:left w:val="none" w:sz="0" w:space="0" w:color="auto"/>
        <w:bottom w:val="none" w:sz="0" w:space="0" w:color="auto"/>
        <w:right w:val="none" w:sz="0" w:space="0" w:color="auto"/>
      </w:divBdr>
    </w:div>
    <w:div w:id="1327397042">
      <w:bodyDiv w:val="1"/>
      <w:marLeft w:val="0"/>
      <w:marRight w:val="0"/>
      <w:marTop w:val="0"/>
      <w:marBottom w:val="0"/>
      <w:divBdr>
        <w:top w:val="none" w:sz="0" w:space="0" w:color="auto"/>
        <w:left w:val="none" w:sz="0" w:space="0" w:color="auto"/>
        <w:bottom w:val="none" w:sz="0" w:space="0" w:color="auto"/>
        <w:right w:val="none" w:sz="0" w:space="0" w:color="auto"/>
      </w:divBdr>
    </w:div>
    <w:div w:id="1384015182">
      <w:bodyDiv w:val="1"/>
      <w:marLeft w:val="0"/>
      <w:marRight w:val="0"/>
      <w:marTop w:val="0"/>
      <w:marBottom w:val="0"/>
      <w:divBdr>
        <w:top w:val="none" w:sz="0" w:space="0" w:color="auto"/>
        <w:left w:val="none" w:sz="0" w:space="0" w:color="auto"/>
        <w:bottom w:val="none" w:sz="0" w:space="0" w:color="auto"/>
        <w:right w:val="none" w:sz="0" w:space="0" w:color="auto"/>
      </w:divBdr>
    </w:div>
    <w:div w:id="1388534507">
      <w:bodyDiv w:val="1"/>
      <w:marLeft w:val="0"/>
      <w:marRight w:val="0"/>
      <w:marTop w:val="0"/>
      <w:marBottom w:val="0"/>
      <w:divBdr>
        <w:top w:val="none" w:sz="0" w:space="0" w:color="auto"/>
        <w:left w:val="none" w:sz="0" w:space="0" w:color="auto"/>
        <w:bottom w:val="none" w:sz="0" w:space="0" w:color="auto"/>
        <w:right w:val="none" w:sz="0" w:space="0" w:color="auto"/>
      </w:divBdr>
    </w:div>
    <w:div w:id="1416396209">
      <w:bodyDiv w:val="1"/>
      <w:marLeft w:val="0"/>
      <w:marRight w:val="0"/>
      <w:marTop w:val="0"/>
      <w:marBottom w:val="0"/>
      <w:divBdr>
        <w:top w:val="none" w:sz="0" w:space="0" w:color="auto"/>
        <w:left w:val="none" w:sz="0" w:space="0" w:color="auto"/>
        <w:bottom w:val="none" w:sz="0" w:space="0" w:color="auto"/>
        <w:right w:val="none" w:sz="0" w:space="0" w:color="auto"/>
      </w:divBdr>
    </w:div>
    <w:div w:id="1424107869">
      <w:bodyDiv w:val="1"/>
      <w:marLeft w:val="0"/>
      <w:marRight w:val="0"/>
      <w:marTop w:val="0"/>
      <w:marBottom w:val="0"/>
      <w:divBdr>
        <w:top w:val="none" w:sz="0" w:space="0" w:color="auto"/>
        <w:left w:val="none" w:sz="0" w:space="0" w:color="auto"/>
        <w:bottom w:val="none" w:sz="0" w:space="0" w:color="auto"/>
        <w:right w:val="none" w:sz="0" w:space="0" w:color="auto"/>
      </w:divBdr>
    </w:div>
    <w:div w:id="1447458048">
      <w:bodyDiv w:val="1"/>
      <w:marLeft w:val="0"/>
      <w:marRight w:val="0"/>
      <w:marTop w:val="0"/>
      <w:marBottom w:val="0"/>
      <w:divBdr>
        <w:top w:val="none" w:sz="0" w:space="0" w:color="auto"/>
        <w:left w:val="none" w:sz="0" w:space="0" w:color="auto"/>
        <w:bottom w:val="none" w:sz="0" w:space="0" w:color="auto"/>
        <w:right w:val="none" w:sz="0" w:space="0" w:color="auto"/>
      </w:divBdr>
    </w:div>
    <w:div w:id="1514421805">
      <w:bodyDiv w:val="1"/>
      <w:marLeft w:val="0"/>
      <w:marRight w:val="0"/>
      <w:marTop w:val="0"/>
      <w:marBottom w:val="0"/>
      <w:divBdr>
        <w:top w:val="none" w:sz="0" w:space="0" w:color="auto"/>
        <w:left w:val="none" w:sz="0" w:space="0" w:color="auto"/>
        <w:bottom w:val="none" w:sz="0" w:space="0" w:color="auto"/>
        <w:right w:val="none" w:sz="0" w:space="0" w:color="auto"/>
      </w:divBdr>
    </w:div>
    <w:div w:id="1630434600">
      <w:bodyDiv w:val="1"/>
      <w:marLeft w:val="0"/>
      <w:marRight w:val="0"/>
      <w:marTop w:val="0"/>
      <w:marBottom w:val="0"/>
      <w:divBdr>
        <w:top w:val="none" w:sz="0" w:space="0" w:color="auto"/>
        <w:left w:val="none" w:sz="0" w:space="0" w:color="auto"/>
        <w:bottom w:val="none" w:sz="0" w:space="0" w:color="auto"/>
        <w:right w:val="none" w:sz="0" w:space="0" w:color="auto"/>
      </w:divBdr>
      <w:divsChild>
        <w:div w:id="624503860">
          <w:marLeft w:val="0"/>
          <w:marRight w:val="0"/>
          <w:marTop w:val="0"/>
          <w:marBottom w:val="0"/>
          <w:divBdr>
            <w:top w:val="none" w:sz="0" w:space="0" w:color="auto"/>
            <w:left w:val="none" w:sz="0" w:space="0" w:color="auto"/>
            <w:bottom w:val="none" w:sz="0" w:space="0" w:color="auto"/>
            <w:right w:val="none" w:sz="0" w:space="0" w:color="auto"/>
          </w:divBdr>
        </w:div>
        <w:div w:id="1420983155">
          <w:marLeft w:val="0"/>
          <w:marRight w:val="0"/>
          <w:marTop w:val="0"/>
          <w:marBottom w:val="0"/>
          <w:divBdr>
            <w:top w:val="none" w:sz="0" w:space="0" w:color="auto"/>
            <w:left w:val="none" w:sz="0" w:space="0" w:color="auto"/>
            <w:bottom w:val="none" w:sz="0" w:space="0" w:color="auto"/>
            <w:right w:val="none" w:sz="0" w:space="0" w:color="auto"/>
          </w:divBdr>
        </w:div>
        <w:div w:id="542055341">
          <w:marLeft w:val="0"/>
          <w:marRight w:val="0"/>
          <w:marTop w:val="0"/>
          <w:marBottom w:val="0"/>
          <w:divBdr>
            <w:top w:val="none" w:sz="0" w:space="0" w:color="auto"/>
            <w:left w:val="none" w:sz="0" w:space="0" w:color="auto"/>
            <w:bottom w:val="none" w:sz="0" w:space="0" w:color="auto"/>
            <w:right w:val="none" w:sz="0" w:space="0" w:color="auto"/>
          </w:divBdr>
        </w:div>
        <w:div w:id="1309630642">
          <w:marLeft w:val="0"/>
          <w:marRight w:val="0"/>
          <w:marTop w:val="0"/>
          <w:marBottom w:val="0"/>
          <w:divBdr>
            <w:top w:val="none" w:sz="0" w:space="0" w:color="auto"/>
            <w:left w:val="none" w:sz="0" w:space="0" w:color="auto"/>
            <w:bottom w:val="none" w:sz="0" w:space="0" w:color="auto"/>
            <w:right w:val="none" w:sz="0" w:space="0" w:color="auto"/>
          </w:divBdr>
        </w:div>
        <w:div w:id="664286487">
          <w:marLeft w:val="0"/>
          <w:marRight w:val="0"/>
          <w:marTop w:val="0"/>
          <w:marBottom w:val="0"/>
          <w:divBdr>
            <w:top w:val="none" w:sz="0" w:space="0" w:color="auto"/>
            <w:left w:val="none" w:sz="0" w:space="0" w:color="auto"/>
            <w:bottom w:val="none" w:sz="0" w:space="0" w:color="auto"/>
            <w:right w:val="none" w:sz="0" w:space="0" w:color="auto"/>
          </w:divBdr>
        </w:div>
        <w:div w:id="1123766809">
          <w:marLeft w:val="0"/>
          <w:marRight w:val="0"/>
          <w:marTop w:val="0"/>
          <w:marBottom w:val="0"/>
          <w:divBdr>
            <w:top w:val="none" w:sz="0" w:space="0" w:color="auto"/>
            <w:left w:val="none" w:sz="0" w:space="0" w:color="auto"/>
            <w:bottom w:val="none" w:sz="0" w:space="0" w:color="auto"/>
            <w:right w:val="none" w:sz="0" w:space="0" w:color="auto"/>
          </w:divBdr>
        </w:div>
        <w:div w:id="503597136">
          <w:marLeft w:val="0"/>
          <w:marRight w:val="0"/>
          <w:marTop w:val="0"/>
          <w:marBottom w:val="0"/>
          <w:divBdr>
            <w:top w:val="none" w:sz="0" w:space="0" w:color="auto"/>
            <w:left w:val="none" w:sz="0" w:space="0" w:color="auto"/>
            <w:bottom w:val="none" w:sz="0" w:space="0" w:color="auto"/>
            <w:right w:val="none" w:sz="0" w:space="0" w:color="auto"/>
          </w:divBdr>
        </w:div>
        <w:div w:id="1291519385">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 w:id="1551962145">
          <w:marLeft w:val="0"/>
          <w:marRight w:val="0"/>
          <w:marTop w:val="0"/>
          <w:marBottom w:val="0"/>
          <w:divBdr>
            <w:top w:val="none" w:sz="0" w:space="0" w:color="auto"/>
            <w:left w:val="none" w:sz="0" w:space="0" w:color="auto"/>
            <w:bottom w:val="none" w:sz="0" w:space="0" w:color="auto"/>
            <w:right w:val="none" w:sz="0" w:space="0" w:color="auto"/>
          </w:divBdr>
        </w:div>
        <w:div w:id="1572888954">
          <w:marLeft w:val="0"/>
          <w:marRight w:val="0"/>
          <w:marTop w:val="0"/>
          <w:marBottom w:val="0"/>
          <w:divBdr>
            <w:top w:val="none" w:sz="0" w:space="0" w:color="auto"/>
            <w:left w:val="none" w:sz="0" w:space="0" w:color="auto"/>
            <w:bottom w:val="none" w:sz="0" w:space="0" w:color="auto"/>
            <w:right w:val="none" w:sz="0" w:space="0" w:color="auto"/>
          </w:divBdr>
        </w:div>
        <w:div w:id="447772380">
          <w:marLeft w:val="0"/>
          <w:marRight w:val="0"/>
          <w:marTop w:val="0"/>
          <w:marBottom w:val="0"/>
          <w:divBdr>
            <w:top w:val="none" w:sz="0" w:space="0" w:color="auto"/>
            <w:left w:val="none" w:sz="0" w:space="0" w:color="auto"/>
            <w:bottom w:val="none" w:sz="0" w:space="0" w:color="auto"/>
            <w:right w:val="none" w:sz="0" w:space="0" w:color="auto"/>
          </w:divBdr>
        </w:div>
        <w:div w:id="1970551413">
          <w:marLeft w:val="0"/>
          <w:marRight w:val="0"/>
          <w:marTop w:val="0"/>
          <w:marBottom w:val="0"/>
          <w:divBdr>
            <w:top w:val="none" w:sz="0" w:space="0" w:color="auto"/>
            <w:left w:val="none" w:sz="0" w:space="0" w:color="auto"/>
            <w:bottom w:val="none" w:sz="0" w:space="0" w:color="auto"/>
            <w:right w:val="none" w:sz="0" w:space="0" w:color="auto"/>
          </w:divBdr>
        </w:div>
        <w:div w:id="615218652">
          <w:marLeft w:val="0"/>
          <w:marRight w:val="0"/>
          <w:marTop w:val="0"/>
          <w:marBottom w:val="0"/>
          <w:divBdr>
            <w:top w:val="none" w:sz="0" w:space="0" w:color="auto"/>
            <w:left w:val="none" w:sz="0" w:space="0" w:color="auto"/>
            <w:bottom w:val="none" w:sz="0" w:space="0" w:color="auto"/>
            <w:right w:val="none" w:sz="0" w:space="0" w:color="auto"/>
          </w:divBdr>
        </w:div>
        <w:div w:id="2073499486">
          <w:marLeft w:val="0"/>
          <w:marRight w:val="0"/>
          <w:marTop w:val="0"/>
          <w:marBottom w:val="0"/>
          <w:divBdr>
            <w:top w:val="none" w:sz="0" w:space="0" w:color="auto"/>
            <w:left w:val="none" w:sz="0" w:space="0" w:color="auto"/>
            <w:bottom w:val="none" w:sz="0" w:space="0" w:color="auto"/>
            <w:right w:val="none" w:sz="0" w:space="0" w:color="auto"/>
          </w:divBdr>
        </w:div>
        <w:div w:id="2037000549">
          <w:marLeft w:val="0"/>
          <w:marRight w:val="0"/>
          <w:marTop w:val="0"/>
          <w:marBottom w:val="0"/>
          <w:divBdr>
            <w:top w:val="none" w:sz="0" w:space="0" w:color="auto"/>
            <w:left w:val="none" w:sz="0" w:space="0" w:color="auto"/>
            <w:bottom w:val="none" w:sz="0" w:space="0" w:color="auto"/>
            <w:right w:val="none" w:sz="0" w:space="0" w:color="auto"/>
          </w:divBdr>
        </w:div>
        <w:div w:id="716203902">
          <w:marLeft w:val="0"/>
          <w:marRight w:val="0"/>
          <w:marTop w:val="0"/>
          <w:marBottom w:val="0"/>
          <w:divBdr>
            <w:top w:val="none" w:sz="0" w:space="0" w:color="auto"/>
            <w:left w:val="none" w:sz="0" w:space="0" w:color="auto"/>
            <w:bottom w:val="none" w:sz="0" w:space="0" w:color="auto"/>
            <w:right w:val="none" w:sz="0" w:space="0" w:color="auto"/>
          </w:divBdr>
        </w:div>
        <w:div w:id="2080397302">
          <w:marLeft w:val="0"/>
          <w:marRight w:val="0"/>
          <w:marTop w:val="0"/>
          <w:marBottom w:val="0"/>
          <w:divBdr>
            <w:top w:val="none" w:sz="0" w:space="0" w:color="auto"/>
            <w:left w:val="none" w:sz="0" w:space="0" w:color="auto"/>
            <w:bottom w:val="none" w:sz="0" w:space="0" w:color="auto"/>
            <w:right w:val="none" w:sz="0" w:space="0" w:color="auto"/>
          </w:divBdr>
        </w:div>
        <w:div w:id="259218484">
          <w:marLeft w:val="0"/>
          <w:marRight w:val="0"/>
          <w:marTop w:val="0"/>
          <w:marBottom w:val="0"/>
          <w:divBdr>
            <w:top w:val="none" w:sz="0" w:space="0" w:color="auto"/>
            <w:left w:val="none" w:sz="0" w:space="0" w:color="auto"/>
            <w:bottom w:val="none" w:sz="0" w:space="0" w:color="auto"/>
            <w:right w:val="none" w:sz="0" w:space="0" w:color="auto"/>
          </w:divBdr>
        </w:div>
      </w:divsChild>
    </w:div>
    <w:div w:id="1631671954">
      <w:bodyDiv w:val="1"/>
      <w:marLeft w:val="0"/>
      <w:marRight w:val="0"/>
      <w:marTop w:val="0"/>
      <w:marBottom w:val="0"/>
      <w:divBdr>
        <w:top w:val="none" w:sz="0" w:space="0" w:color="auto"/>
        <w:left w:val="none" w:sz="0" w:space="0" w:color="auto"/>
        <w:bottom w:val="none" w:sz="0" w:space="0" w:color="auto"/>
        <w:right w:val="none" w:sz="0" w:space="0" w:color="auto"/>
      </w:divBdr>
    </w:div>
    <w:div w:id="1652515204">
      <w:bodyDiv w:val="1"/>
      <w:marLeft w:val="0"/>
      <w:marRight w:val="0"/>
      <w:marTop w:val="0"/>
      <w:marBottom w:val="0"/>
      <w:divBdr>
        <w:top w:val="none" w:sz="0" w:space="0" w:color="auto"/>
        <w:left w:val="none" w:sz="0" w:space="0" w:color="auto"/>
        <w:bottom w:val="none" w:sz="0" w:space="0" w:color="auto"/>
        <w:right w:val="none" w:sz="0" w:space="0" w:color="auto"/>
      </w:divBdr>
    </w:div>
    <w:div w:id="1665278153">
      <w:bodyDiv w:val="1"/>
      <w:marLeft w:val="0"/>
      <w:marRight w:val="0"/>
      <w:marTop w:val="0"/>
      <w:marBottom w:val="0"/>
      <w:divBdr>
        <w:top w:val="none" w:sz="0" w:space="0" w:color="auto"/>
        <w:left w:val="none" w:sz="0" w:space="0" w:color="auto"/>
        <w:bottom w:val="none" w:sz="0" w:space="0" w:color="auto"/>
        <w:right w:val="none" w:sz="0" w:space="0" w:color="auto"/>
      </w:divBdr>
    </w:div>
    <w:div w:id="1699231481">
      <w:bodyDiv w:val="1"/>
      <w:marLeft w:val="0"/>
      <w:marRight w:val="0"/>
      <w:marTop w:val="0"/>
      <w:marBottom w:val="0"/>
      <w:divBdr>
        <w:top w:val="none" w:sz="0" w:space="0" w:color="auto"/>
        <w:left w:val="none" w:sz="0" w:space="0" w:color="auto"/>
        <w:bottom w:val="none" w:sz="0" w:space="0" w:color="auto"/>
        <w:right w:val="none" w:sz="0" w:space="0" w:color="auto"/>
      </w:divBdr>
    </w:div>
    <w:div w:id="1703170939">
      <w:bodyDiv w:val="1"/>
      <w:marLeft w:val="0"/>
      <w:marRight w:val="0"/>
      <w:marTop w:val="0"/>
      <w:marBottom w:val="0"/>
      <w:divBdr>
        <w:top w:val="none" w:sz="0" w:space="0" w:color="auto"/>
        <w:left w:val="none" w:sz="0" w:space="0" w:color="auto"/>
        <w:bottom w:val="none" w:sz="0" w:space="0" w:color="auto"/>
        <w:right w:val="none" w:sz="0" w:space="0" w:color="auto"/>
      </w:divBdr>
    </w:div>
    <w:div w:id="1707171242">
      <w:bodyDiv w:val="1"/>
      <w:marLeft w:val="0"/>
      <w:marRight w:val="0"/>
      <w:marTop w:val="0"/>
      <w:marBottom w:val="0"/>
      <w:divBdr>
        <w:top w:val="none" w:sz="0" w:space="0" w:color="auto"/>
        <w:left w:val="none" w:sz="0" w:space="0" w:color="auto"/>
        <w:bottom w:val="none" w:sz="0" w:space="0" w:color="auto"/>
        <w:right w:val="none" w:sz="0" w:space="0" w:color="auto"/>
      </w:divBdr>
    </w:div>
    <w:div w:id="1715621206">
      <w:bodyDiv w:val="1"/>
      <w:marLeft w:val="0"/>
      <w:marRight w:val="0"/>
      <w:marTop w:val="0"/>
      <w:marBottom w:val="0"/>
      <w:divBdr>
        <w:top w:val="none" w:sz="0" w:space="0" w:color="auto"/>
        <w:left w:val="none" w:sz="0" w:space="0" w:color="auto"/>
        <w:bottom w:val="none" w:sz="0" w:space="0" w:color="auto"/>
        <w:right w:val="none" w:sz="0" w:space="0" w:color="auto"/>
      </w:divBdr>
    </w:div>
    <w:div w:id="1718703200">
      <w:bodyDiv w:val="1"/>
      <w:marLeft w:val="0"/>
      <w:marRight w:val="0"/>
      <w:marTop w:val="0"/>
      <w:marBottom w:val="0"/>
      <w:divBdr>
        <w:top w:val="none" w:sz="0" w:space="0" w:color="auto"/>
        <w:left w:val="none" w:sz="0" w:space="0" w:color="auto"/>
        <w:bottom w:val="none" w:sz="0" w:space="0" w:color="auto"/>
        <w:right w:val="none" w:sz="0" w:space="0" w:color="auto"/>
      </w:divBdr>
    </w:div>
    <w:div w:id="1744260749">
      <w:bodyDiv w:val="1"/>
      <w:marLeft w:val="0"/>
      <w:marRight w:val="0"/>
      <w:marTop w:val="0"/>
      <w:marBottom w:val="0"/>
      <w:divBdr>
        <w:top w:val="none" w:sz="0" w:space="0" w:color="auto"/>
        <w:left w:val="none" w:sz="0" w:space="0" w:color="auto"/>
        <w:bottom w:val="none" w:sz="0" w:space="0" w:color="auto"/>
        <w:right w:val="none" w:sz="0" w:space="0" w:color="auto"/>
      </w:divBdr>
    </w:div>
    <w:div w:id="1789163207">
      <w:bodyDiv w:val="1"/>
      <w:marLeft w:val="0"/>
      <w:marRight w:val="0"/>
      <w:marTop w:val="30"/>
      <w:marBottom w:val="750"/>
      <w:divBdr>
        <w:top w:val="none" w:sz="0" w:space="0" w:color="auto"/>
        <w:left w:val="none" w:sz="0" w:space="0" w:color="auto"/>
        <w:bottom w:val="none" w:sz="0" w:space="0" w:color="auto"/>
        <w:right w:val="none" w:sz="0" w:space="0" w:color="auto"/>
      </w:divBdr>
      <w:divsChild>
        <w:div w:id="35199564">
          <w:marLeft w:val="0"/>
          <w:marRight w:val="0"/>
          <w:marTop w:val="0"/>
          <w:marBottom w:val="0"/>
          <w:divBdr>
            <w:top w:val="none" w:sz="0" w:space="0" w:color="auto"/>
            <w:left w:val="none" w:sz="0" w:space="0" w:color="auto"/>
            <w:bottom w:val="none" w:sz="0" w:space="0" w:color="auto"/>
            <w:right w:val="none" w:sz="0" w:space="0" w:color="auto"/>
          </w:divBdr>
        </w:div>
      </w:divsChild>
    </w:div>
    <w:div w:id="1791245503">
      <w:bodyDiv w:val="1"/>
      <w:marLeft w:val="0"/>
      <w:marRight w:val="0"/>
      <w:marTop w:val="0"/>
      <w:marBottom w:val="0"/>
      <w:divBdr>
        <w:top w:val="none" w:sz="0" w:space="0" w:color="auto"/>
        <w:left w:val="none" w:sz="0" w:space="0" w:color="auto"/>
        <w:bottom w:val="none" w:sz="0" w:space="0" w:color="auto"/>
        <w:right w:val="none" w:sz="0" w:space="0" w:color="auto"/>
      </w:divBdr>
    </w:div>
    <w:div w:id="1845706889">
      <w:bodyDiv w:val="1"/>
      <w:marLeft w:val="0"/>
      <w:marRight w:val="0"/>
      <w:marTop w:val="0"/>
      <w:marBottom w:val="0"/>
      <w:divBdr>
        <w:top w:val="none" w:sz="0" w:space="0" w:color="auto"/>
        <w:left w:val="none" w:sz="0" w:space="0" w:color="auto"/>
        <w:bottom w:val="none" w:sz="0" w:space="0" w:color="auto"/>
        <w:right w:val="none" w:sz="0" w:space="0" w:color="auto"/>
      </w:divBdr>
    </w:div>
    <w:div w:id="1851597346">
      <w:bodyDiv w:val="1"/>
      <w:marLeft w:val="0"/>
      <w:marRight w:val="0"/>
      <w:marTop w:val="0"/>
      <w:marBottom w:val="0"/>
      <w:divBdr>
        <w:top w:val="none" w:sz="0" w:space="0" w:color="auto"/>
        <w:left w:val="none" w:sz="0" w:space="0" w:color="auto"/>
        <w:bottom w:val="none" w:sz="0" w:space="0" w:color="auto"/>
        <w:right w:val="none" w:sz="0" w:space="0" w:color="auto"/>
      </w:divBdr>
    </w:div>
    <w:div w:id="1943340396">
      <w:bodyDiv w:val="1"/>
      <w:marLeft w:val="0"/>
      <w:marRight w:val="0"/>
      <w:marTop w:val="0"/>
      <w:marBottom w:val="0"/>
      <w:divBdr>
        <w:top w:val="none" w:sz="0" w:space="0" w:color="auto"/>
        <w:left w:val="none" w:sz="0" w:space="0" w:color="auto"/>
        <w:bottom w:val="none" w:sz="0" w:space="0" w:color="auto"/>
        <w:right w:val="none" w:sz="0" w:space="0" w:color="auto"/>
      </w:divBdr>
    </w:div>
    <w:div w:id="1951273778">
      <w:bodyDiv w:val="1"/>
      <w:marLeft w:val="0"/>
      <w:marRight w:val="0"/>
      <w:marTop w:val="0"/>
      <w:marBottom w:val="0"/>
      <w:divBdr>
        <w:top w:val="none" w:sz="0" w:space="0" w:color="auto"/>
        <w:left w:val="none" w:sz="0" w:space="0" w:color="auto"/>
        <w:bottom w:val="none" w:sz="0" w:space="0" w:color="auto"/>
        <w:right w:val="none" w:sz="0" w:space="0" w:color="auto"/>
      </w:divBdr>
    </w:div>
    <w:div w:id="1982036603">
      <w:bodyDiv w:val="1"/>
      <w:marLeft w:val="0"/>
      <w:marRight w:val="0"/>
      <w:marTop w:val="0"/>
      <w:marBottom w:val="0"/>
      <w:divBdr>
        <w:top w:val="none" w:sz="0" w:space="0" w:color="auto"/>
        <w:left w:val="none" w:sz="0" w:space="0" w:color="auto"/>
        <w:bottom w:val="none" w:sz="0" w:space="0" w:color="auto"/>
        <w:right w:val="none" w:sz="0" w:space="0" w:color="auto"/>
      </w:divBdr>
    </w:div>
    <w:div w:id="2001500044">
      <w:bodyDiv w:val="1"/>
      <w:marLeft w:val="0"/>
      <w:marRight w:val="0"/>
      <w:marTop w:val="0"/>
      <w:marBottom w:val="0"/>
      <w:divBdr>
        <w:top w:val="none" w:sz="0" w:space="0" w:color="auto"/>
        <w:left w:val="none" w:sz="0" w:space="0" w:color="auto"/>
        <w:bottom w:val="none" w:sz="0" w:space="0" w:color="auto"/>
        <w:right w:val="none" w:sz="0" w:space="0" w:color="auto"/>
      </w:divBdr>
    </w:div>
    <w:div w:id="2074427126">
      <w:bodyDiv w:val="1"/>
      <w:marLeft w:val="0"/>
      <w:marRight w:val="0"/>
      <w:marTop w:val="0"/>
      <w:marBottom w:val="0"/>
      <w:divBdr>
        <w:top w:val="none" w:sz="0" w:space="0" w:color="auto"/>
        <w:left w:val="none" w:sz="0" w:space="0" w:color="auto"/>
        <w:bottom w:val="none" w:sz="0" w:space="0" w:color="auto"/>
        <w:right w:val="none" w:sz="0" w:space="0" w:color="auto"/>
      </w:divBdr>
    </w:div>
    <w:div w:id="2085911126">
      <w:bodyDiv w:val="1"/>
      <w:marLeft w:val="0"/>
      <w:marRight w:val="0"/>
      <w:marTop w:val="0"/>
      <w:marBottom w:val="0"/>
      <w:divBdr>
        <w:top w:val="none" w:sz="0" w:space="0" w:color="auto"/>
        <w:left w:val="none" w:sz="0" w:space="0" w:color="auto"/>
        <w:bottom w:val="none" w:sz="0" w:space="0" w:color="auto"/>
        <w:right w:val="none" w:sz="0" w:space="0" w:color="auto"/>
      </w:divBdr>
      <w:divsChild>
        <w:div w:id="1409381160">
          <w:marLeft w:val="0"/>
          <w:marRight w:val="0"/>
          <w:marTop w:val="0"/>
          <w:marBottom w:val="0"/>
          <w:divBdr>
            <w:top w:val="none" w:sz="0" w:space="0" w:color="auto"/>
            <w:left w:val="none" w:sz="0" w:space="0" w:color="auto"/>
            <w:bottom w:val="none" w:sz="0" w:space="0" w:color="auto"/>
            <w:right w:val="none" w:sz="0" w:space="0" w:color="auto"/>
          </w:divBdr>
          <w:divsChild>
            <w:div w:id="1410225300">
              <w:marLeft w:val="0"/>
              <w:marRight w:val="0"/>
              <w:marTop w:val="0"/>
              <w:marBottom w:val="0"/>
              <w:divBdr>
                <w:top w:val="none" w:sz="0" w:space="0" w:color="auto"/>
                <w:left w:val="none" w:sz="0" w:space="0" w:color="auto"/>
                <w:bottom w:val="none" w:sz="0" w:space="0" w:color="auto"/>
                <w:right w:val="none" w:sz="0" w:space="0" w:color="auto"/>
              </w:divBdr>
              <w:divsChild>
                <w:div w:id="1664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7776">
      <w:bodyDiv w:val="1"/>
      <w:marLeft w:val="0"/>
      <w:marRight w:val="0"/>
      <w:marTop w:val="0"/>
      <w:marBottom w:val="0"/>
      <w:divBdr>
        <w:top w:val="none" w:sz="0" w:space="0" w:color="auto"/>
        <w:left w:val="none" w:sz="0" w:space="0" w:color="auto"/>
        <w:bottom w:val="none" w:sz="0" w:space="0" w:color="auto"/>
        <w:right w:val="none" w:sz="0" w:space="0" w:color="auto"/>
      </w:divBdr>
    </w:div>
    <w:div w:id="214257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3059</Words>
  <Characters>16897</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19983</CharactersWithSpaces>
  <SharedDoc>false</SharedDoc>
  <HyperlinkBase> </HyperlinkBase>
  <HLinks>
    <vt:vector size="90"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5636104</vt:i4>
      </vt:variant>
      <vt:variant>
        <vt:i4>36</vt:i4>
      </vt:variant>
      <vt:variant>
        <vt:i4>0</vt:i4>
      </vt:variant>
      <vt:variant>
        <vt:i4>5</vt:i4>
      </vt:variant>
      <vt:variant>
        <vt:lpwstr>http://www.edmunds.com/car-technology/car-tech-101-telematics-system-basics.html</vt:lpwstr>
      </vt:variant>
      <vt:variant>
        <vt:lpwstr/>
      </vt:variant>
      <vt:variant>
        <vt:i4>4325396</vt:i4>
      </vt:variant>
      <vt:variant>
        <vt:i4>33</vt:i4>
      </vt:variant>
      <vt:variant>
        <vt:i4>0</vt:i4>
      </vt:variant>
      <vt:variant>
        <vt:i4>5</vt:i4>
      </vt:variant>
      <vt:variant>
        <vt:lpwstr>http://www.eztexting.com/</vt:lpwstr>
      </vt:variant>
      <vt:variant>
        <vt:lpwstr/>
      </vt:variant>
      <vt:variant>
        <vt:i4>6160461</vt:i4>
      </vt:variant>
      <vt:variant>
        <vt:i4>30</vt:i4>
      </vt:variant>
      <vt:variant>
        <vt:i4>0</vt:i4>
      </vt:variant>
      <vt:variant>
        <vt:i4>5</vt:i4>
      </vt:variant>
      <vt:variant>
        <vt:lpwstr>http://www.fultonbank.com/ resources/pdf/</vt:lpwstr>
      </vt:variant>
      <vt:variant>
        <vt:lpwstr/>
      </vt:variant>
      <vt:variant>
        <vt:i4>7929879</vt:i4>
      </vt:variant>
      <vt:variant>
        <vt:i4>27</vt:i4>
      </vt:variant>
      <vt:variant>
        <vt:i4>0</vt:i4>
      </vt:variant>
      <vt:variant>
        <vt:i4>5</vt:i4>
      </vt:variant>
      <vt:variant>
        <vt:lpwstr>http://www.boston.com/business/technology/articles/2012/07/26/the_smartphone_as_a_spending_tool/</vt:lpwstr>
      </vt:variant>
      <vt:variant>
        <vt:lpwstr/>
      </vt:variant>
      <vt:variant>
        <vt:i4>4653068</vt:i4>
      </vt:variant>
      <vt:variant>
        <vt:i4>24</vt:i4>
      </vt:variant>
      <vt:variant>
        <vt:i4>0</vt:i4>
      </vt:variant>
      <vt:variant>
        <vt:i4>5</vt:i4>
      </vt:variant>
      <vt:variant>
        <vt:lpwstr>https://discussions.apple.com/thread/3587659?start=0&amp;tstart=0</vt:lpwstr>
      </vt:variant>
      <vt:variant>
        <vt:lpwstr/>
      </vt:variant>
      <vt:variant>
        <vt:i4>3801185</vt:i4>
      </vt:variant>
      <vt:variant>
        <vt:i4>21</vt:i4>
      </vt:variant>
      <vt:variant>
        <vt:i4>0</vt:i4>
      </vt:variant>
      <vt:variant>
        <vt:i4>5</vt:i4>
      </vt:variant>
      <vt:variant>
        <vt:lpwstr>http://www.smarthome.com/ android apps.html</vt:lpwstr>
      </vt:variant>
      <vt:variant>
        <vt:lpwstr/>
      </vt:variant>
      <vt:variant>
        <vt:i4>5636167</vt:i4>
      </vt:variant>
      <vt:variant>
        <vt:i4>18</vt:i4>
      </vt:variant>
      <vt:variant>
        <vt:i4>0</vt:i4>
      </vt:variant>
      <vt:variant>
        <vt:i4>5</vt:i4>
      </vt:variant>
      <vt:variant>
        <vt:lpwstr>http://www.protectamerica.com/pa/</vt:lpwstr>
      </vt:variant>
      <vt:variant>
        <vt:lpwstr/>
      </vt:variant>
      <vt:variant>
        <vt:i4>5570676</vt:i4>
      </vt:variant>
      <vt:variant>
        <vt:i4>15</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12</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9</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6</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5242898</vt:i4>
      </vt:variant>
      <vt:variant>
        <vt:i4>3</vt:i4>
      </vt:variant>
      <vt:variant>
        <vt:i4>0</vt:i4>
      </vt:variant>
      <vt:variant>
        <vt:i4>5</vt:i4>
      </vt:variant>
      <vt:variant>
        <vt:lpwstr>http://www.fcc.gov/encyclopedia/2005-nanc-correspondence</vt:lpwstr>
      </vt:variant>
      <vt:variant>
        <vt:lpwstr/>
      </vt:variant>
      <vt:variant>
        <vt:i4>2097270</vt:i4>
      </vt:variant>
      <vt:variant>
        <vt:i4>0</vt:i4>
      </vt:variant>
      <vt:variant>
        <vt:i4>0</vt:i4>
      </vt:variant>
      <vt:variant>
        <vt:i4>5</vt:i4>
      </vt:variant>
      <vt:variant>
        <vt:lpwstr>http://www.nationalpooling.com/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2015-02-24T17:07:00Z</cp:lastPrinted>
  <dcterms:created xsi:type="dcterms:W3CDTF">2015-02-24T19:53:00Z</dcterms:created>
  <dcterms:modified xsi:type="dcterms:W3CDTF">2015-02-24T19:53:00Z</dcterms:modified>
  <cp:category> </cp:category>
  <cp:contentStatus> </cp:contentStatus>
</cp:coreProperties>
</file>