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BF0A30" w:rsidRDefault="0047492A">
      <w:pPr>
        <w:jc w:val="right"/>
        <w:rPr>
          <w:b/>
          <w:sz w:val="24"/>
        </w:rPr>
      </w:pPr>
      <w:r>
        <w:rPr>
          <w:b/>
          <w:sz w:val="24"/>
        </w:rPr>
        <w:lastRenderedPageBreak/>
        <w:t xml:space="preserve">DA </w:t>
      </w:r>
      <w:r w:rsidR="00584B9A" w:rsidRPr="00584B9A">
        <w:rPr>
          <w:b/>
          <w:sz w:val="24"/>
        </w:rPr>
        <w:t>15-243</w:t>
      </w:r>
    </w:p>
    <w:p w:rsidR="00602577" w:rsidRPr="00BF0A30" w:rsidRDefault="00BF0A30">
      <w:pPr>
        <w:spacing w:before="60"/>
        <w:jc w:val="right"/>
        <w:rPr>
          <w:b/>
          <w:sz w:val="24"/>
        </w:rPr>
      </w:pPr>
      <w:r w:rsidRPr="00BF0A30">
        <w:rPr>
          <w:b/>
          <w:sz w:val="24"/>
        </w:rPr>
        <w:t xml:space="preserve">Released:  </w:t>
      </w:r>
      <w:r w:rsidR="00925B36">
        <w:rPr>
          <w:b/>
          <w:sz w:val="24"/>
        </w:rPr>
        <w:t xml:space="preserve">February </w:t>
      </w:r>
      <w:r w:rsidR="00584B9A">
        <w:rPr>
          <w:b/>
          <w:sz w:val="24"/>
        </w:rPr>
        <w:t>23</w:t>
      </w:r>
      <w:r w:rsidRPr="00BF0A30">
        <w:rPr>
          <w:b/>
          <w:sz w:val="24"/>
        </w:rPr>
        <w:t>, 2015</w:t>
      </w:r>
    </w:p>
    <w:p w:rsidR="00602577" w:rsidRDefault="00602577">
      <w:pPr>
        <w:jc w:val="right"/>
        <w:rPr>
          <w:sz w:val="24"/>
        </w:rPr>
      </w:pPr>
    </w:p>
    <w:p w:rsidR="00056CCB" w:rsidRDefault="00056CCB" w:rsidP="00056CCB">
      <w:pPr>
        <w:spacing w:after="240"/>
        <w:jc w:val="center"/>
        <w:rPr>
          <w:b/>
          <w:szCs w:val="22"/>
        </w:rPr>
      </w:pPr>
      <w:r>
        <w:rPr>
          <w:b/>
          <w:szCs w:val="22"/>
        </w:rPr>
        <w:t xml:space="preserve">WIRELINE COMPETITION BUREAU </w:t>
      </w:r>
      <w:r w:rsidR="003C3035">
        <w:rPr>
          <w:b/>
          <w:szCs w:val="22"/>
        </w:rPr>
        <w:t xml:space="preserve">ANNOUNCES </w:t>
      </w:r>
      <w:r w:rsidR="009D2351">
        <w:rPr>
          <w:b/>
          <w:szCs w:val="22"/>
        </w:rPr>
        <w:t>DEADLINE</w:t>
      </w:r>
      <w:r w:rsidR="007A011E">
        <w:rPr>
          <w:b/>
          <w:szCs w:val="22"/>
        </w:rPr>
        <w:t xml:space="preserve"> FOR EXISTING PROVIDERS TO </w:t>
      </w:r>
      <w:r w:rsidR="003118E8">
        <w:rPr>
          <w:b/>
          <w:szCs w:val="22"/>
        </w:rPr>
        <w:t>NOTIFY</w:t>
      </w:r>
      <w:r w:rsidR="00925B36">
        <w:rPr>
          <w:b/>
          <w:szCs w:val="22"/>
        </w:rPr>
        <w:t xml:space="preserve"> </w:t>
      </w:r>
      <w:r w:rsidR="00E243D8">
        <w:rPr>
          <w:b/>
          <w:szCs w:val="22"/>
        </w:rPr>
        <w:t>PUERTO RICO TELEPHONE COMPANY OR HAWAIIAN TELCOM, INC.</w:t>
      </w:r>
      <w:r w:rsidR="001C7A6C">
        <w:rPr>
          <w:b/>
          <w:szCs w:val="22"/>
        </w:rPr>
        <w:t xml:space="preserve"> </w:t>
      </w:r>
      <w:r w:rsidR="00CD3754">
        <w:rPr>
          <w:b/>
          <w:szCs w:val="22"/>
        </w:rPr>
        <w:t xml:space="preserve">THAT </w:t>
      </w:r>
      <w:r w:rsidR="003118E8">
        <w:rPr>
          <w:b/>
          <w:szCs w:val="22"/>
        </w:rPr>
        <w:t xml:space="preserve">THEY SERVE CENSUS BLOCKS </w:t>
      </w:r>
      <w:r w:rsidR="00E243D8">
        <w:rPr>
          <w:b/>
          <w:szCs w:val="22"/>
        </w:rPr>
        <w:t>THAT THE PRICE CAP CARRIERS PROPOSE</w:t>
      </w:r>
      <w:r w:rsidR="001C7A6C">
        <w:rPr>
          <w:b/>
          <w:szCs w:val="22"/>
        </w:rPr>
        <w:t xml:space="preserve"> TO SERVE WITH </w:t>
      </w:r>
      <w:r w:rsidR="007A011E">
        <w:rPr>
          <w:b/>
          <w:szCs w:val="22"/>
        </w:rPr>
        <w:t xml:space="preserve">CONNECT AMERICA PHASE I INCREMENTAL </w:t>
      </w:r>
      <w:r w:rsidR="001C7A6C">
        <w:rPr>
          <w:b/>
          <w:szCs w:val="22"/>
        </w:rPr>
        <w:t xml:space="preserve">SUPPORT </w:t>
      </w:r>
      <w:r>
        <w:rPr>
          <w:b/>
          <w:szCs w:val="22"/>
        </w:rPr>
        <w:t xml:space="preserve"> </w:t>
      </w:r>
    </w:p>
    <w:p w:rsidR="00056CCB" w:rsidRDefault="00056CCB" w:rsidP="00056CCB">
      <w:pPr>
        <w:jc w:val="center"/>
        <w:rPr>
          <w:b/>
          <w:szCs w:val="22"/>
        </w:rPr>
      </w:pPr>
      <w:r>
        <w:rPr>
          <w:b/>
          <w:szCs w:val="22"/>
        </w:rPr>
        <w:t>WC Docket No. 10-90</w:t>
      </w:r>
    </w:p>
    <w:p w:rsidR="00602577" w:rsidRDefault="00602577">
      <w:pPr>
        <w:jc w:val="center"/>
        <w:rPr>
          <w:sz w:val="24"/>
        </w:rPr>
      </w:pPr>
    </w:p>
    <w:p w:rsidR="00B5732B" w:rsidRPr="00B22D4C" w:rsidRDefault="00B5732B" w:rsidP="0047492A">
      <w:pPr>
        <w:rPr>
          <w:sz w:val="24"/>
          <w:szCs w:val="24"/>
        </w:rPr>
      </w:pPr>
      <w:r w:rsidRPr="00B22D4C">
        <w:rPr>
          <w:b/>
          <w:sz w:val="24"/>
          <w:szCs w:val="24"/>
        </w:rPr>
        <w:t>Notifications</w:t>
      </w:r>
      <w:r w:rsidR="00056CCB" w:rsidRPr="00B22D4C">
        <w:rPr>
          <w:b/>
          <w:sz w:val="24"/>
          <w:szCs w:val="24"/>
        </w:rPr>
        <w:t xml:space="preserve"> </w:t>
      </w:r>
      <w:r w:rsidRPr="00B22D4C">
        <w:rPr>
          <w:b/>
          <w:sz w:val="24"/>
          <w:szCs w:val="24"/>
        </w:rPr>
        <w:t>Due:</w:t>
      </w:r>
      <w:r w:rsidR="00621671" w:rsidRPr="00B22D4C">
        <w:rPr>
          <w:sz w:val="24"/>
          <w:szCs w:val="24"/>
        </w:rPr>
        <w:t xml:space="preserve"> </w:t>
      </w:r>
      <w:r w:rsidR="008A1F07" w:rsidRPr="00B22D4C">
        <w:rPr>
          <w:b/>
          <w:sz w:val="24"/>
          <w:szCs w:val="24"/>
        </w:rPr>
        <w:t>April 9, 2015</w:t>
      </w:r>
    </w:p>
    <w:p w:rsidR="0047492A" w:rsidRDefault="0047492A" w:rsidP="0047492A">
      <w:pPr>
        <w:rPr>
          <w:sz w:val="24"/>
        </w:rPr>
      </w:pPr>
    </w:p>
    <w:p w:rsidR="00E17FC0" w:rsidRDefault="00E243D8" w:rsidP="004A5553">
      <w:pPr>
        <w:spacing w:after="120"/>
        <w:ind w:firstLine="720"/>
      </w:pPr>
      <w:r>
        <w:t>On February 20, 2015</w:t>
      </w:r>
      <w:r w:rsidR="00D91E30">
        <w:t xml:space="preserve">, </w:t>
      </w:r>
      <w:r>
        <w:t>Puerto Rico Telephone Company, Inc. (PRT) and Hawaiian Telcom, Inc. (HTI) notified the Commission that they intend to modify their</w:t>
      </w:r>
      <w:r w:rsidR="00D91E30">
        <w:t xml:space="preserve"> Connect America Phase I</w:t>
      </w:r>
      <w:r w:rsidR="009D2351">
        <w:t xml:space="preserve"> Round 2 (Phase I)</w:t>
      </w:r>
      <w:r w:rsidR="00D91E30">
        <w:t xml:space="preserve"> incremental broadband deployment plans.</w:t>
      </w:r>
      <w:r w:rsidR="0001631E">
        <w:rPr>
          <w:rStyle w:val="FootnoteReference"/>
        </w:rPr>
        <w:footnoteReference w:id="1"/>
      </w:r>
      <w:r w:rsidR="00D91E30">
        <w:t xml:space="preserve">  </w:t>
      </w:r>
      <w:r w:rsidR="000778B3">
        <w:t>PRT</w:t>
      </w:r>
      <w:r w:rsidR="00D91E30">
        <w:t xml:space="preserve"> </w:t>
      </w:r>
      <w:r w:rsidR="006D1A29">
        <w:t xml:space="preserve">submitted </w:t>
      </w:r>
      <w:r w:rsidR="00056CCB">
        <w:t xml:space="preserve">with its notification </w:t>
      </w:r>
      <w:r w:rsidR="006D1A29">
        <w:t xml:space="preserve">a list of </w:t>
      </w:r>
      <w:r w:rsidR="000778B3">
        <w:t>230</w:t>
      </w:r>
      <w:r w:rsidR="006D1A29">
        <w:t xml:space="preserve"> census blocks that it had not previously identified with its initial election</w:t>
      </w:r>
      <w:r w:rsidR="00687CE5">
        <w:t xml:space="preserve"> where</w:t>
      </w:r>
      <w:r w:rsidR="006D1A29">
        <w:t xml:space="preserve"> it now intends to serve</w:t>
      </w:r>
      <w:r w:rsidR="00687CE5">
        <w:t xml:space="preserve"> locations</w:t>
      </w:r>
      <w:r w:rsidR="009D2351">
        <w:t xml:space="preserve"> using Phase I</w:t>
      </w:r>
      <w:r w:rsidR="00695024">
        <w:t xml:space="preserve"> </w:t>
      </w:r>
      <w:r w:rsidR="006D1A29">
        <w:t>incremental support.</w:t>
      </w:r>
      <w:r w:rsidR="0001631E">
        <w:rPr>
          <w:rStyle w:val="FootnoteReference"/>
        </w:rPr>
        <w:footnoteReference w:id="2"/>
      </w:r>
      <w:r w:rsidR="006D1A29">
        <w:t xml:space="preserve">  </w:t>
      </w:r>
      <w:r w:rsidR="009960E8">
        <w:t>HTI submitted</w:t>
      </w:r>
      <w:r w:rsidR="00E17FC0">
        <w:t xml:space="preserve"> with its notification a list identifying</w:t>
      </w:r>
      <w:r w:rsidR="009960E8">
        <w:t xml:space="preserve"> </w:t>
      </w:r>
      <w:r w:rsidR="000D787A">
        <w:t xml:space="preserve">(1) </w:t>
      </w:r>
      <w:r w:rsidR="00014CDA">
        <w:t>the</w:t>
      </w:r>
      <w:r w:rsidR="009960E8">
        <w:t xml:space="preserve"> census block </w:t>
      </w:r>
      <w:r w:rsidR="00014CDA">
        <w:t>that it</w:t>
      </w:r>
      <w:r w:rsidR="00E70BCF">
        <w:t xml:space="preserve"> had not previously identified with its initial election </w:t>
      </w:r>
      <w:r w:rsidR="00F02819">
        <w:t xml:space="preserve">where </w:t>
      </w:r>
      <w:r w:rsidR="009960E8">
        <w:t>it now intends to serve locations using Phase I incremental support</w:t>
      </w:r>
      <w:r w:rsidR="000D787A">
        <w:t>,</w:t>
      </w:r>
      <w:r w:rsidR="009960E8">
        <w:t xml:space="preserve"> and </w:t>
      </w:r>
      <w:r w:rsidR="000D787A">
        <w:t xml:space="preserve">(2) </w:t>
      </w:r>
      <w:r w:rsidR="009960E8">
        <w:t>the census blo</w:t>
      </w:r>
      <w:r w:rsidR="00014CDA">
        <w:t>ck that HTI</w:t>
      </w:r>
      <w:r w:rsidR="009960E8">
        <w:t xml:space="preserve"> no longer intends to serve using Phase I incremental support.</w:t>
      </w:r>
      <w:r w:rsidR="00E17FC0">
        <w:rPr>
          <w:rStyle w:val="FootnoteReference"/>
        </w:rPr>
        <w:footnoteReference w:id="3"/>
      </w:r>
      <w:r w:rsidR="009960E8">
        <w:t xml:space="preserve">  </w:t>
      </w:r>
    </w:p>
    <w:p w:rsidR="00455AF1" w:rsidRDefault="00F30C37" w:rsidP="004A5553">
      <w:pPr>
        <w:spacing w:after="120"/>
        <w:ind w:firstLine="720"/>
      </w:pPr>
      <w:r>
        <w:t xml:space="preserve">Under the requirements for Phase I incremental support, </w:t>
      </w:r>
      <w:r w:rsidR="006B2508">
        <w:t>o</w:t>
      </w:r>
      <w:r>
        <w:t xml:space="preserve">ther providers now have </w:t>
      </w:r>
      <w:r w:rsidR="006B2508">
        <w:t xml:space="preserve">45 days </w:t>
      </w:r>
      <w:r>
        <w:t>to indica</w:t>
      </w:r>
      <w:r w:rsidR="00263E0E">
        <w:t>te that they already serve the identified</w:t>
      </w:r>
      <w:r>
        <w:t xml:space="preserve"> blocks, </w:t>
      </w:r>
      <w:r w:rsidR="006B2508">
        <w:t xml:space="preserve">and </w:t>
      </w:r>
      <w:r w:rsidR="00263E0E">
        <w:t>PRT and HTI</w:t>
      </w:r>
      <w:r w:rsidR="006B2508">
        <w:t xml:space="preserve"> must certify that to the best of</w:t>
      </w:r>
      <w:r w:rsidR="00263E0E">
        <w:t xml:space="preserve"> their </w:t>
      </w:r>
      <w:r w:rsidR="00E70BCF">
        <w:t>knowledge the locations they plan</w:t>
      </w:r>
      <w:r w:rsidR="006B2508">
        <w:t xml:space="preserve"> to serve are in fact </w:t>
      </w:r>
      <w:r w:rsidR="00CE5C8A">
        <w:t>un</w:t>
      </w:r>
      <w:r w:rsidR="00E70BCF">
        <w:t>served before they</w:t>
      </w:r>
      <w:r w:rsidR="006B2508">
        <w:t xml:space="preserve"> may commence construction.  </w:t>
      </w:r>
      <w:r w:rsidR="00416689" w:rsidRPr="00135357">
        <w:t xml:space="preserve">Existing providers </w:t>
      </w:r>
      <w:r w:rsidR="006B2508">
        <w:t xml:space="preserve">therefore </w:t>
      </w:r>
      <w:r w:rsidR="002902AD" w:rsidRPr="00135357">
        <w:t>have</w:t>
      </w:r>
      <w:r w:rsidR="002902AD">
        <w:rPr>
          <w:b/>
        </w:rPr>
        <w:t xml:space="preserve"> until</w:t>
      </w:r>
      <w:r w:rsidR="008A1F07">
        <w:rPr>
          <w:b/>
        </w:rPr>
        <w:t xml:space="preserve"> Thursday, April 9,</w:t>
      </w:r>
      <w:r w:rsidR="002902AD">
        <w:rPr>
          <w:b/>
        </w:rPr>
        <w:t xml:space="preserve"> </w:t>
      </w:r>
      <w:r w:rsidR="006D1A29" w:rsidRPr="006D1A29">
        <w:rPr>
          <w:b/>
        </w:rPr>
        <w:t>2015</w:t>
      </w:r>
      <w:r w:rsidR="002F4DD0">
        <w:t xml:space="preserve"> </w:t>
      </w:r>
      <w:r w:rsidR="008E245E" w:rsidRPr="00135357">
        <w:t xml:space="preserve">to </w:t>
      </w:r>
      <w:r w:rsidR="0068101B">
        <w:t xml:space="preserve">notify </w:t>
      </w:r>
      <w:r w:rsidR="00263E0E">
        <w:t>PRT or HTI</w:t>
      </w:r>
      <w:r w:rsidR="0068101B">
        <w:t xml:space="preserve"> that </w:t>
      </w:r>
      <w:r w:rsidR="008E245E" w:rsidRPr="00135357">
        <w:t xml:space="preserve">they </w:t>
      </w:r>
      <w:r w:rsidR="002902AD" w:rsidRPr="00135357">
        <w:t xml:space="preserve">currently </w:t>
      </w:r>
      <w:r w:rsidR="00152F15" w:rsidRPr="00135357">
        <w:t>offe</w:t>
      </w:r>
      <w:r w:rsidR="008E245E" w:rsidRPr="00135357">
        <w:t>r</w:t>
      </w:r>
      <w:r w:rsidR="002902AD" w:rsidRPr="00135357">
        <w:t xml:space="preserve"> </w:t>
      </w:r>
      <w:r w:rsidR="002A4BF7" w:rsidRPr="00135357">
        <w:t>Internet</w:t>
      </w:r>
      <w:r w:rsidR="002F4DD0" w:rsidRPr="00135357">
        <w:t xml:space="preserve"> service at speeds of 3 Mbps d</w:t>
      </w:r>
      <w:r w:rsidR="00344CB9" w:rsidRPr="00135357">
        <w:t>ownstream and 768 kbps upstream</w:t>
      </w:r>
      <w:r w:rsidR="002A4BF7" w:rsidRPr="00135357">
        <w:t xml:space="preserve"> or higher</w:t>
      </w:r>
      <w:r w:rsidR="0068101B">
        <w:t xml:space="preserve"> in the newly identified census blocks</w:t>
      </w:r>
      <w:r w:rsidR="00344CB9" w:rsidRPr="003B7AD0">
        <w:rPr>
          <w:b/>
        </w:rPr>
        <w:t>.</w:t>
      </w:r>
      <w:r w:rsidR="00416689">
        <w:rPr>
          <w:rStyle w:val="FootnoteReference"/>
        </w:rPr>
        <w:footnoteReference w:id="4"/>
      </w:r>
      <w:r w:rsidR="00416689">
        <w:t xml:space="preserve">  </w:t>
      </w:r>
      <w:r w:rsidR="00885832">
        <w:t>A</w:t>
      </w:r>
      <w:r w:rsidR="00263E0E">
        <w:t xml:space="preserve"> machine readable list of the </w:t>
      </w:r>
      <w:r w:rsidR="00885832">
        <w:t>census blocks</w:t>
      </w:r>
      <w:r w:rsidR="00263E0E">
        <w:t xml:space="preserve"> PRT intends to serve</w:t>
      </w:r>
      <w:r w:rsidR="00885832">
        <w:t xml:space="preserve"> is </w:t>
      </w:r>
      <w:r w:rsidR="00885832">
        <w:lastRenderedPageBreak/>
        <w:t>available at</w:t>
      </w:r>
      <w:r w:rsidR="00263E0E">
        <w:t xml:space="preserve"> </w:t>
      </w:r>
      <w:hyperlink r:id="rId15" w:history="1">
        <w:r w:rsidR="00584B9A">
          <w:rPr>
            <w:rStyle w:val="Hyperlink"/>
          </w:rPr>
          <w:t>https://apps.fcc.gov/edocs_public/attachmatch/DA-15-243A2.xlsx</w:t>
        </w:r>
      </w:hyperlink>
      <w:r w:rsidR="00263E0E">
        <w:t>, and a machine re</w:t>
      </w:r>
      <w:r w:rsidR="00E70BCF">
        <w:t>adable list of the census block</w:t>
      </w:r>
      <w:r w:rsidR="00263E0E">
        <w:t xml:space="preserve"> HTI intends to serve is available at </w:t>
      </w:r>
      <w:hyperlink r:id="rId16" w:history="1">
        <w:r w:rsidR="00584B9A" w:rsidRPr="004F292C">
          <w:rPr>
            <w:rStyle w:val="Hyperlink"/>
          </w:rPr>
          <w:t>https://apps.fcc.gov/edocs_public/attachmatch/DA-15-243A3.xlsx</w:t>
        </w:r>
      </w:hyperlink>
      <w:r w:rsidR="00263E0E">
        <w:t>.</w:t>
      </w:r>
    </w:p>
    <w:p w:rsidR="004A5553" w:rsidRDefault="00CE5C8A" w:rsidP="004A5553">
      <w:pPr>
        <w:spacing w:after="120"/>
        <w:ind w:firstLine="720"/>
      </w:pPr>
      <w:r>
        <w:t>This proceeding continues to</w:t>
      </w:r>
      <w:r w:rsidR="004A5553">
        <w:t xml:space="preserve"> be treated as a “permit-but-disclose” proceeding in accordance with the Commission’s </w:t>
      </w:r>
      <w:r w:rsidR="004A5553">
        <w:rPr>
          <w:i/>
          <w:iCs/>
        </w:rPr>
        <w:t xml:space="preserve">ex parte </w:t>
      </w:r>
      <w:r w:rsidR="004A5553">
        <w:t>rules.</w:t>
      </w:r>
      <w:r w:rsidR="004A5553">
        <w:rPr>
          <w:rStyle w:val="FootnoteReference"/>
        </w:rPr>
        <w:footnoteReference w:id="5"/>
      </w:r>
      <w:r w:rsidR="004A5553">
        <w:t xml:space="preserve">  Persons making </w:t>
      </w:r>
      <w:r w:rsidR="004A5553">
        <w:rPr>
          <w:i/>
        </w:rPr>
        <w:t xml:space="preserve">ex parte </w:t>
      </w:r>
      <w:r w:rsidR="004A555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4A5553">
        <w:rPr>
          <w:i/>
          <w:iCs/>
        </w:rPr>
        <w:t xml:space="preserve">ex parte </w:t>
      </w:r>
      <w:r w:rsidR="004A5553">
        <w:t xml:space="preserve">presentations are reminded that memoranda summarizing the presentation must (1) list all persons attending or otherwise participating in the meeting at which the </w:t>
      </w:r>
      <w:r w:rsidR="004A5553">
        <w:rPr>
          <w:i/>
          <w:iCs/>
        </w:rPr>
        <w:t xml:space="preserve">ex parte </w:t>
      </w:r>
      <w:r w:rsidR="004A555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4A5553">
        <w:rPr>
          <w:i/>
          <w:iCs/>
        </w:rPr>
        <w:t xml:space="preserve">ex parte </w:t>
      </w:r>
      <w:r w:rsidR="004A5553">
        <w:t xml:space="preserve">meetings are deemed to be written </w:t>
      </w:r>
      <w:r w:rsidR="004A5553">
        <w:rPr>
          <w:i/>
          <w:iCs/>
        </w:rPr>
        <w:t>ex parte</w:t>
      </w:r>
      <w:r w:rsidR="004A5553">
        <w:t xml:space="preserve"> presentations and must be filed consistent with rule 1.1206(b).  In proceedings governed by rule 1.49(f) or for which the Commission has made available a method of electronic filing, written </w:t>
      </w:r>
      <w:r w:rsidR="004A5553">
        <w:rPr>
          <w:i/>
          <w:iCs/>
        </w:rPr>
        <w:t xml:space="preserve">ex parte </w:t>
      </w:r>
      <w:r w:rsidR="004A5553">
        <w:t xml:space="preserve">presentations and memoranda summarizing oral </w:t>
      </w:r>
      <w:r w:rsidR="004A5553">
        <w:rPr>
          <w:i/>
          <w:iCs/>
        </w:rPr>
        <w:t xml:space="preserve">ex parte </w:t>
      </w:r>
      <w:r w:rsidR="004A5553">
        <w:t>presentations, and all attachments thereto, must be filed through the electronic comment filing system available for that proceeding, and must be filed in their native format (</w:t>
      </w:r>
      <w:r w:rsidR="004A5553">
        <w:rPr>
          <w:i/>
          <w:iCs/>
        </w:rPr>
        <w:t>e.g.</w:t>
      </w:r>
      <w:r w:rsidR="004A5553">
        <w:t xml:space="preserve">, .doc, .xml, .ppt, searchable .pdf).  Participants in this proceeding should familiarize themselves with the Commission’s </w:t>
      </w:r>
      <w:r w:rsidR="004A5553">
        <w:rPr>
          <w:i/>
          <w:iCs/>
        </w:rPr>
        <w:t xml:space="preserve">ex parte </w:t>
      </w:r>
      <w:r w:rsidR="004A5553">
        <w:t>rules.</w:t>
      </w:r>
    </w:p>
    <w:p w:rsidR="004A5553" w:rsidRDefault="004A5553" w:rsidP="004A5553">
      <w:pPr>
        <w:pStyle w:val="ParaNum0"/>
        <w:widowControl/>
        <w:numPr>
          <w:ilvl w:val="0"/>
          <w:numId w:val="0"/>
        </w:numPr>
        <w:tabs>
          <w:tab w:val="num" w:pos="1440"/>
        </w:tabs>
        <w:ind w:firstLine="720"/>
      </w:pPr>
      <w:r>
        <w:t xml:space="preserve">To request materials in accessible formats for people with disabilities (braille, large print, electronic files, audio format), send an e-mail to </w:t>
      </w:r>
      <w:hyperlink r:id="rId17" w:history="1">
        <w:r>
          <w:rPr>
            <w:rStyle w:val="Hyperlink"/>
          </w:rPr>
          <w:t>fcc504@fcc.gov</w:t>
        </w:r>
      </w:hyperlink>
      <w:r>
        <w:t xml:space="preserve"> or call the Consumer &amp; Governmental Affairs Bureau at 202-418-0530 (voice), 202-418-0432 (tty).</w:t>
      </w:r>
    </w:p>
    <w:p w:rsidR="004A5553" w:rsidRDefault="004A5553" w:rsidP="004A5553">
      <w:pPr>
        <w:pStyle w:val="ParaNum0"/>
        <w:widowControl/>
        <w:numPr>
          <w:ilvl w:val="0"/>
          <w:numId w:val="0"/>
        </w:numPr>
        <w:tabs>
          <w:tab w:val="num" w:pos="1440"/>
        </w:tabs>
        <w:ind w:firstLine="720"/>
        <w:rPr>
          <w:szCs w:val="22"/>
        </w:rPr>
      </w:pPr>
      <w:r>
        <w:rPr>
          <w:szCs w:val="22"/>
        </w:rPr>
        <w:t>Submissions will be publically available online via ECFS.</w:t>
      </w:r>
      <w:r>
        <w:rPr>
          <w:rStyle w:val="FootnoteReference"/>
          <w:szCs w:val="22"/>
        </w:rPr>
        <w:footnoteReference w:id="6"/>
      </w:r>
      <w:r>
        <w:rPr>
          <w:szCs w:val="22"/>
        </w:rPr>
        <w:t xml:space="preserve">  These documents will also be available for public inspection during regular business hours in the FCC Reference Information Center, which is located in Room CY-A257 at FCC Headquarters, </w:t>
      </w:r>
      <w:r>
        <w:t>445 12</w:t>
      </w:r>
      <w:r>
        <w:rPr>
          <w:vertAlign w:val="superscript"/>
        </w:rPr>
        <w:t>th</w:t>
      </w:r>
      <w:r>
        <w:t xml:space="preserve"> Street</w:t>
      </w:r>
      <w:r>
        <w:rPr>
          <w:szCs w:val="22"/>
        </w:rPr>
        <w:t>, SW, Washington, DC 20554.  The Reference Information Center is open to the public Monday through Thursday from 8:00 a.m. to 4:30 p.m. and Friday from 8:00 a.m. to 11:30 a.m.</w:t>
      </w:r>
    </w:p>
    <w:p w:rsidR="004A5553" w:rsidRDefault="004A5553" w:rsidP="004A5553">
      <w:pPr>
        <w:spacing w:after="120"/>
        <w:ind w:firstLine="720"/>
      </w:pPr>
      <w:r>
        <w:t>For additional information on thi</w:t>
      </w:r>
      <w:r w:rsidR="00D91E30">
        <w:t>s proceeding, contact Heidi Lankau</w:t>
      </w:r>
      <w:r>
        <w:t xml:space="preserve"> (</w:t>
      </w:r>
      <w:hyperlink r:id="rId18" w:history="1">
        <w:r w:rsidR="00D91E30" w:rsidRPr="00401E80">
          <w:rPr>
            <w:rStyle w:val="Hyperlink"/>
          </w:rPr>
          <w:t>Heidi.Lankau@fcc.gov</w:t>
        </w:r>
      </w:hyperlink>
      <w:r>
        <w:t>) of the Wireline Competition Bureau, Telecommunications Access Policy Division, (202) 418-7400.</w:t>
      </w:r>
    </w:p>
    <w:p w:rsidR="00602577" w:rsidRPr="0059274F" w:rsidRDefault="0059274F" w:rsidP="0059274F">
      <w:pPr>
        <w:spacing w:before="120" w:after="240"/>
        <w:jc w:val="center"/>
        <w:rPr>
          <w:b/>
          <w:sz w:val="24"/>
        </w:rPr>
      </w:pPr>
      <w:r w:rsidRPr="0059274F">
        <w:rPr>
          <w:b/>
          <w:sz w:val="24"/>
        </w:rPr>
        <w:t>– FCC –</w:t>
      </w:r>
    </w:p>
    <w:sectPr w:rsidR="00602577" w:rsidRPr="0059274F" w:rsidSect="0059274F">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BC" w:rsidRDefault="00D62FBC">
      <w:r>
        <w:separator/>
      </w:r>
    </w:p>
  </w:endnote>
  <w:endnote w:type="continuationSeparator" w:id="0">
    <w:p w:rsidR="00D62FBC" w:rsidRDefault="00D6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8" w:rsidRDefault="00E91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66840"/>
      <w:docPartObj>
        <w:docPartGallery w:val="Page Numbers (Bottom of Page)"/>
        <w:docPartUnique/>
      </w:docPartObj>
    </w:sdtPr>
    <w:sdtEndPr>
      <w:rPr>
        <w:noProof/>
      </w:rPr>
    </w:sdtEndPr>
    <w:sdtContent>
      <w:p w:rsidR="0047492A" w:rsidRDefault="0047492A">
        <w:pPr>
          <w:pStyle w:val="Footer"/>
          <w:jc w:val="center"/>
        </w:pPr>
        <w:r>
          <w:fldChar w:fldCharType="begin"/>
        </w:r>
        <w:r>
          <w:instrText xml:space="preserve"> PAGE   \* MERGEFORMAT </w:instrText>
        </w:r>
        <w:r>
          <w:fldChar w:fldCharType="separate"/>
        </w:r>
        <w:r w:rsidR="00B64CA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8" w:rsidRDefault="00E91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BC" w:rsidRDefault="00D62FBC">
      <w:r>
        <w:separator/>
      </w:r>
    </w:p>
  </w:footnote>
  <w:footnote w:type="continuationSeparator" w:id="0">
    <w:p w:rsidR="00D62FBC" w:rsidRDefault="00D62FBC">
      <w:r>
        <w:continuationSeparator/>
      </w:r>
    </w:p>
  </w:footnote>
  <w:footnote w:id="1">
    <w:p w:rsidR="0001631E" w:rsidRPr="003C3035" w:rsidRDefault="0001631E">
      <w:pPr>
        <w:pStyle w:val="FootnoteText"/>
        <w:rPr>
          <w:sz w:val="20"/>
        </w:rPr>
      </w:pPr>
      <w:r w:rsidRPr="003C3035">
        <w:rPr>
          <w:rStyle w:val="FootnoteReference"/>
          <w:sz w:val="20"/>
        </w:rPr>
        <w:footnoteRef/>
      </w:r>
      <w:r w:rsidRPr="003C3035">
        <w:rPr>
          <w:sz w:val="20"/>
        </w:rPr>
        <w:t xml:space="preserve"> Letter from </w:t>
      </w:r>
      <w:r w:rsidR="00307264">
        <w:rPr>
          <w:sz w:val="20"/>
        </w:rPr>
        <w:t>Thomas J. Navin, Counsel to Puerto Rico Telephone Company, Inc.</w:t>
      </w:r>
      <w:r w:rsidRPr="003C3035">
        <w:rPr>
          <w:sz w:val="20"/>
        </w:rPr>
        <w:t xml:space="preserve">, to Marlene H. Dortch, Secretary, FCC, WC Docket No. 10-90 (filed </w:t>
      </w:r>
      <w:r w:rsidR="00307264">
        <w:rPr>
          <w:sz w:val="20"/>
        </w:rPr>
        <w:t>February 20, 2015)</w:t>
      </w:r>
      <w:r w:rsidR="00E17FC0">
        <w:rPr>
          <w:sz w:val="20"/>
        </w:rPr>
        <w:t xml:space="preserve"> (PRT Notification Letter)</w:t>
      </w:r>
      <w:r w:rsidR="00307264">
        <w:rPr>
          <w:sz w:val="20"/>
        </w:rPr>
        <w:t xml:space="preserve">; Letter from Kevin T. Paul, Senior Vice President-Technology, Hawaiian Telcom, Inc., to </w:t>
      </w:r>
      <w:r w:rsidR="00307264" w:rsidRPr="003C3035">
        <w:rPr>
          <w:sz w:val="20"/>
        </w:rPr>
        <w:t xml:space="preserve">Marlene H. Dortch, Secretary, FCC, WC Docket No. 10-90 (filed </w:t>
      </w:r>
      <w:r w:rsidR="00307264">
        <w:rPr>
          <w:sz w:val="20"/>
        </w:rPr>
        <w:t>February 20, 2015)</w:t>
      </w:r>
      <w:r w:rsidR="00E17FC0">
        <w:rPr>
          <w:sz w:val="20"/>
        </w:rPr>
        <w:t xml:space="preserve"> (HTI Notification Letter)</w:t>
      </w:r>
      <w:r w:rsidR="00307264">
        <w:rPr>
          <w:sz w:val="20"/>
        </w:rPr>
        <w:t>.</w:t>
      </w:r>
    </w:p>
  </w:footnote>
  <w:footnote w:id="2">
    <w:p w:rsidR="0001631E" w:rsidRPr="003C3035" w:rsidRDefault="0001631E">
      <w:pPr>
        <w:pStyle w:val="FootnoteText"/>
        <w:rPr>
          <w:sz w:val="20"/>
        </w:rPr>
      </w:pPr>
      <w:r w:rsidRPr="003C3035">
        <w:rPr>
          <w:rStyle w:val="FootnoteReference"/>
          <w:sz w:val="20"/>
        </w:rPr>
        <w:footnoteRef/>
      </w:r>
      <w:r w:rsidRPr="003C3035">
        <w:rPr>
          <w:sz w:val="20"/>
        </w:rPr>
        <w:t xml:space="preserve"> </w:t>
      </w:r>
      <w:r w:rsidR="00E17FC0">
        <w:rPr>
          <w:sz w:val="20"/>
        </w:rPr>
        <w:t>PRT Notification Letter</w:t>
      </w:r>
      <w:r w:rsidR="002D0DD1" w:rsidRPr="003C3035">
        <w:rPr>
          <w:sz w:val="20"/>
        </w:rPr>
        <w:t xml:space="preserve"> at Attach.</w:t>
      </w:r>
      <w:r w:rsidR="00695024" w:rsidRPr="003C3035">
        <w:rPr>
          <w:sz w:val="20"/>
        </w:rPr>
        <w:t xml:space="preserve">  </w:t>
      </w:r>
      <w:r w:rsidR="000778B3">
        <w:rPr>
          <w:sz w:val="20"/>
        </w:rPr>
        <w:t>PRT</w:t>
      </w:r>
      <w:r w:rsidR="00695024" w:rsidRPr="003C3035">
        <w:rPr>
          <w:sz w:val="20"/>
        </w:rPr>
        <w:t xml:space="preserve"> </w:t>
      </w:r>
      <w:r w:rsidR="002D0DD1" w:rsidRPr="003C3035">
        <w:rPr>
          <w:sz w:val="20"/>
        </w:rPr>
        <w:t xml:space="preserve">accepted </w:t>
      </w:r>
      <w:r w:rsidR="009D2351">
        <w:rPr>
          <w:sz w:val="20"/>
        </w:rPr>
        <w:t>Phase I</w:t>
      </w:r>
      <w:r w:rsidR="00695024" w:rsidRPr="003C3035">
        <w:rPr>
          <w:sz w:val="20"/>
        </w:rPr>
        <w:t xml:space="preserve"> </w:t>
      </w:r>
      <w:r w:rsidR="002D0DD1" w:rsidRPr="003C3035">
        <w:rPr>
          <w:sz w:val="20"/>
        </w:rPr>
        <w:t xml:space="preserve">support </w:t>
      </w:r>
      <w:r w:rsidR="00551F10" w:rsidRPr="003C3035">
        <w:rPr>
          <w:sz w:val="20"/>
        </w:rPr>
        <w:t>on August 2</w:t>
      </w:r>
      <w:r w:rsidR="000778B3">
        <w:rPr>
          <w:sz w:val="20"/>
        </w:rPr>
        <w:t>3, 2013</w:t>
      </w:r>
      <w:r w:rsidR="00551F10" w:rsidRPr="003C3035">
        <w:rPr>
          <w:sz w:val="20"/>
        </w:rPr>
        <w:t>.</w:t>
      </w:r>
      <w:r w:rsidR="002D0DD1" w:rsidRPr="003C3035">
        <w:rPr>
          <w:sz w:val="20"/>
        </w:rPr>
        <w:t xml:space="preserve"> </w:t>
      </w:r>
      <w:r w:rsidR="00687CE5" w:rsidRPr="003C3035">
        <w:rPr>
          <w:sz w:val="20"/>
        </w:rPr>
        <w:t xml:space="preserve"> </w:t>
      </w:r>
      <w:r w:rsidR="000778B3" w:rsidRPr="003C3035">
        <w:rPr>
          <w:sz w:val="20"/>
        </w:rPr>
        <w:t xml:space="preserve">Letter from </w:t>
      </w:r>
      <w:r w:rsidR="000778B3">
        <w:rPr>
          <w:sz w:val="20"/>
        </w:rPr>
        <w:t>Thomas J. Navin, Counsel to Puerto Rico Telephone Company, Inc.</w:t>
      </w:r>
      <w:r w:rsidR="000778B3" w:rsidRPr="003C3035">
        <w:rPr>
          <w:sz w:val="20"/>
        </w:rPr>
        <w:t xml:space="preserve">, to Marlene H. Dortch, Secretary, FCC, WC Docket No. 10-90 (filed </w:t>
      </w:r>
      <w:r w:rsidR="000778B3">
        <w:rPr>
          <w:sz w:val="20"/>
        </w:rPr>
        <w:t>Aug. 23, 2013).</w:t>
      </w:r>
    </w:p>
  </w:footnote>
  <w:footnote w:id="3">
    <w:p w:rsidR="00E17FC0" w:rsidRPr="00263E0E" w:rsidRDefault="00E17FC0">
      <w:pPr>
        <w:pStyle w:val="FootnoteText"/>
        <w:rPr>
          <w:sz w:val="20"/>
        </w:rPr>
      </w:pPr>
      <w:r w:rsidRPr="00263E0E">
        <w:rPr>
          <w:rStyle w:val="FootnoteReference"/>
          <w:sz w:val="20"/>
        </w:rPr>
        <w:footnoteRef/>
      </w:r>
      <w:r w:rsidRPr="00263E0E">
        <w:rPr>
          <w:sz w:val="20"/>
        </w:rPr>
        <w:t xml:space="preserve"> HTI Notification Letter at Attach. </w:t>
      </w:r>
      <w:r w:rsidR="004A7D9D">
        <w:rPr>
          <w:sz w:val="20"/>
        </w:rPr>
        <w:t xml:space="preserve"> </w:t>
      </w:r>
      <w:r w:rsidRPr="00263E0E">
        <w:rPr>
          <w:sz w:val="20"/>
        </w:rPr>
        <w:t xml:space="preserve">HTI accepted Phase I support on </w:t>
      </w:r>
      <w:r w:rsidR="006B4E67" w:rsidRPr="00263E0E">
        <w:rPr>
          <w:sz w:val="20"/>
        </w:rPr>
        <w:t xml:space="preserve">August 15, 2013.  </w:t>
      </w:r>
      <w:r w:rsidR="00263E0E" w:rsidRPr="00263E0E">
        <w:rPr>
          <w:sz w:val="20"/>
        </w:rPr>
        <w:t>Letter from Kevin T. Paul, Senior Vice President-Technology, Hawaiian Telcom, Inc., to Marlene H. Dortch, Secretary, FCC, WC Docket No. 10-90 (filed Aug. 15, 2013)</w:t>
      </w:r>
      <w:r w:rsidR="00961DF5">
        <w:rPr>
          <w:sz w:val="20"/>
        </w:rPr>
        <w:t>.</w:t>
      </w:r>
    </w:p>
  </w:footnote>
  <w:footnote w:id="4">
    <w:p w:rsidR="00416689" w:rsidRPr="003C3035" w:rsidRDefault="00416689">
      <w:pPr>
        <w:pStyle w:val="FootnoteText"/>
        <w:rPr>
          <w:sz w:val="20"/>
        </w:rPr>
      </w:pPr>
      <w:r w:rsidRPr="003C3035">
        <w:rPr>
          <w:rStyle w:val="FootnoteReference"/>
          <w:sz w:val="20"/>
        </w:rPr>
        <w:footnoteRef/>
      </w:r>
      <w:r w:rsidRPr="003C3035">
        <w:rPr>
          <w:sz w:val="20"/>
        </w:rPr>
        <w:t xml:space="preserve"> </w:t>
      </w:r>
      <w:r w:rsidR="002D0DD1" w:rsidRPr="003C3035">
        <w:rPr>
          <w:i/>
          <w:sz w:val="20"/>
        </w:rPr>
        <w:t>Connect America Fund</w:t>
      </w:r>
      <w:r w:rsidR="002D0DD1" w:rsidRPr="003C3035">
        <w:rPr>
          <w:sz w:val="20"/>
        </w:rPr>
        <w:t>, WC Docket No. 10-90, Order on Reconsideration, 28 FCC Rcd</w:t>
      </w:r>
      <w:r w:rsidR="00695024" w:rsidRPr="003C3035">
        <w:rPr>
          <w:sz w:val="20"/>
        </w:rPr>
        <w:t xml:space="preserve"> 10488, 10490-91, paras</w:t>
      </w:r>
      <w:r w:rsidR="003B7AD0">
        <w:rPr>
          <w:sz w:val="20"/>
        </w:rPr>
        <w:t xml:space="preserve">. </w:t>
      </w:r>
      <w:r w:rsidR="00687CE5" w:rsidRPr="003C3035">
        <w:rPr>
          <w:sz w:val="20"/>
        </w:rPr>
        <w:t>6-7 (2013)</w:t>
      </w:r>
      <w:r w:rsidR="00695024" w:rsidRPr="003C3035">
        <w:rPr>
          <w:sz w:val="20"/>
        </w:rPr>
        <w:t xml:space="preserve">.  </w:t>
      </w:r>
      <w:r w:rsidR="0029712B" w:rsidRPr="003C3035">
        <w:rPr>
          <w:sz w:val="20"/>
        </w:rPr>
        <w:t xml:space="preserve">While we encourage existing providers to notify </w:t>
      </w:r>
      <w:r w:rsidR="00F02819">
        <w:rPr>
          <w:sz w:val="20"/>
        </w:rPr>
        <w:t>PRT or HTI</w:t>
      </w:r>
      <w:r w:rsidR="0029712B" w:rsidRPr="003C3035">
        <w:rPr>
          <w:sz w:val="20"/>
        </w:rPr>
        <w:t xml:space="preserve"> directly, </w:t>
      </w:r>
      <w:r w:rsidR="00F02819">
        <w:rPr>
          <w:sz w:val="20"/>
        </w:rPr>
        <w:t>PRT and HTI</w:t>
      </w:r>
      <w:r w:rsidR="00B5732B" w:rsidRPr="003C3035">
        <w:rPr>
          <w:sz w:val="20"/>
        </w:rPr>
        <w:t xml:space="preserve"> will be deemed to have received an existing provider’s notification if the existing pro</w:t>
      </w:r>
      <w:r w:rsidR="000E34E9" w:rsidRPr="003C3035">
        <w:rPr>
          <w:sz w:val="20"/>
        </w:rPr>
        <w:t xml:space="preserve">vider </w:t>
      </w:r>
      <w:r w:rsidR="00687CE5" w:rsidRPr="003C3035">
        <w:rPr>
          <w:sz w:val="20"/>
        </w:rPr>
        <w:t>submits</w:t>
      </w:r>
      <w:r w:rsidR="000E34E9" w:rsidRPr="003C3035">
        <w:rPr>
          <w:sz w:val="20"/>
        </w:rPr>
        <w:t xml:space="preserve"> its notification via the Commission’s Electronic Comment Filing System (ECFS) in </w:t>
      </w:r>
      <w:r w:rsidR="00B5732B" w:rsidRPr="003C3035">
        <w:rPr>
          <w:sz w:val="20"/>
        </w:rPr>
        <w:t xml:space="preserve">WC Docket No. 10-90. </w:t>
      </w:r>
      <w:r w:rsidR="0001631E" w:rsidRPr="003C3035">
        <w:rPr>
          <w:sz w:val="20"/>
        </w:rPr>
        <w:t xml:space="preserve"> </w:t>
      </w:r>
      <w:r w:rsidR="000B735F" w:rsidRPr="003C3035">
        <w:rPr>
          <w:i/>
          <w:sz w:val="20"/>
        </w:rPr>
        <w:t>Id.</w:t>
      </w:r>
      <w:r w:rsidR="000B735F" w:rsidRPr="003C3035">
        <w:rPr>
          <w:sz w:val="20"/>
        </w:rPr>
        <w:t xml:space="preserve"> at 10491, para. 7 n.21.</w:t>
      </w:r>
    </w:p>
  </w:footnote>
  <w:footnote w:id="5">
    <w:p w:rsidR="004A5553" w:rsidRPr="003C3035" w:rsidRDefault="004A5553" w:rsidP="004A5553">
      <w:pPr>
        <w:pStyle w:val="FootnoteText"/>
        <w:rPr>
          <w:i/>
          <w:iCs/>
          <w:sz w:val="20"/>
        </w:rPr>
      </w:pPr>
      <w:r w:rsidRPr="003C3035">
        <w:rPr>
          <w:rStyle w:val="FootnoteReference"/>
          <w:sz w:val="20"/>
        </w:rPr>
        <w:footnoteRef/>
      </w:r>
      <w:r w:rsidRPr="003C3035">
        <w:rPr>
          <w:sz w:val="20"/>
        </w:rPr>
        <w:t xml:space="preserve"> 47 C.F.R. §§ 1.1200 </w:t>
      </w:r>
      <w:r w:rsidRPr="003C3035">
        <w:rPr>
          <w:i/>
          <w:iCs/>
          <w:sz w:val="20"/>
        </w:rPr>
        <w:t>et seq.</w:t>
      </w:r>
    </w:p>
  </w:footnote>
  <w:footnote w:id="6">
    <w:p w:rsidR="004A5553" w:rsidRPr="003C3035" w:rsidRDefault="004A5553" w:rsidP="004A5553">
      <w:pPr>
        <w:pStyle w:val="FootnoteText"/>
        <w:rPr>
          <w:sz w:val="20"/>
        </w:rPr>
      </w:pPr>
      <w:r w:rsidRPr="003C3035">
        <w:rPr>
          <w:rStyle w:val="FootnoteReference"/>
          <w:sz w:val="20"/>
        </w:rPr>
        <w:footnoteRef/>
      </w:r>
      <w:r w:rsidRPr="003C3035">
        <w:rPr>
          <w:sz w:val="20"/>
        </w:rPr>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8" w:rsidRDefault="00E91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8" w:rsidRDefault="00E91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E95F5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E95F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771ABA84"/>
    <w:lvl w:ilvl="0">
      <w:start w:val="1"/>
      <w:numFmt w:val="decimal"/>
      <w:pStyle w:val="ParaNum0"/>
      <w:lvlText w:val="%1."/>
      <w:lvlJc w:val="left"/>
      <w:pPr>
        <w:tabs>
          <w:tab w:val="num" w:pos="1620"/>
        </w:tabs>
        <w:ind w:firstLine="720"/>
      </w:pPr>
      <w:rPr>
        <w:rFonts w:ascii="Times New Roman" w:hAnsi="Times New Roman" w:cs="Times New Roman" w:hint="default"/>
        <w:i w:val="0"/>
        <w:sz w:val="22"/>
        <w:szCs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14CDA"/>
    <w:rsid w:val="0001631E"/>
    <w:rsid w:val="000265AE"/>
    <w:rsid w:val="000568F3"/>
    <w:rsid w:val="00056CCB"/>
    <w:rsid w:val="000778B3"/>
    <w:rsid w:val="000B735F"/>
    <w:rsid w:val="000D787A"/>
    <w:rsid w:val="000D7B12"/>
    <w:rsid w:val="000E34E9"/>
    <w:rsid w:val="00135357"/>
    <w:rsid w:val="00152F15"/>
    <w:rsid w:val="001C7A6C"/>
    <w:rsid w:val="002161D6"/>
    <w:rsid w:val="00263E0E"/>
    <w:rsid w:val="002902AD"/>
    <w:rsid w:val="0029712B"/>
    <w:rsid w:val="002A4BF7"/>
    <w:rsid w:val="002D0DD1"/>
    <w:rsid w:val="002F4DD0"/>
    <w:rsid w:val="00307264"/>
    <w:rsid w:val="003118E8"/>
    <w:rsid w:val="00344CB9"/>
    <w:rsid w:val="003B7AD0"/>
    <w:rsid w:val="003C3035"/>
    <w:rsid w:val="00416689"/>
    <w:rsid w:val="004432E2"/>
    <w:rsid w:val="00455AF1"/>
    <w:rsid w:val="0047492A"/>
    <w:rsid w:val="004A5553"/>
    <w:rsid w:val="004A5651"/>
    <w:rsid w:val="004A5BC2"/>
    <w:rsid w:val="004A7D9D"/>
    <w:rsid w:val="004B7607"/>
    <w:rsid w:val="00524DCE"/>
    <w:rsid w:val="00551F10"/>
    <w:rsid w:val="005631D9"/>
    <w:rsid w:val="00584B9A"/>
    <w:rsid w:val="0059274F"/>
    <w:rsid w:val="005C4A2A"/>
    <w:rsid w:val="005F306D"/>
    <w:rsid w:val="00602577"/>
    <w:rsid w:val="00621671"/>
    <w:rsid w:val="0068101B"/>
    <w:rsid w:val="00687CE5"/>
    <w:rsid w:val="00695024"/>
    <w:rsid w:val="006B2508"/>
    <w:rsid w:val="006B4E67"/>
    <w:rsid w:val="006D1A29"/>
    <w:rsid w:val="0078775F"/>
    <w:rsid w:val="007A011E"/>
    <w:rsid w:val="007B0381"/>
    <w:rsid w:val="007C1733"/>
    <w:rsid w:val="00810C0F"/>
    <w:rsid w:val="00885832"/>
    <w:rsid w:val="008A1F07"/>
    <w:rsid w:val="008B570A"/>
    <w:rsid w:val="008D623B"/>
    <w:rsid w:val="008E245E"/>
    <w:rsid w:val="008E4711"/>
    <w:rsid w:val="00925B36"/>
    <w:rsid w:val="00961DF5"/>
    <w:rsid w:val="009960E8"/>
    <w:rsid w:val="009C7E0B"/>
    <w:rsid w:val="009D2351"/>
    <w:rsid w:val="009F4313"/>
    <w:rsid w:val="00A2722B"/>
    <w:rsid w:val="00A42B8F"/>
    <w:rsid w:val="00A64B56"/>
    <w:rsid w:val="00AC39F9"/>
    <w:rsid w:val="00AF53D2"/>
    <w:rsid w:val="00B22D4C"/>
    <w:rsid w:val="00B51A6A"/>
    <w:rsid w:val="00B5732B"/>
    <w:rsid w:val="00B64CAE"/>
    <w:rsid w:val="00BF0A30"/>
    <w:rsid w:val="00C6690A"/>
    <w:rsid w:val="00C726FA"/>
    <w:rsid w:val="00C87AB0"/>
    <w:rsid w:val="00CD3754"/>
    <w:rsid w:val="00CE5C8A"/>
    <w:rsid w:val="00D17DC0"/>
    <w:rsid w:val="00D60EFF"/>
    <w:rsid w:val="00D62FBC"/>
    <w:rsid w:val="00D91E30"/>
    <w:rsid w:val="00D94ACC"/>
    <w:rsid w:val="00DD31AC"/>
    <w:rsid w:val="00E17FC0"/>
    <w:rsid w:val="00E243D8"/>
    <w:rsid w:val="00E24A31"/>
    <w:rsid w:val="00E24C87"/>
    <w:rsid w:val="00E70BCF"/>
    <w:rsid w:val="00E915A8"/>
    <w:rsid w:val="00E94DC4"/>
    <w:rsid w:val="00E95F5F"/>
    <w:rsid w:val="00ED68D1"/>
    <w:rsid w:val="00EF12A0"/>
    <w:rsid w:val="00F02819"/>
    <w:rsid w:val="00F30C37"/>
    <w:rsid w:val="00F33A3A"/>
    <w:rsid w:val="00F42645"/>
    <w:rsid w:val="00F57A16"/>
    <w:rsid w:val="00FC2CE7"/>
    <w:rsid w:val="00FD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4A5553"/>
    <w:pPr>
      <w:widowControl w:val="0"/>
      <w:numPr>
        <w:numId w:val="13"/>
      </w:numPr>
      <w:spacing w:after="120"/>
    </w:pPr>
    <w:rPr>
      <w:kern w:val="28"/>
      <w:lang w:eastAsia="ja-JP"/>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4A5553"/>
    <w:rPr>
      <w:sz w:val="22"/>
    </w:rPr>
  </w:style>
  <w:style w:type="character" w:customStyle="1" w:styleId="ParaNumChar">
    <w:name w:val="ParaNum Char"/>
    <w:link w:val="ParaNum0"/>
    <w:locked/>
    <w:rsid w:val="004A5553"/>
    <w:rPr>
      <w:kern w:val="28"/>
      <w:sz w:val="22"/>
      <w:lang w:eastAsia="ja-JP"/>
    </w:rPr>
  </w:style>
  <w:style w:type="character" w:styleId="CommentReference">
    <w:name w:val="annotation reference"/>
    <w:basedOn w:val="DefaultParagraphFont"/>
    <w:uiPriority w:val="99"/>
    <w:semiHidden/>
    <w:unhideWhenUsed/>
    <w:rsid w:val="002A4BF7"/>
    <w:rPr>
      <w:sz w:val="16"/>
      <w:szCs w:val="16"/>
    </w:rPr>
  </w:style>
  <w:style w:type="paragraph" w:styleId="CommentText">
    <w:name w:val="annotation text"/>
    <w:basedOn w:val="Normal"/>
    <w:link w:val="CommentTextChar"/>
    <w:uiPriority w:val="99"/>
    <w:semiHidden/>
    <w:unhideWhenUsed/>
    <w:rsid w:val="002A4BF7"/>
    <w:rPr>
      <w:sz w:val="20"/>
    </w:rPr>
  </w:style>
  <w:style w:type="character" w:customStyle="1" w:styleId="CommentTextChar">
    <w:name w:val="Comment Text Char"/>
    <w:basedOn w:val="DefaultParagraphFont"/>
    <w:link w:val="CommentText"/>
    <w:uiPriority w:val="99"/>
    <w:semiHidden/>
    <w:rsid w:val="002A4BF7"/>
  </w:style>
  <w:style w:type="paragraph" w:styleId="CommentSubject">
    <w:name w:val="annotation subject"/>
    <w:basedOn w:val="CommentText"/>
    <w:next w:val="CommentText"/>
    <w:link w:val="CommentSubjectChar"/>
    <w:uiPriority w:val="99"/>
    <w:semiHidden/>
    <w:unhideWhenUsed/>
    <w:rsid w:val="002A4BF7"/>
    <w:rPr>
      <w:b/>
      <w:bCs/>
    </w:rPr>
  </w:style>
  <w:style w:type="character" w:customStyle="1" w:styleId="CommentSubjectChar">
    <w:name w:val="Comment Subject Char"/>
    <w:basedOn w:val="CommentTextChar"/>
    <w:link w:val="CommentSubject"/>
    <w:uiPriority w:val="99"/>
    <w:semiHidden/>
    <w:rsid w:val="002A4BF7"/>
    <w:rPr>
      <w:b/>
      <w:bCs/>
    </w:rPr>
  </w:style>
  <w:style w:type="paragraph" w:styleId="BalloonText">
    <w:name w:val="Balloon Text"/>
    <w:basedOn w:val="Normal"/>
    <w:link w:val="BalloonTextChar"/>
    <w:uiPriority w:val="99"/>
    <w:semiHidden/>
    <w:unhideWhenUsed/>
    <w:rsid w:val="002A4BF7"/>
    <w:rPr>
      <w:rFonts w:ascii="Tahoma" w:hAnsi="Tahoma" w:cs="Tahoma"/>
      <w:sz w:val="16"/>
      <w:szCs w:val="16"/>
    </w:rPr>
  </w:style>
  <w:style w:type="character" w:customStyle="1" w:styleId="BalloonTextChar">
    <w:name w:val="Balloon Text Char"/>
    <w:basedOn w:val="DefaultParagraphFont"/>
    <w:link w:val="BalloonText"/>
    <w:uiPriority w:val="99"/>
    <w:semiHidden/>
    <w:rsid w:val="002A4BF7"/>
    <w:rPr>
      <w:rFonts w:ascii="Tahoma" w:hAnsi="Tahoma" w:cs="Tahoma"/>
      <w:sz w:val="16"/>
      <w:szCs w:val="16"/>
    </w:rPr>
  </w:style>
  <w:style w:type="paragraph" w:styleId="Revision">
    <w:name w:val="Revision"/>
    <w:hidden/>
    <w:uiPriority w:val="99"/>
    <w:semiHidden/>
    <w:rsid w:val="006B2508"/>
    <w:rPr>
      <w:sz w:val="22"/>
    </w:rPr>
  </w:style>
  <w:style w:type="character" w:customStyle="1" w:styleId="FooterChar">
    <w:name w:val="Footer Char"/>
    <w:basedOn w:val="DefaultParagraphFont"/>
    <w:link w:val="Footer"/>
    <w:uiPriority w:val="99"/>
    <w:rsid w:val="0047492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4A5553"/>
    <w:pPr>
      <w:widowControl w:val="0"/>
      <w:numPr>
        <w:numId w:val="13"/>
      </w:numPr>
      <w:spacing w:after="120"/>
    </w:pPr>
    <w:rPr>
      <w:kern w:val="28"/>
      <w:lang w:eastAsia="ja-JP"/>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locked/>
    <w:rsid w:val="004A5553"/>
    <w:rPr>
      <w:sz w:val="22"/>
    </w:rPr>
  </w:style>
  <w:style w:type="character" w:customStyle="1" w:styleId="ParaNumChar">
    <w:name w:val="ParaNum Char"/>
    <w:link w:val="ParaNum0"/>
    <w:locked/>
    <w:rsid w:val="004A5553"/>
    <w:rPr>
      <w:kern w:val="28"/>
      <w:sz w:val="22"/>
      <w:lang w:eastAsia="ja-JP"/>
    </w:rPr>
  </w:style>
  <w:style w:type="character" w:styleId="CommentReference">
    <w:name w:val="annotation reference"/>
    <w:basedOn w:val="DefaultParagraphFont"/>
    <w:uiPriority w:val="99"/>
    <w:semiHidden/>
    <w:unhideWhenUsed/>
    <w:rsid w:val="002A4BF7"/>
    <w:rPr>
      <w:sz w:val="16"/>
      <w:szCs w:val="16"/>
    </w:rPr>
  </w:style>
  <w:style w:type="paragraph" w:styleId="CommentText">
    <w:name w:val="annotation text"/>
    <w:basedOn w:val="Normal"/>
    <w:link w:val="CommentTextChar"/>
    <w:uiPriority w:val="99"/>
    <w:semiHidden/>
    <w:unhideWhenUsed/>
    <w:rsid w:val="002A4BF7"/>
    <w:rPr>
      <w:sz w:val="20"/>
    </w:rPr>
  </w:style>
  <w:style w:type="character" w:customStyle="1" w:styleId="CommentTextChar">
    <w:name w:val="Comment Text Char"/>
    <w:basedOn w:val="DefaultParagraphFont"/>
    <w:link w:val="CommentText"/>
    <w:uiPriority w:val="99"/>
    <w:semiHidden/>
    <w:rsid w:val="002A4BF7"/>
  </w:style>
  <w:style w:type="paragraph" w:styleId="CommentSubject">
    <w:name w:val="annotation subject"/>
    <w:basedOn w:val="CommentText"/>
    <w:next w:val="CommentText"/>
    <w:link w:val="CommentSubjectChar"/>
    <w:uiPriority w:val="99"/>
    <w:semiHidden/>
    <w:unhideWhenUsed/>
    <w:rsid w:val="002A4BF7"/>
    <w:rPr>
      <w:b/>
      <w:bCs/>
    </w:rPr>
  </w:style>
  <w:style w:type="character" w:customStyle="1" w:styleId="CommentSubjectChar">
    <w:name w:val="Comment Subject Char"/>
    <w:basedOn w:val="CommentTextChar"/>
    <w:link w:val="CommentSubject"/>
    <w:uiPriority w:val="99"/>
    <w:semiHidden/>
    <w:rsid w:val="002A4BF7"/>
    <w:rPr>
      <w:b/>
      <w:bCs/>
    </w:rPr>
  </w:style>
  <w:style w:type="paragraph" w:styleId="BalloonText">
    <w:name w:val="Balloon Text"/>
    <w:basedOn w:val="Normal"/>
    <w:link w:val="BalloonTextChar"/>
    <w:uiPriority w:val="99"/>
    <w:semiHidden/>
    <w:unhideWhenUsed/>
    <w:rsid w:val="002A4BF7"/>
    <w:rPr>
      <w:rFonts w:ascii="Tahoma" w:hAnsi="Tahoma" w:cs="Tahoma"/>
      <w:sz w:val="16"/>
      <w:szCs w:val="16"/>
    </w:rPr>
  </w:style>
  <w:style w:type="character" w:customStyle="1" w:styleId="BalloonTextChar">
    <w:name w:val="Balloon Text Char"/>
    <w:basedOn w:val="DefaultParagraphFont"/>
    <w:link w:val="BalloonText"/>
    <w:uiPriority w:val="99"/>
    <w:semiHidden/>
    <w:rsid w:val="002A4BF7"/>
    <w:rPr>
      <w:rFonts w:ascii="Tahoma" w:hAnsi="Tahoma" w:cs="Tahoma"/>
      <w:sz w:val="16"/>
      <w:szCs w:val="16"/>
    </w:rPr>
  </w:style>
  <w:style w:type="paragraph" w:styleId="Revision">
    <w:name w:val="Revision"/>
    <w:hidden/>
    <w:uiPriority w:val="99"/>
    <w:semiHidden/>
    <w:rsid w:val="006B2508"/>
    <w:rPr>
      <w:sz w:val="22"/>
    </w:rPr>
  </w:style>
  <w:style w:type="character" w:customStyle="1" w:styleId="FooterChar">
    <w:name w:val="Footer Char"/>
    <w:basedOn w:val="DefaultParagraphFont"/>
    <w:link w:val="Footer"/>
    <w:uiPriority w:val="99"/>
    <w:rsid w:val="0047492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Heidi.Lankau@fc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fcc504@fcc.gov" TargetMode="External"/><Relationship Id="rId2" Type="http://schemas.openxmlformats.org/officeDocument/2006/relationships/numbering" Target="numbering.xml"/><Relationship Id="rId16" Type="http://schemas.openxmlformats.org/officeDocument/2006/relationships/hyperlink" Target="https://apps.fcc.gov/edocs_public/attachmatch/DA-15-243A3.xlsx"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pps.fcc.gov/edocs_public/attachmatch/DA-15-243A2.xlsx"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3944</Characters>
  <Application>Microsoft Office Word</Application>
  <DocSecurity>0</DocSecurity>
  <Lines>58</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2015-01-27T17:05:00Z</cp:lastPrinted>
  <dcterms:created xsi:type="dcterms:W3CDTF">2015-02-23T20:24:00Z</dcterms:created>
  <dcterms:modified xsi:type="dcterms:W3CDTF">2015-02-23T20:24:00Z</dcterms:modified>
  <cp:category> </cp:category>
  <cp:contentStatus> </cp:contentStatus>
</cp:coreProperties>
</file>