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09" w:rsidRDefault="00A26209" w:rsidP="00E674C3">
      <w:pPr>
        <w:jc w:val="center"/>
        <w:rPr>
          <w:b/>
          <w:szCs w:val="22"/>
        </w:rPr>
      </w:pPr>
      <w:bookmarkStart w:id="0" w:name="_GoBack"/>
      <w:bookmarkEnd w:id="0"/>
    </w:p>
    <w:p w:rsidR="00F013EA" w:rsidRPr="00077DF2" w:rsidRDefault="00F013EA" w:rsidP="00E674C3">
      <w:pPr>
        <w:jc w:val="center"/>
        <w:rPr>
          <w:b/>
          <w:szCs w:val="22"/>
        </w:rPr>
      </w:pPr>
      <w:r w:rsidRPr="00077DF2">
        <w:rPr>
          <w:b/>
          <w:szCs w:val="22"/>
        </w:rPr>
        <w:t>Before the</w:t>
      </w:r>
    </w:p>
    <w:p w:rsidR="00F013EA" w:rsidRPr="00077DF2" w:rsidRDefault="00F013EA" w:rsidP="00E674C3">
      <w:pPr>
        <w:jc w:val="center"/>
        <w:rPr>
          <w:b/>
          <w:szCs w:val="22"/>
        </w:rPr>
      </w:pPr>
      <w:r w:rsidRPr="00077DF2">
        <w:rPr>
          <w:b/>
          <w:szCs w:val="22"/>
        </w:rPr>
        <w:t>Federal Communications Commission</w:t>
      </w:r>
    </w:p>
    <w:p w:rsidR="00F013EA" w:rsidRPr="00077DF2" w:rsidRDefault="00F013EA" w:rsidP="00E674C3">
      <w:pPr>
        <w:jc w:val="center"/>
        <w:rPr>
          <w:b/>
          <w:szCs w:val="22"/>
        </w:rPr>
      </w:pPr>
      <w:r w:rsidRPr="00077DF2">
        <w:rPr>
          <w:b/>
          <w:szCs w:val="22"/>
        </w:rPr>
        <w:t>Washington, D.C. 20554</w:t>
      </w:r>
    </w:p>
    <w:p w:rsidR="00F013EA" w:rsidRPr="00077DF2" w:rsidRDefault="00F013EA" w:rsidP="00E674C3">
      <w:pPr>
        <w:rPr>
          <w:szCs w:val="22"/>
        </w:rPr>
      </w:pPr>
    </w:p>
    <w:p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tc>
          <w:tcPr>
            <w:tcW w:w="4698" w:type="dxa"/>
          </w:tcPr>
          <w:p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rsidR="00F013EA" w:rsidRPr="00077DF2" w:rsidRDefault="00F013EA" w:rsidP="00E674C3">
            <w:pPr>
              <w:ind w:right="-18"/>
              <w:rPr>
                <w:szCs w:val="22"/>
              </w:rPr>
            </w:pPr>
          </w:p>
          <w:p w:rsidR="00F013EA" w:rsidRPr="00077DF2" w:rsidRDefault="00F74A10" w:rsidP="00E674C3">
            <w:pPr>
              <w:ind w:right="-18"/>
              <w:rPr>
                <w:szCs w:val="22"/>
              </w:rPr>
            </w:pPr>
            <w:r>
              <w:rPr>
                <w:szCs w:val="22"/>
              </w:rPr>
              <w:t>SJTV LLC</w:t>
            </w:r>
            <w:r w:rsidR="00687925" w:rsidRPr="00077DF2">
              <w:rPr>
                <w:szCs w:val="22"/>
              </w:rPr>
              <w:t xml:space="preserve"> </w:t>
            </w:r>
          </w:p>
          <w:p w:rsidR="00F013EA" w:rsidRPr="00077DF2" w:rsidRDefault="00F013EA" w:rsidP="00E674C3">
            <w:pPr>
              <w:ind w:right="-18"/>
              <w:rPr>
                <w:szCs w:val="22"/>
              </w:rPr>
            </w:pPr>
          </w:p>
          <w:p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p>
        </w:tc>
        <w:tc>
          <w:tcPr>
            <w:tcW w:w="4230" w:type="dxa"/>
          </w:tcPr>
          <w:p w:rsidR="00F013EA" w:rsidRPr="00077DF2" w:rsidRDefault="00F013EA" w:rsidP="00E674C3">
            <w:pPr>
              <w:rPr>
                <w:szCs w:val="22"/>
              </w:rPr>
            </w:pPr>
          </w:p>
          <w:p w:rsidR="00F013EA" w:rsidRPr="00077DF2" w:rsidRDefault="00F013EA" w:rsidP="00E674C3">
            <w:pPr>
              <w:rPr>
                <w:szCs w:val="22"/>
              </w:rPr>
            </w:pPr>
          </w:p>
          <w:p w:rsidR="00F013EA" w:rsidRDefault="003F6021" w:rsidP="00E674C3">
            <w:pPr>
              <w:rPr>
                <w:spacing w:val="-2"/>
                <w:szCs w:val="22"/>
              </w:rPr>
            </w:pPr>
            <w:r>
              <w:rPr>
                <w:spacing w:val="-2"/>
                <w:szCs w:val="22"/>
              </w:rPr>
              <w:t>CGB-CC-122</w:t>
            </w:r>
            <w:r w:rsidR="00205193">
              <w:rPr>
                <w:spacing w:val="-2"/>
                <w:szCs w:val="22"/>
              </w:rPr>
              <w:t>6</w:t>
            </w:r>
          </w:p>
          <w:p w:rsidR="002F48FF" w:rsidRPr="00077DF2" w:rsidRDefault="002F48FF" w:rsidP="00E674C3">
            <w:pPr>
              <w:rPr>
                <w:szCs w:val="22"/>
              </w:rPr>
            </w:pPr>
          </w:p>
          <w:p w:rsidR="00F013EA" w:rsidRPr="00077DF2" w:rsidRDefault="00F013EA" w:rsidP="00E674C3">
            <w:pPr>
              <w:rPr>
                <w:spacing w:val="-2"/>
                <w:szCs w:val="22"/>
              </w:rPr>
            </w:pPr>
            <w:r w:rsidRPr="00077DF2">
              <w:rPr>
                <w:spacing w:val="-2"/>
                <w:szCs w:val="22"/>
              </w:rPr>
              <w:t>CG Docket No. 06-181</w:t>
            </w:r>
          </w:p>
          <w:p w:rsidR="00F013EA" w:rsidRPr="00077DF2" w:rsidRDefault="00F013EA" w:rsidP="00E674C3">
            <w:pPr>
              <w:rPr>
                <w:spacing w:val="-2"/>
                <w:szCs w:val="22"/>
              </w:rPr>
            </w:pPr>
          </w:p>
          <w:p w:rsidR="00F013EA" w:rsidRPr="00077DF2" w:rsidRDefault="00F013EA" w:rsidP="00E674C3">
            <w:pPr>
              <w:rPr>
                <w:szCs w:val="22"/>
              </w:rPr>
            </w:pPr>
          </w:p>
        </w:tc>
      </w:tr>
    </w:tbl>
    <w:p w:rsidR="00F013EA" w:rsidRPr="00077DF2" w:rsidRDefault="00F013EA" w:rsidP="00E674C3">
      <w:pPr>
        <w:spacing w:before="120"/>
        <w:jc w:val="center"/>
        <w:rPr>
          <w:b/>
          <w:szCs w:val="22"/>
        </w:rPr>
      </w:pPr>
      <w:r w:rsidRPr="00077DF2">
        <w:rPr>
          <w:b/>
          <w:spacing w:val="-2"/>
          <w:szCs w:val="22"/>
        </w:rPr>
        <w:t>MEMORANDUM OPINION AND ORDER</w:t>
      </w:r>
    </w:p>
    <w:p w:rsidR="00F013EA" w:rsidRPr="00077DF2" w:rsidRDefault="00F013EA" w:rsidP="00E674C3">
      <w:pPr>
        <w:rPr>
          <w:szCs w:val="22"/>
        </w:rPr>
      </w:pPr>
    </w:p>
    <w:p w:rsidR="00F013EA" w:rsidRPr="00077DF2" w:rsidRDefault="00F013EA" w:rsidP="00A211D7">
      <w:pPr>
        <w:tabs>
          <w:tab w:val="right" w:pos="9360"/>
        </w:tabs>
        <w:rPr>
          <w:b/>
          <w:szCs w:val="22"/>
        </w:rPr>
      </w:pPr>
      <w:r w:rsidRPr="00077DF2">
        <w:rPr>
          <w:b/>
          <w:szCs w:val="22"/>
        </w:rPr>
        <w:t xml:space="preserve">Adopted:  </w:t>
      </w:r>
      <w:r w:rsidR="0098516F">
        <w:rPr>
          <w:b/>
          <w:spacing w:val="-2"/>
          <w:szCs w:val="22"/>
        </w:rPr>
        <w:t>February 19, 2015</w:t>
      </w:r>
      <w:r w:rsidRPr="00077DF2">
        <w:rPr>
          <w:b/>
          <w:szCs w:val="22"/>
        </w:rPr>
        <w:tab/>
        <w:t xml:space="preserve">Released: </w:t>
      </w:r>
      <w:r w:rsidR="0098516F">
        <w:rPr>
          <w:b/>
          <w:szCs w:val="22"/>
        </w:rPr>
        <w:t xml:space="preserve"> February 19, 2015</w:t>
      </w:r>
    </w:p>
    <w:p w:rsidR="00F013EA" w:rsidRPr="00077DF2" w:rsidRDefault="00F013EA" w:rsidP="00E674C3">
      <w:pPr>
        <w:tabs>
          <w:tab w:val="left" w:pos="5760"/>
        </w:tabs>
        <w:rPr>
          <w:b/>
          <w:szCs w:val="22"/>
        </w:rPr>
      </w:pPr>
    </w:p>
    <w:p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rsidR="00F013EA" w:rsidRPr="00077DF2" w:rsidRDefault="00F013EA" w:rsidP="00E674C3">
      <w:pPr>
        <w:tabs>
          <w:tab w:val="left" w:pos="5760"/>
        </w:tabs>
        <w:rPr>
          <w:b/>
          <w:szCs w:val="22"/>
        </w:rPr>
      </w:pPr>
    </w:p>
    <w:p w:rsidR="00F013EA" w:rsidRPr="00077DF2" w:rsidRDefault="00F013EA" w:rsidP="00E674C3">
      <w:pPr>
        <w:rPr>
          <w:szCs w:val="22"/>
        </w:rPr>
      </w:pPr>
    </w:p>
    <w:p w:rsidR="00F013EA" w:rsidRPr="00077DF2" w:rsidRDefault="00F013EA" w:rsidP="00D37256">
      <w:pPr>
        <w:pStyle w:val="Heading1"/>
        <w:keepNext w:val="0"/>
        <w:widowControl/>
        <w:spacing w:after="120"/>
        <w:jc w:val="left"/>
        <w:rPr>
          <w:b w:val="0"/>
          <w:szCs w:val="22"/>
        </w:rPr>
      </w:pPr>
      <w:r w:rsidRPr="00077DF2">
        <w:rPr>
          <w:szCs w:val="22"/>
        </w:rPr>
        <w:t>INTRODUCTION</w:t>
      </w:r>
    </w:p>
    <w:p w:rsidR="00F013EA" w:rsidRPr="00077DF2" w:rsidRDefault="00F013EA" w:rsidP="00004DEF">
      <w:pPr>
        <w:pStyle w:val="ParaNum"/>
        <w:widowControl/>
        <w:tabs>
          <w:tab w:val="clear" w:pos="1080"/>
        </w:tabs>
        <w:spacing w:after="120"/>
        <w:jc w:val="left"/>
        <w:rPr>
          <w:szCs w:val="22"/>
        </w:rPr>
      </w:pPr>
      <w:r w:rsidRPr="00077DF2">
        <w:rPr>
          <w:szCs w:val="22"/>
        </w:rPr>
        <w:t xml:space="preserve">In </w:t>
      </w:r>
      <w:r w:rsidR="005355AF" w:rsidRPr="00077DF2">
        <w:rPr>
          <w:szCs w:val="22"/>
        </w:rPr>
        <w:t xml:space="preserve">this Memorandum Opinion and Order (Order), we address a petition filed by </w:t>
      </w:r>
      <w:r w:rsidR="00F74A10">
        <w:rPr>
          <w:szCs w:val="22"/>
        </w:rPr>
        <w:t>SJTV LLC</w:t>
      </w:r>
      <w:r w:rsidR="00F7634D" w:rsidRPr="00077DF2">
        <w:rPr>
          <w:szCs w:val="22"/>
        </w:rPr>
        <w:t xml:space="preserve"> (</w:t>
      </w:r>
      <w:r w:rsidR="00F74A10">
        <w:rPr>
          <w:szCs w:val="22"/>
        </w:rPr>
        <w:t>SJTV</w:t>
      </w:r>
      <w:r w:rsidR="00F7634D" w:rsidRPr="00077DF2">
        <w:rPr>
          <w:szCs w:val="22"/>
        </w:rPr>
        <w:t>)</w:t>
      </w:r>
      <w:r w:rsidR="005355AF" w:rsidRPr="00077DF2">
        <w:rPr>
          <w:szCs w:val="22"/>
        </w:rPr>
        <w:t xml:space="preserve"> for an 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205193">
        <w:rPr>
          <w:i/>
          <w:szCs w:val="22"/>
        </w:rPr>
        <w:t>CNY’s Open House</w:t>
      </w:r>
      <w:r w:rsidR="005355AF" w:rsidRPr="00077DF2">
        <w:rPr>
          <w:szCs w:val="22"/>
        </w:rPr>
        <w:t>.</w:t>
      </w:r>
      <w:r w:rsidR="001963EB" w:rsidRPr="00077DF2">
        <w:rPr>
          <w:szCs w:val="22"/>
        </w:rPr>
        <w:t xml:space="preserve"> </w:t>
      </w:r>
      <w:r w:rsidR="00431F3D">
        <w:rPr>
          <w:szCs w:val="22"/>
        </w:rPr>
        <w:t xml:space="preserve"> </w:t>
      </w:r>
      <w:r w:rsidR="005355AF" w:rsidRPr="00077DF2">
        <w:rPr>
          <w:szCs w:val="22"/>
        </w:rPr>
        <w:t xml:space="preserve">Because </w:t>
      </w:r>
      <w:r w:rsidR="00AE58C1" w:rsidRPr="00077DF2">
        <w:rPr>
          <w:szCs w:val="22"/>
        </w:rPr>
        <w:t xml:space="preserve">we conclude that </w:t>
      </w:r>
      <w:r w:rsidR="00BE3E62">
        <w:rPr>
          <w:szCs w:val="22"/>
        </w:rPr>
        <w:t>SJTV</w:t>
      </w:r>
      <w:r w:rsidR="00BE3E62" w:rsidRPr="00077DF2">
        <w:rPr>
          <w:szCs w:val="22"/>
        </w:rPr>
        <w:t xml:space="preserve"> </w:t>
      </w:r>
      <w:r w:rsidR="005355AF" w:rsidRPr="00077DF2">
        <w:rPr>
          <w:szCs w:val="22"/>
        </w:rPr>
        <w:t>has demonstrate</w:t>
      </w:r>
      <w:r w:rsidR="00C71844" w:rsidRPr="00077DF2">
        <w:rPr>
          <w:szCs w:val="22"/>
        </w:rPr>
        <w:t>d</w:t>
      </w:r>
      <w:r w:rsidR="005355AF" w:rsidRPr="00077DF2">
        <w:rPr>
          <w:szCs w:val="22"/>
        </w:rPr>
        <w:t xml:space="preserve"> that its compliance with the Commission’s closed captioning requirements would be economically burdensome</w:t>
      </w:r>
      <w:r w:rsidR="000701B3">
        <w:rPr>
          <w:szCs w:val="22"/>
        </w:rPr>
        <w:t xml:space="preserve"> to it</w:t>
      </w:r>
      <w:r w:rsidR="005355AF" w:rsidRPr="00077DF2">
        <w:rPr>
          <w:szCs w:val="22"/>
        </w:rPr>
        <w:t>,</w:t>
      </w:r>
      <w:r w:rsidR="001E4BA2" w:rsidRPr="001E4BA2">
        <w:rPr>
          <w:szCs w:val="22"/>
        </w:rPr>
        <w:t xml:space="preserve"> </w:t>
      </w:r>
      <w:r w:rsidR="001E4BA2" w:rsidRPr="00F0277B">
        <w:rPr>
          <w:szCs w:val="22"/>
        </w:rPr>
        <w:t xml:space="preserve">we </w:t>
      </w:r>
      <w:r w:rsidR="00A26209">
        <w:rPr>
          <w:szCs w:val="22"/>
        </w:rPr>
        <w:t xml:space="preserve">grant it a temporary exemption for its program, </w:t>
      </w:r>
      <w:r w:rsidR="00A26209">
        <w:rPr>
          <w:i/>
          <w:szCs w:val="22"/>
        </w:rPr>
        <w:t xml:space="preserve">CNY’s Open </w:t>
      </w:r>
      <w:r w:rsidR="00A26209" w:rsidRPr="00A26209">
        <w:rPr>
          <w:i/>
          <w:szCs w:val="22"/>
        </w:rPr>
        <w:t>House</w:t>
      </w:r>
      <w:r w:rsidR="00A26209">
        <w:rPr>
          <w:szCs w:val="22"/>
        </w:rPr>
        <w:t xml:space="preserve">, for a period of two years from the date of the release of this Order.  </w:t>
      </w:r>
      <w:r w:rsidR="00A26209">
        <w:rPr>
          <w:i/>
          <w:szCs w:val="22"/>
        </w:rPr>
        <w:t xml:space="preserve">CNY’s Open House </w:t>
      </w:r>
      <w:r w:rsidR="00A26209">
        <w:rPr>
          <w:szCs w:val="22"/>
        </w:rPr>
        <w:t xml:space="preserve">must be closed captioned no later than the end of the two year temporary exemption, which is </w:t>
      </w:r>
      <w:r w:rsidR="00A46F2E">
        <w:rPr>
          <w:szCs w:val="22"/>
        </w:rPr>
        <w:t>February 21, 2017</w:t>
      </w:r>
      <w:r w:rsidR="00A26209">
        <w:rPr>
          <w:szCs w:val="22"/>
        </w:rPr>
        <w:t>.</w:t>
      </w:r>
      <w:r w:rsidR="001E4BA2" w:rsidRPr="00F0277B">
        <w:rPr>
          <w:szCs w:val="22"/>
        </w:rPr>
        <w:t xml:space="preserve">  </w:t>
      </w:r>
    </w:p>
    <w:p w:rsidR="005A0A3C" w:rsidRPr="00077DF2" w:rsidRDefault="005A0A3C">
      <w:pPr>
        <w:pStyle w:val="Heading1"/>
        <w:keepNext w:val="0"/>
        <w:widowControl/>
        <w:spacing w:after="120"/>
        <w:jc w:val="left"/>
        <w:rPr>
          <w:szCs w:val="22"/>
        </w:rPr>
      </w:pPr>
      <w:r w:rsidRPr="00077DF2">
        <w:rPr>
          <w:szCs w:val="22"/>
        </w:rPr>
        <w:t>Background</w:t>
      </w:r>
    </w:p>
    <w:p w:rsidR="00AE5834" w:rsidRPr="00101734" w:rsidRDefault="00AE5834">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sidR="00EB1FE2">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sidR="0075595F">
        <w:rPr>
          <w:szCs w:val="22"/>
        </w:rPr>
        <w:t xml:space="preserve"> </w:t>
      </w:r>
      <w:r w:rsidR="002F48FF">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rsidR="00AE5834" w:rsidRDefault="00AE5834">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rsidR="00E07473" w:rsidRPr="00101734" w:rsidRDefault="00E07473" w:rsidP="00172786">
      <w:pPr>
        <w:pStyle w:val="ParaNum"/>
        <w:numPr>
          <w:ilvl w:val="0"/>
          <w:numId w:val="0"/>
        </w:numPr>
        <w:spacing w:after="120"/>
        <w:ind w:firstLine="720"/>
        <w:jc w:val="left"/>
        <w:rPr>
          <w:szCs w:val="22"/>
        </w:rPr>
      </w:pPr>
    </w:p>
    <w:p w:rsidR="00AE5834" w:rsidRPr="00101734" w:rsidRDefault="00AE5834">
      <w:pPr>
        <w:pStyle w:val="ParaNum"/>
        <w:widowControl/>
        <w:tabs>
          <w:tab w:val="clear" w:pos="1080"/>
        </w:tabs>
        <w:spacing w:after="120"/>
        <w:jc w:val="left"/>
        <w:rPr>
          <w:szCs w:val="22"/>
        </w:rPr>
      </w:pPr>
      <w:r w:rsidRPr="00101734">
        <w:rPr>
          <w:szCs w:val="22"/>
        </w:rPr>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rsidR="00AE5834" w:rsidRPr="00101734" w:rsidRDefault="00AE5834">
      <w:pPr>
        <w:numPr>
          <w:ilvl w:val="0"/>
          <w:numId w:val="22"/>
        </w:numPr>
        <w:spacing w:after="120"/>
        <w:rPr>
          <w:szCs w:val="22"/>
        </w:rPr>
      </w:pPr>
      <w:r w:rsidRPr="00101734">
        <w:rPr>
          <w:snapToGrid w:val="0"/>
          <w:kern w:val="28"/>
          <w:szCs w:val="22"/>
        </w:rPr>
        <w:t>the name of the programming (or channel of programming) for which an exemption is requested;</w:t>
      </w:r>
    </w:p>
    <w:p w:rsidR="00AE5834" w:rsidRPr="00101734" w:rsidRDefault="00AE5834">
      <w:pPr>
        <w:numPr>
          <w:ilvl w:val="0"/>
          <w:numId w:val="22"/>
        </w:numPr>
        <w:spacing w:after="120"/>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rsidR="00AE5834" w:rsidRPr="00101734" w:rsidRDefault="00AE5834">
      <w:pPr>
        <w:numPr>
          <w:ilvl w:val="0"/>
          <w:numId w:val="22"/>
        </w:numPr>
        <w:spacing w:after="120"/>
        <w:rPr>
          <w:szCs w:val="22"/>
        </w:rPr>
      </w:pPr>
      <w:r w:rsidRPr="00101734">
        <w:rPr>
          <w:snapToGrid w:val="0"/>
          <w:kern w:val="28"/>
          <w:szCs w:val="22"/>
        </w:rPr>
        <w:t xml:space="preserve">an explanation of the impact that having to provide closed captioning will have on the petitioner’s programming activities; </w:t>
      </w:r>
    </w:p>
    <w:p w:rsidR="00AE5834" w:rsidRPr="00101734" w:rsidRDefault="00AE5834">
      <w:pPr>
        <w:numPr>
          <w:ilvl w:val="0"/>
          <w:numId w:val="22"/>
        </w:numPr>
        <w:spacing w:after="120"/>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rsidR="00AE5834" w:rsidRPr="00101734" w:rsidRDefault="00AE5834">
      <w:pPr>
        <w:numPr>
          <w:ilvl w:val="0"/>
          <w:numId w:val="22"/>
        </w:numPr>
        <w:spacing w:after="120"/>
        <w:rPr>
          <w:szCs w:val="22"/>
        </w:rPr>
      </w:pPr>
      <w:r w:rsidRPr="00101734">
        <w:rPr>
          <w:snapToGrid w:val="0"/>
          <w:kern w:val="28"/>
          <w:szCs w:val="22"/>
        </w:rPr>
        <w:t>verification that the petitioner has sought closed captioning assistance from its video programming distributor(s); and</w:t>
      </w:r>
    </w:p>
    <w:p w:rsidR="00AE5834" w:rsidRPr="00101734" w:rsidRDefault="00AE5834">
      <w:pPr>
        <w:numPr>
          <w:ilvl w:val="0"/>
          <w:numId w:val="22"/>
        </w:numPr>
        <w:spacing w:after="120"/>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9"/>
      </w:r>
      <w:r w:rsidRPr="00101734">
        <w:rPr>
          <w:snapToGrid w:val="0"/>
          <w:kern w:val="28"/>
          <w:szCs w:val="22"/>
        </w:rPr>
        <w:t xml:space="preserve">  </w:t>
      </w:r>
    </w:p>
    <w:p w:rsidR="00AE5834" w:rsidRPr="00EB38D7" w:rsidRDefault="00AE5834">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rsidR="005A0A3C" w:rsidRDefault="00F74A10">
      <w:pPr>
        <w:pStyle w:val="ParaNum"/>
        <w:tabs>
          <w:tab w:val="clear" w:pos="1080"/>
        </w:tabs>
        <w:spacing w:after="120"/>
        <w:jc w:val="left"/>
        <w:rPr>
          <w:szCs w:val="22"/>
        </w:rPr>
      </w:pPr>
      <w:r>
        <w:rPr>
          <w:szCs w:val="22"/>
        </w:rPr>
        <w:t>SJTV</w:t>
      </w:r>
      <w:r w:rsidR="00AE5834" w:rsidRPr="00EF4D9B">
        <w:rPr>
          <w:szCs w:val="22"/>
        </w:rPr>
        <w:t xml:space="preserve"> initially filed a petition for exemption </w:t>
      </w:r>
      <w:r w:rsidR="00617965">
        <w:rPr>
          <w:szCs w:val="22"/>
        </w:rPr>
        <w:t>by letter dated</w:t>
      </w:r>
      <w:r w:rsidR="003503E3">
        <w:rPr>
          <w:szCs w:val="22"/>
        </w:rPr>
        <w:t xml:space="preserve"> March</w:t>
      </w:r>
      <w:r w:rsidR="00AF24D7">
        <w:rPr>
          <w:szCs w:val="22"/>
        </w:rPr>
        <w:t xml:space="preserve"> 2</w:t>
      </w:r>
      <w:r w:rsidR="00617965">
        <w:rPr>
          <w:szCs w:val="22"/>
        </w:rPr>
        <w:t>8</w:t>
      </w:r>
      <w:r w:rsidR="00AF24D7">
        <w:rPr>
          <w:szCs w:val="22"/>
        </w:rPr>
        <w:t xml:space="preserve">, </w:t>
      </w:r>
      <w:r w:rsidR="003503E3">
        <w:rPr>
          <w:szCs w:val="22"/>
        </w:rPr>
        <w:t>2012</w:t>
      </w:r>
      <w:r w:rsidR="00883D86">
        <w:rPr>
          <w:szCs w:val="22"/>
        </w:rPr>
        <w:t xml:space="preserve"> (</w:t>
      </w:r>
      <w:r w:rsidR="00BE3E62">
        <w:rPr>
          <w:szCs w:val="22"/>
        </w:rPr>
        <w:t xml:space="preserve">hereinafter </w:t>
      </w:r>
      <w:r w:rsidR="00883D86">
        <w:rPr>
          <w:szCs w:val="22"/>
        </w:rPr>
        <w:t>Petition)</w:t>
      </w:r>
      <w:r w:rsidR="00591A81">
        <w:rPr>
          <w:szCs w:val="22"/>
        </w:rPr>
        <w:t>.</w:t>
      </w:r>
      <w:r w:rsidR="00591A81" w:rsidRPr="00EF4D9B">
        <w:rPr>
          <w:rStyle w:val="FootnoteReference"/>
          <w:szCs w:val="22"/>
        </w:rPr>
        <w:footnoteReference w:id="13"/>
      </w:r>
      <w:r w:rsidR="00AE5834" w:rsidRPr="00EF4D9B">
        <w:rPr>
          <w:vanish/>
          <w:szCs w:val="22"/>
        </w:rPr>
        <w:t xml:space="preserve">  </w:t>
      </w:r>
      <w:r w:rsidR="00606A12">
        <w:rPr>
          <w:szCs w:val="22"/>
        </w:rPr>
        <w:t xml:space="preserve">  </w:t>
      </w:r>
      <w:r w:rsidR="00FD156D" w:rsidRPr="00737AEA">
        <w:rPr>
          <w:szCs w:val="22"/>
        </w:rPr>
        <w:t>Subsequently, the Consumer and Governmental Affairs Bureau (Bureau) determined that it required additional and updated information to enable it to determine whether the programming that was the subject of this petition should be exempt</w:t>
      </w:r>
      <w:r w:rsidR="00617965">
        <w:rPr>
          <w:szCs w:val="22"/>
        </w:rPr>
        <w:t xml:space="preserve"> from the Commission’s closed captioning obligations</w:t>
      </w:r>
      <w:r w:rsidR="00AF24D7">
        <w:rPr>
          <w:szCs w:val="22"/>
        </w:rPr>
        <w:t>.</w:t>
      </w:r>
      <w:r w:rsidR="00617965">
        <w:rPr>
          <w:rStyle w:val="FootnoteReference"/>
          <w:szCs w:val="22"/>
        </w:rPr>
        <w:footnoteReference w:id="14"/>
      </w:r>
      <w:r w:rsidR="00AF24D7">
        <w:rPr>
          <w:szCs w:val="22"/>
        </w:rPr>
        <w:t xml:space="preserve">  </w:t>
      </w:r>
      <w:r w:rsidR="00617965">
        <w:rPr>
          <w:szCs w:val="22"/>
        </w:rPr>
        <w:t xml:space="preserve">In response to the Bureau’s request for further information, </w:t>
      </w:r>
      <w:r w:rsidR="003503E3">
        <w:rPr>
          <w:szCs w:val="22"/>
        </w:rPr>
        <w:t>SJTV</w:t>
      </w:r>
      <w:r w:rsidR="00617965">
        <w:rPr>
          <w:szCs w:val="22"/>
        </w:rPr>
        <w:t xml:space="preserve"> supplemented its petition by letter dated</w:t>
      </w:r>
      <w:r w:rsidR="003503E3">
        <w:rPr>
          <w:szCs w:val="22"/>
        </w:rPr>
        <w:t xml:space="preserve"> July 25, 2012</w:t>
      </w:r>
      <w:r w:rsidR="00617965">
        <w:rPr>
          <w:szCs w:val="22"/>
        </w:rPr>
        <w:t>.</w:t>
      </w:r>
      <w:r w:rsidR="00610EA6" w:rsidRPr="00F0277B">
        <w:rPr>
          <w:rStyle w:val="FootnoteReference"/>
          <w:szCs w:val="22"/>
        </w:rPr>
        <w:footnoteReference w:id="15"/>
      </w:r>
      <w:r w:rsidR="00610EA6" w:rsidRPr="00F0277B">
        <w:rPr>
          <w:szCs w:val="22"/>
        </w:rPr>
        <w:t xml:space="preserve"> </w:t>
      </w:r>
      <w:r w:rsidR="009D642E">
        <w:rPr>
          <w:szCs w:val="22"/>
        </w:rPr>
        <w:t xml:space="preserve"> </w:t>
      </w:r>
      <w:r w:rsidR="00617965">
        <w:rPr>
          <w:szCs w:val="22"/>
        </w:rPr>
        <w:t>In a Public Notice released</w:t>
      </w:r>
      <w:r w:rsidR="009D642E">
        <w:rPr>
          <w:szCs w:val="22"/>
        </w:rPr>
        <w:t xml:space="preserve"> </w:t>
      </w:r>
      <w:r w:rsidR="00617965">
        <w:rPr>
          <w:szCs w:val="22"/>
        </w:rPr>
        <w:t>o</w:t>
      </w:r>
      <w:r w:rsidR="009D642E">
        <w:rPr>
          <w:szCs w:val="22"/>
        </w:rPr>
        <w:t>n September 6, 2012</w:t>
      </w:r>
      <w:r w:rsidR="00AF24D7">
        <w:rPr>
          <w:szCs w:val="22"/>
        </w:rPr>
        <w:t xml:space="preserve">, </w:t>
      </w:r>
      <w:r w:rsidR="00752CD6" w:rsidRPr="00752CD6">
        <w:rPr>
          <w:szCs w:val="22"/>
        </w:rPr>
        <w:t xml:space="preserve">the </w:t>
      </w:r>
      <w:r w:rsidR="00E96C3A">
        <w:rPr>
          <w:szCs w:val="22"/>
        </w:rPr>
        <w:t>Bureau</w:t>
      </w:r>
      <w:r w:rsidR="000C4E0D" w:rsidRPr="00752CD6">
        <w:rPr>
          <w:szCs w:val="22"/>
        </w:rPr>
        <w:t xml:space="preserve"> </w:t>
      </w:r>
      <w:r w:rsidR="00752CD6" w:rsidRPr="00752CD6">
        <w:rPr>
          <w:szCs w:val="22"/>
        </w:rPr>
        <w:t>invited commen</w:t>
      </w:r>
      <w:r w:rsidR="00752CD6">
        <w:rPr>
          <w:szCs w:val="22"/>
        </w:rPr>
        <w:t>t</w:t>
      </w:r>
      <w:r w:rsidR="00752CD6" w:rsidRPr="00752CD6">
        <w:rPr>
          <w:szCs w:val="22"/>
        </w:rPr>
        <w:t xml:space="preserve"> on the Petition</w:t>
      </w:r>
      <w:r w:rsidR="00752CD6" w:rsidRPr="00317971">
        <w:rPr>
          <w:szCs w:val="22"/>
        </w:rPr>
        <w:t>.</w:t>
      </w:r>
      <w:r w:rsidR="00752CD6" w:rsidRPr="00317971">
        <w:rPr>
          <w:rStyle w:val="FootnoteReference"/>
          <w:szCs w:val="22"/>
        </w:rPr>
        <w:footnoteReference w:id="16"/>
      </w:r>
      <w:r w:rsidR="00752CD6" w:rsidRPr="00317971">
        <w:rPr>
          <w:szCs w:val="22"/>
        </w:rPr>
        <w:t xml:space="preserve">  </w:t>
      </w:r>
      <w:r w:rsidR="00FF2A19">
        <w:rPr>
          <w:szCs w:val="22"/>
        </w:rPr>
        <w:t>Certain c</w:t>
      </w:r>
      <w:r w:rsidR="00CF0F9A">
        <w:rPr>
          <w:szCs w:val="22"/>
        </w:rPr>
        <w:t xml:space="preserve">onsumer </w:t>
      </w:r>
      <w:r w:rsidR="00FF2A19">
        <w:rPr>
          <w:szCs w:val="22"/>
        </w:rPr>
        <w:t>organization</w:t>
      </w:r>
      <w:r w:rsidR="00CF0F9A">
        <w:rPr>
          <w:szCs w:val="22"/>
        </w:rPr>
        <w:t>s jointly filed an opposition to the Petition.</w:t>
      </w:r>
      <w:r w:rsidR="00CF0F9A">
        <w:rPr>
          <w:rStyle w:val="FootnoteReference"/>
          <w:szCs w:val="22"/>
        </w:rPr>
        <w:footnoteReference w:id="17"/>
      </w:r>
      <w:r w:rsidR="00CF0F9A">
        <w:rPr>
          <w:szCs w:val="22"/>
        </w:rPr>
        <w:t xml:space="preserve">  </w:t>
      </w:r>
      <w:r w:rsidR="009D642E">
        <w:rPr>
          <w:szCs w:val="22"/>
        </w:rPr>
        <w:t xml:space="preserve">Subsequently, the Bureau </w:t>
      </w:r>
      <w:r w:rsidR="00CF0F9A">
        <w:rPr>
          <w:szCs w:val="22"/>
        </w:rPr>
        <w:t xml:space="preserve">again </w:t>
      </w:r>
      <w:r w:rsidR="009D642E">
        <w:rPr>
          <w:szCs w:val="22"/>
        </w:rPr>
        <w:t>determined that it required additional and updated information to enable it to determine whether the programming that was subject of the Petition should be exempt from the Commission’s closed captioning obligations.</w:t>
      </w:r>
      <w:r w:rsidR="00CF0F9A">
        <w:rPr>
          <w:rStyle w:val="FootnoteReference"/>
          <w:szCs w:val="22"/>
        </w:rPr>
        <w:footnoteReference w:id="18"/>
      </w:r>
      <w:r w:rsidR="00CF0F9A">
        <w:rPr>
          <w:szCs w:val="22"/>
        </w:rPr>
        <w:t xml:space="preserve"> </w:t>
      </w:r>
      <w:r w:rsidR="009D642E">
        <w:rPr>
          <w:szCs w:val="22"/>
        </w:rPr>
        <w:t xml:space="preserve"> </w:t>
      </w:r>
      <w:r w:rsidR="003B1369">
        <w:rPr>
          <w:szCs w:val="22"/>
        </w:rPr>
        <w:t>In response</w:t>
      </w:r>
      <w:r w:rsidR="00CF0F9A">
        <w:rPr>
          <w:szCs w:val="22"/>
        </w:rPr>
        <w:t xml:space="preserve"> to the Bureau’s request for further information</w:t>
      </w:r>
      <w:r w:rsidR="003B1369">
        <w:rPr>
          <w:szCs w:val="22"/>
        </w:rPr>
        <w:t xml:space="preserve">, SJTV </w:t>
      </w:r>
      <w:r w:rsidR="00CF0F9A">
        <w:rPr>
          <w:szCs w:val="22"/>
        </w:rPr>
        <w:t>supplemented its Petition by letter dated October 28, 2013</w:t>
      </w:r>
      <w:r w:rsidR="003B1369">
        <w:rPr>
          <w:szCs w:val="22"/>
        </w:rPr>
        <w:t>.</w:t>
      </w:r>
      <w:r w:rsidR="003B1369" w:rsidRPr="00FD62B1">
        <w:rPr>
          <w:rStyle w:val="FootnoteReference"/>
          <w:szCs w:val="22"/>
        </w:rPr>
        <w:footnoteReference w:id="19"/>
      </w:r>
      <w:r w:rsidR="003B1369">
        <w:rPr>
          <w:szCs w:val="22"/>
        </w:rPr>
        <w:t xml:space="preserve"> </w:t>
      </w:r>
      <w:r w:rsidR="00CF0F9A">
        <w:rPr>
          <w:szCs w:val="22"/>
        </w:rPr>
        <w:t xml:space="preserve"> </w:t>
      </w:r>
      <w:r w:rsidR="00CF00D0" w:rsidRPr="00CF00D0">
        <w:rPr>
          <w:szCs w:val="22"/>
        </w:rPr>
        <w:t>The Bureau again placed the Petition on Public Notice for comment</w:t>
      </w:r>
      <w:r w:rsidR="00CF00D0">
        <w:rPr>
          <w:szCs w:val="22"/>
        </w:rPr>
        <w:t xml:space="preserve"> on February 10, 2014</w:t>
      </w:r>
      <w:r w:rsidR="00CF00D0" w:rsidRPr="00CF00D0">
        <w:rPr>
          <w:szCs w:val="22"/>
        </w:rPr>
        <w:t>.</w:t>
      </w:r>
      <w:r w:rsidR="00CF00D0" w:rsidRPr="00CF00D0">
        <w:rPr>
          <w:szCs w:val="22"/>
          <w:vertAlign w:val="superscript"/>
        </w:rPr>
        <w:footnoteReference w:id="20"/>
      </w:r>
      <w:r w:rsidR="00CF00D0" w:rsidRPr="00CF00D0">
        <w:rPr>
          <w:szCs w:val="22"/>
        </w:rPr>
        <w:t xml:space="preserve">  Again, </w:t>
      </w:r>
      <w:r w:rsidR="00FF2A19">
        <w:rPr>
          <w:szCs w:val="22"/>
        </w:rPr>
        <w:t>several c</w:t>
      </w:r>
      <w:r w:rsidR="00CF00D0">
        <w:rPr>
          <w:szCs w:val="22"/>
        </w:rPr>
        <w:t xml:space="preserve">onsumer </w:t>
      </w:r>
      <w:r w:rsidR="00FF2A19">
        <w:rPr>
          <w:szCs w:val="22"/>
        </w:rPr>
        <w:t>g</w:t>
      </w:r>
      <w:r w:rsidR="00CF00D0">
        <w:rPr>
          <w:szCs w:val="22"/>
        </w:rPr>
        <w:t>roups</w:t>
      </w:r>
      <w:r w:rsidR="00CF00D0" w:rsidRPr="00CF00D0">
        <w:rPr>
          <w:szCs w:val="22"/>
        </w:rPr>
        <w:t xml:space="preserve"> jointly </w:t>
      </w:r>
      <w:r w:rsidR="00D66738">
        <w:rPr>
          <w:szCs w:val="22"/>
        </w:rPr>
        <w:t>oppos</w:t>
      </w:r>
      <w:r w:rsidR="00815B35">
        <w:rPr>
          <w:szCs w:val="22"/>
        </w:rPr>
        <w:t>ed</w:t>
      </w:r>
      <w:r w:rsidR="00D66738">
        <w:rPr>
          <w:szCs w:val="22"/>
        </w:rPr>
        <w:t xml:space="preserve"> the </w:t>
      </w:r>
      <w:r w:rsidR="00CF00D0" w:rsidRPr="00CF00D0">
        <w:rPr>
          <w:szCs w:val="22"/>
        </w:rPr>
        <w:t>Petition.</w:t>
      </w:r>
      <w:r w:rsidR="00CF00D0" w:rsidRPr="00CF00D0">
        <w:rPr>
          <w:szCs w:val="22"/>
          <w:vertAlign w:val="superscript"/>
        </w:rPr>
        <w:footnoteReference w:id="21"/>
      </w:r>
      <w:r w:rsidR="00CF00D0" w:rsidRPr="00CF00D0">
        <w:rPr>
          <w:szCs w:val="22"/>
        </w:rPr>
        <w:t xml:space="preserve">  </w:t>
      </w:r>
    </w:p>
    <w:p w:rsidR="00F013EA" w:rsidRPr="00FD62B1" w:rsidRDefault="00F013EA">
      <w:pPr>
        <w:pStyle w:val="Heading1"/>
        <w:keepNext w:val="0"/>
        <w:widowControl/>
        <w:spacing w:after="120"/>
        <w:jc w:val="left"/>
        <w:rPr>
          <w:szCs w:val="22"/>
        </w:rPr>
      </w:pPr>
      <w:r w:rsidRPr="00FD62B1">
        <w:rPr>
          <w:szCs w:val="22"/>
        </w:rPr>
        <w:t>discussion</w:t>
      </w:r>
    </w:p>
    <w:p w:rsidR="000E23E7" w:rsidRDefault="009D03FF" w:rsidP="005B0804">
      <w:pPr>
        <w:pStyle w:val="ParaNum"/>
        <w:spacing w:after="120"/>
        <w:jc w:val="left"/>
      </w:pPr>
      <w:r>
        <w:t>SJTV</w:t>
      </w:r>
      <w:r w:rsidR="003F144F" w:rsidRPr="006A24D6">
        <w:t xml:space="preserve"> </w:t>
      </w:r>
      <w:r w:rsidR="00F013EA" w:rsidRPr="006A24D6">
        <w:t>produces</w:t>
      </w:r>
      <w:r w:rsidR="00426114" w:rsidRPr="006A24D6">
        <w:t xml:space="preserve"> </w:t>
      </w:r>
      <w:r w:rsidR="00205193">
        <w:rPr>
          <w:i/>
        </w:rPr>
        <w:t>CNY’s Open House</w:t>
      </w:r>
      <w:r w:rsidR="00426114" w:rsidRPr="006A24D6">
        <w:t>,</w:t>
      </w:r>
      <w:r w:rsidR="00390DC7" w:rsidRPr="006A24D6">
        <w:t xml:space="preserve"> a 30 minute</w:t>
      </w:r>
      <w:r w:rsidR="00F013EA" w:rsidRPr="006A24D6">
        <w:t xml:space="preserve"> </w:t>
      </w:r>
      <w:r w:rsidR="001F38C8" w:rsidRPr="006A24D6">
        <w:t>program</w:t>
      </w:r>
      <w:r w:rsidR="00F013EA" w:rsidRPr="006A24D6">
        <w:t xml:space="preserve"> that is broadcast</w:t>
      </w:r>
      <w:r w:rsidR="00DD24C7" w:rsidRPr="006A24D6">
        <w:t xml:space="preserve"> weekly</w:t>
      </w:r>
      <w:r w:rsidR="00B521AB">
        <w:t xml:space="preserve"> by multiple stations</w:t>
      </w:r>
      <w:r w:rsidR="008061F8" w:rsidRPr="006A24D6">
        <w:t>.</w:t>
      </w:r>
      <w:r w:rsidR="00F738BD" w:rsidRPr="00FD62B1">
        <w:rPr>
          <w:rStyle w:val="FootnoteReference"/>
          <w:szCs w:val="22"/>
        </w:rPr>
        <w:footnoteReference w:id="22"/>
      </w:r>
      <w:r w:rsidR="00DD24C7" w:rsidRPr="006A24D6">
        <w:t xml:space="preserve">  </w:t>
      </w:r>
      <w:r>
        <w:t>SJTV</w:t>
      </w:r>
      <w:r w:rsidR="005A43BB" w:rsidRPr="006A24D6">
        <w:t xml:space="preserve"> </w:t>
      </w:r>
      <w:r w:rsidR="00B521AB">
        <w:t>describes</w:t>
      </w:r>
      <w:r w:rsidR="005A43BB" w:rsidRPr="006A24D6">
        <w:t xml:space="preserve"> </w:t>
      </w:r>
      <w:r w:rsidR="00883D86" w:rsidRPr="00360AEA">
        <w:rPr>
          <w:i/>
        </w:rPr>
        <w:t>CNY’s Open House</w:t>
      </w:r>
      <w:r w:rsidR="00883D86">
        <w:t xml:space="preserve"> </w:t>
      </w:r>
      <w:r w:rsidR="00B521AB">
        <w:t>as a show that features “home improvement projects and professional services companies from Central New York’s local businesses along with area community groups and events.”</w:t>
      </w:r>
      <w:r w:rsidR="00B521AB">
        <w:rPr>
          <w:rStyle w:val="FootnoteReference"/>
        </w:rPr>
        <w:footnoteReference w:id="23"/>
      </w:r>
      <w:r w:rsidR="00B521AB">
        <w:t xml:space="preserve">  </w:t>
      </w:r>
      <w:r w:rsidR="000E23E7">
        <w:t>SJTV maintains that requiring its program to comply with the Commission’s closed captioning requirements would be economically burdensome.</w:t>
      </w:r>
      <w:r w:rsidR="000E23E7">
        <w:rPr>
          <w:rStyle w:val="FootnoteReference"/>
        </w:rPr>
        <w:footnoteReference w:id="24"/>
      </w:r>
      <w:r w:rsidR="00A16B50">
        <w:t xml:space="preserve">  Specifically, SJTV claims that adding the cost of closed captioning each week “would result in a large monthly loss for SJTV LLC and make it very difficult to continue producing the show as is.”</w:t>
      </w:r>
      <w:r w:rsidR="00A16B50">
        <w:rPr>
          <w:rStyle w:val="FootnoteReference"/>
        </w:rPr>
        <w:footnoteReference w:id="25"/>
      </w:r>
      <w:r w:rsidR="00A16B50">
        <w:t xml:space="preserve">   In addition, SJTV states that the cost </w:t>
      </w:r>
      <w:r w:rsidR="00A16B50">
        <w:rPr>
          <w:szCs w:val="22"/>
        </w:rPr>
        <w:t>providing closed captioning would require it to alter its production schedule “to accommodate the turnaround time for the closed captioning company,” resulting in “less time to produce new content and therefore less income from sponsors/clients.”</w:t>
      </w:r>
      <w:r w:rsidR="00A16B50">
        <w:rPr>
          <w:rStyle w:val="FootnoteReference"/>
          <w:szCs w:val="22"/>
        </w:rPr>
        <w:footnoteReference w:id="26"/>
      </w:r>
      <w:r w:rsidR="00A16B50">
        <w:rPr>
          <w:szCs w:val="22"/>
        </w:rPr>
        <w:t xml:space="preserve"> </w:t>
      </w:r>
    </w:p>
    <w:p w:rsidR="005861B5" w:rsidRPr="00F90C66" w:rsidRDefault="00E32FBE" w:rsidP="005B0804">
      <w:pPr>
        <w:pStyle w:val="ParaNum"/>
        <w:spacing w:after="120"/>
        <w:jc w:val="left"/>
        <w:rPr>
          <w:szCs w:val="22"/>
        </w:rPr>
      </w:pPr>
      <w:r w:rsidRPr="00F90C66">
        <w:rPr>
          <w:szCs w:val="22"/>
        </w:rPr>
        <w:t>SJTV</w:t>
      </w:r>
      <w:r w:rsidR="001F38C8" w:rsidRPr="00F90C66">
        <w:rPr>
          <w:szCs w:val="22"/>
        </w:rPr>
        <w:t xml:space="preserve"> </w:t>
      </w:r>
      <w:r w:rsidR="000E23E7" w:rsidRPr="00F90C66">
        <w:rPr>
          <w:szCs w:val="22"/>
        </w:rPr>
        <w:t xml:space="preserve">submitted </w:t>
      </w:r>
      <w:r w:rsidR="006904B5">
        <w:rPr>
          <w:szCs w:val="22"/>
        </w:rPr>
        <w:t>t</w:t>
      </w:r>
      <w:r w:rsidR="00566F23">
        <w:rPr>
          <w:szCs w:val="22"/>
        </w:rPr>
        <w:t>wo</w:t>
      </w:r>
      <w:r w:rsidR="000E23E7" w:rsidRPr="00F90C66">
        <w:rPr>
          <w:szCs w:val="22"/>
        </w:rPr>
        <w:t xml:space="preserve"> quotes to caption its program.  The first quote, from CaptionMax, is for</w:t>
      </w:r>
      <w:r w:rsidR="00F86233" w:rsidRPr="00F90C66">
        <w:rPr>
          <w:szCs w:val="22"/>
        </w:rPr>
        <w:t xml:space="preserve"> $17</w:t>
      </w:r>
      <w:r w:rsidR="001F38C8" w:rsidRPr="00F90C66">
        <w:rPr>
          <w:szCs w:val="22"/>
        </w:rPr>
        <w:t>5</w:t>
      </w:r>
      <w:r w:rsidR="00F86233" w:rsidRPr="00F90C66">
        <w:rPr>
          <w:szCs w:val="22"/>
        </w:rPr>
        <w:t xml:space="preserve"> per </w:t>
      </w:r>
      <w:r w:rsidR="000E23E7" w:rsidRPr="00F90C66">
        <w:rPr>
          <w:szCs w:val="22"/>
        </w:rPr>
        <w:t>show, or $9,100 per year (</w:t>
      </w:r>
      <w:r w:rsidR="000E23E7" w:rsidRPr="00F90C66">
        <w:rPr>
          <w:i/>
          <w:szCs w:val="22"/>
        </w:rPr>
        <w:t>i.e.</w:t>
      </w:r>
      <w:r w:rsidR="000E23E7" w:rsidRPr="00F90C66">
        <w:rPr>
          <w:szCs w:val="22"/>
        </w:rPr>
        <w:t>, for 52 programs).</w:t>
      </w:r>
      <w:r w:rsidR="000E23E7">
        <w:rPr>
          <w:rStyle w:val="FootnoteReference"/>
          <w:szCs w:val="22"/>
        </w:rPr>
        <w:footnoteReference w:id="27"/>
      </w:r>
      <w:r w:rsidR="000E23E7" w:rsidRPr="00F90C66">
        <w:rPr>
          <w:szCs w:val="22"/>
        </w:rPr>
        <w:t xml:space="preserve">  The second quote, from VITAC, is </w:t>
      </w:r>
      <w:r w:rsidR="006904B5">
        <w:rPr>
          <w:szCs w:val="22"/>
        </w:rPr>
        <w:t>from VITAC, is for</w:t>
      </w:r>
      <w:r w:rsidR="00D95D57">
        <w:rPr>
          <w:szCs w:val="22"/>
        </w:rPr>
        <w:t xml:space="preserve"> </w:t>
      </w:r>
      <w:r w:rsidR="00F86233" w:rsidRPr="00F90C66">
        <w:rPr>
          <w:szCs w:val="22"/>
        </w:rPr>
        <w:t>$</w:t>
      </w:r>
      <w:r w:rsidR="000F2FA9" w:rsidRPr="00F90C66">
        <w:rPr>
          <w:szCs w:val="22"/>
        </w:rPr>
        <w:t>300</w:t>
      </w:r>
      <w:r w:rsidR="00F86233" w:rsidRPr="00F90C66">
        <w:rPr>
          <w:szCs w:val="22"/>
        </w:rPr>
        <w:t xml:space="preserve"> per </w:t>
      </w:r>
      <w:r w:rsidR="000E23E7" w:rsidRPr="00F90C66">
        <w:rPr>
          <w:szCs w:val="22"/>
        </w:rPr>
        <w:t>show</w:t>
      </w:r>
      <w:r w:rsidR="00D95D57">
        <w:rPr>
          <w:szCs w:val="22"/>
        </w:rPr>
        <w:t xml:space="preserve"> with a 24 hour turnaround</w:t>
      </w:r>
      <w:r w:rsidR="000E23E7" w:rsidRPr="00F90C66">
        <w:rPr>
          <w:szCs w:val="22"/>
        </w:rPr>
        <w:t>, or $15,600 per year</w:t>
      </w:r>
      <w:r w:rsidR="001F38C8" w:rsidRPr="00F90C66">
        <w:rPr>
          <w:szCs w:val="22"/>
        </w:rPr>
        <w:t>.</w:t>
      </w:r>
      <w:r w:rsidR="001F38C8" w:rsidRPr="00FD62B1">
        <w:rPr>
          <w:rStyle w:val="FootnoteReference"/>
          <w:szCs w:val="22"/>
        </w:rPr>
        <w:footnoteReference w:id="28"/>
      </w:r>
      <w:r w:rsidR="001F38C8" w:rsidRPr="00F90C66">
        <w:rPr>
          <w:szCs w:val="22"/>
        </w:rPr>
        <w:t xml:space="preserve">  </w:t>
      </w:r>
      <w:r w:rsidR="002C062A">
        <w:rPr>
          <w:szCs w:val="22"/>
        </w:rPr>
        <w:t xml:space="preserve">SJTV asserts that </w:t>
      </w:r>
      <w:r w:rsidR="002F448F">
        <w:rPr>
          <w:szCs w:val="22"/>
        </w:rPr>
        <w:t xml:space="preserve">a 24 hour turnaround is the “only viable option” for </w:t>
      </w:r>
      <w:r w:rsidR="00A16B50">
        <w:rPr>
          <w:szCs w:val="22"/>
        </w:rPr>
        <w:t xml:space="preserve">it to </w:t>
      </w:r>
      <w:r w:rsidR="002F448F">
        <w:rPr>
          <w:szCs w:val="22"/>
        </w:rPr>
        <w:t>obtain closed captioning</w:t>
      </w:r>
      <w:r w:rsidR="00A16B50">
        <w:rPr>
          <w:szCs w:val="22"/>
        </w:rPr>
        <w:t>, which means that it would have to incur captioning costs of $15,600 annually.</w:t>
      </w:r>
      <w:r w:rsidR="002C062A">
        <w:rPr>
          <w:rStyle w:val="FootnoteReference"/>
          <w:szCs w:val="22"/>
        </w:rPr>
        <w:footnoteReference w:id="29"/>
      </w:r>
    </w:p>
    <w:p w:rsidR="00072FCB" w:rsidRDefault="000701B3" w:rsidP="00072FCB">
      <w:pPr>
        <w:pStyle w:val="ParaNum"/>
        <w:widowControl/>
        <w:tabs>
          <w:tab w:val="clear" w:pos="1080"/>
        </w:tabs>
        <w:spacing w:after="120"/>
        <w:jc w:val="left"/>
        <w:rPr>
          <w:szCs w:val="22"/>
        </w:rPr>
      </w:pPr>
      <w:r w:rsidRPr="005D722E">
        <w:rPr>
          <w:szCs w:val="22"/>
        </w:rPr>
        <w:t xml:space="preserve">With its Petition, as supplemented, </w:t>
      </w:r>
      <w:r w:rsidR="000C03DD" w:rsidRPr="005D722E">
        <w:rPr>
          <w:szCs w:val="22"/>
        </w:rPr>
        <w:t>SJTV</w:t>
      </w:r>
      <w:r w:rsidR="008F1136" w:rsidRPr="005D722E">
        <w:rPr>
          <w:szCs w:val="22"/>
        </w:rPr>
        <w:t xml:space="preserve"> submitted </w:t>
      </w:r>
      <w:r w:rsidR="00C26DF5" w:rsidRPr="005D722E">
        <w:rPr>
          <w:szCs w:val="22"/>
        </w:rPr>
        <w:t>United States Income Tax Returns for an S Corporation</w:t>
      </w:r>
      <w:r w:rsidR="00BF54F9">
        <w:rPr>
          <w:szCs w:val="22"/>
        </w:rPr>
        <w:t xml:space="preserve"> Form 1120S</w:t>
      </w:r>
      <w:r w:rsidR="00C26DF5" w:rsidRPr="005D722E">
        <w:rPr>
          <w:szCs w:val="22"/>
        </w:rPr>
        <w:t xml:space="preserve"> </w:t>
      </w:r>
      <w:r w:rsidR="005861B5" w:rsidRPr="005D722E">
        <w:rPr>
          <w:szCs w:val="22"/>
        </w:rPr>
        <w:t xml:space="preserve">for </w:t>
      </w:r>
      <w:r w:rsidR="00C26DF5" w:rsidRPr="005D722E">
        <w:rPr>
          <w:szCs w:val="22"/>
        </w:rPr>
        <w:t>2012 and 2011</w:t>
      </w:r>
      <w:r w:rsidR="00D66BB8" w:rsidRPr="005D722E">
        <w:rPr>
          <w:szCs w:val="22"/>
        </w:rPr>
        <w:t>.</w:t>
      </w:r>
      <w:r w:rsidR="00BC4E9E" w:rsidRPr="005D722E">
        <w:rPr>
          <w:rStyle w:val="FootnoteReference"/>
          <w:szCs w:val="22"/>
        </w:rPr>
        <w:footnoteReference w:id="30"/>
      </w:r>
      <w:r w:rsidR="008F1136" w:rsidRPr="005D722E">
        <w:rPr>
          <w:szCs w:val="22"/>
        </w:rPr>
        <w:t xml:space="preserve">  </w:t>
      </w:r>
      <w:r w:rsidR="00C26DF5" w:rsidRPr="005D722E">
        <w:rPr>
          <w:szCs w:val="22"/>
        </w:rPr>
        <w:t>For 2012, SJTV reports total income of $127,785, total expenses of $112,539, and net income of $15,246.</w:t>
      </w:r>
      <w:r w:rsidR="00C26DF5" w:rsidRPr="005D722E">
        <w:rPr>
          <w:rStyle w:val="FootnoteReference"/>
          <w:szCs w:val="22"/>
        </w:rPr>
        <w:footnoteReference w:id="31"/>
      </w:r>
      <w:r w:rsidR="00C26DF5" w:rsidRPr="005D722E">
        <w:rPr>
          <w:szCs w:val="22"/>
        </w:rPr>
        <w:t xml:space="preserve">  </w:t>
      </w:r>
      <w:r w:rsidR="00D66BB8" w:rsidRPr="005D722E">
        <w:rPr>
          <w:szCs w:val="22"/>
        </w:rPr>
        <w:t>For 2011, SJTV reports total income of $</w:t>
      </w:r>
      <w:r w:rsidR="00C26DF5" w:rsidRPr="005D722E">
        <w:rPr>
          <w:szCs w:val="22"/>
        </w:rPr>
        <w:t>128,736</w:t>
      </w:r>
      <w:r w:rsidR="00D66BB8" w:rsidRPr="005D722E">
        <w:rPr>
          <w:szCs w:val="22"/>
        </w:rPr>
        <w:t>, total expenses of $</w:t>
      </w:r>
      <w:r w:rsidR="00C26DF5" w:rsidRPr="005D722E">
        <w:rPr>
          <w:szCs w:val="22"/>
        </w:rPr>
        <w:t>111,377</w:t>
      </w:r>
      <w:r w:rsidR="00D66BB8" w:rsidRPr="005D722E">
        <w:rPr>
          <w:szCs w:val="22"/>
        </w:rPr>
        <w:t>and net income of $</w:t>
      </w:r>
      <w:r w:rsidR="00F66D26" w:rsidRPr="005D722E">
        <w:rPr>
          <w:szCs w:val="22"/>
        </w:rPr>
        <w:t>17,359</w:t>
      </w:r>
      <w:r w:rsidR="00D66BB8" w:rsidRPr="005D722E">
        <w:rPr>
          <w:szCs w:val="22"/>
        </w:rPr>
        <w:t>.</w:t>
      </w:r>
      <w:r w:rsidR="00D66BB8" w:rsidRPr="005D722E">
        <w:rPr>
          <w:rStyle w:val="FootnoteReference"/>
          <w:szCs w:val="22"/>
        </w:rPr>
        <w:footnoteReference w:id="32"/>
      </w:r>
      <w:r w:rsidR="00D66BB8" w:rsidRPr="005D722E">
        <w:rPr>
          <w:szCs w:val="22"/>
        </w:rPr>
        <w:t xml:space="preserve"> </w:t>
      </w:r>
      <w:r w:rsidR="00FF2A19" w:rsidRPr="005D722E">
        <w:rPr>
          <w:szCs w:val="22"/>
        </w:rPr>
        <w:t xml:space="preserve"> </w:t>
      </w:r>
    </w:p>
    <w:p w:rsidR="00E07473" w:rsidRPr="00072FCB" w:rsidRDefault="00DA2ECE" w:rsidP="00072FCB">
      <w:pPr>
        <w:pStyle w:val="ParaNum"/>
        <w:widowControl/>
        <w:tabs>
          <w:tab w:val="clear" w:pos="1080"/>
        </w:tabs>
        <w:spacing w:after="120"/>
        <w:jc w:val="left"/>
        <w:rPr>
          <w:szCs w:val="22"/>
        </w:rPr>
      </w:pPr>
      <w:r w:rsidRPr="00072FCB">
        <w:rPr>
          <w:szCs w:val="22"/>
        </w:rPr>
        <w:t>SJTV reports total current assets</w:t>
      </w:r>
      <w:r w:rsidR="00CF06E2" w:rsidRPr="00072FCB">
        <w:rPr>
          <w:szCs w:val="22"/>
        </w:rPr>
        <w:t xml:space="preserve"> as of December 2012</w:t>
      </w:r>
      <w:r w:rsidRPr="00072FCB">
        <w:rPr>
          <w:szCs w:val="22"/>
        </w:rPr>
        <w:t xml:space="preserve"> of $</w:t>
      </w:r>
      <w:r w:rsidR="00F66D26" w:rsidRPr="00072FCB">
        <w:rPr>
          <w:szCs w:val="22"/>
        </w:rPr>
        <w:t>16,090</w:t>
      </w:r>
      <w:r w:rsidR="0063661D" w:rsidRPr="00072FCB">
        <w:rPr>
          <w:szCs w:val="22"/>
        </w:rPr>
        <w:t xml:space="preserve"> </w:t>
      </w:r>
      <w:r w:rsidR="00EC0255" w:rsidRPr="00072FCB">
        <w:rPr>
          <w:szCs w:val="22"/>
        </w:rPr>
        <w:t xml:space="preserve">and </w:t>
      </w:r>
      <w:r w:rsidR="00CF06E2" w:rsidRPr="00072FCB">
        <w:rPr>
          <w:szCs w:val="22"/>
        </w:rPr>
        <w:t xml:space="preserve">total </w:t>
      </w:r>
      <w:r w:rsidR="00EC0255" w:rsidRPr="00072FCB">
        <w:rPr>
          <w:szCs w:val="22"/>
        </w:rPr>
        <w:t xml:space="preserve">current liabilities </w:t>
      </w:r>
      <w:r w:rsidR="00CF06E2" w:rsidRPr="00072FCB">
        <w:rPr>
          <w:szCs w:val="22"/>
        </w:rPr>
        <w:t>of</w:t>
      </w:r>
      <w:r w:rsidR="00F66D26" w:rsidRPr="00072FCB">
        <w:rPr>
          <w:szCs w:val="22"/>
        </w:rPr>
        <w:t xml:space="preserve"> $3</w:t>
      </w:r>
      <w:r w:rsidR="002F448F" w:rsidRPr="00072FCB">
        <w:rPr>
          <w:szCs w:val="22"/>
        </w:rPr>
        <w:t>,</w:t>
      </w:r>
      <w:r w:rsidR="00F66D26" w:rsidRPr="00072FCB">
        <w:rPr>
          <w:szCs w:val="22"/>
        </w:rPr>
        <w:t>639</w:t>
      </w:r>
      <w:r w:rsidR="00EB3AFE" w:rsidRPr="00072FCB">
        <w:rPr>
          <w:szCs w:val="22"/>
        </w:rPr>
        <w:t>, resulting in net current assets of $12,451</w:t>
      </w:r>
      <w:r w:rsidRPr="00072FCB">
        <w:rPr>
          <w:szCs w:val="22"/>
        </w:rPr>
        <w:t>.</w:t>
      </w:r>
      <w:r w:rsidR="00E466A1" w:rsidRPr="005D722E">
        <w:rPr>
          <w:rStyle w:val="FootnoteReference"/>
          <w:szCs w:val="22"/>
        </w:rPr>
        <w:footnoteReference w:id="33"/>
      </w:r>
      <w:r w:rsidR="00E466A1" w:rsidRPr="00072FCB">
        <w:rPr>
          <w:szCs w:val="22"/>
        </w:rPr>
        <w:t xml:space="preserve">  </w:t>
      </w:r>
      <w:r w:rsidR="00F66D26" w:rsidRPr="00072FCB">
        <w:rPr>
          <w:szCs w:val="22"/>
        </w:rPr>
        <w:t>SJTV also reports total current assets as of December 2011 of $</w:t>
      </w:r>
      <w:r w:rsidR="002F448F" w:rsidRPr="00072FCB">
        <w:rPr>
          <w:szCs w:val="22"/>
        </w:rPr>
        <w:t xml:space="preserve">12,477 </w:t>
      </w:r>
      <w:r w:rsidR="00F66D26" w:rsidRPr="00072FCB">
        <w:rPr>
          <w:szCs w:val="22"/>
        </w:rPr>
        <w:t>and total current liabilities of $</w:t>
      </w:r>
      <w:r w:rsidR="002F448F" w:rsidRPr="00072FCB">
        <w:rPr>
          <w:szCs w:val="22"/>
        </w:rPr>
        <w:t>10,638, resulting in net current assets of $1,839.</w:t>
      </w:r>
      <w:r w:rsidR="002F448F" w:rsidRPr="005D722E">
        <w:rPr>
          <w:rStyle w:val="FootnoteReference"/>
          <w:szCs w:val="22"/>
        </w:rPr>
        <w:footnoteReference w:id="34"/>
      </w:r>
    </w:p>
    <w:p w:rsidR="000E23E7" w:rsidRPr="006A24D6" w:rsidRDefault="000E23E7" w:rsidP="005B0804">
      <w:pPr>
        <w:pStyle w:val="ParaNum"/>
        <w:spacing w:after="120"/>
        <w:jc w:val="left"/>
      </w:pPr>
      <w:r>
        <w:t xml:space="preserve">SJTV </w:t>
      </w:r>
      <w:r w:rsidRPr="006A24D6">
        <w:t xml:space="preserve">reports that </w:t>
      </w:r>
      <w:r w:rsidR="008D5D5F">
        <w:t>its video programming distributor</w:t>
      </w:r>
      <w:r w:rsidR="00F90C66">
        <w:t>s are</w:t>
      </w:r>
      <w:r>
        <w:t xml:space="preserve"> </w:t>
      </w:r>
      <w:r w:rsidR="008D5D5F">
        <w:t>un</w:t>
      </w:r>
      <w:r>
        <w:t>able to</w:t>
      </w:r>
      <w:r w:rsidR="008D5D5F">
        <w:t xml:space="preserve"> offer</w:t>
      </w:r>
      <w:r>
        <w:t xml:space="preserve"> captioning assistance</w:t>
      </w:r>
      <w:r w:rsidRPr="006A24D6">
        <w:t>.</w:t>
      </w:r>
      <w:r w:rsidRPr="00FD62B1">
        <w:rPr>
          <w:rStyle w:val="FootnoteReference"/>
          <w:szCs w:val="22"/>
        </w:rPr>
        <w:footnoteReference w:id="35"/>
      </w:r>
      <w:r w:rsidRPr="006A24D6">
        <w:t xml:space="preserve"> </w:t>
      </w:r>
      <w:r w:rsidR="008D5D5F">
        <w:t xml:space="preserve"> </w:t>
      </w:r>
      <w:r>
        <w:t>SJTV</w:t>
      </w:r>
      <w:r w:rsidRPr="006A24D6">
        <w:t xml:space="preserve"> </w:t>
      </w:r>
      <w:r w:rsidR="00F90C66">
        <w:t>also reports that it “receives income from monthly sponsors” and regularly “seeks out the addition of new sponsors.”</w:t>
      </w:r>
      <w:r w:rsidR="00F90C66">
        <w:rPr>
          <w:rStyle w:val="FootnoteReference"/>
        </w:rPr>
        <w:footnoteReference w:id="36"/>
      </w:r>
      <w:r w:rsidR="00F90C66">
        <w:t xml:space="preserve">  However, </w:t>
      </w:r>
      <w:r>
        <w:t xml:space="preserve">SJTV states, in the past, </w:t>
      </w:r>
      <w:r w:rsidR="00EB2741">
        <w:t>“</w:t>
      </w:r>
      <w:r>
        <w:t>sponsors have threatened or have discontinued their support of the program</w:t>
      </w:r>
      <w:r w:rsidR="00EB2741">
        <w:t>” when SJTV attempted to raise sponsorship rates.</w:t>
      </w:r>
      <w:r w:rsidR="00EB2741">
        <w:rPr>
          <w:rStyle w:val="FootnoteReference"/>
        </w:rPr>
        <w:footnoteReference w:id="37"/>
      </w:r>
      <w:r w:rsidR="00EB2741">
        <w:t xml:space="preserve">  </w:t>
      </w:r>
      <w:r>
        <w:t>SJTV</w:t>
      </w:r>
      <w:r w:rsidRPr="006A24D6">
        <w:t xml:space="preserve"> asserts </w:t>
      </w:r>
      <w:r>
        <w:t>that</w:t>
      </w:r>
      <w:r w:rsidR="00EB2741">
        <w:t>, absent an exemption from the captioning requirements, it would have “</w:t>
      </w:r>
      <w:r>
        <w:t>significant difficulty and expense in continuing the show.”</w:t>
      </w:r>
      <w:r w:rsidRPr="00FD62B1">
        <w:rPr>
          <w:rStyle w:val="FootnoteReference"/>
          <w:szCs w:val="22"/>
        </w:rPr>
        <w:footnoteReference w:id="38"/>
      </w:r>
      <w:r w:rsidRPr="006A24D6">
        <w:t xml:space="preserve">  </w:t>
      </w:r>
    </w:p>
    <w:p w:rsidR="00674552" w:rsidRPr="00FD62B1" w:rsidRDefault="000B276A">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5C51A5">
        <w:rPr>
          <w:i/>
          <w:szCs w:val="22"/>
        </w:rPr>
        <w:t>2014</w:t>
      </w:r>
      <w:r w:rsidR="00F353BF" w:rsidRPr="00EB38D7">
        <w:rPr>
          <w:i/>
          <w:szCs w:val="22"/>
        </w:rPr>
        <w:t xml:space="preserve"> Public Notice</w:t>
      </w:r>
      <w:r w:rsidR="00F353BF">
        <w:rPr>
          <w:szCs w:val="22"/>
        </w:rPr>
        <w:t>,</w:t>
      </w:r>
      <w:r w:rsidRPr="00FD62B1">
        <w:rPr>
          <w:szCs w:val="22"/>
        </w:rPr>
        <w:t xml:space="preserve"> contend that </w:t>
      </w:r>
      <w:r w:rsidR="000C03DD">
        <w:rPr>
          <w:szCs w:val="22"/>
        </w:rPr>
        <w:t>SJTV</w:t>
      </w:r>
      <w:r w:rsidRPr="00FD62B1">
        <w:rPr>
          <w:szCs w:val="22"/>
        </w:rPr>
        <w:t xml:space="preserve"> failed to satisfy the statutory and regulatory requirements to demonstrate</w:t>
      </w:r>
      <w:r w:rsidR="00F353BF" w:rsidRPr="00F353BF">
        <w:rPr>
          <w:szCs w:val="22"/>
        </w:rPr>
        <w:t xml:space="preserve"> </w:t>
      </w:r>
      <w:r w:rsidR="00F353BF" w:rsidRPr="00101734">
        <w:rPr>
          <w:szCs w:val="22"/>
        </w:rPr>
        <w:t>that captioning would be economically burdensome</w:t>
      </w:r>
      <w:r w:rsidR="00875015">
        <w:rPr>
          <w:szCs w:val="22"/>
        </w:rPr>
        <w:t xml:space="preserve"> on several grounds</w:t>
      </w:r>
      <w:r w:rsidR="00F53252" w:rsidRPr="00FD62B1">
        <w:rPr>
          <w:szCs w:val="22"/>
        </w:rPr>
        <w:t>.</w:t>
      </w:r>
      <w:r w:rsidR="00DD0FBF">
        <w:rPr>
          <w:rStyle w:val="FootnoteReference"/>
          <w:szCs w:val="22"/>
        </w:rPr>
        <w:footnoteReference w:id="39"/>
      </w:r>
      <w:r w:rsidR="002A1536" w:rsidRPr="00FD62B1">
        <w:rPr>
          <w:szCs w:val="22"/>
        </w:rPr>
        <w:t xml:space="preserve"> </w:t>
      </w:r>
      <w:r w:rsidR="00275444" w:rsidRPr="00FD62B1">
        <w:rPr>
          <w:szCs w:val="22"/>
        </w:rPr>
        <w:t xml:space="preserve"> </w:t>
      </w:r>
      <w:r w:rsidR="00875015">
        <w:rPr>
          <w:szCs w:val="22"/>
        </w:rPr>
        <w:t xml:space="preserve">First, </w:t>
      </w:r>
      <w:r w:rsidR="00F53252" w:rsidRPr="00FD62B1">
        <w:rPr>
          <w:szCs w:val="22"/>
        </w:rPr>
        <w:t xml:space="preserve">Consumer Groups </w:t>
      </w:r>
      <w:r w:rsidR="00B5525A">
        <w:rPr>
          <w:szCs w:val="22"/>
        </w:rPr>
        <w:t xml:space="preserve">argue that </w:t>
      </w:r>
      <w:r w:rsidR="00D95D57">
        <w:rPr>
          <w:szCs w:val="22"/>
        </w:rPr>
        <w:t>SJTV has artificially driven up the estimated annual cost of closed captioning by requiring a 24 hour turnaround time for closed captioning</w:t>
      </w:r>
      <w:r w:rsidR="00174C03">
        <w:rPr>
          <w:szCs w:val="22"/>
        </w:rPr>
        <w:t>, a requirement</w:t>
      </w:r>
      <w:r w:rsidR="00604AD9">
        <w:rPr>
          <w:szCs w:val="22"/>
        </w:rPr>
        <w:t xml:space="preserve"> that, according to Consumer Groups,</w:t>
      </w:r>
      <w:r w:rsidR="00174C03">
        <w:rPr>
          <w:szCs w:val="22"/>
        </w:rPr>
        <w:t xml:space="preserve"> </w:t>
      </w:r>
      <w:r w:rsidR="00AD2E7C">
        <w:rPr>
          <w:szCs w:val="22"/>
        </w:rPr>
        <w:t xml:space="preserve">seems to conflict </w:t>
      </w:r>
      <w:r w:rsidR="00174C03">
        <w:rPr>
          <w:szCs w:val="22"/>
        </w:rPr>
        <w:t>with a statement in an October 28, 2013 email from VITAC to SJTV stating that SJTV mentioned that it may be able to provide its program to VITAC for captioning a week in advance.</w:t>
      </w:r>
      <w:r w:rsidR="00D95D57">
        <w:rPr>
          <w:rStyle w:val="FootnoteReference"/>
          <w:szCs w:val="22"/>
        </w:rPr>
        <w:footnoteReference w:id="40"/>
      </w:r>
      <w:r w:rsidR="00D95D57">
        <w:rPr>
          <w:szCs w:val="22"/>
        </w:rPr>
        <w:t xml:space="preserve"> </w:t>
      </w:r>
      <w:r w:rsidR="00174C03">
        <w:rPr>
          <w:szCs w:val="22"/>
        </w:rPr>
        <w:t xml:space="preserve"> </w:t>
      </w:r>
      <w:r w:rsidR="00033C6A">
        <w:rPr>
          <w:szCs w:val="22"/>
        </w:rPr>
        <w:t>S</w:t>
      </w:r>
      <w:r w:rsidR="00606A12">
        <w:rPr>
          <w:szCs w:val="22"/>
        </w:rPr>
        <w:t>econd</w:t>
      </w:r>
      <w:r w:rsidR="00174C03">
        <w:rPr>
          <w:szCs w:val="22"/>
        </w:rPr>
        <w:t xml:space="preserve">, Consumer Groups argue </w:t>
      </w:r>
      <w:r w:rsidR="00D95D57">
        <w:rPr>
          <w:szCs w:val="22"/>
        </w:rPr>
        <w:t>that SJTV did not provide documentation that it bargained with closed captioning providers for lower costs.</w:t>
      </w:r>
      <w:r w:rsidR="00D95D57">
        <w:rPr>
          <w:rStyle w:val="FootnoteReference"/>
          <w:szCs w:val="22"/>
        </w:rPr>
        <w:footnoteReference w:id="41"/>
      </w:r>
      <w:r w:rsidR="00D95D57">
        <w:rPr>
          <w:szCs w:val="22"/>
        </w:rPr>
        <w:t xml:space="preserve">  </w:t>
      </w:r>
      <w:r w:rsidR="00033C6A">
        <w:rPr>
          <w:szCs w:val="22"/>
        </w:rPr>
        <w:t>Third</w:t>
      </w:r>
      <w:r w:rsidR="007C130D">
        <w:rPr>
          <w:szCs w:val="22"/>
        </w:rPr>
        <w:t xml:space="preserve">, </w:t>
      </w:r>
      <w:r w:rsidR="00BA242C">
        <w:rPr>
          <w:szCs w:val="22"/>
        </w:rPr>
        <w:t>Consumer Groups argue</w:t>
      </w:r>
      <w:r w:rsidR="007E7F13" w:rsidRPr="00FD62B1">
        <w:rPr>
          <w:szCs w:val="22"/>
        </w:rPr>
        <w:t xml:space="preserve"> that </w:t>
      </w:r>
      <w:r w:rsidR="00052C58">
        <w:rPr>
          <w:szCs w:val="22"/>
        </w:rPr>
        <w:t xml:space="preserve">SJTV </w:t>
      </w:r>
      <w:r w:rsidR="00D95D57">
        <w:rPr>
          <w:szCs w:val="22"/>
        </w:rPr>
        <w:t>“</w:t>
      </w:r>
      <w:r w:rsidR="00052C58">
        <w:rPr>
          <w:szCs w:val="22"/>
        </w:rPr>
        <w:t>offers no evidence that it</w:t>
      </w:r>
      <w:r w:rsidR="007E7F13" w:rsidRPr="00FD62B1">
        <w:rPr>
          <w:szCs w:val="22"/>
        </w:rPr>
        <w:t xml:space="preserve"> </w:t>
      </w:r>
      <w:r w:rsidR="00D95D57">
        <w:rPr>
          <w:szCs w:val="22"/>
        </w:rPr>
        <w:t>requested</w:t>
      </w:r>
      <w:r w:rsidR="00D95D57" w:rsidRPr="00FD62B1">
        <w:rPr>
          <w:szCs w:val="22"/>
        </w:rPr>
        <w:t xml:space="preserve"> </w:t>
      </w:r>
      <w:r w:rsidR="00F53252" w:rsidRPr="00FD62B1">
        <w:rPr>
          <w:szCs w:val="22"/>
        </w:rPr>
        <w:t>captioning a</w:t>
      </w:r>
      <w:r w:rsidR="007E7F13" w:rsidRPr="00FD62B1">
        <w:rPr>
          <w:szCs w:val="22"/>
        </w:rPr>
        <w:t xml:space="preserve">ssistance from </w:t>
      </w:r>
      <w:r w:rsidR="00D95D57">
        <w:rPr>
          <w:szCs w:val="22"/>
        </w:rPr>
        <w:t xml:space="preserve">its programming distributor </w:t>
      </w:r>
      <w:r w:rsidR="00D8077E">
        <w:rPr>
          <w:szCs w:val="22"/>
        </w:rPr>
        <w:t xml:space="preserve">or </w:t>
      </w:r>
      <w:r w:rsidR="00052C58">
        <w:rPr>
          <w:szCs w:val="22"/>
        </w:rPr>
        <w:t>that it sought captioning sponsorship of any kind.</w:t>
      </w:r>
      <w:r w:rsidR="00D95D57">
        <w:rPr>
          <w:szCs w:val="22"/>
        </w:rPr>
        <w:t>”</w:t>
      </w:r>
      <w:r w:rsidR="007E7F13" w:rsidRPr="00FD62B1">
        <w:rPr>
          <w:rStyle w:val="FootnoteReference"/>
          <w:szCs w:val="22"/>
        </w:rPr>
        <w:footnoteReference w:id="42"/>
      </w:r>
      <w:r w:rsidR="007E7F13" w:rsidRPr="00FD62B1">
        <w:rPr>
          <w:szCs w:val="22"/>
        </w:rPr>
        <w:t xml:space="preserve"> </w:t>
      </w:r>
      <w:r w:rsidR="00674552" w:rsidRPr="00FD62B1">
        <w:rPr>
          <w:szCs w:val="22"/>
        </w:rPr>
        <w:t xml:space="preserve"> </w:t>
      </w:r>
      <w:r w:rsidR="00033C6A">
        <w:rPr>
          <w:szCs w:val="22"/>
        </w:rPr>
        <w:t>Fourth</w:t>
      </w:r>
      <w:r w:rsidR="0064668F">
        <w:rPr>
          <w:szCs w:val="22"/>
        </w:rPr>
        <w:t xml:space="preserve">, with regard to SJTV’s financial resources, </w:t>
      </w:r>
      <w:r w:rsidR="007C130D">
        <w:rPr>
          <w:szCs w:val="22"/>
        </w:rPr>
        <w:t>Con</w:t>
      </w:r>
      <w:r w:rsidR="00C338CC">
        <w:rPr>
          <w:szCs w:val="22"/>
        </w:rPr>
        <w:t>sumer Groups argue that SJTV</w:t>
      </w:r>
      <w:r w:rsidR="0064668F">
        <w:rPr>
          <w:szCs w:val="22"/>
        </w:rPr>
        <w:t>’s financial records “indicate that it can pay to caption its programming.”</w:t>
      </w:r>
      <w:r w:rsidR="002C7C2F">
        <w:rPr>
          <w:rStyle w:val="FootnoteReference"/>
          <w:szCs w:val="22"/>
        </w:rPr>
        <w:footnoteReference w:id="43"/>
      </w:r>
      <w:r w:rsidR="0064668F">
        <w:rPr>
          <w:szCs w:val="22"/>
        </w:rPr>
        <w:t xml:space="preserve">  Specifically, Consumer Groups acknowledge that SJTV “may have had some financial difficulty in 2011” but assert that it has </w:t>
      </w:r>
      <w:r w:rsidR="002C59F8">
        <w:rPr>
          <w:szCs w:val="22"/>
        </w:rPr>
        <w:t>“</w:t>
      </w:r>
      <w:r w:rsidR="0064668F">
        <w:rPr>
          <w:szCs w:val="22"/>
        </w:rPr>
        <w:t xml:space="preserve">an annual budget of </w:t>
      </w:r>
      <w:r w:rsidR="002C59F8">
        <w:rPr>
          <w:szCs w:val="22"/>
        </w:rPr>
        <w:t xml:space="preserve">about </w:t>
      </w:r>
      <w:r w:rsidR="0064668F">
        <w:rPr>
          <w:szCs w:val="22"/>
        </w:rPr>
        <w:t>$120,000</w:t>
      </w:r>
      <w:r w:rsidR="002C59F8">
        <w:rPr>
          <w:szCs w:val="22"/>
        </w:rPr>
        <w:t>”</w:t>
      </w:r>
      <w:r w:rsidR="0064668F">
        <w:rPr>
          <w:szCs w:val="22"/>
        </w:rPr>
        <w:t xml:space="preserve"> and had </w:t>
      </w:r>
      <w:r w:rsidR="002C59F8">
        <w:rPr>
          <w:szCs w:val="22"/>
        </w:rPr>
        <w:t>“</w:t>
      </w:r>
      <w:r w:rsidR="0064668F">
        <w:rPr>
          <w:szCs w:val="22"/>
        </w:rPr>
        <w:t>a surplus of $4,977</w:t>
      </w:r>
      <w:r w:rsidR="002C59F8">
        <w:rPr>
          <w:szCs w:val="22"/>
        </w:rPr>
        <w:t>”</w:t>
      </w:r>
      <w:r w:rsidR="0064668F">
        <w:rPr>
          <w:szCs w:val="22"/>
        </w:rPr>
        <w:t xml:space="preserve"> in 2012.</w:t>
      </w:r>
      <w:r w:rsidR="0064668F">
        <w:rPr>
          <w:rStyle w:val="FootnoteReference"/>
          <w:szCs w:val="22"/>
        </w:rPr>
        <w:footnoteReference w:id="44"/>
      </w:r>
      <w:r w:rsidR="0064668F">
        <w:rPr>
          <w:szCs w:val="22"/>
        </w:rPr>
        <w:t xml:space="preserve">  Thus, Consumer Groups conclude, SJTV has failed to show that providing closed captioning would be economically burdensome.</w:t>
      </w:r>
      <w:r w:rsidR="0064668F">
        <w:rPr>
          <w:rStyle w:val="FootnoteReference"/>
          <w:szCs w:val="22"/>
        </w:rPr>
        <w:footnoteReference w:id="45"/>
      </w:r>
    </w:p>
    <w:p w:rsidR="002C7C2F" w:rsidRPr="005D722E" w:rsidRDefault="00522DEB">
      <w:pPr>
        <w:pStyle w:val="ParaNum"/>
        <w:widowControl/>
        <w:tabs>
          <w:tab w:val="clear" w:pos="1080"/>
        </w:tabs>
        <w:spacing w:after="120"/>
        <w:jc w:val="left"/>
        <w:rPr>
          <w:szCs w:val="22"/>
        </w:rPr>
      </w:pPr>
      <w:r w:rsidRPr="00616A45">
        <w:rPr>
          <w:i/>
          <w:szCs w:val="22"/>
        </w:rPr>
        <w:t>Determination.</w:t>
      </w:r>
      <w:r w:rsidRPr="00616A45">
        <w:rPr>
          <w:szCs w:val="22"/>
        </w:rPr>
        <w:t xml:space="preserve">  </w:t>
      </w:r>
      <w:r w:rsidR="00275444" w:rsidRPr="00616A45">
        <w:rPr>
          <w:szCs w:val="22"/>
        </w:rPr>
        <w:t>After</w:t>
      </w:r>
      <w:r w:rsidR="00942BD9" w:rsidRPr="00616A45">
        <w:rPr>
          <w:szCs w:val="22"/>
        </w:rPr>
        <w:t xml:space="preserve"> a </w:t>
      </w:r>
      <w:r w:rsidR="00CD1F73" w:rsidRPr="00616A45">
        <w:rPr>
          <w:szCs w:val="22"/>
        </w:rPr>
        <w:t xml:space="preserve">careful </w:t>
      </w:r>
      <w:r w:rsidR="00942BD9" w:rsidRPr="00616A45">
        <w:rPr>
          <w:szCs w:val="22"/>
        </w:rPr>
        <w:t>review of the record</w:t>
      </w:r>
      <w:r w:rsidR="00275444" w:rsidRPr="00616A45">
        <w:rPr>
          <w:szCs w:val="22"/>
        </w:rPr>
        <w:t xml:space="preserve">, </w:t>
      </w:r>
      <w:r w:rsidR="0044614E" w:rsidRPr="00616A45">
        <w:rPr>
          <w:szCs w:val="22"/>
        </w:rPr>
        <w:t xml:space="preserve">the Bureau </w:t>
      </w:r>
      <w:r w:rsidRPr="00616A45">
        <w:rPr>
          <w:szCs w:val="22"/>
        </w:rPr>
        <w:t>find</w:t>
      </w:r>
      <w:r w:rsidR="0044614E" w:rsidRPr="00616A45">
        <w:rPr>
          <w:szCs w:val="22"/>
        </w:rPr>
        <w:t>s</w:t>
      </w:r>
      <w:r w:rsidRPr="00616A45">
        <w:rPr>
          <w:szCs w:val="22"/>
        </w:rPr>
        <w:t xml:space="preserve"> that </w:t>
      </w:r>
      <w:r w:rsidR="007E41D7" w:rsidRPr="00616A45">
        <w:rPr>
          <w:szCs w:val="22"/>
        </w:rPr>
        <w:t>SJTV</w:t>
      </w:r>
      <w:r w:rsidR="00375862" w:rsidRPr="00616A45">
        <w:rPr>
          <w:szCs w:val="22"/>
        </w:rPr>
        <w:t xml:space="preserve"> has demonstrated that the provision of closed captioning for </w:t>
      </w:r>
      <w:r w:rsidR="00205193" w:rsidRPr="00616A45">
        <w:rPr>
          <w:i/>
          <w:szCs w:val="22"/>
        </w:rPr>
        <w:t>CNY’s Open House</w:t>
      </w:r>
      <w:r w:rsidR="00375862" w:rsidRPr="00616A45">
        <w:rPr>
          <w:i/>
          <w:szCs w:val="22"/>
        </w:rPr>
        <w:t xml:space="preserve"> </w:t>
      </w:r>
      <w:r w:rsidR="00375862" w:rsidRPr="00616A45">
        <w:rPr>
          <w:szCs w:val="22"/>
        </w:rPr>
        <w:t xml:space="preserve">would be economically burdensome.  </w:t>
      </w:r>
      <w:r w:rsidR="000355DB" w:rsidRPr="00077652">
        <w:rPr>
          <w:szCs w:val="22"/>
        </w:rPr>
        <w:t xml:space="preserve">As an initial matter, the Commission has previously determined that, when conducting an economically burdensome analysis, “all of the petitioners’ available resources” </w:t>
      </w:r>
      <w:r w:rsidR="000355DB" w:rsidRPr="00616A45">
        <w:rPr>
          <w:szCs w:val="22"/>
        </w:rPr>
        <w:t>must be taken into consideration.</w:t>
      </w:r>
      <w:r w:rsidR="000355DB" w:rsidRPr="00FD62B1">
        <w:rPr>
          <w:rStyle w:val="FootnoteReference"/>
          <w:szCs w:val="22"/>
        </w:rPr>
        <w:footnoteReference w:id="46"/>
      </w:r>
      <w:r w:rsidR="000355DB" w:rsidRPr="00616A45">
        <w:rPr>
          <w:szCs w:val="22"/>
        </w:rPr>
        <w:t xml:space="preserve">  </w:t>
      </w:r>
      <w:r w:rsidR="00616A45">
        <w:t>The Commission has rejected suggestions “to consider only the resources available for a specific program” in making the determination of whether the provision of closed captioning is economically burdensome.</w:t>
      </w:r>
      <w:r w:rsidR="00616A45">
        <w:rPr>
          <w:rStyle w:val="FootnoteReference"/>
        </w:rPr>
        <w:footnoteReference w:id="47"/>
      </w:r>
      <w:r w:rsidR="00616A45">
        <w:t xml:space="preserve">  Therefore, we now consider the overall financial resources available to SJTV in determining whether it would be economically burdensome to comply with the Commission’s </w:t>
      </w:r>
      <w:r w:rsidR="00616A45" w:rsidRPr="005D722E">
        <w:t>closed captioning requirements.</w:t>
      </w:r>
      <w:r w:rsidR="00616A45" w:rsidRPr="005D722E" w:rsidDel="00616A45">
        <w:t xml:space="preserve"> </w:t>
      </w:r>
    </w:p>
    <w:p w:rsidR="00077652" w:rsidRPr="005D722E" w:rsidRDefault="00077652">
      <w:pPr>
        <w:pStyle w:val="ParaNum"/>
        <w:widowControl/>
        <w:tabs>
          <w:tab w:val="clear" w:pos="1080"/>
        </w:tabs>
        <w:spacing w:after="120"/>
        <w:jc w:val="left"/>
        <w:rPr>
          <w:szCs w:val="22"/>
        </w:rPr>
      </w:pPr>
      <w:r w:rsidRPr="005D722E">
        <w:rPr>
          <w:szCs w:val="22"/>
        </w:rPr>
        <w:t>According to the information and documentation it has provided, SJTV had net income of $15,246 in 2012 and $17,359 in 2011.</w:t>
      </w:r>
      <w:r w:rsidRPr="005D722E">
        <w:rPr>
          <w:rStyle w:val="FootnoteReference"/>
          <w:szCs w:val="22"/>
        </w:rPr>
        <w:footnoteReference w:id="48"/>
      </w:r>
      <w:r w:rsidRPr="005D722E">
        <w:rPr>
          <w:szCs w:val="22"/>
        </w:rPr>
        <w:t xml:space="preserve">  SJTV also had net current assets of $12,451 and $1,839 as of December 31, 2012 and December 31, 2011, respectively.</w:t>
      </w:r>
      <w:r w:rsidR="00553777" w:rsidRPr="005D722E">
        <w:rPr>
          <w:rStyle w:val="FootnoteReference"/>
          <w:szCs w:val="22"/>
        </w:rPr>
        <w:footnoteReference w:id="49"/>
      </w:r>
      <w:r w:rsidRPr="005D722E">
        <w:rPr>
          <w:szCs w:val="22"/>
        </w:rPr>
        <w:t xml:space="preserve">  SJTV asserts that that the annual cost of obtaining closed captioning for </w:t>
      </w:r>
      <w:r w:rsidRPr="005D722E">
        <w:rPr>
          <w:i/>
          <w:szCs w:val="22"/>
        </w:rPr>
        <w:t>CNY’s Open House</w:t>
      </w:r>
      <w:r w:rsidRPr="005D722E">
        <w:rPr>
          <w:szCs w:val="22"/>
        </w:rPr>
        <w:t xml:space="preserve"> would be $15,600.</w:t>
      </w:r>
      <w:r w:rsidR="00553777" w:rsidRPr="005D722E">
        <w:rPr>
          <w:rStyle w:val="FootnoteReference"/>
          <w:szCs w:val="22"/>
        </w:rPr>
        <w:footnoteReference w:id="50"/>
      </w:r>
      <w:r w:rsidRPr="005D722E">
        <w:rPr>
          <w:szCs w:val="22"/>
        </w:rPr>
        <w:t xml:space="preserve">  SJTV’s net income </w:t>
      </w:r>
      <w:r w:rsidR="00553777" w:rsidRPr="005D722E">
        <w:rPr>
          <w:szCs w:val="22"/>
        </w:rPr>
        <w:t xml:space="preserve">in 2012 and 2011, along with its </w:t>
      </w:r>
      <w:r w:rsidR="00BE40CA">
        <w:rPr>
          <w:szCs w:val="22"/>
        </w:rPr>
        <w:t xml:space="preserve">minimal </w:t>
      </w:r>
      <w:r w:rsidRPr="005D722E">
        <w:rPr>
          <w:szCs w:val="22"/>
        </w:rPr>
        <w:t xml:space="preserve">net current assets as of December 31, 2012 and December 31, 2011, provide evidence that the provision of closed captioning would be economically burdensome.  </w:t>
      </w:r>
      <w:r w:rsidR="002C59F8">
        <w:rPr>
          <w:szCs w:val="22"/>
        </w:rPr>
        <w:t xml:space="preserve">We are </w:t>
      </w:r>
      <w:r w:rsidR="001043E5">
        <w:rPr>
          <w:szCs w:val="22"/>
        </w:rPr>
        <w:t xml:space="preserve">therefore </w:t>
      </w:r>
      <w:r w:rsidR="002C59F8">
        <w:rPr>
          <w:szCs w:val="22"/>
        </w:rPr>
        <w:t xml:space="preserve">persuaded, based on this information, that having to caption </w:t>
      </w:r>
      <w:r w:rsidR="002C59F8" w:rsidRPr="006E4CD4">
        <w:rPr>
          <w:i/>
          <w:szCs w:val="22"/>
        </w:rPr>
        <w:t>CNY’s Open House</w:t>
      </w:r>
      <w:r w:rsidR="002C59F8">
        <w:rPr>
          <w:szCs w:val="22"/>
        </w:rPr>
        <w:t xml:space="preserve"> would possibly lead to the termination of the program.  </w:t>
      </w:r>
      <w:r w:rsidRPr="005D722E">
        <w:rPr>
          <w:szCs w:val="22"/>
        </w:rPr>
        <w:t xml:space="preserve"> </w:t>
      </w:r>
    </w:p>
    <w:p w:rsidR="00F46F06" w:rsidRDefault="002C59F8" w:rsidP="006E4CD4">
      <w:pPr>
        <w:pStyle w:val="ParaNum"/>
        <w:widowControl/>
        <w:tabs>
          <w:tab w:val="clear" w:pos="1080"/>
        </w:tabs>
        <w:spacing w:after="120"/>
        <w:jc w:val="left"/>
        <w:rPr>
          <w:szCs w:val="22"/>
        </w:rPr>
      </w:pPr>
      <w:r w:rsidRPr="00174C03">
        <w:rPr>
          <w:szCs w:val="22"/>
        </w:rPr>
        <w:t xml:space="preserve">We are not persuaded by Consumer Groups’ arguments in opposition to the Petition.  </w:t>
      </w:r>
      <w:r w:rsidR="00174C03">
        <w:rPr>
          <w:szCs w:val="22"/>
        </w:rPr>
        <w:t>First, w</w:t>
      </w:r>
      <w:r w:rsidR="00174C03" w:rsidRPr="00174C03">
        <w:rPr>
          <w:szCs w:val="22"/>
        </w:rPr>
        <w:t xml:space="preserve">e reject Consumer Groups’ argument that SJTV </w:t>
      </w:r>
      <w:r w:rsidR="00033C6A">
        <w:rPr>
          <w:szCs w:val="22"/>
        </w:rPr>
        <w:t xml:space="preserve">is claiming the need for </w:t>
      </w:r>
      <w:r w:rsidR="00174C03" w:rsidRPr="00174C03">
        <w:rPr>
          <w:szCs w:val="22"/>
        </w:rPr>
        <w:t xml:space="preserve">a 24 hour turnaround for closed captioning </w:t>
      </w:r>
      <w:r w:rsidR="00033C6A">
        <w:rPr>
          <w:szCs w:val="22"/>
        </w:rPr>
        <w:t xml:space="preserve">solely </w:t>
      </w:r>
      <w:r w:rsidR="00174C03" w:rsidRPr="00174C03">
        <w:rPr>
          <w:szCs w:val="22"/>
        </w:rPr>
        <w:t>to “artificially drive up” its closed captioning costs.</w:t>
      </w:r>
      <w:r w:rsidR="00174C03">
        <w:rPr>
          <w:rStyle w:val="FootnoteReference"/>
          <w:szCs w:val="22"/>
        </w:rPr>
        <w:footnoteReference w:id="51"/>
      </w:r>
      <w:r w:rsidR="00174C03" w:rsidRPr="00174C03">
        <w:rPr>
          <w:szCs w:val="22"/>
        </w:rPr>
        <w:t xml:space="preserve">  In its Petition, as supplemented, SJTV states a 24 hour turnaround time is its “only viable option” for closed captioning due to its production schedule</w:t>
      </w:r>
      <w:r w:rsidR="00B8491B">
        <w:rPr>
          <w:szCs w:val="22"/>
        </w:rPr>
        <w:t>,</w:t>
      </w:r>
      <w:r w:rsidR="00174C03" w:rsidRPr="00174C03">
        <w:rPr>
          <w:szCs w:val="22"/>
        </w:rPr>
        <w:t xml:space="preserve"> and</w:t>
      </w:r>
      <w:r w:rsidR="00B8491B">
        <w:rPr>
          <w:szCs w:val="22"/>
        </w:rPr>
        <w:t xml:space="preserve"> SJTV</w:t>
      </w:r>
      <w:r w:rsidR="00174C03" w:rsidRPr="00174C03">
        <w:rPr>
          <w:szCs w:val="22"/>
        </w:rPr>
        <w:t xml:space="preserve"> provides an affidavit attesting to the truthfulness of this assertion.</w:t>
      </w:r>
      <w:r w:rsidR="00174C03" w:rsidRPr="00174C03">
        <w:rPr>
          <w:rStyle w:val="FootnoteReference"/>
          <w:szCs w:val="22"/>
        </w:rPr>
        <w:footnoteReference w:id="52"/>
      </w:r>
      <w:r w:rsidR="00174C03" w:rsidRPr="00174C03">
        <w:rPr>
          <w:szCs w:val="22"/>
        </w:rPr>
        <w:t xml:space="preserve">  </w:t>
      </w:r>
      <w:r w:rsidR="00B8491B">
        <w:rPr>
          <w:szCs w:val="22"/>
        </w:rPr>
        <w:t>In addition, SJTV’s statement in its Petition, as supplemented, that it requires a 24 hour turnaround time</w:t>
      </w:r>
      <w:r w:rsidR="00174C03" w:rsidRPr="00174C03">
        <w:rPr>
          <w:szCs w:val="22"/>
        </w:rPr>
        <w:t xml:space="preserve"> does not conflict with statements in the October 28, 2013 email from VITAC</w:t>
      </w:r>
      <w:r w:rsidR="00B8491B">
        <w:rPr>
          <w:szCs w:val="22"/>
        </w:rPr>
        <w:t>.  Th</w:t>
      </w:r>
      <w:r w:rsidR="00033C6A">
        <w:rPr>
          <w:szCs w:val="22"/>
        </w:rPr>
        <w:t xml:space="preserve">e </w:t>
      </w:r>
      <w:r w:rsidR="00B8491B">
        <w:rPr>
          <w:szCs w:val="22"/>
        </w:rPr>
        <w:t>email</w:t>
      </w:r>
      <w:r w:rsidR="00174C03" w:rsidRPr="00174C03">
        <w:rPr>
          <w:szCs w:val="22"/>
        </w:rPr>
        <w:t xml:space="preserve"> </w:t>
      </w:r>
      <w:r w:rsidR="00033C6A">
        <w:rPr>
          <w:szCs w:val="22"/>
        </w:rPr>
        <w:t xml:space="preserve">from VITAC </w:t>
      </w:r>
      <w:r w:rsidR="00174C03" w:rsidRPr="00174C03">
        <w:rPr>
          <w:szCs w:val="22"/>
        </w:rPr>
        <w:t>state</w:t>
      </w:r>
      <w:r w:rsidR="00033C6A">
        <w:rPr>
          <w:szCs w:val="22"/>
        </w:rPr>
        <w:t>d</w:t>
      </w:r>
      <w:r w:rsidR="00174C03" w:rsidRPr="00174C03">
        <w:rPr>
          <w:szCs w:val="22"/>
        </w:rPr>
        <w:t xml:space="preserve"> only that SJTV mentioned that it “perhaps</w:t>
      </w:r>
      <w:r w:rsidR="00174C03" w:rsidRPr="00B8491B">
        <w:rPr>
          <w:szCs w:val="22"/>
        </w:rPr>
        <w:t xml:space="preserve">” could provide the program a week in advance for captioning and </w:t>
      </w:r>
      <w:r w:rsidR="00033C6A">
        <w:rPr>
          <w:szCs w:val="22"/>
        </w:rPr>
        <w:t>further</w:t>
      </w:r>
      <w:r w:rsidR="00174C03" w:rsidRPr="00B8491B">
        <w:rPr>
          <w:szCs w:val="22"/>
        </w:rPr>
        <w:t xml:space="preserve"> stated, “</w:t>
      </w:r>
      <w:r w:rsidR="00B8491B">
        <w:rPr>
          <w:szCs w:val="22"/>
        </w:rPr>
        <w:t>[Y]</w:t>
      </w:r>
      <w:r w:rsidR="00174C03" w:rsidRPr="00174C03">
        <w:rPr>
          <w:szCs w:val="22"/>
        </w:rPr>
        <w:t>our turnaround for delivering a program to us on Thursday and needing to deliver to your client on Friday afternoon is tight.”</w:t>
      </w:r>
      <w:r w:rsidR="00B8491B">
        <w:rPr>
          <w:szCs w:val="22"/>
        </w:rPr>
        <w:t xml:space="preserve">  Accordingly, we accept SJTV’s claim that it requires a 24 hour turnaround time </w:t>
      </w:r>
      <w:r w:rsidR="00033C6A">
        <w:rPr>
          <w:szCs w:val="22"/>
        </w:rPr>
        <w:t xml:space="preserve">to obtain </w:t>
      </w:r>
      <w:r w:rsidR="00B8491B">
        <w:rPr>
          <w:szCs w:val="22"/>
        </w:rPr>
        <w:t xml:space="preserve">closed captioning </w:t>
      </w:r>
      <w:r w:rsidR="001043E5">
        <w:rPr>
          <w:szCs w:val="22"/>
        </w:rPr>
        <w:t xml:space="preserve">for </w:t>
      </w:r>
      <w:r w:rsidR="00033C6A">
        <w:rPr>
          <w:szCs w:val="22"/>
        </w:rPr>
        <w:t xml:space="preserve">its program, </w:t>
      </w:r>
      <w:r w:rsidR="00B8491B">
        <w:rPr>
          <w:szCs w:val="22"/>
        </w:rPr>
        <w:t xml:space="preserve">and </w:t>
      </w:r>
      <w:r w:rsidR="00033C6A">
        <w:rPr>
          <w:szCs w:val="22"/>
        </w:rPr>
        <w:t xml:space="preserve">thus, </w:t>
      </w:r>
      <w:r w:rsidR="00B8491B">
        <w:rPr>
          <w:szCs w:val="22"/>
        </w:rPr>
        <w:t>use the annual estimate for closed captioning costs of $15,600 in determining whether providing closed captioning would be economically burdensome for SJTV.  In addition, c</w:t>
      </w:r>
      <w:r w:rsidRPr="00B8491B">
        <w:rPr>
          <w:szCs w:val="22"/>
        </w:rPr>
        <w:t>ontrary to suggestions by Consumer Groups,</w:t>
      </w:r>
      <w:r>
        <w:rPr>
          <w:rStyle w:val="FootnoteReference"/>
          <w:szCs w:val="22"/>
        </w:rPr>
        <w:footnoteReference w:id="53"/>
      </w:r>
      <w:r w:rsidRPr="00B8491B">
        <w:rPr>
          <w:szCs w:val="22"/>
        </w:rPr>
        <w:t xml:space="preserve"> we do not require petitioners to demonstrate that they negotiated with closed c</w:t>
      </w:r>
      <w:r w:rsidRPr="006E4CD4">
        <w:rPr>
          <w:szCs w:val="22"/>
        </w:rPr>
        <w:t xml:space="preserve">aptioning service providers for captioning costs that are lower than </w:t>
      </w:r>
      <w:r w:rsidRPr="00C02B40">
        <w:rPr>
          <w:szCs w:val="22"/>
        </w:rPr>
        <w:t>the quotes they provide to the Commission.</w:t>
      </w:r>
      <w:r>
        <w:rPr>
          <w:rStyle w:val="FootnoteReference"/>
          <w:szCs w:val="22"/>
        </w:rPr>
        <w:footnoteReference w:id="54"/>
      </w:r>
      <w:r w:rsidRPr="00B8491B">
        <w:rPr>
          <w:szCs w:val="22"/>
        </w:rPr>
        <w:t xml:space="preserve">  Consumer Groups do not cite to any authority in support of such a requirement, and generally information on captioning costs from multiple sources has been sufficient to aid the Bureau in its analysis of the imp</w:t>
      </w:r>
      <w:r w:rsidRPr="006E4CD4">
        <w:rPr>
          <w:szCs w:val="22"/>
        </w:rPr>
        <w:t>act that closed captioning obligations can have on a petit</w:t>
      </w:r>
      <w:r w:rsidRPr="00B8491B">
        <w:rPr>
          <w:szCs w:val="22"/>
        </w:rPr>
        <w:t>ioner’s programming operations.</w:t>
      </w:r>
      <w:r>
        <w:rPr>
          <w:rStyle w:val="FootnoteReference"/>
          <w:szCs w:val="22"/>
        </w:rPr>
        <w:footnoteReference w:id="55"/>
      </w:r>
      <w:r w:rsidRPr="00B8491B">
        <w:rPr>
          <w:szCs w:val="22"/>
        </w:rPr>
        <w:t xml:space="preserve">  </w:t>
      </w:r>
    </w:p>
    <w:p w:rsidR="002C59F8" w:rsidRPr="00B8491B" w:rsidRDefault="00BE40CA" w:rsidP="006E4CD4">
      <w:pPr>
        <w:pStyle w:val="ParaNum"/>
        <w:widowControl/>
        <w:tabs>
          <w:tab w:val="clear" w:pos="1080"/>
        </w:tabs>
        <w:spacing w:after="120"/>
        <w:jc w:val="left"/>
        <w:rPr>
          <w:szCs w:val="22"/>
        </w:rPr>
      </w:pPr>
      <w:r w:rsidRPr="00B8491B">
        <w:rPr>
          <w:szCs w:val="22"/>
        </w:rPr>
        <w:t>We also reject Consumer Groups’ assertion that SJTV’s Petition should be denied because it failed to offer “evidence” that it requested captioning assistance from i</w:t>
      </w:r>
      <w:r w:rsidRPr="006E4CD4">
        <w:rPr>
          <w:szCs w:val="22"/>
        </w:rPr>
        <w:t>ts programming distributor or that it sought captioning sponsorships.</w:t>
      </w:r>
      <w:r>
        <w:rPr>
          <w:rStyle w:val="FootnoteReference"/>
          <w:szCs w:val="22"/>
        </w:rPr>
        <w:footnoteReference w:id="56"/>
      </w:r>
      <w:r w:rsidRPr="00B8491B">
        <w:rPr>
          <w:szCs w:val="22"/>
        </w:rPr>
        <w:t xml:space="preserve"> </w:t>
      </w:r>
      <w:r w:rsidR="00B8491B">
        <w:rPr>
          <w:szCs w:val="22"/>
        </w:rPr>
        <w:t xml:space="preserve"> </w:t>
      </w:r>
      <w:r w:rsidRPr="00B8491B">
        <w:rPr>
          <w:szCs w:val="22"/>
        </w:rPr>
        <w:t>SJTV states in its Petition, as supplemented, that its video programming distributors are unable to offer captioning assistance and that it regularly “seeks out the addition of new sponsors</w:t>
      </w:r>
      <w:r w:rsidR="00F46F06">
        <w:rPr>
          <w:szCs w:val="22"/>
        </w:rPr>
        <w:t>,</w:t>
      </w:r>
      <w:r w:rsidRPr="00B8491B">
        <w:rPr>
          <w:szCs w:val="22"/>
        </w:rPr>
        <w:t>”</w:t>
      </w:r>
      <w:r w:rsidR="00DB1169">
        <w:rPr>
          <w:rStyle w:val="FootnoteReference"/>
          <w:szCs w:val="22"/>
        </w:rPr>
        <w:footnoteReference w:id="57"/>
      </w:r>
      <w:r w:rsidR="00F46F06">
        <w:rPr>
          <w:szCs w:val="22"/>
        </w:rPr>
        <w:t xml:space="preserve"> but that it has not been successful in securing such sponsorships.</w:t>
      </w:r>
      <w:r w:rsidR="00F46F06">
        <w:rPr>
          <w:rStyle w:val="FootnoteReference"/>
          <w:szCs w:val="22"/>
        </w:rPr>
        <w:footnoteReference w:id="58"/>
      </w:r>
      <w:r w:rsidR="00F46F06">
        <w:rPr>
          <w:szCs w:val="22"/>
        </w:rPr>
        <w:t xml:space="preserve"> </w:t>
      </w:r>
      <w:r w:rsidRPr="00B8491B">
        <w:rPr>
          <w:szCs w:val="22"/>
        </w:rPr>
        <w:t xml:space="preserve"> We do not require petitioners to document their attempts to seek closed captioning assistance from their video programming distributors or their attempts to seek </w:t>
      </w:r>
      <w:r w:rsidR="0002659E">
        <w:rPr>
          <w:szCs w:val="22"/>
        </w:rPr>
        <w:t xml:space="preserve">additional </w:t>
      </w:r>
      <w:r w:rsidRPr="00B8491B">
        <w:rPr>
          <w:szCs w:val="22"/>
        </w:rPr>
        <w:t>sponsorships.</w:t>
      </w:r>
      <w:r w:rsidR="002C59F8">
        <w:rPr>
          <w:rStyle w:val="FootnoteReference"/>
          <w:szCs w:val="22"/>
        </w:rPr>
        <w:footnoteReference w:id="59"/>
      </w:r>
      <w:r w:rsidR="002C59F8" w:rsidRPr="00B8491B">
        <w:rPr>
          <w:szCs w:val="22"/>
        </w:rPr>
        <w:t xml:space="preserve">  Accordingly, </w:t>
      </w:r>
      <w:r w:rsidR="00DB1169" w:rsidRPr="00B8491B">
        <w:rPr>
          <w:szCs w:val="22"/>
        </w:rPr>
        <w:t>SJTV</w:t>
      </w:r>
      <w:r w:rsidR="002C59F8" w:rsidRPr="00B8491B">
        <w:rPr>
          <w:szCs w:val="22"/>
        </w:rPr>
        <w:t>’s statement verifying that it sought additional sponsorships satisfies the Commission</w:t>
      </w:r>
      <w:r w:rsidR="002C59F8" w:rsidRPr="006E4CD4">
        <w:rPr>
          <w:szCs w:val="22"/>
        </w:rPr>
        <w:t>’s requirement to s</w:t>
      </w:r>
      <w:r w:rsidR="002C59F8" w:rsidRPr="00C02B40">
        <w:rPr>
          <w:szCs w:val="22"/>
        </w:rPr>
        <w:t>eek outside sponsorship</w:t>
      </w:r>
      <w:r w:rsidR="002C59F8" w:rsidRPr="00B8491B">
        <w:rPr>
          <w:szCs w:val="22"/>
        </w:rPr>
        <w:t xml:space="preserve">s for closed captioning.  </w:t>
      </w:r>
    </w:p>
    <w:p w:rsidR="002C59F8" w:rsidRPr="00A26804" w:rsidRDefault="00DB1169" w:rsidP="002C59F8">
      <w:pPr>
        <w:pStyle w:val="ParaNum"/>
        <w:widowControl/>
        <w:spacing w:after="120"/>
        <w:jc w:val="left"/>
      </w:pPr>
      <w:r>
        <w:t>SJTV</w:t>
      </w:r>
      <w:r w:rsidR="002C59F8" w:rsidRPr="00A26804">
        <w:t xml:space="preserve"> does not specify a timeframe for the exemption that </w:t>
      </w:r>
      <w:r w:rsidR="002C59F8">
        <w:t>it</w:t>
      </w:r>
      <w:r w:rsidR="002C59F8" w:rsidRPr="00A26804">
        <w:t xml:space="preserve"> requests.  As the Commission has previously noted, an exemption from the captioning rules is “not designed to perpetually relieve a petitioner of its captioning obligation.”</w:t>
      </w:r>
      <w:r w:rsidR="002C59F8" w:rsidRPr="00F0277B">
        <w:rPr>
          <w:vertAlign w:val="superscript"/>
        </w:rPr>
        <w:footnoteReference w:id="60"/>
      </w:r>
      <w:r w:rsidR="002C59F8" w:rsidRPr="00A26804">
        <w:t xml:space="preserve">  The Commission has recognized that “changes in technology, the economics of captioning, or the financial resources of a video programming provider may affect the justification for an undue burden exemption” over time and, therefore, “it is better to maintain the flexibility to limit the duration of an </w:t>
      </w:r>
      <w:r w:rsidR="005D040F">
        <w:t>[economic]</w:t>
      </w:r>
      <w:r w:rsidR="002C59F8" w:rsidRPr="00A26804">
        <w:t xml:space="preserve"> burden exemption if the facts before us indicate that the particular circumstances of the petition warrant a limited exemption.”</w:t>
      </w:r>
      <w:r w:rsidR="002C59F8" w:rsidRPr="00F0277B">
        <w:rPr>
          <w:vertAlign w:val="superscript"/>
        </w:rPr>
        <w:footnoteReference w:id="61"/>
      </w:r>
      <w:r w:rsidR="002C59F8" w:rsidRPr="00A26804">
        <w:t xml:space="preserve">  Similarly, the Commission has stated its intention to “consider time limits . . . when evaluating requests for </w:t>
      </w:r>
      <w:r w:rsidR="005D040F">
        <w:t>[economic]</w:t>
      </w:r>
      <w:r w:rsidR="002C59F8" w:rsidRPr="00A26804">
        <w:t xml:space="preserve"> burden exemptions on the basis of the information regarding individual circumstances.”</w:t>
      </w:r>
      <w:r w:rsidR="002C59F8" w:rsidRPr="00F0277B">
        <w:rPr>
          <w:vertAlign w:val="superscript"/>
        </w:rPr>
        <w:footnoteReference w:id="62"/>
      </w:r>
      <w:r w:rsidR="002C59F8" w:rsidRPr="00A26804">
        <w:t xml:space="preserve">  The situation of a petitioner may change over time and may no longer warrant continuation of the exemption.  In the event that a petitioner does continue to need an exemption, </w:t>
      </w:r>
      <w:r w:rsidR="002C59F8">
        <w:t>it</w:t>
      </w:r>
      <w:r w:rsidR="002C59F8" w:rsidRPr="00A26804">
        <w:t xml:space="preserve"> may submit a new petition to extend the exemption for additional time.  </w:t>
      </w:r>
    </w:p>
    <w:p w:rsidR="00E07473" w:rsidRPr="003B1336" w:rsidRDefault="002C59F8" w:rsidP="00A16B50">
      <w:pPr>
        <w:pStyle w:val="ParaNum"/>
        <w:widowControl/>
        <w:numPr>
          <w:ilvl w:val="0"/>
          <w:numId w:val="0"/>
        </w:numPr>
        <w:spacing w:after="120"/>
        <w:ind w:firstLine="720"/>
        <w:jc w:val="left"/>
        <w:rPr>
          <w:szCs w:val="22"/>
        </w:rPr>
      </w:pPr>
      <w:r>
        <w:t>As discussed above, in the ins</w:t>
      </w:r>
      <w:r w:rsidR="00DB1169">
        <w:t>tant case, we conclude that SJTV</w:t>
      </w:r>
      <w:r>
        <w:t xml:space="preserve"> </w:t>
      </w:r>
      <w:r w:rsidRPr="003B1336">
        <w:rPr>
          <w:szCs w:val="22"/>
        </w:rPr>
        <w:t xml:space="preserve">has demonstrated that its financial situation, as reflected in its submissions to the Commission, makes captioning costs economically burdensome for it.  Given the evolution of technology, potential drops in the cost of captioning over time, and the possibility that the financial status of </w:t>
      </w:r>
      <w:r w:rsidR="00DB1169" w:rsidRPr="003B1336">
        <w:rPr>
          <w:szCs w:val="22"/>
        </w:rPr>
        <w:t>SJTV</w:t>
      </w:r>
      <w:r w:rsidRPr="003B1336">
        <w:rPr>
          <w:szCs w:val="22"/>
        </w:rPr>
        <w:t xml:space="preserve"> may change, we conclude that an exemption of two years is warranted in this case.  We further believe this</w:t>
      </w:r>
      <w:r w:rsidR="00DB1169" w:rsidRPr="003B1336">
        <w:rPr>
          <w:szCs w:val="22"/>
        </w:rPr>
        <w:t xml:space="preserve"> period of time will give SJTV</w:t>
      </w:r>
      <w:r w:rsidRPr="003B1336">
        <w:rPr>
          <w:szCs w:val="22"/>
        </w:rPr>
        <w:t xml:space="preserve"> ample time to locate ways to comply with the closed captioning requirements.   </w:t>
      </w:r>
    </w:p>
    <w:p w:rsidR="00F013EA" w:rsidRPr="00FD62B1" w:rsidRDefault="00F013EA">
      <w:pPr>
        <w:pStyle w:val="Heading1"/>
        <w:keepNext w:val="0"/>
        <w:widowControl/>
        <w:spacing w:after="120"/>
        <w:jc w:val="left"/>
        <w:rPr>
          <w:szCs w:val="22"/>
        </w:rPr>
      </w:pPr>
      <w:r w:rsidRPr="00FD62B1">
        <w:rPr>
          <w:szCs w:val="22"/>
        </w:rPr>
        <w:t>ordering clauses</w:t>
      </w:r>
      <w:r w:rsidRPr="00FD62B1">
        <w:rPr>
          <w:szCs w:val="22"/>
        </w:rPr>
        <w:tab/>
      </w:r>
    </w:p>
    <w:p w:rsidR="009C79DB" w:rsidRPr="009C79DB" w:rsidRDefault="009C79DB" w:rsidP="005B0804">
      <w:pPr>
        <w:pStyle w:val="ParaNum"/>
        <w:widowControl/>
        <w:tabs>
          <w:tab w:val="clear" w:pos="1080"/>
        </w:tabs>
        <w:spacing w:after="120"/>
        <w:jc w:val="left"/>
        <w:rPr>
          <w:szCs w:val="22"/>
        </w:rPr>
      </w:pPr>
      <w:r w:rsidRPr="009C79DB">
        <w:rPr>
          <w:szCs w:val="22"/>
        </w:rPr>
        <w:t>Accordingly, pursuant to section 713 of the Communications Act of 1934, as amended, and sections 0.141(f) and 79.1(f) of the Commission’s rules,</w:t>
      </w:r>
      <w:r>
        <w:rPr>
          <w:rStyle w:val="FootnoteReference"/>
          <w:szCs w:val="22"/>
        </w:rPr>
        <w:footnoteReference w:id="63"/>
      </w:r>
      <w:r w:rsidRPr="009C79DB">
        <w:rPr>
          <w:szCs w:val="22"/>
        </w:rPr>
        <w:t xml:space="preserve"> IT IS ORDERED that the Petition filed by </w:t>
      </w:r>
      <w:r>
        <w:rPr>
          <w:szCs w:val="22"/>
        </w:rPr>
        <w:t>SJTV</w:t>
      </w:r>
      <w:r w:rsidRPr="009C79DB">
        <w:rPr>
          <w:szCs w:val="22"/>
        </w:rPr>
        <w:t xml:space="preserve">, requesting an exemption from the Commission’s closed captioning rules, IS </w:t>
      </w:r>
      <w:r w:rsidR="00DB1169">
        <w:rPr>
          <w:szCs w:val="22"/>
        </w:rPr>
        <w:t xml:space="preserve">GRANTED, and it is granted such an exemption for a period of two years from the release of this Order or until </w:t>
      </w:r>
      <w:r w:rsidR="00A46F2E">
        <w:rPr>
          <w:szCs w:val="22"/>
        </w:rPr>
        <w:t xml:space="preserve">February 21, 2017.  </w:t>
      </w:r>
      <w:r w:rsidR="0098516F">
        <w:rPr>
          <w:szCs w:val="22"/>
        </w:rPr>
        <w:t xml:space="preserve">  </w:t>
      </w:r>
      <w:r w:rsidRPr="009C79DB">
        <w:rPr>
          <w:szCs w:val="22"/>
        </w:rPr>
        <w:t xml:space="preserve"> </w:t>
      </w:r>
    </w:p>
    <w:p w:rsidR="009C79DB" w:rsidRPr="009C79DB" w:rsidRDefault="009C79DB" w:rsidP="005B0804">
      <w:pPr>
        <w:pStyle w:val="ParaNum"/>
        <w:widowControl/>
        <w:tabs>
          <w:tab w:val="clear" w:pos="1080"/>
        </w:tabs>
        <w:spacing w:after="120"/>
        <w:jc w:val="left"/>
        <w:rPr>
          <w:szCs w:val="22"/>
        </w:rPr>
      </w:pPr>
      <w:r w:rsidRPr="009C79DB">
        <w:rPr>
          <w:szCs w:val="22"/>
        </w:rPr>
        <w:t xml:space="preserve">IT IS FURTHER ORDERED that </w:t>
      </w:r>
      <w:r>
        <w:rPr>
          <w:szCs w:val="22"/>
        </w:rPr>
        <w:t>SJTV</w:t>
      </w:r>
      <w:r w:rsidRPr="009C79DB">
        <w:rPr>
          <w:szCs w:val="22"/>
        </w:rPr>
        <w:t xml:space="preserve"> shall commence closed captioning of the programming that is the subject of its Petition no later than </w:t>
      </w:r>
      <w:r w:rsidR="00A46F2E">
        <w:rPr>
          <w:szCs w:val="22"/>
        </w:rPr>
        <w:t>February 21, 2017</w:t>
      </w:r>
      <w:r w:rsidR="0098516F">
        <w:rPr>
          <w:szCs w:val="22"/>
        </w:rPr>
        <w:t>.</w:t>
      </w:r>
      <w:r w:rsidR="00DB1169">
        <w:rPr>
          <w:szCs w:val="22"/>
        </w:rPr>
        <w:t xml:space="preserve">  </w:t>
      </w:r>
    </w:p>
    <w:p w:rsidR="009C79DB" w:rsidRPr="009C79DB" w:rsidRDefault="009C79DB" w:rsidP="005B0804">
      <w:pPr>
        <w:pStyle w:val="ParaNum"/>
        <w:widowControl/>
        <w:tabs>
          <w:tab w:val="clear" w:pos="1080"/>
        </w:tabs>
        <w:spacing w:after="120"/>
        <w:jc w:val="left"/>
        <w:rPr>
          <w:szCs w:val="22"/>
        </w:rPr>
      </w:pPr>
      <w:r w:rsidRPr="009C79DB">
        <w:rPr>
          <w:szCs w:val="22"/>
        </w:rPr>
        <w:t xml:space="preserve">IT IS FURTHER ORDERED that </w:t>
      </w:r>
      <w:r>
        <w:rPr>
          <w:szCs w:val="22"/>
        </w:rPr>
        <w:t>SJTV</w:t>
      </w:r>
      <w:r w:rsidRPr="009C79DB">
        <w:rPr>
          <w:szCs w:val="22"/>
        </w:rPr>
        <w:t xml:space="preserve"> must inform the Commission of the date on which it commences closed captioning of its programming in accordance with this Order and the Commission’s rules by e-mail to </w:t>
      </w:r>
      <w:hyperlink r:id="rId9" w:history="1">
        <w:r w:rsidRPr="00506C27">
          <w:rPr>
            <w:rStyle w:val="Hyperlink"/>
            <w:szCs w:val="22"/>
          </w:rPr>
          <w:t>captioningexemption@fcc.gov</w:t>
        </w:r>
      </w:hyperlink>
      <w:r w:rsidRPr="009C79DB">
        <w:rPr>
          <w:szCs w:val="22"/>
        </w:rPr>
        <w:t>, which the Commission will make available for public inspection.</w:t>
      </w:r>
      <w:r>
        <w:rPr>
          <w:rStyle w:val="FootnoteReference"/>
          <w:szCs w:val="22"/>
        </w:rPr>
        <w:footnoteReference w:id="64"/>
      </w:r>
      <w:r w:rsidRPr="009C79DB">
        <w:rPr>
          <w:szCs w:val="22"/>
        </w:rPr>
        <w:t xml:space="preserve">  The e-mail attachment must reference Case Identifier CGB-CC-1</w:t>
      </w:r>
      <w:r>
        <w:rPr>
          <w:szCs w:val="22"/>
        </w:rPr>
        <w:t>226</w:t>
      </w:r>
      <w:r w:rsidRPr="009C79DB">
        <w:rPr>
          <w:szCs w:val="22"/>
        </w:rPr>
        <w:t xml:space="preserve">.  </w:t>
      </w:r>
    </w:p>
    <w:p w:rsidR="00F013EA" w:rsidRPr="00FD62B1" w:rsidRDefault="00F013EA" w:rsidP="007E34FE">
      <w:pPr>
        <w:pStyle w:val="ParaNum"/>
        <w:widowControl/>
        <w:numPr>
          <w:ilvl w:val="0"/>
          <w:numId w:val="0"/>
        </w:numPr>
        <w:spacing w:after="0"/>
        <w:ind w:firstLine="720"/>
        <w:jc w:val="left"/>
        <w:rPr>
          <w:szCs w:val="22"/>
        </w:rPr>
      </w:pPr>
    </w:p>
    <w:p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F013EA" w:rsidRDefault="00F013EA" w:rsidP="007E34FE">
      <w:pPr>
        <w:pStyle w:val="ParaNum"/>
        <w:widowControl/>
        <w:numPr>
          <w:ilvl w:val="0"/>
          <w:numId w:val="0"/>
        </w:numPr>
        <w:tabs>
          <w:tab w:val="left" w:pos="4680"/>
        </w:tabs>
        <w:spacing w:after="0"/>
        <w:ind w:firstLine="720"/>
        <w:jc w:val="left"/>
        <w:rPr>
          <w:szCs w:val="22"/>
        </w:rPr>
      </w:pPr>
    </w:p>
    <w:p w:rsidR="007E34FE" w:rsidRDefault="007E34FE" w:rsidP="007E34FE">
      <w:pPr>
        <w:pStyle w:val="ParaNum"/>
        <w:widowControl/>
        <w:numPr>
          <w:ilvl w:val="0"/>
          <w:numId w:val="0"/>
        </w:numPr>
        <w:tabs>
          <w:tab w:val="left" w:pos="4680"/>
        </w:tabs>
        <w:spacing w:after="0"/>
        <w:ind w:firstLine="720"/>
        <w:jc w:val="left"/>
        <w:rPr>
          <w:szCs w:val="22"/>
        </w:rPr>
      </w:pPr>
    </w:p>
    <w:p w:rsidR="007E34FE" w:rsidRPr="00FD62B1" w:rsidRDefault="007E34FE" w:rsidP="007E34FE">
      <w:pPr>
        <w:pStyle w:val="ParaNum"/>
        <w:widowControl/>
        <w:numPr>
          <w:ilvl w:val="0"/>
          <w:numId w:val="0"/>
        </w:numPr>
        <w:tabs>
          <w:tab w:val="left" w:pos="4680"/>
        </w:tabs>
        <w:spacing w:after="0"/>
        <w:ind w:firstLine="720"/>
        <w:jc w:val="left"/>
        <w:rPr>
          <w:szCs w:val="22"/>
        </w:rPr>
      </w:pPr>
    </w:p>
    <w:p w:rsidR="00E710FD" w:rsidRPr="00F0277B" w:rsidRDefault="00F013EA" w:rsidP="00E710FD">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rsidR="00E710FD" w:rsidRDefault="00E710FD" w:rsidP="00E710F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F013EA" w:rsidRPr="00FD62B1" w:rsidRDefault="00D95D14" w:rsidP="00E710F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D37256">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08" w:rsidRDefault="00E93308">
      <w:r>
        <w:separator/>
      </w:r>
    </w:p>
  </w:endnote>
  <w:endnote w:type="continuationSeparator" w:id="0">
    <w:p w:rsidR="00E93308" w:rsidRDefault="00E9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C4" w:rsidRDefault="006101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1D" w:rsidRDefault="0063661D">
    <w:pPr>
      <w:pStyle w:val="Footer"/>
      <w:jc w:val="center"/>
    </w:pPr>
    <w:r>
      <w:rPr>
        <w:rStyle w:val="PageNumber"/>
      </w:rPr>
      <w:fldChar w:fldCharType="begin"/>
    </w:r>
    <w:r>
      <w:rPr>
        <w:rStyle w:val="PageNumber"/>
      </w:rPr>
      <w:instrText xml:space="preserve"> PAGE </w:instrText>
    </w:r>
    <w:r>
      <w:rPr>
        <w:rStyle w:val="PageNumber"/>
      </w:rPr>
      <w:fldChar w:fldCharType="separate"/>
    </w:r>
    <w:r w:rsidR="00340DAC">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C4" w:rsidRDefault="006101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08" w:rsidRDefault="00E93308">
      <w:pPr>
        <w:rPr>
          <w:sz w:val="20"/>
        </w:rPr>
      </w:pPr>
      <w:r>
        <w:rPr>
          <w:sz w:val="20"/>
        </w:rPr>
        <w:separator/>
      </w:r>
    </w:p>
  </w:footnote>
  <w:footnote w:type="continuationSeparator" w:id="0">
    <w:p w:rsidR="00E93308" w:rsidRDefault="00E93308">
      <w:pPr>
        <w:rPr>
          <w:sz w:val="20"/>
        </w:rPr>
      </w:pPr>
      <w:r>
        <w:rPr>
          <w:sz w:val="20"/>
        </w:rPr>
        <w:separator/>
      </w:r>
    </w:p>
    <w:p w:rsidR="00E93308" w:rsidRDefault="00E93308">
      <w:pPr>
        <w:rPr>
          <w:sz w:val="20"/>
        </w:rPr>
      </w:pPr>
      <w:r>
        <w:rPr>
          <w:sz w:val="20"/>
        </w:rPr>
        <w:t>(...continued from previous page)</w:t>
      </w:r>
    </w:p>
  </w:footnote>
  <w:footnote w:type="continuationNotice" w:id="1">
    <w:p w:rsidR="00E93308" w:rsidRDefault="00E93308">
      <w:pPr>
        <w:jc w:val="right"/>
        <w:rPr>
          <w:sz w:val="20"/>
        </w:rPr>
      </w:pPr>
      <w:r>
        <w:rPr>
          <w:sz w:val="20"/>
        </w:rPr>
        <w:t>(continued....)</w:t>
      </w:r>
    </w:p>
  </w:footnote>
  <w:footnote w:id="2">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w:t>
      </w:r>
      <w:r>
        <w:t>-</w:t>
      </w:r>
      <w:r w:rsidRPr="00D37256">
        <w:t>(c).</w:t>
      </w:r>
    </w:p>
  </w:footnote>
  <w:footnote w:id="4">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 xml:space="preserve">Closed Captioning and Video Description of Video Programming, Implementation of Section 305 of the Telecommunications Act of 1996, Video Programming Accessibility,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Report and Order, 27 FCC Rcd 8831, 8834, ¶ 7 (2012) (</w:t>
      </w:r>
      <w:r w:rsidRPr="00D37256">
        <w:rPr>
          <w:i/>
        </w:rPr>
        <w:t>Economically Burdensome Standard Order</w:t>
      </w:r>
      <w:r w:rsidRPr="00D37256">
        <w:t>).</w:t>
      </w:r>
    </w:p>
  </w:footnote>
  <w:footnote w:id="7">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rsidR="0063661D" w:rsidRPr="00D37256" w:rsidRDefault="0063661D" w:rsidP="002C7C2F">
      <w:pPr>
        <w:suppressAutoHyphens/>
        <w:spacing w:after="120"/>
        <w:rPr>
          <w:sz w:val="20"/>
        </w:rPr>
      </w:pPr>
      <w:r w:rsidRPr="00D37256">
        <w:rPr>
          <w:rStyle w:val="FootnoteReference"/>
          <w:sz w:val="20"/>
        </w:rPr>
        <w:footnoteRef/>
      </w:r>
      <w:r w:rsidRPr="00D37256">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D37256">
          <w:rPr>
            <w:rStyle w:val="Hyperlink"/>
            <w:sz w:val="20"/>
          </w:rPr>
          <w:t>http://hraunfoss.fcc.gov/edocs_public/attachmatch/DOC-323421A1.pdf</w:t>
        </w:r>
      </w:hyperlink>
      <w:r w:rsidRPr="00D37256">
        <w:rPr>
          <w:rStyle w:val="Hyperlink"/>
          <w:color w:val="auto"/>
          <w:sz w:val="20"/>
          <w:u w:val="none"/>
        </w:rPr>
        <w:t>, which the Bureau developed, based on the Communications Act, the Commission’s rules, and Commission history and experience evaluating such petitions</w:t>
      </w:r>
      <w:r w:rsidRPr="00D37256">
        <w:rPr>
          <w:sz w:val="20"/>
        </w:rPr>
        <w:t xml:space="preserve">.  </w:t>
      </w:r>
      <w:r w:rsidRPr="00D37256">
        <w:rPr>
          <w:i/>
          <w:sz w:val="20"/>
        </w:rPr>
        <w:t>See Anglers for Christ Ministries, Inc., et al.; Amendment of Section 79.1(f) of the Commission’s Rules; Video Programming Accessibility</w:t>
      </w:r>
      <w:r w:rsidRPr="00D37256">
        <w:rPr>
          <w:sz w:val="20"/>
        </w:rPr>
        <w:t>, Memorandum Opinion and Order, Order, and Notice of Proposed Rulemaking, 26 FCC Rcd 14941, 14955-56, ¶ 28 (2011) (</w:t>
      </w:r>
      <w:r w:rsidRPr="00D37256">
        <w:rPr>
          <w:i/>
          <w:sz w:val="20"/>
        </w:rPr>
        <w:t>Anglers Reversal MO&amp;O</w:t>
      </w:r>
      <w:r w:rsidRPr="00D37256">
        <w:rPr>
          <w:sz w:val="20"/>
        </w:rPr>
        <w:t>).</w:t>
      </w:r>
    </w:p>
  </w:footnote>
  <w:footnote w:id="10">
    <w:p w:rsidR="0063661D" w:rsidRPr="00D37256" w:rsidRDefault="0063661D" w:rsidP="002C7C2F">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rsidR="0063661D" w:rsidRPr="00D37256" w:rsidRDefault="0063661D" w:rsidP="002C7C2F">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rsidR="0063661D" w:rsidRPr="00D37256" w:rsidRDefault="0063661D" w:rsidP="002C7C2F">
      <w:pPr>
        <w:pStyle w:val="FootnoteText"/>
        <w:jc w:val="left"/>
      </w:pPr>
      <w:r w:rsidRPr="00D37256">
        <w:rPr>
          <w:rStyle w:val="FootnoteReference"/>
        </w:rPr>
        <w:footnoteRef/>
      </w:r>
      <w:r w:rsidRPr="00D37256">
        <w:t xml:space="preserve"> </w:t>
      </w:r>
      <w:r w:rsidRPr="00D37256">
        <w:rPr>
          <w:i/>
        </w:rPr>
        <w:t>See</w:t>
      </w:r>
      <w:r w:rsidRPr="00D37256">
        <w:t xml:space="preserve"> L</w:t>
      </w:r>
      <w:r>
        <w:t>etter from Scot D. Hayes</w:t>
      </w:r>
      <w:r w:rsidRPr="00D37256">
        <w:t>,</w:t>
      </w:r>
      <w:r>
        <w:t xml:space="preserve"> Owner, SJTV LLC,</w:t>
      </w:r>
      <w:r w:rsidRPr="00D37256">
        <w:t xml:space="preserve"> to Office of the Secretary, F</w:t>
      </w:r>
      <w:r>
        <w:t>CC (Mar. 28, 2012</w:t>
      </w:r>
      <w:r w:rsidRPr="00D37256">
        <w:t>)</w:t>
      </w:r>
      <w:r>
        <w:t xml:space="preserve"> (filed Mar. 29, 2012) (Petition)</w:t>
      </w:r>
      <w:r w:rsidRPr="00D37256">
        <w:t xml:space="preserve">.  </w:t>
      </w:r>
    </w:p>
  </w:footnote>
  <w:footnote w:id="14">
    <w:p w:rsidR="0063661D" w:rsidRPr="00617965" w:rsidRDefault="0063661D" w:rsidP="002C7C2F">
      <w:pPr>
        <w:pStyle w:val="FootnoteText"/>
        <w:jc w:val="left"/>
      </w:pPr>
      <w:r>
        <w:rPr>
          <w:rStyle w:val="FootnoteReference"/>
        </w:rPr>
        <w:footnoteRef/>
      </w:r>
      <w:r>
        <w:t xml:space="preserve"> </w:t>
      </w:r>
      <w:r>
        <w:rPr>
          <w:i/>
        </w:rPr>
        <w:t xml:space="preserve">See </w:t>
      </w:r>
      <w:r>
        <w:t>Letter from Roger Holberg, Disability Rights Office, CGB, FCC, to SJTV, LLC d/b/a CNY’s Open House (June 27, 2012).</w:t>
      </w:r>
    </w:p>
  </w:footnote>
  <w:footnote w:id="15">
    <w:p w:rsidR="0063661D" w:rsidRPr="001E1D42" w:rsidRDefault="0063661D" w:rsidP="002C7C2F">
      <w:pPr>
        <w:pStyle w:val="FootnoteText"/>
        <w:jc w:val="left"/>
      </w:pPr>
      <w:r w:rsidRPr="001E1D42">
        <w:rPr>
          <w:rStyle w:val="FootnoteReference"/>
        </w:rPr>
        <w:footnoteRef/>
      </w:r>
      <w:r w:rsidRPr="001E1D42">
        <w:t xml:space="preserve"> </w:t>
      </w:r>
      <w:r w:rsidRPr="001E1D42">
        <w:rPr>
          <w:i/>
        </w:rPr>
        <w:t>See</w:t>
      </w:r>
      <w:r>
        <w:t xml:space="preserve"> Letter from Scot D. Hayes, Owner, SJTV LLC</w:t>
      </w:r>
      <w:r w:rsidRPr="001E1D42">
        <w:t>, to</w:t>
      </w:r>
      <w:r>
        <w:t xml:space="preserve"> Roger Holberg,</w:t>
      </w:r>
      <w:r w:rsidRPr="001E1D42">
        <w:t xml:space="preserve"> Office of the Secretary, F</w:t>
      </w:r>
      <w:r>
        <w:t>CC</w:t>
      </w:r>
      <w:r w:rsidRPr="001E1D42">
        <w:t xml:space="preserve"> </w:t>
      </w:r>
      <w:r>
        <w:t>(July 25, 2012) (filed July 26, 2012) (July 2012 Petition Supplement)</w:t>
      </w:r>
      <w:r w:rsidRPr="001E1D42">
        <w:t xml:space="preserve">. </w:t>
      </w:r>
      <w:r w:rsidR="00172786">
        <w:t xml:space="preserve"> </w:t>
      </w:r>
    </w:p>
  </w:footnote>
  <w:footnote w:id="16">
    <w:p w:rsidR="0063661D" w:rsidRPr="00D37256" w:rsidRDefault="0063661D" w:rsidP="002C7C2F">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w:t>
      </w:r>
      <w:r w:rsidRPr="00D37256">
        <w:t xml:space="preserve">, </w:t>
      </w:r>
      <w:r>
        <w:t xml:space="preserve">CG Docket No. 06-181, </w:t>
      </w:r>
      <w:r w:rsidRPr="00D37256">
        <w:t xml:space="preserve">Public </w:t>
      </w:r>
      <w:r>
        <w:t xml:space="preserve">Notice, </w:t>
      </w:r>
      <w:r w:rsidRPr="00FA47A1">
        <w:rPr>
          <w:iCs/>
        </w:rPr>
        <w:t>27 FCC Rcd 10895</w:t>
      </w:r>
      <w:r>
        <w:rPr>
          <w:i/>
          <w:iCs/>
        </w:rPr>
        <w:t xml:space="preserve"> </w:t>
      </w:r>
      <w:r>
        <w:t>(CGB 2012</w:t>
      </w:r>
      <w:r w:rsidRPr="00D37256">
        <w:t>).</w:t>
      </w:r>
    </w:p>
  </w:footnote>
  <w:footnote w:id="17">
    <w:p w:rsidR="0063661D" w:rsidRDefault="0063661D" w:rsidP="002C7C2F">
      <w:pPr>
        <w:pStyle w:val="FootnoteText"/>
        <w:jc w:val="left"/>
      </w:pPr>
      <w:r>
        <w:rPr>
          <w:rStyle w:val="FootnoteReference"/>
        </w:rPr>
        <w:footnoteRef/>
      </w:r>
      <w:r>
        <w:t xml:space="preserve"> </w:t>
      </w:r>
      <w:r>
        <w:rPr>
          <w:i/>
        </w:rPr>
        <w:t xml:space="preserve">See </w:t>
      </w:r>
      <w:r w:rsidRPr="00CF0F9A">
        <w:t>Re:  SJTV LLC Petition for Exemption from the Commission’s Closed Capt</w:t>
      </w:r>
      <w:r>
        <w:t>ioning Rules, Case No. CGB-CC-12</w:t>
      </w:r>
      <w:r w:rsidRPr="00CF0F9A">
        <w:t>26, CG Docket No. 06-181</w:t>
      </w:r>
      <w:r>
        <w:t>, Telecommunications for the Deaf and Hard of Hearing, Inc. (TDI), the National Association of the Deaf (NAD), the Deaf and Hard of Hearing Consumer Advocacy Network (DHHCAN), the Association of Late-Deafened Adults (ALDA), California Coalition of Agencies Serving the Deaf and Hard of Hearing (CCASDHH), and the Cerebral Palsy and Deaf Organization (CPADO) (Oct. 9, 2012).</w:t>
      </w:r>
    </w:p>
  </w:footnote>
  <w:footnote w:id="18">
    <w:p w:rsidR="0063661D" w:rsidRPr="00CF0F9A" w:rsidRDefault="0063661D" w:rsidP="002C7C2F">
      <w:pPr>
        <w:pStyle w:val="FootnoteText"/>
        <w:jc w:val="left"/>
      </w:pPr>
      <w:r>
        <w:rPr>
          <w:rStyle w:val="FootnoteReference"/>
        </w:rPr>
        <w:footnoteRef/>
      </w:r>
      <w:r>
        <w:t xml:space="preserve"> </w:t>
      </w:r>
      <w:r>
        <w:rPr>
          <w:i/>
        </w:rPr>
        <w:t xml:space="preserve">See </w:t>
      </w:r>
      <w:r>
        <w:t>Letter from Roger Holberg, Disability Rights Office, CGB, FCC, to SJTV, LLC d/b/a CNY’s Open House (Sept. 26, 2013).</w:t>
      </w:r>
    </w:p>
  </w:footnote>
  <w:footnote w:id="19">
    <w:p w:rsidR="0063661D" w:rsidRPr="00D37256" w:rsidRDefault="0063661D" w:rsidP="002C7C2F">
      <w:pPr>
        <w:pStyle w:val="FootnoteText"/>
        <w:jc w:val="left"/>
      </w:pPr>
      <w:r w:rsidRPr="00D37256">
        <w:rPr>
          <w:rStyle w:val="FootnoteReference"/>
        </w:rPr>
        <w:footnoteRef/>
      </w:r>
      <w:r w:rsidRPr="00D37256">
        <w:t xml:space="preserve"> </w:t>
      </w:r>
      <w:r w:rsidRPr="001E1D42">
        <w:rPr>
          <w:i/>
        </w:rPr>
        <w:t>See</w:t>
      </w:r>
      <w:r>
        <w:t xml:space="preserve"> Letter from Scot D. Hayes, Owner, SJTV LLC</w:t>
      </w:r>
      <w:r w:rsidRPr="001E1D42">
        <w:t xml:space="preserve">, to </w:t>
      </w:r>
      <w:r>
        <w:t xml:space="preserve">Roger Holberg, </w:t>
      </w:r>
      <w:r w:rsidRPr="001E1D42">
        <w:t>Office of the Secretary, F</w:t>
      </w:r>
      <w:r>
        <w:t>CC</w:t>
      </w:r>
      <w:r w:rsidRPr="001E1D42">
        <w:t xml:space="preserve"> </w:t>
      </w:r>
      <w:r>
        <w:t>(Oct. 28, 2013) (filed Nov. 4, 2013) (October 2013</w:t>
      </w:r>
      <w:r w:rsidRPr="001E1D42">
        <w:t xml:space="preserve"> </w:t>
      </w:r>
      <w:r>
        <w:t>Petition Supplement)</w:t>
      </w:r>
      <w:r w:rsidRPr="00D37256">
        <w:t>.</w:t>
      </w:r>
    </w:p>
  </w:footnote>
  <w:footnote w:id="20">
    <w:p w:rsidR="0063661D" w:rsidRPr="001E1D42" w:rsidRDefault="0063661D" w:rsidP="002C7C2F">
      <w:pPr>
        <w:pStyle w:val="FootnoteText"/>
        <w:jc w:val="left"/>
      </w:pPr>
      <w:r w:rsidRPr="001E1D42">
        <w:rPr>
          <w:rStyle w:val="FootnoteReference"/>
        </w:rPr>
        <w:footnoteRef/>
      </w:r>
      <w:r w:rsidRPr="001E1D42">
        <w:t xml:space="preserve"> </w:t>
      </w:r>
      <w:r w:rsidRPr="001E1D42">
        <w:rPr>
          <w:i/>
        </w:rPr>
        <w:t>Request for Comment/Request for Exemption from Commission’s Closed Captioning Rules</w:t>
      </w:r>
      <w:r w:rsidRPr="001E1D42">
        <w:t xml:space="preserve">, </w:t>
      </w:r>
      <w:r>
        <w:t xml:space="preserve">CG Docket No. 06-181, </w:t>
      </w:r>
      <w:r w:rsidRPr="001E1D42">
        <w:t>Publi</w:t>
      </w:r>
      <w:r>
        <w:t xml:space="preserve">c Notice, 29 FCC Rcd 1248 (CGB 2014) </w:t>
      </w:r>
      <w:r w:rsidRPr="001E1D42">
        <w:t>(</w:t>
      </w:r>
      <w:r>
        <w:rPr>
          <w:i/>
        </w:rPr>
        <w:t>2014</w:t>
      </w:r>
      <w:r w:rsidRPr="001E1D42">
        <w:rPr>
          <w:i/>
        </w:rPr>
        <w:t xml:space="preserve"> Public Notice</w:t>
      </w:r>
      <w:r w:rsidRPr="001E1D42">
        <w:t xml:space="preserve">).  </w:t>
      </w:r>
    </w:p>
  </w:footnote>
  <w:footnote w:id="21">
    <w:p w:rsidR="0063661D" w:rsidRPr="001E1D42" w:rsidRDefault="0063661D" w:rsidP="002C7C2F">
      <w:pPr>
        <w:pStyle w:val="FootnoteText"/>
        <w:jc w:val="left"/>
      </w:pPr>
      <w:r w:rsidRPr="001E1D42">
        <w:rPr>
          <w:rStyle w:val="FootnoteReference"/>
        </w:rPr>
        <w:footnoteRef/>
      </w:r>
      <w:r w:rsidRPr="001E1D42">
        <w:t xml:space="preserve"> </w:t>
      </w:r>
      <w:r>
        <w:rPr>
          <w:i/>
        </w:rPr>
        <w:t xml:space="preserve">See </w:t>
      </w:r>
      <w:r>
        <w:t>Re:  Opposition to Four Petitions for Exemption from the Commission’s Closed Captioning Rules, CG Docket No. 06-181, CGB-CC-0493, CGB-CC-1226, CGB-CC-1295, CGB-CC-0639, TDI, NAD, DHHCAN, CPADO, and CCASDHH (collectively, Consumer Groups) at 2-4, 12-13 (Mar. 12, 2014) (Consumer Groups Opposition).</w:t>
      </w:r>
    </w:p>
  </w:footnote>
  <w:footnote w:id="22">
    <w:p w:rsidR="0063661D" w:rsidRPr="00D37256" w:rsidRDefault="0063661D" w:rsidP="002C7C2F">
      <w:pPr>
        <w:pStyle w:val="FootnoteText"/>
        <w:jc w:val="left"/>
      </w:pPr>
      <w:r w:rsidRPr="00D37256">
        <w:rPr>
          <w:rStyle w:val="FootnoteReference"/>
        </w:rPr>
        <w:footnoteRef/>
      </w:r>
      <w:r w:rsidRPr="00D37256">
        <w:t xml:space="preserve"> </w:t>
      </w:r>
      <w:r>
        <w:t>Petition at 1; October 2013 Petition Supplement at 2</w:t>
      </w:r>
      <w:r w:rsidRPr="00D37256">
        <w:t>.</w:t>
      </w:r>
    </w:p>
  </w:footnote>
  <w:footnote w:id="23">
    <w:p w:rsidR="0063661D" w:rsidRDefault="0063661D" w:rsidP="002C7C2F">
      <w:pPr>
        <w:pStyle w:val="FootnoteText"/>
        <w:jc w:val="left"/>
      </w:pPr>
      <w:r>
        <w:rPr>
          <w:rStyle w:val="FootnoteReference"/>
        </w:rPr>
        <w:footnoteRef/>
      </w:r>
      <w:r>
        <w:t xml:space="preserve"> October 2013 Petition Supplement at 2.</w:t>
      </w:r>
    </w:p>
  </w:footnote>
  <w:footnote w:id="24">
    <w:p w:rsidR="0063661D" w:rsidRDefault="0063661D" w:rsidP="002C7C2F">
      <w:pPr>
        <w:pStyle w:val="FootnoteText"/>
        <w:jc w:val="left"/>
      </w:pPr>
      <w:r>
        <w:rPr>
          <w:rStyle w:val="FootnoteReference"/>
        </w:rPr>
        <w:footnoteRef/>
      </w:r>
      <w:r>
        <w:t xml:space="preserve"> </w:t>
      </w:r>
      <w:r w:rsidR="00686355">
        <w:rPr>
          <w:i/>
        </w:rPr>
        <w:t>Id.</w:t>
      </w:r>
      <w:r>
        <w:t xml:space="preserve"> at 1-2.</w:t>
      </w:r>
    </w:p>
  </w:footnote>
  <w:footnote w:id="25">
    <w:p w:rsidR="00A16B50" w:rsidRDefault="00A16B50">
      <w:pPr>
        <w:pStyle w:val="FootnoteText"/>
      </w:pPr>
      <w:r>
        <w:rPr>
          <w:rStyle w:val="FootnoteReference"/>
        </w:rPr>
        <w:footnoteRef/>
      </w:r>
      <w:r>
        <w:t xml:space="preserve"> Petition at 1.</w:t>
      </w:r>
    </w:p>
  </w:footnote>
  <w:footnote w:id="26">
    <w:p w:rsidR="00A16B50" w:rsidRDefault="00A16B50">
      <w:pPr>
        <w:pStyle w:val="FootnoteText"/>
      </w:pPr>
      <w:r>
        <w:rPr>
          <w:rStyle w:val="FootnoteReference"/>
        </w:rPr>
        <w:footnoteRef/>
      </w:r>
      <w:r>
        <w:t xml:space="preserve"> October 2013 Petition Supplement at 1</w:t>
      </w:r>
      <w:r w:rsidR="00623321">
        <w:t>.</w:t>
      </w:r>
    </w:p>
  </w:footnote>
  <w:footnote w:id="27">
    <w:p w:rsidR="0063661D" w:rsidRDefault="0063661D" w:rsidP="002C7C2F">
      <w:pPr>
        <w:pStyle w:val="FootnoteText"/>
        <w:jc w:val="left"/>
      </w:pPr>
      <w:r>
        <w:rPr>
          <w:rStyle w:val="FootnoteReference"/>
        </w:rPr>
        <w:footnoteRef/>
      </w:r>
      <w:r>
        <w:t xml:space="preserve"> </w:t>
      </w:r>
      <w:r w:rsidR="00686355">
        <w:rPr>
          <w:i/>
        </w:rPr>
        <w:t>Id.</w:t>
      </w:r>
      <w:r>
        <w:t xml:space="preserve"> at 1, 3.  The quote from CaptionMax does not specify the turnaround time for the provision of closed captions.</w:t>
      </w:r>
    </w:p>
  </w:footnote>
  <w:footnote w:id="28">
    <w:p w:rsidR="0063661D" w:rsidRPr="00D37256" w:rsidRDefault="0063661D" w:rsidP="002C7C2F">
      <w:pPr>
        <w:pStyle w:val="FootnoteText"/>
        <w:jc w:val="left"/>
      </w:pPr>
      <w:r w:rsidRPr="00D37256">
        <w:rPr>
          <w:rStyle w:val="FootnoteReference"/>
        </w:rPr>
        <w:footnoteRef/>
      </w:r>
      <w:r w:rsidRPr="00D37256">
        <w:t xml:space="preserve"> </w:t>
      </w:r>
      <w:r w:rsidR="00686355">
        <w:rPr>
          <w:i/>
        </w:rPr>
        <w:t>Id.</w:t>
      </w:r>
      <w:r>
        <w:rPr>
          <w:i/>
        </w:rPr>
        <w:t xml:space="preserve"> </w:t>
      </w:r>
      <w:r>
        <w:t>at 1, 5</w:t>
      </w:r>
      <w:r w:rsidRPr="00D37256">
        <w:t>.</w:t>
      </w:r>
      <w:r>
        <w:t xml:space="preserve">  The annual cost of closed captioning based on the VITAC quote of $300 is calculated by multiplying the cost per show ($300) by the number of shows per year (52).  </w:t>
      </w:r>
    </w:p>
  </w:footnote>
  <w:footnote w:id="29">
    <w:p w:rsidR="0063661D" w:rsidRDefault="0063661D" w:rsidP="002C7C2F">
      <w:pPr>
        <w:pStyle w:val="FootnoteText"/>
        <w:jc w:val="left"/>
      </w:pPr>
      <w:r>
        <w:rPr>
          <w:rStyle w:val="FootnoteReference"/>
        </w:rPr>
        <w:footnoteRef/>
      </w:r>
      <w:r>
        <w:t xml:space="preserve"> </w:t>
      </w:r>
      <w:r w:rsidR="00686355">
        <w:rPr>
          <w:i/>
        </w:rPr>
        <w:t>Id.</w:t>
      </w:r>
      <w:r>
        <w:t xml:space="preserve"> at 1.</w:t>
      </w:r>
    </w:p>
  </w:footnote>
  <w:footnote w:id="30">
    <w:p w:rsidR="0063661D" w:rsidRPr="005D722E" w:rsidRDefault="0063661D" w:rsidP="002C7C2F">
      <w:pPr>
        <w:pStyle w:val="FootnoteText"/>
        <w:jc w:val="left"/>
      </w:pPr>
      <w:r w:rsidRPr="00D37256">
        <w:rPr>
          <w:rStyle w:val="FootnoteReference"/>
        </w:rPr>
        <w:footnoteRef/>
      </w:r>
      <w:r w:rsidRPr="00D37256">
        <w:t xml:space="preserve"> </w:t>
      </w:r>
      <w:r w:rsidRPr="00D37256">
        <w:rPr>
          <w:i/>
        </w:rPr>
        <w:t xml:space="preserve">See </w:t>
      </w:r>
      <w:r w:rsidR="00686355">
        <w:rPr>
          <w:i/>
        </w:rPr>
        <w:t>id.</w:t>
      </w:r>
      <w:r>
        <w:t xml:space="preserve"> at 8-32 (2011 Income Tax Return for an S Corporation); 33-52 (2012 </w:t>
      </w:r>
      <w:r w:rsidRPr="005D722E">
        <w:t>Income Tax Return for an S Corporation).</w:t>
      </w:r>
    </w:p>
  </w:footnote>
  <w:footnote w:id="31">
    <w:p w:rsidR="0063661D" w:rsidRPr="005D722E" w:rsidRDefault="0063661D" w:rsidP="00342A5D">
      <w:pPr>
        <w:pStyle w:val="FootnoteText"/>
        <w:jc w:val="left"/>
      </w:pPr>
      <w:r w:rsidRPr="005D722E">
        <w:rPr>
          <w:rStyle w:val="FootnoteReference"/>
        </w:rPr>
        <w:footnoteRef/>
      </w:r>
      <w:r w:rsidRPr="005D722E">
        <w:t xml:space="preserve"> </w:t>
      </w:r>
      <w:r w:rsidR="00686355">
        <w:rPr>
          <w:i/>
        </w:rPr>
        <w:t xml:space="preserve">Id. </w:t>
      </w:r>
      <w:r w:rsidRPr="005D722E">
        <w:t xml:space="preserve">at 33. </w:t>
      </w:r>
      <w:r w:rsidR="00342A5D" w:rsidRPr="00342A5D">
        <w:t xml:space="preserve">SJTV submitted Profit and Loss Statements and Balance Sheets for 2012 and 2011 and United States Income Tax Returns for an S Corporation Form 1120S for 2012 and 2011.  Based on our review, we have determined that the financial information contained in </w:t>
      </w:r>
      <w:r w:rsidR="00172786">
        <w:t xml:space="preserve">SJTV’s </w:t>
      </w:r>
      <w:r w:rsidR="00342A5D" w:rsidRPr="00342A5D">
        <w:t xml:space="preserve">tax returns </w:t>
      </w:r>
      <w:r w:rsidR="00606A12">
        <w:t>has the necessary supplemental data needed for our analysis</w:t>
      </w:r>
      <w:r w:rsidR="009E4ACD">
        <w:t>.  Therefore</w:t>
      </w:r>
      <w:r w:rsidR="00342A5D" w:rsidRPr="00342A5D">
        <w:t xml:space="preserve">, we </w:t>
      </w:r>
      <w:r w:rsidR="00172786">
        <w:t xml:space="preserve">have </w:t>
      </w:r>
      <w:r w:rsidR="00342A5D" w:rsidRPr="00342A5D">
        <w:t>rel</w:t>
      </w:r>
      <w:r w:rsidR="00172786">
        <w:t>ied</w:t>
      </w:r>
      <w:r w:rsidR="00342A5D" w:rsidRPr="00342A5D">
        <w:t xml:space="preserve"> on the financial information contained in the tax returns</w:t>
      </w:r>
      <w:r w:rsidR="009E4ACD">
        <w:t xml:space="preserve">, in lieu of </w:t>
      </w:r>
      <w:r w:rsidR="009E4ACD" w:rsidRPr="00342A5D">
        <w:t xml:space="preserve">the financial information contained in </w:t>
      </w:r>
      <w:r w:rsidR="009E4ACD">
        <w:t xml:space="preserve">its </w:t>
      </w:r>
      <w:r w:rsidR="009E4ACD" w:rsidRPr="00342A5D">
        <w:t>Profit and Loss Statements and Balance Sheets</w:t>
      </w:r>
      <w:r w:rsidR="009E4ACD">
        <w:t xml:space="preserve">, </w:t>
      </w:r>
      <w:r w:rsidR="00172786">
        <w:t xml:space="preserve">in making our </w:t>
      </w:r>
      <w:r w:rsidR="00342A5D" w:rsidRPr="00342A5D">
        <w:t>determin</w:t>
      </w:r>
      <w:r w:rsidR="00172786">
        <w:t>ation as to</w:t>
      </w:r>
      <w:r w:rsidR="00342A5D" w:rsidRPr="00342A5D">
        <w:t xml:space="preserve"> whether providing closed captioning would be e</w:t>
      </w:r>
      <w:r w:rsidR="00342A5D">
        <w:t xml:space="preserve">conomically burdensome to SJTV. </w:t>
      </w:r>
      <w:r w:rsidRPr="005D722E">
        <w:t xml:space="preserve"> SJTV’s total income is reported on line 1c ($127,785) of its 2012 U.S. Income Tax Return for an S Corporation Form 1120S.  SJTV’s total expenses are calculating by adding its cost of goods sold, reported on line 2 ($38,200) with its total deductions, reported on line 20 ($74,339) = $112,539.  SJTV’s net income is calculated by subtracting its total expenses ($112,539) from its total income ($127,785) = $15,246.</w:t>
      </w:r>
    </w:p>
  </w:footnote>
  <w:footnote w:id="32">
    <w:p w:rsidR="0063661D" w:rsidRPr="005D722E" w:rsidRDefault="0063661D" w:rsidP="002C7C2F">
      <w:pPr>
        <w:pStyle w:val="FootnoteText"/>
        <w:jc w:val="left"/>
      </w:pPr>
      <w:r w:rsidRPr="005D722E">
        <w:rPr>
          <w:rStyle w:val="FootnoteReference"/>
        </w:rPr>
        <w:footnoteRef/>
      </w:r>
      <w:r w:rsidRPr="005D722E">
        <w:t xml:space="preserve"> </w:t>
      </w:r>
      <w:r w:rsidR="00686355">
        <w:rPr>
          <w:i/>
        </w:rPr>
        <w:t xml:space="preserve">Id. </w:t>
      </w:r>
      <w:r w:rsidRPr="005D722E">
        <w:t xml:space="preserve">at </w:t>
      </w:r>
      <w:r>
        <w:t>8</w:t>
      </w:r>
      <w:r w:rsidRPr="005D722E">
        <w:t xml:space="preserve">.  </w:t>
      </w:r>
      <w:r w:rsidR="00342A5D">
        <w:rPr>
          <w:i/>
        </w:rPr>
        <w:t xml:space="preserve">See </w:t>
      </w:r>
      <w:r w:rsidR="00342A5D">
        <w:t xml:space="preserve">n. 28, </w:t>
      </w:r>
      <w:r w:rsidR="00342A5D">
        <w:rPr>
          <w:i/>
        </w:rPr>
        <w:t xml:space="preserve">supra.  </w:t>
      </w:r>
      <w:r w:rsidRPr="005D722E">
        <w:t>SJTV’s total income is calculated by adding its gross receipts or sales, reported on line 1b of its 2011 U.S. Income Tax Return for an S Corporation Form 1120S</w:t>
      </w:r>
      <w:r>
        <w:t xml:space="preserve"> </w:t>
      </w:r>
      <w:r w:rsidRPr="005D722E">
        <w:t>($128,782) and its other income, reported on line 5 ($885) and subtracting its returns and allowances plus any other adjustments, reported on line 1d ($931) = $128,736.  SJTV’s total expenses are calculating by adding its cost of goods sold, reported on line 2 ($67,431) with its total deductions, reported on line 20 ($43,946) = $111,377.  SJTV’s net income is calculated by subtracting its total expenses ($111,377) from its total income ($128,736) = $17,359.</w:t>
      </w:r>
    </w:p>
  </w:footnote>
  <w:footnote w:id="33">
    <w:p w:rsidR="0063661D" w:rsidRPr="005D722E" w:rsidRDefault="0063661D" w:rsidP="002C7C2F">
      <w:pPr>
        <w:pStyle w:val="FootnoteText"/>
        <w:jc w:val="left"/>
      </w:pPr>
      <w:r w:rsidRPr="005D722E">
        <w:rPr>
          <w:rStyle w:val="FootnoteReference"/>
        </w:rPr>
        <w:footnoteRef/>
      </w:r>
      <w:r w:rsidRPr="005D722E">
        <w:t xml:space="preserve"> </w:t>
      </w:r>
      <w:r w:rsidR="00686355">
        <w:rPr>
          <w:i/>
        </w:rPr>
        <w:t>Id.</w:t>
      </w:r>
      <w:r w:rsidR="00686355">
        <w:t xml:space="preserve"> </w:t>
      </w:r>
      <w:r w:rsidRPr="005D722E">
        <w:t>at 36.  SJTV’s current assets and current liabilities as of December 31, 2012, are reported on Schedule L of its 2012 U.S. Income Tax Return for an S Corporation Form 1120S.  SJTV’s current assets as of December 31, 2012 are calculated by adding the amount reported as “Cash” on line 1(d) of Schedule L ($133) and the amount reported as “Trade notes and accounts receivable”, “Less allowance for bad debts” on line 2b(d) of Schedule L ($15,957) = $16,090.  SJTV’s current liabilities as of December 31, 2012 are calculated by adding the amount reported as “Accounts Payable” on line 16(d) of Schedule L ($3,135) and the amount reported as “Other current liabilities” on line 18(d) of Schedule L ($504) = $3,639.  SJTV’s net current assets as of December 31, 2012 are calculated by subtracting its current liabilities ($3,639) from its current assets ($16,090) = $12,451.</w:t>
      </w:r>
    </w:p>
  </w:footnote>
  <w:footnote w:id="34">
    <w:p w:rsidR="0063661D" w:rsidRDefault="0063661D" w:rsidP="002C7C2F">
      <w:pPr>
        <w:pStyle w:val="FootnoteText"/>
        <w:jc w:val="left"/>
      </w:pPr>
      <w:r w:rsidRPr="005D722E">
        <w:rPr>
          <w:rStyle w:val="FootnoteReference"/>
        </w:rPr>
        <w:footnoteRef/>
      </w:r>
      <w:r w:rsidRPr="005D722E">
        <w:t xml:space="preserve"> </w:t>
      </w:r>
      <w:r w:rsidR="00686355">
        <w:rPr>
          <w:i/>
        </w:rPr>
        <w:t>Id.</w:t>
      </w:r>
      <w:r w:rsidRPr="005D722E">
        <w:t xml:space="preserve"> at 11.  SJTV’s current assets and current liabilities as of December 31, 2011, are reported on Schedule L of its 2011 U.S. Income Tax Return for an S Corporation Form 1120S.  SJTV’s current assets as of December 31, 2011 are calculated by adding the amount reported as “Cash” on line 1(d) of Schedule L ($697) and the amount reported as “Trade notes and accounts receivable”, “Less allowance for bad debts” on line 2b(d) of Schedule L ($11,780) = $12,477.  SJTV’s current liabilities as of December 31, 2011 are calculated by adding the amount reported as “Accounts Payable” on line 16(d) of Schedule L ($10,483) and the amount reported as “Other current liabilities” on line 18(d) of Schedule L ($155) = $10,638.  SJTV’s net current assets as of December 31, 2011 are calculated by subtracting its current liabilities ($10,638) from its current assets ($12,477) = $1,839.</w:t>
      </w:r>
    </w:p>
  </w:footnote>
  <w:footnote w:id="35">
    <w:p w:rsidR="0063661D" w:rsidRPr="00D37256" w:rsidRDefault="0063661D" w:rsidP="002C7C2F">
      <w:pPr>
        <w:pStyle w:val="FootnoteText"/>
        <w:jc w:val="left"/>
      </w:pPr>
      <w:r w:rsidRPr="00D37256">
        <w:rPr>
          <w:rStyle w:val="FootnoteReference"/>
        </w:rPr>
        <w:footnoteRef/>
      </w:r>
      <w:r w:rsidRPr="00D37256">
        <w:t xml:space="preserve"> </w:t>
      </w:r>
      <w:r>
        <w:t>Petition at 1</w:t>
      </w:r>
      <w:r w:rsidRPr="00D37256">
        <w:t>.</w:t>
      </w:r>
    </w:p>
  </w:footnote>
  <w:footnote w:id="36">
    <w:p w:rsidR="0063661D" w:rsidRDefault="0063661D" w:rsidP="002C7C2F">
      <w:pPr>
        <w:pStyle w:val="FootnoteText"/>
        <w:jc w:val="left"/>
      </w:pPr>
      <w:r>
        <w:rPr>
          <w:rStyle w:val="FootnoteReference"/>
        </w:rPr>
        <w:footnoteRef/>
      </w:r>
      <w:r>
        <w:t xml:space="preserve"> </w:t>
      </w:r>
      <w:r w:rsidR="00686355">
        <w:rPr>
          <w:i/>
        </w:rPr>
        <w:t>Id.</w:t>
      </w:r>
      <w:r>
        <w:t xml:space="preserve"> at 1.</w:t>
      </w:r>
    </w:p>
  </w:footnote>
  <w:footnote w:id="37">
    <w:p w:rsidR="0063661D" w:rsidRDefault="0063661D" w:rsidP="002C7C2F">
      <w:pPr>
        <w:pStyle w:val="FootnoteText"/>
        <w:jc w:val="left"/>
      </w:pPr>
      <w:r>
        <w:rPr>
          <w:rStyle w:val="FootnoteReference"/>
        </w:rPr>
        <w:footnoteRef/>
      </w:r>
      <w:r>
        <w:t xml:space="preserve"> </w:t>
      </w:r>
      <w:r w:rsidR="00686355">
        <w:rPr>
          <w:i/>
        </w:rPr>
        <w:t>Id.</w:t>
      </w:r>
      <w:r>
        <w:t xml:space="preserve"> at 1.</w:t>
      </w:r>
    </w:p>
  </w:footnote>
  <w:footnote w:id="38">
    <w:p w:rsidR="0063661D" w:rsidRPr="00D37256" w:rsidRDefault="0063661D" w:rsidP="002C7C2F">
      <w:pPr>
        <w:pStyle w:val="FootnoteText"/>
        <w:jc w:val="left"/>
      </w:pPr>
      <w:r w:rsidRPr="00D37256">
        <w:rPr>
          <w:rStyle w:val="FootnoteReference"/>
        </w:rPr>
        <w:footnoteRef/>
      </w:r>
      <w:r w:rsidRPr="00D37256">
        <w:t xml:space="preserve"> </w:t>
      </w:r>
      <w:r w:rsidR="00686355">
        <w:rPr>
          <w:i/>
        </w:rPr>
        <w:t>Id.</w:t>
      </w:r>
      <w:r>
        <w:t xml:space="preserve"> at 1</w:t>
      </w:r>
      <w:r w:rsidRPr="00D37256">
        <w:t>.</w:t>
      </w:r>
    </w:p>
  </w:footnote>
  <w:footnote w:id="39">
    <w:p w:rsidR="00DD0FBF" w:rsidRDefault="00DD0FBF">
      <w:pPr>
        <w:pStyle w:val="FootnoteText"/>
      </w:pPr>
      <w:r>
        <w:rPr>
          <w:rStyle w:val="FootnoteReference"/>
        </w:rPr>
        <w:footnoteRef/>
      </w:r>
      <w:r>
        <w:t xml:space="preserve"> Consumer Groups Opposition at 9-10.</w:t>
      </w:r>
    </w:p>
  </w:footnote>
  <w:footnote w:id="40">
    <w:p w:rsidR="0063661D" w:rsidRDefault="0063661D" w:rsidP="002C7C2F">
      <w:pPr>
        <w:pStyle w:val="FootnoteText"/>
        <w:jc w:val="left"/>
      </w:pPr>
      <w:r>
        <w:rPr>
          <w:rStyle w:val="FootnoteReference"/>
        </w:rPr>
        <w:footnoteRef/>
      </w:r>
      <w:r>
        <w:t xml:space="preserve"> </w:t>
      </w:r>
      <w:r w:rsidR="00686355">
        <w:rPr>
          <w:i/>
        </w:rPr>
        <w:t>Id.</w:t>
      </w:r>
      <w:r>
        <w:t xml:space="preserve"> at </w:t>
      </w:r>
      <w:r w:rsidR="00DD0FBF">
        <w:t>9</w:t>
      </w:r>
      <w:r>
        <w:t xml:space="preserve"> (stating that “[a]lthough SJTV states that a 24-hour turnaround is the ‘only viable option; for its production schedule, . . . this claim conflicts with SJTV’s statement to a captioning service that it could get a week ahead to obtain a lower rate for a later turnaround”) (footnote omitted).</w:t>
      </w:r>
    </w:p>
  </w:footnote>
  <w:footnote w:id="41">
    <w:p w:rsidR="0063661D" w:rsidRDefault="0063661D" w:rsidP="002C7C2F">
      <w:pPr>
        <w:pStyle w:val="FootnoteText"/>
        <w:jc w:val="left"/>
      </w:pPr>
      <w:r>
        <w:rPr>
          <w:rStyle w:val="FootnoteReference"/>
        </w:rPr>
        <w:footnoteRef/>
      </w:r>
      <w:r>
        <w:t xml:space="preserve"> </w:t>
      </w:r>
      <w:r w:rsidR="00686355">
        <w:rPr>
          <w:i/>
        </w:rPr>
        <w:t>Id.</w:t>
      </w:r>
      <w:r>
        <w:t xml:space="preserve"> at 9.</w:t>
      </w:r>
    </w:p>
  </w:footnote>
  <w:footnote w:id="42">
    <w:p w:rsidR="0063661D" w:rsidRPr="00D37256" w:rsidRDefault="0063661D" w:rsidP="002C7C2F">
      <w:pPr>
        <w:pStyle w:val="FootnoteText"/>
        <w:jc w:val="left"/>
      </w:pPr>
      <w:r w:rsidRPr="00D37256">
        <w:rPr>
          <w:rStyle w:val="FootnoteReference"/>
        </w:rPr>
        <w:footnoteRef/>
      </w:r>
      <w:r w:rsidRPr="00D37256">
        <w:t xml:space="preserve"> </w:t>
      </w:r>
      <w:r w:rsidR="00686355">
        <w:rPr>
          <w:i/>
        </w:rPr>
        <w:t>Id.</w:t>
      </w:r>
      <w:r>
        <w:t xml:space="preserve"> at 9-10</w:t>
      </w:r>
      <w:r w:rsidRPr="00D37256">
        <w:t>.</w:t>
      </w:r>
    </w:p>
  </w:footnote>
  <w:footnote w:id="43">
    <w:p w:rsidR="0063661D" w:rsidRDefault="0063661D">
      <w:pPr>
        <w:pStyle w:val="FootnoteText"/>
      </w:pPr>
      <w:r>
        <w:rPr>
          <w:rStyle w:val="FootnoteReference"/>
        </w:rPr>
        <w:footnoteRef/>
      </w:r>
      <w:r>
        <w:t xml:space="preserve"> </w:t>
      </w:r>
      <w:r w:rsidR="00686355">
        <w:rPr>
          <w:i/>
        </w:rPr>
        <w:t>Id.</w:t>
      </w:r>
      <w:r>
        <w:t xml:space="preserve"> at 10.</w:t>
      </w:r>
    </w:p>
  </w:footnote>
  <w:footnote w:id="44">
    <w:p w:rsidR="0063661D" w:rsidRDefault="0063661D" w:rsidP="002C7C2F">
      <w:pPr>
        <w:pStyle w:val="FootnoteText"/>
        <w:jc w:val="left"/>
      </w:pPr>
      <w:r>
        <w:rPr>
          <w:rStyle w:val="FootnoteReference"/>
        </w:rPr>
        <w:footnoteRef/>
      </w:r>
      <w:r>
        <w:t xml:space="preserve"> </w:t>
      </w:r>
      <w:r w:rsidR="00686355">
        <w:rPr>
          <w:i/>
        </w:rPr>
        <w:t>Id.</w:t>
      </w:r>
      <w:r>
        <w:t xml:space="preserve"> at 10.</w:t>
      </w:r>
    </w:p>
  </w:footnote>
  <w:footnote w:id="45">
    <w:p w:rsidR="0063661D" w:rsidRDefault="0063661D" w:rsidP="002C7C2F">
      <w:pPr>
        <w:pStyle w:val="FootnoteText"/>
        <w:jc w:val="left"/>
      </w:pPr>
      <w:r>
        <w:rPr>
          <w:rStyle w:val="FootnoteReference"/>
        </w:rPr>
        <w:footnoteRef/>
      </w:r>
      <w:r>
        <w:t xml:space="preserve"> </w:t>
      </w:r>
      <w:r w:rsidR="00686355">
        <w:rPr>
          <w:i/>
        </w:rPr>
        <w:t>Id.</w:t>
      </w:r>
      <w:r>
        <w:t xml:space="preserve"> at 10.</w:t>
      </w:r>
    </w:p>
  </w:footnote>
  <w:footnote w:id="46">
    <w:p w:rsidR="0063661D" w:rsidRPr="00D37256" w:rsidRDefault="0063661D" w:rsidP="002C7C2F">
      <w:pPr>
        <w:pStyle w:val="FootnoteText"/>
        <w:jc w:val="left"/>
      </w:pPr>
      <w:r w:rsidRPr="00D37256">
        <w:rPr>
          <w:rStyle w:val="FootnoteReference"/>
        </w:rPr>
        <w:footnoteRef/>
      </w:r>
      <w:r w:rsidRPr="00D37256">
        <w:t xml:space="preserve"> </w:t>
      </w:r>
      <w:r w:rsidRPr="00D37256">
        <w:rPr>
          <w:i/>
        </w:rPr>
        <w:t>Anglers Reversal MO&amp;O</w:t>
      </w:r>
      <w:r w:rsidRPr="00D37256">
        <w:t>, 26 FCC Rcd at 14950, ¶ 17 (explaining that consideration of a petitioner’s request for exemption must take into account “the overall financial resources of the provider or program owner”).</w:t>
      </w:r>
    </w:p>
  </w:footnote>
  <w:footnote w:id="47">
    <w:p w:rsidR="0063661D" w:rsidRPr="00616A45" w:rsidRDefault="0063661D" w:rsidP="002C7C2F">
      <w:pPr>
        <w:pStyle w:val="FootnoteText"/>
        <w:jc w:val="left"/>
      </w:pPr>
      <w:r>
        <w:rPr>
          <w:rStyle w:val="FootnoteReference"/>
        </w:rPr>
        <w:footnoteRef/>
      </w:r>
      <w:r>
        <w:t xml:space="preserve"> </w:t>
      </w:r>
      <w:r>
        <w:rPr>
          <w:i/>
        </w:rPr>
        <w:t>Id.</w:t>
      </w:r>
    </w:p>
  </w:footnote>
  <w:footnote w:id="48">
    <w:p w:rsidR="0063661D" w:rsidRPr="00077652" w:rsidRDefault="0063661D" w:rsidP="002C7C2F">
      <w:pPr>
        <w:pStyle w:val="FootnoteText"/>
        <w:jc w:val="left"/>
      </w:pPr>
      <w:r>
        <w:rPr>
          <w:rStyle w:val="FootnoteReference"/>
        </w:rPr>
        <w:footnoteRef/>
      </w:r>
      <w:r>
        <w:t xml:space="preserve"> </w:t>
      </w:r>
      <w:r>
        <w:rPr>
          <w:i/>
        </w:rPr>
        <w:t>Se</w:t>
      </w:r>
      <w:r w:rsidRPr="00686355">
        <w:rPr>
          <w:i/>
        </w:rPr>
        <w:t xml:space="preserve">e </w:t>
      </w:r>
      <w:r w:rsidRPr="00686355">
        <w:t xml:space="preserve">¶ 9, </w:t>
      </w:r>
      <w:r w:rsidRPr="00686355">
        <w:rPr>
          <w:i/>
        </w:rPr>
        <w:t>supra</w:t>
      </w:r>
      <w:r w:rsidRPr="00686355">
        <w:t>.</w:t>
      </w:r>
    </w:p>
  </w:footnote>
  <w:footnote w:id="49">
    <w:p w:rsidR="0063661D" w:rsidRPr="00553777" w:rsidRDefault="0063661D" w:rsidP="002C7C2F">
      <w:pPr>
        <w:pStyle w:val="FootnoteText"/>
        <w:jc w:val="left"/>
      </w:pPr>
      <w:r>
        <w:rPr>
          <w:rStyle w:val="FootnoteReference"/>
        </w:rPr>
        <w:footnoteRef/>
      </w:r>
      <w:r>
        <w:t xml:space="preserve"> </w:t>
      </w:r>
      <w:r>
        <w:rPr>
          <w:i/>
        </w:rPr>
        <w:t xml:space="preserve">See </w:t>
      </w:r>
      <w:r w:rsidRPr="00686355">
        <w:rPr>
          <w:i/>
        </w:rPr>
        <w:t>¶</w:t>
      </w:r>
      <w:r w:rsidRPr="00686355">
        <w:t xml:space="preserve"> 10, </w:t>
      </w:r>
      <w:r w:rsidRPr="00686355">
        <w:rPr>
          <w:i/>
        </w:rPr>
        <w:t>supra</w:t>
      </w:r>
      <w:r w:rsidRPr="00686355">
        <w:t>.</w:t>
      </w:r>
    </w:p>
  </w:footnote>
  <w:footnote w:id="50">
    <w:p w:rsidR="0063661D" w:rsidRPr="00553777" w:rsidRDefault="0063661D" w:rsidP="002C7C2F">
      <w:pPr>
        <w:pStyle w:val="FootnoteText"/>
        <w:jc w:val="left"/>
      </w:pPr>
      <w:r>
        <w:rPr>
          <w:rStyle w:val="FootnoteReference"/>
        </w:rPr>
        <w:footnoteRef/>
      </w:r>
      <w:r>
        <w:t xml:space="preserve"> </w:t>
      </w:r>
      <w:r>
        <w:rPr>
          <w:i/>
        </w:rPr>
        <w:t xml:space="preserve">See </w:t>
      </w:r>
      <w:r w:rsidRPr="00686355">
        <w:t xml:space="preserve">¶ 8, </w:t>
      </w:r>
      <w:r w:rsidRPr="00686355">
        <w:rPr>
          <w:i/>
        </w:rPr>
        <w:t>supra</w:t>
      </w:r>
      <w:r w:rsidRPr="00686355">
        <w:t>.</w:t>
      </w:r>
      <w:r>
        <w:t xml:space="preserve">  </w:t>
      </w:r>
      <w:r w:rsidR="00DB1169">
        <w:t xml:space="preserve">  </w:t>
      </w:r>
    </w:p>
  </w:footnote>
  <w:footnote w:id="51">
    <w:p w:rsidR="00174C03" w:rsidRPr="00174C03" w:rsidRDefault="00174C03">
      <w:pPr>
        <w:pStyle w:val="FootnoteText"/>
      </w:pPr>
      <w:r>
        <w:rPr>
          <w:rStyle w:val="FootnoteReference"/>
        </w:rPr>
        <w:footnoteRef/>
      </w:r>
      <w:r>
        <w:t xml:space="preserve"> </w:t>
      </w:r>
      <w:r>
        <w:rPr>
          <w:i/>
        </w:rPr>
        <w:t xml:space="preserve">See </w:t>
      </w:r>
      <w:r w:rsidRPr="00686355">
        <w:rPr>
          <w:i/>
        </w:rPr>
        <w:t xml:space="preserve">¶ </w:t>
      </w:r>
      <w:r w:rsidRPr="00686355">
        <w:t xml:space="preserve">12, </w:t>
      </w:r>
      <w:r w:rsidRPr="00686355">
        <w:rPr>
          <w:i/>
        </w:rPr>
        <w:t>supra</w:t>
      </w:r>
      <w:r w:rsidRPr="00686355">
        <w:t>.</w:t>
      </w:r>
    </w:p>
  </w:footnote>
  <w:footnote w:id="52">
    <w:p w:rsidR="00174C03" w:rsidRPr="00174C03" w:rsidRDefault="00174C03">
      <w:pPr>
        <w:pStyle w:val="FootnoteText"/>
      </w:pPr>
      <w:r>
        <w:rPr>
          <w:rStyle w:val="FootnoteReference"/>
        </w:rPr>
        <w:footnoteRef/>
      </w:r>
      <w:r>
        <w:t xml:space="preserve"> </w:t>
      </w:r>
      <w:r>
        <w:rPr>
          <w:i/>
        </w:rPr>
        <w:t xml:space="preserve">See </w:t>
      </w:r>
      <w:r>
        <w:t>October 2013 Supplement at 1, 55.</w:t>
      </w:r>
    </w:p>
  </w:footnote>
  <w:footnote w:id="53">
    <w:p w:rsidR="0063661D" w:rsidRPr="008028D4" w:rsidRDefault="0063661D" w:rsidP="002C59F8">
      <w:pPr>
        <w:pStyle w:val="FootnoteText"/>
        <w:jc w:val="left"/>
      </w:pPr>
      <w:r>
        <w:rPr>
          <w:rStyle w:val="FootnoteReference"/>
        </w:rPr>
        <w:footnoteRef/>
      </w:r>
      <w:r>
        <w:t xml:space="preserve"> </w:t>
      </w:r>
      <w:r>
        <w:rPr>
          <w:i/>
        </w:rPr>
        <w:t xml:space="preserve">See </w:t>
      </w:r>
      <w:r w:rsidRPr="004E6185">
        <w:t xml:space="preserve">¶ 12, </w:t>
      </w:r>
      <w:r w:rsidRPr="004E6185">
        <w:rPr>
          <w:i/>
        </w:rPr>
        <w:t>supra</w:t>
      </w:r>
      <w:r w:rsidRPr="004E6185">
        <w:t>.</w:t>
      </w:r>
    </w:p>
  </w:footnote>
  <w:footnote w:id="54">
    <w:p w:rsidR="0063661D" w:rsidRDefault="0063661D" w:rsidP="002C59F8">
      <w:pPr>
        <w:pStyle w:val="FootnoteText"/>
        <w:jc w:val="left"/>
      </w:pPr>
      <w:r>
        <w:rPr>
          <w:rStyle w:val="FootnoteReference"/>
        </w:rPr>
        <w:footnoteRef/>
      </w:r>
      <w:r>
        <w:t xml:space="preserve"> </w:t>
      </w:r>
      <w:r w:rsidRPr="00D64247">
        <w:rPr>
          <w:i/>
        </w:rPr>
        <w:t>See</w:t>
      </w:r>
      <w:r>
        <w:rPr>
          <w:i/>
        </w:rPr>
        <w:t xml:space="preserve"> </w:t>
      </w:r>
      <w:r w:rsidRPr="00D64247">
        <w:rPr>
          <w:i/>
        </w:rPr>
        <w:t>First Lutheran Church of Albert Lea; Petition for Exemption from the Closed Captioning Requirements</w:t>
      </w:r>
      <w:r w:rsidRPr="00D64247">
        <w:t>, CG</w:t>
      </w:r>
      <w:r>
        <w:t>B</w:t>
      </w:r>
      <w:r w:rsidRPr="00D64247">
        <w:t xml:space="preserve">-CC-0143, CG Docket No. 06-181, Memorandum Option and Order, </w:t>
      </w:r>
      <w:r w:rsidRPr="00D64247">
        <w:rPr>
          <w:iCs/>
        </w:rPr>
        <w:t>29 FCC Rcd 9326,</w:t>
      </w:r>
      <w:r>
        <w:rPr>
          <w:iCs/>
        </w:rPr>
        <w:t xml:space="preserve"> 9333,</w:t>
      </w:r>
      <w:r w:rsidRPr="00D64247">
        <w:rPr>
          <w:iCs/>
        </w:rPr>
        <w:t xml:space="preserve"> n.</w:t>
      </w:r>
      <w:r>
        <w:rPr>
          <w:iCs/>
        </w:rPr>
        <w:t>63 (CGB 2014) (</w:t>
      </w:r>
      <w:r>
        <w:rPr>
          <w:i/>
          <w:iCs/>
        </w:rPr>
        <w:t>First Lutheran Church of Albert Lea</w:t>
      </w:r>
      <w:r w:rsidRPr="00590E21">
        <w:rPr>
          <w:iCs/>
        </w:rPr>
        <w:t>)</w:t>
      </w:r>
      <w:r w:rsidRPr="00D64247">
        <w:t>.</w:t>
      </w:r>
    </w:p>
  </w:footnote>
  <w:footnote w:id="55">
    <w:p w:rsidR="0063661D" w:rsidRPr="001108BA" w:rsidRDefault="0063661D" w:rsidP="002C59F8">
      <w:pPr>
        <w:autoSpaceDE w:val="0"/>
        <w:autoSpaceDN w:val="0"/>
        <w:adjustRightInd w:val="0"/>
        <w:spacing w:after="120"/>
        <w:rPr>
          <w:sz w:val="20"/>
        </w:rPr>
      </w:pPr>
      <w:r w:rsidRPr="00695543">
        <w:rPr>
          <w:rStyle w:val="FootnoteReference"/>
        </w:rPr>
        <w:footnoteRef/>
      </w:r>
      <w:r w:rsidRPr="00695543">
        <w:rPr>
          <w:sz w:val="20"/>
        </w:rPr>
        <w:t xml:space="preserve"> </w:t>
      </w:r>
      <w:r w:rsidRPr="00695543">
        <w:rPr>
          <w:i/>
          <w:sz w:val="20"/>
        </w:rPr>
        <w:t xml:space="preserve">See </w:t>
      </w:r>
      <w:r>
        <w:rPr>
          <w:i/>
          <w:sz w:val="20"/>
        </w:rPr>
        <w:t>id.</w:t>
      </w:r>
      <w:r w:rsidRPr="00695543">
        <w:rPr>
          <w:iCs/>
          <w:sz w:val="20"/>
        </w:rPr>
        <w:t xml:space="preserve"> (citing </w:t>
      </w:r>
      <w:r w:rsidRPr="00695543">
        <w:rPr>
          <w:i/>
          <w:iCs/>
          <w:sz w:val="20"/>
        </w:rPr>
        <w:t>Anglers</w:t>
      </w:r>
      <w:r w:rsidRPr="001108BA">
        <w:rPr>
          <w:i/>
          <w:iCs/>
          <w:sz w:val="20"/>
        </w:rPr>
        <w:t xml:space="preserve"> Reversal </w:t>
      </w:r>
      <w:r>
        <w:rPr>
          <w:i/>
          <w:iCs/>
          <w:sz w:val="20"/>
        </w:rPr>
        <w:t>MO&amp;O</w:t>
      </w:r>
      <w:r w:rsidRPr="001108BA">
        <w:rPr>
          <w:sz w:val="20"/>
        </w:rPr>
        <w:t>, 26 FCC Rcd at 14955-56, ¶ 28, n.101</w:t>
      </w:r>
      <w:r>
        <w:rPr>
          <w:sz w:val="20"/>
        </w:rPr>
        <w:t>)</w:t>
      </w:r>
      <w:r w:rsidRPr="001108BA">
        <w:rPr>
          <w:sz w:val="20"/>
        </w:rPr>
        <w:t xml:space="preserve">.  </w:t>
      </w:r>
    </w:p>
  </w:footnote>
  <w:footnote w:id="56">
    <w:p w:rsidR="00BE40CA" w:rsidRDefault="00BE40CA">
      <w:pPr>
        <w:pStyle w:val="FootnoteText"/>
      </w:pPr>
      <w:r>
        <w:rPr>
          <w:rStyle w:val="FootnoteReference"/>
        </w:rPr>
        <w:footnoteRef/>
      </w:r>
      <w:r>
        <w:t xml:space="preserve"> </w:t>
      </w:r>
      <w:r w:rsidRPr="00BE40CA">
        <w:rPr>
          <w:i/>
        </w:rPr>
        <w:t xml:space="preserve">See </w:t>
      </w:r>
      <w:r w:rsidRPr="00BE40CA">
        <w:t xml:space="preserve">¶ </w:t>
      </w:r>
      <w:r w:rsidRPr="00686355">
        <w:t xml:space="preserve">12, </w:t>
      </w:r>
      <w:r w:rsidRPr="00686355">
        <w:rPr>
          <w:i/>
        </w:rPr>
        <w:t>supra</w:t>
      </w:r>
      <w:r w:rsidRPr="00686355">
        <w:t>.</w:t>
      </w:r>
      <w:r w:rsidRPr="00BE40CA">
        <w:t xml:space="preserve">  </w:t>
      </w:r>
    </w:p>
  </w:footnote>
  <w:footnote w:id="57">
    <w:p w:rsidR="00DB1169" w:rsidRDefault="00DB1169">
      <w:pPr>
        <w:pStyle w:val="FootnoteText"/>
      </w:pPr>
      <w:r>
        <w:rPr>
          <w:rStyle w:val="FootnoteReference"/>
        </w:rPr>
        <w:footnoteRef/>
      </w:r>
      <w:r>
        <w:t xml:space="preserve"> </w:t>
      </w:r>
      <w:r w:rsidRPr="00DB1169">
        <w:rPr>
          <w:i/>
        </w:rPr>
        <w:t xml:space="preserve">See </w:t>
      </w:r>
      <w:r w:rsidRPr="00DB1169">
        <w:t xml:space="preserve">¶ </w:t>
      </w:r>
      <w:r w:rsidRPr="00686355">
        <w:t xml:space="preserve">11, </w:t>
      </w:r>
      <w:r w:rsidRPr="00686355">
        <w:rPr>
          <w:i/>
        </w:rPr>
        <w:t>supra</w:t>
      </w:r>
      <w:r w:rsidRPr="00686355">
        <w:t>.</w:t>
      </w:r>
      <w:r w:rsidRPr="00DB1169">
        <w:t xml:space="preserve">  </w:t>
      </w:r>
    </w:p>
  </w:footnote>
  <w:footnote w:id="58">
    <w:p w:rsidR="00F46F06" w:rsidRPr="004A2C6C" w:rsidRDefault="00F46F06" w:rsidP="00F46F06">
      <w:pPr>
        <w:pStyle w:val="FootnoteText"/>
        <w:jc w:val="left"/>
      </w:pPr>
      <w:r>
        <w:rPr>
          <w:rStyle w:val="FootnoteReference"/>
        </w:rPr>
        <w:footnoteRef/>
      </w:r>
      <w:r>
        <w:t xml:space="preserve"> </w:t>
      </w:r>
      <w:r>
        <w:rPr>
          <w:i/>
        </w:rPr>
        <w:t xml:space="preserve">See </w:t>
      </w:r>
      <w:r w:rsidR="00686355">
        <w:rPr>
          <w:i/>
        </w:rPr>
        <w:t>id</w:t>
      </w:r>
      <w:r w:rsidR="00992F5C">
        <w:rPr>
          <w:i/>
        </w:rPr>
        <w:t>.</w:t>
      </w:r>
      <w:r w:rsidRPr="00BB51F4">
        <w:t xml:space="preserve">; </w:t>
      </w:r>
      <w:r>
        <w:t>October 2013 Petition Supplement at 1.</w:t>
      </w:r>
    </w:p>
  </w:footnote>
  <w:footnote w:id="59">
    <w:p w:rsidR="0063661D" w:rsidRPr="005B4604" w:rsidRDefault="0063661D" w:rsidP="002C59F8">
      <w:pPr>
        <w:pStyle w:val="FootnoteText"/>
        <w:jc w:val="left"/>
      </w:pPr>
      <w:r>
        <w:rPr>
          <w:rStyle w:val="FootnoteReference"/>
        </w:rPr>
        <w:footnoteRef/>
      </w:r>
      <w:r>
        <w:t xml:space="preserve"> </w:t>
      </w:r>
      <w:r>
        <w:rPr>
          <w:i/>
        </w:rPr>
        <w:t>See Anglers Reversal MO&amp;O</w:t>
      </w:r>
      <w:r>
        <w:t>, 26 FCC Rcd at 14951, ¶ 28 (requiring each petitioner to “indicate” whether it has sought additional sponsorship sources or other sources of revenue for captioning).</w:t>
      </w:r>
    </w:p>
  </w:footnote>
  <w:footnote w:id="60">
    <w:p w:rsidR="0063661D" w:rsidRPr="001E1D42" w:rsidRDefault="0063661D" w:rsidP="002C59F8">
      <w:pPr>
        <w:spacing w:after="120"/>
        <w:rPr>
          <w:sz w:val="20"/>
        </w:rPr>
      </w:pPr>
      <w:r w:rsidRPr="001E1D42">
        <w:rPr>
          <w:rStyle w:val="FootnoteReference"/>
        </w:rPr>
        <w:footnoteRef/>
      </w:r>
      <w:r w:rsidRPr="001E1D42">
        <w:rPr>
          <w:sz w:val="20"/>
        </w:rPr>
        <w:t xml:space="preserve"> </w:t>
      </w:r>
      <w:r w:rsidRPr="001E1D42">
        <w:rPr>
          <w:i/>
          <w:iCs/>
          <w:sz w:val="20"/>
        </w:rPr>
        <w:t>The Wild Outdoors, Video Programming Accessibility, Petition for Waiver of Closed Captioning Requirements</w:t>
      </w:r>
      <w:r w:rsidRPr="001E1D42">
        <w:rPr>
          <w:iCs/>
          <w:sz w:val="20"/>
        </w:rPr>
        <w:t>,</w:t>
      </w:r>
      <w:r w:rsidRPr="001E1D42">
        <w:rPr>
          <w:i/>
          <w:iCs/>
          <w:sz w:val="20"/>
        </w:rPr>
        <w:t xml:space="preserve"> </w:t>
      </w:r>
      <w:r w:rsidRPr="001E1D42">
        <w:rPr>
          <w:iCs/>
          <w:sz w:val="20"/>
        </w:rPr>
        <w:t xml:space="preserve">Memorandum Opinion and Order, </w:t>
      </w:r>
      <w:r w:rsidRPr="001E1D42">
        <w:rPr>
          <w:sz w:val="20"/>
        </w:rPr>
        <w:t>20 FCC Rcd 11873, 11874, ¶ 3 (MB 2005) (</w:t>
      </w:r>
      <w:r w:rsidRPr="001E1D42">
        <w:rPr>
          <w:i/>
          <w:sz w:val="20"/>
        </w:rPr>
        <w:t>Wild Outdoors 2005</w:t>
      </w:r>
      <w:r w:rsidRPr="001E1D42">
        <w:rPr>
          <w:sz w:val="20"/>
        </w:rPr>
        <w:t xml:space="preserve">); </w:t>
      </w:r>
      <w:r w:rsidRPr="001E1D42">
        <w:rPr>
          <w:i/>
          <w:iCs/>
          <w:spacing w:val="-2"/>
          <w:sz w:val="20"/>
        </w:rPr>
        <w:t>Awakening Ministries</w:t>
      </w:r>
      <w:r w:rsidRPr="001E1D42">
        <w:rPr>
          <w:spacing w:val="-2"/>
          <w:sz w:val="20"/>
        </w:rPr>
        <w:t xml:space="preserve">, </w:t>
      </w:r>
      <w:r w:rsidRPr="001E1D42">
        <w:rPr>
          <w:i/>
          <w:iCs/>
          <w:sz w:val="20"/>
        </w:rPr>
        <w:t>Video Programming Accessibility, Petition for Waiver of Closed Captioning Requirements</w:t>
      </w:r>
      <w:r w:rsidRPr="001E1D42">
        <w:rPr>
          <w:sz w:val="20"/>
        </w:rPr>
        <w:t xml:space="preserve">, Memorandum Opinion and Order, 20 FCC Rcd 10740, 10741, ¶ 4 (MB 2005).  </w:t>
      </w:r>
      <w:r w:rsidRPr="001E1D42">
        <w:rPr>
          <w:i/>
          <w:sz w:val="20"/>
        </w:rPr>
        <w:t>See also</w:t>
      </w:r>
      <w:r w:rsidRPr="001E1D42">
        <w:rPr>
          <w:sz w:val="20"/>
        </w:rPr>
        <w:t xml:space="preserve"> </w:t>
      </w:r>
      <w:r w:rsidRPr="001E1D42">
        <w:rPr>
          <w:i/>
          <w:sz w:val="20"/>
        </w:rPr>
        <w:t>Anglers Reversal MO&amp;O</w:t>
      </w:r>
      <w:r w:rsidRPr="001E1D42">
        <w:rPr>
          <w:sz w:val="20"/>
        </w:rPr>
        <w:t>, 26 FCC Rcd at 14953,</w:t>
      </w:r>
      <w:r w:rsidRPr="001E1D42">
        <w:rPr>
          <w:i/>
          <w:sz w:val="20"/>
        </w:rPr>
        <w:t xml:space="preserve"> </w:t>
      </w:r>
      <w:r w:rsidRPr="001E1D42">
        <w:rPr>
          <w:sz w:val="20"/>
        </w:rPr>
        <w:t xml:space="preserve">¶ 23. </w:t>
      </w:r>
    </w:p>
  </w:footnote>
  <w:footnote w:id="61">
    <w:p w:rsidR="0063661D" w:rsidRPr="001E1D42" w:rsidRDefault="0063661D" w:rsidP="002C59F8">
      <w:pPr>
        <w:pStyle w:val="FootnoteText"/>
        <w:jc w:val="left"/>
        <w:rPr>
          <w:i/>
        </w:rPr>
      </w:pPr>
      <w:r w:rsidRPr="001E1D42">
        <w:rPr>
          <w:rStyle w:val="FootnoteReference"/>
        </w:rPr>
        <w:footnoteRef/>
      </w:r>
      <w:r w:rsidRPr="001E1D42">
        <w:t xml:space="preserve"> </w:t>
      </w:r>
      <w:r w:rsidRPr="001E1D42">
        <w:rPr>
          <w:i/>
        </w:rPr>
        <w:t>Closed Captioning Report and Order</w:t>
      </w:r>
      <w:r w:rsidRPr="001E1D42">
        <w:t xml:space="preserve">, 13 FCC Rcd at 3366, ¶ 205, </w:t>
      </w:r>
      <w:r w:rsidRPr="001E1D42">
        <w:rPr>
          <w:i/>
        </w:rPr>
        <w:t>quoted in</w:t>
      </w:r>
      <w:r w:rsidRPr="001E1D42">
        <w:t xml:space="preserve"> </w:t>
      </w:r>
      <w:r w:rsidRPr="001E1D42">
        <w:rPr>
          <w:i/>
        </w:rPr>
        <w:t>Anglers Reversal MO&amp;O</w:t>
      </w:r>
      <w:r w:rsidRPr="001E1D42">
        <w:t xml:space="preserve">, 26 FCC Rcd at 14952, ¶ 22.  </w:t>
      </w:r>
      <w:r w:rsidRPr="001E1D42">
        <w:rPr>
          <w:i/>
          <w:iCs/>
        </w:rPr>
        <w:t>See also,</w:t>
      </w:r>
      <w:r w:rsidRPr="001E1D42">
        <w:t xml:space="preserve"> </w:t>
      </w:r>
      <w:r w:rsidRPr="001E1D42">
        <w:rPr>
          <w:i/>
        </w:rPr>
        <w:t xml:space="preserve">e.g., </w:t>
      </w:r>
      <w:r w:rsidRPr="001E1D42">
        <w:rPr>
          <w:i/>
          <w:iCs/>
        </w:rPr>
        <w:t>Outland Sports, Inc., Video Programming Accessibility, Petition for Waiver of Closed Captioning Requirements</w:t>
      </w:r>
      <w:r w:rsidRPr="001E1D42">
        <w:t xml:space="preserve">, Memorandum Opinion and Order, 16 FCC Rcd 13605, 13609, ¶ 12 (Cable Services Bureau 2001) (granting an exemption for one year); </w:t>
      </w:r>
      <w:r w:rsidRPr="001E1D42">
        <w:rPr>
          <w:i/>
          <w:iCs/>
        </w:rPr>
        <w:t>Wild Outdoors</w:t>
      </w:r>
      <w:r w:rsidRPr="001E1D42">
        <w:t xml:space="preserve"> </w:t>
      </w:r>
      <w:r w:rsidRPr="001E1D42">
        <w:rPr>
          <w:i/>
        </w:rPr>
        <w:t>2001</w:t>
      </w:r>
      <w:r w:rsidRPr="001E1D42">
        <w:t xml:space="preserve">, 16 FCC Rcd 13611 (one year); </w:t>
      </w:r>
      <w:r w:rsidRPr="001E1D42">
        <w:rPr>
          <w:i/>
          <w:iCs/>
        </w:rPr>
        <w:t>WDLP Broadcasting Co, LLC</w:t>
      </w:r>
      <w:r w:rsidRPr="001E1D42">
        <w:t xml:space="preserve">, </w:t>
      </w:r>
      <w:r w:rsidRPr="001E1D42">
        <w:rPr>
          <w:i/>
          <w:iCs/>
        </w:rPr>
        <w:t>Video Programming Accessibility, Petition for Waiver of Closed Captioning Requirements</w:t>
      </w:r>
      <w:r w:rsidRPr="001E1D42">
        <w:t>, Memorandum Opinion and Order, 20 FCC Rcd 13531 (MB 2005) (three years)</w:t>
      </w:r>
      <w:r w:rsidRPr="001E1D42">
        <w:rPr>
          <w:i/>
        </w:rPr>
        <w:t>.  See also Anglers Reversal MO&amp;O</w:t>
      </w:r>
      <w:r w:rsidRPr="001E1D42">
        <w:t>, 26 FCC Rcd at 14953, ¶ 23.</w:t>
      </w:r>
    </w:p>
  </w:footnote>
  <w:footnote w:id="62">
    <w:p w:rsidR="0063661D" w:rsidRPr="001E1D42" w:rsidRDefault="0063661D" w:rsidP="002C59F8">
      <w:pPr>
        <w:pStyle w:val="FootnoteText"/>
        <w:jc w:val="left"/>
      </w:pPr>
      <w:r w:rsidRPr="001E1D42">
        <w:rPr>
          <w:rStyle w:val="FootnoteReference"/>
        </w:rPr>
        <w:footnoteRef/>
      </w:r>
      <w:r w:rsidRPr="001E1D42">
        <w:t xml:space="preserve"> </w:t>
      </w:r>
      <w:r w:rsidRPr="001E1D42">
        <w:rPr>
          <w:i/>
        </w:rPr>
        <w:t>Closed Captioning Reconsideration Order</w:t>
      </w:r>
      <w:r w:rsidRPr="001E1D42">
        <w:t xml:space="preserve">, 13 FCC Rcd at 20022, ¶ 112 (stating also that “[w]hile a specific time limit may be appropriate for some cases, a longer or shorter period may be appropriate in others”), </w:t>
      </w:r>
      <w:r w:rsidRPr="001E1D42">
        <w:rPr>
          <w:i/>
        </w:rPr>
        <w:t>quoted in</w:t>
      </w:r>
      <w:r w:rsidRPr="001E1D42">
        <w:t xml:space="preserve"> </w:t>
      </w:r>
      <w:r w:rsidRPr="001E1D42">
        <w:rPr>
          <w:i/>
        </w:rPr>
        <w:t>Anglers Reversal MO&amp;O</w:t>
      </w:r>
      <w:r w:rsidRPr="001E1D42">
        <w:t xml:space="preserve">, 26 FCC Rcd at 14952, ¶ 22 n.78.  </w:t>
      </w:r>
      <w:r w:rsidRPr="001E1D42">
        <w:rPr>
          <w:i/>
        </w:rPr>
        <w:t xml:space="preserve">See also </w:t>
      </w:r>
      <w:r w:rsidRPr="001E1D42">
        <w:t>n</w:t>
      </w:r>
      <w:r w:rsidRPr="00E86059">
        <w:t xml:space="preserve">.5, </w:t>
      </w:r>
      <w:r w:rsidRPr="00E86059">
        <w:rPr>
          <w:i/>
        </w:rPr>
        <w:t>supra</w:t>
      </w:r>
      <w:r w:rsidRPr="001E1D42">
        <w:rPr>
          <w:i/>
        </w:rPr>
        <w:t xml:space="preserve"> </w:t>
      </w:r>
      <w:r w:rsidRPr="001E1D42">
        <w:t>(confirming that the term “undue burden” is synonymous with the term “economically burdensome” for purposes of petitions for exemption from the Commission’s closed captioning rules).</w:t>
      </w:r>
    </w:p>
  </w:footnote>
  <w:footnote w:id="63">
    <w:p w:rsidR="0063661D" w:rsidRDefault="0063661D" w:rsidP="002C7C2F">
      <w:pPr>
        <w:pStyle w:val="FootnoteText"/>
        <w:jc w:val="left"/>
      </w:pPr>
      <w:r>
        <w:rPr>
          <w:rStyle w:val="FootnoteReference"/>
        </w:rPr>
        <w:footnoteRef/>
      </w:r>
      <w:r>
        <w:t xml:space="preserve"> 47 U.S.C. § 613, 47 C.F.R. §§ 0.141(f), 79.1(f).</w:t>
      </w:r>
    </w:p>
  </w:footnote>
  <w:footnote w:id="64">
    <w:p w:rsidR="0063661D" w:rsidRDefault="0063661D" w:rsidP="002C7C2F">
      <w:pPr>
        <w:pStyle w:val="FootnoteText"/>
        <w:jc w:val="left"/>
      </w:pPr>
      <w:r>
        <w:rPr>
          <w:rStyle w:val="FootnoteReference"/>
        </w:rPr>
        <w:footnoteRef/>
      </w:r>
      <w:r>
        <w:rPr>
          <w:i/>
        </w:rPr>
        <w:t xml:space="preserve"> See</w:t>
      </w:r>
      <w:r>
        <w:t xml:space="preserve"> </w:t>
      </w:r>
      <w:r>
        <w:rPr>
          <w:i/>
        </w:rPr>
        <w:t>Notice of New Electronic Filing Procedures for Television Closed Captioning Exemption Requests</w:t>
      </w:r>
      <w:r>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1C4" w:rsidRDefault="006101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1D" w:rsidRDefault="0063661D">
    <w:pPr>
      <w:pStyle w:val="Header"/>
      <w:tabs>
        <w:tab w:val="clear" w:pos="4320"/>
        <w:tab w:val="clear" w:pos="8640"/>
        <w:tab w:val="center" w:pos="4680"/>
        <w:tab w:val="right" w:pos="9360"/>
      </w:tabs>
      <w:rPr>
        <w:b/>
      </w:rPr>
    </w:pPr>
    <w:r>
      <w:rPr>
        <w:b/>
      </w:rPr>
      <w:tab/>
      <w:t>Federal Communications Commission</w:t>
    </w:r>
    <w:r>
      <w:rPr>
        <w:b/>
      </w:rPr>
      <w:tab/>
    </w:r>
    <w:r w:rsidR="005565A3">
      <w:rPr>
        <w:b/>
      </w:rPr>
      <w:t>DA 15-232</w:t>
    </w:r>
    <w:r>
      <w:rPr>
        <w:b/>
      </w:rPr>
      <w:t xml:space="preserve"> </w:t>
    </w:r>
  </w:p>
  <w:p w:rsidR="0063661D" w:rsidRDefault="0063661D">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01F41CFD" wp14:editId="0D08C63E">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63661D" w:rsidRDefault="00636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61D" w:rsidRDefault="0063661D">
    <w:pPr>
      <w:pStyle w:val="Header"/>
      <w:tabs>
        <w:tab w:val="clear" w:pos="4320"/>
        <w:tab w:val="clear" w:pos="8640"/>
        <w:tab w:val="center" w:pos="4680"/>
        <w:tab w:val="right" w:pos="9360"/>
      </w:tabs>
      <w:rPr>
        <w:b/>
      </w:rPr>
    </w:pPr>
    <w:r>
      <w:rPr>
        <w:b/>
      </w:rPr>
      <w:tab/>
      <w:t>Federal Communications Commission</w:t>
    </w:r>
    <w:r>
      <w:rPr>
        <w:b/>
      </w:rPr>
      <w:tab/>
      <w:t xml:space="preserve"> DA </w:t>
    </w:r>
    <w:r w:rsidR="005565A3">
      <w:rPr>
        <w:b/>
      </w:rPr>
      <w:t>15-232</w:t>
    </w:r>
    <w:r>
      <w:rPr>
        <w:b/>
      </w:rPr>
      <w:t xml:space="preserve"> </w:t>
    </w:r>
  </w:p>
  <w:p w:rsidR="0063661D" w:rsidRDefault="0063661D">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3ACA06E2" wp14:editId="7376DA1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 w:numId="25">
    <w:abstractNumId w:val="13"/>
    <w:lvlOverride w:ilvl="0">
      <w:startOverride w:val="1"/>
    </w:lvlOverride>
  </w:num>
  <w:num w:numId="26">
    <w:abstractNumId w:val="13"/>
  </w:num>
  <w:num w:numId="27">
    <w:abstractNumId w:val="13"/>
  </w:num>
  <w:num w:numId="28">
    <w:abstractNumId w:val="13"/>
  </w:num>
  <w:num w:numId="29">
    <w:abstractNumId w:val="13"/>
    <w:lvlOverride w:ilvl="0">
      <w:startOverride w:val="1"/>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4DEF"/>
    <w:rsid w:val="0000589C"/>
    <w:rsid w:val="000111FB"/>
    <w:rsid w:val="00012A78"/>
    <w:rsid w:val="00023135"/>
    <w:rsid w:val="00024E16"/>
    <w:rsid w:val="0002659E"/>
    <w:rsid w:val="00030C97"/>
    <w:rsid w:val="000323D5"/>
    <w:rsid w:val="00033812"/>
    <w:rsid w:val="00033C6A"/>
    <w:rsid w:val="00034F23"/>
    <w:rsid w:val="000355DB"/>
    <w:rsid w:val="00041A5F"/>
    <w:rsid w:val="00041AD3"/>
    <w:rsid w:val="00041BAE"/>
    <w:rsid w:val="00041EDB"/>
    <w:rsid w:val="00052C58"/>
    <w:rsid w:val="00055DB4"/>
    <w:rsid w:val="00055E50"/>
    <w:rsid w:val="0006200F"/>
    <w:rsid w:val="0006239D"/>
    <w:rsid w:val="000668E1"/>
    <w:rsid w:val="000701B3"/>
    <w:rsid w:val="00072FCB"/>
    <w:rsid w:val="0007301B"/>
    <w:rsid w:val="000773F2"/>
    <w:rsid w:val="00077652"/>
    <w:rsid w:val="00077DF2"/>
    <w:rsid w:val="000816F5"/>
    <w:rsid w:val="0009048F"/>
    <w:rsid w:val="00090EB9"/>
    <w:rsid w:val="00093D21"/>
    <w:rsid w:val="000940AD"/>
    <w:rsid w:val="00095CE5"/>
    <w:rsid w:val="000A36B4"/>
    <w:rsid w:val="000A4EB0"/>
    <w:rsid w:val="000B1427"/>
    <w:rsid w:val="000B16B3"/>
    <w:rsid w:val="000B276A"/>
    <w:rsid w:val="000B2967"/>
    <w:rsid w:val="000B3144"/>
    <w:rsid w:val="000B3427"/>
    <w:rsid w:val="000C03DD"/>
    <w:rsid w:val="000C4E0D"/>
    <w:rsid w:val="000D7883"/>
    <w:rsid w:val="000E07B9"/>
    <w:rsid w:val="000E1F76"/>
    <w:rsid w:val="000E23E7"/>
    <w:rsid w:val="000E38F2"/>
    <w:rsid w:val="000E6CAC"/>
    <w:rsid w:val="000F2EBF"/>
    <w:rsid w:val="000F2FA9"/>
    <w:rsid w:val="000F4068"/>
    <w:rsid w:val="000F4EF5"/>
    <w:rsid w:val="000F630A"/>
    <w:rsid w:val="001043E5"/>
    <w:rsid w:val="0011160C"/>
    <w:rsid w:val="00112AA3"/>
    <w:rsid w:val="00114847"/>
    <w:rsid w:val="001149B6"/>
    <w:rsid w:val="00114D39"/>
    <w:rsid w:val="00117EE3"/>
    <w:rsid w:val="00120450"/>
    <w:rsid w:val="00121167"/>
    <w:rsid w:val="00122BFE"/>
    <w:rsid w:val="00124E45"/>
    <w:rsid w:val="001277D6"/>
    <w:rsid w:val="00131BA5"/>
    <w:rsid w:val="00135D83"/>
    <w:rsid w:val="00136D92"/>
    <w:rsid w:val="00141601"/>
    <w:rsid w:val="00141E1C"/>
    <w:rsid w:val="00144427"/>
    <w:rsid w:val="00144954"/>
    <w:rsid w:val="00145E57"/>
    <w:rsid w:val="00145E9F"/>
    <w:rsid w:val="00146CE8"/>
    <w:rsid w:val="001538FF"/>
    <w:rsid w:val="0015569E"/>
    <w:rsid w:val="0015614E"/>
    <w:rsid w:val="001605F2"/>
    <w:rsid w:val="00162FB0"/>
    <w:rsid w:val="001662BE"/>
    <w:rsid w:val="00170DD9"/>
    <w:rsid w:val="00170F05"/>
    <w:rsid w:val="00171DED"/>
    <w:rsid w:val="00172786"/>
    <w:rsid w:val="00174188"/>
    <w:rsid w:val="00174C03"/>
    <w:rsid w:val="00176C89"/>
    <w:rsid w:val="00183F53"/>
    <w:rsid w:val="00185B50"/>
    <w:rsid w:val="0019319B"/>
    <w:rsid w:val="001963EB"/>
    <w:rsid w:val="001A12B1"/>
    <w:rsid w:val="001B12B5"/>
    <w:rsid w:val="001B64B2"/>
    <w:rsid w:val="001C36ED"/>
    <w:rsid w:val="001C4C11"/>
    <w:rsid w:val="001C69E4"/>
    <w:rsid w:val="001C7A99"/>
    <w:rsid w:val="001D2CB1"/>
    <w:rsid w:val="001D361A"/>
    <w:rsid w:val="001D5F6E"/>
    <w:rsid w:val="001D646A"/>
    <w:rsid w:val="001D796A"/>
    <w:rsid w:val="001E265A"/>
    <w:rsid w:val="001E2F57"/>
    <w:rsid w:val="001E4BA2"/>
    <w:rsid w:val="001E67FA"/>
    <w:rsid w:val="001F3139"/>
    <w:rsid w:val="001F38C8"/>
    <w:rsid w:val="00202038"/>
    <w:rsid w:val="00202362"/>
    <w:rsid w:val="002024D8"/>
    <w:rsid w:val="00205193"/>
    <w:rsid w:val="00211382"/>
    <w:rsid w:val="00223F6E"/>
    <w:rsid w:val="002259CE"/>
    <w:rsid w:val="00225D1E"/>
    <w:rsid w:val="00226C99"/>
    <w:rsid w:val="00234128"/>
    <w:rsid w:val="0024375A"/>
    <w:rsid w:val="00253A29"/>
    <w:rsid w:val="00255CC2"/>
    <w:rsid w:val="00260DE8"/>
    <w:rsid w:val="00262B33"/>
    <w:rsid w:val="00265A03"/>
    <w:rsid w:val="00266C37"/>
    <w:rsid w:val="00273B61"/>
    <w:rsid w:val="002743C0"/>
    <w:rsid w:val="00275444"/>
    <w:rsid w:val="00280057"/>
    <w:rsid w:val="002802ED"/>
    <w:rsid w:val="00280B21"/>
    <w:rsid w:val="00287E2F"/>
    <w:rsid w:val="002905D1"/>
    <w:rsid w:val="002959A7"/>
    <w:rsid w:val="00295A43"/>
    <w:rsid w:val="00295F92"/>
    <w:rsid w:val="002A1536"/>
    <w:rsid w:val="002A1D4B"/>
    <w:rsid w:val="002A604B"/>
    <w:rsid w:val="002A62F5"/>
    <w:rsid w:val="002B7E38"/>
    <w:rsid w:val="002C062A"/>
    <w:rsid w:val="002C0B91"/>
    <w:rsid w:val="002C4117"/>
    <w:rsid w:val="002C59F8"/>
    <w:rsid w:val="002C7C2F"/>
    <w:rsid w:val="002D6E14"/>
    <w:rsid w:val="002D7BB1"/>
    <w:rsid w:val="002E285E"/>
    <w:rsid w:val="002E2DE1"/>
    <w:rsid w:val="002E585C"/>
    <w:rsid w:val="002E65A1"/>
    <w:rsid w:val="002F3B19"/>
    <w:rsid w:val="002F448F"/>
    <w:rsid w:val="002F48FF"/>
    <w:rsid w:val="002F735E"/>
    <w:rsid w:val="002F7C2A"/>
    <w:rsid w:val="002F7E57"/>
    <w:rsid w:val="003013EF"/>
    <w:rsid w:val="003034A8"/>
    <w:rsid w:val="00304CF7"/>
    <w:rsid w:val="0030562C"/>
    <w:rsid w:val="00314EC5"/>
    <w:rsid w:val="00317971"/>
    <w:rsid w:val="003216A5"/>
    <w:rsid w:val="0032411B"/>
    <w:rsid w:val="0032451F"/>
    <w:rsid w:val="00324937"/>
    <w:rsid w:val="003311D3"/>
    <w:rsid w:val="00331EAA"/>
    <w:rsid w:val="00335FC7"/>
    <w:rsid w:val="00340DAC"/>
    <w:rsid w:val="00341A34"/>
    <w:rsid w:val="00342A5D"/>
    <w:rsid w:val="00346D30"/>
    <w:rsid w:val="00347DAD"/>
    <w:rsid w:val="003503E3"/>
    <w:rsid w:val="00357D3F"/>
    <w:rsid w:val="00360AEA"/>
    <w:rsid w:val="00364CE0"/>
    <w:rsid w:val="00375862"/>
    <w:rsid w:val="00377F5D"/>
    <w:rsid w:val="003810A1"/>
    <w:rsid w:val="00381717"/>
    <w:rsid w:val="0038210E"/>
    <w:rsid w:val="00384CF4"/>
    <w:rsid w:val="00390DC7"/>
    <w:rsid w:val="00395A70"/>
    <w:rsid w:val="003A2621"/>
    <w:rsid w:val="003A4CB4"/>
    <w:rsid w:val="003B1336"/>
    <w:rsid w:val="003B1369"/>
    <w:rsid w:val="003B1946"/>
    <w:rsid w:val="003B71D2"/>
    <w:rsid w:val="003C2541"/>
    <w:rsid w:val="003C2AD0"/>
    <w:rsid w:val="003C4562"/>
    <w:rsid w:val="003C5BB9"/>
    <w:rsid w:val="003D3290"/>
    <w:rsid w:val="003E12FA"/>
    <w:rsid w:val="003E7516"/>
    <w:rsid w:val="003F144F"/>
    <w:rsid w:val="003F3D79"/>
    <w:rsid w:val="003F6021"/>
    <w:rsid w:val="00403DCB"/>
    <w:rsid w:val="00410A6D"/>
    <w:rsid w:val="004124AD"/>
    <w:rsid w:val="00415782"/>
    <w:rsid w:val="00420AF5"/>
    <w:rsid w:val="004218FE"/>
    <w:rsid w:val="00423092"/>
    <w:rsid w:val="00423470"/>
    <w:rsid w:val="00426114"/>
    <w:rsid w:val="00431F3D"/>
    <w:rsid w:val="00432DE4"/>
    <w:rsid w:val="004338D1"/>
    <w:rsid w:val="004348AC"/>
    <w:rsid w:val="0043508A"/>
    <w:rsid w:val="004358C5"/>
    <w:rsid w:val="004433C9"/>
    <w:rsid w:val="0044614E"/>
    <w:rsid w:val="00451EDF"/>
    <w:rsid w:val="00467CD1"/>
    <w:rsid w:val="00472E50"/>
    <w:rsid w:val="00474C23"/>
    <w:rsid w:val="00476F0D"/>
    <w:rsid w:val="00482081"/>
    <w:rsid w:val="0048268B"/>
    <w:rsid w:val="00485CE2"/>
    <w:rsid w:val="00490361"/>
    <w:rsid w:val="00490E59"/>
    <w:rsid w:val="004938E1"/>
    <w:rsid w:val="0049743F"/>
    <w:rsid w:val="00497C7D"/>
    <w:rsid w:val="004A0D0F"/>
    <w:rsid w:val="004A34BA"/>
    <w:rsid w:val="004A5993"/>
    <w:rsid w:val="004A7835"/>
    <w:rsid w:val="004B5CE0"/>
    <w:rsid w:val="004C2B9E"/>
    <w:rsid w:val="004D0B97"/>
    <w:rsid w:val="004D4A51"/>
    <w:rsid w:val="004E03DC"/>
    <w:rsid w:val="004E4061"/>
    <w:rsid w:val="004E4564"/>
    <w:rsid w:val="004E4694"/>
    <w:rsid w:val="004E5AB4"/>
    <w:rsid w:val="004E6331"/>
    <w:rsid w:val="004F11F4"/>
    <w:rsid w:val="004F341F"/>
    <w:rsid w:val="004F5B79"/>
    <w:rsid w:val="004F6807"/>
    <w:rsid w:val="004F7486"/>
    <w:rsid w:val="0050020F"/>
    <w:rsid w:val="005056C5"/>
    <w:rsid w:val="005102B3"/>
    <w:rsid w:val="0051111A"/>
    <w:rsid w:val="005164D6"/>
    <w:rsid w:val="00522411"/>
    <w:rsid w:val="00522DEB"/>
    <w:rsid w:val="005236D3"/>
    <w:rsid w:val="00530B64"/>
    <w:rsid w:val="005355AF"/>
    <w:rsid w:val="005361A1"/>
    <w:rsid w:val="005362B0"/>
    <w:rsid w:val="00545450"/>
    <w:rsid w:val="005470FF"/>
    <w:rsid w:val="00547E82"/>
    <w:rsid w:val="00553777"/>
    <w:rsid w:val="005565A3"/>
    <w:rsid w:val="00562256"/>
    <w:rsid w:val="005627E4"/>
    <w:rsid w:val="005644AD"/>
    <w:rsid w:val="005663B9"/>
    <w:rsid w:val="00566D7C"/>
    <w:rsid w:val="00566F23"/>
    <w:rsid w:val="00571210"/>
    <w:rsid w:val="00571A4E"/>
    <w:rsid w:val="005758F2"/>
    <w:rsid w:val="0057687F"/>
    <w:rsid w:val="00577D1A"/>
    <w:rsid w:val="00577D20"/>
    <w:rsid w:val="00584A2D"/>
    <w:rsid w:val="005861B5"/>
    <w:rsid w:val="00586BA1"/>
    <w:rsid w:val="00587C5C"/>
    <w:rsid w:val="00590EF5"/>
    <w:rsid w:val="00591A81"/>
    <w:rsid w:val="00594666"/>
    <w:rsid w:val="0059692D"/>
    <w:rsid w:val="005A0A3C"/>
    <w:rsid w:val="005A43BB"/>
    <w:rsid w:val="005A5B5A"/>
    <w:rsid w:val="005B0804"/>
    <w:rsid w:val="005B1D5D"/>
    <w:rsid w:val="005C1CDE"/>
    <w:rsid w:val="005C2AFE"/>
    <w:rsid w:val="005C51A5"/>
    <w:rsid w:val="005C707D"/>
    <w:rsid w:val="005C7951"/>
    <w:rsid w:val="005D040F"/>
    <w:rsid w:val="005D0B96"/>
    <w:rsid w:val="005D6603"/>
    <w:rsid w:val="005D722E"/>
    <w:rsid w:val="005E1A33"/>
    <w:rsid w:val="005E1EF3"/>
    <w:rsid w:val="005E2366"/>
    <w:rsid w:val="005E2727"/>
    <w:rsid w:val="005E28A5"/>
    <w:rsid w:val="005E3975"/>
    <w:rsid w:val="005E4DC7"/>
    <w:rsid w:val="005F2DB0"/>
    <w:rsid w:val="005F4EBF"/>
    <w:rsid w:val="006011CE"/>
    <w:rsid w:val="00602559"/>
    <w:rsid w:val="006032F5"/>
    <w:rsid w:val="00604AD9"/>
    <w:rsid w:val="00606A12"/>
    <w:rsid w:val="006101C4"/>
    <w:rsid w:val="00610EA6"/>
    <w:rsid w:val="006118F9"/>
    <w:rsid w:val="00616A45"/>
    <w:rsid w:val="00617965"/>
    <w:rsid w:val="00617A87"/>
    <w:rsid w:val="00622CAB"/>
    <w:rsid w:val="00623321"/>
    <w:rsid w:val="00624FB7"/>
    <w:rsid w:val="006262E4"/>
    <w:rsid w:val="00627778"/>
    <w:rsid w:val="00627B58"/>
    <w:rsid w:val="0063116E"/>
    <w:rsid w:val="0063661D"/>
    <w:rsid w:val="00640010"/>
    <w:rsid w:val="00640C79"/>
    <w:rsid w:val="00645335"/>
    <w:rsid w:val="0064668F"/>
    <w:rsid w:val="00655334"/>
    <w:rsid w:val="00662567"/>
    <w:rsid w:val="00665B84"/>
    <w:rsid w:val="00667B62"/>
    <w:rsid w:val="00674552"/>
    <w:rsid w:val="006772D4"/>
    <w:rsid w:val="00686355"/>
    <w:rsid w:val="00686EC7"/>
    <w:rsid w:val="006875A6"/>
    <w:rsid w:val="00687925"/>
    <w:rsid w:val="006904B5"/>
    <w:rsid w:val="00690AE1"/>
    <w:rsid w:val="0069443A"/>
    <w:rsid w:val="006A05AD"/>
    <w:rsid w:val="006A24D6"/>
    <w:rsid w:val="006B0320"/>
    <w:rsid w:val="006B2E0D"/>
    <w:rsid w:val="006B59A3"/>
    <w:rsid w:val="006B5F92"/>
    <w:rsid w:val="006D2537"/>
    <w:rsid w:val="006D335B"/>
    <w:rsid w:val="006D3830"/>
    <w:rsid w:val="006D6116"/>
    <w:rsid w:val="006E4CD4"/>
    <w:rsid w:val="006F2BE3"/>
    <w:rsid w:val="006F5108"/>
    <w:rsid w:val="006F7E82"/>
    <w:rsid w:val="00701570"/>
    <w:rsid w:val="00701BAA"/>
    <w:rsid w:val="007051BD"/>
    <w:rsid w:val="007065F7"/>
    <w:rsid w:val="00706F60"/>
    <w:rsid w:val="00720B8D"/>
    <w:rsid w:val="00720F26"/>
    <w:rsid w:val="00723B65"/>
    <w:rsid w:val="00726144"/>
    <w:rsid w:val="00727AB8"/>
    <w:rsid w:val="007326B1"/>
    <w:rsid w:val="00735CC3"/>
    <w:rsid w:val="0074193E"/>
    <w:rsid w:val="00741AE9"/>
    <w:rsid w:val="00746961"/>
    <w:rsid w:val="00751560"/>
    <w:rsid w:val="0075170B"/>
    <w:rsid w:val="00752CD6"/>
    <w:rsid w:val="00753EC6"/>
    <w:rsid w:val="0075595F"/>
    <w:rsid w:val="00760507"/>
    <w:rsid w:val="00764215"/>
    <w:rsid w:val="00773479"/>
    <w:rsid w:val="007738A7"/>
    <w:rsid w:val="00786543"/>
    <w:rsid w:val="007929F2"/>
    <w:rsid w:val="00792ECA"/>
    <w:rsid w:val="007A43BF"/>
    <w:rsid w:val="007A54B2"/>
    <w:rsid w:val="007A6550"/>
    <w:rsid w:val="007B507E"/>
    <w:rsid w:val="007C130D"/>
    <w:rsid w:val="007C3109"/>
    <w:rsid w:val="007C4C91"/>
    <w:rsid w:val="007C55AD"/>
    <w:rsid w:val="007D43F1"/>
    <w:rsid w:val="007D7612"/>
    <w:rsid w:val="007D7F33"/>
    <w:rsid w:val="007E06C7"/>
    <w:rsid w:val="007E074F"/>
    <w:rsid w:val="007E23E3"/>
    <w:rsid w:val="007E34FE"/>
    <w:rsid w:val="007E41D7"/>
    <w:rsid w:val="007E5028"/>
    <w:rsid w:val="007E703D"/>
    <w:rsid w:val="007E7F13"/>
    <w:rsid w:val="007F028C"/>
    <w:rsid w:val="007F419C"/>
    <w:rsid w:val="007F57FC"/>
    <w:rsid w:val="007F5D59"/>
    <w:rsid w:val="007F7E59"/>
    <w:rsid w:val="00800A6D"/>
    <w:rsid w:val="0080113F"/>
    <w:rsid w:val="00801BCC"/>
    <w:rsid w:val="00802433"/>
    <w:rsid w:val="00805320"/>
    <w:rsid w:val="008061F8"/>
    <w:rsid w:val="0080760A"/>
    <w:rsid w:val="00810D8F"/>
    <w:rsid w:val="00815A67"/>
    <w:rsid w:val="00815B35"/>
    <w:rsid w:val="0082505B"/>
    <w:rsid w:val="0082529A"/>
    <w:rsid w:val="00831B60"/>
    <w:rsid w:val="00836EB7"/>
    <w:rsid w:val="008440EF"/>
    <w:rsid w:val="00845FAE"/>
    <w:rsid w:val="008508EA"/>
    <w:rsid w:val="00852D2A"/>
    <w:rsid w:val="00861BDE"/>
    <w:rsid w:val="00862BD5"/>
    <w:rsid w:val="008640F3"/>
    <w:rsid w:val="00867ADE"/>
    <w:rsid w:val="0087300E"/>
    <w:rsid w:val="008739A8"/>
    <w:rsid w:val="00874003"/>
    <w:rsid w:val="00874706"/>
    <w:rsid w:val="00875015"/>
    <w:rsid w:val="00876738"/>
    <w:rsid w:val="008839CF"/>
    <w:rsid w:val="00883D86"/>
    <w:rsid w:val="00884A1A"/>
    <w:rsid w:val="0088742B"/>
    <w:rsid w:val="008966E0"/>
    <w:rsid w:val="00897230"/>
    <w:rsid w:val="008A0976"/>
    <w:rsid w:val="008A1368"/>
    <w:rsid w:val="008A2C5D"/>
    <w:rsid w:val="008A300B"/>
    <w:rsid w:val="008A420C"/>
    <w:rsid w:val="008A5789"/>
    <w:rsid w:val="008A7D42"/>
    <w:rsid w:val="008B0C7A"/>
    <w:rsid w:val="008B1565"/>
    <w:rsid w:val="008C0495"/>
    <w:rsid w:val="008C0FEC"/>
    <w:rsid w:val="008D0E66"/>
    <w:rsid w:val="008D1333"/>
    <w:rsid w:val="008D42A1"/>
    <w:rsid w:val="008D5D5F"/>
    <w:rsid w:val="008E40B3"/>
    <w:rsid w:val="008F1136"/>
    <w:rsid w:val="008F7934"/>
    <w:rsid w:val="00902D54"/>
    <w:rsid w:val="00903106"/>
    <w:rsid w:val="009103DF"/>
    <w:rsid w:val="009110FF"/>
    <w:rsid w:val="00913FB3"/>
    <w:rsid w:val="009145F2"/>
    <w:rsid w:val="00916C27"/>
    <w:rsid w:val="0091772A"/>
    <w:rsid w:val="009178E6"/>
    <w:rsid w:val="00920B22"/>
    <w:rsid w:val="00924BE1"/>
    <w:rsid w:val="009276AC"/>
    <w:rsid w:val="00927BCA"/>
    <w:rsid w:val="00931443"/>
    <w:rsid w:val="00933996"/>
    <w:rsid w:val="009374C9"/>
    <w:rsid w:val="00942BD9"/>
    <w:rsid w:val="00943AB3"/>
    <w:rsid w:val="009508D4"/>
    <w:rsid w:val="00952634"/>
    <w:rsid w:val="00952F0D"/>
    <w:rsid w:val="00955C01"/>
    <w:rsid w:val="00957504"/>
    <w:rsid w:val="009656A0"/>
    <w:rsid w:val="00972B8F"/>
    <w:rsid w:val="00973313"/>
    <w:rsid w:val="0097526F"/>
    <w:rsid w:val="00982EA9"/>
    <w:rsid w:val="009838A4"/>
    <w:rsid w:val="009844B8"/>
    <w:rsid w:val="00985082"/>
    <w:rsid w:val="0098516F"/>
    <w:rsid w:val="0098688D"/>
    <w:rsid w:val="009871D1"/>
    <w:rsid w:val="00987766"/>
    <w:rsid w:val="00990122"/>
    <w:rsid w:val="009912DA"/>
    <w:rsid w:val="00992F5C"/>
    <w:rsid w:val="009A7C94"/>
    <w:rsid w:val="009A7D1D"/>
    <w:rsid w:val="009C11B0"/>
    <w:rsid w:val="009C4F64"/>
    <w:rsid w:val="009C5609"/>
    <w:rsid w:val="009C5B52"/>
    <w:rsid w:val="009C79DB"/>
    <w:rsid w:val="009D03FF"/>
    <w:rsid w:val="009D154D"/>
    <w:rsid w:val="009D6162"/>
    <w:rsid w:val="009D61AF"/>
    <w:rsid w:val="009D642E"/>
    <w:rsid w:val="009E0E1F"/>
    <w:rsid w:val="009E4ACD"/>
    <w:rsid w:val="009E7017"/>
    <w:rsid w:val="009E7260"/>
    <w:rsid w:val="009E7FEC"/>
    <w:rsid w:val="009F64B6"/>
    <w:rsid w:val="00A034AE"/>
    <w:rsid w:val="00A103F7"/>
    <w:rsid w:val="00A11F7D"/>
    <w:rsid w:val="00A12932"/>
    <w:rsid w:val="00A15584"/>
    <w:rsid w:val="00A16552"/>
    <w:rsid w:val="00A16AC7"/>
    <w:rsid w:val="00A16B50"/>
    <w:rsid w:val="00A17EAD"/>
    <w:rsid w:val="00A200A8"/>
    <w:rsid w:val="00A211D7"/>
    <w:rsid w:val="00A226FB"/>
    <w:rsid w:val="00A22F6C"/>
    <w:rsid w:val="00A24E31"/>
    <w:rsid w:val="00A24FE9"/>
    <w:rsid w:val="00A26209"/>
    <w:rsid w:val="00A26C54"/>
    <w:rsid w:val="00A304CB"/>
    <w:rsid w:val="00A30BE7"/>
    <w:rsid w:val="00A33CE3"/>
    <w:rsid w:val="00A34448"/>
    <w:rsid w:val="00A350FE"/>
    <w:rsid w:val="00A41266"/>
    <w:rsid w:val="00A4163F"/>
    <w:rsid w:val="00A42E7B"/>
    <w:rsid w:val="00A4588A"/>
    <w:rsid w:val="00A46F2E"/>
    <w:rsid w:val="00A56D16"/>
    <w:rsid w:val="00A57667"/>
    <w:rsid w:val="00A60984"/>
    <w:rsid w:val="00A65913"/>
    <w:rsid w:val="00A712FD"/>
    <w:rsid w:val="00A72022"/>
    <w:rsid w:val="00A74630"/>
    <w:rsid w:val="00A759E5"/>
    <w:rsid w:val="00A812E2"/>
    <w:rsid w:val="00A86007"/>
    <w:rsid w:val="00A86126"/>
    <w:rsid w:val="00A94C75"/>
    <w:rsid w:val="00A96E22"/>
    <w:rsid w:val="00A97B77"/>
    <w:rsid w:val="00AA14F1"/>
    <w:rsid w:val="00AA17AB"/>
    <w:rsid w:val="00AA36D9"/>
    <w:rsid w:val="00AA4563"/>
    <w:rsid w:val="00AB0B29"/>
    <w:rsid w:val="00AB2A69"/>
    <w:rsid w:val="00AB5B59"/>
    <w:rsid w:val="00AC086B"/>
    <w:rsid w:val="00AC2C8B"/>
    <w:rsid w:val="00AC2F04"/>
    <w:rsid w:val="00AC3C2D"/>
    <w:rsid w:val="00AC53AC"/>
    <w:rsid w:val="00AD2E7C"/>
    <w:rsid w:val="00AD448B"/>
    <w:rsid w:val="00AD6816"/>
    <w:rsid w:val="00AE0EF4"/>
    <w:rsid w:val="00AE4E1D"/>
    <w:rsid w:val="00AE5834"/>
    <w:rsid w:val="00AE58C1"/>
    <w:rsid w:val="00AF163C"/>
    <w:rsid w:val="00AF24D7"/>
    <w:rsid w:val="00AF57EB"/>
    <w:rsid w:val="00AF7FB6"/>
    <w:rsid w:val="00B066E4"/>
    <w:rsid w:val="00B11ED9"/>
    <w:rsid w:val="00B21A1E"/>
    <w:rsid w:val="00B3549E"/>
    <w:rsid w:val="00B403E9"/>
    <w:rsid w:val="00B404A4"/>
    <w:rsid w:val="00B424BD"/>
    <w:rsid w:val="00B4283A"/>
    <w:rsid w:val="00B47B68"/>
    <w:rsid w:val="00B5067B"/>
    <w:rsid w:val="00B521AB"/>
    <w:rsid w:val="00B53BD9"/>
    <w:rsid w:val="00B5525A"/>
    <w:rsid w:val="00B556F3"/>
    <w:rsid w:val="00B5578A"/>
    <w:rsid w:val="00B55D32"/>
    <w:rsid w:val="00B56F39"/>
    <w:rsid w:val="00B66851"/>
    <w:rsid w:val="00B672A6"/>
    <w:rsid w:val="00B674FE"/>
    <w:rsid w:val="00B74431"/>
    <w:rsid w:val="00B75F4A"/>
    <w:rsid w:val="00B80991"/>
    <w:rsid w:val="00B843F1"/>
    <w:rsid w:val="00B84478"/>
    <w:rsid w:val="00B8491B"/>
    <w:rsid w:val="00B87DBC"/>
    <w:rsid w:val="00B90BF9"/>
    <w:rsid w:val="00B949F8"/>
    <w:rsid w:val="00B97620"/>
    <w:rsid w:val="00B97810"/>
    <w:rsid w:val="00BA242C"/>
    <w:rsid w:val="00BA659F"/>
    <w:rsid w:val="00BB2F0C"/>
    <w:rsid w:val="00BB5E41"/>
    <w:rsid w:val="00BC2530"/>
    <w:rsid w:val="00BC4E9E"/>
    <w:rsid w:val="00BC60ED"/>
    <w:rsid w:val="00BC6A58"/>
    <w:rsid w:val="00BD0B42"/>
    <w:rsid w:val="00BD7C62"/>
    <w:rsid w:val="00BE02F1"/>
    <w:rsid w:val="00BE3D30"/>
    <w:rsid w:val="00BE3E62"/>
    <w:rsid w:val="00BE40CA"/>
    <w:rsid w:val="00BE4FB3"/>
    <w:rsid w:val="00BE77C0"/>
    <w:rsid w:val="00BF54F9"/>
    <w:rsid w:val="00C02B40"/>
    <w:rsid w:val="00C04500"/>
    <w:rsid w:val="00C04CF9"/>
    <w:rsid w:val="00C04DBD"/>
    <w:rsid w:val="00C140AA"/>
    <w:rsid w:val="00C21B73"/>
    <w:rsid w:val="00C26DF5"/>
    <w:rsid w:val="00C27269"/>
    <w:rsid w:val="00C27657"/>
    <w:rsid w:val="00C27EC2"/>
    <w:rsid w:val="00C338CC"/>
    <w:rsid w:val="00C361FE"/>
    <w:rsid w:val="00C37975"/>
    <w:rsid w:val="00C403FC"/>
    <w:rsid w:val="00C40728"/>
    <w:rsid w:val="00C41462"/>
    <w:rsid w:val="00C416C6"/>
    <w:rsid w:val="00C45019"/>
    <w:rsid w:val="00C463B9"/>
    <w:rsid w:val="00C470DF"/>
    <w:rsid w:val="00C521D2"/>
    <w:rsid w:val="00C536DB"/>
    <w:rsid w:val="00C624EB"/>
    <w:rsid w:val="00C627AA"/>
    <w:rsid w:val="00C65E40"/>
    <w:rsid w:val="00C70EE9"/>
    <w:rsid w:val="00C71844"/>
    <w:rsid w:val="00C74F9C"/>
    <w:rsid w:val="00C7571E"/>
    <w:rsid w:val="00C75E58"/>
    <w:rsid w:val="00C765E5"/>
    <w:rsid w:val="00C76FA1"/>
    <w:rsid w:val="00C82DFD"/>
    <w:rsid w:val="00C85BEE"/>
    <w:rsid w:val="00C93C4B"/>
    <w:rsid w:val="00CA0695"/>
    <w:rsid w:val="00CA39A6"/>
    <w:rsid w:val="00CA52D8"/>
    <w:rsid w:val="00CB2C34"/>
    <w:rsid w:val="00CB3C51"/>
    <w:rsid w:val="00CB6130"/>
    <w:rsid w:val="00CC1BF9"/>
    <w:rsid w:val="00CC5EF4"/>
    <w:rsid w:val="00CD1F73"/>
    <w:rsid w:val="00CD3024"/>
    <w:rsid w:val="00CD362D"/>
    <w:rsid w:val="00CD4C57"/>
    <w:rsid w:val="00CE2846"/>
    <w:rsid w:val="00CE43AC"/>
    <w:rsid w:val="00CE5D40"/>
    <w:rsid w:val="00CF00D0"/>
    <w:rsid w:val="00CF06E2"/>
    <w:rsid w:val="00CF0F9A"/>
    <w:rsid w:val="00CF68B9"/>
    <w:rsid w:val="00CF726A"/>
    <w:rsid w:val="00D06D00"/>
    <w:rsid w:val="00D10AE2"/>
    <w:rsid w:val="00D158C5"/>
    <w:rsid w:val="00D16AD7"/>
    <w:rsid w:val="00D24F66"/>
    <w:rsid w:val="00D25819"/>
    <w:rsid w:val="00D2740B"/>
    <w:rsid w:val="00D27AF2"/>
    <w:rsid w:val="00D36FDC"/>
    <w:rsid w:val="00D37256"/>
    <w:rsid w:val="00D43536"/>
    <w:rsid w:val="00D46BC4"/>
    <w:rsid w:val="00D52777"/>
    <w:rsid w:val="00D52B32"/>
    <w:rsid w:val="00D54020"/>
    <w:rsid w:val="00D602DB"/>
    <w:rsid w:val="00D66247"/>
    <w:rsid w:val="00D66738"/>
    <w:rsid w:val="00D66BB8"/>
    <w:rsid w:val="00D739BA"/>
    <w:rsid w:val="00D8077E"/>
    <w:rsid w:val="00D81DD9"/>
    <w:rsid w:val="00D8247A"/>
    <w:rsid w:val="00D906FF"/>
    <w:rsid w:val="00D9395C"/>
    <w:rsid w:val="00D93ED5"/>
    <w:rsid w:val="00D95D14"/>
    <w:rsid w:val="00D95D57"/>
    <w:rsid w:val="00D97043"/>
    <w:rsid w:val="00D974DF"/>
    <w:rsid w:val="00D97D94"/>
    <w:rsid w:val="00DA2ECE"/>
    <w:rsid w:val="00DA77CD"/>
    <w:rsid w:val="00DB0D6E"/>
    <w:rsid w:val="00DB1169"/>
    <w:rsid w:val="00DB1D2A"/>
    <w:rsid w:val="00DB3372"/>
    <w:rsid w:val="00DB3593"/>
    <w:rsid w:val="00DC005F"/>
    <w:rsid w:val="00DD0FBF"/>
    <w:rsid w:val="00DD24C7"/>
    <w:rsid w:val="00DD75C4"/>
    <w:rsid w:val="00DD7891"/>
    <w:rsid w:val="00DE01D6"/>
    <w:rsid w:val="00DE0AEA"/>
    <w:rsid w:val="00DE48A9"/>
    <w:rsid w:val="00DF01A0"/>
    <w:rsid w:val="00DF4ABC"/>
    <w:rsid w:val="00DF4DB8"/>
    <w:rsid w:val="00E00EEE"/>
    <w:rsid w:val="00E00FB6"/>
    <w:rsid w:val="00E02F4C"/>
    <w:rsid w:val="00E0628E"/>
    <w:rsid w:val="00E072C7"/>
    <w:rsid w:val="00E07473"/>
    <w:rsid w:val="00E0747B"/>
    <w:rsid w:val="00E104B4"/>
    <w:rsid w:val="00E10775"/>
    <w:rsid w:val="00E129F3"/>
    <w:rsid w:val="00E13B17"/>
    <w:rsid w:val="00E32FBE"/>
    <w:rsid w:val="00E372A7"/>
    <w:rsid w:val="00E401A1"/>
    <w:rsid w:val="00E4239E"/>
    <w:rsid w:val="00E439A6"/>
    <w:rsid w:val="00E466A1"/>
    <w:rsid w:val="00E52193"/>
    <w:rsid w:val="00E61DA8"/>
    <w:rsid w:val="00E6267A"/>
    <w:rsid w:val="00E63341"/>
    <w:rsid w:val="00E63822"/>
    <w:rsid w:val="00E674C3"/>
    <w:rsid w:val="00E710FD"/>
    <w:rsid w:val="00E7282F"/>
    <w:rsid w:val="00E755A8"/>
    <w:rsid w:val="00E765CF"/>
    <w:rsid w:val="00E80763"/>
    <w:rsid w:val="00E815B7"/>
    <w:rsid w:val="00E81AD1"/>
    <w:rsid w:val="00E8280D"/>
    <w:rsid w:val="00E8503B"/>
    <w:rsid w:val="00E872F1"/>
    <w:rsid w:val="00E9018F"/>
    <w:rsid w:val="00E916F0"/>
    <w:rsid w:val="00E93308"/>
    <w:rsid w:val="00E95AB8"/>
    <w:rsid w:val="00E96C3A"/>
    <w:rsid w:val="00EA7589"/>
    <w:rsid w:val="00EB1FE2"/>
    <w:rsid w:val="00EB2741"/>
    <w:rsid w:val="00EB3AFE"/>
    <w:rsid w:val="00EC0255"/>
    <w:rsid w:val="00EC2AC0"/>
    <w:rsid w:val="00EC4D37"/>
    <w:rsid w:val="00EC6A62"/>
    <w:rsid w:val="00ED63BB"/>
    <w:rsid w:val="00EE4F08"/>
    <w:rsid w:val="00EF2A8F"/>
    <w:rsid w:val="00F013EA"/>
    <w:rsid w:val="00F01E3C"/>
    <w:rsid w:val="00F030ED"/>
    <w:rsid w:val="00F039A2"/>
    <w:rsid w:val="00F057F3"/>
    <w:rsid w:val="00F10EB0"/>
    <w:rsid w:val="00F11B77"/>
    <w:rsid w:val="00F17077"/>
    <w:rsid w:val="00F21EB4"/>
    <w:rsid w:val="00F22155"/>
    <w:rsid w:val="00F24352"/>
    <w:rsid w:val="00F26182"/>
    <w:rsid w:val="00F32808"/>
    <w:rsid w:val="00F32C50"/>
    <w:rsid w:val="00F33875"/>
    <w:rsid w:val="00F353BF"/>
    <w:rsid w:val="00F46F06"/>
    <w:rsid w:val="00F524A5"/>
    <w:rsid w:val="00F53252"/>
    <w:rsid w:val="00F57CC8"/>
    <w:rsid w:val="00F63EC8"/>
    <w:rsid w:val="00F64D91"/>
    <w:rsid w:val="00F65587"/>
    <w:rsid w:val="00F66C66"/>
    <w:rsid w:val="00F66D26"/>
    <w:rsid w:val="00F72EC1"/>
    <w:rsid w:val="00F738BD"/>
    <w:rsid w:val="00F74A10"/>
    <w:rsid w:val="00F74DCA"/>
    <w:rsid w:val="00F7634D"/>
    <w:rsid w:val="00F76A8F"/>
    <w:rsid w:val="00F83AAD"/>
    <w:rsid w:val="00F84D74"/>
    <w:rsid w:val="00F86233"/>
    <w:rsid w:val="00F90022"/>
    <w:rsid w:val="00F90C66"/>
    <w:rsid w:val="00F923F5"/>
    <w:rsid w:val="00F9241E"/>
    <w:rsid w:val="00F92945"/>
    <w:rsid w:val="00FA268C"/>
    <w:rsid w:val="00FA47A1"/>
    <w:rsid w:val="00FA5FBE"/>
    <w:rsid w:val="00FA7F56"/>
    <w:rsid w:val="00FB03B0"/>
    <w:rsid w:val="00FB1E4E"/>
    <w:rsid w:val="00FB296B"/>
    <w:rsid w:val="00FB2E0D"/>
    <w:rsid w:val="00FB43EA"/>
    <w:rsid w:val="00FB7447"/>
    <w:rsid w:val="00FC14D4"/>
    <w:rsid w:val="00FC6544"/>
    <w:rsid w:val="00FC7BCD"/>
    <w:rsid w:val="00FD1298"/>
    <w:rsid w:val="00FD156D"/>
    <w:rsid w:val="00FD1919"/>
    <w:rsid w:val="00FD4A78"/>
    <w:rsid w:val="00FD62B1"/>
    <w:rsid w:val="00FE0147"/>
    <w:rsid w:val="00FE2E42"/>
    <w:rsid w:val="00FE305B"/>
    <w:rsid w:val="00FE31CF"/>
    <w:rsid w:val="00FE39D9"/>
    <w:rsid w:val="00FF0DE2"/>
    <w:rsid w:val="00FF2A19"/>
    <w:rsid w:val="00FF3957"/>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142">
      <w:bodyDiv w:val="1"/>
      <w:marLeft w:val="0"/>
      <w:marRight w:val="0"/>
      <w:marTop w:val="0"/>
      <w:marBottom w:val="0"/>
      <w:divBdr>
        <w:top w:val="none" w:sz="0" w:space="0" w:color="auto"/>
        <w:left w:val="none" w:sz="0" w:space="0" w:color="auto"/>
        <w:bottom w:val="none" w:sz="0" w:space="0" w:color="auto"/>
        <w:right w:val="none" w:sz="0" w:space="0" w:color="auto"/>
      </w:divBdr>
    </w:div>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ptioningexemption@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2514</Words>
  <Characters>14004</Characters>
  <Application>Microsoft Office Word</Application>
  <DocSecurity>0</DocSecurity>
  <Lines>223</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16588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2015-02-18T13:38:00Z</cp:lastPrinted>
  <dcterms:created xsi:type="dcterms:W3CDTF">2015-02-19T17:39:00Z</dcterms:created>
  <dcterms:modified xsi:type="dcterms:W3CDTF">2015-02-19T17:39:00Z</dcterms:modified>
  <cp:category> </cp:category>
  <cp:contentStatus> </cp:contentStatus>
</cp:coreProperties>
</file>