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D0" w:rsidRDefault="009879D0">
      <w:pPr>
        <w:jc w:val="center"/>
        <w:rPr>
          <w:b/>
        </w:rPr>
      </w:pPr>
      <w:bookmarkStart w:id="0" w:name="_GoBack"/>
      <w:bookmarkEnd w:id="0"/>
      <w:r>
        <w:rPr>
          <w:b/>
        </w:rPr>
        <w:t>Before the</w:t>
      </w:r>
    </w:p>
    <w:p w:rsidR="009879D0" w:rsidRDefault="009879D0">
      <w:pPr>
        <w:jc w:val="center"/>
        <w:rPr>
          <w:b/>
        </w:rPr>
      </w:pPr>
      <w:r>
        <w:rPr>
          <w:b/>
        </w:rPr>
        <w:t>Federal Communications Commission</w:t>
      </w:r>
    </w:p>
    <w:p w:rsidR="009879D0" w:rsidRDefault="009879D0">
      <w:pPr>
        <w:jc w:val="center"/>
        <w:rPr>
          <w:b/>
        </w:rPr>
      </w:pPr>
      <w:r>
        <w:rPr>
          <w:b/>
        </w:rPr>
        <w:t>Washington, D.C. 20554</w:t>
      </w:r>
    </w:p>
    <w:p w:rsidR="009879D0" w:rsidRDefault="009879D0"/>
    <w:p w:rsidR="009879D0" w:rsidRDefault="009879D0"/>
    <w:tbl>
      <w:tblPr>
        <w:tblW w:w="0" w:type="auto"/>
        <w:tblLayout w:type="fixed"/>
        <w:tblLook w:val="0000" w:firstRow="0" w:lastRow="0" w:firstColumn="0" w:lastColumn="0" w:noHBand="0" w:noVBand="0"/>
      </w:tblPr>
      <w:tblGrid>
        <w:gridCol w:w="4698"/>
        <w:gridCol w:w="720"/>
        <w:gridCol w:w="4230"/>
      </w:tblGrid>
      <w:tr w:rsidR="009879D0">
        <w:tc>
          <w:tcPr>
            <w:tcW w:w="4698" w:type="dxa"/>
          </w:tcPr>
          <w:p w:rsidR="009879D0" w:rsidRDefault="009879D0">
            <w:pPr>
              <w:ind w:right="-18"/>
            </w:pPr>
            <w:r>
              <w:t>In the Matter of</w:t>
            </w:r>
          </w:p>
          <w:p w:rsidR="009879D0" w:rsidRDefault="009879D0">
            <w:pPr>
              <w:ind w:right="-18"/>
            </w:pPr>
          </w:p>
          <w:p w:rsidR="009879D0" w:rsidRDefault="009879D0" w:rsidP="008C32B6">
            <w:pPr>
              <w:ind w:right="-18"/>
            </w:pPr>
            <w:r>
              <w:t xml:space="preserve">Petition </w:t>
            </w:r>
            <w:r w:rsidR="008C32B6">
              <w:t xml:space="preserve">of American Hotel &amp; Lodging Association, Marriott International, Inc., and Ryman Hospitality Properties for a Declaratory Ruling to Interpret 47 U.S.C. </w:t>
            </w:r>
            <w:r w:rsidR="008C32B6">
              <w:rPr>
                <w:szCs w:val="22"/>
              </w:rPr>
              <w:t>§ 333 or, in the Alternative, for Rulemaking</w:t>
            </w:r>
          </w:p>
        </w:tc>
        <w:tc>
          <w:tcPr>
            <w:tcW w:w="720" w:type="dxa"/>
          </w:tcPr>
          <w:p w:rsidR="009879D0" w:rsidRDefault="009879D0">
            <w:pPr>
              <w:rPr>
                <w:b/>
              </w:rPr>
            </w:pPr>
            <w:r>
              <w:rPr>
                <w:b/>
              </w:rPr>
              <w:t>)</w:t>
            </w:r>
          </w:p>
          <w:p w:rsidR="009879D0" w:rsidRDefault="009879D0">
            <w:pPr>
              <w:rPr>
                <w:b/>
              </w:rPr>
            </w:pPr>
            <w:r>
              <w:rPr>
                <w:b/>
              </w:rPr>
              <w:t>)</w:t>
            </w:r>
          </w:p>
          <w:p w:rsidR="009879D0" w:rsidRDefault="009879D0">
            <w:pPr>
              <w:rPr>
                <w:b/>
              </w:rPr>
            </w:pPr>
            <w:r>
              <w:rPr>
                <w:b/>
              </w:rPr>
              <w:t>)</w:t>
            </w:r>
          </w:p>
          <w:p w:rsidR="009879D0" w:rsidRDefault="009879D0">
            <w:pPr>
              <w:rPr>
                <w:b/>
              </w:rPr>
            </w:pPr>
            <w:r>
              <w:rPr>
                <w:b/>
              </w:rPr>
              <w:t>)</w:t>
            </w:r>
          </w:p>
          <w:p w:rsidR="009879D0" w:rsidRDefault="009879D0">
            <w:pPr>
              <w:rPr>
                <w:b/>
              </w:rPr>
            </w:pPr>
            <w:r>
              <w:rPr>
                <w:b/>
              </w:rPr>
              <w:t>)</w:t>
            </w:r>
          </w:p>
          <w:p w:rsidR="009879D0" w:rsidRDefault="009879D0">
            <w:pPr>
              <w:rPr>
                <w:b/>
              </w:rPr>
            </w:pPr>
            <w:r>
              <w:rPr>
                <w:b/>
              </w:rPr>
              <w:t>)</w:t>
            </w:r>
          </w:p>
          <w:p w:rsidR="009879D0" w:rsidRDefault="009879D0">
            <w:pPr>
              <w:rPr>
                <w:b/>
              </w:rPr>
            </w:pPr>
            <w:r>
              <w:rPr>
                <w:b/>
              </w:rPr>
              <w:t>)</w:t>
            </w:r>
          </w:p>
          <w:p w:rsidR="009879D0" w:rsidRDefault="009879D0"/>
        </w:tc>
        <w:tc>
          <w:tcPr>
            <w:tcW w:w="4230" w:type="dxa"/>
          </w:tcPr>
          <w:p w:rsidR="009879D0" w:rsidRDefault="009879D0"/>
          <w:p w:rsidR="009879D0" w:rsidRDefault="009879D0"/>
          <w:p w:rsidR="009879D0" w:rsidRDefault="008C32B6" w:rsidP="008C32B6">
            <w:r>
              <w:rPr>
                <w:spacing w:val="-2"/>
              </w:rPr>
              <w:t>RM-11737</w:t>
            </w:r>
          </w:p>
        </w:tc>
      </w:tr>
    </w:tbl>
    <w:p w:rsidR="009879D0" w:rsidRDefault="009879D0"/>
    <w:p w:rsidR="009879D0" w:rsidRDefault="009879D0">
      <w:pPr>
        <w:spacing w:before="120"/>
        <w:jc w:val="center"/>
        <w:rPr>
          <w:b/>
        </w:rPr>
      </w:pPr>
      <w:r>
        <w:rPr>
          <w:b/>
          <w:spacing w:val="-2"/>
        </w:rPr>
        <w:t>ORDER</w:t>
      </w:r>
    </w:p>
    <w:p w:rsidR="009879D0" w:rsidRDefault="009879D0"/>
    <w:p w:rsidR="009879D0" w:rsidRDefault="009879D0">
      <w:pPr>
        <w:tabs>
          <w:tab w:val="left" w:pos="5760"/>
          <w:tab w:val="right" w:pos="9360"/>
        </w:tabs>
        <w:rPr>
          <w:b/>
        </w:rPr>
      </w:pPr>
      <w:r>
        <w:rPr>
          <w:b/>
        </w:rPr>
        <w:t xml:space="preserve">Adopted:  </w:t>
      </w:r>
      <w:r w:rsidR="00FF38D8">
        <w:rPr>
          <w:b/>
        </w:rPr>
        <w:t>February 13</w:t>
      </w:r>
      <w:r>
        <w:rPr>
          <w:b/>
        </w:rPr>
        <w:t>,</w:t>
      </w:r>
      <w:r>
        <w:rPr>
          <w:b/>
          <w:spacing w:val="-2"/>
        </w:rPr>
        <w:t xml:space="preserve"> 201</w:t>
      </w:r>
      <w:r w:rsidR="00A61BD7">
        <w:rPr>
          <w:b/>
          <w:spacing w:val="-2"/>
        </w:rPr>
        <w:t>5</w:t>
      </w:r>
      <w:r>
        <w:rPr>
          <w:b/>
        </w:rPr>
        <w:tab/>
      </w:r>
      <w:r>
        <w:rPr>
          <w:b/>
        </w:rPr>
        <w:tab/>
        <w:t xml:space="preserve">Released:  </w:t>
      </w:r>
      <w:r w:rsidR="00FF38D8">
        <w:rPr>
          <w:b/>
        </w:rPr>
        <w:t>February 13</w:t>
      </w:r>
      <w:r>
        <w:rPr>
          <w:b/>
        </w:rPr>
        <w:t xml:space="preserve">, </w:t>
      </w:r>
      <w:r>
        <w:rPr>
          <w:b/>
          <w:spacing w:val="-2"/>
        </w:rPr>
        <w:t>201</w:t>
      </w:r>
      <w:r w:rsidR="00A61BD7">
        <w:rPr>
          <w:b/>
          <w:spacing w:val="-2"/>
        </w:rPr>
        <w:t>5</w:t>
      </w:r>
    </w:p>
    <w:p w:rsidR="009879D0" w:rsidRDefault="009879D0">
      <w:pPr>
        <w:tabs>
          <w:tab w:val="left" w:pos="5760"/>
        </w:tabs>
        <w:rPr>
          <w:b/>
        </w:rPr>
      </w:pPr>
    </w:p>
    <w:p w:rsidR="009879D0" w:rsidRDefault="009879D0">
      <w:pPr>
        <w:tabs>
          <w:tab w:val="left" w:pos="5760"/>
        </w:tabs>
      </w:pPr>
      <w:r>
        <w:t xml:space="preserve">By the </w:t>
      </w:r>
      <w:r>
        <w:rPr>
          <w:spacing w:val="-2"/>
        </w:rPr>
        <w:t>Chief, Wireless Telecommunications Bureau:</w:t>
      </w:r>
    </w:p>
    <w:p w:rsidR="009879D0" w:rsidRDefault="009879D0">
      <w:pPr>
        <w:tabs>
          <w:tab w:val="left" w:pos="5760"/>
        </w:tabs>
        <w:rPr>
          <w:b/>
        </w:rPr>
      </w:pPr>
    </w:p>
    <w:p w:rsidR="00D135CF" w:rsidRDefault="00D135CF" w:rsidP="00CF0DF2">
      <w:pPr>
        <w:pStyle w:val="ParaNum"/>
        <w:tabs>
          <w:tab w:val="clear" w:pos="1440"/>
        </w:tabs>
        <w:jc w:val="left"/>
      </w:pPr>
      <w:r>
        <w:t xml:space="preserve">On August 25, 2014, </w:t>
      </w:r>
      <w:r w:rsidR="00914C4D">
        <w:t xml:space="preserve">the American Hotel &amp; Lodging Association, Marriott International, Inc., and Ryman Hospitality Properties (Petitioners) </w:t>
      </w:r>
      <w:r>
        <w:t xml:space="preserve">filed a petition </w:t>
      </w:r>
      <w:r w:rsidR="00914C4D">
        <w:t>for a declaratory ruling interpreting 47 U.S.C.</w:t>
      </w:r>
      <w:r w:rsidR="00914C4D" w:rsidRPr="00D135CF">
        <w:rPr>
          <w:sz w:val="20"/>
        </w:rPr>
        <w:t xml:space="preserve"> </w:t>
      </w:r>
      <w:r w:rsidR="00914C4D" w:rsidRPr="00E45991">
        <w:t>§</w:t>
      </w:r>
      <w:r w:rsidR="00914C4D">
        <w:t xml:space="preserve"> 333 or, in the alternative, for </w:t>
      </w:r>
      <w:r w:rsidR="00D5101C">
        <w:t xml:space="preserve">a </w:t>
      </w:r>
      <w:r w:rsidR="00914C4D">
        <w:t>rulemaking</w:t>
      </w:r>
      <w:r>
        <w:t xml:space="preserve"> (Petition)</w:t>
      </w:r>
      <w:r w:rsidR="00914C4D">
        <w:t>.</w:t>
      </w:r>
      <w:r w:rsidR="00914C4D" w:rsidRPr="00655932">
        <w:rPr>
          <w:rStyle w:val="FootnoteReference"/>
          <w:szCs w:val="22"/>
        </w:rPr>
        <w:footnoteReference w:id="2"/>
      </w:r>
      <w:r>
        <w:t xml:space="preserve">  </w:t>
      </w:r>
      <w:r w:rsidR="00914C4D">
        <w:t>The Petition asks the Commission to declare that a network operator may, consistent with Section 333 of the Communications Act of 1934, as amended, “mitigate” threats to the operator’s network, even when doing so results in interference to guests’ WiFi hotspots.</w:t>
      </w:r>
      <w:r w:rsidR="00914C4D">
        <w:rPr>
          <w:rStyle w:val="FootnoteReference"/>
          <w:szCs w:val="22"/>
        </w:rPr>
        <w:footnoteReference w:id="3"/>
      </w:r>
      <w:r w:rsidR="00914C4D">
        <w:t xml:space="preserve">  In the alternative, the Petition asks the Commission to address these issues in an industry-wide rulemaking proceeding.</w:t>
      </w:r>
      <w:r w:rsidR="00914C4D">
        <w:rPr>
          <w:rStyle w:val="FootnoteReference"/>
          <w:szCs w:val="22"/>
        </w:rPr>
        <w:footnoteReference w:id="4"/>
      </w:r>
    </w:p>
    <w:p w:rsidR="00914C4D" w:rsidRDefault="00914C4D" w:rsidP="00CF0DF2">
      <w:pPr>
        <w:pStyle w:val="ParaNum"/>
        <w:jc w:val="left"/>
      </w:pPr>
      <w:r>
        <w:t>On November 19, 2014, the Consumer and Governmental Affairs Bureau put the Petition on public notice and invited interested persons to file statements opposing or supporting it.</w:t>
      </w:r>
      <w:r>
        <w:rPr>
          <w:rStyle w:val="FootnoteReference"/>
          <w:szCs w:val="22"/>
        </w:rPr>
        <w:footnoteReference w:id="5"/>
      </w:r>
      <w:r>
        <w:t xml:space="preserve">  A number of entities and individuals filed comments and replies.</w:t>
      </w:r>
      <w:r>
        <w:rPr>
          <w:rStyle w:val="FootnoteReference"/>
          <w:szCs w:val="22"/>
        </w:rPr>
        <w:footnoteReference w:id="6"/>
      </w:r>
    </w:p>
    <w:p w:rsidR="00914C4D" w:rsidRDefault="00914C4D" w:rsidP="00CF0DF2">
      <w:pPr>
        <w:pStyle w:val="ParaNum"/>
        <w:tabs>
          <w:tab w:val="clear" w:pos="1440"/>
        </w:tabs>
        <w:jc w:val="left"/>
      </w:pPr>
      <w:r>
        <w:t>On January 30, 2015, Petitioners filed a letter withdrawing the Petition.</w:t>
      </w:r>
      <w:r>
        <w:rPr>
          <w:rStyle w:val="FootnoteReference"/>
          <w:szCs w:val="22"/>
        </w:rPr>
        <w:footnoteReference w:id="7"/>
      </w:r>
      <w:r w:rsidR="0006554F">
        <w:t xml:space="preserve">  By this order, we dismiss the Petition</w:t>
      </w:r>
      <w:r w:rsidR="002B330D">
        <w:t xml:space="preserve"> without prejudice</w:t>
      </w:r>
      <w:r w:rsidR="0006554F">
        <w:t>.</w:t>
      </w:r>
      <w:r w:rsidR="00F07C0D">
        <w:t xml:space="preserve">  </w:t>
      </w:r>
      <w:r w:rsidR="002B330D">
        <w:t>In</w:t>
      </w:r>
      <w:r w:rsidR="00F07C0D">
        <w:rPr>
          <w:szCs w:val="22"/>
        </w:rPr>
        <w:t xml:space="preserve"> dismissing the Petition in response to Petitioners’ withdrawal letter, we do not address the substantive matters raised in the letter.  </w:t>
      </w:r>
    </w:p>
    <w:p w:rsidR="009879D0" w:rsidRDefault="009879D0" w:rsidP="00CF0DF2">
      <w:pPr>
        <w:pStyle w:val="ParaNum"/>
        <w:tabs>
          <w:tab w:val="clear" w:pos="1440"/>
        </w:tabs>
        <w:jc w:val="left"/>
        <w:rPr>
          <w:szCs w:val="22"/>
        </w:rPr>
      </w:pPr>
      <w:r>
        <w:rPr>
          <w:szCs w:val="22"/>
        </w:rPr>
        <w:t>Accordingly, IT IS ORDERED that</w:t>
      </w:r>
      <w:r w:rsidR="00F07C0D">
        <w:rPr>
          <w:szCs w:val="22"/>
        </w:rPr>
        <w:t xml:space="preserve">, </w:t>
      </w:r>
      <w:r w:rsidR="00F07C0D" w:rsidRPr="00F07C0D">
        <w:rPr>
          <w:szCs w:val="22"/>
        </w:rPr>
        <w:t>pursuant to authority delegated by Sections 0.131 and 0.331 of the Commission’s rules, 47 C.F.R. §§ 0.131, 0.331</w:t>
      </w:r>
      <w:r w:rsidR="00F07C0D">
        <w:rPr>
          <w:szCs w:val="22"/>
        </w:rPr>
        <w:t>,</w:t>
      </w:r>
      <w:r>
        <w:rPr>
          <w:szCs w:val="22"/>
        </w:rPr>
        <w:t xml:space="preserve"> </w:t>
      </w:r>
      <w:r w:rsidR="00914C4D">
        <w:rPr>
          <w:szCs w:val="22"/>
        </w:rPr>
        <w:t xml:space="preserve">the Petition is </w:t>
      </w:r>
      <w:r w:rsidR="005B7DA7">
        <w:rPr>
          <w:szCs w:val="22"/>
        </w:rPr>
        <w:t>DISMISSED</w:t>
      </w:r>
      <w:r w:rsidR="00914C4D">
        <w:rPr>
          <w:szCs w:val="22"/>
        </w:rPr>
        <w:t xml:space="preserve"> without prejudice.  </w:t>
      </w:r>
    </w:p>
    <w:p w:rsidR="009879D0" w:rsidRDefault="009879D0">
      <w:pPr>
        <w:pStyle w:val="ParaNum"/>
        <w:numPr>
          <w:ilvl w:val="0"/>
          <w:numId w:val="0"/>
        </w:numPr>
        <w:rPr>
          <w:szCs w:val="22"/>
        </w:rPr>
      </w:pPr>
      <w:r>
        <w:rPr>
          <w:szCs w:val="22"/>
        </w:rPr>
        <w:lastRenderedPageBreak/>
        <w:tab/>
      </w:r>
      <w:r>
        <w:rPr>
          <w:szCs w:val="22"/>
        </w:rPr>
        <w:tab/>
      </w:r>
      <w:r>
        <w:rPr>
          <w:szCs w:val="22"/>
        </w:rPr>
        <w:tab/>
      </w:r>
      <w:r>
        <w:rPr>
          <w:szCs w:val="22"/>
        </w:rPr>
        <w:tab/>
        <w:t>FEDERAL COMMUNICATIONS COMMISSION</w:t>
      </w:r>
    </w:p>
    <w:p w:rsidR="009879D0" w:rsidRDefault="009879D0">
      <w:pPr>
        <w:pStyle w:val="ParaNum"/>
        <w:numPr>
          <w:ilvl w:val="0"/>
          <w:numId w:val="0"/>
        </w:numPr>
        <w:rPr>
          <w:szCs w:val="22"/>
        </w:rPr>
      </w:pPr>
    </w:p>
    <w:p w:rsidR="009879D0" w:rsidRDefault="009879D0">
      <w:pPr>
        <w:pStyle w:val="ParaNum"/>
        <w:numPr>
          <w:ilvl w:val="0"/>
          <w:numId w:val="0"/>
        </w:numPr>
        <w:rPr>
          <w:szCs w:val="22"/>
        </w:rPr>
      </w:pPr>
    </w:p>
    <w:p w:rsidR="009879D0" w:rsidRDefault="005B7DA7">
      <w:pPr>
        <w:ind w:left="2880" w:firstLine="720"/>
      </w:pPr>
      <w:r>
        <w:t>Roger C. Sherman</w:t>
      </w:r>
    </w:p>
    <w:p w:rsidR="009879D0" w:rsidRDefault="009879D0">
      <w:pPr>
        <w:pStyle w:val="ParaNum"/>
        <w:numPr>
          <w:ilvl w:val="0"/>
          <w:numId w:val="0"/>
        </w:numPr>
        <w:ind w:left="3600"/>
        <w:jc w:val="left"/>
        <w:rPr>
          <w:szCs w:val="22"/>
        </w:rPr>
      </w:pPr>
      <w:r>
        <w:t>Chief, Wireless Telecommunications Bureau</w:t>
      </w:r>
      <w:r>
        <w:rPr>
          <w:szCs w:val="22"/>
        </w:rPr>
        <w:tab/>
      </w:r>
      <w:r>
        <w:rPr>
          <w:szCs w:val="22"/>
        </w:rPr>
        <w:tab/>
      </w:r>
      <w:r>
        <w:rPr>
          <w:szCs w:val="22"/>
        </w:rPr>
        <w:tab/>
      </w:r>
      <w:r>
        <w:rPr>
          <w:szCs w:val="22"/>
        </w:rPr>
        <w:tab/>
      </w:r>
    </w:p>
    <w:p w:rsidR="009879D0" w:rsidRDefault="009879D0">
      <w:pPr>
        <w:pStyle w:val="ParaNum"/>
        <w:numPr>
          <w:ilvl w:val="0"/>
          <w:numId w:val="0"/>
        </w:numPr>
        <w:rPr>
          <w:szCs w:val="22"/>
        </w:rPr>
      </w:pPr>
    </w:p>
    <w:p w:rsidR="009879D0" w:rsidRDefault="009879D0">
      <w:pPr>
        <w:pStyle w:val="ParaNum"/>
        <w:numPr>
          <w:ilvl w:val="0"/>
          <w:numId w:val="0"/>
        </w:numPr>
      </w:pPr>
    </w:p>
    <w:sectPr w:rsidR="009879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B5" w:rsidRDefault="009243B5">
      <w:r>
        <w:separator/>
      </w:r>
    </w:p>
  </w:endnote>
  <w:endnote w:type="continuationSeparator" w:id="0">
    <w:p w:rsidR="009243B5" w:rsidRDefault="0092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C" w:rsidRDefault="00846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0" w:rsidRDefault="009879D0">
    <w:pPr>
      <w:pStyle w:val="Footer"/>
      <w:jc w:val="center"/>
    </w:pPr>
    <w:r>
      <w:rPr>
        <w:rStyle w:val="PageNumber"/>
      </w:rPr>
      <w:fldChar w:fldCharType="begin"/>
    </w:r>
    <w:r>
      <w:rPr>
        <w:rStyle w:val="PageNumber"/>
      </w:rPr>
      <w:instrText xml:space="preserve"> PAGE </w:instrText>
    </w:r>
    <w:r>
      <w:rPr>
        <w:rStyle w:val="PageNumber"/>
      </w:rPr>
      <w:fldChar w:fldCharType="separate"/>
    </w:r>
    <w:r w:rsidR="00C9014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C" w:rsidRDefault="00846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B5" w:rsidRDefault="009243B5">
      <w:pPr>
        <w:rPr>
          <w:sz w:val="20"/>
        </w:rPr>
      </w:pPr>
      <w:r>
        <w:rPr>
          <w:sz w:val="20"/>
        </w:rPr>
        <w:separator/>
      </w:r>
    </w:p>
  </w:footnote>
  <w:footnote w:type="continuationSeparator" w:id="0">
    <w:p w:rsidR="009243B5" w:rsidRDefault="009243B5">
      <w:pPr>
        <w:rPr>
          <w:sz w:val="20"/>
        </w:rPr>
      </w:pPr>
      <w:r>
        <w:rPr>
          <w:sz w:val="20"/>
        </w:rPr>
        <w:separator/>
      </w:r>
    </w:p>
    <w:p w:rsidR="009243B5" w:rsidRDefault="009243B5">
      <w:pPr>
        <w:rPr>
          <w:sz w:val="20"/>
        </w:rPr>
      </w:pPr>
      <w:r>
        <w:rPr>
          <w:sz w:val="20"/>
        </w:rPr>
        <w:t>(...continued from previous page)</w:t>
      </w:r>
    </w:p>
  </w:footnote>
  <w:footnote w:type="continuationNotice" w:id="1">
    <w:p w:rsidR="009243B5" w:rsidRDefault="009243B5">
      <w:pPr>
        <w:jc w:val="right"/>
        <w:rPr>
          <w:sz w:val="20"/>
        </w:rPr>
      </w:pPr>
      <w:r>
        <w:rPr>
          <w:sz w:val="20"/>
        </w:rPr>
        <w:t>(continued....)</w:t>
      </w:r>
    </w:p>
  </w:footnote>
  <w:footnote w:id="2">
    <w:p w:rsidR="00914C4D" w:rsidRPr="0051393B" w:rsidRDefault="00914C4D" w:rsidP="00CF0DF2">
      <w:pPr>
        <w:pStyle w:val="FootnoteText"/>
        <w:jc w:val="left"/>
      </w:pPr>
      <w:r w:rsidRPr="0051393B">
        <w:rPr>
          <w:rStyle w:val="FootnoteReference"/>
        </w:rPr>
        <w:footnoteRef/>
      </w:r>
      <w:r w:rsidRPr="0051393B">
        <w:t xml:space="preserve"> American Hotel &amp; Lodging Association, Marriott International, Inc., and Ryman Hospitality Properties, Petition for Declaratory Ruling or, in the Alternative, for Rulemaking, RM-11737 (filed Aug. 25, 2014).  </w:t>
      </w:r>
    </w:p>
  </w:footnote>
  <w:footnote w:id="3">
    <w:p w:rsidR="00914C4D" w:rsidRPr="00F55E73" w:rsidRDefault="00914C4D" w:rsidP="00CF0DF2">
      <w:pPr>
        <w:pStyle w:val="FootnoteText"/>
        <w:jc w:val="left"/>
      </w:pPr>
      <w:r w:rsidRPr="00F55E73">
        <w:rPr>
          <w:rStyle w:val="FootnoteReference"/>
        </w:rPr>
        <w:footnoteRef/>
      </w:r>
      <w:r w:rsidRPr="00F55E73">
        <w:t xml:space="preserve"> </w:t>
      </w:r>
      <w:r w:rsidRPr="00F55E73">
        <w:rPr>
          <w:i/>
        </w:rPr>
        <w:t>See</w:t>
      </w:r>
      <w:r w:rsidRPr="00F55E73">
        <w:t xml:space="preserve"> Petition at </w:t>
      </w:r>
      <w:r>
        <w:t>3</w:t>
      </w:r>
      <w:r w:rsidRPr="00F55E73">
        <w:t xml:space="preserve"> (citing 47 U.S.C. § 333). </w:t>
      </w:r>
    </w:p>
  </w:footnote>
  <w:footnote w:id="4">
    <w:p w:rsidR="00914C4D" w:rsidRPr="002B3330" w:rsidRDefault="00914C4D" w:rsidP="00CF0DF2">
      <w:pPr>
        <w:pStyle w:val="FootnoteText"/>
        <w:jc w:val="left"/>
      </w:pPr>
      <w:r w:rsidRPr="002B3330">
        <w:rPr>
          <w:rStyle w:val="FootnoteReference"/>
        </w:rPr>
        <w:footnoteRef/>
      </w:r>
      <w:r w:rsidRPr="002B3330">
        <w:t xml:space="preserve"> </w:t>
      </w:r>
      <w:r w:rsidRPr="002B3330">
        <w:rPr>
          <w:i/>
        </w:rPr>
        <w:t>See</w:t>
      </w:r>
      <w:r w:rsidRPr="002B3330">
        <w:t xml:space="preserve"> </w:t>
      </w:r>
      <w:r w:rsidRPr="007E5989">
        <w:rPr>
          <w:i/>
        </w:rPr>
        <w:t>id</w:t>
      </w:r>
      <w:r>
        <w:t>.</w:t>
      </w:r>
      <w:r w:rsidRPr="007E5989">
        <w:t xml:space="preserve"> </w:t>
      </w:r>
      <w:r>
        <w:t>at 1.</w:t>
      </w:r>
    </w:p>
  </w:footnote>
  <w:footnote w:id="5">
    <w:p w:rsidR="00914C4D" w:rsidRPr="002B3330" w:rsidRDefault="00914C4D" w:rsidP="00CF0DF2">
      <w:pPr>
        <w:pStyle w:val="FootnoteText"/>
        <w:jc w:val="left"/>
      </w:pPr>
      <w:r w:rsidRPr="002B3330">
        <w:rPr>
          <w:rStyle w:val="FootnoteReference"/>
        </w:rPr>
        <w:footnoteRef/>
      </w:r>
      <w:r w:rsidRPr="002B3330">
        <w:t xml:space="preserve"> </w:t>
      </w:r>
      <w:r w:rsidRPr="002B3330">
        <w:rPr>
          <w:i/>
        </w:rPr>
        <w:t>See</w:t>
      </w:r>
      <w:r w:rsidRPr="002B3330">
        <w:t xml:space="preserve"> Consumer &amp; Governmental Affairs Bureau, Reference Information Center, Petition for Rulemaking Filed, </w:t>
      </w:r>
      <w:r w:rsidRPr="002B3330">
        <w:rPr>
          <w:i/>
        </w:rPr>
        <w:t>Public Notice</w:t>
      </w:r>
      <w:r w:rsidRPr="002B3330">
        <w:t xml:space="preserve"> (Nov. 19, 2014). </w:t>
      </w:r>
    </w:p>
  </w:footnote>
  <w:footnote w:id="6">
    <w:p w:rsidR="00914C4D" w:rsidRPr="002B3330" w:rsidRDefault="00914C4D" w:rsidP="00CF0DF2">
      <w:pPr>
        <w:pStyle w:val="FootnoteText"/>
        <w:jc w:val="left"/>
      </w:pPr>
      <w:r w:rsidRPr="002B3330">
        <w:rPr>
          <w:rStyle w:val="FootnoteReference"/>
        </w:rPr>
        <w:footnoteRef/>
      </w:r>
      <w:r w:rsidRPr="002B3330">
        <w:t xml:space="preserve"> </w:t>
      </w:r>
      <w:r w:rsidRPr="002B3330">
        <w:rPr>
          <w:i/>
        </w:rPr>
        <w:t>See</w:t>
      </w:r>
      <w:r w:rsidRPr="002B3330">
        <w:t xml:space="preserve"> FCC, Electronic Comment Filing System, RM-11737, </w:t>
      </w:r>
      <w:r w:rsidRPr="002B3330">
        <w:rPr>
          <w:i/>
        </w:rPr>
        <w:t>available at</w:t>
      </w:r>
      <w:r w:rsidRPr="002B3330">
        <w:t xml:space="preserve"> </w:t>
      </w:r>
      <w:hyperlink r:id="rId1" w:history="1">
        <w:r w:rsidRPr="00D5101C">
          <w:rPr>
            <w:rStyle w:val="Hyperlink"/>
          </w:rPr>
          <w:t>http://apps.fcc.gov/ecfs/comment_search/input</w:t>
        </w:r>
      </w:hyperlink>
      <w:r w:rsidRPr="002B3330">
        <w:t>.</w:t>
      </w:r>
    </w:p>
  </w:footnote>
  <w:footnote w:id="7">
    <w:p w:rsidR="00914C4D" w:rsidRPr="00C51B31" w:rsidRDefault="00914C4D" w:rsidP="00CF0DF2">
      <w:pPr>
        <w:pStyle w:val="FootnoteText"/>
        <w:jc w:val="left"/>
      </w:pPr>
      <w:r w:rsidRPr="002B3330">
        <w:rPr>
          <w:rStyle w:val="FootnoteReference"/>
        </w:rPr>
        <w:footnoteRef/>
      </w:r>
      <w:r w:rsidRPr="002B3330">
        <w:t xml:space="preserve"> </w:t>
      </w:r>
      <w:r w:rsidRPr="002B3330">
        <w:rPr>
          <w:i/>
        </w:rPr>
        <w:t>See</w:t>
      </w:r>
      <w:r w:rsidRPr="002B3330">
        <w:t xml:space="preserve"> Letter from Bennett L. Ross, Wiley Rein LLP, to Marlene H. Dortch, Secretary, FCC, RM-11737, filed Jan. 30,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1C" w:rsidRDefault="00846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0" w:rsidRDefault="009879D0">
    <w:pPr>
      <w:pStyle w:val="Header"/>
      <w:tabs>
        <w:tab w:val="clear" w:pos="4320"/>
        <w:tab w:val="clear" w:pos="8640"/>
        <w:tab w:val="center" w:pos="4680"/>
        <w:tab w:val="right" w:pos="9360"/>
      </w:tabs>
      <w:rPr>
        <w:b/>
      </w:rPr>
    </w:pPr>
    <w:r>
      <w:rPr>
        <w:b/>
      </w:rPr>
      <w:tab/>
      <w:t>Federal Communications Commission</w:t>
    </w:r>
    <w:r>
      <w:rPr>
        <w:b/>
      </w:rPr>
      <w:tab/>
      <w:t>DA 1</w:t>
    </w:r>
    <w:r w:rsidR="00D5101C">
      <w:rPr>
        <w:b/>
      </w:rPr>
      <w:t>5-</w:t>
    </w:r>
    <w:r w:rsidR="00902E14">
      <w:rPr>
        <w:b/>
      </w:rPr>
      <w:t>219</w:t>
    </w:r>
    <w:r>
      <w:rPr>
        <w:b/>
      </w:rPr>
      <w:t xml:space="preserve"> </w:t>
    </w:r>
  </w:p>
  <w:p w:rsidR="009879D0" w:rsidRDefault="00ED343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9879D0" w:rsidRDefault="00987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0" w:rsidRDefault="009879D0">
    <w:pPr>
      <w:pStyle w:val="Header"/>
      <w:tabs>
        <w:tab w:val="clear" w:pos="4320"/>
        <w:tab w:val="clear" w:pos="8640"/>
        <w:tab w:val="center" w:pos="4680"/>
        <w:tab w:val="right" w:pos="9360"/>
      </w:tabs>
      <w:rPr>
        <w:b/>
      </w:rPr>
    </w:pPr>
    <w:r>
      <w:rPr>
        <w:b/>
      </w:rPr>
      <w:tab/>
      <w:t>Federal Communications Commission</w:t>
    </w:r>
    <w:r>
      <w:rPr>
        <w:b/>
      </w:rPr>
      <w:tab/>
      <w:t>DA 1</w:t>
    </w:r>
    <w:r w:rsidR="001B1379">
      <w:rPr>
        <w:b/>
      </w:rPr>
      <w:t>5-</w:t>
    </w:r>
    <w:r w:rsidR="00552049">
      <w:rPr>
        <w:b/>
      </w:rPr>
      <w:t>219</w:t>
    </w:r>
    <w:r>
      <w:rPr>
        <w:b/>
      </w:rPr>
      <w:t xml:space="preserve"> </w:t>
    </w:r>
  </w:p>
  <w:p w:rsidR="009879D0" w:rsidRDefault="00ED343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6D"/>
    <w:rsid w:val="0006554F"/>
    <w:rsid w:val="0007143B"/>
    <w:rsid w:val="001B1379"/>
    <w:rsid w:val="001C6488"/>
    <w:rsid w:val="001C6E18"/>
    <w:rsid w:val="002332A4"/>
    <w:rsid w:val="002B330D"/>
    <w:rsid w:val="00396C99"/>
    <w:rsid w:val="003F73FF"/>
    <w:rsid w:val="004279E8"/>
    <w:rsid w:val="004B5E00"/>
    <w:rsid w:val="00550DE5"/>
    <w:rsid w:val="00552049"/>
    <w:rsid w:val="005B7DA7"/>
    <w:rsid w:val="00640F3C"/>
    <w:rsid w:val="0065238A"/>
    <w:rsid w:val="007167DB"/>
    <w:rsid w:val="00745F64"/>
    <w:rsid w:val="007D4FB5"/>
    <w:rsid w:val="00846A1C"/>
    <w:rsid w:val="008C32B6"/>
    <w:rsid w:val="008F2C6D"/>
    <w:rsid w:val="00902E14"/>
    <w:rsid w:val="00914C4D"/>
    <w:rsid w:val="009243B5"/>
    <w:rsid w:val="009879D0"/>
    <w:rsid w:val="00A61BD7"/>
    <w:rsid w:val="00A64B40"/>
    <w:rsid w:val="00C90149"/>
    <w:rsid w:val="00CF0DF2"/>
    <w:rsid w:val="00D135CF"/>
    <w:rsid w:val="00D5101C"/>
    <w:rsid w:val="00E74CC6"/>
    <w:rsid w:val="00ED343B"/>
    <w:rsid w:val="00F07C0D"/>
    <w:rsid w:val="00F335CF"/>
    <w:rsid w:val="00F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spacing w:after="120"/>
      <w:jc w:val="both"/>
    </w:pPr>
    <w:rPr>
      <w:snapToGrid w:val="0"/>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914C4D"/>
  </w:style>
  <w:style w:type="character" w:styleId="Hyperlink">
    <w:name w:val="Hyperlink"/>
    <w:rsid w:val="00D5101C"/>
    <w:rPr>
      <w:color w:val="0000FF"/>
      <w:u w:val="single"/>
    </w:rPr>
  </w:style>
  <w:style w:type="paragraph" w:styleId="BalloonText">
    <w:name w:val="Balloon Text"/>
    <w:basedOn w:val="Normal"/>
    <w:link w:val="BalloonTextChar"/>
    <w:rsid w:val="00CF0DF2"/>
    <w:rPr>
      <w:rFonts w:ascii="Tahoma" w:hAnsi="Tahoma" w:cs="Tahoma"/>
      <w:sz w:val="16"/>
      <w:szCs w:val="16"/>
    </w:rPr>
  </w:style>
  <w:style w:type="character" w:customStyle="1" w:styleId="BalloonTextChar">
    <w:name w:val="Balloon Text Char"/>
    <w:link w:val="BalloonText"/>
    <w:rsid w:val="00CF0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spacing w:after="120"/>
      <w:jc w:val="both"/>
    </w:pPr>
    <w:rPr>
      <w:snapToGrid w:val="0"/>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914C4D"/>
  </w:style>
  <w:style w:type="character" w:styleId="Hyperlink">
    <w:name w:val="Hyperlink"/>
    <w:rsid w:val="00D5101C"/>
    <w:rPr>
      <w:color w:val="0000FF"/>
      <w:u w:val="single"/>
    </w:rPr>
  </w:style>
  <w:style w:type="paragraph" w:styleId="BalloonText">
    <w:name w:val="Balloon Text"/>
    <w:basedOn w:val="Normal"/>
    <w:link w:val="BalloonTextChar"/>
    <w:rsid w:val="00CF0DF2"/>
    <w:rPr>
      <w:rFonts w:ascii="Tahoma" w:hAnsi="Tahoma" w:cs="Tahoma"/>
      <w:sz w:val="16"/>
      <w:szCs w:val="16"/>
    </w:rPr>
  </w:style>
  <w:style w:type="character" w:customStyle="1" w:styleId="BalloonTextChar">
    <w:name w:val="Balloon Text Char"/>
    <w:link w:val="BalloonText"/>
    <w:rsid w:val="00CF0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_search/inp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282</Words>
  <Characters>1605</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1884</CharactersWithSpaces>
  <SharedDoc>false</SharedDoc>
  <HyperlinkBase> </HyperlinkBase>
  <HLinks>
    <vt:vector size="6" baseType="variant">
      <vt:variant>
        <vt:i4>5439591</vt:i4>
      </vt:variant>
      <vt:variant>
        <vt:i4>0</vt:i4>
      </vt:variant>
      <vt:variant>
        <vt:i4>0</vt:i4>
      </vt:variant>
      <vt:variant>
        <vt:i4>5</vt:i4>
      </vt:variant>
      <vt:variant>
        <vt:lpwstr>http://apps.fcc.gov/ecfs/comment_search/input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2011-06-06T17:01:00Z</cp:lastPrinted>
  <dcterms:created xsi:type="dcterms:W3CDTF">2015-02-13T19:07:00Z</dcterms:created>
  <dcterms:modified xsi:type="dcterms:W3CDTF">2015-02-13T19:07:00Z</dcterms:modified>
  <cp:category> </cp:category>
  <cp:contentStatus> </cp:contentStatus>
</cp:coreProperties>
</file>