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76" w:rsidRDefault="00B75176">
      <w:pPr>
        <w:jc w:val="center"/>
        <w:rPr>
          <w:b/>
        </w:rPr>
      </w:pPr>
      <w:bookmarkStart w:id="0" w:name="_GoBack"/>
      <w:bookmarkEnd w:id="0"/>
      <w:r>
        <w:rPr>
          <w:b/>
        </w:rPr>
        <w:t>Before the</w:t>
      </w:r>
    </w:p>
    <w:p w:rsidR="00B75176" w:rsidRDefault="00B75176">
      <w:pPr>
        <w:jc w:val="center"/>
        <w:rPr>
          <w:b/>
        </w:rPr>
      </w:pPr>
      <w:r>
        <w:rPr>
          <w:b/>
        </w:rPr>
        <w:t>Federal Communications Commission</w:t>
      </w:r>
    </w:p>
    <w:p w:rsidR="00B75176" w:rsidRDefault="00B75176">
      <w:pPr>
        <w:jc w:val="center"/>
        <w:rPr>
          <w:b/>
        </w:rPr>
      </w:pPr>
      <w:r>
        <w:rPr>
          <w:b/>
        </w:rPr>
        <w:t>Washington, D.C. 20554</w:t>
      </w:r>
    </w:p>
    <w:p w:rsidR="00B75176" w:rsidRDefault="00B75176"/>
    <w:tbl>
      <w:tblPr>
        <w:tblW w:w="9648" w:type="dxa"/>
        <w:tblLayout w:type="fixed"/>
        <w:tblLook w:val="0000" w:firstRow="0" w:lastRow="0" w:firstColumn="0" w:lastColumn="0" w:noHBand="0" w:noVBand="0"/>
      </w:tblPr>
      <w:tblGrid>
        <w:gridCol w:w="4698"/>
        <w:gridCol w:w="720"/>
        <w:gridCol w:w="4230"/>
      </w:tblGrid>
      <w:tr w:rsidR="00B75176">
        <w:tc>
          <w:tcPr>
            <w:tcW w:w="4698" w:type="dxa"/>
          </w:tcPr>
          <w:p w:rsidR="00B75176" w:rsidRDefault="00B75176">
            <w:pPr>
              <w:tabs>
                <w:tab w:val="center" w:pos="4680"/>
              </w:tabs>
              <w:suppressAutoHyphens/>
              <w:rPr>
                <w:spacing w:val="-2"/>
              </w:rPr>
            </w:pPr>
            <w:r>
              <w:rPr>
                <w:spacing w:val="-2"/>
              </w:rPr>
              <w:t>In the Matter of</w:t>
            </w:r>
          </w:p>
          <w:p w:rsidR="00B75176" w:rsidRDefault="00B75176">
            <w:pPr>
              <w:tabs>
                <w:tab w:val="center" w:pos="4680"/>
              </w:tabs>
              <w:suppressAutoHyphens/>
              <w:rPr>
                <w:spacing w:val="-2"/>
              </w:rPr>
            </w:pPr>
          </w:p>
          <w:p w:rsidR="00B75176" w:rsidRDefault="000D5272">
            <w:pPr>
              <w:tabs>
                <w:tab w:val="left" w:pos="0"/>
              </w:tabs>
              <w:suppressAutoHyphens/>
              <w:ind w:left="5040" w:hanging="5040"/>
              <w:rPr>
                <w:szCs w:val="22"/>
              </w:rPr>
            </w:pPr>
            <w:r>
              <w:rPr>
                <w:szCs w:val="22"/>
              </w:rPr>
              <w:t>S G Communications</w:t>
            </w:r>
          </w:p>
          <w:p w:rsidR="00B75176" w:rsidRDefault="00B75176">
            <w:pPr>
              <w:tabs>
                <w:tab w:val="center" w:pos="4680"/>
              </w:tabs>
              <w:suppressAutoHyphens/>
              <w:rPr>
                <w:spacing w:val="-2"/>
              </w:rPr>
            </w:pPr>
          </w:p>
          <w:p w:rsidR="00B75176" w:rsidRDefault="00B75176">
            <w:pPr>
              <w:tabs>
                <w:tab w:val="center" w:pos="4680"/>
              </w:tabs>
              <w:suppressAutoHyphens/>
              <w:rPr>
                <w:spacing w:val="-2"/>
              </w:rPr>
            </w:pPr>
            <w:r>
              <w:rPr>
                <w:spacing w:val="-2"/>
              </w:rPr>
              <w:t xml:space="preserve">Licensee of Station </w:t>
            </w:r>
            <w:r w:rsidR="00B24B61">
              <w:rPr>
                <w:spacing w:val="-2"/>
              </w:rPr>
              <w:t>WHEW(AM)</w:t>
            </w:r>
          </w:p>
          <w:p w:rsidR="00B75176" w:rsidRDefault="00B24B61">
            <w:pPr>
              <w:ind w:right="-18"/>
            </w:pPr>
            <w:r>
              <w:rPr>
                <w:spacing w:val="-2"/>
              </w:rPr>
              <w:t>Franklin, Tennessee</w:t>
            </w:r>
          </w:p>
        </w:tc>
        <w:tc>
          <w:tcPr>
            <w:tcW w:w="720" w:type="dxa"/>
          </w:tcPr>
          <w:p w:rsidR="00B75176" w:rsidRDefault="00B75176">
            <w:pPr>
              <w:rPr>
                <w:b/>
              </w:rPr>
            </w:pPr>
            <w:r>
              <w:rPr>
                <w:b/>
              </w:rPr>
              <w:t>)</w:t>
            </w:r>
          </w:p>
          <w:p w:rsidR="00B75176" w:rsidRDefault="00B75176">
            <w:pPr>
              <w:rPr>
                <w:b/>
              </w:rPr>
            </w:pPr>
            <w:r>
              <w:rPr>
                <w:b/>
              </w:rPr>
              <w:t>)</w:t>
            </w:r>
          </w:p>
          <w:p w:rsidR="00B75176" w:rsidRDefault="00B75176">
            <w:pPr>
              <w:rPr>
                <w:b/>
              </w:rPr>
            </w:pPr>
            <w:r>
              <w:rPr>
                <w:b/>
              </w:rPr>
              <w:t>)</w:t>
            </w:r>
          </w:p>
          <w:p w:rsidR="00B75176" w:rsidRDefault="00B75176">
            <w:pPr>
              <w:rPr>
                <w:b/>
              </w:rPr>
            </w:pPr>
            <w:r>
              <w:rPr>
                <w:b/>
              </w:rPr>
              <w:t>)</w:t>
            </w:r>
          </w:p>
          <w:p w:rsidR="00B75176" w:rsidRDefault="00B75176">
            <w:pPr>
              <w:rPr>
                <w:b/>
              </w:rPr>
            </w:pPr>
            <w:r>
              <w:rPr>
                <w:b/>
              </w:rPr>
              <w:t>)</w:t>
            </w:r>
          </w:p>
          <w:p w:rsidR="00B75176" w:rsidRDefault="00B75176">
            <w:pPr>
              <w:rPr>
                <w:b/>
              </w:rPr>
            </w:pPr>
            <w:r>
              <w:rPr>
                <w:b/>
              </w:rPr>
              <w:t>)</w:t>
            </w:r>
          </w:p>
        </w:tc>
        <w:tc>
          <w:tcPr>
            <w:tcW w:w="4230" w:type="dxa"/>
          </w:tcPr>
          <w:p w:rsidR="00B75176" w:rsidRDefault="00B75176">
            <w:pPr>
              <w:tabs>
                <w:tab w:val="center" w:pos="4680"/>
              </w:tabs>
              <w:suppressAutoHyphens/>
              <w:rPr>
                <w:spacing w:val="-2"/>
              </w:rPr>
            </w:pPr>
          </w:p>
          <w:p w:rsidR="00B75176" w:rsidRDefault="00B75176">
            <w:pPr>
              <w:rPr>
                <w:szCs w:val="22"/>
              </w:rPr>
            </w:pPr>
          </w:p>
          <w:p w:rsidR="00B75176" w:rsidRDefault="00B75176">
            <w:pPr>
              <w:rPr>
                <w:szCs w:val="22"/>
              </w:rPr>
            </w:pPr>
            <w:r>
              <w:rPr>
                <w:szCs w:val="22"/>
              </w:rPr>
              <w:t xml:space="preserve">Facility ID No. </w:t>
            </w:r>
            <w:r w:rsidR="00B24B61">
              <w:rPr>
                <w:szCs w:val="22"/>
              </w:rPr>
              <w:t>681</w:t>
            </w:r>
          </w:p>
          <w:p w:rsidR="00B75176" w:rsidRDefault="00B75176">
            <w:pPr>
              <w:rPr>
                <w:szCs w:val="22"/>
              </w:rPr>
            </w:pPr>
            <w:r>
              <w:rPr>
                <w:szCs w:val="22"/>
              </w:rPr>
              <w:t>NAL/Acct. No. MB-</w:t>
            </w:r>
            <w:r w:rsidR="00B24B61">
              <w:t>201341410015</w:t>
            </w:r>
          </w:p>
          <w:p w:rsidR="00B75176" w:rsidRDefault="00B75176">
            <w:pPr>
              <w:rPr>
                <w:szCs w:val="22"/>
              </w:rPr>
            </w:pPr>
            <w:r>
              <w:rPr>
                <w:szCs w:val="22"/>
              </w:rPr>
              <w:t xml:space="preserve">FRN: </w:t>
            </w:r>
            <w:r w:rsidR="00B24B61">
              <w:rPr>
                <w:szCs w:val="22"/>
              </w:rPr>
              <w:t>006320048</w:t>
            </w:r>
          </w:p>
          <w:p w:rsidR="00B75176" w:rsidRDefault="00B75176" w:rsidP="00B24B61">
            <w:r>
              <w:rPr>
                <w:szCs w:val="22"/>
              </w:rPr>
              <w:t xml:space="preserve">File No. </w:t>
            </w:r>
            <w:r w:rsidR="00B24B61">
              <w:t>BR-20120</w:t>
            </w:r>
            <w:r w:rsidR="00924E4E">
              <w:t>8</w:t>
            </w:r>
            <w:r w:rsidR="00B24B61">
              <w:t>29AEX</w:t>
            </w:r>
          </w:p>
        </w:tc>
      </w:tr>
    </w:tbl>
    <w:p w:rsidR="00B75176" w:rsidRDefault="00B75176">
      <w:pPr>
        <w:spacing w:before="120"/>
        <w:jc w:val="center"/>
        <w:rPr>
          <w:b/>
        </w:rPr>
      </w:pPr>
      <w:r>
        <w:rPr>
          <w:b/>
          <w:spacing w:val="-2"/>
        </w:rPr>
        <w:t>FORFEITURE ORDER</w:t>
      </w:r>
    </w:p>
    <w:p w:rsidR="00B75176" w:rsidRDefault="00B75176"/>
    <w:p w:rsidR="00B75176" w:rsidRDefault="00B75176">
      <w:pPr>
        <w:tabs>
          <w:tab w:val="left" w:pos="5760"/>
        </w:tabs>
        <w:rPr>
          <w:b/>
        </w:rPr>
      </w:pPr>
      <w:r>
        <w:rPr>
          <w:b/>
        </w:rPr>
        <w:t xml:space="preserve">Adopted:  </w:t>
      </w:r>
      <w:r w:rsidR="00D12568">
        <w:rPr>
          <w:b/>
        </w:rPr>
        <w:t xml:space="preserve">February 3, </w:t>
      </w:r>
      <w:r w:rsidR="005A2868">
        <w:rPr>
          <w:b/>
        </w:rPr>
        <w:t>2015</w:t>
      </w:r>
      <w:r>
        <w:rPr>
          <w:b/>
        </w:rPr>
        <w:tab/>
        <w:t xml:space="preserve">Released:  </w:t>
      </w:r>
      <w:r w:rsidR="00D12568">
        <w:rPr>
          <w:b/>
        </w:rPr>
        <w:t>February 3, 2015</w:t>
      </w:r>
    </w:p>
    <w:p w:rsidR="00B75176" w:rsidRDefault="00B75176">
      <w:pPr>
        <w:tabs>
          <w:tab w:val="left" w:pos="5760"/>
        </w:tabs>
        <w:rPr>
          <w:b/>
        </w:rPr>
      </w:pPr>
    </w:p>
    <w:p w:rsidR="00B75176" w:rsidRDefault="00B75176">
      <w:pPr>
        <w:tabs>
          <w:tab w:val="left" w:pos="5760"/>
        </w:tabs>
        <w:rPr>
          <w:spacing w:val="-2"/>
        </w:rPr>
      </w:pPr>
      <w:r>
        <w:t xml:space="preserve">By the </w:t>
      </w:r>
      <w:r>
        <w:rPr>
          <w:spacing w:val="-2"/>
        </w:rPr>
        <w:t>Chief, Audio Division, Media Bureau:</w:t>
      </w:r>
    </w:p>
    <w:p w:rsidR="00B75176" w:rsidRDefault="00B75176">
      <w:pPr>
        <w:tabs>
          <w:tab w:val="left" w:pos="5760"/>
        </w:tabs>
      </w:pPr>
    </w:p>
    <w:p w:rsidR="00B75176" w:rsidRDefault="00B75176">
      <w:pPr>
        <w:pStyle w:val="Heading1"/>
        <w:jc w:val="left"/>
      </w:pPr>
      <w:r>
        <w:t>INTRODUCTION</w:t>
      </w:r>
    </w:p>
    <w:p w:rsidR="00B75176" w:rsidRDefault="00B75176">
      <w:pPr>
        <w:pStyle w:val="ParaNum"/>
        <w:tabs>
          <w:tab w:val="clear" w:pos="1080"/>
        </w:tabs>
        <w:jc w:val="left"/>
      </w:pPr>
      <w:r>
        <w:t xml:space="preserve">In this Forfeiture Order, we issue a monetary forfeiture in the amount of </w:t>
      </w:r>
      <w:r w:rsidR="00A631A7">
        <w:t>seven thousand</w:t>
      </w:r>
      <w:r w:rsidR="004E620D">
        <w:t xml:space="preserve"> dollars ($7,0</w:t>
      </w:r>
      <w:r>
        <w:t xml:space="preserve">00) to </w:t>
      </w:r>
      <w:r w:rsidR="004E620D">
        <w:rPr>
          <w:szCs w:val="22"/>
        </w:rPr>
        <w:t xml:space="preserve">S G Communications </w:t>
      </w:r>
      <w:r>
        <w:rPr>
          <w:szCs w:val="22"/>
        </w:rPr>
        <w:t xml:space="preserve">(“Licensee”), licensee of Station </w:t>
      </w:r>
      <w:r w:rsidR="000D5272">
        <w:rPr>
          <w:szCs w:val="22"/>
        </w:rPr>
        <w:t>WHEW(A</w:t>
      </w:r>
      <w:r>
        <w:rPr>
          <w:szCs w:val="22"/>
        </w:rPr>
        <w:t xml:space="preserve">M), </w:t>
      </w:r>
      <w:r w:rsidR="000D5272">
        <w:rPr>
          <w:szCs w:val="22"/>
        </w:rPr>
        <w:t>Franklin, Tennessee</w:t>
      </w:r>
      <w:r>
        <w:rPr>
          <w:szCs w:val="22"/>
        </w:rPr>
        <w:t xml:space="preserve"> </w:t>
      </w:r>
      <w:r>
        <w:t>(“Station”), for willfully violating Section 73.3539 of the Commission’s Rules (“Rules”)</w:t>
      </w:r>
      <w:r w:rsidR="004E620D">
        <w:rPr>
          <w:rStyle w:val="FootnoteReference"/>
          <w:szCs w:val="22"/>
        </w:rPr>
        <w:footnoteReference w:id="2"/>
      </w:r>
      <w:r w:rsidR="004E620D">
        <w:t xml:space="preserve"> </w:t>
      </w:r>
      <w:r>
        <w:t>by failing to timely file a license renewal a</w:t>
      </w:r>
      <w:r w:rsidR="004E620D">
        <w:t xml:space="preserve">pplication for the Station, and willfully and repeatedly violated Section 301 of the </w:t>
      </w:r>
      <w:r w:rsidR="006D7790">
        <w:t>Communications</w:t>
      </w:r>
      <w:r w:rsidR="004E620D">
        <w:t xml:space="preserve"> Act of 1934, as amended</w:t>
      </w:r>
      <w:r w:rsidR="006D7790">
        <w:t xml:space="preserve"> (“Act”)</w:t>
      </w:r>
      <w:r w:rsidR="004E620D">
        <w:t>,</w:t>
      </w:r>
      <w:r w:rsidR="004E620D">
        <w:rPr>
          <w:rStyle w:val="FootnoteReference"/>
          <w:szCs w:val="22"/>
        </w:rPr>
        <w:footnoteReference w:id="3"/>
      </w:r>
      <w:r w:rsidR="004E620D">
        <w:t xml:space="preserve"> by engaging in unauthorized operation of the Station after its authorization had expired.</w:t>
      </w:r>
      <w:r w:rsidR="004E620D">
        <w:rPr>
          <w:szCs w:val="22"/>
        </w:rPr>
        <w:t xml:space="preserve">  </w:t>
      </w:r>
    </w:p>
    <w:p w:rsidR="00B75176" w:rsidRDefault="00B75176">
      <w:pPr>
        <w:pStyle w:val="Heading1"/>
        <w:jc w:val="left"/>
      </w:pPr>
      <w:r>
        <w:t>BACKGROUND</w:t>
      </w:r>
    </w:p>
    <w:p w:rsidR="000D5272" w:rsidRPr="000D5272" w:rsidRDefault="00B75176" w:rsidP="000C50C7">
      <w:pPr>
        <w:pStyle w:val="ParaNum"/>
        <w:tabs>
          <w:tab w:val="clear" w:pos="1080"/>
          <w:tab w:val="num" w:pos="1440"/>
        </w:tabs>
      </w:pPr>
      <w:r>
        <w:t xml:space="preserve">On </w:t>
      </w:r>
      <w:r w:rsidR="00705290">
        <w:t>September 18</w:t>
      </w:r>
      <w:r>
        <w:t xml:space="preserve">, 2013, the Bureau issued a </w:t>
      </w:r>
      <w:r w:rsidRPr="000D5272">
        <w:rPr>
          <w:i/>
        </w:rPr>
        <w:t>Notice of Apparent Liability for Forfeiture</w:t>
      </w:r>
      <w:r>
        <w:t xml:space="preserve"> (“</w:t>
      </w:r>
      <w:r w:rsidRPr="000D5272">
        <w:rPr>
          <w:i/>
        </w:rPr>
        <w:t>NAL</w:t>
      </w:r>
      <w:r>
        <w:t xml:space="preserve">”) in the amount of </w:t>
      </w:r>
      <w:r w:rsidR="00924E4E">
        <w:t>seven thousand dollars ($7,0</w:t>
      </w:r>
      <w:r>
        <w:t xml:space="preserve">00) to </w:t>
      </w:r>
      <w:r w:rsidRPr="000D5272">
        <w:rPr>
          <w:szCs w:val="22"/>
        </w:rPr>
        <w:t xml:space="preserve">Licensee </w:t>
      </w:r>
      <w:r w:rsidR="00705290">
        <w:t>for these</w:t>
      </w:r>
      <w:r>
        <w:t xml:space="preserve"> violation</w:t>
      </w:r>
      <w:r w:rsidR="00705290">
        <w:t>s</w:t>
      </w:r>
      <w:r>
        <w:t>.</w:t>
      </w:r>
      <w:r>
        <w:rPr>
          <w:rStyle w:val="FootnoteReference"/>
        </w:rPr>
        <w:footnoteReference w:id="4"/>
      </w:r>
      <w:r>
        <w:t xml:space="preserve">  As noted in the </w:t>
      </w:r>
      <w:r w:rsidRPr="000D5272">
        <w:rPr>
          <w:i/>
        </w:rPr>
        <w:t>NAL</w:t>
      </w:r>
      <w:r>
        <w:t xml:space="preserve">, </w:t>
      </w:r>
      <w:r w:rsidRPr="000D5272">
        <w:rPr>
          <w:szCs w:val="22"/>
        </w:rPr>
        <w:t>Licensee’s</w:t>
      </w:r>
      <w:r>
        <w:t xml:space="preserve"> renewal application for the Station’s previous license term was due on </w:t>
      </w:r>
      <w:r w:rsidR="00705290">
        <w:t>April 1, 2012</w:t>
      </w:r>
      <w:r>
        <w:t>, four months prior to the August 1, 2012, expiration date.</w:t>
      </w:r>
      <w:r>
        <w:rPr>
          <w:rStyle w:val="FootnoteReference"/>
        </w:rPr>
        <w:footnoteReference w:id="5"/>
      </w:r>
      <w:r>
        <w:t xml:space="preserve">  </w:t>
      </w:r>
      <w:r w:rsidR="000D5272" w:rsidRPr="000D5272">
        <w:rPr>
          <w:szCs w:val="22"/>
        </w:rPr>
        <w:t>No such application was filed, and the Station’s license expired on August 1, 2012.  Accordingly, on August 27, 2012, the staff wrote to Licensee, indicating that the Station’s license had expired and that: (1) all authority to operate the Station was terminated; and (2) the Station’s call letters had been deleted from the Commission’s data base.  Licensee was advised that any operation of the station was then unauthorized and must cease immediately.</w:t>
      </w:r>
      <w:r w:rsidR="000D5272">
        <w:rPr>
          <w:rStyle w:val="FootnoteReference"/>
          <w:szCs w:val="22"/>
        </w:rPr>
        <w:footnoteReference w:id="6"/>
      </w:r>
      <w:r w:rsidR="000D5272" w:rsidRPr="000D5272">
        <w:rPr>
          <w:szCs w:val="22"/>
        </w:rPr>
        <w:t xml:space="preserve">  </w:t>
      </w:r>
    </w:p>
    <w:p w:rsidR="00B75176" w:rsidRDefault="000D5272" w:rsidP="000C50C7">
      <w:pPr>
        <w:pStyle w:val="ParaNum"/>
        <w:widowControl/>
        <w:tabs>
          <w:tab w:val="clear" w:pos="1080"/>
        </w:tabs>
        <w:jc w:val="left"/>
      </w:pPr>
      <w:r w:rsidRPr="000D5272">
        <w:rPr>
          <w:szCs w:val="22"/>
        </w:rPr>
        <w:t xml:space="preserve">Upon receipt of the </w:t>
      </w:r>
      <w:r w:rsidRPr="000D5272">
        <w:rPr>
          <w:i/>
          <w:szCs w:val="22"/>
        </w:rPr>
        <w:t>License Expiration Letter,</w:t>
      </w:r>
      <w:r w:rsidRPr="000D5272">
        <w:rPr>
          <w:szCs w:val="22"/>
        </w:rPr>
        <w:t xml:space="preserve"> on August 3</w:t>
      </w:r>
      <w:r w:rsidR="002E2027">
        <w:rPr>
          <w:szCs w:val="22"/>
        </w:rPr>
        <w:t>0</w:t>
      </w:r>
      <w:r w:rsidRPr="000D5272">
        <w:rPr>
          <w:szCs w:val="22"/>
        </w:rPr>
        <w:t>, 2012, Licensee tendered the captioned renewal application and a request for Special Temporary Authority (“STA”) to continue station operations pending consideration of the license renewal application.</w:t>
      </w:r>
      <w:r>
        <w:rPr>
          <w:rStyle w:val="FootnoteReference"/>
          <w:szCs w:val="22"/>
        </w:rPr>
        <w:footnoteReference w:id="7"/>
      </w:r>
      <w:r w:rsidRPr="000D5272">
        <w:rPr>
          <w:szCs w:val="22"/>
        </w:rPr>
        <w:t xml:space="preserve">  The staff granted the STA Request on October 1, 2012, and it expired on March 30, 2013.</w:t>
      </w:r>
      <w:r>
        <w:rPr>
          <w:rStyle w:val="FootnoteReference"/>
          <w:szCs w:val="22"/>
        </w:rPr>
        <w:footnoteReference w:id="8"/>
      </w:r>
      <w:r w:rsidRPr="000D5272">
        <w:rPr>
          <w:szCs w:val="22"/>
        </w:rPr>
        <w:t xml:space="preserve">  </w:t>
      </w:r>
      <w:r w:rsidRPr="000D5272">
        <w:rPr>
          <w:color w:val="000000"/>
          <w:szCs w:val="22"/>
        </w:rPr>
        <w:t xml:space="preserve">Licensee did not seek an extension of its STA, </w:t>
      </w:r>
      <w:r w:rsidRPr="000D5272">
        <w:rPr>
          <w:color w:val="000000"/>
          <w:szCs w:val="22"/>
        </w:rPr>
        <w:lastRenderedPageBreak/>
        <w:t>nor did it request an additional STA to maintain Station operations</w:t>
      </w:r>
      <w:r w:rsidRPr="000D5272">
        <w:rPr>
          <w:szCs w:val="22"/>
        </w:rPr>
        <w:t>.</w:t>
      </w:r>
      <w:r w:rsidR="00823A3E">
        <w:rPr>
          <w:rStyle w:val="FootnoteReference"/>
          <w:szCs w:val="22"/>
        </w:rPr>
        <w:footnoteReference w:id="9"/>
      </w:r>
      <w:r w:rsidRPr="000D5272">
        <w:rPr>
          <w:szCs w:val="22"/>
        </w:rPr>
        <w:t xml:space="preserve">  Licensee </w:t>
      </w:r>
      <w:r>
        <w:rPr>
          <w:szCs w:val="22"/>
        </w:rPr>
        <w:t>did</w:t>
      </w:r>
      <w:r w:rsidRPr="000D5272">
        <w:rPr>
          <w:szCs w:val="22"/>
        </w:rPr>
        <w:t xml:space="preserve"> </w:t>
      </w:r>
      <w:r w:rsidR="006C5C1A">
        <w:rPr>
          <w:szCs w:val="22"/>
        </w:rPr>
        <w:t xml:space="preserve">not </w:t>
      </w:r>
      <w:r w:rsidRPr="000D5272">
        <w:rPr>
          <w:szCs w:val="22"/>
        </w:rPr>
        <w:t xml:space="preserve">provide an explanation for its failure to file a timely renewal application for the Station.  </w:t>
      </w:r>
      <w:r w:rsidR="00B75176">
        <w:t xml:space="preserve">No response to the </w:t>
      </w:r>
      <w:r w:rsidR="00B75176" w:rsidRPr="000D5272">
        <w:rPr>
          <w:i/>
        </w:rPr>
        <w:t>NAL</w:t>
      </w:r>
      <w:r w:rsidR="00B75176">
        <w:t xml:space="preserve"> has been filed.</w:t>
      </w:r>
    </w:p>
    <w:p w:rsidR="00B75176" w:rsidRDefault="00B75176">
      <w:pPr>
        <w:pStyle w:val="Heading1"/>
        <w:jc w:val="left"/>
      </w:pPr>
      <w:r>
        <w:t>DISCUSSION</w:t>
      </w:r>
    </w:p>
    <w:p w:rsidR="00705290" w:rsidRDefault="00B75176" w:rsidP="00705290">
      <w:pPr>
        <w:pStyle w:val="ParaNum"/>
        <w:widowControl/>
        <w:tabs>
          <w:tab w:val="clear" w:pos="1080"/>
        </w:tabs>
        <w:jc w:val="left"/>
      </w:pPr>
      <w:r>
        <w:t>The forfeiture amount proposed in this case was assessed in accordance with Section 503(b) of the Act,</w:t>
      </w:r>
      <w:r>
        <w:rPr>
          <w:rStyle w:val="FootnoteReference"/>
          <w:szCs w:val="22"/>
        </w:rPr>
        <w:footnoteReference w:id="10"/>
      </w:r>
      <w:r>
        <w:t xml:space="preserve"> Section 1.80 of the Rules,</w:t>
      </w:r>
      <w:r>
        <w:rPr>
          <w:rStyle w:val="FootnoteReference"/>
          <w:szCs w:val="22"/>
        </w:rPr>
        <w:footnoteReference w:id="11"/>
      </w:r>
      <w:r>
        <w:rPr>
          <w:szCs w:val="22"/>
        </w:rPr>
        <w:t xml:space="preserve"> </w:t>
      </w:r>
      <w:r>
        <w:t xml:space="preserve">and the Commission’s </w:t>
      </w:r>
      <w:r>
        <w:rPr>
          <w:i/>
        </w:rPr>
        <w:t>Forfeiture Policy Statement</w:t>
      </w:r>
      <w:r>
        <w:t>.</w:t>
      </w:r>
      <w:r>
        <w:rPr>
          <w:rStyle w:val="FootnoteReference"/>
          <w:szCs w:val="22"/>
        </w:rPr>
        <w:footnoteReference w:id="12"/>
      </w:r>
      <w:r>
        <w:t xml:space="preserve">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13"/>
      </w:r>
      <w:r w:rsidR="00705290">
        <w:t xml:space="preserve"> </w:t>
      </w:r>
    </w:p>
    <w:p w:rsidR="00B75176" w:rsidRPr="00705290" w:rsidRDefault="00705290" w:rsidP="00705290">
      <w:pPr>
        <w:pStyle w:val="ParaNum"/>
        <w:widowControl/>
        <w:tabs>
          <w:tab w:val="clear" w:pos="1080"/>
        </w:tabs>
        <w:jc w:val="left"/>
        <w:rPr>
          <w:szCs w:val="22"/>
        </w:rPr>
      </w:pPr>
      <w:r w:rsidRPr="00705290">
        <w:rPr>
          <w:szCs w:val="22"/>
        </w:rPr>
        <w:t>We conclude that Licensee willfully</w:t>
      </w:r>
      <w:r w:rsidRPr="00705290">
        <w:rPr>
          <w:rStyle w:val="FootnoteReference"/>
          <w:szCs w:val="22"/>
        </w:rPr>
        <w:footnoteReference w:id="14"/>
      </w:r>
      <w:r w:rsidRPr="00705290">
        <w:rPr>
          <w:szCs w:val="22"/>
        </w:rPr>
        <w:t xml:space="preserve"> </w:t>
      </w:r>
      <w:r w:rsidRPr="00705290">
        <w:rPr>
          <w:rStyle w:val="documentbody5"/>
          <w:rFonts w:ascii="Times New Roman" w:hAnsi="Times New Roman"/>
          <w:color w:val="000000"/>
          <w:sz w:val="22"/>
          <w:szCs w:val="22"/>
        </w:rPr>
        <w:t>violated Section 73.3539 of the Rules</w:t>
      </w:r>
      <w:r w:rsidR="00692B51">
        <w:rPr>
          <w:rStyle w:val="documentbody5"/>
          <w:rFonts w:ascii="Times New Roman" w:hAnsi="Times New Roman"/>
          <w:color w:val="000000"/>
          <w:sz w:val="22"/>
          <w:szCs w:val="22"/>
        </w:rPr>
        <w:t>,</w:t>
      </w:r>
      <w:r w:rsidR="00692B51">
        <w:rPr>
          <w:rStyle w:val="FootnoteReference"/>
          <w:color w:val="000000"/>
          <w:szCs w:val="22"/>
        </w:rPr>
        <w:footnoteReference w:id="15"/>
      </w:r>
      <w:r w:rsidRPr="00705290">
        <w:rPr>
          <w:rStyle w:val="documentbody5"/>
          <w:rFonts w:ascii="Times New Roman" w:hAnsi="Times New Roman"/>
          <w:color w:val="000000"/>
          <w:sz w:val="22"/>
          <w:szCs w:val="22"/>
        </w:rPr>
        <w:t xml:space="preserve"> and </w:t>
      </w:r>
      <w:r w:rsidRPr="00705290">
        <w:rPr>
          <w:szCs w:val="22"/>
        </w:rPr>
        <w:t>willfully and repeatedly</w:t>
      </w:r>
      <w:r w:rsidRPr="00705290">
        <w:rPr>
          <w:rStyle w:val="FootnoteReference"/>
          <w:szCs w:val="22"/>
        </w:rPr>
        <w:footnoteReference w:id="16"/>
      </w:r>
      <w:r w:rsidRPr="00705290">
        <w:rPr>
          <w:szCs w:val="22"/>
        </w:rPr>
        <w:t xml:space="preserve"> violated </w:t>
      </w:r>
      <w:r w:rsidRPr="00705290">
        <w:rPr>
          <w:rStyle w:val="documentbody5"/>
          <w:rFonts w:ascii="Times New Roman" w:hAnsi="Times New Roman"/>
          <w:color w:val="000000"/>
          <w:sz w:val="22"/>
          <w:szCs w:val="22"/>
        </w:rPr>
        <w:t>Section 301 of the Act,</w:t>
      </w:r>
      <w:r w:rsidRPr="00705290">
        <w:rPr>
          <w:rStyle w:val="FootnoteReference"/>
          <w:color w:val="000000"/>
          <w:szCs w:val="22"/>
        </w:rPr>
        <w:footnoteReference w:id="17"/>
      </w:r>
      <w:r w:rsidRPr="00705290">
        <w:rPr>
          <w:rStyle w:val="documentbody5"/>
          <w:rFonts w:ascii="Times New Roman" w:hAnsi="Times New Roman"/>
          <w:color w:val="000000"/>
          <w:sz w:val="22"/>
          <w:szCs w:val="22"/>
        </w:rPr>
        <w:t xml:space="preserve"> </w:t>
      </w:r>
      <w:r w:rsidR="00B75176" w:rsidRPr="00705290">
        <w:rPr>
          <w:rStyle w:val="documentbody5"/>
          <w:rFonts w:ascii="Times New Roman" w:hAnsi="Times New Roman"/>
          <w:color w:val="000000"/>
          <w:sz w:val="22"/>
          <w:szCs w:val="22"/>
        </w:rPr>
        <w:t>a</w:t>
      </w:r>
      <w:r w:rsidR="00B75176" w:rsidRPr="00705290">
        <w:rPr>
          <w:color w:val="000000"/>
          <w:szCs w:val="22"/>
          <w:shd w:val="clear" w:color="auto" w:fill="FFFFFF"/>
        </w:rPr>
        <w:t>nd that no circumstances</w:t>
      </w:r>
      <w:r w:rsidR="00B75176" w:rsidRPr="00705290">
        <w:rPr>
          <w:rStyle w:val="apple-converted-space"/>
          <w:color w:val="000000"/>
          <w:szCs w:val="22"/>
          <w:shd w:val="clear" w:color="auto" w:fill="FFFFFF"/>
        </w:rPr>
        <w:t> </w:t>
      </w:r>
      <w:bookmarkStart w:id="1" w:name="SR;1343"/>
      <w:bookmarkEnd w:id="1"/>
      <w:r w:rsidR="00B75176" w:rsidRPr="00705290">
        <w:rPr>
          <w:rStyle w:val="apple-converted-space"/>
          <w:color w:val="000000"/>
          <w:szCs w:val="22"/>
          <w:shd w:val="clear" w:color="auto" w:fill="FFFFFF"/>
        </w:rPr>
        <w:t xml:space="preserve">warrant reduction </w:t>
      </w:r>
      <w:r w:rsidR="00B75176" w:rsidRPr="00705290">
        <w:rPr>
          <w:color w:val="000000"/>
          <w:szCs w:val="22"/>
          <w:shd w:val="clear" w:color="auto" w:fill="FFFFFF"/>
        </w:rPr>
        <w:t>or cancellation of the forfeiture.  We will withhold grant of the renewal application until Licensee has completed payment of the forfeiture.</w:t>
      </w:r>
    </w:p>
    <w:p w:rsidR="00B75176" w:rsidRDefault="00B75176">
      <w:pPr>
        <w:pStyle w:val="Heading1"/>
        <w:jc w:val="left"/>
      </w:pPr>
      <w:r>
        <w:t>ORDERING CLAUSES</w:t>
      </w:r>
    </w:p>
    <w:p w:rsidR="00B75176" w:rsidRPr="008F4148" w:rsidRDefault="00B75176">
      <w:pPr>
        <w:pStyle w:val="ParaNum"/>
        <w:tabs>
          <w:tab w:val="clear" w:pos="1080"/>
        </w:tabs>
        <w:jc w:val="left"/>
        <w:rPr>
          <w:szCs w:val="22"/>
        </w:rPr>
      </w:pPr>
      <w:r w:rsidRPr="008F4148">
        <w:rPr>
          <w:szCs w:val="22"/>
        </w:rPr>
        <w:t>IT IS ORDERED, pursuant to Section 503(b) of the Communications Act of 1934, as amended, and Sections 0.283 and 1.80 of the Commission’s Rules,</w:t>
      </w:r>
      <w:r w:rsidRPr="008F4148">
        <w:rPr>
          <w:rStyle w:val="FootnoteReference"/>
          <w:szCs w:val="22"/>
        </w:rPr>
        <w:footnoteReference w:id="18"/>
      </w:r>
      <w:r w:rsidRPr="008F4148">
        <w:rPr>
          <w:szCs w:val="22"/>
        </w:rPr>
        <w:t xml:space="preserve"> that </w:t>
      </w:r>
      <w:r w:rsidR="00705290" w:rsidRPr="008F4148">
        <w:rPr>
          <w:szCs w:val="22"/>
        </w:rPr>
        <w:t>S</w:t>
      </w:r>
      <w:r w:rsidR="000D5272">
        <w:rPr>
          <w:szCs w:val="22"/>
        </w:rPr>
        <w:t xml:space="preserve"> G Communications </w:t>
      </w:r>
      <w:r w:rsidRPr="008F4148">
        <w:rPr>
          <w:szCs w:val="22"/>
        </w:rPr>
        <w:t xml:space="preserve">SHALL FORFEIT to the United States the sum of </w:t>
      </w:r>
      <w:r w:rsidR="00705290" w:rsidRPr="008F4148">
        <w:rPr>
          <w:szCs w:val="22"/>
        </w:rPr>
        <w:t>seven thousand dollars ($7, 0</w:t>
      </w:r>
      <w:r w:rsidRPr="008F4148">
        <w:rPr>
          <w:szCs w:val="22"/>
        </w:rPr>
        <w:t>00) for willfully violating Section 73</w:t>
      </w:r>
      <w:r w:rsidR="00705290" w:rsidRPr="008F4148">
        <w:rPr>
          <w:szCs w:val="22"/>
        </w:rPr>
        <w:t>.3539 of the Commission’s Rules</w:t>
      </w:r>
      <w:r w:rsidR="008F4148" w:rsidRPr="008F4148">
        <w:rPr>
          <w:szCs w:val="22"/>
        </w:rPr>
        <w:t>,</w:t>
      </w:r>
      <w:r w:rsidR="00705290" w:rsidRPr="008F4148">
        <w:rPr>
          <w:szCs w:val="22"/>
        </w:rPr>
        <w:t xml:space="preserve"> and </w:t>
      </w:r>
      <w:r w:rsidR="008F4148" w:rsidRPr="008F4148">
        <w:rPr>
          <w:szCs w:val="22"/>
        </w:rPr>
        <w:t xml:space="preserve">willfully and </w:t>
      </w:r>
      <w:r w:rsidR="00705290" w:rsidRPr="008F4148">
        <w:rPr>
          <w:szCs w:val="22"/>
        </w:rPr>
        <w:t xml:space="preserve">repeatedly violating </w:t>
      </w:r>
      <w:r w:rsidR="00705290" w:rsidRPr="008F4148">
        <w:rPr>
          <w:rStyle w:val="documentbody5"/>
          <w:rFonts w:ascii="Times New Roman" w:hAnsi="Times New Roman"/>
          <w:color w:val="000000"/>
          <w:sz w:val="22"/>
          <w:szCs w:val="22"/>
        </w:rPr>
        <w:t>Section 301 of the Communications Act of 1934, as amended</w:t>
      </w:r>
      <w:r w:rsidR="00705290" w:rsidRPr="008F4148">
        <w:rPr>
          <w:szCs w:val="22"/>
        </w:rPr>
        <w:t>.</w:t>
      </w:r>
    </w:p>
    <w:p w:rsidR="00B75176" w:rsidRDefault="00B75176">
      <w:pPr>
        <w:pStyle w:val="ParaNum"/>
        <w:widowControl/>
        <w:tabs>
          <w:tab w:val="clear" w:pos="1080"/>
        </w:tabs>
        <w:jc w:val="left"/>
        <w:rPr>
          <w:szCs w:val="22"/>
        </w:rPr>
      </w:pPr>
      <w:r>
        <w:t xml:space="preserve">Payment of the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 and enter the </w:t>
      </w:r>
      <w:r>
        <w:lastRenderedPageBreak/>
        <w:t xml:space="preserve">letters “FORF” in block number 24A (payment type code).  Licensee will also send electronic notification on the date said payment is made to Penelope Dade at Penelope.Dade@FCC.GOV and Alexander Sanjenis at Alexander.Sanjenis@FCC.GOV.  Below are additional instructions that should be followed based on the form of payment selected: </w:t>
      </w:r>
    </w:p>
    <w:p w:rsidR="00B75176" w:rsidRDefault="00B75176">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B75176" w:rsidRDefault="00B75176">
      <w:pPr>
        <w:spacing w:before="16" w:line="220" w:lineRule="exact"/>
      </w:pPr>
    </w:p>
    <w:p w:rsidR="00B75176" w:rsidRDefault="00B75176">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B75176" w:rsidRDefault="00B75176">
      <w:pPr>
        <w:spacing w:before="2" w:line="240" w:lineRule="exact"/>
        <w:rPr>
          <w:sz w:val="24"/>
          <w:szCs w:val="24"/>
        </w:rPr>
      </w:pPr>
    </w:p>
    <w:p w:rsidR="00B75176" w:rsidRDefault="00B75176">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S.</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 St.</w:t>
      </w:r>
      <w:r>
        <w:rPr>
          <w:spacing w:val="53"/>
        </w:rPr>
        <w:t xml:space="preserve"> </w:t>
      </w:r>
      <w:r>
        <w:t>Loui</w:t>
      </w:r>
      <w:r>
        <w:rPr>
          <w:spacing w:val="1"/>
        </w:rPr>
        <w:t>s</w:t>
      </w:r>
      <w:r>
        <w:t>,</w:t>
      </w:r>
      <w:r>
        <w:rPr>
          <w:spacing w:val="53"/>
        </w:rPr>
        <w:t xml:space="preserve"> </w:t>
      </w:r>
      <w:r>
        <w:t>MO 63101.</w:t>
      </w:r>
    </w:p>
    <w:p w:rsidR="00B75176" w:rsidRDefault="00B75176">
      <w:pPr>
        <w:tabs>
          <w:tab w:val="left" w:pos="1180"/>
        </w:tabs>
        <w:spacing w:line="239" w:lineRule="auto"/>
        <w:ind w:left="1180" w:right="60" w:hanging="360"/>
      </w:pPr>
    </w:p>
    <w:p w:rsidR="00B75176" w:rsidRDefault="00B75176">
      <w:pPr>
        <w:pStyle w:val="ParaNum"/>
        <w:tabs>
          <w:tab w:val="clear" w:pos="1080"/>
        </w:tabs>
        <w:jc w:val="left"/>
      </w:pPr>
      <w:r>
        <w:rPr>
          <w:szCs w:val="22"/>
        </w:rPr>
        <w:t xml:space="preserve">IT IS FURTHER ORDERED </w:t>
      </w:r>
      <w:r>
        <w:t xml:space="preserve">that a copy of this </w:t>
      </w:r>
      <w:r>
        <w:rPr>
          <w:i/>
        </w:rPr>
        <w:t>NAL</w:t>
      </w:r>
      <w:r>
        <w:t xml:space="preserve"> shall be sent, by First Class and Certified Mail-Return Receipt Requested, to </w:t>
      </w:r>
      <w:r w:rsidR="000D5272">
        <w:t>S G Communications,</w:t>
      </w:r>
      <w:r w:rsidR="0015733D">
        <w:t xml:space="preserve"> 1429 Governors Ridge Court, Franklin, TN 37064.</w:t>
      </w:r>
    </w:p>
    <w:p w:rsidR="00B75176" w:rsidRDefault="00B75176">
      <w:pPr>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B75176" w:rsidRDefault="00B75176">
      <w:pPr>
        <w:jc w:val="both"/>
        <w:rPr>
          <w:szCs w:val="22"/>
        </w:rPr>
      </w:pPr>
    </w:p>
    <w:p w:rsidR="00B75176" w:rsidRDefault="00B75176">
      <w:pPr>
        <w:jc w:val="both"/>
        <w:rPr>
          <w:szCs w:val="22"/>
        </w:rPr>
      </w:pPr>
    </w:p>
    <w:p w:rsidR="00B75176" w:rsidRDefault="00B75176">
      <w:pPr>
        <w:jc w:val="both"/>
        <w:rPr>
          <w:szCs w:val="22"/>
        </w:rPr>
      </w:pPr>
    </w:p>
    <w:p w:rsidR="00B75176" w:rsidRDefault="00B75176">
      <w:pPr>
        <w:tabs>
          <w:tab w:val="left" w:pos="0"/>
          <w:tab w:val="left" w:pos="2880"/>
        </w:tabs>
        <w:suppressAutoHyphens/>
        <w:jc w:val="both"/>
        <w:rPr>
          <w:szCs w:val="22"/>
        </w:rPr>
      </w:pPr>
      <w:r>
        <w:tab/>
      </w:r>
      <w:r>
        <w:tab/>
      </w:r>
      <w:r>
        <w:tab/>
      </w:r>
      <w:r>
        <w:rPr>
          <w:szCs w:val="22"/>
        </w:rPr>
        <w:t>Peter H. Doyle</w:t>
      </w:r>
    </w:p>
    <w:p w:rsidR="00B75176" w:rsidRDefault="00B75176">
      <w:pPr>
        <w:tabs>
          <w:tab w:val="left" w:pos="0"/>
          <w:tab w:val="left" w:pos="2880"/>
        </w:tabs>
        <w:suppressAutoHyphens/>
        <w:jc w:val="both"/>
      </w:pPr>
      <w:r>
        <w:rPr>
          <w:szCs w:val="22"/>
        </w:rPr>
        <w:tab/>
      </w:r>
      <w:r>
        <w:rPr>
          <w:szCs w:val="22"/>
        </w:rPr>
        <w:tab/>
      </w:r>
      <w:r>
        <w:rPr>
          <w:szCs w:val="22"/>
        </w:rPr>
        <w:tab/>
        <w:t xml:space="preserve">Chief, Audio Division </w:t>
      </w:r>
    </w:p>
    <w:p w:rsidR="00B75176" w:rsidRDefault="00B75176">
      <w:pPr>
        <w:ind w:left="3600" w:firstLine="720"/>
        <w:jc w:val="both"/>
      </w:pPr>
      <w:r>
        <w:t>Media Bureau</w:t>
      </w:r>
    </w:p>
    <w:sectPr w:rsidR="00B751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F5" w:rsidRDefault="00BD28F5">
      <w:r>
        <w:separator/>
      </w:r>
    </w:p>
  </w:endnote>
  <w:endnote w:type="continuationSeparator" w:id="0">
    <w:p w:rsidR="00BD28F5" w:rsidRDefault="00B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22" w:rsidRDefault="0008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6" w:rsidRDefault="00B75176">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816C1">
      <w:rPr>
        <w:rStyle w:val="PageNumber"/>
        <w:noProof/>
      </w:rPr>
      <w:t>2</w:t>
    </w:r>
    <w:r>
      <w:rPr>
        <w:rStyle w:val="PageNumber"/>
      </w:rPr>
      <w:fldChar w:fldCharType="end"/>
    </w:r>
    <w:r>
      <w:rPr>
        <w:rStyle w:val="PageNumber"/>
      </w:rPr>
      <w:tab/>
    </w:r>
    <w:r w:rsidR="00E10790">
      <w:rPr>
        <w:noProof/>
      </w:rPr>
      <w:drawing>
        <wp:inline distT="0" distB="0" distL="0" distR="0">
          <wp:extent cx="6086475" cy="807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07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22" w:rsidRDefault="0008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F5" w:rsidRDefault="00BD28F5">
      <w:pPr>
        <w:rPr>
          <w:sz w:val="20"/>
        </w:rPr>
      </w:pPr>
      <w:r>
        <w:rPr>
          <w:sz w:val="20"/>
        </w:rPr>
        <w:separator/>
      </w:r>
    </w:p>
  </w:footnote>
  <w:footnote w:type="continuationSeparator" w:id="0">
    <w:p w:rsidR="00BD28F5" w:rsidRDefault="00BD28F5">
      <w:pPr>
        <w:rPr>
          <w:sz w:val="20"/>
        </w:rPr>
      </w:pPr>
      <w:r>
        <w:rPr>
          <w:sz w:val="20"/>
        </w:rPr>
        <w:separator/>
      </w:r>
    </w:p>
    <w:p w:rsidR="00BD28F5" w:rsidRDefault="00BD28F5">
      <w:pPr>
        <w:rPr>
          <w:sz w:val="20"/>
        </w:rPr>
      </w:pPr>
      <w:r>
        <w:rPr>
          <w:sz w:val="20"/>
        </w:rPr>
        <w:t>(...continued from previous page)</w:t>
      </w:r>
    </w:p>
  </w:footnote>
  <w:footnote w:type="continuationNotice" w:id="1">
    <w:p w:rsidR="00BD28F5" w:rsidRDefault="00BD28F5">
      <w:pPr>
        <w:jc w:val="right"/>
        <w:rPr>
          <w:sz w:val="20"/>
        </w:rPr>
      </w:pPr>
      <w:r>
        <w:rPr>
          <w:sz w:val="20"/>
        </w:rPr>
        <w:t>(continued....)</w:t>
      </w:r>
    </w:p>
  </w:footnote>
  <w:footnote w:id="2">
    <w:p w:rsidR="004E620D" w:rsidRDefault="004E620D" w:rsidP="00053100">
      <w:pPr>
        <w:pStyle w:val="FootnoteText"/>
        <w:jc w:val="left"/>
      </w:pPr>
      <w:r>
        <w:rPr>
          <w:rStyle w:val="FootnoteReference"/>
        </w:rPr>
        <w:footnoteRef/>
      </w:r>
      <w:r>
        <w:t xml:space="preserve"> </w:t>
      </w:r>
      <w:r>
        <w:rPr>
          <w:i/>
        </w:rPr>
        <w:t xml:space="preserve">See </w:t>
      </w:r>
      <w:r>
        <w:t>47 C.F.R. § 73.3539.</w:t>
      </w:r>
    </w:p>
  </w:footnote>
  <w:footnote w:id="3">
    <w:p w:rsidR="004E620D" w:rsidRDefault="004E620D" w:rsidP="00053100">
      <w:pPr>
        <w:pStyle w:val="FootnoteText"/>
        <w:jc w:val="left"/>
      </w:pPr>
      <w:r>
        <w:rPr>
          <w:rStyle w:val="FootnoteReference"/>
        </w:rPr>
        <w:footnoteRef/>
      </w:r>
      <w:r>
        <w:t xml:space="preserve"> </w:t>
      </w:r>
      <w:r>
        <w:rPr>
          <w:i/>
        </w:rPr>
        <w:t>See</w:t>
      </w:r>
      <w:r>
        <w:t xml:space="preserve"> 47 U.S.C. § 301.</w:t>
      </w:r>
    </w:p>
  </w:footnote>
  <w:footnote w:id="4">
    <w:p w:rsidR="00B75176" w:rsidRDefault="00B75176" w:rsidP="00053100">
      <w:pPr>
        <w:pStyle w:val="FootnoteText"/>
        <w:jc w:val="left"/>
      </w:pPr>
      <w:r>
        <w:rPr>
          <w:rStyle w:val="FootnoteReference"/>
        </w:rPr>
        <w:footnoteRef/>
      </w:r>
      <w:r>
        <w:t xml:space="preserve"> </w:t>
      </w:r>
      <w:r w:rsidR="00705290">
        <w:rPr>
          <w:i/>
          <w:szCs w:val="22"/>
        </w:rPr>
        <w:t>S G Communications,</w:t>
      </w:r>
      <w:r>
        <w:t xml:space="preserve"> Memorandum Opinion and Order and Notice of Appar</w:t>
      </w:r>
      <w:r w:rsidR="00705290">
        <w:t>ent Liability for Forfeiture, 2</w:t>
      </w:r>
      <w:r w:rsidR="000D5272">
        <w:t>8</w:t>
      </w:r>
      <w:r>
        <w:t xml:space="preserve"> FCC Rcd </w:t>
      </w:r>
      <w:r w:rsidR="000D5272">
        <w:t>13371</w:t>
      </w:r>
      <w:r>
        <w:t xml:space="preserve"> (MB 2013).  </w:t>
      </w:r>
    </w:p>
  </w:footnote>
  <w:footnote w:id="5">
    <w:p w:rsidR="00B75176" w:rsidRDefault="00B75176" w:rsidP="00053100">
      <w:pPr>
        <w:pStyle w:val="FootnoteText"/>
        <w:jc w:val="left"/>
      </w:pPr>
      <w:r>
        <w:rPr>
          <w:rStyle w:val="FootnoteReference"/>
        </w:rPr>
        <w:footnoteRef/>
      </w:r>
      <w:r>
        <w:t xml:space="preserve"> </w:t>
      </w:r>
      <w:r>
        <w:rPr>
          <w:i/>
        </w:rPr>
        <w:t>See</w:t>
      </w:r>
      <w:r>
        <w:t xml:space="preserve"> 47 C.F.R. §§ 73.1020, 73.3539(a).  </w:t>
      </w:r>
    </w:p>
  </w:footnote>
  <w:footnote w:id="6">
    <w:p w:rsidR="000D5272" w:rsidRDefault="000D5272" w:rsidP="00053100">
      <w:pPr>
        <w:pStyle w:val="FootnoteText"/>
        <w:jc w:val="left"/>
      </w:pPr>
      <w:r>
        <w:rPr>
          <w:rStyle w:val="FootnoteReference"/>
        </w:rPr>
        <w:footnoteRef/>
      </w:r>
      <w:r>
        <w:t xml:space="preserve"> </w:t>
      </w:r>
      <w:r>
        <w:rPr>
          <w:i/>
        </w:rPr>
        <w:t>Letter to SG Communication</w:t>
      </w:r>
      <w:r w:rsidR="00790BE8">
        <w:rPr>
          <w:i/>
        </w:rPr>
        <w:t>s</w:t>
      </w:r>
      <w:r>
        <w:t xml:space="preserve">, </w:t>
      </w:r>
      <w:r>
        <w:rPr>
          <w:i/>
        </w:rPr>
        <w:t xml:space="preserve">from James Bradshaw </w:t>
      </w:r>
      <w:r>
        <w:t>(MB Aug. 27, 2012) (“</w:t>
      </w:r>
      <w:r>
        <w:rPr>
          <w:i/>
        </w:rPr>
        <w:t>License Expiration Letter</w:t>
      </w:r>
      <w:r>
        <w:t>”).</w:t>
      </w:r>
    </w:p>
  </w:footnote>
  <w:footnote w:id="7">
    <w:p w:rsidR="000D5272" w:rsidRDefault="000D5272" w:rsidP="00053100">
      <w:pPr>
        <w:pStyle w:val="FootnoteText"/>
        <w:jc w:val="left"/>
      </w:pPr>
      <w:r>
        <w:rPr>
          <w:rStyle w:val="FootnoteReference"/>
        </w:rPr>
        <w:footnoteRef/>
      </w:r>
      <w:r>
        <w:t xml:space="preserve"> </w:t>
      </w:r>
      <w:r>
        <w:rPr>
          <w:i/>
        </w:rPr>
        <w:t>See</w:t>
      </w:r>
      <w:r>
        <w:t xml:space="preserve"> File No. BLSTA-20120831AAO (“STA Request”).      </w:t>
      </w:r>
    </w:p>
  </w:footnote>
  <w:footnote w:id="8">
    <w:p w:rsidR="000D5272" w:rsidRDefault="000D5272" w:rsidP="00053100">
      <w:pPr>
        <w:pStyle w:val="FootnoteText"/>
        <w:jc w:val="left"/>
      </w:pPr>
      <w:r>
        <w:rPr>
          <w:rStyle w:val="FootnoteReference"/>
        </w:rPr>
        <w:footnoteRef/>
      </w:r>
      <w:r>
        <w:t xml:space="preserve"> </w:t>
      </w:r>
      <w:r>
        <w:rPr>
          <w:i/>
          <w:iCs/>
        </w:rPr>
        <w:t>Letter to S G Communications,</w:t>
      </w:r>
      <w:r>
        <w:t xml:space="preserve"> Ref. 1800B3 (MB Oct. 1, 2012).</w:t>
      </w:r>
    </w:p>
  </w:footnote>
  <w:footnote w:id="9">
    <w:p w:rsidR="00823A3E" w:rsidRPr="00823A3E" w:rsidRDefault="00823A3E" w:rsidP="00053100">
      <w:pPr>
        <w:pStyle w:val="FootnoteText"/>
        <w:jc w:val="left"/>
      </w:pPr>
      <w:r>
        <w:rPr>
          <w:rStyle w:val="FootnoteReference"/>
        </w:rPr>
        <w:footnoteRef/>
      </w:r>
      <w:r>
        <w:t xml:space="preserve"> </w:t>
      </w:r>
      <w:r w:rsidR="00ED0D5E">
        <w:t xml:space="preserve">Licensee filed an STA extension request on </w:t>
      </w:r>
      <w:r w:rsidR="002E2027">
        <w:t>October 1</w:t>
      </w:r>
      <w:r w:rsidR="00ED0D5E">
        <w:t>, 2013, a</w:t>
      </w:r>
      <w:r>
        <w:t>fter the Burea</w:t>
      </w:r>
      <w:r w:rsidR="00ED0D5E">
        <w:t>u</w:t>
      </w:r>
      <w:r>
        <w:t xml:space="preserve"> issued the </w:t>
      </w:r>
      <w:r>
        <w:rPr>
          <w:i/>
        </w:rPr>
        <w:t>NAL</w:t>
      </w:r>
      <w:r w:rsidR="00227C4F">
        <w:t>.</w:t>
      </w:r>
      <w:r>
        <w:t xml:space="preserve">  </w:t>
      </w:r>
      <w:r>
        <w:rPr>
          <w:i/>
        </w:rPr>
        <w:t xml:space="preserve">See </w:t>
      </w:r>
      <w:r>
        <w:t>File No</w:t>
      </w:r>
      <w:r w:rsidR="00053100">
        <w:t xml:space="preserve">.  </w:t>
      </w:r>
      <w:r>
        <w:t xml:space="preserve">BELSTA-20130930AYY.  </w:t>
      </w:r>
    </w:p>
  </w:footnote>
  <w:footnote w:id="10">
    <w:p w:rsidR="00B75176" w:rsidRDefault="00B75176" w:rsidP="00053100">
      <w:pPr>
        <w:pStyle w:val="FootnoteText"/>
        <w:jc w:val="left"/>
      </w:pPr>
      <w:r>
        <w:rPr>
          <w:rStyle w:val="FootnoteReference"/>
        </w:rPr>
        <w:footnoteRef/>
      </w:r>
      <w:r>
        <w:t xml:space="preserve"> 47 U.S.C. § 503(b).</w:t>
      </w:r>
    </w:p>
  </w:footnote>
  <w:footnote w:id="11">
    <w:p w:rsidR="00B75176" w:rsidRDefault="00B75176" w:rsidP="00053100">
      <w:pPr>
        <w:pStyle w:val="FootnoteText"/>
        <w:jc w:val="left"/>
      </w:pPr>
      <w:r>
        <w:rPr>
          <w:rStyle w:val="FootnoteReference"/>
        </w:rPr>
        <w:footnoteRef/>
      </w:r>
      <w:r>
        <w:t xml:space="preserve"> 47 C.F.R. § 1.80. </w:t>
      </w:r>
    </w:p>
  </w:footnote>
  <w:footnote w:id="12">
    <w:p w:rsidR="00B75176" w:rsidRDefault="00B75176" w:rsidP="00053100">
      <w:pPr>
        <w:pStyle w:val="FootnoteText"/>
        <w:jc w:val="left"/>
      </w:pPr>
      <w:r>
        <w:rPr>
          <w:rStyle w:val="FootnoteReference"/>
        </w:rPr>
        <w:footnoteRef/>
      </w:r>
      <w:r>
        <w:t xml:space="preserve"> </w:t>
      </w:r>
      <w:r>
        <w:rPr>
          <w:i/>
        </w:rPr>
        <w:t>The Commission’s Forfeiture Policy Statement and Amendment of Section 1.80 of the Rules to Incorporate the Forfeiture Guidelines</w:t>
      </w:r>
      <w:r>
        <w:t xml:space="preserve">, Report and Order, 12 FCC Rcd 17087 (1997), </w:t>
      </w:r>
      <w:r>
        <w:rPr>
          <w:i/>
        </w:rPr>
        <w:t>recon. denied</w:t>
      </w:r>
      <w:r>
        <w:t xml:space="preserve">, 15 FCC Rcd 303 (1999).  </w:t>
      </w:r>
    </w:p>
  </w:footnote>
  <w:footnote w:id="13">
    <w:p w:rsidR="00B75176" w:rsidRDefault="00B75176" w:rsidP="00053100">
      <w:pPr>
        <w:pStyle w:val="FootnoteText"/>
        <w:jc w:val="left"/>
      </w:pPr>
      <w:r>
        <w:rPr>
          <w:rStyle w:val="FootnoteReference"/>
        </w:rPr>
        <w:footnoteRef/>
      </w:r>
      <w:r>
        <w:t xml:space="preserve"> 47 U.S.C. § 503(b)(2)(E).</w:t>
      </w:r>
    </w:p>
  </w:footnote>
  <w:footnote w:id="14">
    <w:p w:rsidR="00705290" w:rsidRDefault="00705290" w:rsidP="00053100">
      <w:pPr>
        <w:pStyle w:val="FootnoteText"/>
        <w:jc w:val="lef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iCs/>
        </w:rPr>
        <w:t>Southern California Broadcasting Co.,</w:t>
      </w:r>
      <w:r>
        <w:t xml:space="preserve"> Memorandum Opinion and Order, 6 FCC Rcd 4387, 4387-88.</w:t>
      </w:r>
    </w:p>
  </w:footnote>
  <w:footnote w:id="15">
    <w:p w:rsidR="00692B51" w:rsidRDefault="00692B51" w:rsidP="00053100">
      <w:pPr>
        <w:pStyle w:val="FootnoteText"/>
      </w:pPr>
      <w:r>
        <w:rPr>
          <w:rStyle w:val="FootnoteReference"/>
        </w:rPr>
        <w:footnoteRef/>
      </w:r>
      <w:r>
        <w:t xml:space="preserve"> 47 C.F.R </w:t>
      </w:r>
      <w:r>
        <w:rPr>
          <w:color w:val="000000"/>
        </w:rPr>
        <w:t>§ 73.3539</w:t>
      </w:r>
    </w:p>
  </w:footnote>
  <w:footnote w:id="16">
    <w:p w:rsidR="00705290" w:rsidRDefault="00705290" w:rsidP="00053100">
      <w:pPr>
        <w:pStyle w:val="FootnoteText"/>
        <w:jc w:val="left"/>
      </w:pPr>
      <w:r>
        <w:rPr>
          <w:rStyle w:val="FootnoteReference"/>
        </w:rPr>
        <w:footnoteRef/>
      </w:r>
      <w:r>
        <w:t xml:space="preserve"> Section 312(f)(2) of the Act defines “repeated” as “the commission or omission of [any] act more than once or, if such commission or omission is continuous, for more than one day.” 47 U.S.C. § 312(f)(2).  </w:t>
      </w:r>
      <w:r>
        <w:rPr>
          <w:i/>
        </w:rPr>
        <w:t>See also Southern California</w:t>
      </w:r>
      <w:r>
        <w:t xml:space="preserve">, 6 FCC Rcd at 4388 (applying this definition of repeated to Sections 312 and 503(b) of the Act). </w:t>
      </w:r>
    </w:p>
  </w:footnote>
  <w:footnote w:id="17">
    <w:p w:rsidR="00705290" w:rsidRDefault="00705290" w:rsidP="00053100">
      <w:pPr>
        <w:pStyle w:val="FootnoteText"/>
        <w:jc w:val="left"/>
      </w:pPr>
      <w:r>
        <w:rPr>
          <w:rStyle w:val="FootnoteReference"/>
        </w:rPr>
        <w:footnoteRef/>
      </w:r>
      <w:r w:rsidR="00692B51">
        <w:rPr>
          <w:color w:val="000000"/>
        </w:rPr>
        <w:t xml:space="preserve"> </w:t>
      </w:r>
      <w:r>
        <w:rPr>
          <w:color w:val="000000"/>
        </w:rPr>
        <w:t>47 U.S.C. § 301.</w:t>
      </w:r>
    </w:p>
  </w:footnote>
  <w:footnote w:id="18">
    <w:p w:rsidR="00B75176" w:rsidRDefault="00B75176" w:rsidP="00053100">
      <w:pPr>
        <w:pStyle w:val="FootnoteText"/>
        <w:jc w:val="left"/>
      </w:pPr>
      <w:r>
        <w:rPr>
          <w:rStyle w:val="FootnoteReference"/>
        </w:rPr>
        <w:footnoteRef/>
      </w:r>
      <w:r>
        <w:t xml:space="preserve"> 47 U.S.C. § 503(b); 47 C.F.R. §§ 0.283,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22" w:rsidRDefault="0008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6" w:rsidRDefault="00B75176">
    <w:pPr>
      <w:pStyle w:val="Header"/>
      <w:tabs>
        <w:tab w:val="clear" w:pos="4320"/>
        <w:tab w:val="clear" w:pos="8640"/>
        <w:tab w:val="center" w:pos="4680"/>
        <w:tab w:val="right" w:pos="9360"/>
      </w:tabs>
      <w:rPr>
        <w:b/>
      </w:rPr>
    </w:pPr>
    <w:r>
      <w:rPr>
        <w:b/>
      </w:rPr>
      <w:tab/>
      <w:t>Federal Communications Commission</w:t>
    </w:r>
    <w:r>
      <w:rPr>
        <w:b/>
      </w:rPr>
      <w:tab/>
      <w:t xml:space="preserve">DA </w:t>
    </w:r>
    <w:r w:rsidR="00D12568" w:rsidRPr="00D12568">
      <w:rPr>
        <w:b/>
      </w:rPr>
      <w:t>15-153</w:t>
    </w:r>
  </w:p>
  <w:p w:rsidR="00B75176" w:rsidRDefault="00E1079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437B2F" wp14:editId="42D962FC">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6" w:rsidRDefault="00B75176">
    <w:pPr>
      <w:pStyle w:val="Header"/>
      <w:tabs>
        <w:tab w:val="clear" w:pos="4320"/>
        <w:tab w:val="clear" w:pos="8640"/>
        <w:tab w:val="center" w:pos="4680"/>
        <w:tab w:val="right" w:pos="9360"/>
      </w:tabs>
      <w:rPr>
        <w:b/>
      </w:rPr>
    </w:pPr>
    <w:r>
      <w:rPr>
        <w:b/>
      </w:rPr>
      <w:tab/>
      <w:t>Federal Communications Commission</w:t>
    </w:r>
    <w:r>
      <w:rPr>
        <w:b/>
      </w:rPr>
      <w:tab/>
      <w:t xml:space="preserve">DA </w:t>
    </w:r>
    <w:r w:rsidR="00D12568" w:rsidRPr="00D12568">
      <w:rPr>
        <w:b/>
      </w:rPr>
      <w:t>15-153</w:t>
    </w:r>
  </w:p>
  <w:p w:rsidR="00B75176" w:rsidRDefault="00E1079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F4F02A2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53DCA2B2"/>
    <w:lvl w:ilvl="0">
      <w:start w:val="2"/>
      <w:numFmt w:val="decimal"/>
      <w:pStyle w:val="BlockText"/>
      <w:lvlText w:val="%1."/>
      <w:lvlJc w:val="left"/>
      <w:pPr>
        <w:tabs>
          <w:tab w:val="num" w:pos="1080"/>
        </w:tabs>
        <w:ind w:left="0" w:firstLine="720"/>
      </w:pPr>
      <w:rPr>
        <w:rFonts w:cs="Times New Roman" w:hint="default"/>
        <w:b w:val="0"/>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9"/>
  </w:num>
  <w:num w:numId="24">
    <w:abstractNumId w:val="11"/>
    <w:lvlOverride w:ilvl="0">
      <w:startOverride w:val="3"/>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74"/>
    <w:rsid w:val="00053100"/>
    <w:rsid w:val="00082422"/>
    <w:rsid w:val="000C50C7"/>
    <w:rsid w:val="000D5272"/>
    <w:rsid w:val="0015733D"/>
    <w:rsid w:val="00227C4F"/>
    <w:rsid w:val="002E2027"/>
    <w:rsid w:val="00314BE2"/>
    <w:rsid w:val="004E620D"/>
    <w:rsid w:val="005816C1"/>
    <w:rsid w:val="005A2868"/>
    <w:rsid w:val="0064571D"/>
    <w:rsid w:val="00692B51"/>
    <w:rsid w:val="006C5C1A"/>
    <w:rsid w:val="006D7790"/>
    <w:rsid w:val="00702D2A"/>
    <w:rsid w:val="00705290"/>
    <w:rsid w:val="00790BE8"/>
    <w:rsid w:val="00823A3E"/>
    <w:rsid w:val="008413C7"/>
    <w:rsid w:val="0089266C"/>
    <w:rsid w:val="008C62B4"/>
    <w:rsid w:val="008F4148"/>
    <w:rsid w:val="00924E4E"/>
    <w:rsid w:val="009378E3"/>
    <w:rsid w:val="00A50E31"/>
    <w:rsid w:val="00A631A7"/>
    <w:rsid w:val="00A77C1B"/>
    <w:rsid w:val="00B24B61"/>
    <w:rsid w:val="00B75176"/>
    <w:rsid w:val="00BD28F5"/>
    <w:rsid w:val="00BF66D0"/>
    <w:rsid w:val="00C34809"/>
    <w:rsid w:val="00CA5C74"/>
    <w:rsid w:val="00D12568"/>
    <w:rsid w:val="00DA6B08"/>
    <w:rsid w:val="00E10790"/>
    <w:rsid w:val="00ED0D5E"/>
    <w:rsid w:val="00FA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numPr>
        <w:numId w:val="23"/>
      </w:numPr>
      <w:spacing w:after="220"/>
      <w:ind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documentbody5">
    <w:name w:val="documentbody5"/>
    <w:rPr>
      <w:rFonts w:ascii="Verdana" w:hAnsi="Verdana" w:hint="default"/>
      <w:sz w:val="19"/>
      <w:szCs w:val="19"/>
    </w:rPr>
  </w:style>
  <w:style w:type="character" w:styleId="Hyperlink">
    <w:name w:val="Hyperlink"/>
    <w:rPr>
      <w:color w:val="0000FF"/>
      <w:u w:val="single"/>
    </w:rPr>
  </w:style>
  <w:style w:type="character" w:customStyle="1" w:styleId="searchterm3">
    <w:name w:val="searchterm3"/>
    <w:rPr>
      <w:b/>
      <w:bCs/>
      <w:shd w:val="clear" w:color="auto" w:fill="FFFF00"/>
    </w:rPr>
  </w:style>
  <w:style w:type="character" w:customStyle="1" w:styleId="FootnoteTextChar2">
    <w:name w:val="Footnote Text Char2"/>
    <w:aliases w:val="Footnote Text Char1 Char Char1,Footnote Text Char Char1 Char Char1,Footnote Text Char2 Char1 Char Char Char1,Footnote Text Char Char1 Char Char Char1 Char1,Footnote Text Char1 Char Char Char1 Char Char Char1,Footnote Text Char1 Char2"/>
    <w:locked/>
  </w:style>
  <w:style w:type="character" w:customStyle="1" w:styleId="ParaNumChar">
    <w:name w:val="ParaNum Char"/>
    <w:link w:val="ParaNum"/>
    <w:locked/>
    <w:rPr>
      <w:sz w:val="22"/>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numPr>
        <w:numId w:val="23"/>
      </w:numPr>
      <w:spacing w:after="220"/>
      <w:ind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documentbody5">
    <w:name w:val="documentbody5"/>
    <w:rPr>
      <w:rFonts w:ascii="Verdana" w:hAnsi="Verdana" w:hint="default"/>
      <w:sz w:val="19"/>
      <w:szCs w:val="19"/>
    </w:rPr>
  </w:style>
  <w:style w:type="character" w:styleId="Hyperlink">
    <w:name w:val="Hyperlink"/>
    <w:rPr>
      <w:color w:val="0000FF"/>
      <w:u w:val="single"/>
    </w:rPr>
  </w:style>
  <w:style w:type="character" w:customStyle="1" w:styleId="searchterm3">
    <w:name w:val="searchterm3"/>
    <w:rPr>
      <w:b/>
      <w:bCs/>
      <w:shd w:val="clear" w:color="auto" w:fill="FFFF00"/>
    </w:rPr>
  </w:style>
  <w:style w:type="character" w:customStyle="1" w:styleId="FootnoteTextChar2">
    <w:name w:val="Footnote Text Char2"/>
    <w:aliases w:val="Footnote Text Char1 Char Char1,Footnote Text Char Char1 Char Char1,Footnote Text Char2 Char1 Char Char Char1,Footnote Text Char Char1 Char Char Char1 Char1,Footnote Text Char1 Char Char Char1 Char Char Char1,Footnote Text Char1 Char2"/>
    <w:locked/>
  </w:style>
  <w:style w:type="character" w:customStyle="1" w:styleId="ParaNumChar">
    <w:name w:val="ParaNum Char"/>
    <w:link w:val="ParaNum"/>
    <w:locked/>
    <w:rPr>
      <w:sz w:val="22"/>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1854">
      <w:bodyDiv w:val="1"/>
      <w:marLeft w:val="0"/>
      <w:marRight w:val="0"/>
      <w:marTop w:val="0"/>
      <w:marBottom w:val="0"/>
      <w:divBdr>
        <w:top w:val="none" w:sz="0" w:space="0" w:color="auto"/>
        <w:left w:val="none" w:sz="0" w:space="0" w:color="auto"/>
        <w:bottom w:val="none" w:sz="0" w:space="0" w:color="auto"/>
        <w:right w:val="none" w:sz="0" w:space="0" w:color="auto"/>
      </w:divBdr>
    </w:div>
    <w:div w:id="1314749740">
      <w:bodyDiv w:val="1"/>
      <w:marLeft w:val="0"/>
      <w:marRight w:val="0"/>
      <w:marTop w:val="0"/>
      <w:marBottom w:val="0"/>
      <w:divBdr>
        <w:top w:val="none" w:sz="0" w:space="0" w:color="auto"/>
        <w:left w:val="none" w:sz="0" w:space="0" w:color="auto"/>
        <w:bottom w:val="none" w:sz="0" w:space="0" w:color="auto"/>
        <w:right w:val="none" w:sz="0" w:space="0" w:color="auto"/>
      </w:divBdr>
    </w:div>
    <w:div w:id="1587182363">
      <w:bodyDiv w:val="1"/>
      <w:marLeft w:val="0"/>
      <w:marRight w:val="0"/>
      <w:marTop w:val="0"/>
      <w:marBottom w:val="0"/>
      <w:divBdr>
        <w:top w:val="none" w:sz="0" w:space="0" w:color="auto"/>
        <w:left w:val="none" w:sz="0" w:space="0" w:color="auto"/>
        <w:bottom w:val="none" w:sz="0" w:space="0" w:color="auto"/>
        <w:right w:val="none" w:sz="0" w:space="0" w:color="auto"/>
      </w:divBdr>
    </w:div>
    <w:div w:id="1717588051">
      <w:bodyDiv w:val="1"/>
      <w:marLeft w:val="0"/>
      <w:marRight w:val="0"/>
      <w:marTop w:val="0"/>
      <w:marBottom w:val="0"/>
      <w:divBdr>
        <w:top w:val="none" w:sz="0" w:space="0" w:color="auto"/>
        <w:left w:val="none" w:sz="0" w:space="0" w:color="auto"/>
        <w:bottom w:val="none" w:sz="0" w:space="0" w:color="auto"/>
        <w:right w:val="none" w:sz="0" w:space="0" w:color="auto"/>
      </w:divBdr>
    </w:div>
    <w:div w:id="1719435110">
      <w:bodyDiv w:val="1"/>
      <w:marLeft w:val="0"/>
      <w:marRight w:val="0"/>
      <w:marTop w:val="0"/>
      <w:marBottom w:val="0"/>
      <w:divBdr>
        <w:top w:val="none" w:sz="0" w:space="0" w:color="auto"/>
        <w:left w:val="none" w:sz="0" w:space="0" w:color="auto"/>
        <w:bottom w:val="none" w:sz="0" w:space="0" w:color="auto"/>
        <w:right w:val="none" w:sz="0" w:space="0" w:color="auto"/>
      </w:divBdr>
    </w:div>
    <w:div w:id="1772777810">
      <w:bodyDiv w:val="1"/>
      <w:marLeft w:val="0"/>
      <w:marRight w:val="0"/>
      <w:marTop w:val="0"/>
      <w:marBottom w:val="0"/>
      <w:divBdr>
        <w:top w:val="none" w:sz="0" w:space="0" w:color="auto"/>
        <w:left w:val="none" w:sz="0" w:space="0" w:color="auto"/>
        <w:bottom w:val="none" w:sz="0" w:space="0" w:color="auto"/>
        <w:right w:val="none" w:sz="0" w:space="0" w:color="auto"/>
      </w:divBdr>
    </w:div>
    <w:div w:id="20872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4889</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2010-08-05T16:36:00Z</cp:lastPrinted>
  <dcterms:created xsi:type="dcterms:W3CDTF">2015-02-03T13:27:00Z</dcterms:created>
  <dcterms:modified xsi:type="dcterms:W3CDTF">2015-02-03T13:27:00Z</dcterms:modified>
  <cp:category> </cp:category>
  <cp:contentStatus> </cp:contentStatus>
</cp:coreProperties>
</file>