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4A29A4" w:rsidP="007115F7">
            <w:pPr>
              <w:tabs>
                <w:tab w:val="center" w:pos="4680"/>
              </w:tabs>
              <w:suppressAutoHyphens/>
              <w:rPr>
                <w:spacing w:val="-2"/>
              </w:rPr>
            </w:pPr>
            <w:r>
              <w:rPr>
                <w:spacing w:val="-2"/>
              </w:rPr>
              <w:t>Rates for Interstate Inmate Calling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F157C" w:rsidRDefault="004C2EE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A29A4" w:rsidP="004A29A4">
            <w:pPr>
              <w:tabs>
                <w:tab w:val="center" w:pos="4680"/>
              </w:tabs>
              <w:suppressAutoHyphens/>
              <w:rPr>
                <w:spacing w:val="-2"/>
              </w:rPr>
            </w:pPr>
            <w:r>
              <w:rPr>
                <w:spacing w:val="-2"/>
              </w:rPr>
              <w:t>WC Docket No. 12-375</w:t>
            </w:r>
          </w:p>
        </w:tc>
      </w:tr>
    </w:tbl>
    <w:p w:rsidR="004C2EE3" w:rsidRDefault="004C2EE3" w:rsidP="0070224F"/>
    <w:p w:rsidR="00841AB1" w:rsidRDefault="004A29A4"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A29A4">
        <w:rPr>
          <w:b/>
          <w:spacing w:val="-2"/>
        </w:rPr>
        <w:t xml:space="preserve">December </w:t>
      </w:r>
      <w:r w:rsidR="001551A4">
        <w:rPr>
          <w:b/>
          <w:spacing w:val="-2"/>
        </w:rPr>
        <w:t>21</w:t>
      </w:r>
      <w:r w:rsidR="004A29A4">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29A4">
        <w:rPr>
          <w:b/>
          <w:spacing w:val="-2"/>
        </w:rPr>
        <w:t xml:space="preserve">December </w:t>
      </w:r>
      <w:r w:rsidR="001551A4">
        <w:rPr>
          <w:b/>
          <w:spacing w:val="-2"/>
        </w:rPr>
        <w:t>21</w:t>
      </w:r>
      <w:r w:rsidR="004A29A4">
        <w:rPr>
          <w:b/>
          <w:spacing w:val="-2"/>
        </w:rPr>
        <w:t>, 2015</w:t>
      </w:r>
    </w:p>
    <w:p w:rsidR="00822CE0" w:rsidRDefault="00822CE0"/>
    <w:p w:rsidR="004C2EE3" w:rsidRDefault="004C2EE3">
      <w:pPr>
        <w:rPr>
          <w:spacing w:val="-2"/>
        </w:rPr>
      </w:pPr>
      <w:r>
        <w:t xml:space="preserve">By </w:t>
      </w:r>
      <w:r w:rsidR="004E4A22">
        <w:t>the</w:t>
      </w:r>
      <w:r w:rsidR="002A2D2E">
        <w:t xml:space="preserve"> </w:t>
      </w:r>
      <w:r w:rsidR="004A29A4">
        <w:rPr>
          <w:spacing w:val="-2"/>
        </w:rPr>
        <w:t>Chief, Wireline Competition Bureau:</w:t>
      </w:r>
    </w:p>
    <w:p w:rsidR="00412FC5" w:rsidRDefault="00412FC5" w:rsidP="00412FC5"/>
    <w:p w:rsidR="002C00E8" w:rsidRDefault="0084066F" w:rsidP="002C00E8">
      <w:pPr>
        <w:pStyle w:val="Heading1"/>
      </w:pPr>
      <w:r>
        <w:rPr>
          <w:b w:val="0"/>
        </w:rPr>
        <w:t xml:space="preserve">INTRODUCTION </w:t>
      </w:r>
    </w:p>
    <w:p w:rsidR="009815A0" w:rsidRDefault="0084066F" w:rsidP="009815A0">
      <w:pPr>
        <w:pStyle w:val="ParaNum"/>
      </w:pPr>
      <w:r>
        <w:t>In this Order, the Wireline Competition Bureau (Bureau) denies Global Tel*Link Corporation</w:t>
      </w:r>
      <w:r w:rsidR="007712B2">
        <w:t>’s</w:t>
      </w:r>
      <w:r>
        <w:t xml:space="preserve"> (GTL) </w:t>
      </w:r>
      <w:r w:rsidR="007712B2">
        <w:t>objection</w:t>
      </w:r>
      <w:r w:rsidR="00186D48">
        <w:rPr>
          <w:rStyle w:val="FootnoteReference"/>
        </w:rPr>
        <w:footnoteReference w:id="2"/>
      </w:r>
      <w:r w:rsidR="007712B2">
        <w:t xml:space="preserve"> to a request by CenturyLink, Inc.’s (CenturyLink</w:t>
      </w:r>
      <w:r w:rsidR="00214527">
        <w:t>) o</w:t>
      </w:r>
      <w:r w:rsidR="007712B2">
        <w:t xml:space="preserve">utside </w:t>
      </w:r>
      <w:r w:rsidR="00214527">
        <w:t>c</w:t>
      </w:r>
      <w:r w:rsidR="007712B2">
        <w:t xml:space="preserve">ounsel to </w:t>
      </w:r>
      <w:r w:rsidR="00244BFE">
        <w:t xml:space="preserve">obtain </w:t>
      </w:r>
      <w:r w:rsidR="007712B2">
        <w:t xml:space="preserve">access to </w:t>
      </w:r>
      <w:r>
        <w:t xml:space="preserve">confidential information </w:t>
      </w:r>
      <w:r w:rsidR="007712B2">
        <w:t xml:space="preserve">GTL </w:t>
      </w:r>
      <w:r>
        <w:t xml:space="preserve">submitted in response to </w:t>
      </w:r>
      <w:r w:rsidR="007712B2">
        <w:t xml:space="preserve">a </w:t>
      </w:r>
      <w:r w:rsidR="00542CF5">
        <w:t xml:space="preserve">mandatory data collection </w:t>
      </w:r>
      <w:r w:rsidR="007712B2">
        <w:t>(Mandatory Data Collection) in this docket</w:t>
      </w:r>
      <w:r w:rsidR="00E97EA2">
        <w:t>,</w:t>
      </w:r>
      <w:r w:rsidR="00150E56">
        <w:rPr>
          <w:rStyle w:val="FootnoteReference"/>
        </w:rPr>
        <w:footnoteReference w:id="3"/>
      </w:r>
      <w:r w:rsidR="00E97EA2">
        <w:t xml:space="preserve"> some of which was </w:t>
      </w:r>
      <w:r w:rsidR="00367FC9">
        <w:t>includ</w:t>
      </w:r>
      <w:r w:rsidR="00E97EA2">
        <w:t>ed</w:t>
      </w:r>
      <w:r w:rsidR="00367FC9">
        <w:t xml:space="preserve"> </w:t>
      </w:r>
      <w:r w:rsidR="00E97EA2">
        <w:t xml:space="preserve">in </w:t>
      </w:r>
      <w:r w:rsidR="00367FC9">
        <w:t xml:space="preserve">the unredacted final </w:t>
      </w:r>
      <w:r w:rsidR="00367FC9" w:rsidRPr="001551A4">
        <w:t>Order</w:t>
      </w:r>
      <w:r w:rsidR="00367FC9">
        <w:rPr>
          <w:i/>
        </w:rPr>
        <w:t xml:space="preserve"> </w:t>
      </w:r>
      <w:r w:rsidR="00367FC9">
        <w:t>that the Commission released in this docket on November 5, 2015</w:t>
      </w:r>
      <w:r w:rsidR="009B3965">
        <w:t>.</w:t>
      </w:r>
      <w:r w:rsidR="009B3965">
        <w:rPr>
          <w:rStyle w:val="FootnoteReference"/>
        </w:rPr>
        <w:footnoteReference w:id="4"/>
      </w:r>
    </w:p>
    <w:p w:rsidR="009815A0" w:rsidRDefault="009815A0" w:rsidP="009815A0">
      <w:pPr>
        <w:pStyle w:val="Heading1"/>
        <w:rPr>
          <w:b w:val="0"/>
        </w:rPr>
      </w:pPr>
      <w:r>
        <w:rPr>
          <w:b w:val="0"/>
        </w:rPr>
        <w:t>BACKGROUND</w:t>
      </w:r>
    </w:p>
    <w:p w:rsidR="00CD43C0" w:rsidRDefault="00CD43C0" w:rsidP="00CD43C0">
      <w:pPr>
        <w:pStyle w:val="ParaNum"/>
      </w:pPr>
      <w:r>
        <w:t xml:space="preserve">On September 26, 2013, the </w:t>
      </w:r>
      <w:r w:rsidR="00BC76A9">
        <w:t>C</w:t>
      </w:r>
      <w:r>
        <w:t xml:space="preserve">ommission released the </w:t>
      </w:r>
      <w:r w:rsidR="007342E1">
        <w:rPr>
          <w:i/>
        </w:rPr>
        <w:t>2013 ICS Order</w:t>
      </w:r>
      <w:r>
        <w:t>.  There, the Commission adopted a one-time Mandatory Data Collection “[t]o enable the Commission to take further action to reform rates, including developing a permanent cap or safe harbor for interstate rates as well as to inform [its] evaluation of other rate reform options.”</w:t>
      </w:r>
      <w:r>
        <w:rPr>
          <w:rStyle w:val="FootnoteReference"/>
        </w:rPr>
        <w:footnoteReference w:id="5"/>
      </w:r>
      <w:r>
        <w:t xml:space="preserve">  The Commission delegated to the Bureau “the authority to adopt a template for submitting the data and provide instructions to implement the data collection.”</w:t>
      </w:r>
      <w:r>
        <w:rPr>
          <w:rStyle w:val="FootnoteReference"/>
        </w:rPr>
        <w:footnoteReference w:id="6"/>
      </w:r>
      <w:r>
        <w:t xml:space="preserve">  In anticipation of the data submissions, the Bureau released a </w:t>
      </w:r>
      <w:r w:rsidRPr="00CD43C0">
        <w:rPr>
          <w:i/>
        </w:rPr>
        <w:t>Protective Order</w:t>
      </w:r>
      <w:r>
        <w:t xml:space="preserve"> in this proceeding.</w:t>
      </w:r>
      <w:r>
        <w:rPr>
          <w:rStyle w:val="FootnoteReference"/>
        </w:rPr>
        <w:footnoteReference w:id="7"/>
      </w:r>
      <w:r>
        <w:t xml:space="preserve"> </w:t>
      </w:r>
    </w:p>
    <w:p w:rsidR="00D815A1" w:rsidRDefault="00CD43C0" w:rsidP="000928BF">
      <w:pPr>
        <w:pStyle w:val="ParaNum"/>
      </w:pPr>
      <w:r>
        <w:lastRenderedPageBreak/>
        <w:t xml:space="preserve">In the </w:t>
      </w:r>
      <w:r w:rsidRPr="00CD43C0">
        <w:rPr>
          <w:i/>
        </w:rPr>
        <w:t>Protective Order</w:t>
      </w:r>
      <w:r>
        <w:t>,</w:t>
      </w:r>
      <w:r w:rsidRPr="00CD43C0">
        <w:rPr>
          <w:i/>
        </w:rPr>
        <w:t xml:space="preserve"> </w:t>
      </w:r>
      <w:r>
        <w:t>the Bureau stated that it “is mindful of the sensitive nature of [confidential filings</w:t>
      </w:r>
      <w:r w:rsidR="00D01EF0">
        <w:t>,</w:t>
      </w:r>
      <w:r>
        <w:t xml:space="preserve"> but is] also mindful of the right of the public to participate in this proceeding in a meaningful way.”</w:t>
      </w:r>
      <w:r>
        <w:rPr>
          <w:rStyle w:val="FootnoteReference"/>
        </w:rPr>
        <w:footnoteReference w:id="8"/>
      </w:r>
      <w:r>
        <w:t xml:space="preserve">  As such, the </w:t>
      </w:r>
      <w:r w:rsidRPr="00CD43C0">
        <w:rPr>
          <w:i/>
        </w:rPr>
        <w:t xml:space="preserve">Protective Order </w:t>
      </w:r>
      <w:r w:rsidR="00275CB6">
        <w:t xml:space="preserve">allows, </w:t>
      </w:r>
      <w:r w:rsidR="00275CB6">
        <w:rPr>
          <w:i/>
        </w:rPr>
        <w:t xml:space="preserve">inter alia, </w:t>
      </w:r>
      <w:r>
        <w:t xml:space="preserve">Outside Counsel and Outside Consultants, as </w:t>
      </w:r>
      <w:r w:rsidR="00D01EF0">
        <w:t xml:space="preserve">those </w:t>
      </w:r>
      <w:r>
        <w:t xml:space="preserve">terms are defined in the </w:t>
      </w:r>
      <w:r w:rsidRPr="00CD43C0">
        <w:rPr>
          <w:i/>
        </w:rPr>
        <w:t>Protective Order</w:t>
      </w:r>
      <w:r>
        <w:t>, to access confidential data filed in this proceeding if they submit an Acknowledgment of Confidentiality</w:t>
      </w:r>
      <w:r>
        <w:rPr>
          <w:rStyle w:val="FootnoteReference"/>
        </w:rPr>
        <w:footnoteReference w:id="9"/>
      </w:r>
      <w:r>
        <w:t xml:space="preserve"> in which they acknowledge and agree to be bound by the terms of the </w:t>
      </w:r>
      <w:r w:rsidRPr="00CD43C0">
        <w:rPr>
          <w:i/>
        </w:rPr>
        <w:t>Protective Order</w:t>
      </w:r>
      <w:r>
        <w:t>,</w:t>
      </w:r>
      <w:r w:rsidRPr="00CD43C0">
        <w:rPr>
          <w:i/>
        </w:rPr>
        <w:t xml:space="preserve"> </w:t>
      </w:r>
      <w:r>
        <w:t xml:space="preserve">and certify that they are not involved in “Competitive Decision-Making” as defined in the </w:t>
      </w:r>
      <w:r w:rsidRPr="00CD43C0">
        <w:rPr>
          <w:i/>
        </w:rPr>
        <w:t>Protective Order</w:t>
      </w:r>
      <w:r>
        <w:t>.</w:t>
      </w:r>
      <w:r>
        <w:rPr>
          <w:rStyle w:val="FootnoteReference"/>
        </w:rPr>
        <w:footnoteReference w:id="10"/>
      </w:r>
      <w:r>
        <w:t xml:space="preserve">  </w:t>
      </w:r>
      <w:r w:rsidR="00F14FE8">
        <w:t xml:space="preserve">Parties </w:t>
      </w:r>
      <w:r w:rsidR="00E6029B">
        <w:t xml:space="preserve">that </w:t>
      </w:r>
      <w:r w:rsidR="00FE6756">
        <w:t>sub</w:t>
      </w:r>
      <w:r w:rsidR="00E6029B">
        <w:t xml:space="preserve">mit confidential information to the Commission (Submitting Parties) may object to </w:t>
      </w:r>
      <w:r w:rsidR="003A1D14">
        <w:t xml:space="preserve">an </w:t>
      </w:r>
      <w:r w:rsidR="00E6029B">
        <w:t xml:space="preserve">individual seeking access to their </w:t>
      </w:r>
      <w:r w:rsidR="003A1D14">
        <w:t xml:space="preserve">confidential </w:t>
      </w:r>
      <w:r w:rsidR="00E6029B">
        <w:t>data</w:t>
      </w:r>
      <w:r w:rsidR="00817797">
        <w:t xml:space="preserve"> (</w:t>
      </w:r>
      <w:r w:rsidR="00540800">
        <w:t xml:space="preserve">a </w:t>
      </w:r>
      <w:r w:rsidR="00817797">
        <w:t>potential Reviewing Part</w:t>
      </w:r>
      <w:r w:rsidR="00540800">
        <w:t>y</w:t>
      </w:r>
      <w:r w:rsidR="00817797">
        <w:t>).</w:t>
      </w:r>
      <w:r w:rsidR="00FE6756">
        <w:rPr>
          <w:rStyle w:val="FootnoteReference"/>
        </w:rPr>
        <w:footnoteReference w:id="11"/>
      </w:r>
      <w:r w:rsidR="00CA7F48">
        <w:t xml:space="preserve">  </w:t>
      </w:r>
      <w:r w:rsidR="00F20A78">
        <w:t xml:space="preserve">A </w:t>
      </w:r>
      <w:r w:rsidR="00107437">
        <w:t xml:space="preserve">potential </w:t>
      </w:r>
      <w:r w:rsidR="00F20A78">
        <w:t xml:space="preserve">Reviewing Party that is subject to an objection may not obtain or review confidential information </w:t>
      </w:r>
      <w:r w:rsidR="001A59FA">
        <w:t xml:space="preserve">submitted by the objecting party </w:t>
      </w:r>
      <w:r w:rsidR="00F20A78">
        <w:t>u</w:t>
      </w:r>
      <w:r w:rsidR="004A3680">
        <w:t xml:space="preserve">ntil </w:t>
      </w:r>
      <w:r w:rsidR="00F20A78">
        <w:t xml:space="preserve">the </w:t>
      </w:r>
      <w:r w:rsidR="004A3680">
        <w:t xml:space="preserve">objection </w:t>
      </w:r>
      <w:r w:rsidR="00537A8B">
        <w:t>has been</w:t>
      </w:r>
      <w:r w:rsidR="004A3680">
        <w:t xml:space="preserve"> resolved.</w:t>
      </w:r>
      <w:r w:rsidR="004A3680">
        <w:rPr>
          <w:rStyle w:val="FootnoteReference"/>
        </w:rPr>
        <w:footnoteReference w:id="12"/>
      </w:r>
    </w:p>
    <w:p w:rsidR="00DD41C0" w:rsidRDefault="00CD43C0" w:rsidP="00E17E88">
      <w:pPr>
        <w:pStyle w:val="ParaNum"/>
        <w:widowControl/>
      </w:pPr>
      <w:r>
        <w:t>On August 22, 2014</w:t>
      </w:r>
      <w:r w:rsidR="00BC76A9">
        <w:t>,</w:t>
      </w:r>
      <w:r>
        <w:t xml:space="preserve"> GTL submitted confidential data in this proceeding pursuant to the protections of the </w:t>
      </w:r>
      <w:r w:rsidRPr="00292620">
        <w:rPr>
          <w:i/>
        </w:rPr>
        <w:t>Protective Order</w:t>
      </w:r>
      <w:r w:rsidR="00275CB6">
        <w:rPr>
          <w:i/>
        </w:rPr>
        <w:t>,</w:t>
      </w:r>
      <w:r>
        <w:rPr>
          <w:rStyle w:val="FootnoteReference"/>
        </w:rPr>
        <w:footnoteReference w:id="13"/>
      </w:r>
      <w:r w:rsidR="00275CB6">
        <w:t xml:space="preserve"> and o</w:t>
      </w:r>
      <w:r>
        <w:t>n September 29, 2014, in response to a request from Commission staff, GTL supplemented its original data filing.</w:t>
      </w:r>
      <w:r>
        <w:rPr>
          <w:rStyle w:val="FootnoteReference"/>
        </w:rPr>
        <w:footnoteReference w:id="14"/>
      </w:r>
      <w:r>
        <w:t xml:space="preserve">  </w:t>
      </w:r>
      <w:r w:rsidR="0086312D">
        <w:t xml:space="preserve">On October </w:t>
      </w:r>
      <w:r w:rsidR="008F3456">
        <w:t xml:space="preserve">13, 2015, </w:t>
      </w:r>
      <w:r>
        <w:t xml:space="preserve">new </w:t>
      </w:r>
      <w:r w:rsidR="007D29B5">
        <w:t>o</w:t>
      </w:r>
      <w:r w:rsidR="008F3456">
        <w:t xml:space="preserve">utside </w:t>
      </w:r>
      <w:r w:rsidR="007D29B5">
        <w:t>c</w:t>
      </w:r>
      <w:r w:rsidR="008F3456">
        <w:t xml:space="preserve">ounsel </w:t>
      </w:r>
      <w:r w:rsidR="00BC76A9">
        <w:t>to</w:t>
      </w:r>
      <w:r w:rsidR="008F3456">
        <w:t xml:space="preserve"> CenturyLink</w:t>
      </w:r>
      <w:r w:rsidR="007D29B5">
        <w:t xml:space="preserve"> </w:t>
      </w:r>
      <w:r w:rsidR="008F3456">
        <w:t xml:space="preserve">sent executed Acknowledgments to </w:t>
      </w:r>
      <w:r w:rsidR="008F3456" w:rsidRPr="00CB2923">
        <w:t xml:space="preserve">Chérie </w:t>
      </w:r>
      <w:r w:rsidR="008F3456">
        <w:t>R. Kiser, Counsel</w:t>
      </w:r>
      <w:r w:rsidR="00E11B29">
        <w:t xml:space="preserve"> </w:t>
      </w:r>
      <w:r w:rsidR="00BC76A9">
        <w:t>to</w:t>
      </w:r>
      <w:r w:rsidR="00E11B29">
        <w:t xml:space="preserve"> GTL</w:t>
      </w:r>
      <w:r w:rsidR="008F3456">
        <w:t>, via email “in advance of making any request for access to [her] client’s Stamped Confidential Documents or Confidential Information.”</w:t>
      </w:r>
      <w:r w:rsidR="008F3456">
        <w:rPr>
          <w:rStyle w:val="FootnoteReference"/>
        </w:rPr>
        <w:footnoteReference w:id="15"/>
      </w:r>
      <w:r w:rsidR="00911BA0">
        <w:t xml:space="preserve">  </w:t>
      </w:r>
      <w:r w:rsidR="00875009">
        <w:t>Three days later</w:t>
      </w:r>
      <w:r w:rsidR="00FD7EEE">
        <w:t xml:space="preserve">, </w:t>
      </w:r>
      <w:r w:rsidR="008F3456">
        <w:t>GTL</w:t>
      </w:r>
      <w:r w:rsidR="00FD7EEE">
        <w:t xml:space="preserve"> </w:t>
      </w:r>
      <w:r w:rsidR="0072010A">
        <w:t xml:space="preserve">objected to the release of its confidential information to </w:t>
      </w:r>
      <w:r w:rsidR="008F3456">
        <w:t>CenturyLink</w:t>
      </w:r>
      <w:r w:rsidR="00142CBB">
        <w:t>’s outside counsel</w:t>
      </w:r>
      <w:r w:rsidR="006A49D3">
        <w:t>.</w:t>
      </w:r>
      <w:r w:rsidR="0072010A">
        <w:rPr>
          <w:rStyle w:val="FootnoteReference"/>
        </w:rPr>
        <w:footnoteReference w:id="16"/>
      </w:r>
      <w:r w:rsidR="002F18E3">
        <w:t xml:space="preserve">  </w:t>
      </w:r>
      <w:r w:rsidR="0035446F">
        <w:t xml:space="preserve">Citing the competitive bidding process used to award ICS contracts, </w:t>
      </w:r>
      <w:r w:rsidR="00185482">
        <w:t xml:space="preserve">GTL objected to outside counsel for its competitors </w:t>
      </w:r>
      <w:r w:rsidR="002F18E3">
        <w:t>obtaining</w:t>
      </w:r>
      <w:r w:rsidR="00185482">
        <w:t xml:space="preserve"> access </w:t>
      </w:r>
      <w:r w:rsidR="00A5331E">
        <w:t xml:space="preserve">to </w:t>
      </w:r>
      <w:r w:rsidR="002F18E3">
        <w:t xml:space="preserve">GTL’s </w:t>
      </w:r>
      <w:r w:rsidR="00A5331E">
        <w:t>confidential information.</w:t>
      </w:r>
      <w:r w:rsidR="00950451">
        <w:rPr>
          <w:rStyle w:val="FootnoteReference"/>
        </w:rPr>
        <w:footnoteReference w:id="17"/>
      </w:r>
      <w:r w:rsidR="00185482">
        <w:t xml:space="preserve"> </w:t>
      </w:r>
      <w:r w:rsidR="00D83E86">
        <w:t xml:space="preserve"> </w:t>
      </w:r>
      <w:r w:rsidR="004440E5">
        <w:t>CenturyLink</w:t>
      </w:r>
      <w:r w:rsidR="00875009">
        <w:t xml:space="preserve"> responded on November 24, 2015</w:t>
      </w:r>
      <w:r w:rsidR="005E5666">
        <w:t>,</w:t>
      </w:r>
      <w:r w:rsidR="00875009">
        <w:t xml:space="preserve"> </w:t>
      </w:r>
      <w:r>
        <w:t xml:space="preserve">arguing that pursuant to the express terms of the </w:t>
      </w:r>
      <w:r>
        <w:rPr>
          <w:i/>
        </w:rPr>
        <w:t xml:space="preserve">Protective </w:t>
      </w:r>
      <w:r w:rsidRPr="00A264FE">
        <w:rPr>
          <w:i/>
        </w:rPr>
        <w:t>Order</w:t>
      </w:r>
      <w:r>
        <w:t>, its o</w:t>
      </w:r>
      <w:r w:rsidRPr="00A264FE">
        <w:t>utside</w:t>
      </w:r>
      <w:r>
        <w:t xml:space="preserve"> counsel are entitled to access GTL’s confidential information.</w:t>
      </w:r>
      <w:r w:rsidR="00520DF6">
        <w:rPr>
          <w:rStyle w:val="FootnoteReference"/>
        </w:rPr>
        <w:footnoteReference w:id="18"/>
      </w:r>
      <w:r w:rsidR="0033276F">
        <w:t xml:space="preserve">  </w:t>
      </w:r>
    </w:p>
    <w:p w:rsidR="00DD41C0" w:rsidRPr="008307F0" w:rsidRDefault="00DD41C0" w:rsidP="00DD41C0">
      <w:pPr>
        <w:pStyle w:val="ParaNum"/>
        <w:numPr>
          <w:ilvl w:val="0"/>
          <w:numId w:val="0"/>
        </w:numPr>
        <w:rPr>
          <w:b/>
        </w:rPr>
      </w:pPr>
      <w:r>
        <w:rPr>
          <w:b/>
        </w:rPr>
        <w:lastRenderedPageBreak/>
        <w:t xml:space="preserve">III. </w:t>
      </w:r>
      <w:r>
        <w:rPr>
          <w:b/>
        </w:rPr>
        <w:tab/>
        <w:t>DISCUSSION</w:t>
      </w:r>
    </w:p>
    <w:p w:rsidR="00107437" w:rsidRPr="00107437" w:rsidRDefault="00E97F8F" w:rsidP="0051258A">
      <w:pPr>
        <w:pStyle w:val="ParaNum"/>
        <w:rPr>
          <w:b/>
        </w:rPr>
      </w:pPr>
      <w:r>
        <w:t xml:space="preserve">For </w:t>
      </w:r>
      <w:r w:rsidR="00E17E88">
        <w:t xml:space="preserve">the </w:t>
      </w:r>
      <w:r>
        <w:t xml:space="preserve">reasons discussed below, we find </w:t>
      </w:r>
      <w:r w:rsidR="0017011C">
        <w:t>that the record does not provide any</w:t>
      </w:r>
      <w:r w:rsidR="00A671A7">
        <w:t xml:space="preserve"> grounds</w:t>
      </w:r>
      <w:r w:rsidR="006E68AB">
        <w:t xml:space="preserve"> under the terms of the </w:t>
      </w:r>
      <w:r w:rsidR="006E68AB">
        <w:rPr>
          <w:i/>
        </w:rPr>
        <w:t xml:space="preserve">Protective Order </w:t>
      </w:r>
      <w:r w:rsidR="00A671A7">
        <w:t>for</w:t>
      </w:r>
      <w:r w:rsidR="0017011C">
        <w:t xml:space="preserve"> withhold</w:t>
      </w:r>
      <w:r w:rsidR="00A671A7">
        <w:t>ing</w:t>
      </w:r>
      <w:r w:rsidR="0017011C">
        <w:t xml:space="preserve"> from CenturyLink’s outside counsel access to GTL’s confidential information</w:t>
      </w:r>
      <w:r>
        <w:t>.  T</w:t>
      </w:r>
      <w:r w:rsidR="00107437">
        <w:t>herefore, we deny GTL’s O</w:t>
      </w:r>
      <w:r w:rsidR="0017011C">
        <w:t xml:space="preserve">bjection.  </w:t>
      </w:r>
    </w:p>
    <w:p w:rsidR="009A13BE" w:rsidRPr="007342E1" w:rsidRDefault="00974989" w:rsidP="00B368CE">
      <w:pPr>
        <w:pStyle w:val="ParaNum"/>
        <w:rPr>
          <w:b/>
        </w:rPr>
      </w:pPr>
      <w:r>
        <w:t xml:space="preserve">GTL does not raise any objections </w:t>
      </w:r>
      <w:r w:rsidR="001543FB">
        <w:t xml:space="preserve">that are specific </w:t>
      </w:r>
      <w:r>
        <w:t>to Century</w:t>
      </w:r>
      <w:r w:rsidR="007E7D39">
        <w:t>Link</w:t>
      </w:r>
      <w:r>
        <w:t>’s counsel.  Rather, it argues that review of its information is not necessary to participate in this proceeding, either before the Commission or before the courts</w:t>
      </w:r>
      <w:r w:rsidR="00DA28E6">
        <w:t>;</w:t>
      </w:r>
      <w:r>
        <w:rPr>
          <w:rStyle w:val="FootnoteReference"/>
        </w:rPr>
        <w:footnoteReference w:id="19"/>
      </w:r>
      <w:r>
        <w:t xml:space="preserve"> that it has significant concerns about disclosing its confidential information to counsel</w:t>
      </w:r>
      <w:r w:rsidR="00DA28E6">
        <w:t>;</w:t>
      </w:r>
      <w:r>
        <w:rPr>
          <w:rStyle w:val="FootnoteReference"/>
        </w:rPr>
        <w:footnoteReference w:id="20"/>
      </w:r>
      <w:r>
        <w:t xml:space="preserve"> and that the Commission should follow the practice used </w:t>
      </w:r>
      <w:r w:rsidR="007342E1">
        <w:t>in the</w:t>
      </w:r>
      <w:r w:rsidR="00E17E88">
        <w:t xml:space="preserve"> prior</w:t>
      </w:r>
      <w:r w:rsidR="00DA28E6">
        <w:t xml:space="preserve"> ICS </w:t>
      </w:r>
      <w:r>
        <w:t xml:space="preserve">proceeding </w:t>
      </w:r>
      <w:r w:rsidR="00D04DE1">
        <w:t>of only allowing confidential information to be seen by outside consultants</w:t>
      </w:r>
      <w:r>
        <w:t>.</w:t>
      </w:r>
      <w:r>
        <w:rPr>
          <w:rStyle w:val="FootnoteReference"/>
        </w:rPr>
        <w:footnoteReference w:id="21"/>
      </w:r>
      <w:r>
        <w:t xml:space="preserve"> </w:t>
      </w:r>
      <w:r w:rsidR="004C7124">
        <w:t xml:space="preserve"> </w:t>
      </w:r>
      <w:r w:rsidR="004F1618">
        <w:t xml:space="preserve">As CenturyLink points out, </w:t>
      </w:r>
      <w:r w:rsidR="009A13BE">
        <w:t xml:space="preserve">however, </w:t>
      </w:r>
      <w:r w:rsidR="004F1618">
        <w:t>the</w:t>
      </w:r>
      <w:r w:rsidR="007C26EC">
        <w:t xml:space="preserve"> </w:t>
      </w:r>
      <w:r w:rsidR="007C26EC" w:rsidRPr="00934EF2">
        <w:rPr>
          <w:i/>
        </w:rPr>
        <w:t xml:space="preserve">Protective Order </w:t>
      </w:r>
      <w:r w:rsidR="00107437">
        <w:t xml:space="preserve">explicitly </w:t>
      </w:r>
      <w:r w:rsidR="000710D4">
        <w:t xml:space="preserve">permits </w:t>
      </w:r>
      <w:r w:rsidR="00151312">
        <w:t>o</w:t>
      </w:r>
      <w:r w:rsidR="007C26EC">
        <w:t xml:space="preserve">utside </w:t>
      </w:r>
      <w:r w:rsidR="00151312">
        <w:t>c</w:t>
      </w:r>
      <w:r w:rsidR="007C26EC">
        <w:t xml:space="preserve">ounsel </w:t>
      </w:r>
      <w:r w:rsidR="000710D4">
        <w:t>to obtain access to confidential information</w:t>
      </w:r>
      <w:r w:rsidR="007C26EC">
        <w:t>.</w:t>
      </w:r>
      <w:r w:rsidR="007C26EC">
        <w:rPr>
          <w:rStyle w:val="FootnoteReference"/>
        </w:rPr>
        <w:footnoteReference w:id="22"/>
      </w:r>
      <w:r w:rsidR="0017011C">
        <w:t xml:space="preserve"> </w:t>
      </w:r>
      <w:r w:rsidR="00414B18">
        <w:t xml:space="preserve"> </w:t>
      </w:r>
    </w:p>
    <w:p w:rsidR="000B2280" w:rsidRPr="00934EF2" w:rsidRDefault="00974989" w:rsidP="00B368CE">
      <w:pPr>
        <w:pStyle w:val="ParaNum"/>
        <w:rPr>
          <w:b/>
        </w:rPr>
      </w:pPr>
      <w:r>
        <w:t>W</w:t>
      </w:r>
      <w:r w:rsidR="001461EA">
        <w:t xml:space="preserve">e agree with CenturyLink that </w:t>
      </w:r>
      <w:r w:rsidR="007D1635">
        <w:t xml:space="preserve">GTL’s Objection amounts to </w:t>
      </w:r>
      <w:r w:rsidR="00C83DA7">
        <w:t>a disagreement with the</w:t>
      </w:r>
      <w:r w:rsidR="00C83DA7" w:rsidRPr="00934EF2">
        <w:rPr>
          <w:i/>
        </w:rPr>
        <w:t xml:space="preserve"> </w:t>
      </w:r>
      <w:r w:rsidR="00C83DA7">
        <w:t xml:space="preserve">terms of the </w:t>
      </w:r>
      <w:r w:rsidR="00C83DA7" w:rsidRPr="00934EF2">
        <w:rPr>
          <w:i/>
        </w:rPr>
        <w:t>Protective Order</w:t>
      </w:r>
      <w:r w:rsidR="00C83DA7">
        <w:t xml:space="preserve"> and not </w:t>
      </w:r>
      <w:r w:rsidR="007D1635">
        <w:t xml:space="preserve">a particular concern </w:t>
      </w:r>
      <w:r w:rsidR="00C83DA7">
        <w:t xml:space="preserve">with </w:t>
      </w:r>
      <w:r w:rsidR="00D77099">
        <w:t>CenturyLink’s o</w:t>
      </w:r>
      <w:r w:rsidR="00C83DA7">
        <w:t xml:space="preserve">utside </w:t>
      </w:r>
      <w:r w:rsidR="00D77099">
        <w:t>c</w:t>
      </w:r>
      <w:r w:rsidR="00C83DA7">
        <w:t>ounsel</w:t>
      </w:r>
      <w:r w:rsidR="001F1F11">
        <w:t>.</w:t>
      </w:r>
      <w:r w:rsidR="001D186F">
        <w:rPr>
          <w:rStyle w:val="FootnoteReference"/>
        </w:rPr>
        <w:footnoteReference w:id="23"/>
      </w:r>
      <w:r w:rsidR="001E7B68">
        <w:t xml:space="preserve">  The objection procedure contained in the </w:t>
      </w:r>
      <w:r w:rsidR="001E7B68" w:rsidRPr="00934EF2">
        <w:rPr>
          <w:i/>
        </w:rPr>
        <w:t>Protective Order</w:t>
      </w:r>
      <w:r w:rsidR="001E7B68">
        <w:t xml:space="preserve"> does not, however, serve as a method to collaterally attack the propriety of the </w:t>
      </w:r>
      <w:r w:rsidR="001E7B68" w:rsidRPr="00934EF2">
        <w:rPr>
          <w:i/>
        </w:rPr>
        <w:t>Protective Order</w:t>
      </w:r>
      <w:r w:rsidR="001E7B68">
        <w:t>.</w:t>
      </w:r>
      <w:r w:rsidR="001E7B68">
        <w:rPr>
          <w:rStyle w:val="FootnoteReference"/>
        </w:rPr>
        <w:footnoteReference w:id="24"/>
      </w:r>
      <w:r w:rsidR="001E7B68">
        <w:t xml:space="preserve">  Rather, its purpose is to allow entities whose confidential information may be disclosed to object to specific individuals on the ground that those persons are not eligible to review the </w:t>
      </w:r>
      <w:r w:rsidR="009A13BE">
        <w:t xml:space="preserve">requested </w:t>
      </w:r>
      <w:r w:rsidR="001E7B68">
        <w:t xml:space="preserve">information.  </w:t>
      </w:r>
      <w:r w:rsidR="00137CDA">
        <w:t xml:space="preserve">Such objections are typically based on an argument that </w:t>
      </w:r>
      <w:r w:rsidR="001E7B68">
        <w:t>a potential Reviewing Party is</w:t>
      </w:r>
      <w:r w:rsidR="005A42EF">
        <w:t xml:space="preserve"> </w:t>
      </w:r>
      <w:r w:rsidR="001E7B68">
        <w:t>engaged in competitive decision-making, at least with regard to the entity making the objection.  Here, GTL raise no such allegation</w:t>
      </w:r>
      <w:r w:rsidR="00275CB6">
        <w:t>, and there is</w:t>
      </w:r>
      <w:r w:rsidR="005A42EF">
        <w:t>,</w:t>
      </w:r>
      <w:r w:rsidR="00275CB6">
        <w:t xml:space="preserve"> therefore</w:t>
      </w:r>
      <w:r w:rsidR="005A42EF">
        <w:t>,</w:t>
      </w:r>
      <w:r w:rsidR="00275CB6">
        <w:t xml:space="preserve"> no basis on which to sustain the </w:t>
      </w:r>
      <w:r w:rsidR="005A42EF">
        <w:t>O</w:t>
      </w:r>
      <w:r w:rsidR="00275CB6">
        <w:t xml:space="preserve">bjection. </w:t>
      </w:r>
    </w:p>
    <w:p w:rsidR="00925B23" w:rsidRPr="00E97F8F" w:rsidRDefault="00925B23" w:rsidP="00925B23">
      <w:pPr>
        <w:pStyle w:val="ParaNum"/>
        <w:rPr>
          <w:b/>
        </w:rPr>
      </w:pPr>
      <w:r>
        <w:t xml:space="preserve">Because GTL’s arguments all go to the merits of allowing its information to be reviewed pursuant to the </w:t>
      </w:r>
      <w:r>
        <w:rPr>
          <w:i/>
        </w:rPr>
        <w:t xml:space="preserve">Protective </w:t>
      </w:r>
      <w:r w:rsidRPr="00AC3A6E">
        <w:rPr>
          <w:i/>
        </w:rPr>
        <w:t>Order</w:t>
      </w:r>
      <w:r>
        <w:t xml:space="preserve">, we dismiss GTL’s objection as untimely.  GTL had an opportunity to raise concerns about the terms of the </w:t>
      </w:r>
      <w:r w:rsidRPr="00E97F8F">
        <w:rPr>
          <w:i/>
        </w:rPr>
        <w:t>Protective Order</w:t>
      </w:r>
      <w:r>
        <w:t xml:space="preserve"> when that order was adopted in 2013.  </w:t>
      </w:r>
      <w:r w:rsidRPr="005B312B">
        <w:t xml:space="preserve">In fact, GTL and others sought judicial review of the </w:t>
      </w:r>
      <w:r w:rsidR="00E17E88" w:rsidRPr="005B312B">
        <w:rPr>
          <w:i/>
        </w:rPr>
        <w:t>2013 ICS Order</w:t>
      </w:r>
      <w:r w:rsidRPr="005B312B">
        <w:t xml:space="preserve">, but never sought judicial review or Commission review of the </w:t>
      </w:r>
      <w:r w:rsidRPr="005B312B">
        <w:rPr>
          <w:i/>
        </w:rPr>
        <w:t>Protective Order</w:t>
      </w:r>
      <w:r w:rsidRPr="00D54AD4">
        <w:t>.</w:t>
      </w:r>
      <w:r>
        <w:t xml:space="preserve">  The time to seek review of the </w:t>
      </w:r>
      <w:r w:rsidRPr="00E97F8F">
        <w:rPr>
          <w:i/>
        </w:rPr>
        <w:t>Protective Order</w:t>
      </w:r>
      <w:r>
        <w:t xml:space="preserve"> has long since passed and we therefore dismiss </w:t>
      </w:r>
      <w:r w:rsidR="0004463F">
        <w:t xml:space="preserve">the </w:t>
      </w:r>
      <w:r>
        <w:t xml:space="preserve">GTL </w:t>
      </w:r>
      <w:r w:rsidR="00083E45">
        <w:t>O</w:t>
      </w:r>
      <w:r>
        <w:t>bjection as untimely.</w:t>
      </w:r>
      <w:r>
        <w:rPr>
          <w:rStyle w:val="FootnoteReference"/>
        </w:rPr>
        <w:footnoteReference w:id="25"/>
      </w:r>
      <w:r>
        <w:t xml:space="preserve"> </w:t>
      </w:r>
    </w:p>
    <w:p w:rsidR="005E0A8C" w:rsidRPr="00A57936" w:rsidRDefault="00925B23" w:rsidP="00B76E87">
      <w:pPr>
        <w:pStyle w:val="ParaNum"/>
        <w:widowControl/>
        <w:rPr>
          <w:b/>
        </w:rPr>
      </w:pPr>
      <w:r>
        <w:t xml:space="preserve">As an independent reason for rejecting </w:t>
      </w:r>
      <w:r w:rsidR="0004463F">
        <w:t xml:space="preserve">the </w:t>
      </w:r>
      <w:r>
        <w:t xml:space="preserve">GTL </w:t>
      </w:r>
      <w:r w:rsidR="00732676">
        <w:t>O</w:t>
      </w:r>
      <w:r>
        <w:t xml:space="preserve">bjection, </w:t>
      </w:r>
      <w:r w:rsidR="004F4019">
        <w:t xml:space="preserve">we disagree </w:t>
      </w:r>
      <w:r>
        <w:t xml:space="preserve">with GTL’s arguments on the merits.  </w:t>
      </w:r>
      <w:r w:rsidR="005E0A8C">
        <w:t xml:space="preserve">First, we agree that GTL’s information may be confidential and commercially sensitive.  That is not a reason to withhold it from review under a </w:t>
      </w:r>
      <w:r w:rsidR="005E0A8C">
        <w:rPr>
          <w:i/>
        </w:rPr>
        <w:t>Protective Order</w:t>
      </w:r>
      <w:r w:rsidR="005E0A8C">
        <w:t>, however</w:t>
      </w:r>
      <w:r w:rsidR="00D04DE1">
        <w:t>;</w:t>
      </w:r>
      <w:r w:rsidR="005E0A8C">
        <w:t xml:space="preserve"> that is a reason to require a protective order in the first instance.  Were the information not potentially confidential, it would be made available publicly</w:t>
      </w:r>
      <w:r w:rsidR="00275CB6">
        <w:t>, without restriction</w:t>
      </w:r>
      <w:r w:rsidR="005E0A8C">
        <w:t xml:space="preserve">.  Insofar as GTL is </w:t>
      </w:r>
      <w:r w:rsidR="00275CB6">
        <w:t xml:space="preserve">nonetheless </w:t>
      </w:r>
      <w:r w:rsidR="005E0A8C">
        <w:t>concerned that its information may be improperly disclosed,</w:t>
      </w:r>
      <w:r w:rsidR="00275CB6">
        <w:rPr>
          <w:rStyle w:val="FootnoteReference"/>
        </w:rPr>
        <w:footnoteReference w:id="26"/>
      </w:r>
      <w:r w:rsidR="005E0A8C">
        <w:t xml:space="preserve"> the Commission has made clear that its protective orders sufficiently protect a party’s confidential information</w:t>
      </w:r>
      <w:r>
        <w:t>,</w:t>
      </w:r>
      <w:r w:rsidR="005E0A8C">
        <w:rPr>
          <w:rStyle w:val="FootnoteReference"/>
        </w:rPr>
        <w:footnoteReference w:id="27"/>
      </w:r>
      <w:r w:rsidR="005E0A8C">
        <w:t xml:space="preserve"> </w:t>
      </w:r>
      <w:r>
        <w:t xml:space="preserve">and the </w:t>
      </w:r>
      <w:r>
        <w:rPr>
          <w:i/>
        </w:rPr>
        <w:t xml:space="preserve">Protective Order </w:t>
      </w:r>
      <w:r>
        <w:t xml:space="preserve">here does the same.  We thus find GTL’s concerns </w:t>
      </w:r>
      <w:r w:rsidR="00732676">
        <w:t xml:space="preserve">to be </w:t>
      </w:r>
      <w:r>
        <w:t>unfounded.  Second</w:t>
      </w:r>
      <w:r w:rsidR="005E0A8C">
        <w:t>, t</w:t>
      </w:r>
      <w:r w:rsidR="004F4019">
        <w:t xml:space="preserve">he information at issue </w:t>
      </w:r>
      <w:r w:rsidR="005E0A8C">
        <w:t xml:space="preserve">is part of the record and </w:t>
      </w:r>
      <w:r w:rsidR="004F4019">
        <w:t>is relevant to the Commission’s decision in this rulemaking</w:t>
      </w:r>
      <w:r w:rsidR="005E0A8C">
        <w:t xml:space="preserve">; it </w:t>
      </w:r>
      <w:r w:rsidR="004F4019">
        <w:t xml:space="preserve">therefore may be </w:t>
      </w:r>
      <w:r w:rsidR="00813CF5">
        <w:t>reviewed</w:t>
      </w:r>
      <w:r w:rsidR="004F4019">
        <w:t xml:space="preserve"> pursuant </w:t>
      </w:r>
      <w:r w:rsidR="00813CF5">
        <w:t>to</w:t>
      </w:r>
      <w:r w:rsidR="004F4019">
        <w:t xml:space="preserve"> the </w:t>
      </w:r>
      <w:r w:rsidR="00813CF5">
        <w:rPr>
          <w:i/>
        </w:rPr>
        <w:t>Protective</w:t>
      </w:r>
      <w:r w:rsidR="004F4019">
        <w:rPr>
          <w:i/>
        </w:rPr>
        <w:t xml:space="preserve"> Order</w:t>
      </w:r>
      <w:r w:rsidR="004F4019">
        <w:t>.</w:t>
      </w:r>
      <w:r w:rsidR="004F4019">
        <w:rPr>
          <w:rStyle w:val="FootnoteReference"/>
        </w:rPr>
        <w:footnoteReference w:id="28"/>
      </w:r>
      <w:r w:rsidR="005E0A8C">
        <w:t xml:space="preserve">  Moreover, denying access to the information </w:t>
      </w:r>
      <w:r>
        <w:t xml:space="preserve">threatens to </w:t>
      </w:r>
      <w:r w:rsidR="005E0A8C">
        <w:t xml:space="preserve">hinder counsel from making arguments on appeal </w:t>
      </w:r>
      <w:r>
        <w:t xml:space="preserve">and </w:t>
      </w:r>
      <w:r w:rsidR="00AA6E71">
        <w:t>would prevent</w:t>
      </w:r>
      <w:r w:rsidR="005E0A8C">
        <w:t xml:space="preserve"> counsel from even seeing a full copy of the Commission’s </w:t>
      </w:r>
      <w:r w:rsidR="005E0A8C">
        <w:rPr>
          <w:i/>
        </w:rPr>
        <w:t>2015 ICS Order</w:t>
      </w:r>
      <w:r w:rsidR="005E0A8C">
        <w:t>, which</w:t>
      </w:r>
      <w:r w:rsidR="005E0A8C">
        <w:rPr>
          <w:i/>
        </w:rPr>
        <w:t xml:space="preserve"> </w:t>
      </w:r>
      <w:r w:rsidR="005E0A8C">
        <w:t>contains – and is based on – confidential information that has been redacted from the public version of the order.</w:t>
      </w:r>
      <w:r w:rsidR="00AA6E71">
        <w:t xml:space="preserve">  </w:t>
      </w:r>
      <w:r w:rsidR="00AC3A6E">
        <w:t xml:space="preserve">Finally, the previous manner in which GTL and other ICS providers agreed to provide information to the Commission, independent of a formal Commission request and prior to the adoption of the </w:t>
      </w:r>
      <w:r w:rsidR="00AC3A6E">
        <w:rPr>
          <w:i/>
        </w:rPr>
        <w:t>Protective Order</w:t>
      </w:r>
      <w:r w:rsidR="00AC3A6E" w:rsidRPr="00E17E88">
        <w:t>,</w:t>
      </w:r>
      <w:r w:rsidR="00AC3A6E">
        <w:rPr>
          <w:i/>
        </w:rPr>
        <w:t xml:space="preserve"> </w:t>
      </w:r>
      <w:r w:rsidR="00AC3A6E">
        <w:t xml:space="preserve">which now governs the use of confidential information in this proceeding, is </w:t>
      </w:r>
      <w:r>
        <w:t xml:space="preserve">not relevant </w:t>
      </w:r>
      <w:r w:rsidR="00AC3A6E">
        <w:t xml:space="preserve">at this time.  </w:t>
      </w:r>
      <w:r w:rsidR="00FC1690">
        <w:t>In the current rulemaking proceeding, t</w:t>
      </w:r>
      <w:r w:rsidR="00AC3A6E">
        <w:t xml:space="preserve">he Commission required ICS providers to submit cost information and </w:t>
      </w:r>
      <w:r w:rsidR="00346BEF">
        <w:t xml:space="preserve">to </w:t>
      </w:r>
      <w:r w:rsidR="00AC3A6E">
        <w:t>provide access to th</w:t>
      </w:r>
      <w:r w:rsidR="00346BEF">
        <w:t>at</w:t>
      </w:r>
      <w:r w:rsidR="00AC3A6E">
        <w:t xml:space="preserve"> information </w:t>
      </w:r>
      <w:r w:rsidR="00346BEF">
        <w:t xml:space="preserve">in a manner that is consistent with the </w:t>
      </w:r>
      <w:r w:rsidR="00AC3A6E">
        <w:rPr>
          <w:i/>
        </w:rPr>
        <w:t>Protective Order.</w:t>
      </w:r>
      <w:r w:rsidR="00AC3A6E">
        <w:t xml:space="preserve"> </w:t>
      </w:r>
      <w:r w:rsidR="00A96F97">
        <w:t xml:space="preserve"> </w:t>
      </w:r>
      <w:r w:rsidR="00AC3A6E">
        <w:t xml:space="preserve">The fact that GTL may disagree with that decision is not a reason to deny access to a qualified Reviewing Party pursuant to the </w:t>
      </w:r>
      <w:r w:rsidR="00AC3A6E">
        <w:rPr>
          <w:i/>
        </w:rPr>
        <w:t>Protective Order.</w:t>
      </w:r>
      <w:r w:rsidR="00AC3A6E">
        <w:t xml:space="preserve">  </w:t>
      </w:r>
      <w:r w:rsidR="00AA6E71">
        <w:t xml:space="preserve">   </w:t>
      </w:r>
      <w:r w:rsidR="005E0A8C">
        <w:t xml:space="preserve"> </w:t>
      </w:r>
    </w:p>
    <w:p w:rsidR="0066435C" w:rsidRPr="0066435C" w:rsidRDefault="00E40CD1" w:rsidP="0066435C">
      <w:pPr>
        <w:pStyle w:val="ParaNum"/>
        <w:numPr>
          <w:ilvl w:val="0"/>
          <w:numId w:val="0"/>
        </w:numPr>
        <w:rPr>
          <w:b/>
        </w:rPr>
      </w:pPr>
      <w:r>
        <w:rPr>
          <w:b/>
        </w:rPr>
        <w:t>I</w:t>
      </w:r>
      <w:r w:rsidR="0066435C" w:rsidRPr="0066435C">
        <w:rPr>
          <w:b/>
        </w:rPr>
        <w:t xml:space="preserve">V. </w:t>
      </w:r>
      <w:r w:rsidR="0066435C" w:rsidRPr="0066435C">
        <w:rPr>
          <w:b/>
        </w:rPr>
        <w:tab/>
      </w:r>
      <w:r w:rsidR="0066435C">
        <w:rPr>
          <w:b/>
        </w:rPr>
        <w:t>ORDERING CLAUSES</w:t>
      </w:r>
    </w:p>
    <w:p w:rsidR="0066435C" w:rsidRDefault="004027A4" w:rsidP="008307F0">
      <w:pPr>
        <w:pStyle w:val="ParaNum"/>
      </w:pPr>
      <w:r>
        <w:t>Accordingly, IT IS ORDERED</w:t>
      </w:r>
      <w:r w:rsidR="005B1635">
        <w:t xml:space="preserve"> that</w:t>
      </w:r>
      <w:r>
        <w:t xml:space="preserve">, pursuant to </w:t>
      </w:r>
      <w:r w:rsidR="00945A98">
        <w:t>sections 1,</w:t>
      </w:r>
      <w:r w:rsidR="001261C1">
        <w:t xml:space="preserve"> 2,</w:t>
      </w:r>
      <w:r w:rsidR="00945A98">
        <w:t xml:space="preserve"> 4(i),</w:t>
      </w:r>
      <w:r w:rsidR="001261C1">
        <w:t xml:space="preserve"> 4(j), 5 and 303(r) </w:t>
      </w:r>
      <w:r w:rsidR="00945A98">
        <w:t>of the Communications Act of 1934, as amended, 47 U.S.C. §§</w:t>
      </w:r>
      <w:r w:rsidR="005843C7">
        <w:t xml:space="preserve"> 151,</w:t>
      </w:r>
      <w:r w:rsidR="00365A40">
        <w:t xml:space="preserve"> 152,</w:t>
      </w:r>
      <w:r w:rsidR="005843C7">
        <w:t xml:space="preserve"> 154(i),</w:t>
      </w:r>
      <w:r w:rsidR="00365A40">
        <w:t xml:space="preserve"> 154(j),</w:t>
      </w:r>
      <w:r w:rsidR="005843C7">
        <w:t xml:space="preserve"> 155,</w:t>
      </w:r>
      <w:r w:rsidR="00365A40">
        <w:t xml:space="preserve"> 303(r), </w:t>
      </w:r>
      <w:r w:rsidR="00602101">
        <w:t xml:space="preserve">and 405(a), </w:t>
      </w:r>
      <w:r w:rsidR="00365A40">
        <w:t>and</w:t>
      </w:r>
      <w:r w:rsidR="005843C7">
        <w:t xml:space="preserve"> sections 0.91,</w:t>
      </w:r>
      <w:r w:rsidR="00365A40">
        <w:t xml:space="preserve"> 0.201(d)</w:t>
      </w:r>
      <w:r w:rsidR="005843C7">
        <w:t xml:space="preserve"> and 0.291 of the Commission’s rules, 47 C.F.R. §§ 0.91</w:t>
      </w:r>
      <w:r w:rsidR="00021699">
        <w:t xml:space="preserve">, </w:t>
      </w:r>
      <w:r w:rsidR="00940A25">
        <w:t>0</w:t>
      </w:r>
      <w:r w:rsidR="00021699">
        <w:t>.201</w:t>
      </w:r>
      <w:r w:rsidR="00602101">
        <w:t>,</w:t>
      </w:r>
      <w:r w:rsidR="005843C7">
        <w:t>0.291</w:t>
      </w:r>
      <w:r w:rsidR="00602101">
        <w:t>, 1.429(d)</w:t>
      </w:r>
      <w:r w:rsidR="00CF1FC4">
        <w:t xml:space="preserve"> </w:t>
      </w:r>
      <w:r w:rsidR="00D30C4C">
        <w:t xml:space="preserve">the </w:t>
      </w:r>
      <w:r w:rsidR="00CF1FC4">
        <w:t>O</w:t>
      </w:r>
      <w:r w:rsidR="00D30C4C">
        <w:t>bjection</w:t>
      </w:r>
      <w:r w:rsidR="00CF1FC4">
        <w:t xml:space="preserve"> to Disclosure of Confidential Information</w:t>
      </w:r>
      <w:r w:rsidR="00D30C4C">
        <w:t xml:space="preserve"> filed by Global Tel*Link Corporation on October 16, 2015 </w:t>
      </w:r>
      <w:r w:rsidR="00365A40">
        <w:t>IS</w:t>
      </w:r>
      <w:r w:rsidR="00602101">
        <w:t xml:space="preserve"> DISMISSED, OR IN THE ALTERNATIVE,</w:t>
      </w:r>
      <w:r w:rsidR="00D30C4C">
        <w:t xml:space="preserve"> DENIED. </w:t>
      </w:r>
    </w:p>
    <w:p w:rsidR="00CF1FC4" w:rsidRDefault="00CF1FC4" w:rsidP="00CF1FC4">
      <w:pPr>
        <w:pStyle w:val="ParaNum"/>
      </w:pPr>
      <w:r>
        <w:t xml:space="preserve">IT IS FURTHER ORDERED that Global Tel*Link </w:t>
      </w:r>
      <w:r w:rsidR="001103FC">
        <w:t xml:space="preserve">Corporation </w:t>
      </w:r>
      <w:r>
        <w:t xml:space="preserve">MUST COMPLY with the terms of the </w:t>
      </w:r>
      <w:r>
        <w:rPr>
          <w:i/>
        </w:rPr>
        <w:t xml:space="preserve">Protective Order </w:t>
      </w:r>
      <w:r>
        <w:t xml:space="preserve">in this docket and provide </w:t>
      </w:r>
      <w:r w:rsidR="00D77099">
        <w:t>o</w:t>
      </w:r>
      <w:r>
        <w:t xml:space="preserve">utside </w:t>
      </w:r>
      <w:r w:rsidR="00D77099">
        <w:t>c</w:t>
      </w:r>
      <w:r>
        <w:t xml:space="preserve">ounsel to CenturyLink, Inc. the requested confidential data no </w:t>
      </w:r>
      <w:r w:rsidRPr="00E85C07">
        <w:t xml:space="preserve">later than </w:t>
      </w:r>
      <w:r w:rsidR="005D7816">
        <w:t>11 business days after this Order is released</w:t>
      </w:r>
      <w:r w:rsidRPr="00E85C07">
        <w:t>.</w:t>
      </w:r>
      <w:r>
        <w:t xml:space="preserve">  </w:t>
      </w:r>
    </w:p>
    <w:p w:rsidR="00DB27EF" w:rsidRDefault="00DB27EF" w:rsidP="008307F0">
      <w:pPr>
        <w:pStyle w:val="ParaNum"/>
      </w:pPr>
      <w:r>
        <w:t xml:space="preserve">IT IS FURTHER ORDERED that, pursuant to section 1.102(b)(1) of the Commission’s rules, 47 C.F.R. §1.102(b)(1), this Order SHALL BE EFFECTIVE upon release. </w:t>
      </w:r>
      <w:r>
        <w:br/>
      </w:r>
    </w:p>
    <w:p w:rsidR="00DB27EF" w:rsidRDefault="00DB27EF" w:rsidP="00DB27EF">
      <w:pPr>
        <w:pStyle w:val="ParaNum"/>
        <w:numPr>
          <w:ilvl w:val="0"/>
          <w:numId w:val="0"/>
        </w:numPr>
        <w:ind w:left="3600" w:firstLine="720"/>
      </w:pPr>
      <w:r>
        <w:t>FEDERAL COMMUNICATIONS COMMISSION</w:t>
      </w:r>
    </w:p>
    <w:p w:rsidR="0066435C" w:rsidRDefault="0066435C" w:rsidP="0066435C">
      <w:pPr>
        <w:pStyle w:val="ParaNum"/>
        <w:numPr>
          <w:ilvl w:val="0"/>
          <w:numId w:val="0"/>
        </w:numPr>
        <w:ind w:left="720"/>
      </w:pPr>
    </w:p>
    <w:p w:rsidR="000A7DF5" w:rsidRDefault="000A7DF5" w:rsidP="0066435C">
      <w:pPr>
        <w:pStyle w:val="ParaNum"/>
        <w:numPr>
          <w:ilvl w:val="0"/>
          <w:numId w:val="0"/>
        </w:numPr>
        <w:ind w:left="720"/>
      </w:pPr>
    </w:p>
    <w:p w:rsidR="000A7DF5" w:rsidRDefault="000A7DF5" w:rsidP="0066435C">
      <w:pPr>
        <w:pStyle w:val="ParaNum"/>
        <w:numPr>
          <w:ilvl w:val="0"/>
          <w:numId w:val="0"/>
        </w:numPr>
        <w:ind w:left="720"/>
      </w:pPr>
    </w:p>
    <w:p w:rsidR="000A7DF5" w:rsidRDefault="000A7DF5" w:rsidP="00290E45">
      <w:pPr>
        <w:ind w:left="3600" w:firstLine="720"/>
      </w:pPr>
      <w:r>
        <w:t>Matthew S. DelNero</w:t>
      </w:r>
    </w:p>
    <w:p w:rsidR="00DD41C0" w:rsidRPr="0084066F" w:rsidRDefault="000A7DF5" w:rsidP="00D54AD4">
      <w:pPr>
        <w:ind w:left="3600" w:firstLine="720"/>
      </w:pPr>
      <w:r>
        <w:t>Chief</w:t>
      </w:r>
      <w:r>
        <w:br/>
        <w:t xml:space="preserve">             Wireline Competition Bureau</w:t>
      </w:r>
    </w:p>
    <w:sectPr w:rsidR="00DD41C0" w:rsidRPr="0084066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22" w:rsidRDefault="003A6722">
      <w:pPr>
        <w:spacing w:line="20" w:lineRule="exact"/>
      </w:pPr>
    </w:p>
  </w:endnote>
  <w:endnote w:type="continuationSeparator" w:id="0">
    <w:p w:rsidR="003A6722" w:rsidRDefault="003A6722">
      <w:r>
        <w:t xml:space="preserve"> </w:t>
      </w:r>
    </w:p>
  </w:endnote>
  <w:endnote w:type="continuationNotice" w:id="1">
    <w:p w:rsidR="003A6722" w:rsidRDefault="003A6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F0A1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22" w:rsidRDefault="003A6722">
      <w:r>
        <w:separator/>
      </w:r>
    </w:p>
  </w:footnote>
  <w:footnote w:type="continuationSeparator" w:id="0">
    <w:p w:rsidR="003A6722" w:rsidRDefault="003A6722" w:rsidP="00C721AC">
      <w:pPr>
        <w:spacing w:before="120"/>
        <w:rPr>
          <w:sz w:val="20"/>
        </w:rPr>
      </w:pPr>
      <w:r>
        <w:rPr>
          <w:sz w:val="20"/>
        </w:rPr>
        <w:t xml:space="preserve">(Continued from previous page)  </w:t>
      </w:r>
      <w:r>
        <w:rPr>
          <w:sz w:val="20"/>
        </w:rPr>
        <w:separator/>
      </w:r>
    </w:p>
  </w:footnote>
  <w:footnote w:type="continuationNotice" w:id="1">
    <w:p w:rsidR="003A6722" w:rsidRDefault="003A6722" w:rsidP="00C721AC">
      <w:pPr>
        <w:jc w:val="right"/>
        <w:rPr>
          <w:sz w:val="20"/>
        </w:rPr>
      </w:pPr>
      <w:r>
        <w:rPr>
          <w:sz w:val="20"/>
        </w:rPr>
        <w:t>(continued….)</w:t>
      </w:r>
    </w:p>
  </w:footnote>
  <w:footnote w:id="2">
    <w:p w:rsidR="00186D48" w:rsidRPr="00B76E87" w:rsidRDefault="00186D48">
      <w:pPr>
        <w:pStyle w:val="FootnoteText"/>
      </w:pPr>
      <w:r w:rsidRPr="00B76E87">
        <w:rPr>
          <w:rStyle w:val="FootnoteReference"/>
        </w:rPr>
        <w:footnoteRef/>
      </w:r>
      <w:r w:rsidRPr="00B76E87">
        <w:t xml:space="preserve"> </w:t>
      </w:r>
      <w:r w:rsidR="008F5F62" w:rsidRPr="00B76E87">
        <w:t xml:space="preserve">Objection of Global Tel*Link Corporation to Disclosure of Confidential Information, WC Docket No. 12-375, at Attach. (filed Oct. 16, 2015), </w:t>
      </w:r>
      <w:hyperlink r:id="rId1" w:history="1">
        <w:r w:rsidR="00B76E87" w:rsidRPr="008A4722">
          <w:rPr>
            <w:rStyle w:val="Hyperlink"/>
          </w:rPr>
          <w:t>http://apps.fcc.gov/ecfs/comment/view?id=60001304182</w:t>
        </w:r>
      </w:hyperlink>
      <w:r w:rsidR="00B76E87">
        <w:rPr>
          <w:rStyle w:val="Hyperlink"/>
          <w:color w:val="auto"/>
        </w:rPr>
        <w:t xml:space="preserve"> </w:t>
      </w:r>
      <w:r w:rsidR="008F5F62" w:rsidRPr="00B76E87">
        <w:t>(GTL Objection).</w:t>
      </w:r>
    </w:p>
  </w:footnote>
  <w:footnote w:id="3">
    <w:p w:rsidR="00150E56" w:rsidRPr="00B76E87" w:rsidRDefault="00150E56">
      <w:pPr>
        <w:pStyle w:val="FootnoteText"/>
      </w:pPr>
      <w:r w:rsidRPr="00B76E87">
        <w:rPr>
          <w:rStyle w:val="FootnoteReference"/>
        </w:rPr>
        <w:footnoteRef/>
      </w:r>
      <w:r w:rsidRPr="00B76E87">
        <w:t xml:space="preserve"> </w:t>
      </w:r>
      <w:r w:rsidRPr="00B76E87">
        <w:rPr>
          <w:i/>
        </w:rPr>
        <w:t xml:space="preserve">See </w:t>
      </w:r>
      <w:r w:rsidRPr="00B76E87">
        <w:rPr>
          <w:i/>
          <w:snapToGrid w:val="0"/>
        </w:rPr>
        <w:t>Rates for Interstate Inmate Calling Services</w:t>
      </w:r>
      <w:r w:rsidRPr="00B76E87">
        <w:rPr>
          <w:snapToGrid w:val="0"/>
        </w:rPr>
        <w:t>, WC Docket No. 12-375, Report and Order and Further Notice of Proposed Rulemaking, 28 FCC Rcd 14107, 14172, paras. 124-26 (2013) (</w:t>
      </w:r>
      <w:r w:rsidRPr="00B76E87">
        <w:rPr>
          <w:i/>
          <w:snapToGrid w:val="0"/>
        </w:rPr>
        <w:t>2013 ICS Order</w:t>
      </w:r>
      <w:r w:rsidRPr="00B76E87">
        <w:rPr>
          <w:snapToGrid w:val="0"/>
        </w:rPr>
        <w:t xml:space="preserve">), </w:t>
      </w:r>
      <w:r w:rsidRPr="00B76E87">
        <w:rPr>
          <w:i/>
        </w:rPr>
        <w:t>pets. for stay granted in part sub nom. Securus Techs. v. FCC</w:t>
      </w:r>
      <w:r w:rsidRPr="00B76E87">
        <w:t xml:space="preserve">, No. 13-1280 (D.C. Cir. Jan. 13, 2014); </w:t>
      </w:r>
      <w:r w:rsidRPr="00B76E87">
        <w:rPr>
          <w:i/>
        </w:rPr>
        <w:t>pets. for review pending sub nom. Securus Techs. v. FCC</w:t>
      </w:r>
      <w:r w:rsidRPr="00B76E87">
        <w:t xml:space="preserve">, No. 13-1280 (D.C. Cir. filed Nov. 14, 2013) (and consolidated cases) (adopting Mandatory Data Collection).  The following rules are stayed pending resolution of the appeal:  47 C.F.R. §§ 64.6010 (Cost-Based Rates for Inmate Calling Services); 64.6020 (Interim Safe Harbor); and 64.6060 (Annual Reporting and Certification Requirement).  The court did not stay the remaining rules and did not issue a general stay of the </w:t>
      </w:r>
      <w:r w:rsidRPr="00B76E87">
        <w:rPr>
          <w:i/>
        </w:rPr>
        <w:t>2013 ICS Order</w:t>
      </w:r>
      <w:r w:rsidRPr="00B76E87">
        <w:t>.</w:t>
      </w:r>
      <w:r w:rsidRPr="00B76E87">
        <w:rPr>
          <w:b/>
        </w:rPr>
        <w:t xml:space="preserve">  </w:t>
      </w:r>
    </w:p>
  </w:footnote>
  <w:footnote w:id="4">
    <w:p w:rsidR="009B3965" w:rsidRPr="00B76E87" w:rsidRDefault="009B3965" w:rsidP="000B385F">
      <w:pPr>
        <w:pStyle w:val="FootnoteText"/>
      </w:pPr>
      <w:r w:rsidRPr="00B76E87">
        <w:rPr>
          <w:rStyle w:val="FootnoteReference"/>
        </w:rPr>
        <w:footnoteRef/>
      </w:r>
      <w:r w:rsidR="009815A0" w:rsidRPr="00B76E87">
        <w:rPr>
          <w:i/>
        </w:rPr>
        <w:t xml:space="preserve"> </w:t>
      </w:r>
      <w:r w:rsidR="0097185F" w:rsidRPr="00B76E87">
        <w:rPr>
          <w:i/>
        </w:rPr>
        <w:t xml:space="preserve">See </w:t>
      </w:r>
      <w:r w:rsidR="002A70B5" w:rsidRPr="00B76E87">
        <w:rPr>
          <w:i/>
        </w:rPr>
        <w:t>Rates for Interstate Inmate Calling Services</w:t>
      </w:r>
      <w:r w:rsidR="002A70B5" w:rsidRPr="00B76E87">
        <w:t>, WC Docket No. 12-375, Second Report and Order and Third Further Notice of Proposed Rulemaking, FCC 15-136 (</w:t>
      </w:r>
      <w:r w:rsidR="00BC76A9">
        <w:t xml:space="preserve">rel. Nov. 5, </w:t>
      </w:r>
      <w:r w:rsidR="002A70B5" w:rsidRPr="00B76E87">
        <w:t>2015) (</w:t>
      </w:r>
      <w:r w:rsidR="002A70B5" w:rsidRPr="00B76E87">
        <w:rPr>
          <w:i/>
        </w:rPr>
        <w:t>2015 ICS Order</w:t>
      </w:r>
      <w:r w:rsidR="002A70B5" w:rsidRPr="00B76E87">
        <w:t xml:space="preserve">).  </w:t>
      </w:r>
    </w:p>
  </w:footnote>
  <w:footnote w:id="5">
    <w:p w:rsidR="00CD43C0" w:rsidRPr="00B76E87" w:rsidRDefault="00CD43C0" w:rsidP="00CD43C0">
      <w:pPr>
        <w:pStyle w:val="FootnoteText"/>
      </w:pPr>
      <w:r w:rsidRPr="00B76E87">
        <w:rPr>
          <w:rStyle w:val="FootnoteReference"/>
        </w:rPr>
        <w:footnoteRef/>
      </w:r>
      <w:r w:rsidRPr="00B76E87">
        <w:t xml:space="preserve"> </w:t>
      </w:r>
      <w:r w:rsidR="007342E1" w:rsidRPr="00B76E87">
        <w:rPr>
          <w:i/>
        </w:rPr>
        <w:t>2013 ICS Order</w:t>
      </w:r>
      <w:r w:rsidRPr="00B76E87">
        <w:t>, 28 FCC Rcd at 14172, para. 124.</w:t>
      </w:r>
    </w:p>
  </w:footnote>
  <w:footnote w:id="6">
    <w:p w:rsidR="00CD43C0" w:rsidRPr="00B76E87" w:rsidRDefault="00CD43C0" w:rsidP="00CD43C0">
      <w:pPr>
        <w:pStyle w:val="FootnoteText"/>
      </w:pPr>
      <w:r w:rsidRPr="00B76E87">
        <w:rPr>
          <w:rStyle w:val="FootnoteReference"/>
        </w:rPr>
        <w:footnoteRef/>
      </w:r>
      <w:r w:rsidRPr="00B76E87">
        <w:t xml:space="preserve"> </w:t>
      </w:r>
      <w:r w:rsidRPr="00B76E87">
        <w:rPr>
          <w:i/>
        </w:rPr>
        <w:t>Id</w:t>
      </w:r>
      <w:r w:rsidRPr="00B76E87">
        <w:t>. at 14173, para. 126.</w:t>
      </w:r>
    </w:p>
  </w:footnote>
  <w:footnote w:id="7">
    <w:p w:rsidR="00CD43C0" w:rsidRPr="00B76E87" w:rsidRDefault="00CD43C0" w:rsidP="00CD43C0">
      <w:pPr>
        <w:pStyle w:val="FootnoteText"/>
      </w:pPr>
      <w:r w:rsidRPr="00B76E87">
        <w:rPr>
          <w:rStyle w:val="FootnoteReference"/>
        </w:rPr>
        <w:footnoteRef/>
      </w:r>
      <w:r w:rsidRPr="00B76E87">
        <w:t xml:space="preserve"> </w:t>
      </w:r>
      <w:r w:rsidRPr="00B76E87">
        <w:rPr>
          <w:i/>
        </w:rPr>
        <w:t>See Rates for Interstate Inmate Calling Services</w:t>
      </w:r>
      <w:r w:rsidRPr="00B76E87">
        <w:t>, WC Docket No. 12-375, Protective Order</w:t>
      </w:r>
      <w:r w:rsidRPr="00B76E87">
        <w:rPr>
          <w:i/>
        </w:rPr>
        <w:t xml:space="preserve">, </w:t>
      </w:r>
      <w:r w:rsidRPr="00B76E87">
        <w:t>28 FCC Rcd 16954 (Wireline Comp. Bur. 2013) (</w:t>
      </w:r>
      <w:r w:rsidRPr="00B76E87">
        <w:rPr>
          <w:i/>
        </w:rPr>
        <w:t>Protective Order</w:t>
      </w:r>
      <w:r w:rsidRPr="00B76E87">
        <w:t xml:space="preserve">).  Pursuant to the Paperwork Reduction Act, the Commission sought and received Office of Management and Budget approval for the Mandatory Data Collection.  </w:t>
      </w:r>
      <w:r w:rsidRPr="00B76E87">
        <w:rPr>
          <w:i/>
        </w:rPr>
        <w:t>See Commission Announces Inmate Calling Services Data Due Date</w:t>
      </w:r>
      <w:r w:rsidRPr="00B76E87">
        <w:t>, WC Docket No. 12-375, Public Notice, 28 FCC Rcd 7326 (Wireline Comp. Bur. 2014).</w:t>
      </w:r>
    </w:p>
  </w:footnote>
  <w:footnote w:id="8">
    <w:p w:rsidR="00CD43C0" w:rsidRPr="00B76E87" w:rsidRDefault="00CD43C0" w:rsidP="00CD43C0">
      <w:pPr>
        <w:pStyle w:val="FootnoteText"/>
      </w:pPr>
      <w:r w:rsidRPr="00B76E87">
        <w:rPr>
          <w:rStyle w:val="FootnoteReference"/>
        </w:rPr>
        <w:footnoteRef/>
      </w:r>
      <w:r w:rsidRPr="00B76E87">
        <w:t xml:space="preserve"> </w:t>
      </w:r>
      <w:r w:rsidRPr="00B76E87">
        <w:rPr>
          <w:i/>
        </w:rPr>
        <w:t>See Protective Order</w:t>
      </w:r>
      <w:r w:rsidRPr="00B76E87">
        <w:t>, 28 FCC Rcd at 16954, para. 1.</w:t>
      </w:r>
    </w:p>
  </w:footnote>
  <w:footnote w:id="9">
    <w:p w:rsidR="00CD43C0" w:rsidRPr="00B76E87" w:rsidRDefault="00CD43C0" w:rsidP="00CD43C0">
      <w:pPr>
        <w:pStyle w:val="FootnoteText"/>
      </w:pPr>
      <w:r w:rsidRPr="00B76E87">
        <w:rPr>
          <w:rStyle w:val="FootnoteReference"/>
        </w:rPr>
        <w:footnoteRef/>
      </w:r>
      <w:r w:rsidRPr="00B76E87">
        <w:t xml:space="preserve"> </w:t>
      </w:r>
      <w:r w:rsidRPr="00B76E87">
        <w:rPr>
          <w:i/>
        </w:rPr>
        <w:t>See id</w:t>
      </w:r>
      <w:r w:rsidRPr="00B76E87">
        <w:t>. at App</w:t>
      </w:r>
      <w:r w:rsidR="00BC76A9">
        <w:t>x</w:t>
      </w:r>
      <w:r w:rsidRPr="00B76E87">
        <w:t>. A.</w:t>
      </w:r>
    </w:p>
  </w:footnote>
  <w:footnote w:id="10">
    <w:p w:rsidR="00CD43C0" w:rsidRPr="00B76E87" w:rsidRDefault="00CD43C0" w:rsidP="00CD43C0">
      <w:pPr>
        <w:pStyle w:val="FootnoteText"/>
      </w:pPr>
      <w:r w:rsidRPr="00B76E87">
        <w:rPr>
          <w:rStyle w:val="FootnoteReference"/>
        </w:rPr>
        <w:footnoteRef/>
      </w:r>
      <w:r w:rsidRPr="00B76E87">
        <w:t xml:space="preserve"> </w:t>
      </w:r>
      <w:r w:rsidRPr="00B76E87">
        <w:rPr>
          <w:i/>
        </w:rPr>
        <w:t>Id</w:t>
      </w:r>
      <w:r w:rsidRPr="00B76E87">
        <w:t>. at 16954-55, para. 2 (“‘Competitive Decision-Making’ means a person’s activities, association, or relationship with any of its clients involving advice about or participation in the relevant business decisions or the analysis underlying the relevant business decisions of the client in competition with or in a business relationship with the Submitting Party.”).</w:t>
      </w:r>
    </w:p>
  </w:footnote>
  <w:footnote w:id="11">
    <w:p w:rsidR="00FE6756" w:rsidRPr="00B76E87" w:rsidRDefault="00FE6756">
      <w:pPr>
        <w:pStyle w:val="FootnoteText"/>
      </w:pPr>
      <w:r w:rsidRPr="00B76E87">
        <w:rPr>
          <w:rStyle w:val="FootnoteReference"/>
        </w:rPr>
        <w:footnoteRef/>
      </w:r>
      <w:r w:rsidRPr="00B76E87">
        <w:t xml:space="preserve"> </w:t>
      </w:r>
      <w:r w:rsidRPr="00B76E87">
        <w:rPr>
          <w:i/>
        </w:rPr>
        <w:t>Id</w:t>
      </w:r>
      <w:r w:rsidRPr="00B76E87">
        <w:t xml:space="preserve">. </w:t>
      </w:r>
    </w:p>
  </w:footnote>
  <w:footnote w:id="12">
    <w:p w:rsidR="004A3680" w:rsidRPr="00B76E87" w:rsidRDefault="004A3680">
      <w:pPr>
        <w:pStyle w:val="FootnoteText"/>
      </w:pPr>
      <w:r w:rsidRPr="00B76E87">
        <w:rPr>
          <w:rStyle w:val="FootnoteReference"/>
        </w:rPr>
        <w:footnoteRef/>
      </w:r>
      <w:r w:rsidRPr="00B76E87">
        <w:t xml:space="preserve"> </w:t>
      </w:r>
      <w:r w:rsidRPr="00B76E87">
        <w:rPr>
          <w:i/>
        </w:rPr>
        <w:t>Id</w:t>
      </w:r>
      <w:r w:rsidRPr="00B76E87">
        <w:t xml:space="preserve">. </w:t>
      </w:r>
      <w:r w:rsidR="007B7A80" w:rsidRPr="00B76E87">
        <w:t xml:space="preserve"> </w:t>
      </w:r>
      <w:r w:rsidR="003A1D14" w:rsidRPr="00B76E87">
        <w:t xml:space="preserve">Absent an objection, individuals </w:t>
      </w:r>
      <w:r w:rsidR="003425FC" w:rsidRPr="00B76E87">
        <w:t xml:space="preserve">that have filed Acknowledgments </w:t>
      </w:r>
      <w:r w:rsidR="003A1D14" w:rsidRPr="00B76E87">
        <w:t xml:space="preserve">may review confidential information </w:t>
      </w:r>
      <w:r w:rsidR="003425FC" w:rsidRPr="00B76E87">
        <w:t xml:space="preserve">once the period for filing an objection has expired.  </w:t>
      </w:r>
    </w:p>
  </w:footnote>
  <w:footnote w:id="13">
    <w:p w:rsidR="00CD43C0" w:rsidRPr="00B76E87" w:rsidRDefault="00CD43C0" w:rsidP="00CD43C0">
      <w:pPr>
        <w:pStyle w:val="FootnoteText"/>
      </w:pPr>
      <w:r w:rsidRPr="00B76E87">
        <w:rPr>
          <w:rStyle w:val="FootnoteReference"/>
        </w:rPr>
        <w:footnoteRef/>
      </w:r>
      <w:r w:rsidRPr="00B76E87">
        <w:t xml:space="preserve"> Letter from Chérie R. Kiser, Counsel </w:t>
      </w:r>
      <w:r w:rsidR="00406445">
        <w:t>to GTL,</w:t>
      </w:r>
      <w:r w:rsidRPr="00B76E87">
        <w:t xml:space="preserve"> to Marlene H. Dortch, Secretary, FCC, WC Docket No. 12-375 (filed Aug. 22, 2014)</w:t>
      </w:r>
      <w:r w:rsidR="00332BCA">
        <w:t>.</w:t>
      </w:r>
    </w:p>
  </w:footnote>
  <w:footnote w:id="14">
    <w:p w:rsidR="00CD43C0" w:rsidRPr="00B76E87" w:rsidRDefault="00CD43C0" w:rsidP="00CD43C0">
      <w:pPr>
        <w:pStyle w:val="FootnoteText"/>
      </w:pPr>
      <w:r w:rsidRPr="00B76E87">
        <w:rPr>
          <w:rStyle w:val="FootnoteReference"/>
        </w:rPr>
        <w:footnoteRef/>
      </w:r>
      <w:r w:rsidRPr="00B76E87">
        <w:t xml:space="preserve"> Letter from Chérie R. Kiser, Counsel </w:t>
      </w:r>
      <w:r w:rsidR="00406445">
        <w:t>to GTL,</w:t>
      </w:r>
      <w:r w:rsidRPr="00B76E87">
        <w:t xml:space="preserve"> to Marlene H. Dortch, Secretary, FCC, WC Docket No. 12-375 (filed Sept. 29, 2014).</w:t>
      </w:r>
    </w:p>
  </w:footnote>
  <w:footnote w:id="15">
    <w:p w:rsidR="008F3456" w:rsidRPr="00B76E87" w:rsidRDefault="008F3456">
      <w:pPr>
        <w:pStyle w:val="FootnoteText"/>
      </w:pPr>
      <w:r w:rsidRPr="00B76E87">
        <w:rPr>
          <w:rStyle w:val="FootnoteReference"/>
        </w:rPr>
        <w:footnoteRef/>
      </w:r>
      <w:r w:rsidRPr="00B76E87">
        <w:t xml:space="preserve"> </w:t>
      </w:r>
      <w:r w:rsidR="008F5F62" w:rsidRPr="00B76E87">
        <w:t>GTL Objection</w:t>
      </w:r>
      <w:r w:rsidR="00B002C4" w:rsidRPr="00B76E87">
        <w:t xml:space="preserve"> at Attach. </w:t>
      </w:r>
    </w:p>
  </w:footnote>
  <w:footnote w:id="16">
    <w:p w:rsidR="0072010A" w:rsidRPr="00B76E87" w:rsidRDefault="0072010A">
      <w:pPr>
        <w:pStyle w:val="FootnoteText"/>
      </w:pPr>
      <w:r w:rsidRPr="00B76E87">
        <w:rPr>
          <w:rStyle w:val="FootnoteReference"/>
        </w:rPr>
        <w:footnoteRef/>
      </w:r>
      <w:r w:rsidRPr="00B76E87">
        <w:t xml:space="preserve"> </w:t>
      </w:r>
      <w:r w:rsidR="00B002C4" w:rsidRPr="00B76E87">
        <w:rPr>
          <w:i/>
        </w:rPr>
        <w:t xml:space="preserve">Id. </w:t>
      </w:r>
      <w:r w:rsidR="00B002C4" w:rsidRPr="00B76E87">
        <w:t xml:space="preserve">at 2. </w:t>
      </w:r>
    </w:p>
  </w:footnote>
  <w:footnote w:id="17">
    <w:p w:rsidR="00950451" w:rsidRPr="00B76E87" w:rsidRDefault="00950451">
      <w:pPr>
        <w:pStyle w:val="FootnoteText"/>
      </w:pPr>
      <w:r w:rsidRPr="00B76E87">
        <w:rPr>
          <w:rStyle w:val="FootnoteReference"/>
        </w:rPr>
        <w:footnoteRef/>
      </w:r>
      <w:r w:rsidRPr="00B76E87">
        <w:t xml:space="preserve"> </w:t>
      </w:r>
      <w:r w:rsidRPr="00B76E87">
        <w:rPr>
          <w:i/>
        </w:rPr>
        <w:t>Id</w:t>
      </w:r>
      <w:r w:rsidRPr="00B76E87">
        <w:t xml:space="preserve">. at 4. </w:t>
      </w:r>
    </w:p>
  </w:footnote>
  <w:footnote w:id="18">
    <w:p w:rsidR="00520DF6" w:rsidRPr="00B76E87" w:rsidRDefault="00520DF6">
      <w:pPr>
        <w:pStyle w:val="FootnoteText"/>
      </w:pPr>
      <w:r w:rsidRPr="00B76E87">
        <w:rPr>
          <w:rStyle w:val="FootnoteReference"/>
        </w:rPr>
        <w:footnoteRef/>
      </w:r>
      <w:r w:rsidRPr="00B76E87">
        <w:t xml:space="preserve"> Response of CenturyLink, Inc. to Global Tel*Link Corporation Objection to Disclosure of Confidential Information, WC Docket No. 12-375 </w:t>
      </w:r>
      <w:r w:rsidR="00E17E88" w:rsidRPr="00B76E87">
        <w:t xml:space="preserve">at 2 </w:t>
      </w:r>
      <w:r w:rsidRPr="00B76E87">
        <w:t>(filed Nov</w:t>
      </w:r>
      <w:r w:rsidR="00364467" w:rsidRPr="00B76E87">
        <w:t>.</w:t>
      </w:r>
      <w:r w:rsidR="00E17E88" w:rsidRPr="00B76E87">
        <w:t xml:space="preserve"> 24, 2015)</w:t>
      </w:r>
      <w:r w:rsidRPr="00B76E87">
        <w:t xml:space="preserve"> </w:t>
      </w:r>
      <w:hyperlink r:id="rId2" w:history="1">
        <w:r w:rsidR="00B76E87" w:rsidRPr="008A4722">
          <w:rPr>
            <w:rStyle w:val="Hyperlink"/>
          </w:rPr>
          <w:t>http://apps.fcc.gov/ecfs/comment/view?id=60001316561</w:t>
        </w:r>
      </w:hyperlink>
      <w:r w:rsidR="00B76E87">
        <w:t xml:space="preserve"> </w:t>
      </w:r>
      <w:r w:rsidR="00116546" w:rsidRPr="00B76E87">
        <w:t>(CenturyLink Response)</w:t>
      </w:r>
      <w:r w:rsidRPr="00B76E87">
        <w:t xml:space="preserve">. </w:t>
      </w:r>
      <w:r w:rsidR="00142CBB" w:rsidRPr="00B76E87">
        <w:t xml:space="preserve"> On </w:t>
      </w:r>
      <w:r w:rsidR="00990103">
        <w:t>November 5</w:t>
      </w:r>
      <w:r w:rsidR="00142CBB" w:rsidRPr="00B76E87">
        <w:t xml:space="preserve">, 2015, the Commission released an Order in the </w:t>
      </w:r>
      <w:r w:rsidR="005E5666" w:rsidRPr="00B76E87">
        <w:t>ICS</w:t>
      </w:r>
      <w:r w:rsidR="00142CBB" w:rsidRPr="00B76E87">
        <w:t xml:space="preserve"> proceeding.  </w:t>
      </w:r>
      <w:r w:rsidR="00E17E88" w:rsidRPr="00B76E87">
        <w:rPr>
          <w:i/>
        </w:rPr>
        <w:t xml:space="preserve">See generally </w:t>
      </w:r>
      <w:r w:rsidR="002A70B5" w:rsidRPr="00B76E87">
        <w:rPr>
          <w:i/>
        </w:rPr>
        <w:t>2015 ICS Order</w:t>
      </w:r>
      <w:r w:rsidR="00142CBB" w:rsidRPr="00B76E87">
        <w:t xml:space="preserve">.  CenturyLink </w:t>
      </w:r>
      <w:r w:rsidR="00602F72" w:rsidRPr="00B76E87">
        <w:t>explains</w:t>
      </w:r>
      <w:r w:rsidR="000C42CC" w:rsidRPr="00B76E87">
        <w:t xml:space="preserve"> that </w:t>
      </w:r>
      <w:r w:rsidR="00142CBB" w:rsidRPr="00B76E87">
        <w:t xml:space="preserve">its outside counsel must have </w:t>
      </w:r>
      <w:r w:rsidR="000C42CC" w:rsidRPr="00B76E87">
        <w:t xml:space="preserve">access to the confidential information </w:t>
      </w:r>
      <w:r w:rsidR="00142CBB" w:rsidRPr="00B76E87">
        <w:t xml:space="preserve">in order </w:t>
      </w:r>
      <w:r w:rsidR="000C42CC" w:rsidRPr="00B76E87">
        <w:t xml:space="preserve">to evaluate a </w:t>
      </w:r>
      <w:r w:rsidR="00107437" w:rsidRPr="00B76E87">
        <w:t xml:space="preserve">potential </w:t>
      </w:r>
      <w:r w:rsidR="000C42CC" w:rsidRPr="00B76E87">
        <w:t>petition for judicial review</w:t>
      </w:r>
      <w:r w:rsidR="00EC366C" w:rsidRPr="00B76E87">
        <w:t xml:space="preserve"> of the </w:t>
      </w:r>
      <w:r w:rsidR="00EC366C" w:rsidRPr="00B76E87">
        <w:rPr>
          <w:i/>
        </w:rPr>
        <w:t>2015 ICS Order</w:t>
      </w:r>
      <w:r w:rsidR="00EC366C" w:rsidRPr="00B76E87">
        <w:t>, which</w:t>
      </w:r>
      <w:r w:rsidR="00EC366C" w:rsidRPr="00B76E87">
        <w:rPr>
          <w:i/>
        </w:rPr>
        <w:t xml:space="preserve"> </w:t>
      </w:r>
      <w:r w:rsidR="00EC366C" w:rsidRPr="00B76E87">
        <w:t>contains</w:t>
      </w:r>
      <w:r w:rsidR="005E5666" w:rsidRPr="00B76E87">
        <w:t xml:space="preserve"> – </w:t>
      </w:r>
      <w:r w:rsidR="00EC366C" w:rsidRPr="00B76E87">
        <w:t>and is based on</w:t>
      </w:r>
      <w:r w:rsidR="005E5666" w:rsidRPr="00B76E87">
        <w:t xml:space="preserve"> – </w:t>
      </w:r>
      <w:r w:rsidR="00EC366C" w:rsidRPr="00B76E87">
        <w:t>confidential information that has been redacted from the public version of the order</w:t>
      </w:r>
      <w:r w:rsidR="000C42CC" w:rsidRPr="00B76E87">
        <w:t>.</w:t>
      </w:r>
      <w:r w:rsidR="00364467" w:rsidRPr="00B76E87">
        <w:t xml:space="preserve"> </w:t>
      </w:r>
      <w:r w:rsidR="000C42CC" w:rsidRPr="00B76E87">
        <w:t xml:space="preserve"> </w:t>
      </w:r>
      <w:r w:rsidR="00364467" w:rsidRPr="00B76E87">
        <w:t>CenturyLink Response</w:t>
      </w:r>
      <w:r w:rsidR="000C42CC" w:rsidRPr="00B76E87">
        <w:t xml:space="preserve"> at 4. </w:t>
      </w:r>
    </w:p>
  </w:footnote>
  <w:footnote w:id="19">
    <w:p w:rsidR="00974989" w:rsidRPr="00B76E87" w:rsidRDefault="00974989">
      <w:pPr>
        <w:pStyle w:val="FootnoteText"/>
      </w:pPr>
      <w:r w:rsidRPr="00B76E87">
        <w:rPr>
          <w:rStyle w:val="FootnoteReference"/>
        </w:rPr>
        <w:footnoteRef/>
      </w:r>
      <w:r w:rsidRPr="00B76E87">
        <w:t xml:space="preserve"> GTL Objection at 5.  </w:t>
      </w:r>
    </w:p>
  </w:footnote>
  <w:footnote w:id="20">
    <w:p w:rsidR="00974989" w:rsidRPr="00B76E87" w:rsidRDefault="00974989">
      <w:pPr>
        <w:pStyle w:val="FootnoteText"/>
      </w:pPr>
      <w:r w:rsidRPr="00B76E87">
        <w:rPr>
          <w:rStyle w:val="FootnoteReference"/>
        </w:rPr>
        <w:footnoteRef/>
      </w:r>
      <w:r w:rsidRPr="00B76E87">
        <w:t xml:space="preserve"> </w:t>
      </w:r>
      <w:r w:rsidR="0004463F">
        <w:rPr>
          <w:i/>
        </w:rPr>
        <w:t xml:space="preserve">Id. </w:t>
      </w:r>
      <w:r w:rsidRPr="00B76E87">
        <w:t>at 6.</w:t>
      </w:r>
    </w:p>
  </w:footnote>
  <w:footnote w:id="21">
    <w:p w:rsidR="00974989" w:rsidRPr="00B76E87" w:rsidRDefault="00974989">
      <w:pPr>
        <w:pStyle w:val="FootnoteText"/>
      </w:pPr>
      <w:r w:rsidRPr="00B76E87">
        <w:rPr>
          <w:rStyle w:val="FootnoteReference"/>
        </w:rPr>
        <w:footnoteRef/>
      </w:r>
      <w:r w:rsidRPr="00B76E87">
        <w:t xml:space="preserve"> </w:t>
      </w:r>
      <w:r w:rsidR="0004463F">
        <w:rPr>
          <w:i/>
        </w:rPr>
        <w:t xml:space="preserve">Id. </w:t>
      </w:r>
      <w:r w:rsidRPr="00B76E87">
        <w:t>at 6.</w:t>
      </w:r>
      <w:r w:rsidR="000D72BB" w:rsidRPr="00B76E87">
        <w:t xml:space="preserve">  In the prior ICS proceeding, GTL and six other ICS providers agreed among themselves to provide information to Don Wood, an industry consultant, who in 2008 prepared a joint report on behalf of the seven ICS providers</w:t>
      </w:r>
      <w:r w:rsidR="0004463F">
        <w:t>,</w:t>
      </w:r>
      <w:r w:rsidR="000D72BB" w:rsidRPr="00B76E87">
        <w:t xml:space="preserve"> which was then filed with the Commission.  </w:t>
      </w:r>
      <w:r w:rsidR="000D72BB" w:rsidRPr="00B76E87">
        <w:rPr>
          <w:i/>
        </w:rPr>
        <w:t xml:space="preserve">See </w:t>
      </w:r>
      <w:r w:rsidR="00E17E88" w:rsidRPr="00B76E87">
        <w:rPr>
          <w:i/>
        </w:rPr>
        <w:t>2013 ICS Order</w:t>
      </w:r>
      <w:r w:rsidR="000D72BB" w:rsidRPr="00B76E87">
        <w:t xml:space="preserve">, 28 FCC Rcd at 14112, </w:t>
      </w:r>
      <w:r w:rsidR="0004463F">
        <w:t xml:space="preserve">para. </w:t>
      </w:r>
      <w:r w:rsidR="00F15032">
        <w:t xml:space="preserve">9 </w:t>
      </w:r>
      <w:r w:rsidR="000D72BB" w:rsidRPr="00B76E87">
        <w:t xml:space="preserve">n.30.  </w:t>
      </w:r>
    </w:p>
  </w:footnote>
  <w:footnote w:id="22">
    <w:p w:rsidR="007C26EC" w:rsidRPr="00B76E87" w:rsidRDefault="007C26EC" w:rsidP="007C26EC">
      <w:pPr>
        <w:pStyle w:val="FootnoteText"/>
      </w:pPr>
      <w:r w:rsidRPr="00B76E87">
        <w:rPr>
          <w:rStyle w:val="FootnoteReference"/>
        </w:rPr>
        <w:footnoteRef/>
      </w:r>
      <w:r w:rsidRPr="00B76E87">
        <w:t xml:space="preserve"> </w:t>
      </w:r>
      <w:r w:rsidR="00B32FA4" w:rsidRPr="00B76E87">
        <w:t>CenturyLink Response</w:t>
      </w:r>
      <w:r w:rsidR="000B385F" w:rsidRPr="00B76E87">
        <w:t xml:space="preserve"> </w:t>
      </w:r>
      <w:r w:rsidR="00341CD8" w:rsidRPr="00B76E87">
        <w:t>at 2-3.</w:t>
      </w:r>
    </w:p>
  </w:footnote>
  <w:footnote w:id="23">
    <w:p w:rsidR="001D186F" w:rsidRPr="00B76E87" w:rsidRDefault="001D186F" w:rsidP="001D186F">
      <w:pPr>
        <w:pStyle w:val="FootnoteText"/>
      </w:pPr>
      <w:r w:rsidRPr="00B76E87">
        <w:rPr>
          <w:rStyle w:val="FootnoteReference"/>
        </w:rPr>
        <w:footnoteRef/>
      </w:r>
      <w:r w:rsidR="001103FC" w:rsidRPr="00B76E87">
        <w:rPr>
          <w:i/>
        </w:rPr>
        <w:t xml:space="preserve"> </w:t>
      </w:r>
      <w:r w:rsidR="00615471" w:rsidRPr="00B76E87">
        <w:rPr>
          <w:i/>
        </w:rPr>
        <w:t xml:space="preserve">See </w:t>
      </w:r>
      <w:r w:rsidR="0004463F">
        <w:rPr>
          <w:i/>
        </w:rPr>
        <w:t>id</w:t>
      </w:r>
      <w:r w:rsidR="00615471" w:rsidRPr="00B76E87">
        <w:t xml:space="preserve">. </w:t>
      </w:r>
    </w:p>
  </w:footnote>
  <w:footnote w:id="24">
    <w:p w:rsidR="001E7B68" w:rsidRPr="00B76E87" w:rsidRDefault="001E7B68" w:rsidP="00B76E87">
      <w:pPr>
        <w:spacing w:after="120"/>
        <w:rPr>
          <w:snapToGrid/>
          <w:kern w:val="0"/>
          <w:sz w:val="20"/>
        </w:rPr>
      </w:pPr>
      <w:r w:rsidRPr="00B76E87">
        <w:rPr>
          <w:rStyle w:val="FootnoteReference"/>
        </w:rPr>
        <w:footnoteRef/>
      </w:r>
      <w:r w:rsidRPr="00B76E87">
        <w:t xml:space="preserve"> </w:t>
      </w:r>
      <w:r w:rsidR="005D7816" w:rsidRPr="00B76E87">
        <w:rPr>
          <w:i/>
          <w:iCs/>
          <w:sz w:val="20"/>
        </w:rPr>
        <w:t xml:space="preserve">See Applications of Charter Communications, Inc., Time Warner Cable Inc. and Advance/Newhouse Partnership for Consent to Assign or Transfer Control of Licenses and Authorizations, </w:t>
      </w:r>
      <w:r w:rsidR="005D7816" w:rsidRPr="00B76E87">
        <w:rPr>
          <w:sz w:val="20"/>
        </w:rPr>
        <w:t>MB Docket Nos. 15-149, Order, 30 FCC Rcd 10360, 10375, para. 27 (2015)</w:t>
      </w:r>
      <w:r w:rsidR="00F15032">
        <w:rPr>
          <w:sz w:val="20"/>
        </w:rPr>
        <w:t xml:space="preserve"> (</w:t>
      </w:r>
      <w:r w:rsidR="00F15032">
        <w:rPr>
          <w:i/>
          <w:sz w:val="20"/>
        </w:rPr>
        <w:t>Charter Protective Order</w:t>
      </w:r>
      <w:r w:rsidR="00F15032">
        <w:rPr>
          <w:sz w:val="20"/>
        </w:rPr>
        <w:t>)</w:t>
      </w:r>
      <w:r w:rsidR="005D7816" w:rsidRPr="00B76E87">
        <w:rPr>
          <w:i/>
          <w:iCs/>
          <w:sz w:val="20"/>
        </w:rPr>
        <w:t>; Applications of Comcast Corp. and Time Warner Cable Inc. for Consent to Assign or Transfer Control of Licenses and Authorizations</w:t>
      </w:r>
      <w:r w:rsidR="0068222F">
        <w:rPr>
          <w:i/>
          <w:iCs/>
          <w:sz w:val="20"/>
        </w:rPr>
        <w:t>,</w:t>
      </w:r>
      <w:r w:rsidR="005D7816" w:rsidRPr="00B76E87">
        <w:rPr>
          <w:i/>
          <w:iCs/>
          <w:sz w:val="20"/>
        </w:rPr>
        <w:t xml:space="preserve"> and AT&amp;T, Inc. and DIRECTV for Consent to Assign or Transfer Control of Licenses and Authorizations, </w:t>
      </w:r>
      <w:r w:rsidR="005D7816" w:rsidRPr="00B76E87">
        <w:rPr>
          <w:sz w:val="20"/>
        </w:rPr>
        <w:t>MB Docket Nos. 14-57</w:t>
      </w:r>
      <w:r w:rsidR="0068222F">
        <w:rPr>
          <w:sz w:val="20"/>
        </w:rPr>
        <w:t xml:space="preserve"> and</w:t>
      </w:r>
      <w:r w:rsidR="005D7816" w:rsidRPr="00B76E87">
        <w:rPr>
          <w:sz w:val="20"/>
        </w:rPr>
        <w:t xml:space="preserve"> 14-90, Order, 29 FCC Rcd 13639, 13642, para. 9 (MB 2014).</w:t>
      </w:r>
    </w:p>
  </w:footnote>
  <w:footnote w:id="25">
    <w:p w:rsidR="00925B23" w:rsidRPr="00B76E87" w:rsidRDefault="00925B23" w:rsidP="00925B23">
      <w:pPr>
        <w:pStyle w:val="FootnoteText"/>
      </w:pPr>
      <w:r w:rsidRPr="00B76E87">
        <w:rPr>
          <w:rStyle w:val="FootnoteReference"/>
        </w:rPr>
        <w:footnoteRef/>
      </w:r>
      <w:r w:rsidRPr="00B76E87">
        <w:t xml:space="preserve"> </w:t>
      </w:r>
      <w:r w:rsidRPr="00B76E87">
        <w:rPr>
          <w:i/>
        </w:rPr>
        <w:t>See</w:t>
      </w:r>
      <w:r w:rsidRPr="00B76E87">
        <w:t xml:space="preserve"> 47 C.F.R. § 1.429(d) (Requiring that petitions for reconsideration be filed within 30 days from the date of public notice of the relevant order).</w:t>
      </w:r>
    </w:p>
  </w:footnote>
  <w:footnote w:id="26">
    <w:p w:rsidR="00275CB6" w:rsidRPr="00B76E87" w:rsidRDefault="00275CB6">
      <w:pPr>
        <w:pStyle w:val="FootnoteText"/>
      </w:pPr>
      <w:r w:rsidRPr="00B76E87">
        <w:rPr>
          <w:rStyle w:val="FootnoteReference"/>
        </w:rPr>
        <w:footnoteRef/>
      </w:r>
      <w:r w:rsidRPr="00B76E87">
        <w:t xml:space="preserve"> </w:t>
      </w:r>
      <w:r w:rsidRPr="00B76E87">
        <w:rPr>
          <w:i/>
        </w:rPr>
        <w:t>See</w:t>
      </w:r>
      <w:r w:rsidRPr="00B76E87">
        <w:t xml:space="preserve"> GTL Objection at 6.</w:t>
      </w:r>
    </w:p>
  </w:footnote>
  <w:footnote w:id="27">
    <w:p w:rsidR="005E0A8C" w:rsidRPr="00B76E87" w:rsidRDefault="005E0A8C" w:rsidP="005E0A8C">
      <w:pPr>
        <w:pStyle w:val="FootnoteText"/>
        <w:rPr>
          <w:i/>
        </w:rPr>
      </w:pPr>
      <w:r w:rsidRPr="00B76E87">
        <w:rPr>
          <w:rStyle w:val="FootnoteReference"/>
        </w:rPr>
        <w:footnoteRef/>
      </w:r>
      <w:r w:rsidRPr="00B76E87">
        <w:t xml:space="preserve"> </w:t>
      </w:r>
      <w:r w:rsidRPr="00B76E87">
        <w:rPr>
          <w:i/>
        </w:rPr>
        <w:t xml:space="preserve">See </w:t>
      </w:r>
      <w:r w:rsidR="00F15032">
        <w:rPr>
          <w:i/>
        </w:rPr>
        <w:t>Charter Protective Order</w:t>
      </w:r>
      <w:r w:rsidRPr="00B76E87">
        <w:rPr>
          <w:i/>
        </w:rPr>
        <w:t xml:space="preserve">, </w:t>
      </w:r>
      <w:r w:rsidRPr="00B76E87">
        <w:t xml:space="preserve">30 FCC Rcd </w:t>
      </w:r>
      <w:r w:rsidR="00F15032">
        <w:t>at</w:t>
      </w:r>
      <w:r w:rsidRPr="00B76E87">
        <w:t xml:space="preserve"> 10365-72, paras. 12-22. </w:t>
      </w:r>
    </w:p>
  </w:footnote>
  <w:footnote w:id="28">
    <w:p w:rsidR="004F4019" w:rsidRPr="00B76E87" w:rsidRDefault="004F4019">
      <w:pPr>
        <w:pStyle w:val="FootnoteText"/>
        <w:rPr>
          <w:i/>
        </w:rPr>
      </w:pPr>
      <w:r w:rsidRPr="00B76E87">
        <w:rPr>
          <w:rStyle w:val="FootnoteReference"/>
        </w:rPr>
        <w:footnoteRef/>
      </w:r>
      <w:r w:rsidR="00E17E88" w:rsidRPr="00B76E87">
        <w:rPr>
          <w:i/>
        </w:rPr>
        <w:t xml:space="preserve"> </w:t>
      </w:r>
      <w:r w:rsidR="00AA6E71" w:rsidRPr="00B76E87">
        <w:rPr>
          <w:i/>
        </w:rPr>
        <w:t>Id</w:t>
      </w:r>
      <w:r w:rsidR="005E0A8C" w:rsidRPr="00B76E8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72" w:rsidRDefault="00243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57936">
      <w:rPr>
        <w:spacing w:val="-2"/>
      </w:rPr>
      <w:t>DA 15-</w:t>
    </w:r>
    <w:r w:rsidR="00851F36">
      <w:rPr>
        <w:spacing w:val="-2"/>
      </w:rPr>
      <w:t>1475</w:t>
    </w:r>
    <w:r w:rsidR="00A57936">
      <w:rPr>
        <w:spacing w:val="-2"/>
      </w:rPr>
      <w:t xml:space="preserve"> </w:t>
    </w:r>
  </w:p>
  <w:p w:rsidR="00D25FB5" w:rsidRDefault="00542CF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9AF389" wp14:editId="207DA38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217F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42CF5" w:rsidP="00810B6F">
    <w:pPr>
      <w:pStyle w:val="Header"/>
      <w:rPr>
        <w:spacing w:val="-2"/>
      </w:rPr>
    </w:pPr>
    <w:r>
      <w:rPr>
        <w:noProof/>
      </w:rPr>
      <mc:AlternateContent>
        <mc:Choice Requires="wps">
          <w:drawing>
            <wp:anchor distT="0" distB="0" distL="114300" distR="114300" simplePos="0" relativeHeight="251658240" behindDoc="1" locked="0" layoutInCell="0" allowOverlap="1" wp14:anchorId="0EF6C324" wp14:editId="2BA8FAC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D05D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A29A4">
      <w:rPr>
        <w:spacing w:val="-2"/>
      </w:rPr>
      <w:t>DA</w:t>
    </w:r>
    <w:r w:rsidR="00A57936">
      <w:rPr>
        <w:spacing w:val="-2"/>
      </w:rPr>
      <w:t xml:space="preserve"> 15</w:t>
    </w:r>
    <w:r w:rsidR="004A29A4">
      <w:rPr>
        <w:spacing w:val="-2"/>
      </w:rPr>
      <w:t>-</w:t>
    </w:r>
    <w:r w:rsidR="00851F36">
      <w:rPr>
        <w:spacing w:val="-2"/>
      </w:rPr>
      <w:t>1475</w:t>
    </w:r>
  </w:p>
  <w:p w:rsidR="00B76E87" w:rsidRDefault="00B76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8F26C9C"/>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4"/>
    <w:rsid w:val="00001922"/>
    <w:rsid w:val="0001303D"/>
    <w:rsid w:val="00021699"/>
    <w:rsid w:val="000257D6"/>
    <w:rsid w:val="00031DA4"/>
    <w:rsid w:val="00036039"/>
    <w:rsid w:val="00037F90"/>
    <w:rsid w:val="0004463F"/>
    <w:rsid w:val="00052381"/>
    <w:rsid w:val="000604DD"/>
    <w:rsid w:val="00065107"/>
    <w:rsid w:val="0007071C"/>
    <w:rsid w:val="000710D4"/>
    <w:rsid w:val="00083144"/>
    <w:rsid w:val="00083674"/>
    <w:rsid w:val="00083E45"/>
    <w:rsid w:val="000875BF"/>
    <w:rsid w:val="00096D8C"/>
    <w:rsid w:val="000A2ED0"/>
    <w:rsid w:val="000A6794"/>
    <w:rsid w:val="000A7DF5"/>
    <w:rsid w:val="000B2280"/>
    <w:rsid w:val="000B385F"/>
    <w:rsid w:val="000C0B65"/>
    <w:rsid w:val="000C42CC"/>
    <w:rsid w:val="000D32BB"/>
    <w:rsid w:val="000D72BB"/>
    <w:rsid w:val="000E05FE"/>
    <w:rsid w:val="000E3D42"/>
    <w:rsid w:val="000F68E9"/>
    <w:rsid w:val="0010145D"/>
    <w:rsid w:val="0010435E"/>
    <w:rsid w:val="00107437"/>
    <w:rsid w:val="001103FC"/>
    <w:rsid w:val="00116546"/>
    <w:rsid w:val="00122BD5"/>
    <w:rsid w:val="001261C1"/>
    <w:rsid w:val="0013016A"/>
    <w:rsid w:val="00130B87"/>
    <w:rsid w:val="00133F79"/>
    <w:rsid w:val="00137CDA"/>
    <w:rsid w:val="00142CBB"/>
    <w:rsid w:val="001461EA"/>
    <w:rsid w:val="00150E56"/>
    <w:rsid w:val="00151312"/>
    <w:rsid w:val="001543FB"/>
    <w:rsid w:val="001551A4"/>
    <w:rsid w:val="00165F16"/>
    <w:rsid w:val="0017011C"/>
    <w:rsid w:val="001726C7"/>
    <w:rsid w:val="00185482"/>
    <w:rsid w:val="00186D48"/>
    <w:rsid w:val="00194A66"/>
    <w:rsid w:val="001A59FA"/>
    <w:rsid w:val="001B7B10"/>
    <w:rsid w:val="001D186F"/>
    <w:rsid w:val="001D6BCF"/>
    <w:rsid w:val="001E01CA"/>
    <w:rsid w:val="001E3FAE"/>
    <w:rsid w:val="001E7B68"/>
    <w:rsid w:val="001F1F11"/>
    <w:rsid w:val="001F2906"/>
    <w:rsid w:val="00214527"/>
    <w:rsid w:val="002231CB"/>
    <w:rsid w:val="00242067"/>
    <w:rsid w:val="00243872"/>
    <w:rsid w:val="00244BFE"/>
    <w:rsid w:val="002468C7"/>
    <w:rsid w:val="002566F9"/>
    <w:rsid w:val="00271D2E"/>
    <w:rsid w:val="00275CB6"/>
    <w:rsid w:val="00275CF5"/>
    <w:rsid w:val="0028301F"/>
    <w:rsid w:val="00285017"/>
    <w:rsid w:val="00286068"/>
    <w:rsid w:val="00287F73"/>
    <w:rsid w:val="00290E45"/>
    <w:rsid w:val="002A2D2E"/>
    <w:rsid w:val="002A70B5"/>
    <w:rsid w:val="002B6BA3"/>
    <w:rsid w:val="002C00E8"/>
    <w:rsid w:val="002D7449"/>
    <w:rsid w:val="002F18E3"/>
    <w:rsid w:val="002F5070"/>
    <w:rsid w:val="002F5074"/>
    <w:rsid w:val="0030206C"/>
    <w:rsid w:val="0030263E"/>
    <w:rsid w:val="00304AB7"/>
    <w:rsid w:val="00326546"/>
    <w:rsid w:val="003267ED"/>
    <w:rsid w:val="00331007"/>
    <w:rsid w:val="0033276F"/>
    <w:rsid w:val="003329DB"/>
    <w:rsid w:val="00332BCA"/>
    <w:rsid w:val="00341CD8"/>
    <w:rsid w:val="003425FC"/>
    <w:rsid w:val="00343749"/>
    <w:rsid w:val="0034415C"/>
    <w:rsid w:val="00346BEF"/>
    <w:rsid w:val="0035446F"/>
    <w:rsid w:val="00364467"/>
    <w:rsid w:val="00365A40"/>
    <w:rsid w:val="003660ED"/>
    <w:rsid w:val="00367FC9"/>
    <w:rsid w:val="00386F65"/>
    <w:rsid w:val="003A1D14"/>
    <w:rsid w:val="003A6722"/>
    <w:rsid w:val="003B0550"/>
    <w:rsid w:val="003B0772"/>
    <w:rsid w:val="003B694F"/>
    <w:rsid w:val="003B6A4B"/>
    <w:rsid w:val="003C3CA7"/>
    <w:rsid w:val="003C4E41"/>
    <w:rsid w:val="003C7F45"/>
    <w:rsid w:val="003E224D"/>
    <w:rsid w:val="003F171C"/>
    <w:rsid w:val="004027A4"/>
    <w:rsid w:val="004054C6"/>
    <w:rsid w:val="00406445"/>
    <w:rsid w:val="00412FC5"/>
    <w:rsid w:val="00414B18"/>
    <w:rsid w:val="00422276"/>
    <w:rsid w:val="004242F1"/>
    <w:rsid w:val="004440E5"/>
    <w:rsid w:val="00445A00"/>
    <w:rsid w:val="00447F6E"/>
    <w:rsid w:val="00451B0F"/>
    <w:rsid w:val="0045753C"/>
    <w:rsid w:val="00461CF9"/>
    <w:rsid w:val="00477212"/>
    <w:rsid w:val="0049093B"/>
    <w:rsid w:val="0049483A"/>
    <w:rsid w:val="004977F1"/>
    <w:rsid w:val="004A29A4"/>
    <w:rsid w:val="004A3680"/>
    <w:rsid w:val="004A4CE6"/>
    <w:rsid w:val="004B1176"/>
    <w:rsid w:val="004C2EE3"/>
    <w:rsid w:val="004C7124"/>
    <w:rsid w:val="004D5677"/>
    <w:rsid w:val="004E15C5"/>
    <w:rsid w:val="004E4A22"/>
    <w:rsid w:val="004F1618"/>
    <w:rsid w:val="004F4019"/>
    <w:rsid w:val="00511968"/>
    <w:rsid w:val="0051258A"/>
    <w:rsid w:val="005160ED"/>
    <w:rsid w:val="0051768A"/>
    <w:rsid w:val="00520DF6"/>
    <w:rsid w:val="00531F47"/>
    <w:rsid w:val="00532FD5"/>
    <w:rsid w:val="00534436"/>
    <w:rsid w:val="00537A8B"/>
    <w:rsid w:val="00537BD6"/>
    <w:rsid w:val="00540800"/>
    <w:rsid w:val="005427BE"/>
    <w:rsid w:val="00542CF5"/>
    <w:rsid w:val="0055614C"/>
    <w:rsid w:val="00567C87"/>
    <w:rsid w:val="00575F9A"/>
    <w:rsid w:val="005843C7"/>
    <w:rsid w:val="005A42EF"/>
    <w:rsid w:val="005B1635"/>
    <w:rsid w:val="005B312B"/>
    <w:rsid w:val="005B427F"/>
    <w:rsid w:val="005C1111"/>
    <w:rsid w:val="005D6F2D"/>
    <w:rsid w:val="005D7816"/>
    <w:rsid w:val="005E0A8C"/>
    <w:rsid w:val="005E14C2"/>
    <w:rsid w:val="005E5666"/>
    <w:rsid w:val="005E5EBA"/>
    <w:rsid w:val="005E7C15"/>
    <w:rsid w:val="005F14DB"/>
    <w:rsid w:val="005F3911"/>
    <w:rsid w:val="00602101"/>
    <w:rsid w:val="00602F72"/>
    <w:rsid w:val="00607BA5"/>
    <w:rsid w:val="0061180A"/>
    <w:rsid w:val="00615471"/>
    <w:rsid w:val="00616CE9"/>
    <w:rsid w:val="00626EB6"/>
    <w:rsid w:val="006334D6"/>
    <w:rsid w:val="006409A9"/>
    <w:rsid w:val="00655D03"/>
    <w:rsid w:val="006571D4"/>
    <w:rsid w:val="0066435C"/>
    <w:rsid w:val="0068222F"/>
    <w:rsid w:val="00683388"/>
    <w:rsid w:val="00683F84"/>
    <w:rsid w:val="00691744"/>
    <w:rsid w:val="00695B18"/>
    <w:rsid w:val="006A49D3"/>
    <w:rsid w:val="006A6A81"/>
    <w:rsid w:val="006B0F4E"/>
    <w:rsid w:val="006E3444"/>
    <w:rsid w:val="006E68AB"/>
    <w:rsid w:val="006F6274"/>
    <w:rsid w:val="006F7393"/>
    <w:rsid w:val="0070224F"/>
    <w:rsid w:val="00704DDC"/>
    <w:rsid w:val="007115F7"/>
    <w:rsid w:val="0072010A"/>
    <w:rsid w:val="00725CC8"/>
    <w:rsid w:val="0073049B"/>
    <w:rsid w:val="007322D5"/>
    <w:rsid w:val="00732676"/>
    <w:rsid w:val="007342E1"/>
    <w:rsid w:val="007469B1"/>
    <w:rsid w:val="00746DDA"/>
    <w:rsid w:val="00761A41"/>
    <w:rsid w:val="007712B2"/>
    <w:rsid w:val="0078468A"/>
    <w:rsid w:val="00785689"/>
    <w:rsid w:val="007944F0"/>
    <w:rsid w:val="0079754B"/>
    <w:rsid w:val="007A1E6D"/>
    <w:rsid w:val="007B0EB2"/>
    <w:rsid w:val="007B7A80"/>
    <w:rsid w:val="007C1F02"/>
    <w:rsid w:val="007C26EC"/>
    <w:rsid w:val="007D1635"/>
    <w:rsid w:val="007D27E3"/>
    <w:rsid w:val="007D29B5"/>
    <w:rsid w:val="007E7D39"/>
    <w:rsid w:val="008021BF"/>
    <w:rsid w:val="00806CCC"/>
    <w:rsid w:val="00810B6F"/>
    <w:rsid w:val="008123E5"/>
    <w:rsid w:val="008133C8"/>
    <w:rsid w:val="00813786"/>
    <w:rsid w:val="00813CF5"/>
    <w:rsid w:val="00817797"/>
    <w:rsid w:val="00822CE0"/>
    <w:rsid w:val="00824DF8"/>
    <w:rsid w:val="008307F0"/>
    <w:rsid w:val="00836E6A"/>
    <w:rsid w:val="0084066F"/>
    <w:rsid w:val="00841AB1"/>
    <w:rsid w:val="00851F36"/>
    <w:rsid w:val="0086312D"/>
    <w:rsid w:val="008723BE"/>
    <w:rsid w:val="00875009"/>
    <w:rsid w:val="008B40A4"/>
    <w:rsid w:val="008B54AC"/>
    <w:rsid w:val="008C68F1"/>
    <w:rsid w:val="008D0820"/>
    <w:rsid w:val="008D7275"/>
    <w:rsid w:val="008F108B"/>
    <w:rsid w:val="008F157C"/>
    <w:rsid w:val="008F3456"/>
    <w:rsid w:val="008F5A55"/>
    <w:rsid w:val="008F5F62"/>
    <w:rsid w:val="00911BA0"/>
    <w:rsid w:val="00913C03"/>
    <w:rsid w:val="00921803"/>
    <w:rsid w:val="00925B23"/>
    <w:rsid w:val="00926503"/>
    <w:rsid w:val="009313E4"/>
    <w:rsid w:val="0093389F"/>
    <w:rsid w:val="00934EC0"/>
    <w:rsid w:val="00934EF2"/>
    <w:rsid w:val="00937089"/>
    <w:rsid w:val="00940A25"/>
    <w:rsid w:val="00944C18"/>
    <w:rsid w:val="00945A98"/>
    <w:rsid w:val="00946B28"/>
    <w:rsid w:val="00950451"/>
    <w:rsid w:val="00950A3E"/>
    <w:rsid w:val="00954E17"/>
    <w:rsid w:val="00956741"/>
    <w:rsid w:val="009571E5"/>
    <w:rsid w:val="009577C6"/>
    <w:rsid w:val="00970EBC"/>
    <w:rsid w:val="0097185F"/>
    <w:rsid w:val="009726D8"/>
    <w:rsid w:val="00974989"/>
    <w:rsid w:val="009815A0"/>
    <w:rsid w:val="00990103"/>
    <w:rsid w:val="009931C2"/>
    <w:rsid w:val="00995E53"/>
    <w:rsid w:val="009A0FC7"/>
    <w:rsid w:val="009A13BE"/>
    <w:rsid w:val="009A6C43"/>
    <w:rsid w:val="009B3965"/>
    <w:rsid w:val="009B3D66"/>
    <w:rsid w:val="009E27EA"/>
    <w:rsid w:val="009E345A"/>
    <w:rsid w:val="009F76DB"/>
    <w:rsid w:val="00A02413"/>
    <w:rsid w:val="00A06112"/>
    <w:rsid w:val="00A13A31"/>
    <w:rsid w:val="00A13ACA"/>
    <w:rsid w:val="00A142F9"/>
    <w:rsid w:val="00A14BF9"/>
    <w:rsid w:val="00A21E8F"/>
    <w:rsid w:val="00A234D2"/>
    <w:rsid w:val="00A264FE"/>
    <w:rsid w:val="00A30282"/>
    <w:rsid w:val="00A31811"/>
    <w:rsid w:val="00A32C3B"/>
    <w:rsid w:val="00A45F4F"/>
    <w:rsid w:val="00A5331E"/>
    <w:rsid w:val="00A57936"/>
    <w:rsid w:val="00A600A9"/>
    <w:rsid w:val="00A62D00"/>
    <w:rsid w:val="00A671A7"/>
    <w:rsid w:val="00A91AD5"/>
    <w:rsid w:val="00A91E6E"/>
    <w:rsid w:val="00A96F97"/>
    <w:rsid w:val="00AA482E"/>
    <w:rsid w:val="00AA55B7"/>
    <w:rsid w:val="00AA5B9E"/>
    <w:rsid w:val="00AA6E71"/>
    <w:rsid w:val="00AB2407"/>
    <w:rsid w:val="00AB53DF"/>
    <w:rsid w:val="00AC0858"/>
    <w:rsid w:val="00AC1309"/>
    <w:rsid w:val="00AC3A6E"/>
    <w:rsid w:val="00AE1E5A"/>
    <w:rsid w:val="00B002C4"/>
    <w:rsid w:val="00B07E5C"/>
    <w:rsid w:val="00B10E62"/>
    <w:rsid w:val="00B17179"/>
    <w:rsid w:val="00B21CF1"/>
    <w:rsid w:val="00B2364C"/>
    <w:rsid w:val="00B32FA4"/>
    <w:rsid w:val="00B6134D"/>
    <w:rsid w:val="00B76202"/>
    <w:rsid w:val="00B76E87"/>
    <w:rsid w:val="00B7792F"/>
    <w:rsid w:val="00B811F7"/>
    <w:rsid w:val="00B82023"/>
    <w:rsid w:val="00B911B9"/>
    <w:rsid w:val="00BA5DC6"/>
    <w:rsid w:val="00BA6196"/>
    <w:rsid w:val="00BB3936"/>
    <w:rsid w:val="00BB6387"/>
    <w:rsid w:val="00BC69C4"/>
    <w:rsid w:val="00BC6D8C"/>
    <w:rsid w:val="00BC76A9"/>
    <w:rsid w:val="00BC789F"/>
    <w:rsid w:val="00BD0AB5"/>
    <w:rsid w:val="00BF3BF0"/>
    <w:rsid w:val="00BF5A6D"/>
    <w:rsid w:val="00C137C5"/>
    <w:rsid w:val="00C14117"/>
    <w:rsid w:val="00C34006"/>
    <w:rsid w:val="00C3763B"/>
    <w:rsid w:val="00C426B1"/>
    <w:rsid w:val="00C42B23"/>
    <w:rsid w:val="00C51017"/>
    <w:rsid w:val="00C5159B"/>
    <w:rsid w:val="00C52E25"/>
    <w:rsid w:val="00C572DC"/>
    <w:rsid w:val="00C66160"/>
    <w:rsid w:val="00C6791C"/>
    <w:rsid w:val="00C721AC"/>
    <w:rsid w:val="00C817A7"/>
    <w:rsid w:val="00C81FE4"/>
    <w:rsid w:val="00C83855"/>
    <w:rsid w:val="00C83DA7"/>
    <w:rsid w:val="00C90237"/>
    <w:rsid w:val="00C90D6A"/>
    <w:rsid w:val="00CA247E"/>
    <w:rsid w:val="00CA7F48"/>
    <w:rsid w:val="00CB1576"/>
    <w:rsid w:val="00CC72B6"/>
    <w:rsid w:val="00CD43C0"/>
    <w:rsid w:val="00CE0F0C"/>
    <w:rsid w:val="00CE3DE7"/>
    <w:rsid w:val="00CF1FC4"/>
    <w:rsid w:val="00CF6617"/>
    <w:rsid w:val="00D01EF0"/>
    <w:rsid w:val="00D0218D"/>
    <w:rsid w:val="00D04DE1"/>
    <w:rsid w:val="00D05ED7"/>
    <w:rsid w:val="00D23132"/>
    <w:rsid w:val="00D25FB5"/>
    <w:rsid w:val="00D30C4C"/>
    <w:rsid w:val="00D40C5E"/>
    <w:rsid w:val="00D44223"/>
    <w:rsid w:val="00D5293C"/>
    <w:rsid w:val="00D54AD4"/>
    <w:rsid w:val="00D65412"/>
    <w:rsid w:val="00D67A48"/>
    <w:rsid w:val="00D77099"/>
    <w:rsid w:val="00D815A1"/>
    <w:rsid w:val="00D83E86"/>
    <w:rsid w:val="00DA2529"/>
    <w:rsid w:val="00DA28E6"/>
    <w:rsid w:val="00DB130A"/>
    <w:rsid w:val="00DB27EF"/>
    <w:rsid w:val="00DB2EBB"/>
    <w:rsid w:val="00DB42AF"/>
    <w:rsid w:val="00DB6CD9"/>
    <w:rsid w:val="00DC10A1"/>
    <w:rsid w:val="00DC5CA1"/>
    <w:rsid w:val="00DC655F"/>
    <w:rsid w:val="00DD0B59"/>
    <w:rsid w:val="00DD3861"/>
    <w:rsid w:val="00DD41C0"/>
    <w:rsid w:val="00DD7B79"/>
    <w:rsid w:val="00DD7EBD"/>
    <w:rsid w:val="00DE0A3E"/>
    <w:rsid w:val="00DE30CB"/>
    <w:rsid w:val="00DF62B6"/>
    <w:rsid w:val="00E05F8B"/>
    <w:rsid w:val="00E07225"/>
    <w:rsid w:val="00E11B29"/>
    <w:rsid w:val="00E17E88"/>
    <w:rsid w:val="00E207DD"/>
    <w:rsid w:val="00E35AD7"/>
    <w:rsid w:val="00E37EC8"/>
    <w:rsid w:val="00E40CD1"/>
    <w:rsid w:val="00E5409F"/>
    <w:rsid w:val="00E6029B"/>
    <w:rsid w:val="00E71739"/>
    <w:rsid w:val="00E90154"/>
    <w:rsid w:val="00E90857"/>
    <w:rsid w:val="00E9418E"/>
    <w:rsid w:val="00E97EA2"/>
    <w:rsid w:val="00E97F8F"/>
    <w:rsid w:val="00EA3221"/>
    <w:rsid w:val="00EA4629"/>
    <w:rsid w:val="00EC366C"/>
    <w:rsid w:val="00EE34A5"/>
    <w:rsid w:val="00EE6488"/>
    <w:rsid w:val="00EF7250"/>
    <w:rsid w:val="00F021FA"/>
    <w:rsid w:val="00F14FE8"/>
    <w:rsid w:val="00F15032"/>
    <w:rsid w:val="00F20A78"/>
    <w:rsid w:val="00F23887"/>
    <w:rsid w:val="00F25492"/>
    <w:rsid w:val="00F2602D"/>
    <w:rsid w:val="00F318B4"/>
    <w:rsid w:val="00F33D0F"/>
    <w:rsid w:val="00F571B1"/>
    <w:rsid w:val="00F6068E"/>
    <w:rsid w:val="00F61959"/>
    <w:rsid w:val="00F62E97"/>
    <w:rsid w:val="00F64209"/>
    <w:rsid w:val="00F83125"/>
    <w:rsid w:val="00F83440"/>
    <w:rsid w:val="00F93BF5"/>
    <w:rsid w:val="00FB44EF"/>
    <w:rsid w:val="00FC1690"/>
    <w:rsid w:val="00FC6443"/>
    <w:rsid w:val="00FD71F2"/>
    <w:rsid w:val="00FD7EEE"/>
    <w:rsid w:val="00FE0FCF"/>
    <w:rsid w:val="00FE2249"/>
    <w:rsid w:val="00FE22C0"/>
    <w:rsid w:val="00FE6756"/>
    <w:rsid w:val="00FF0A13"/>
    <w:rsid w:val="00FF0EC3"/>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9815A0"/>
    <w:rPr>
      <w:rFonts w:ascii="Segoe UI" w:hAnsi="Segoe UI" w:cs="Segoe UI"/>
      <w:sz w:val="18"/>
      <w:szCs w:val="18"/>
    </w:rPr>
  </w:style>
  <w:style w:type="character" w:customStyle="1" w:styleId="BalloonTextChar">
    <w:name w:val="Balloon Text Char"/>
    <w:basedOn w:val="DefaultParagraphFont"/>
    <w:link w:val="BalloonText"/>
    <w:rsid w:val="009815A0"/>
    <w:rPr>
      <w:rFonts w:ascii="Segoe UI" w:hAnsi="Segoe UI" w:cs="Segoe UI"/>
      <w:snapToGrid w:val="0"/>
      <w:kern w:val="28"/>
      <w:sz w:val="18"/>
      <w:szCs w:val="18"/>
    </w:rPr>
  </w:style>
  <w:style w:type="character" w:styleId="CommentReference">
    <w:name w:val="annotation reference"/>
    <w:basedOn w:val="DefaultParagraphFont"/>
    <w:rsid w:val="00BD0AB5"/>
    <w:rPr>
      <w:sz w:val="16"/>
      <w:szCs w:val="16"/>
    </w:rPr>
  </w:style>
  <w:style w:type="paragraph" w:styleId="CommentText">
    <w:name w:val="annotation text"/>
    <w:basedOn w:val="Normal"/>
    <w:link w:val="CommentTextChar"/>
    <w:rsid w:val="00BD0AB5"/>
    <w:rPr>
      <w:sz w:val="20"/>
    </w:rPr>
  </w:style>
  <w:style w:type="character" w:customStyle="1" w:styleId="CommentTextChar">
    <w:name w:val="Comment Text Char"/>
    <w:basedOn w:val="DefaultParagraphFont"/>
    <w:link w:val="CommentText"/>
    <w:rsid w:val="00BD0AB5"/>
    <w:rPr>
      <w:snapToGrid w:val="0"/>
      <w:kern w:val="28"/>
    </w:rPr>
  </w:style>
  <w:style w:type="paragraph" w:styleId="CommentSubject">
    <w:name w:val="annotation subject"/>
    <w:basedOn w:val="CommentText"/>
    <w:next w:val="CommentText"/>
    <w:link w:val="CommentSubjectChar"/>
    <w:rsid w:val="00BD0AB5"/>
    <w:rPr>
      <w:b/>
      <w:bCs/>
    </w:rPr>
  </w:style>
  <w:style w:type="character" w:customStyle="1" w:styleId="CommentSubjectChar">
    <w:name w:val="Comment Subject Char"/>
    <w:basedOn w:val="CommentTextChar"/>
    <w:link w:val="CommentSubject"/>
    <w:rsid w:val="00BD0AB5"/>
    <w:rPr>
      <w:b/>
      <w:bCs/>
      <w:snapToGrid w:val="0"/>
      <w:kern w:val="28"/>
    </w:rPr>
  </w:style>
  <w:style w:type="paragraph" w:styleId="Revision">
    <w:name w:val="Revision"/>
    <w:hidden/>
    <w:uiPriority w:val="99"/>
    <w:semiHidden/>
    <w:rsid w:val="000B385F"/>
    <w:rPr>
      <w:snapToGrid w:val="0"/>
      <w:kern w:val="28"/>
      <w:sz w:val="22"/>
    </w:rPr>
  </w:style>
  <w:style w:type="character" w:customStyle="1" w:styleId="FootnoteTextChar">
    <w:name w:val="Footnote Text Char"/>
    <w:basedOn w:val="DefaultParagraphFont"/>
    <w:link w:val="FootnoteText"/>
    <w:rsid w:val="00CD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9815A0"/>
    <w:rPr>
      <w:rFonts w:ascii="Segoe UI" w:hAnsi="Segoe UI" w:cs="Segoe UI"/>
      <w:sz w:val="18"/>
      <w:szCs w:val="18"/>
    </w:rPr>
  </w:style>
  <w:style w:type="character" w:customStyle="1" w:styleId="BalloonTextChar">
    <w:name w:val="Balloon Text Char"/>
    <w:basedOn w:val="DefaultParagraphFont"/>
    <w:link w:val="BalloonText"/>
    <w:rsid w:val="009815A0"/>
    <w:rPr>
      <w:rFonts w:ascii="Segoe UI" w:hAnsi="Segoe UI" w:cs="Segoe UI"/>
      <w:snapToGrid w:val="0"/>
      <w:kern w:val="28"/>
      <w:sz w:val="18"/>
      <w:szCs w:val="18"/>
    </w:rPr>
  </w:style>
  <w:style w:type="character" w:styleId="CommentReference">
    <w:name w:val="annotation reference"/>
    <w:basedOn w:val="DefaultParagraphFont"/>
    <w:rsid w:val="00BD0AB5"/>
    <w:rPr>
      <w:sz w:val="16"/>
      <w:szCs w:val="16"/>
    </w:rPr>
  </w:style>
  <w:style w:type="paragraph" w:styleId="CommentText">
    <w:name w:val="annotation text"/>
    <w:basedOn w:val="Normal"/>
    <w:link w:val="CommentTextChar"/>
    <w:rsid w:val="00BD0AB5"/>
    <w:rPr>
      <w:sz w:val="20"/>
    </w:rPr>
  </w:style>
  <w:style w:type="character" w:customStyle="1" w:styleId="CommentTextChar">
    <w:name w:val="Comment Text Char"/>
    <w:basedOn w:val="DefaultParagraphFont"/>
    <w:link w:val="CommentText"/>
    <w:rsid w:val="00BD0AB5"/>
    <w:rPr>
      <w:snapToGrid w:val="0"/>
      <w:kern w:val="28"/>
    </w:rPr>
  </w:style>
  <w:style w:type="paragraph" w:styleId="CommentSubject">
    <w:name w:val="annotation subject"/>
    <w:basedOn w:val="CommentText"/>
    <w:next w:val="CommentText"/>
    <w:link w:val="CommentSubjectChar"/>
    <w:rsid w:val="00BD0AB5"/>
    <w:rPr>
      <w:b/>
      <w:bCs/>
    </w:rPr>
  </w:style>
  <w:style w:type="character" w:customStyle="1" w:styleId="CommentSubjectChar">
    <w:name w:val="Comment Subject Char"/>
    <w:basedOn w:val="CommentTextChar"/>
    <w:link w:val="CommentSubject"/>
    <w:rsid w:val="00BD0AB5"/>
    <w:rPr>
      <w:b/>
      <w:bCs/>
      <w:snapToGrid w:val="0"/>
      <w:kern w:val="28"/>
    </w:rPr>
  </w:style>
  <w:style w:type="paragraph" w:styleId="Revision">
    <w:name w:val="Revision"/>
    <w:hidden/>
    <w:uiPriority w:val="99"/>
    <w:semiHidden/>
    <w:rsid w:val="000B385F"/>
    <w:rPr>
      <w:snapToGrid w:val="0"/>
      <w:kern w:val="28"/>
      <w:sz w:val="22"/>
    </w:rPr>
  </w:style>
  <w:style w:type="character" w:customStyle="1" w:styleId="FootnoteTextChar">
    <w:name w:val="Footnote Text Char"/>
    <w:basedOn w:val="DefaultParagraphFont"/>
    <w:link w:val="FootnoteText"/>
    <w:rsid w:val="00CD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16561" TargetMode="External"/><Relationship Id="rId1" Type="http://schemas.openxmlformats.org/officeDocument/2006/relationships/hyperlink" Target="http://apps.fcc.gov/ecfs/comment/view?id=600013041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1324</Words>
  <Characters>7249</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8611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2015-12-15T20:39:00Z</cp:lastPrinted>
  <dcterms:created xsi:type="dcterms:W3CDTF">2015-12-21T22:59:00Z</dcterms:created>
  <dcterms:modified xsi:type="dcterms:W3CDTF">2015-12-21T22:59:00Z</dcterms:modified>
  <cp:category> </cp:category>
  <cp:contentStatus> </cp:contentStatus>
</cp:coreProperties>
</file>