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D27120">
        <w:rPr>
          <w:szCs w:val="22"/>
        </w:rPr>
        <w:t xml:space="preserve"> </w:t>
      </w:r>
    </w:p>
    <w:p w:rsidR="00F80FFB" w:rsidRPr="00D27120" w:rsidRDefault="00F80FFB" w:rsidP="00F80FFB">
      <w:pPr>
        <w:jc w:val="right"/>
        <w:rPr>
          <w:b/>
          <w:szCs w:val="22"/>
        </w:rPr>
      </w:pPr>
      <w:r w:rsidRPr="00D27120">
        <w:rPr>
          <w:b/>
          <w:szCs w:val="22"/>
        </w:rPr>
        <w:lastRenderedPageBreak/>
        <w:t>DA 15-</w:t>
      </w:r>
      <w:r w:rsidR="00031B77">
        <w:rPr>
          <w:b/>
          <w:szCs w:val="22"/>
        </w:rPr>
        <w:t>1474</w:t>
      </w:r>
    </w:p>
    <w:p w:rsidR="00F80FFB" w:rsidRPr="00D27120" w:rsidRDefault="00F93F15" w:rsidP="00F80FFB">
      <w:pPr>
        <w:spacing w:before="60"/>
        <w:jc w:val="right"/>
        <w:rPr>
          <w:b/>
          <w:szCs w:val="22"/>
        </w:rPr>
      </w:pPr>
      <w:r>
        <w:rPr>
          <w:b/>
          <w:szCs w:val="22"/>
        </w:rPr>
        <w:t>December 21</w:t>
      </w:r>
      <w:r w:rsidR="00965ED2">
        <w:rPr>
          <w:b/>
          <w:szCs w:val="22"/>
        </w:rPr>
        <w:t xml:space="preserve">, </w:t>
      </w:r>
      <w:r w:rsidR="00F80FFB" w:rsidRPr="00D27120">
        <w:rPr>
          <w:b/>
          <w:szCs w:val="22"/>
        </w:rPr>
        <w:t>2015</w:t>
      </w:r>
    </w:p>
    <w:p w:rsidR="00F80FFB" w:rsidRPr="00D27120" w:rsidRDefault="00F80FFB" w:rsidP="00F80FFB">
      <w:pPr>
        <w:tabs>
          <w:tab w:val="left" w:pos="5900"/>
        </w:tabs>
        <w:rPr>
          <w:szCs w:val="22"/>
        </w:rPr>
      </w:pPr>
      <w:r w:rsidRPr="00D27120">
        <w:rPr>
          <w:szCs w:val="22"/>
        </w:rPr>
        <w:tab/>
      </w:r>
    </w:p>
    <w:p w:rsidR="003D5189" w:rsidRDefault="00F80FFB" w:rsidP="003664FF">
      <w:pPr>
        <w:jc w:val="center"/>
        <w:rPr>
          <w:b/>
          <w:szCs w:val="22"/>
        </w:rPr>
      </w:pPr>
      <w:r w:rsidRPr="00D27120">
        <w:rPr>
          <w:b/>
          <w:szCs w:val="22"/>
        </w:rPr>
        <w:t>DOMESTIC SECTION 214 A</w:t>
      </w:r>
      <w:r w:rsidR="00E44159" w:rsidRPr="00D27120">
        <w:rPr>
          <w:b/>
          <w:szCs w:val="22"/>
        </w:rPr>
        <w:t>P</w:t>
      </w:r>
      <w:r w:rsidR="006A554C" w:rsidRPr="00D27120">
        <w:rPr>
          <w:b/>
          <w:szCs w:val="22"/>
        </w:rPr>
        <w:t xml:space="preserve">PLICATION FILED FOR THE </w:t>
      </w:r>
    </w:p>
    <w:p w:rsidR="004F56C3" w:rsidRDefault="00CF761D" w:rsidP="003664FF">
      <w:pPr>
        <w:jc w:val="center"/>
        <w:rPr>
          <w:b/>
          <w:szCs w:val="22"/>
        </w:rPr>
      </w:pPr>
      <w:r w:rsidRPr="00CF761D">
        <w:rPr>
          <w:b/>
          <w:szCs w:val="22"/>
        </w:rPr>
        <w:t>ACQUISITION OF CERTAIN ASSETS OF</w:t>
      </w:r>
      <w:r w:rsidR="00F80FFB" w:rsidRPr="00D27120">
        <w:rPr>
          <w:b/>
          <w:szCs w:val="22"/>
        </w:rPr>
        <w:t xml:space="preserve"> </w:t>
      </w:r>
    </w:p>
    <w:p w:rsidR="006A554C" w:rsidRPr="00D27120" w:rsidRDefault="004F56C3" w:rsidP="003664FF">
      <w:pPr>
        <w:jc w:val="center"/>
        <w:rPr>
          <w:b/>
          <w:szCs w:val="22"/>
        </w:rPr>
      </w:pPr>
      <w:r>
        <w:rPr>
          <w:b/>
          <w:szCs w:val="22"/>
        </w:rPr>
        <w:t xml:space="preserve">CORNERSTONE TELEPHONE COMPANY, LLC BY X5 OPCO </w:t>
      </w:r>
      <w:r w:rsidR="001D65E2">
        <w:rPr>
          <w:b/>
          <w:szCs w:val="22"/>
        </w:rPr>
        <w:t xml:space="preserve">LLC </w:t>
      </w:r>
      <w:r>
        <w:rPr>
          <w:b/>
          <w:szCs w:val="22"/>
        </w:rPr>
        <w:t>AND X5 RTC</w:t>
      </w:r>
      <w:r w:rsidR="001D65E2">
        <w:rPr>
          <w:b/>
          <w:szCs w:val="22"/>
        </w:rPr>
        <w:t xml:space="preserve"> LLC</w:t>
      </w:r>
    </w:p>
    <w:p w:rsidR="00F80FFB" w:rsidRPr="00D27120" w:rsidRDefault="00F80FFB" w:rsidP="00F80FFB">
      <w:pPr>
        <w:jc w:val="center"/>
        <w:rPr>
          <w:b/>
          <w:szCs w:val="22"/>
        </w:rPr>
      </w:pPr>
    </w:p>
    <w:p w:rsidR="00F80FFB" w:rsidRPr="00D27120" w:rsidRDefault="00F80FFB" w:rsidP="00F80FFB">
      <w:pPr>
        <w:spacing w:after="240"/>
        <w:jc w:val="center"/>
        <w:rPr>
          <w:b/>
          <w:szCs w:val="22"/>
        </w:rPr>
      </w:pPr>
      <w:r w:rsidRPr="00D27120">
        <w:rPr>
          <w:b/>
          <w:szCs w:val="22"/>
        </w:rPr>
        <w:t>STREAMLINED PLEADING CYCLE ESTABLISHED</w:t>
      </w:r>
    </w:p>
    <w:p w:rsidR="00F80FFB" w:rsidRPr="00D27120" w:rsidRDefault="00F80FFB" w:rsidP="00F80FFB">
      <w:pPr>
        <w:jc w:val="center"/>
        <w:rPr>
          <w:b/>
          <w:szCs w:val="22"/>
        </w:rPr>
      </w:pPr>
      <w:r w:rsidRPr="00D27120">
        <w:rPr>
          <w:b/>
          <w:szCs w:val="22"/>
        </w:rPr>
        <w:t>WC Docket No. 15-</w:t>
      </w:r>
      <w:r w:rsidR="004F56C3">
        <w:rPr>
          <w:b/>
          <w:szCs w:val="22"/>
        </w:rPr>
        <w:t>318</w:t>
      </w:r>
    </w:p>
    <w:p w:rsidR="00F80FFB" w:rsidRPr="00D27120" w:rsidRDefault="00F80FFB" w:rsidP="00F80FFB">
      <w:pPr>
        <w:jc w:val="center"/>
        <w:rPr>
          <w:szCs w:val="22"/>
        </w:rPr>
      </w:pPr>
    </w:p>
    <w:p w:rsidR="00F80FFB" w:rsidRPr="00D27120" w:rsidRDefault="00655B3B" w:rsidP="00F80FFB">
      <w:pPr>
        <w:pStyle w:val="NoSpacing"/>
        <w:rPr>
          <w:b/>
          <w:szCs w:val="22"/>
        </w:rPr>
      </w:pPr>
      <w:r w:rsidRPr="00D27120">
        <w:rPr>
          <w:b/>
          <w:szCs w:val="22"/>
        </w:rPr>
        <w:t xml:space="preserve">Comments Due:  </w:t>
      </w:r>
      <w:r w:rsidR="00031B77">
        <w:rPr>
          <w:b/>
          <w:szCs w:val="22"/>
        </w:rPr>
        <w:t xml:space="preserve">January </w:t>
      </w:r>
      <w:r w:rsidR="00F93F15">
        <w:rPr>
          <w:b/>
          <w:szCs w:val="22"/>
        </w:rPr>
        <w:t>4</w:t>
      </w:r>
      <w:r w:rsidR="004F56C3">
        <w:rPr>
          <w:b/>
          <w:szCs w:val="22"/>
        </w:rPr>
        <w:t>, 2016</w:t>
      </w:r>
    </w:p>
    <w:p w:rsidR="00F80FFB" w:rsidRPr="00D27120" w:rsidRDefault="00F80FFB" w:rsidP="00F80FFB">
      <w:pPr>
        <w:pStyle w:val="NoSpacing"/>
        <w:rPr>
          <w:b/>
          <w:szCs w:val="22"/>
        </w:rPr>
      </w:pPr>
      <w:r w:rsidRPr="00D27120">
        <w:rPr>
          <w:b/>
          <w:szCs w:val="22"/>
        </w:rPr>
        <w:t xml:space="preserve">Reply Comments Due:  </w:t>
      </w:r>
      <w:r w:rsidR="00031B77">
        <w:rPr>
          <w:b/>
          <w:szCs w:val="22"/>
        </w:rPr>
        <w:t xml:space="preserve">January </w:t>
      </w:r>
      <w:r w:rsidR="00F93F15">
        <w:rPr>
          <w:b/>
          <w:szCs w:val="22"/>
        </w:rPr>
        <w:t>11</w:t>
      </w:r>
      <w:r w:rsidR="004F56C3">
        <w:rPr>
          <w:b/>
          <w:szCs w:val="22"/>
        </w:rPr>
        <w:t>, 2016</w:t>
      </w:r>
    </w:p>
    <w:p w:rsidR="00F80FFB" w:rsidRPr="00D27120" w:rsidRDefault="00F80FFB" w:rsidP="00F80FFB">
      <w:pPr>
        <w:pStyle w:val="NoSpacing"/>
        <w:rPr>
          <w:szCs w:val="22"/>
        </w:rPr>
      </w:pPr>
    </w:p>
    <w:p w:rsidR="00C6038C" w:rsidRPr="00D27120" w:rsidRDefault="003E3A06" w:rsidP="00C6038C">
      <w:pPr>
        <w:spacing w:after="240"/>
        <w:ind w:firstLine="720"/>
        <w:rPr>
          <w:szCs w:val="22"/>
        </w:rPr>
      </w:pPr>
      <w:r>
        <w:rPr>
          <w:szCs w:val="22"/>
        </w:rPr>
        <w:t>CornerStone Telephone Compan</w:t>
      </w:r>
      <w:r w:rsidR="008E7A06">
        <w:rPr>
          <w:szCs w:val="22"/>
        </w:rPr>
        <w:t>y, LLC (CornerStone Telephone)</w:t>
      </w:r>
      <w:r>
        <w:rPr>
          <w:szCs w:val="22"/>
        </w:rPr>
        <w:t>, Public Interest Network Services, Inc. (Public Interest Network) and Richmond Telephone Company (Richmond Telephone), together with Richmond Connecti</w:t>
      </w:r>
      <w:r w:rsidR="001D65E2">
        <w:rPr>
          <w:szCs w:val="22"/>
        </w:rPr>
        <w:t>ons, Inc. d/b/a Richmond Networx</w:t>
      </w:r>
      <w:r>
        <w:rPr>
          <w:szCs w:val="22"/>
        </w:rPr>
        <w:t xml:space="preserve"> (Richmond Networx)</w:t>
      </w:r>
      <w:r w:rsidR="00C5708F">
        <w:rPr>
          <w:szCs w:val="22"/>
        </w:rPr>
        <w:t xml:space="preserve"> and X5 OpCo LLC (X5 OpCo) and X5 RTC LLC (X5 RTC)</w:t>
      </w:r>
      <w:r w:rsidR="009740A7">
        <w:rPr>
          <w:szCs w:val="22"/>
        </w:rPr>
        <w:t xml:space="preserve"> </w:t>
      </w:r>
      <w:r w:rsidR="00F80FFB" w:rsidRPr="00D27120">
        <w:rPr>
          <w:szCs w:val="22"/>
        </w:rPr>
        <w:t xml:space="preserve">(together, Applicants) filed an application pursuant to section 214 of the Communications Act of 1934, as amended (Act), and section 63.03 of the Commission’s rules, </w:t>
      </w:r>
      <w:r w:rsidR="00CD586C" w:rsidRPr="00CD586C">
        <w:rPr>
          <w:szCs w:val="22"/>
        </w:rPr>
        <w:t xml:space="preserve">seeking approval to transfer </w:t>
      </w:r>
      <w:r w:rsidR="00AF321C">
        <w:rPr>
          <w:szCs w:val="22"/>
        </w:rPr>
        <w:t xml:space="preserve">certain </w:t>
      </w:r>
      <w:r>
        <w:rPr>
          <w:szCs w:val="22"/>
        </w:rPr>
        <w:t xml:space="preserve">assets from CornerStone Telephone, Public Interest Network, Richmond Networx </w:t>
      </w:r>
      <w:r w:rsidR="007B3F5E">
        <w:rPr>
          <w:szCs w:val="22"/>
        </w:rPr>
        <w:t xml:space="preserve">and Richmond Telephone </w:t>
      </w:r>
      <w:r>
        <w:rPr>
          <w:szCs w:val="22"/>
        </w:rPr>
        <w:t xml:space="preserve">to X5 OpCo </w:t>
      </w:r>
      <w:r w:rsidR="007B3F5E">
        <w:rPr>
          <w:szCs w:val="22"/>
        </w:rPr>
        <w:t xml:space="preserve">and </w:t>
      </w:r>
      <w:r w:rsidR="00C5708F">
        <w:rPr>
          <w:szCs w:val="22"/>
        </w:rPr>
        <w:t>X5 RTC</w:t>
      </w:r>
      <w:r w:rsidR="00F80FFB" w:rsidRPr="00D27120">
        <w:rPr>
          <w:szCs w:val="22"/>
        </w:rPr>
        <w:t>.</w:t>
      </w:r>
      <w:r w:rsidR="00F80FFB" w:rsidRPr="00D27120">
        <w:rPr>
          <w:rStyle w:val="FootnoteReference"/>
          <w:szCs w:val="22"/>
        </w:rPr>
        <w:footnoteReference w:id="1"/>
      </w:r>
      <w:r w:rsidR="00F80FFB" w:rsidRPr="00D27120">
        <w:rPr>
          <w:szCs w:val="22"/>
        </w:rPr>
        <w:t xml:space="preserve">    </w:t>
      </w:r>
    </w:p>
    <w:p w:rsidR="008E7A06" w:rsidRDefault="00004445" w:rsidP="00BC4B23">
      <w:pPr>
        <w:autoSpaceDE w:val="0"/>
        <w:autoSpaceDN w:val="0"/>
        <w:adjustRightInd w:val="0"/>
        <w:ind w:firstLine="720"/>
      </w:pPr>
      <w:r>
        <w:t xml:space="preserve">CornerStone Telephone, </w:t>
      </w:r>
      <w:r w:rsidR="008E7A06">
        <w:t>a New York limited liability company</w:t>
      </w:r>
      <w:r>
        <w:t xml:space="preserve">, </w:t>
      </w:r>
      <w:r w:rsidR="008E7A06">
        <w:t xml:space="preserve">wholly owns Richmond Telephone, a Massachusetts corporation, and Public Interest Network, a New York corporation.  Richmond Telephone wholly owns Richmond Networx, a Massachusetts corporation.  </w:t>
      </w:r>
      <w:r w:rsidR="00B63947">
        <w:t xml:space="preserve">CornerStone Telephone and its subsidiaries provide telecommunications service in New York and Massachusetts and also have operating authority in Connecticut, Pennsylvania and West Virginia.  </w:t>
      </w:r>
    </w:p>
    <w:p w:rsidR="00BC4B23" w:rsidRDefault="00254139" w:rsidP="00BC4B23">
      <w:pPr>
        <w:autoSpaceDE w:val="0"/>
        <w:autoSpaceDN w:val="0"/>
        <w:adjustRightInd w:val="0"/>
        <w:ind w:firstLine="720"/>
      </w:pPr>
      <w:r>
        <w:t xml:space="preserve"> </w:t>
      </w:r>
    </w:p>
    <w:p w:rsidR="00D9366C" w:rsidRPr="00D9366C" w:rsidRDefault="00173E12" w:rsidP="00D9366C">
      <w:pPr>
        <w:autoSpaceDE w:val="0"/>
        <w:autoSpaceDN w:val="0"/>
        <w:adjustRightInd w:val="0"/>
        <w:ind w:firstLine="720"/>
        <w:rPr>
          <w:b/>
        </w:rPr>
      </w:pPr>
      <w:r w:rsidRPr="00BC4B23">
        <w:t xml:space="preserve">X5 OpCo, a Delaware limited liability company, </w:t>
      </w:r>
      <w:r>
        <w:t>provides local exchange and domestic interexchange telecommunications services in</w:t>
      </w:r>
      <w:r w:rsidR="00747537">
        <w:t xml:space="preserve"> Washington, Oregon, and Utah.  XT RTC, a Delaware limited liability company</w:t>
      </w:r>
      <w:r w:rsidR="00B63947">
        <w:t xml:space="preserve">, and </w:t>
      </w:r>
      <w:r w:rsidR="00747537">
        <w:t xml:space="preserve">X5 OpCo both are wholly owned subsidiaries of X5 Holdings LLC (X5 Holdings), which is controlled by </w:t>
      </w:r>
      <w:r w:rsidR="00BC4B23" w:rsidRPr="00BC4B23">
        <w:t>NewSpring</w:t>
      </w:r>
      <w:r w:rsidR="00747537">
        <w:t xml:space="preserve"> Holdings Man</w:t>
      </w:r>
      <w:r w:rsidR="00135D1B">
        <w:t>agement Company LLC (NewSpring)</w:t>
      </w:r>
      <w:r w:rsidR="00747537">
        <w:t xml:space="preserve">, a </w:t>
      </w:r>
      <w:r w:rsidR="00747537">
        <w:lastRenderedPageBreak/>
        <w:t xml:space="preserve">Delaware </w:t>
      </w:r>
      <w:r w:rsidR="00BC4B23" w:rsidRPr="00BC4B23">
        <w:t>limited liability company</w:t>
      </w:r>
      <w:r w:rsidR="005F5CB9">
        <w:t>.</w:t>
      </w:r>
      <w:r w:rsidR="007232AB">
        <w:t xml:space="preserve"> </w:t>
      </w:r>
      <w:r w:rsidR="00135D1B">
        <w:t xml:space="preserve"> </w:t>
      </w:r>
      <w:r w:rsidR="007232AB">
        <w:t xml:space="preserve">NewSpring is managed by Walter P. Maner and James Aston, </w:t>
      </w:r>
      <w:r w:rsidR="005F5CB9">
        <w:t>both U.S. citizens.</w:t>
      </w:r>
      <w:r w:rsidR="007232AB">
        <w:rPr>
          <w:rStyle w:val="FootnoteReference"/>
        </w:rPr>
        <w:footnoteReference w:id="2"/>
      </w:r>
    </w:p>
    <w:p w:rsidR="00F80FFB" w:rsidRPr="00FA7A95" w:rsidRDefault="00D9366C" w:rsidP="00FA7A95">
      <w:pPr>
        <w:autoSpaceDE w:val="0"/>
        <w:autoSpaceDN w:val="0"/>
        <w:adjustRightInd w:val="0"/>
        <w:ind w:firstLine="720"/>
      </w:pPr>
      <w:r w:rsidRPr="00D9366C">
        <w:t xml:space="preserve">Pursuant </w:t>
      </w:r>
      <w:r w:rsidR="0011724D">
        <w:t>to the terms of the proposed acquisition</w:t>
      </w:r>
      <w:r w:rsidRPr="00D9366C">
        <w:t xml:space="preserve">, </w:t>
      </w:r>
      <w:r w:rsidR="0011724D">
        <w:t xml:space="preserve">except with respect to Richmond Telephone, CornerStone will sell the entirety of its interest in operational assets, customer and supplier contracts, </w:t>
      </w:r>
      <w:r w:rsidR="00FA7A95">
        <w:t xml:space="preserve">and all of CornerStone’s personnel will be transferred to X5 OpCo.  The operational assets, customer and supplier contracts, </w:t>
      </w:r>
      <w:r w:rsidR="000B57B7">
        <w:t xml:space="preserve">personnel and </w:t>
      </w:r>
      <w:r w:rsidR="0011724D">
        <w:t>owned real property of</w:t>
      </w:r>
      <w:r w:rsidR="000B57B7">
        <w:t xml:space="preserve"> Richmond Telephone will be transferred</w:t>
      </w:r>
      <w:r w:rsidR="0011724D">
        <w:t xml:space="preserve"> to X5 RTC</w:t>
      </w:r>
      <w:r w:rsidR="00FA7A95">
        <w:t xml:space="preserve">.  </w:t>
      </w:r>
      <w:r w:rsidR="00F80FFB" w:rsidRPr="00D27120">
        <w:rPr>
          <w:szCs w:val="22"/>
        </w:rPr>
        <w:t>Applicants assert that the proposed transaction is entitled to presumptive streamlined treatment under section</w:t>
      </w:r>
      <w:r w:rsidR="002E2641" w:rsidRPr="00D27120">
        <w:rPr>
          <w:szCs w:val="22"/>
        </w:rPr>
        <w:t xml:space="preserve"> 63.03(b)(2)(i</w:t>
      </w:r>
      <w:r w:rsidR="00D10625">
        <w:rPr>
          <w:szCs w:val="22"/>
        </w:rPr>
        <w:t>i</w:t>
      </w:r>
      <w:r w:rsidR="00F80FFB" w:rsidRPr="00D27120">
        <w:rPr>
          <w:szCs w:val="22"/>
        </w:rPr>
        <w:t>) of the Commission’s rules and that a grant of the application will serve the public interest, convenience, and necessity.</w:t>
      </w:r>
      <w:r w:rsidR="00F80FFB" w:rsidRPr="00D27120">
        <w:rPr>
          <w:rStyle w:val="FootnoteReference"/>
          <w:szCs w:val="22"/>
        </w:rPr>
        <w:footnoteReference w:id="3"/>
      </w:r>
      <w:r w:rsidR="00F80FFB" w:rsidRPr="00D27120">
        <w:rPr>
          <w:szCs w:val="22"/>
        </w:rPr>
        <w:t xml:space="preserve">  </w:t>
      </w:r>
    </w:p>
    <w:p w:rsidR="00782AE5" w:rsidRPr="00862B8D" w:rsidRDefault="00782AE5" w:rsidP="00862B8D">
      <w:pPr>
        <w:autoSpaceDE w:val="0"/>
        <w:autoSpaceDN w:val="0"/>
        <w:adjustRightInd w:val="0"/>
        <w:ind w:firstLine="720"/>
      </w:pPr>
    </w:p>
    <w:p w:rsidR="008B2E12" w:rsidRPr="008B2E12" w:rsidRDefault="00F80FFB" w:rsidP="00862B8D">
      <w:pPr>
        <w:autoSpaceDE w:val="0"/>
        <w:autoSpaceDN w:val="0"/>
        <w:adjustRightInd w:val="0"/>
        <w:ind w:firstLine="720"/>
        <w:rPr>
          <w:szCs w:val="22"/>
        </w:rPr>
      </w:pPr>
      <w:r w:rsidRPr="00D27120">
        <w:rPr>
          <w:szCs w:val="22"/>
        </w:rPr>
        <w:t>Domestic Section</w:t>
      </w:r>
      <w:r w:rsidR="008B2E12">
        <w:rPr>
          <w:szCs w:val="22"/>
        </w:rPr>
        <w:t xml:space="preserve"> 214 Application Filed for the Acquisition of Certain Assets o</w:t>
      </w:r>
      <w:r w:rsidR="008B2E12" w:rsidRPr="008B2E12">
        <w:rPr>
          <w:szCs w:val="22"/>
        </w:rPr>
        <w:t xml:space="preserve">f </w:t>
      </w:r>
    </w:p>
    <w:p w:rsidR="00F80FFB" w:rsidRPr="00D27120" w:rsidRDefault="00FA7A95" w:rsidP="000B57B7">
      <w:pPr>
        <w:autoSpaceDE w:val="0"/>
        <w:autoSpaceDN w:val="0"/>
        <w:adjustRightInd w:val="0"/>
        <w:ind w:left="720"/>
        <w:rPr>
          <w:szCs w:val="22"/>
        </w:rPr>
      </w:pPr>
      <w:r w:rsidRPr="00FA7A95">
        <w:rPr>
          <w:szCs w:val="22"/>
        </w:rPr>
        <w:t>Cornerstone Telephone Company, L</w:t>
      </w:r>
      <w:r>
        <w:rPr>
          <w:szCs w:val="22"/>
        </w:rPr>
        <w:t>LC</w:t>
      </w:r>
      <w:r w:rsidRPr="00FA7A95">
        <w:rPr>
          <w:szCs w:val="22"/>
        </w:rPr>
        <w:t xml:space="preserve"> </w:t>
      </w:r>
      <w:r>
        <w:rPr>
          <w:szCs w:val="22"/>
        </w:rPr>
        <w:t>b</w:t>
      </w:r>
      <w:r w:rsidRPr="00FA7A95">
        <w:rPr>
          <w:szCs w:val="22"/>
        </w:rPr>
        <w:t>y X5 O</w:t>
      </w:r>
      <w:r>
        <w:rPr>
          <w:szCs w:val="22"/>
        </w:rPr>
        <w:t xml:space="preserve">pCo </w:t>
      </w:r>
      <w:r w:rsidR="000B57B7">
        <w:rPr>
          <w:szCs w:val="22"/>
        </w:rPr>
        <w:t xml:space="preserve">LLC </w:t>
      </w:r>
      <w:r>
        <w:rPr>
          <w:szCs w:val="22"/>
        </w:rPr>
        <w:t>a</w:t>
      </w:r>
      <w:r w:rsidRPr="00FA7A95">
        <w:rPr>
          <w:szCs w:val="22"/>
        </w:rPr>
        <w:t>nd X5 R</w:t>
      </w:r>
      <w:r>
        <w:rPr>
          <w:szCs w:val="22"/>
        </w:rPr>
        <w:t>TC</w:t>
      </w:r>
      <w:r w:rsidR="000B57B7">
        <w:rPr>
          <w:szCs w:val="22"/>
        </w:rPr>
        <w:t xml:space="preserve"> LLC</w:t>
      </w:r>
      <w:r w:rsidR="00F80FFB" w:rsidRPr="00D27120">
        <w:rPr>
          <w:szCs w:val="22"/>
        </w:rPr>
        <w:t>, WC</w:t>
      </w:r>
      <w:r w:rsidR="00515FB3" w:rsidRPr="00D27120">
        <w:rPr>
          <w:szCs w:val="22"/>
        </w:rPr>
        <w:t xml:space="preserve"> Docket No. 15-</w:t>
      </w:r>
      <w:r>
        <w:rPr>
          <w:szCs w:val="22"/>
        </w:rPr>
        <w:t>318</w:t>
      </w:r>
      <w:r w:rsidR="00F80FFB" w:rsidRPr="00D27120">
        <w:rPr>
          <w:szCs w:val="22"/>
        </w:rPr>
        <w:t xml:space="preserve"> (filed </w:t>
      </w:r>
      <w:r>
        <w:rPr>
          <w:szCs w:val="22"/>
        </w:rPr>
        <w:t>Nov</w:t>
      </w:r>
      <w:r w:rsidR="00E21EC9" w:rsidRPr="00D27120">
        <w:rPr>
          <w:szCs w:val="22"/>
        </w:rPr>
        <w:t>.</w:t>
      </w:r>
      <w:r w:rsidR="00F80FFB" w:rsidRPr="00D27120">
        <w:rPr>
          <w:szCs w:val="22"/>
        </w:rPr>
        <w:t xml:space="preserve"> </w:t>
      </w:r>
      <w:r>
        <w:rPr>
          <w:szCs w:val="22"/>
        </w:rPr>
        <w:t>30</w:t>
      </w:r>
      <w:r w:rsidR="00F80FFB" w:rsidRPr="00D27120">
        <w:rPr>
          <w:szCs w:val="22"/>
        </w:rPr>
        <w:t>, 2015).</w:t>
      </w:r>
    </w:p>
    <w:p w:rsidR="00F80FFB" w:rsidRPr="00D27120" w:rsidRDefault="00F80FFB" w:rsidP="00F80FFB">
      <w:pPr>
        <w:autoSpaceDE w:val="0"/>
        <w:autoSpaceDN w:val="0"/>
        <w:adjustRightInd w:val="0"/>
        <w:ind w:left="720"/>
        <w:rPr>
          <w:szCs w:val="22"/>
        </w:rPr>
      </w:pPr>
    </w:p>
    <w:p w:rsidR="00F80FFB" w:rsidRPr="00D27120" w:rsidRDefault="00F80FFB" w:rsidP="00F80FFB">
      <w:pPr>
        <w:ind w:right="720"/>
        <w:rPr>
          <w:szCs w:val="22"/>
        </w:rPr>
      </w:pPr>
      <w:r w:rsidRPr="00D27120">
        <w:rPr>
          <w:b/>
          <w:szCs w:val="22"/>
          <w:u w:val="single"/>
        </w:rPr>
        <w:t>GENERAL INFORMATION</w:t>
      </w:r>
    </w:p>
    <w:p w:rsidR="00F80FFB" w:rsidRPr="00D27120" w:rsidRDefault="00F80FFB" w:rsidP="00F80FFB">
      <w:pPr>
        <w:ind w:right="720"/>
        <w:rPr>
          <w:szCs w:val="22"/>
        </w:rPr>
      </w:pPr>
    </w:p>
    <w:p w:rsidR="00F80FFB" w:rsidRPr="00D27120" w:rsidRDefault="00F80FFB" w:rsidP="00F80FFB">
      <w:pPr>
        <w:ind w:firstLine="720"/>
        <w:rPr>
          <w:szCs w:val="22"/>
        </w:rPr>
      </w:pPr>
      <w:r w:rsidRPr="00D27120">
        <w:rPr>
          <w:szCs w:val="22"/>
        </w:rPr>
        <w:t xml:space="preserve">The transfer of </w:t>
      </w:r>
      <w:r w:rsidR="00AF321C">
        <w:rPr>
          <w:szCs w:val="22"/>
        </w:rPr>
        <w:t>assets</w:t>
      </w:r>
      <w:r w:rsidRPr="00D27120">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D27120">
        <w:rPr>
          <w:b/>
          <w:szCs w:val="22"/>
        </w:rPr>
        <w:t xml:space="preserve">on or before </w:t>
      </w:r>
      <w:r w:rsidR="00031B77">
        <w:rPr>
          <w:b/>
          <w:szCs w:val="22"/>
        </w:rPr>
        <w:t>January</w:t>
      </w:r>
      <w:r w:rsidR="00F93F15">
        <w:rPr>
          <w:b/>
          <w:szCs w:val="22"/>
        </w:rPr>
        <w:t xml:space="preserve"> 4</w:t>
      </w:r>
      <w:r w:rsidRPr="00D27120">
        <w:rPr>
          <w:b/>
          <w:szCs w:val="22"/>
        </w:rPr>
        <w:t>, 201</w:t>
      </w:r>
      <w:r w:rsidR="00FA7A95">
        <w:rPr>
          <w:b/>
          <w:szCs w:val="22"/>
        </w:rPr>
        <w:t>6</w:t>
      </w:r>
      <w:r w:rsidRPr="00D27120">
        <w:rPr>
          <w:szCs w:val="22"/>
        </w:rPr>
        <w:t xml:space="preserve">, and reply comments </w:t>
      </w:r>
      <w:r w:rsidRPr="00D27120">
        <w:rPr>
          <w:b/>
          <w:szCs w:val="22"/>
        </w:rPr>
        <w:t xml:space="preserve">on or before </w:t>
      </w:r>
      <w:r w:rsidR="00031B77">
        <w:rPr>
          <w:b/>
          <w:szCs w:val="22"/>
        </w:rPr>
        <w:t>January</w:t>
      </w:r>
      <w:r w:rsidR="00F93F15">
        <w:rPr>
          <w:b/>
          <w:szCs w:val="22"/>
        </w:rPr>
        <w:t xml:space="preserve"> 11</w:t>
      </w:r>
      <w:r w:rsidRPr="00D27120">
        <w:rPr>
          <w:b/>
          <w:szCs w:val="22"/>
        </w:rPr>
        <w:t>, 201</w:t>
      </w:r>
      <w:r w:rsidR="00FA7A95">
        <w:rPr>
          <w:b/>
          <w:szCs w:val="22"/>
        </w:rPr>
        <w:t>6</w:t>
      </w:r>
      <w:r w:rsidRPr="00D2712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D27120" w:rsidRDefault="00F80FFB" w:rsidP="00F80FFB">
      <w:pPr>
        <w:rPr>
          <w:szCs w:val="22"/>
        </w:rPr>
      </w:pPr>
    </w:p>
    <w:p w:rsidR="00F80FFB" w:rsidRPr="00D27120" w:rsidRDefault="00F80FFB" w:rsidP="00F80FFB">
      <w:pPr>
        <w:ind w:firstLine="720"/>
        <w:rPr>
          <w:szCs w:val="22"/>
        </w:rPr>
      </w:pPr>
      <w:r w:rsidRPr="00D27120">
        <w:rPr>
          <w:szCs w:val="22"/>
        </w:rPr>
        <w:t xml:space="preserve">Pursuant to section 63.03 of the Commission’s rules, 47 CFR § 63.03, parties to this proceeding should file any documents in this proceeding using the Commission’s Electronic Comment Filing System (ECFS):  http://apps.fcc.gov/ecfs/.  </w:t>
      </w:r>
    </w:p>
    <w:p w:rsidR="00F80FFB" w:rsidRPr="00D27120" w:rsidRDefault="00F80FFB" w:rsidP="00F80FFB">
      <w:pPr>
        <w:rPr>
          <w:szCs w:val="22"/>
        </w:rPr>
      </w:pPr>
    </w:p>
    <w:p w:rsidR="00F80FFB" w:rsidRPr="00D27120" w:rsidRDefault="00F80FFB" w:rsidP="00F80FFB">
      <w:pPr>
        <w:rPr>
          <w:b/>
          <w:szCs w:val="22"/>
        </w:rPr>
      </w:pPr>
      <w:r w:rsidRPr="00D27120">
        <w:rPr>
          <w:b/>
          <w:szCs w:val="22"/>
        </w:rPr>
        <w:t>In addition, e-mail one copy of each pleading to each of the following:</w:t>
      </w:r>
    </w:p>
    <w:p w:rsidR="00F80FFB" w:rsidRPr="00D27120" w:rsidRDefault="00F80FFB" w:rsidP="00F80FFB">
      <w:pPr>
        <w:rPr>
          <w:szCs w:val="22"/>
        </w:rPr>
      </w:pPr>
    </w:p>
    <w:p w:rsidR="00F80FFB" w:rsidRPr="00D27120" w:rsidRDefault="008A1274" w:rsidP="00F80FFB">
      <w:pPr>
        <w:numPr>
          <w:ilvl w:val="0"/>
          <w:numId w:val="18"/>
        </w:numPr>
        <w:rPr>
          <w:szCs w:val="22"/>
        </w:rPr>
      </w:pPr>
      <w:r w:rsidRPr="00D27120">
        <w:rPr>
          <w:szCs w:val="22"/>
        </w:rPr>
        <w:t>Myrva Freeman</w:t>
      </w:r>
      <w:r w:rsidR="00F80FFB" w:rsidRPr="00D27120">
        <w:rPr>
          <w:szCs w:val="22"/>
        </w:rPr>
        <w:t xml:space="preserve">, Competition Policy Division, Wireline Competition Bureau,  </w:t>
      </w:r>
      <w:r w:rsidRPr="00D27120">
        <w:rPr>
          <w:szCs w:val="22"/>
        </w:rPr>
        <w:t>myrva.freeman</w:t>
      </w:r>
      <w:r w:rsidR="00F80FFB" w:rsidRPr="00D27120">
        <w:rPr>
          <w:szCs w:val="22"/>
        </w:rPr>
        <w:t>@fcc.gov;</w:t>
      </w:r>
    </w:p>
    <w:p w:rsidR="00F80FFB" w:rsidRPr="00D27120" w:rsidRDefault="00F80FFB" w:rsidP="00F80FFB">
      <w:pPr>
        <w:rPr>
          <w:szCs w:val="22"/>
        </w:rPr>
      </w:pPr>
    </w:p>
    <w:p w:rsidR="00F80FFB" w:rsidRDefault="008B2E12" w:rsidP="00F80FFB">
      <w:pPr>
        <w:numPr>
          <w:ilvl w:val="0"/>
          <w:numId w:val="18"/>
        </w:numPr>
        <w:rPr>
          <w:szCs w:val="22"/>
        </w:rPr>
      </w:pPr>
      <w:r>
        <w:rPr>
          <w:szCs w:val="22"/>
        </w:rPr>
        <w:t>Dennis Johnson</w:t>
      </w:r>
      <w:r w:rsidR="00F80FFB" w:rsidRPr="00D27120">
        <w:rPr>
          <w:szCs w:val="22"/>
        </w:rPr>
        <w:t xml:space="preserve">, Competition Policy Division, Wireline Competition Bureau, </w:t>
      </w:r>
      <w:hyperlink r:id="rId14" w:history="1">
        <w:r w:rsidRPr="00610596">
          <w:rPr>
            <w:rStyle w:val="Hyperlink"/>
            <w:szCs w:val="22"/>
          </w:rPr>
          <w:t>dennis.johnson@fcc.gov</w:t>
        </w:r>
      </w:hyperlink>
      <w:r w:rsidR="00F80FFB" w:rsidRPr="00D27120">
        <w:rPr>
          <w:szCs w:val="22"/>
        </w:rPr>
        <w:t>;</w:t>
      </w:r>
    </w:p>
    <w:p w:rsidR="000E7077" w:rsidRDefault="000E7077" w:rsidP="000E7077">
      <w:pPr>
        <w:pStyle w:val="ListParagraph"/>
        <w:rPr>
          <w:szCs w:val="22"/>
        </w:rPr>
      </w:pPr>
    </w:p>
    <w:p w:rsidR="000E7077" w:rsidRDefault="000E7077" w:rsidP="00F80FFB">
      <w:pPr>
        <w:numPr>
          <w:ilvl w:val="0"/>
          <w:numId w:val="18"/>
        </w:numPr>
        <w:rPr>
          <w:szCs w:val="22"/>
        </w:rPr>
      </w:pPr>
      <w:r>
        <w:rPr>
          <w:szCs w:val="22"/>
        </w:rPr>
        <w:t>David Krech, International Bureau, david.krech@fcc.gov,</w:t>
      </w:r>
    </w:p>
    <w:p w:rsidR="000E7077" w:rsidRDefault="000E7077" w:rsidP="000E7077">
      <w:pPr>
        <w:pStyle w:val="ListParagraph"/>
        <w:rPr>
          <w:szCs w:val="22"/>
        </w:rPr>
      </w:pPr>
    </w:p>
    <w:p w:rsidR="000E7077" w:rsidRPr="00D27120" w:rsidRDefault="000E7077" w:rsidP="00F80FFB">
      <w:pPr>
        <w:numPr>
          <w:ilvl w:val="0"/>
          <w:numId w:val="18"/>
        </w:numPr>
        <w:rPr>
          <w:szCs w:val="22"/>
        </w:rPr>
      </w:pPr>
      <w:r>
        <w:rPr>
          <w:szCs w:val="22"/>
        </w:rPr>
        <w:t>Sumita Mukhoty, International Bureau, Sumita.mukhoty@fcc.gov</w:t>
      </w:r>
    </w:p>
    <w:p w:rsidR="00F80FFB" w:rsidRPr="00D27120" w:rsidRDefault="00F80FFB" w:rsidP="00F80FFB">
      <w:pPr>
        <w:rPr>
          <w:szCs w:val="22"/>
        </w:rPr>
      </w:pPr>
    </w:p>
    <w:p w:rsidR="00F80FFB" w:rsidRPr="00D27120" w:rsidRDefault="00F80FFB" w:rsidP="00F80FFB">
      <w:pPr>
        <w:numPr>
          <w:ilvl w:val="0"/>
          <w:numId w:val="18"/>
        </w:numPr>
        <w:rPr>
          <w:szCs w:val="22"/>
        </w:rPr>
      </w:pPr>
      <w:r w:rsidRPr="00D27120">
        <w:rPr>
          <w:szCs w:val="22"/>
        </w:rPr>
        <w:t xml:space="preserve">Jim Bird, Office of General Counsel, </w:t>
      </w:r>
      <w:hyperlink r:id="rId15" w:history="1">
        <w:r w:rsidRPr="00D27120">
          <w:rPr>
            <w:rStyle w:val="Hyperlink"/>
            <w:szCs w:val="22"/>
          </w:rPr>
          <w:t>jim.bird@fcc.gov</w:t>
        </w:r>
      </w:hyperlink>
      <w:r w:rsidRPr="00D27120">
        <w:rPr>
          <w:szCs w:val="22"/>
        </w:rPr>
        <w:t>.</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D27120" w:rsidRDefault="00F80FFB" w:rsidP="00F80FFB">
      <w:pPr>
        <w:rPr>
          <w:szCs w:val="22"/>
        </w:rPr>
      </w:pPr>
    </w:p>
    <w:p w:rsidR="00F80FFB" w:rsidRPr="00D27120" w:rsidRDefault="00F80FFB" w:rsidP="00F80FFB">
      <w:pPr>
        <w:rPr>
          <w:szCs w:val="22"/>
        </w:rPr>
      </w:pPr>
      <w:r w:rsidRPr="00D27120">
        <w:rPr>
          <w:szCs w:val="22"/>
        </w:rPr>
        <w:tab/>
        <w:t xml:space="preserve">For further information, please contact </w:t>
      </w:r>
      <w:r w:rsidR="008A1274" w:rsidRPr="00D27120">
        <w:rPr>
          <w:szCs w:val="22"/>
        </w:rPr>
        <w:t>Myrva Freeman at (202) 418-1506</w:t>
      </w:r>
      <w:r w:rsidRPr="00D27120">
        <w:rPr>
          <w:szCs w:val="22"/>
        </w:rPr>
        <w:t xml:space="preserve"> or </w:t>
      </w:r>
      <w:r w:rsidR="008B2E12">
        <w:rPr>
          <w:szCs w:val="22"/>
        </w:rPr>
        <w:t>Dennis Johnson</w:t>
      </w:r>
      <w:r w:rsidRPr="00D27120">
        <w:rPr>
          <w:szCs w:val="22"/>
        </w:rPr>
        <w:t xml:space="preserve"> at (202) 418-</w:t>
      </w:r>
      <w:r w:rsidR="008B2E12">
        <w:rPr>
          <w:szCs w:val="22"/>
        </w:rPr>
        <w:t>0809</w:t>
      </w:r>
      <w:r w:rsidRPr="00D27120">
        <w:rPr>
          <w:szCs w:val="22"/>
        </w:rPr>
        <w:t>.</w:t>
      </w:r>
    </w:p>
    <w:p w:rsidR="00F80FFB" w:rsidRPr="00D27120" w:rsidRDefault="00F80FFB" w:rsidP="00F80FFB">
      <w:pPr>
        <w:ind w:left="720" w:right="720"/>
        <w:rPr>
          <w:szCs w:val="22"/>
        </w:rPr>
      </w:pPr>
    </w:p>
    <w:p w:rsidR="00F80FFB" w:rsidRPr="00D27120" w:rsidRDefault="00F80FFB" w:rsidP="005F1B83">
      <w:pPr>
        <w:jc w:val="center"/>
        <w:rPr>
          <w:szCs w:val="22"/>
        </w:rPr>
      </w:pPr>
      <w:r w:rsidRPr="00D27120">
        <w:rPr>
          <w:b/>
          <w:szCs w:val="22"/>
        </w:rPr>
        <w:t>- FCC -</w:t>
      </w:r>
    </w:p>
    <w:p w:rsidR="00F80FFB" w:rsidRPr="00D27120" w:rsidRDefault="00F80FFB" w:rsidP="00F80FFB">
      <w:pPr>
        <w:spacing w:before="120" w:after="240"/>
        <w:rPr>
          <w:szCs w:val="22"/>
        </w:rPr>
      </w:pPr>
    </w:p>
    <w:p w:rsidR="00F80FFB" w:rsidRPr="00D27120"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27" w:rsidRDefault="00EC2327">
      <w:r>
        <w:separator/>
      </w:r>
    </w:p>
  </w:endnote>
  <w:endnote w:type="continuationSeparator" w:id="0">
    <w:p w:rsidR="00EC2327" w:rsidRDefault="00EC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FB">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BF" w:rsidRDefault="001A4D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1F4668">
    <w:pPr>
      <w:pStyle w:val="Footer"/>
      <w:jc w:val="center"/>
    </w:pPr>
    <w:r>
      <w:rPr>
        <w:rStyle w:val="PageNumber"/>
      </w:rPr>
      <w:fldChar w:fldCharType="begin"/>
    </w:r>
    <w:r>
      <w:rPr>
        <w:rStyle w:val="PageNumber"/>
      </w:rPr>
      <w:instrText xml:space="preserve"> PAGE </w:instrText>
    </w:r>
    <w:r>
      <w:rPr>
        <w:rStyle w:val="PageNumber"/>
      </w:rPr>
      <w:fldChar w:fldCharType="separate"/>
    </w:r>
    <w:r w:rsidR="00E24C79">
      <w:rPr>
        <w:rStyle w:val="PageNumber"/>
        <w:noProof/>
      </w:rPr>
      <w:t>2</w:t>
    </w:r>
    <w:r>
      <w:rPr>
        <w:rStyle w:val="PageNumber"/>
      </w:rPr>
      <w:fldChar w:fldCharType="end"/>
    </w:r>
  </w:p>
  <w:p w:rsidR="001D404B" w:rsidRDefault="001D4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27" w:rsidRDefault="00EC2327">
      <w:r>
        <w:separator/>
      </w:r>
    </w:p>
  </w:footnote>
  <w:footnote w:type="continuationSeparator" w:id="0">
    <w:p w:rsidR="00EC2327" w:rsidRDefault="00EC2327">
      <w:r>
        <w:continuationSeparator/>
      </w:r>
    </w:p>
  </w:footnote>
  <w:footnote w:id="1">
    <w:p w:rsidR="00F80FFB" w:rsidRPr="00D97B31" w:rsidRDefault="00F80FFB" w:rsidP="00F80FFB">
      <w:pPr>
        <w:pStyle w:val="FootnoteText"/>
        <w:rPr>
          <w:sz w:val="20"/>
        </w:rPr>
      </w:pPr>
      <w:r w:rsidRPr="00D97B31">
        <w:rPr>
          <w:rStyle w:val="FootnoteReference"/>
          <w:sz w:val="20"/>
        </w:rPr>
        <w:footnoteRef/>
      </w:r>
      <w:r w:rsidR="00AF38E3">
        <w:rPr>
          <w:sz w:val="20"/>
        </w:rPr>
        <w:t xml:space="preserve"> </w:t>
      </w:r>
      <w:r w:rsidRPr="00D97B31">
        <w:rPr>
          <w:sz w:val="20"/>
        </w:rPr>
        <w:t xml:space="preserve">47 U.S.C. § 214, 47 C.F.R. § 63.03.  </w:t>
      </w:r>
      <w:r w:rsidR="00964D5F">
        <w:rPr>
          <w:sz w:val="20"/>
        </w:rPr>
        <w:t>Applicants also filed app</w:t>
      </w:r>
      <w:r w:rsidR="00FB52C8">
        <w:rPr>
          <w:sz w:val="20"/>
        </w:rPr>
        <w:t xml:space="preserve">lications for the transfer of authorizations associated with international services.  </w:t>
      </w:r>
      <w:r w:rsidR="00A3589F" w:rsidRPr="00B1304D">
        <w:rPr>
          <w:sz w:val="20"/>
        </w:rPr>
        <w:t>Any action on this domestic section 214 application is without prejudice to Commission action on other related, pending</w:t>
      </w:r>
      <w:r w:rsidR="00A3589F">
        <w:rPr>
          <w:sz w:val="20"/>
        </w:rPr>
        <w:t xml:space="preserve"> applications.  </w:t>
      </w:r>
      <w:r w:rsidR="007B3F5E">
        <w:rPr>
          <w:sz w:val="20"/>
        </w:rPr>
        <w:t>Applicants filed a supplement to their Application on December 15, 2015.</w:t>
      </w:r>
      <w:r w:rsidR="00597BAE">
        <w:rPr>
          <w:sz w:val="20"/>
        </w:rPr>
        <w:t xml:space="preserve">  </w:t>
      </w:r>
      <w:r w:rsidR="003939D9">
        <w:rPr>
          <w:sz w:val="20"/>
        </w:rPr>
        <w:t>On December 17, 2015, t</w:t>
      </w:r>
      <w:r w:rsidR="00BC6D6C">
        <w:rPr>
          <w:sz w:val="20"/>
        </w:rPr>
        <w:t xml:space="preserve">he Wireline Bureau granted a domestic 214 application for the </w:t>
      </w:r>
      <w:r w:rsidR="003939D9">
        <w:rPr>
          <w:sz w:val="20"/>
        </w:rPr>
        <w:t>transfer of assets of No</w:t>
      </w:r>
      <w:r w:rsidR="0092037B">
        <w:rPr>
          <w:sz w:val="20"/>
        </w:rPr>
        <w:t xml:space="preserve">vatel Ltd., Inc. to X5 OpCo LLC.  </w:t>
      </w:r>
      <w:r w:rsidR="00D10625" w:rsidRPr="00D10625">
        <w:rPr>
          <w:i/>
          <w:sz w:val="20"/>
        </w:rPr>
        <w:t>See</w:t>
      </w:r>
      <w:r w:rsidR="00D10625">
        <w:rPr>
          <w:sz w:val="20"/>
        </w:rPr>
        <w:t xml:space="preserve"> </w:t>
      </w:r>
      <w:r w:rsidR="007232AB" w:rsidRPr="00D10625">
        <w:rPr>
          <w:i/>
          <w:sz w:val="20"/>
        </w:rPr>
        <w:t>Domestic Section 214 Application Filed for the Acquisition of Certain Assets of Novatel Ltd., Inc.</w:t>
      </w:r>
      <w:r w:rsidR="007232AB">
        <w:rPr>
          <w:sz w:val="20"/>
        </w:rPr>
        <w:t xml:space="preserve">, WC Docket 15-249, Public Notice, DA </w:t>
      </w:r>
      <w:r w:rsidR="00135D1B">
        <w:rPr>
          <w:sz w:val="20"/>
        </w:rPr>
        <w:t xml:space="preserve">15-1317 (WCB </w:t>
      </w:r>
      <w:r w:rsidR="007232AB">
        <w:rPr>
          <w:sz w:val="20"/>
        </w:rPr>
        <w:t>2015).</w:t>
      </w:r>
    </w:p>
  </w:footnote>
  <w:footnote w:id="2">
    <w:p w:rsidR="007232AB" w:rsidRPr="006003E7" w:rsidRDefault="007232AB" w:rsidP="007232AB">
      <w:pPr>
        <w:autoSpaceDE w:val="0"/>
        <w:autoSpaceDN w:val="0"/>
        <w:adjustRightInd w:val="0"/>
        <w:rPr>
          <w:sz w:val="20"/>
        </w:rPr>
      </w:pPr>
      <w:r>
        <w:rPr>
          <w:rStyle w:val="FootnoteReference"/>
          <w:sz w:val="20"/>
        </w:rPr>
        <w:footnoteRef/>
      </w:r>
      <w:r>
        <w:rPr>
          <w:sz w:val="20"/>
        </w:rPr>
        <w:t xml:space="preserve"> A detailed description of X5 OpCo’s ownership is provided in the application.  </w:t>
      </w:r>
    </w:p>
  </w:footnote>
  <w:footnote w:id="3">
    <w:p w:rsidR="00F80FFB" w:rsidRPr="00D97B31" w:rsidRDefault="00F80FFB" w:rsidP="00F80FFB">
      <w:pPr>
        <w:pStyle w:val="FootnoteText"/>
        <w:rPr>
          <w:sz w:val="20"/>
        </w:rPr>
      </w:pPr>
      <w:r w:rsidRPr="00D97B31">
        <w:rPr>
          <w:rStyle w:val="FootnoteReference"/>
          <w:sz w:val="20"/>
        </w:rPr>
        <w:footnoteRef/>
      </w:r>
      <w:r w:rsidR="002E2641" w:rsidRPr="00D97B31">
        <w:rPr>
          <w:sz w:val="20"/>
        </w:rPr>
        <w:t xml:space="preserve"> 47 C.F.R. § 63.03(b)(2)(i</w:t>
      </w:r>
      <w:r w:rsidR="00D10625">
        <w:rPr>
          <w:sz w:val="20"/>
        </w:rPr>
        <w:t>i</w:t>
      </w:r>
      <w:r w:rsidRPr="00D97B3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BF" w:rsidRDefault="001A4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BF" w:rsidRDefault="001A4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E24C7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w:r>
    <w:r w:rsidR="00A56D3D">
      <w:rPr>
        <w:rFonts w:ascii="News Gothic MT" w:hAnsi="News Gothic MT"/>
        <w:b/>
        <w:kern w:val="28"/>
        <w:sz w:val="96"/>
      </w:rPr>
      <w:t>PUBLIC NOTICE</w:t>
    </w:r>
  </w:p>
  <w:p w:rsidR="00A56D3D" w:rsidRDefault="00E24C79">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w:r>
  </w:p>
  <w:p w:rsidR="00A56D3D" w:rsidRDefault="00A56D3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E24C79">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404B" w:rsidRDefault="001F4668">
                <w:pPr>
                  <w:rPr>
                    <w:rFonts w:ascii="Arial" w:hAnsi="Arial"/>
                    <w:b/>
                  </w:rPr>
                </w:pPr>
                <w:r>
                  <w:rPr>
                    <w:rFonts w:ascii="Arial" w:hAnsi="Arial"/>
                    <w:b/>
                  </w:rPr>
                  <w:t>Federal Communications Commission</w:t>
                </w:r>
              </w:p>
              <w:p w:rsidR="001D404B" w:rsidRDefault="001F466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404B" w:rsidRDefault="001F466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1F4668">
      <w:rPr>
        <w:rFonts w:ascii="Copperplate32bc" w:hAnsi="Copperplate32bc"/>
        <w:b/>
        <w:kern w:val="28"/>
        <w:sz w:val="96"/>
      </w:rPr>
      <w:t>PUBLIC NOTICE</w:t>
    </w:r>
  </w:p>
  <w:p w:rsidR="001D404B" w:rsidRDefault="00E24C79">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404B" w:rsidRDefault="001F4668">
                <w:pPr>
                  <w:spacing w:before="40"/>
                  <w:jc w:val="right"/>
                  <w:rPr>
                    <w:rFonts w:ascii="Arial" w:hAnsi="Arial"/>
                    <w:b/>
                    <w:sz w:val="16"/>
                  </w:rPr>
                </w:pPr>
                <w:r>
                  <w:rPr>
                    <w:rFonts w:ascii="Arial" w:hAnsi="Arial"/>
                    <w:b/>
                    <w:sz w:val="16"/>
                  </w:rPr>
                  <w:t>News Media Information 202 / 418-0500</w:t>
                </w:r>
              </w:p>
              <w:p w:rsidR="001D404B" w:rsidRDefault="001F4668">
                <w:pPr>
                  <w:jc w:val="right"/>
                  <w:rPr>
                    <w:rFonts w:ascii="Arial" w:hAnsi="Arial"/>
                    <w:b/>
                    <w:sz w:val="16"/>
                  </w:rPr>
                </w:pPr>
                <w:r>
                  <w:rPr>
                    <w:rFonts w:ascii="Arial" w:hAnsi="Arial"/>
                    <w:b/>
                    <w:sz w:val="16"/>
                  </w:rPr>
                  <w:tab/>
                  <w:t>Internet: http://www.fcc.gov</w:t>
                </w:r>
              </w:p>
              <w:p w:rsidR="001D404B" w:rsidRDefault="001F4668">
                <w:pPr>
                  <w:jc w:val="right"/>
                  <w:rPr>
                    <w:rFonts w:ascii="Arial" w:hAnsi="Arial"/>
                    <w:b/>
                    <w:sz w:val="16"/>
                  </w:rPr>
                </w:pPr>
                <w:r>
                  <w:rPr>
                    <w:rFonts w:ascii="Arial" w:hAnsi="Arial"/>
                    <w:b/>
                    <w:sz w:val="16"/>
                  </w:rPr>
                  <w:t>TTY: 1-888-835-5322</w:t>
                </w:r>
              </w:p>
              <w:p w:rsidR="001D404B" w:rsidRDefault="001D404B">
                <w:pPr>
                  <w:jc w:val="right"/>
                </w:pPr>
              </w:p>
            </w:txbxContent>
          </v:textbox>
        </v:shape>
      </w:pict>
    </w:r>
  </w:p>
  <w:p w:rsidR="001D404B" w:rsidRDefault="001D404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4445"/>
    <w:rsid w:val="0000570B"/>
    <w:rsid w:val="00006965"/>
    <w:rsid w:val="000114B5"/>
    <w:rsid w:val="00021C89"/>
    <w:rsid w:val="0002448D"/>
    <w:rsid w:val="00031B77"/>
    <w:rsid w:val="00034463"/>
    <w:rsid w:val="00037963"/>
    <w:rsid w:val="000401F2"/>
    <w:rsid w:val="0005535C"/>
    <w:rsid w:val="0007252B"/>
    <w:rsid w:val="00076713"/>
    <w:rsid w:val="0009126E"/>
    <w:rsid w:val="000A4055"/>
    <w:rsid w:val="000A4520"/>
    <w:rsid w:val="000B0DCE"/>
    <w:rsid w:val="000B57B7"/>
    <w:rsid w:val="000C4780"/>
    <w:rsid w:val="000E3155"/>
    <w:rsid w:val="000E7077"/>
    <w:rsid w:val="000E760D"/>
    <w:rsid w:val="00110942"/>
    <w:rsid w:val="001119D1"/>
    <w:rsid w:val="00113666"/>
    <w:rsid w:val="0011724D"/>
    <w:rsid w:val="0013052A"/>
    <w:rsid w:val="00135D1B"/>
    <w:rsid w:val="00156895"/>
    <w:rsid w:val="00165BD0"/>
    <w:rsid w:val="001727F8"/>
    <w:rsid w:val="00173E12"/>
    <w:rsid w:val="001809F9"/>
    <w:rsid w:val="00187B28"/>
    <w:rsid w:val="001A269E"/>
    <w:rsid w:val="001A4DBF"/>
    <w:rsid w:val="001B2E39"/>
    <w:rsid w:val="001D31BD"/>
    <w:rsid w:val="001D404B"/>
    <w:rsid w:val="001D65E2"/>
    <w:rsid w:val="001D65FC"/>
    <w:rsid w:val="001D79DC"/>
    <w:rsid w:val="001E1925"/>
    <w:rsid w:val="001F4668"/>
    <w:rsid w:val="00200960"/>
    <w:rsid w:val="00205B87"/>
    <w:rsid w:val="00205FD8"/>
    <w:rsid w:val="00225AC3"/>
    <w:rsid w:val="002277E1"/>
    <w:rsid w:val="00227CC7"/>
    <w:rsid w:val="002479BC"/>
    <w:rsid w:val="00254139"/>
    <w:rsid w:val="00272E9B"/>
    <w:rsid w:val="00274C2B"/>
    <w:rsid w:val="00295114"/>
    <w:rsid w:val="002A0D31"/>
    <w:rsid w:val="002A2546"/>
    <w:rsid w:val="002B1C38"/>
    <w:rsid w:val="002D152E"/>
    <w:rsid w:val="002D7782"/>
    <w:rsid w:val="002E0322"/>
    <w:rsid w:val="002E2641"/>
    <w:rsid w:val="002F2AB4"/>
    <w:rsid w:val="00305EAF"/>
    <w:rsid w:val="00321B06"/>
    <w:rsid w:val="0032475C"/>
    <w:rsid w:val="00331394"/>
    <w:rsid w:val="00333620"/>
    <w:rsid w:val="00336B43"/>
    <w:rsid w:val="003558D9"/>
    <w:rsid w:val="003664FF"/>
    <w:rsid w:val="00367CFE"/>
    <w:rsid w:val="00372CF6"/>
    <w:rsid w:val="003773B3"/>
    <w:rsid w:val="003939D9"/>
    <w:rsid w:val="003A1C84"/>
    <w:rsid w:val="003A204B"/>
    <w:rsid w:val="003A47DB"/>
    <w:rsid w:val="003C124D"/>
    <w:rsid w:val="003C3C08"/>
    <w:rsid w:val="003D382F"/>
    <w:rsid w:val="003D5189"/>
    <w:rsid w:val="003E3A06"/>
    <w:rsid w:val="003E6A00"/>
    <w:rsid w:val="003F0214"/>
    <w:rsid w:val="003F08DD"/>
    <w:rsid w:val="004009F5"/>
    <w:rsid w:val="00401DC5"/>
    <w:rsid w:val="00402BBF"/>
    <w:rsid w:val="00406EA7"/>
    <w:rsid w:val="00412D95"/>
    <w:rsid w:val="004272D7"/>
    <w:rsid w:val="00433C43"/>
    <w:rsid w:val="00435BDD"/>
    <w:rsid w:val="00437390"/>
    <w:rsid w:val="00437DF6"/>
    <w:rsid w:val="004634EA"/>
    <w:rsid w:val="00464B99"/>
    <w:rsid w:val="0046747F"/>
    <w:rsid w:val="0047389D"/>
    <w:rsid w:val="004754AC"/>
    <w:rsid w:val="00483ED8"/>
    <w:rsid w:val="004908CF"/>
    <w:rsid w:val="004A52B7"/>
    <w:rsid w:val="004C5F29"/>
    <w:rsid w:val="004D396B"/>
    <w:rsid w:val="004D6475"/>
    <w:rsid w:val="004D67C3"/>
    <w:rsid w:val="004D74B9"/>
    <w:rsid w:val="004E3727"/>
    <w:rsid w:val="004F56C3"/>
    <w:rsid w:val="005007B4"/>
    <w:rsid w:val="00514D74"/>
    <w:rsid w:val="00515FB3"/>
    <w:rsid w:val="0051799E"/>
    <w:rsid w:val="00525252"/>
    <w:rsid w:val="00525CA0"/>
    <w:rsid w:val="00537386"/>
    <w:rsid w:val="00542436"/>
    <w:rsid w:val="00542653"/>
    <w:rsid w:val="00544B05"/>
    <w:rsid w:val="00546040"/>
    <w:rsid w:val="005472BF"/>
    <w:rsid w:val="00551579"/>
    <w:rsid w:val="0055473C"/>
    <w:rsid w:val="00565FBE"/>
    <w:rsid w:val="0056768B"/>
    <w:rsid w:val="005741D7"/>
    <w:rsid w:val="00575E76"/>
    <w:rsid w:val="00597BAE"/>
    <w:rsid w:val="005A5CC8"/>
    <w:rsid w:val="005E6A88"/>
    <w:rsid w:val="005F1111"/>
    <w:rsid w:val="005F1B83"/>
    <w:rsid w:val="005F5CB9"/>
    <w:rsid w:val="006003E7"/>
    <w:rsid w:val="00612B09"/>
    <w:rsid w:val="0061788F"/>
    <w:rsid w:val="006429B2"/>
    <w:rsid w:val="00655B3B"/>
    <w:rsid w:val="00663A4E"/>
    <w:rsid w:val="00666BE8"/>
    <w:rsid w:val="00677248"/>
    <w:rsid w:val="006A3A99"/>
    <w:rsid w:val="006A554C"/>
    <w:rsid w:val="006A6B79"/>
    <w:rsid w:val="006C11FC"/>
    <w:rsid w:val="006C4EFF"/>
    <w:rsid w:val="006D1A21"/>
    <w:rsid w:val="006D3EF3"/>
    <w:rsid w:val="006E2CD3"/>
    <w:rsid w:val="006F20ED"/>
    <w:rsid w:val="006F4CC7"/>
    <w:rsid w:val="00703EC6"/>
    <w:rsid w:val="00706AC9"/>
    <w:rsid w:val="00714819"/>
    <w:rsid w:val="007217B1"/>
    <w:rsid w:val="007232AB"/>
    <w:rsid w:val="00727EC7"/>
    <w:rsid w:val="00732551"/>
    <w:rsid w:val="00747537"/>
    <w:rsid w:val="00755072"/>
    <w:rsid w:val="00756B80"/>
    <w:rsid w:val="00756B88"/>
    <w:rsid w:val="00782AE5"/>
    <w:rsid w:val="007857C7"/>
    <w:rsid w:val="00792366"/>
    <w:rsid w:val="00792794"/>
    <w:rsid w:val="007B3F5E"/>
    <w:rsid w:val="007C0877"/>
    <w:rsid w:val="007C3A5F"/>
    <w:rsid w:val="007D5DC4"/>
    <w:rsid w:val="007E0595"/>
    <w:rsid w:val="00805979"/>
    <w:rsid w:val="0081552C"/>
    <w:rsid w:val="00832D56"/>
    <w:rsid w:val="008366B2"/>
    <w:rsid w:val="00851346"/>
    <w:rsid w:val="00851615"/>
    <w:rsid w:val="00856727"/>
    <w:rsid w:val="00862B8D"/>
    <w:rsid w:val="008656D9"/>
    <w:rsid w:val="008753EC"/>
    <w:rsid w:val="00894F4D"/>
    <w:rsid w:val="00897BDD"/>
    <w:rsid w:val="008A1274"/>
    <w:rsid w:val="008B2E12"/>
    <w:rsid w:val="008C2B82"/>
    <w:rsid w:val="008D1F84"/>
    <w:rsid w:val="008D3DB7"/>
    <w:rsid w:val="008E37AE"/>
    <w:rsid w:val="008E7A06"/>
    <w:rsid w:val="008F2BD8"/>
    <w:rsid w:val="0092037B"/>
    <w:rsid w:val="009305A4"/>
    <w:rsid w:val="00930DEB"/>
    <w:rsid w:val="0093341E"/>
    <w:rsid w:val="00933726"/>
    <w:rsid w:val="00933F7C"/>
    <w:rsid w:val="00940008"/>
    <w:rsid w:val="009410D4"/>
    <w:rsid w:val="00957B60"/>
    <w:rsid w:val="00964D5F"/>
    <w:rsid w:val="00965ED2"/>
    <w:rsid w:val="009740A7"/>
    <w:rsid w:val="00977C32"/>
    <w:rsid w:val="009A6CA9"/>
    <w:rsid w:val="009A6D5F"/>
    <w:rsid w:val="009A7FBD"/>
    <w:rsid w:val="009B1A42"/>
    <w:rsid w:val="009B1C8D"/>
    <w:rsid w:val="009C019F"/>
    <w:rsid w:val="009C4123"/>
    <w:rsid w:val="009C49A3"/>
    <w:rsid w:val="009D12E7"/>
    <w:rsid w:val="009D2374"/>
    <w:rsid w:val="009D7779"/>
    <w:rsid w:val="009E0CE4"/>
    <w:rsid w:val="009E4540"/>
    <w:rsid w:val="009F590D"/>
    <w:rsid w:val="009F764E"/>
    <w:rsid w:val="00A03593"/>
    <w:rsid w:val="00A10A09"/>
    <w:rsid w:val="00A240DE"/>
    <w:rsid w:val="00A31E0F"/>
    <w:rsid w:val="00A3589F"/>
    <w:rsid w:val="00A412FE"/>
    <w:rsid w:val="00A436B2"/>
    <w:rsid w:val="00A45E96"/>
    <w:rsid w:val="00A56D3D"/>
    <w:rsid w:val="00A75ACA"/>
    <w:rsid w:val="00A8048E"/>
    <w:rsid w:val="00A82C60"/>
    <w:rsid w:val="00A93F47"/>
    <w:rsid w:val="00A96F72"/>
    <w:rsid w:val="00AA0ED6"/>
    <w:rsid w:val="00AA5130"/>
    <w:rsid w:val="00AB2CBC"/>
    <w:rsid w:val="00AB781A"/>
    <w:rsid w:val="00AD52ED"/>
    <w:rsid w:val="00AE2EB5"/>
    <w:rsid w:val="00AE3CBB"/>
    <w:rsid w:val="00AE57CB"/>
    <w:rsid w:val="00AF321C"/>
    <w:rsid w:val="00AF38E3"/>
    <w:rsid w:val="00AF3BBA"/>
    <w:rsid w:val="00B1118C"/>
    <w:rsid w:val="00B21A75"/>
    <w:rsid w:val="00B418FA"/>
    <w:rsid w:val="00B427D3"/>
    <w:rsid w:val="00B53DE7"/>
    <w:rsid w:val="00B540D1"/>
    <w:rsid w:val="00B558E7"/>
    <w:rsid w:val="00B60477"/>
    <w:rsid w:val="00B63947"/>
    <w:rsid w:val="00B800AF"/>
    <w:rsid w:val="00B815D7"/>
    <w:rsid w:val="00B8265D"/>
    <w:rsid w:val="00B969C9"/>
    <w:rsid w:val="00BA30A4"/>
    <w:rsid w:val="00BA3857"/>
    <w:rsid w:val="00BC4533"/>
    <w:rsid w:val="00BC4B23"/>
    <w:rsid w:val="00BC6D6C"/>
    <w:rsid w:val="00BE4CFF"/>
    <w:rsid w:val="00C13AF5"/>
    <w:rsid w:val="00C2115F"/>
    <w:rsid w:val="00C255BC"/>
    <w:rsid w:val="00C35242"/>
    <w:rsid w:val="00C419F7"/>
    <w:rsid w:val="00C41B9D"/>
    <w:rsid w:val="00C42D9A"/>
    <w:rsid w:val="00C47F86"/>
    <w:rsid w:val="00C51228"/>
    <w:rsid w:val="00C5708F"/>
    <w:rsid w:val="00C6038C"/>
    <w:rsid w:val="00C62628"/>
    <w:rsid w:val="00C76EFA"/>
    <w:rsid w:val="00C900AE"/>
    <w:rsid w:val="00C923C2"/>
    <w:rsid w:val="00CA5DD3"/>
    <w:rsid w:val="00CB19AC"/>
    <w:rsid w:val="00CD586C"/>
    <w:rsid w:val="00CD7FD6"/>
    <w:rsid w:val="00CE40A4"/>
    <w:rsid w:val="00CE6AA5"/>
    <w:rsid w:val="00CF49BF"/>
    <w:rsid w:val="00CF761D"/>
    <w:rsid w:val="00D0013A"/>
    <w:rsid w:val="00D011DA"/>
    <w:rsid w:val="00D01ACA"/>
    <w:rsid w:val="00D10625"/>
    <w:rsid w:val="00D248A8"/>
    <w:rsid w:val="00D27120"/>
    <w:rsid w:val="00D3731D"/>
    <w:rsid w:val="00D44068"/>
    <w:rsid w:val="00D70329"/>
    <w:rsid w:val="00D71F6B"/>
    <w:rsid w:val="00D91896"/>
    <w:rsid w:val="00D927ED"/>
    <w:rsid w:val="00D9366C"/>
    <w:rsid w:val="00D97B31"/>
    <w:rsid w:val="00DC6056"/>
    <w:rsid w:val="00DC648C"/>
    <w:rsid w:val="00DC7382"/>
    <w:rsid w:val="00DD1600"/>
    <w:rsid w:val="00DD6259"/>
    <w:rsid w:val="00DE1F42"/>
    <w:rsid w:val="00DE3B77"/>
    <w:rsid w:val="00DF5665"/>
    <w:rsid w:val="00E001CE"/>
    <w:rsid w:val="00E1161E"/>
    <w:rsid w:val="00E21EC9"/>
    <w:rsid w:val="00E236EB"/>
    <w:rsid w:val="00E24C79"/>
    <w:rsid w:val="00E264FC"/>
    <w:rsid w:val="00E33A2C"/>
    <w:rsid w:val="00E44159"/>
    <w:rsid w:val="00E4643A"/>
    <w:rsid w:val="00E562AE"/>
    <w:rsid w:val="00E65CD0"/>
    <w:rsid w:val="00E65D6E"/>
    <w:rsid w:val="00E812F7"/>
    <w:rsid w:val="00E93AF9"/>
    <w:rsid w:val="00EB2EE1"/>
    <w:rsid w:val="00EB3220"/>
    <w:rsid w:val="00EC2327"/>
    <w:rsid w:val="00EC45B8"/>
    <w:rsid w:val="00EE5616"/>
    <w:rsid w:val="00EF7DA7"/>
    <w:rsid w:val="00F11571"/>
    <w:rsid w:val="00F2332A"/>
    <w:rsid w:val="00F26278"/>
    <w:rsid w:val="00F466A5"/>
    <w:rsid w:val="00F60F8D"/>
    <w:rsid w:val="00F723E6"/>
    <w:rsid w:val="00F74D00"/>
    <w:rsid w:val="00F80FFB"/>
    <w:rsid w:val="00F831DC"/>
    <w:rsid w:val="00F93F15"/>
    <w:rsid w:val="00F9738D"/>
    <w:rsid w:val="00FA7A95"/>
    <w:rsid w:val="00FB52C8"/>
    <w:rsid w:val="00FC0DDB"/>
    <w:rsid w:val="00FC1DAA"/>
    <w:rsid w:val="00FC73A8"/>
    <w:rsid w:val="00FD1CD8"/>
    <w:rsid w:val="00FE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888</Words>
  <Characters>5207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6106</CharactersWithSpaces>
  <SharedDoc>false</SharedDoc>
  <HyperlinkBase> </HyperlinkBase>
  <HLinks>
    <vt:vector size="12" baseType="variant">
      <vt:variant>
        <vt:i4>1507426</vt:i4>
      </vt:variant>
      <vt:variant>
        <vt:i4>3</vt:i4>
      </vt:variant>
      <vt:variant>
        <vt:i4>0</vt:i4>
      </vt:variant>
      <vt:variant>
        <vt:i4>5</vt:i4>
      </vt:variant>
      <vt:variant>
        <vt:lpwstr>mailto:jim.bird@fcc.gov</vt:lpwstr>
      </vt:variant>
      <vt:variant>
        <vt:lpwstr/>
      </vt:variant>
      <vt:variant>
        <vt:i4>2293839</vt:i4>
      </vt:variant>
      <vt:variant>
        <vt:i4>0</vt:i4>
      </vt:variant>
      <vt:variant>
        <vt:i4>0</vt:i4>
      </vt:variant>
      <vt:variant>
        <vt:i4>5</vt:i4>
      </vt:variant>
      <vt:variant>
        <vt:lpwstr>mailto:dennis.johnson@fcc.gov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2015-12-21T18:38:00Z</dcterms:created>
  <dcterms:modified xsi:type="dcterms:W3CDTF">2015-12-21T18:38:00Z</dcterms:modified>
  <cp:category> </cp:category>
  <cp:contentStatus> </cp:contentStatus>
</cp:coreProperties>
</file>