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B07D9"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42C8E8C6" w14:textId="77777777" w:rsidR="00921803" w:rsidRDefault="00921803" w:rsidP="00921803">
      <w:pPr>
        <w:pStyle w:val="StyleBoldCentered"/>
      </w:pPr>
      <w:r>
        <w:t>F</w:t>
      </w:r>
      <w:r>
        <w:rPr>
          <w:caps w:val="0"/>
        </w:rPr>
        <w:t>ederal Communications Commission</w:t>
      </w:r>
    </w:p>
    <w:p w14:paraId="3096D5B6" w14:textId="77777777" w:rsidR="004C2EE3" w:rsidRDefault="00810B6F" w:rsidP="00096D8C">
      <w:pPr>
        <w:pStyle w:val="StyleBoldCentered"/>
      </w:pPr>
      <w:r>
        <w:rPr>
          <w:caps w:val="0"/>
        </w:rPr>
        <w:t>Washington, D.C. 20554</w:t>
      </w:r>
    </w:p>
    <w:p w14:paraId="25918288" w14:textId="77777777" w:rsidR="004C2EE3" w:rsidRDefault="004C2EE3" w:rsidP="0070224F"/>
    <w:p w14:paraId="5A4965F5"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59231E20" w14:textId="77777777">
        <w:tc>
          <w:tcPr>
            <w:tcW w:w="4698" w:type="dxa"/>
          </w:tcPr>
          <w:p w14:paraId="4CD95DF1" w14:textId="77777777" w:rsidR="004C2EE3" w:rsidRDefault="004C2EE3">
            <w:pPr>
              <w:tabs>
                <w:tab w:val="center" w:pos="4680"/>
              </w:tabs>
              <w:suppressAutoHyphens/>
              <w:rPr>
                <w:spacing w:val="-2"/>
              </w:rPr>
            </w:pPr>
            <w:r>
              <w:rPr>
                <w:spacing w:val="-2"/>
              </w:rPr>
              <w:t>In the Matter of</w:t>
            </w:r>
          </w:p>
          <w:p w14:paraId="49F5BCA5" w14:textId="77777777" w:rsidR="004C2EE3" w:rsidRDefault="004C2EE3">
            <w:pPr>
              <w:tabs>
                <w:tab w:val="center" w:pos="4680"/>
              </w:tabs>
              <w:suppressAutoHyphens/>
              <w:rPr>
                <w:spacing w:val="-2"/>
              </w:rPr>
            </w:pPr>
          </w:p>
          <w:p w14:paraId="7352D477" w14:textId="77777777" w:rsidR="004C2EE3" w:rsidRDefault="005D57EE" w:rsidP="007115F7">
            <w:pPr>
              <w:tabs>
                <w:tab w:val="center" w:pos="4680"/>
              </w:tabs>
              <w:suppressAutoHyphens/>
              <w:rPr>
                <w:spacing w:val="-2"/>
              </w:rPr>
            </w:pPr>
            <w:r>
              <w:rPr>
                <w:spacing w:val="-2"/>
              </w:rPr>
              <w:t>Petitions for Reconsideration by</w:t>
            </w:r>
          </w:p>
          <w:p w14:paraId="4BADC0DB" w14:textId="77777777" w:rsidR="005D57EE" w:rsidRDefault="005D57EE" w:rsidP="007115F7">
            <w:pPr>
              <w:tabs>
                <w:tab w:val="center" w:pos="4680"/>
              </w:tabs>
              <w:suppressAutoHyphens/>
              <w:rPr>
                <w:spacing w:val="-2"/>
              </w:rPr>
            </w:pPr>
          </w:p>
          <w:p w14:paraId="63CC737D" w14:textId="77777777" w:rsidR="005D57EE" w:rsidRDefault="005D57EE" w:rsidP="007115F7">
            <w:pPr>
              <w:tabs>
                <w:tab w:val="center" w:pos="4680"/>
              </w:tabs>
              <w:suppressAutoHyphens/>
              <w:rPr>
                <w:spacing w:val="-2"/>
              </w:rPr>
            </w:pPr>
            <w:r>
              <w:rPr>
                <w:spacing w:val="-2"/>
              </w:rPr>
              <w:t>Blessed Sacrament School et al.</w:t>
            </w:r>
          </w:p>
          <w:p w14:paraId="35776BC3" w14:textId="77777777" w:rsidR="005D57EE" w:rsidRDefault="005D57EE" w:rsidP="007115F7">
            <w:pPr>
              <w:tabs>
                <w:tab w:val="center" w:pos="4680"/>
              </w:tabs>
              <w:suppressAutoHyphens/>
              <w:rPr>
                <w:spacing w:val="-2"/>
              </w:rPr>
            </w:pPr>
            <w:r>
              <w:rPr>
                <w:spacing w:val="-2"/>
              </w:rPr>
              <w:t>New York, New York</w:t>
            </w:r>
          </w:p>
          <w:p w14:paraId="416DDA27" w14:textId="77777777" w:rsidR="005D57EE" w:rsidRDefault="005D57EE" w:rsidP="007115F7">
            <w:pPr>
              <w:tabs>
                <w:tab w:val="center" w:pos="4680"/>
              </w:tabs>
              <w:suppressAutoHyphens/>
              <w:rPr>
                <w:spacing w:val="-2"/>
              </w:rPr>
            </w:pPr>
          </w:p>
          <w:p w14:paraId="2E56DA7E" w14:textId="77777777" w:rsidR="005D57EE" w:rsidRDefault="005D57EE" w:rsidP="007115F7">
            <w:pPr>
              <w:tabs>
                <w:tab w:val="center" w:pos="4680"/>
              </w:tabs>
              <w:suppressAutoHyphens/>
              <w:rPr>
                <w:spacing w:val="-2"/>
              </w:rPr>
            </w:pPr>
            <w:r>
              <w:rPr>
                <w:spacing w:val="-2"/>
              </w:rPr>
              <w:t xml:space="preserve">School and Libraries Universal Service </w:t>
            </w:r>
          </w:p>
          <w:p w14:paraId="5508E2D2" w14:textId="77777777" w:rsidR="005D57EE" w:rsidRPr="007115F7" w:rsidRDefault="005D57EE" w:rsidP="007115F7">
            <w:pPr>
              <w:tabs>
                <w:tab w:val="center" w:pos="4680"/>
              </w:tabs>
              <w:suppressAutoHyphens/>
              <w:rPr>
                <w:spacing w:val="-2"/>
              </w:rPr>
            </w:pPr>
            <w:r>
              <w:rPr>
                <w:spacing w:val="-2"/>
              </w:rPr>
              <w:t>Support Mechanism</w:t>
            </w:r>
          </w:p>
        </w:tc>
        <w:tc>
          <w:tcPr>
            <w:tcW w:w="630" w:type="dxa"/>
          </w:tcPr>
          <w:p w14:paraId="50F28454" w14:textId="77777777" w:rsidR="004C2EE3" w:rsidRDefault="004C2EE3">
            <w:pPr>
              <w:tabs>
                <w:tab w:val="center" w:pos="4680"/>
              </w:tabs>
              <w:suppressAutoHyphens/>
              <w:rPr>
                <w:b/>
                <w:spacing w:val="-2"/>
              </w:rPr>
            </w:pPr>
            <w:r>
              <w:rPr>
                <w:b/>
                <w:spacing w:val="-2"/>
              </w:rPr>
              <w:t>)</w:t>
            </w:r>
          </w:p>
          <w:p w14:paraId="02CB75E4" w14:textId="77777777" w:rsidR="004C2EE3" w:rsidRDefault="004C2EE3">
            <w:pPr>
              <w:tabs>
                <w:tab w:val="center" w:pos="4680"/>
              </w:tabs>
              <w:suppressAutoHyphens/>
              <w:rPr>
                <w:b/>
                <w:spacing w:val="-2"/>
              </w:rPr>
            </w:pPr>
            <w:r>
              <w:rPr>
                <w:b/>
                <w:spacing w:val="-2"/>
              </w:rPr>
              <w:t>)</w:t>
            </w:r>
          </w:p>
          <w:p w14:paraId="52766A78" w14:textId="77777777" w:rsidR="004C2EE3" w:rsidRDefault="004C2EE3">
            <w:pPr>
              <w:tabs>
                <w:tab w:val="center" w:pos="4680"/>
              </w:tabs>
              <w:suppressAutoHyphens/>
              <w:rPr>
                <w:b/>
                <w:spacing w:val="-2"/>
              </w:rPr>
            </w:pPr>
            <w:r>
              <w:rPr>
                <w:b/>
                <w:spacing w:val="-2"/>
              </w:rPr>
              <w:t>)</w:t>
            </w:r>
          </w:p>
          <w:p w14:paraId="23DF51BE" w14:textId="77777777" w:rsidR="004C2EE3" w:rsidRDefault="004C2EE3">
            <w:pPr>
              <w:tabs>
                <w:tab w:val="center" w:pos="4680"/>
              </w:tabs>
              <w:suppressAutoHyphens/>
              <w:rPr>
                <w:b/>
                <w:spacing w:val="-2"/>
              </w:rPr>
            </w:pPr>
            <w:r>
              <w:rPr>
                <w:b/>
                <w:spacing w:val="-2"/>
              </w:rPr>
              <w:t>)</w:t>
            </w:r>
          </w:p>
          <w:p w14:paraId="494FAFD4" w14:textId="77777777" w:rsidR="004C2EE3" w:rsidRDefault="004C2EE3">
            <w:pPr>
              <w:tabs>
                <w:tab w:val="center" w:pos="4680"/>
              </w:tabs>
              <w:suppressAutoHyphens/>
              <w:rPr>
                <w:b/>
                <w:spacing w:val="-2"/>
              </w:rPr>
            </w:pPr>
            <w:r>
              <w:rPr>
                <w:b/>
                <w:spacing w:val="-2"/>
              </w:rPr>
              <w:t>)</w:t>
            </w:r>
          </w:p>
          <w:p w14:paraId="11192EA3" w14:textId="77777777" w:rsidR="004C2EE3" w:rsidRDefault="004C2EE3">
            <w:pPr>
              <w:tabs>
                <w:tab w:val="center" w:pos="4680"/>
              </w:tabs>
              <w:suppressAutoHyphens/>
              <w:rPr>
                <w:b/>
                <w:spacing w:val="-2"/>
              </w:rPr>
            </w:pPr>
            <w:r>
              <w:rPr>
                <w:b/>
                <w:spacing w:val="-2"/>
              </w:rPr>
              <w:t>)</w:t>
            </w:r>
          </w:p>
          <w:p w14:paraId="0E1ED5CB" w14:textId="77777777" w:rsidR="004C2EE3" w:rsidRDefault="004C2EE3">
            <w:pPr>
              <w:tabs>
                <w:tab w:val="center" w:pos="4680"/>
              </w:tabs>
              <w:suppressAutoHyphens/>
              <w:rPr>
                <w:b/>
                <w:spacing w:val="-2"/>
              </w:rPr>
            </w:pPr>
            <w:r>
              <w:rPr>
                <w:b/>
                <w:spacing w:val="-2"/>
              </w:rPr>
              <w:t>)</w:t>
            </w:r>
          </w:p>
          <w:p w14:paraId="4FFC9786" w14:textId="77777777" w:rsidR="004C2EE3" w:rsidRDefault="004C2EE3">
            <w:pPr>
              <w:tabs>
                <w:tab w:val="center" w:pos="4680"/>
              </w:tabs>
              <w:suppressAutoHyphens/>
              <w:rPr>
                <w:b/>
                <w:spacing w:val="-2"/>
              </w:rPr>
            </w:pPr>
            <w:r>
              <w:rPr>
                <w:b/>
                <w:spacing w:val="-2"/>
              </w:rPr>
              <w:t>)</w:t>
            </w:r>
          </w:p>
          <w:p w14:paraId="284DD429" w14:textId="77777777" w:rsidR="004C2EE3" w:rsidRDefault="004C2EE3">
            <w:pPr>
              <w:tabs>
                <w:tab w:val="center" w:pos="4680"/>
              </w:tabs>
              <w:suppressAutoHyphens/>
              <w:rPr>
                <w:spacing w:val="-2"/>
              </w:rPr>
            </w:pPr>
            <w:r>
              <w:rPr>
                <w:b/>
                <w:spacing w:val="-2"/>
              </w:rPr>
              <w:t>)</w:t>
            </w:r>
          </w:p>
        </w:tc>
        <w:tc>
          <w:tcPr>
            <w:tcW w:w="4248" w:type="dxa"/>
          </w:tcPr>
          <w:p w14:paraId="4CD0F2A0" w14:textId="77777777" w:rsidR="004C2EE3" w:rsidRDefault="004C2EE3">
            <w:pPr>
              <w:tabs>
                <w:tab w:val="center" w:pos="4680"/>
              </w:tabs>
              <w:suppressAutoHyphens/>
              <w:rPr>
                <w:spacing w:val="-2"/>
              </w:rPr>
            </w:pPr>
          </w:p>
          <w:p w14:paraId="06F8B3C7" w14:textId="77777777" w:rsidR="004C2EE3" w:rsidRDefault="004C2EE3">
            <w:pPr>
              <w:pStyle w:val="TOAHeading"/>
              <w:tabs>
                <w:tab w:val="clear" w:pos="9360"/>
                <w:tab w:val="center" w:pos="4680"/>
              </w:tabs>
              <w:rPr>
                <w:spacing w:val="-2"/>
              </w:rPr>
            </w:pPr>
          </w:p>
          <w:p w14:paraId="0E158FFE" w14:textId="77777777" w:rsidR="004C2EE3" w:rsidRDefault="004C2EE3">
            <w:pPr>
              <w:tabs>
                <w:tab w:val="center" w:pos="4680"/>
              </w:tabs>
              <w:suppressAutoHyphens/>
              <w:rPr>
                <w:spacing w:val="-2"/>
              </w:rPr>
            </w:pPr>
          </w:p>
          <w:p w14:paraId="6C41CDAD" w14:textId="77777777" w:rsidR="005D57EE" w:rsidRDefault="005D57EE">
            <w:pPr>
              <w:tabs>
                <w:tab w:val="center" w:pos="4680"/>
              </w:tabs>
              <w:suppressAutoHyphens/>
              <w:rPr>
                <w:spacing w:val="-2"/>
              </w:rPr>
            </w:pPr>
          </w:p>
          <w:p w14:paraId="337C4DD9" w14:textId="77777777" w:rsidR="005D57EE" w:rsidRDefault="005D57EE">
            <w:pPr>
              <w:tabs>
                <w:tab w:val="center" w:pos="4680"/>
              </w:tabs>
              <w:suppressAutoHyphens/>
              <w:rPr>
                <w:spacing w:val="-2"/>
              </w:rPr>
            </w:pPr>
            <w:r>
              <w:rPr>
                <w:spacing w:val="-2"/>
              </w:rPr>
              <w:t>File Nos. SLD-831551, 863006 et al.</w:t>
            </w:r>
          </w:p>
          <w:p w14:paraId="42C35C2B" w14:textId="77777777" w:rsidR="005D57EE" w:rsidRDefault="005D57EE">
            <w:pPr>
              <w:tabs>
                <w:tab w:val="center" w:pos="4680"/>
              </w:tabs>
              <w:suppressAutoHyphens/>
              <w:rPr>
                <w:spacing w:val="-2"/>
              </w:rPr>
            </w:pPr>
          </w:p>
          <w:p w14:paraId="5BB3AB65" w14:textId="77777777" w:rsidR="005D57EE" w:rsidRDefault="005D57EE">
            <w:pPr>
              <w:tabs>
                <w:tab w:val="center" w:pos="4680"/>
              </w:tabs>
              <w:suppressAutoHyphens/>
              <w:rPr>
                <w:spacing w:val="-2"/>
              </w:rPr>
            </w:pPr>
          </w:p>
          <w:p w14:paraId="16C3305D" w14:textId="77777777" w:rsidR="005D57EE" w:rsidRDefault="005D57EE">
            <w:pPr>
              <w:tabs>
                <w:tab w:val="center" w:pos="4680"/>
              </w:tabs>
              <w:suppressAutoHyphens/>
              <w:rPr>
                <w:spacing w:val="-2"/>
              </w:rPr>
            </w:pPr>
            <w:r>
              <w:rPr>
                <w:spacing w:val="-2"/>
              </w:rPr>
              <w:t>CC Docket No. 02-6</w:t>
            </w:r>
          </w:p>
        </w:tc>
      </w:tr>
    </w:tbl>
    <w:p w14:paraId="33479043" w14:textId="77777777" w:rsidR="004C2EE3" w:rsidRDefault="004C2EE3" w:rsidP="0070224F"/>
    <w:p w14:paraId="5B761DA0" w14:textId="77777777" w:rsidR="00841AB1" w:rsidRDefault="005D57EE" w:rsidP="00F021FA">
      <w:pPr>
        <w:pStyle w:val="StyleBoldCentered"/>
      </w:pPr>
      <w:r>
        <w:t xml:space="preserve">ORDER ON RECONSIDERATION </w:t>
      </w:r>
    </w:p>
    <w:p w14:paraId="5D5B614F" w14:textId="77777777" w:rsidR="004C2EE3" w:rsidRDefault="004C2EE3">
      <w:pPr>
        <w:tabs>
          <w:tab w:val="left" w:pos="-720"/>
        </w:tabs>
        <w:suppressAutoHyphens/>
        <w:spacing w:line="227" w:lineRule="auto"/>
        <w:rPr>
          <w:spacing w:val="-2"/>
        </w:rPr>
      </w:pPr>
    </w:p>
    <w:p w14:paraId="15B0F9E8" w14:textId="77777777" w:rsidR="004C2EE3" w:rsidRDefault="004C2EE3" w:rsidP="00133F79">
      <w:pPr>
        <w:tabs>
          <w:tab w:val="left" w:pos="720"/>
          <w:tab w:val="right" w:pos="9360"/>
        </w:tabs>
        <w:suppressAutoHyphens/>
        <w:spacing w:line="227" w:lineRule="auto"/>
        <w:rPr>
          <w:spacing w:val="-2"/>
        </w:rPr>
      </w:pPr>
      <w:r>
        <w:rPr>
          <w:b/>
          <w:spacing w:val="-2"/>
        </w:rPr>
        <w:t xml:space="preserve">Adopted:  </w:t>
      </w:r>
      <w:r w:rsidR="002C54DE">
        <w:rPr>
          <w:b/>
          <w:spacing w:val="-2"/>
        </w:rPr>
        <w:t>December 17</w:t>
      </w:r>
      <w:r w:rsidR="005D57EE">
        <w:rPr>
          <w:b/>
          <w:spacing w:val="-2"/>
        </w:rPr>
        <w:t>,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C54DE">
        <w:rPr>
          <w:b/>
          <w:spacing w:val="-2"/>
        </w:rPr>
        <w:t>December 17</w:t>
      </w:r>
      <w:r w:rsidR="005D57EE">
        <w:rPr>
          <w:b/>
          <w:spacing w:val="-2"/>
        </w:rPr>
        <w:t>, 2015</w:t>
      </w:r>
    </w:p>
    <w:p w14:paraId="416FE377" w14:textId="77777777" w:rsidR="00822CE0" w:rsidRDefault="00822CE0"/>
    <w:p w14:paraId="7C76302E" w14:textId="77777777" w:rsidR="004C2EE3" w:rsidRDefault="004C2EE3">
      <w:pPr>
        <w:rPr>
          <w:spacing w:val="-2"/>
        </w:rPr>
      </w:pPr>
      <w:r>
        <w:t xml:space="preserve">By </w:t>
      </w:r>
      <w:r w:rsidR="004E4A22">
        <w:t>the</w:t>
      </w:r>
      <w:r w:rsidR="002A2D2E">
        <w:t xml:space="preserve"> </w:t>
      </w:r>
      <w:r w:rsidR="005D57EE">
        <w:rPr>
          <w:spacing w:val="-2"/>
        </w:rPr>
        <w:t>Chief, Telecommunications Access Policy Division, Wireline Competition Bureau</w:t>
      </w:r>
      <w:r>
        <w:rPr>
          <w:spacing w:val="-2"/>
        </w:rPr>
        <w:t>:</w:t>
      </w:r>
    </w:p>
    <w:p w14:paraId="5D2360C0" w14:textId="77777777" w:rsidR="00412FC5" w:rsidRDefault="00412FC5" w:rsidP="00412FC5"/>
    <w:p w14:paraId="31439253" w14:textId="77777777" w:rsidR="002C00E8" w:rsidRDefault="005D57EE" w:rsidP="002C00E8">
      <w:pPr>
        <w:pStyle w:val="Heading1"/>
      </w:pPr>
      <w:r>
        <w:t>INTRODUCTION</w:t>
      </w:r>
    </w:p>
    <w:p w14:paraId="08513533" w14:textId="77777777" w:rsidR="005D57EE" w:rsidRPr="00676AD4" w:rsidRDefault="005D57EE" w:rsidP="005D57EE">
      <w:pPr>
        <w:pStyle w:val="ParaNum"/>
        <w:rPr>
          <w:rStyle w:val="StyleNumberedparagraphs11ptChar"/>
          <w:szCs w:val="22"/>
        </w:rPr>
      </w:pPr>
      <w:r>
        <w:t xml:space="preserve">Consistent </w:t>
      </w:r>
      <w:r>
        <w:rPr>
          <w:rStyle w:val="StyleNumberedparagraphs11ptChar"/>
          <w:szCs w:val="22"/>
        </w:rPr>
        <w:t>with precedent,</w:t>
      </w:r>
      <w:r>
        <w:rPr>
          <w:rStyle w:val="FootnoteReference"/>
          <w:szCs w:val="22"/>
        </w:rPr>
        <w:footnoteReference w:id="2"/>
      </w:r>
      <w:r>
        <w:rPr>
          <w:rStyle w:val="StyleNumberedparagraphs11ptChar"/>
          <w:szCs w:val="22"/>
        </w:rPr>
        <w:t xml:space="preserve"> </w:t>
      </w:r>
      <w:r w:rsidRPr="00676AD4">
        <w:rPr>
          <w:rStyle w:val="StyleNumberedparagraphs11ptChar"/>
          <w:szCs w:val="22"/>
        </w:rPr>
        <w:t xml:space="preserve">we </w:t>
      </w:r>
      <w:r>
        <w:rPr>
          <w:rStyle w:val="StyleNumberedparagraphs11ptChar"/>
          <w:szCs w:val="22"/>
        </w:rPr>
        <w:t xml:space="preserve">dismiss and deny </w:t>
      </w:r>
      <w:r w:rsidRPr="00676AD4">
        <w:rPr>
          <w:rStyle w:val="StyleNumberedparagraphs11ptChar"/>
          <w:szCs w:val="22"/>
        </w:rPr>
        <w:t>nine petitions for reconsideration</w:t>
      </w:r>
      <w:r>
        <w:rPr>
          <w:rStyle w:val="StyleNumberedparagraphs11ptChar"/>
          <w:szCs w:val="22"/>
        </w:rPr>
        <w:t xml:space="preserve"> </w:t>
      </w:r>
      <w:r w:rsidRPr="00676AD4">
        <w:rPr>
          <w:rStyle w:val="StyleNumberedparagraphs11ptChar"/>
          <w:szCs w:val="22"/>
        </w:rPr>
        <w:t>seeking review of certain decisions in the Wireline Competition Bureau</w:t>
      </w:r>
      <w:r>
        <w:rPr>
          <w:rStyle w:val="StyleNumberedparagraphs11ptChar"/>
          <w:szCs w:val="22"/>
        </w:rPr>
        <w:t>’</w:t>
      </w:r>
      <w:r w:rsidRPr="00676AD4">
        <w:rPr>
          <w:rStyle w:val="StyleNumberedparagraphs11ptChar"/>
          <w:szCs w:val="22"/>
        </w:rPr>
        <w:t xml:space="preserve">s (Bureau) </w:t>
      </w:r>
      <w:r w:rsidRPr="00676AD4">
        <w:rPr>
          <w:rStyle w:val="StyleNumberedparagraphs11ptChar"/>
          <w:i/>
          <w:szCs w:val="22"/>
        </w:rPr>
        <w:t xml:space="preserve">March 2015 </w:t>
      </w:r>
      <w:r>
        <w:rPr>
          <w:rStyle w:val="StyleNumberedparagraphs11ptChar"/>
          <w:i/>
          <w:szCs w:val="22"/>
        </w:rPr>
        <w:t>Streamlined Request Resolution</w:t>
      </w:r>
      <w:r w:rsidRPr="00676AD4">
        <w:rPr>
          <w:rStyle w:val="StyleNumberedparagraphs11ptChar"/>
          <w:i/>
          <w:szCs w:val="22"/>
        </w:rPr>
        <w:t xml:space="preserve"> PN</w:t>
      </w:r>
      <w:r>
        <w:rPr>
          <w:rStyle w:val="StyleNumberedparagraphs11ptChar"/>
          <w:szCs w:val="22"/>
        </w:rPr>
        <w:t xml:space="preserve"> </w:t>
      </w:r>
      <w:r w:rsidRPr="00676AD4">
        <w:t xml:space="preserve">that denied </w:t>
      </w:r>
      <w:r>
        <w:rPr>
          <w:rStyle w:val="StyleNumberedparagraphs11ptChar"/>
          <w:szCs w:val="22"/>
        </w:rPr>
        <w:t>P</w:t>
      </w:r>
      <w:r w:rsidRPr="00676AD4">
        <w:rPr>
          <w:rStyle w:val="StyleNumberedparagraphs11ptChar"/>
          <w:szCs w:val="22"/>
        </w:rPr>
        <w:t>etitioners</w:t>
      </w:r>
      <w:r>
        <w:rPr>
          <w:rStyle w:val="StyleNumberedparagraphs11ptChar"/>
          <w:szCs w:val="22"/>
        </w:rPr>
        <w:t>’</w:t>
      </w:r>
      <w:r w:rsidRPr="00676AD4">
        <w:rPr>
          <w:rStyle w:val="StyleNumberedparagraphs11ptChar"/>
          <w:szCs w:val="22"/>
        </w:rPr>
        <w:t xml:space="preserve"> </w:t>
      </w:r>
      <w:r>
        <w:rPr>
          <w:rStyle w:val="StyleNumberedparagraphs11ptChar"/>
          <w:szCs w:val="22"/>
        </w:rPr>
        <w:t>appeals</w:t>
      </w:r>
      <w:r>
        <w:t xml:space="preserve"> </w:t>
      </w:r>
      <w:r w:rsidRPr="00676AD4">
        <w:rPr>
          <w:rStyle w:val="StyleNumberedparagraphs11ptChar"/>
          <w:szCs w:val="22"/>
        </w:rPr>
        <w:t xml:space="preserve">of decisions </w:t>
      </w:r>
      <w:r>
        <w:rPr>
          <w:rStyle w:val="StyleNumberedparagraphs11ptChar"/>
          <w:szCs w:val="22"/>
        </w:rPr>
        <w:t>by</w:t>
      </w:r>
      <w:r w:rsidRPr="00676AD4">
        <w:t xml:space="preserve"> the Universal Service Administrative Company (USAC) </w:t>
      </w:r>
      <w:r w:rsidRPr="003A18DF">
        <w:t xml:space="preserve">concerning applications for discounts under the </w:t>
      </w:r>
      <w:r w:rsidRPr="00676AD4">
        <w:t>E-rate program (more formally known as the schools and libraries universal service support program)</w:t>
      </w:r>
      <w:r>
        <w:t xml:space="preserve"> for funding year 2012</w:t>
      </w:r>
      <w:r w:rsidRPr="00676AD4">
        <w:rPr>
          <w:rStyle w:val="StyleNumberedparagraphs11ptChar"/>
          <w:szCs w:val="22"/>
        </w:rPr>
        <w:t>.</w:t>
      </w:r>
      <w:r w:rsidRPr="00676AD4">
        <w:rPr>
          <w:rStyle w:val="FootnoteReference"/>
          <w:szCs w:val="22"/>
        </w:rPr>
        <w:footnoteReference w:id="3"/>
      </w:r>
      <w:r w:rsidRPr="00676AD4">
        <w:rPr>
          <w:rStyle w:val="StyleNumberedparagraphs11ptChar"/>
          <w:szCs w:val="22"/>
        </w:rPr>
        <w:t xml:space="preserve">  </w:t>
      </w:r>
      <w:r>
        <w:rPr>
          <w:rStyle w:val="StyleNumberedparagraphs11ptChar"/>
          <w:szCs w:val="22"/>
        </w:rPr>
        <w:t xml:space="preserve">In so doing, we reaffirm our findings in </w:t>
      </w:r>
      <w:r w:rsidRPr="0014282F">
        <w:rPr>
          <w:rStyle w:val="StyleNumberedparagraphs11ptChar"/>
          <w:szCs w:val="22"/>
        </w:rPr>
        <w:t>the</w:t>
      </w:r>
      <w:r w:rsidRPr="00D22F54">
        <w:rPr>
          <w:rStyle w:val="StyleNumberedparagraphs11ptChar"/>
          <w:i/>
        </w:rPr>
        <w:t xml:space="preserve"> </w:t>
      </w:r>
      <w:r>
        <w:rPr>
          <w:rStyle w:val="StyleNumberedparagraphs11ptChar"/>
          <w:i/>
          <w:szCs w:val="22"/>
        </w:rPr>
        <w:t>March 2015 Streamlined Request Resolution PN</w:t>
      </w:r>
      <w:r>
        <w:rPr>
          <w:rStyle w:val="StyleNumberedparagraphs11ptChar"/>
          <w:szCs w:val="22"/>
        </w:rPr>
        <w:t xml:space="preserve">, that USAC </w:t>
      </w:r>
      <w:r>
        <w:rPr>
          <w:rStyle w:val="StyleNumberedparagraphs11ptChar"/>
          <w:szCs w:val="22"/>
        </w:rPr>
        <w:lastRenderedPageBreak/>
        <w:t>properly rescinded Petitioners’ E-rate funding on the basis that the underlying applications violated the Commission’s competitive bidding rules by either failing to provide the same information to all potential bidders, failing to retain bids and bid evaluation documents that demonstrate compliance with the competitive bidding rules, or both.</w:t>
      </w:r>
      <w:r>
        <w:rPr>
          <w:rStyle w:val="FootnoteReference"/>
          <w:szCs w:val="22"/>
        </w:rPr>
        <w:footnoteReference w:id="4"/>
      </w:r>
      <w:r w:rsidRPr="00676AD4">
        <w:rPr>
          <w:rStyle w:val="StyleNumberedparagraphs11ptChar"/>
          <w:szCs w:val="22"/>
        </w:rPr>
        <w:t xml:space="preserve"> </w:t>
      </w:r>
      <w:r>
        <w:rPr>
          <w:rStyle w:val="StyleNumberedparagraphs11ptChar"/>
          <w:szCs w:val="22"/>
        </w:rPr>
        <w:t xml:space="preserve"> In the Petitions for Reconsideration, Petitioners restate the same facts and arguments they made in their underlying appeals and also argue that the denial of their appeals was defective because the streamlined notice we use to resolve routine appeals is a change in process that was made without notice and comment rulemaking.  We find Petitioners’ arguments unavailing and </w:t>
      </w:r>
      <w:r w:rsidRPr="00676AD4">
        <w:rPr>
          <w:rStyle w:val="StyleNumberedparagraphs11ptChar"/>
          <w:szCs w:val="22"/>
        </w:rPr>
        <w:t xml:space="preserve">dismiss the Petitions for Reconsideration as procedurally defective to the extent </w:t>
      </w:r>
      <w:r>
        <w:rPr>
          <w:rStyle w:val="StyleNumberedparagraphs11ptChar"/>
          <w:szCs w:val="22"/>
        </w:rPr>
        <w:t>Petitioners</w:t>
      </w:r>
      <w:r w:rsidRPr="00676AD4">
        <w:rPr>
          <w:rStyle w:val="StyleNumberedparagraphs11ptChar"/>
          <w:szCs w:val="22"/>
        </w:rPr>
        <w:t xml:space="preserve"> raise the same substantive arguments asserted in </w:t>
      </w:r>
      <w:r>
        <w:rPr>
          <w:rStyle w:val="StyleNumberedparagraphs11ptChar"/>
          <w:szCs w:val="22"/>
        </w:rPr>
        <w:t>their</w:t>
      </w:r>
      <w:r w:rsidRPr="00676AD4">
        <w:rPr>
          <w:rStyle w:val="StyleNumberedparagraphs11ptChar"/>
          <w:szCs w:val="22"/>
        </w:rPr>
        <w:t xml:space="preserve"> previously filed </w:t>
      </w:r>
      <w:r>
        <w:rPr>
          <w:rStyle w:val="StyleNumberedparagraphs11ptChar"/>
          <w:szCs w:val="22"/>
        </w:rPr>
        <w:t>appeals</w:t>
      </w:r>
      <w:r w:rsidRPr="00676AD4">
        <w:rPr>
          <w:rStyle w:val="StyleNumberedparagraphs11ptChar"/>
          <w:szCs w:val="22"/>
        </w:rPr>
        <w:t xml:space="preserve">.  In addition, as an alternative and independent basis for the decision, we deny the Petitions for Reconsideration on the merits.  </w:t>
      </w:r>
    </w:p>
    <w:p w14:paraId="2E729E19" w14:textId="77777777" w:rsidR="005D57EE" w:rsidRDefault="005D57EE" w:rsidP="005D57EE">
      <w:pPr>
        <w:pStyle w:val="Heading1"/>
      </w:pPr>
      <w:r>
        <w:t>BACKGROUND</w:t>
      </w:r>
    </w:p>
    <w:p w14:paraId="7E28043D" w14:textId="77777777" w:rsidR="005D57EE" w:rsidRDefault="005D57EE" w:rsidP="005D57EE">
      <w:pPr>
        <w:pStyle w:val="Heading2"/>
      </w:pPr>
      <w:r>
        <w:t>The E-rate Program</w:t>
      </w:r>
    </w:p>
    <w:p w14:paraId="60378C39" w14:textId="77777777" w:rsidR="005D57EE" w:rsidRPr="00596E76" w:rsidRDefault="005D57EE" w:rsidP="005D57EE">
      <w:pPr>
        <w:pStyle w:val="ParaNum"/>
      </w:pPr>
      <w:r>
        <w:t xml:space="preserve">The </w:t>
      </w:r>
      <w:r w:rsidRPr="00596E76">
        <w:t>E-rate program</w:t>
      </w:r>
      <w:r>
        <w:t xml:space="preserve"> allows</w:t>
      </w:r>
      <w:r w:rsidRPr="00596E76">
        <w:t xml:space="preserve"> eligible schools, libraries, and consortia that include eligible schools and libraries </w:t>
      </w:r>
      <w:r>
        <w:t>to</w:t>
      </w:r>
      <w:r w:rsidRPr="00596E76">
        <w:t xml:space="preserve"> apply for universal service support for eligible services.</w:t>
      </w:r>
      <w:bookmarkStart w:id="1" w:name="FN[FN4]"/>
      <w:bookmarkEnd w:id="1"/>
      <w:r>
        <w:rPr>
          <w:vertAlign w:val="superscript"/>
        </w:rPr>
        <w:footnoteReference w:id="5"/>
      </w:r>
      <w:r w:rsidRPr="00596E76">
        <w:t xml:space="preserve">  E-rate program rules </w:t>
      </w:r>
      <w:r>
        <w:t xml:space="preserve">generally require </w:t>
      </w:r>
      <w:r w:rsidRPr="00596E76">
        <w:t xml:space="preserve">that </w:t>
      </w:r>
      <w:r>
        <w:t>eligible</w:t>
      </w:r>
      <w:r w:rsidRPr="00596E76">
        <w:t xml:space="preserve"> entities seek competitive bids for services eligible for support.</w:t>
      </w:r>
      <w:bookmarkStart w:id="2" w:name="FN[FN5]"/>
      <w:bookmarkEnd w:id="2"/>
      <w:r>
        <w:rPr>
          <w:vertAlign w:val="superscript"/>
        </w:rPr>
        <w:footnoteReference w:id="6"/>
      </w:r>
      <w:r w:rsidRPr="00596E76">
        <w:t xml:space="preserve">  In accordance with the Commission’s competitive bidding rules, applicants must submit for posting on USAC’s website an FCC Form 470 </w:t>
      </w:r>
      <w:r>
        <w:t>to initiate the competitive bidding process</w:t>
      </w:r>
      <w:r w:rsidRPr="00596E76">
        <w:rPr>
          <w:bCs/>
        </w:rPr>
        <w:t>.</w:t>
      </w:r>
      <w:r>
        <w:rPr>
          <w:vertAlign w:val="superscript"/>
        </w:rPr>
        <w:footnoteReference w:id="7"/>
      </w:r>
      <w:r w:rsidRPr="00596E76">
        <w:rPr>
          <w:bCs/>
        </w:rPr>
        <w:t xml:space="preserve">  The applicant must describe</w:t>
      </w:r>
      <w:r w:rsidRPr="00596E76">
        <w:t xml:space="preserve"> the requested services with sufficient specificity to enable potential service providers to submit bids for such services.</w:t>
      </w:r>
      <w:r>
        <w:rPr>
          <w:vertAlign w:val="superscript"/>
        </w:rPr>
        <w:footnoteReference w:id="8"/>
      </w:r>
      <w:r w:rsidRPr="00596E76">
        <w:t xml:space="preserve">  After submitting an FCC Form 470, the applicant must wait </w:t>
      </w:r>
      <w:r>
        <w:t xml:space="preserve">at least </w:t>
      </w:r>
      <w:r w:rsidRPr="00596E76">
        <w:t xml:space="preserve">28 days before </w:t>
      </w:r>
      <w:r>
        <w:t xml:space="preserve">making commitments with its selected service </w:t>
      </w:r>
      <w:r w:rsidRPr="00596E76">
        <w:t>provider</w:t>
      </w:r>
      <w:r>
        <w:t>s</w:t>
      </w:r>
      <w:r w:rsidRPr="00596E76">
        <w:t>.</w:t>
      </w:r>
      <w:r>
        <w:rPr>
          <w:vertAlign w:val="superscript"/>
        </w:rPr>
        <w:footnoteReference w:id="9"/>
      </w:r>
      <w:r w:rsidRPr="00596E76">
        <w:t xml:space="preserve">  </w:t>
      </w:r>
    </w:p>
    <w:p w14:paraId="4E0B4E7B" w14:textId="77777777" w:rsidR="005D57EE" w:rsidRPr="008A3AE4" w:rsidRDefault="005D57EE" w:rsidP="005D57EE">
      <w:pPr>
        <w:pStyle w:val="ParaNum"/>
        <w:rPr>
          <w:b/>
        </w:rPr>
      </w:pPr>
      <w:r w:rsidRPr="00F262FA">
        <w:t>The Commission’s rules require applicants to carefully consider all submitted bids prior to</w:t>
      </w:r>
      <w:r>
        <w:t xml:space="preserve"> selecting a service provider</w:t>
      </w:r>
      <w:r w:rsidRPr="000F232B">
        <w:t>, and the price of eligible products and services must be the primary factor in selecting the winning bid.</w:t>
      </w:r>
      <w:r>
        <w:rPr>
          <w:vertAlign w:val="superscript"/>
        </w:rPr>
        <w:footnoteReference w:id="10"/>
      </w:r>
      <w:r w:rsidRPr="00F262FA">
        <w:t xml:space="preserve">  The competitive bidding process must be fair and open, and must not have been compromised because of improper conduct by the applicant, service provider, or both parties.</w:t>
      </w:r>
      <w:r>
        <w:rPr>
          <w:vertAlign w:val="superscript"/>
        </w:rPr>
        <w:footnoteReference w:id="11"/>
      </w:r>
      <w:r w:rsidRPr="00F262FA">
        <w:t xml:space="preserve">  </w:t>
      </w:r>
      <w:bookmarkStart w:id="3" w:name="FN[FN15]"/>
      <w:bookmarkEnd w:id="3"/>
      <w:r>
        <w:t>A</w:t>
      </w:r>
      <w:r w:rsidRPr="00F262FA">
        <w:t>ll potential bidders and service providers must have access to the same information and must be treated in the same manner throughout the procurement process.</w:t>
      </w:r>
      <w:r>
        <w:rPr>
          <w:vertAlign w:val="superscript"/>
        </w:rPr>
        <w:footnoteReference w:id="12"/>
      </w:r>
      <w:r w:rsidRPr="00F262FA">
        <w:t xml:space="preserve">  </w:t>
      </w:r>
      <w:bookmarkStart w:id="4" w:name="FN[FN14]"/>
      <w:bookmarkStart w:id="5" w:name="FN[FN16]"/>
      <w:bookmarkEnd w:id="4"/>
      <w:bookmarkEnd w:id="5"/>
      <w:r w:rsidRPr="00491E08">
        <w:t xml:space="preserve">Furthermore, E-rate </w:t>
      </w:r>
      <w:r w:rsidRPr="00983E75">
        <w:t xml:space="preserve">applicants must retain </w:t>
      </w:r>
      <w:r w:rsidRPr="00961705">
        <w:t xml:space="preserve">documentation regarding </w:t>
      </w:r>
      <w:r>
        <w:t>their</w:t>
      </w:r>
      <w:r w:rsidRPr="000F232B">
        <w:t xml:space="preserve"> vendor selection process </w:t>
      </w:r>
      <w:r w:rsidRPr="00491E08">
        <w:t xml:space="preserve">to </w:t>
      </w:r>
      <w:r w:rsidRPr="00961705">
        <w:t xml:space="preserve">demonstrate </w:t>
      </w:r>
      <w:r>
        <w:t xml:space="preserve">their </w:t>
      </w:r>
      <w:r w:rsidRPr="000F232B">
        <w:t>compliance with the E-rate program</w:t>
      </w:r>
      <w:r w:rsidRPr="00491E08">
        <w:t>’</w:t>
      </w:r>
      <w:r w:rsidRPr="00961705">
        <w:t>s competitive bidding rules</w:t>
      </w:r>
      <w:r>
        <w:t>.</w:t>
      </w:r>
      <w:r>
        <w:rPr>
          <w:rStyle w:val="FootnoteReference"/>
          <w:szCs w:val="22"/>
        </w:rPr>
        <w:footnoteReference w:id="13"/>
      </w:r>
    </w:p>
    <w:p w14:paraId="22CEB47B" w14:textId="77777777" w:rsidR="005D57EE" w:rsidRDefault="005D57EE" w:rsidP="005D57EE">
      <w:pPr>
        <w:pStyle w:val="Heading2"/>
      </w:pPr>
      <w:r>
        <w:t>Petitioners’ Competitive Bidding Processes</w:t>
      </w:r>
    </w:p>
    <w:p w14:paraId="6EEE8675" w14:textId="77777777" w:rsidR="005D57EE" w:rsidRDefault="005D57EE" w:rsidP="005D57EE">
      <w:pPr>
        <w:pStyle w:val="ParaNum"/>
      </w:pPr>
      <w:r>
        <w:t>The f</w:t>
      </w:r>
      <w:r w:rsidRPr="005D57EE">
        <w:t xml:space="preserve"> </w:t>
      </w:r>
      <w:r>
        <w:t xml:space="preserve">acts are not in dispute.  Petitioners consist of nine schools that are (or were) a part of the </w:t>
      </w:r>
      <w:r w:rsidRPr="000579F6">
        <w:t xml:space="preserve">Catholic </w:t>
      </w:r>
      <w:r>
        <w:t xml:space="preserve">Archdiocese of New York </w:t>
      </w:r>
      <w:r w:rsidRPr="000579F6">
        <w:t>school system</w:t>
      </w:r>
      <w:r>
        <w:t>.</w:t>
      </w:r>
      <w:r>
        <w:rPr>
          <w:rStyle w:val="FootnoteReference"/>
        </w:rPr>
        <w:footnoteReference w:id="14"/>
      </w:r>
      <w:r>
        <w:t xml:space="preserve">  </w:t>
      </w:r>
      <w:r w:rsidRPr="00A4250A">
        <w:t>In 201</w:t>
      </w:r>
      <w:r>
        <w:t xml:space="preserve">1 and 2012, Petitioners </w:t>
      </w:r>
      <w:r w:rsidRPr="00D76C44">
        <w:t xml:space="preserve">submitted </w:t>
      </w:r>
      <w:r>
        <w:t xml:space="preserve">their FCC Forms 470 </w:t>
      </w:r>
      <w:r w:rsidRPr="00D76C44">
        <w:t>to USAC to initiate the competitive bidding process for E-rate eligible services</w:t>
      </w:r>
      <w:r>
        <w:t xml:space="preserve"> for funding year 2012.</w:t>
      </w:r>
      <w:r>
        <w:rPr>
          <w:rStyle w:val="FootnoteReference"/>
        </w:rPr>
        <w:footnoteReference w:id="15"/>
      </w:r>
      <w:r>
        <w:t xml:space="preserve">  In their FCC Forms 470,</w:t>
      </w:r>
      <w:r w:rsidRPr="00D76C44" w:rsidDel="000579F6">
        <w:t xml:space="preserve"> </w:t>
      </w:r>
      <w:r>
        <w:t>each of the Petitioners sought bids on Telecommunications Service, Internet Access, Internal Connections, and/or Basic Maintenance of Internal Connections (BMIC).</w:t>
      </w:r>
      <w:r>
        <w:rPr>
          <w:rStyle w:val="FootnoteReference"/>
        </w:rPr>
        <w:footnoteReference w:id="16"/>
      </w:r>
      <w:r>
        <w:t xml:space="preserve">  During Petitioners’ </w:t>
      </w:r>
      <w:r w:rsidRPr="00B32C2A">
        <w:t>bidding window</w:t>
      </w:r>
      <w:r>
        <w:t xml:space="preserve">s, a </w:t>
      </w:r>
      <w:r w:rsidRPr="00B32C2A">
        <w:t>potential bidder</w:t>
      </w:r>
      <w:r>
        <w:t xml:space="preserve"> from</w:t>
      </w:r>
      <w:r w:rsidRPr="00B32C2A">
        <w:t xml:space="preserve"> SaaS Networks LLC (SaaS)</w:t>
      </w:r>
      <w:r>
        <w:t xml:space="preserve"> contacted eight of the Petitioners to seek </w:t>
      </w:r>
      <w:r w:rsidRPr="00B32C2A">
        <w:t xml:space="preserve">information about </w:t>
      </w:r>
      <w:r>
        <w:t>their</w:t>
      </w:r>
      <w:r w:rsidRPr="00B32C2A">
        <w:t xml:space="preserve"> Internal Connections and BMIC requirements</w:t>
      </w:r>
      <w:r>
        <w:t>.</w:t>
      </w:r>
      <w:r>
        <w:rPr>
          <w:rStyle w:val="FootnoteReference"/>
        </w:rPr>
        <w:footnoteReference w:id="17"/>
      </w:r>
      <w:r>
        <w:t xml:space="preserve">  Each of the eight Petitioners “conceded that it was </w:t>
      </w:r>
      <w:r w:rsidRPr="00D17D70">
        <w:t xml:space="preserve">unable to produce an email response to </w:t>
      </w:r>
      <w:r>
        <w:t>[SaaS]” during the 28-day bidding window.</w:t>
      </w:r>
      <w:r>
        <w:rPr>
          <w:rStyle w:val="FootnoteReference"/>
        </w:rPr>
        <w:footnoteReference w:id="18"/>
      </w:r>
      <w:r>
        <w:t xml:space="preserve">  SaaS never submitted a bid.</w:t>
      </w:r>
      <w:r>
        <w:rPr>
          <w:rStyle w:val="FootnoteReference"/>
        </w:rPr>
        <w:footnoteReference w:id="19"/>
      </w:r>
      <w:r>
        <w:t xml:space="preserve">  Subsequently, Petitioners selected their respective service providers and filed their FCC Form 471 applications for funding year 2012.</w:t>
      </w:r>
      <w:r>
        <w:rPr>
          <w:rStyle w:val="FootnoteReference"/>
        </w:rPr>
        <w:footnoteReference w:id="20"/>
      </w:r>
      <w:r>
        <w:t xml:space="preserve">  </w:t>
      </w:r>
    </w:p>
    <w:p w14:paraId="4FA9240C" w14:textId="77777777" w:rsidR="005D57EE" w:rsidRDefault="005D57EE" w:rsidP="005D57EE">
      <w:pPr>
        <w:pStyle w:val="ParaNum"/>
      </w:pPr>
      <w:r>
        <w:t>Initially, USAC issued Funding Commitment Decision Letters approving Petitioners’ funding requests.</w:t>
      </w:r>
      <w:r>
        <w:rPr>
          <w:rStyle w:val="FootnoteReference"/>
        </w:rPr>
        <w:footnoteReference w:id="21"/>
      </w:r>
      <w:r>
        <w:t xml:space="preserve">  However, in May 2014, following a Special Compliance Investigative Review conducted by USAC to investigate alleged competitive bidding violations of various schools in the Archdiocese of New York, USAC issued </w:t>
      </w:r>
      <w:r w:rsidRPr="002A5051">
        <w:rPr>
          <w:bCs/>
        </w:rPr>
        <w:t xml:space="preserve">Commitment Adjustment Letters, rescinding </w:t>
      </w:r>
      <w:r w:rsidRPr="00F2176D">
        <w:rPr>
          <w:bCs/>
        </w:rPr>
        <w:t xml:space="preserve">Petitioners’ </w:t>
      </w:r>
      <w:r w:rsidRPr="00A038EA">
        <w:rPr>
          <w:bCs/>
        </w:rPr>
        <w:t>funding commitments in full for funding year 2012.</w:t>
      </w:r>
      <w:r>
        <w:rPr>
          <w:rStyle w:val="FootnoteReference"/>
          <w:bCs/>
        </w:rPr>
        <w:footnoteReference w:id="22"/>
      </w:r>
      <w:r>
        <w:t xml:space="preserve">  </w:t>
      </w:r>
    </w:p>
    <w:p w14:paraId="26D8CFC8" w14:textId="77777777" w:rsidR="005D57EE" w:rsidRDefault="005D57EE" w:rsidP="005D57EE">
      <w:pPr>
        <w:pStyle w:val="Heading2"/>
      </w:pPr>
      <w:r w:rsidRPr="00AB26A4">
        <w:t>USAC’s Funding Rescission Decisions</w:t>
      </w:r>
    </w:p>
    <w:p w14:paraId="66A7E2F4" w14:textId="77777777" w:rsidR="005D57EE" w:rsidRPr="00AB26A4" w:rsidRDefault="005D57EE" w:rsidP="005D57EE">
      <w:pPr>
        <w:pStyle w:val="Heading3"/>
      </w:pPr>
      <w:r>
        <w:t>USAC Rescission Decisions for Eight Petitioners for Inhibiting a Fair and Open Competitive Bidding Process</w:t>
      </w:r>
    </w:p>
    <w:p w14:paraId="51BA866D" w14:textId="77777777" w:rsidR="005D57EE" w:rsidRDefault="005D57EE" w:rsidP="005D57EE">
      <w:pPr>
        <w:pStyle w:val="ParaNum"/>
      </w:pPr>
      <w:r>
        <w:t xml:space="preserve">During its Special Compliance Investigative Review, </w:t>
      </w:r>
      <w:r w:rsidRPr="00676AD4">
        <w:t xml:space="preserve">USAC </w:t>
      </w:r>
      <w:r>
        <w:t>determined that eight P</w:t>
      </w:r>
      <w:r w:rsidRPr="00676AD4">
        <w:t xml:space="preserve">etitioners </w:t>
      </w:r>
      <w:r>
        <w:t>failed to respond to inquiries from SaaS during the bidding window</w:t>
      </w:r>
      <w:r w:rsidRPr="003C1189">
        <w:t>.</w:t>
      </w:r>
      <w:r w:rsidRPr="003C1189">
        <w:rPr>
          <w:rStyle w:val="FootnoteReference"/>
          <w:szCs w:val="22"/>
        </w:rPr>
        <w:footnoteReference w:id="23"/>
      </w:r>
      <w:r w:rsidRPr="003C1189">
        <w:t xml:space="preserve">  </w:t>
      </w:r>
      <w:r>
        <w:t>Two of these Petitioners,</w:t>
      </w:r>
      <w:r w:rsidRPr="003C1189">
        <w:t xml:space="preserve"> </w:t>
      </w:r>
      <w:r>
        <w:t xml:space="preserve">Mt. Carmel and St. Ann, </w:t>
      </w:r>
      <w:r w:rsidRPr="000F232B">
        <w:rPr>
          <w:szCs w:val="22"/>
        </w:rPr>
        <w:t>responded to other service providers that contacted them with an invitation to the</w:t>
      </w:r>
      <w:r w:rsidRPr="005F1D78">
        <w:rPr>
          <w:szCs w:val="22"/>
        </w:rPr>
        <w:t>ir schools’ E-rate open house</w:t>
      </w:r>
      <w:r>
        <w:rPr>
          <w:szCs w:val="22"/>
        </w:rPr>
        <w:t>, but did not invite SaaS to the open houses, nor did they otherwise respond to SaaS’ inquiry.</w:t>
      </w:r>
      <w:r>
        <w:rPr>
          <w:rStyle w:val="FootnoteReference"/>
          <w:szCs w:val="22"/>
        </w:rPr>
        <w:footnoteReference w:id="24"/>
      </w:r>
      <w:r w:rsidRPr="000F232B">
        <w:rPr>
          <w:szCs w:val="22"/>
        </w:rPr>
        <w:t xml:space="preserve">  Thus</w:t>
      </w:r>
      <w:r w:rsidRPr="005F1D78">
        <w:rPr>
          <w:szCs w:val="22"/>
        </w:rPr>
        <w:t xml:space="preserve">, USAC </w:t>
      </w:r>
      <w:r>
        <w:rPr>
          <w:szCs w:val="22"/>
        </w:rPr>
        <w:t xml:space="preserve">rescinded Mt. Carmel and St. Ann’s funding on the basis that these schools gave </w:t>
      </w:r>
      <w:r w:rsidRPr="005F1D78">
        <w:rPr>
          <w:szCs w:val="22"/>
        </w:rPr>
        <w:t>an unfair competitive advantage to certain service providers over SaaS, thereby failing to treat all potential bidders fairly and equally, and inhibiting a fair and open competitive bidding process.</w:t>
      </w:r>
      <w:r>
        <w:rPr>
          <w:rStyle w:val="FootnoteReference"/>
          <w:szCs w:val="22"/>
        </w:rPr>
        <w:footnoteReference w:id="25"/>
      </w:r>
      <w:r w:rsidRPr="00674BE7">
        <w:t xml:space="preserve">   </w:t>
      </w:r>
    </w:p>
    <w:p w14:paraId="7BC3F0FD" w14:textId="77777777" w:rsidR="005D57EE" w:rsidRDefault="005D57EE" w:rsidP="005D57EE">
      <w:pPr>
        <w:pStyle w:val="ParaNum"/>
      </w:pPr>
      <w:r>
        <w:t xml:space="preserve">With respect to the other six Petitioners </w:t>
      </w:r>
      <w:r w:rsidRPr="00674BE7">
        <w:t>that failed to respond to SaaS</w:t>
      </w:r>
      <w:r>
        <w:t>’</w:t>
      </w:r>
      <w:r w:rsidRPr="00674BE7">
        <w:t>s inquiry</w:t>
      </w:r>
      <w:r>
        <w:t xml:space="preserve"> (</w:t>
      </w:r>
      <w:r w:rsidRPr="00F30924">
        <w:t>Bles</w:t>
      </w:r>
      <w:r>
        <w:t xml:space="preserve">sed Sacrament, St. Aloysius, St. Anthony, </w:t>
      </w:r>
      <w:r w:rsidRPr="006A468B">
        <w:t>St. Brigid</w:t>
      </w:r>
      <w:r>
        <w:t xml:space="preserve">, St. Mark, and </w:t>
      </w:r>
      <w:r w:rsidRPr="006A468B">
        <w:t>St. Nicholas</w:t>
      </w:r>
      <w:r>
        <w:t>)</w:t>
      </w:r>
      <w:r w:rsidRPr="00674BE7">
        <w:t xml:space="preserve">, USAC determined that the BMIC service description listed </w:t>
      </w:r>
      <w:r>
        <w:t>on each of their</w:t>
      </w:r>
      <w:r w:rsidRPr="00674BE7">
        <w:t xml:space="preserve"> FCC Forms 470 was insufficiently detailed to allow prospective bidders to provide a responsive bid.</w:t>
      </w:r>
      <w:r w:rsidRPr="00674BE7">
        <w:rPr>
          <w:rStyle w:val="FootnoteReference"/>
          <w:szCs w:val="22"/>
        </w:rPr>
        <w:footnoteReference w:id="26"/>
      </w:r>
      <w:r w:rsidRPr="00674BE7">
        <w:t xml:space="preserve"> </w:t>
      </w:r>
      <w:r>
        <w:t xml:space="preserve"> USAC therefore rescinded funding for those six schools on the basis that their failure to provide sufficient information to provide a responsive bid </w:t>
      </w:r>
      <w:r w:rsidRPr="00674BE7">
        <w:t>inhibit</w:t>
      </w:r>
      <w:r>
        <w:t>ed</w:t>
      </w:r>
      <w:r w:rsidRPr="00674BE7">
        <w:t xml:space="preserve"> a fair and open competitive bidding process.</w:t>
      </w:r>
      <w:r w:rsidRPr="00674BE7">
        <w:rPr>
          <w:rStyle w:val="FootnoteReference"/>
          <w:szCs w:val="22"/>
        </w:rPr>
        <w:footnoteReference w:id="27"/>
      </w:r>
    </w:p>
    <w:p w14:paraId="2701219B" w14:textId="77777777" w:rsidR="005D57EE" w:rsidRPr="00D22F54" w:rsidRDefault="005D57EE" w:rsidP="005D57EE">
      <w:pPr>
        <w:pStyle w:val="Heading3"/>
      </w:pPr>
      <w:r>
        <w:t>USAC Rescission Decisions for Eight Petitioners for Failing to Produce Competitive Bidding Documentation</w:t>
      </w:r>
    </w:p>
    <w:p w14:paraId="71730F59" w14:textId="77777777" w:rsidR="005D57EE" w:rsidRPr="002A733A" w:rsidRDefault="005D57EE" w:rsidP="005D57EE">
      <w:pPr>
        <w:pStyle w:val="ParaNum"/>
      </w:pPr>
      <w:r w:rsidRPr="002A733A">
        <w:t>Finally, USAC sought documents from all nine Petitioners pertaining to their vendor selection process for funding year 2012, and determined that eight of these Petitioners (</w:t>
      </w:r>
      <w:r w:rsidRPr="002A733A">
        <w:rPr>
          <w:bCs/>
        </w:rPr>
        <w:t>Blessed Sacrament, St. Aloysius, St. Ann, St. Anthony, St. Brigid, St. Jude, St. Mark, and St. Nicholas</w:t>
      </w:r>
      <w:r w:rsidRPr="002A733A">
        <w:t>) failed to produce documentation pertaining to their competitive bidding processes, including copies of bids received and documentation to support the vendor evaluation and selection process.</w:t>
      </w:r>
      <w:r w:rsidRPr="002A733A">
        <w:rPr>
          <w:rStyle w:val="FootnoteReference"/>
          <w:szCs w:val="22"/>
        </w:rPr>
        <w:footnoteReference w:id="28"/>
      </w:r>
      <w:r w:rsidRPr="002A733A">
        <w:t xml:space="preserve"> </w:t>
      </w:r>
      <w:r>
        <w:t xml:space="preserve"> As a result of those eight Petitioners’ failure to document their competitive bidding process, USAC </w:t>
      </w:r>
      <w:r w:rsidRPr="002A733A">
        <w:t>could not determine these Petitioners’ compliance with competitive bidding requirements</w:t>
      </w:r>
      <w:r>
        <w:t xml:space="preserve">.  </w:t>
      </w:r>
      <w:r w:rsidRPr="002A733A">
        <w:t xml:space="preserve">USAC </w:t>
      </w:r>
      <w:r>
        <w:t xml:space="preserve">therefore </w:t>
      </w:r>
      <w:r w:rsidRPr="002A733A">
        <w:t>rescinded</w:t>
      </w:r>
      <w:r>
        <w:t xml:space="preserve"> in full the </w:t>
      </w:r>
      <w:r w:rsidRPr="002A733A">
        <w:t>funding commitments</w:t>
      </w:r>
      <w:r>
        <w:t xml:space="preserve"> of those eight Petitioners</w:t>
      </w:r>
      <w:r w:rsidRPr="002A733A">
        <w:t>.</w:t>
      </w:r>
      <w:r w:rsidRPr="002A733A">
        <w:rPr>
          <w:vertAlign w:val="superscript"/>
        </w:rPr>
        <w:footnoteReference w:id="29"/>
      </w:r>
    </w:p>
    <w:p w14:paraId="6620B394" w14:textId="77777777" w:rsidR="005D57EE" w:rsidRDefault="005D57EE" w:rsidP="005D57EE">
      <w:pPr>
        <w:pStyle w:val="Heading2"/>
      </w:pPr>
      <w:r w:rsidRPr="00AB26A4">
        <w:t>Arguments and Decisions on Appeal</w:t>
      </w:r>
    </w:p>
    <w:p w14:paraId="0F96247D" w14:textId="77777777" w:rsidR="005D57EE" w:rsidRPr="00AB26A4" w:rsidRDefault="005D57EE" w:rsidP="005D57EE">
      <w:pPr>
        <w:pStyle w:val="Heading3"/>
      </w:pPr>
      <w:r>
        <w:t>Bureau Decision On Inhibiting Fair and Open Competitive Bidding Process</w:t>
      </w:r>
    </w:p>
    <w:p w14:paraId="0E027C38" w14:textId="77777777" w:rsidR="005D57EE" w:rsidRDefault="005D57EE" w:rsidP="005D57EE">
      <w:pPr>
        <w:pStyle w:val="ParaNum"/>
      </w:pPr>
      <w:r>
        <w:t>Each P</w:t>
      </w:r>
      <w:r w:rsidRPr="00676AD4">
        <w:t>etitioner sought a review and/or waiver of USAC</w:t>
      </w:r>
      <w:r>
        <w:t>’</w:t>
      </w:r>
      <w:r w:rsidRPr="00676AD4">
        <w:t xml:space="preserve">s </w:t>
      </w:r>
      <w:r>
        <w:t>decision from</w:t>
      </w:r>
      <w:r w:rsidRPr="00676AD4">
        <w:t xml:space="preserve"> the Commission.</w:t>
      </w:r>
      <w:r w:rsidRPr="00676AD4">
        <w:rPr>
          <w:rStyle w:val="FootnoteReference"/>
          <w:szCs w:val="22"/>
        </w:rPr>
        <w:footnoteReference w:id="30"/>
      </w:r>
      <w:r w:rsidRPr="00676AD4">
        <w:t xml:space="preserve">  </w:t>
      </w:r>
      <w:r>
        <w:t xml:space="preserve">Regarding USAC’s determination that eight Petitioners failed to respond to SaaS, </w:t>
      </w:r>
      <w:r w:rsidRPr="00676AD4">
        <w:t>Petitioners</w:t>
      </w:r>
      <w:r>
        <w:t xml:space="preserve"> conceded</w:t>
      </w:r>
      <w:r w:rsidRPr="00676AD4">
        <w:t xml:space="preserve"> that they </w:t>
      </w:r>
      <w:r>
        <w:t>were</w:t>
      </w:r>
      <w:r w:rsidRPr="00676AD4">
        <w:t xml:space="preserve"> unable to produce an </w:t>
      </w:r>
      <w:r>
        <w:t>e-mail</w:t>
      </w:r>
      <w:r w:rsidRPr="00676AD4">
        <w:t xml:space="preserve"> response to SaaS</w:t>
      </w:r>
      <w:r>
        <w:t>’</w:t>
      </w:r>
      <w:r w:rsidRPr="00676AD4">
        <w:t xml:space="preserve">s </w:t>
      </w:r>
      <w:r>
        <w:t>e-mail and</w:t>
      </w:r>
      <w:r w:rsidRPr="00676AD4">
        <w:t xml:space="preserve"> each </w:t>
      </w:r>
      <w:r>
        <w:t>blamed the failure to respond on the “</w:t>
      </w:r>
      <w:r w:rsidRPr="00762D02">
        <w:t>apparent inadvertent failure of a busy elementary school Principal</w:t>
      </w:r>
      <w:r w:rsidRPr="00676AD4">
        <w:t>.</w:t>
      </w:r>
      <w:r>
        <w:t>”</w:t>
      </w:r>
      <w:r>
        <w:rPr>
          <w:rStyle w:val="FootnoteReference"/>
          <w:szCs w:val="22"/>
        </w:rPr>
        <w:footnoteReference w:id="31"/>
      </w:r>
      <w:r>
        <w:t xml:space="preserve">  Five of the Petitioners admitted communicating with other potential bidders by e-mail or telephone.</w:t>
      </w:r>
      <w:r>
        <w:rPr>
          <w:rStyle w:val="FootnoteReference"/>
        </w:rPr>
        <w:footnoteReference w:id="32"/>
      </w:r>
      <w:r>
        <w:t xml:space="preserve">  Mt. Carmel and St. Ann </w:t>
      </w:r>
      <w:r w:rsidRPr="00ED7157">
        <w:t xml:space="preserve">also conceded that they responded to certain interested parties and expressly invited </w:t>
      </w:r>
      <w:r>
        <w:t>them</w:t>
      </w:r>
      <w:r w:rsidRPr="00ED7157">
        <w:t xml:space="preserve"> to the schools</w:t>
      </w:r>
      <w:r>
        <w:t>’</w:t>
      </w:r>
      <w:r w:rsidRPr="00ED7157">
        <w:t xml:space="preserve"> E-rate open house</w:t>
      </w:r>
      <w:r>
        <w:t>, but that they did not invite SaaS.</w:t>
      </w:r>
      <w:r w:rsidRPr="00ED7157">
        <w:rPr>
          <w:vertAlign w:val="superscript"/>
        </w:rPr>
        <w:footnoteReference w:id="33"/>
      </w:r>
      <w:r w:rsidRPr="00ED7157">
        <w:t xml:space="preserve"> </w:t>
      </w:r>
      <w:r>
        <w:t xml:space="preserve"> </w:t>
      </w:r>
      <w:r w:rsidRPr="00301CE3">
        <w:rPr>
          <w:szCs w:val="22"/>
        </w:rPr>
        <w:t>However, Petitioners</w:t>
      </w:r>
      <w:r>
        <w:t xml:space="preserve"> </w:t>
      </w:r>
      <w:r w:rsidRPr="00676AD4">
        <w:t xml:space="preserve">argued that </w:t>
      </w:r>
      <w:r>
        <w:t xml:space="preserve">the </w:t>
      </w:r>
      <w:r w:rsidRPr="00B1383D">
        <w:t xml:space="preserve">BMIC service description on each </w:t>
      </w:r>
      <w:r>
        <w:t xml:space="preserve">of their </w:t>
      </w:r>
      <w:r w:rsidRPr="00B1383D">
        <w:t>FCC Form</w:t>
      </w:r>
      <w:r>
        <w:t>s</w:t>
      </w:r>
      <w:r w:rsidRPr="00B1383D">
        <w:t xml:space="preserve"> 470</w:t>
      </w:r>
      <w:r>
        <w:t xml:space="preserve">, which </w:t>
      </w:r>
      <w:r w:rsidRPr="0097745A">
        <w:t xml:space="preserve">indicated that each school was seeking an </w:t>
      </w:r>
      <w:r>
        <w:t>“</w:t>
      </w:r>
      <w:r w:rsidRPr="0097745A">
        <w:t>hourly pricing</w:t>
      </w:r>
      <w:r>
        <w:t>”</w:t>
      </w:r>
      <w:r w:rsidRPr="0097745A">
        <w:t xml:space="preserve"> quote</w:t>
      </w:r>
      <w:r>
        <w:t xml:space="preserve">, was </w:t>
      </w:r>
      <w:r w:rsidRPr="0097745A">
        <w:t>sufficiently complete to allow bidders to specify their hourly rates for the categories of maintenance services specified</w:t>
      </w:r>
      <w:r w:rsidRPr="00676AD4">
        <w:t>.</w:t>
      </w:r>
      <w:r w:rsidRPr="00676AD4">
        <w:rPr>
          <w:rStyle w:val="FootnoteReference"/>
          <w:szCs w:val="22"/>
        </w:rPr>
        <w:footnoteReference w:id="34"/>
      </w:r>
      <w:r w:rsidRPr="00676AD4">
        <w:t xml:space="preserve">  </w:t>
      </w:r>
      <w:r>
        <w:t xml:space="preserve">Accordingly, </w:t>
      </w:r>
      <w:r w:rsidRPr="00013031">
        <w:t xml:space="preserve">Petitioners </w:t>
      </w:r>
      <w:r>
        <w:t xml:space="preserve">argued </w:t>
      </w:r>
      <w:r w:rsidRPr="00013031">
        <w:t>that SaaS should have been able to compose a bid, despite never receiving a response from the schools.</w:t>
      </w:r>
      <w:r>
        <w:rPr>
          <w:rStyle w:val="FootnoteReference"/>
        </w:rPr>
        <w:footnoteReference w:id="35"/>
      </w:r>
      <w:r w:rsidRPr="00676AD4">
        <w:t xml:space="preserve"> </w:t>
      </w:r>
      <w:r>
        <w:t xml:space="preserve"> Petitioners also argued that SaaS</w:t>
      </w:r>
      <w:r w:rsidRPr="00B15EEF">
        <w:t xml:space="preserve"> </w:t>
      </w:r>
      <w:r>
        <w:t xml:space="preserve">should not be considered a potential bidder because it </w:t>
      </w:r>
      <w:r w:rsidRPr="00B15EEF">
        <w:t xml:space="preserve">never filed a Service Provider Annual Certification (SPAC) Form, </w:t>
      </w:r>
      <w:r>
        <w:t>had</w:t>
      </w:r>
      <w:r w:rsidRPr="00B15EEF">
        <w:t xml:space="preserve"> never been selected to receive any E-rate program support before or since funding year 2012, and did not submit a bid to any of the schools</w:t>
      </w:r>
      <w:r>
        <w:t>.</w:t>
      </w:r>
      <w:r>
        <w:rPr>
          <w:rStyle w:val="FootnoteReference"/>
        </w:rPr>
        <w:footnoteReference w:id="36"/>
      </w:r>
      <w:r>
        <w:t xml:space="preserve"> </w:t>
      </w:r>
    </w:p>
    <w:p w14:paraId="10643BA6" w14:textId="77777777" w:rsidR="005D57EE" w:rsidRDefault="005D57EE" w:rsidP="005D57EE">
      <w:pPr>
        <w:pStyle w:val="ParaNum"/>
      </w:pPr>
      <w:r w:rsidRPr="00676AD4">
        <w:t xml:space="preserve">Based upon our review of the record, </w:t>
      </w:r>
      <w:r>
        <w:t xml:space="preserve">on appeal, </w:t>
      </w:r>
      <w:r w:rsidRPr="00676AD4">
        <w:t xml:space="preserve">we </w:t>
      </w:r>
      <w:r>
        <w:t>upheld USAC’s determination that five of the Petitioners (Blessed Sacrament, Mt. Carmel, St. Aloysius, St. Ann, and St. Mark) failed to treat all potential bidders equally and inhibited a fair and open competitive bidding process because these Petitioners failed to respond to SaaS’s inquiry but communicated with other potential bidders by e-mail, by telephone, or by inviting them to an E-rate open house</w:t>
      </w:r>
      <w:r w:rsidRPr="0009398A">
        <w:t>.</w:t>
      </w:r>
      <w:r w:rsidRPr="0009398A">
        <w:rPr>
          <w:vertAlign w:val="superscript"/>
        </w:rPr>
        <w:footnoteReference w:id="37"/>
      </w:r>
      <w:r w:rsidRPr="0009398A">
        <w:t xml:space="preserve">  </w:t>
      </w:r>
    </w:p>
    <w:p w14:paraId="705117D5" w14:textId="77777777" w:rsidR="005D57EE" w:rsidRPr="002A733A" w:rsidRDefault="005D57EE" w:rsidP="005D57EE">
      <w:pPr>
        <w:pStyle w:val="Heading3"/>
      </w:pPr>
      <w:r w:rsidRPr="002A733A">
        <w:t xml:space="preserve">Bureau Decision On </w:t>
      </w:r>
      <w:r>
        <w:t>Failing</w:t>
      </w:r>
      <w:r w:rsidRPr="002A733A">
        <w:t xml:space="preserve"> to Produce </w:t>
      </w:r>
      <w:r>
        <w:t xml:space="preserve">Competitive Bidding </w:t>
      </w:r>
      <w:r w:rsidRPr="002A733A">
        <w:t>Documentation</w:t>
      </w:r>
    </w:p>
    <w:p w14:paraId="720C3FFC" w14:textId="77777777" w:rsidR="005D57EE" w:rsidRDefault="005D57EE" w:rsidP="005D57EE">
      <w:pPr>
        <w:pStyle w:val="ParaNum"/>
      </w:pPr>
      <w:r>
        <w:t xml:space="preserve">Regarding USAC’s determination that eight Petitioners failed to produce their competitive bidding records to USAC, five </w:t>
      </w:r>
      <w:r w:rsidRPr="00676AD4">
        <w:t xml:space="preserve">of the </w:t>
      </w:r>
      <w:r>
        <w:t>P</w:t>
      </w:r>
      <w:r w:rsidRPr="00676AD4">
        <w:t>etitioners</w:t>
      </w:r>
      <w:r>
        <w:t xml:space="preserve"> (</w:t>
      </w:r>
      <w:r w:rsidRPr="004C627D">
        <w:t>St. Aloys</w:t>
      </w:r>
      <w:r>
        <w:t xml:space="preserve">ius, St. Ann, </w:t>
      </w:r>
      <w:r w:rsidRPr="004C627D">
        <w:t>St. Brigid</w:t>
      </w:r>
      <w:r>
        <w:t xml:space="preserve">, St. Mark, and St. Nicholas) </w:t>
      </w:r>
      <w:r w:rsidRPr="00676AD4">
        <w:t xml:space="preserve">offered no explanation or excuse </w:t>
      </w:r>
      <w:r>
        <w:t>for this violation.</w:t>
      </w:r>
      <w:r>
        <w:rPr>
          <w:rStyle w:val="FootnoteReference"/>
        </w:rPr>
        <w:footnoteReference w:id="38"/>
      </w:r>
      <w:r>
        <w:t xml:space="preserve">  The remaining three P</w:t>
      </w:r>
      <w:r w:rsidRPr="00676AD4">
        <w:t>etitioners</w:t>
      </w:r>
      <w:r>
        <w:t xml:space="preserve"> (Blessed Sacrament, St. Anthony, and St. Jude) indicated</w:t>
      </w:r>
      <w:r w:rsidRPr="00676AD4">
        <w:t xml:space="preserve"> that </w:t>
      </w:r>
      <w:r>
        <w:t>the school has closed, and claimed that this “affected the School’</w:t>
      </w:r>
      <w:r w:rsidRPr="00E9108B">
        <w:t>s ability to provide all documentation</w:t>
      </w:r>
      <w:r>
        <w:t>.”</w:t>
      </w:r>
      <w:r>
        <w:rPr>
          <w:rStyle w:val="FootnoteReference"/>
        </w:rPr>
        <w:footnoteReference w:id="39"/>
      </w:r>
      <w:r w:rsidRPr="00676AD4">
        <w:t xml:space="preserve"> </w:t>
      </w:r>
    </w:p>
    <w:p w14:paraId="5AFF9F41" w14:textId="77777777" w:rsidR="005D57EE" w:rsidRDefault="005D57EE" w:rsidP="005D57EE">
      <w:pPr>
        <w:pStyle w:val="ParaNum"/>
      </w:pPr>
      <w:r>
        <w:t>Based on a review of the record, we determined that seven of the Petitioners (</w:t>
      </w:r>
      <w:r>
        <w:rPr>
          <w:bCs/>
        </w:rPr>
        <w:t xml:space="preserve">Blessed Sacrament, St. Aloysius, St. Anthony, </w:t>
      </w:r>
      <w:r w:rsidRPr="00853B26">
        <w:rPr>
          <w:bCs/>
        </w:rPr>
        <w:t>St. Brigid</w:t>
      </w:r>
      <w:r>
        <w:rPr>
          <w:bCs/>
        </w:rPr>
        <w:t xml:space="preserve">, St. Jude, St. Mark, and </w:t>
      </w:r>
      <w:r w:rsidRPr="00773376">
        <w:rPr>
          <w:bCs/>
        </w:rPr>
        <w:t>St. Nicholas</w:t>
      </w:r>
      <w:r>
        <w:t xml:space="preserve">) violated the E-rate rules by failing </w:t>
      </w:r>
      <w:r w:rsidRPr="00297363">
        <w:t xml:space="preserve">to maintain and provide copies of bids or other documentation in support of their bid evaluation process </w:t>
      </w:r>
      <w:r>
        <w:t xml:space="preserve">and therefore could not demonstrate their compliance with the </w:t>
      </w:r>
      <w:r w:rsidRPr="0009398A">
        <w:t>Commission</w:t>
      </w:r>
      <w:r>
        <w:t>’</w:t>
      </w:r>
      <w:r w:rsidRPr="0009398A">
        <w:t>s competitive bidding rules.</w:t>
      </w:r>
      <w:r w:rsidRPr="0009398A">
        <w:rPr>
          <w:vertAlign w:val="superscript"/>
        </w:rPr>
        <w:footnoteReference w:id="40"/>
      </w:r>
      <w:r>
        <w:t xml:space="preserve"> </w:t>
      </w:r>
    </w:p>
    <w:p w14:paraId="1B8D726F" w14:textId="77777777" w:rsidR="005D57EE" w:rsidRPr="002A733A" w:rsidRDefault="005D57EE" w:rsidP="005D57EE">
      <w:pPr>
        <w:pStyle w:val="Heading3"/>
      </w:pPr>
      <w:r w:rsidRPr="002A733A">
        <w:t xml:space="preserve"> Bureau Decision On Requests For Waiver</w:t>
      </w:r>
    </w:p>
    <w:p w14:paraId="1C6BBC6E" w14:textId="77777777" w:rsidR="005D57EE" w:rsidRDefault="005D57EE" w:rsidP="005D57EE">
      <w:pPr>
        <w:pStyle w:val="ParaNum"/>
        <w:rPr>
          <w:szCs w:val="22"/>
        </w:rPr>
      </w:pPr>
      <w:r>
        <w:t>Finally, in their appeals, all of the P</w:t>
      </w:r>
      <w:r w:rsidRPr="00676AD4">
        <w:t xml:space="preserve">etitioners requested a waiver of </w:t>
      </w:r>
      <w:r>
        <w:t>the Commission’s competitive bidding rules</w:t>
      </w:r>
      <w:r w:rsidRPr="00676AD4">
        <w:t xml:space="preserve"> on the basis that</w:t>
      </w:r>
      <w:r>
        <w:t xml:space="preserve"> the schools had committed mere “staff mistakes,” that </w:t>
      </w:r>
      <w:r w:rsidRPr="00A92CD0">
        <w:t xml:space="preserve">there </w:t>
      </w:r>
      <w:r>
        <w:t>was</w:t>
      </w:r>
      <w:r w:rsidRPr="00A92CD0">
        <w:t xml:space="preserve"> no </w:t>
      </w:r>
      <w:r>
        <w:t xml:space="preserve">evidence of any </w:t>
      </w:r>
      <w:r w:rsidRPr="00A92CD0">
        <w:t>waste, fraud, or abuse, or misuse</w:t>
      </w:r>
      <w:r>
        <w:t xml:space="preserve"> </w:t>
      </w:r>
      <w:r w:rsidRPr="00A92CD0">
        <w:t>of funds</w:t>
      </w:r>
      <w:r>
        <w:t>, and that seeking reimbursement of disbursed funds would cause undue hardship to the schools.</w:t>
      </w:r>
      <w:r>
        <w:rPr>
          <w:rStyle w:val="FootnoteReference"/>
        </w:rPr>
        <w:footnoteReference w:id="41"/>
      </w:r>
      <w:r>
        <w:t xml:space="preserve"> </w:t>
      </w:r>
      <w:r>
        <w:rPr>
          <w:szCs w:val="22"/>
        </w:rPr>
        <w:t xml:space="preserve"> </w:t>
      </w:r>
    </w:p>
    <w:p w14:paraId="6C2892F6" w14:textId="77777777" w:rsidR="005D57EE" w:rsidRDefault="005D57EE" w:rsidP="005D57EE">
      <w:pPr>
        <w:pStyle w:val="ParaNum"/>
        <w:rPr>
          <w:szCs w:val="22"/>
        </w:rPr>
      </w:pPr>
      <w:r>
        <w:rPr>
          <w:szCs w:val="22"/>
        </w:rPr>
        <w:t xml:space="preserve">Because we determined that no special circumstances existed to justify a waiver of the Commission’s competitive bidding rules, </w:t>
      </w:r>
      <w:r w:rsidRPr="0009398A">
        <w:rPr>
          <w:szCs w:val="22"/>
        </w:rPr>
        <w:t>we</w:t>
      </w:r>
      <w:r>
        <w:rPr>
          <w:szCs w:val="22"/>
        </w:rPr>
        <w:t xml:space="preserve"> denied all nine appeals in their entirety.</w:t>
      </w:r>
      <w:r>
        <w:rPr>
          <w:rStyle w:val="FootnoteReference"/>
          <w:szCs w:val="22"/>
        </w:rPr>
        <w:footnoteReference w:id="42"/>
      </w:r>
      <w:r w:rsidRPr="0009398A">
        <w:rPr>
          <w:szCs w:val="22"/>
        </w:rPr>
        <w:t xml:space="preserve">  </w:t>
      </w:r>
    </w:p>
    <w:p w14:paraId="6B9AE0C0" w14:textId="77777777" w:rsidR="005D57EE" w:rsidRPr="008A3AE4" w:rsidRDefault="005D57EE" w:rsidP="005D57EE">
      <w:pPr>
        <w:pStyle w:val="Heading2"/>
        <w:rPr>
          <w:szCs w:val="22"/>
        </w:rPr>
      </w:pPr>
      <w:r w:rsidRPr="00D22F54">
        <w:t>Petitions for Reconsideration</w:t>
      </w:r>
    </w:p>
    <w:p w14:paraId="2FAD097B" w14:textId="77777777" w:rsidR="005D57EE" w:rsidRPr="00FE2184" w:rsidRDefault="005D57EE" w:rsidP="005D57EE">
      <w:pPr>
        <w:pStyle w:val="ParaNum"/>
      </w:pPr>
      <w:r w:rsidRPr="00FE2184">
        <w:rPr>
          <w:rStyle w:val="StyleNumberedparagraphs11ptChar"/>
          <w:szCs w:val="22"/>
        </w:rPr>
        <w:t>In the Petitions for Reconsideration, Petitioners seek reconsideration of their requests for a review and/or waiver and restate facts and arguments they previously asserted in their appeals.</w:t>
      </w:r>
      <w:r w:rsidRPr="00FE2184">
        <w:rPr>
          <w:rStyle w:val="FootnoteReference"/>
          <w:szCs w:val="22"/>
        </w:rPr>
        <w:footnoteReference w:id="43"/>
      </w:r>
      <w:r w:rsidRPr="00FE2184">
        <w:rPr>
          <w:rStyle w:val="StyleNumberedparagraphs11ptChar"/>
          <w:szCs w:val="22"/>
        </w:rPr>
        <w:t xml:space="preserve">  Petitioners also argue that the denial of their appeals was defective because the </w:t>
      </w:r>
      <w:r w:rsidRPr="00FE2184">
        <w:t xml:space="preserve">Bureau’s streamlined procedure for resolving appeals and requests for waiver was a fundamental change to the process of handling appeals </w:t>
      </w:r>
      <w:r w:rsidRPr="00FE2184">
        <w:rPr>
          <w:rStyle w:val="StyleNumberedparagraphs11ptChar"/>
          <w:szCs w:val="22"/>
        </w:rPr>
        <w:t>that was made without notice and comment rulemaking.</w:t>
      </w:r>
      <w:r w:rsidRPr="00FE2184">
        <w:rPr>
          <w:rStyle w:val="FootnoteReference"/>
          <w:szCs w:val="22"/>
        </w:rPr>
        <w:footnoteReference w:id="44"/>
      </w:r>
      <w:r w:rsidRPr="00FE2184">
        <w:rPr>
          <w:rStyle w:val="StyleNumberedparagraphs11ptChar"/>
          <w:szCs w:val="22"/>
        </w:rPr>
        <w:t xml:space="preserve">  </w:t>
      </w:r>
    </w:p>
    <w:p w14:paraId="1C518489" w14:textId="77777777" w:rsidR="005D57EE" w:rsidRPr="00676AD4" w:rsidRDefault="005D57EE" w:rsidP="005D57EE">
      <w:pPr>
        <w:pStyle w:val="Heading1"/>
        <w:rPr>
          <w:rStyle w:val="StyleNumberedparagraphs11ptChar"/>
          <w:rFonts w:ascii="Times New Roman" w:hAnsi="Times New Roman"/>
          <w:szCs w:val="22"/>
        </w:rPr>
      </w:pPr>
      <w:r w:rsidRPr="00676AD4">
        <w:t>DISCUSSION</w:t>
      </w:r>
    </w:p>
    <w:p w14:paraId="7E562EDE" w14:textId="77777777" w:rsidR="005D57EE" w:rsidRDefault="005D57EE" w:rsidP="005D57EE">
      <w:pPr>
        <w:pStyle w:val="ParaNum"/>
        <w:rPr>
          <w:rStyle w:val="StyleNumberedparagraphs11ptChar"/>
          <w:szCs w:val="22"/>
        </w:rPr>
      </w:pPr>
      <w:r w:rsidRPr="00676AD4">
        <w:rPr>
          <w:rStyle w:val="StyleNumberedparagraphs11ptChar"/>
          <w:i/>
          <w:szCs w:val="22"/>
        </w:rPr>
        <w:t>Dismissal.</w:t>
      </w:r>
      <w:r w:rsidRPr="00D22F54">
        <w:rPr>
          <w:rStyle w:val="StyleNumberedparagraphs11ptChar"/>
          <w:i/>
        </w:rPr>
        <w:t xml:space="preserve">  </w:t>
      </w:r>
      <w:r w:rsidRPr="00676AD4">
        <w:rPr>
          <w:rStyle w:val="StyleNumberedparagraphs11ptChar"/>
          <w:szCs w:val="22"/>
        </w:rPr>
        <w:t xml:space="preserve">Our rules provide that </w:t>
      </w:r>
      <w:r w:rsidRPr="00676AD4">
        <w:t>a petition for </w:t>
      </w:r>
      <w:bookmarkStart w:id="6" w:name="SR;407"/>
      <w:bookmarkEnd w:id="6"/>
      <w:r w:rsidRPr="00676AD4">
        <w:rPr>
          <w:bCs/>
        </w:rPr>
        <w:t>reconsideration</w:t>
      </w:r>
      <w:r w:rsidRPr="00676AD4">
        <w:t> will only be </w:t>
      </w:r>
      <w:bookmarkStart w:id="7" w:name="SR;411"/>
      <w:bookmarkEnd w:id="7"/>
      <w:r w:rsidRPr="00676AD4">
        <w:rPr>
          <w:bCs/>
        </w:rPr>
        <w:t>entertained</w:t>
      </w:r>
      <w:r w:rsidRPr="00676AD4">
        <w:t> if it relies on facts or arguments that have changed or were unknown to the petitioner when it previously filed its appeal</w:t>
      </w:r>
      <w:r w:rsidRPr="00676AD4">
        <w:rPr>
          <w:rStyle w:val="StyleNumberedparagraphs11ptChar"/>
          <w:szCs w:val="22"/>
        </w:rPr>
        <w:t>.</w:t>
      </w:r>
      <w:r w:rsidRPr="00676AD4">
        <w:rPr>
          <w:rStyle w:val="FootnoteReference"/>
          <w:szCs w:val="22"/>
        </w:rPr>
        <w:footnoteReference w:id="45"/>
      </w:r>
      <w:r w:rsidRPr="00676AD4">
        <w:rPr>
          <w:rStyle w:val="StyleNumberedparagraphs11ptChar"/>
          <w:szCs w:val="22"/>
        </w:rPr>
        <w:t xml:space="preserve">  We have already fully considered and rejected the facts and arguments</w:t>
      </w:r>
      <w:r>
        <w:rPr>
          <w:rStyle w:val="StyleNumberedparagraphs11ptChar"/>
          <w:szCs w:val="22"/>
        </w:rPr>
        <w:t xml:space="preserve"> offered by the Petitioners in support of their Petitions for Reconsideration</w:t>
      </w:r>
      <w:r w:rsidRPr="00676AD4">
        <w:rPr>
          <w:rStyle w:val="StyleNumberedparagraphs11ptChar"/>
          <w:szCs w:val="22"/>
        </w:rPr>
        <w:t>.</w:t>
      </w:r>
      <w:r w:rsidRPr="00676AD4">
        <w:rPr>
          <w:rStyle w:val="FootnoteReference"/>
          <w:szCs w:val="22"/>
        </w:rPr>
        <w:footnoteReference w:id="46"/>
      </w:r>
      <w:r w:rsidRPr="00676AD4">
        <w:rPr>
          <w:rStyle w:val="StyleNumberedparagraphs11ptChar"/>
          <w:szCs w:val="22"/>
        </w:rPr>
        <w:t xml:space="preserve">  Therefore, to the extent </w:t>
      </w:r>
      <w:r>
        <w:rPr>
          <w:rStyle w:val="StyleNumberedparagraphs11ptChar"/>
          <w:szCs w:val="22"/>
        </w:rPr>
        <w:t>P</w:t>
      </w:r>
      <w:r w:rsidRPr="00676AD4">
        <w:rPr>
          <w:rStyle w:val="StyleNumberedparagraphs11ptChar"/>
          <w:szCs w:val="22"/>
        </w:rPr>
        <w:t>etitioners reiterate their previously asserted arguments, we dismiss the Petitions for Reconsideration pursuant to section 1.106(p)(3) of the Commission</w:t>
      </w:r>
      <w:r>
        <w:rPr>
          <w:rStyle w:val="StyleNumberedparagraphs11ptChar"/>
          <w:szCs w:val="22"/>
        </w:rPr>
        <w:t>’</w:t>
      </w:r>
      <w:r w:rsidRPr="00676AD4">
        <w:rPr>
          <w:rStyle w:val="StyleNumberedparagraphs11ptChar"/>
          <w:szCs w:val="22"/>
        </w:rPr>
        <w:t>s rules.</w:t>
      </w:r>
      <w:r w:rsidRPr="00676AD4">
        <w:rPr>
          <w:rStyle w:val="FootnoteReference"/>
          <w:szCs w:val="22"/>
        </w:rPr>
        <w:footnoteReference w:id="47"/>
      </w:r>
      <w:r w:rsidRPr="00676AD4">
        <w:rPr>
          <w:rStyle w:val="StyleNumberedparagraphs11ptChar"/>
          <w:szCs w:val="22"/>
        </w:rPr>
        <w:t xml:space="preserve">       </w:t>
      </w:r>
    </w:p>
    <w:p w14:paraId="4B50F634" w14:textId="77777777" w:rsidR="005D57EE" w:rsidRDefault="005D57EE" w:rsidP="005D57EE">
      <w:pPr>
        <w:pStyle w:val="ParaNum"/>
        <w:rPr>
          <w:rStyle w:val="StyleNumberedparagraphs11ptChar"/>
          <w:szCs w:val="22"/>
        </w:rPr>
      </w:pPr>
      <w:r w:rsidRPr="00C443E5">
        <w:rPr>
          <w:rStyle w:val="StyleNumberedparagraphs11ptChar"/>
          <w:i/>
          <w:szCs w:val="22"/>
        </w:rPr>
        <w:t>Denial</w:t>
      </w:r>
      <w:r w:rsidRPr="00C443E5">
        <w:rPr>
          <w:rStyle w:val="StyleNumberedparagraphs11ptChar"/>
          <w:szCs w:val="22"/>
        </w:rPr>
        <w:t xml:space="preserve">. </w:t>
      </w:r>
      <w:r w:rsidRPr="00C443E5">
        <w:rPr>
          <w:rStyle w:val="StyleNumberedparagraphs11ptChar"/>
          <w:i/>
          <w:szCs w:val="22"/>
        </w:rPr>
        <w:t xml:space="preserve"> </w:t>
      </w:r>
      <w:r w:rsidRPr="00C443E5">
        <w:rPr>
          <w:rStyle w:val="StyleNumberedparagraphs11ptChar"/>
          <w:szCs w:val="22"/>
        </w:rPr>
        <w:t xml:space="preserve">In addition, independently and in the alternative, we deny the Petitions for Reconsideration on the merits.  </w:t>
      </w:r>
      <w:r w:rsidRPr="00676AD4">
        <w:t xml:space="preserve">In denying five of the </w:t>
      </w:r>
      <w:r>
        <w:t>P</w:t>
      </w:r>
      <w:r w:rsidRPr="00676AD4">
        <w:t>etitioners</w:t>
      </w:r>
      <w:r>
        <w:t>’</w:t>
      </w:r>
      <w:r w:rsidRPr="00676AD4">
        <w:t xml:space="preserve"> </w:t>
      </w:r>
      <w:r>
        <w:t>appeals</w:t>
      </w:r>
      <w:r w:rsidRPr="00676AD4">
        <w:t xml:space="preserve"> in the </w:t>
      </w:r>
      <w:r>
        <w:rPr>
          <w:i/>
        </w:rPr>
        <w:t>March 2015 Streamlined Request Resolution PN</w:t>
      </w:r>
      <w:r w:rsidRPr="00676AD4">
        <w:t>, we relied on the Commission</w:t>
      </w:r>
      <w:r>
        <w:t>’</w:t>
      </w:r>
      <w:r w:rsidRPr="00676AD4">
        <w:t>s rules</w:t>
      </w:r>
      <w:r>
        <w:t xml:space="preserve"> </w:t>
      </w:r>
      <w:r w:rsidRPr="00676AD4">
        <w:t>and precedent</w:t>
      </w:r>
      <w:r>
        <w:rPr>
          <w:vertAlign w:val="superscript"/>
        </w:rPr>
        <w:t xml:space="preserve"> </w:t>
      </w:r>
      <w:r w:rsidRPr="00676AD4">
        <w:t>that requires that all potential bidders have access to the same information and be treated in the same manner throughout the procurement process.</w:t>
      </w:r>
      <w:r>
        <w:rPr>
          <w:rStyle w:val="FootnoteReference"/>
        </w:rPr>
        <w:footnoteReference w:id="48"/>
      </w:r>
      <w:r>
        <w:t xml:space="preserve">  </w:t>
      </w:r>
      <w:r w:rsidRPr="00C443E5">
        <w:rPr>
          <w:rStyle w:val="StyleNumberedparagraphs11ptChar"/>
          <w:szCs w:val="22"/>
        </w:rPr>
        <w:t>The record show</w:t>
      </w:r>
      <w:r>
        <w:rPr>
          <w:rStyle w:val="StyleNumberedparagraphs11ptChar"/>
          <w:szCs w:val="22"/>
        </w:rPr>
        <w:t>s</w:t>
      </w:r>
      <w:r w:rsidRPr="00C443E5">
        <w:rPr>
          <w:rStyle w:val="StyleNumberedparagraphs11ptChar"/>
          <w:szCs w:val="22"/>
        </w:rPr>
        <w:t xml:space="preserve"> that </w:t>
      </w:r>
      <w:r>
        <w:t>those</w:t>
      </w:r>
      <w:r w:rsidRPr="00676AD4">
        <w:t xml:space="preserve"> </w:t>
      </w:r>
      <w:r>
        <w:t>P</w:t>
      </w:r>
      <w:r w:rsidRPr="00676AD4">
        <w:t>etitioners could not produce evidence demonstrating that they responded to SaaS</w:t>
      </w:r>
      <w:r>
        <w:t>’</w:t>
      </w:r>
      <w:r w:rsidRPr="00676AD4">
        <w:t xml:space="preserve">s request for additional information despite communicating with other potential bidders, either by </w:t>
      </w:r>
      <w:r>
        <w:t xml:space="preserve">e-mail, </w:t>
      </w:r>
      <w:r w:rsidRPr="00676AD4">
        <w:t xml:space="preserve">telephone, </w:t>
      </w:r>
      <w:r>
        <w:t xml:space="preserve">or through open houses </w:t>
      </w:r>
      <w:r w:rsidRPr="00676AD4">
        <w:t xml:space="preserve">to share information about the </w:t>
      </w:r>
      <w:r>
        <w:t>requested services</w:t>
      </w:r>
      <w:r w:rsidRPr="00676AD4">
        <w:t>.</w:t>
      </w:r>
      <w:r>
        <w:rPr>
          <w:rStyle w:val="FootnoteReference"/>
          <w:szCs w:val="22"/>
        </w:rPr>
        <w:footnoteReference w:id="49"/>
      </w:r>
      <w:r w:rsidRPr="00676AD4">
        <w:t xml:space="preserve">  By </w:t>
      </w:r>
      <w:r>
        <w:t>giving</w:t>
      </w:r>
      <w:r w:rsidRPr="00676AD4">
        <w:t xml:space="preserve"> some, but not all, potential bidders </w:t>
      </w:r>
      <w:r>
        <w:t>additional information about the schools’ requested services and bidding process, these five P</w:t>
      </w:r>
      <w:r w:rsidRPr="00676AD4">
        <w:t>etitioners gave certain potential bidders an unfair advantage over others</w:t>
      </w:r>
      <w:r>
        <w:t xml:space="preserve"> and inhibited a fair and open competitive bidding process</w:t>
      </w:r>
      <w:r w:rsidRPr="00676AD4">
        <w:t>.</w:t>
      </w:r>
      <w:r>
        <w:rPr>
          <w:rStyle w:val="FootnoteReference"/>
        </w:rPr>
        <w:footnoteReference w:id="50"/>
      </w:r>
      <w:r>
        <w:t xml:space="preserve">  </w:t>
      </w:r>
    </w:p>
    <w:p w14:paraId="7C0216F5" w14:textId="77777777" w:rsidR="005D57EE" w:rsidRPr="00CB1A8D" w:rsidRDefault="005D57EE" w:rsidP="005D57EE">
      <w:pPr>
        <w:pStyle w:val="ParaNum"/>
      </w:pPr>
      <w:r>
        <w:t xml:space="preserve">These five </w:t>
      </w:r>
      <w:r w:rsidRPr="00676AD4">
        <w:t>Petitioners</w:t>
      </w:r>
      <w:r>
        <w:t>’</w:t>
      </w:r>
      <w:r w:rsidRPr="00676AD4">
        <w:t xml:space="preserve"> argu</w:t>
      </w:r>
      <w:r>
        <w:t>ment</w:t>
      </w:r>
      <w:r w:rsidRPr="00676AD4">
        <w:t xml:space="preserve"> that their failure to respond to the potential bidder, SaaS, did not taint the competitive bidding process because the Bureau should not consider SaaS a </w:t>
      </w:r>
      <w:r>
        <w:t>“</w:t>
      </w:r>
      <w:r w:rsidRPr="00676AD4">
        <w:t>real potential bidder</w:t>
      </w:r>
      <w:r>
        <w:t>” is inconsistent with the very concept of potential bidders</w:t>
      </w:r>
      <w:r w:rsidRPr="00676AD4">
        <w:t xml:space="preserve">. </w:t>
      </w:r>
      <w:r>
        <w:t xml:space="preserve"> </w:t>
      </w:r>
      <w:r w:rsidRPr="00676AD4">
        <w:t xml:space="preserve">To support this argument, </w:t>
      </w:r>
      <w:r>
        <w:t>P</w:t>
      </w:r>
      <w:r w:rsidRPr="00676AD4">
        <w:t xml:space="preserve">etitioners </w:t>
      </w:r>
      <w:r>
        <w:t xml:space="preserve">once again argue </w:t>
      </w:r>
      <w:r w:rsidRPr="00676AD4">
        <w:t>that SaaS has never filed a SPAC Form, has never been selected to receive any E-rate program support before or since funding year 2012, and did not submit a bid to any of the schools.</w:t>
      </w:r>
      <w:r w:rsidRPr="00676AD4">
        <w:rPr>
          <w:vertAlign w:val="superscript"/>
        </w:rPr>
        <w:footnoteReference w:id="51"/>
      </w:r>
      <w:r w:rsidRPr="00676AD4">
        <w:t xml:space="preserve">  </w:t>
      </w:r>
      <w:r>
        <w:t>However, s</w:t>
      </w:r>
      <w:r w:rsidRPr="0004235B">
        <w:t xml:space="preserve">ubmission of </w:t>
      </w:r>
      <w:r>
        <w:t>a SPAC</w:t>
      </w:r>
      <w:r w:rsidRPr="0004235B">
        <w:t xml:space="preserve"> </w:t>
      </w:r>
      <w:r>
        <w:t xml:space="preserve">Form </w:t>
      </w:r>
      <w:r w:rsidRPr="0004235B">
        <w:t xml:space="preserve">is not required </w:t>
      </w:r>
      <w:r>
        <w:t xml:space="preserve">for a service provider </w:t>
      </w:r>
      <w:r w:rsidRPr="0004235B">
        <w:t>to submit a bid for E-rate services</w:t>
      </w:r>
      <w:r>
        <w:t>.</w:t>
      </w:r>
      <w:r>
        <w:rPr>
          <w:rStyle w:val="FootnoteReference"/>
          <w:szCs w:val="22"/>
        </w:rPr>
        <w:footnoteReference w:id="52"/>
      </w:r>
      <w:r w:rsidRPr="00676AD4">
        <w:t xml:space="preserve">  </w:t>
      </w:r>
      <w:r>
        <w:t xml:space="preserve">Thus, </w:t>
      </w:r>
      <w:r w:rsidRPr="00CB1A8D">
        <w:t>SaaS not having a SPAC Form on file at the time it contacted the schools did not justify or excuse Petitioners’ failure to respond to SaaS’s inquiry or invite SaaS to their schools’ E-rate open house event</w:t>
      </w:r>
      <w:r>
        <w:t>.  Furthermore</w:t>
      </w:r>
      <w:r w:rsidRPr="00676AD4">
        <w:t xml:space="preserve">, the fact that SaaS has never been selected to receive E-rate support is not a reason to disqualify a service provider as a </w:t>
      </w:r>
      <w:r>
        <w:t>“</w:t>
      </w:r>
      <w:r w:rsidRPr="00676AD4">
        <w:t>real potential bidder.</w:t>
      </w:r>
      <w:r>
        <w:t>”</w:t>
      </w:r>
      <w:r w:rsidRPr="00676AD4">
        <w:t xml:space="preserve">  Indeed, the Commission welcomes new or small service providers with little to no E-rate experience to participate in the </w:t>
      </w:r>
      <w:r>
        <w:t xml:space="preserve">E-rate </w:t>
      </w:r>
      <w:r w:rsidRPr="00676AD4">
        <w:t>program and contribute to the competitive bidding process.  Finally, the fact that SaaS di</w:t>
      </w:r>
      <w:r>
        <w:t>d not submit a bid to P</w:t>
      </w:r>
      <w:r w:rsidRPr="00676AD4">
        <w:t xml:space="preserve">etitioners </w:t>
      </w:r>
      <w:r>
        <w:t>only hurts, rather than helps, Petitioners’ argument.  Had P</w:t>
      </w:r>
      <w:r w:rsidRPr="00676AD4">
        <w:t>etitioners responded to SaaS</w:t>
      </w:r>
      <w:r>
        <w:t>’</w:t>
      </w:r>
      <w:r w:rsidRPr="00676AD4">
        <w:t xml:space="preserve">s inquiry or invited SaaS to </w:t>
      </w:r>
      <w:r>
        <w:t>any of the E-rate open houses</w:t>
      </w:r>
      <w:r w:rsidRPr="00676AD4">
        <w:t xml:space="preserve">, perhaps SaaS might have submitted a </w:t>
      </w:r>
      <w:r>
        <w:t xml:space="preserve">competitive </w:t>
      </w:r>
      <w:r w:rsidRPr="00676AD4">
        <w:t xml:space="preserve">bid.  </w:t>
      </w:r>
      <w:r>
        <w:t>But</w:t>
      </w:r>
      <w:r w:rsidRPr="00676AD4">
        <w:t xml:space="preserve"> </w:t>
      </w:r>
      <w:r>
        <w:t>P</w:t>
      </w:r>
      <w:r w:rsidRPr="00676AD4">
        <w:t>etitioners failed to treat every potential bidder equally and did not provide every potential bidder with access to the same information</w:t>
      </w:r>
      <w:r>
        <w:t>, thus inhibiting the competitive bidding process</w:t>
      </w:r>
      <w:r w:rsidRPr="00676AD4">
        <w:t>.  Th</w:t>
      </w:r>
      <w:r>
        <w:t>erefore</w:t>
      </w:r>
      <w:r w:rsidRPr="00676AD4">
        <w:t xml:space="preserve">, consistent with precedent, we correctly found in the </w:t>
      </w:r>
      <w:r>
        <w:rPr>
          <w:i/>
        </w:rPr>
        <w:t>March 2015 Streamlined Request Resolution PN</w:t>
      </w:r>
      <w:r w:rsidRPr="00CB1A8D">
        <w:rPr>
          <w:i/>
        </w:rPr>
        <w:t xml:space="preserve"> </w:t>
      </w:r>
      <w:r>
        <w:t>that these P</w:t>
      </w:r>
      <w:r w:rsidRPr="00676AD4">
        <w:t>etitioners violated the Commission</w:t>
      </w:r>
      <w:r>
        <w:t>’</w:t>
      </w:r>
      <w:r w:rsidRPr="00676AD4">
        <w:t>s competitive bidding rules by providing information to potential bidders that was not available to SaaS, thereby inhibiting a fair and open competitive bidding process.</w:t>
      </w:r>
      <w:r w:rsidRPr="00676AD4">
        <w:rPr>
          <w:vertAlign w:val="superscript"/>
        </w:rPr>
        <w:footnoteReference w:id="53"/>
      </w:r>
      <w:r w:rsidRPr="00676AD4">
        <w:t xml:space="preserve">  </w:t>
      </w:r>
    </w:p>
    <w:p w14:paraId="7737AEAF" w14:textId="77777777" w:rsidR="005D57EE" w:rsidRDefault="005D57EE" w:rsidP="005D57EE">
      <w:pPr>
        <w:pStyle w:val="ParaNum"/>
      </w:pPr>
      <w:r w:rsidRPr="00676AD4">
        <w:t xml:space="preserve">Additionally, </w:t>
      </w:r>
      <w:r>
        <w:t>we affirm our decision to deny</w:t>
      </w:r>
      <w:r w:rsidRPr="00676AD4">
        <w:t xml:space="preserve"> </w:t>
      </w:r>
      <w:r>
        <w:t xml:space="preserve">seven </w:t>
      </w:r>
      <w:r w:rsidRPr="00676AD4">
        <w:t xml:space="preserve">of the </w:t>
      </w:r>
      <w:r>
        <w:t>P</w:t>
      </w:r>
      <w:r w:rsidRPr="00676AD4">
        <w:t>etitioners</w:t>
      </w:r>
      <w:r>
        <w:t>’</w:t>
      </w:r>
      <w:r w:rsidRPr="00676AD4">
        <w:t xml:space="preserve"> </w:t>
      </w:r>
      <w:r>
        <w:t>appeals</w:t>
      </w:r>
      <w:r w:rsidRPr="00676AD4">
        <w:t xml:space="preserve"> in the </w:t>
      </w:r>
      <w:r>
        <w:rPr>
          <w:i/>
        </w:rPr>
        <w:t>March 2015 Streamlined Request Resolution PN</w:t>
      </w:r>
      <w:r w:rsidRPr="00676AD4">
        <w:t xml:space="preserve">, </w:t>
      </w:r>
      <w:r>
        <w:t xml:space="preserve">because they violated </w:t>
      </w:r>
      <w:r w:rsidRPr="00676AD4">
        <w:t>the Commission</w:t>
      </w:r>
      <w:r>
        <w:t>’</w:t>
      </w:r>
      <w:r w:rsidRPr="00676AD4">
        <w:t xml:space="preserve">s rules and precedent that requires all E-rate program participants </w:t>
      </w:r>
      <w:r>
        <w:t xml:space="preserve">to </w:t>
      </w:r>
      <w:r w:rsidRPr="00676AD4">
        <w:t>retain and produce</w:t>
      </w:r>
      <w:r>
        <w:t xml:space="preserve"> upon request</w:t>
      </w:r>
      <w:r w:rsidRPr="00676AD4">
        <w:t xml:space="preserve"> documentation regarding </w:t>
      </w:r>
      <w:r>
        <w:t>their</w:t>
      </w:r>
      <w:r w:rsidRPr="00676AD4">
        <w:t xml:space="preserve"> vendor selection process to demonstrate compliance with the E-rate program</w:t>
      </w:r>
      <w:r>
        <w:t>’</w:t>
      </w:r>
      <w:r w:rsidRPr="00676AD4">
        <w:t>s competitive bidding rules.</w:t>
      </w:r>
      <w:r>
        <w:rPr>
          <w:rStyle w:val="FootnoteReference"/>
          <w:szCs w:val="22"/>
        </w:rPr>
        <w:footnoteReference w:id="54"/>
      </w:r>
      <w:r w:rsidRPr="00676AD4">
        <w:t xml:space="preserve">  The record shows that </w:t>
      </w:r>
      <w:r>
        <w:t>seven</w:t>
      </w:r>
      <w:r w:rsidRPr="00676AD4">
        <w:t xml:space="preserve"> </w:t>
      </w:r>
      <w:r>
        <w:t>P</w:t>
      </w:r>
      <w:r w:rsidRPr="00676AD4">
        <w:t>etitioners failed to maintain and provide copies of bids or other documentation in support of their bid evaluation process</w:t>
      </w:r>
      <w:r>
        <w:t xml:space="preserve"> in violation of the Commission’s rules</w:t>
      </w:r>
      <w:r w:rsidRPr="00676AD4">
        <w:t>.</w:t>
      </w:r>
      <w:r>
        <w:rPr>
          <w:rStyle w:val="FootnoteReference"/>
          <w:szCs w:val="22"/>
        </w:rPr>
        <w:footnoteReference w:id="55"/>
      </w:r>
      <w:r>
        <w:t xml:space="preserve">  </w:t>
      </w:r>
    </w:p>
    <w:p w14:paraId="2E356F2E" w14:textId="77777777" w:rsidR="005D57EE" w:rsidRPr="00CD4A54" w:rsidRDefault="005D57EE" w:rsidP="005D57EE">
      <w:pPr>
        <w:pStyle w:val="ParaNum"/>
      </w:pPr>
      <w:r w:rsidRPr="00CD4A54">
        <w:rPr>
          <w:rStyle w:val="StyleNumberedparagraphs11ptChar"/>
          <w:szCs w:val="22"/>
        </w:rPr>
        <w:t>Regarding Petitioners</w:t>
      </w:r>
      <w:r>
        <w:rPr>
          <w:rStyle w:val="StyleNumberedparagraphs11ptChar"/>
          <w:szCs w:val="22"/>
        </w:rPr>
        <w:t>’</w:t>
      </w:r>
      <w:r w:rsidRPr="00CD4A54">
        <w:rPr>
          <w:rStyle w:val="StyleNumberedparagraphs11ptChar"/>
          <w:szCs w:val="22"/>
        </w:rPr>
        <w:t xml:space="preserve"> waiver request</w:t>
      </w:r>
      <w:r>
        <w:rPr>
          <w:rStyle w:val="StyleNumberedparagraphs11ptChar"/>
          <w:szCs w:val="22"/>
        </w:rPr>
        <w:t>s</w:t>
      </w:r>
      <w:r w:rsidRPr="00CD4A54">
        <w:rPr>
          <w:rStyle w:val="StyleNumberedparagraphs11ptChar"/>
          <w:szCs w:val="22"/>
        </w:rPr>
        <w:t>, we</w:t>
      </w:r>
      <w:r>
        <w:rPr>
          <w:rStyle w:val="StyleNumberedparagraphs11ptChar"/>
          <w:szCs w:val="22"/>
        </w:rPr>
        <w:t xml:space="preserve"> affirm our decision </w:t>
      </w:r>
      <w:r w:rsidRPr="00CD4A54">
        <w:rPr>
          <w:rStyle w:val="StyleNumberedparagraphs11ptChar"/>
          <w:szCs w:val="22"/>
        </w:rPr>
        <w:t xml:space="preserve">that </w:t>
      </w:r>
      <w:r>
        <w:rPr>
          <w:rStyle w:val="StyleNumberedparagraphs11ptChar"/>
          <w:szCs w:val="22"/>
        </w:rPr>
        <w:t xml:space="preserve">Petitioners </w:t>
      </w:r>
      <w:r w:rsidRPr="00CD4A54">
        <w:rPr>
          <w:rStyle w:val="StyleNumberedparagraphs11ptChar"/>
          <w:szCs w:val="22"/>
        </w:rPr>
        <w:t>have not demonstrated the existence of any special circumstan</w:t>
      </w:r>
      <w:r>
        <w:rPr>
          <w:rStyle w:val="StyleNumberedparagraphs11ptChar"/>
          <w:szCs w:val="22"/>
        </w:rPr>
        <w:t>ces warranting</w:t>
      </w:r>
      <w:r w:rsidRPr="00CD4A54">
        <w:rPr>
          <w:rStyle w:val="StyleNumberedparagraphs11ptChar"/>
          <w:szCs w:val="22"/>
        </w:rPr>
        <w:t xml:space="preserve"> a waiver of the Commission</w:t>
      </w:r>
      <w:r>
        <w:rPr>
          <w:rStyle w:val="StyleNumberedparagraphs11ptChar"/>
          <w:szCs w:val="22"/>
        </w:rPr>
        <w:t>’</w:t>
      </w:r>
      <w:r w:rsidRPr="00CD4A54">
        <w:rPr>
          <w:rStyle w:val="StyleNumberedparagraphs11ptChar"/>
          <w:szCs w:val="22"/>
        </w:rPr>
        <w:t xml:space="preserve">s competitive bidding rules.  </w:t>
      </w:r>
      <w:r w:rsidRPr="00AB6860">
        <w:t>The Commission may exercise its discretion to waive a rule where the particular facts demonstrate that (i) special circumstances warrant a deviation from the general rule, and (ii) such deviation will serve the public interest.</w:t>
      </w:r>
      <w:r>
        <w:rPr>
          <w:rStyle w:val="FootnoteReference"/>
          <w:szCs w:val="22"/>
        </w:rPr>
        <w:footnoteReference w:id="56"/>
      </w:r>
      <w:r w:rsidRPr="00AB6860">
        <w:t xml:space="preserve">  </w:t>
      </w:r>
      <w:r>
        <w:t xml:space="preserve">Here, </w:t>
      </w:r>
      <w:r w:rsidRPr="00CD4A54">
        <w:rPr>
          <w:rStyle w:val="StyleNumberedparagraphs11ptChar"/>
          <w:szCs w:val="22"/>
        </w:rPr>
        <w:t xml:space="preserve">Petitioners </w:t>
      </w:r>
      <w:r>
        <w:rPr>
          <w:rStyle w:val="StyleNumberedparagraphs11ptChar"/>
          <w:szCs w:val="22"/>
        </w:rPr>
        <w:t xml:space="preserve">can meet neither of the elements necessary to support a successful waiver request.  Instead, they merely repeat their </w:t>
      </w:r>
      <w:r w:rsidRPr="00CD4A54">
        <w:rPr>
          <w:rStyle w:val="StyleNumberedparagraphs11ptChar"/>
          <w:szCs w:val="22"/>
        </w:rPr>
        <w:t>argu</w:t>
      </w:r>
      <w:r>
        <w:rPr>
          <w:rStyle w:val="StyleNumberedparagraphs11ptChar"/>
          <w:szCs w:val="22"/>
        </w:rPr>
        <w:t>ment t</w:t>
      </w:r>
      <w:r w:rsidRPr="00CD4A54">
        <w:rPr>
          <w:rStyle w:val="StyleNumberedparagraphs11ptChar"/>
          <w:szCs w:val="22"/>
        </w:rPr>
        <w:t>hat their failure to respond to SaaS and</w:t>
      </w:r>
      <w:r>
        <w:rPr>
          <w:rStyle w:val="StyleNumberedparagraphs11ptChar"/>
          <w:szCs w:val="22"/>
        </w:rPr>
        <w:t>/or</w:t>
      </w:r>
      <w:r w:rsidRPr="00CD4A54">
        <w:rPr>
          <w:rStyle w:val="StyleNumberedparagraphs11ptChar"/>
          <w:szCs w:val="22"/>
        </w:rPr>
        <w:t xml:space="preserve"> retain their competitive bidding records were </w:t>
      </w:r>
      <w:r>
        <w:rPr>
          <w:rStyle w:val="StyleNumberedparagraphs11ptChar"/>
          <w:szCs w:val="22"/>
        </w:rPr>
        <w:t xml:space="preserve">comparable to </w:t>
      </w:r>
      <w:r w:rsidRPr="00CD4A54">
        <w:rPr>
          <w:rStyle w:val="StyleNumberedparagraphs11ptChar"/>
          <w:szCs w:val="22"/>
        </w:rPr>
        <w:t xml:space="preserve">mere </w:t>
      </w:r>
      <w:r>
        <w:rPr>
          <w:rStyle w:val="StyleNumberedparagraphs11ptChar"/>
          <w:szCs w:val="22"/>
        </w:rPr>
        <w:t>“</w:t>
      </w:r>
      <w:r w:rsidRPr="00CD4A54">
        <w:rPr>
          <w:rStyle w:val="StyleNumberedparagraphs11ptChar"/>
          <w:szCs w:val="22"/>
        </w:rPr>
        <w:t>staff mistakes</w:t>
      </w:r>
      <w:r>
        <w:rPr>
          <w:rStyle w:val="StyleNumberedparagraphs11ptChar"/>
          <w:szCs w:val="22"/>
        </w:rPr>
        <w:t>”</w:t>
      </w:r>
      <w:r w:rsidRPr="00CD4A54">
        <w:rPr>
          <w:rStyle w:val="StyleNumberedparagraphs11ptChar"/>
          <w:szCs w:val="22"/>
        </w:rPr>
        <w:t xml:space="preserve"> that constitute </w:t>
      </w:r>
      <w:r w:rsidRPr="00AB6860">
        <w:t>special circumstances that the Commission has previously found to warrant a waiver.</w:t>
      </w:r>
      <w:r>
        <w:rPr>
          <w:rStyle w:val="FootnoteReference"/>
          <w:szCs w:val="22"/>
        </w:rPr>
        <w:footnoteReference w:id="57"/>
      </w:r>
      <w:r w:rsidRPr="00CD4A54">
        <w:rPr>
          <w:rStyle w:val="StyleNumberedparagraphs11ptChar"/>
          <w:szCs w:val="22"/>
        </w:rPr>
        <w:t xml:space="preserve">  To support this argument, Petitioners </w:t>
      </w:r>
      <w:r w:rsidRPr="00AB6860">
        <w:t xml:space="preserve">rely on the </w:t>
      </w:r>
      <w:r w:rsidRPr="00CD4A54">
        <w:rPr>
          <w:i/>
        </w:rPr>
        <w:t xml:space="preserve">Bishop Perry </w:t>
      </w:r>
      <w:r>
        <w:rPr>
          <w:i/>
        </w:rPr>
        <w:t>Order</w:t>
      </w:r>
      <w:r w:rsidRPr="00CD4A54">
        <w:rPr>
          <w:rStyle w:val="StyleNumberedparagraphs11ptChar"/>
          <w:szCs w:val="22"/>
        </w:rPr>
        <w:t xml:space="preserve"> </w:t>
      </w:r>
      <w:r>
        <w:rPr>
          <w:rStyle w:val="StyleNumberedparagraphs11ptChar"/>
          <w:szCs w:val="22"/>
        </w:rPr>
        <w:t>in which the Commission found that “</w:t>
      </w:r>
      <w:r w:rsidRPr="00CD4A54">
        <w:rPr>
          <w:rStyle w:val="StyleNumberedparagraphs11ptChar"/>
          <w:szCs w:val="22"/>
        </w:rPr>
        <w:t>clerical or ministerial errors</w:t>
      </w:r>
      <w:r>
        <w:rPr>
          <w:rStyle w:val="StyleNumberedparagraphs11ptChar"/>
          <w:szCs w:val="22"/>
        </w:rPr>
        <w:t>” in E-rate applications did not justify denials of funding.</w:t>
      </w:r>
      <w:r>
        <w:rPr>
          <w:rStyle w:val="FootnoteReference"/>
          <w:szCs w:val="22"/>
        </w:rPr>
        <w:footnoteReference w:id="58"/>
      </w:r>
      <w:r w:rsidRPr="00CD4A54">
        <w:rPr>
          <w:rStyle w:val="StyleNumberedparagraphs11ptChar"/>
          <w:szCs w:val="22"/>
        </w:rPr>
        <w:t xml:space="preserve">  In </w:t>
      </w:r>
      <w:r>
        <w:rPr>
          <w:rStyle w:val="StyleNumberedparagraphs11ptChar"/>
          <w:szCs w:val="22"/>
        </w:rPr>
        <w:t xml:space="preserve">the </w:t>
      </w:r>
      <w:r w:rsidRPr="00CD4A54">
        <w:rPr>
          <w:rStyle w:val="StyleNumberedparagraphs11ptChar"/>
          <w:i/>
          <w:szCs w:val="22"/>
        </w:rPr>
        <w:t>Bishop Perry</w:t>
      </w:r>
      <w:r>
        <w:rPr>
          <w:rStyle w:val="StyleNumberedparagraphs11ptChar"/>
          <w:szCs w:val="22"/>
        </w:rPr>
        <w:t xml:space="preserve"> </w:t>
      </w:r>
      <w:r>
        <w:rPr>
          <w:rStyle w:val="StyleNumberedparagraphs11ptChar"/>
          <w:i/>
          <w:szCs w:val="22"/>
        </w:rPr>
        <w:t>Order</w:t>
      </w:r>
      <w:r>
        <w:rPr>
          <w:rStyle w:val="StyleNumberedparagraphs11ptChar"/>
          <w:szCs w:val="22"/>
        </w:rPr>
        <w:t>,</w:t>
      </w:r>
      <w:r w:rsidRPr="00CD4A54">
        <w:rPr>
          <w:rStyle w:val="StyleNumberedparagraphs11ptChar"/>
          <w:szCs w:val="22"/>
        </w:rPr>
        <w:t xml:space="preserve"> the violations at issue were </w:t>
      </w:r>
      <w:r>
        <w:rPr>
          <w:rStyle w:val="StyleNumberedparagraphs11ptChar"/>
          <w:szCs w:val="22"/>
        </w:rPr>
        <w:t>“</w:t>
      </w:r>
      <w:r w:rsidRPr="00CD4A54">
        <w:rPr>
          <w:rStyle w:val="StyleNumberedparagraphs11ptChar"/>
          <w:szCs w:val="22"/>
        </w:rPr>
        <w:t>procedural, not substantive,</w:t>
      </w:r>
      <w:r>
        <w:rPr>
          <w:rStyle w:val="StyleNumberedparagraphs11ptChar"/>
          <w:szCs w:val="22"/>
        </w:rPr>
        <w:t>”</w:t>
      </w:r>
      <w:r w:rsidRPr="00CD4A54">
        <w:rPr>
          <w:rStyle w:val="StyleNumberedparagraphs11ptChar"/>
          <w:szCs w:val="22"/>
        </w:rPr>
        <w:t xml:space="preserve"> and involved errors such as a failure to timely file an FCC Form 471, a failure to timely file a certification related to an FCC Form 470, </w:t>
      </w:r>
      <w:r>
        <w:rPr>
          <w:rStyle w:val="StyleNumberedparagraphs11ptChar"/>
          <w:szCs w:val="22"/>
        </w:rPr>
        <w:t>and</w:t>
      </w:r>
      <w:r w:rsidRPr="00CD4A54">
        <w:rPr>
          <w:rStyle w:val="StyleNumberedparagraphs11ptChar"/>
          <w:szCs w:val="22"/>
        </w:rPr>
        <w:t xml:space="preserve"> a failure to comply with minimum processing standards.</w:t>
      </w:r>
      <w:r>
        <w:rPr>
          <w:rStyle w:val="FootnoteReference"/>
          <w:szCs w:val="22"/>
        </w:rPr>
        <w:footnoteReference w:id="59"/>
      </w:r>
      <w:r w:rsidRPr="00CD4A54">
        <w:rPr>
          <w:rStyle w:val="StyleNumberedparagraphs11ptChar"/>
          <w:szCs w:val="22"/>
        </w:rPr>
        <w:t xml:space="preserve">  </w:t>
      </w:r>
      <w:r w:rsidRPr="00AB6860">
        <w:t>By contrast, Petitioners</w:t>
      </w:r>
      <w:r>
        <w:t>’</w:t>
      </w:r>
      <w:r w:rsidRPr="00AB6860">
        <w:t xml:space="preserve"> </w:t>
      </w:r>
      <w:r>
        <w:t>“</w:t>
      </w:r>
      <w:r w:rsidRPr="00AB6860">
        <w:t>errors</w:t>
      </w:r>
      <w:r>
        <w:t>”</w:t>
      </w:r>
      <w:r w:rsidRPr="00AB6860">
        <w:t xml:space="preserve"> were </w:t>
      </w:r>
      <w:r>
        <w:t xml:space="preserve">not isolated, clerical mistakes, but rather </w:t>
      </w:r>
      <w:r w:rsidRPr="00AB6860">
        <w:t xml:space="preserve">substantive </w:t>
      </w:r>
      <w:r>
        <w:t xml:space="preserve">violations of </w:t>
      </w:r>
      <w:r w:rsidRPr="00AB6860">
        <w:t xml:space="preserve">fundamental competitive bidding requirements of the E-rate program.  </w:t>
      </w:r>
      <w:r>
        <w:t>T</w:t>
      </w:r>
      <w:r w:rsidRPr="00AB6860">
        <w:t>he Commission has long held that a fair and open competitive bidding process is fundamental to the integrity of the E-rate program.</w:t>
      </w:r>
      <w:r>
        <w:rPr>
          <w:rStyle w:val="FootnoteReference"/>
          <w:szCs w:val="22"/>
        </w:rPr>
        <w:footnoteReference w:id="60"/>
      </w:r>
      <w:r w:rsidRPr="00AB6860">
        <w:t xml:space="preserve">  Thus, the Commission has consistently required applicants to treat all potential bidders equally throughout the procurement process, give them access to the same information, and ensure that no bidders receive an unfair advantage.</w:t>
      </w:r>
      <w:r>
        <w:rPr>
          <w:rStyle w:val="FootnoteReference"/>
          <w:szCs w:val="22"/>
        </w:rPr>
        <w:footnoteReference w:id="61"/>
      </w:r>
      <w:r w:rsidRPr="00AB6860">
        <w:t xml:space="preserve">  </w:t>
      </w:r>
      <w:r>
        <w:t>S</w:t>
      </w:r>
      <w:r w:rsidRPr="00AB6860">
        <w:t>electing the most cost-effective bid and ensuring that price is the primary factor is another fundamental requirement of the competitive bidding process.</w:t>
      </w:r>
      <w:r>
        <w:rPr>
          <w:rStyle w:val="FootnoteReference"/>
          <w:szCs w:val="22"/>
        </w:rPr>
        <w:footnoteReference w:id="62"/>
      </w:r>
      <w:r w:rsidRPr="00AB6860">
        <w:t xml:space="preserve">  </w:t>
      </w:r>
      <w:r>
        <w:t>Therefore</w:t>
      </w:r>
      <w:r w:rsidRPr="00AB6860">
        <w:t>, it is essential that applicants retain their competitive bidding records to demonstrate their compliance with this rule.</w:t>
      </w:r>
      <w:r>
        <w:rPr>
          <w:rStyle w:val="FootnoteReference"/>
          <w:szCs w:val="22"/>
        </w:rPr>
        <w:footnoteReference w:id="63"/>
      </w:r>
      <w:r w:rsidRPr="00AB6860">
        <w:t xml:space="preserve">  Petitioners</w:t>
      </w:r>
      <w:r>
        <w:t>’</w:t>
      </w:r>
      <w:r w:rsidRPr="00AB6860">
        <w:t xml:space="preserve"> failure to treat SaaS equally to the other potential bidders, as well as Petitioners</w:t>
      </w:r>
      <w:r>
        <w:t>’</w:t>
      </w:r>
      <w:r w:rsidRPr="00AB6860">
        <w:t xml:space="preserve"> failure to retain their competitive bidding records, undermined the framework of th</w:t>
      </w:r>
      <w:r>
        <w:t xml:space="preserve">e competitive bidding process.  </w:t>
      </w:r>
    </w:p>
    <w:p w14:paraId="52F6F813" w14:textId="77777777" w:rsidR="005D57EE" w:rsidRDefault="005D57EE" w:rsidP="00BD2C6C">
      <w:pPr>
        <w:pStyle w:val="ParaNum"/>
        <w:widowControl/>
      </w:pPr>
      <w:r>
        <w:t>Additionally</w:t>
      </w:r>
      <w:r w:rsidRPr="00AB6860">
        <w:t xml:space="preserve">, Petitioners argue that a waiver is appropriate because </w:t>
      </w:r>
      <w:r>
        <w:t>“</w:t>
      </w:r>
      <w:r w:rsidRPr="00AB6860">
        <w:t>the outcome of [their] vendor selection process . . . was consistent with the policy goals underlying the Commission</w:t>
      </w:r>
      <w:r>
        <w:t>’</w:t>
      </w:r>
      <w:r w:rsidRPr="00AB6860">
        <w:t>s competitive bidding rules.</w:t>
      </w:r>
      <w:r>
        <w:t>”</w:t>
      </w:r>
      <w:r>
        <w:rPr>
          <w:rStyle w:val="FootnoteReference"/>
          <w:szCs w:val="22"/>
        </w:rPr>
        <w:footnoteReference w:id="64"/>
      </w:r>
      <w:r w:rsidRPr="00AB6860">
        <w:t xml:space="preserve">  But as discussed above, </w:t>
      </w:r>
      <w:r>
        <w:t xml:space="preserve">five of the Petitioners failed to provide a level playing field for all potential bidders, and </w:t>
      </w:r>
      <w:r w:rsidRPr="00AB6860">
        <w:t xml:space="preserve">seven </w:t>
      </w:r>
      <w:r>
        <w:t xml:space="preserve">of the </w:t>
      </w:r>
      <w:r w:rsidRPr="00AB6860">
        <w:t>Petitioners failed to maintain and provide copies of bids or other documentation in support of their bid evaluation process.  Thus,</w:t>
      </w:r>
      <w:r>
        <w:t xml:space="preserve"> we cannot find that </w:t>
      </w:r>
      <w:r w:rsidRPr="00AB6860">
        <w:t>Petitioners acted in a way that was consistent with the policy goals underlying the Commission</w:t>
      </w:r>
      <w:r>
        <w:t>’</w:t>
      </w:r>
      <w:r w:rsidRPr="00AB6860">
        <w:t xml:space="preserve">s competitive bidding rules.  </w:t>
      </w:r>
    </w:p>
    <w:p w14:paraId="6797CBDD" w14:textId="77777777" w:rsidR="005D57EE" w:rsidRPr="00CD09E7" w:rsidRDefault="005D57EE" w:rsidP="005D57EE">
      <w:pPr>
        <w:pStyle w:val="ParaNum"/>
      </w:pPr>
      <w:r>
        <w:t>Petitioners also argue that they are entitled to a waiver of the Commission’s competitive bidding rules because there is no evidence of waste, fraud, abuse, or misuse of funds, and the schools would suffer economic hardship.</w:t>
      </w:r>
      <w:r>
        <w:rPr>
          <w:rStyle w:val="FootnoteReference"/>
        </w:rPr>
        <w:footnoteReference w:id="65"/>
      </w:r>
      <w:r>
        <w:t xml:space="preserve">  We disagree.  While the Commission “appreciate[s] that it may impose some hardship to make repayment in some situations, a statutory or rule violation cannot be absolved merely because the nature of the </w:t>
      </w:r>
      <w:r w:rsidRPr="00F922AE">
        <w:t>violation does not implicate waste, fraud or abuse.</w:t>
      </w:r>
      <w:r>
        <w:t>”</w:t>
      </w:r>
      <w:r>
        <w:rPr>
          <w:rStyle w:val="FootnoteReference"/>
        </w:rPr>
        <w:footnoteReference w:id="66"/>
      </w:r>
      <w:r w:rsidRPr="00F922AE">
        <w:t xml:space="preserve">  </w:t>
      </w:r>
    </w:p>
    <w:p w14:paraId="4574CAC1" w14:textId="77777777" w:rsidR="005D57EE" w:rsidRPr="00CD09E7" w:rsidRDefault="005D57EE" w:rsidP="005D57EE">
      <w:pPr>
        <w:pStyle w:val="ParaNum"/>
      </w:pPr>
      <w:r>
        <w:t>Even assuming arguendo that there is no evidence of waste, fraud or abuse here, limiting recovery to situations involving waste, fraud or abuse would place the Commission in the position of condoning violation of the program’s rules.</w:t>
      </w:r>
      <w:r>
        <w:rPr>
          <w:rStyle w:val="FootnoteReference"/>
        </w:rPr>
        <w:footnoteReference w:id="67"/>
      </w:r>
      <w:r>
        <w:t xml:space="preserve">  Moreover, one of the goals of the document retention requirements is to provide the evidence sufficient to demonstrate whether there has been any waste, fraud or abuse.  At the very least, violating those rules creates an unacceptable risk that applicants will pay more for E-rate supported services than they would if they had followed the rules.  Thus, b</w:t>
      </w:r>
      <w:r w:rsidRPr="00CD09E7">
        <w:t xml:space="preserve">ecause Petitioners cannot demonstrate </w:t>
      </w:r>
      <w:r w:rsidRPr="00147687">
        <w:t xml:space="preserve">any special circumstances that warrant deviation from the </w:t>
      </w:r>
      <w:r>
        <w:t>Commission’s competitive bidding</w:t>
      </w:r>
      <w:r w:rsidRPr="00147687">
        <w:t xml:space="preserve"> rule</w:t>
      </w:r>
      <w:r>
        <w:t>, their requests for a waiver are denied.</w:t>
      </w:r>
      <w:r>
        <w:rPr>
          <w:rStyle w:val="FootnoteReference"/>
          <w:szCs w:val="22"/>
        </w:rPr>
        <w:footnoteReference w:id="68"/>
      </w:r>
    </w:p>
    <w:p w14:paraId="2C93366A" w14:textId="77777777" w:rsidR="005D57EE" w:rsidRPr="00680CAF" w:rsidRDefault="005D57EE" w:rsidP="005D57EE">
      <w:pPr>
        <w:pStyle w:val="ParaNum"/>
      </w:pPr>
      <w:r>
        <w:t xml:space="preserve">Finally, </w:t>
      </w:r>
      <w:r w:rsidRPr="00680CAF">
        <w:t xml:space="preserve">Petitioners’ argument that the </w:t>
      </w:r>
      <w:r w:rsidRPr="00680CAF">
        <w:rPr>
          <w:i/>
        </w:rPr>
        <w:t>March 2015 Streamlined Request Resolution PN</w:t>
      </w:r>
      <w:r w:rsidRPr="00680CAF">
        <w:t xml:space="preserve"> was procedurally defective</w:t>
      </w:r>
      <w:r>
        <w:t xml:space="preserve"> is also unavailing.</w:t>
      </w:r>
      <w:r w:rsidRPr="00680CAF">
        <w:rPr>
          <w:rStyle w:val="FootnoteReference"/>
          <w:szCs w:val="22"/>
        </w:rPr>
        <w:footnoteReference w:id="69"/>
      </w:r>
      <w:r w:rsidRPr="00680CAF">
        <w:t xml:space="preserve">  </w:t>
      </w:r>
      <w:r>
        <w:t>The</w:t>
      </w:r>
      <w:r w:rsidRPr="00680CAF">
        <w:t xml:space="preserve"> Commission’s rules do not require any specific format for disposing of appeals.</w:t>
      </w:r>
      <w:r w:rsidRPr="00680CAF">
        <w:rPr>
          <w:rStyle w:val="FootnoteReference"/>
          <w:szCs w:val="22"/>
        </w:rPr>
        <w:footnoteReference w:id="70"/>
      </w:r>
      <w:r w:rsidRPr="00680CAF">
        <w:t xml:space="preserve">  </w:t>
      </w:r>
      <w:r>
        <w:t>Our</w:t>
      </w:r>
      <w:r w:rsidRPr="00680CAF">
        <w:t xml:space="preserve"> revision to the format </w:t>
      </w:r>
      <w:r>
        <w:t xml:space="preserve">for issuing routine </w:t>
      </w:r>
      <w:r w:rsidRPr="00680CAF">
        <w:t xml:space="preserve">appeals decisions </w:t>
      </w:r>
      <w:r>
        <w:t xml:space="preserve">that are consistent with precedent </w:t>
      </w:r>
      <w:r w:rsidRPr="00680CAF">
        <w:t xml:space="preserve">did not cause any substantive change in our review </w:t>
      </w:r>
      <w:r>
        <w:t xml:space="preserve">of the underlying appeals </w:t>
      </w:r>
      <w:r w:rsidRPr="00680CAF">
        <w:t>that would require notice and comment rulemaking</w:t>
      </w:r>
      <w:r>
        <w:t>, nor did</w:t>
      </w:r>
      <w:r w:rsidRPr="00680CAF">
        <w:t xml:space="preserve"> the </w:t>
      </w:r>
      <w:r w:rsidRPr="00680CAF">
        <w:rPr>
          <w:i/>
        </w:rPr>
        <w:t>March 2015 Streamlined Request Resolution PN</w:t>
      </w:r>
      <w:r w:rsidRPr="00680CAF">
        <w:t xml:space="preserve"> deprive the Petitioners from </w:t>
      </w:r>
      <w:r>
        <w:t xml:space="preserve">a </w:t>
      </w:r>
      <w:r w:rsidRPr="00680CAF">
        <w:t>fu</w:t>
      </w:r>
      <w:r>
        <w:t>l</w:t>
      </w:r>
      <w:r w:rsidRPr="00680CAF">
        <w:t xml:space="preserve">l understanding </w:t>
      </w:r>
      <w:r>
        <w:t xml:space="preserve">of </w:t>
      </w:r>
      <w:r w:rsidRPr="00680CAF">
        <w:t xml:space="preserve">the Commission’s reasoning in denying their appeals.  </w:t>
      </w:r>
      <w:r>
        <w:t xml:space="preserve">The </w:t>
      </w:r>
      <w:r w:rsidRPr="00050123">
        <w:rPr>
          <w:i/>
        </w:rPr>
        <w:t>March 2015 St</w:t>
      </w:r>
      <w:r>
        <w:rPr>
          <w:i/>
        </w:rPr>
        <w:t>r</w:t>
      </w:r>
      <w:r w:rsidRPr="00050123">
        <w:rPr>
          <w:i/>
        </w:rPr>
        <w:t>eamlined Request Resolution PN</w:t>
      </w:r>
      <w:r>
        <w:t xml:space="preserve"> clearly and succinctly notified Petitioners of the denial of their appeals, the basis for the denials, and the precedent supporting the denial of their appeals.</w:t>
      </w:r>
      <w:r>
        <w:rPr>
          <w:rStyle w:val="FootnoteReference"/>
          <w:szCs w:val="22"/>
        </w:rPr>
        <w:footnoteReference w:id="71"/>
      </w:r>
      <w:r>
        <w:t xml:space="preserve">   </w:t>
      </w:r>
      <w:r w:rsidRPr="00680CAF">
        <w:t>The Commission has found that short-form orders are permissible since the denial of the appeal is fully supported by cited precedent clearly prohibiting the actions taken by petitioners.</w:t>
      </w:r>
      <w:r w:rsidRPr="00680CAF">
        <w:rPr>
          <w:rStyle w:val="FootnoteReference"/>
        </w:rPr>
        <w:footnoteReference w:id="72"/>
      </w:r>
      <w:r w:rsidRPr="00680CAF">
        <w:t xml:space="preserve">  Thus, because Petitioners’ appeals fit squarely within Commission and Bureau precedent, they were properly disposed in the </w:t>
      </w:r>
      <w:r w:rsidRPr="00680CAF">
        <w:rPr>
          <w:i/>
        </w:rPr>
        <w:t>March 2015 Streamlined Request Resolution PN.</w:t>
      </w:r>
    </w:p>
    <w:p w14:paraId="269B545B" w14:textId="77777777" w:rsidR="005D57EE" w:rsidRPr="0082128F" w:rsidRDefault="005D57EE" w:rsidP="005D57EE">
      <w:pPr>
        <w:pStyle w:val="ParaNum"/>
      </w:pPr>
      <w:r>
        <w:t>For these reasons,</w:t>
      </w:r>
      <w:r w:rsidRPr="00676AD4">
        <w:t xml:space="preserve"> we </w:t>
      </w:r>
      <w:r>
        <w:t xml:space="preserve">affirm our decisions in the </w:t>
      </w:r>
      <w:r>
        <w:rPr>
          <w:i/>
        </w:rPr>
        <w:t>March 2015 Streamlined Request Resolution PN</w:t>
      </w:r>
      <w:r w:rsidRPr="00F27134">
        <w:rPr>
          <w:rStyle w:val="FootnoteReference"/>
        </w:rPr>
        <w:footnoteReference w:id="73"/>
      </w:r>
      <w:r>
        <w:t xml:space="preserve"> and </w:t>
      </w:r>
      <w:r w:rsidRPr="0082128F">
        <w:t xml:space="preserve">direct USAC to seek recovery against </w:t>
      </w:r>
      <w:r>
        <w:t>Petitioners</w:t>
      </w:r>
      <w:r w:rsidRPr="0082128F">
        <w:t xml:space="preserve">, </w:t>
      </w:r>
      <w:r>
        <w:t xml:space="preserve">to the extent that </w:t>
      </w:r>
      <w:r w:rsidRPr="0082128F">
        <w:t>feasible to do so.</w:t>
      </w:r>
    </w:p>
    <w:p w14:paraId="2FFFE45A" w14:textId="77777777" w:rsidR="005D57EE" w:rsidRPr="000974B6" w:rsidRDefault="005D57EE" w:rsidP="005D57EE">
      <w:pPr>
        <w:pStyle w:val="Heading1"/>
      </w:pPr>
      <w:r>
        <w:t>ORDERING CLAUSES</w:t>
      </w:r>
    </w:p>
    <w:p w14:paraId="06E81A81" w14:textId="77777777" w:rsidR="005D57EE" w:rsidRDefault="005D57EE" w:rsidP="005D57EE">
      <w:pPr>
        <w:pStyle w:val="ParaNum"/>
        <w:rPr>
          <w:rStyle w:val="StyleNumberedparagraphs11ptChar"/>
          <w:szCs w:val="22"/>
        </w:rPr>
      </w:pPr>
      <w:r w:rsidRPr="00676AD4">
        <w:rPr>
          <w:rStyle w:val="StyleNumberedparagraphs11ptChar"/>
          <w:szCs w:val="22"/>
        </w:rPr>
        <w:t xml:space="preserve">ACCORDINGLY, IT IS ORDERED, pursuant to the authority contained in sections 1-4 and 254 of the Communications Act of 1934, as amended, 47 U.S.C. §§ 151-154 and 254, and </w:t>
      </w:r>
      <w:r w:rsidRPr="00676AD4">
        <w:t xml:space="preserve">sections 0.91, 0.291, 1.3, 1.106, and 54.722(a) of the </w:t>
      </w:r>
      <w:r w:rsidRPr="00676AD4">
        <w:rPr>
          <w:rStyle w:val="StyleNumberedparagraphs11ptChar"/>
          <w:szCs w:val="22"/>
        </w:rPr>
        <w:t>Commission</w:t>
      </w:r>
      <w:r>
        <w:rPr>
          <w:rStyle w:val="StyleNumberedparagraphs11ptChar"/>
          <w:szCs w:val="22"/>
        </w:rPr>
        <w:t>’</w:t>
      </w:r>
      <w:r w:rsidRPr="00676AD4">
        <w:rPr>
          <w:rStyle w:val="StyleNumberedparagraphs11ptChar"/>
          <w:szCs w:val="22"/>
        </w:rPr>
        <w:t>s</w:t>
      </w:r>
      <w:r w:rsidRPr="00676AD4">
        <w:t xml:space="preserve"> rules, 47 C.F.R. §§ 0.91, 0.291, 1.3, 1.106 and 54.722(a), </w:t>
      </w:r>
      <w:r w:rsidRPr="00676AD4">
        <w:rPr>
          <w:rStyle w:val="StyleNumberedparagraphs11ptChar"/>
          <w:szCs w:val="22"/>
        </w:rPr>
        <w:t>that the Petition</w:t>
      </w:r>
      <w:r>
        <w:rPr>
          <w:rStyle w:val="StyleNumberedparagraphs11ptChar"/>
          <w:szCs w:val="22"/>
        </w:rPr>
        <w:t>s</w:t>
      </w:r>
      <w:r w:rsidRPr="00676AD4">
        <w:rPr>
          <w:rStyle w:val="StyleNumberedparagraphs11ptChar"/>
          <w:szCs w:val="22"/>
        </w:rPr>
        <w:t xml:space="preserve"> for Reconsideration filed by </w:t>
      </w:r>
      <w:r w:rsidRPr="00094184">
        <w:rPr>
          <w:rStyle w:val="StyleNumberedparagraphs11ptChar"/>
          <w:szCs w:val="22"/>
        </w:rPr>
        <w:t>Petitioners, as identified in the Appendix, ARE DISMISSED to the extent Petitioners have raised the same arguments, and</w:t>
      </w:r>
      <w:r w:rsidRPr="00676AD4">
        <w:rPr>
          <w:rStyle w:val="StyleNumberedparagraphs11ptChar"/>
          <w:szCs w:val="22"/>
        </w:rPr>
        <w:t xml:space="preserve"> as an independent and alternative basis</w:t>
      </w:r>
      <w:r>
        <w:rPr>
          <w:rStyle w:val="StyleNumberedparagraphs11ptChar"/>
          <w:szCs w:val="22"/>
        </w:rPr>
        <w:t xml:space="preserve"> for the decision, the Petitions </w:t>
      </w:r>
      <w:r w:rsidRPr="00676AD4">
        <w:rPr>
          <w:rStyle w:val="StyleNumberedparagraphs11ptChar"/>
          <w:szCs w:val="22"/>
        </w:rPr>
        <w:t xml:space="preserve">for Reconsideration </w:t>
      </w:r>
      <w:r>
        <w:rPr>
          <w:rStyle w:val="StyleNumberedparagraphs11ptChar"/>
          <w:szCs w:val="22"/>
        </w:rPr>
        <w:t>are</w:t>
      </w:r>
      <w:r w:rsidRPr="00676AD4">
        <w:rPr>
          <w:rStyle w:val="StyleNumberedparagraphs11ptChar"/>
          <w:szCs w:val="22"/>
        </w:rPr>
        <w:t xml:space="preserve"> also DENIED on the merits.  </w:t>
      </w:r>
    </w:p>
    <w:p w14:paraId="114D771F" w14:textId="77777777" w:rsidR="005D57EE" w:rsidRPr="008F1BE5" w:rsidRDefault="005D57EE" w:rsidP="005D57EE">
      <w:pPr>
        <w:pStyle w:val="ParaNum"/>
      </w:pPr>
      <w:r w:rsidRPr="008F1BE5">
        <w:rPr>
          <w:rStyle w:val="StyleNumberedparagraphs11ptChar"/>
          <w:szCs w:val="22"/>
        </w:rPr>
        <w:t xml:space="preserve">IT IS FURTHER ORDERED, </w:t>
      </w:r>
      <w:r w:rsidRPr="008F1BE5">
        <w:t>pursuant to the authority contained in sections 1-4 and 254 of the Communications Act of 1934, as amended, 47 U.S.C. §§ 151-154 and 254, and sections 0.91, 0.291, and 1.106 of the Commission</w:t>
      </w:r>
      <w:r>
        <w:t>’</w:t>
      </w:r>
      <w:r w:rsidRPr="008F1BE5">
        <w:t>s rules, 47 C.F.R. §§ 0.91</w:t>
      </w:r>
      <w:r>
        <w:t xml:space="preserve">, 0.291, 1.106, that USAC SHALL </w:t>
      </w:r>
      <w:r w:rsidRPr="008F1BE5">
        <w:t xml:space="preserve">CONTINUE its recovery actions against </w:t>
      </w:r>
      <w:r>
        <w:t>Petitioners</w:t>
      </w:r>
      <w:r w:rsidRPr="008F1BE5">
        <w:t xml:space="preserve"> to the extent provided herein</w:t>
      </w:r>
      <w:r>
        <w:t xml:space="preserve"> and to the extent feasible to do so.</w:t>
      </w:r>
      <w:r w:rsidRPr="008F1BE5">
        <w:rPr>
          <w:rStyle w:val="StyleNumberedparagraphs11ptChar"/>
          <w:szCs w:val="22"/>
        </w:rPr>
        <w:t xml:space="preserve"> </w:t>
      </w:r>
    </w:p>
    <w:p w14:paraId="63DF92D6" w14:textId="77777777" w:rsidR="005D57EE" w:rsidRPr="00676AD4" w:rsidRDefault="005D57EE" w:rsidP="005D57EE">
      <w:pPr>
        <w:keepNext/>
        <w:tabs>
          <w:tab w:val="left" w:pos="-720"/>
        </w:tabs>
        <w:suppressAutoHyphens/>
        <w:outlineLvl w:val="0"/>
        <w:rPr>
          <w:szCs w:val="22"/>
        </w:rPr>
      </w:pPr>
    </w:p>
    <w:p w14:paraId="13110CE3" w14:textId="77777777" w:rsidR="005D57EE" w:rsidRPr="00676AD4" w:rsidRDefault="005D57EE" w:rsidP="005D57EE">
      <w:pPr>
        <w:keepNext/>
        <w:tabs>
          <w:tab w:val="left" w:pos="-720"/>
        </w:tabs>
        <w:suppressAutoHyphens/>
        <w:ind w:left="4320"/>
        <w:outlineLvl w:val="0"/>
        <w:rPr>
          <w:szCs w:val="22"/>
        </w:rPr>
      </w:pPr>
      <w:r w:rsidRPr="00676AD4">
        <w:rPr>
          <w:szCs w:val="22"/>
        </w:rPr>
        <w:t>FEDERAL COMMUNICATIONS COMMISSION</w:t>
      </w:r>
    </w:p>
    <w:p w14:paraId="10281E95" w14:textId="77777777" w:rsidR="005D57EE" w:rsidRPr="00676AD4" w:rsidRDefault="005D57EE" w:rsidP="005D57EE">
      <w:pPr>
        <w:keepNext/>
        <w:tabs>
          <w:tab w:val="left" w:pos="-720"/>
        </w:tabs>
        <w:suppressAutoHyphens/>
        <w:ind w:left="4320"/>
        <w:rPr>
          <w:szCs w:val="22"/>
        </w:rPr>
      </w:pPr>
    </w:p>
    <w:p w14:paraId="6E2A03DB" w14:textId="77777777" w:rsidR="005D57EE" w:rsidRPr="00676AD4" w:rsidRDefault="005D57EE" w:rsidP="005D57EE">
      <w:pPr>
        <w:keepNext/>
        <w:keepLines/>
        <w:ind w:left="4320"/>
        <w:outlineLvl w:val="0"/>
        <w:rPr>
          <w:szCs w:val="22"/>
        </w:rPr>
      </w:pPr>
    </w:p>
    <w:p w14:paraId="5CE2DE92" w14:textId="77777777" w:rsidR="005D57EE" w:rsidRPr="00676AD4" w:rsidRDefault="005D57EE" w:rsidP="005D57EE">
      <w:pPr>
        <w:keepNext/>
        <w:keepLines/>
        <w:ind w:left="3600" w:firstLine="720"/>
        <w:outlineLvl w:val="0"/>
        <w:rPr>
          <w:szCs w:val="22"/>
        </w:rPr>
      </w:pPr>
    </w:p>
    <w:p w14:paraId="0681642E" w14:textId="77777777" w:rsidR="005D57EE" w:rsidRPr="00676AD4" w:rsidRDefault="005D57EE" w:rsidP="005D57EE">
      <w:pPr>
        <w:keepNext/>
        <w:keepLines/>
        <w:ind w:left="3600" w:firstLine="720"/>
        <w:outlineLvl w:val="0"/>
        <w:rPr>
          <w:szCs w:val="22"/>
        </w:rPr>
      </w:pPr>
    </w:p>
    <w:p w14:paraId="2CECE3B9" w14:textId="77777777" w:rsidR="005D57EE" w:rsidRPr="00676AD4" w:rsidRDefault="005D57EE" w:rsidP="005D57EE">
      <w:pPr>
        <w:keepNext/>
        <w:keepLines/>
        <w:ind w:left="3600" w:firstLine="720"/>
        <w:outlineLvl w:val="0"/>
        <w:rPr>
          <w:szCs w:val="22"/>
        </w:rPr>
      </w:pPr>
      <w:r w:rsidRPr="00676AD4">
        <w:rPr>
          <w:szCs w:val="22"/>
        </w:rPr>
        <w:t>Ryan B. Palmer</w:t>
      </w:r>
    </w:p>
    <w:p w14:paraId="16E8EDBA" w14:textId="77777777" w:rsidR="005D57EE" w:rsidRPr="00676AD4" w:rsidRDefault="005D57EE" w:rsidP="005D57EE">
      <w:pPr>
        <w:keepNext/>
        <w:keepLines/>
        <w:ind w:left="3600" w:firstLine="720"/>
        <w:outlineLvl w:val="0"/>
        <w:rPr>
          <w:szCs w:val="22"/>
        </w:rPr>
      </w:pPr>
      <w:r w:rsidRPr="00676AD4">
        <w:rPr>
          <w:szCs w:val="22"/>
        </w:rPr>
        <w:t>Chief</w:t>
      </w:r>
    </w:p>
    <w:p w14:paraId="00F4B0EC" w14:textId="77777777" w:rsidR="005D57EE" w:rsidRPr="00676AD4" w:rsidRDefault="005D57EE" w:rsidP="005D57EE">
      <w:pPr>
        <w:keepNext/>
        <w:keepLines/>
        <w:ind w:left="4320"/>
        <w:outlineLvl w:val="0"/>
        <w:rPr>
          <w:szCs w:val="22"/>
        </w:rPr>
      </w:pPr>
      <w:r w:rsidRPr="00676AD4">
        <w:rPr>
          <w:szCs w:val="22"/>
        </w:rPr>
        <w:t>Telecommunications Access Policy Division</w:t>
      </w:r>
    </w:p>
    <w:p w14:paraId="4633F1A0" w14:textId="77777777" w:rsidR="005D57EE" w:rsidRPr="00676AD4" w:rsidRDefault="005D57EE" w:rsidP="005D57EE">
      <w:pPr>
        <w:keepNext/>
        <w:keepLines/>
        <w:ind w:left="4320"/>
        <w:outlineLvl w:val="0"/>
        <w:rPr>
          <w:szCs w:val="22"/>
        </w:rPr>
      </w:pPr>
      <w:r w:rsidRPr="00676AD4">
        <w:rPr>
          <w:szCs w:val="22"/>
        </w:rPr>
        <w:t>Wireline Competition Bureau</w:t>
      </w:r>
    </w:p>
    <w:p w14:paraId="51C96130" w14:textId="77777777" w:rsidR="005D57EE" w:rsidRPr="00676AD4" w:rsidRDefault="005D57EE" w:rsidP="005D57EE">
      <w:pPr>
        <w:rPr>
          <w:szCs w:val="22"/>
        </w:rPr>
      </w:pPr>
    </w:p>
    <w:p w14:paraId="35A2607B" w14:textId="77777777" w:rsidR="005D57EE" w:rsidRPr="00676AD4" w:rsidRDefault="005D57EE" w:rsidP="005D57EE">
      <w:pPr>
        <w:rPr>
          <w:szCs w:val="22"/>
        </w:rPr>
      </w:pPr>
    </w:p>
    <w:p w14:paraId="315C13B2" w14:textId="77777777" w:rsidR="005D57EE" w:rsidRPr="00676AD4" w:rsidRDefault="005D57EE" w:rsidP="005D57EE">
      <w:pPr>
        <w:rPr>
          <w:szCs w:val="22"/>
        </w:rPr>
      </w:pPr>
    </w:p>
    <w:p w14:paraId="346C524E" w14:textId="77777777" w:rsidR="005D57EE" w:rsidRDefault="005D57EE" w:rsidP="005D57EE">
      <w:pPr>
        <w:jc w:val="center"/>
        <w:rPr>
          <w:b/>
          <w:szCs w:val="22"/>
        </w:rPr>
      </w:pPr>
      <w:r w:rsidRPr="00676AD4">
        <w:rPr>
          <w:szCs w:val="22"/>
        </w:rPr>
        <w:br w:type="page"/>
      </w:r>
      <w:r w:rsidRPr="00676AD4">
        <w:rPr>
          <w:b/>
          <w:szCs w:val="22"/>
        </w:rPr>
        <w:t>APPENDIX</w:t>
      </w:r>
      <w:r>
        <w:rPr>
          <w:b/>
          <w:szCs w:val="22"/>
        </w:rPr>
        <w:t xml:space="preserve"> A:</w:t>
      </w:r>
    </w:p>
    <w:p w14:paraId="3A9E4E7B" w14:textId="77777777" w:rsidR="005D57EE" w:rsidRPr="00676AD4" w:rsidRDefault="005D57EE" w:rsidP="005D57EE">
      <w:pPr>
        <w:jc w:val="center"/>
        <w:rPr>
          <w:b/>
          <w:szCs w:val="22"/>
        </w:rPr>
      </w:pPr>
      <w:r>
        <w:rPr>
          <w:b/>
          <w:szCs w:val="22"/>
        </w:rPr>
        <w:t>Petitions for Reconsideration</w:t>
      </w:r>
    </w:p>
    <w:p w14:paraId="66359DD9" w14:textId="77777777" w:rsidR="005D57EE" w:rsidRPr="00676AD4" w:rsidRDefault="005D57EE" w:rsidP="005D57EE">
      <w:pPr>
        <w:ind w:right="-180"/>
        <w:jc w:val="center"/>
        <w:rPr>
          <w:b/>
          <w:szCs w:val="22"/>
          <w:u w:val="single"/>
        </w:rPr>
      </w:pPr>
    </w:p>
    <w:tbl>
      <w:tblPr>
        <w:tblW w:w="11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1530"/>
        <w:gridCol w:w="1260"/>
        <w:gridCol w:w="1080"/>
        <w:gridCol w:w="1800"/>
        <w:gridCol w:w="3566"/>
      </w:tblGrid>
      <w:tr w:rsidR="005D57EE" w:rsidRPr="00676AD4" w14:paraId="3F7B12BC" w14:textId="77777777" w:rsidTr="005D57EE">
        <w:trPr>
          <w:jc w:val="center"/>
        </w:trPr>
        <w:tc>
          <w:tcPr>
            <w:tcW w:w="2065" w:type="dxa"/>
          </w:tcPr>
          <w:p w14:paraId="31F56D84" w14:textId="77777777" w:rsidR="005D57EE" w:rsidRPr="00676AD4" w:rsidRDefault="005D57EE" w:rsidP="005D57EE">
            <w:pPr>
              <w:jc w:val="center"/>
              <w:rPr>
                <w:b/>
                <w:szCs w:val="22"/>
              </w:rPr>
            </w:pPr>
            <w:r w:rsidRPr="00676AD4">
              <w:rPr>
                <w:b/>
                <w:szCs w:val="22"/>
              </w:rPr>
              <w:t>Petitioner</w:t>
            </w:r>
          </w:p>
        </w:tc>
        <w:tc>
          <w:tcPr>
            <w:tcW w:w="1530" w:type="dxa"/>
          </w:tcPr>
          <w:p w14:paraId="2F773912" w14:textId="77777777" w:rsidR="005D57EE" w:rsidRDefault="005D57EE" w:rsidP="005D57EE">
            <w:pPr>
              <w:jc w:val="center"/>
              <w:rPr>
                <w:b/>
                <w:szCs w:val="22"/>
              </w:rPr>
            </w:pPr>
            <w:r>
              <w:rPr>
                <w:b/>
                <w:szCs w:val="22"/>
              </w:rPr>
              <w:t>Application</w:t>
            </w:r>
          </w:p>
          <w:p w14:paraId="0BD53265" w14:textId="77777777" w:rsidR="005D57EE" w:rsidRPr="00676AD4" w:rsidRDefault="005D57EE" w:rsidP="005D57EE">
            <w:pPr>
              <w:jc w:val="center"/>
              <w:rPr>
                <w:szCs w:val="22"/>
              </w:rPr>
            </w:pPr>
            <w:r w:rsidRPr="00676AD4">
              <w:rPr>
                <w:b/>
                <w:szCs w:val="22"/>
              </w:rPr>
              <w:t>Number(s)</w:t>
            </w:r>
          </w:p>
        </w:tc>
        <w:tc>
          <w:tcPr>
            <w:tcW w:w="1260" w:type="dxa"/>
          </w:tcPr>
          <w:p w14:paraId="0CFB11C7" w14:textId="77777777" w:rsidR="005D57EE" w:rsidRPr="00331964" w:rsidRDefault="005D57EE" w:rsidP="005D57EE">
            <w:pPr>
              <w:jc w:val="center"/>
              <w:rPr>
                <w:b/>
                <w:szCs w:val="22"/>
              </w:rPr>
            </w:pPr>
            <w:r w:rsidRPr="00331964">
              <w:rPr>
                <w:b/>
                <w:szCs w:val="22"/>
              </w:rPr>
              <w:t>Funding</w:t>
            </w:r>
          </w:p>
          <w:p w14:paraId="16E5C4E7" w14:textId="77777777" w:rsidR="005D57EE" w:rsidRPr="00331964" w:rsidRDefault="005D57EE" w:rsidP="005D57EE">
            <w:pPr>
              <w:jc w:val="center"/>
              <w:rPr>
                <w:b/>
                <w:szCs w:val="22"/>
              </w:rPr>
            </w:pPr>
            <w:r w:rsidRPr="00331964">
              <w:rPr>
                <w:b/>
                <w:szCs w:val="22"/>
              </w:rPr>
              <w:t>Request Number(s)</w:t>
            </w:r>
          </w:p>
        </w:tc>
        <w:tc>
          <w:tcPr>
            <w:tcW w:w="1080" w:type="dxa"/>
          </w:tcPr>
          <w:p w14:paraId="07BFA1F2" w14:textId="77777777" w:rsidR="005D57EE" w:rsidRPr="00331964" w:rsidRDefault="005D57EE" w:rsidP="005D57EE">
            <w:pPr>
              <w:jc w:val="center"/>
              <w:rPr>
                <w:b/>
                <w:szCs w:val="22"/>
              </w:rPr>
            </w:pPr>
            <w:r w:rsidRPr="00331964">
              <w:rPr>
                <w:b/>
                <w:szCs w:val="22"/>
              </w:rPr>
              <w:t>Funding</w:t>
            </w:r>
          </w:p>
          <w:p w14:paraId="5DB47417" w14:textId="77777777" w:rsidR="005D57EE" w:rsidRPr="00331964" w:rsidRDefault="005D57EE" w:rsidP="005D57EE">
            <w:pPr>
              <w:jc w:val="center"/>
              <w:rPr>
                <w:szCs w:val="22"/>
              </w:rPr>
            </w:pPr>
            <w:r w:rsidRPr="00331964">
              <w:rPr>
                <w:b/>
                <w:szCs w:val="22"/>
              </w:rPr>
              <w:t>Year</w:t>
            </w:r>
          </w:p>
        </w:tc>
        <w:tc>
          <w:tcPr>
            <w:tcW w:w="1800" w:type="dxa"/>
          </w:tcPr>
          <w:p w14:paraId="6ED67284" w14:textId="77777777" w:rsidR="005D57EE" w:rsidRDefault="005D57EE" w:rsidP="005D57EE">
            <w:pPr>
              <w:jc w:val="center"/>
              <w:rPr>
                <w:b/>
                <w:szCs w:val="22"/>
              </w:rPr>
            </w:pPr>
            <w:r>
              <w:rPr>
                <w:b/>
                <w:szCs w:val="22"/>
              </w:rPr>
              <w:t>Petition for Reconsideration</w:t>
            </w:r>
          </w:p>
          <w:p w14:paraId="33F41BD4" w14:textId="77777777" w:rsidR="005D57EE" w:rsidRPr="00676AD4" w:rsidRDefault="005D57EE" w:rsidP="005D57EE">
            <w:pPr>
              <w:jc w:val="center"/>
              <w:rPr>
                <w:b/>
                <w:szCs w:val="22"/>
              </w:rPr>
            </w:pPr>
            <w:r>
              <w:rPr>
                <w:b/>
                <w:szCs w:val="22"/>
              </w:rPr>
              <w:t>Filing Date</w:t>
            </w:r>
          </w:p>
        </w:tc>
        <w:tc>
          <w:tcPr>
            <w:tcW w:w="3566" w:type="dxa"/>
          </w:tcPr>
          <w:p w14:paraId="36DC60D1" w14:textId="77777777" w:rsidR="005D57EE" w:rsidRDefault="005D57EE" w:rsidP="005D57EE">
            <w:pPr>
              <w:jc w:val="center"/>
              <w:rPr>
                <w:b/>
                <w:szCs w:val="22"/>
              </w:rPr>
            </w:pPr>
            <w:r>
              <w:rPr>
                <w:b/>
                <w:szCs w:val="22"/>
              </w:rPr>
              <w:t>Bureau’s Basis for Denial</w:t>
            </w:r>
          </w:p>
        </w:tc>
      </w:tr>
      <w:tr w:rsidR="005D57EE" w:rsidRPr="00676AD4" w14:paraId="032C7DE4" w14:textId="77777777" w:rsidTr="005D57EE">
        <w:trPr>
          <w:trHeight w:val="980"/>
          <w:jc w:val="center"/>
        </w:trPr>
        <w:tc>
          <w:tcPr>
            <w:tcW w:w="2065" w:type="dxa"/>
          </w:tcPr>
          <w:p w14:paraId="6F8A83D8" w14:textId="77777777" w:rsidR="005D57EE" w:rsidRDefault="005D57EE" w:rsidP="005D57EE">
            <w:pPr>
              <w:rPr>
                <w:szCs w:val="22"/>
              </w:rPr>
            </w:pPr>
            <w:r w:rsidRPr="00676AD4">
              <w:rPr>
                <w:szCs w:val="22"/>
              </w:rPr>
              <w:t xml:space="preserve">Blessed Sacrament </w:t>
            </w:r>
          </w:p>
          <w:p w14:paraId="2FF0F599" w14:textId="77777777" w:rsidR="005D57EE" w:rsidRPr="00676AD4" w:rsidRDefault="005D57EE" w:rsidP="005D57EE">
            <w:pPr>
              <w:rPr>
                <w:szCs w:val="22"/>
              </w:rPr>
            </w:pPr>
            <w:r w:rsidRPr="00676AD4">
              <w:rPr>
                <w:szCs w:val="22"/>
              </w:rPr>
              <w:t>School</w:t>
            </w:r>
          </w:p>
          <w:p w14:paraId="4A0AB96F" w14:textId="77777777" w:rsidR="005D57EE" w:rsidRPr="00676AD4" w:rsidRDefault="005D57EE" w:rsidP="005D57EE">
            <w:pPr>
              <w:rPr>
                <w:szCs w:val="22"/>
              </w:rPr>
            </w:pPr>
            <w:r w:rsidRPr="00676AD4">
              <w:rPr>
                <w:szCs w:val="22"/>
              </w:rPr>
              <w:t>New York, NY</w:t>
            </w:r>
          </w:p>
        </w:tc>
        <w:tc>
          <w:tcPr>
            <w:tcW w:w="1530" w:type="dxa"/>
          </w:tcPr>
          <w:p w14:paraId="1878C2C6" w14:textId="77777777" w:rsidR="005D57EE" w:rsidRDefault="005D57EE" w:rsidP="005D57EE">
            <w:pPr>
              <w:jc w:val="center"/>
              <w:rPr>
                <w:szCs w:val="22"/>
              </w:rPr>
            </w:pPr>
            <w:r w:rsidRPr="00676AD4">
              <w:rPr>
                <w:szCs w:val="22"/>
              </w:rPr>
              <w:t>831551</w:t>
            </w:r>
          </w:p>
          <w:p w14:paraId="6BD4EB89" w14:textId="77777777" w:rsidR="005D57EE" w:rsidRDefault="005D57EE" w:rsidP="005D57EE">
            <w:pPr>
              <w:jc w:val="center"/>
              <w:rPr>
                <w:szCs w:val="22"/>
              </w:rPr>
            </w:pPr>
          </w:p>
          <w:p w14:paraId="625CDD28" w14:textId="77777777" w:rsidR="005D57EE" w:rsidRPr="00676AD4" w:rsidRDefault="005D57EE" w:rsidP="005D57EE">
            <w:pPr>
              <w:jc w:val="center"/>
              <w:rPr>
                <w:szCs w:val="22"/>
              </w:rPr>
            </w:pPr>
          </w:p>
          <w:p w14:paraId="1F9D2113" w14:textId="77777777" w:rsidR="005D57EE" w:rsidRPr="00676AD4" w:rsidRDefault="005D57EE" w:rsidP="005D57EE">
            <w:pPr>
              <w:jc w:val="center"/>
              <w:rPr>
                <w:szCs w:val="22"/>
              </w:rPr>
            </w:pPr>
            <w:r w:rsidRPr="00676AD4">
              <w:rPr>
                <w:szCs w:val="22"/>
              </w:rPr>
              <w:t>863006</w:t>
            </w:r>
          </w:p>
        </w:tc>
        <w:tc>
          <w:tcPr>
            <w:tcW w:w="1260" w:type="dxa"/>
          </w:tcPr>
          <w:p w14:paraId="6A0A8BB3" w14:textId="77777777" w:rsidR="005D57EE" w:rsidRDefault="005D57EE" w:rsidP="005D57EE">
            <w:pPr>
              <w:jc w:val="center"/>
              <w:rPr>
                <w:szCs w:val="22"/>
              </w:rPr>
            </w:pPr>
            <w:r>
              <w:rPr>
                <w:szCs w:val="22"/>
              </w:rPr>
              <w:t>2258193</w:t>
            </w:r>
          </w:p>
          <w:p w14:paraId="319E3BE7" w14:textId="77777777" w:rsidR="005D57EE" w:rsidRDefault="005D57EE" w:rsidP="005D57EE">
            <w:pPr>
              <w:jc w:val="center"/>
              <w:rPr>
                <w:szCs w:val="22"/>
              </w:rPr>
            </w:pPr>
            <w:r w:rsidRPr="00E2684B">
              <w:rPr>
                <w:szCs w:val="22"/>
              </w:rPr>
              <w:t>2258197</w:t>
            </w:r>
          </w:p>
          <w:p w14:paraId="1E6CD9A6" w14:textId="77777777" w:rsidR="005D57EE" w:rsidRDefault="005D57EE" w:rsidP="005D57EE">
            <w:pPr>
              <w:jc w:val="center"/>
              <w:rPr>
                <w:szCs w:val="22"/>
              </w:rPr>
            </w:pPr>
          </w:p>
          <w:p w14:paraId="50E668C8" w14:textId="77777777" w:rsidR="005D57EE" w:rsidRPr="00EE4948" w:rsidRDefault="005D57EE" w:rsidP="005D57EE">
            <w:pPr>
              <w:jc w:val="center"/>
              <w:rPr>
                <w:szCs w:val="22"/>
                <w:highlight w:val="yellow"/>
              </w:rPr>
            </w:pPr>
            <w:r w:rsidRPr="00E2684B">
              <w:rPr>
                <w:szCs w:val="22"/>
              </w:rPr>
              <w:t>2350065</w:t>
            </w:r>
          </w:p>
        </w:tc>
        <w:tc>
          <w:tcPr>
            <w:tcW w:w="1080" w:type="dxa"/>
          </w:tcPr>
          <w:p w14:paraId="324E9254" w14:textId="77777777" w:rsidR="005D57EE" w:rsidRPr="00676AD4" w:rsidRDefault="005D57EE" w:rsidP="005D57EE">
            <w:pPr>
              <w:jc w:val="center"/>
              <w:rPr>
                <w:szCs w:val="22"/>
              </w:rPr>
            </w:pPr>
            <w:r>
              <w:rPr>
                <w:szCs w:val="22"/>
              </w:rPr>
              <w:t>2012</w:t>
            </w:r>
          </w:p>
        </w:tc>
        <w:tc>
          <w:tcPr>
            <w:tcW w:w="1800" w:type="dxa"/>
          </w:tcPr>
          <w:p w14:paraId="0B5079E9" w14:textId="77777777" w:rsidR="005D57EE" w:rsidRDefault="005D57EE" w:rsidP="005D57EE">
            <w:pPr>
              <w:jc w:val="center"/>
              <w:rPr>
                <w:szCs w:val="22"/>
              </w:rPr>
            </w:pPr>
            <w:r>
              <w:rPr>
                <w:szCs w:val="22"/>
              </w:rPr>
              <w:t>4/24/2015</w:t>
            </w:r>
          </w:p>
        </w:tc>
        <w:tc>
          <w:tcPr>
            <w:tcW w:w="3566" w:type="dxa"/>
          </w:tcPr>
          <w:p w14:paraId="29618782" w14:textId="77777777" w:rsidR="005D57EE" w:rsidRDefault="005D57EE" w:rsidP="005D57EE">
            <w:pPr>
              <w:jc w:val="center"/>
              <w:rPr>
                <w:szCs w:val="22"/>
              </w:rPr>
            </w:pPr>
            <w:r>
              <w:rPr>
                <w:szCs w:val="22"/>
              </w:rPr>
              <w:t xml:space="preserve">Failing </w:t>
            </w:r>
            <w:r w:rsidRPr="00ED1E04">
              <w:rPr>
                <w:szCs w:val="22"/>
              </w:rPr>
              <w:t>to retain bids and bid evaluation documents</w:t>
            </w:r>
          </w:p>
          <w:p w14:paraId="1D9851FB" w14:textId="77777777" w:rsidR="005D57EE" w:rsidRDefault="005D57EE" w:rsidP="005D57EE">
            <w:pPr>
              <w:jc w:val="center"/>
              <w:rPr>
                <w:szCs w:val="22"/>
              </w:rPr>
            </w:pPr>
          </w:p>
          <w:p w14:paraId="778DD628" w14:textId="77777777" w:rsidR="005D57EE" w:rsidRDefault="005D57EE" w:rsidP="005D57EE">
            <w:pPr>
              <w:jc w:val="center"/>
              <w:rPr>
                <w:szCs w:val="22"/>
              </w:rPr>
            </w:pPr>
            <w:r>
              <w:rPr>
                <w:szCs w:val="22"/>
              </w:rPr>
              <w:t>F</w:t>
            </w:r>
            <w:r w:rsidRPr="00ED1E04">
              <w:rPr>
                <w:szCs w:val="22"/>
              </w:rPr>
              <w:t>ailing to provide the same information to all potential bidders</w:t>
            </w:r>
          </w:p>
          <w:p w14:paraId="175DC3C8" w14:textId="77777777" w:rsidR="005D57EE" w:rsidRDefault="005D57EE" w:rsidP="005D57EE">
            <w:pPr>
              <w:jc w:val="center"/>
              <w:rPr>
                <w:szCs w:val="22"/>
              </w:rPr>
            </w:pPr>
          </w:p>
        </w:tc>
      </w:tr>
      <w:tr w:rsidR="005D57EE" w:rsidRPr="00676AD4" w14:paraId="4F4F47E5" w14:textId="77777777" w:rsidTr="005D57EE">
        <w:trPr>
          <w:jc w:val="center"/>
        </w:trPr>
        <w:tc>
          <w:tcPr>
            <w:tcW w:w="2065" w:type="dxa"/>
          </w:tcPr>
          <w:p w14:paraId="5CE64A13" w14:textId="77777777" w:rsidR="005D57EE" w:rsidRDefault="005D57EE" w:rsidP="005D57EE">
            <w:pPr>
              <w:rPr>
                <w:szCs w:val="22"/>
              </w:rPr>
            </w:pPr>
            <w:r w:rsidRPr="00676AD4">
              <w:rPr>
                <w:szCs w:val="22"/>
              </w:rPr>
              <w:t xml:space="preserve">Mount Carmel-Holy </w:t>
            </w:r>
          </w:p>
          <w:p w14:paraId="09B4A83B" w14:textId="77777777" w:rsidR="005D57EE" w:rsidRPr="00676AD4" w:rsidRDefault="005D57EE" w:rsidP="005D57EE">
            <w:pPr>
              <w:rPr>
                <w:szCs w:val="22"/>
              </w:rPr>
            </w:pPr>
            <w:r w:rsidRPr="00676AD4">
              <w:rPr>
                <w:szCs w:val="22"/>
              </w:rPr>
              <w:t>Rosary School</w:t>
            </w:r>
          </w:p>
          <w:p w14:paraId="72A68412" w14:textId="77777777" w:rsidR="005D57EE" w:rsidRPr="00676AD4" w:rsidRDefault="005D57EE" w:rsidP="005D57EE">
            <w:pPr>
              <w:rPr>
                <w:szCs w:val="22"/>
              </w:rPr>
            </w:pPr>
            <w:r w:rsidRPr="00A90519">
              <w:rPr>
                <w:szCs w:val="22"/>
              </w:rPr>
              <w:t>New York, NY</w:t>
            </w:r>
          </w:p>
        </w:tc>
        <w:tc>
          <w:tcPr>
            <w:tcW w:w="1530" w:type="dxa"/>
          </w:tcPr>
          <w:p w14:paraId="79259FEB" w14:textId="77777777" w:rsidR="005D57EE" w:rsidRPr="00676AD4" w:rsidRDefault="005D57EE" w:rsidP="005D57EE">
            <w:pPr>
              <w:jc w:val="center"/>
              <w:rPr>
                <w:szCs w:val="22"/>
              </w:rPr>
            </w:pPr>
            <w:r w:rsidRPr="00676AD4">
              <w:rPr>
                <w:szCs w:val="22"/>
              </w:rPr>
              <w:t>858216</w:t>
            </w:r>
          </w:p>
        </w:tc>
        <w:tc>
          <w:tcPr>
            <w:tcW w:w="1260" w:type="dxa"/>
          </w:tcPr>
          <w:p w14:paraId="33750477" w14:textId="77777777" w:rsidR="005D57EE" w:rsidRDefault="005D57EE" w:rsidP="005D57EE">
            <w:pPr>
              <w:jc w:val="center"/>
              <w:rPr>
                <w:szCs w:val="22"/>
              </w:rPr>
            </w:pPr>
            <w:r>
              <w:rPr>
                <w:szCs w:val="22"/>
              </w:rPr>
              <w:t>2335266</w:t>
            </w:r>
          </w:p>
          <w:p w14:paraId="2B391A14" w14:textId="77777777" w:rsidR="005D57EE" w:rsidRPr="00EE4948" w:rsidRDefault="005D57EE" w:rsidP="005D57EE">
            <w:pPr>
              <w:jc w:val="center"/>
              <w:rPr>
                <w:szCs w:val="22"/>
                <w:highlight w:val="yellow"/>
              </w:rPr>
            </w:pPr>
            <w:r w:rsidRPr="00E2684B">
              <w:rPr>
                <w:szCs w:val="22"/>
              </w:rPr>
              <w:t>2335314</w:t>
            </w:r>
          </w:p>
        </w:tc>
        <w:tc>
          <w:tcPr>
            <w:tcW w:w="1080" w:type="dxa"/>
          </w:tcPr>
          <w:p w14:paraId="48AA4ABB" w14:textId="77777777" w:rsidR="005D57EE" w:rsidRPr="00676AD4" w:rsidRDefault="005D57EE" w:rsidP="005D57EE">
            <w:pPr>
              <w:jc w:val="center"/>
              <w:rPr>
                <w:szCs w:val="22"/>
              </w:rPr>
            </w:pPr>
            <w:r>
              <w:rPr>
                <w:szCs w:val="22"/>
              </w:rPr>
              <w:t>2012</w:t>
            </w:r>
          </w:p>
        </w:tc>
        <w:tc>
          <w:tcPr>
            <w:tcW w:w="1800" w:type="dxa"/>
          </w:tcPr>
          <w:p w14:paraId="4801BD20" w14:textId="77777777" w:rsidR="005D57EE" w:rsidRDefault="005D57EE" w:rsidP="005D57EE">
            <w:pPr>
              <w:jc w:val="center"/>
              <w:rPr>
                <w:szCs w:val="22"/>
              </w:rPr>
            </w:pPr>
            <w:r w:rsidRPr="00A54539">
              <w:rPr>
                <w:szCs w:val="22"/>
              </w:rPr>
              <w:t>4/24/2015</w:t>
            </w:r>
          </w:p>
        </w:tc>
        <w:tc>
          <w:tcPr>
            <w:tcW w:w="3566" w:type="dxa"/>
          </w:tcPr>
          <w:p w14:paraId="05C162A0" w14:textId="77777777" w:rsidR="005D57EE" w:rsidRDefault="005D57EE" w:rsidP="005D57EE">
            <w:pPr>
              <w:jc w:val="center"/>
              <w:rPr>
                <w:szCs w:val="22"/>
              </w:rPr>
            </w:pPr>
            <w:r w:rsidRPr="00ED1E04">
              <w:rPr>
                <w:szCs w:val="22"/>
              </w:rPr>
              <w:t>Failing to provide the same information to all potential bidders</w:t>
            </w:r>
          </w:p>
          <w:p w14:paraId="66F13A1D" w14:textId="77777777" w:rsidR="005D57EE" w:rsidRPr="00A54539" w:rsidRDefault="005D57EE" w:rsidP="005D57EE">
            <w:pPr>
              <w:jc w:val="center"/>
              <w:rPr>
                <w:szCs w:val="22"/>
              </w:rPr>
            </w:pPr>
          </w:p>
        </w:tc>
      </w:tr>
      <w:tr w:rsidR="005D57EE" w:rsidRPr="00676AD4" w14:paraId="1AB3D192" w14:textId="77777777" w:rsidTr="005D57EE">
        <w:trPr>
          <w:jc w:val="center"/>
        </w:trPr>
        <w:tc>
          <w:tcPr>
            <w:tcW w:w="2065" w:type="dxa"/>
          </w:tcPr>
          <w:p w14:paraId="2F860278" w14:textId="77777777" w:rsidR="005D57EE" w:rsidRPr="00676AD4" w:rsidRDefault="005D57EE" w:rsidP="005D57EE">
            <w:pPr>
              <w:rPr>
                <w:szCs w:val="22"/>
              </w:rPr>
            </w:pPr>
            <w:r w:rsidRPr="00676AD4">
              <w:rPr>
                <w:szCs w:val="22"/>
              </w:rPr>
              <w:t>St. Aloysius School</w:t>
            </w:r>
          </w:p>
          <w:p w14:paraId="43198D1C" w14:textId="77777777" w:rsidR="005D57EE" w:rsidRPr="00676AD4" w:rsidRDefault="005D57EE" w:rsidP="005D57EE">
            <w:pPr>
              <w:rPr>
                <w:szCs w:val="22"/>
              </w:rPr>
            </w:pPr>
            <w:r w:rsidRPr="00A90519">
              <w:rPr>
                <w:szCs w:val="22"/>
              </w:rPr>
              <w:t>New York, NY</w:t>
            </w:r>
          </w:p>
        </w:tc>
        <w:tc>
          <w:tcPr>
            <w:tcW w:w="1530" w:type="dxa"/>
          </w:tcPr>
          <w:p w14:paraId="46474B01" w14:textId="77777777" w:rsidR="005D57EE" w:rsidRDefault="005D57EE" w:rsidP="005D57EE">
            <w:pPr>
              <w:jc w:val="center"/>
              <w:rPr>
                <w:szCs w:val="22"/>
              </w:rPr>
            </w:pPr>
            <w:r>
              <w:rPr>
                <w:szCs w:val="22"/>
              </w:rPr>
              <w:t>837162</w:t>
            </w:r>
          </w:p>
          <w:p w14:paraId="38154B6B" w14:textId="77777777" w:rsidR="005D57EE" w:rsidRDefault="005D57EE" w:rsidP="005D57EE">
            <w:pPr>
              <w:jc w:val="center"/>
              <w:rPr>
                <w:szCs w:val="22"/>
              </w:rPr>
            </w:pPr>
          </w:p>
          <w:p w14:paraId="23FB0A7C" w14:textId="77777777" w:rsidR="005D57EE" w:rsidRDefault="005D57EE" w:rsidP="005D57EE">
            <w:pPr>
              <w:jc w:val="center"/>
              <w:rPr>
                <w:szCs w:val="22"/>
              </w:rPr>
            </w:pPr>
          </w:p>
          <w:p w14:paraId="70CDFCE1" w14:textId="77777777" w:rsidR="005D57EE" w:rsidRDefault="005D57EE" w:rsidP="005D57EE">
            <w:pPr>
              <w:jc w:val="center"/>
              <w:rPr>
                <w:szCs w:val="22"/>
              </w:rPr>
            </w:pPr>
          </w:p>
          <w:p w14:paraId="296B28AB" w14:textId="77777777" w:rsidR="005D57EE" w:rsidRPr="00676AD4" w:rsidRDefault="005D57EE" w:rsidP="005D57EE">
            <w:pPr>
              <w:jc w:val="center"/>
              <w:rPr>
                <w:szCs w:val="22"/>
              </w:rPr>
            </w:pPr>
            <w:r w:rsidRPr="006B290E">
              <w:rPr>
                <w:szCs w:val="22"/>
              </w:rPr>
              <w:t>858274</w:t>
            </w:r>
          </w:p>
        </w:tc>
        <w:tc>
          <w:tcPr>
            <w:tcW w:w="1260" w:type="dxa"/>
          </w:tcPr>
          <w:p w14:paraId="0F03F560" w14:textId="77777777" w:rsidR="005D57EE" w:rsidRDefault="005D57EE" w:rsidP="005D57EE">
            <w:pPr>
              <w:jc w:val="center"/>
              <w:rPr>
                <w:szCs w:val="22"/>
              </w:rPr>
            </w:pPr>
            <w:r>
              <w:rPr>
                <w:szCs w:val="22"/>
              </w:rPr>
              <w:t>2271656</w:t>
            </w:r>
          </w:p>
          <w:p w14:paraId="25E921C5" w14:textId="77777777" w:rsidR="005D57EE" w:rsidRDefault="005D57EE" w:rsidP="005D57EE">
            <w:pPr>
              <w:jc w:val="center"/>
              <w:rPr>
                <w:szCs w:val="22"/>
              </w:rPr>
            </w:pPr>
            <w:r>
              <w:rPr>
                <w:szCs w:val="22"/>
              </w:rPr>
              <w:t>2271652</w:t>
            </w:r>
          </w:p>
          <w:p w14:paraId="7BC13763" w14:textId="77777777" w:rsidR="005D57EE" w:rsidRDefault="005D57EE" w:rsidP="005D57EE">
            <w:pPr>
              <w:jc w:val="center"/>
              <w:rPr>
                <w:szCs w:val="22"/>
              </w:rPr>
            </w:pPr>
            <w:r w:rsidRPr="002D4596">
              <w:rPr>
                <w:szCs w:val="22"/>
              </w:rPr>
              <w:t>2271658</w:t>
            </w:r>
          </w:p>
          <w:p w14:paraId="3E76D357" w14:textId="77777777" w:rsidR="005D57EE" w:rsidRDefault="005D57EE" w:rsidP="005D57EE">
            <w:pPr>
              <w:jc w:val="center"/>
              <w:rPr>
                <w:szCs w:val="22"/>
              </w:rPr>
            </w:pPr>
          </w:p>
          <w:p w14:paraId="6F968C8A" w14:textId="77777777" w:rsidR="005D57EE" w:rsidRPr="00EE4948" w:rsidRDefault="005D57EE" w:rsidP="005D57EE">
            <w:pPr>
              <w:jc w:val="center"/>
              <w:rPr>
                <w:szCs w:val="22"/>
                <w:highlight w:val="yellow"/>
              </w:rPr>
            </w:pPr>
            <w:r w:rsidRPr="00B55FD7">
              <w:rPr>
                <w:szCs w:val="22"/>
              </w:rPr>
              <w:t>2335462</w:t>
            </w:r>
          </w:p>
        </w:tc>
        <w:tc>
          <w:tcPr>
            <w:tcW w:w="1080" w:type="dxa"/>
          </w:tcPr>
          <w:p w14:paraId="7D9A8576" w14:textId="77777777" w:rsidR="005D57EE" w:rsidRPr="00676AD4" w:rsidRDefault="005D57EE" w:rsidP="005D57EE">
            <w:pPr>
              <w:jc w:val="center"/>
              <w:rPr>
                <w:szCs w:val="22"/>
              </w:rPr>
            </w:pPr>
            <w:r>
              <w:rPr>
                <w:szCs w:val="22"/>
              </w:rPr>
              <w:t>2012</w:t>
            </w:r>
          </w:p>
        </w:tc>
        <w:tc>
          <w:tcPr>
            <w:tcW w:w="1800" w:type="dxa"/>
          </w:tcPr>
          <w:p w14:paraId="2BFEFF79" w14:textId="77777777" w:rsidR="005D57EE" w:rsidRDefault="005D57EE" w:rsidP="005D57EE">
            <w:pPr>
              <w:jc w:val="center"/>
              <w:rPr>
                <w:szCs w:val="22"/>
              </w:rPr>
            </w:pPr>
            <w:r w:rsidRPr="00A54539">
              <w:rPr>
                <w:szCs w:val="22"/>
              </w:rPr>
              <w:t>4/24/2015</w:t>
            </w:r>
          </w:p>
        </w:tc>
        <w:tc>
          <w:tcPr>
            <w:tcW w:w="3566" w:type="dxa"/>
          </w:tcPr>
          <w:p w14:paraId="709B8551" w14:textId="77777777" w:rsidR="005D57EE" w:rsidRDefault="005D57EE" w:rsidP="005D57EE">
            <w:pPr>
              <w:jc w:val="center"/>
              <w:rPr>
                <w:szCs w:val="22"/>
              </w:rPr>
            </w:pPr>
            <w:r>
              <w:rPr>
                <w:szCs w:val="22"/>
              </w:rPr>
              <w:t xml:space="preserve">Failing </w:t>
            </w:r>
            <w:r w:rsidRPr="00ED1E04">
              <w:rPr>
                <w:szCs w:val="22"/>
              </w:rPr>
              <w:t>to retain bids and bid evaluation documents</w:t>
            </w:r>
          </w:p>
          <w:p w14:paraId="195675C1" w14:textId="77777777" w:rsidR="005D57EE" w:rsidRDefault="005D57EE" w:rsidP="005D57EE">
            <w:pPr>
              <w:jc w:val="center"/>
              <w:rPr>
                <w:szCs w:val="22"/>
              </w:rPr>
            </w:pPr>
          </w:p>
          <w:p w14:paraId="24F0345F" w14:textId="77777777" w:rsidR="005D57EE" w:rsidRDefault="005D57EE" w:rsidP="005D57EE">
            <w:pPr>
              <w:jc w:val="center"/>
              <w:rPr>
                <w:szCs w:val="22"/>
              </w:rPr>
            </w:pPr>
            <w:r w:rsidRPr="00ED1E04">
              <w:rPr>
                <w:szCs w:val="22"/>
              </w:rPr>
              <w:t>Failing to provide the same information to all potential bidders</w:t>
            </w:r>
          </w:p>
          <w:p w14:paraId="2E15F063" w14:textId="77777777" w:rsidR="005D57EE" w:rsidRPr="00A54539" w:rsidRDefault="005D57EE" w:rsidP="005D57EE">
            <w:pPr>
              <w:jc w:val="center"/>
              <w:rPr>
                <w:szCs w:val="22"/>
              </w:rPr>
            </w:pPr>
          </w:p>
        </w:tc>
      </w:tr>
      <w:tr w:rsidR="005D57EE" w:rsidRPr="00676AD4" w14:paraId="3CCC5788" w14:textId="77777777" w:rsidTr="005D57EE">
        <w:trPr>
          <w:jc w:val="center"/>
        </w:trPr>
        <w:tc>
          <w:tcPr>
            <w:tcW w:w="2065" w:type="dxa"/>
          </w:tcPr>
          <w:p w14:paraId="7F7B8C13" w14:textId="77777777" w:rsidR="005D57EE" w:rsidRPr="00676AD4" w:rsidRDefault="005D57EE" w:rsidP="005D57EE">
            <w:pPr>
              <w:rPr>
                <w:szCs w:val="22"/>
              </w:rPr>
            </w:pPr>
            <w:r w:rsidRPr="00676AD4">
              <w:rPr>
                <w:szCs w:val="22"/>
              </w:rPr>
              <w:t>St. Ann School</w:t>
            </w:r>
          </w:p>
          <w:p w14:paraId="41B9C464" w14:textId="77777777" w:rsidR="005D57EE" w:rsidRPr="00676AD4" w:rsidRDefault="005D57EE" w:rsidP="005D57EE">
            <w:pPr>
              <w:rPr>
                <w:szCs w:val="22"/>
              </w:rPr>
            </w:pPr>
            <w:r w:rsidRPr="00A90519">
              <w:rPr>
                <w:szCs w:val="22"/>
              </w:rPr>
              <w:t>New York, NY</w:t>
            </w:r>
          </w:p>
        </w:tc>
        <w:tc>
          <w:tcPr>
            <w:tcW w:w="1530" w:type="dxa"/>
          </w:tcPr>
          <w:p w14:paraId="0EB0042D" w14:textId="77777777" w:rsidR="005D57EE" w:rsidRDefault="005D57EE" w:rsidP="005D57EE">
            <w:pPr>
              <w:jc w:val="center"/>
              <w:rPr>
                <w:szCs w:val="22"/>
              </w:rPr>
            </w:pPr>
            <w:r>
              <w:rPr>
                <w:szCs w:val="22"/>
              </w:rPr>
              <w:t>858098</w:t>
            </w:r>
          </w:p>
          <w:p w14:paraId="119CEFA4" w14:textId="77777777" w:rsidR="005D57EE" w:rsidRDefault="005D57EE" w:rsidP="005D57EE">
            <w:pPr>
              <w:jc w:val="center"/>
              <w:rPr>
                <w:szCs w:val="22"/>
              </w:rPr>
            </w:pPr>
          </w:p>
          <w:p w14:paraId="4CA23062" w14:textId="77777777" w:rsidR="005D57EE" w:rsidRPr="00676AD4" w:rsidRDefault="005D57EE" w:rsidP="005D57EE">
            <w:pPr>
              <w:jc w:val="center"/>
              <w:rPr>
                <w:szCs w:val="22"/>
              </w:rPr>
            </w:pPr>
            <w:r w:rsidRPr="00A81E71">
              <w:rPr>
                <w:szCs w:val="22"/>
              </w:rPr>
              <w:t>860715</w:t>
            </w:r>
          </w:p>
        </w:tc>
        <w:tc>
          <w:tcPr>
            <w:tcW w:w="1260" w:type="dxa"/>
          </w:tcPr>
          <w:p w14:paraId="0526F639" w14:textId="77777777" w:rsidR="005D57EE" w:rsidRDefault="005D57EE" w:rsidP="005D57EE">
            <w:pPr>
              <w:jc w:val="center"/>
              <w:rPr>
                <w:szCs w:val="22"/>
              </w:rPr>
            </w:pPr>
            <w:r w:rsidRPr="0006109C">
              <w:rPr>
                <w:szCs w:val="22"/>
              </w:rPr>
              <w:t>2334842</w:t>
            </w:r>
          </w:p>
          <w:p w14:paraId="42C09B49" w14:textId="77777777" w:rsidR="005D57EE" w:rsidRDefault="005D57EE" w:rsidP="005D57EE">
            <w:pPr>
              <w:jc w:val="center"/>
              <w:rPr>
                <w:szCs w:val="22"/>
              </w:rPr>
            </w:pPr>
          </w:p>
          <w:p w14:paraId="72120A4C" w14:textId="77777777" w:rsidR="005D57EE" w:rsidRPr="00EE4948" w:rsidRDefault="005D57EE" w:rsidP="005D57EE">
            <w:pPr>
              <w:jc w:val="center"/>
              <w:rPr>
                <w:szCs w:val="22"/>
                <w:highlight w:val="yellow"/>
              </w:rPr>
            </w:pPr>
            <w:r w:rsidRPr="00A402B6">
              <w:rPr>
                <w:szCs w:val="22"/>
              </w:rPr>
              <w:t>2343175</w:t>
            </w:r>
          </w:p>
        </w:tc>
        <w:tc>
          <w:tcPr>
            <w:tcW w:w="1080" w:type="dxa"/>
          </w:tcPr>
          <w:p w14:paraId="3921EA17" w14:textId="77777777" w:rsidR="005D57EE" w:rsidRPr="00676AD4" w:rsidRDefault="005D57EE" w:rsidP="005D57EE">
            <w:pPr>
              <w:jc w:val="center"/>
              <w:rPr>
                <w:szCs w:val="22"/>
              </w:rPr>
            </w:pPr>
            <w:r>
              <w:rPr>
                <w:szCs w:val="22"/>
              </w:rPr>
              <w:t>2012</w:t>
            </w:r>
          </w:p>
        </w:tc>
        <w:tc>
          <w:tcPr>
            <w:tcW w:w="1800" w:type="dxa"/>
          </w:tcPr>
          <w:p w14:paraId="651E3E28" w14:textId="77777777" w:rsidR="005D57EE" w:rsidRDefault="005D57EE" w:rsidP="005D57EE">
            <w:pPr>
              <w:jc w:val="center"/>
              <w:rPr>
                <w:szCs w:val="22"/>
              </w:rPr>
            </w:pPr>
            <w:r w:rsidRPr="00A54539">
              <w:rPr>
                <w:szCs w:val="22"/>
              </w:rPr>
              <w:t>4/24/2015</w:t>
            </w:r>
          </w:p>
        </w:tc>
        <w:tc>
          <w:tcPr>
            <w:tcW w:w="3566" w:type="dxa"/>
          </w:tcPr>
          <w:p w14:paraId="54438183" w14:textId="77777777" w:rsidR="005D57EE" w:rsidRPr="00A54539" w:rsidRDefault="005D57EE" w:rsidP="005D57EE">
            <w:pPr>
              <w:jc w:val="center"/>
              <w:rPr>
                <w:szCs w:val="22"/>
              </w:rPr>
            </w:pPr>
            <w:r w:rsidRPr="00ED1E04">
              <w:rPr>
                <w:szCs w:val="22"/>
              </w:rPr>
              <w:t>Failing to provide the same information to all potential bidders</w:t>
            </w:r>
          </w:p>
        </w:tc>
      </w:tr>
      <w:tr w:rsidR="005D57EE" w:rsidRPr="00676AD4" w14:paraId="03A694FC" w14:textId="77777777" w:rsidTr="005D57EE">
        <w:trPr>
          <w:jc w:val="center"/>
        </w:trPr>
        <w:tc>
          <w:tcPr>
            <w:tcW w:w="2065" w:type="dxa"/>
          </w:tcPr>
          <w:p w14:paraId="0646C730" w14:textId="77777777" w:rsidR="005D57EE" w:rsidRPr="00676AD4" w:rsidRDefault="005D57EE" w:rsidP="005D57EE">
            <w:pPr>
              <w:rPr>
                <w:szCs w:val="22"/>
              </w:rPr>
            </w:pPr>
            <w:r w:rsidRPr="00676AD4">
              <w:rPr>
                <w:szCs w:val="22"/>
              </w:rPr>
              <w:t>St. Anthony School</w:t>
            </w:r>
          </w:p>
          <w:p w14:paraId="64543A8D" w14:textId="77777777" w:rsidR="005D57EE" w:rsidRPr="00676AD4" w:rsidRDefault="005D57EE" w:rsidP="005D57EE">
            <w:pPr>
              <w:rPr>
                <w:szCs w:val="22"/>
              </w:rPr>
            </w:pPr>
            <w:r w:rsidRPr="00A90519">
              <w:rPr>
                <w:szCs w:val="22"/>
              </w:rPr>
              <w:t>New York, NY</w:t>
            </w:r>
          </w:p>
        </w:tc>
        <w:tc>
          <w:tcPr>
            <w:tcW w:w="1530" w:type="dxa"/>
          </w:tcPr>
          <w:p w14:paraId="0E572352" w14:textId="77777777" w:rsidR="005D57EE" w:rsidRDefault="005D57EE" w:rsidP="005D57EE">
            <w:pPr>
              <w:jc w:val="center"/>
              <w:rPr>
                <w:szCs w:val="22"/>
              </w:rPr>
            </w:pPr>
            <w:r>
              <w:rPr>
                <w:szCs w:val="22"/>
              </w:rPr>
              <w:t>837212</w:t>
            </w:r>
          </w:p>
          <w:p w14:paraId="3FF2AA13" w14:textId="77777777" w:rsidR="005D57EE" w:rsidRDefault="005D57EE" w:rsidP="005D57EE">
            <w:pPr>
              <w:jc w:val="center"/>
              <w:rPr>
                <w:szCs w:val="22"/>
              </w:rPr>
            </w:pPr>
          </w:p>
          <w:p w14:paraId="5B7377F6" w14:textId="77777777" w:rsidR="005D57EE" w:rsidRDefault="005D57EE" w:rsidP="005D57EE">
            <w:pPr>
              <w:rPr>
                <w:szCs w:val="22"/>
              </w:rPr>
            </w:pPr>
          </w:p>
          <w:p w14:paraId="77CE0922" w14:textId="77777777" w:rsidR="005D57EE" w:rsidRPr="00676AD4" w:rsidRDefault="005D57EE" w:rsidP="005D57EE">
            <w:pPr>
              <w:jc w:val="center"/>
              <w:rPr>
                <w:szCs w:val="22"/>
              </w:rPr>
            </w:pPr>
            <w:r w:rsidRPr="00C863D1">
              <w:rPr>
                <w:szCs w:val="22"/>
              </w:rPr>
              <w:t>868057</w:t>
            </w:r>
          </w:p>
        </w:tc>
        <w:tc>
          <w:tcPr>
            <w:tcW w:w="1260" w:type="dxa"/>
          </w:tcPr>
          <w:p w14:paraId="3641455A" w14:textId="77777777" w:rsidR="005D57EE" w:rsidRDefault="005D57EE" w:rsidP="005D57EE">
            <w:pPr>
              <w:jc w:val="center"/>
              <w:rPr>
                <w:szCs w:val="22"/>
              </w:rPr>
            </w:pPr>
            <w:r>
              <w:rPr>
                <w:szCs w:val="22"/>
              </w:rPr>
              <w:t>2271725</w:t>
            </w:r>
          </w:p>
          <w:p w14:paraId="010E6C09" w14:textId="77777777" w:rsidR="005D57EE" w:rsidRDefault="005D57EE" w:rsidP="005D57EE">
            <w:pPr>
              <w:jc w:val="center"/>
              <w:rPr>
                <w:szCs w:val="22"/>
              </w:rPr>
            </w:pPr>
            <w:r w:rsidRPr="00A402B6">
              <w:rPr>
                <w:szCs w:val="22"/>
              </w:rPr>
              <w:t>2271727</w:t>
            </w:r>
          </w:p>
          <w:p w14:paraId="21533CAF" w14:textId="77777777" w:rsidR="005D57EE" w:rsidRDefault="005D57EE" w:rsidP="005D57EE">
            <w:pPr>
              <w:jc w:val="center"/>
              <w:rPr>
                <w:szCs w:val="22"/>
              </w:rPr>
            </w:pPr>
          </w:p>
          <w:p w14:paraId="114BCDE2" w14:textId="77777777" w:rsidR="005D57EE" w:rsidRPr="00EE4948" w:rsidRDefault="005D57EE" w:rsidP="005D57EE">
            <w:pPr>
              <w:jc w:val="center"/>
              <w:rPr>
                <w:szCs w:val="22"/>
                <w:highlight w:val="yellow"/>
              </w:rPr>
            </w:pPr>
            <w:r w:rsidRPr="00CA23DE">
              <w:rPr>
                <w:szCs w:val="22"/>
              </w:rPr>
              <w:t>2365989</w:t>
            </w:r>
          </w:p>
        </w:tc>
        <w:tc>
          <w:tcPr>
            <w:tcW w:w="1080" w:type="dxa"/>
          </w:tcPr>
          <w:p w14:paraId="242620F2" w14:textId="77777777" w:rsidR="005D57EE" w:rsidRPr="00676AD4" w:rsidRDefault="005D57EE" w:rsidP="005D57EE">
            <w:pPr>
              <w:jc w:val="center"/>
              <w:rPr>
                <w:szCs w:val="22"/>
              </w:rPr>
            </w:pPr>
            <w:r>
              <w:rPr>
                <w:szCs w:val="22"/>
              </w:rPr>
              <w:t>2012</w:t>
            </w:r>
          </w:p>
        </w:tc>
        <w:tc>
          <w:tcPr>
            <w:tcW w:w="1800" w:type="dxa"/>
          </w:tcPr>
          <w:p w14:paraId="65CAAAD5" w14:textId="77777777" w:rsidR="005D57EE" w:rsidRDefault="005D57EE" w:rsidP="005D57EE">
            <w:pPr>
              <w:jc w:val="center"/>
              <w:rPr>
                <w:szCs w:val="22"/>
              </w:rPr>
            </w:pPr>
            <w:r w:rsidRPr="00A54539">
              <w:rPr>
                <w:szCs w:val="22"/>
              </w:rPr>
              <w:t>4/24/2015</w:t>
            </w:r>
          </w:p>
        </w:tc>
        <w:tc>
          <w:tcPr>
            <w:tcW w:w="3566" w:type="dxa"/>
          </w:tcPr>
          <w:p w14:paraId="2B089771" w14:textId="77777777" w:rsidR="005D57EE" w:rsidRPr="00A54539" w:rsidRDefault="005D57EE" w:rsidP="005D57EE">
            <w:pPr>
              <w:jc w:val="center"/>
              <w:rPr>
                <w:szCs w:val="22"/>
              </w:rPr>
            </w:pPr>
            <w:r>
              <w:rPr>
                <w:szCs w:val="22"/>
              </w:rPr>
              <w:t xml:space="preserve">Failing </w:t>
            </w:r>
            <w:r w:rsidRPr="00ED1E04">
              <w:rPr>
                <w:szCs w:val="22"/>
              </w:rPr>
              <w:t>to retain bids and bid evaluation documents</w:t>
            </w:r>
          </w:p>
        </w:tc>
      </w:tr>
      <w:tr w:rsidR="005D57EE" w:rsidRPr="00676AD4" w14:paraId="6F120647" w14:textId="77777777" w:rsidTr="005D57EE">
        <w:trPr>
          <w:jc w:val="center"/>
        </w:trPr>
        <w:tc>
          <w:tcPr>
            <w:tcW w:w="2065" w:type="dxa"/>
          </w:tcPr>
          <w:p w14:paraId="28AE2D3D" w14:textId="77777777" w:rsidR="005D57EE" w:rsidRPr="00676AD4" w:rsidRDefault="005D57EE" w:rsidP="005D57EE">
            <w:pPr>
              <w:rPr>
                <w:szCs w:val="22"/>
              </w:rPr>
            </w:pPr>
            <w:r w:rsidRPr="00676AD4">
              <w:rPr>
                <w:szCs w:val="22"/>
              </w:rPr>
              <w:t>St. Brigid School</w:t>
            </w:r>
          </w:p>
          <w:p w14:paraId="3D0A3EA6" w14:textId="77777777" w:rsidR="005D57EE" w:rsidRPr="00676AD4" w:rsidRDefault="005D57EE" w:rsidP="005D57EE">
            <w:pPr>
              <w:rPr>
                <w:szCs w:val="22"/>
              </w:rPr>
            </w:pPr>
            <w:r w:rsidRPr="00A90519">
              <w:rPr>
                <w:szCs w:val="22"/>
              </w:rPr>
              <w:t>New York, NY</w:t>
            </w:r>
          </w:p>
        </w:tc>
        <w:tc>
          <w:tcPr>
            <w:tcW w:w="1530" w:type="dxa"/>
          </w:tcPr>
          <w:p w14:paraId="4D1236B4" w14:textId="77777777" w:rsidR="005D57EE" w:rsidRDefault="005D57EE" w:rsidP="005D57EE">
            <w:pPr>
              <w:jc w:val="center"/>
              <w:rPr>
                <w:szCs w:val="22"/>
              </w:rPr>
            </w:pPr>
            <w:r>
              <w:rPr>
                <w:szCs w:val="22"/>
              </w:rPr>
              <w:t>828062</w:t>
            </w:r>
          </w:p>
          <w:p w14:paraId="4EC96D68" w14:textId="77777777" w:rsidR="005D57EE" w:rsidRDefault="005D57EE" w:rsidP="005D57EE">
            <w:pPr>
              <w:jc w:val="center"/>
              <w:rPr>
                <w:szCs w:val="22"/>
              </w:rPr>
            </w:pPr>
          </w:p>
          <w:p w14:paraId="20771CB4" w14:textId="77777777" w:rsidR="005D57EE" w:rsidRDefault="005D57EE" w:rsidP="005D57EE">
            <w:pPr>
              <w:rPr>
                <w:szCs w:val="22"/>
              </w:rPr>
            </w:pPr>
          </w:p>
          <w:p w14:paraId="1494EAC7" w14:textId="77777777" w:rsidR="005D57EE" w:rsidRDefault="005D57EE" w:rsidP="005D57EE">
            <w:pPr>
              <w:jc w:val="center"/>
              <w:rPr>
                <w:szCs w:val="22"/>
              </w:rPr>
            </w:pPr>
            <w:r>
              <w:rPr>
                <w:szCs w:val="22"/>
              </w:rPr>
              <w:t>859000</w:t>
            </w:r>
          </w:p>
          <w:p w14:paraId="2FFF8F6A" w14:textId="77777777" w:rsidR="005D57EE" w:rsidRDefault="005D57EE" w:rsidP="005D57EE">
            <w:pPr>
              <w:jc w:val="center"/>
              <w:rPr>
                <w:szCs w:val="22"/>
              </w:rPr>
            </w:pPr>
          </w:p>
          <w:p w14:paraId="7A2D950B" w14:textId="77777777" w:rsidR="005D57EE" w:rsidRPr="00676AD4" w:rsidRDefault="005D57EE" w:rsidP="005D57EE">
            <w:pPr>
              <w:jc w:val="center"/>
              <w:rPr>
                <w:szCs w:val="22"/>
              </w:rPr>
            </w:pPr>
            <w:r w:rsidRPr="00C94459">
              <w:rPr>
                <w:szCs w:val="22"/>
              </w:rPr>
              <w:t>868933</w:t>
            </w:r>
          </w:p>
        </w:tc>
        <w:tc>
          <w:tcPr>
            <w:tcW w:w="1260" w:type="dxa"/>
          </w:tcPr>
          <w:p w14:paraId="41BBC866" w14:textId="77777777" w:rsidR="005D57EE" w:rsidRDefault="005D57EE" w:rsidP="005D57EE">
            <w:pPr>
              <w:jc w:val="center"/>
              <w:rPr>
                <w:szCs w:val="22"/>
              </w:rPr>
            </w:pPr>
            <w:r>
              <w:rPr>
                <w:szCs w:val="22"/>
              </w:rPr>
              <w:t>2263987</w:t>
            </w:r>
          </w:p>
          <w:p w14:paraId="5C03BF34" w14:textId="77777777" w:rsidR="005D57EE" w:rsidRDefault="005D57EE" w:rsidP="005D57EE">
            <w:pPr>
              <w:jc w:val="center"/>
              <w:rPr>
                <w:szCs w:val="22"/>
              </w:rPr>
            </w:pPr>
            <w:r w:rsidRPr="00AF3C56">
              <w:rPr>
                <w:szCs w:val="22"/>
              </w:rPr>
              <w:t>2263989</w:t>
            </w:r>
          </w:p>
          <w:p w14:paraId="16CB190A" w14:textId="77777777" w:rsidR="005D57EE" w:rsidRDefault="005D57EE" w:rsidP="005D57EE">
            <w:pPr>
              <w:jc w:val="center"/>
              <w:rPr>
                <w:szCs w:val="22"/>
              </w:rPr>
            </w:pPr>
          </w:p>
          <w:p w14:paraId="088C64BC" w14:textId="77777777" w:rsidR="005D57EE" w:rsidRDefault="005D57EE" w:rsidP="005D57EE">
            <w:pPr>
              <w:jc w:val="center"/>
              <w:rPr>
                <w:szCs w:val="22"/>
              </w:rPr>
            </w:pPr>
            <w:r w:rsidRPr="00FF391B">
              <w:rPr>
                <w:szCs w:val="22"/>
              </w:rPr>
              <w:t>2337783</w:t>
            </w:r>
          </w:p>
          <w:p w14:paraId="0D013A72" w14:textId="77777777" w:rsidR="005D57EE" w:rsidRDefault="005D57EE" w:rsidP="005D57EE">
            <w:pPr>
              <w:jc w:val="center"/>
              <w:rPr>
                <w:szCs w:val="22"/>
              </w:rPr>
            </w:pPr>
          </w:p>
          <w:p w14:paraId="032BD918" w14:textId="77777777" w:rsidR="005D57EE" w:rsidRPr="00EE4948" w:rsidRDefault="005D57EE" w:rsidP="005D57EE">
            <w:pPr>
              <w:jc w:val="center"/>
              <w:rPr>
                <w:szCs w:val="22"/>
                <w:highlight w:val="yellow"/>
              </w:rPr>
            </w:pPr>
            <w:r w:rsidRPr="00ED4627">
              <w:rPr>
                <w:szCs w:val="22"/>
              </w:rPr>
              <w:t>2368636</w:t>
            </w:r>
          </w:p>
        </w:tc>
        <w:tc>
          <w:tcPr>
            <w:tcW w:w="1080" w:type="dxa"/>
          </w:tcPr>
          <w:p w14:paraId="4434319B" w14:textId="77777777" w:rsidR="005D57EE" w:rsidRPr="00676AD4" w:rsidRDefault="005D57EE" w:rsidP="005D57EE">
            <w:pPr>
              <w:jc w:val="center"/>
              <w:rPr>
                <w:szCs w:val="22"/>
              </w:rPr>
            </w:pPr>
            <w:r>
              <w:rPr>
                <w:szCs w:val="22"/>
              </w:rPr>
              <w:t>2012</w:t>
            </w:r>
          </w:p>
        </w:tc>
        <w:tc>
          <w:tcPr>
            <w:tcW w:w="1800" w:type="dxa"/>
          </w:tcPr>
          <w:p w14:paraId="215FD085" w14:textId="77777777" w:rsidR="005D57EE" w:rsidRDefault="005D57EE" w:rsidP="005D57EE">
            <w:pPr>
              <w:jc w:val="center"/>
              <w:rPr>
                <w:szCs w:val="22"/>
              </w:rPr>
            </w:pPr>
            <w:r w:rsidRPr="00A54539">
              <w:rPr>
                <w:szCs w:val="22"/>
              </w:rPr>
              <w:t>4/24/2015</w:t>
            </w:r>
          </w:p>
        </w:tc>
        <w:tc>
          <w:tcPr>
            <w:tcW w:w="3566" w:type="dxa"/>
          </w:tcPr>
          <w:p w14:paraId="73CF3430" w14:textId="77777777" w:rsidR="005D57EE" w:rsidRPr="00A54539" w:rsidRDefault="005D57EE" w:rsidP="005D57EE">
            <w:pPr>
              <w:jc w:val="center"/>
              <w:rPr>
                <w:szCs w:val="22"/>
              </w:rPr>
            </w:pPr>
            <w:r>
              <w:rPr>
                <w:szCs w:val="22"/>
              </w:rPr>
              <w:t xml:space="preserve">Failing </w:t>
            </w:r>
            <w:r w:rsidRPr="00ED1E04">
              <w:rPr>
                <w:szCs w:val="22"/>
              </w:rPr>
              <w:t>to retain bids and bid evaluation documents</w:t>
            </w:r>
          </w:p>
        </w:tc>
      </w:tr>
      <w:tr w:rsidR="005D57EE" w:rsidRPr="00676AD4" w14:paraId="1D188FE7" w14:textId="77777777" w:rsidTr="005D57EE">
        <w:trPr>
          <w:jc w:val="center"/>
        </w:trPr>
        <w:tc>
          <w:tcPr>
            <w:tcW w:w="2065" w:type="dxa"/>
          </w:tcPr>
          <w:p w14:paraId="2187C0EA" w14:textId="77777777" w:rsidR="005D57EE" w:rsidRPr="00676AD4" w:rsidRDefault="005D57EE" w:rsidP="005D57EE">
            <w:pPr>
              <w:rPr>
                <w:szCs w:val="22"/>
              </w:rPr>
            </w:pPr>
            <w:r w:rsidRPr="00676AD4">
              <w:rPr>
                <w:szCs w:val="22"/>
              </w:rPr>
              <w:t>St. Jude School</w:t>
            </w:r>
          </w:p>
          <w:p w14:paraId="700092DE" w14:textId="77777777" w:rsidR="005D57EE" w:rsidRPr="00676AD4" w:rsidRDefault="005D57EE" w:rsidP="005D57EE">
            <w:pPr>
              <w:rPr>
                <w:szCs w:val="22"/>
              </w:rPr>
            </w:pPr>
            <w:r w:rsidRPr="00A90519">
              <w:rPr>
                <w:szCs w:val="22"/>
              </w:rPr>
              <w:t>New York, NY</w:t>
            </w:r>
          </w:p>
        </w:tc>
        <w:tc>
          <w:tcPr>
            <w:tcW w:w="1530" w:type="dxa"/>
          </w:tcPr>
          <w:p w14:paraId="610F41E3" w14:textId="77777777" w:rsidR="005D57EE" w:rsidRPr="00676AD4" w:rsidRDefault="005D57EE" w:rsidP="005D57EE">
            <w:pPr>
              <w:jc w:val="center"/>
              <w:rPr>
                <w:szCs w:val="22"/>
              </w:rPr>
            </w:pPr>
            <w:r w:rsidRPr="00CF6A03">
              <w:rPr>
                <w:szCs w:val="22"/>
              </w:rPr>
              <w:t>828179</w:t>
            </w:r>
          </w:p>
        </w:tc>
        <w:tc>
          <w:tcPr>
            <w:tcW w:w="1260" w:type="dxa"/>
          </w:tcPr>
          <w:p w14:paraId="215F8965" w14:textId="77777777" w:rsidR="005D57EE" w:rsidRDefault="005D57EE" w:rsidP="005D57EE">
            <w:pPr>
              <w:jc w:val="center"/>
              <w:rPr>
                <w:szCs w:val="22"/>
              </w:rPr>
            </w:pPr>
            <w:r>
              <w:rPr>
                <w:szCs w:val="22"/>
              </w:rPr>
              <w:t>2262629</w:t>
            </w:r>
          </w:p>
          <w:p w14:paraId="692698B1" w14:textId="77777777" w:rsidR="005D57EE" w:rsidRPr="00EE4948" w:rsidRDefault="005D57EE" w:rsidP="005D57EE">
            <w:pPr>
              <w:jc w:val="center"/>
              <w:rPr>
                <w:szCs w:val="22"/>
                <w:highlight w:val="yellow"/>
              </w:rPr>
            </w:pPr>
            <w:r w:rsidRPr="00A00810">
              <w:rPr>
                <w:szCs w:val="22"/>
              </w:rPr>
              <w:t>2262626</w:t>
            </w:r>
          </w:p>
        </w:tc>
        <w:tc>
          <w:tcPr>
            <w:tcW w:w="1080" w:type="dxa"/>
          </w:tcPr>
          <w:p w14:paraId="08BCB690" w14:textId="77777777" w:rsidR="005D57EE" w:rsidRPr="00676AD4" w:rsidRDefault="005D57EE" w:rsidP="005D57EE">
            <w:pPr>
              <w:jc w:val="center"/>
              <w:rPr>
                <w:szCs w:val="22"/>
              </w:rPr>
            </w:pPr>
            <w:r>
              <w:rPr>
                <w:szCs w:val="22"/>
              </w:rPr>
              <w:t>2012</w:t>
            </w:r>
          </w:p>
        </w:tc>
        <w:tc>
          <w:tcPr>
            <w:tcW w:w="1800" w:type="dxa"/>
          </w:tcPr>
          <w:p w14:paraId="4AB47A3E" w14:textId="77777777" w:rsidR="005D57EE" w:rsidRDefault="005D57EE" w:rsidP="005D57EE">
            <w:pPr>
              <w:jc w:val="center"/>
              <w:rPr>
                <w:szCs w:val="22"/>
              </w:rPr>
            </w:pPr>
            <w:r w:rsidRPr="00A54539">
              <w:rPr>
                <w:szCs w:val="22"/>
              </w:rPr>
              <w:t>4/24/2015</w:t>
            </w:r>
          </w:p>
        </w:tc>
        <w:tc>
          <w:tcPr>
            <w:tcW w:w="3566" w:type="dxa"/>
          </w:tcPr>
          <w:p w14:paraId="08C284C1" w14:textId="77777777" w:rsidR="005D57EE" w:rsidRDefault="005D57EE" w:rsidP="005D57EE">
            <w:pPr>
              <w:jc w:val="center"/>
              <w:rPr>
                <w:szCs w:val="22"/>
              </w:rPr>
            </w:pPr>
            <w:r>
              <w:rPr>
                <w:szCs w:val="22"/>
              </w:rPr>
              <w:t xml:space="preserve">Failing </w:t>
            </w:r>
            <w:r w:rsidRPr="00ED1E04">
              <w:rPr>
                <w:szCs w:val="22"/>
              </w:rPr>
              <w:t>to retain bids and bid evaluation documents</w:t>
            </w:r>
          </w:p>
          <w:p w14:paraId="296B86A1" w14:textId="77777777" w:rsidR="005D57EE" w:rsidRPr="00A54539" w:rsidRDefault="005D57EE" w:rsidP="005D57EE">
            <w:pPr>
              <w:jc w:val="center"/>
              <w:rPr>
                <w:szCs w:val="22"/>
              </w:rPr>
            </w:pPr>
          </w:p>
        </w:tc>
      </w:tr>
      <w:tr w:rsidR="005D57EE" w:rsidRPr="00676AD4" w14:paraId="43D279D1" w14:textId="77777777" w:rsidTr="005D57EE">
        <w:trPr>
          <w:jc w:val="center"/>
        </w:trPr>
        <w:tc>
          <w:tcPr>
            <w:tcW w:w="2065" w:type="dxa"/>
          </w:tcPr>
          <w:p w14:paraId="52555A59" w14:textId="77777777" w:rsidR="005D57EE" w:rsidRDefault="005D57EE" w:rsidP="005D57EE">
            <w:pPr>
              <w:rPr>
                <w:szCs w:val="22"/>
              </w:rPr>
            </w:pPr>
            <w:r w:rsidRPr="00676AD4">
              <w:rPr>
                <w:szCs w:val="22"/>
              </w:rPr>
              <w:t xml:space="preserve">St. Mark the </w:t>
            </w:r>
          </w:p>
          <w:p w14:paraId="2F77E279" w14:textId="77777777" w:rsidR="005D57EE" w:rsidRPr="00676AD4" w:rsidRDefault="005D57EE" w:rsidP="005D57EE">
            <w:pPr>
              <w:rPr>
                <w:szCs w:val="22"/>
              </w:rPr>
            </w:pPr>
            <w:r w:rsidRPr="00676AD4">
              <w:rPr>
                <w:szCs w:val="22"/>
              </w:rPr>
              <w:t>Evangelist School</w:t>
            </w:r>
          </w:p>
          <w:p w14:paraId="25380324" w14:textId="77777777" w:rsidR="005D57EE" w:rsidRPr="00676AD4" w:rsidRDefault="005D57EE" w:rsidP="005D57EE">
            <w:pPr>
              <w:rPr>
                <w:szCs w:val="22"/>
              </w:rPr>
            </w:pPr>
            <w:r w:rsidRPr="00A90519">
              <w:rPr>
                <w:szCs w:val="22"/>
              </w:rPr>
              <w:t>New York, NY</w:t>
            </w:r>
            <w:r w:rsidRPr="00676AD4">
              <w:rPr>
                <w:szCs w:val="22"/>
              </w:rPr>
              <w:tab/>
            </w:r>
          </w:p>
        </w:tc>
        <w:tc>
          <w:tcPr>
            <w:tcW w:w="1530" w:type="dxa"/>
          </w:tcPr>
          <w:p w14:paraId="70DD44FB" w14:textId="77777777" w:rsidR="005D57EE" w:rsidRPr="00676AD4" w:rsidRDefault="005D57EE" w:rsidP="005D57EE">
            <w:pPr>
              <w:jc w:val="center"/>
              <w:rPr>
                <w:szCs w:val="22"/>
              </w:rPr>
            </w:pPr>
            <w:r w:rsidRPr="002A30E9">
              <w:rPr>
                <w:szCs w:val="22"/>
              </w:rPr>
              <w:t>858291</w:t>
            </w:r>
          </w:p>
        </w:tc>
        <w:tc>
          <w:tcPr>
            <w:tcW w:w="1260" w:type="dxa"/>
          </w:tcPr>
          <w:p w14:paraId="73AC4745" w14:textId="77777777" w:rsidR="005D57EE" w:rsidRPr="00EE4948" w:rsidRDefault="005D57EE" w:rsidP="005D57EE">
            <w:pPr>
              <w:jc w:val="center"/>
              <w:rPr>
                <w:szCs w:val="22"/>
                <w:highlight w:val="yellow"/>
              </w:rPr>
            </w:pPr>
            <w:r w:rsidRPr="008E07B9">
              <w:rPr>
                <w:szCs w:val="22"/>
              </w:rPr>
              <w:t>2335508</w:t>
            </w:r>
          </w:p>
        </w:tc>
        <w:tc>
          <w:tcPr>
            <w:tcW w:w="1080" w:type="dxa"/>
          </w:tcPr>
          <w:p w14:paraId="33370619" w14:textId="77777777" w:rsidR="005D57EE" w:rsidRPr="00676AD4" w:rsidRDefault="005D57EE" w:rsidP="005D57EE">
            <w:pPr>
              <w:jc w:val="center"/>
              <w:rPr>
                <w:szCs w:val="22"/>
              </w:rPr>
            </w:pPr>
            <w:r>
              <w:rPr>
                <w:szCs w:val="22"/>
              </w:rPr>
              <w:t>2012</w:t>
            </w:r>
          </w:p>
        </w:tc>
        <w:tc>
          <w:tcPr>
            <w:tcW w:w="1800" w:type="dxa"/>
          </w:tcPr>
          <w:p w14:paraId="60F1B370" w14:textId="77777777" w:rsidR="005D57EE" w:rsidRDefault="005D57EE" w:rsidP="005D57EE">
            <w:pPr>
              <w:jc w:val="center"/>
              <w:rPr>
                <w:szCs w:val="22"/>
              </w:rPr>
            </w:pPr>
            <w:r w:rsidRPr="00A54539">
              <w:rPr>
                <w:szCs w:val="22"/>
              </w:rPr>
              <w:t>4/24/2015</w:t>
            </w:r>
          </w:p>
        </w:tc>
        <w:tc>
          <w:tcPr>
            <w:tcW w:w="3566" w:type="dxa"/>
          </w:tcPr>
          <w:p w14:paraId="337DBF08" w14:textId="77777777" w:rsidR="005D57EE" w:rsidRDefault="005D57EE" w:rsidP="005D57EE">
            <w:pPr>
              <w:jc w:val="center"/>
              <w:rPr>
                <w:szCs w:val="22"/>
              </w:rPr>
            </w:pPr>
            <w:r>
              <w:rPr>
                <w:szCs w:val="22"/>
              </w:rPr>
              <w:t xml:space="preserve">Failing </w:t>
            </w:r>
            <w:r w:rsidRPr="00ED1E04">
              <w:rPr>
                <w:szCs w:val="22"/>
              </w:rPr>
              <w:t>to retain bids and bid evaluation documents</w:t>
            </w:r>
          </w:p>
          <w:p w14:paraId="7A166C98" w14:textId="77777777" w:rsidR="005D57EE" w:rsidRDefault="005D57EE" w:rsidP="005D57EE">
            <w:pPr>
              <w:jc w:val="center"/>
              <w:rPr>
                <w:szCs w:val="22"/>
              </w:rPr>
            </w:pPr>
          </w:p>
          <w:p w14:paraId="4951097D" w14:textId="77777777" w:rsidR="005D57EE" w:rsidRDefault="005D57EE" w:rsidP="005D57EE">
            <w:pPr>
              <w:jc w:val="center"/>
              <w:rPr>
                <w:szCs w:val="22"/>
              </w:rPr>
            </w:pPr>
            <w:r w:rsidRPr="00ED1E04">
              <w:rPr>
                <w:szCs w:val="22"/>
              </w:rPr>
              <w:t>Failing to provide the same information to all potential bidders</w:t>
            </w:r>
          </w:p>
          <w:p w14:paraId="44E5ED6E" w14:textId="77777777" w:rsidR="005D57EE" w:rsidRPr="00A54539" w:rsidRDefault="005D57EE" w:rsidP="005D57EE">
            <w:pPr>
              <w:jc w:val="center"/>
              <w:rPr>
                <w:szCs w:val="22"/>
              </w:rPr>
            </w:pPr>
          </w:p>
        </w:tc>
      </w:tr>
      <w:tr w:rsidR="005D57EE" w:rsidRPr="00676AD4" w14:paraId="6CDB325C" w14:textId="77777777" w:rsidTr="005D57EE">
        <w:trPr>
          <w:jc w:val="center"/>
        </w:trPr>
        <w:tc>
          <w:tcPr>
            <w:tcW w:w="2065" w:type="dxa"/>
          </w:tcPr>
          <w:p w14:paraId="7C980D21" w14:textId="77777777" w:rsidR="005D57EE" w:rsidRDefault="005D57EE" w:rsidP="005D57EE">
            <w:pPr>
              <w:rPr>
                <w:szCs w:val="22"/>
              </w:rPr>
            </w:pPr>
            <w:r w:rsidRPr="00676AD4">
              <w:rPr>
                <w:szCs w:val="22"/>
              </w:rPr>
              <w:t xml:space="preserve">St. Nicholas </w:t>
            </w:r>
          </w:p>
          <w:p w14:paraId="703CB2C1" w14:textId="77777777" w:rsidR="005D57EE" w:rsidRPr="00676AD4" w:rsidRDefault="005D57EE" w:rsidP="005D57EE">
            <w:pPr>
              <w:rPr>
                <w:szCs w:val="22"/>
              </w:rPr>
            </w:pPr>
            <w:r w:rsidRPr="00676AD4">
              <w:rPr>
                <w:szCs w:val="22"/>
              </w:rPr>
              <w:t>Tolentine School</w:t>
            </w:r>
          </w:p>
          <w:p w14:paraId="63A29B69" w14:textId="77777777" w:rsidR="005D57EE" w:rsidRPr="00676AD4" w:rsidRDefault="005D57EE" w:rsidP="005D57EE">
            <w:pPr>
              <w:rPr>
                <w:szCs w:val="22"/>
              </w:rPr>
            </w:pPr>
            <w:r w:rsidRPr="00A90519">
              <w:rPr>
                <w:szCs w:val="22"/>
              </w:rPr>
              <w:t>New York, NY</w:t>
            </w:r>
          </w:p>
        </w:tc>
        <w:tc>
          <w:tcPr>
            <w:tcW w:w="1530" w:type="dxa"/>
          </w:tcPr>
          <w:p w14:paraId="7030EA60" w14:textId="77777777" w:rsidR="005D57EE" w:rsidRDefault="005D57EE" w:rsidP="005D57EE">
            <w:pPr>
              <w:jc w:val="center"/>
              <w:rPr>
                <w:szCs w:val="22"/>
              </w:rPr>
            </w:pPr>
            <w:r>
              <w:rPr>
                <w:szCs w:val="22"/>
              </w:rPr>
              <w:t>858249</w:t>
            </w:r>
          </w:p>
          <w:p w14:paraId="1F9C5FE9" w14:textId="77777777" w:rsidR="005D57EE" w:rsidRDefault="005D57EE" w:rsidP="005D57EE">
            <w:pPr>
              <w:jc w:val="center"/>
              <w:rPr>
                <w:szCs w:val="22"/>
              </w:rPr>
            </w:pPr>
          </w:p>
          <w:p w14:paraId="4D182B03" w14:textId="77777777" w:rsidR="005D57EE" w:rsidRDefault="005D57EE" w:rsidP="005D57EE">
            <w:pPr>
              <w:rPr>
                <w:szCs w:val="22"/>
              </w:rPr>
            </w:pPr>
          </w:p>
          <w:p w14:paraId="3336E2DD" w14:textId="77777777" w:rsidR="005D57EE" w:rsidRPr="00676AD4" w:rsidRDefault="005D57EE" w:rsidP="005D57EE">
            <w:pPr>
              <w:jc w:val="center"/>
              <w:rPr>
                <w:szCs w:val="22"/>
              </w:rPr>
            </w:pPr>
            <w:r w:rsidRPr="00A93116">
              <w:rPr>
                <w:szCs w:val="22"/>
              </w:rPr>
              <w:t>829699</w:t>
            </w:r>
          </w:p>
        </w:tc>
        <w:tc>
          <w:tcPr>
            <w:tcW w:w="1260" w:type="dxa"/>
          </w:tcPr>
          <w:p w14:paraId="5BAA0AC8" w14:textId="77777777" w:rsidR="005D57EE" w:rsidRDefault="005D57EE" w:rsidP="005D57EE">
            <w:pPr>
              <w:jc w:val="center"/>
              <w:rPr>
                <w:szCs w:val="22"/>
              </w:rPr>
            </w:pPr>
            <w:r>
              <w:rPr>
                <w:szCs w:val="22"/>
              </w:rPr>
              <w:t>2335367</w:t>
            </w:r>
          </w:p>
          <w:p w14:paraId="256C73F9" w14:textId="77777777" w:rsidR="005D57EE" w:rsidRDefault="005D57EE" w:rsidP="005D57EE">
            <w:pPr>
              <w:jc w:val="center"/>
              <w:rPr>
                <w:szCs w:val="22"/>
              </w:rPr>
            </w:pPr>
            <w:r w:rsidRPr="00F53CF0">
              <w:rPr>
                <w:szCs w:val="22"/>
              </w:rPr>
              <w:t>2335376</w:t>
            </w:r>
          </w:p>
          <w:p w14:paraId="4CA9DEB7" w14:textId="77777777" w:rsidR="005D57EE" w:rsidRDefault="005D57EE" w:rsidP="005D57EE">
            <w:pPr>
              <w:jc w:val="center"/>
              <w:rPr>
                <w:szCs w:val="22"/>
              </w:rPr>
            </w:pPr>
          </w:p>
          <w:p w14:paraId="2BD1E25B" w14:textId="77777777" w:rsidR="005D57EE" w:rsidRDefault="005D57EE" w:rsidP="005D57EE">
            <w:pPr>
              <w:jc w:val="center"/>
              <w:rPr>
                <w:szCs w:val="22"/>
              </w:rPr>
            </w:pPr>
            <w:r>
              <w:rPr>
                <w:szCs w:val="22"/>
              </w:rPr>
              <w:t>2254214</w:t>
            </w:r>
          </w:p>
          <w:p w14:paraId="2DE588AA" w14:textId="77777777" w:rsidR="005D57EE" w:rsidRPr="00EE4948" w:rsidRDefault="005D57EE" w:rsidP="005D57EE">
            <w:pPr>
              <w:jc w:val="center"/>
              <w:rPr>
                <w:szCs w:val="22"/>
                <w:highlight w:val="yellow"/>
              </w:rPr>
            </w:pPr>
            <w:r w:rsidRPr="00A705A0">
              <w:rPr>
                <w:szCs w:val="22"/>
              </w:rPr>
              <w:t>2254206</w:t>
            </w:r>
          </w:p>
        </w:tc>
        <w:tc>
          <w:tcPr>
            <w:tcW w:w="1080" w:type="dxa"/>
          </w:tcPr>
          <w:p w14:paraId="59B89FCC" w14:textId="77777777" w:rsidR="005D57EE" w:rsidRPr="00676AD4" w:rsidRDefault="005D57EE" w:rsidP="005D57EE">
            <w:pPr>
              <w:jc w:val="center"/>
              <w:rPr>
                <w:szCs w:val="22"/>
              </w:rPr>
            </w:pPr>
            <w:r>
              <w:rPr>
                <w:szCs w:val="22"/>
              </w:rPr>
              <w:t>2012</w:t>
            </w:r>
          </w:p>
        </w:tc>
        <w:tc>
          <w:tcPr>
            <w:tcW w:w="1800" w:type="dxa"/>
          </w:tcPr>
          <w:p w14:paraId="1AD73E3D" w14:textId="77777777" w:rsidR="005D57EE" w:rsidRDefault="005D57EE" w:rsidP="005D57EE">
            <w:pPr>
              <w:jc w:val="center"/>
              <w:rPr>
                <w:szCs w:val="22"/>
              </w:rPr>
            </w:pPr>
            <w:r w:rsidRPr="00A54539">
              <w:rPr>
                <w:szCs w:val="22"/>
              </w:rPr>
              <w:t>4/24/2015</w:t>
            </w:r>
          </w:p>
        </w:tc>
        <w:tc>
          <w:tcPr>
            <w:tcW w:w="3566" w:type="dxa"/>
          </w:tcPr>
          <w:p w14:paraId="4E7B5791" w14:textId="77777777" w:rsidR="005D57EE" w:rsidRPr="00A54539" w:rsidRDefault="005D57EE" w:rsidP="005D57EE">
            <w:pPr>
              <w:jc w:val="center"/>
              <w:rPr>
                <w:szCs w:val="22"/>
              </w:rPr>
            </w:pPr>
            <w:r>
              <w:rPr>
                <w:szCs w:val="22"/>
              </w:rPr>
              <w:t xml:space="preserve">Failing </w:t>
            </w:r>
            <w:r w:rsidRPr="00ED1E04">
              <w:rPr>
                <w:szCs w:val="22"/>
              </w:rPr>
              <w:t>to retain bids and bid evaluation documents</w:t>
            </w:r>
          </w:p>
        </w:tc>
      </w:tr>
    </w:tbl>
    <w:p w14:paraId="3027E7B6" w14:textId="77777777" w:rsidR="005D57EE" w:rsidRPr="00676AD4" w:rsidRDefault="005D57EE" w:rsidP="005D57EE">
      <w:pPr>
        <w:ind w:right="-180"/>
        <w:rPr>
          <w:szCs w:val="22"/>
        </w:rPr>
      </w:pPr>
    </w:p>
    <w:p w14:paraId="05F1075D" w14:textId="77777777" w:rsidR="005D57EE" w:rsidRDefault="005D57EE" w:rsidP="005D57EE">
      <w:pPr>
        <w:jc w:val="center"/>
        <w:rPr>
          <w:b/>
          <w:szCs w:val="22"/>
        </w:rPr>
      </w:pPr>
      <w:r w:rsidRPr="00676AD4">
        <w:rPr>
          <w:szCs w:val="22"/>
        </w:rPr>
        <w:br w:type="page"/>
      </w:r>
      <w:r w:rsidRPr="00676AD4">
        <w:rPr>
          <w:b/>
          <w:szCs w:val="22"/>
        </w:rPr>
        <w:t>APPENDIX</w:t>
      </w:r>
      <w:r>
        <w:rPr>
          <w:b/>
          <w:szCs w:val="22"/>
        </w:rPr>
        <w:t xml:space="preserve"> B:</w:t>
      </w:r>
    </w:p>
    <w:p w14:paraId="0AB430E3" w14:textId="77777777" w:rsidR="005D57EE" w:rsidRPr="00676AD4" w:rsidRDefault="005D57EE" w:rsidP="005D57EE">
      <w:pPr>
        <w:jc w:val="center"/>
        <w:rPr>
          <w:b/>
          <w:szCs w:val="22"/>
        </w:rPr>
      </w:pPr>
      <w:r>
        <w:rPr>
          <w:b/>
          <w:szCs w:val="22"/>
        </w:rPr>
        <w:t>Funding Commitment Decision Letters and Notice of Commitment Adjustment Letters</w:t>
      </w:r>
    </w:p>
    <w:p w14:paraId="3DC42D7C" w14:textId="77777777" w:rsidR="005D57EE" w:rsidRPr="00676AD4" w:rsidRDefault="005D57EE" w:rsidP="005D57EE">
      <w:pPr>
        <w:ind w:right="-180"/>
        <w:rPr>
          <w:b/>
          <w:szCs w:val="22"/>
          <w:u w:val="single"/>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1"/>
        <w:gridCol w:w="1317"/>
        <w:gridCol w:w="1697"/>
        <w:gridCol w:w="2790"/>
        <w:gridCol w:w="2880"/>
      </w:tblGrid>
      <w:tr w:rsidR="005D57EE" w:rsidRPr="00676AD4" w14:paraId="5651621F" w14:textId="77777777" w:rsidTr="005D57EE">
        <w:trPr>
          <w:jc w:val="center"/>
        </w:trPr>
        <w:tc>
          <w:tcPr>
            <w:tcW w:w="2111" w:type="dxa"/>
          </w:tcPr>
          <w:p w14:paraId="2A11D0A7" w14:textId="77777777" w:rsidR="005D57EE" w:rsidRPr="00676AD4" w:rsidRDefault="005D57EE" w:rsidP="005D57EE">
            <w:pPr>
              <w:jc w:val="center"/>
              <w:rPr>
                <w:b/>
                <w:szCs w:val="22"/>
              </w:rPr>
            </w:pPr>
            <w:r w:rsidRPr="00676AD4">
              <w:rPr>
                <w:b/>
                <w:szCs w:val="22"/>
              </w:rPr>
              <w:t>Petitioner</w:t>
            </w:r>
          </w:p>
        </w:tc>
        <w:tc>
          <w:tcPr>
            <w:tcW w:w="0" w:type="auto"/>
          </w:tcPr>
          <w:p w14:paraId="087E7202" w14:textId="77777777" w:rsidR="005D57EE" w:rsidRDefault="005D57EE" w:rsidP="005D57EE">
            <w:pPr>
              <w:jc w:val="center"/>
              <w:rPr>
                <w:b/>
                <w:szCs w:val="22"/>
              </w:rPr>
            </w:pPr>
            <w:r>
              <w:rPr>
                <w:b/>
                <w:szCs w:val="22"/>
              </w:rPr>
              <w:t>Application</w:t>
            </w:r>
          </w:p>
          <w:p w14:paraId="75E87A4F" w14:textId="77777777" w:rsidR="005D57EE" w:rsidRPr="00676AD4" w:rsidRDefault="005D57EE" w:rsidP="005D57EE">
            <w:pPr>
              <w:jc w:val="center"/>
              <w:rPr>
                <w:szCs w:val="22"/>
              </w:rPr>
            </w:pPr>
            <w:r w:rsidRPr="00676AD4">
              <w:rPr>
                <w:b/>
                <w:szCs w:val="22"/>
              </w:rPr>
              <w:t>Number(s)</w:t>
            </w:r>
          </w:p>
        </w:tc>
        <w:tc>
          <w:tcPr>
            <w:tcW w:w="1697" w:type="dxa"/>
          </w:tcPr>
          <w:p w14:paraId="72A922C1" w14:textId="77777777" w:rsidR="005D57EE" w:rsidRPr="00331964" w:rsidRDefault="005D57EE" w:rsidP="005D57EE">
            <w:pPr>
              <w:jc w:val="center"/>
              <w:rPr>
                <w:b/>
                <w:szCs w:val="22"/>
              </w:rPr>
            </w:pPr>
            <w:r w:rsidRPr="00331964">
              <w:rPr>
                <w:b/>
                <w:szCs w:val="22"/>
              </w:rPr>
              <w:t>Funding</w:t>
            </w:r>
          </w:p>
          <w:p w14:paraId="5DA74245" w14:textId="77777777" w:rsidR="005D57EE" w:rsidRPr="00331964" w:rsidRDefault="005D57EE" w:rsidP="005D57EE">
            <w:pPr>
              <w:jc w:val="center"/>
              <w:rPr>
                <w:b/>
                <w:szCs w:val="22"/>
              </w:rPr>
            </w:pPr>
            <w:r w:rsidRPr="00331964">
              <w:rPr>
                <w:b/>
                <w:szCs w:val="22"/>
              </w:rPr>
              <w:t>Request Number(s)</w:t>
            </w:r>
          </w:p>
        </w:tc>
        <w:tc>
          <w:tcPr>
            <w:tcW w:w="2790" w:type="dxa"/>
          </w:tcPr>
          <w:p w14:paraId="74A62A27" w14:textId="77777777" w:rsidR="005D57EE" w:rsidRDefault="005D57EE" w:rsidP="005D57EE">
            <w:pPr>
              <w:jc w:val="center"/>
              <w:rPr>
                <w:b/>
                <w:szCs w:val="22"/>
              </w:rPr>
            </w:pPr>
            <w:r>
              <w:rPr>
                <w:b/>
                <w:szCs w:val="22"/>
              </w:rPr>
              <w:t>Funding Commitment Decision Letters</w:t>
            </w:r>
          </w:p>
        </w:tc>
        <w:tc>
          <w:tcPr>
            <w:tcW w:w="2880" w:type="dxa"/>
          </w:tcPr>
          <w:p w14:paraId="25AC1940" w14:textId="77777777" w:rsidR="005D57EE" w:rsidRPr="00676AD4" w:rsidRDefault="005D57EE" w:rsidP="005D57EE">
            <w:pPr>
              <w:jc w:val="center"/>
              <w:rPr>
                <w:b/>
                <w:szCs w:val="22"/>
              </w:rPr>
            </w:pPr>
            <w:r>
              <w:rPr>
                <w:b/>
                <w:szCs w:val="22"/>
              </w:rPr>
              <w:t>Notice of Commitment Adjustment Letter</w:t>
            </w:r>
          </w:p>
        </w:tc>
      </w:tr>
      <w:tr w:rsidR="005D57EE" w:rsidRPr="00676AD4" w14:paraId="53B57EF2" w14:textId="77777777" w:rsidTr="005D57EE">
        <w:trPr>
          <w:trHeight w:val="980"/>
          <w:jc w:val="center"/>
        </w:trPr>
        <w:tc>
          <w:tcPr>
            <w:tcW w:w="2111" w:type="dxa"/>
          </w:tcPr>
          <w:p w14:paraId="0B2E301B" w14:textId="77777777" w:rsidR="005D57EE" w:rsidRDefault="005D57EE" w:rsidP="005D57EE">
            <w:pPr>
              <w:rPr>
                <w:szCs w:val="22"/>
              </w:rPr>
            </w:pPr>
            <w:r w:rsidRPr="00676AD4">
              <w:rPr>
                <w:szCs w:val="22"/>
              </w:rPr>
              <w:t xml:space="preserve">Blessed Sacrament </w:t>
            </w:r>
          </w:p>
          <w:p w14:paraId="05F8446B" w14:textId="77777777" w:rsidR="005D57EE" w:rsidRPr="00676AD4" w:rsidRDefault="005D57EE" w:rsidP="005D57EE">
            <w:pPr>
              <w:rPr>
                <w:szCs w:val="22"/>
              </w:rPr>
            </w:pPr>
            <w:r w:rsidRPr="00676AD4">
              <w:rPr>
                <w:szCs w:val="22"/>
              </w:rPr>
              <w:t>School</w:t>
            </w:r>
          </w:p>
          <w:p w14:paraId="206570B9" w14:textId="77777777" w:rsidR="005D57EE" w:rsidRPr="00676AD4" w:rsidRDefault="005D57EE" w:rsidP="005D57EE">
            <w:pPr>
              <w:rPr>
                <w:szCs w:val="22"/>
              </w:rPr>
            </w:pPr>
            <w:r w:rsidRPr="00676AD4">
              <w:rPr>
                <w:szCs w:val="22"/>
              </w:rPr>
              <w:t>New York, NY</w:t>
            </w:r>
          </w:p>
        </w:tc>
        <w:tc>
          <w:tcPr>
            <w:tcW w:w="0" w:type="auto"/>
          </w:tcPr>
          <w:p w14:paraId="6EA2375B" w14:textId="77777777" w:rsidR="005D57EE" w:rsidRDefault="005D57EE" w:rsidP="005D57EE">
            <w:pPr>
              <w:jc w:val="center"/>
              <w:rPr>
                <w:szCs w:val="22"/>
              </w:rPr>
            </w:pPr>
            <w:r w:rsidRPr="00676AD4">
              <w:rPr>
                <w:szCs w:val="22"/>
              </w:rPr>
              <w:t>831551</w:t>
            </w:r>
          </w:p>
          <w:p w14:paraId="60328934" w14:textId="77777777" w:rsidR="005D57EE" w:rsidRDefault="005D57EE" w:rsidP="005D57EE">
            <w:pPr>
              <w:jc w:val="center"/>
              <w:rPr>
                <w:szCs w:val="22"/>
              </w:rPr>
            </w:pPr>
          </w:p>
          <w:p w14:paraId="0DC68681" w14:textId="77777777" w:rsidR="005D57EE" w:rsidRPr="00676AD4" w:rsidRDefault="005D57EE" w:rsidP="005D57EE">
            <w:pPr>
              <w:jc w:val="center"/>
              <w:rPr>
                <w:szCs w:val="22"/>
              </w:rPr>
            </w:pPr>
          </w:p>
          <w:p w14:paraId="1422CAF3" w14:textId="77777777" w:rsidR="005D57EE" w:rsidRPr="00676AD4" w:rsidRDefault="005D57EE" w:rsidP="005D57EE">
            <w:pPr>
              <w:jc w:val="center"/>
              <w:rPr>
                <w:szCs w:val="22"/>
              </w:rPr>
            </w:pPr>
            <w:r w:rsidRPr="00676AD4">
              <w:rPr>
                <w:szCs w:val="22"/>
              </w:rPr>
              <w:t>863006</w:t>
            </w:r>
          </w:p>
        </w:tc>
        <w:tc>
          <w:tcPr>
            <w:tcW w:w="1697" w:type="dxa"/>
          </w:tcPr>
          <w:p w14:paraId="15D075B7" w14:textId="77777777" w:rsidR="005D57EE" w:rsidRDefault="005D57EE" w:rsidP="005D57EE">
            <w:pPr>
              <w:jc w:val="center"/>
              <w:rPr>
                <w:szCs w:val="22"/>
              </w:rPr>
            </w:pPr>
            <w:r>
              <w:rPr>
                <w:szCs w:val="22"/>
              </w:rPr>
              <w:t>2258193</w:t>
            </w:r>
          </w:p>
          <w:p w14:paraId="7940B21D" w14:textId="77777777" w:rsidR="005D57EE" w:rsidRDefault="005D57EE" w:rsidP="005D57EE">
            <w:pPr>
              <w:jc w:val="center"/>
              <w:rPr>
                <w:szCs w:val="22"/>
              </w:rPr>
            </w:pPr>
            <w:r w:rsidRPr="00E2684B">
              <w:rPr>
                <w:szCs w:val="22"/>
              </w:rPr>
              <w:t>2258197</w:t>
            </w:r>
          </w:p>
          <w:p w14:paraId="41FDEB0F" w14:textId="77777777" w:rsidR="005D57EE" w:rsidRDefault="005D57EE" w:rsidP="005D57EE">
            <w:pPr>
              <w:jc w:val="center"/>
              <w:rPr>
                <w:szCs w:val="22"/>
              </w:rPr>
            </w:pPr>
          </w:p>
          <w:p w14:paraId="452F8746" w14:textId="77777777" w:rsidR="005D57EE" w:rsidRPr="00EE4948" w:rsidRDefault="005D57EE" w:rsidP="005D57EE">
            <w:pPr>
              <w:jc w:val="center"/>
              <w:rPr>
                <w:szCs w:val="22"/>
                <w:highlight w:val="yellow"/>
              </w:rPr>
            </w:pPr>
            <w:r w:rsidRPr="00E2684B">
              <w:rPr>
                <w:szCs w:val="22"/>
              </w:rPr>
              <w:t>2350065</w:t>
            </w:r>
          </w:p>
        </w:tc>
        <w:tc>
          <w:tcPr>
            <w:tcW w:w="2790" w:type="dxa"/>
          </w:tcPr>
          <w:p w14:paraId="4B6566B0" w14:textId="77777777" w:rsidR="005D57EE" w:rsidRDefault="005D57EE" w:rsidP="005D57EE">
            <w:pPr>
              <w:jc w:val="center"/>
              <w:rPr>
                <w:szCs w:val="22"/>
              </w:rPr>
            </w:pPr>
            <w:r w:rsidRPr="00FE7BA2">
              <w:rPr>
                <w:szCs w:val="22"/>
              </w:rPr>
              <w:t xml:space="preserve">Letter from USAC, Schools and Libraries Division, to Richard Senturia, eRateProgram, LLC, on behalf of Blessed Sacrament School (dated July 10, 2012) (regarding FCC Form </w:t>
            </w:r>
            <w:r>
              <w:rPr>
                <w:szCs w:val="22"/>
              </w:rPr>
              <w:t>471 application number 831551)</w:t>
            </w:r>
          </w:p>
          <w:p w14:paraId="0C215B1D" w14:textId="77777777" w:rsidR="005D57EE" w:rsidRDefault="005D57EE" w:rsidP="005D57EE">
            <w:pPr>
              <w:jc w:val="center"/>
              <w:rPr>
                <w:szCs w:val="22"/>
              </w:rPr>
            </w:pPr>
          </w:p>
          <w:p w14:paraId="76B10D99" w14:textId="77777777" w:rsidR="005D57EE" w:rsidRDefault="005D57EE" w:rsidP="005D57EE">
            <w:pPr>
              <w:jc w:val="center"/>
              <w:rPr>
                <w:szCs w:val="22"/>
              </w:rPr>
            </w:pPr>
            <w:r w:rsidRPr="00FE7BA2">
              <w:rPr>
                <w:szCs w:val="22"/>
              </w:rPr>
              <w:t>Letter from USAC, Schools and Libraries Division, to Richard Senturia, eRateProgram, LLC, on behalf of Blessed Sacrament School (dated Dec. 4, 2012) (regarding FCC Form 471 application number 863006)</w:t>
            </w:r>
          </w:p>
          <w:p w14:paraId="01638AEA" w14:textId="77777777" w:rsidR="005D57EE" w:rsidRPr="00B84F79" w:rsidRDefault="005D57EE" w:rsidP="005D57EE">
            <w:pPr>
              <w:jc w:val="center"/>
              <w:rPr>
                <w:szCs w:val="22"/>
              </w:rPr>
            </w:pPr>
            <w:r w:rsidRPr="00FE7BA2">
              <w:rPr>
                <w:szCs w:val="22"/>
              </w:rPr>
              <w:t xml:space="preserve">  </w:t>
            </w:r>
          </w:p>
        </w:tc>
        <w:tc>
          <w:tcPr>
            <w:tcW w:w="2880" w:type="dxa"/>
          </w:tcPr>
          <w:p w14:paraId="62D4EEE0" w14:textId="77777777" w:rsidR="005D57EE" w:rsidRDefault="005D57EE" w:rsidP="005D57EE">
            <w:pPr>
              <w:jc w:val="center"/>
              <w:rPr>
                <w:szCs w:val="22"/>
              </w:rPr>
            </w:pPr>
            <w:r w:rsidRPr="00893671">
              <w:rPr>
                <w:szCs w:val="22"/>
              </w:rPr>
              <w:t>Letter from USAC, Schools and Libraries Division, to Richard Senturia, eRateProgram, LLC, on behalf of Blessed Sacrament School (dated May 13, 2014) (regarding FCC Form 471 application number 831551)</w:t>
            </w:r>
          </w:p>
          <w:p w14:paraId="1DDCE63D" w14:textId="77777777" w:rsidR="005D57EE" w:rsidRDefault="005D57EE" w:rsidP="005D57EE">
            <w:pPr>
              <w:jc w:val="center"/>
              <w:rPr>
                <w:szCs w:val="22"/>
              </w:rPr>
            </w:pPr>
          </w:p>
          <w:p w14:paraId="3E796F74" w14:textId="77777777" w:rsidR="005D57EE" w:rsidRPr="00893671" w:rsidRDefault="005D57EE" w:rsidP="005D57EE">
            <w:pPr>
              <w:jc w:val="center"/>
              <w:rPr>
                <w:szCs w:val="22"/>
              </w:rPr>
            </w:pPr>
            <w:r w:rsidRPr="00893671">
              <w:rPr>
                <w:szCs w:val="22"/>
              </w:rPr>
              <w:t xml:space="preserve">Letter from USAC, Schools and Libraries Division, to Richard Senturia, eRateProgram, LLC, on behalf of Blessed Sacrament School (dated May 13, 2014) (regarding FCC Form </w:t>
            </w:r>
            <w:r>
              <w:rPr>
                <w:szCs w:val="22"/>
              </w:rPr>
              <w:t>471 application number 863006)</w:t>
            </w:r>
          </w:p>
        </w:tc>
      </w:tr>
      <w:tr w:rsidR="005D57EE" w:rsidRPr="00676AD4" w14:paraId="5C13368C" w14:textId="77777777" w:rsidTr="005D57EE">
        <w:trPr>
          <w:jc w:val="center"/>
        </w:trPr>
        <w:tc>
          <w:tcPr>
            <w:tcW w:w="2111" w:type="dxa"/>
          </w:tcPr>
          <w:p w14:paraId="74D3E087" w14:textId="77777777" w:rsidR="005D57EE" w:rsidRDefault="005D57EE" w:rsidP="005D57EE">
            <w:pPr>
              <w:rPr>
                <w:szCs w:val="22"/>
              </w:rPr>
            </w:pPr>
            <w:r w:rsidRPr="00676AD4">
              <w:rPr>
                <w:szCs w:val="22"/>
              </w:rPr>
              <w:t xml:space="preserve">Mount Carmel-Holy </w:t>
            </w:r>
          </w:p>
          <w:p w14:paraId="7F599A58" w14:textId="77777777" w:rsidR="005D57EE" w:rsidRPr="00676AD4" w:rsidRDefault="005D57EE" w:rsidP="005D57EE">
            <w:pPr>
              <w:rPr>
                <w:szCs w:val="22"/>
              </w:rPr>
            </w:pPr>
            <w:r w:rsidRPr="00676AD4">
              <w:rPr>
                <w:szCs w:val="22"/>
              </w:rPr>
              <w:t>Rosary School</w:t>
            </w:r>
          </w:p>
          <w:p w14:paraId="2B831330" w14:textId="77777777" w:rsidR="005D57EE" w:rsidRPr="00676AD4" w:rsidRDefault="005D57EE" w:rsidP="005D57EE">
            <w:pPr>
              <w:rPr>
                <w:szCs w:val="22"/>
              </w:rPr>
            </w:pPr>
            <w:r w:rsidRPr="00A90519">
              <w:rPr>
                <w:szCs w:val="22"/>
              </w:rPr>
              <w:t>New York, NY</w:t>
            </w:r>
          </w:p>
        </w:tc>
        <w:tc>
          <w:tcPr>
            <w:tcW w:w="0" w:type="auto"/>
          </w:tcPr>
          <w:p w14:paraId="5E83DD98" w14:textId="77777777" w:rsidR="005D57EE" w:rsidRPr="00676AD4" w:rsidRDefault="005D57EE" w:rsidP="005D57EE">
            <w:pPr>
              <w:jc w:val="center"/>
              <w:rPr>
                <w:szCs w:val="22"/>
              </w:rPr>
            </w:pPr>
            <w:r w:rsidRPr="00676AD4">
              <w:rPr>
                <w:szCs w:val="22"/>
              </w:rPr>
              <w:t>858216</w:t>
            </w:r>
          </w:p>
        </w:tc>
        <w:tc>
          <w:tcPr>
            <w:tcW w:w="1697" w:type="dxa"/>
          </w:tcPr>
          <w:p w14:paraId="03D9032A" w14:textId="77777777" w:rsidR="005D57EE" w:rsidRDefault="005D57EE" w:rsidP="005D57EE">
            <w:pPr>
              <w:jc w:val="center"/>
              <w:rPr>
                <w:szCs w:val="22"/>
              </w:rPr>
            </w:pPr>
            <w:r>
              <w:rPr>
                <w:szCs w:val="22"/>
              </w:rPr>
              <w:t>2335266</w:t>
            </w:r>
          </w:p>
          <w:p w14:paraId="375B07CC" w14:textId="77777777" w:rsidR="005D57EE" w:rsidRPr="00EE4948" w:rsidRDefault="005D57EE" w:rsidP="005D57EE">
            <w:pPr>
              <w:jc w:val="center"/>
              <w:rPr>
                <w:szCs w:val="22"/>
                <w:highlight w:val="yellow"/>
              </w:rPr>
            </w:pPr>
            <w:r w:rsidRPr="00E2684B">
              <w:rPr>
                <w:szCs w:val="22"/>
              </w:rPr>
              <w:t>2335314</w:t>
            </w:r>
          </w:p>
        </w:tc>
        <w:tc>
          <w:tcPr>
            <w:tcW w:w="2790" w:type="dxa"/>
          </w:tcPr>
          <w:p w14:paraId="3A46F706" w14:textId="77777777" w:rsidR="005D57EE" w:rsidRPr="00B84F79" w:rsidRDefault="005D57EE" w:rsidP="005D57EE">
            <w:pPr>
              <w:jc w:val="center"/>
              <w:rPr>
                <w:szCs w:val="22"/>
              </w:rPr>
            </w:pPr>
            <w:r w:rsidRPr="00417236">
              <w:rPr>
                <w:szCs w:val="22"/>
              </w:rPr>
              <w:t>Letter from USAC, Schools and Libraries Division, to Richard Senturia, eRateProgram, LLC, on behalf of Mount Carmel-Holy Rosary School (dated Oct. 16, 2012) (regarding FCC Form 471 application number 858216)</w:t>
            </w:r>
          </w:p>
        </w:tc>
        <w:tc>
          <w:tcPr>
            <w:tcW w:w="2880" w:type="dxa"/>
          </w:tcPr>
          <w:p w14:paraId="4F7F79D2" w14:textId="77777777" w:rsidR="005D57EE" w:rsidRDefault="005D57EE" w:rsidP="005D57EE">
            <w:pPr>
              <w:jc w:val="center"/>
              <w:rPr>
                <w:szCs w:val="22"/>
              </w:rPr>
            </w:pPr>
            <w:r w:rsidRPr="00B84F79">
              <w:rPr>
                <w:szCs w:val="22"/>
              </w:rPr>
              <w:t>Letter from USAC, Schools and Libraries Division, to Richard Senturia, eRateProgram, LLC, on behalf of Mount Carmel-Holy Rosary School (dated May 13, 2014) (regarding FCC Form 471 application number 85</w:t>
            </w:r>
            <w:r>
              <w:rPr>
                <w:szCs w:val="22"/>
              </w:rPr>
              <w:t>8216)</w:t>
            </w:r>
          </w:p>
          <w:p w14:paraId="6871428E" w14:textId="77777777" w:rsidR="005D57EE" w:rsidRPr="0047131C" w:rsidRDefault="005D57EE" w:rsidP="005D57EE">
            <w:pPr>
              <w:jc w:val="center"/>
              <w:rPr>
                <w:szCs w:val="22"/>
                <w:highlight w:val="yellow"/>
              </w:rPr>
            </w:pPr>
          </w:p>
        </w:tc>
      </w:tr>
      <w:tr w:rsidR="005D57EE" w:rsidRPr="00676AD4" w14:paraId="717D291A" w14:textId="77777777" w:rsidTr="005D57EE">
        <w:trPr>
          <w:jc w:val="center"/>
        </w:trPr>
        <w:tc>
          <w:tcPr>
            <w:tcW w:w="2111" w:type="dxa"/>
          </w:tcPr>
          <w:p w14:paraId="68208774" w14:textId="77777777" w:rsidR="005D57EE" w:rsidRPr="00676AD4" w:rsidRDefault="005D57EE" w:rsidP="005D57EE">
            <w:pPr>
              <w:rPr>
                <w:szCs w:val="22"/>
              </w:rPr>
            </w:pPr>
            <w:r w:rsidRPr="00676AD4">
              <w:rPr>
                <w:szCs w:val="22"/>
              </w:rPr>
              <w:t>St. Aloysius School</w:t>
            </w:r>
          </w:p>
          <w:p w14:paraId="42F94AE0" w14:textId="77777777" w:rsidR="005D57EE" w:rsidRPr="00676AD4" w:rsidRDefault="005D57EE" w:rsidP="005D57EE">
            <w:pPr>
              <w:rPr>
                <w:szCs w:val="22"/>
              </w:rPr>
            </w:pPr>
            <w:r w:rsidRPr="00A90519">
              <w:rPr>
                <w:szCs w:val="22"/>
              </w:rPr>
              <w:t>New York, NY</w:t>
            </w:r>
          </w:p>
        </w:tc>
        <w:tc>
          <w:tcPr>
            <w:tcW w:w="0" w:type="auto"/>
          </w:tcPr>
          <w:p w14:paraId="70BA5621" w14:textId="77777777" w:rsidR="005D57EE" w:rsidRDefault="005D57EE" w:rsidP="005D57EE">
            <w:pPr>
              <w:jc w:val="center"/>
              <w:rPr>
                <w:szCs w:val="22"/>
              </w:rPr>
            </w:pPr>
            <w:r>
              <w:rPr>
                <w:szCs w:val="22"/>
              </w:rPr>
              <w:t>837162</w:t>
            </w:r>
          </w:p>
          <w:p w14:paraId="37871943" w14:textId="77777777" w:rsidR="005D57EE" w:rsidRDefault="005D57EE" w:rsidP="005D57EE">
            <w:pPr>
              <w:jc w:val="center"/>
              <w:rPr>
                <w:szCs w:val="22"/>
              </w:rPr>
            </w:pPr>
          </w:p>
          <w:p w14:paraId="54E1011F" w14:textId="77777777" w:rsidR="005D57EE" w:rsidRDefault="005D57EE" w:rsidP="005D57EE">
            <w:pPr>
              <w:jc w:val="center"/>
              <w:rPr>
                <w:szCs w:val="22"/>
              </w:rPr>
            </w:pPr>
          </w:p>
          <w:p w14:paraId="56F4DDAC" w14:textId="77777777" w:rsidR="005D57EE" w:rsidRDefault="005D57EE" w:rsidP="005D57EE">
            <w:pPr>
              <w:jc w:val="center"/>
              <w:rPr>
                <w:szCs w:val="22"/>
              </w:rPr>
            </w:pPr>
          </w:p>
          <w:p w14:paraId="0AE90068" w14:textId="77777777" w:rsidR="005D57EE" w:rsidRPr="00676AD4" w:rsidRDefault="005D57EE" w:rsidP="005D57EE">
            <w:pPr>
              <w:jc w:val="center"/>
              <w:rPr>
                <w:szCs w:val="22"/>
              </w:rPr>
            </w:pPr>
            <w:r w:rsidRPr="006B290E">
              <w:rPr>
                <w:szCs w:val="22"/>
              </w:rPr>
              <w:t>858274</w:t>
            </w:r>
          </w:p>
        </w:tc>
        <w:tc>
          <w:tcPr>
            <w:tcW w:w="1697" w:type="dxa"/>
          </w:tcPr>
          <w:p w14:paraId="27C13EFE" w14:textId="77777777" w:rsidR="005D57EE" w:rsidRDefault="005D57EE" w:rsidP="005D57EE">
            <w:pPr>
              <w:jc w:val="center"/>
              <w:rPr>
                <w:szCs w:val="22"/>
              </w:rPr>
            </w:pPr>
            <w:r>
              <w:rPr>
                <w:szCs w:val="22"/>
              </w:rPr>
              <w:t>2271656</w:t>
            </w:r>
          </w:p>
          <w:p w14:paraId="3B9A6C5E" w14:textId="77777777" w:rsidR="005D57EE" w:rsidRDefault="005D57EE" w:rsidP="005D57EE">
            <w:pPr>
              <w:jc w:val="center"/>
              <w:rPr>
                <w:szCs w:val="22"/>
              </w:rPr>
            </w:pPr>
            <w:r>
              <w:rPr>
                <w:szCs w:val="22"/>
              </w:rPr>
              <w:t>2271652</w:t>
            </w:r>
          </w:p>
          <w:p w14:paraId="2E3C20AD" w14:textId="77777777" w:rsidR="005D57EE" w:rsidRDefault="005D57EE" w:rsidP="005D57EE">
            <w:pPr>
              <w:jc w:val="center"/>
              <w:rPr>
                <w:szCs w:val="22"/>
              </w:rPr>
            </w:pPr>
            <w:r w:rsidRPr="002D4596">
              <w:rPr>
                <w:szCs w:val="22"/>
              </w:rPr>
              <w:t>2271658</w:t>
            </w:r>
          </w:p>
          <w:p w14:paraId="53BE4E1C" w14:textId="77777777" w:rsidR="005D57EE" w:rsidRDefault="005D57EE" w:rsidP="005D57EE">
            <w:pPr>
              <w:jc w:val="center"/>
              <w:rPr>
                <w:szCs w:val="22"/>
              </w:rPr>
            </w:pPr>
          </w:p>
          <w:p w14:paraId="46C76A07" w14:textId="77777777" w:rsidR="005D57EE" w:rsidRPr="00EE4948" w:rsidRDefault="005D57EE" w:rsidP="005D57EE">
            <w:pPr>
              <w:jc w:val="center"/>
              <w:rPr>
                <w:szCs w:val="22"/>
                <w:highlight w:val="yellow"/>
              </w:rPr>
            </w:pPr>
            <w:r w:rsidRPr="00B55FD7">
              <w:rPr>
                <w:szCs w:val="22"/>
              </w:rPr>
              <w:t>2335462</w:t>
            </w:r>
          </w:p>
        </w:tc>
        <w:tc>
          <w:tcPr>
            <w:tcW w:w="2790" w:type="dxa"/>
          </w:tcPr>
          <w:p w14:paraId="6B3B70EC" w14:textId="77777777" w:rsidR="005D57EE" w:rsidRDefault="005D57EE" w:rsidP="005D57EE">
            <w:pPr>
              <w:jc w:val="center"/>
              <w:rPr>
                <w:szCs w:val="22"/>
              </w:rPr>
            </w:pPr>
            <w:r w:rsidRPr="00194EF2">
              <w:rPr>
                <w:szCs w:val="22"/>
              </w:rPr>
              <w:t xml:space="preserve">Letter from USAC, Schools and Libraries Division, to Richard Senturia, eRateProgram, LLC, on behalf of St. Aloysius School (dated Sept. 18, 2012) (regarding FCC Form </w:t>
            </w:r>
            <w:r>
              <w:rPr>
                <w:szCs w:val="22"/>
              </w:rPr>
              <w:t>471 application number 837162)</w:t>
            </w:r>
          </w:p>
          <w:p w14:paraId="6267FA87" w14:textId="77777777" w:rsidR="005D57EE" w:rsidRDefault="005D57EE" w:rsidP="005D57EE">
            <w:pPr>
              <w:jc w:val="center"/>
              <w:rPr>
                <w:szCs w:val="22"/>
              </w:rPr>
            </w:pPr>
          </w:p>
          <w:p w14:paraId="4A03035B" w14:textId="77777777" w:rsidR="005D57EE" w:rsidRDefault="005D57EE" w:rsidP="005D57EE">
            <w:pPr>
              <w:jc w:val="center"/>
              <w:rPr>
                <w:szCs w:val="22"/>
              </w:rPr>
            </w:pPr>
            <w:r w:rsidRPr="00194EF2">
              <w:rPr>
                <w:szCs w:val="22"/>
              </w:rPr>
              <w:t xml:space="preserve">Letter from USAC, Schools and Libraries Division, to Richard Senturia, eRateProgram, LLC, on behalf of St. Aloysius </w:t>
            </w:r>
          </w:p>
          <w:p w14:paraId="70A48CA0" w14:textId="77777777" w:rsidR="005D57EE" w:rsidRPr="00EC73FD" w:rsidRDefault="005D57EE" w:rsidP="00BD2C6C">
            <w:pPr>
              <w:jc w:val="center"/>
              <w:rPr>
                <w:szCs w:val="22"/>
              </w:rPr>
            </w:pPr>
            <w:r w:rsidRPr="00194EF2">
              <w:rPr>
                <w:szCs w:val="22"/>
              </w:rPr>
              <w:t>School (dated Dec. 4, 2012) (regarding FCC Form 471 application number 858274)</w:t>
            </w:r>
          </w:p>
        </w:tc>
        <w:tc>
          <w:tcPr>
            <w:tcW w:w="2880" w:type="dxa"/>
          </w:tcPr>
          <w:p w14:paraId="73B3DCC5" w14:textId="77777777" w:rsidR="005D57EE" w:rsidRDefault="005D57EE" w:rsidP="005D57EE">
            <w:pPr>
              <w:jc w:val="center"/>
              <w:rPr>
                <w:szCs w:val="22"/>
              </w:rPr>
            </w:pPr>
            <w:r w:rsidRPr="0039602E">
              <w:rPr>
                <w:szCs w:val="22"/>
              </w:rPr>
              <w:t>Letter from USAC, Schools and Libraries Division, to Richard Senturia, eRateProgram, LLC, on behalf of St. Aloysius School (dated May 13, 2014) (regarding FCC Form 471 application number 837162)</w:t>
            </w:r>
          </w:p>
          <w:p w14:paraId="56295B24" w14:textId="77777777" w:rsidR="005D57EE" w:rsidRDefault="005D57EE" w:rsidP="005D57EE">
            <w:pPr>
              <w:jc w:val="center"/>
              <w:rPr>
                <w:szCs w:val="22"/>
              </w:rPr>
            </w:pPr>
          </w:p>
          <w:p w14:paraId="0B9A4B60" w14:textId="77777777" w:rsidR="005D57EE" w:rsidRDefault="005D57EE" w:rsidP="005D57EE">
            <w:pPr>
              <w:jc w:val="center"/>
              <w:rPr>
                <w:szCs w:val="22"/>
              </w:rPr>
            </w:pPr>
            <w:r w:rsidRPr="0039602E">
              <w:rPr>
                <w:szCs w:val="22"/>
              </w:rPr>
              <w:t>Letter from USAC, Schools and Libraries Division, to Richard Senturia, eRateProgram, LLC, on behalf of St. Aloysius School (dated May 13, 2014) (regarding FCC Form 471 application number 858274</w:t>
            </w:r>
            <w:r>
              <w:rPr>
                <w:szCs w:val="22"/>
              </w:rPr>
              <w:t>)</w:t>
            </w:r>
          </w:p>
          <w:p w14:paraId="394A4671" w14:textId="77777777" w:rsidR="005D57EE" w:rsidRPr="0047131C" w:rsidRDefault="005D57EE" w:rsidP="005D57EE">
            <w:pPr>
              <w:jc w:val="center"/>
              <w:rPr>
                <w:szCs w:val="22"/>
                <w:highlight w:val="yellow"/>
              </w:rPr>
            </w:pPr>
          </w:p>
        </w:tc>
      </w:tr>
      <w:tr w:rsidR="005D57EE" w:rsidRPr="00676AD4" w14:paraId="1AA93C69" w14:textId="77777777" w:rsidTr="005D57EE">
        <w:trPr>
          <w:jc w:val="center"/>
        </w:trPr>
        <w:tc>
          <w:tcPr>
            <w:tcW w:w="2111" w:type="dxa"/>
          </w:tcPr>
          <w:p w14:paraId="699EB24B" w14:textId="77777777" w:rsidR="005D57EE" w:rsidRPr="00676AD4" w:rsidRDefault="005D57EE" w:rsidP="005D57EE">
            <w:pPr>
              <w:rPr>
                <w:szCs w:val="22"/>
              </w:rPr>
            </w:pPr>
            <w:r w:rsidRPr="00676AD4">
              <w:rPr>
                <w:szCs w:val="22"/>
              </w:rPr>
              <w:t>St. Ann School</w:t>
            </w:r>
          </w:p>
          <w:p w14:paraId="082ADE29" w14:textId="77777777" w:rsidR="005D57EE" w:rsidRPr="00676AD4" w:rsidRDefault="005D57EE" w:rsidP="005D57EE">
            <w:pPr>
              <w:rPr>
                <w:szCs w:val="22"/>
              </w:rPr>
            </w:pPr>
            <w:r w:rsidRPr="00A90519">
              <w:rPr>
                <w:szCs w:val="22"/>
              </w:rPr>
              <w:t>New York, NY</w:t>
            </w:r>
          </w:p>
        </w:tc>
        <w:tc>
          <w:tcPr>
            <w:tcW w:w="0" w:type="auto"/>
          </w:tcPr>
          <w:p w14:paraId="6F99887C" w14:textId="77777777" w:rsidR="005D57EE" w:rsidRDefault="005D57EE" w:rsidP="005D57EE">
            <w:pPr>
              <w:jc w:val="center"/>
              <w:rPr>
                <w:szCs w:val="22"/>
              </w:rPr>
            </w:pPr>
            <w:r>
              <w:rPr>
                <w:szCs w:val="22"/>
              </w:rPr>
              <w:t>858098</w:t>
            </w:r>
          </w:p>
          <w:p w14:paraId="7015E2B9" w14:textId="77777777" w:rsidR="005D57EE" w:rsidRDefault="005D57EE" w:rsidP="005D57EE">
            <w:pPr>
              <w:jc w:val="center"/>
              <w:rPr>
                <w:szCs w:val="22"/>
              </w:rPr>
            </w:pPr>
          </w:p>
          <w:p w14:paraId="12A7BFC8" w14:textId="77777777" w:rsidR="005D57EE" w:rsidRPr="00676AD4" w:rsidRDefault="005D57EE" w:rsidP="005D57EE">
            <w:pPr>
              <w:jc w:val="center"/>
              <w:rPr>
                <w:szCs w:val="22"/>
              </w:rPr>
            </w:pPr>
            <w:r w:rsidRPr="00A81E71">
              <w:rPr>
                <w:szCs w:val="22"/>
              </w:rPr>
              <w:t>860715</w:t>
            </w:r>
          </w:p>
        </w:tc>
        <w:tc>
          <w:tcPr>
            <w:tcW w:w="1697" w:type="dxa"/>
          </w:tcPr>
          <w:p w14:paraId="487516C6" w14:textId="77777777" w:rsidR="005D57EE" w:rsidRDefault="005D57EE" w:rsidP="005D57EE">
            <w:pPr>
              <w:jc w:val="center"/>
              <w:rPr>
                <w:szCs w:val="22"/>
              </w:rPr>
            </w:pPr>
            <w:r w:rsidRPr="0006109C">
              <w:rPr>
                <w:szCs w:val="22"/>
              </w:rPr>
              <w:t>2334842</w:t>
            </w:r>
          </w:p>
          <w:p w14:paraId="4EF78FD5" w14:textId="77777777" w:rsidR="005D57EE" w:rsidRDefault="005D57EE" w:rsidP="005D57EE">
            <w:pPr>
              <w:jc w:val="center"/>
              <w:rPr>
                <w:szCs w:val="22"/>
              </w:rPr>
            </w:pPr>
          </w:p>
          <w:p w14:paraId="0A55B96C" w14:textId="77777777" w:rsidR="005D57EE" w:rsidRPr="00EE4948" w:rsidRDefault="005D57EE" w:rsidP="005D57EE">
            <w:pPr>
              <w:jc w:val="center"/>
              <w:rPr>
                <w:szCs w:val="22"/>
                <w:highlight w:val="yellow"/>
              </w:rPr>
            </w:pPr>
            <w:r w:rsidRPr="00A402B6">
              <w:rPr>
                <w:szCs w:val="22"/>
              </w:rPr>
              <w:t>2343175</w:t>
            </w:r>
          </w:p>
        </w:tc>
        <w:tc>
          <w:tcPr>
            <w:tcW w:w="2790" w:type="dxa"/>
          </w:tcPr>
          <w:p w14:paraId="15B70BF3" w14:textId="77777777" w:rsidR="005D57EE" w:rsidRDefault="005D57EE" w:rsidP="005D57EE">
            <w:pPr>
              <w:jc w:val="center"/>
              <w:rPr>
                <w:szCs w:val="22"/>
              </w:rPr>
            </w:pPr>
            <w:r w:rsidRPr="00194EF2">
              <w:rPr>
                <w:szCs w:val="22"/>
              </w:rPr>
              <w:t>Letter from USAC, Schools and Libraries Division, to Richard Senturia, eRateProgram, LLC, on behalf of St. Ann School (dated Dec. 4, 2012) (regarding FCC Form</w:t>
            </w:r>
            <w:r>
              <w:rPr>
                <w:szCs w:val="22"/>
              </w:rPr>
              <w:t xml:space="preserve"> 471 application number 858098)</w:t>
            </w:r>
          </w:p>
          <w:p w14:paraId="2A522718" w14:textId="77777777" w:rsidR="005D57EE" w:rsidRDefault="005D57EE" w:rsidP="005D57EE">
            <w:pPr>
              <w:jc w:val="center"/>
              <w:rPr>
                <w:szCs w:val="22"/>
              </w:rPr>
            </w:pPr>
          </w:p>
          <w:p w14:paraId="2CB297F1" w14:textId="77777777" w:rsidR="005D57EE" w:rsidRPr="00F63C3F" w:rsidRDefault="005D57EE" w:rsidP="005D57EE">
            <w:pPr>
              <w:jc w:val="center"/>
              <w:rPr>
                <w:szCs w:val="22"/>
              </w:rPr>
            </w:pPr>
            <w:r w:rsidRPr="00194EF2">
              <w:rPr>
                <w:szCs w:val="22"/>
              </w:rPr>
              <w:t>Letter from USAC, Schools and Libraries Division, to Richard Senturia, eRateProgram, LLC, on behalf of St. Ann School (dated Dec. 4, 2012) (regarding FCC Form 471 application number 860715)</w:t>
            </w:r>
          </w:p>
        </w:tc>
        <w:tc>
          <w:tcPr>
            <w:tcW w:w="2880" w:type="dxa"/>
          </w:tcPr>
          <w:p w14:paraId="5A7BB252" w14:textId="77777777" w:rsidR="005D57EE" w:rsidRDefault="005D57EE" w:rsidP="005D57EE">
            <w:pPr>
              <w:jc w:val="center"/>
              <w:rPr>
                <w:szCs w:val="22"/>
              </w:rPr>
            </w:pPr>
            <w:r w:rsidRPr="00557DDE">
              <w:rPr>
                <w:szCs w:val="22"/>
              </w:rPr>
              <w:t>Letter from USAC, Schools and Libraries Division, to Richard Senturia, eRateProgram, LLC, on behalf of St. Ann School (dated May 13, 2014) (regarding FCC Form 471 application number 858098)</w:t>
            </w:r>
          </w:p>
          <w:p w14:paraId="5674CF5A" w14:textId="77777777" w:rsidR="005D57EE" w:rsidRDefault="005D57EE" w:rsidP="005D57EE">
            <w:pPr>
              <w:jc w:val="center"/>
              <w:rPr>
                <w:szCs w:val="22"/>
              </w:rPr>
            </w:pPr>
          </w:p>
          <w:p w14:paraId="5A43882F" w14:textId="77777777" w:rsidR="005D57EE" w:rsidRDefault="005D57EE" w:rsidP="005D57EE">
            <w:pPr>
              <w:jc w:val="center"/>
              <w:rPr>
                <w:szCs w:val="22"/>
              </w:rPr>
            </w:pPr>
            <w:r w:rsidRPr="00557DDE">
              <w:rPr>
                <w:szCs w:val="22"/>
              </w:rPr>
              <w:t>Letter from USAC, Schools and Libraries Division, to Richard Senturia, eRateProgram, LLC, on behalf of St. Ann School (dated May 13, 2014) (regarding FCC Form 471 application number 860715)</w:t>
            </w:r>
          </w:p>
          <w:p w14:paraId="6BCC60C4" w14:textId="77777777" w:rsidR="005D57EE" w:rsidRPr="0047131C" w:rsidRDefault="005D57EE" w:rsidP="005D57EE">
            <w:pPr>
              <w:rPr>
                <w:szCs w:val="22"/>
                <w:highlight w:val="yellow"/>
              </w:rPr>
            </w:pPr>
          </w:p>
        </w:tc>
      </w:tr>
      <w:tr w:rsidR="005D57EE" w:rsidRPr="00676AD4" w14:paraId="5305DB91" w14:textId="77777777" w:rsidTr="005D57EE">
        <w:trPr>
          <w:jc w:val="center"/>
        </w:trPr>
        <w:tc>
          <w:tcPr>
            <w:tcW w:w="2111" w:type="dxa"/>
          </w:tcPr>
          <w:p w14:paraId="697F4FB3" w14:textId="77777777" w:rsidR="005D57EE" w:rsidRPr="00676AD4" w:rsidRDefault="005D57EE" w:rsidP="005D57EE">
            <w:pPr>
              <w:rPr>
                <w:szCs w:val="22"/>
              </w:rPr>
            </w:pPr>
            <w:r w:rsidRPr="00676AD4">
              <w:rPr>
                <w:szCs w:val="22"/>
              </w:rPr>
              <w:t>St. Anthony School</w:t>
            </w:r>
          </w:p>
          <w:p w14:paraId="542171C6" w14:textId="77777777" w:rsidR="005D57EE" w:rsidRPr="00676AD4" w:rsidRDefault="005D57EE" w:rsidP="005D57EE">
            <w:pPr>
              <w:rPr>
                <w:szCs w:val="22"/>
              </w:rPr>
            </w:pPr>
            <w:r w:rsidRPr="00A90519">
              <w:rPr>
                <w:szCs w:val="22"/>
              </w:rPr>
              <w:t>New York, NY</w:t>
            </w:r>
          </w:p>
        </w:tc>
        <w:tc>
          <w:tcPr>
            <w:tcW w:w="0" w:type="auto"/>
          </w:tcPr>
          <w:p w14:paraId="22169A6A" w14:textId="77777777" w:rsidR="005D57EE" w:rsidRDefault="005D57EE" w:rsidP="005D57EE">
            <w:pPr>
              <w:jc w:val="center"/>
              <w:rPr>
                <w:szCs w:val="22"/>
              </w:rPr>
            </w:pPr>
            <w:r>
              <w:rPr>
                <w:szCs w:val="22"/>
              </w:rPr>
              <w:t>837212</w:t>
            </w:r>
          </w:p>
          <w:p w14:paraId="582E940C" w14:textId="77777777" w:rsidR="005D57EE" w:rsidRDefault="005D57EE" w:rsidP="005D57EE">
            <w:pPr>
              <w:jc w:val="center"/>
              <w:rPr>
                <w:szCs w:val="22"/>
              </w:rPr>
            </w:pPr>
          </w:p>
          <w:p w14:paraId="0DF26B67" w14:textId="77777777" w:rsidR="005D57EE" w:rsidRDefault="005D57EE" w:rsidP="005D57EE">
            <w:pPr>
              <w:rPr>
                <w:szCs w:val="22"/>
              </w:rPr>
            </w:pPr>
          </w:p>
          <w:p w14:paraId="280EF622" w14:textId="77777777" w:rsidR="005D57EE" w:rsidRPr="00676AD4" w:rsidRDefault="005D57EE" w:rsidP="005D57EE">
            <w:pPr>
              <w:jc w:val="center"/>
              <w:rPr>
                <w:szCs w:val="22"/>
              </w:rPr>
            </w:pPr>
            <w:r w:rsidRPr="00C863D1">
              <w:rPr>
                <w:szCs w:val="22"/>
              </w:rPr>
              <w:t>868057</w:t>
            </w:r>
          </w:p>
        </w:tc>
        <w:tc>
          <w:tcPr>
            <w:tcW w:w="1697" w:type="dxa"/>
          </w:tcPr>
          <w:p w14:paraId="6105342A" w14:textId="77777777" w:rsidR="005D57EE" w:rsidRDefault="005D57EE" w:rsidP="005D57EE">
            <w:pPr>
              <w:jc w:val="center"/>
              <w:rPr>
                <w:szCs w:val="22"/>
              </w:rPr>
            </w:pPr>
            <w:r>
              <w:rPr>
                <w:szCs w:val="22"/>
              </w:rPr>
              <w:t>2271725</w:t>
            </w:r>
          </w:p>
          <w:p w14:paraId="1FAF29D8" w14:textId="77777777" w:rsidR="005D57EE" w:rsidRDefault="005D57EE" w:rsidP="005D57EE">
            <w:pPr>
              <w:jc w:val="center"/>
              <w:rPr>
                <w:szCs w:val="22"/>
              </w:rPr>
            </w:pPr>
            <w:r w:rsidRPr="00A402B6">
              <w:rPr>
                <w:szCs w:val="22"/>
              </w:rPr>
              <w:t>2271727</w:t>
            </w:r>
          </w:p>
          <w:p w14:paraId="1DE4FD3E" w14:textId="77777777" w:rsidR="005D57EE" w:rsidRDefault="005D57EE" w:rsidP="005D57EE">
            <w:pPr>
              <w:jc w:val="center"/>
              <w:rPr>
                <w:szCs w:val="22"/>
              </w:rPr>
            </w:pPr>
          </w:p>
          <w:p w14:paraId="74D3E8B8" w14:textId="77777777" w:rsidR="005D57EE" w:rsidRPr="00EE4948" w:rsidRDefault="005D57EE" w:rsidP="005D57EE">
            <w:pPr>
              <w:jc w:val="center"/>
              <w:rPr>
                <w:szCs w:val="22"/>
                <w:highlight w:val="yellow"/>
              </w:rPr>
            </w:pPr>
            <w:r w:rsidRPr="00CA23DE">
              <w:rPr>
                <w:szCs w:val="22"/>
              </w:rPr>
              <w:t>2365989</w:t>
            </w:r>
          </w:p>
        </w:tc>
        <w:tc>
          <w:tcPr>
            <w:tcW w:w="2790" w:type="dxa"/>
          </w:tcPr>
          <w:p w14:paraId="0093D9B4" w14:textId="77777777" w:rsidR="005D57EE" w:rsidRDefault="005D57EE" w:rsidP="005D57EE">
            <w:pPr>
              <w:jc w:val="center"/>
              <w:rPr>
                <w:szCs w:val="22"/>
              </w:rPr>
            </w:pPr>
            <w:r w:rsidRPr="00C603C8">
              <w:rPr>
                <w:szCs w:val="22"/>
              </w:rPr>
              <w:t xml:space="preserve">Letter from USAC, Schools and Libraries Division, to Richard Senturia, eRateProgram, LLC, on behalf of St. Anthony School (dated July 10, 2012) (regarding FCC Form </w:t>
            </w:r>
            <w:r>
              <w:rPr>
                <w:szCs w:val="22"/>
              </w:rPr>
              <w:t>471 application number 837212)</w:t>
            </w:r>
          </w:p>
          <w:p w14:paraId="43136F6F" w14:textId="77777777" w:rsidR="005D57EE" w:rsidRDefault="005D57EE" w:rsidP="005D57EE">
            <w:pPr>
              <w:jc w:val="center"/>
              <w:rPr>
                <w:szCs w:val="22"/>
              </w:rPr>
            </w:pPr>
          </w:p>
          <w:p w14:paraId="5BA6D322" w14:textId="77777777" w:rsidR="005D57EE" w:rsidRPr="0069675E" w:rsidRDefault="005D57EE" w:rsidP="00BD2C6C">
            <w:pPr>
              <w:jc w:val="center"/>
              <w:rPr>
                <w:szCs w:val="22"/>
              </w:rPr>
            </w:pPr>
            <w:r w:rsidRPr="00C603C8">
              <w:rPr>
                <w:szCs w:val="22"/>
              </w:rPr>
              <w:t>Letter from USAC, Schools and Libraries Division, to Richard Senturia, eRateProgram, LLC, on behalf of St. Anthony School (dated Jan. 29, 2013) (regarding FCC Form</w:t>
            </w:r>
            <w:r>
              <w:rPr>
                <w:szCs w:val="22"/>
              </w:rPr>
              <w:t xml:space="preserve"> 471 application number 868057)</w:t>
            </w:r>
          </w:p>
        </w:tc>
        <w:tc>
          <w:tcPr>
            <w:tcW w:w="2880" w:type="dxa"/>
          </w:tcPr>
          <w:p w14:paraId="29FEB48B" w14:textId="77777777" w:rsidR="005D57EE" w:rsidRDefault="005D57EE" w:rsidP="005D57EE">
            <w:pPr>
              <w:jc w:val="center"/>
              <w:rPr>
                <w:szCs w:val="22"/>
              </w:rPr>
            </w:pPr>
            <w:r w:rsidRPr="002A01CF">
              <w:rPr>
                <w:szCs w:val="22"/>
              </w:rPr>
              <w:t>Letter from USAC, Schools and Libraries Division, to Richard Senturia, eRateProgram, LLC, on behalf of St. Anthony School (dated May 13, 2014) (regarding FCC Form 471 application number 837212)</w:t>
            </w:r>
          </w:p>
          <w:p w14:paraId="2B60EF45" w14:textId="77777777" w:rsidR="005D57EE" w:rsidRDefault="005D57EE" w:rsidP="005D57EE">
            <w:pPr>
              <w:jc w:val="center"/>
              <w:rPr>
                <w:szCs w:val="22"/>
              </w:rPr>
            </w:pPr>
          </w:p>
          <w:p w14:paraId="40C7FB70" w14:textId="77777777" w:rsidR="005D57EE" w:rsidRPr="002A01CF" w:rsidRDefault="005D57EE" w:rsidP="005D57EE">
            <w:pPr>
              <w:jc w:val="center"/>
              <w:rPr>
                <w:szCs w:val="22"/>
              </w:rPr>
            </w:pPr>
            <w:r w:rsidRPr="002A01CF">
              <w:rPr>
                <w:szCs w:val="22"/>
              </w:rPr>
              <w:t>Letter from USAC, Schools and Libraries Division, to Richard Senturia, eRateProgram, LLC, on behalf of St. Anthony School (dated May 13, 2014) (regarding FCC Form 471 application number 868057)</w:t>
            </w:r>
          </w:p>
        </w:tc>
      </w:tr>
      <w:tr w:rsidR="005D57EE" w:rsidRPr="00676AD4" w14:paraId="300E3475" w14:textId="77777777" w:rsidTr="005D57EE">
        <w:trPr>
          <w:jc w:val="center"/>
        </w:trPr>
        <w:tc>
          <w:tcPr>
            <w:tcW w:w="2111" w:type="dxa"/>
          </w:tcPr>
          <w:p w14:paraId="22C52863" w14:textId="77777777" w:rsidR="005D57EE" w:rsidRPr="00676AD4" w:rsidRDefault="005D57EE" w:rsidP="005D57EE">
            <w:pPr>
              <w:rPr>
                <w:szCs w:val="22"/>
              </w:rPr>
            </w:pPr>
            <w:r w:rsidRPr="00676AD4">
              <w:rPr>
                <w:szCs w:val="22"/>
              </w:rPr>
              <w:t>St. Brigid School</w:t>
            </w:r>
          </w:p>
          <w:p w14:paraId="00AB2839" w14:textId="77777777" w:rsidR="005D57EE" w:rsidRPr="00676AD4" w:rsidRDefault="005D57EE" w:rsidP="005D57EE">
            <w:pPr>
              <w:rPr>
                <w:szCs w:val="22"/>
              </w:rPr>
            </w:pPr>
            <w:r w:rsidRPr="00A90519">
              <w:rPr>
                <w:szCs w:val="22"/>
              </w:rPr>
              <w:t>New York, NY</w:t>
            </w:r>
          </w:p>
        </w:tc>
        <w:tc>
          <w:tcPr>
            <w:tcW w:w="0" w:type="auto"/>
          </w:tcPr>
          <w:p w14:paraId="4132C668" w14:textId="77777777" w:rsidR="005D57EE" w:rsidRDefault="005D57EE" w:rsidP="005D57EE">
            <w:pPr>
              <w:jc w:val="center"/>
              <w:rPr>
                <w:szCs w:val="22"/>
              </w:rPr>
            </w:pPr>
            <w:r>
              <w:rPr>
                <w:szCs w:val="22"/>
              </w:rPr>
              <w:t>828062</w:t>
            </w:r>
          </w:p>
          <w:p w14:paraId="53F26A5C" w14:textId="77777777" w:rsidR="005D57EE" w:rsidRDefault="005D57EE" w:rsidP="005D57EE">
            <w:pPr>
              <w:jc w:val="center"/>
              <w:rPr>
                <w:szCs w:val="22"/>
              </w:rPr>
            </w:pPr>
          </w:p>
          <w:p w14:paraId="15E723EA" w14:textId="77777777" w:rsidR="005D57EE" w:rsidRDefault="005D57EE" w:rsidP="005D57EE">
            <w:pPr>
              <w:rPr>
                <w:szCs w:val="22"/>
              </w:rPr>
            </w:pPr>
          </w:p>
          <w:p w14:paraId="5F598F57" w14:textId="77777777" w:rsidR="005D57EE" w:rsidRDefault="005D57EE" w:rsidP="005D57EE">
            <w:pPr>
              <w:jc w:val="center"/>
              <w:rPr>
                <w:szCs w:val="22"/>
              </w:rPr>
            </w:pPr>
            <w:r>
              <w:rPr>
                <w:szCs w:val="22"/>
              </w:rPr>
              <w:t>859000</w:t>
            </w:r>
          </w:p>
          <w:p w14:paraId="09DCD373" w14:textId="77777777" w:rsidR="005D57EE" w:rsidRDefault="005D57EE" w:rsidP="005D57EE">
            <w:pPr>
              <w:jc w:val="center"/>
              <w:rPr>
                <w:szCs w:val="22"/>
              </w:rPr>
            </w:pPr>
          </w:p>
          <w:p w14:paraId="77A8AA42" w14:textId="77777777" w:rsidR="005D57EE" w:rsidRPr="00676AD4" w:rsidRDefault="005D57EE" w:rsidP="005D57EE">
            <w:pPr>
              <w:jc w:val="center"/>
              <w:rPr>
                <w:szCs w:val="22"/>
              </w:rPr>
            </w:pPr>
            <w:r w:rsidRPr="00C94459">
              <w:rPr>
                <w:szCs w:val="22"/>
              </w:rPr>
              <w:t>868933</w:t>
            </w:r>
          </w:p>
        </w:tc>
        <w:tc>
          <w:tcPr>
            <w:tcW w:w="1697" w:type="dxa"/>
          </w:tcPr>
          <w:p w14:paraId="1C988AC2" w14:textId="77777777" w:rsidR="005D57EE" w:rsidRDefault="005D57EE" w:rsidP="005D57EE">
            <w:pPr>
              <w:jc w:val="center"/>
              <w:rPr>
                <w:szCs w:val="22"/>
              </w:rPr>
            </w:pPr>
            <w:r>
              <w:rPr>
                <w:szCs w:val="22"/>
              </w:rPr>
              <w:t>2263987</w:t>
            </w:r>
          </w:p>
          <w:p w14:paraId="230FF3CB" w14:textId="77777777" w:rsidR="005D57EE" w:rsidRDefault="005D57EE" w:rsidP="005D57EE">
            <w:pPr>
              <w:jc w:val="center"/>
              <w:rPr>
                <w:szCs w:val="22"/>
              </w:rPr>
            </w:pPr>
            <w:r w:rsidRPr="00AF3C56">
              <w:rPr>
                <w:szCs w:val="22"/>
              </w:rPr>
              <w:t>2263989</w:t>
            </w:r>
          </w:p>
          <w:p w14:paraId="360878E1" w14:textId="77777777" w:rsidR="005D57EE" w:rsidRDefault="005D57EE" w:rsidP="005D57EE">
            <w:pPr>
              <w:jc w:val="center"/>
              <w:rPr>
                <w:szCs w:val="22"/>
              </w:rPr>
            </w:pPr>
          </w:p>
          <w:p w14:paraId="7E122A2C" w14:textId="77777777" w:rsidR="005D57EE" w:rsidRDefault="005D57EE" w:rsidP="005D57EE">
            <w:pPr>
              <w:jc w:val="center"/>
              <w:rPr>
                <w:szCs w:val="22"/>
              </w:rPr>
            </w:pPr>
            <w:r w:rsidRPr="00FF391B">
              <w:rPr>
                <w:szCs w:val="22"/>
              </w:rPr>
              <w:t>2337783</w:t>
            </w:r>
          </w:p>
          <w:p w14:paraId="19E8E368" w14:textId="77777777" w:rsidR="005D57EE" w:rsidRDefault="005D57EE" w:rsidP="005D57EE">
            <w:pPr>
              <w:jc w:val="center"/>
              <w:rPr>
                <w:szCs w:val="22"/>
              </w:rPr>
            </w:pPr>
          </w:p>
          <w:p w14:paraId="1668C55B" w14:textId="77777777" w:rsidR="005D57EE" w:rsidRPr="00EE4948" w:rsidRDefault="005D57EE" w:rsidP="005D57EE">
            <w:pPr>
              <w:jc w:val="center"/>
              <w:rPr>
                <w:szCs w:val="22"/>
                <w:highlight w:val="yellow"/>
              </w:rPr>
            </w:pPr>
            <w:r w:rsidRPr="00ED4627">
              <w:rPr>
                <w:szCs w:val="22"/>
              </w:rPr>
              <w:t>2368636</w:t>
            </w:r>
          </w:p>
        </w:tc>
        <w:tc>
          <w:tcPr>
            <w:tcW w:w="2790" w:type="dxa"/>
          </w:tcPr>
          <w:p w14:paraId="4C67ECDB" w14:textId="77777777" w:rsidR="005D57EE" w:rsidRDefault="005D57EE" w:rsidP="005D57EE">
            <w:pPr>
              <w:jc w:val="center"/>
              <w:rPr>
                <w:szCs w:val="22"/>
              </w:rPr>
            </w:pPr>
            <w:r w:rsidRPr="00622F5A">
              <w:rPr>
                <w:szCs w:val="22"/>
              </w:rPr>
              <w:t>Letter from USAC, Schools and Libraries Division, to Richard Senturia, eRateProgram, LLC, on behalf of St. Brigid School (dated July 10, 2012) (regarding FCC Form 471 application number 828062)</w:t>
            </w:r>
          </w:p>
          <w:p w14:paraId="49F65B42" w14:textId="77777777" w:rsidR="005D57EE" w:rsidRDefault="005D57EE" w:rsidP="005D57EE">
            <w:pPr>
              <w:jc w:val="center"/>
              <w:rPr>
                <w:szCs w:val="22"/>
              </w:rPr>
            </w:pPr>
          </w:p>
          <w:p w14:paraId="0B17DAAE" w14:textId="77777777" w:rsidR="005D57EE" w:rsidRDefault="005D57EE" w:rsidP="005D57EE">
            <w:pPr>
              <w:jc w:val="center"/>
              <w:rPr>
                <w:szCs w:val="22"/>
              </w:rPr>
            </w:pPr>
            <w:r w:rsidRPr="000A0E82">
              <w:rPr>
                <w:szCs w:val="22"/>
              </w:rPr>
              <w:t>Letter from USAC, Schools and Libraries Division, to Richard Senturia, eRateProgram, LLC, on behalf of St. Brigid School (dated Nov. 13, 2012) (regarding FCC Form 471 application number 859000)</w:t>
            </w:r>
          </w:p>
          <w:p w14:paraId="2D2D07AC" w14:textId="77777777" w:rsidR="005D57EE" w:rsidRDefault="005D57EE" w:rsidP="005D57EE">
            <w:pPr>
              <w:jc w:val="center"/>
              <w:rPr>
                <w:szCs w:val="22"/>
              </w:rPr>
            </w:pPr>
          </w:p>
          <w:p w14:paraId="338C2FBF" w14:textId="77777777" w:rsidR="005D57EE" w:rsidRDefault="005D57EE" w:rsidP="005D57EE">
            <w:pPr>
              <w:jc w:val="center"/>
              <w:rPr>
                <w:szCs w:val="22"/>
              </w:rPr>
            </w:pPr>
            <w:r w:rsidRPr="00622F5A">
              <w:rPr>
                <w:szCs w:val="22"/>
              </w:rPr>
              <w:t>Letter from USAC, Schools and Libraries Division, to Richard Senturia, eRateProgram, LLC, on behalf of St. Brigid School (dated July 10, 2012) (regarding FCC Form 471 application number 868933)</w:t>
            </w:r>
          </w:p>
          <w:p w14:paraId="24107932" w14:textId="77777777" w:rsidR="005D57EE" w:rsidRPr="005C79DF" w:rsidRDefault="005D57EE" w:rsidP="005D57EE">
            <w:pPr>
              <w:jc w:val="center"/>
              <w:rPr>
                <w:szCs w:val="22"/>
              </w:rPr>
            </w:pPr>
          </w:p>
        </w:tc>
        <w:tc>
          <w:tcPr>
            <w:tcW w:w="2880" w:type="dxa"/>
          </w:tcPr>
          <w:p w14:paraId="27063F98" w14:textId="77777777" w:rsidR="005D57EE" w:rsidRDefault="005D57EE" w:rsidP="005D57EE">
            <w:pPr>
              <w:jc w:val="center"/>
              <w:rPr>
                <w:szCs w:val="22"/>
              </w:rPr>
            </w:pPr>
            <w:r w:rsidRPr="002D028C">
              <w:rPr>
                <w:szCs w:val="22"/>
              </w:rPr>
              <w:t>Letter from USAC, Schools and Libraries Division, to Richard Senturia, eRateProgram, LLC, on behalf of St. Brigid School (dated May 13, 2014) (regarding FCC Form 471 application number 828062)</w:t>
            </w:r>
          </w:p>
          <w:p w14:paraId="35C2682F" w14:textId="77777777" w:rsidR="005D57EE" w:rsidRDefault="005D57EE" w:rsidP="005D57EE">
            <w:pPr>
              <w:jc w:val="center"/>
              <w:rPr>
                <w:szCs w:val="22"/>
              </w:rPr>
            </w:pPr>
          </w:p>
          <w:p w14:paraId="7E23B53A" w14:textId="77777777" w:rsidR="005D57EE" w:rsidRDefault="005D57EE" w:rsidP="005D57EE">
            <w:pPr>
              <w:jc w:val="center"/>
              <w:rPr>
                <w:szCs w:val="22"/>
              </w:rPr>
            </w:pPr>
            <w:r w:rsidRPr="002D028C">
              <w:rPr>
                <w:szCs w:val="22"/>
              </w:rPr>
              <w:t>Letter from USAC, Schools and Libraries Division, to Richard Senturia, eRateProgram, LLC, on behalf of St. Brigid School (dated May 13, 2014) (regarding FCC Form 471 application number 859000)</w:t>
            </w:r>
          </w:p>
          <w:p w14:paraId="3AEC7053" w14:textId="77777777" w:rsidR="005D57EE" w:rsidRDefault="005D57EE" w:rsidP="005D57EE">
            <w:pPr>
              <w:jc w:val="center"/>
              <w:rPr>
                <w:szCs w:val="22"/>
              </w:rPr>
            </w:pPr>
          </w:p>
          <w:p w14:paraId="1B9DFC8B" w14:textId="77777777" w:rsidR="005D57EE" w:rsidRDefault="005D57EE" w:rsidP="005D57EE">
            <w:pPr>
              <w:jc w:val="center"/>
              <w:rPr>
                <w:szCs w:val="22"/>
              </w:rPr>
            </w:pPr>
            <w:r w:rsidRPr="002D028C">
              <w:rPr>
                <w:szCs w:val="22"/>
              </w:rPr>
              <w:t>Letter from USAC, Schools and Libraries Division, to Richard Senturia, eRateProgram, LLC, on behalf of St. Brigid School (dated May 13, 2014) (regarding FCC Form 471 application number 868933)</w:t>
            </w:r>
          </w:p>
          <w:p w14:paraId="16EE128D" w14:textId="77777777" w:rsidR="005D57EE" w:rsidRDefault="005D57EE" w:rsidP="005D57EE">
            <w:pPr>
              <w:jc w:val="center"/>
              <w:rPr>
                <w:szCs w:val="22"/>
              </w:rPr>
            </w:pPr>
          </w:p>
          <w:p w14:paraId="464A6B96" w14:textId="77777777" w:rsidR="005D57EE" w:rsidRPr="002D028C" w:rsidRDefault="005D57EE" w:rsidP="005D57EE">
            <w:pPr>
              <w:jc w:val="center"/>
              <w:rPr>
                <w:szCs w:val="22"/>
              </w:rPr>
            </w:pPr>
          </w:p>
        </w:tc>
      </w:tr>
      <w:tr w:rsidR="005D57EE" w:rsidRPr="00676AD4" w14:paraId="55A9F785" w14:textId="77777777" w:rsidTr="005D57EE">
        <w:trPr>
          <w:jc w:val="center"/>
        </w:trPr>
        <w:tc>
          <w:tcPr>
            <w:tcW w:w="2111" w:type="dxa"/>
          </w:tcPr>
          <w:p w14:paraId="2BFF339D" w14:textId="77777777" w:rsidR="005D57EE" w:rsidRPr="00676AD4" w:rsidRDefault="005D57EE" w:rsidP="005D57EE">
            <w:pPr>
              <w:rPr>
                <w:szCs w:val="22"/>
              </w:rPr>
            </w:pPr>
            <w:r w:rsidRPr="00676AD4">
              <w:rPr>
                <w:szCs w:val="22"/>
              </w:rPr>
              <w:t>St. Jude School</w:t>
            </w:r>
          </w:p>
          <w:p w14:paraId="786BCFF8" w14:textId="77777777" w:rsidR="005D57EE" w:rsidRPr="00676AD4" w:rsidRDefault="005D57EE" w:rsidP="005D57EE">
            <w:pPr>
              <w:rPr>
                <w:szCs w:val="22"/>
              </w:rPr>
            </w:pPr>
            <w:r w:rsidRPr="00A90519">
              <w:rPr>
                <w:szCs w:val="22"/>
              </w:rPr>
              <w:t>New York, NY</w:t>
            </w:r>
          </w:p>
        </w:tc>
        <w:tc>
          <w:tcPr>
            <w:tcW w:w="0" w:type="auto"/>
          </w:tcPr>
          <w:p w14:paraId="5B16574D" w14:textId="77777777" w:rsidR="005D57EE" w:rsidRPr="00676AD4" w:rsidRDefault="005D57EE" w:rsidP="005D57EE">
            <w:pPr>
              <w:jc w:val="center"/>
              <w:rPr>
                <w:szCs w:val="22"/>
              </w:rPr>
            </w:pPr>
            <w:r w:rsidRPr="00CF6A03">
              <w:rPr>
                <w:szCs w:val="22"/>
              </w:rPr>
              <w:t>828179</w:t>
            </w:r>
          </w:p>
        </w:tc>
        <w:tc>
          <w:tcPr>
            <w:tcW w:w="1697" w:type="dxa"/>
          </w:tcPr>
          <w:p w14:paraId="032008B5" w14:textId="77777777" w:rsidR="005D57EE" w:rsidRDefault="005D57EE" w:rsidP="005D57EE">
            <w:pPr>
              <w:jc w:val="center"/>
              <w:rPr>
                <w:szCs w:val="22"/>
              </w:rPr>
            </w:pPr>
            <w:r>
              <w:rPr>
                <w:szCs w:val="22"/>
              </w:rPr>
              <w:t>2262629</w:t>
            </w:r>
          </w:p>
          <w:p w14:paraId="7EFAB229" w14:textId="77777777" w:rsidR="005D57EE" w:rsidRPr="00EE4948" w:rsidRDefault="005D57EE" w:rsidP="005D57EE">
            <w:pPr>
              <w:jc w:val="center"/>
              <w:rPr>
                <w:szCs w:val="22"/>
                <w:highlight w:val="yellow"/>
              </w:rPr>
            </w:pPr>
            <w:r w:rsidRPr="00A00810">
              <w:rPr>
                <w:szCs w:val="22"/>
              </w:rPr>
              <w:t>2262626</w:t>
            </w:r>
          </w:p>
        </w:tc>
        <w:tc>
          <w:tcPr>
            <w:tcW w:w="2790" w:type="dxa"/>
          </w:tcPr>
          <w:p w14:paraId="7291C7C1" w14:textId="77777777" w:rsidR="005D57EE" w:rsidRDefault="005D57EE" w:rsidP="005D57EE">
            <w:pPr>
              <w:jc w:val="center"/>
              <w:rPr>
                <w:szCs w:val="22"/>
              </w:rPr>
            </w:pPr>
            <w:r w:rsidRPr="00A65769">
              <w:rPr>
                <w:szCs w:val="22"/>
              </w:rPr>
              <w:t>Letter from USAC, Schools and Libraries Division, to Richard Senturia, eRateProgram, LLC, on behalf of St. Jude School (dated July 10, 2012) (regarding FCC Form 471 application number 828179)</w:t>
            </w:r>
          </w:p>
          <w:p w14:paraId="5DA9276E" w14:textId="77777777" w:rsidR="005D57EE" w:rsidRPr="0047131C" w:rsidRDefault="005D57EE" w:rsidP="005D57EE">
            <w:pPr>
              <w:jc w:val="center"/>
              <w:rPr>
                <w:szCs w:val="22"/>
                <w:highlight w:val="yellow"/>
              </w:rPr>
            </w:pPr>
          </w:p>
        </w:tc>
        <w:tc>
          <w:tcPr>
            <w:tcW w:w="2880" w:type="dxa"/>
          </w:tcPr>
          <w:p w14:paraId="3D5A8B97" w14:textId="77777777" w:rsidR="005D57EE" w:rsidRPr="0047131C" w:rsidRDefault="005D57EE" w:rsidP="005D57EE">
            <w:pPr>
              <w:jc w:val="center"/>
              <w:rPr>
                <w:szCs w:val="22"/>
                <w:highlight w:val="yellow"/>
              </w:rPr>
            </w:pPr>
            <w:r w:rsidRPr="00E72F1A">
              <w:rPr>
                <w:szCs w:val="22"/>
              </w:rPr>
              <w:t>Letter from USAC, Schools and Libraries Division, to Richard Senturia, eRateProgram, LLC, on behalf of St. Jude School (dated May 13, 2014) (regarding FCC Form</w:t>
            </w:r>
            <w:r>
              <w:rPr>
                <w:szCs w:val="22"/>
              </w:rPr>
              <w:t xml:space="preserve"> 471 application number 828179)</w:t>
            </w:r>
          </w:p>
        </w:tc>
      </w:tr>
      <w:tr w:rsidR="005D57EE" w:rsidRPr="00676AD4" w14:paraId="41415F20" w14:textId="77777777" w:rsidTr="005D57EE">
        <w:trPr>
          <w:jc w:val="center"/>
        </w:trPr>
        <w:tc>
          <w:tcPr>
            <w:tcW w:w="2111" w:type="dxa"/>
          </w:tcPr>
          <w:p w14:paraId="74899715" w14:textId="77777777" w:rsidR="005D57EE" w:rsidRDefault="005D57EE" w:rsidP="005D57EE">
            <w:pPr>
              <w:rPr>
                <w:szCs w:val="22"/>
              </w:rPr>
            </w:pPr>
            <w:r w:rsidRPr="00676AD4">
              <w:rPr>
                <w:szCs w:val="22"/>
              </w:rPr>
              <w:t xml:space="preserve">St. Mark the </w:t>
            </w:r>
          </w:p>
          <w:p w14:paraId="5D7604CD" w14:textId="77777777" w:rsidR="005D57EE" w:rsidRPr="00676AD4" w:rsidRDefault="005D57EE" w:rsidP="005D57EE">
            <w:pPr>
              <w:rPr>
                <w:szCs w:val="22"/>
              </w:rPr>
            </w:pPr>
            <w:r w:rsidRPr="00676AD4">
              <w:rPr>
                <w:szCs w:val="22"/>
              </w:rPr>
              <w:t>Evangelist School</w:t>
            </w:r>
          </w:p>
          <w:p w14:paraId="13A31633" w14:textId="77777777" w:rsidR="005D57EE" w:rsidRPr="00676AD4" w:rsidRDefault="005D57EE" w:rsidP="005D57EE">
            <w:pPr>
              <w:rPr>
                <w:szCs w:val="22"/>
              </w:rPr>
            </w:pPr>
            <w:r w:rsidRPr="00A90519">
              <w:rPr>
                <w:szCs w:val="22"/>
              </w:rPr>
              <w:t>New York, NY</w:t>
            </w:r>
            <w:r w:rsidRPr="00676AD4">
              <w:rPr>
                <w:szCs w:val="22"/>
              </w:rPr>
              <w:tab/>
            </w:r>
          </w:p>
        </w:tc>
        <w:tc>
          <w:tcPr>
            <w:tcW w:w="0" w:type="auto"/>
          </w:tcPr>
          <w:p w14:paraId="72976151" w14:textId="77777777" w:rsidR="005D57EE" w:rsidRPr="00676AD4" w:rsidRDefault="005D57EE" w:rsidP="005D57EE">
            <w:pPr>
              <w:jc w:val="center"/>
              <w:rPr>
                <w:szCs w:val="22"/>
              </w:rPr>
            </w:pPr>
            <w:r w:rsidRPr="002A30E9">
              <w:rPr>
                <w:szCs w:val="22"/>
              </w:rPr>
              <w:t>858291</w:t>
            </w:r>
          </w:p>
        </w:tc>
        <w:tc>
          <w:tcPr>
            <w:tcW w:w="1697" w:type="dxa"/>
          </w:tcPr>
          <w:p w14:paraId="347D4282" w14:textId="77777777" w:rsidR="005D57EE" w:rsidRPr="00EE4948" w:rsidRDefault="005D57EE" w:rsidP="005D57EE">
            <w:pPr>
              <w:jc w:val="center"/>
              <w:rPr>
                <w:szCs w:val="22"/>
                <w:highlight w:val="yellow"/>
              </w:rPr>
            </w:pPr>
            <w:r w:rsidRPr="008E07B9">
              <w:rPr>
                <w:szCs w:val="22"/>
              </w:rPr>
              <w:t>2335508</w:t>
            </w:r>
          </w:p>
        </w:tc>
        <w:tc>
          <w:tcPr>
            <w:tcW w:w="2790" w:type="dxa"/>
          </w:tcPr>
          <w:p w14:paraId="446D4639" w14:textId="77777777" w:rsidR="005D57EE" w:rsidRPr="00193A5A" w:rsidRDefault="005D57EE" w:rsidP="005D57EE">
            <w:pPr>
              <w:jc w:val="center"/>
              <w:rPr>
                <w:szCs w:val="22"/>
              </w:rPr>
            </w:pPr>
            <w:r w:rsidRPr="00F5196A">
              <w:rPr>
                <w:szCs w:val="22"/>
              </w:rPr>
              <w:t>Letter from USAC, Schools and Libraries Division, to Richard Senturia, eRateProgram, LLC, on behalf of St. Mark the Evangelist School (dated Jan. 29, 2013) (regarding FCC Form</w:t>
            </w:r>
            <w:r>
              <w:rPr>
                <w:szCs w:val="22"/>
              </w:rPr>
              <w:t xml:space="preserve"> 471 application number 858291)</w:t>
            </w:r>
          </w:p>
        </w:tc>
        <w:tc>
          <w:tcPr>
            <w:tcW w:w="2880" w:type="dxa"/>
          </w:tcPr>
          <w:p w14:paraId="2F2BE01C" w14:textId="77777777" w:rsidR="005D57EE" w:rsidRPr="00C03853" w:rsidRDefault="005D57EE" w:rsidP="005D57EE">
            <w:pPr>
              <w:jc w:val="center"/>
              <w:rPr>
                <w:szCs w:val="22"/>
              </w:rPr>
            </w:pPr>
            <w:r w:rsidRPr="00C03853">
              <w:rPr>
                <w:szCs w:val="22"/>
              </w:rPr>
              <w:t>Letter from USAC, Schools and Libraries Division, to Richard Senturia, eRateProgram, LLC, on behalf of St. Mark the Evangelist School (dated May 13, 2014) (regarding FCC Form 471 appl</w:t>
            </w:r>
            <w:r>
              <w:rPr>
                <w:szCs w:val="22"/>
              </w:rPr>
              <w:t>ication number 858291)</w:t>
            </w:r>
          </w:p>
        </w:tc>
      </w:tr>
      <w:tr w:rsidR="005D57EE" w:rsidRPr="00676AD4" w14:paraId="5972FD9A" w14:textId="77777777" w:rsidTr="005D57EE">
        <w:trPr>
          <w:jc w:val="center"/>
        </w:trPr>
        <w:tc>
          <w:tcPr>
            <w:tcW w:w="2111" w:type="dxa"/>
          </w:tcPr>
          <w:p w14:paraId="03EB1702" w14:textId="77777777" w:rsidR="005D57EE" w:rsidRDefault="005D57EE" w:rsidP="005D57EE">
            <w:pPr>
              <w:rPr>
                <w:szCs w:val="22"/>
              </w:rPr>
            </w:pPr>
            <w:r w:rsidRPr="00676AD4">
              <w:rPr>
                <w:szCs w:val="22"/>
              </w:rPr>
              <w:t xml:space="preserve">St. Nicholas </w:t>
            </w:r>
          </w:p>
          <w:p w14:paraId="6CDE6D08" w14:textId="77777777" w:rsidR="005D57EE" w:rsidRPr="00676AD4" w:rsidRDefault="005D57EE" w:rsidP="005D57EE">
            <w:pPr>
              <w:rPr>
                <w:szCs w:val="22"/>
              </w:rPr>
            </w:pPr>
            <w:r w:rsidRPr="00676AD4">
              <w:rPr>
                <w:szCs w:val="22"/>
              </w:rPr>
              <w:t>Tolentine School</w:t>
            </w:r>
          </w:p>
          <w:p w14:paraId="2C09CCC9" w14:textId="77777777" w:rsidR="005D57EE" w:rsidRPr="00676AD4" w:rsidRDefault="005D57EE" w:rsidP="005D57EE">
            <w:pPr>
              <w:rPr>
                <w:szCs w:val="22"/>
              </w:rPr>
            </w:pPr>
            <w:r w:rsidRPr="00A90519">
              <w:rPr>
                <w:szCs w:val="22"/>
              </w:rPr>
              <w:t>New York, NY</w:t>
            </w:r>
          </w:p>
        </w:tc>
        <w:tc>
          <w:tcPr>
            <w:tcW w:w="0" w:type="auto"/>
          </w:tcPr>
          <w:p w14:paraId="0F01FEAF" w14:textId="77777777" w:rsidR="005D57EE" w:rsidRDefault="005D57EE" w:rsidP="005D57EE">
            <w:pPr>
              <w:jc w:val="center"/>
              <w:rPr>
                <w:szCs w:val="22"/>
              </w:rPr>
            </w:pPr>
            <w:r>
              <w:rPr>
                <w:szCs w:val="22"/>
              </w:rPr>
              <w:t>858249</w:t>
            </w:r>
          </w:p>
          <w:p w14:paraId="5A9433DF" w14:textId="77777777" w:rsidR="005D57EE" w:rsidRDefault="005D57EE" w:rsidP="005D57EE">
            <w:pPr>
              <w:jc w:val="center"/>
              <w:rPr>
                <w:szCs w:val="22"/>
              </w:rPr>
            </w:pPr>
          </w:p>
          <w:p w14:paraId="0296E9FA" w14:textId="77777777" w:rsidR="005D57EE" w:rsidRDefault="005D57EE" w:rsidP="005D57EE">
            <w:pPr>
              <w:rPr>
                <w:szCs w:val="22"/>
              </w:rPr>
            </w:pPr>
          </w:p>
          <w:p w14:paraId="729AC7E0" w14:textId="77777777" w:rsidR="005D57EE" w:rsidRPr="00676AD4" w:rsidRDefault="005D57EE" w:rsidP="005D57EE">
            <w:pPr>
              <w:jc w:val="center"/>
              <w:rPr>
                <w:szCs w:val="22"/>
              </w:rPr>
            </w:pPr>
            <w:r w:rsidRPr="00A93116">
              <w:rPr>
                <w:szCs w:val="22"/>
              </w:rPr>
              <w:t>829699</w:t>
            </w:r>
          </w:p>
        </w:tc>
        <w:tc>
          <w:tcPr>
            <w:tcW w:w="1697" w:type="dxa"/>
          </w:tcPr>
          <w:p w14:paraId="36F2D516" w14:textId="77777777" w:rsidR="005D57EE" w:rsidRDefault="005D57EE" w:rsidP="005D57EE">
            <w:pPr>
              <w:jc w:val="center"/>
              <w:rPr>
                <w:szCs w:val="22"/>
              </w:rPr>
            </w:pPr>
            <w:r>
              <w:rPr>
                <w:szCs w:val="22"/>
              </w:rPr>
              <w:t>2335367</w:t>
            </w:r>
          </w:p>
          <w:p w14:paraId="1CE58F60" w14:textId="77777777" w:rsidR="005D57EE" w:rsidRDefault="005D57EE" w:rsidP="005D57EE">
            <w:pPr>
              <w:jc w:val="center"/>
              <w:rPr>
                <w:szCs w:val="22"/>
              </w:rPr>
            </w:pPr>
            <w:r w:rsidRPr="00F53CF0">
              <w:rPr>
                <w:szCs w:val="22"/>
              </w:rPr>
              <w:t>2335376</w:t>
            </w:r>
          </w:p>
          <w:p w14:paraId="2DBA1C4F" w14:textId="77777777" w:rsidR="005D57EE" w:rsidRDefault="005D57EE" w:rsidP="005D57EE">
            <w:pPr>
              <w:jc w:val="center"/>
              <w:rPr>
                <w:szCs w:val="22"/>
              </w:rPr>
            </w:pPr>
          </w:p>
          <w:p w14:paraId="57DCD2A6" w14:textId="77777777" w:rsidR="005D57EE" w:rsidRDefault="005D57EE" w:rsidP="005D57EE">
            <w:pPr>
              <w:jc w:val="center"/>
              <w:rPr>
                <w:szCs w:val="22"/>
              </w:rPr>
            </w:pPr>
            <w:r>
              <w:rPr>
                <w:szCs w:val="22"/>
              </w:rPr>
              <w:t>2254214</w:t>
            </w:r>
          </w:p>
          <w:p w14:paraId="4D89FCE0" w14:textId="77777777" w:rsidR="005D57EE" w:rsidRPr="00EE4948" w:rsidRDefault="005D57EE" w:rsidP="005D57EE">
            <w:pPr>
              <w:jc w:val="center"/>
              <w:rPr>
                <w:szCs w:val="22"/>
                <w:highlight w:val="yellow"/>
              </w:rPr>
            </w:pPr>
            <w:r w:rsidRPr="00A705A0">
              <w:rPr>
                <w:szCs w:val="22"/>
              </w:rPr>
              <w:t>2254206</w:t>
            </w:r>
          </w:p>
        </w:tc>
        <w:tc>
          <w:tcPr>
            <w:tcW w:w="2790" w:type="dxa"/>
          </w:tcPr>
          <w:p w14:paraId="41B6FDA8" w14:textId="77777777" w:rsidR="005D57EE" w:rsidRDefault="005D57EE" w:rsidP="005D57EE">
            <w:pPr>
              <w:jc w:val="center"/>
              <w:rPr>
                <w:szCs w:val="22"/>
              </w:rPr>
            </w:pPr>
            <w:r w:rsidRPr="000A0E82">
              <w:rPr>
                <w:szCs w:val="22"/>
              </w:rPr>
              <w:t>Letter from USAC, Schools and Libraries Division, to Richard Senturia, eRateProgram, LLC, on behalf of St. Nicholas Tolentine School (dated Oct. 23, 2012) (regarding FCC Form 471 application number 858249)</w:t>
            </w:r>
          </w:p>
          <w:p w14:paraId="242DFF88" w14:textId="77777777" w:rsidR="005D57EE" w:rsidRDefault="005D57EE" w:rsidP="005D57EE">
            <w:pPr>
              <w:jc w:val="center"/>
              <w:rPr>
                <w:szCs w:val="22"/>
              </w:rPr>
            </w:pPr>
          </w:p>
          <w:p w14:paraId="13B0D4A8" w14:textId="77777777" w:rsidR="005D57EE" w:rsidRDefault="005D57EE" w:rsidP="005D57EE">
            <w:pPr>
              <w:jc w:val="center"/>
              <w:rPr>
                <w:szCs w:val="22"/>
              </w:rPr>
            </w:pPr>
            <w:r w:rsidRPr="000A0E82">
              <w:rPr>
                <w:szCs w:val="22"/>
              </w:rPr>
              <w:t>Letter from USAC, Schools and Libraries Division, to Richard Senturia, eRateProgram, LLC, on behalf of St. Nicholas Tolentine School (dated July 10, 2012) (regarding FCC Form 471 application number 829699)</w:t>
            </w:r>
          </w:p>
          <w:p w14:paraId="01DAF91E" w14:textId="77777777" w:rsidR="005D57EE" w:rsidRPr="000212D1" w:rsidRDefault="005D57EE" w:rsidP="005D57EE">
            <w:pPr>
              <w:rPr>
                <w:szCs w:val="22"/>
              </w:rPr>
            </w:pPr>
          </w:p>
        </w:tc>
        <w:tc>
          <w:tcPr>
            <w:tcW w:w="2880" w:type="dxa"/>
          </w:tcPr>
          <w:p w14:paraId="48939D55" w14:textId="77777777" w:rsidR="005D57EE" w:rsidRDefault="005D57EE" w:rsidP="005D57EE">
            <w:pPr>
              <w:jc w:val="center"/>
              <w:rPr>
                <w:szCs w:val="22"/>
              </w:rPr>
            </w:pPr>
            <w:r w:rsidRPr="00514D03">
              <w:rPr>
                <w:szCs w:val="22"/>
              </w:rPr>
              <w:t xml:space="preserve">Letter from USAC, Schools and Libraries Division, to Richard Senturia, eRateProgram, LLC, on behalf of St. Nicholas Tolentine School (dated May 13, 2014) (regarding FCC Form 471 application number 829699) </w:t>
            </w:r>
          </w:p>
          <w:p w14:paraId="6207B0E1" w14:textId="77777777" w:rsidR="005D57EE" w:rsidRDefault="005D57EE" w:rsidP="005D57EE">
            <w:pPr>
              <w:jc w:val="center"/>
              <w:rPr>
                <w:szCs w:val="22"/>
              </w:rPr>
            </w:pPr>
          </w:p>
          <w:p w14:paraId="5C1980E7" w14:textId="77777777" w:rsidR="005D57EE" w:rsidRPr="00514D03" w:rsidRDefault="005D57EE" w:rsidP="005D57EE">
            <w:pPr>
              <w:jc w:val="center"/>
              <w:rPr>
                <w:szCs w:val="22"/>
              </w:rPr>
            </w:pPr>
            <w:r w:rsidRPr="00514D03">
              <w:rPr>
                <w:szCs w:val="22"/>
              </w:rPr>
              <w:t>Letter from USAC, Schools and Libraries Division, to Richard Senturia, eRateProgram, LLC, on behalf of St. Nicholas Tolentine School (dated May 13, 2014) (regarding FCC Form 471 application number 858249</w:t>
            </w:r>
            <w:r>
              <w:rPr>
                <w:szCs w:val="22"/>
              </w:rPr>
              <w:t>)</w:t>
            </w:r>
          </w:p>
        </w:tc>
      </w:tr>
    </w:tbl>
    <w:p w14:paraId="2B77D510" w14:textId="77777777" w:rsidR="005D57EE" w:rsidRPr="00676AD4" w:rsidRDefault="005D57EE" w:rsidP="005D57EE">
      <w:pPr>
        <w:ind w:right="-180"/>
        <w:rPr>
          <w:szCs w:val="22"/>
        </w:rPr>
      </w:pPr>
    </w:p>
    <w:p w14:paraId="2F3591AB" w14:textId="77777777" w:rsidR="005D57EE" w:rsidRDefault="005D57EE" w:rsidP="00BD2C6C">
      <w:pPr>
        <w:jc w:val="center"/>
        <w:rPr>
          <w:b/>
          <w:szCs w:val="22"/>
        </w:rPr>
      </w:pPr>
      <w:r>
        <w:rPr>
          <w:szCs w:val="22"/>
        </w:rPr>
        <w:br w:type="page"/>
      </w:r>
      <w:r w:rsidRPr="00676AD4">
        <w:rPr>
          <w:b/>
          <w:szCs w:val="22"/>
        </w:rPr>
        <w:t>APPENDIX</w:t>
      </w:r>
      <w:r>
        <w:rPr>
          <w:b/>
          <w:szCs w:val="22"/>
        </w:rPr>
        <w:t xml:space="preserve"> C:</w:t>
      </w:r>
    </w:p>
    <w:p w14:paraId="35221235" w14:textId="77777777" w:rsidR="005D57EE" w:rsidRPr="00676AD4" w:rsidRDefault="005D57EE" w:rsidP="005D57EE">
      <w:pPr>
        <w:jc w:val="center"/>
        <w:rPr>
          <w:b/>
          <w:szCs w:val="22"/>
        </w:rPr>
      </w:pPr>
      <w:r>
        <w:rPr>
          <w:b/>
          <w:szCs w:val="22"/>
        </w:rPr>
        <w:t>Petitioners’ Requests for Review or Waiver and Supplements to Request for Review or Waiver</w:t>
      </w:r>
    </w:p>
    <w:p w14:paraId="772140DC" w14:textId="77777777" w:rsidR="005D57EE" w:rsidRDefault="005D57EE" w:rsidP="005D57EE">
      <w:pPr>
        <w:ind w:right="-180"/>
        <w:rPr>
          <w:b/>
          <w:szCs w:val="22"/>
          <w:u w:val="single"/>
        </w:rPr>
      </w:pPr>
    </w:p>
    <w:p w14:paraId="51C22E4F" w14:textId="77777777" w:rsidR="00BD2C6C" w:rsidRPr="00676AD4" w:rsidRDefault="00BD2C6C" w:rsidP="005D57EE">
      <w:pPr>
        <w:ind w:right="-180"/>
        <w:rPr>
          <w:b/>
          <w:szCs w:val="22"/>
          <w:u w:val="single"/>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1530"/>
        <w:gridCol w:w="1260"/>
        <w:gridCol w:w="1080"/>
        <w:gridCol w:w="3528"/>
      </w:tblGrid>
      <w:tr w:rsidR="005D57EE" w:rsidRPr="00676AD4" w14:paraId="5F60E44F" w14:textId="77777777" w:rsidTr="005D57EE">
        <w:trPr>
          <w:jc w:val="center"/>
        </w:trPr>
        <w:tc>
          <w:tcPr>
            <w:tcW w:w="2065" w:type="dxa"/>
          </w:tcPr>
          <w:p w14:paraId="2177663E" w14:textId="77777777" w:rsidR="005D57EE" w:rsidRPr="00676AD4" w:rsidRDefault="005D57EE" w:rsidP="005D57EE">
            <w:pPr>
              <w:jc w:val="center"/>
              <w:rPr>
                <w:b/>
                <w:szCs w:val="22"/>
              </w:rPr>
            </w:pPr>
            <w:r w:rsidRPr="00676AD4">
              <w:rPr>
                <w:b/>
                <w:szCs w:val="22"/>
              </w:rPr>
              <w:t>Petitioner</w:t>
            </w:r>
          </w:p>
        </w:tc>
        <w:tc>
          <w:tcPr>
            <w:tcW w:w="1530" w:type="dxa"/>
          </w:tcPr>
          <w:p w14:paraId="7C9A0E52" w14:textId="77777777" w:rsidR="005D57EE" w:rsidRDefault="005D57EE" w:rsidP="005D57EE">
            <w:pPr>
              <w:jc w:val="center"/>
              <w:rPr>
                <w:b/>
                <w:szCs w:val="22"/>
              </w:rPr>
            </w:pPr>
            <w:r>
              <w:rPr>
                <w:b/>
                <w:szCs w:val="22"/>
              </w:rPr>
              <w:t>Application</w:t>
            </w:r>
          </w:p>
          <w:p w14:paraId="3D2449AA" w14:textId="77777777" w:rsidR="005D57EE" w:rsidRPr="00676AD4" w:rsidRDefault="005D57EE" w:rsidP="005D57EE">
            <w:pPr>
              <w:jc w:val="center"/>
              <w:rPr>
                <w:szCs w:val="22"/>
              </w:rPr>
            </w:pPr>
            <w:r w:rsidRPr="00676AD4">
              <w:rPr>
                <w:b/>
                <w:szCs w:val="22"/>
              </w:rPr>
              <w:t>Number(s)</w:t>
            </w:r>
          </w:p>
        </w:tc>
        <w:tc>
          <w:tcPr>
            <w:tcW w:w="1260" w:type="dxa"/>
          </w:tcPr>
          <w:p w14:paraId="342ACB8F" w14:textId="77777777" w:rsidR="005D57EE" w:rsidRPr="00331964" w:rsidRDefault="005D57EE" w:rsidP="005D57EE">
            <w:pPr>
              <w:jc w:val="center"/>
              <w:rPr>
                <w:b/>
                <w:szCs w:val="22"/>
              </w:rPr>
            </w:pPr>
            <w:r w:rsidRPr="00331964">
              <w:rPr>
                <w:b/>
                <w:szCs w:val="22"/>
              </w:rPr>
              <w:t>Funding</w:t>
            </w:r>
          </w:p>
          <w:p w14:paraId="68D00DC1" w14:textId="77777777" w:rsidR="005D57EE" w:rsidRPr="00331964" w:rsidRDefault="005D57EE" w:rsidP="005D57EE">
            <w:pPr>
              <w:jc w:val="center"/>
              <w:rPr>
                <w:b/>
                <w:szCs w:val="22"/>
              </w:rPr>
            </w:pPr>
            <w:r w:rsidRPr="00331964">
              <w:rPr>
                <w:b/>
                <w:szCs w:val="22"/>
              </w:rPr>
              <w:t>Request Number(s)</w:t>
            </w:r>
          </w:p>
        </w:tc>
        <w:tc>
          <w:tcPr>
            <w:tcW w:w="1080" w:type="dxa"/>
          </w:tcPr>
          <w:p w14:paraId="10AC9908" w14:textId="77777777" w:rsidR="005D57EE" w:rsidRPr="00331964" w:rsidRDefault="005D57EE" w:rsidP="005D57EE">
            <w:pPr>
              <w:jc w:val="center"/>
              <w:rPr>
                <w:b/>
                <w:szCs w:val="22"/>
              </w:rPr>
            </w:pPr>
            <w:r w:rsidRPr="00331964">
              <w:rPr>
                <w:b/>
                <w:szCs w:val="22"/>
              </w:rPr>
              <w:t>Funding</w:t>
            </w:r>
          </w:p>
          <w:p w14:paraId="48777B4F" w14:textId="77777777" w:rsidR="005D57EE" w:rsidRPr="00331964" w:rsidRDefault="005D57EE" w:rsidP="005D57EE">
            <w:pPr>
              <w:jc w:val="center"/>
              <w:rPr>
                <w:szCs w:val="22"/>
              </w:rPr>
            </w:pPr>
            <w:r w:rsidRPr="00331964">
              <w:rPr>
                <w:b/>
                <w:szCs w:val="22"/>
              </w:rPr>
              <w:t>Year</w:t>
            </w:r>
          </w:p>
        </w:tc>
        <w:tc>
          <w:tcPr>
            <w:tcW w:w="3528" w:type="dxa"/>
          </w:tcPr>
          <w:p w14:paraId="2AC25068" w14:textId="77777777" w:rsidR="005D57EE" w:rsidRDefault="005D57EE" w:rsidP="005D57EE">
            <w:pPr>
              <w:jc w:val="center"/>
              <w:rPr>
                <w:b/>
                <w:szCs w:val="22"/>
              </w:rPr>
            </w:pPr>
            <w:r>
              <w:rPr>
                <w:b/>
                <w:szCs w:val="22"/>
              </w:rPr>
              <w:t>Appeal</w:t>
            </w:r>
          </w:p>
          <w:p w14:paraId="7B935CED" w14:textId="77777777" w:rsidR="005D57EE" w:rsidRPr="00676AD4" w:rsidRDefault="005D57EE" w:rsidP="005D57EE">
            <w:pPr>
              <w:jc w:val="center"/>
              <w:rPr>
                <w:b/>
                <w:szCs w:val="22"/>
              </w:rPr>
            </w:pPr>
            <w:r>
              <w:rPr>
                <w:b/>
                <w:szCs w:val="22"/>
              </w:rPr>
              <w:t>Filing Date</w:t>
            </w:r>
          </w:p>
        </w:tc>
      </w:tr>
      <w:tr w:rsidR="005D57EE" w:rsidRPr="00676AD4" w14:paraId="08FB63DB" w14:textId="77777777" w:rsidTr="005D57EE">
        <w:trPr>
          <w:trHeight w:val="980"/>
          <w:jc w:val="center"/>
        </w:trPr>
        <w:tc>
          <w:tcPr>
            <w:tcW w:w="2065" w:type="dxa"/>
          </w:tcPr>
          <w:p w14:paraId="2323A06A" w14:textId="77777777" w:rsidR="005D57EE" w:rsidRDefault="005D57EE" w:rsidP="005D57EE">
            <w:pPr>
              <w:rPr>
                <w:szCs w:val="22"/>
              </w:rPr>
            </w:pPr>
            <w:r w:rsidRPr="00676AD4">
              <w:rPr>
                <w:szCs w:val="22"/>
              </w:rPr>
              <w:t xml:space="preserve">Blessed Sacrament </w:t>
            </w:r>
          </w:p>
          <w:p w14:paraId="28CDC3B2" w14:textId="77777777" w:rsidR="005D57EE" w:rsidRPr="00676AD4" w:rsidRDefault="005D57EE" w:rsidP="005D57EE">
            <w:pPr>
              <w:rPr>
                <w:szCs w:val="22"/>
              </w:rPr>
            </w:pPr>
            <w:r w:rsidRPr="00676AD4">
              <w:rPr>
                <w:szCs w:val="22"/>
              </w:rPr>
              <w:t>School</w:t>
            </w:r>
          </w:p>
          <w:p w14:paraId="78D95E8D" w14:textId="77777777" w:rsidR="005D57EE" w:rsidRPr="00676AD4" w:rsidRDefault="005D57EE" w:rsidP="005D57EE">
            <w:pPr>
              <w:rPr>
                <w:szCs w:val="22"/>
              </w:rPr>
            </w:pPr>
            <w:r w:rsidRPr="00676AD4">
              <w:rPr>
                <w:szCs w:val="22"/>
              </w:rPr>
              <w:t>New York, NY</w:t>
            </w:r>
          </w:p>
        </w:tc>
        <w:tc>
          <w:tcPr>
            <w:tcW w:w="1530" w:type="dxa"/>
          </w:tcPr>
          <w:p w14:paraId="460D2DB9" w14:textId="77777777" w:rsidR="005D57EE" w:rsidRDefault="005D57EE" w:rsidP="005D57EE">
            <w:pPr>
              <w:jc w:val="center"/>
              <w:rPr>
                <w:szCs w:val="22"/>
              </w:rPr>
            </w:pPr>
            <w:r w:rsidRPr="00676AD4">
              <w:rPr>
                <w:szCs w:val="22"/>
              </w:rPr>
              <w:t>831551</w:t>
            </w:r>
          </w:p>
          <w:p w14:paraId="029FFEA2" w14:textId="77777777" w:rsidR="005D57EE" w:rsidRDefault="005D57EE" w:rsidP="005D57EE">
            <w:pPr>
              <w:jc w:val="center"/>
              <w:rPr>
                <w:szCs w:val="22"/>
              </w:rPr>
            </w:pPr>
          </w:p>
          <w:p w14:paraId="4EF839F5" w14:textId="77777777" w:rsidR="005D57EE" w:rsidRPr="00676AD4" w:rsidRDefault="005D57EE" w:rsidP="005D57EE">
            <w:pPr>
              <w:jc w:val="center"/>
              <w:rPr>
                <w:szCs w:val="22"/>
              </w:rPr>
            </w:pPr>
          </w:p>
          <w:p w14:paraId="23D4532F" w14:textId="77777777" w:rsidR="005D57EE" w:rsidRPr="00676AD4" w:rsidRDefault="005D57EE" w:rsidP="005D57EE">
            <w:pPr>
              <w:jc w:val="center"/>
              <w:rPr>
                <w:szCs w:val="22"/>
              </w:rPr>
            </w:pPr>
            <w:r w:rsidRPr="00676AD4">
              <w:rPr>
                <w:szCs w:val="22"/>
              </w:rPr>
              <w:t>863006</w:t>
            </w:r>
          </w:p>
        </w:tc>
        <w:tc>
          <w:tcPr>
            <w:tcW w:w="1260" w:type="dxa"/>
          </w:tcPr>
          <w:p w14:paraId="23880120" w14:textId="77777777" w:rsidR="005D57EE" w:rsidRDefault="005D57EE" w:rsidP="005D57EE">
            <w:pPr>
              <w:jc w:val="center"/>
              <w:rPr>
                <w:szCs w:val="22"/>
              </w:rPr>
            </w:pPr>
            <w:r>
              <w:rPr>
                <w:szCs w:val="22"/>
              </w:rPr>
              <w:t>2258193</w:t>
            </w:r>
          </w:p>
          <w:p w14:paraId="339FF44E" w14:textId="77777777" w:rsidR="005D57EE" w:rsidRDefault="005D57EE" w:rsidP="005D57EE">
            <w:pPr>
              <w:jc w:val="center"/>
              <w:rPr>
                <w:szCs w:val="22"/>
              </w:rPr>
            </w:pPr>
            <w:r w:rsidRPr="00E2684B">
              <w:rPr>
                <w:szCs w:val="22"/>
              </w:rPr>
              <w:t>2258197</w:t>
            </w:r>
          </w:p>
          <w:p w14:paraId="1A6C1959" w14:textId="77777777" w:rsidR="005D57EE" w:rsidRDefault="005D57EE" w:rsidP="005D57EE">
            <w:pPr>
              <w:jc w:val="center"/>
              <w:rPr>
                <w:szCs w:val="22"/>
              </w:rPr>
            </w:pPr>
          </w:p>
          <w:p w14:paraId="401529F9" w14:textId="77777777" w:rsidR="005D57EE" w:rsidRPr="00EE4948" w:rsidRDefault="005D57EE" w:rsidP="005D57EE">
            <w:pPr>
              <w:jc w:val="center"/>
              <w:rPr>
                <w:szCs w:val="22"/>
                <w:highlight w:val="yellow"/>
              </w:rPr>
            </w:pPr>
            <w:r w:rsidRPr="00E2684B">
              <w:rPr>
                <w:szCs w:val="22"/>
              </w:rPr>
              <w:t>2350065</w:t>
            </w:r>
          </w:p>
        </w:tc>
        <w:tc>
          <w:tcPr>
            <w:tcW w:w="1080" w:type="dxa"/>
          </w:tcPr>
          <w:p w14:paraId="06F8099B" w14:textId="77777777" w:rsidR="005D57EE" w:rsidRPr="00676AD4" w:rsidRDefault="005D57EE" w:rsidP="005D57EE">
            <w:pPr>
              <w:jc w:val="center"/>
              <w:rPr>
                <w:szCs w:val="22"/>
              </w:rPr>
            </w:pPr>
            <w:r>
              <w:rPr>
                <w:szCs w:val="22"/>
              </w:rPr>
              <w:t>2012</w:t>
            </w:r>
          </w:p>
        </w:tc>
        <w:tc>
          <w:tcPr>
            <w:tcW w:w="3528" w:type="dxa"/>
          </w:tcPr>
          <w:p w14:paraId="7495321B" w14:textId="77777777" w:rsidR="005D57EE" w:rsidRDefault="005D57EE" w:rsidP="005D57EE">
            <w:pPr>
              <w:jc w:val="center"/>
              <w:rPr>
                <w:szCs w:val="22"/>
              </w:rPr>
            </w:pPr>
            <w:r>
              <w:rPr>
                <w:szCs w:val="22"/>
              </w:rPr>
              <w:t>7/11/2014</w:t>
            </w:r>
          </w:p>
          <w:p w14:paraId="1AB03BDC" w14:textId="77777777" w:rsidR="005D57EE" w:rsidRDefault="005D57EE" w:rsidP="005D57EE">
            <w:pPr>
              <w:jc w:val="center"/>
              <w:rPr>
                <w:szCs w:val="22"/>
              </w:rPr>
            </w:pPr>
            <w:r>
              <w:rPr>
                <w:szCs w:val="22"/>
              </w:rPr>
              <w:t>(Request for Review or Waiver)</w:t>
            </w:r>
          </w:p>
          <w:p w14:paraId="75F518BF" w14:textId="77777777" w:rsidR="005D57EE" w:rsidRDefault="005D57EE" w:rsidP="005D57EE">
            <w:pPr>
              <w:jc w:val="center"/>
              <w:rPr>
                <w:szCs w:val="22"/>
              </w:rPr>
            </w:pPr>
          </w:p>
          <w:p w14:paraId="56C34F92" w14:textId="77777777" w:rsidR="005D57EE" w:rsidRDefault="005D57EE" w:rsidP="005D57EE">
            <w:pPr>
              <w:jc w:val="center"/>
              <w:rPr>
                <w:szCs w:val="22"/>
              </w:rPr>
            </w:pPr>
            <w:r>
              <w:rPr>
                <w:szCs w:val="22"/>
              </w:rPr>
              <w:t xml:space="preserve">10/21/2014 </w:t>
            </w:r>
          </w:p>
          <w:p w14:paraId="1DD07B5E" w14:textId="77777777" w:rsidR="005D57EE" w:rsidRDefault="005D57EE" w:rsidP="005D57EE">
            <w:pPr>
              <w:jc w:val="center"/>
              <w:rPr>
                <w:szCs w:val="22"/>
              </w:rPr>
            </w:pPr>
            <w:r>
              <w:rPr>
                <w:szCs w:val="22"/>
              </w:rPr>
              <w:t>(Supplement to Request for Review or Waiver)</w:t>
            </w:r>
          </w:p>
          <w:p w14:paraId="62198B21" w14:textId="77777777" w:rsidR="005D57EE" w:rsidRDefault="005D57EE" w:rsidP="005D57EE">
            <w:pPr>
              <w:jc w:val="center"/>
              <w:rPr>
                <w:szCs w:val="22"/>
              </w:rPr>
            </w:pPr>
          </w:p>
        </w:tc>
      </w:tr>
      <w:tr w:rsidR="005D57EE" w:rsidRPr="00676AD4" w14:paraId="2F10A62E" w14:textId="77777777" w:rsidTr="005D57EE">
        <w:trPr>
          <w:jc w:val="center"/>
        </w:trPr>
        <w:tc>
          <w:tcPr>
            <w:tcW w:w="2065" w:type="dxa"/>
          </w:tcPr>
          <w:p w14:paraId="2F328D7E" w14:textId="77777777" w:rsidR="005D57EE" w:rsidRDefault="005D57EE" w:rsidP="005D57EE">
            <w:pPr>
              <w:rPr>
                <w:szCs w:val="22"/>
              </w:rPr>
            </w:pPr>
            <w:r w:rsidRPr="00676AD4">
              <w:rPr>
                <w:szCs w:val="22"/>
              </w:rPr>
              <w:t xml:space="preserve">Mount Carmel-Holy </w:t>
            </w:r>
          </w:p>
          <w:p w14:paraId="416AF8CF" w14:textId="77777777" w:rsidR="005D57EE" w:rsidRPr="00676AD4" w:rsidRDefault="005D57EE" w:rsidP="005D57EE">
            <w:pPr>
              <w:rPr>
                <w:szCs w:val="22"/>
              </w:rPr>
            </w:pPr>
            <w:r w:rsidRPr="00676AD4">
              <w:rPr>
                <w:szCs w:val="22"/>
              </w:rPr>
              <w:t>Rosary School</w:t>
            </w:r>
          </w:p>
          <w:p w14:paraId="3FD7F577" w14:textId="77777777" w:rsidR="005D57EE" w:rsidRPr="00676AD4" w:rsidRDefault="005D57EE" w:rsidP="005D57EE">
            <w:pPr>
              <w:rPr>
                <w:szCs w:val="22"/>
              </w:rPr>
            </w:pPr>
            <w:r w:rsidRPr="00A90519">
              <w:rPr>
                <w:szCs w:val="22"/>
              </w:rPr>
              <w:t>New York, NY</w:t>
            </w:r>
          </w:p>
        </w:tc>
        <w:tc>
          <w:tcPr>
            <w:tcW w:w="1530" w:type="dxa"/>
          </w:tcPr>
          <w:p w14:paraId="5AF0AF05" w14:textId="77777777" w:rsidR="005D57EE" w:rsidRPr="00676AD4" w:rsidRDefault="005D57EE" w:rsidP="005D57EE">
            <w:pPr>
              <w:jc w:val="center"/>
              <w:rPr>
                <w:szCs w:val="22"/>
              </w:rPr>
            </w:pPr>
            <w:r w:rsidRPr="00676AD4">
              <w:rPr>
                <w:szCs w:val="22"/>
              </w:rPr>
              <w:t>858216</w:t>
            </w:r>
          </w:p>
        </w:tc>
        <w:tc>
          <w:tcPr>
            <w:tcW w:w="1260" w:type="dxa"/>
          </w:tcPr>
          <w:p w14:paraId="5E773605" w14:textId="77777777" w:rsidR="005D57EE" w:rsidRDefault="005D57EE" w:rsidP="005D57EE">
            <w:pPr>
              <w:jc w:val="center"/>
              <w:rPr>
                <w:szCs w:val="22"/>
              </w:rPr>
            </w:pPr>
            <w:r>
              <w:rPr>
                <w:szCs w:val="22"/>
              </w:rPr>
              <w:t>2335266</w:t>
            </w:r>
          </w:p>
          <w:p w14:paraId="1E604A8A" w14:textId="77777777" w:rsidR="005D57EE" w:rsidRPr="00EE4948" w:rsidRDefault="005D57EE" w:rsidP="005D57EE">
            <w:pPr>
              <w:jc w:val="center"/>
              <w:rPr>
                <w:szCs w:val="22"/>
                <w:highlight w:val="yellow"/>
              </w:rPr>
            </w:pPr>
            <w:r w:rsidRPr="00E2684B">
              <w:rPr>
                <w:szCs w:val="22"/>
              </w:rPr>
              <w:t>2335314</w:t>
            </w:r>
          </w:p>
        </w:tc>
        <w:tc>
          <w:tcPr>
            <w:tcW w:w="1080" w:type="dxa"/>
          </w:tcPr>
          <w:p w14:paraId="6F18591C" w14:textId="77777777" w:rsidR="005D57EE" w:rsidRPr="00676AD4" w:rsidRDefault="005D57EE" w:rsidP="005D57EE">
            <w:pPr>
              <w:jc w:val="center"/>
              <w:rPr>
                <w:szCs w:val="22"/>
              </w:rPr>
            </w:pPr>
            <w:r>
              <w:rPr>
                <w:szCs w:val="22"/>
              </w:rPr>
              <w:t>2012</w:t>
            </w:r>
          </w:p>
        </w:tc>
        <w:tc>
          <w:tcPr>
            <w:tcW w:w="3528" w:type="dxa"/>
          </w:tcPr>
          <w:p w14:paraId="141F843B" w14:textId="77777777" w:rsidR="005D57EE" w:rsidRPr="000E4DD1" w:rsidRDefault="005D57EE" w:rsidP="005D57EE">
            <w:pPr>
              <w:jc w:val="center"/>
              <w:rPr>
                <w:szCs w:val="22"/>
              </w:rPr>
            </w:pPr>
            <w:r w:rsidRPr="000E4DD1">
              <w:rPr>
                <w:szCs w:val="22"/>
              </w:rPr>
              <w:t>7/11/2014</w:t>
            </w:r>
          </w:p>
          <w:p w14:paraId="1820850E" w14:textId="77777777" w:rsidR="005D57EE" w:rsidRPr="000E4DD1" w:rsidRDefault="005D57EE" w:rsidP="005D57EE">
            <w:pPr>
              <w:jc w:val="center"/>
              <w:rPr>
                <w:szCs w:val="22"/>
              </w:rPr>
            </w:pPr>
            <w:r w:rsidRPr="000E4DD1">
              <w:rPr>
                <w:szCs w:val="22"/>
              </w:rPr>
              <w:t>(Request for Review or Waiver)</w:t>
            </w:r>
          </w:p>
          <w:p w14:paraId="329D37B6" w14:textId="77777777" w:rsidR="005D57EE" w:rsidRPr="000E4DD1" w:rsidRDefault="005D57EE" w:rsidP="005D57EE">
            <w:pPr>
              <w:jc w:val="center"/>
              <w:rPr>
                <w:szCs w:val="22"/>
              </w:rPr>
            </w:pPr>
          </w:p>
          <w:p w14:paraId="546F21D9" w14:textId="77777777" w:rsidR="005D57EE" w:rsidRPr="000E4DD1" w:rsidRDefault="005D57EE" w:rsidP="005D57EE">
            <w:pPr>
              <w:jc w:val="center"/>
              <w:rPr>
                <w:szCs w:val="22"/>
              </w:rPr>
            </w:pPr>
            <w:r w:rsidRPr="000E4DD1">
              <w:rPr>
                <w:szCs w:val="22"/>
              </w:rPr>
              <w:t xml:space="preserve">10/21/2014 </w:t>
            </w:r>
          </w:p>
          <w:p w14:paraId="46726EC7" w14:textId="77777777" w:rsidR="005D57EE" w:rsidRDefault="005D57EE" w:rsidP="005D57EE">
            <w:pPr>
              <w:jc w:val="center"/>
              <w:rPr>
                <w:szCs w:val="22"/>
              </w:rPr>
            </w:pPr>
            <w:r w:rsidRPr="000E4DD1">
              <w:rPr>
                <w:szCs w:val="22"/>
              </w:rPr>
              <w:t>(</w:t>
            </w:r>
            <w:r w:rsidRPr="00DF4748">
              <w:rPr>
                <w:szCs w:val="22"/>
              </w:rPr>
              <w:t xml:space="preserve">Supplement to </w:t>
            </w:r>
            <w:r w:rsidRPr="000E4DD1">
              <w:rPr>
                <w:szCs w:val="22"/>
              </w:rPr>
              <w:t>Request for Review or Waiver)</w:t>
            </w:r>
          </w:p>
        </w:tc>
      </w:tr>
      <w:tr w:rsidR="005D57EE" w:rsidRPr="00676AD4" w14:paraId="2A255B51" w14:textId="77777777" w:rsidTr="005D57EE">
        <w:trPr>
          <w:trHeight w:val="2087"/>
          <w:jc w:val="center"/>
        </w:trPr>
        <w:tc>
          <w:tcPr>
            <w:tcW w:w="2065" w:type="dxa"/>
          </w:tcPr>
          <w:p w14:paraId="2CC3FD0B" w14:textId="77777777" w:rsidR="005D57EE" w:rsidRPr="00676AD4" w:rsidRDefault="005D57EE" w:rsidP="005D57EE">
            <w:pPr>
              <w:rPr>
                <w:szCs w:val="22"/>
              </w:rPr>
            </w:pPr>
            <w:r w:rsidRPr="00676AD4">
              <w:rPr>
                <w:szCs w:val="22"/>
              </w:rPr>
              <w:t>St. Aloysius School</w:t>
            </w:r>
          </w:p>
          <w:p w14:paraId="75CF49A9" w14:textId="77777777" w:rsidR="005D57EE" w:rsidRPr="00676AD4" w:rsidRDefault="005D57EE" w:rsidP="005D57EE">
            <w:pPr>
              <w:rPr>
                <w:szCs w:val="22"/>
              </w:rPr>
            </w:pPr>
            <w:r w:rsidRPr="00A90519">
              <w:rPr>
                <w:szCs w:val="22"/>
              </w:rPr>
              <w:t>New York, NY</w:t>
            </w:r>
          </w:p>
        </w:tc>
        <w:tc>
          <w:tcPr>
            <w:tcW w:w="1530" w:type="dxa"/>
          </w:tcPr>
          <w:p w14:paraId="2C49E137" w14:textId="77777777" w:rsidR="005D57EE" w:rsidRDefault="005D57EE" w:rsidP="005D57EE">
            <w:pPr>
              <w:jc w:val="center"/>
              <w:rPr>
                <w:szCs w:val="22"/>
              </w:rPr>
            </w:pPr>
            <w:r>
              <w:rPr>
                <w:szCs w:val="22"/>
              </w:rPr>
              <w:t>837162</w:t>
            </w:r>
          </w:p>
          <w:p w14:paraId="2951C888" w14:textId="77777777" w:rsidR="005D57EE" w:rsidRDefault="005D57EE" w:rsidP="005D57EE">
            <w:pPr>
              <w:jc w:val="center"/>
              <w:rPr>
                <w:szCs w:val="22"/>
              </w:rPr>
            </w:pPr>
          </w:p>
          <w:p w14:paraId="4186E32C" w14:textId="77777777" w:rsidR="005D57EE" w:rsidRDefault="005D57EE" w:rsidP="005D57EE">
            <w:pPr>
              <w:jc w:val="center"/>
              <w:rPr>
                <w:szCs w:val="22"/>
              </w:rPr>
            </w:pPr>
          </w:p>
          <w:p w14:paraId="6EC5D9AF" w14:textId="77777777" w:rsidR="005D57EE" w:rsidRDefault="005D57EE" w:rsidP="005D57EE">
            <w:pPr>
              <w:jc w:val="center"/>
              <w:rPr>
                <w:szCs w:val="22"/>
              </w:rPr>
            </w:pPr>
          </w:p>
          <w:p w14:paraId="373D1273" w14:textId="77777777" w:rsidR="005D57EE" w:rsidRPr="00676AD4" w:rsidRDefault="005D57EE" w:rsidP="005D57EE">
            <w:pPr>
              <w:jc w:val="center"/>
              <w:rPr>
                <w:szCs w:val="22"/>
              </w:rPr>
            </w:pPr>
            <w:r w:rsidRPr="006B290E">
              <w:rPr>
                <w:szCs w:val="22"/>
              </w:rPr>
              <w:t>858274</w:t>
            </w:r>
          </w:p>
        </w:tc>
        <w:tc>
          <w:tcPr>
            <w:tcW w:w="1260" w:type="dxa"/>
          </w:tcPr>
          <w:p w14:paraId="3CF993A1" w14:textId="77777777" w:rsidR="005D57EE" w:rsidRDefault="005D57EE" w:rsidP="005D57EE">
            <w:pPr>
              <w:jc w:val="center"/>
              <w:rPr>
                <w:szCs w:val="22"/>
              </w:rPr>
            </w:pPr>
            <w:r>
              <w:rPr>
                <w:szCs w:val="22"/>
              </w:rPr>
              <w:t>2271656</w:t>
            </w:r>
          </w:p>
          <w:p w14:paraId="4DA156C3" w14:textId="77777777" w:rsidR="005D57EE" w:rsidRDefault="005D57EE" w:rsidP="005D57EE">
            <w:pPr>
              <w:jc w:val="center"/>
              <w:rPr>
                <w:szCs w:val="22"/>
              </w:rPr>
            </w:pPr>
            <w:r>
              <w:rPr>
                <w:szCs w:val="22"/>
              </w:rPr>
              <w:t>2271652</w:t>
            </w:r>
          </w:p>
          <w:p w14:paraId="418A576C" w14:textId="77777777" w:rsidR="005D57EE" w:rsidRDefault="005D57EE" w:rsidP="005D57EE">
            <w:pPr>
              <w:jc w:val="center"/>
              <w:rPr>
                <w:szCs w:val="22"/>
              </w:rPr>
            </w:pPr>
            <w:r w:rsidRPr="002D4596">
              <w:rPr>
                <w:szCs w:val="22"/>
              </w:rPr>
              <w:t>2271658</w:t>
            </w:r>
          </w:p>
          <w:p w14:paraId="7348A93E" w14:textId="77777777" w:rsidR="005D57EE" w:rsidRDefault="005D57EE" w:rsidP="005D57EE">
            <w:pPr>
              <w:jc w:val="center"/>
              <w:rPr>
                <w:szCs w:val="22"/>
              </w:rPr>
            </w:pPr>
          </w:p>
          <w:p w14:paraId="459195A7" w14:textId="77777777" w:rsidR="005D57EE" w:rsidRPr="00EE4948" w:rsidRDefault="005D57EE" w:rsidP="005D57EE">
            <w:pPr>
              <w:jc w:val="center"/>
              <w:rPr>
                <w:szCs w:val="22"/>
                <w:highlight w:val="yellow"/>
              </w:rPr>
            </w:pPr>
            <w:r w:rsidRPr="00B55FD7">
              <w:rPr>
                <w:szCs w:val="22"/>
              </w:rPr>
              <w:t>2335462</w:t>
            </w:r>
          </w:p>
        </w:tc>
        <w:tc>
          <w:tcPr>
            <w:tcW w:w="1080" w:type="dxa"/>
          </w:tcPr>
          <w:p w14:paraId="7D26F152" w14:textId="77777777" w:rsidR="005D57EE" w:rsidRPr="00676AD4" w:rsidRDefault="005D57EE" w:rsidP="005D57EE">
            <w:pPr>
              <w:jc w:val="center"/>
              <w:rPr>
                <w:szCs w:val="22"/>
              </w:rPr>
            </w:pPr>
            <w:r>
              <w:rPr>
                <w:szCs w:val="22"/>
              </w:rPr>
              <w:t>2012</w:t>
            </w:r>
          </w:p>
        </w:tc>
        <w:tc>
          <w:tcPr>
            <w:tcW w:w="3528" w:type="dxa"/>
          </w:tcPr>
          <w:p w14:paraId="5A04C5D5" w14:textId="77777777" w:rsidR="005D57EE" w:rsidRPr="000E4DD1" w:rsidRDefault="005D57EE" w:rsidP="005D57EE">
            <w:pPr>
              <w:jc w:val="center"/>
              <w:rPr>
                <w:szCs w:val="22"/>
              </w:rPr>
            </w:pPr>
            <w:r w:rsidRPr="000E4DD1">
              <w:rPr>
                <w:szCs w:val="22"/>
              </w:rPr>
              <w:t>7/11/2014</w:t>
            </w:r>
          </w:p>
          <w:p w14:paraId="04265DB7" w14:textId="77777777" w:rsidR="005D57EE" w:rsidRPr="000E4DD1" w:rsidRDefault="005D57EE" w:rsidP="005D57EE">
            <w:pPr>
              <w:jc w:val="center"/>
              <w:rPr>
                <w:szCs w:val="22"/>
              </w:rPr>
            </w:pPr>
            <w:r w:rsidRPr="000E4DD1">
              <w:rPr>
                <w:szCs w:val="22"/>
              </w:rPr>
              <w:t>(Request for Review or Waiver)</w:t>
            </w:r>
          </w:p>
          <w:p w14:paraId="4EE5E715" w14:textId="77777777" w:rsidR="005D57EE" w:rsidRPr="000E4DD1" w:rsidRDefault="005D57EE" w:rsidP="005D57EE">
            <w:pPr>
              <w:jc w:val="center"/>
              <w:rPr>
                <w:szCs w:val="22"/>
              </w:rPr>
            </w:pPr>
          </w:p>
          <w:p w14:paraId="64DEF3E8" w14:textId="77777777" w:rsidR="005D57EE" w:rsidRPr="000E4DD1" w:rsidRDefault="005D57EE" w:rsidP="005D57EE">
            <w:pPr>
              <w:jc w:val="center"/>
              <w:rPr>
                <w:szCs w:val="22"/>
              </w:rPr>
            </w:pPr>
            <w:r w:rsidRPr="000E4DD1">
              <w:rPr>
                <w:szCs w:val="22"/>
              </w:rPr>
              <w:t xml:space="preserve">10/21/2014 </w:t>
            </w:r>
          </w:p>
          <w:p w14:paraId="583FFEF8" w14:textId="77777777" w:rsidR="005D57EE" w:rsidRDefault="005D57EE" w:rsidP="005D57EE">
            <w:pPr>
              <w:jc w:val="center"/>
              <w:rPr>
                <w:szCs w:val="22"/>
              </w:rPr>
            </w:pPr>
            <w:r w:rsidRPr="000E4DD1">
              <w:rPr>
                <w:szCs w:val="22"/>
              </w:rPr>
              <w:t>(</w:t>
            </w:r>
            <w:r w:rsidRPr="00DF4748">
              <w:rPr>
                <w:szCs w:val="22"/>
              </w:rPr>
              <w:t xml:space="preserve">Supplement to </w:t>
            </w:r>
            <w:r w:rsidRPr="000E4DD1">
              <w:rPr>
                <w:szCs w:val="22"/>
              </w:rPr>
              <w:t>Request for Review or Waiver)</w:t>
            </w:r>
          </w:p>
        </w:tc>
      </w:tr>
      <w:tr w:rsidR="005D57EE" w:rsidRPr="00676AD4" w14:paraId="51A49DEC" w14:textId="77777777" w:rsidTr="005D57EE">
        <w:trPr>
          <w:jc w:val="center"/>
        </w:trPr>
        <w:tc>
          <w:tcPr>
            <w:tcW w:w="2065" w:type="dxa"/>
          </w:tcPr>
          <w:p w14:paraId="762D097D" w14:textId="77777777" w:rsidR="005D57EE" w:rsidRPr="00676AD4" w:rsidRDefault="005D57EE" w:rsidP="005D57EE">
            <w:pPr>
              <w:rPr>
                <w:szCs w:val="22"/>
              </w:rPr>
            </w:pPr>
            <w:r w:rsidRPr="00676AD4">
              <w:rPr>
                <w:szCs w:val="22"/>
              </w:rPr>
              <w:t>St. Ann School</w:t>
            </w:r>
          </w:p>
          <w:p w14:paraId="38D20329" w14:textId="77777777" w:rsidR="005D57EE" w:rsidRPr="00676AD4" w:rsidRDefault="005D57EE" w:rsidP="005D57EE">
            <w:pPr>
              <w:rPr>
                <w:szCs w:val="22"/>
              </w:rPr>
            </w:pPr>
            <w:r w:rsidRPr="00A90519">
              <w:rPr>
                <w:szCs w:val="22"/>
              </w:rPr>
              <w:t>New York, NY</w:t>
            </w:r>
          </w:p>
        </w:tc>
        <w:tc>
          <w:tcPr>
            <w:tcW w:w="1530" w:type="dxa"/>
          </w:tcPr>
          <w:p w14:paraId="6BD01462" w14:textId="77777777" w:rsidR="005D57EE" w:rsidRDefault="005D57EE" w:rsidP="005D57EE">
            <w:pPr>
              <w:jc w:val="center"/>
              <w:rPr>
                <w:szCs w:val="22"/>
              </w:rPr>
            </w:pPr>
            <w:r>
              <w:rPr>
                <w:szCs w:val="22"/>
              </w:rPr>
              <w:t>858098</w:t>
            </w:r>
          </w:p>
          <w:p w14:paraId="28AAE14C" w14:textId="77777777" w:rsidR="005D57EE" w:rsidRDefault="005D57EE" w:rsidP="005D57EE">
            <w:pPr>
              <w:jc w:val="center"/>
              <w:rPr>
                <w:szCs w:val="22"/>
              </w:rPr>
            </w:pPr>
          </w:p>
          <w:p w14:paraId="3E91F774" w14:textId="77777777" w:rsidR="005D57EE" w:rsidRPr="00676AD4" w:rsidRDefault="005D57EE" w:rsidP="005D57EE">
            <w:pPr>
              <w:jc w:val="center"/>
              <w:rPr>
                <w:szCs w:val="22"/>
              </w:rPr>
            </w:pPr>
            <w:r w:rsidRPr="00A81E71">
              <w:rPr>
                <w:szCs w:val="22"/>
              </w:rPr>
              <w:t>860715</w:t>
            </w:r>
          </w:p>
        </w:tc>
        <w:tc>
          <w:tcPr>
            <w:tcW w:w="1260" w:type="dxa"/>
          </w:tcPr>
          <w:p w14:paraId="00CEE4A0" w14:textId="77777777" w:rsidR="005D57EE" w:rsidRDefault="005D57EE" w:rsidP="005D57EE">
            <w:pPr>
              <w:jc w:val="center"/>
              <w:rPr>
                <w:szCs w:val="22"/>
              </w:rPr>
            </w:pPr>
            <w:r w:rsidRPr="0006109C">
              <w:rPr>
                <w:szCs w:val="22"/>
              </w:rPr>
              <w:t>2334842</w:t>
            </w:r>
          </w:p>
          <w:p w14:paraId="1C258C8B" w14:textId="77777777" w:rsidR="005D57EE" w:rsidRDefault="005D57EE" w:rsidP="005D57EE">
            <w:pPr>
              <w:jc w:val="center"/>
              <w:rPr>
                <w:szCs w:val="22"/>
              </w:rPr>
            </w:pPr>
          </w:p>
          <w:p w14:paraId="678D6FBC" w14:textId="77777777" w:rsidR="005D57EE" w:rsidRPr="00EE4948" w:rsidRDefault="005D57EE" w:rsidP="005D57EE">
            <w:pPr>
              <w:jc w:val="center"/>
              <w:rPr>
                <w:szCs w:val="22"/>
                <w:highlight w:val="yellow"/>
              </w:rPr>
            </w:pPr>
            <w:r w:rsidRPr="00A402B6">
              <w:rPr>
                <w:szCs w:val="22"/>
              </w:rPr>
              <w:t>2343175</w:t>
            </w:r>
          </w:p>
        </w:tc>
        <w:tc>
          <w:tcPr>
            <w:tcW w:w="1080" w:type="dxa"/>
          </w:tcPr>
          <w:p w14:paraId="38047054" w14:textId="77777777" w:rsidR="005D57EE" w:rsidRPr="00676AD4" w:rsidRDefault="005D57EE" w:rsidP="005D57EE">
            <w:pPr>
              <w:jc w:val="center"/>
              <w:rPr>
                <w:szCs w:val="22"/>
              </w:rPr>
            </w:pPr>
            <w:r>
              <w:rPr>
                <w:szCs w:val="22"/>
              </w:rPr>
              <w:t>2012</w:t>
            </w:r>
          </w:p>
        </w:tc>
        <w:tc>
          <w:tcPr>
            <w:tcW w:w="3528" w:type="dxa"/>
          </w:tcPr>
          <w:p w14:paraId="1D560D66" w14:textId="77777777" w:rsidR="005D57EE" w:rsidRPr="000E4DD1" w:rsidRDefault="005D57EE" w:rsidP="005D57EE">
            <w:pPr>
              <w:jc w:val="center"/>
              <w:rPr>
                <w:szCs w:val="22"/>
              </w:rPr>
            </w:pPr>
            <w:r w:rsidRPr="000E4DD1">
              <w:rPr>
                <w:szCs w:val="22"/>
              </w:rPr>
              <w:t>7/11/2014</w:t>
            </w:r>
          </w:p>
          <w:p w14:paraId="094CD574" w14:textId="77777777" w:rsidR="005D57EE" w:rsidRPr="000E4DD1" w:rsidRDefault="005D57EE" w:rsidP="005D57EE">
            <w:pPr>
              <w:jc w:val="center"/>
              <w:rPr>
                <w:szCs w:val="22"/>
              </w:rPr>
            </w:pPr>
            <w:r w:rsidRPr="000E4DD1">
              <w:rPr>
                <w:szCs w:val="22"/>
              </w:rPr>
              <w:t>(Request for Review or Waiver)</w:t>
            </w:r>
          </w:p>
          <w:p w14:paraId="63A57CFC" w14:textId="77777777" w:rsidR="005D57EE" w:rsidRPr="000E4DD1" w:rsidRDefault="005D57EE" w:rsidP="005D57EE">
            <w:pPr>
              <w:jc w:val="center"/>
              <w:rPr>
                <w:szCs w:val="22"/>
              </w:rPr>
            </w:pPr>
          </w:p>
          <w:p w14:paraId="5EB8B213" w14:textId="77777777" w:rsidR="005D57EE" w:rsidRPr="000E4DD1" w:rsidRDefault="005D57EE" w:rsidP="005D57EE">
            <w:pPr>
              <w:jc w:val="center"/>
              <w:rPr>
                <w:szCs w:val="22"/>
              </w:rPr>
            </w:pPr>
            <w:r w:rsidRPr="000E4DD1">
              <w:rPr>
                <w:szCs w:val="22"/>
              </w:rPr>
              <w:t xml:space="preserve">10/21/2014 </w:t>
            </w:r>
          </w:p>
          <w:p w14:paraId="6E947DA2" w14:textId="77777777" w:rsidR="005D57EE" w:rsidRDefault="005D57EE" w:rsidP="005D57EE">
            <w:pPr>
              <w:jc w:val="center"/>
              <w:rPr>
                <w:szCs w:val="22"/>
              </w:rPr>
            </w:pPr>
            <w:r w:rsidRPr="000E4DD1">
              <w:rPr>
                <w:szCs w:val="22"/>
              </w:rPr>
              <w:t>(</w:t>
            </w:r>
            <w:r w:rsidRPr="00DF4748">
              <w:rPr>
                <w:szCs w:val="22"/>
              </w:rPr>
              <w:t xml:space="preserve">Supplement to </w:t>
            </w:r>
            <w:r w:rsidRPr="000E4DD1">
              <w:rPr>
                <w:szCs w:val="22"/>
              </w:rPr>
              <w:t>Request for Review or Waiver)</w:t>
            </w:r>
          </w:p>
        </w:tc>
      </w:tr>
      <w:tr w:rsidR="005D57EE" w:rsidRPr="00676AD4" w14:paraId="2E23E92F" w14:textId="77777777" w:rsidTr="005D57EE">
        <w:trPr>
          <w:jc w:val="center"/>
        </w:trPr>
        <w:tc>
          <w:tcPr>
            <w:tcW w:w="2065" w:type="dxa"/>
          </w:tcPr>
          <w:p w14:paraId="334B3A21" w14:textId="77777777" w:rsidR="005D57EE" w:rsidRPr="00676AD4" w:rsidRDefault="005D57EE" w:rsidP="005D57EE">
            <w:pPr>
              <w:rPr>
                <w:szCs w:val="22"/>
              </w:rPr>
            </w:pPr>
            <w:r w:rsidRPr="00676AD4">
              <w:rPr>
                <w:szCs w:val="22"/>
              </w:rPr>
              <w:t>St. Anthony School</w:t>
            </w:r>
          </w:p>
          <w:p w14:paraId="6801E432" w14:textId="77777777" w:rsidR="005D57EE" w:rsidRPr="00676AD4" w:rsidRDefault="005D57EE" w:rsidP="005D57EE">
            <w:pPr>
              <w:rPr>
                <w:szCs w:val="22"/>
              </w:rPr>
            </w:pPr>
            <w:r w:rsidRPr="00A90519">
              <w:rPr>
                <w:szCs w:val="22"/>
              </w:rPr>
              <w:t>New York, NY</w:t>
            </w:r>
          </w:p>
        </w:tc>
        <w:tc>
          <w:tcPr>
            <w:tcW w:w="1530" w:type="dxa"/>
          </w:tcPr>
          <w:p w14:paraId="2B9C34B2" w14:textId="77777777" w:rsidR="005D57EE" w:rsidRDefault="005D57EE" w:rsidP="005D57EE">
            <w:pPr>
              <w:jc w:val="center"/>
              <w:rPr>
                <w:szCs w:val="22"/>
              </w:rPr>
            </w:pPr>
            <w:r>
              <w:rPr>
                <w:szCs w:val="22"/>
              </w:rPr>
              <w:t>837212</w:t>
            </w:r>
          </w:p>
          <w:p w14:paraId="229E6509" w14:textId="77777777" w:rsidR="005D57EE" w:rsidRDefault="005D57EE" w:rsidP="005D57EE">
            <w:pPr>
              <w:jc w:val="center"/>
              <w:rPr>
                <w:szCs w:val="22"/>
              </w:rPr>
            </w:pPr>
          </w:p>
          <w:p w14:paraId="3196D1FA" w14:textId="77777777" w:rsidR="005D57EE" w:rsidRDefault="005D57EE" w:rsidP="005D57EE">
            <w:pPr>
              <w:rPr>
                <w:szCs w:val="22"/>
              </w:rPr>
            </w:pPr>
          </w:p>
          <w:p w14:paraId="02023725" w14:textId="77777777" w:rsidR="005D57EE" w:rsidRPr="00676AD4" w:rsidRDefault="005D57EE" w:rsidP="005D57EE">
            <w:pPr>
              <w:jc w:val="center"/>
              <w:rPr>
                <w:szCs w:val="22"/>
              </w:rPr>
            </w:pPr>
            <w:r w:rsidRPr="00C863D1">
              <w:rPr>
                <w:szCs w:val="22"/>
              </w:rPr>
              <w:t>868057</w:t>
            </w:r>
          </w:p>
        </w:tc>
        <w:tc>
          <w:tcPr>
            <w:tcW w:w="1260" w:type="dxa"/>
          </w:tcPr>
          <w:p w14:paraId="2A0A3952" w14:textId="77777777" w:rsidR="005D57EE" w:rsidRDefault="005D57EE" w:rsidP="005D57EE">
            <w:pPr>
              <w:jc w:val="center"/>
              <w:rPr>
                <w:szCs w:val="22"/>
              </w:rPr>
            </w:pPr>
            <w:r>
              <w:rPr>
                <w:szCs w:val="22"/>
              </w:rPr>
              <w:t>2271725</w:t>
            </w:r>
          </w:p>
          <w:p w14:paraId="6545BF14" w14:textId="77777777" w:rsidR="005D57EE" w:rsidRDefault="005D57EE" w:rsidP="005D57EE">
            <w:pPr>
              <w:jc w:val="center"/>
              <w:rPr>
                <w:szCs w:val="22"/>
              </w:rPr>
            </w:pPr>
            <w:r w:rsidRPr="00A402B6">
              <w:rPr>
                <w:szCs w:val="22"/>
              </w:rPr>
              <w:t>2271727</w:t>
            </w:r>
          </w:p>
          <w:p w14:paraId="3FC04D43" w14:textId="77777777" w:rsidR="005D57EE" w:rsidRDefault="005D57EE" w:rsidP="005D57EE">
            <w:pPr>
              <w:jc w:val="center"/>
              <w:rPr>
                <w:szCs w:val="22"/>
              </w:rPr>
            </w:pPr>
          </w:p>
          <w:p w14:paraId="4F60EBDD" w14:textId="77777777" w:rsidR="005D57EE" w:rsidRPr="00EE4948" w:rsidRDefault="005D57EE" w:rsidP="005D57EE">
            <w:pPr>
              <w:jc w:val="center"/>
              <w:rPr>
                <w:szCs w:val="22"/>
                <w:highlight w:val="yellow"/>
              </w:rPr>
            </w:pPr>
            <w:r w:rsidRPr="00CA23DE">
              <w:rPr>
                <w:szCs w:val="22"/>
              </w:rPr>
              <w:t>2365989</w:t>
            </w:r>
          </w:p>
        </w:tc>
        <w:tc>
          <w:tcPr>
            <w:tcW w:w="1080" w:type="dxa"/>
          </w:tcPr>
          <w:p w14:paraId="54456609" w14:textId="77777777" w:rsidR="005D57EE" w:rsidRPr="00676AD4" w:rsidRDefault="005D57EE" w:rsidP="005D57EE">
            <w:pPr>
              <w:jc w:val="center"/>
              <w:rPr>
                <w:szCs w:val="22"/>
              </w:rPr>
            </w:pPr>
            <w:r>
              <w:rPr>
                <w:szCs w:val="22"/>
              </w:rPr>
              <w:t>2012</w:t>
            </w:r>
          </w:p>
        </w:tc>
        <w:tc>
          <w:tcPr>
            <w:tcW w:w="3528" w:type="dxa"/>
          </w:tcPr>
          <w:p w14:paraId="05683E91" w14:textId="77777777" w:rsidR="005D57EE" w:rsidRPr="000E4DD1" w:rsidRDefault="005D57EE" w:rsidP="005D57EE">
            <w:pPr>
              <w:jc w:val="center"/>
              <w:rPr>
                <w:szCs w:val="22"/>
              </w:rPr>
            </w:pPr>
            <w:r w:rsidRPr="000E4DD1">
              <w:rPr>
                <w:szCs w:val="22"/>
              </w:rPr>
              <w:t>7/11/2014</w:t>
            </w:r>
          </w:p>
          <w:p w14:paraId="0B34E53F" w14:textId="77777777" w:rsidR="005D57EE" w:rsidRPr="000E4DD1" w:rsidRDefault="005D57EE" w:rsidP="005D57EE">
            <w:pPr>
              <w:jc w:val="center"/>
              <w:rPr>
                <w:szCs w:val="22"/>
              </w:rPr>
            </w:pPr>
            <w:r w:rsidRPr="000E4DD1">
              <w:rPr>
                <w:szCs w:val="22"/>
              </w:rPr>
              <w:t>(Request for Review or Waiver)</w:t>
            </w:r>
          </w:p>
          <w:p w14:paraId="074B4794" w14:textId="77777777" w:rsidR="005D57EE" w:rsidRPr="000E4DD1" w:rsidRDefault="005D57EE" w:rsidP="005D57EE">
            <w:pPr>
              <w:jc w:val="center"/>
              <w:rPr>
                <w:szCs w:val="22"/>
              </w:rPr>
            </w:pPr>
          </w:p>
          <w:p w14:paraId="6E05BA40" w14:textId="77777777" w:rsidR="005D57EE" w:rsidRPr="000E4DD1" w:rsidRDefault="005D57EE" w:rsidP="005D57EE">
            <w:pPr>
              <w:jc w:val="center"/>
              <w:rPr>
                <w:szCs w:val="22"/>
              </w:rPr>
            </w:pPr>
            <w:r w:rsidRPr="000E4DD1">
              <w:rPr>
                <w:szCs w:val="22"/>
              </w:rPr>
              <w:t xml:space="preserve">10/21/2014 </w:t>
            </w:r>
          </w:p>
          <w:p w14:paraId="6CC72002" w14:textId="77777777" w:rsidR="005D57EE" w:rsidRDefault="005D57EE" w:rsidP="005D57EE">
            <w:pPr>
              <w:jc w:val="center"/>
              <w:rPr>
                <w:szCs w:val="22"/>
              </w:rPr>
            </w:pPr>
            <w:r w:rsidRPr="000E4DD1">
              <w:rPr>
                <w:szCs w:val="22"/>
              </w:rPr>
              <w:t>(</w:t>
            </w:r>
            <w:r w:rsidRPr="00DF4748">
              <w:rPr>
                <w:szCs w:val="22"/>
              </w:rPr>
              <w:t xml:space="preserve">Supplement to </w:t>
            </w:r>
            <w:r w:rsidRPr="000E4DD1">
              <w:rPr>
                <w:szCs w:val="22"/>
              </w:rPr>
              <w:t>Request for Review or Waiver)</w:t>
            </w:r>
          </w:p>
        </w:tc>
      </w:tr>
      <w:tr w:rsidR="005D57EE" w:rsidRPr="00676AD4" w14:paraId="54169A7D" w14:textId="77777777" w:rsidTr="005D57EE">
        <w:trPr>
          <w:jc w:val="center"/>
        </w:trPr>
        <w:tc>
          <w:tcPr>
            <w:tcW w:w="2065" w:type="dxa"/>
          </w:tcPr>
          <w:p w14:paraId="32B57EAD" w14:textId="77777777" w:rsidR="005D57EE" w:rsidRPr="00676AD4" w:rsidRDefault="005D57EE" w:rsidP="005D57EE">
            <w:pPr>
              <w:rPr>
                <w:szCs w:val="22"/>
              </w:rPr>
            </w:pPr>
            <w:r w:rsidRPr="00676AD4">
              <w:rPr>
                <w:szCs w:val="22"/>
              </w:rPr>
              <w:t>St. Brigid School</w:t>
            </w:r>
          </w:p>
          <w:p w14:paraId="77C97B13" w14:textId="77777777" w:rsidR="005D57EE" w:rsidRPr="00676AD4" w:rsidRDefault="005D57EE" w:rsidP="005D57EE">
            <w:pPr>
              <w:rPr>
                <w:szCs w:val="22"/>
              </w:rPr>
            </w:pPr>
            <w:r w:rsidRPr="00A90519">
              <w:rPr>
                <w:szCs w:val="22"/>
              </w:rPr>
              <w:t>New York, NY</w:t>
            </w:r>
          </w:p>
        </w:tc>
        <w:tc>
          <w:tcPr>
            <w:tcW w:w="1530" w:type="dxa"/>
          </w:tcPr>
          <w:p w14:paraId="07838C01" w14:textId="77777777" w:rsidR="005D57EE" w:rsidRDefault="005D57EE" w:rsidP="005D57EE">
            <w:pPr>
              <w:jc w:val="center"/>
              <w:rPr>
                <w:szCs w:val="22"/>
              </w:rPr>
            </w:pPr>
            <w:r>
              <w:rPr>
                <w:szCs w:val="22"/>
              </w:rPr>
              <w:t>828062</w:t>
            </w:r>
          </w:p>
          <w:p w14:paraId="5C9EBED4" w14:textId="77777777" w:rsidR="005D57EE" w:rsidRDefault="005D57EE" w:rsidP="005D57EE">
            <w:pPr>
              <w:jc w:val="center"/>
              <w:rPr>
                <w:szCs w:val="22"/>
              </w:rPr>
            </w:pPr>
          </w:p>
          <w:p w14:paraId="510BBB42" w14:textId="77777777" w:rsidR="005D57EE" w:rsidRDefault="005D57EE" w:rsidP="005D57EE">
            <w:pPr>
              <w:rPr>
                <w:szCs w:val="22"/>
              </w:rPr>
            </w:pPr>
          </w:p>
          <w:p w14:paraId="4A1BB090" w14:textId="77777777" w:rsidR="005D57EE" w:rsidRDefault="005D57EE" w:rsidP="005D57EE">
            <w:pPr>
              <w:jc w:val="center"/>
              <w:rPr>
                <w:szCs w:val="22"/>
              </w:rPr>
            </w:pPr>
            <w:r>
              <w:rPr>
                <w:szCs w:val="22"/>
              </w:rPr>
              <w:t>859000</w:t>
            </w:r>
          </w:p>
          <w:p w14:paraId="23515922" w14:textId="77777777" w:rsidR="005D57EE" w:rsidRDefault="005D57EE" w:rsidP="005D57EE">
            <w:pPr>
              <w:jc w:val="center"/>
              <w:rPr>
                <w:szCs w:val="22"/>
              </w:rPr>
            </w:pPr>
          </w:p>
          <w:p w14:paraId="02D53882" w14:textId="77777777" w:rsidR="005D57EE" w:rsidRPr="00676AD4" w:rsidRDefault="005D57EE" w:rsidP="005D57EE">
            <w:pPr>
              <w:jc w:val="center"/>
              <w:rPr>
                <w:szCs w:val="22"/>
              </w:rPr>
            </w:pPr>
            <w:r w:rsidRPr="00C94459">
              <w:rPr>
                <w:szCs w:val="22"/>
              </w:rPr>
              <w:t>868933</w:t>
            </w:r>
          </w:p>
        </w:tc>
        <w:tc>
          <w:tcPr>
            <w:tcW w:w="1260" w:type="dxa"/>
          </w:tcPr>
          <w:p w14:paraId="48E58DD2" w14:textId="77777777" w:rsidR="005D57EE" w:rsidRDefault="005D57EE" w:rsidP="005D57EE">
            <w:pPr>
              <w:jc w:val="center"/>
              <w:rPr>
                <w:szCs w:val="22"/>
              </w:rPr>
            </w:pPr>
            <w:r>
              <w:rPr>
                <w:szCs w:val="22"/>
              </w:rPr>
              <w:t>2263987</w:t>
            </w:r>
          </w:p>
          <w:p w14:paraId="297E8CC8" w14:textId="77777777" w:rsidR="005D57EE" w:rsidRDefault="005D57EE" w:rsidP="005D57EE">
            <w:pPr>
              <w:jc w:val="center"/>
              <w:rPr>
                <w:szCs w:val="22"/>
              </w:rPr>
            </w:pPr>
            <w:r w:rsidRPr="00AF3C56">
              <w:rPr>
                <w:szCs w:val="22"/>
              </w:rPr>
              <w:t>2263989</w:t>
            </w:r>
          </w:p>
          <w:p w14:paraId="76EB96D1" w14:textId="77777777" w:rsidR="005D57EE" w:rsidRDefault="005D57EE" w:rsidP="005D57EE">
            <w:pPr>
              <w:jc w:val="center"/>
              <w:rPr>
                <w:szCs w:val="22"/>
              </w:rPr>
            </w:pPr>
          </w:p>
          <w:p w14:paraId="4705B8AD" w14:textId="77777777" w:rsidR="005D57EE" w:rsidRDefault="005D57EE" w:rsidP="005D57EE">
            <w:pPr>
              <w:jc w:val="center"/>
              <w:rPr>
                <w:szCs w:val="22"/>
              </w:rPr>
            </w:pPr>
            <w:r w:rsidRPr="00FF391B">
              <w:rPr>
                <w:szCs w:val="22"/>
              </w:rPr>
              <w:t>2337783</w:t>
            </w:r>
          </w:p>
          <w:p w14:paraId="418A9C4A" w14:textId="77777777" w:rsidR="005D57EE" w:rsidRDefault="005D57EE" w:rsidP="005D57EE">
            <w:pPr>
              <w:jc w:val="center"/>
              <w:rPr>
                <w:szCs w:val="22"/>
              </w:rPr>
            </w:pPr>
          </w:p>
          <w:p w14:paraId="7D9A9BBF" w14:textId="77777777" w:rsidR="005D57EE" w:rsidRPr="00EE4948" w:rsidRDefault="005D57EE" w:rsidP="005D57EE">
            <w:pPr>
              <w:jc w:val="center"/>
              <w:rPr>
                <w:szCs w:val="22"/>
                <w:highlight w:val="yellow"/>
              </w:rPr>
            </w:pPr>
            <w:r w:rsidRPr="00ED4627">
              <w:rPr>
                <w:szCs w:val="22"/>
              </w:rPr>
              <w:t>2368636</w:t>
            </w:r>
          </w:p>
        </w:tc>
        <w:tc>
          <w:tcPr>
            <w:tcW w:w="1080" w:type="dxa"/>
          </w:tcPr>
          <w:p w14:paraId="2F55D890" w14:textId="77777777" w:rsidR="005D57EE" w:rsidRPr="00676AD4" w:rsidRDefault="005D57EE" w:rsidP="005D57EE">
            <w:pPr>
              <w:jc w:val="center"/>
              <w:rPr>
                <w:szCs w:val="22"/>
              </w:rPr>
            </w:pPr>
            <w:r>
              <w:rPr>
                <w:szCs w:val="22"/>
              </w:rPr>
              <w:t>2012</w:t>
            </w:r>
          </w:p>
        </w:tc>
        <w:tc>
          <w:tcPr>
            <w:tcW w:w="3528" w:type="dxa"/>
          </w:tcPr>
          <w:p w14:paraId="0B61CEA1" w14:textId="77777777" w:rsidR="005D57EE" w:rsidRPr="000E4DD1" w:rsidRDefault="005D57EE" w:rsidP="005D57EE">
            <w:pPr>
              <w:jc w:val="center"/>
              <w:rPr>
                <w:szCs w:val="22"/>
              </w:rPr>
            </w:pPr>
            <w:r w:rsidRPr="000E4DD1">
              <w:rPr>
                <w:szCs w:val="22"/>
              </w:rPr>
              <w:t>7/11/2014</w:t>
            </w:r>
          </w:p>
          <w:p w14:paraId="4240A073" w14:textId="77777777" w:rsidR="005D57EE" w:rsidRPr="000E4DD1" w:rsidRDefault="005D57EE" w:rsidP="005D57EE">
            <w:pPr>
              <w:jc w:val="center"/>
              <w:rPr>
                <w:szCs w:val="22"/>
              </w:rPr>
            </w:pPr>
            <w:r w:rsidRPr="000E4DD1">
              <w:rPr>
                <w:szCs w:val="22"/>
              </w:rPr>
              <w:t>(Request for Review or Waiver)</w:t>
            </w:r>
          </w:p>
          <w:p w14:paraId="44582AD4" w14:textId="77777777" w:rsidR="005D57EE" w:rsidRPr="000E4DD1" w:rsidRDefault="005D57EE" w:rsidP="005D57EE">
            <w:pPr>
              <w:jc w:val="center"/>
              <w:rPr>
                <w:szCs w:val="22"/>
              </w:rPr>
            </w:pPr>
          </w:p>
          <w:p w14:paraId="056FD2B2" w14:textId="77777777" w:rsidR="005D57EE" w:rsidRPr="000E4DD1" w:rsidRDefault="005D57EE" w:rsidP="005D57EE">
            <w:pPr>
              <w:jc w:val="center"/>
              <w:rPr>
                <w:szCs w:val="22"/>
              </w:rPr>
            </w:pPr>
            <w:r w:rsidRPr="000E4DD1">
              <w:rPr>
                <w:szCs w:val="22"/>
              </w:rPr>
              <w:t xml:space="preserve">10/21/2014 </w:t>
            </w:r>
          </w:p>
          <w:p w14:paraId="2DF2BBAD" w14:textId="77777777" w:rsidR="005D57EE" w:rsidRDefault="005D57EE" w:rsidP="005D57EE">
            <w:pPr>
              <w:jc w:val="center"/>
              <w:rPr>
                <w:szCs w:val="22"/>
              </w:rPr>
            </w:pPr>
            <w:r w:rsidRPr="000E4DD1">
              <w:rPr>
                <w:szCs w:val="22"/>
              </w:rPr>
              <w:t>(</w:t>
            </w:r>
            <w:r w:rsidRPr="00DF4748">
              <w:rPr>
                <w:szCs w:val="22"/>
              </w:rPr>
              <w:t xml:space="preserve">Supplement to </w:t>
            </w:r>
            <w:r w:rsidRPr="000E4DD1">
              <w:rPr>
                <w:szCs w:val="22"/>
              </w:rPr>
              <w:t>Request for Review or Waiver)</w:t>
            </w:r>
          </w:p>
        </w:tc>
      </w:tr>
      <w:tr w:rsidR="005D57EE" w:rsidRPr="00676AD4" w14:paraId="5DBFD254" w14:textId="77777777" w:rsidTr="005D57EE">
        <w:trPr>
          <w:jc w:val="center"/>
        </w:trPr>
        <w:tc>
          <w:tcPr>
            <w:tcW w:w="2065" w:type="dxa"/>
          </w:tcPr>
          <w:p w14:paraId="0231818F" w14:textId="77777777" w:rsidR="005D57EE" w:rsidRPr="00676AD4" w:rsidRDefault="005D57EE" w:rsidP="005D57EE">
            <w:pPr>
              <w:rPr>
                <w:szCs w:val="22"/>
              </w:rPr>
            </w:pPr>
            <w:r w:rsidRPr="00676AD4">
              <w:rPr>
                <w:szCs w:val="22"/>
              </w:rPr>
              <w:t>St. Jude School</w:t>
            </w:r>
          </w:p>
          <w:p w14:paraId="4043FDC0" w14:textId="77777777" w:rsidR="005D57EE" w:rsidRPr="00676AD4" w:rsidRDefault="005D57EE" w:rsidP="005D57EE">
            <w:pPr>
              <w:rPr>
                <w:szCs w:val="22"/>
              </w:rPr>
            </w:pPr>
            <w:r w:rsidRPr="00A90519">
              <w:rPr>
                <w:szCs w:val="22"/>
              </w:rPr>
              <w:t>New York, NY</w:t>
            </w:r>
          </w:p>
        </w:tc>
        <w:tc>
          <w:tcPr>
            <w:tcW w:w="1530" w:type="dxa"/>
          </w:tcPr>
          <w:p w14:paraId="0B6A8E70" w14:textId="77777777" w:rsidR="005D57EE" w:rsidRPr="00676AD4" w:rsidRDefault="005D57EE" w:rsidP="005D57EE">
            <w:pPr>
              <w:jc w:val="center"/>
              <w:rPr>
                <w:szCs w:val="22"/>
              </w:rPr>
            </w:pPr>
            <w:r w:rsidRPr="00CF6A03">
              <w:rPr>
                <w:szCs w:val="22"/>
              </w:rPr>
              <w:t>828179</w:t>
            </w:r>
          </w:p>
        </w:tc>
        <w:tc>
          <w:tcPr>
            <w:tcW w:w="1260" w:type="dxa"/>
          </w:tcPr>
          <w:p w14:paraId="11E72772" w14:textId="77777777" w:rsidR="005D57EE" w:rsidRDefault="005D57EE" w:rsidP="005D57EE">
            <w:pPr>
              <w:jc w:val="center"/>
              <w:rPr>
                <w:szCs w:val="22"/>
              </w:rPr>
            </w:pPr>
            <w:r>
              <w:rPr>
                <w:szCs w:val="22"/>
              </w:rPr>
              <w:t>2262629</w:t>
            </w:r>
          </w:p>
          <w:p w14:paraId="6BE10233" w14:textId="77777777" w:rsidR="005D57EE" w:rsidRPr="00EE4948" w:rsidRDefault="005D57EE" w:rsidP="005D57EE">
            <w:pPr>
              <w:jc w:val="center"/>
              <w:rPr>
                <w:szCs w:val="22"/>
                <w:highlight w:val="yellow"/>
              </w:rPr>
            </w:pPr>
            <w:r w:rsidRPr="00A00810">
              <w:rPr>
                <w:szCs w:val="22"/>
              </w:rPr>
              <w:t>2262626</w:t>
            </w:r>
          </w:p>
        </w:tc>
        <w:tc>
          <w:tcPr>
            <w:tcW w:w="1080" w:type="dxa"/>
          </w:tcPr>
          <w:p w14:paraId="321E4ACD" w14:textId="77777777" w:rsidR="005D57EE" w:rsidRPr="00676AD4" w:rsidRDefault="005D57EE" w:rsidP="005D57EE">
            <w:pPr>
              <w:jc w:val="center"/>
              <w:rPr>
                <w:szCs w:val="22"/>
              </w:rPr>
            </w:pPr>
            <w:r>
              <w:rPr>
                <w:szCs w:val="22"/>
              </w:rPr>
              <w:t>2012</w:t>
            </w:r>
          </w:p>
        </w:tc>
        <w:tc>
          <w:tcPr>
            <w:tcW w:w="3528" w:type="dxa"/>
          </w:tcPr>
          <w:p w14:paraId="4F286015" w14:textId="77777777" w:rsidR="005D57EE" w:rsidRPr="000E4DD1" w:rsidRDefault="005D57EE" w:rsidP="005D57EE">
            <w:pPr>
              <w:jc w:val="center"/>
              <w:rPr>
                <w:szCs w:val="22"/>
              </w:rPr>
            </w:pPr>
            <w:r w:rsidRPr="000E4DD1">
              <w:rPr>
                <w:szCs w:val="22"/>
              </w:rPr>
              <w:t>7/11/2014</w:t>
            </w:r>
          </w:p>
          <w:p w14:paraId="5AFAD5A7" w14:textId="77777777" w:rsidR="005D57EE" w:rsidRPr="000E4DD1" w:rsidRDefault="005D57EE" w:rsidP="005D57EE">
            <w:pPr>
              <w:jc w:val="center"/>
              <w:rPr>
                <w:szCs w:val="22"/>
              </w:rPr>
            </w:pPr>
            <w:r w:rsidRPr="000E4DD1">
              <w:rPr>
                <w:szCs w:val="22"/>
              </w:rPr>
              <w:t>(Request for Review or Waiver)</w:t>
            </w:r>
          </w:p>
          <w:p w14:paraId="63E34135" w14:textId="77777777" w:rsidR="005D57EE" w:rsidRPr="000E4DD1" w:rsidRDefault="005D57EE" w:rsidP="005D57EE">
            <w:pPr>
              <w:jc w:val="center"/>
              <w:rPr>
                <w:szCs w:val="22"/>
              </w:rPr>
            </w:pPr>
          </w:p>
          <w:p w14:paraId="20496A6B" w14:textId="77777777" w:rsidR="005D57EE" w:rsidRPr="000E4DD1" w:rsidRDefault="005D57EE" w:rsidP="005D57EE">
            <w:pPr>
              <w:jc w:val="center"/>
              <w:rPr>
                <w:szCs w:val="22"/>
              </w:rPr>
            </w:pPr>
            <w:r w:rsidRPr="000E4DD1">
              <w:rPr>
                <w:szCs w:val="22"/>
              </w:rPr>
              <w:t xml:space="preserve">10/21/2014 </w:t>
            </w:r>
          </w:p>
          <w:p w14:paraId="3B844E62" w14:textId="77777777" w:rsidR="005D57EE" w:rsidRDefault="005D57EE" w:rsidP="005D57EE">
            <w:pPr>
              <w:jc w:val="center"/>
              <w:rPr>
                <w:szCs w:val="22"/>
              </w:rPr>
            </w:pPr>
            <w:r w:rsidRPr="000E4DD1">
              <w:rPr>
                <w:szCs w:val="22"/>
              </w:rPr>
              <w:t>(</w:t>
            </w:r>
            <w:r w:rsidRPr="00DF4748">
              <w:rPr>
                <w:szCs w:val="22"/>
              </w:rPr>
              <w:t xml:space="preserve">Supplement to </w:t>
            </w:r>
            <w:r w:rsidRPr="000E4DD1">
              <w:rPr>
                <w:szCs w:val="22"/>
              </w:rPr>
              <w:t>Request for Review or Waiver)</w:t>
            </w:r>
          </w:p>
        </w:tc>
      </w:tr>
      <w:tr w:rsidR="005D57EE" w:rsidRPr="00676AD4" w14:paraId="2E953D65" w14:textId="77777777" w:rsidTr="005D57EE">
        <w:trPr>
          <w:jc w:val="center"/>
        </w:trPr>
        <w:tc>
          <w:tcPr>
            <w:tcW w:w="2065" w:type="dxa"/>
          </w:tcPr>
          <w:p w14:paraId="22F4BA5B" w14:textId="77777777" w:rsidR="005D57EE" w:rsidRDefault="005D57EE" w:rsidP="005D57EE">
            <w:pPr>
              <w:rPr>
                <w:szCs w:val="22"/>
              </w:rPr>
            </w:pPr>
            <w:r w:rsidRPr="00676AD4">
              <w:rPr>
                <w:szCs w:val="22"/>
              </w:rPr>
              <w:t xml:space="preserve">St. Mark the </w:t>
            </w:r>
          </w:p>
          <w:p w14:paraId="219E06BC" w14:textId="77777777" w:rsidR="005D57EE" w:rsidRPr="00676AD4" w:rsidRDefault="005D57EE" w:rsidP="005D57EE">
            <w:pPr>
              <w:rPr>
                <w:szCs w:val="22"/>
              </w:rPr>
            </w:pPr>
            <w:r w:rsidRPr="00676AD4">
              <w:rPr>
                <w:szCs w:val="22"/>
              </w:rPr>
              <w:t>Evangelist School</w:t>
            </w:r>
          </w:p>
          <w:p w14:paraId="46750D53" w14:textId="77777777" w:rsidR="005D57EE" w:rsidRPr="00676AD4" w:rsidRDefault="005D57EE" w:rsidP="005D57EE">
            <w:pPr>
              <w:rPr>
                <w:szCs w:val="22"/>
              </w:rPr>
            </w:pPr>
            <w:r w:rsidRPr="00A90519">
              <w:rPr>
                <w:szCs w:val="22"/>
              </w:rPr>
              <w:t>New York, NY</w:t>
            </w:r>
            <w:r w:rsidRPr="00676AD4">
              <w:rPr>
                <w:szCs w:val="22"/>
              </w:rPr>
              <w:tab/>
            </w:r>
          </w:p>
        </w:tc>
        <w:tc>
          <w:tcPr>
            <w:tcW w:w="1530" w:type="dxa"/>
          </w:tcPr>
          <w:p w14:paraId="138CF761" w14:textId="77777777" w:rsidR="005D57EE" w:rsidRPr="00676AD4" w:rsidRDefault="005D57EE" w:rsidP="005D57EE">
            <w:pPr>
              <w:jc w:val="center"/>
              <w:rPr>
                <w:szCs w:val="22"/>
              </w:rPr>
            </w:pPr>
            <w:r w:rsidRPr="002A30E9">
              <w:rPr>
                <w:szCs w:val="22"/>
              </w:rPr>
              <w:t>858291</w:t>
            </w:r>
          </w:p>
        </w:tc>
        <w:tc>
          <w:tcPr>
            <w:tcW w:w="1260" w:type="dxa"/>
          </w:tcPr>
          <w:p w14:paraId="21FB0FFE" w14:textId="77777777" w:rsidR="005D57EE" w:rsidRPr="00EE4948" w:rsidRDefault="005D57EE" w:rsidP="005D57EE">
            <w:pPr>
              <w:jc w:val="center"/>
              <w:rPr>
                <w:szCs w:val="22"/>
                <w:highlight w:val="yellow"/>
              </w:rPr>
            </w:pPr>
            <w:r w:rsidRPr="008E07B9">
              <w:rPr>
                <w:szCs w:val="22"/>
              </w:rPr>
              <w:t>2335508</w:t>
            </w:r>
          </w:p>
        </w:tc>
        <w:tc>
          <w:tcPr>
            <w:tcW w:w="1080" w:type="dxa"/>
          </w:tcPr>
          <w:p w14:paraId="37A14F40" w14:textId="77777777" w:rsidR="005D57EE" w:rsidRPr="00676AD4" w:rsidRDefault="005D57EE" w:rsidP="005D57EE">
            <w:pPr>
              <w:jc w:val="center"/>
              <w:rPr>
                <w:szCs w:val="22"/>
              </w:rPr>
            </w:pPr>
            <w:r>
              <w:rPr>
                <w:szCs w:val="22"/>
              </w:rPr>
              <w:t>2012</w:t>
            </w:r>
          </w:p>
        </w:tc>
        <w:tc>
          <w:tcPr>
            <w:tcW w:w="3528" w:type="dxa"/>
          </w:tcPr>
          <w:p w14:paraId="426A2B22" w14:textId="77777777" w:rsidR="005D57EE" w:rsidRPr="000E4DD1" w:rsidRDefault="005D57EE" w:rsidP="005D57EE">
            <w:pPr>
              <w:jc w:val="center"/>
              <w:rPr>
                <w:szCs w:val="22"/>
              </w:rPr>
            </w:pPr>
            <w:r w:rsidRPr="000E4DD1">
              <w:rPr>
                <w:szCs w:val="22"/>
              </w:rPr>
              <w:t>7/11/2014</w:t>
            </w:r>
          </w:p>
          <w:p w14:paraId="7E058BDE" w14:textId="77777777" w:rsidR="005D57EE" w:rsidRPr="000E4DD1" w:rsidRDefault="005D57EE" w:rsidP="005D57EE">
            <w:pPr>
              <w:jc w:val="center"/>
              <w:rPr>
                <w:szCs w:val="22"/>
              </w:rPr>
            </w:pPr>
            <w:r w:rsidRPr="000E4DD1">
              <w:rPr>
                <w:szCs w:val="22"/>
              </w:rPr>
              <w:t>(Request for Review or Waiver)</w:t>
            </w:r>
          </w:p>
          <w:p w14:paraId="35D3BFA8" w14:textId="77777777" w:rsidR="005D57EE" w:rsidRPr="000E4DD1" w:rsidRDefault="005D57EE" w:rsidP="005D57EE">
            <w:pPr>
              <w:jc w:val="center"/>
              <w:rPr>
                <w:szCs w:val="22"/>
              </w:rPr>
            </w:pPr>
          </w:p>
          <w:p w14:paraId="176C5B30" w14:textId="77777777" w:rsidR="005D57EE" w:rsidRPr="000E4DD1" w:rsidRDefault="005D57EE" w:rsidP="005D57EE">
            <w:pPr>
              <w:jc w:val="center"/>
              <w:rPr>
                <w:szCs w:val="22"/>
              </w:rPr>
            </w:pPr>
            <w:r w:rsidRPr="000E4DD1">
              <w:rPr>
                <w:szCs w:val="22"/>
              </w:rPr>
              <w:t xml:space="preserve">10/21/2014 </w:t>
            </w:r>
          </w:p>
          <w:p w14:paraId="32F2FB08" w14:textId="77777777" w:rsidR="005D57EE" w:rsidRDefault="005D57EE" w:rsidP="005D57EE">
            <w:pPr>
              <w:jc w:val="center"/>
              <w:rPr>
                <w:szCs w:val="22"/>
              </w:rPr>
            </w:pPr>
            <w:r w:rsidRPr="000E4DD1">
              <w:rPr>
                <w:szCs w:val="22"/>
              </w:rPr>
              <w:t>(</w:t>
            </w:r>
            <w:r w:rsidRPr="00DF4748">
              <w:rPr>
                <w:szCs w:val="22"/>
              </w:rPr>
              <w:t xml:space="preserve">Supplement to </w:t>
            </w:r>
            <w:r w:rsidRPr="000E4DD1">
              <w:rPr>
                <w:szCs w:val="22"/>
              </w:rPr>
              <w:t>Request for Review or Waiver)</w:t>
            </w:r>
          </w:p>
        </w:tc>
      </w:tr>
      <w:tr w:rsidR="005D57EE" w:rsidRPr="00676AD4" w14:paraId="0D9231F1" w14:textId="77777777" w:rsidTr="005D57EE">
        <w:trPr>
          <w:jc w:val="center"/>
        </w:trPr>
        <w:tc>
          <w:tcPr>
            <w:tcW w:w="2065" w:type="dxa"/>
          </w:tcPr>
          <w:p w14:paraId="2E611D37" w14:textId="77777777" w:rsidR="005D57EE" w:rsidRDefault="005D57EE" w:rsidP="005D57EE">
            <w:pPr>
              <w:rPr>
                <w:szCs w:val="22"/>
              </w:rPr>
            </w:pPr>
            <w:r w:rsidRPr="00676AD4">
              <w:rPr>
                <w:szCs w:val="22"/>
              </w:rPr>
              <w:t xml:space="preserve">St. Nicholas </w:t>
            </w:r>
          </w:p>
          <w:p w14:paraId="5EAA926F" w14:textId="77777777" w:rsidR="005D57EE" w:rsidRPr="00676AD4" w:rsidRDefault="005D57EE" w:rsidP="005D57EE">
            <w:pPr>
              <w:rPr>
                <w:szCs w:val="22"/>
              </w:rPr>
            </w:pPr>
            <w:r w:rsidRPr="00676AD4">
              <w:rPr>
                <w:szCs w:val="22"/>
              </w:rPr>
              <w:t>Tolentine School</w:t>
            </w:r>
          </w:p>
          <w:p w14:paraId="50C082CA" w14:textId="77777777" w:rsidR="005D57EE" w:rsidRPr="00676AD4" w:rsidRDefault="005D57EE" w:rsidP="005D57EE">
            <w:pPr>
              <w:rPr>
                <w:szCs w:val="22"/>
              </w:rPr>
            </w:pPr>
            <w:r w:rsidRPr="00A90519">
              <w:rPr>
                <w:szCs w:val="22"/>
              </w:rPr>
              <w:t>New York, NY</w:t>
            </w:r>
          </w:p>
        </w:tc>
        <w:tc>
          <w:tcPr>
            <w:tcW w:w="1530" w:type="dxa"/>
          </w:tcPr>
          <w:p w14:paraId="046670C1" w14:textId="77777777" w:rsidR="005D57EE" w:rsidRDefault="005D57EE" w:rsidP="005D57EE">
            <w:pPr>
              <w:jc w:val="center"/>
              <w:rPr>
                <w:szCs w:val="22"/>
              </w:rPr>
            </w:pPr>
            <w:r>
              <w:rPr>
                <w:szCs w:val="22"/>
              </w:rPr>
              <w:t>858249</w:t>
            </w:r>
          </w:p>
          <w:p w14:paraId="690048C5" w14:textId="77777777" w:rsidR="005D57EE" w:rsidRDefault="005D57EE" w:rsidP="005D57EE">
            <w:pPr>
              <w:jc w:val="center"/>
              <w:rPr>
                <w:szCs w:val="22"/>
              </w:rPr>
            </w:pPr>
          </w:p>
          <w:p w14:paraId="4AF4914C" w14:textId="77777777" w:rsidR="005D57EE" w:rsidRDefault="005D57EE" w:rsidP="005D57EE">
            <w:pPr>
              <w:rPr>
                <w:szCs w:val="22"/>
              </w:rPr>
            </w:pPr>
          </w:p>
          <w:p w14:paraId="2376E162" w14:textId="77777777" w:rsidR="005D57EE" w:rsidRPr="00676AD4" w:rsidRDefault="005D57EE" w:rsidP="005D57EE">
            <w:pPr>
              <w:jc w:val="center"/>
              <w:rPr>
                <w:szCs w:val="22"/>
              </w:rPr>
            </w:pPr>
            <w:r w:rsidRPr="00A93116">
              <w:rPr>
                <w:szCs w:val="22"/>
              </w:rPr>
              <w:t>829699</w:t>
            </w:r>
          </w:p>
        </w:tc>
        <w:tc>
          <w:tcPr>
            <w:tcW w:w="1260" w:type="dxa"/>
          </w:tcPr>
          <w:p w14:paraId="22B13F1A" w14:textId="77777777" w:rsidR="005D57EE" w:rsidRDefault="005D57EE" w:rsidP="005D57EE">
            <w:pPr>
              <w:jc w:val="center"/>
              <w:rPr>
                <w:szCs w:val="22"/>
              </w:rPr>
            </w:pPr>
            <w:r>
              <w:rPr>
                <w:szCs w:val="22"/>
              </w:rPr>
              <w:t>2335367</w:t>
            </w:r>
          </w:p>
          <w:p w14:paraId="04CE7B67" w14:textId="77777777" w:rsidR="005D57EE" w:rsidRDefault="005D57EE" w:rsidP="005D57EE">
            <w:pPr>
              <w:jc w:val="center"/>
              <w:rPr>
                <w:szCs w:val="22"/>
              </w:rPr>
            </w:pPr>
            <w:r w:rsidRPr="00F53CF0">
              <w:rPr>
                <w:szCs w:val="22"/>
              </w:rPr>
              <w:t>2335376</w:t>
            </w:r>
          </w:p>
          <w:p w14:paraId="0060BF51" w14:textId="77777777" w:rsidR="005D57EE" w:rsidRDefault="005D57EE" w:rsidP="005D57EE">
            <w:pPr>
              <w:jc w:val="center"/>
              <w:rPr>
                <w:szCs w:val="22"/>
              </w:rPr>
            </w:pPr>
          </w:p>
          <w:p w14:paraId="1A982FF0" w14:textId="77777777" w:rsidR="005D57EE" w:rsidRDefault="005D57EE" w:rsidP="005D57EE">
            <w:pPr>
              <w:jc w:val="center"/>
              <w:rPr>
                <w:szCs w:val="22"/>
              </w:rPr>
            </w:pPr>
            <w:r>
              <w:rPr>
                <w:szCs w:val="22"/>
              </w:rPr>
              <w:t>2254214</w:t>
            </w:r>
          </w:p>
          <w:p w14:paraId="5B73D5CA" w14:textId="77777777" w:rsidR="005D57EE" w:rsidRPr="00EE4948" w:rsidRDefault="005D57EE" w:rsidP="005D57EE">
            <w:pPr>
              <w:jc w:val="center"/>
              <w:rPr>
                <w:szCs w:val="22"/>
                <w:highlight w:val="yellow"/>
              </w:rPr>
            </w:pPr>
            <w:r w:rsidRPr="00A705A0">
              <w:rPr>
                <w:szCs w:val="22"/>
              </w:rPr>
              <w:t>2254206</w:t>
            </w:r>
          </w:p>
        </w:tc>
        <w:tc>
          <w:tcPr>
            <w:tcW w:w="1080" w:type="dxa"/>
          </w:tcPr>
          <w:p w14:paraId="05DD9928" w14:textId="77777777" w:rsidR="005D57EE" w:rsidRPr="00676AD4" w:rsidRDefault="005D57EE" w:rsidP="005D57EE">
            <w:pPr>
              <w:jc w:val="center"/>
              <w:rPr>
                <w:szCs w:val="22"/>
              </w:rPr>
            </w:pPr>
            <w:r>
              <w:rPr>
                <w:szCs w:val="22"/>
              </w:rPr>
              <w:t>2012</w:t>
            </w:r>
          </w:p>
        </w:tc>
        <w:tc>
          <w:tcPr>
            <w:tcW w:w="3528" w:type="dxa"/>
          </w:tcPr>
          <w:p w14:paraId="2149595E" w14:textId="77777777" w:rsidR="005D57EE" w:rsidRPr="000E4DD1" w:rsidRDefault="005D57EE" w:rsidP="005D57EE">
            <w:pPr>
              <w:jc w:val="center"/>
              <w:rPr>
                <w:szCs w:val="22"/>
              </w:rPr>
            </w:pPr>
            <w:r w:rsidRPr="000E4DD1">
              <w:rPr>
                <w:szCs w:val="22"/>
              </w:rPr>
              <w:t>7/11/2014</w:t>
            </w:r>
          </w:p>
          <w:p w14:paraId="15F629B7" w14:textId="77777777" w:rsidR="005D57EE" w:rsidRPr="000E4DD1" w:rsidRDefault="005D57EE" w:rsidP="005D57EE">
            <w:pPr>
              <w:jc w:val="center"/>
              <w:rPr>
                <w:szCs w:val="22"/>
              </w:rPr>
            </w:pPr>
            <w:r w:rsidRPr="000E4DD1">
              <w:rPr>
                <w:szCs w:val="22"/>
              </w:rPr>
              <w:t>(Request for Review or Waiver)</w:t>
            </w:r>
          </w:p>
          <w:p w14:paraId="1FAB1EA9" w14:textId="77777777" w:rsidR="005D57EE" w:rsidRPr="000E4DD1" w:rsidRDefault="005D57EE" w:rsidP="005D57EE">
            <w:pPr>
              <w:jc w:val="center"/>
              <w:rPr>
                <w:szCs w:val="22"/>
              </w:rPr>
            </w:pPr>
          </w:p>
          <w:p w14:paraId="02C3F052" w14:textId="77777777" w:rsidR="005D57EE" w:rsidRPr="000E4DD1" w:rsidRDefault="005D57EE" w:rsidP="005D57EE">
            <w:pPr>
              <w:jc w:val="center"/>
              <w:rPr>
                <w:szCs w:val="22"/>
              </w:rPr>
            </w:pPr>
            <w:r w:rsidRPr="000E4DD1">
              <w:rPr>
                <w:szCs w:val="22"/>
              </w:rPr>
              <w:t xml:space="preserve">10/21/2014 </w:t>
            </w:r>
          </w:p>
          <w:p w14:paraId="31E732BC" w14:textId="77777777" w:rsidR="005D57EE" w:rsidRDefault="005D57EE" w:rsidP="005D57EE">
            <w:pPr>
              <w:jc w:val="center"/>
              <w:rPr>
                <w:szCs w:val="22"/>
              </w:rPr>
            </w:pPr>
            <w:r w:rsidRPr="000E4DD1">
              <w:rPr>
                <w:szCs w:val="22"/>
              </w:rPr>
              <w:t>(</w:t>
            </w:r>
            <w:r w:rsidRPr="00DF4748">
              <w:rPr>
                <w:szCs w:val="22"/>
              </w:rPr>
              <w:t xml:space="preserve">Supplement to </w:t>
            </w:r>
            <w:r w:rsidRPr="000E4DD1">
              <w:rPr>
                <w:szCs w:val="22"/>
              </w:rPr>
              <w:t>Request for Review or Waiver)</w:t>
            </w:r>
          </w:p>
        </w:tc>
      </w:tr>
    </w:tbl>
    <w:p w14:paraId="3C929449" w14:textId="77777777" w:rsidR="005D57EE" w:rsidRPr="00676AD4" w:rsidRDefault="005D57EE" w:rsidP="005D57EE">
      <w:pPr>
        <w:rPr>
          <w:szCs w:val="22"/>
        </w:rPr>
      </w:pPr>
    </w:p>
    <w:p w14:paraId="5E4F9507" w14:textId="77777777" w:rsidR="005D57EE" w:rsidRPr="005D57EE" w:rsidRDefault="005D57EE" w:rsidP="00BD2C6C">
      <w:pPr>
        <w:pStyle w:val="ParaNum"/>
        <w:numPr>
          <w:ilvl w:val="0"/>
          <w:numId w:val="0"/>
        </w:numPr>
        <w:ind w:firstLine="720"/>
      </w:pPr>
    </w:p>
    <w:sectPr w:rsidR="005D57EE" w:rsidRPr="005D57EE"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4AD50" w14:textId="77777777" w:rsidR="003150EC" w:rsidRDefault="003150EC">
      <w:pPr>
        <w:spacing w:line="20" w:lineRule="exact"/>
      </w:pPr>
    </w:p>
  </w:endnote>
  <w:endnote w:type="continuationSeparator" w:id="0">
    <w:p w14:paraId="1641D0D2" w14:textId="77777777" w:rsidR="003150EC" w:rsidRDefault="003150EC">
      <w:r>
        <w:t xml:space="preserve"> </w:t>
      </w:r>
    </w:p>
  </w:endnote>
  <w:endnote w:type="continuationNotice" w:id="1">
    <w:p w14:paraId="47B4ACCF" w14:textId="77777777" w:rsidR="003150EC" w:rsidRDefault="003150E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11470" w14:textId="77777777" w:rsidR="005D57EE" w:rsidRDefault="005D57EE" w:rsidP="0055614C">
    <w:pPr>
      <w:pStyle w:val="Footer"/>
      <w:framePr w:wrap="around" w:vAnchor="text" w:hAnchor="margin" w:xAlign="center" w:y="1"/>
    </w:pPr>
    <w:r>
      <w:fldChar w:fldCharType="begin"/>
    </w:r>
    <w:r>
      <w:instrText xml:space="preserve">PAGE  </w:instrText>
    </w:r>
    <w:r>
      <w:fldChar w:fldCharType="end"/>
    </w:r>
  </w:p>
  <w:p w14:paraId="20F9B5E6" w14:textId="77777777" w:rsidR="005D57EE" w:rsidRDefault="005D57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2C4D4" w14:textId="77777777" w:rsidR="005D57EE" w:rsidRDefault="005D57EE" w:rsidP="0055614C">
    <w:pPr>
      <w:pStyle w:val="Footer"/>
      <w:framePr w:wrap="around" w:vAnchor="text" w:hAnchor="margin" w:xAlign="center" w:y="1"/>
    </w:pPr>
    <w:r>
      <w:fldChar w:fldCharType="begin"/>
    </w:r>
    <w:r>
      <w:instrText xml:space="preserve">PAGE  </w:instrText>
    </w:r>
    <w:r>
      <w:fldChar w:fldCharType="separate"/>
    </w:r>
    <w:r w:rsidR="005301B0">
      <w:rPr>
        <w:noProof/>
      </w:rPr>
      <w:t>2</w:t>
    </w:r>
    <w:r>
      <w:fldChar w:fldCharType="end"/>
    </w:r>
  </w:p>
  <w:p w14:paraId="2FF5E0A5" w14:textId="77777777" w:rsidR="005D57EE" w:rsidRDefault="005D57EE">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65C63" w14:textId="77777777" w:rsidR="005D57EE" w:rsidRDefault="005D57E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50596" w14:textId="77777777" w:rsidR="003150EC" w:rsidRDefault="003150EC">
      <w:r>
        <w:separator/>
      </w:r>
    </w:p>
  </w:footnote>
  <w:footnote w:type="continuationSeparator" w:id="0">
    <w:p w14:paraId="204EC572" w14:textId="77777777" w:rsidR="003150EC" w:rsidRDefault="003150EC" w:rsidP="00C721AC">
      <w:pPr>
        <w:spacing w:before="120"/>
        <w:rPr>
          <w:sz w:val="20"/>
        </w:rPr>
      </w:pPr>
      <w:r>
        <w:rPr>
          <w:sz w:val="20"/>
        </w:rPr>
        <w:t xml:space="preserve">(Continued from previous page)  </w:t>
      </w:r>
      <w:r>
        <w:rPr>
          <w:sz w:val="20"/>
        </w:rPr>
        <w:separator/>
      </w:r>
    </w:p>
  </w:footnote>
  <w:footnote w:type="continuationNotice" w:id="1">
    <w:p w14:paraId="63A672B8" w14:textId="77777777" w:rsidR="003150EC" w:rsidRDefault="003150EC" w:rsidP="00C721AC">
      <w:pPr>
        <w:jc w:val="right"/>
        <w:rPr>
          <w:sz w:val="20"/>
        </w:rPr>
      </w:pPr>
      <w:r>
        <w:rPr>
          <w:sz w:val="20"/>
        </w:rPr>
        <w:t>(continued….)</w:t>
      </w:r>
    </w:p>
  </w:footnote>
  <w:footnote w:id="2">
    <w:p w14:paraId="4AFC4916" w14:textId="77777777" w:rsidR="005D57EE" w:rsidRPr="00BD2C6C" w:rsidRDefault="005D57EE" w:rsidP="005D57EE">
      <w:pPr>
        <w:pStyle w:val="FootnoteText"/>
      </w:pPr>
      <w:r w:rsidRPr="00BD2C6C">
        <w:rPr>
          <w:rStyle w:val="FootnoteReference"/>
        </w:rPr>
        <w:footnoteRef/>
      </w:r>
      <w:r w:rsidRPr="00BD2C6C">
        <w:t xml:space="preserve"> </w:t>
      </w:r>
      <w:r w:rsidRPr="00BD2C6C">
        <w:rPr>
          <w:i/>
        </w:rPr>
        <w:t>See, e.g.</w:t>
      </w:r>
      <w:r w:rsidRPr="00BD2C6C">
        <w:t xml:space="preserve">, </w:t>
      </w:r>
      <w:r w:rsidRPr="00BD2C6C">
        <w:rPr>
          <w:i/>
          <w:iCs/>
        </w:rPr>
        <w:t>Petitions for Reconsideration by Callisburg Independent School District; Schools and Libraries Universal Service Support Mechanism</w:t>
      </w:r>
      <w:r w:rsidRPr="00BD2C6C">
        <w:rPr>
          <w:iCs/>
        </w:rPr>
        <w:t>, CC Docket No. 02-6, Order and Order on Reconsideration, 28 FCC Rcd 9459, 9460-61, para. 3 (</w:t>
      </w:r>
      <w:r w:rsidR="00F82089">
        <w:rPr>
          <w:iCs/>
        </w:rPr>
        <w:t>WCB</w:t>
      </w:r>
      <w:r w:rsidRPr="00BD2C6C">
        <w:rPr>
          <w:iCs/>
        </w:rPr>
        <w:t xml:space="preserve"> 2013) (</w:t>
      </w:r>
      <w:r w:rsidRPr="00BD2C6C">
        <w:rPr>
          <w:i/>
          <w:iCs/>
        </w:rPr>
        <w:t>Callisburg Order</w:t>
      </w:r>
      <w:r w:rsidRPr="00BD2C6C">
        <w:rPr>
          <w:iCs/>
        </w:rPr>
        <w:t xml:space="preserve">); </w:t>
      </w:r>
      <w:r w:rsidRPr="00BD2C6C">
        <w:rPr>
          <w:i/>
        </w:rPr>
        <w:t>Schools and Libraries Universal Service Support Mechanism; A National Broadband Plan for Our Future</w:t>
      </w:r>
      <w:r w:rsidRPr="00BD2C6C">
        <w:t>, CC Docket No. 02-6, GN Docket No. 09-51, Sixth Report and Order, 25 FCC Rcd 18762, 18799, para. 86 (2010) (</w:t>
      </w:r>
      <w:r w:rsidRPr="00BD2C6C">
        <w:rPr>
          <w:i/>
        </w:rPr>
        <w:t>Schools and Libraries Sixth Report and Order</w:t>
      </w:r>
      <w:r w:rsidRPr="00BD2C6C">
        <w:t xml:space="preserve">) (both explaining that “all potential bidders and service providers must have access to the same information and be treated in the same manner throughout the procurement process”); </w:t>
      </w:r>
      <w:r w:rsidRPr="00BD2C6C">
        <w:rPr>
          <w:i/>
        </w:rPr>
        <w:t>Requests</w:t>
      </w:r>
      <w:r w:rsidRPr="00BD2C6C">
        <w:rPr>
          <w:i/>
          <w:iCs/>
        </w:rPr>
        <w:t xml:space="preserve"> for Review of Decisions of the Universal Service Administrator </w:t>
      </w:r>
      <w:r w:rsidRPr="00BD2C6C">
        <w:rPr>
          <w:i/>
        </w:rPr>
        <w:t>by Central Islip Free Union School District et al.; Schools and Libraries Universal Service Support Mechanism</w:t>
      </w:r>
      <w:r w:rsidRPr="00BD2C6C">
        <w:t>, CC Docket No. 02-6, Order, 26 FCC Rcd 8630, 8635-36, paras. 11-12 (</w:t>
      </w:r>
      <w:r w:rsidR="00F82089">
        <w:t>WCB</w:t>
      </w:r>
      <w:r w:rsidRPr="00BD2C6C">
        <w:t xml:space="preserve"> 2011) (</w:t>
      </w:r>
      <w:r w:rsidRPr="00BD2C6C">
        <w:rPr>
          <w:i/>
        </w:rPr>
        <w:t>Central Islip Order</w:t>
      </w:r>
      <w:r w:rsidRPr="00BD2C6C">
        <w:t xml:space="preserve">); </w:t>
      </w:r>
      <w:r w:rsidRPr="00BD2C6C">
        <w:rPr>
          <w:i/>
          <w:iCs/>
        </w:rPr>
        <w:t>Request for Review of Decisions of the Universal Service Administrator by Gila Bend Unified School District; School and Libraries Universal Service Support Mechanism</w:t>
      </w:r>
      <w:r w:rsidRPr="00BD2C6C">
        <w:t>, CC Docket No. 02-6, Order, 26 FCC Rcd 6870, 6873-74, para. 8 (</w:t>
      </w:r>
      <w:r w:rsidR="00F82089">
        <w:t>WCB</w:t>
      </w:r>
      <w:r w:rsidRPr="00BD2C6C">
        <w:t xml:space="preserve"> 2011) (</w:t>
      </w:r>
      <w:r w:rsidRPr="00BD2C6C">
        <w:rPr>
          <w:i/>
        </w:rPr>
        <w:t>Gila Bend Order</w:t>
      </w:r>
      <w:r w:rsidRPr="00BD2C6C">
        <w:t>) (both denying appeals where the applicant failed to produce documentation regarding its vendor selection process and, thus, could not demonstrate compliance with the E-rate program’s competitive bidding rules).</w:t>
      </w:r>
    </w:p>
  </w:footnote>
  <w:footnote w:id="3">
    <w:p w14:paraId="4B8CA0CA" w14:textId="77777777" w:rsidR="005D57EE" w:rsidRPr="00BD2C6C" w:rsidRDefault="005D57EE" w:rsidP="005D57EE">
      <w:pPr>
        <w:pStyle w:val="FootnoteText"/>
      </w:pPr>
      <w:r w:rsidRPr="00BD2C6C">
        <w:rPr>
          <w:rStyle w:val="FootnoteReference"/>
        </w:rPr>
        <w:footnoteRef/>
      </w:r>
      <w:r w:rsidRPr="00BD2C6C">
        <w:t xml:space="preserve"> A list of the petitions for reconsideration (Petitions for Reconsideration), the relevant associated application and funding request numbers, and the bases for their denial is attached in Appendix A.  In this Order, we use the term “appeals” to refer to the appeals and/or waiver requests initially filed by the Petitioners with the FCC which were denied in the </w:t>
      </w:r>
      <w:r w:rsidRPr="00BD2C6C">
        <w:rPr>
          <w:i/>
        </w:rPr>
        <w:t>Streamlined Resolution of Requests Related to Actions by the Universal Service Administrative Company</w:t>
      </w:r>
      <w:r w:rsidRPr="00BD2C6C">
        <w:t>, CC Docket No. 02-6, Public Notice, 30 FCC Rcd 2745, 2749-50, nn.17 &amp; 18 (</w:t>
      </w:r>
      <w:r w:rsidR="00F82089">
        <w:t>WCB</w:t>
      </w:r>
      <w:r w:rsidRPr="00BD2C6C">
        <w:t xml:space="preserve"> 2015) (</w:t>
      </w:r>
      <w:r w:rsidRPr="00BD2C6C">
        <w:rPr>
          <w:i/>
        </w:rPr>
        <w:t>March 2015 Streamlined Request Resolution PN</w:t>
      </w:r>
      <w:r w:rsidRPr="00BD2C6C">
        <w:t xml:space="preserve">) (finding that Petitioners violated the Commission’s competitive bidding requirements by failing to treat potential vendors in the same manner and/or by failing to maintain and provide copies of bids or other documentation in support of the bid evaluation process). </w:t>
      </w:r>
      <w:r w:rsidRPr="00BD2C6C">
        <w:rPr>
          <w:bCs/>
        </w:rPr>
        <w:t xml:space="preserve"> The Bureau has the authority to act on petitions requesting reconsideration of final actions taken pursuant to delegated authority.  47 C.F.R. § 1.106(a)(1).  </w:t>
      </w:r>
    </w:p>
  </w:footnote>
  <w:footnote w:id="4">
    <w:p w14:paraId="6D015061" w14:textId="77777777" w:rsidR="005D57EE" w:rsidRPr="00BD2C6C" w:rsidRDefault="005D57EE" w:rsidP="005D57EE">
      <w:pPr>
        <w:pStyle w:val="FootnoteText"/>
      </w:pPr>
      <w:r w:rsidRPr="00BD2C6C">
        <w:rPr>
          <w:rStyle w:val="FootnoteReference"/>
        </w:rPr>
        <w:footnoteRef/>
      </w:r>
      <w:r w:rsidRPr="00BD2C6C">
        <w:t xml:space="preserve"> </w:t>
      </w:r>
      <w:r w:rsidRPr="00BD2C6C">
        <w:rPr>
          <w:i/>
        </w:rPr>
        <w:t>March 2015 Streamlined Request Resolution PN</w:t>
      </w:r>
      <w:r w:rsidRPr="00BD2C6C">
        <w:t xml:space="preserve"> at 2749-50 nn.17 &amp; 18 (finding that petitioners violated the Commission’s competitive bidding requirements by failing to treat potential vendors in the same manner and/or by failing to maintain and provide copies of bids or other documentation in support of the bid evaluation process).</w:t>
      </w:r>
    </w:p>
  </w:footnote>
  <w:footnote w:id="5">
    <w:p w14:paraId="667581C3" w14:textId="77777777" w:rsidR="005D57EE" w:rsidRPr="00BD2C6C" w:rsidRDefault="005D57EE" w:rsidP="005D57EE">
      <w:pPr>
        <w:pStyle w:val="FootnoteText"/>
      </w:pPr>
      <w:r w:rsidRPr="00BD2C6C">
        <w:rPr>
          <w:rStyle w:val="FootnoteReference"/>
        </w:rPr>
        <w:footnoteRef/>
      </w:r>
      <w:r w:rsidRPr="00BD2C6C">
        <w:t xml:space="preserve"> </w:t>
      </w:r>
      <w:r w:rsidRPr="00BD2C6C">
        <w:rPr>
          <w:i/>
        </w:rPr>
        <w:t>See</w:t>
      </w:r>
      <w:r w:rsidRPr="00BD2C6C">
        <w:t xml:space="preserve"> 47 C.F.R. §§ 54.501</w:t>
      </w:r>
      <w:r w:rsidRPr="00BD2C6C">
        <w:rPr>
          <w:color w:val="000000"/>
        </w:rPr>
        <w:t>-</w:t>
      </w:r>
      <w:r w:rsidRPr="00BD2C6C">
        <w:t>54.502</w:t>
      </w:r>
      <w:r w:rsidRPr="00BD2C6C">
        <w:rPr>
          <w:color w:val="000000"/>
        </w:rPr>
        <w:t xml:space="preserve">.  </w:t>
      </w:r>
    </w:p>
  </w:footnote>
  <w:footnote w:id="6">
    <w:p w14:paraId="44FFFEAA" w14:textId="77777777" w:rsidR="005D57EE" w:rsidRPr="00BD2C6C" w:rsidRDefault="005D57EE" w:rsidP="005D57EE">
      <w:pPr>
        <w:pStyle w:val="FootnoteText"/>
      </w:pPr>
      <w:r w:rsidRPr="00BD2C6C">
        <w:rPr>
          <w:rStyle w:val="FootnoteReference"/>
        </w:rPr>
        <w:footnoteRef/>
      </w:r>
      <w:r w:rsidRPr="00BD2C6C">
        <w:t xml:space="preserve"> </w:t>
      </w:r>
      <w:r w:rsidRPr="00BD2C6C">
        <w:rPr>
          <w:i/>
        </w:rPr>
        <w:t>See</w:t>
      </w:r>
      <w:r w:rsidRPr="00BD2C6C">
        <w:t xml:space="preserve"> 47 C.F.R. § 54.503</w:t>
      </w:r>
      <w:r w:rsidRPr="00BD2C6C">
        <w:rPr>
          <w:color w:val="000000"/>
        </w:rPr>
        <w:t xml:space="preserve">.  </w:t>
      </w:r>
    </w:p>
  </w:footnote>
  <w:footnote w:id="7">
    <w:p w14:paraId="2BD99E05" w14:textId="77777777" w:rsidR="005D57EE" w:rsidRPr="00BD2C6C" w:rsidRDefault="005D57EE" w:rsidP="005D57EE">
      <w:pPr>
        <w:pStyle w:val="FootnoteText"/>
        <w:rPr>
          <w:iCs/>
        </w:rPr>
      </w:pPr>
      <w:r w:rsidRPr="00BD2C6C">
        <w:rPr>
          <w:rStyle w:val="FootnoteReference"/>
        </w:rPr>
        <w:footnoteRef/>
      </w:r>
      <w:r w:rsidRPr="00BD2C6C">
        <w:rPr>
          <w:rStyle w:val="documentbody1"/>
          <w:rFonts w:ascii="Times New Roman" w:hAnsi="Times New Roman"/>
          <w:color w:val="000000"/>
          <w:sz w:val="20"/>
          <w:szCs w:val="20"/>
        </w:rPr>
        <w:t xml:space="preserve"> </w:t>
      </w:r>
      <w:r w:rsidRPr="00BD2C6C">
        <w:rPr>
          <w:rStyle w:val="documentbody1"/>
          <w:rFonts w:ascii="Times New Roman" w:hAnsi="Times New Roman"/>
          <w:i/>
          <w:color w:val="000000"/>
          <w:sz w:val="20"/>
          <w:szCs w:val="20"/>
        </w:rPr>
        <w:t>See</w:t>
      </w:r>
      <w:r w:rsidRPr="00BD2C6C">
        <w:rPr>
          <w:rStyle w:val="documentbody1"/>
          <w:rFonts w:ascii="Times New Roman" w:hAnsi="Times New Roman"/>
          <w:color w:val="000000"/>
          <w:sz w:val="20"/>
          <w:szCs w:val="20"/>
        </w:rPr>
        <w:t xml:space="preserve"> 47 C.F.R. § 54.503(c).  </w:t>
      </w:r>
    </w:p>
  </w:footnote>
  <w:footnote w:id="8">
    <w:p w14:paraId="568FEC9F" w14:textId="77777777" w:rsidR="005D57EE" w:rsidRPr="00BD2C6C" w:rsidRDefault="005D57EE" w:rsidP="005D57EE">
      <w:pPr>
        <w:pStyle w:val="FootnoteText"/>
        <w:tabs>
          <w:tab w:val="left" w:pos="1094"/>
        </w:tabs>
      </w:pPr>
      <w:r w:rsidRPr="00BD2C6C">
        <w:rPr>
          <w:rStyle w:val="FootnoteReference"/>
        </w:rPr>
        <w:footnoteRef/>
      </w:r>
      <w:r w:rsidRPr="00BD2C6C">
        <w:rPr>
          <w:rStyle w:val="documentbody1"/>
          <w:rFonts w:ascii="Times New Roman" w:hAnsi="Times New Roman"/>
          <w:color w:val="000000"/>
          <w:sz w:val="20"/>
          <w:szCs w:val="20"/>
        </w:rPr>
        <w:t xml:space="preserve"> </w:t>
      </w:r>
      <w:r w:rsidRPr="00BD2C6C">
        <w:rPr>
          <w:rStyle w:val="documentbody1"/>
          <w:rFonts w:ascii="Times New Roman" w:hAnsi="Times New Roman"/>
          <w:i/>
          <w:iCs/>
          <w:color w:val="000000"/>
          <w:sz w:val="20"/>
          <w:szCs w:val="20"/>
        </w:rPr>
        <w:t>See id</w:t>
      </w:r>
      <w:r w:rsidRPr="00BD2C6C">
        <w:rPr>
          <w:rStyle w:val="documentbody1"/>
          <w:rFonts w:ascii="Times New Roman" w:hAnsi="Times New Roman"/>
          <w:iCs/>
          <w:color w:val="000000"/>
          <w:sz w:val="20"/>
          <w:szCs w:val="20"/>
        </w:rPr>
        <w:t>.</w:t>
      </w:r>
    </w:p>
  </w:footnote>
  <w:footnote w:id="9">
    <w:p w14:paraId="6A75828D" w14:textId="77777777" w:rsidR="005D57EE" w:rsidRPr="00BD2C6C" w:rsidRDefault="005D57EE" w:rsidP="005D57EE">
      <w:pPr>
        <w:pStyle w:val="FootnoteText"/>
      </w:pPr>
      <w:r w:rsidRPr="00BD2C6C">
        <w:rPr>
          <w:rStyle w:val="FootnoteReference"/>
        </w:rPr>
        <w:footnoteRef/>
      </w:r>
      <w:r w:rsidRPr="00BD2C6C">
        <w:rPr>
          <w:rStyle w:val="documentbody1"/>
          <w:rFonts w:ascii="Times New Roman" w:hAnsi="Times New Roman"/>
          <w:sz w:val="20"/>
          <w:szCs w:val="20"/>
        </w:rPr>
        <w:t xml:space="preserve"> </w:t>
      </w:r>
      <w:r w:rsidRPr="00BD2C6C">
        <w:rPr>
          <w:rStyle w:val="documentbody1"/>
          <w:rFonts w:ascii="Times New Roman" w:hAnsi="Times New Roman"/>
          <w:i/>
          <w:iCs/>
          <w:color w:val="000000"/>
          <w:sz w:val="20"/>
          <w:szCs w:val="20"/>
        </w:rPr>
        <w:t xml:space="preserve">See </w:t>
      </w:r>
      <w:r w:rsidRPr="00BD2C6C">
        <w:rPr>
          <w:rStyle w:val="documentbody1"/>
          <w:rFonts w:ascii="Times New Roman" w:hAnsi="Times New Roman"/>
          <w:color w:val="000000"/>
          <w:sz w:val="20"/>
          <w:szCs w:val="20"/>
        </w:rPr>
        <w:t>47 C.F.R. § 54.503(c)(4).</w:t>
      </w:r>
    </w:p>
  </w:footnote>
  <w:footnote w:id="10">
    <w:p w14:paraId="391E3F8D" w14:textId="77777777" w:rsidR="005D57EE" w:rsidRPr="00BD2C6C" w:rsidRDefault="005D57EE" w:rsidP="005D57EE">
      <w:pPr>
        <w:pStyle w:val="FootnoteText"/>
      </w:pPr>
      <w:r w:rsidRPr="00BD2C6C">
        <w:rPr>
          <w:rStyle w:val="FootnoteReference"/>
        </w:rPr>
        <w:footnoteRef/>
      </w:r>
      <w:r w:rsidRPr="00BD2C6C">
        <w:t xml:space="preserve"> </w:t>
      </w:r>
      <w:r w:rsidRPr="00BD2C6C">
        <w:rPr>
          <w:i/>
        </w:rPr>
        <w:t>See</w:t>
      </w:r>
      <w:r w:rsidRPr="00BD2C6C">
        <w:t xml:space="preserve"> </w:t>
      </w:r>
      <w:r w:rsidRPr="00BD2C6C">
        <w:rPr>
          <w:rStyle w:val="documentbody1"/>
          <w:rFonts w:ascii="Times New Roman" w:hAnsi="Times New Roman"/>
          <w:sz w:val="20"/>
          <w:szCs w:val="20"/>
        </w:rPr>
        <w:t>47 C.F.R. § 54.511(a).</w:t>
      </w:r>
    </w:p>
  </w:footnote>
  <w:footnote w:id="11">
    <w:p w14:paraId="5878E661" w14:textId="77777777" w:rsidR="005D57EE" w:rsidRPr="00BD2C6C" w:rsidRDefault="005D57EE" w:rsidP="005D57EE">
      <w:pPr>
        <w:spacing w:after="120"/>
        <w:rPr>
          <w:color w:val="000000"/>
          <w:sz w:val="20"/>
        </w:rPr>
      </w:pPr>
      <w:r w:rsidRPr="00BD2C6C">
        <w:rPr>
          <w:rStyle w:val="FootnoteReference"/>
        </w:rPr>
        <w:footnoteRef/>
      </w:r>
      <w:r w:rsidRPr="00BD2C6C">
        <w:rPr>
          <w:sz w:val="20"/>
        </w:rPr>
        <w:t xml:space="preserve"> </w:t>
      </w:r>
      <w:r w:rsidRPr="00BD2C6C">
        <w:rPr>
          <w:i/>
          <w:sz w:val="20"/>
        </w:rPr>
        <w:t xml:space="preserve">See </w:t>
      </w:r>
      <w:r w:rsidRPr="00BD2C6C">
        <w:rPr>
          <w:sz w:val="20"/>
        </w:rPr>
        <w:t>47 C.F.R. § 54.503(a) (“All entities participating in the schools and libraries universal service support program must conduct a fair and open competitive bidding process[.]”).</w:t>
      </w:r>
    </w:p>
  </w:footnote>
  <w:footnote w:id="12">
    <w:p w14:paraId="312AEF21" w14:textId="77777777" w:rsidR="005D57EE" w:rsidRPr="00BD2C6C" w:rsidRDefault="005D57EE" w:rsidP="005D57EE">
      <w:pPr>
        <w:pStyle w:val="FootnoteText"/>
        <w:rPr>
          <w:color w:val="000000"/>
        </w:rPr>
      </w:pPr>
      <w:r w:rsidRPr="00BD2C6C">
        <w:rPr>
          <w:rStyle w:val="FootnoteReference"/>
        </w:rPr>
        <w:footnoteRef/>
      </w:r>
      <w:r w:rsidRPr="00BD2C6C">
        <w:t xml:space="preserve"> </w:t>
      </w:r>
      <w:r w:rsidRPr="00BD2C6C">
        <w:rPr>
          <w:i/>
          <w:iCs/>
          <w:color w:val="000000"/>
        </w:rPr>
        <w:t xml:space="preserve">See </w:t>
      </w:r>
      <w:r w:rsidRPr="00BD2C6C">
        <w:rPr>
          <w:i/>
          <w:iCs/>
        </w:rPr>
        <w:t>Callisburg Order</w:t>
      </w:r>
      <w:r w:rsidRPr="00BD2C6C">
        <w:rPr>
          <w:iCs/>
        </w:rPr>
        <w:t xml:space="preserve">, 28 FCC Rcd at 9460-61, para. 3; </w:t>
      </w:r>
      <w:r w:rsidRPr="00BD2C6C">
        <w:rPr>
          <w:i/>
        </w:rPr>
        <w:t>Schools and Libraries Sixth Report and Order</w:t>
      </w:r>
      <w:r w:rsidRPr="00BD2C6C">
        <w:t>, 25 FCC Rcd at 18799, para. 86 (both explaining that “all potential bidders and service providers must have access to the same information and be treated in the same manner throughout the procurement process”)</w:t>
      </w:r>
      <w:r w:rsidRPr="00BD2C6C">
        <w:rPr>
          <w:color w:val="000000"/>
        </w:rPr>
        <w:t>.</w:t>
      </w:r>
    </w:p>
  </w:footnote>
  <w:footnote w:id="13">
    <w:p w14:paraId="5724A14D" w14:textId="77777777" w:rsidR="005D57EE" w:rsidRPr="00BD2C6C" w:rsidRDefault="005D57EE" w:rsidP="005D57EE">
      <w:pPr>
        <w:spacing w:after="120"/>
        <w:rPr>
          <w:sz w:val="20"/>
        </w:rPr>
      </w:pPr>
      <w:r w:rsidRPr="00BD2C6C">
        <w:rPr>
          <w:rStyle w:val="FootnoteReference"/>
        </w:rPr>
        <w:footnoteRef/>
      </w:r>
      <w:r w:rsidRPr="00BD2C6C">
        <w:rPr>
          <w:sz w:val="20"/>
        </w:rPr>
        <w:t xml:space="preserve"> </w:t>
      </w:r>
      <w:r w:rsidRPr="00BD2C6C">
        <w:rPr>
          <w:i/>
          <w:sz w:val="20"/>
        </w:rPr>
        <w:t xml:space="preserve">See </w:t>
      </w:r>
      <w:r w:rsidRPr="00BD2C6C">
        <w:rPr>
          <w:sz w:val="20"/>
        </w:rPr>
        <w:t>47 C.F.R. §§ 54.504(a)(1)(x), 54.516(a) (2012) (requiring E-rate applicants to retain for five years any and all worksheets and other records relied upon to fill out its application);</w:t>
      </w:r>
      <w:r w:rsidRPr="00BD2C6C">
        <w:rPr>
          <w:i/>
          <w:sz w:val="20"/>
        </w:rPr>
        <w:t xml:space="preserve"> Schools and Libraries Universal Service Support Mechanism</w:t>
      </w:r>
      <w:r w:rsidRPr="00BD2C6C">
        <w:rPr>
          <w:sz w:val="20"/>
        </w:rPr>
        <w:t>, CC Docket No. 02-6, Fifth Report and Order and Order, 19 FCC Rcd 15808, 15823-26, paras. 47-50 (2004) (</w:t>
      </w:r>
      <w:r w:rsidRPr="00BD2C6C">
        <w:rPr>
          <w:i/>
          <w:sz w:val="20"/>
        </w:rPr>
        <w:t>Schools and Libraries Fifth Report and Order</w:t>
      </w:r>
      <w:r w:rsidRPr="00BD2C6C">
        <w:rPr>
          <w:sz w:val="20"/>
        </w:rPr>
        <w:t xml:space="preserve">) (concluding that program participants must retain all documents necessary to demonstrate compliance with the statute and Commission rules regarding the application for, receipt, and delivery of services receiving schools and libraries discounts); </w:t>
      </w:r>
      <w:r w:rsidRPr="00BD2C6C">
        <w:rPr>
          <w:i/>
          <w:sz w:val="20"/>
        </w:rPr>
        <w:t>Central Islip Order</w:t>
      </w:r>
      <w:r w:rsidRPr="00BD2C6C">
        <w:rPr>
          <w:sz w:val="20"/>
        </w:rPr>
        <w:t xml:space="preserve">, 26 FCC Rcd at 8635-36, paras. 11-12; </w:t>
      </w:r>
      <w:r w:rsidRPr="00BD2C6C">
        <w:rPr>
          <w:i/>
          <w:iCs/>
          <w:sz w:val="20"/>
        </w:rPr>
        <w:t>Gila Bend Order</w:t>
      </w:r>
      <w:r w:rsidRPr="00BD2C6C">
        <w:rPr>
          <w:sz w:val="20"/>
        </w:rPr>
        <w:t xml:space="preserve">, 26 FCC Rcd at 6873-74, para. 8 (both denying appeals where the applicant failed to produce documentation regarding its vendor selection process and, thus, could not demonstrate compliance with the E-rate program’s competitive bidding rules).  In 2014, the Commission expanded the recordkeeping requirement to ten years.  </w:t>
      </w:r>
      <w:r w:rsidRPr="00BD2C6C">
        <w:rPr>
          <w:i/>
          <w:sz w:val="20"/>
        </w:rPr>
        <w:t>See Modernizing the E-rate Program for Schools and Libraries</w:t>
      </w:r>
      <w:r w:rsidRPr="00BD2C6C">
        <w:rPr>
          <w:sz w:val="20"/>
        </w:rPr>
        <w:t>, WC Docket No. 13-184, Order and Further Notice of Proposed Rulemaking,</w:t>
      </w:r>
      <w:r w:rsidRPr="00BD2C6C">
        <w:rPr>
          <w:i/>
          <w:sz w:val="20"/>
        </w:rPr>
        <w:t xml:space="preserve"> </w:t>
      </w:r>
      <w:r w:rsidRPr="00BD2C6C">
        <w:rPr>
          <w:sz w:val="20"/>
        </w:rPr>
        <w:t>29 FCC Rcd 8870, 8974-75, para. 262 (2014) (</w:t>
      </w:r>
      <w:r w:rsidRPr="00BD2C6C">
        <w:rPr>
          <w:i/>
          <w:sz w:val="20"/>
        </w:rPr>
        <w:t>E-rate Modernization Order</w:t>
      </w:r>
      <w:r w:rsidRPr="00BD2C6C">
        <w:rPr>
          <w:sz w:val="20"/>
        </w:rPr>
        <w:t>).</w:t>
      </w:r>
    </w:p>
  </w:footnote>
  <w:footnote w:id="14">
    <w:p w14:paraId="334CD86C" w14:textId="77777777" w:rsidR="005D57EE" w:rsidRPr="00BD2C6C" w:rsidRDefault="005D57EE" w:rsidP="005D57EE">
      <w:pPr>
        <w:pStyle w:val="FootnoteText"/>
      </w:pPr>
      <w:r w:rsidRPr="00BD2C6C">
        <w:rPr>
          <w:rStyle w:val="FootnoteReference"/>
        </w:rPr>
        <w:footnoteRef/>
      </w:r>
      <w:r w:rsidRPr="00BD2C6C">
        <w:t xml:space="preserve"> Blessed Sacrament School (“Blessed Sacrament”) Petition for Reconsideration at 1; Mount Carmel-Holy Rosary School (“Mt. Carmel”) Petition for Reconsideration at 1; St. Aloysius School (“St. Aloysius”) Petition for Reconsideration at 1; St. Ann School (“St. Ann”) Petition for Reconsideration at 1; St. Anthony School (“St. Anthony”) Petition for Reconsideration at 1; St. Brigid School (“St. Brigid”) Petition for Reconsideration at 1; St. Jude School (“St. Jude”) Petition for Reconsideration at 1; St. Mark the Evangelist School (“St. Mark”) Petition for Reconsideration at 1; St. Nicholas Tolentine School (“St. Nicholas”) Petition for Reconsideration at 1.</w:t>
      </w:r>
    </w:p>
  </w:footnote>
  <w:footnote w:id="15">
    <w:p w14:paraId="26176BB9" w14:textId="77777777" w:rsidR="005D57EE" w:rsidRPr="00BD2C6C" w:rsidRDefault="005D57EE" w:rsidP="005D57EE">
      <w:pPr>
        <w:pStyle w:val="FootnoteText"/>
        <w:tabs>
          <w:tab w:val="center" w:pos="4680"/>
        </w:tabs>
      </w:pPr>
      <w:r w:rsidRPr="00BD2C6C">
        <w:rPr>
          <w:rStyle w:val="FootnoteReference"/>
        </w:rPr>
        <w:footnoteRef/>
      </w:r>
      <w:r w:rsidRPr="00BD2C6C">
        <w:t xml:space="preserve"> FCC Form 470, Blessed Sacrament School (posted July 11, 2011); FCC Form 470, Blessed Sacrament School (posted Jan. 15, 2012); FCC Form 470, Mount Carmel-Holy Rosary School (posted Jan. 16, 2012); FCC Form 470, St. Aloysius School (posted July 13, 2011); FCC Form 470, St. Aloysius School (posted Jan. 15, 2012); FCC Form 470, St. Ann School (posted Jan. 16, 2012); FCC Form 470, St. Anthony School (posted July 11, 2011); FCC Form 470, St. Anthony School (posted Jan. 15, 2012); FCC Form 470, St. Brigid School (posted July 14, 2011); FCC Form 470, St. Brigid School (posted Jan. 5, 2012); FCC Form 470, St. Jude School (posted July 15, 2011); FCC Form 470, St. Mark the Evangelist School (posted Jan. 15, 2012); FCC Form 470, St. Nicholas Tolentine School (posted July 18, 2011); FCC Form 470, St. Nicholas (posted Jan. 15, 2012).  Petitioner’s FCC Form 470 applications are attached as exhibits to their underlying appeal briefs.</w:t>
      </w:r>
    </w:p>
  </w:footnote>
  <w:footnote w:id="16">
    <w:p w14:paraId="6B8C4C6E" w14:textId="77777777" w:rsidR="005D57EE" w:rsidRPr="00BD2C6C" w:rsidRDefault="005D57EE" w:rsidP="005D57EE">
      <w:pPr>
        <w:pStyle w:val="FootnoteText"/>
        <w:tabs>
          <w:tab w:val="center" w:pos="4680"/>
        </w:tabs>
      </w:pPr>
      <w:r w:rsidRPr="00BD2C6C">
        <w:rPr>
          <w:rStyle w:val="FootnoteReference"/>
        </w:rPr>
        <w:footnoteRef/>
      </w:r>
      <w:r w:rsidRPr="00BD2C6C">
        <w:t xml:space="preserve"> </w:t>
      </w:r>
      <w:r w:rsidRPr="00BD2C6C">
        <w:rPr>
          <w:i/>
        </w:rPr>
        <w:t>Id.</w:t>
      </w:r>
      <w:r w:rsidRPr="00BD2C6C">
        <w:rPr>
          <w:i/>
        </w:rPr>
        <w:tab/>
      </w:r>
    </w:p>
  </w:footnote>
  <w:footnote w:id="17">
    <w:p w14:paraId="005D08F5" w14:textId="77777777" w:rsidR="005D57EE" w:rsidRPr="00BD2C6C" w:rsidRDefault="005D57EE" w:rsidP="005D57EE">
      <w:pPr>
        <w:pStyle w:val="FootnoteText"/>
      </w:pPr>
      <w:r w:rsidRPr="00BD2C6C">
        <w:rPr>
          <w:rStyle w:val="FootnoteReference"/>
        </w:rPr>
        <w:footnoteRef/>
      </w:r>
      <w:r w:rsidRPr="00BD2C6C">
        <w:t xml:space="preserve"> Blessed Sacrament Petition for Reconsideration at 11; Mt. Carmel Petition for Reconsideration at 8; St. Aloysius Petition for Reconsideration at 10; St. Ann Petition for Reconsideration at 8; St. Anthony Petition for Reconsideration at 5; St. Brigid Petition for Reconsideration at 5; St. Mark Petition for Reconsideration at 8; St. Nicholas Petition for Reconsideration at 5.</w:t>
      </w:r>
    </w:p>
  </w:footnote>
  <w:footnote w:id="18">
    <w:p w14:paraId="0C2D4F30" w14:textId="77777777" w:rsidR="005D57EE" w:rsidRPr="00BD2C6C" w:rsidRDefault="005D57EE" w:rsidP="005D57EE">
      <w:pPr>
        <w:pStyle w:val="FootnoteText"/>
      </w:pPr>
      <w:r w:rsidRPr="00BD2C6C">
        <w:rPr>
          <w:rStyle w:val="FootnoteReference"/>
        </w:rPr>
        <w:footnoteRef/>
      </w:r>
      <w:r w:rsidRPr="00BD2C6C">
        <w:t xml:space="preserve"> </w:t>
      </w:r>
      <w:r w:rsidRPr="00BD2C6C">
        <w:rPr>
          <w:i/>
        </w:rPr>
        <w:t>Id.</w:t>
      </w:r>
    </w:p>
  </w:footnote>
  <w:footnote w:id="19">
    <w:p w14:paraId="4143900C" w14:textId="77777777" w:rsidR="005D57EE" w:rsidRPr="00BD2C6C" w:rsidRDefault="005D57EE" w:rsidP="005D57EE">
      <w:pPr>
        <w:pStyle w:val="FootnoteText"/>
        <w:tabs>
          <w:tab w:val="left" w:pos="1465"/>
          <w:tab w:val="left" w:pos="3795"/>
        </w:tabs>
      </w:pPr>
      <w:r w:rsidRPr="00BD2C6C">
        <w:rPr>
          <w:rStyle w:val="FootnoteReference"/>
        </w:rPr>
        <w:footnoteRef/>
      </w:r>
      <w:r w:rsidRPr="00BD2C6C">
        <w:t xml:space="preserve"> </w:t>
      </w:r>
      <w:r w:rsidRPr="00BD2C6C">
        <w:rPr>
          <w:i/>
        </w:rPr>
        <w:t>Id</w:t>
      </w:r>
      <w:r w:rsidRPr="00BD2C6C">
        <w:t>.</w:t>
      </w:r>
      <w:r w:rsidRPr="00BD2C6C">
        <w:tab/>
      </w:r>
      <w:r w:rsidRPr="00BD2C6C">
        <w:tab/>
      </w:r>
    </w:p>
  </w:footnote>
  <w:footnote w:id="20">
    <w:p w14:paraId="57F9F9A2" w14:textId="77777777" w:rsidR="005D57EE" w:rsidRPr="00BD2C6C" w:rsidRDefault="005D57EE" w:rsidP="005D57EE">
      <w:pPr>
        <w:pStyle w:val="FootnoteText"/>
      </w:pPr>
      <w:r w:rsidRPr="00BD2C6C">
        <w:rPr>
          <w:rStyle w:val="FootnoteReference"/>
        </w:rPr>
        <w:footnoteRef/>
      </w:r>
      <w:r w:rsidRPr="00BD2C6C">
        <w:t xml:space="preserve">  FCC Form 471, Blessed Sacrament School (filed Mar. 3, 2012); FCC Form 471, Blessed Sacrament School (filed Mar. 19, 2012); FCC Form 471, Mount Carmel-Holy Rosary School (filed Mar. 13, 2012); FCC Form 471, St. Aloysius School (filed Mar. 13, 2012); FCC Form 471, St. Aloysius School (filed Mar. 19, 2012); FCC Form 471, St. Ann School (filed Mar. 13, 2012); FCC Form 471, St. Ann School (filed Mar. 15, 2012); FCC Form 471, St. Anthony School (filed Mar. 3, 2012); FCC Form 471, St. Anthony School (filed Mar. 19, 2012); FCC Form 471, St. Brigid School (filed Mar. 14, 2012); FCC Form 471, St. Brigid School (filed Mar. 19, 2012); FCC Form 471, St. Jude School (filed Feb. 8, 2012); FCC Form 471, St. Mark the Evangelist School (filed Mar. 13, 2012); FCC Form 471, St. Nicholas Tolentine School (filed Jan. 25, 2012); FCC Form 471, St. Nicholas Tolentine School (filed Mar. 13, 2012).  Petitioner’s FCC Form 471 applications are attached as exhibits to their underlying appeal briefs</w:t>
      </w:r>
      <w:r w:rsidR="00BD2C6C">
        <w:t>.</w:t>
      </w:r>
    </w:p>
  </w:footnote>
  <w:footnote w:id="21">
    <w:p w14:paraId="2BEAB23D" w14:textId="77777777" w:rsidR="005D57EE" w:rsidRPr="00BD2C6C" w:rsidRDefault="005D57EE" w:rsidP="005D57EE">
      <w:pPr>
        <w:pStyle w:val="FootnoteText"/>
      </w:pPr>
      <w:r w:rsidRPr="00BD2C6C">
        <w:rPr>
          <w:rStyle w:val="FootnoteReference"/>
        </w:rPr>
        <w:footnoteRef/>
      </w:r>
      <w:r w:rsidRPr="00BD2C6C">
        <w:t xml:space="preserve"> </w:t>
      </w:r>
      <w:r w:rsidRPr="00BD2C6C">
        <w:rPr>
          <w:i/>
        </w:rPr>
        <w:t xml:space="preserve">See </w:t>
      </w:r>
      <w:r w:rsidRPr="00BD2C6C">
        <w:t>Appendix B, USAC’s Funding Commitment Decision Letters (FCDLs) to Petitioners, which were attached as exhibits to Petitioner’s underlying appeal briefs.</w:t>
      </w:r>
    </w:p>
  </w:footnote>
  <w:footnote w:id="22">
    <w:p w14:paraId="65C4A7B3" w14:textId="77777777" w:rsidR="005D57EE" w:rsidRPr="00BD2C6C" w:rsidRDefault="005D57EE" w:rsidP="005D57EE">
      <w:pPr>
        <w:pStyle w:val="FootnoteText"/>
        <w:tabs>
          <w:tab w:val="left" w:pos="3133"/>
        </w:tabs>
      </w:pPr>
      <w:r w:rsidRPr="00BD2C6C">
        <w:rPr>
          <w:rStyle w:val="FootnoteReference"/>
        </w:rPr>
        <w:footnoteRef/>
      </w:r>
      <w:r w:rsidRPr="00BD2C6C">
        <w:t xml:space="preserve"> </w:t>
      </w:r>
      <w:r w:rsidRPr="00BD2C6C">
        <w:rPr>
          <w:i/>
        </w:rPr>
        <w:t xml:space="preserve">See </w:t>
      </w:r>
      <w:r w:rsidRPr="00BD2C6C">
        <w:t>Appendix B, USAC’s Notification of Commitment Adjustment Letters (COMADs) Petitioners, which were attached as exhibits to Petitioner’s underlying appeal briefs.</w:t>
      </w:r>
      <w:r w:rsidRPr="00BD2C6C">
        <w:rPr>
          <w:bCs/>
        </w:rPr>
        <w:tab/>
      </w:r>
    </w:p>
  </w:footnote>
  <w:footnote w:id="23">
    <w:p w14:paraId="44625A30" w14:textId="77777777" w:rsidR="005D57EE" w:rsidRPr="00BD2C6C" w:rsidRDefault="005D57EE" w:rsidP="005D57EE">
      <w:pPr>
        <w:pStyle w:val="FootnoteText"/>
      </w:pPr>
      <w:r w:rsidRPr="00BD2C6C">
        <w:rPr>
          <w:rStyle w:val="FootnoteReference"/>
        </w:rPr>
        <w:footnoteRef/>
      </w:r>
      <w:r w:rsidRPr="00BD2C6C">
        <w:t xml:space="preserve"> </w:t>
      </w:r>
      <w:r w:rsidRPr="00BD2C6C">
        <w:rPr>
          <w:i/>
        </w:rPr>
        <w:t>See</w:t>
      </w:r>
      <w:r w:rsidRPr="00BD2C6C">
        <w:t xml:space="preserve"> Appendix B, USAC’s COMADs to Blessed Sacrament, Mt. Carmel, St. Aloysius, St. Ann, St. Anthony, St. Brigid, St. Mark, and St. Nicholas</w:t>
      </w:r>
      <w:r w:rsidRPr="00BD2C6C">
        <w:rPr>
          <w:bCs/>
        </w:rPr>
        <w:t>.</w:t>
      </w:r>
    </w:p>
  </w:footnote>
  <w:footnote w:id="24">
    <w:p w14:paraId="0C2ACD51" w14:textId="77777777" w:rsidR="005D57EE" w:rsidRPr="00BD2C6C" w:rsidRDefault="005D57EE" w:rsidP="005D57EE">
      <w:pPr>
        <w:pStyle w:val="FootnoteText"/>
      </w:pPr>
      <w:r w:rsidRPr="00BD2C6C">
        <w:rPr>
          <w:rStyle w:val="FootnoteReference"/>
        </w:rPr>
        <w:footnoteRef/>
      </w:r>
      <w:r w:rsidRPr="00BD2C6C">
        <w:t xml:space="preserve"> </w:t>
      </w:r>
      <w:r w:rsidRPr="00BD2C6C">
        <w:rPr>
          <w:i/>
        </w:rPr>
        <w:t xml:space="preserve">See </w:t>
      </w:r>
      <w:r w:rsidRPr="00BD2C6C">
        <w:t>Appendix B, USAC’s COMADs to Mt. Carmel and St. Ann.</w:t>
      </w:r>
    </w:p>
  </w:footnote>
  <w:footnote w:id="25">
    <w:p w14:paraId="611342CA" w14:textId="77777777" w:rsidR="005D57EE" w:rsidRPr="00BD2C6C" w:rsidRDefault="005D57EE" w:rsidP="005D57EE">
      <w:pPr>
        <w:pStyle w:val="FootnoteText"/>
        <w:tabs>
          <w:tab w:val="left" w:pos="3802"/>
        </w:tabs>
      </w:pPr>
      <w:r w:rsidRPr="00BD2C6C">
        <w:rPr>
          <w:rStyle w:val="FootnoteReference"/>
        </w:rPr>
        <w:footnoteRef/>
      </w:r>
      <w:r w:rsidRPr="00BD2C6C">
        <w:t xml:space="preserve"> </w:t>
      </w:r>
      <w:r w:rsidRPr="00BD2C6C">
        <w:rPr>
          <w:i/>
        </w:rPr>
        <w:t>Id.</w:t>
      </w:r>
      <w:r w:rsidRPr="00BD2C6C">
        <w:rPr>
          <w:i/>
        </w:rPr>
        <w:tab/>
      </w:r>
    </w:p>
  </w:footnote>
  <w:footnote w:id="26">
    <w:p w14:paraId="3AF61939" w14:textId="77777777" w:rsidR="005D57EE" w:rsidRPr="00BD2C6C" w:rsidRDefault="005D57EE" w:rsidP="005D57EE">
      <w:pPr>
        <w:pStyle w:val="FootnoteText"/>
        <w:tabs>
          <w:tab w:val="left" w:pos="3450"/>
          <w:tab w:val="center" w:pos="4680"/>
        </w:tabs>
        <w:rPr>
          <w:bCs/>
        </w:rPr>
      </w:pPr>
      <w:r w:rsidRPr="00BD2C6C">
        <w:rPr>
          <w:rStyle w:val="FootnoteReference"/>
        </w:rPr>
        <w:footnoteRef/>
      </w:r>
      <w:r w:rsidRPr="00BD2C6C">
        <w:t xml:space="preserve"> </w:t>
      </w:r>
      <w:r w:rsidRPr="00BD2C6C">
        <w:rPr>
          <w:i/>
        </w:rPr>
        <w:t>See</w:t>
      </w:r>
      <w:r w:rsidRPr="00BD2C6C">
        <w:t xml:space="preserve"> Appendix B, USAC’s COMADs to Blessed Sacrament, St. Aloysius, St. Anthony, St. Brigid, St. Mark, and St. Nicholas.</w:t>
      </w:r>
      <w:r w:rsidRPr="00BD2C6C">
        <w:tab/>
      </w:r>
      <w:r w:rsidRPr="00BD2C6C">
        <w:tab/>
      </w:r>
    </w:p>
  </w:footnote>
  <w:footnote w:id="27">
    <w:p w14:paraId="0E327162" w14:textId="77777777" w:rsidR="005D57EE" w:rsidRPr="00BD2C6C" w:rsidRDefault="005D57EE" w:rsidP="005D57EE">
      <w:pPr>
        <w:pStyle w:val="FootnoteText"/>
        <w:tabs>
          <w:tab w:val="center" w:pos="4680"/>
        </w:tabs>
      </w:pPr>
      <w:r w:rsidRPr="00BD2C6C">
        <w:rPr>
          <w:rStyle w:val="FootnoteReference"/>
        </w:rPr>
        <w:footnoteRef/>
      </w:r>
      <w:r w:rsidRPr="00BD2C6C">
        <w:t xml:space="preserve"> </w:t>
      </w:r>
      <w:r w:rsidRPr="00BD2C6C">
        <w:rPr>
          <w:i/>
        </w:rPr>
        <w:t>Id.</w:t>
      </w:r>
    </w:p>
  </w:footnote>
  <w:footnote w:id="28">
    <w:p w14:paraId="40346FA1" w14:textId="77777777" w:rsidR="005D57EE" w:rsidRPr="00BD2C6C" w:rsidRDefault="005D57EE" w:rsidP="005D57EE">
      <w:pPr>
        <w:pStyle w:val="FootnoteText"/>
        <w:rPr>
          <w:bCs/>
        </w:rPr>
      </w:pPr>
      <w:r w:rsidRPr="00BD2C6C">
        <w:rPr>
          <w:rStyle w:val="FootnoteReference"/>
        </w:rPr>
        <w:footnoteRef/>
      </w:r>
      <w:r w:rsidRPr="00BD2C6C">
        <w:t xml:space="preserve"> </w:t>
      </w:r>
      <w:r w:rsidRPr="00BD2C6C">
        <w:rPr>
          <w:i/>
        </w:rPr>
        <w:t>See</w:t>
      </w:r>
      <w:r w:rsidRPr="00BD2C6C">
        <w:t xml:space="preserve"> Appendix B, USAC’s COMADs to Blessed Sacrament, St. Aloysius, St. Ann, St. Anthony, St. Brigid, St. Jude, St. Mark, and St. Nicholas</w:t>
      </w:r>
      <w:r w:rsidRPr="00BD2C6C">
        <w:rPr>
          <w:bCs/>
        </w:rPr>
        <w:t>.</w:t>
      </w:r>
    </w:p>
  </w:footnote>
  <w:footnote w:id="29">
    <w:p w14:paraId="36AB41B7" w14:textId="77777777" w:rsidR="005D57EE" w:rsidRPr="00BD2C6C" w:rsidRDefault="005D57EE" w:rsidP="005D57EE">
      <w:pPr>
        <w:pStyle w:val="FootnoteText"/>
      </w:pPr>
      <w:r w:rsidRPr="00BD2C6C">
        <w:rPr>
          <w:rStyle w:val="FootnoteReference"/>
        </w:rPr>
        <w:footnoteRef/>
      </w:r>
      <w:r w:rsidRPr="00BD2C6C">
        <w:t xml:space="preserve"> </w:t>
      </w:r>
      <w:r w:rsidRPr="00BD2C6C">
        <w:rPr>
          <w:i/>
        </w:rPr>
        <w:t>Id.</w:t>
      </w:r>
    </w:p>
  </w:footnote>
  <w:footnote w:id="30">
    <w:p w14:paraId="6304D53B" w14:textId="77777777" w:rsidR="005D57EE" w:rsidRPr="00BD2C6C" w:rsidRDefault="005D57EE" w:rsidP="005D57EE">
      <w:pPr>
        <w:pStyle w:val="FootnoteText"/>
      </w:pPr>
      <w:r w:rsidRPr="00BD2C6C">
        <w:rPr>
          <w:rStyle w:val="FootnoteReference"/>
        </w:rPr>
        <w:footnoteRef/>
      </w:r>
      <w:r w:rsidRPr="00BD2C6C">
        <w:t xml:space="preserve"> </w:t>
      </w:r>
      <w:r w:rsidRPr="00BD2C6C">
        <w:rPr>
          <w:i/>
        </w:rPr>
        <w:t xml:space="preserve">See </w:t>
      </w:r>
      <w:r w:rsidRPr="00BD2C6C">
        <w:t>Appendix C, Petitioners’ Requests for Review or Waiver and Supplements to Request for Review or Waiver (Supplemental Briefs).</w:t>
      </w:r>
    </w:p>
  </w:footnote>
  <w:footnote w:id="31">
    <w:p w14:paraId="4B752AC6" w14:textId="77777777" w:rsidR="005D57EE" w:rsidRPr="00BD2C6C" w:rsidRDefault="005D57EE" w:rsidP="005D57EE">
      <w:pPr>
        <w:pStyle w:val="FootnoteText"/>
      </w:pPr>
      <w:r w:rsidRPr="00BD2C6C">
        <w:rPr>
          <w:rStyle w:val="FootnoteReference"/>
        </w:rPr>
        <w:footnoteRef/>
      </w:r>
      <w:r w:rsidRPr="00BD2C6C">
        <w:t xml:space="preserve"> </w:t>
      </w:r>
      <w:r w:rsidRPr="00BD2C6C">
        <w:rPr>
          <w:i/>
        </w:rPr>
        <w:t xml:space="preserve">See </w:t>
      </w:r>
      <w:r w:rsidRPr="00BD2C6C">
        <w:t>Blessed Sacrament Supplemental Brief at 9; Mt. Carmel Supplemental Brief at 7; St. Aloysius Supplemental Brief at 8; St. Ann Supplemental Brief at 8; St. Anthony Supplemental Brief at 8; St. Brigid Supplemental Brief at 8; St. Mark Supplemental Brief at 7; St. Nicholas Supplemental Brief at 7.</w:t>
      </w:r>
    </w:p>
  </w:footnote>
  <w:footnote w:id="32">
    <w:p w14:paraId="68F6CECF" w14:textId="77777777" w:rsidR="005D57EE" w:rsidRPr="00BD2C6C" w:rsidRDefault="005D57EE" w:rsidP="005D57EE">
      <w:pPr>
        <w:pStyle w:val="FootnoteText"/>
      </w:pPr>
      <w:r w:rsidRPr="00BD2C6C">
        <w:rPr>
          <w:rStyle w:val="FootnoteReference"/>
        </w:rPr>
        <w:footnoteRef/>
      </w:r>
      <w:r w:rsidRPr="00BD2C6C">
        <w:t xml:space="preserve"> </w:t>
      </w:r>
      <w:r w:rsidRPr="00BD2C6C">
        <w:rPr>
          <w:i/>
        </w:rPr>
        <w:t xml:space="preserve">See </w:t>
      </w:r>
      <w:r w:rsidRPr="00BD2C6C">
        <w:t xml:space="preserve">Blessed Sacrament Supplemental Brief at 4; Mt. Carmel Supplemental Brief at 4; St. Aloysius Supplemental Brief at 4; St. Ann Supplemental Brief at 4; St. Mark Supplemental Brief at 4.  </w:t>
      </w:r>
    </w:p>
  </w:footnote>
  <w:footnote w:id="33">
    <w:p w14:paraId="5F68D614" w14:textId="77777777" w:rsidR="005D57EE" w:rsidRPr="00BD2C6C" w:rsidRDefault="005D57EE" w:rsidP="005D57EE">
      <w:pPr>
        <w:pStyle w:val="FootnoteText"/>
      </w:pPr>
      <w:r w:rsidRPr="00BD2C6C">
        <w:rPr>
          <w:rStyle w:val="FootnoteReference"/>
        </w:rPr>
        <w:footnoteRef/>
      </w:r>
      <w:r w:rsidRPr="00BD2C6C">
        <w:t xml:space="preserve"> </w:t>
      </w:r>
      <w:r w:rsidRPr="00BD2C6C">
        <w:rPr>
          <w:i/>
        </w:rPr>
        <w:t xml:space="preserve">See </w:t>
      </w:r>
      <w:r w:rsidRPr="00BD2C6C">
        <w:t xml:space="preserve">Mt. Carmel Supplemental Brief at 2, 4; St. Ann Supplemental Brief at 6, 8.  The agenda for one of the open houses indicated that attendees would learn more about the school’s network infrastructure and requested services, as well as participate in a Question and Answer session.  </w:t>
      </w:r>
      <w:r w:rsidRPr="00BD2C6C">
        <w:rPr>
          <w:i/>
        </w:rPr>
        <w:t>See</w:t>
      </w:r>
      <w:r w:rsidRPr="00BD2C6C">
        <w:t xml:space="preserve"> St. Ann Supplemental Brief, Ex. 3 (St. Ann School Erate Open House Agenda).</w:t>
      </w:r>
    </w:p>
  </w:footnote>
  <w:footnote w:id="34">
    <w:p w14:paraId="53E9B945" w14:textId="77777777" w:rsidR="005D57EE" w:rsidRPr="00BD2C6C" w:rsidRDefault="005D57EE" w:rsidP="005D57EE">
      <w:pPr>
        <w:pStyle w:val="FootnoteText"/>
        <w:tabs>
          <w:tab w:val="left" w:pos="6705"/>
        </w:tabs>
      </w:pPr>
      <w:r w:rsidRPr="00BD2C6C">
        <w:rPr>
          <w:rStyle w:val="FootnoteReference"/>
        </w:rPr>
        <w:footnoteRef/>
      </w:r>
      <w:r w:rsidRPr="00BD2C6C">
        <w:t xml:space="preserve"> </w:t>
      </w:r>
      <w:r w:rsidRPr="00BD2C6C">
        <w:rPr>
          <w:i/>
        </w:rPr>
        <w:t>See</w:t>
      </w:r>
      <w:r w:rsidRPr="00BD2C6C">
        <w:t xml:space="preserve"> Blessed Sacrament Supplemental Brief at 8; St. Aloysius Supplemental Brief at 7-8; St. Anthony Supplemental Brief at 7-8; St. Brigid Supplemental Brief at 7; St. Mark Supplemental Brief at 6-7; St. Nicholas Supplemental Brief at 7 n.14.</w:t>
      </w:r>
      <w:r w:rsidRPr="00BD2C6C">
        <w:tab/>
      </w:r>
    </w:p>
  </w:footnote>
  <w:footnote w:id="35">
    <w:p w14:paraId="48757D82" w14:textId="77777777" w:rsidR="005D57EE" w:rsidRPr="00BD2C6C" w:rsidRDefault="005D57EE" w:rsidP="005D57EE">
      <w:pPr>
        <w:pStyle w:val="FootnoteText"/>
      </w:pPr>
      <w:r w:rsidRPr="00BD2C6C">
        <w:rPr>
          <w:rStyle w:val="FootnoteReference"/>
        </w:rPr>
        <w:footnoteRef/>
      </w:r>
      <w:r w:rsidRPr="00BD2C6C">
        <w:t xml:space="preserve"> </w:t>
      </w:r>
      <w:r w:rsidRPr="00BD2C6C">
        <w:rPr>
          <w:i/>
        </w:rPr>
        <w:t>Id.</w:t>
      </w:r>
    </w:p>
  </w:footnote>
  <w:footnote w:id="36">
    <w:p w14:paraId="5E5CBE37" w14:textId="77777777" w:rsidR="005D57EE" w:rsidRPr="00BD2C6C" w:rsidRDefault="005D57EE" w:rsidP="005D57EE">
      <w:pPr>
        <w:pStyle w:val="FootnoteText"/>
      </w:pPr>
      <w:r w:rsidRPr="00BD2C6C">
        <w:rPr>
          <w:rStyle w:val="FootnoteReference"/>
        </w:rPr>
        <w:footnoteRef/>
      </w:r>
      <w:r w:rsidRPr="00BD2C6C">
        <w:t xml:space="preserve"> </w:t>
      </w:r>
      <w:r w:rsidRPr="00BD2C6C">
        <w:rPr>
          <w:i/>
        </w:rPr>
        <w:t xml:space="preserve">See </w:t>
      </w:r>
      <w:r w:rsidRPr="00BD2C6C">
        <w:t>Blessed Sacrament Supplemental Brief at 9 n.21; Mt. Carmel Supplemental Brief at 4-5 n.7; St. Aloysius Supplemental Brief at 8 n.19; St. Ann Supplemental Brief at 8 n.17; St. Anthony Supplemental Brief at 8 n.19; St. Brigid Supplemental Brief at 8 n.16; St. Mark Supplemental Brief at 7 n.15; St. Nicholas Supplemental Brief at 6-7.</w:t>
      </w:r>
    </w:p>
  </w:footnote>
  <w:footnote w:id="37">
    <w:p w14:paraId="26FA2397" w14:textId="77777777" w:rsidR="005D57EE" w:rsidRPr="00BD2C6C" w:rsidRDefault="005D57EE" w:rsidP="005D57EE">
      <w:pPr>
        <w:pStyle w:val="FootnoteText"/>
        <w:tabs>
          <w:tab w:val="left" w:pos="6000"/>
          <w:tab w:val="left" w:pos="7260"/>
        </w:tabs>
      </w:pPr>
      <w:r w:rsidRPr="00BD2C6C">
        <w:rPr>
          <w:rStyle w:val="FootnoteReference"/>
        </w:rPr>
        <w:footnoteRef/>
      </w:r>
      <w:r w:rsidRPr="00BD2C6C">
        <w:t xml:space="preserve"> </w:t>
      </w:r>
      <w:r w:rsidRPr="00BD2C6C">
        <w:rPr>
          <w:i/>
        </w:rPr>
        <w:t>March 2015 Streamlined Request Resolution PN</w:t>
      </w:r>
      <w:r w:rsidRPr="00BD2C6C">
        <w:t xml:space="preserve"> at 2749 n.17.  We did not find that Petitioners’ failure to respond to SaaS’s request for information, alone, constituted a violation of the Commission’s competitive bidding rules.  Rather, Petitioners’ failure to respond to SaaS’s request for information, while also sharing information with other potential bidders, inhibited a fair and open competitive bidding process.  Thus, we denied the appeals of the five Petitioners who admitted to communicating with potential bidders other than SaaS (either by e-mail or by telephone), including the two Petitioners (Mt. Carmel and St. Ann) who expressly invited other potential bidders to the E-rate open house.</w:t>
      </w:r>
      <w:r w:rsidRPr="00BD2C6C">
        <w:tab/>
      </w:r>
    </w:p>
  </w:footnote>
  <w:footnote w:id="38">
    <w:p w14:paraId="65342900" w14:textId="77777777" w:rsidR="005D57EE" w:rsidRPr="00BD2C6C" w:rsidRDefault="005D57EE" w:rsidP="005D57EE">
      <w:pPr>
        <w:pStyle w:val="FootnoteText"/>
      </w:pPr>
      <w:r w:rsidRPr="00BD2C6C">
        <w:rPr>
          <w:rStyle w:val="FootnoteReference"/>
        </w:rPr>
        <w:footnoteRef/>
      </w:r>
      <w:r w:rsidRPr="00BD2C6C">
        <w:t xml:space="preserve"> </w:t>
      </w:r>
      <w:r w:rsidRPr="00BD2C6C">
        <w:rPr>
          <w:i/>
        </w:rPr>
        <w:t xml:space="preserve">See </w:t>
      </w:r>
      <w:r w:rsidRPr="00BD2C6C">
        <w:t>St. Aloysius Supplemental Brief; St. Ann. Supplemental Brief; St. Brigid Supplemental Brief; St. Mark Supplemental Brief; St. Nicholas Supplemental Brief.</w:t>
      </w:r>
    </w:p>
  </w:footnote>
  <w:footnote w:id="39">
    <w:p w14:paraId="1D15DA57" w14:textId="77777777" w:rsidR="005D57EE" w:rsidRPr="00BD2C6C" w:rsidRDefault="005D57EE" w:rsidP="005D57EE">
      <w:pPr>
        <w:pStyle w:val="FootnoteText"/>
        <w:tabs>
          <w:tab w:val="left" w:pos="5295"/>
        </w:tabs>
      </w:pPr>
      <w:r w:rsidRPr="00BD2C6C">
        <w:rPr>
          <w:rStyle w:val="FootnoteReference"/>
        </w:rPr>
        <w:footnoteRef/>
      </w:r>
      <w:r w:rsidRPr="00BD2C6C">
        <w:t xml:space="preserve"> </w:t>
      </w:r>
      <w:r w:rsidRPr="00BD2C6C">
        <w:rPr>
          <w:i/>
        </w:rPr>
        <w:t>See</w:t>
      </w:r>
      <w:r w:rsidRPr="00BD2C6C">
        <w:t xml:space="preserve"> Blessed Sacrament Supplemental Brief at 2; St. Anthony Supplemental Brief at 2; St. Jude Supplemental Brief at 2. </w:t>
      </w:r>
      <w:r w:rsidRPr="00BD2C6C">
        <w:tab/>
      </w:r>
    </w:p>
  </w:footnote>
  <w:footnote w:id="40">
    <w:p w14:paraId="6A660050" w14:textId="77777777" w:rsidR="005D57EE" w:rsidRPr="00BD2C6C" w:rsidRDefault="005D57EE" w:rsidP="005D57EE">
      <w:pPr>
        <w:pStyle w:val="FootnoteText"/>
      </w:pPr>
      <w:r w:rsidRPr="00BD2C6C">
        <w:rPr>
          <w:rStyle w:val="FootnoteReference"/>
        </w:rPr>
        <w:footnoteRef/>
      </w:r>
      <w:r w:rsidRPr="00BD2C6C">
        <w:t xml:space="preserve"> </w:t>
      </w:r>
      <w:r w:rsidRPr="00BD2C6C">
        <w:rPr>
          <w:i/>
        </w:rPr>
        <w:t>March 2015 Streamlined Request Resolution PN</w:t>
      </w:r>
      <w:r w:rsidRPr="00BD2C6C">
        <w:t xml:space="preserve"> at 2750 n.18.  Upon review of the documents St. Ann produced to USAC, we found that St. Ann provided the only two bids it received, and ultimately selected the lowest costing bid.  Thus, we did not deny St. Ann’s appeal on this basis.  </w:t>
      </w:r>
    </w:p>
  </w:footnote>
  <w:footnote w:id="41">
    <w:p w14:paraId="6626EC8E" w14:textId="77777777" w:rsidR="005D57EE" w:rsidRPr="00BD2C6C" w:rsidRDefault="005D57EE" w:rsidP="005D57EE">
      <w:pPr>
        <w:pStyle w:val="FootnoteText"/>
      </w:pPr>
      <w:r w:rsidRPr="00BD2C6C">
        <w:rPr>
          <w:rStyle w:val="FootnoteReference"/>
        </w:rPr>
        <w:footnoteRef/>
      </w:r>
      <w:r w:rsidRPr="00BD2C6C">
        <w:t xml:space="preserve"> </w:t>
      </w:r>
      <w:r w:rsidRPr="00BD2C6C">
        <w:rPr>
          <w:i/>
        </w:rPr>
        <w:t>See</w:t>
      </w:r>
      <w:r w:rsidRPr="00BD2C6C">
        <w:t xml:space="preserve"> Blessed Sacrament Supplemental Brief at 10-14; Mt. Carmel Supplemental Brief at 8-12; St. Aloysius Supplemental Brief at 9-13; St. Ann Supplemental Brief at 9-12; St. Anthony Supplemental Brief at 10-13; St. Brigid Supplemental Brief at 9-12; St. Jude Supplemental Brief at 6-10; St. Mark Supplemental Brief at 8-12; St. Nicholas Supplemental Brief at 8-12.</w:t>
      </w:r>
    </w:p>
  </w:footnote>
  <w:footnote w:id="42">
    <w:p w14:paraId="7E4DE836" w14:textId="77777777" w:rsidR="005D57EE" w:rsidRPr="00BD2C6C" w:rsidRDefault="005D57EE" w:rsidP="005D57EE">
      <w:pPr>
        <w:pStyle w:val="FootnoteText"/>
        <w:tabs>
          <w:tab w:val="left" w:pos="7710"/>
        </w:tabs>
        <w:rPr>
          <w:i/>
        </w:rPr>
      </w:pPr>
      <w:r w:rsidRPr="00BD2C6C">
        <w:rPr>
          <w:rStyle w:val="FootnoteReference"/>
        </w:rPr>
        <w:footnoteRef/>
      </w:r>
      <w:r w:rsidRPr="00BD2C6C">
        <w:t xml:space="preserve"> </w:t>
      </w:r>
      <w:r w:rsidRPr="00BD2C6C">
        <w:rPr>
          <w:i/>
        </w:rPr>
        <w:t>March 2015 Streamlined Request Resolution PN</w:t>
      </w:r>
      <w:r w:rsidRPr="00BD2C6C">
        <w:t xml:space="preserve"> at 2749-50 nn.17 &amp; 18.  </w:t>
      </w:r>
      <w:r w:rsidRPr="00BD2C6C">
        <w:rPr>
          <w:i/>
        </w:rPr>
        <w:t>See also</w:t>
      </w:r>
      <w:r w:rsidRPr="00BD2C6C">
        <w:t xml:space="preserve"> </w:t>
      </w:r>
      <w:r w:rsidRPr="00BD2C6C">
        <w:rPr>
          <w:i/>
        </w:rPr>
        <w:t>Requests for Waiver &amp; Review of Decisions of the Universal Service Administrator by Charlton County School System; School and Libraries Universal Service Support Mechanism</w:t>
      </w:r>
      <w:r w:rsidRPr="00BD2C6C">
        <w:t>, CC Docket No. 02-6, Order, 27 FCC Rcd 2010, 2010-11, para.1 (</w:t>
      </w:r>
      <w:r w:rsidR="00F82089">
        <w:t>WCB</w:t>
      </w:r>
      <w:r w:rsidRPr="00BD2C6C">
        <w:t xml:space="preserve"> 2012) (finding that petitioners did not demonstrate that good cause exists to justify a waiver of the Commission’s competitive bidding requirements).</w:t>
      </w:r>
      <w:r w:rsidRPr="00BD2C6C">
        <w:tab/>
      </w:r>
    </w:p>
  </w:footnote>
  <w:footnote w:id="43">
    <w:p w14:paraId="0DD25DA6" w14:textId="77777777" w:rsidR="005D57EE" w:rsidRPr="00BD2C6C" w:rsidRDefault="005D57EE" w:rsidP="005D57EE">
      <w:pPr>
        <w:pStyle w:val="FootnoteText"/>
      </w:pPr>
      <w:r w:rsidRPr="00BD2C6C">
        <w:rPr>
          <w:rStyle w:val="FootnoteReference"/>
        </w:rPr>
        <w:footnoteRef/>
      </w:r>
      <w:r w:rsidRPr="00BD2C6C">
        <w:t xml:space="preserve"> </w:t>
      </w:r>
      <w:r w:rsidRPr="00BD2C6C">
        <w:rPr>
          <w:i/>
        </w:rPr>
        <w:t>See</w:t>
      </w:r>
      <w:r w:rsidRPr="00BD2C6C">
        <w:t xml:space="preserve">, </w:t>
      </w:r>
      <w:r w:rsidRPr="00BD2C6C">
        <w:rPr>
          <w:i/>
        </w:rPr>
        <w:t>e.g.</w:t>
      </w:r>
      <w:r w:rsidRPr="00BD2C6C">
        <w:t>, St. Aloysius Supplemental Brief at 8 (“The apparent inadvertent failure of a busy elementary school Principal to respond to Mr. Gilani via e-mail, if that is in fact what occurred here, should not be turned into a ‘gotcha’ violation that requires a 90% school to return needed E-Rate support money . . . [T]here is no indication that [SaaS] has ever filed a SPAC form. . . Further, based on consultation using SaaS’s SPIN with a database maintained by E-Rate Central, SaaS has never been selected to receive any E-Rate Program support, before or since FY 2012.”);</w:t>
      </w:r>
      <w:r w:rsidRPr="00BD2C6C">
        <w:rPr>
          <w:i/>
        </w:rPr>
        <w:t xml:space="preserve"> </w:t>
      </w:r>
      <w:r w:rsidRPr="00BD2C6C">
        <w:t xml:space="preserve">St. Aloysius Petition for Reconsideration at 10 (“A busy school principal inadvertently neglected to answer an e-mail and the sender never followed up.  Moreover, the sender had not complied with USAC certification requirements.  How much of a real bidder was SaaS?”); </w:t>
      </w:r>
      <w:r w:rsidRPr="00BD2C6C">
        <w:rPr>
          <w:i/>
        </w:rPr>
        <w:t>id.</w:t>
      </w:r>
      <w:r w:rsidRPr="00BD2C6C">
        <w:t xml:space="preserve"> (“[T]here was no indication that [SaaS] had ever filed a [SPAC] form. . . Moreover, based on consultation using SaaS’s SPIN with a database maintained by E-Rate Central . . . SaaS had never been selected to receive any E-Rate Program support, before or since FY 2012.”); St. Aloysius Supplemental Brief at 12 (“There is absolutely no evidence here of any activity by the School intended to defraud or abuse the E-Rate Program.  Nor is there any evidence of any waste, fraud, or abuse, or misuse of funds.  The inability of the School to produce evidence of a response to Mr. Gilani does not reflect an effort to affirmatively discourage bidders.”) and St. Aloysius Petition for Reconsideration at 15 (“There is absolutely no evidence here of any activity by the School intended to defraud or abuse the E-Rate Program.  Nor is there any evidence of any waste, fraud, or abuse, or misuse of funds.  The inability of the School to produce evidence of a response to Mr. Gilani does not reflect an effort to affirmatively discourage bidders.”).  </w:t>
      </w:r>
    </w:p>
  </w:footnote>
  <w:footnote w:id="44">
    <w:p w14:paraId="5A5F70DC" w14:textId="77777777" w:rsidR="005D57EE" w:rsidRPr="00BD2C6C" w:rsidRDefault="005D57EE" w:rsidP="005D57EE">
      <w:pPr>
        <w:pStyle w:val="FootnoteText"/>
      </w:pPr>
      <w:r w:rsidRPr="00BD2C6C">
        <w:rPr>
          <w:rStyle w:val="FootnoteReference"/>
        </w:rPr>
        <w:footnoteRef/>
      </w:r>
      <w:r w:rsidRPr="00BD2C6C">
        <w:t xml:space="preserve"> Blessed Sacrament Petition for Reconsideration at 12-13; Mt. Carmel Petition for Reconsideration at 9-10; St. Aloysius Petition for Reconsideration at 11-12; St. Ann Petition for Reconsideration at 9-10; St. Anthony Petition for Reconsideration at 9-10; St. Brigid Petition for Reconsideration at 8-9; St. Jude Petition at 8-9; St. Mark Petition for Reconsideration at 9-10; St. Nicholas Petition for Reconsideration at 7-8.</w:t>
      </w:r>
    </w:p>
  </w:footnote>
  <w:footnote w:id="45">
    <w:p w14:paraId="1A7993AC" w14:textId="77777777" w:rsidR="005D57EE" w:rsidRPr="00BD2C6C" w:rsidRDefault="005D57EE" w:rsidP="005D57EE">
      <w:pPr>
        <w:pStyle w:val="FootnoteText"/>
      </w:pPr>
      <w:r w:rsidRPr="00BD2C6C">
        <w:rPr>
          <w:rStyle w:val="FootnoteReference"/>
        </w:rPr>
        <w:footnoteRef/>
      </w:r>
      <w:r w:rsidRPr="00BD2C6C">
        <w:t xml:space="preserve"> </w:t>
      </w:r>
      <w:r w:rsidRPr="00BD2C6C">
        <w:rPr>
          <w:i/>
          <w:iCs/>
        </w:rPr>
        <w:t>See</w:t>
      </w:r>
      <w:r w:rsidRPr="00BD2C6C">
        <w:t> 47 C.F.R. § 1.106(b)(2).</w:t>
      </w:r>
    </w:p>
  </w:footnote>
  <w:footnote w:id="46">
    <w:p w14:paraId="4522E89A" w14:textId="77777777" w:rsidR="005D57EE" w:rsidRPr="00BD2C6C" w:rsidRDefault="005D57EE" w:rsidP="005D57EE">
      <w:pPr>
        <w:pStyle w:val="FootnoteText"/>
        <w:tabs>
          <w:tab w:val="left" w:pos="6120"/>
        </w:tabs>
      </w:pPr>
      <w:r w:rsidRPr="00BD2C6C">
        <w:rPr>
          <w:rStyle w:val="FootnoteReference"/>
        </w:rPr>
        <w:footnoteRef/>
      </w:r>
      <w:r w:rsidRPr="00BD2C6C">
        <w:t xml:space="preserve"> </w:t>
      </w:r>
      <w:r w:rsidRPr="00BD2C6C">
        <w:rPr>
          <w:i/>
        </w:rPr>
        <w:t xml:space="preserve">See supra </w:t>
      </w:r>
      <w:r w:rsidRPr="00BD2C6C">
        <w:t>n</w:t>
      </w:r>
      <w:r w:rsidR="00F82089">
        <w:t xml:space="preserve">ote </w:t>
      </w:r>
      <w:r w:rsidRPr="00BD2C6C">
        <w:t>42.</w:t>
      </w:r>
    </w:p>
  </w:footnote>
  <w:footnote w:id="47">
    <w:p w14:paraId="674241D9" w14:textId="77777777" w:rsidR="005D57EE" w:rsidRPr="00BD2C6C" w:rsidRDefault="005D57EE" w:rsidP="005D57EE">
      <w:pPr>
        <w:pStyle w:val="FootnoteText"/>
      </w:pPr>
      <w:r w:rsidRPr="00BD2C6C">
        <w:rPr>
          <w:rStyle w:val="FootnoteReference"/>
        </w:rPr>
        <w:footnoteRef/>
      </w:r>
      <w:r w:rsidRPr="00BD2C6C">
        <w:t xml:space="preserve"> 47 C.F.R. §1.106(p)(3) (</w:t>
      </w:r>
      <w:r w:rsidRPr="00BD2C6C">
        <w:rPr>
          <w:rStyle w:val="StyleNumberedparagraphs11ptChar"/>
          <w:sz w:val="20"/>
        </w:rPr>
        <w:t>allowing the Commission to dismiss petitions for reconsideration that rely on arguments that have been fully considered and rejected by the Commission within the same proceeding)</w:t>
      </w:r>
      <w:r w:rsidRPr="00BD2C6C">
        <w:t xml:space="preserve">. </w:t>
      </w:r>
    </w:p>
  </w:footnote>
  <w:footnote w:id="48">
    <w:p w14:paraId="73E4FCDE" w14:textId="77777777" w:rsidR="005D57EE" w:rsidRPr="00BD2C6C" w:rsidRDefault="005D57EE" w:rsidP="005D57EE">
      <w:pPr>
        <w:pStyle w:val="FootnoteText"/>
      </w:pPr>
      <w:r w:rsidRPr="00BD2C6C">
        <w:rPr>
          <w:rStyle w:val="FootnoteReference"/>
        </w:rPr>
        <w:footnoteRef/>
      </w:r>
      <w:r w:rsidRPr="00BD2C6C">
        <w:t xml:space="preserve"> </w:t>
      </w:r>
      <w:r w:rsidRPr="00BD2C6C">
        <w:rPr>
          <w:i/>
        </w:rPr>
        <w:t>March 2015 Streamlined Request Resolution PN</w:t>
      </w:r>
      <w:r w:rsidRPr="00BD2C6C">
        <w:t xml:space="preserve"> at 2749 n.17 (denying appeals of Blessed Sacrament, Mt. Carmel, St. Aloysius, St. Ann, and St. Mark ).  </w:t>
      </w:r>
      <w:r w:rsidRPr="00BD2C6C">
        <w:rPr>
          <w:i/>
        </w:rPr>
        <w:t>See</w:t>
      </w:r>
      <w:r w:rsidRPr="00BD2C6C">
        <w:t xml:space="preserve"> 47 C.F.R. § 54.503(a) (2013) (“All entities participating in the schools and libraries universal service support program must conduct a fair and open competitive bidding process[.]”); </w:t>
      </w:r>
      <w:r w:rsidRPr="00BD2C6C">
        <w:rPr>
          <w:i/>
          <w:iCs/>
        </w:rPr>
        <w:t>Callisburg Order</w:t>
      </w:r>
      <w:r w:rsidRPr="00BD2C6C">
        <w:rPr>
          <w:iCs/>
        </w:rPr>
        <w:t xml:space="preserve">, 28 FCC Rcd at 9460-61, para. 3; </w:t>
      </w:r>
      <w:r w:rsidRPr="00BD2C6C">
        <w:rPr>
          <w:i/>
        </w:rPr>
        <w:t>Schools and Libraries Sixth Report and Order</w:t>
      </w:r>
      <w:r w:rsidRPr="00BD2C6C">
        <w:t>, 25 FCC Rcd at 18799, para. 86 (both explaining that “all potential bidders and service providers must have access to the same information and be treated in the same manner throughout the procurement process</w:t>
      </w:r>
      <w:r w:rsidR="00BD2C6C">
        <w:t>.</w:t>
      </w:r>
      <w:r w:rsidRPr="00BD2C6C">
        <w:t>”).</w:t>
      </w:r>
    </w:p>
  </w:footnote>
  <w:footnote w:id="49">
    <w:p w14:paraId="32C5C517" w14:textId="77777777" w:rsidR="005D57EE" w:rsidRPr="00BD2C6C" w:rsidRDefault="005D57EE" w:rsidP="005D57EE">
      <w:pPr>
        <w:pStyle w:val="FootnoteText"/>
      </w:pPr>
      <w:r w:rsidRPr="00BD2C6C">
        <w:rPr>
          <w:rStyle w:val="FootnoteReference"/>
        </w:rPr>
        <w:footnoteRef/>
      </w:r>
      <w:r w:rsidRPr="00BD2C6C">
        <w:t xml:space="preserve"> </w:t>
      </w:r>
      <w:r w:rsidRPr="00BD2C6C">
        <w:rPr>
          <w:i/>
        </w:rPr>
        <w:t xml:space="preserve">See supra. </w:t>
      </w:r>
      <w:r w:rsidRPr="00BD2C6C">
        <w:t>paras. 9, 11.</w:t>
      </w:r>
    </w:p>
  </w:footnote>
  <w:footnote w:id="50">
    <w:p w14:paraId="6826C152" w14:textId="77777777" w:rsidR="005D57EE" w:rsidRPr="00BD2C6C" w:rsidRDefault="005D57EE" w:rsidP="005D57EE">
      <w:pPr>
        <w:pStyle w:val="FootnoteText"/>
      </w:pPr>
      <w:r w:rsidRPr="00BD2C6C">
        <w:rPr>
          <w:rStyle w:val="FootnoteReference"/>
        </w:rPr>
        <w:footnoteRef/>
      </w:r>
      <w:r w:rsidRPr="00BD2C6C">
        <w:t xml:space="preserve"> </w:t>
      </w:r>
      <w:r w:rsidRPr="00BD2C6C">
        <w:rPr>
          <w:i/>
        </w:rPr>
        <w:t>See</w:t>
      </w:r>
      <w:r w:rsidRPr="00BD2C6C">
        <w:t xml:space="preserve"> </w:t>
      </w:r>
      <w:r w:rsidRPr="00BD2C6C">
        <w:rPr>
          <w:i/>
        </w:rPr>
        <w:t>Petitions for Reconsideration by Lake Pend Oreille School District and Trillion Partners, Inc</w:t>
      </w:r>
      <w:r w:rsidRPr="00BD2C6C">
        <w:t>., CC Docket No. 02-6, Order on Reconsideration, 28 FCC Rcd 1103, 1107, para. 5 (</w:t>
      </w:r>
      <w:r w:rsidR="00F82089">
        <w:t>WCB</w:t>
      </w:r>
      <w:r w:rsidRPr="00BD2C6C">
        <w:t xml:space="preserve"> 2013)</w:t>
      </w:r>
      <w:r w:rsidR="00BD2C6C">
        <w:t xml:space="preserve"> </w:t>
      </w:r>
      <w:r w:rsidRPr="00BD2C6C">
        <w:t>(</w:t>
      </w:r>
      <w:r w:rsidRPr="00BD2C6C">
        <w:rPr>
          <w:i/>
        </w:rPr>
        <w:t>Lake Pend Order</w:t>
      </w:r>
      <w:r w:rsidRPr="00BD2C6C">
        <w:t>) (finding that petitioner “provided [a potential bidder] with access to information and selective treatment that was not provided to other bidders, thereby violating the Commission’s competitive bidding requirements</w:t>
      </w:r>
      <w:r w:rsidR="00BD2C6C">
        <w:t>.</w:t>
      </w:r>
      <w:r w:rsidRPr="00BD2C6C">
        <w:t>”).</w:t>
      </w:r>
    </w:p>
  </w:footnote>
  <w:footnote w:id="51">
    <w:p w14:paraId="31D348F2" w14:textId="77777777" w:rsidR="005D57EE" w:rsidRPr="00BD2C6C" w:rsidRDefault="005D57EE" w:rsidP="005D57EE">
      <w:pPr>
        <w:pStyle w:val="FootnoteText"/>
      </w:pPr>
      <w:r w:rsidRPr="00BD2C6C">
        <w:rPr>
          <w:rStyle w:val="FootnoteReference"/>
        </w:rPr>
        <w:footnoteRef/>
      </w:r>
      <w:r w:rsidRPr="00BD2C6C">
        <w:t xml:space="preserve"> </w:t>
      </w:r>
      <w:r w:rsidRPr="00BD2C6C">
        <w:rPr>
          <w:i/>
        </w:rPr>
        <w:t>See</w:t>
      </w:r>
      <w:r w:rsidRPr="00BD2C6C">
        <w:t xml:space="preserve"> Blessed Sacrament Petition for Reconsideration at 11-12; Mt. Carmel Petition for Reconsideration at 8-9; St. Aloysius Petition for Reconsideration at 10-11; St. Ann Petition for Reconsideration at 8-9; St. Mark Petition for Reconsideration at 8-9.</w:t>
      </w:r>
    </w:p>
  </w:footnote>
  <w:footnote w:id="52">
    <w:p w14:paraId="11A243CF" w14:textId="04182DF6" w:rsidR="005D57EE" w:rsidRPr="00BD2C6C" w:rsidRDefault="005D57EE" w:rsidP="005D57EE">
      <w:pPr>
        <w:pStyle w:val="FootnoteText"/>
      </w:pPr>
      <w:r w:rsidRPr="00BD2C6C">
        <w:rPr>
          <w:rStyle w:val="FootnoteReference"/>
        </w:rPr>
        <w:footnoteRef/>
      </w:r>
      <w:r w:rsidRPr="00BD2C6C">
        <w:t xml:space="preserve"> </w:t>
      </w:r>
      <w:r w:rsidRPr="00BD2C6C">
        <w:rPr>
          <w:i/>
        </w:rPr>
        <w:t>See</w:t>
      </w:r>
      <w:r w:rsidRPr="00BD2C6C">
        <w:t xml:space="preserve"> USAC, School and Libraries Program, Service Providers, Step 3: Winning the Bid, FCC Form 473 Filing, </w:t>
      </w:r>
      <w:hyperlink r:id="rId1" w:history="1">
        <w:r w:rsidRPr="00BD2C6C">
          <w:rPr>
            <w:rStyle w:val="Hyperlink"/>
          </w:rPr>
          <w:t>http://www.usac.org/sl/service-providers/step03/473-filing.aspx</w:t>
        </w:r>
      </w:hyperlink>
      <w:r w:rsidRPr="00BD2C6C">
        <w:t xml:space="preserve"> (last visited </w:t>
      </w:r>
      <w:r w:rsidR="00BD2C6C">
        <w:t>Dec. 15</w:t>
      </w:r>
      <w:r w:rsidRPr="00BD2C6C">
        <w:t xml:space="preserve">, 2015); USAC, Schools and Libraries Program, Forms, FCC Form 473 Instructions, </w:t>
      </w:r>
      <w:hyperlink r:id="rId2" w:history="1">
        <w:r w:rsidRPr="00BD2C6C">
          <w:rPr>
            <w:rStyle w:val="Hyperlink"/>
          </w:rPr>
          <w:t>http://www.usac.org/_res/documents/sl/pdf/forms/473i.pdf</w:t>
        </w:r>
      </w:hyperlink>
      <w:r w:rsidRPr="00BD2C6C">
        <w:t xml:space="preserve"> (last visited </w:t>
      </w:r>
      <w:r w:rsidR="00BD2C6C">
        <w:t>Dec. 15</w:t>
      </w:r>
      <w:r w:rsidRPr="00BD2C6C">
        <w:t>, 2015) (All explaining that submission of a SPAC form certifies that the service provider will comply with program rules and allows the service provider to be paid on invoices submitted to USAC once it wins the bid for E-rate services.  Service providers can file SPAC Forms on or shortly after the application filing window opens for the upcoming funding year, and the only deadline related to SPAC Forms is that they must be on file with USAC before USAC will pa</w:t>
      </w:r>
      <w:r w:rsidR="00BD2C6C">
        <w:t>y invoices for the funding year</w:t>
      </w:r>
      <w:r w:rsidRPr="00BD2C6C">
        <w:t>).</w:t>
      </w:r>
    </w:p>
  </w:footnote>
  <w:footnote w:id="53">
    <w:p w14:paraId="19101226" w14:textId="77777777" w:rsidR="005D57EE" w:rsidRPr="00BD2C6C" w:rsidRDefault="005D57EE" w:rsidP="005D57EE">
      <w:pPr>
        <w:pStyle w:val="FootnoteText"/>
        <w:tabs>
          <w:tab w:val="left" w:pos="7740"/>
        </w:tabs>
      </w:pPr>
      <w:r w:rsidRPr="00BD2C6C">
        <w:rPr>
          <w:rStyle w:val="FootnoteReference"/>
        </w:rPr>
        <w:footnoteRef/>
      </w:r>
      <w:r w:rsidRPr="00BD2C6C">
        <w:t xml:space="preserve"> </w:t>
      </w:r>
      <w:r w:rsidRPr="00BD2C6C">
        <w:rPr>
          <w:i/>
        </w:rPr>
        <w:t>See March 2015 Streamlined Request Resolution PN</w:t>
      </w:r>
      <w:r w:rsidRPr="00BD2C6C">
        <w:t xml:space="preserve"> at 2749 n.17.  </w:t>
      </w:r>
      <w:r w:rsidRPr="00BD2C6C">
        <w:tab/>
      </w:r>
    </w:p>
  </w:footnote>
  <w:footnote w:id="54">
    <w:p w14:paraId="18950D41" w14:textId="77777777" w:rsidR="005D57EE" w:rsidRPr="00BD2C6C" w:rsidRDefault="005D57EE" w:rsidP="005D57EE">
      <w:pPr>
        <w:pStyle w:val="FootnoteText"/>
      </w:pPr>
      <w:r w:rsidRPr="00BD2C6C">
        <w:rPr>
          <w:rStyle w:val="FootnoteReference"/>
        </w:rPr>
        <w:footnoteRef/>
      </w:r>
      <w:r w:rsidRPr="00BD2C6C">
        <w:t xml:space="preserve"> </w:t>
      </w:r>
      <w:r w:rsidRPr="00BD2C6C">
        <w:rPr>
          <w:i/>
        </w:rPr>
        <w:t>See</w:t>
      </w:r>
      <w:r w:rsidRPr="00BD2C6C">
        <w:t xml:space="preserve"> </w:t>
      </w:r>
      <w:r w:rsidRPr="00BD2C6C">
        <w:rPr>
          <w:i/>
        </w:rPr>
        <w:t>supra</w:t>
      </w:r>
      <w:r w:rsidRPr="00BD2C6C">
        <w:t xml:space="preserve"> n</w:t>
      </w:r>
      <w:r w:rsidR="00F82089">
        <w:t xml:space="preserve">ote </w:t>
      </w:r>
      <w:r w:rsidRPr="00BD2C6C">
        <w:t>12.</w:t>
      </w:r>
    </w:p>
  </w:footnote>
  <w:footnote w:id="55">
    <w:p w14:paraId="292A3B19" w14:textId="77777777" w:rsidR="005D57EE" w:rsidRPr="00BD2C6C" w:rsidRDefault="005D57EE" w:rsidP="005D57EE">
      <w:pPr>
        <w:pStyle w:val="FootnoteText"/>
        <w:tabs>
          <w:tab w:val="left" w:pos="7110"/>
        </w:tabs>
      </w:pPr>
      <w:r w:rsidRPr="00BD2C6C">
        <w:rPr>
          <w:rStyle w:val="FootnoteReference"/>
        </w:rPr>
        <w:footnoteRef/>
      </w:r>
      <w:r w:rsidRPr="00BD2C6C">
        <w:t xml:space="preserve"> </w:t>
      </w:r>
      <w:r w:rsidRPr="00BD2C6C">
        <w:rPr>
          <w:i/>
        </w:rPr>
        <w:t>See supra</w:t>
      </w:r>
      <w:r w:rsidRPr="00BD2C6C">
        <w:t xml:space="preserve"> para. 10.</w:t>
      </w:r>
      <w:r w:rsidRPr="00BD2C6C">
        <w:tab/>
      </w:r>
    </w:p>
  </w:footnote>
  <w:footnote w:id="56">
    <w:p w14:paraId="542A08AB" w14:textId="77777777" w:rsidR="005D57EE" w:rsidRPr="00BD2C6C" w:rsidRDefault="005D57EE" w:rsidP="005D57EE">
      <w:pPr>
        <w:pStyle w:val="FootnoteText"/>
      </w:pPr>
      <w:r w:rsidRPr="00BD2C6C">
        <w:rPr>
          <w:rStyle w:val="FootnoteReference"/>
        </w:rPr>
        <w:footnoteRef/>
      </w:r>
      <w:r w:rsidRPr="00BD2C6C">
        <w:t xml:space="preserve"> </w:t>
      </w:r>
      <w:r w:rsidRPr="00BD2C6C">
        <w:rPr>
          <w:i/>
        </w:rPr>
        <w:t>Northeast Cellular Telephone Co. v. FCC</w:t>
      </w:r>
      <w:r w:rsidRPr="00BD2C6C">
        <w:t>, 897 F.2d 1164, 1166 (D.C. Cir. 1990) (</w:t>
      </w:r>
      <w:r w:rsidRPr="00BD2C6C">
        <w:rPr>
          <w:i/>
        </w:rPr>
        <w:t>Northeast Cellular</w:t>
      </w:r>
      <w:r w:rsidRPr="00BD2C6C">
        <w:t>).</w:t>
      </w:r>
    </w:p>
  </w:footnote>
  <w:footnote w:id="57">
    <w:p w14:paraId="6B9B791C" w14:textId="77777777" w:rsidR="005D57EE" w:rsidRPr="00BD2C6C" w:rsidRDefault="005D57EE" w:rsidP="005D57EE">
      <w:pPr>
        <w:pStyle w:val="FootnoteText"/>
      </w:pPr>
      <w:r w:rsidRPr="00BD2C6C">
        <w:rPr>
          <w:rStyle w:val="FootnoteReference"/>
        </w:rPr>
        <w:footnoteRef/>
      </w:r>
      <w:r w:rsidRPr="00BD2C6C">
        <w:t xml:space="preserve"> </w:t>
      </w:r>
      <w:r w:rsidRPr="00BD2C6C">
        <w:rPr>
          <w:i/>
        </w:rPr>
        <w:t>See</w:t>
      </w:r>
      <w:r w:rsidRPr="00BD2C6C">
        <w:t xml:space="preserve"> Blessed Sacrament Petition for Reconsideration at 14-16; Mt. Carmel Petition for Reconsideration at 11-14; St. Aloysius Petition for Reconsideration at 12-15; St. Ann Petition for Reconsideration at 11-14; St. Anthony Petition for Reconsideration at 10-13; St. Brigid Petition for Reconsideration at 9-12; St. Jude Petition for Reconsideration at 9-12; St. Mark Petition for Reconsideration at 11-13; St. Nicholas Petition for Reconsideration at 9-12.</w:t>
      </w:r>
    </w:p>
  </w:footnote>
  <w:footnote w:id="58">
    <w:p w14:paraId="46822414" w14:textId="77777777" w:rsidR="005D57EE" w:rsidRPr="00BD2C6C" w:rsidRDefault="005D57EE" w:rsidP="005D57EE">
      <w:pPr>
        <w:pStyle w:val="FootnoteText"/>
        <w:tabs>
          <w:tab w:val="left" w:pos="1890"/>
        </w:tabs>
      </w:pPr>
      <w:r w:rsidRPr="00BD2C6C">
        <w:rPr>
          <w:rStyle w:val="FootnoteReference"/>
        </w:rPr>
        <w:footnoteRef/>
      </w:r>
      <w:r w:rsidRPr="00BD2C6C">
        <w:rPr>
          <w:i/>
        </w:rPr>
        <w:t xml:space="preserve"> See Request for Review of the Decision of the Universal Service Administrator by Bishop Perry Middle School et al.</w:t>
      </w:r>
      <w:r w:rsidRPr="00BD2C6C">
        <w:t>, CC Docket 02-6, Order, 21 FCC Rcd 5316, 5316, para. 1 (2006) (</w:t>
      </w:r>
      <w:r w:rsidRPr="00BD2C6C">
        <w:rPr>
          <w:i/>
        </w:rPr>
        <w:t>Bishop Perry Order</w:t>
      </w:r>
      <w:r w:rsidRPr="00BD2C6C">
        <w:t>).</w:t>
      </w:r>
    </w:p>
  </w:footnote>
  <w:footnote w:id="59">
    <w:p w14:paraId="09AEE551" w14:textId="77777777" w:rsidR="005D57EE" w:rsidRPr="00BD2C6C" w:rsidRDefault="005D57EE" w:rsidP="005D57EE">
      <w:pPr>
        <w:pStyle w:val="FootnoteText"/>
      </w:pPr>
      <w:r w:rsidRPr="00BD2C6C">
        <w:rPr>
          <w:rStyle w:val="FootnoteReference"/>
        </w:rPr>
        <w:footnoteRef/>
      </w:r>
      <w:r w:rsidRPr="00BD2C6C">
        <w:t xml:space="preserve"> </w:t>
      </w:r>
      <w:r w:rsidRPr="00BD2C6C">
        <w:rPr>
          <w:i/>
        </w:rPr>
        <w:t>Bishop Perry</w:t>
      </w:r>
      <w:r w:rsidRPr="00BD2C6C">
        <w:t xml:space="preserve"> </w:t>
      </w:r>
      <w:r w:rsidRPr="00BD2C6C">
        <w:rPr>
          <w:i/>
        </w:rPr>
        <w:t>Order</w:t>
      </w:r>
      <w:r w:rsidRPr="00BD2C6C">
        <w:t xml:space="preserve">, 21 FCC Rcd  at 5323, 5324, 5325, paras. 14, 16, 20.  </w:t>
      </w:r>
      <w:r w:rsidRPr="00BD2C6C">
        <w:rPr>
          <w:i/>
        </w:rPr>
        <w:t>See also Schools and Libraries Universal Support Mechanism</w:t>
      </w:r>
      <w:r w:rsidRPr="00BD2C6C">
        <w:t>, CC Docket No. 02-6, Order, 26 FCC Rcd 6487, 6489, para. 5 (2011) (“[Clerical and ministerial] errors include only the kinds of errors that a typist might make when entering data from one list to another, such as mistyping a number, using the wrong name or phone number, failing to enter an item from the source list onto the application, or making an arithmetic error.”).</w:t>
      </w:r>
      <w:r w:rsidRPr="00BD2C6C">
        <w:rPr>
          <w:i/>
        </w:rPr>
        <w:t xml:space="preserve"> </w:t>
      </w:r>
    </w:p>
  </w:footnote>
  <w:footnote w:id="60">
    <w:p w14:paraId="15A003EF" w14:textId="77777777" w:rsidR="005D57EE" w:rsidRPr="00BD2C6C" w:rsidRDefault="005D57EE" w:rsidP="005D57EE">
      <w:pPr>
        <w:pStyle w:val="FootnoteText"/>
      </w:pPr>
      <w:r w:rsidRPr="00BD2C6C">
        <w:rPr>
          <w:rStyle w:val="FootnoteReference"/>
        </w:rPr>
        <w:footnoteRef/>
      </w:r>
      <w:r w:rsidRPr="00BD2C6C">
        <w:t xml:space="preserve"> </w:t>
      </w:r>
      <w:r w:rsidRPr="00BD2C6C">
        <w:rPr>
          <w:i/>
          <w:iCs/>
        </w:rPr>
        <w:t>See Federal-State Joint Board on Universal Service</w:t>
      </w:r>
      <w:r w:rsidRPr="00BD2C6C">
        <w:t>, CC Docket No. 96-45, Report and Order, 12 FCC Rcd 8776, 9076-80, paras. 570-80 (1997) (</w:t>
      </w:r>
      <w:r w:rsidRPr="00BD2C6C">
        <w:rPr>
          <w:i/>
          <w:iCs/>
        </w:rPr>
        <w:t>Universal Service First Report and Order</w:t>
      </w:r>
      <w:r w:rsidRPr="00BD2C6C">
        <w:t>) (subsequent history omitted) (requiring applicants to conduct a fair and open competitive bidding process when seeking support for eligible products and services);</w:t>
      </w:r>
      <w:r w:rsidRPr="00BD2C6C">
        <w:rPr>
          <w:i/>
          <w:iCs/>
        </w:rPr>
        <w:t>Federal-State Joint Board on Universal Service; Access Charge Reform; Price Cap Performance Review for Local Exchange Carriers; Transport Rate Structure and Pricing; End User Common Line Charge</w:t>
      </w:r>
      <w:r w:rsidRPr="00BD2C6C">
        <w:t>, CC Docket Nos. 96-45, 96-262, 94-1, 91-213, and 95-72, Report and Order and Fourth Order on Reconsideration, 13 FCC Rcd 5318, 5425-26, para. 185 (1997) (</w:t>
      </w:r>
      <w:r w:rsidRPr="00BD2C6C">
        <w:rPr>
          <w:i/>
          <w:iCs/>
        </w:rPr>
        <w:t>Schools and Libraries Fourth Order on Reconsideration</w:t>
      </w:r>
      <w:r w:rsidRPr="00BD2C6C">
        <w:t>) (stating that competitive bidding is a key component of the Commission’s effort to ensure that universal service funds support services that satisfy the precise needs of an institution, and that the services are provided at the lowest possible rates).</w:t>
      </w:r>
    </w:p>
  </w:footnote>
  <w:footnote w:id="61">
    <w:p w14:paraId="36C3A172" w14:textId="77777777" w:rsidR="005D57EE" w:rsidRPr="00BD2C6C" w:rsidRDefault="005D57EE" w:rsidP="005D57EE">
      <w:pPr>
        <w:pStyle w:val="FootnoteText"/>
      </w:pPr>
      <w:r w:rsidRPr="00BD2C6C">
        <w:rPr>
          <w:rStyle w:val="FootnoteReference"/>
        </w:rPr>
        <w:footnoteRef/>
      </w:r>
      <w:r w:rsidRPr="00BD2C6C">
        <w:t xml:space="preserve"> </w:t>
      </w:r>
      <w:r w:rsidRPr="00BD2C6C">
        <w:rPr>
          <w:i/>
        </w:rPr>
        <w:t>Id.</w:t>
      </w:r>
      <w:r w:rsidRPr="00BD2C6C">
        <w:t xml:space="preserve">; </w:t>
      </w:r>
      <w:r w:rsidRPr="00BD2C6C">
        <w:rPr>
          <w:i/>
        </w:rPr>
        <w:t xml:space="preserve">see also </w:t>
      </w:r>
      <w:r w:rsidRPr="00BD2C6C">
        <w:rPr>
          <w:i/>
          <w:iCs/>
        </w:rPr>
        <w:t>Schools and Libraries Universal Service Support Mechanism</w:t>
      </w:r>
      <w:r w:rsidRPr="00BD2C6C">
        <w:t>, CC Docket No. 02-6, Third Report and Order and Second Further Notice of Proposed Rulemaking, 18 FCC Rcd 26912, 26939, para. 66 (2003) (stating that a fair and open </w:t>
      </w:r>
      <w:r w:rsidRPr="00BD2C6C">
        <w:rPr>
          <w:bCs/>
        </w:rPr>
        <w:t>competitive</w:t>
      </w:r>
      <w:r w:rsidRPr="00BD2C6C">
        <w:t> </w:t>
      </w:r>
      <w:r w:rsidRPr="00BD2C6C">
        <w:rPr>
          <w:bCs/>
        </w:rPr>
        <w:t>bidding</w:t>
      </w:r>
      <w:r w:rsidRPr="00BD2C6C">
        <w:t> </w:t>
      </w:r>
      <w:r w:rsidRPr="00BD2C6C">
        <w:rPr>
          <w:bCs/>
        </w:rPr>
        <w:t>process</w:t>
      </w:r>
      <w:r w:rsidRPr="00BD2C6C">
        <w:t> is critical to preventing waste, fraud, and abuse of program resources).</w:t>
      </w:r>
    </w:p>
  </w:footnote>
  <w:footnote w:id="62">
    <w:p w14:paraId="0A15600B" w14:textId="77777777" w:rsidR="005D57EE" w:rsidRPr="00BD2C6C" w:rsidRDefault="005D57EE" w:rsidP="005D57EE">
      <w:pPr>
        <w:pStyle w:val="FootnoteText"/>
      </w:pPr>
      <w:r w:rsidRPr="00BD2C6C">
        <w:rPr>
          <w:rStyle w:val="FootnoteReference"/>
        </w:rPr>
        <w:footnoteRef/>
      </w:r>
      <w:r w:rsidRPr="00BD2C6C">
        <w:t xml:space="preserve"> </w:t>
      </w:r>
      <w:r w:rsidRPr="00BD2C6C">
        <w:rPr>
          <w:i/>
        </w:rPr>
        <w:t>Request for Review of the Decision of the Universal Service Administrator by Ysleta Independent School District</w:t>
      </w:r>
      <w:r w:rsidRPr="00BD2C6C">
        <w:t>, CC Docket 02-6, Order, 18 FCC Rcd 26407, 26428, para. 47 (2003).</w:t>
      </w:r>
    </w:p>
  </w:footnote>
  <w:footnote w:id="63">
    <w:p w14:paraId="7112405D" w14:textId="77777777" w:rsidR="005D57EE" w:rsidRPr="00BD2C6C" w:rsidRDefault="005D57EE" w:rsidP="005D57EE">
      <w:pPr>
        <w:pStyle w:val="FootnoteText"/>
      </w:pPr>
      <w:r w:rsidRPr="00BD2C6C">
        <w:rPr>
          <w:rStyle w:val="FootnoteReference"/>
        </w:rPr>
        <w:footnoteRef/>
      </w:r>
      <w:r w:rsidRPr="00BD2C6C">
        <w:t xml:space="preserve"> </w:t>
      </w:r>
      <w:r w:rsidRPr="00BD2C6C">
        <w:rPr>
          <w:i/>
        </w:rPr>
        <w:t xml:space="preserve">See supra </w:t>
      </w:r>
      <w:r w:rsidR="00BD2C6C">
        <w:t xml:space="preserve">note </w:t>
      </w:r>
      <w:r w:rsidRPr="00BD2C6C">
        <w:t>54.</w:t>
      </w:r>
    </w:p>
  </w:footnote>
  <w:footnote w:id="64">
    <w:p w14:paraId="643C1CBB" w14:textId="77777777" w:rsidR="005D57EE" w:rsidRPr="00BD2C6C" w:rsidRDefault="005D57EE" w:rsidP="005D57EE">
      <w:pPr>
        <w:pStyle w:val="FootnoteText"/>
      </w:pPr>
      <w:r w:rsidRPr="00BD2C6C">
        <w:rPr>
          <w:rStyle w:val="FootnoteReference"/>
        </w:rPr>
        <w:footnoteRef/>
      </w:r>
      <w:r w:rsidRPr="00BD2C6C">
        <w:t xml:space="preserve"> </w:t>
      </w:r>
      <w:r w:rsidRPr="00BD2C6C">
        <w:rPr>
          <w:i/>
        </w:rPr>
        <w:t>See</w:t>
      </w:r>
      <w:r w:rsidRPr="00BD2C6C">
        <w:t xml:space="preserve"> Blessed Sacrament Petition for Reconsideration at 15; Mt. Carmel Petition for Reconsideration at 12; St. Aloysius Petition for Reconsideration at 13; St. Ann Petition for Reconsideration at 12; St. Anthony Petition for Reconsideration at 11; St. Brigid Petition for Reconsideration at 10; St. Jude Petition for Reconsideration at 10; St. Mark Petition for Reconsideration at 12; St. Nicholas Petition for Reconsideration at 10.</w:t>
      </w:r>
    </w:p>
  </w:footnote>
  <w:footnote w:id="65">
    <w:p w14:paraId="71270FF7" w14:textId="77777777" w:rsidR="005D57EE" w:rsidRPr="00BD2C6C" w:rsidRDefault="005D57EE" w:rsidP="005D57EE">
      <w:pPr>
        <w:pStyle w:val="FootnoteText"/>
      </w:pPr>
      <w:r w:rsidRPr="00BD2C6C">
        <w:rPr>
          <w:rStyle w:val="FootnoteReference"/>
        </w:rPr>
        <w:footnoteRef/>
      </w:r>
      <w:r w:rsidRPr="00BD2C6C">
        <w:t xml:space="preserve"> </w:t>
      </w:r>
      <w:r w:rsidRPr="00BD2C6C">
        <w:rPr>
          <w:i/>
        </w:rPr>
        <w:t>See</w:t>
      </w:r>
      <w:r w:rsidRPr="00BD2C6C">
        <w:t xml:space="preserve"> Blessed Sacrament Petition for Reconsideration at 16-17; Mt. Carmel Petition for Reconsideration at 14-15; St. Aloysius Petition for Reconsideration at 15-16; St. Ann Petition for Reconsideration at 13-14; St. Anthony Petition for Reconsideration at 12-13; St. Brigid Petition for Reconsideration at 11-12; St. Jude Petition for Reconsideration at 12-13; St. Mark Petition for Reconsideration at 13-14; St. Nicholas Petition for Reconsideration at 11-12.</w:t>
      </w:r>
    </w:p>
  </w:footnote>
  <w:footnote w:id="66">
    <w:p w14:paraId="029C755D" w14:textId="77777777" w:rsidR="005D57EE" w:rsidRPr="00BD2C6C" w:rsidRDefault="005D57EE" w:rsidP="005D57EE">
      <w:pPr>
        <w:pStyle w:val="FootnoteText"/>
      </w:pPr>
      <w:r w:rsidRPr="00BD2C6C">
        <w:rPr>
          <w:rStyle w:val="FootnoteReference"/>
        </w:rPr>
        <w:footnoteRef/>
      </w:r>
      <w:r w:rsidRPr="00BD2C6C">
        <w:t xml:space="preserve"> </w:t>
      </w:r>
      <w:r w:rsidRPr="00BD2C6C">
        <w:rPr>
          <w:i/>
        </w:rPr>
        <w:t>Schools and Libraries Fifth Report and Order</w:t>
      </w:r>
      <w:r w:rsidRPr="00BD2C6C">
        <w:t>, 19 FCC Rcd at 15817-18, para. 29.</w:t>
      </w:r>
    </w:p>
  </w:footnote>
  <w:footnote w:id="67">
    <w:p w14:paraId="474F235D" w14:textId="77777777" w:rsidR="005D57EE" w:rsidRPr="00BD2C6C" w:rsidRDefault="005D57EE" w:rsidP="005D57EE">
      <w:pPr>
        <w:pStyle w:val="FootnoteText"/>
      </w:pPr>
      <w:r w:rsidRPr="00BD2C6C">
        <w:rPr>
          <w:rStyle w:val="FootnoteReference"/>
        </w:rPr>
        <w:footnoteRef/>
      </w:r>
      <w:r w:rsidRPr="00BD2C6C">
        <w:t xml:space="preserve"> </w:t>
      </w:r>
      <w:r w:rsidRPr="00BD2C6C">
        <w:rPr>
          <w:i/>
        </w:rPr>
        <w:t>Id.</w:t>
      </w:r>
    </w:p>
  </w:footnote>
  <w:footnote w:id="68">
    <w:p w14:paraId="420C7191" w14:textId="77777777" w:rsidR="005D57EE" w:rsidRPr="00BD2C6C" w:rsidRDefault="005D57EE" w:rsidP="005D57EE">
      <w:pPr>
        <w:pStyle w:val="FootnoteText"/>
      </w:pPr>
      <w:r w:rsidRPr="00BD2C6C">
        <w:rPr>
          <w:rStyle w:val="FootnoteReference"/>
        </w:rPr>
        <w:footnoteRef/>
      </w:r>
      <w:r w:rsidRPr="00BD2C6C">
        <w:t xml:space="preserve"> </w:t>
      </w:r>
      <w:r w:rsidRPr="00BD2C6C">
        <w:rPr>
          <w:i/>
        </w:rPr>
        <w:t>See Petition for Reconsideration by Chicago Public Schools</w:t>
      </w:r>
      <w:r w:rsidRPr="00BD2C6C">
        <w:t>, CC Docket No. 02-6, Order on Reconsideration, 29 FCC Rcd 9289 (2014) (denying petition for reconsideration where petitioner failed to present special circumstances that warranted deviation from the general rule).</w:t>
      </w:r>
    </w:p>
  </w:footnote>
  <w:footnote w:id="69">
    <w:p w14:paraId="726D9CCB" w14:textId="77777777" w:rsidR="005D57EE" w:rsidRPr="00BD2C6C" w:rsidRDefault="005D57EE" w:rsidP="005D57EE">
      <w:pPr>
        <w:pStyle w:val="FootnoteText"/>
      </w:pPr>
      <w:r w:rsidRPr="00BD2C6C">
        <w:rPr>
          <w:rStyle w:val="FootnoteReference"/>
        </w:rPr>
        <w:footnoteRef/>
      </w:r>
      <w:r w:rsidRPr="00BD2C6C">
        <w:t xml:space="preserve"> </w:t>
      </w:r>
      <w:r w:rsidRPr="00BD2C6C">
        <w:rPr>
          <w:i/>
        </w:rPr>
        <w:t>See</w:t>
      </w:r>
      <w:r w:rsidRPr="00BD2C6C">
        <w:t xml:space="preserve"> Blessed Sacrament Petition for Reconsideration at 12-13; Mt. Carmel Petition for Reconsideration at 9-10; St. Aloysius Petition for Reconsideration at 11-12; St. Ann Petition for Reconsideration at 9-10; St. Anthony Petition for Reconsideration at 9-10; St. Brigid Petition for Reconsideration at 8-9; St. Jude Petition for Reconsideration at 8-9; St. Mark Petition for Reconsideration at 9-10; St. Nicholas Petition for Reconsideration at 7-8.</w:t>
      </w:r>
    </w:p>
  </w:footnote>
  <w:footnote w:id="70">
    <w:p w14:paraId="7224FEC5" w14:textId="77777777" w:rsidR="005D57EE" w:rsidRPr="00BD2C6C" w:rsidRDefault="005D57EE" w:rsidP="005D57EE">
      <w:pPr>
        <w:pStyle w:val="FootnoteText"/>
      </w:pPr>
      <w:r w:rsidRPr="00BD2C6C">
        <w:rPr>
          <w:rStyle w:val="FootnoteReference"/>
        </w:rPr>
        <w:footnoteRef/>
      </w:r>
      <w:r w:rsidRPr="00BD2C6C">
        <w:t xml:space="preserve"> The Commission’s rules require only that (1) any person aggrieved by an action taken by USAC may request review from the Commission, and (2) these requests for review shall be considered and acted upon by the Bureau. </w:t>
      </w:r>
      <w:r w:rsidRPr="00BD2C6C">
        <w:rPr>
          <w:i/>
        </w:rPr>
        <w:t xml:space="preserve">See </w:t>
      </w:r>
      <w:r w:rsidRPr="00BD2C6C">
        <w:t>47 C.F.R. §§ 54.722, 54.719(c).</w:t>
      </w:r>
    </w:p>
  </w:footnote>
  <w:footnote w:id="71">
    <w:p w14:paraId="104EC27B" w14:textId="77777777" w:rsidR="005D57EE" w:rsidRPr="00BD2C6C" w:rsidRDefault="005D57EE" w:rsidP="005D57EE">
      <w:pPr>
        <w:pStyle w:val="FootnoteText"/>
      </w:pPr>
      <w:r w:rsidRPr="00BD2C6C">
        <w:rPr>
          <w:rStyle w:val="FootnoteReference"/>
        </w:rPr>
        <w:footnoteRef/>
      </w:r>
      <w:r w:rsidRPr="00BD2C6C">
        <w:t xml:space="preserve"> </w:t>
      </w:r>
      <w:r w:rsidRPr="00BD2C6C">
        <w:rPr>
          <w:i/>
        </w:rPr>
        <w:t>March 2015 Streamlined Request Resolution PN</w:t>
      </w:r>
      <w:r w:rsidRPr="00BD2C6C">
        <w:t xml:space="preserve"> at 2749-50 nn.17 &amp; 18.</w:t>
      </w:r>
    </w:p>
  </w:footnote>
  <w:footnote w:id="72">
    <w:p w14:paraId="3887A65A" w14:textId="77777777" w:rsidR="005D57EE" w:rsidRPr="00BD2C6C" w:rsidRDefault="005D57EE" w:rsidP="005D57EE">
      <w:pPr>
        <w:pStyle w:val="FootnoteText"/>
      </w:pPr>
      <w:r w:rsidRPr="00BD2C6C">
        <w:rPr>
          <w:rStyle w:val="FootnoteReference"/>
        </w:rPr>
        <w:footnoteRef/>
      </w:r>
      <w:r w:rsidRPr="00BD2C6C">
        <w:t xml:space="preserve"> </w:t>
      </w:r>
      <w:r w:rsidRPr="00BD2C6C">
        <w:rPr>
          <w:i/>
        </w:rPr>
        <w:t>See Lake Pend Order</w:t>
      </w:r>
      <w:r w:rsidRPr="00BD2C6C">
        <w:t>, 28 FCC Rcd at 1106, para. 3 (rejecting petitioner’s argument that the underlying short form order failed to provide a reasoned analysis and holding that the Bureau’s denial was fully supported by cited precedent which clearly prohibited the actions taken by petitioner).</w:t>
      </w:r>
    </w:p>
  </w:footnote>
  <w:footnote w:id="73">
    <w:p w14:paraId="470590FA" w14:textId="77777777" w:rsidR="005D57EE" w:rsidRPr="00BD2C6C" w:rsidRDefault="005D57EE" w:rsidP="005D57EE">
      <w:pPr>
        <w:pStyle w:val="FootnoteText"/>
      </w:pPr>
      <w:r w:rsidRPr="00BD2C6C">
        <w:rPr>
          <w:rStyle w:val="FootnoteReference"/>
        </w:rPr>
        <w:footnoteRef/>
      </w:r>
      <w:r w:rsidRPr="00BD2C6C">
        <w:t xml:space="preserve"> </w:t>
      </w:r>
      <w:r w:rsidRPr="00BD2C6C">
        <w:rPr>
          <w:i/>
        </w:rPr>
        <w:t>See March 2015 Streamlined Request Resolution PN</w:t>
      </w:r>
      <w:r w:rsidRPr="00BD2C6C">
        <w:t xml:space="preserve"> at 2749-50 nn.17 &amp;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CB37E" w14:textId="77777777" w:rsidR="00E64C12" w:rsidRDefault="00E64C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871E4" w14:textId="77777777" w:rsidR="005D57EE" w:rsidRDefault="005D57EE" w:rsidP="00810B6F">
    <w:pPr>
      <w:pStyle w:val="Header"/>
      <w:rPr>
        <w:b w:val="0"/>
      </w:rPr>
    </w:pPr>
    <w:r>
      <w:tab/>
      <w:t>Federal Communications Commission</w:t>
    </w:r>
    <w:r>
      <w:tab/>
      <w:t>DA 15-</w:t>
    </w:r>
    <w:r w:rsidR="00604175">
      <w:t>1439</w:t>
    </w:r>
  </w:p>
  <w:p w14:paraId="64E628BE" w14:textId="0979D0CC" w:rsidR="005D57EE" w:rsidRDefault="005301B0">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18F05839" wp14:editId="2733CE30">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352BE3"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6CB5F708" w14:textId="77777777" w:rsidR="005D57EE" w:rsidRDefault="005D57EE">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3E5B4" w14:textId="0220136E" w:rsidR="005D57EE" w:rsidRDefault="005301B0" w:rsidP="00810B6F">
    <w:pPr>
      <w:pStyle w:val="Header"/>
      <w:rPr>
        <w:b w:val="0"/>
      </w:rPr>
    </w:pPr>
    <w:r>
      <w:rPr>
        <w:noProof/>
      </w:rPr>
      <mc:AlternateContent>
        <mc:Choice Requires="wps">
          <w:drawing>
            <wp:anchor distT="0" distB="0" distL="114300" distR="114300" simplePos="0" relativeHeight="251658240" behindDoc="1" locked="0" layoutInCell="0" allowOverlap="1" wp14:anchorId="577552F4" wp14:editId="201C8B7E">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43DD64"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5D57EE">
      <w:tab/>
      <w:t>Federal Communications Commission</w:t>
    </w:r>
    <w:r w:rsidR="005D57EE">
      <w:tab/>
    </w:r>
    <w:r w:rsidR="005D57EE">
      <w:rPr>
        <w:spacing w:val="-2"/>
      </w:rPr>
      <w:t>DA 15-</w:t>
    </w:r>
    <w:r w:rsidR="00604175">
      <w:rPr>
        <w:spacing w:val="-2"/>
      </w:rPr>
      <w:t>1439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56463C3"/>
    <w:multiLevelType w:val="hybridMultilevel"/>
    <w:tmpl w:val="EE1EB8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CD5D59"/>
    <w:multiLevelType w:val="hybridMultilevel"/>
    <w:tmpl w:val="D5780EF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5E13BBB"/>
    <w:multiLevelType w:val="hybridMultilevel"/>
    <w:tmpl w:val="6BC83C30"/>
    <w:lvl w:ilvl="0" w:tplc="005AEC4A">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E4640B"/>
    <w:multiLevelType w:val="hybridMultilevel"/>
    <w:tmpl w:val="A2AE9352"/>
    <w:lvl w:ilvl="0" w:tplc="1B72510A">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0F1B3D"/>
    <w:multiLevelType w:val="multilevel"/>
    <w:tmpl w:val="25D23AEA"/>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rPr>
    </w:lvl>
    <w:lvl w:ilvl="1">
      <w:start w:val="1"/>
      <w:numFmt w:val="upperLetter"/>
      <w:lvlText w:val="%2."/>
      <w:lvlJc w:val="left"/>
      <w:pPr>
        <w:tabs>
          <w:tab w:val="num" w:pos="1080"/>
        </w:tabs>
        <w:ind w:left="720" w:firstLine="0"/>
      </w:pPr>
      <w:rPr>
        <w:rFonts w:hint="default"/>
      </w:rPr>
    </w:lvl>
    <w:lvl w:ilvl="2">
      <w:start w:val="1"/>
      <w:numFmt w:val="decimal"/>
      <w:lvlRestart w:val="0"/>
      <w:lvlText w:val="%3."/>
      <w:lvlJc w:val="left"/>
      <w:pPr>
        <w:tabs>
          <w:tab w:val="num" w:pos="1440"/>
        </w:tabs>
        <w:ind w:left="360" w:firstLine="720"/>
      </w:pPr>
      <w:rPr>
        <w:rFonts w:ascii="Times New Roman" w:hAnsi="Times New Roman" w:hint="default"/>
        <w:b w:val="0"/>
        <w:i w:val="0"/>
        <w:color w:val="auto"/>
        <w:sz w:val="22"/>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443030C9"/>
    <w:multiLevelType w:val="hybridMultilevel"/>
    <w:tmpl w:val="96FCD9B0"/>
    <w:lvl w:ilvl="0" w:tplc="C8749466">
      <w:start w:val="3"/>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BDD6454"/>
    <w:multiLevelType w:val="hybridMultilevel"/>
    <w:tmpl w:val="688ADE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1182925"/>
    <w:multiLevelType w:val="singleLevel"/>
    <w:tmpl w:val="947865C8"/>
    <w:lvl w:ilvl="0">
      <w:start w:val="1"/>
      <w:numFmt w:val="decimal"/>
      <w:pStyle w:val="ParaNum"/>
      <w:lvlText w:val="%1."/>
      <w:lvlJc w:val="left"/>
      <w:pPr>
        <w:tabs>
          <w:tab w:val="num" w:pos="1080"/>
        </w:tabs>
        <w:ind w:left="0" w:firstLine="720"/>
      </w:pPr>
      <w:rPr>
        <w:b w:val="0"/>
      </w:rPr>
    </w:lvl>
  </w:abstractNum>
  <w:abstractNum w:abstractNumId="13">
    <w:nsid w:val="652E5D64"/>
    <w:multiLevelType w:val="multilevel"/>
    <w:tmpl w:val="25A0B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0363C3"/>
    <w:multiLevelType w:val="hybridMultilevel"/>
    <w:tmpl w:val="01A2F6CC"/>
    <w:lvl w:ilvl="0" w:tplc="791A541A">
      <w:start w:val="4"/>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EB2B3B"/>
    <w:multiLevelType w:val="hybridMultilevel"/>
    <w:tmpl w:val="6FB268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8A700BD"/>
    <w:multiLevelType w:val="hybridMultilevel"/>
    <w:tmpl w:val="116CB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36649F"/>
    <w:multiLevelType w:val="hybridMultilevel"/>
    <w:tmpl w:val="E6529D16"/>
    <w:lvl w:ilvl="0" w:tplc="4E5CA92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0"/>
  </w:num>
  <w:num w:numId="5">
    <w:abstractNumId w:val="4"/>
  </w:num>
  <w:num w:numId="6">
    <w:abstractNumId w:val="0"/>
  </w:num>
  <w:num w:numId="7">
    <w:abstractNumId w:val="8"/>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6"/>
  </w:num>
  <w:num w:numId="19">
    <w:abstractNumId w:val="1"/>
  </w:num>
  <w:num w:numId="20">
    <w:abstractNumId w:val="9"/>
  </w:num>
  <w:num w:numId="21">
    <w:abstractNumId w:val="15"/>
  </w:num>
  <w:num w:numId="22">
    <w:abstractNumId w:val="14"/>
  </w:num>
  <w:num w:numId="23">
    <w:abstractNumId w:val="16"/>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7EE"/>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2C54DE"/>
    <w:rsid w:val="003150EC"/>
    <w:rsid w:val="00343749"/>
    <w:rsid w:val="003660ED"/>
    <w:rsid w:val="00367E74"/>
    <w:rsid w:val="003B0550"/>
    <w:rsid w:val="003B694F"/>
    <w:rsid w:val="003F171C"/>
    <w:rsid w:val="00412FC5"/>
    <w:rsid w:val="00422276"/>
    <w:rsid w:val="004242F1"/>
    <w:rsid w:val="00445A00"/>
    <w:rsid w:val="00451B0F"/>
    <w:rsid w:val="004C2EE3"/>
    <w:rsid w:val="004E4A22"/>
    <w:rsid w:val="00511968"/>
    <w:rsid w:val="005301B0"/>
    <w:rsid w:val="0055614C"/>
    <w:rsid w:val="005D57EE"/>
    <w:rsid w:val="005E14C2"/>
    <w:rsid w:val="00604175"/>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464B9"/>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BD2C6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64C12"/>
    <w:rsid w:val="00EE6488"/>
    <w:rsid w:val="00F021FA"/>
    <w:rsid w:val="00F62E97"/>
    <w:rsid w:val="00F64209"/>
    <w:rsid w:val="00F71F7A"/>
    <w:rsid w:val="00F8208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F1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uiPriority w:val="9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character" w:customStyle="1" w:styleId="Heading1Char">
    <w:name w:val="Heading 1 Char"/>
    <w:link w:val="Heading1"/>
    <w:uiPriority w:val="99"/>
    <w:rsid w:val="005D57EE"/>
    <w:rPr>
      <w:rFonts w:ascii="Times New Roman Bold" w:hAnsi="Times New Roman Bold"/>
      <w:b/>
      <w:caps/>
      <w:snapToGrid w:val="0"/>
      <w:kern w:val="28"/>
      <w:sz w:val="22"/>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rsid w:val="005D57EE"/>
  </w:style>
  <w:style w:type="character" w:styleId="FootnoteReference">
    <w:name w:val="footnote reference"/>
    <w:aliases w:val="Style 12,(NECG) Footnote Reference,Style 13,Appel note de bas de p,Style 124,fr,o,Style 3,FR,Footnote Reference1,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5D57EE"/>
    <w:rPr>
      <w:snapToGrid w:val="0"/>
      <w:kern w:val="28"/>
      <w:sz w:val="22"/>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StyleNumberedparagraphs11ptChar">
    <w:name w:val="Style Numbered paragraphs + 11 pt Char"/>
    <w:rsid w:val="005D57EE"/>
    <w:rPr>
      <w:noProof w:val="0"/>
      <w:sz w:val="22"/>
      <w:lang w:val="en-US" w:eastAsia="en-US" w:bidi="ar-SA"/>
    </w:rPr>
  </w:style>
  <w:style w:type="character" w:customStyle="1" w:styleId="documentbody1">
    <w:name w:val="documentbody1"/>
    <w:rsid w:val="005D57EE"/>
    <w:rPr>
      <w:rFonts w:ascii="Verdana" w:hAnsi="Verdana" w:hint="default"/>
      <w:sz w:val="19"/>
      <w:szCs w:val="19"/>
    </w:rPr>
  </w:style>
  <w:style w:type="paragraph" w:customStyle="1" w:styleId="FirstPageHeader">
    <w:name w:val="First Page Header"/>
    <w:basedOn w:val="Normal"/>
    <w:rsid w:val="005D57EE"/>
    <w:pPr>
      <w:widowControl/>
      <w:tabs>
        <w:tab w:val="center" w:pos="4320"/>
        <w:tab w:val="right" w:pos="8640"/>
      </w:tabs>
    </w:pPr>
    <w:rPr>
      <w:b/>
      <w:snapToGrid/>
      <w:kern w:val="0"/>
      <w:sz w:val="24"/>
    </w:rPr>
  </w:style>
  <w:style w:type="paragraph" w:customStyle="1" w:styleId="Titleinfo">
    <w:name w:val="Title info"/>
    <w:basedOn w:val="Header"/>
    <w:rsid w:val="005D57EE"/>
    <w:pPr>
      <w:widowControl/>
      <w:tabs>
        <w:tab w:val="clear" w:pos="4680"/>
        <w:tab w:val="clear" w:pos="9360"/>
      </w:tabs>
    </w:pPr>
    <w:rPr>
      <w:b w:val="0"/>
      <w:snapToGrid/>
      <w:kern w:val="0"/>
    </w:rPr>
  </w:style>
  <w:style w:type="character" w:styleId="CommentReference">
    <w:name w:val="annotation reference"/>
    <w:rsid w:val="005D57EE"/>
    <w:rPr>
      <w:sz w:val="16"/>
      <w:szCs w:val="16"/>
    </w:rPr>
  </w:style>
  <w:style w:type="paragraph" w:styleId="CommentText">
    <w:name w:val="annotation text"/>
    <w:basedOn w:val="Normal"/>
    <w:link w:val="CommentTextChar"/>
    <w:rsid w:val="005D57EE"/>
    <w:pPr>
      <w:widowControl/>
    </w:pPr>
    <w:rPr>
      <w:snapToGrid/>
      <w:kern w:val="0"/>
      <w:sz w:val="20"/>
    </w:rPr>
  </w:style>
  <w:style w:type="character" w:customStyle="1" w:styleId="CommentTextChar">
    <w:name w:val="Comment Text Char"/>
    <w:basedOn w:val="DefaultParagraphFont"/>
    <w:link w:val="CommentText"/>
    <w:rsid w:val="005D57EE"/>
  </w:style>
  <w:style w:type="paragraph" w:styleId="CommentSubject">
    <w:name w:val="annotation subject"/>
    <w:basedOn w:val="CommentText"/>
    <w:next w:val="CommentText"/>
    <w:link w:val="CommentSubjectChar"/>
    <w:rsid w:val="005D57EE"/>
    <w:rPr>
      <w:b/>
      <w:bCs/>
    </w:rPr>
  </w:style>
  <w:style w:type="character" w:customStyle="1" w:styleId="CommentSubjectChar">
    <w:name w:val="Comment Subject Char"/>
    <w:link w:val="CommentSubject"/>
    <w:rsid w:val="005D57EE"/>
    <w:rPr>
      <w:b/>
      <w:bCs/>
    </w:rPr>
  </w:style>
  <w:style w:type="paragraph" w:styleId="BalloonText">
    <w:name w:val="Balloon Text"/>
    <w:basedOn w:val="Normal"/>
    <w:link w:val="BalloonTextChar"/>
    <w:rsid w:val="005D57EE"/>
    <w:pPr>
      <w:widowControl/>
    </w:pPr>
    <w:rPr>
      <w:rFonts w:ascii="Tahoma" w:hAnsi="Tahoma" w:cs="Tahoma"/>
      <w:snapToGrid/>
      <w:kern w:val="0"/>
      <w:sz w:val="16"/>
      <w:szCs w:val="16"/>
    </w:rPr>
  </w:style>
  <w:style w:type="character" w:customStyle="1" w:styleId="BalloonTextChar">
    <w:name w:val="Balloon Text Char"/>
    <w:link w:val="BalloonText"/>
    <w:rsid w:val="005D57EE"/>
    <w:rPr>
      <w:rFonts w:ascii="Tahoma" w:hAnsi="Tahoma" w:cs="Tahoma"/>
      <w:sz w:val="16"/>
      <w:szCs w:val="16"/>
    </w:rPr>
  </w:style>
  <w:style w:type="paragraph" w:styleId="DocumentMap">
    <w:name w:val="Document Map"/>
    <w:basedOn w:val="Normal"/>
    <w:link w:val="DocumentMapChar"/>
    <w:rsid w:val="005D57EE"/>
    <w:pPr>
      <w:widowControl/>
      <w:shd w:val="clear" w:color="auto" w:fill="000080"/>
    </w:pPr>
    <w:rPr>
      <w:rFonts w:ascii="Tahoma" w:hAnsi="Tahoma" w:cs="Tahoma"/>
      <w:snapToGrid/>
      <w:kern w:val="0"/>
      <w:sz w:val="20"/>
    </w:rPr>
  </w:style>
  <w:style w:type="character" w:customStyle="1" w:styleId="DocumentMapChar">
    <w:name w:val="Document Map Char"/>
    <w:link w:val="DocumentMap"/>
    <w:rsid w:val="005D57EE"/>
    <w:rPr>
      <w:rFonts w:ascii="Tahoma" w:hAnsi="Tahoma" w:cs="Tahoma"/>
      <w:shd w:val="clear" w:color="auto" w:fill="000080"/>
    </w:rPr>
  </w:style>
  <w:style w:type="paragraph" w:customStyle="1" w:styleId="Numberedparagraphs">
    <w:name w:val="Numbered paragraphs"/>
    <w:basedOn w:val="Normal"/>
    <w:rsid w:val="005D57EE"/>
    <w:pPr>
      <w:widowControl/>
      <w:tabs>
        <w:tab w:val="left" w:pos="1440"/>
      </w:tabs>
      <w:spacing w:after="220"/>
    </w:pPr>
    <w:rPr>
      <w:snapToGrid/>
      <w:kern w:val="0"/>
      <w:sz w:val="24"/>
    </w:rPr>
  </w:style>
  <w:style w:type="character" w:styleId="FollowedHyperlink">
    <w:name w:val="FollowedHyperlink"/>
    <w:unhideWhenUsed/>
    <w:rsid w:val="005D57E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uiPriority w:val="9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character" w:customStyle="1" w:styleId="Heading1Char">
    <w:name w:val="Heading 1 Char"/>
    <w:link w:val="Heading1"/>
    <w:uiPriority w:val="99"/>
    <w:rsid w:val="005D57EE"/>
    <w:rPr>
      <w:rFonts w:ascii="Times New Roman Bold" w:hAnsi="Times New Roman Bold"/>
      <w:b/>
      <w:caps/>
      <w:snapToGrid w:val="0"/>
      <w:kern w:val="28"/>
      <w:sz w:val="22"/>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0E3D42"/>
    <w:pPr>
      <w:spacing w:after="120"/>
    </w:p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rsid w:val="005D57EE"/>
  </w:style>
  <w:style w:type="character" w:styleId="FootnoteReference">
    <w:name w:val="footnote reference"/>
    <w:aliases w:val="Style 12,(NECG) Footnote Reference,Style 13,Appel note de bas de p,Style 124,fr,o,Style 3,FR,Footnote Reference1,Style 17,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5D57EE"/>
    <w:rPr>
      <w:snapToGrid w:val="0"/>
      <w:kern w:val="28"/>
      <w:sz w:val="22"/>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StyleNumberedparagraphs11ptChar">
    <w:name w:val="Style Numbered paragraphs + 11 pt Char"/>
    <w:rsid w:val="005D57EE"/>
    <w:rPr>
      <w:noProof w:val="0"/>
      <w:sz w:val="22"/>
      <w:lang w:val="en-US" w:eastAsia="en-US" w:bidi="ar-SA"/>
    </w:rPr>
  </w:style>
  <w:style w:type="character" w:customStyle="1" w:styleId="documentbody1">
    <w:name w:val="documentbody1"/>
    <w:rsid w:val="005D57EE"/>
    <w:rPr>
      <w:rFonts w:ascii="Verdana" w:hAnsi="Verdana" w:hint="default"/>
      <w:sz w:val="19"/>
      <w:szCs w:val="19"/>
    </w:rPr>
  </w:style>
  <w:style w:type="paragraph" w:customStyle="1" w:styleId="FirstPageHeader">
    <w:name w:val="First Page Header"/>
    <w:basedOn w:val="Normal"/>
    <w:rsid w:val="005D57EE"/>
    <w:pPr>
      <w:widowControl/>
      <w:tabs>
        <w:tab w:val="center" w:pos="4320"/>
        <w:tab w:val="right" w:pos="8640"/>
      </w:tabs>
    </w:pPr>
    <w:rPr>
      <w:b/>
      <w:snapToGrid/>
      <w:kern w:val="0"/>
      <w:sz w:val="24"/>
    </w:rPr>
  </w:style>
  <w:style w:type="paragraph" w:customStyle="1" w:styleId="Titleinfo">
    <w:name w:val="Title info"/>
    <w:basedOn w:val="Header"/>
    <w:rsid w:val="005D57EE"/>
    <w:pPr>
      <w:widowControl/>
      <w:tabs>
        <w:tab w:val="clear" w:pos="4680"/>
        <w:tab w:val="clear" w:pos="9360"/>
      </w:tabs>
    </w:pPr>
    <w:rPr>
      <w:b w:val="0"/>
      <w:snapToGrid/>
      <w:kern w:val="0"/>
    </w:rPr>
  </w:style>
  <w:style w:type="character" w:styleId="CommentReference">
    <w:name w:val="annotation reference"/>
    <w:rsid w:val="005D57EE"/>
    <w:rPr>
      <w:sz w:val="16"/>
      <w:szCs w:val="16"/>
    </w:rPr>
  </w:style>
  <w:style w:type="paragraph" w:styleId="CommentText">
    <w:name w:val="annotation text"/>
    <w:basedOn w:val="Normal"/>
    <w:link w:val="CommentTextChar"/>
    <w:rsid w:val="005D57EE"/>
    <w:pPr>
      <w:widowControl/>
    </w:pPr>
    <w:rPr>
      <w:snapToGrid/>
      <w:kern w:val="0"/>
      <w:sz w:val="20"/>
    </w:rPr>
  </w:style>
  <w:style w:type="character" w:customStyle="1" w:styleId="CommentTextChar">
    <w:name w:val="Comment Text Char"/>
    <w:basedOn w:val="DefaultParagraphFont"/>
    <w:link w:val="CommentText"/>
    <w:rsid w:val="005D57EE"/>
  </w:style>
  <w:style w:type="paragraph" w:styleId="CommentSubject">
    <w:name w:val="annotation subject"/>
    <w:basedOn w:val="CommentText"/>
    <w:next w:val="CommentText"/>
    <w:link w:val="CommentSubjectChar"/>
    <w:rsid w:val="005D57EE"/>
    <w:rPr>
      <w:b/>
      <w:bCs/>
    </w:rPr>
  </w:style>
  <w:style w:type="character" w:customStyle="1" w:styleId="CommentSubjectChar">
    <w:name w:val="Comment Subject Char"/>
    <w:link w:val="CommentSubject"/>
    <w:rsid w:val="005D57EE"/>
    <w:rPr>
      <w:b/>
      <w:bCs/>
    </w:rPr>
  </w:style>
  <w:style w:type="paragraph" w:styleId="BalloonText">
    <w:name w:val="Balloon Text"/>
    <w:basedOn w:val="Normal"/>
    <w:link w:val="BalloonTextChar"/>
    <w:rsid w:val="005D57EE"/>
    <w:pPr>
      <w:widowControl/>
    </w:pPr>
    <w:rPr>
      <w:rFonts w:ascii="Tahoma" w:hAnsi="Tahoma" w:cs="Tahoma"/>
      <w:snapToGrid/>
      <w:kern w:val="0"/>
      <w:sz w:val="16"/>
      <w:szCs w:val="16"/>
    </w:rPr>
  </w:style>
  <w:style w:type="character" w:customStyle="1" w:styleId="BalloonTextChar">
    <w:name w:val="Balloon Text Char"/>
    <w:link w:val="BalloonText"/>
    <w:rsid w:val="005D57EE"/>
    <w:rPr>
      <w:rFonts w:ascii="Tahoma" w:hAnsi="Tahoma" w:cs="Tahoma"/>
      <w:sz w:val="16"/>
      <w:szCs w:val="16"/>
    </w:rPr>
  </w:style>
  <w:style w:type="paragraph" w:styleId="DocumentMap">
    <w:name w:val="Document Map"/>
    <w:basedOn w:val="Normal"/>
    <w:link w:val="DocumentMapChar"/>
    <w:rsid w:val="005D57EE"/>
    <w:pPr>
      <w:widowControl/>
      <w:shd w:val="clear" w:color="auto" w:fill="000080"/>
    </w:pPr>
    <w:rPr>
      <w:rFonts w:ascii="Tahoma" w:hAnsi="Tahoma" w:cs="Tahoma"/>
      <w:snapToGrid/>
      <w:kern w:val="0"/>
      <w:sz w:val="20"/>
    </w:rPr>
  </w:style>
  <w:style w:type="character" w:customStyle="1" w:styleId="DocumentMapChar">
    <w:name w:val="Document Map Char"/>
    <w:link w:val="DocumentMap"/>
    <w:rsid w:val="005D57EE"/>
    <w:rPr>
      <w:rFonts w:ascii="Tahoma" w:hAnsi="Tahoma" w:cs="Tahoma"/>
      <w:shd w:val="clear" w:color="auto" w:fill="000080"/>
    </w:rPr>
  </w:style>
  <w:style w:type="paragraph" w:customStyle="1" w:styleId="Numberedparagraphs">
    <w:name w:val="Numbered paragraphs"/>
    <w:basedOn w:val="Normal"/>
    <w:rsid w:val="005D57EE"/>
    <w:pPr>
      <w:widowControl/>
      <w:tabs>
        <w:tab w:val="left" w:pos="1440"/>
      </w:tabs>
      <w:spacing w:after="220"/>
    </w:pPr>
    <w:rPr>
      <w:snapToGrid/>
      <w:kern w:val="0"/>
      <w:sz w:val="24"/>
    </w:rPr>
  </w:style>
  <w:style w:type="character" w:styleId="FollowedHyperlink">
    <w:name w:val="FollowedHyperlink"/>
    <w:unhideWhenUsed/>
    <w:rsid w:val="005D57E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sac.org/_res/documents/sl/pdf/forms/473i.pdf" TargetMode="External"/><Relationship Id="rId1" Type="http://schemas.openxmlformats.org/officeDocument/2006/relationships/hyperlink" Target="http://www.usac.org/sl/service-providers/step03/473-filin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4915</Words>
  <Characters>27914</Characters>
  <Application>Microsoft Office Word</Application>
  <DocSecurity>0</DocSecurity>
  <Lines>986</Lines>
  <Paragraphs>398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32581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2015-12-17T20:42:00Z</dcterms:created>
  <dcterms:modified xsi:type="dcterms:W3CDTF">2015-12-17T20:42:00Z</dcterms:modified>
  <cp:category> </cp:category>
  <cp:contentStatus> </cp:contentStatus>
</cp:coreProperties>
</file>