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1C522" w14:textId="77777777" w:rsidR="00050854" w:rsidRPr="00331410" w:rsidRDefault="00050854" w:rsidP="00BF1922">
      <w:pPr>
        <w:widowControl/>
        <w:tabs>
          <w:tab w:val="center" w:pos="4770"/>
        </w:tabs>
        <w:suppressAutoHyphens/>
        <w:jc w:val="center"/>
        <w:outlineLvl w:val="0"/>
        <w:rPr>
          <w:b/>
          <w:spacing w:val="-2"/>
          <w:sz w:val="22"/>
          <w:szCs w:val="22"/>
        </w:rPr>
      </w:pPr>
      <w:bookmarkStart w:id="0" w:name="_GoBack"/>
      <w:bookmarkEnd w:id="0"/>
      <w:r w:rsidRPr="00331410">
        <w:rPr>
          <w:b/>
          <w:spacing w:val="-2"/>
          <w:sz w:val="22"/>
          <w:szCs w:val="22"/>
        </w:rPr>
        <w:t>Before the</w:t>
      </w:r>
    </w:p>
    <w:p w14:paraId="0EE47482" w14:textId="77777777" w:rsidR="004C6D99" w:rsidRPr="00331410" w:rsidRDefault="004C6D99" w:rsidP="00BF1922">
      <w:pPr>
        <w:widowControl/>
        <w:tabs>
          <w:tab w:val="center" w:pos="4770"/>
        </w:tabs>
        <w:suppressAutoHyphens/>
        <w:jc w:val="center"/>
        <w:outlineLvl w:val="0"/>
        <w:rPr>
          <w:b/>
          <w:spacing w:val="-2"/>
          <w:sz w:val="22"/>
          <w:szCs w:val="22"/>
        </w:rPr>
      </w:pPr>
      <w:r w:rsidRPr="00331410">
        <w:rPr>
          <w:b/>
          <w:spacing w:val="-2"/>
          <w:sz w:val="22"/>
          <w:szCs w:val="22"/>
        </w:rPr>
        <w:t>Federal Communications Commission</w:t>
      </w:r>
    </w:p>
    <w:p w14:paraId="6D5659D1" w14:textId="77777777" w:rsidR="00050854" w:rsidRPr="00331410" w:rsidRDefault="004C6D99" w:rsidP="00BF1922">
      <w:pPr>
        <w:widowControl/>
        <w:tabs>
          <w:tab w:val="center" w:pos="4770"/>
        </w:tabs>
        <w:suppressAutoHyphens/>
        <w:jc w:val="center"/>
        <w:outlineLvl w:val="0"/>
        <w:rPr>
          <w:b/>
          <w:sz w:val="22"/>
          <w:szCs w:val="22"/>
        </w:rPr>
      </w:pPr>
      <w:smartTag w:uri="urn:schemas-microsoft-com:office:smarttags" w:element="place">
        <w:smartTag w:uri="urn:schemas-microsoft-com:office:smarttags" w:element="City">
          <w:r w:rsidRPr="00331410">
            <w:rPr>
              <w:b/>
              <w:sz w:val="22"/>
              <w:szCs w:val="22"/>
            </w:rPr>
            <w:t>Washington</w:t>
          </w:r>
        </w:smartTag>
        <w:r w:rsidRPr="00331410">
          <w:rPr>
            <w:b/>
            <w:sz w:val="22"/>
            <w:szCs w:val="22"/>
          </w:rPr>
          <w:t xml:space="preserve">, </w:t>
        </w:r>
        <w:smartTag w:uri="urn:schemas-microsoft-com:office:smarttags" w:element="State">
          <w:r w:rsidRPr="00331410">
            <w:rPr>
              <w:b/>
              <w:sz w:val="22"/>
              <w:szCs w:val="22"/>
            </w:rPr>
            <w:t>D.C.</w:t>
          </w:r>
        </w:smartTag>
        <w:r w:rsidRPr="00331410">
          <w:rPr>
            <w:b/>
            <w:sz w:val="22"/>
            <w:szCs w:val="22"/>
          </w:rPr>
          <w:t xml:space="preserve"> </w:t>
        </w:r>
        <w:smartTag w:uri="urn:schemas-microsoft-com:office:smarttags" w:element="PostalCode">
          <w:r w:rsidRPr="00331410">
            <w:rPr>
              <w:b/>
              <w:sz w:val="22"/>
              <w:szCs w:val="22"/>
            </w:rPr>
            <w:t>20554</w:t>
          </w:r>
        </w:smartTag>
      </w:smartTag>
    </w:p>
    <w:p w14:paraId="24C0A8C7" w14:textId="77777777" w:rsidR="00050854" w:rsidRDefault="00050854" w:rsidP="00BF1922">
      <w:pPr>
        <w:widowControl/>
        <w:tabs>
          <w:tab w:val="center" w:pos="4680"/>
        </w:tabs>
        <w:suppressAutoHyphens/>
        <w:spacing w:line="240" w:lineRule="atLeast"/>
        <w:jc w:val="both"/>
        <w:outlineLvl w:val="0"/>
        <w:rPr>
          <w:b/>
          <w:spacing w:val="-2"/>
          <w:sz w:val="24"/>
        </w:rPr>
      </w:pPr>
    </w:p>
    <w:tbl>
      <w:tblPr>
        <w:tblW w:w="9720" w:type="dxa"/>
        <w:jc w:val="center"/>
        <w:tblLayout w:type="fixed"/>
        <w:tblLook w:val="0000" w:firstRow="0" w:lastRow="0" w:firstColumn="0" w:lastColumn="0" w:noHBand="0" w:noVBand="0"/>
      </w:tblPr>
      <w:tblGrid>
        <w:gridCol w:w="4770"/>
        <w:gridCol w:w="270"/>
        <w:gridCol w:w="4680"/>
      </w:tblGrid>
      <w:tr w:rsidR="00050854" w:rsidRPr="00E34AAE" w14:paraId="6F8FE95D" w14:textId="77777777" w:rsidTr="00571009">
        <w:trPr>
          <w:jc w:val="center"/>
        </w:trPr>
        <w:tc>
          <w:tcPr>
            <w:tcW w:w="4770" w:type="dxa"/>
          </w:tcPr>
          <w:p w14:paraId="0E17ABE5" w14:textId="77777777" w:rsidR="00050854" w:rsidRPr="00E34AAE" w:rsidRDefault="00050854" w:rsidP="00303D60">
            <w:pPr>
              <w:widowControl/>
              <w:rPr>
                <w:sz w:val="22"/>
                <w:szCs w:val="22"/>
              </w:rPr>
            </w:pPr>
            <w:r w:rsidRPr="00E34AAE">
              <w:rPr>
                <w:spacing w:val="-2"/>
                <w:sz w:val="22"/>
                <w:szCs w:val="22"/>
              </w:rPr>
              <w:t>In the Matter of</w:t>
            </w:r>
            <w:r w:rsidRPr="00E34AAE">
              <w:rPr>
                <w:sz w:val="22"/>
                <w:szCs w:val="22"/>
              </w:rPr>
              <w:t xml:space="preserve"> </w:t>
            </w:r>
          </w:p>
          <w:p w14:paraId="3D2A1C40" w14:textId="77777777" w:rsidR="00050854" w:rsidRPr="00E34AAE" w:rsidRDefault="00050854" w:rsidP="00BF1922">
            <w:pPr>
              <w:widowControl/>
              <w:rPr>
                <w:sz w:val="22"/>
                <w:szCs w:val="22"/>
              </w:rPr>
            </w:pPr>
          </w:p>
          <w:p w14:paraId="138A9599" w14:textId="77777777" w:rsidR="00050854" w:rsidRPr="00303D60" w:rsidRDefault="00EA334B" w:rsidP="00303D60">
            <w:pPr>
              <w:widowControl/>
              <w:rPr>
                <w:spacing w:val="-2"/>
                <w:sz w:val="22"/>
                <w:szCs w:val="22"/>
              </w:rPr>
            </w:pPr>
            <w:r>
              <w:rPr>
                <w:spacing w:val="-2"/>
                <w:sz w:val="22"/>
                <w:szCs w:val="22"/>
              </w:rPr>
              <w:t>William F. Crowell</w:t>
            </w:r>
          </w:p>
          <w:p w14:paraId="4699D9F6" w14:textId="77777777" w:rsidR="00303D60" w:rsidRDefault="00303D60" w:rsidP="00303D60">
            <w:pPr>
              <w:widowControl/>
              <w:rPr>
                <w:sz w:val="22"/>
                <w:szCs w:val="22"/>
              </w:rPr>
            </w:pPr>
          </w:p>
          <w:p w14:paraId="174B81DE" w14:textId="77777777" w:rsidR="00784658" w:rsidRPr="00211F2D" w:rsidRDefault="00784658" w:rsidP="00784658">
            <w:pPr>
              <w:widowControl/>
              <w:rPr>
                <w:sz w:val="22"/>
                <w:szCs w:val="22"/>
              </w:rPr>
            </w:pPr>
            <w:r w:rsidRPr="00211F2D">
              <w:rPr>
                <w:sz w:val="22"/>
                <w:szCs w:val="22"/>
              </w:rPr>
              <w:t xml:space="preserve">Licensee of Amateur Radio Station </w:t>
            </w:r>
            <w:r w:rsidR="00EA334B">
              <w:rPr>
                <w:sz w:val="22"/>
                <w:szCs w:val="22"/>
              </w:rPr>
              <w:t>W6WBJ</w:t>
            </w:r>
          </w:p>
          <w:p w14:paraId="46C1F0C6" w14:textId="77777777" w:rsidR="00050854" w:rsidRPr="003407D0" w:rsidRDefault="00EA334B" w:rsidP="00EA334B">
            <w:pPr>
              <w:widowControl/>
              <w:rPr>
                <w:sz w:val="22"/>
              </w:rPr>
            </w:pPr>
            <w:r>
              <w:rPr>
                <w:sz w:val="22"/>
                <w:szCs w:val="22"/>
              </w:rPr>
              <w:t>Diamond Springs, California</w:t>
            </w:r>
          </w:p>
        </w:tc>
        <w:tc>
          <w:tcPr>
            <w:tcW w:w="270" w:type="dxa"/>
          </w:tcPr>
          <w:p w14:paraId="193EAE94" w14:textId="77777777" w:rsidR="00050854" w:rsidRPr="00E34AAE" w:rsidRDefault="00050854" w:rsidP="00BF1922">
            <w:pPr>
              <w:widowControl/>
              <w:tabs>
                <w:tab w:val="center" w:pos="4680"/>
              </w:tabs>
              <w:suppressAutoHyphens/>
              <w:spacing w:line="240" w:lineRule="atLeast"/>
              <w:jc w:val="both"/>
              <w:outlineLvl w:val="0"/>
              <w:rPr>
                <w:sz w:val="22"/>
                <w:szCs w:val="22"/>
              </w:rPr>
            </w:pPr>
            <w:r w:rsidRPr="00E34AAE">
              <w:rPr>
                <w:sz w:val="22"/>
                <w:szCs w:val="22"/>
              </w:rPr>
              <w:t>)</w:t>
            </w:r>
          </w:p>
          <w:p w14:paraId="14BC24A8" w14:textId="77777777" w:rsidR="00050854" w:rsidRPr="00E34AAE" w:rsidRDefault="00050854" w:rsidP="00BF1922">
            <w:pPr>
              <w:widowControl/>
              <w:tabs>
                <w:tab w:val="center" w:pos="4680"/>
              </w:tabs>
              <w:suppressAutoHyphens/>
              <w:spacing w:line="240" w:lineRule="atLeast"/>
              <w:jc w:val="both"/>
              <w:outlineLvl w:val="0"/>
              <w:rPr>
                <w:sz w:val="22"/>
                <w:szCs w:val="22"/>
              </w:rPr>
            </w:pPr>
            <w:r w:rsidRPr="00E34AAE">
              <w:rPr>
                <w:sz w:val="22"/>
                <w:szCs w:val="22"/>
              </w:rPr>
              <w:t>)</w:t>
            </w:r>
          </w:p>
          <w:p w14:paraId="10D7000D" w14:textId="77777777" w:rsidR="00050854" w:rsidRPr="00E34AAE" w:rsidRDefault="00050854" w:rsidP="00BF1922">
            <w:pPr>
              <w:widowControl/>
              <w:tabs>
                <w:tab w:val="center" w:pos="4680"/>
              </w:tabs>
              <w:suppressAutoHyphens/>
              <w:spacing w:line="240" w:lineRule="atLeast"/>
              <w:jc w:val="both"/>
              <w:outlineLvl w:val="0"/>
              <w:rPr>
                <w:sz w:val="22"/>
                <w:szCs w:val="22"/>
              </w:rPr>
            </w:pPr>
            <w:r w:rsidRPr="00E34AAE">
              <w:rPr>
                <w:sz w:val="22"/>
                <w:szCs w:val="22"/>
              </w:rPr>
              <w:t>)</w:t>
            </w:r>
          </w:p>
          <w:p w14:paraId="23299CFC" w14:textId="77777777" w:rsidR="00050854" w:rsidRPr="00E34AAE" w:rsidRDefault="00050854" w:rsidP="00BF1922">
            <w:pPr>
              <w:widowControl/>
              <w:tabs>
                <w:tab w:val="center" w:pos="4680"/>
              </w:tabs>
              <w:suppressAutoHyphens/>
              <w:spacing w:line="240" w:lineRule="atLeast"/>
              <w:jc w:val="both"/>
              <w:outlineLvl w:val="0"/>
              <w:rPr>
                <w:sz w:val="22"/>
                <w:szCs w:val="22"/>
              </w:rPr>
            </w:pPr>
            <w:r w:rsidRPr="00E34AAE">
              <w:rPr>
                <w:sz w:val="22"/>
                <w:szCs w:val="22"/>
              </w:rPr>
              <w:t>)</w:t>
            </w:r>
          </w:p>
          <w:p w14:paraId="0E78341C" w14:textId="77777777" w:rsidR="00050854" w:rsidRPr="00E34AAE" w:rsidRDefault="00784658" w:rsidP="00BF1922">
            <w:pPr>
              <w:widowControl/>
              <w:tabs>
                <w:tab w:val="center" w:pos="4680"/>
              </w:tabs>
              <w:suppressAutoHyphens/>
              <w:spacing w:line="240" w:lineRule="atLeast"/>
              <w:jc w:val="both"/>
              <w:outlineLvl w:val="0"/>
              <w:rPr>
                <w:sz w:val="22"/>
                <w:szCs w:val="22"/>
              </w:rPr>
            </w:pPr>
            <w:r>
              <w:rPr>
                <w:sz w:val="22"/>
                <w:szCs w:val="22"/>
              </w:rPr>
              <w:t>)</w:t>
            </w:r>
            <w:r w:rsidR="00050854" w:rsidRPr="00E34AAE">
              <w:rPr>
                <w:sz w:val="22"/>
                <w:szCs w:val="22"/>
              </w:rPr>
              <w:t>)</w:t>
            </w:r>
          </w:p>
        </w:tc>
        <w:tc>
          <w:tcPr>
            <w:tcW w:w="4680" w:type="dxa"/>
          </w:tcPr>
          <w:p w14:paraId="3473D15E" w14:textId="77777777" w:rsidR="003E2AD5" w:rsidRDefault="003E2AD5" w:rsidP="00BF1922">
            <w:pPr>
              <w:widowControl/>
              <w:rPr>
                <w:spacing w:val="-2"/>
                <w:sz w:val="22"/>
                <w:szCs w:val="22"/>
              </w:rPr>
            </w:pPr>
          </w:p>
          <w:p w14:paraId="5A33C9A8" w14:textId="77777777" w:rsidR="005F002F" w:rsidRDefault="005F002F" w:rsidP="00BF1922">
            <w:pPr>
              <w:widowControl/>
              <w:ind w:left="702"/>
              <w:rPr>
                <w:spacing w:val="-2"/>
                <w:sz w:val="22"/>
                <w:szCs w:val="22"/>
              </w:rPr>
            </w:pPr>
          </w:p>
          <w:p w14:paraId="0FCC08F4" w14:textId="77777777" w:rsidR="00780C18" w:rsidRPr="00C42503" w:rsidRDefault="00050854" w:rsidP="00303D60">
            <w:pPr>
              <w:widowControl/>
              <w:ind w:left="706"/>
              <w:rPr>
                <w:sz w:val="22"/>
                <w:szCs w:val="22"/>
              </w:rPr>
            </w:pPr>
            <w:r w:rsidRPr="00303D60">
              <w:rPr>
                <w:sz w:val="22"/>
                <w:szCs w:val="22"/>
              </w:rPr>
              <w:t>File N</w:t>
            </w:r>
            <w:r w:rsidR="00A16AF9" w:rsidRPr="00303D60">
              <w:rPr>
                <w:sz w:val="22"/>
                <w:szCs w:val="22"/>
              </w:rPr>
              <w:t>o.</w:t>
            </w:r>
            <w:r w:rsidR="003E2AD5" w:rsidRPr="00303D60">
              <w:rPr>
                <w:sz w:val="22"/>
                <w:szCs w:val="22"/>
              </w:rPr>
              <w:t xml:space="preserve">:  </w:t>
            </w:r>
            <w:r w:rsidR="00EA334B" w:rsidRPr="00EA334B">
              <w:rPr>
                <w:sz w:val="22"/>
                <w:szCs w:val="22"/>
              </w:rPr>
              <w:t>EB-FIELDWR-15-00019827</w:t>
            </w:r>
          </w:p>
          <w:p w14:paraId="218020BB" w14:textId="77114146" w:rsidR="00050854" w:rsidRPr="00C42503" w:rsidRDefault="00050854" w:rsidP="00303D60">
            <w:pPr>
              <w:widowControl/>
              <w:ind w:left="706"/>
              <w:rPr>
                <w:sz w:val="22"/>
                <w:szCs w:val="22"/>
              </w:rPr>
            </w:pPr>
            <w:r w:rsidRPr="00C42503">
              <w:rPr>
                <w:sz w:val="22"/>
                <w:szCs w:val="22"/>
              </w:rPr>
              <w:t>NAL/Acct. No.</w:t>
            </w:r>
            <w:r w:rsidR="003E2AD5" w:rsidRPr="00C42503">
              <w:rPr>
                <w:sz w:val="22"/>
                <w:szCs w:val="22"/>
              </w:rPr>
              <w:t>:</w:t>
            </w:r>
            <w:r w:rsidR="00E847E3" w:rsidRPr="00C42503">
              <w:rPr>
                <w:sz w:val="22"/>
                <w:szCs w:val="22"/>
              </w:rPr>
              <w:t xml:space="preserve">  </w:t>
            </w:r>
            <w:r w:rsidR="000645D1" w:rsidRPr="000645D1">
              <w:rPr>
                <w:sz w:val="22"/>
                <w:szCs w:val="22"/>
              </w:rPr>
              <w:t>2016329</w:t>
            </w:r>
            <w:r w:rsidR="00EA2671">
              <w:rPr>
                <w:sz w:val="22"/>
                <w:szCs w:val="22"/>
              </w:rPr>
              <w:t>60001</w:t>
            </w:r>
          </w:p>
          <w:p w14:paraId="4B74603A" w14:textId="77777777" w:rsidR="008B58B7" w:rsidRPr="0062252C" w:rsidRDefault="00303D60" w:rsidP="00303D60">
            <w:pPr>
              <w:widowControl/>
              <w:ind w:left="706"/>
              <w:rPr>
                <w:sz w:val="22"/>
                <w:szCs w:val="22"/>
              </w:rPr>
            </w:pPr>
            <w:r w:rsidRPr="0062252C">
              <w:rPr>
                <w:sz w:val="22"/>
                <w:szCs w:val="22"/>
              </w:rPr>
              <w:t>FRN</w:t>
            </w:r>
            <w:r w:rsidR="005F002F" w:rsidRPr="0062252C">
              <w:rPr>
                <w:sz w:val="22"/>
                <w:szCs w:val="22"/>
              </w:rPr>
              <w:t xml:space="preserve">:  </w:t>
            </w:r>
            <w:r w:rsidR="00EA334B" w:rsidRPr="00EA334B">
              <w:rPr>
                <w:sz w:val="22"/>
                <w:szCs w:val="22"/>
              </w:rPr>
              <w:t>0014454912</w:t>
            </w:r>
          </w:p>
          <w:p w14:paraId="4A9C770C" w14:textId="77777777" w:rsidR="00050854" w:rsidRPr="008B58B7" w:rsidRDefault="00050854" w:rsidP="00BF1922">
            <w:pPr>
              <w:widowControl/>
              <w:rPr>
                <w:color w:val="FF00FF"/>
                <w:sz w:val="22"/>
                <w:szCs w:val="22"/>
              </w:rPr>
            </w:pPr>
          </w:p>
        </w:tc>
      </w:tr>
    </w:tbl>
    <w:p w14:paraId="7EF88519" w14:textId="77777777" w:rsidR="00784658" w:rsidRDefault="00784658" w:rsidP="000C5769">
      <w:pPr>
        <w:pStyle w:val="Heading2"/>
        <w:widowControl/>
        <w:numPr>
          <w:ilvl w:val="0"/>
          <w:numId w:val="0"/>
        </w:numPr>
        <w:jc w:val="center"/>
        <w:rPr>
          <w:sz w:val="22"/>
          <w:szCs w:val="22"/>
        </w:rPr>
      </w:pPr>
    </w:p>
    <w:p w14:paraId="1F171B14" w14:textId="77777777" w:rsidR="00050854" w:rsidRPr="00331410" w:rsidRDefault="00050854" w:rsidP="000C5769">
      <w:pPr>
        <w:pStyle w:val="Heading2"/>
        <w:widowControl/>
        <w:numPr>
          <w:ilvl w:val="0"/>
          <w:numId w:val="0"/>
        </w:numPr>
        <w:jc w:val="center"/>
        <w:rPr>
          <w:sz w:val="22"/>
          <w:szCs w:val="22"/>
        </w:rPr>
      </w:pPr>
      <w:r w:rsidRPr="00331410">
        <w:rPr>
          <w:sz w:val="22"/>
          <w:szCs w:val="22"/>
        </w:rPr>
        <w:t>NOTICE OF APPARENT LIABILITY FOR FORFEITURE</w:t>
      </w:r>
    </w:p>
    <w:p w14:paraId="54767FA4" w14:textId="24D9F10C" w:rsidR="00050854" w:rsidRPr="004251DE" w:rsidRDefault="007E2E05" w:rsidP="00BF1922">
      <w:pPr>
        <w:widowControl/>
        <w:rPr>
          <w:b/>
          <w:color w:val="000000" w:themeColor="text1"/>
          <w:spacing w:val="-2"/>
          <w:sz w:val="22"/>
          <w:szCs w:val="22"/>
        </w:rPr>
      </w:pPr>
      <w:r w:rsidRPr="00382459">
        <w:rPr>
          <w:b/>
          <w:sz w:val="22"/>
          <w:szCs w:val="22"/>
        </w:rPr>
        <w:t>Adopted:</w:t>
      </w:r>
      <w:r w:rsidR="004251DE" w:rsidRPr="00382459">
        <w:rPr>
          <w:b/>
          <w:sz w:val="22"/>
          <w:szCs w:val="22"/>
        </w:rPr>
        <w:t xml:space="preserve">  </w:t>
      </w:r>
      <w:r w:rsidR="00ED433F">
        <w:rPr>
          <w:b/>
          <w:sz w:val="22"/>
          <w:szCs w:val="22"/>
        </w:rPr>
        <w:t>December 17, 2015</w:t>
      </w:r>
      <w:r>
        <w:rPr>
          <w:sz w:val="22"/>
          <w:szCs w:val="22"/>
        </w:rPr>
        <w:tab/>
      </w:r>
      <w:r>
        <w:rPr>
          <w:sz w:val="22"/>
          <w:szCs w:val="22"/>
        </w:rPr>
        <w:tab/>
      </w:r>
      <w:r>
        <w:rPr>
          <w:sz w:val="22"/>
          <w:szCs w:val="22"/>
        </w:rPr>
        <w:tab/>
      </w:r>
      <w:r>
        <w:rPr>
          <w:sz w:val="22"/>
          <w:szCs w:val="22"/>
        </w:rPr>
        <w:tab/>
      </w:r>
      <w:r>
        <w:rPr>
          <w:sz w:val="22"/>
          <w:szCs w:val="22"/>
        </w:rPr>
        <w:tab/>
      </w:r>
      <w:r w:rsidR="004251DE">
        <w:rPr>
          <w:sz w:val="22"/>
          <w:szCs w:val="22"/>
        </w:rPr>
        <w:tab/>
      </w:r>
      <w:r w:rsidR="00050854" w:rsidRPr="00382459">
        <w:rPr>
          <w:b/>
          <w:sz w:val="22"/>
          <w:szCs w:val="22"/>
        </w:rPr>
        <w:t>Released</w:t>
      </w:r>
      <w:r w:rsidR="00050854" w:rsidRPr="00382459">
        <w:rPr>
          <w:b/>
          <w:color w:val="000000" w:themeColor="text1"/>
          <w:sz w:val="22"/>
          <w:szCs w:val="22"/>
        </w:rPr>
        <w:t xml:space="preserve">: </w:t>
      </w:r>
      <w:r w:rsidR="004251DE" w:rsidRPr="00382459">
        <w:rPr>
          <w:b/>
          <w:color w:val="000000" w:themeColor="text1"/>
          <w:sz w:val="22"/>
          <w:szCs w:val="22"/>
        </w:rPr>
        <w:t xml:space="preserve"> </w:t>
      </w:r>
      <w:r w:rsidR="00ED433F">
        <w:rPr>
          <w:b/>
          <w:color w:val="000000" w:themeColor="text1"/>
          <w:sz w:val="22"/>
          <w:szCs w:val="22"/>
        </w:rPr>
        <w:t>December 18, 2015</w:t>
      </w:r>
    </w:p>
    <w:p w14:paraId="610BAB51" w14:textId="77777777" w:rsidR="00050854" w:rsidRPr="00A6370F" w:rsidRDefault="00050854" w:rsidP="00BF1922">
      <w:pPr>
        <w:widowControl/>
        <w:tabs>
          <w:tab w:val="left" w:pos="0"/>
          <w:tab w:val="left" w:pos="720"/>
          <w:tab w:val="left" w:pos="5760"/>
        </w:tabs>
        <w:suppressAutoHyphens/>
        <w:spacing w:line="240" w:lineRule="atLeast"/>
        <w:jc w:val="both"/>
        <w:rPr>
          <w:color w:val="000000" w:themeColor="text1"/>
          <w:spacing w:val="-2"/>
          <w:sz w:val="22"/>
          <w:szCs w:val="22"/>
        </w:rPr>
      </w:pPr>
    </w:p>
    <w:p w14:paraId="17B81C1E" w14:textId="77777777" w:rsidR="00C5037A" w:rsidRPr="00A6370F" w:rsidRDefault="00C5037A" w:rsidP="00C5037A">
      <w:pPr>
        <w:widowControl/>
        <w:tabs>
          <w:tab w:val="left" w:pos="0"/>
          <w:tab w:val="left" w:pos="720"/>
          <w:tab w:val="left" w:pos="5760"/>
        </w:tabs>
        <w:suppressAutoHyphens/>
        <w:spacing w:line="240" w:lineRule="atLeast"/>
        <w:rPr>
          <w:spacing w:val="-2"/>
          <w:sz w:val="22"/>
          <w:szCs w:val="22"/>
        </w:rPr>
      </w:pPr>
      <w:r w:rsidRPr="00A6370F">
        <w:rPr>
          <w:spacing w:val="-2"/>
          <w:sz w:val="22"/>
          <w:szCs w:val="22"/>
        </w:rPr>
        <w:t>By</w:t>
      </w:r>
      <w:r w:rsidR="00C13577" w:rsidRPr="00A6370F">
        <w:rPr>
          <w:spacing w:val="-2"/>
          <w:sz w:val="22"/>
          <w:szCs w:val="22"/>
        </w:rPr>
        <w:t xml:space="preserve"> the District Director, </w:t>
      </w:r>
      <w:r w:rsidR="00EA334B">
        <w:rPr>
          <w:spacing w:val="-2"/>
          <w:sz w:val="22"/>
          <w:szCs w:val="22"/>
        </w:rPr>
        <w:t xml:space="preserve">San Francisco </w:t>
      </w:r>
      <w:r w:rsidRPr="00A6370F">
        <w:rPr>
          <w:spacing w:val="-2"/>
          <w:sz w:val="22"/>
          <w:szCs w:val="22"/>
        </w:rPr>
        <w:t xml:space="preserve">Office, </w:t>
      </w:r>
      <w:r w:rsidR="00EA334B">
        <w:rPr>
          <w:spacing w:val="-2"/>
          <w:sz w:val="22"/>
          <w:szCs w:val="22"/>
        </w:rPr>
        <w:t>Western</w:t>
      </w:r>
      <w:r w:rsidRPr="00A6370F">
        <w:rPr>
          <w:spacing w:val="-2"/>
          <w:sz w:val="22"/>
          <w:szCs w:val="22"/>
        </w:rPr>
        <w:t xml:space="preserve"> Region, Enforcement Bureau:</w:t>
      </w:r>
    </w:p>
    <w:p w14:paraId="0D1B6EA3" w14:textId="77777777" w:rsidR="00AE3A0F" w:rsidRPr="00A6370F" w:rsidRDefault="00AE3A0F" w:rsidP="00BF1922">
      <w:pPr>
        <w:widowControl/>
        <w:tabs>
          <w:tab w:val="left" w:pos="0"/>
        </w:tabs>
        <w:suppressAutoHyphens/>
        <w:spacing w:line="240" w:lineRule="atLeast"/>
        <w:jc w:val="both"/>
        <w:rPr>
          <w:sz w:val="22"/>
          <w:szCs w:val="22"/>
        </w:rPr>
      </w:pPr>
    </w:p>
    <w:p w14:paraId="70701E7B" w14:textId="77777777" w:rsidR="00990FB6" w:rsidRPr="00A6370F" w:rsidRDefault="00990FB6" w:rsidP="004A326D">
      <w:pPr>
        <w:pStyle w:val="Heading1"/>
        <w:widowControl/>
        <w:spacing w:after="120"/>
        <w:rPr>
          <w:sz w:val="22"/>
          <w:szCs w:val="22"/>
        </w:rPr>
      </w:pPr>
      <w:r w:rsidRPr="00A6370F">
        <w:rPr>
          <w:sz w:val="22"/>
          <w:szCs w:val="22"/>
        </w:rPr>
        <w:t>INTRODUCTION</w:t>
      </w:r>
    </w:p>
    <w:p w14:paraId="184E4887" w14:textId="1FA304FD" w:rsidR="00050854" w:rsidRPr="00A6370F" w:rsidRDefault="0057443E" w:rsidP="0031433F">
      <w:pPr>
        <w:widowControl/>
        <w:numPr>
          <w:ilvl w:val="0"/>
          <w:numId w:val="22"/>
        </w:numPr>
        <w:tabs>
          <w:tab w:val="clear" w:pos="1260"/>
          <w:tab w:val="left" w:pos="0"/>
          <w:tab w:val="num" w:pos="1440"/>
        </w:tabs>
        <w:suppressAutoHyphens/>
        <w:spacing w:after="120"/>
        <w:ind w:left="0"/>
        <w:rPr>
          <w:spacing w:val="-2"/>
          <w:sz w:val="22"/>
          <w:szCs w:val="22"/>
        </w:rPr>
      </w:pPr>
      <w:r w:rsidRPr="00A6370F">
        <w:rPr>
          <w:spacing w:val="-2"/>
          <w:sz w:val="22"/>
          <w:szCs w:val="22"/>
        </w:rPr>
        <w:t>We propose a penalty of $</w:t>
      </w:r>
      <w:r w:rsidR="00EA334B">
        <w:rPr>
          <w:spacing w:val="-2"/>
          <w:sz w:val="22"/>
          <w:szCs w:val="22"/>
        </w:rPr>
        <w:t>25</w:t>
      </w:r>
      <w:r w:rsidRPr="00A6370F">
        <w:rPr>
          <w:spacing w:val="-2"/>
          <w:sz w:val="22"/>
          <w:szCs w:val="22"/>
        </w:rPr>
        <w:t xml:space="preserve">,000 against </w:t>
      </w:r>
      <w:r w:rsidR="00EA334B" w:rsidRPr="00EA334B">
        <w:rPr>
          <w:spacing w:val="-2"/>
          <w:sz w:val="22"/>
          <w:szCs w:val="22"/>
        </w:rPr>
        <w:t xml:space="preserve">William F. Crowell </w:t>
      </w:r>
      <w:r w:rsidRPr="00A6370F">
        <w:rPr>
          <w:spacing w:val="-2"/>
          <w:sz w:val="22"/>
          <w:szCs w:val="22"/>
        </w:rPr>
        <w:t>f</w:t>
      </w:r>
      <w:r w:rsidR="00127781" w:rsidRPr="00A6370F">
        <w:rPr>
          <w:spacing w:val="-2"/>
          <w:sz w:val="22"/>
          <w:szCs w:val="22"/>
        </w:rPr>
        <w:t>or intentionally causing interference to oth</w:t>
      </w:r>
      <w:r w:rsidR="00AD797A">
        <w:rPr>
          <w:spacing w:val="-2"/>
          <w:sz w:val="22"/>
          <w:szCs w:val="22"/>
        </w:rPr>
        <w:t xml:space="preserve">er amateur radio operators and </w:t>
      </w:r>
      <w:r w:rsidR="00EA334B">
        <w:rPr>
          <w:spacing w:val="-2"/>
          <w:sz w:val="22"/>
          <w:szCs w:val="22"/>
        </w:rPr>
        <w:t xml:space="preserve">transmitting prohibited </w:t>
      </w:r>
      <w:r w:rsidR="00890DA6">
        <w:rPr>
          <w:spacing w:val="-2"/>
          <w:sz w:val="22"/>
          <w:szCs w:val="22"/>
        </w:rPr>
        <w:t>communications</w:t>
      </w:r>
      <w:r w:rsidR="00EA334B">
        <w:rPr>
          <w:spacing w:val="-2"/>
          <w:sz w:val="22"/>
          <w:szCs w:val="22"/>
        </w:rPr>
        <w:t xml:space="preserve">, </w:t>
      </w:r>
      <w:r w:rsidR="00890DA6">
        <w:rPr>
          <w:spacing w:val="-2"/>
          <w:sz w:val="22"/>
          <w:szCs w:val="22"/>
        </w:rPr>
        <w:t>including</w:t>
      </w:r>
      <w:r w:rsidR="00EA334B">
        <w:rPr>
          <w:spacing w:val="-2"/>
          <w:sz w:val="22"/>
          <w:szCs w:val="22"/>
        </w:rPr>
        <w:t xml:space="preserve"> music</w:t>
      </w:r>
      <w:r w:rsidR="00127781" w:rsidRPr="00A6370F">
        <w:rPr>
          <w:spacing w:val="-2"/>
          <w:sz w:val="22"/>
          <w:szCs w:val="22"/>
        </w:rPr>
        <w:t>.  Amateur radio frequencies are shared and licensees may not monopolize any frequency for their exclusive use.  Deliberate interference undermines the utility of the Amateur Radio Service by preventing communications among licensed users that comply with the Commis</w:t>
      </w:r>
      <w:r w:rsidR="00EA334B">
        <w:rPr>
          <w:spacing w:val="-2"/>
          <w:sz w:val="22"/>
          <w:szCs w:val="22"/>
        </w:rPr>
        <w:t xml:space="preserve">sion’s Rules.  Mr. Crowell’s deliberate interference </w:t>
      </w:r>
      <w:r w:rsidR="000B1AC9">
        <w:rPr>
          <w:spacing w:val="-2"/>
          <w:sz w:val="22"/>
          <w:szCs w:val="22"/>
        </w:rPr>
        <w:t>to other users, using voic</w:t>
      </w:r>
      <w:r w:rsidR="00EA334B">
        <w:rPr>
          <w:spacing w:val="-2"/>
          <w:sz w:val="22"/>
          <w:szCs w:val="22"/>
        </w:rPr>
        <w:t>e, noises and music</w:t>
      </w:r>
      <w:r w:rsidR="000B1AC9">
        <w:rPr>
          <w:spacing w:val="-2"/>
          <w:sz w:val="22"/>
          <w:szCs w:val="22"/>
        </w:rPr>
        <w:t xml:space="preserve">, directly contravenes the Amateur Radio Service’s </w:t>
      </w:r>
      <w:r w:rsidR="000B1AC9" w:rsidRPr="000B1AC9">
        <w:rPr>
          <w:spacing w:val="-2"/>
          <w:sz w:val="22"/>
          <w:szCs w:val="22"/>
        </w:rPr>
        <w:t xml:space="preserve">fundamental purpose as a voluntary noncommercial communications service to contribute </w:t>
      </w:r>
      <w:r w:rsidR="000B1AC9">
        <w:rPr>
          <w:spacing w:val="-2"/>
          <w:sz w:val="22"/>
          <w:szCs w:val="22"/>
        </w:rPr>
        <w:t xml:space="preserve">to the advancement of radio art, expand </w:t>
      </w:r>
      <w:r w:rsidR="000B1AC9" w:rsidRPr="000B1AC9">
        <w:rPr>
          <w:spacing w:val="-2"/>
          <w:sz w:val="22"/>
          <w:szCs w:val="22"/>
        </w:rPr>
        <w:t>the existing reservoir of trained operators, technicians, and elect</w:t>
      </w:r>
      <w:r w:rsidR="000B1AC9">
        <w:rPr>
          <w:spacing w:val="-2"/>
          <w:sz w:val="22"/>
          <w:szCs w:val="22"/>
        </w:rPr>
        <w:t>ronic experts,</w:t>
      </w:r>
      <w:r w:rsidR="000B1AC9" w:rsidRPr="000B1AC9">
        <w:rPr>
          <w:spacing w:val="-2"/>
          <w:sz w:val="22"/>
          <w:szCs w:val="22"/>
        </w:rPr>
        <w:t xml:space="preserve"> and continu</w:t>
      </w:r>
      <w:r w:rsidR="000B1AC9">
        <w:rPr>
          <w:spacing w:val="-2"/>
          <w:sz w:val="22"/>
          <w:szCs w:val="22"/>
        </w:rPr>
        <w:t xml:space="preserve">e </w:t>
      </w:r>
      <w:r w:rsidR="000B1AC9" w:rsidRPr="000B1AC9">
        <w:rPr>
          <w:spacing w:val="-2"/>
          <w:sz w:val="22"/>
          <w:szCs w:val="22"/>
        </w:rPr>
        <w:t>the amateur’s unique ability to enhance international goodwill.</w:t>
      </w:r>
      <w:r w:rsidR="00771324" w:rsidRPr="00A6370F">
        <w:rPr>
          <w:spacing w:val="-2"/>
          <w:sz w:val="22"/>
          <w:szCs w:val="22"/>
        </w:rPr>
        <w:t xml:space="preserve"> </w:t>
      </w:r>
      <w:r w:rsidRPr="00A6370F">
        <w:rPr>
          <w:spacing w:val="-2"/>
          <w:sz w:val="22"/>
          <w:szCs w:val="22"/>
        </w:rPr>
        <w:t xml:space="preserve"> </w:t>
      </w:r>
    </w:p>
    <w:p w14:paraId="0E410FA1" w14:textId="322FA826" w:rsidR="00A526DE" w:rsidRPr="00A6370F" w:rsidRDefault="00A526DE" w:rsidP="0031433F">
      <w:pPr>
        <w:widowControl/>
        <w:numPr>
          <w:ilvl w:val="0"/>
          <w:numId w:val="22"/>
        </w:numPr>
        <w:tabs>
          <w:tab w:val="clear" w:pos="1260"/>
          <w:tab w:val="left" w:pos="0"/>
          <w:tab w:val="num" w:pos="1440"/>
        </w:tabs>
        <w:suppressAutoHyphens/>
        <w:spacing w:after="120"/>
        <w:ind w:left="0"/>
        <w:rPr>
          <w:spacing w:val="-2"/>
          <w:sz w:val="22"/>
          <w:szCs w:val="22"/>
        </w:rPr>
      </w:pPr>
      <w:r w:rsidRPr="00A6370F">
        <w:rPr>
          <w:spacing w:val="-2"/>
          <w:sz w:val="22"/>
          <w:szCs w:val="22"/>
        </w:rPr>
        <w:t>In this Notice of Apparent Liability for Forfeiture (NAL</w:t>
      </w:r>
      <w:r w:rsidR="000B1AC9">
        <w:rPr>
          <w:spacing w:val="-2"/>
          <w:sz w:val="22"/>
          <w:szCs w:val="22"/>
        </w:rPr>
        <w:t>), we find that Mr. Crowell</w:t>
      </w:r>
      <w:r w:rsidRPr="00A6370F">
        <w:rPr>
          <w:spacing w:val="-2"/>
          <w:sz w:val="22"/>
          <w:szCs w:val="22"/>
        </w:rPr>
        <w:t>, lic</w:t>
      </w:r>
      <w:r w:rsidR="000B1AC9">
        <w:rPr>
          <w:spacing w:val="-2"/>
          <w:sz w:val="22"/>
          <w:szCs w:val="22"/>
        </w:rPr>
        <w:t xml:space="preserve">ensee of Amateur Radio Station </w:t>
      </w:r>
      <w:r w:rsidR="000B1AC9" w:rsidRPr="000B1AC9">
        <w:rPr>
          <w:spacing w:val="-2"/>
          <w:sz w:val="22"/>
          <w:szCs w:val="22"/>
        </w:rPr>
        <w:t xml:space="preserve">W6WBJ </w:t>
      </w:r>
      <w:r w:rsidRPr="00A6370F">
        <w:rPr>
          <w:spacing w:val="-2"/>
          <w:sz w:val="22"/>
          <w:szCs w:val="22"/>
        </w:rPr>
        <w:t xml:space="preserve">in </w:t>
      </w:r>
      <w:r w:rsidR="000B1AC9">
        <w:rPr>
          <w:spacing w:val="-2"/>
          <w:sz w:val="22"/>
          <w:szCs w:val="22"/>
        </w:rPr>
        <w:t>Diamond Springs, California</w:t>
      </w:r>
      <w:r w:rsidRPr="00A6370F">
        <w:rPr>
          <w:spacing w:val="-2"/>
          <w:sz w:val="22"/>
          <w:szCs w:val="22"/>
        </w:rPr>
        <w:t>,</w:t>
      </w:r>
      <w:r w:rsidR="002F2178">
        <w:rPr>
          <w:rStyle w:val="FootnoteReference"/>
          <w:spacing w:val="-2"/>
          <w:sz w:val="22"/>
          <w:szCs w:val="22"/>
        </w:rPr>
        <w:footnoteReference w:id="2"/>
      </w:r>
      <w:r w:rsidRPr="00A6370F">
        <w:rPr>
          <w:spacing w:val="-2"/>
          <w:sz w:val="22"/>
          <w:szCs w:val="22"/>
        </w:rPr>
        <w:t xml:space="preserve"> apparently willfully </w:t>
      </w:r>
      <w:r w:rsidR="00BE2C7A">
        <w:rPr>
          <w:spacing w:val="-2"/>
          <w:sz w:val="22"/>
          <w:szCs w:val="22"/>
        </w:rPr>
        <w:t xml:space="preserve">and repeatedly </w:t>
      </w:r>
      <w:r w:rsidRPr="00A6370F">
        <w:rPr>
          <w:spacing w:val="-2"/>
          <w:sz w:val="22"/>
          <w:szCs w:val="22"/>
        </w:rPr>
        <w:t>violat</w:t>
      </w:r>
      <w:r w:rsidR="000B1AC9">
        <w:rPr>
          <w:spacing w:val="-2"/>
          <w:sz w:val="22"/>
          <w:szCs w:val="22"/>
        </w:rPr>
        <w:t>ed</w:t>
      </w:r>
      <w:r w:rsidRPr="00A6370F">
        <w:rPr>
          <w:spacing w:val="-2"/>
          <w:sz w:val="22"/>
          <w:szCs w:val="22"/>
        </w:rPr>
        <w:t xml:space="preserve"> Section 333 of the Communications Act of 1934, as amended (Act), and Sections 97.101(d)</w:t>
      </w:r>
      <w:r w:rsidR="00B42097">
        <w:rPr>
          <w:spacing w:val="-2"/>
          <w:sz w:val="22"/>
          <w:szCs w:val="22"/>
        </w:rPr>
        <w:t xml:space="preserve"> </w:t>
      </w:r>
      <w:r w:rsidRPr="00A6370F">
        <w:rPr>
          <w:spacing w:val="-2"/>
          <w:sz w:val="22"/>
          <w:szCs w:val="22"/>
        </w:rPr>
        <w:t>and 97.11</w:t>
      </w:r>
      <w:r w:rsidR="000B1AC9">
        <w:rPr>
          <w:spacing w:val="-2"/>
          <w:sz w:val="22"/>
          <w:szCs w:val="22"/>
        </w:rPr>
        <w:t>3</w:t>
      </w:r>
      <w:r w:rsidRPr="00A6370F">
        <w:rPr>
          <w:spacing w:val="-2"/>
          <w:sz w:val="22"/>
          <w:szCs w:val="22"/>
        </w:rPr>
        <w:t>(a)</w:t>
      </w:r>
      <w:r w:rsidR="000B1AC9">
        <w:rPr>
          <w:spacing w:val="-2"/>
          <w:sz w:val="22"/>
          <w:szCs w:val="22"/>
        </w:rPr>
        <w:t>(4)</w:t>
      </w:r>
      <w:r w:rsidRPr="00A6370F">
        <w:rPr>
          <w:spacing w:val="-2"/>
          <w:sz w:val="22"/>
          <w:szCs w:val="22"/>
        </w:rPr>
        <w:t xml:space="preserve"> of the Commission’s rules (Rules) by causing intentional interference to licensed radio operations and </w:t>
      </w:r>
      <w:r w:rsidR="000B1AC9">
        <w:rPr>
          <w:spacing w:val="-2"/>
          <w:sz w:val="22"/>
          <w:szCs w:val="22"/>
        </w:rPr>
        <w:t xml:space="preserve">using music as part of his interfering </w:t>
      </w:r>
      <w:r w:rsidR="00C243ED">
        <w:rPr>
          <w:spacing w:val="-2"/>
          <w:sz w:val="22"/>
          <w:szCs w:val="22"/>
        </w:rPr>
        <w:t>transmissions</w:t>
      </w:r>
      <w:r w:rsidRPr="00A6370F">
        <w:rPr>
          <w:spacing w:val="-2"/>
          <w:sz w:val="22"/>
          <w:szCs w:val="22"/>
        </w:rPr>
        <w:t>.</w:t>
      </w:r>
      <w:r w:rsidRPr="00A6370F">
        <w:rPr>
          <w:rStyle w:val="FootnoteReference"/>
          <w:spacing w:val="-2"/>
          <w:sz w:val="22"/>
          <w:szCs w:val="22"/>
        </w:rPr>
        <w:footnoteReference w:id="3"/>
      </w:r>
    </w:p>
    <w:p w14:paraId="710149E2" w14:textId="77777777" w:rsidR="00050854" w:rsidRPr="00A6370F" w:rsidRDefault="00050854" w:rsidP="004A326D">
      <w:pPr>
        <w:pStyle w:val="Heading1"/>
        <w:widowControl/>
        <w:spacing w:after="120"/>
        <w:rPr>
          <w:spacing w:val="-2"/>
          <w:sz w:val="22"/>
          <w:szCs w:val="22"/>
        </w:rPr>
      </w:pPr>
      <w:r w:rsidRPr="00A6370F">
        <w:rPr>
          <w:sz w:val="22"/>
          <w:szCs w:val="22"/>
        </w:rPr>
        <w:t>BACKGROUND</w:t>
      </w:r>
    </w:p>
    <w:p w14:paraId="597C5E5B" w14:textId="7334B884" w:rsidR="002F2178" w:rsidRPr="002F2178" w:rsidRDefault="00FD24D8" w:rsidP="007B7D10">
      <w:pPr>
        <w:widowControl/>
        <w:numPr>
          <w:ilvl w:val="0"/>
          <w:numId w:val="22"/>
        </w:numPr>
        <w:tabs>
          <w:tab w:val="clear" w:pos="1260"/>
          <w:tab w:val="left" w:pos="0"/>
          <w:tab w:val="num" w:pos="1440"/>
        </w:tabs>
        <w:suppressAutoHyphens/>
        <w:spacing w:after="120"/>
        <w:ind w:left="0"/>
        <w:rPr>
          <w:sz w:val="22"/>
          <w:szCs w:val="22"/>
        </w:rPr>
      </w:pPr>
      <w:r w:rsidRPr="00FD24D8">
        <w:rPr>
          <w:spacing w:val="-2"/>
          <w:sz w:val="22"/>
          <w:szCs w:val="22"/>
        </w:rPr>
        <w:t>On August 2</w:t>
      </w:r>
      <w:r w:rsidR="0022435D">
        <w:rPr>
          <w:spacing w:val="-2"/>
          <w:sz w:val="22"/>
          <w:szCs w:val="22"/>
        </w:rPr>
        <w:t>5</w:t>
      </w:r>
      <w:r w:rsidR="00F838FF" w:rsidRPr="00FD24D8">
        <w:rPr>
          <w:color w:val="000000"/>
          <w:sz w:val="22"/>
          <w:szCs w:val="22"/>
        </w:rPr>
        <w:t>, 201</w:t>
      </w:r>
      <w:r w:rsidRPr="00FD24D8">
        <w:rPr>
          <w:color w:val="000000"/>
          <w:sz w:val="22"/>
          <w:szCs w:val="22"/>
        </w:rPr>
        <w:t>5</w:t>
      </w:r>
      <w:r w:rsidR="00F838FF" w:rsidRPr="00FD24D8">
        <w:rPr>
          <w:color w:val="000000"/>
          <w:sz w:val="22"/>
          <w:szCs w:val="22"/>
        </w:rPr>
        <w:t>, in response to</w:t>
      </w:r>
      <w:r w:rsidR="00BE75E9" w:rsidRPr="00FD24D8">
        <w:rPr>
          <w:color w:val="000000"/>
          <w:sz w:val="22"/>
          <w:szCs w:val="22"/>
        </w:rPr>
        <w:t xml:space="preserve"> </w:t>
      </w:r>
      <w:r w:rsidR="00771324" w:rsidRPr="00FD24D8">
        <w:rPr>
          <w:color w:val="000000"/>
          <w:sz w:val="22"/>
          <w:szCs w:val="22"/>
        </w:rPr>
        <w:t xml:space="preserve">multiple </w:t>
      </w:r>
      <w:r w:rsidR="0031433F" w:rsidRPr="00FD24D8">
        <w:rPr>
          <w:color w:val="000000"/>
          <w:sz w:val="22"/>
          <w:szCs w:val="22"/>
        </w:rPr>
        <w:t>complaints</w:t>
      </w:r>
      <w:r w:rsidR="00BE75E9" w:rsidRPr="00FD24D8">
        <w:rPr>
          <w:color w:val="000000"/>
          <w:sz w:val="22"/>
          <w:szCs w:val="22"/>
        </w:rPr>
        <w:t xml:space="preserve"> of</w:t>
      </w:r>
      <w:r w:rsidR="009965DF" w:rsidRPr="00FD24D8">
        <w:rPr>
          <w:color w:val="000000"/>
          <w:sz w:val="22"/>
          <w:szCs w:val="22"/>
        </w:rPr>
        <w:t xml:space="preserve"> interference</w:t>
      </w:r>
      <w:r w:rsidRPr="00FD24D8">
        <w:rPr>
          <w:color w:val="000000"/>
          <w:sz w:val="22"/>
          <w:szCs w:val="22"/>
        </w:rPr>
        <w:t>, primarily from members of the Western Amateur Radio Friendship Association (WARFA)</w:t>
      </w:r>
      <w:r w:rsidR="0031433F" w:rsidRPr="00FD24D8">
        <w:rPr>
          <w:color w:val="000000"/>
          <w:sz w:val="22"/>
          <w:szCs w:val="22"/>
        </w:rPr>
        <w:t>,</w:t>
      </w:r>
      <w:r>
        <w:rPr>
          <w:rStyle w:val="FootnoteReference"/>
          <w:color w:val="000000"/>
          <w:sz w:val="22"/>
          <w:szCs w:val="22"/>
        </w:rPr>
        <w:footnoteReference w:id="4"/>
      </w:r>
      <w:r w:rsidR="0031433F" w:rsidRPr="00FD24D8">
        <w:rPr>
          <w:color w:val="000000"/>
          <w:sz w:val="22"/>
          <w:szCs w:val="22"/>
        </w:rPr>
        <w:t xml:space="preserve"> </w:t>
      </w:r>
      <w:r w:rsidR="00771324" w:rsidRPr="00FD24D8">
        <w:rPr>
          <w:color w:val="000000"/>
          <w:sz w:val="22"/>
          <w:szCs w:val="22"/>
        </w:rPr>
        <w:t>a</w:t>
      </w:r>
      <w:r w:rsidRPr="00FD24D8">
        <w:rPr>
          <w:color w:val="000000"/>
          <w:sz w:val="22"/>
          <w:szCs w:val="22"/>
        </w:rPr>
        <w:t xml:space="preserve">gents from the </w:t>
      </w:r>
      <w:r w:rsidR="00AB53B5" w:rsidRPr="00FD24D8">
        <w:rPr>
          <w:color w:val="000000"/>
          <w:sz w:val="22"/>
          <w:szCs w:val="22"/>
        </w:rPr>
        <w:t xml:space="preserve">Enforcement Bureau’s </w:t>
      </w:r>
      <w:r w:rsidRPr="00FD24D8">
        <w:rPr>
          <w:color w:val="000000"/>
          <w:sz w:val="22"/>
          <w:szCs w:val="22"/>
        </w:rPr>
        <w:t>Western Region</w:t>
      </w:r>
      <w:r w:rsidR="00AB53B5" w:rsidRPr="00FD24D8">
        <w:rPr>
          <w:color w:val="000000"/>
          <w:sz w:val="22"/>
          <w:szCs w:val="22"/>
        </w:rPr>
        <w:t xml:space="preserve"> (</w:t>
      </w:r>
      <w:r w:rsidRPr="00FD24D8">
        <w:rPr>
          <w:color w:val="000000"/>
          <w:sz w:val="22"/>
          <w:szCs w:val="22"/>
        </w:rPr>
        <w:t>Western Region</w:t>
      </w:r>
      <w:r w:rsidR="00AB53B5" w:rsidRPr="00FD24D8">
        <w:rPr>
          <w:color w:val="000000"/>
          <w:sz w:val="22"/>
          <w:szCs w:val="22"/>
        </w:rPr>
        <w:t>)</w:t>
      </w:r>
      <w:r w:rsidR="0031433F" w:rsidRPr="00FD24D8">
        <w:rPr>
          <w:color w:val="000000"/>
          <w:sz w:val="22"/>
          <w:szCs w:val="22"/>
        </w:rPr>
        <w:t xml:space="preserve"> </w:t>
      </w:r>
      <w:r w:rsidR="00771324" w:rsidRPr="00FD24D8">
        <w:rPr>
          <w:color w:val="000000"/>
          <w:sz w:val="22"/>
          <w:szCs w:val="22"/>
        </w:rPr>
        <w:t xml:space="preserve">used mobile direction finding techniques to identify </w:t>
      </w:r>
      <w:r w:rsidR="0031433F" w:rsidRPr="00FD24D8">
        <w:rPr>
          <w:color w:val="000000"/>
          <w:sz w:val="22"/>
          <w:szCs w:val="22"/>
        </w:rPr>
        <w:t xml:space="preserve">the source of </w:t>
      </w:r>
      <w:r w:rsidR="00771324" w:rsidRPr="00FD24D8">
        <w:rPr>
          <w:color w:val="000000"/>
          <w:sz w:val="22"/>
          <w:szCs w:val="22"/>
        </w:rPr>
        <w:t xml:space="preserve">the </w:t>
      </w:r>
      <w:r w:rsidR="00C25C7E" w:rsidRPr="00FD24D8">
        <w:rPr>
          <w:spacing w:val="-2"/>
          <w:sz w:val="22"/>
          <w:szCs w:val="22"/>
        </w:rPr>
        <w:t>radio transmissions</w:t>
      </w:r>
      <w:r w:rsidRPr="00FD24D8">
        <w:rPr>
          <w:spacing w:val="-2"/>
          <w:sz w:val="22"/>
          <w:szCs w:val="22"/>
        </w:rPr>
        <w:t xml:space="preserve"> on 3908 kHz, the frequency used by the WARFA net</w:t>
      </w:r>
      <w:r w:rsidR="00771324" w:rsidRPr="00FD24D8">
        <w:rPr>
          <w:spacing w:val="-2"/>
          <w:sz w:val="22"/>
          <w:szCs w:val="22"/>
        </w:rPr>
        <w:t xml:space="preserve">.  </w:t>
      </w:r>
      <w:r w:rsidRPr="00FD24D8">
        <w:rPr>
          <w:spacing w:val="-2"/>
          <w:sz w:val="22"/>
          <w:szCs w:val="22"/>
        </w:rPr>
        <w:t>The Commission’s High Frequency Direction Fin</w:t>
      </w:r>
      <w:r w:rsidR="00340311">
        <w:rPr>
          <w:spacing w:val="-2"/>
          <w:sz w:val="22"/>
          <w:szCs w:val="22"/>
        </w:rPr>
        <w:t>d</w:t>
      </w:r>
      <w:r w:rsidRPr="00FD24D8">
        <w:rPr>
          <w:spacing w:val="-2"/>
          <w:sz w:val="22"/>
          <w:szCs w:val="22"/>
        </w:rPr>
        <w:t xml:space="preserve">ing (HFDF) Center </w:t>
      </w:r>
      <w:r w:rsidR="00BE2C7A">
        <w:rPr>
          <w:spacing w:val="-2"/>
          <w:sz w:val="22"/>
          <w:szCs w:val="22"/>
        </w:rPr>
        <w:t xml:space="preserve">also </w:t>
      </w:r>
      <w:r w:rsidRPr="00FD24D8">
        <w:rPr>
          <w:spacing w:val="-2"/>
          <w:sz w:val="22"/>
          <w:szCs w:val="22"/>
        </w:rPr>
        <w:t xml:space="preserve">provided direction finding in locating </w:t>
      </w:r>
      <w:r w:rsidRPr="00FD24D8">
        <w:rPr>
          <w:spacing w:val="-2"/>
          <w:sz w:val="22"/>
          <w:szCs w:val="22"/>
        </w:rPr>
        <w:lastRenderedPageBreak/>
        <w:t>the source of the transmissions</w:t>
      </w:r>
      <w:r w:rsidR="00771324" w:rsidRPr="00FD24D8">
        <w:rPr>
          <w:spacing w:val="-2"/>
          <w:sz w:val="22"/>
          <w:szCs w:val="22"/>
        </w:rPr>
        <w:t xml:space="preserve">.  The </w:t>
      </w:r>
      <w:r>
        <w:rPr>
          <w:spacing w:val="-2"/>
          <w:sz w:val="22"/>
          <w:szCs w:val="22"/>
        </w:rPr>
        <w:t xml:space="preserve">Western Region agents </w:t>
      </w:r>
      <w:r w:rsidR="009D0ED2" w:rsidRPr="00FD24D8">
        <w:rPr>
          <w:spacing w:val="-2"/>
          <w:sz w:val="22"/>
          <w:szCs w:val="22"/>
        </w:rPr>
        <w:t>locate</w:t>
      </w:r>
      <w:r>
        <w:rPr>
          <w:spacing w:val="-2"/>
          <w:sz w:val="22"/>
          <w:szCs w:val="22"/>
        </w:rPr>
        <w:t>d</w:t>
      </w:r>
      <w:r w:rsidR="00771324" w:rsidRPr="00FD24D8">
        <w:rPr>
          <w:spacing w:val="-2"/>
          <w:sz w:val="22"/>
          <w:szCs w:val="22"/>
        </w:rPr>
        <w:t xml:space="preserve"> the source of the transmissions to </w:t>
      </w:r>
      <w:r w:rsidR="0022435D">
        <w:rPr>
          <w:spacing w:val="-2"/>
          <w:sz w:val="22"/>
          <w:szCs w:val="22"/>
        </w:rPr>
        <w:t xml:space="preserve">Mr. Crowell’s residence in </w:t>
      </w:r>
      <w:r w:rsidR="002C578C">
        <w:rPr>
          <w:spacing w:val="-2"/>
          <w:sz w:val="22"/>
          <w:szCs w:val="22"/>
        </w:rPr>
        <w:t>Diamond Springs, California</w:t>
      </w:r>
      <w:r w:rsidR="00495FB3" w:rsidRPr="00FD24D8">
        <w:rPr>
          <w:spacing w:val="-2"/>
          <w:sz w:val="22"/>
          <w:szCs w:val="22"/>
        </w:rPr>
        <w:t xml:space="preserve">.  </w:t>
      </w:r>
      <w:r w:rsidR="007A4411" w:rsidRPr="00FD24D8">
        <w:rPr>
          <w:spacing w:val="-2"/>
          <w:sz w:val="22"/>
          <w:szCs w:val="22"/>
        </w:rPr>
        <w:t>The agent</w:t>
      </w:r>
      <w:r w:rsidR="002C578C">
        <w:rPr>
          <w:spacing w:val="-2"/>
          <w:sz w:val="22"/>
          <w:szCs w:val="22"/>
        </w:rPr>
        <w:t>s</w:t>
      </w:r>
      <w:r w:rsidR="007A4411" w:rsidRPr="00FD24D8">
        <w:rPr>
          <w:spacing w:val="-2"/>
          <w:sz w:val="22"/>
          <w:szCs w:val="22"/>
        </w:rPr>
        <w:t xml:space="preserve"> </w:t>
      </w:r>
      <w:r w:rsidR="002C578C">
        <w:rPr>
          <w:spacing w:val="-2"/>
          <w:sz w:val="22"/>
          <w:szCs w:val="22"/>
        </w:rPr>
        <w:t xml:space="preserve">and the HFDF Center </w:t>
      </w:r>
      <w:r w:rsidR="007A4411" w:rsidRPr="00FD24D8">
        <w:rPr>
          <w:spacing w:val="-2"/>
          <w:sz w:val="22"/>
          <w:szCs w:val="22"/>
        </w:rPr>
        <w:t xml:space="preserve">monitored the transmissions emanating from Mr. </w:t>
      </w:r>
      <w:r w:rsidR="002C578C">
        <w:rPr>
          <w:spacing w:val="-2"/>
          <w:sz w:val="22"/>
          <w:szCs w:val="22"/>
        </w:rPr>
        <w:t>Crowell’s</w:t>
      </w:r>
      <w:r w:rsidR="00307DCE" w:rsidRPr="00FD24D8">
        <w:rPr>
          <w:spacing w:val="-2"/>
          <w:sz w:val="22"/>
          <w:szCs w:val="22"/>
        </w:rPr>
        <w:t xml:space="preserve"> station for approximately </w:t>
      </w:r>
      <w:r w:rsidR="002C578C">
        <w:rPr>
          <w:spacing w:val="-2"/>
          <w:sz w:val="22"/>
          <w:szCs w:val="22"/>
        </w:rPr>
        <w:t xml:space="preserve">two hours, </w:t>
      </w:r>
      <w:r w:rsidR="00122BC4">
        <w:rPr>
          <w:spacing w:val="-2"/>
          <w:sz w:val="22"/>
          <w:szCs w:val="22"/>
        </w:rPr>
        <w:t>beginning at approximately 7:45 p.m. PDT, to coincide</w:t>
      </w:r>
      <w:r w:rsidR="002C578C">
        <w:rPr>
          <w:spacing w:val="-2"/>
          <w:sz w:val="22"/>
          <w:szCs w:val="22"/>
        </w:rPr>
        <w:t xml:space="preserve"> with </w:t>
      </w:r>
      <w:r w:rsidR="00F409B5">
        <w:rPr>
          <w:spacing w:val="-2"/>
          <w:sz w:val="22"/>
          <w:szCs w:val="22"/>
        </w:rPr>
        <w:t xml:space="preserve">the </w:t>
      </w:r>
      <w:r w:rsidR="002C578C">
        <w:rPr>
          <w:spacing w:val="-2"/>
          <w:sz w:val="22"/>
          <w:szCs w:val="22"/>
        </w:rPr>
        <w:t>regular start of the WARFA net at 8:00 p.m. PDT.</w:t>
      </w:r>
      <w:r w:rsidR="002F2178">
        <w:rPr>
          <w:spacing w:val="-2"/>
          <w:sz w:val="22"/>
          <w:szCs w:val="22"/>
        </w:rPr>
        <w:t xml:space="preserve">  Throughout those two hours the agents and </w:t>
      </w:r>
      <w:r w:rsidR="00BE2C7A">
        <w:rPr>
          <w:spacing w:val="-2"/>
          <w:sz w:val="22"/>
          <w:szCs w:val="22"/>
        </w:rPr>
        <w:t xml:space="preserve">the </w:t>
      </w:r>
      <w:r w:rsidR="002F2178">
        <w:rPr>
          <w:spacing w:val="-2"/>
          <w:sz w:val="22"/>
          <w:szCs w:val="22"/>
        </w:rPr>
        <w:t>HFDF Center</w:t>
      </w:r>
      <w:r w:rsidR="007A4411" w:rsidRPr="00FD24D8">
        <w:rPr>
          <w:spacing w:val="-2"/>
          <w:sz w:val="22"/>
          <w:szCs w:val="22"/>
        </w:rPr>
        <w:t xml:space="preserve"> heard </w:t>
      </w:r>
      <w:r w:rsidR="002F2178">
        <w:rPr>
          <w:spacing w:val="-2"/>
          <w:sz w:val="22"/>
          <w:szCs w:val="22"/>
        </w:rPr>
        <w:t xml:space="preserve">Mr. Crowell and his </w:t>
      </w:r>
      <w:r w:rsidR="00492910" w:rsidRPr="00FD24D8">
        <w:rPr>
          <w:spacing w:val="-2"/>
          <w:sz w:val="22"/>
          <w:szCs w:val="22"/>
        </w:rPr>
        <w:t>station</w:t>
      </w:r>
      <w:r w:rsidR="00B02F40" w:rsidRPr="00FD24D8">
        <w:rPr>
          <w:spacing w:val="-2"/>
          <w:sz w:val="22"/>
          <w:szCs w:val="22"/>
        </w:rPr>
        <w:t xml:space="preserve"> </w:t>
      </w:r>
      <w:r w:rsidR="002F2178">
        <w:rPr>
          <w:spacing w:val="-2"/>
          <w:sz w:val="22"/>
          <w:szCs w:val="22"/>
        </w:rPr>
        <w:t xml:space="preserve">frequently transmit on top of other amateurs attempting to transmit as part of the </w:t>
      </w:r>
      <w:r w:rsidR="00890DA6">
        <w:rPr>
          <w:spacing w:val="-2"/>
          <w:sz w:val="22"/>
          <w:szCs w:val="22"/>
        </w:rPr>
        <w:t xml:space="preserve">WARFA </w:t>
      </w:r>
      <w:r w:rsidR="002F2178">
        <w:rPr>
          <w:spacing w:val="-2"/>
          <w:sz w:val="22"/>
          <w:szCs w:val="22"/>
        </w:rPr>
        <w:t>net.  Mr. Crowell repeatedly interrupted other amateurs using noises, recordings and music</w:t>
      </w:r>
      <w:r w:rsidR="00BF18CE">
        <w:rPr>
          <w:spacing w:val="-2"/>
          <w:sz w:val="22"/>
          <w:szCs w:val="22"/>
        </w:rPr>
        <w:t xml:space="preserve">, </w:t>
      </w:r>
      <w:r w:rsidR="00890DA6">
        <w:rPr>
          <w:spacing w:val="-2"/>
          <w:sz w:val="22"/>
          <w:szCs w:val="22"/>
        </w:rPr>
        <w:t xml:space="preserve">in addition to talking over amateurs affiliated with the WARFA net, </w:t>
      </w:r>
      <w:r w:rsidR="00BF18CE">
        <w:rPr>
          <w:spacing w:val="-2"/>
          <w:sz w:val="22"/>
          <w:szCs w:val="22"/>
        </w:rPr>
        <w:t>so as to not allow them to transmit on the frequency</w:t>
      </w:r>
      <w:r w:rsidR="002F2178">
        <w:rPr>
          <w:spacing w:val="-2"/>
          <w:sz w:val="22"/>
          <w:szCs w:val="22"/>
        </w:rPr>
        <w:t>.  H</w:t>
      </w:r>
      <w:r w:rsidR="00F23FB2">
        <w:rPr>
          <w:spacing w:val="-2"/>
          <w:sz w:val="22"/>
          <w:szCs w:val="22"/>
        </w:rPr>
        <w:t xml:space="preserve">is transmissions and recordings included </w:t>
      </w:r>
      <w:r w:rsidR="002F2178">
        <w:rPr>
          <w:spacing w:val="-2"/>
          <w:sz w:val="22"/>
          <w:szCs w:val="22"/>
        </w:rPr>
        <w:t xml:space="preserve">racial, ethnic, and sexual </w:t>
      </w:r>
      <w:r w:rsidR="00BE2C7A">
        <w:rPr>
          <w:spacing w:val="-2"/>
          <w:sz w:val="22"/>
          <w:szCs w:val="22"/>
        </w:rPr>
        <w:t>slurs</w:t>
      </w:r>
      <w:r w:rsidR="00F23FB2">
        <w:rPr>
          <w:spacing w:val="-2"/>
          <w:sz w:val="22"/>
          <w:szCs w:val="22"/>
        </w:rPr>
        <w:t xml:space="preserve"> and epithets</w:t>
      </w:r>
      <w:r w:rsidR="002F2178">
        <w:rPr>
          <w:spacing w:val="-2"/>
          <w:sz w:val="22"/>
          <w:szCs w:val="22"/>
        </w:rPr>
        <w:t>.</w:t>
      </w:r>
      <w:r w:rsidR="00F23FB2">
        <w:rPr>
          <w:spacing w:val="-2"/>
          <w:sz w:val="22"/>
          <w:szCs w:val="22"/>
        </w:rPr>
        <w:t xml:space="preserve"> </w:t>
      </w:r>
      <w:r w:rsidR="002F2178">
        <w:rPr>
          <w:spacing w:val="-2"/>
          <w:sz w:val="22"/>
          <w:szCs w:val="22"/>
        </w:rPr>
        <w:t xml:space="preserve"> Mr.</w:t>
      </w:r>
      <w:r w:rsidR="00F23FB2">
        <w:rPr>
          <w:spacing w:val="-2"/>
          <w:sz w:val="22"/>
          <w:szCs w:val="22"/>
        </w:rPr>
        <w:t xml:space="preserve"> </w:t>
      </w:r>
      <w:r w:rsidR="002F2178">
        <w:rPr>
          <w:spacing w:val="-2"/>
          <w:sz w:val="22"/>
          <w:szCs w:val="22"/>
        </w:rPr>
        <w:t>Crowell continued these transmission</w:t>
      </w:r>
      <w:r w:rsidR="00BE2C7A">
        <w:rPr>
          <w:spacing w:val="-2"/>
          <w:sz w:val="22"/>
          <w:szCs w:val="22"/>
        </w:rPr>
        <w:t>s</w:t>
      </w:r>
      <w:r w:rsidR="002F2178">
        <w:rPr>
          <w:spacing w:val="-2"/>
          <w:sz w:val="22"/>
          <w:szCs w:val="22"/>
        </w:rPr>
        <w:t xml:space="preserve"> until the WARFA net ceased its operations, at approximately 9:35 p.m. PDT. </w:t>
      </w:r>
      <w:r w:rsidR="00BF18CE">
        <w:rPr>
          <w:spacing w:val="-2"/>
          <w:sz w:val="22"/>
          <w:szCs w:val="22"/>
        </w:rPr>
        <w:t xml:space="preserve"> </w:t>
      </w:r>
      <w:r w:rsidR="002F2178">
        <w:rPr>
          <w:spacing w:val="-2"/>
          <w:sz w:val="22"/>
          <w:szCs w:val="22"/>
        </w:rPr>
        <w:t>Mr. Crowell then ceased his transmission</w:t>
      </w:r>
      <w:r w:rsidR="00BF18CE">
        <w:rPr>
          <w:spacing w:val="-2"/>
          <w:sz w:val="22"/>
          <w:szCs w:val="22"/>
        </w:rPr>
        <w:t>s</w:t>
      </w:r>
      <w:r w:rsidR="002F2178">
        <w:rPr>
          <w:spacing w:val="-2"/>
          <w:sz w:val="22"/>
          <w:szCs w:val="22"/>
        </w:rPr>
        <w:t>.</w:t>
      </w:r>
    </w:p>
    <w:p w14:paraId="133CC19F" w14:textId="1B893613" w:rsidR="00AB53B5" w:rsidRPr="00BF18CE" w:rsidRDefault="0022435D" w:rsidP="00D12E66">
      <w:pPr>
        <w:widowControl/>
        <w:numPr>
          <w:ilvl w:val="0"/>
          <w:numId w:val="22"/>
        </w:numPr>
        <w:tabs>
          <w:tab w:val="clear" w:pos="1260"/>
          <w:tab w:val="left" w:pos="0"/>
          <w:tab w:val="num" w:pos="1440"/>
        </w:tabs>
        <w:suppressAutoHyphens/>
        <w:spacing w:after="120"/>
        <w:ind w:left="0"/>
        <w:rPr>
          <w:sz w:val="22"/>
          <w:szCs w:val="22"/>
        </w:rPr>
      </w:pPr>
      <w:r>
        <w:rPr>
          <w:spacing w:val="-2"/>
          <w:sz w:val="22"/>
          <w:szCs w:val="22"/>
        </w:rPr>
        <w:t>On August 27</w:t>
      </w:r>
      <w:r w:rsidR="002F2178" w:rsidRPr="00BF18CE">
        <w:rPr>
          <w:spacing w:val="-2"/>
          <w:sz w:val="22"/>
          <w:szCs w:val="22"/>
        </w:rPr>
        <w:t xml:space="preserve">, 2015, the Western Region agents and the HFDF </w:t>
      </w:r>
      <w:r w:rsidR="00BF18CE" w:rsidRPr="00BF18CE">
        <w:rPr>
          <w:spacing w:val="-2"/>
          <w:sz w:val="22"/>
          <w:szCs w:val="22"/>
        </w:rPr>
        <w:t>Center again mon</w:t>
      </w:r>
      <w:r w:rsidR="002F2178" w:rsidRPr="00BF18CE">
        <w:rPr>
          <w:spacing w:val="-2"/>
          <w:sz w:val="22"/>
          <w:szCs w:val="22"/>
        </w:rPr>
        <w:t>itored Mr. Crowell’s operations and located tran</w:t>
      </w:r>
      <w:r w:rsidR="00BF18CE" w:rsidRPr="00BF18CE">
        <w:rPr>
          <w:spacing w:val="-2"/>
          <w:sz w:val="22"/>
          <w:szCs w:val="22"/>
        </w:rPr>
        <w:t>s</w:t>
      </w:r>
      <w:r w:rsidR="002F2178" w:rsidRPr="00BF18CE">
        <w:rPr>
          <w:spacing w:val="-2"/>
          <w:sz w:val="22"/>
          <w:szCs w:val="22"/>
        </w:rPr>
        <w:t>m</w:t>
      </w:r>
      <w:r w:rsidR="00BF18CE" w:rsidRPr="00BF18CE">
        <w:rPr>
          <w:spacing w:val="-2"/>
          <w:sz w:val="22"/>
          <w:szCs w:val="22"/>
        </w:rPr>
        <w:t>i</w:t>
      </w:r>
      <w:r w:rsidR="002F2178" w:rsidRPr="00BF18CE">
        <w:rPr>
          <w:spacing w:val="-2"/>
          <w:sz w:val="22"/>
          <w:szCs w:val="22"/>
        </w:rPr>
        <w:t xml:space="preserve">ssions to his residence. </w:t>
      </w:r>
      <w:r w:rsidR="00BF18CE">
        <w:rPr>
          <w:spacing w:val="-2"/>
          <w:sz w:val="22"/>
          <w:szCs w:val="22"/>
        </w:rPr>
        <w:t xml:space="preserve"> </w:t>
      </w:r>
      <w:r w:rsidR="002F2178" w:rsidRPr="00BF18CE">
        <w:rPr>
          <w:spacing w:val="-2"/>
          <w:sz w:val="22"/>
          <w:szCs w:val="22"/>
        </w:rPr>
        <w:t>Beginning</w:t>
      </w:r>
      <w:r w:rsidR="00BF18CE" w:rsidRPr="00BF18CE">
        <w:rPr>
          <w:spacing w:val="-2"/>
          <w:sz w:val="22"/>
          <w:szCs w:val="22"/>
        </w:rPr>
        <w:t xml:space="preserve"> prior to WARFA net operations at approximately 8:00 p.m. PDT and continuing until approximately 9:30 p.m. PDT, the agents and the HFDF Center heard Mr. Crowell and his station frequently interrupt other amateurs </w:t>
      </w:r>
      <w:r w:rsidR="00890DA6">
        <w:rPr>
          <w:spacing w:val="-2"/>
          <w:sz w:val="22"/>
          <w:szCs w:val="22"/>
        </w:rPr>
        <w:t xml:space="preserve">by talking over others and </w:t>
      </w:r>
      <w:r w:rsidR="00BF18CE" w:rsidRPr="00BF18CE">
        <w:rPr>
          <w:spacing w:val="-2"/>
          <w:sz w:val="22"/>
          <w:szCs w:val="22"/>
        </w:rPr>
        <w:t xml:space="preserve">using noises, recordings and music, often to not allow others to transmit on the frequency.  </w:t>
      </w:r>
      <w:r w:rsidR="00106F74">
        <w:rPr>
          <w:spacing w:val="-2"/>
          <w:sz w:val="22"/>
          <w:szCs w:val="22"/>
        </w:rPr>
        <w:t xml:space="preserve">These transmissions </w:t>
      </w:r>
      <w:r w:rsidR="00890DA6">
        <w:rPr>
          <w:spacing w:val="-2"/>
          <w:sz w:val="22"/>
          <w:szCs w:val="22"/>
        </w:rPr>
        <w:t xml:space="preserve">also </w:t>
      </w:r>
      <w:r w:rsidR="00106F74">
        <w:rPr>
          <w:spacing w:val="-2"/>
          <w:sz w:val="22"/>
          <w:szCs w:val="22"/>
        </w:rPr>
        <w:t>included</w:t>
      </w:r>
      <w:r w:rsidR="00BF18CE" w:rsidRPr="00BF18CE">
        <w:rPr>
          <w:spacing w:val="-2"/>
          <w:sz w:val="22"/>
          <w:szCs w:val="22"/>
        </w:rPr>
        <w:t xml:space="preserve"> racial, ethnic, and sexual </w:t>
      </w:r>
      <w:r w:rsidR="00BE2C7A">
        <w:rPr>
          <w:spacing w:val="-2"/>
          <w:sz w:val="22"/>
          <w:szCs w:val="22"/>
        </w:rPr>
        <w:t xml:space="preserve">slurs and </w:t>
      </w:r>
      <w:r w:rsidR="00BF18CE" w:rsidRPr="00BF18CE">
        <w:rPr>
          <w:spacing w:val="-2"/>
          <w:sz w:val="22"/>
          <w:szCs w:val="22"/>
        </w:rPr>
        <w:t>epithets</w:t>
      </w:r>
      <w:r w:rsidR="00106F74">
        <w:rPr>
          <w:spacing w:val="-2"/>
          <w:sz w:val="22"/>
          <w:szCs w:val="22"/>
        </w:rPr>
        <w:t>.</w:t>
      </w:r>
      <w:r w:rsidR="00BF18CE" w:rsidRPr="00BF18CE">
        <w:rPr>
          <w:spacing w:val="-2"/>
          <w:sz w:val="22"/>
          <w:szCs w:val="22"/>
        </w:rPr>
        <w:t xml:space="preserve">  </w:t>
      </w:r>
      <w:r w:rsidR="00890DA6">
        <w:rPr>
          <w:spacing w:val="-2"/>
          <w:sz w:val="22"/>
          <w:szCs w:val="22"/>
        </w:rPr>
        <w:t xml:space="preserve">Mr. Crowell’s transmissions again ceased when the WARFA net ceased its operations for the night.  </w:t>
      </w:r>
      <w:r w:rsidR="00B8386D">
        <w:rPr>
          <w:spacing w:val="-2"/>
          <w:sz w:val="22"/>
          <w:szCs w:val="22"/>
        </w:rPr>
        <w:t>The next day, Western R</w:t>
      </w:r>
      <w:r w:rsidR="00BF18CE" w:rsidRPr="00BF18CE">
        <w:rPr>
          <w:spacing w:val="-2"/>
          <w:sz w:val="22"/>
          <w:szCs w:val="22"/>
        </w:rPr>
        <w:t>egion agents conducted an inspection of Mr. Crowell’</w:t>
      </w:r>
      <w:r w:rsidR="00B8386D">
        <w:rPr>
          <w:spacing w:val="-2"/>
          <w:sz w:val="22"/>
          <w:szCs w:val="22"/>
        </w:rPr>
        <w:t>s station</w:t>
      </w:r>
      <w:r w:rsidR="00206140">
        <w:rPr>
          <w:spacing w:val="-2"/>
          <w:sz w:val="22"/>
          <w:szCs w:val="22"/>
        </w:rPr>
        <w:t>, and warned him that his transmissions were not in accord with good amateur practice and violated the Communications Act and the Rules</w:t>
      </w:r>
      <w:r w:rsidR="00890DA6">
        <w:rPr>
          <w:spacing w:val="-2"/>
          <w:sz w:val="22"/>
          <w:szCs w:val="22"/>
        </w:rPr>
        <w:t xml:space="preserve">.  </w:t>
      </w:r>
      <w:r w:rsidR="00BF18CE" w:rsidRPr="00BF18CE">
        <w:rPr>
          <w:spacing w:val="-2"/>
          <w:sz w:val="22"/>
          <w:szCs w:val="22"/>
        </w:rPr>
        <w:t xml:space="preserve">Mr. </w:t>
      </w:r>
      <w:r w:rsidR="00D6475B">
        <w:rPr>
          <w:spacing w:val="-2"/>
          <w:sz w:val="22"/>
          <w:szCs w:val="22"/>
        </w:rPr>
        <w:t xml:space="preserve">Crowell acknowledged that he </w:t>
      </w:r>
      <w:r w:rsidR="00106F74">
        <w:rPr>
          <w:spacing w:val="-2"/>
          <w:sz w:val="22"/>
          <w:szCs w:val="22"/>
        </w:rPr>
        <w:t>was transmitting the night before</w:t>
      </w:r>
      <w:r w:rsidR="00F23FB2">
        <w:rPr>
          <w:spacing w:val="-2"/>
          <w:sz w:val="22"/>
          <w:szCs w:val="22"/>
        </w:rPr>
        <w:t>, that he transmits on most nights,</w:t>
      </w:r>
      <w:r w:rsidR="00106F74">
        <w:rPr>
          <w:spacing w:val="-2"/>
          <w:sz w:val="22"/>
          <w:szCs w:val="22"/>
        </w:rPr>
        <w:t xml:space="preserve"> and that one of the frequencies that he transmits on, at night, is 3908 kHz.</w:t>
      </w:r>
      <w:r>
        <w:rPr>
          <w:spacing w:val="-2"/>
          <w:sz w:val="22"/>
          <w:szCs w:val="22"/>
        </w:rPr>
        <w:t xml:space="preserve">  </w:t>
      </w:r>
      <w:r w:rsidR="002C66D8">
        <w:rPr>
          <w:spacing w:val="-2"/>
          <w:sz w:val="22"/>
          <w:szCs w:val="22"/>
        </w:rPr>
        <w:t>Later that day, Mr. Crowell sent an email to the San Francisco</w:t>
      </w:r>
      <w:r w:rsidR="00F5782A">
        <w:rPr>
          <w:spacing w:val="-2"/>
          <w:sz w:val="22"/>
          <w:szCs w:val="22"/>
        </w:rPr>
        <w:t xml:space="preserve"> Office</w:t>
      </w:r>
      <w:r w:rsidR="002C66D8">
        <w:rPr>
          <w:spacing w:val="-2"/>
          <w:sz w:val="22"/>
          <w:szCs w:val="22"/>
        </w:rPr>
        <w:t xml:space="preserve"> District Director concerning the transmissions at issue, including </w:t>
      </w:r>
      <w:r w:rsidR="00980C46">
        <w:rPr>
          <w:spacing w:val="-2"/>
          <w:sz w:val="22"/>
          <w:szCs w:val="22"/>
        </w:rPr>
        <w:t>recordings</w:t>
      </w:r>
      <w:r w:rsidR="002C66D8">
        <w:rPr>
          <w:spacing w:val="-2"/>
          <w:sz w:val="22"/>
          <w:szCs w:val="22"/>
        </w:rPr>
        <w:t>, stating</w:t>
      </w:r>
      <w:r w:rsidR="00106F74">
        <w:rPr>
          <w:spacing w:val="-2"/>
          <w:sz w:val="22"/>
          <w:szCs w:val="22"/>
        </w:rPr>
        <w:t xml:space="preserve"> that transmitting recordings was not a violation of the Rules and that</w:t>
      </w:r>
      <w:r w:rsidR="002C66D8">
        <w:rPr>
          <w:spacing w:val="-2"/>
          <w:sz w:val="22"/>
          <w:szCs w:val="22"/>
        </w:rPr>
        <w:t xml:space="preserve"> he had no intention of stopping such transmissions.</w:t>
      </w:r>
      <w:r w:rsidR="002C66D8">
        <w:rPr>
          <w:rStyle w:val="FootnoteReference"/>
          <w:spacing w:val="-2"/>
          <w:sz w:val="22"/>
          <w:szCs w:val="22"/>
        </w:rPr>
        <w:footnoteReference w:id="5"/>
      </w:r>
      <w:r w:rsidR="002C66D8">
        <w:rPr>
          <w:spacing w:val="-2"/>
          <w:sz w:val="22"/>
          <w:szCs w:val="22"/>
        </w:rPr>
        <w:t xml:space="preserve">  </w:t>
      </w:r>
      <w:r>
        <w:rPr>
          <w:spacing w:val="-2"/>
          <w:sz w:val="22"/>
          <w:szCs w:val="22"/>
        </w:rPr>
        <w:t>On August 30</w:t>
      </w:r>
      <w:r w:rsidR="00BF18CE" w:rsidRPr="00BF18CE">
        <w:rPr>
          <w:spacing w:val="-2"/>
          <w:sz w:val="22"/>
          <w:szCs w:val="22"/>
        </w:rPr>
        <w:t xml:space="preserve">, 2015, the HFDF Center monitored </w:t>
      </w:r>
      <w:r w:rsidR="00106F74">
        <w:rPr>
          <w:spacing w:val="-2"/>
          <w:sz w:val="22"/>
          <w:szCs w:val="22"/>
        </w:rPr>
        <w:t xml:space="preserve">3908 kHz, beginning at 8:00 p.m. PDT and observed </w:t>
      </w:r>
      <w:r w:rsidR="00BF18CE" w:rsidRPr="00BF18CE">
        <w:rPr>
          <w:spacing w:val="-2"/>
          <w:sz w:val="22"/>
          <w:szCs w:val="22"/>
        </w:rPr>
        <w:t xml:space="preserve">Mr. Crowell’s station </w:t>
      </w:r>
      <w:r w:rsidR="00994E33">
        <w:rPr>
          <w:spacing w:val="-2"/>
          <w:sz w:val="22"/>
          <w:szCs w:val="22"/>
        </w:rPr>
        <w:t>again</w:t>
      </w:r>
      <w:r w:rsidR="00457C41">
        <w:rPr>
          <w:spacing w:val="-2"/>
          <w:sz w:val="22"/>
          <w:szCs w:val="22"/>
        </w:rPr>
        <w:t xml:space="preserve"> </w:t>
      </w:r>
      <w:r w:rsidR="00BF18CE" w:rsidRPr="00BF18CE">
        <w:rPr>
          <w:spacing w:val="-2"/>
          <w:sz w:val="22"/>
          <w:szCs w:val="22"/>
        </w:rPr>
        <w:t>transmit</w:t>
      </w:r>
      <w:r w:rsidR="00994E33">
        <w:rPr>
          <w:spacing w:val="-2"/>
          <w:sz w:val="22"/>
          <w:szCs w:val="22"/>
        </w:rPr>
        <w:t>ting</w:t>
      </w:r>
      <w:r w:rsidR="00BF18CE" w:rsidRPr="00BF18CE">
        <w:rPr>
          <w:spacing w:val="-2"/>
          <w:sz w:val="22"/>
          <w:szCs w:val="22"/>
        </w:rPr>
        <w:t xml:space="preserve"> on top of other amateurs, </w:t>
      </w:r>
      <w:r w:rsidR="00106F74">
        <w:rPr>
          <w:spacing w:val="-2"/>
          <w:sz w:val="22"/>
          <w:szCs w:val="22"/>
        </w:rPr>
        <w:t xml:space="preserve">appearing to </w:t>
      </w:r>
      <w:r w:rsidR="00BF18CE" w:rsidRPr="00BF18CE">
        <w:rPr>
          <w:spacing w:val="-2"/>
          <w:sz w:val="22"/>
          <w:szCs w:val="22"/>
        </w:rPr>
        <w:t xml:space="preserve">frequently interrupt them using noises, recordings and </w:t>
      </w:r>
      <w:r w:rsidR="00431F38">
        <w:rPr>
          <w:spacing w:val="-2"/>
          <w:sz w:val="22"/>
          <w:szCs w:val="22"/>
        </w:rPr>
        <w:t>other transmissions</w:t>
      </w:r>
      <w:r w:rsidR="00BF18CE" w:rsidRPr="00BF18CE">
        <w:rPr>
          <w:spacing w:val="-2"/>
          <w:sz w:val="22"/>
          <w:szCs w:val="22"/>
        </w:rPr>
        <w:t xml:space="preserve">, often to not allow others to transmit on the frequency. </w:t>
      </w:r>
      <w:r w:rsidR="00867693">
        <w:rPr>
          <w:spacing w:val="-2"/>
          <w:sz w:val="22"/>
          <w:szCs w:val="22"/>
        </w:rPr>
        <w:t xml:space="preserve"> The transmission</w:t>
      </w:r>
      <w:r w:rsidR="00F23FB2">
        <w:rPr>
          <w:spacing w:val="-2"/>
          <w:sz w:val="22"/>
          <w:szCs w:val="22"/>
        </w:rPr>
        <w:t>s</w:t>
      </w:r>
      <w:r w:rsidR="00867693">
        <w:rPr>
          <w:spacing w:val="-2"/>
          <w:sz w:val="22"/>
          <w:szCs w:val="22"/>
        </w:rPr>
        <w:t xml:space="preserve"> continued to include</w:t>
      </w:r>
      <w:r w:rsidR="00BF18CE" w:rsidRPr="00BF18CE">
        <w:rPr>
          <w:spacing w:val="-2"/>
          <w:sz w:val="22"/>
          <w:szCs w:val="22"/>
        </w:rPr>
        <w:t xml:space="preserve"> racial, ethnic, and sexual</w:t>
      </w:r>
      <w:r w:rsidR="00BE2C7A">
        <w:rPr>
          <w:spacing w:val="-2"/>
          <w:sz w:val="22"/>
          <w:szCs w:val="22"/>
        </w:rPr>
        <w:t xml:space="preserve"> slurs and</w:t>
      </w:r>
      <w:r w:rsidR="00BF18CE" w:rsidRPr="00BF18CE">
        <w:rPr>
          <w:spacing w:val="-2"/>
          <w:sz w:val="22"/>
          <w:szCs w:val="22"/>
        </w:rPr>
        <w:t xml:space="preserve"> epithets.</w:t>
      </w:r>
      <w:r w:rsidR="002F2178" w:rsidRPr="00BF18CE">
        <w:rPr>
          <w:spacing w:val="-2"/>
          <w:sz w:val="22"/>
          <w:szCs w:val="22"/>
        </w:rPr>
        <w:t xml:space="preserve"> </w:t>
      </w:r>
    </w:p>
    <w:p w14:paraId="1CDCAE35" w14:textId="77777777" w:rsidR="00050854" w:rsidRPr="00A6370F" w:rsidRDefault="00050854" w:rsidP="00AB53B5">
      <w:pPr>
        <w:pStyle w:val="Heading1"/>
        <w:rPr>
          <w:sz w:val="22"/>
          <w:szCs w:val="22"/>
        </w:rPr>
      </w:pPr>
      <w:r w:rsidRPr="00A6370F">
        <w:rPr>
          <w:sz w:val="22"/>
          <w:szCs w:val="22"/>
        </w:rPr>
        <w:t>DISCUSSION</w:t>
      </w:r>
    </w:p>
    <w:p w14:paraId="5913D8A1" w14:textId="52031D35" w:rsidR="00092DD6" w:rsidRPr="00A6370F" w:rsidRDefault="000113B2" w:rsidP="004A326D">
      <w:pPr>
        <w:widowControl/>
        <w:numPr>
          <w:ilvl w:val="0"/>
          <w:numId w:val="22"/>
        </w:numPr>
        <w:tabs>
          <w:tab w:val="clear" w:pos="1260"/>
          <w:tab w:val="num" w:pos="1440"/>
          <w:tab w:val="left" w:pos="4680"/>
          <w:tab w:val="left" w:pos="5760"/>
        </w:tabs>
        <w:spacing w:after="120"/>
        <w:ind w:left="0"/>
        <w:rPr>
          <w:spacing w:val="-3"/>
          <w:sz w:val="22"/>
          <w:szCs w:val="22"/>
        </w:rPr>
      </w:pPr>
      <w:r>
        <w:rPr>
          <w:spacing w:val="-3"/>
          <w:sz w:val="22"/>
          <w:szCs w:val="22"/>
        </w:rPr>
        <w:t xml:space="preserve">We find that Mr. Crowell </w:t>
      </w:r>
      <w:r w:rsidRPr="000113B2">
        <w:rPr>
          <w:spacing w:val="-3"/>
          <w:sz w:val="22"/>
          <w:szCs w:val="22"/>
        </w:rPr>
        <w:t xml:space="preserve">apparently willfully and repeatedly violated Section </w:t>
      </w:r>
      <w:r>
        <w:rPr>
          <w:spacing w:val="-3"/>
          <w:sz w:val="22"/>
          <w:szCs w:val="22"/>
        </w:rPr>
        <w:t xml:space="preserve">333 of </w:t>
      </w:r>
      <w:r w:rsidR="00D6475B">
        <w:rPr>
          <w:spacing w:val="-3"/>
          <w:sz w:val="22"/>
          <w:szCs w:val="22"/>
        </w:rPr>
        <w:t>th</w:t>
      </w:r>
      <w:r>
        <w:rPr>
          <w:spacing w:val="-3"/>
          <w:sz w:val="22"/>
          <w:szCs w:val="22"/>
        </w:rPr>
        <w:t xml:space="preserve">e Act and Sections 97.101(d) and 97.113(a)(4) of the Rules </w:t>
      </w:r>
      <w:r w:rsidR="00206140">
        <w:rPr>
          <w:spacing w:val="-3"/>
          <w:sz w:val="22"/>
          <w:szCs w:val="22"/>
        </w:rPr>
        <w:t xml:space="preserve">by </w:t>
      </w:r>
      <w:r w:rsidRPr="000113B2">
        <w:rPr>
          <w:spacing w:val="-3"/>
          <w:sz w:val="22"/>
          <w:szCs w:val="22"/>
        </w:rPr>
        <w:t xml:space="preserve">intentionally causing interference to other amateur radio operators and transmitting prohibited </w:t>
      </w:r>
      <w:r w:rsidR="00206140">
        <w:rPr>
          <w:spacing w:val="-3"/>
          <w:sz w:val="22"/>
          <w:szCs w:val="22"/>
        </w:rPr>
        <w:t xml:space="preserve">communications and </w:t>
      </w:r>
      <w:r w:rsidRPr="000113B2">
        <w:rPr>
          <w:spacing w:val="-3"/>
          <w:sz w:val="22"/>
          <w:szCs w:val="22"/>
        </w:rPr>
        <w:t xml:space="preserve">emissions, </w:t>
      </w:r>
      <w:r w:rsidR="00206140">
        <w:rPr>
          <w:spacing w:val="-3"/>
          <w:sz w:val="22"/>
          <w:szCs w:val="22"/>
        </w:rPr>
        <w:t>including</w:t>
      </w:r>
      <w:r w:rsidRPr="000113B2">
        <w:rPr>
          <w:spacing w:val="-3"/>
          <w:sz w:val="22"/>
          <w:szCs w:val="22"/>
        </w:rPr>
        <w:t xml:space="preserve"> music.</w:t>
      </w:r>
      <w:r w:rsidRPr="000113B2">
        <w:rPr>
          <w:spacing w:val="-3"/>
          <w:sz w:val="22"/>
          <w:szCs w:val="22"/>
          <w:vertAlign w:val="superscript"/>
        </w:rPr>
        <w:footnoteReference w:id="6"/>
      </w:r>
      <w:r w:rsidRPr="000113B2">
        <w:rPr>
          <w:spacing w:val="-3"/>
          <w:sz w:val="22"/>
          <w:szCs w:val="22"/>
        </w:rPr>
        <w:t xml:space="preserve">  </w:t>
      </w:r>
      <w:r w:rsidR="008914FA" w:rsidRPr="00A6370F">
        <w:rPr>
          <w:spacing w:val="-3"/>
          <w:sz w:val="22"/>
          <w:szCs w:val="22"/>
        </w:rPr>
        <w:t>Section 503(b) of the Act provides that any person who willfully or repeatedly fails to comply substantially with the terms and conditions of any license, or willfully or repeatedly fails to comply with any of the provisions of the Act or of any rule, regulation, or order issued by the Commission thereunder, shall be liable for a forfeiture penalty.</w:t>
      </w:r>
      <w:r w:rsidR="008914FA" w:rsidRPr="00A6370F">
        <w:rPr>
          <w:rStyle w:val="FootnoteReference"/>
          <w:spacing w:val="-3"/>
          <w:sz w:val="22"/>
          <w:szCs w:val="22"/>
        </w:rPr>
        <w:footnoteReference w:id="7"/>
      </w:r>
      <w:r w:rsidR="008914FA" w:rsidRPr="00A6370F">
        <w:rPr>
          <w:spacing w:val="-3"/>
          <w:sz w:val="22"/>
          <w:szCs w:val="22"/>
        </w:rPr>
        <w:t xml:space="preserve">  </w:t>
      </w:r>
      <w:r w:rsidR="008914FA" w:rsidRPr="00A6370F">
        <w:rPr>
          <w:color w:val="000000"/>
          <w:spacing w:val="-3"/>
          <w:sz w:val="22"/>
          <w:szCs w:val="22"/>
        </w:rPr>
        <w:t>Section 312(f)(1) of the Act defines “willful” as the “conscious and deliberate commission or omission of [any] act, irrespective of any intent to violate” the law.</w:t>
      </w:r>
      <w:r w:rsidR="008914FA" w:rsidRPr="00A6370F">
        <w:rPr>
          <w:rStyle w:val="FootnoteReference"/>
          <w:color w:val="000000"/>
          <w:spacing w:val="-3"/>
          <w:sz w:val="22"/>
          <w:szCs w:val="22"/>
        </w:rPr>
        <w:footnoteReference w:id="8"/>
      </w:r>
      <w:r w:rsidR="008914FA" w:rsidRPr="00A6370F">
        <w:rPr>
          <w:color w:val="000000"/>
          <w:spacing w:val="-3"/>
          <w:sz w:val="22"/>
          <w:szCs w:val="22"/>
        </w:rPr>
        <w:t xml:space="preserve">  The legislative history to Section 312(f)(1) of the Act clarifies that this definition of willful applies to both Sections 312 and 503(b) of the Act,</w:t>
      </w:r>
      <w:r w:rsidR="008914FA" w:rsidRPr="00A6370F">
        <w:rPr>
          <w:rStyle w:val="FootnoteReference"/>
          <w:color w:val="000000"/>
          <w:spacing w:val="-3"/>
          <w:sz w:val="22"/>
          <w:szCs w:val="22"/>
        </w:rPr>
        <w:footnoteReference w:id="9"/>
      </w:r>
      <w:r w:rsidR="008914FA" w:rsidRPr="00A6370F">
        <w:rPr>
          <w:color w:val="000000"/>
          <w:spacing w:val="-3"/>
          <w:sz w:val="22"/>
          <w:szCs w:val="22"/>
        </w:rPr>
        <w:t xml:space="preserve"> </w:t>
      </w:r>
      <w:r w:rsidR="008914FA" w:rsidRPr="00A6370F">
        <w:rPr>
          <w:color w:val="000000"/>
          <w:spacing w:val="-3"/>
          <w:sz w:val="22"/>
          <w:szCs w:val="22"/>
        </w:rPr>
        <w:lastRenderedPageBreak/>
        <w:t>and the Commission has so interpreted the term in the Section 503(b) context.</w:t>
      </w:r>
      <w:r w:rsidR="008914FA" w:rsidRPr="00A6370F">
        <w:rPr>
          <w:rStyle w:val="FootnoteReference"/>
          <w:color w:val="000000"/>
          <w:spacing w:val="-3"/>
          <w:sz w:val="22"/>
          <w:szCs w:val="22"/>
        </w:rPr>
        <w:footnoteReference w:id="10"/>
      </w:r>
      <w:r w:rsidR="008914FA" w:rsidRPr="00A6370F">
        <w:rPr>
          <w:color w:val="000000"/>
          <w:spacing w:val="-3"/>
          <w:sz w:val="22"/>
          <w:szCs w:val="22"/>
        </w:rPr>
        <w:t xml:space="preserve">  </w:t>
      </w:r>
      <w:r w:rsidR="008914FA" w:rsidRPr="00A6370F">
        <w:rPr>
          <w:color w:val="000000"/>
          <w:sz w:val="22"/>
          <w:szCs w:val="22"/>
        </w:rPr>
        <w:t>The Commission may also assess a forfeiture for violations that are merely repeated, and not willful.</w:t>
      </w:r>
      <w:r w:rsidR="008914FA" w:rsidRPr="00A6370F">
        <w:rPr>
          <w:rStyle w:val="FootnoteReference"/>
          <w:color w:val="000000"/>
          <w:sz w:val="22"/>
          <w:szCs w:val="22"/>
        </w:rPr>
        <w:footnoteReference w:id="11"/>
      </w:r>
      <w:r w:rsidR="008914FA" w:rsidRPr="00A6370F">
        <w:rPr>
          <w:color w:val="000000"/>
          <w:sz w:val="22"/>
          <w:szCs w:val="22"/>
        </w:rPr>
        <w:t xml:space="preserve">  </w:t>
      </w:r>
      <w:r w:rsidR="008914FA" w:rsidRPr="00A6370F">
        <w:rPr>
          <w:color w:val="000000"/>
          <w:spacing w:val="-3"/>
          <w:sz w:val="22"/>
          <w:szCs w:val="22"/>
        </w:rPr>
        <w:t>The term “repeated” means the commission or omission of such act more than once or for more than one day.</w:t>
      </w:r>
      <w:r w:rsidR="008914FA" w:rsidRPr="00A6370F">
        <w:rPr>
          <w:rStyle w:val="FootnoteReference"/>
          <w:color w:val="000000"/>
          <w:spacing w:val="-3"/>
          <w:sz w:val="22"/>
          <w:szCs w:val="22"/>
        </w:rPr>
        <w:footnoteReference w:id="12"/>
      </w:r>
      <w:r w:rsidR="008914FA" w:rsidRPr="00A6370F">
        <w:rPr>
          <w:color w:val="000000"/>
          <w:spacing w:val="-3"/>
          <w:sz w:val="22"/>
          <w:szCs w:val="22"/>
        </w:rPr>
        <w:t xml:space="preserve"> </w:t>
      </w:r>
    </w:p>
    <w:p w14:paraId="696A8D39" w14:textId="77777777" w:rsidR="008914FA" w:rsidRPr="00A6370F" w:rsidRDefault="005F1F5A" w:rsidP="007E5D46">
      <w:pPr>
        <w:pStyle w:val="Heading2"/>
        <w:rPr>
          <w:sz w:val="22"/>
          <w:szCs w:val="22"/>
        </w:rPr>
      </w:pPr>
      <w:r w:rsidRPr="00A6370F">
        <w:rPr>
          <w:sz w:val="22"/>
          <w:szCs w:val="22"/>
        </w:rPr>
        <w:t>Causing Intentional Interference to Licensed Communications</w:t>
      </w:r>
      <w:r w:rsidR="00C85747">
        <w:rPr>
          <w:sz w:val="22"/>
          <w:szCs w:val="22"/>
        </w:rPr>
        <w:t xml:space="preserve"> </w:t>
      </w:r>
    </w:p>
    <w:p w14:paraId="37B8C3C3" w14:textId="77777777" w:rsidR="005F1F5A" w:rsidRPr="00A6370F" w:rsidRDefault="00EE5FE0" w:rsidP="008E13EE">
      <w:pPr>
        <w:widowControl/>
        <w:numPr>
          <w:ilvl w:val="0"/>
          <w:numId w:val="22"/>
        </w:numPr>
        <w:tabs>
          <w:tab w:val="clear" w:pos="1260"/>
          <w:tab w:val="num" w:pos="1440"/>
          <w:tab w:val="left" w:pos="4680"/>
          <w:tab w:val="left" w:pos="5760"/>
        </w:tabs>
        <w:spacing w:after="120"/>
        <w:ind w:left="0"/>
        <w:rPr>
          <w:sz w:val="22"/>
          <w:szCs w:val="22"/>
        </w:rPr>
      </w:pPr>
      <w:r w:rsidRPr="00A6370F">
        <w:rPr>
          <w:color w:val="000000"/>
          <w:spacing w:val="-2"/>
          <w:sz w:val="22"/>
          <w:szCs w:val="22"/>
        </w:rPr>
        <w:t xml:space="preserve">We find that the </w:t>
      </w:r>
      <w:r w:rsidR="008914FA" w:rsidRPr="00A6370F">
        <w:rPr>
          <w:color w:val="000000"/>
          <w:spacing w:val="-2"/>
          <w:sz w:val="22"/>
          <w:szCs w:val="22"/>
        </w:rPr>
        <w:t xml:space="preserve">evidence in this case is sufficient to establish that Mr. </w:t>
      </w:r>
      <w:r w:rsidR="00B8386D">
        <w:rPr>
          <w:color w:val="000000"/>
          <w:spacing w:val="-2"/>
          <w:sz w:val="22"/>
          <w:szCs w:val="22"/>
        </w:rPr>
        <w:t>Crowell</w:t>
      </w:r>
      <w:r w:rsidR="008914FA" w:rsidRPr="00A6370F">
        <w:rPr>
          <w:color w:val="000000"/>
          <w:spacing w:val="-2"/>
          <w:sz w:val="22"/>
          <w:szCs w:val="22"/>
        </w:rPr>
        <w:t xml:space="preserve"> </w:t>
      </w:r>
      <w:r w:rsidR="006C73C9" w:rsidRPr="00A6370F">
        <w:rPr>
          <w:color w:val="000000"/>
          <w:spacing w:val="-2"/>
          <w:sz w:val="22"/>
          <w:szCs w:val="22"/>
        </w:rPr>
        <w:t xml:space="preserve">willfully and repeatedly </w:t>
      </w:r>
      <w:r w:rsidR="005F1F5A" w:rsidRPr="00A6370F">
        <w:rPr>
          <w:color w:val="000000"/>
          <w:spacing w:val="-2"/>
          <w:sz w:val="22"/>
          <w:szCs w:val="22"/>
        </w:rPr>
        <w:t>violated Section 333</w:t>
      </w:r>
      <w:r w:rsidR="008914FA" w:rsidRPr="00A6370F">
        <w:rPr>
          <w:color w:val="000000"/>
          <w:spacing w:val="-2"/>
          <w:sz w:val="22"/>
          <w:szCs w:val="22"/>
        </w:rPr>
        <w:t xml:space="preserve"> of the Act</w:t>
      </w:r>
      <w:r w:rsidR="005F1F5A" w:rsidRPr="00A6370F">
        <w:rPr>
          <w:color w:val="000000"/>
          <w:spacing w:val="-2"/>
          <w:sz w:val="22"/>
          <w:szCs w:val="22"/>
        </w:rPr>
        <w:t xml:space="preserve"> and Section 97.101(d) of the Rules</w:t>
      </w:r>
      <w:r w:rsidR="008914FA" w:rsidRPr="00A6370F">
        <w:rPr>
          <w:color w:val="000000"/>
          <w:spacing w:val="-2"/>
          <w:sz w:val="22"/>
          <w:szCs w:val="22"/>
        </w:rPr>
        <w:t xml:space="preserve">.  </w:t>
      </w:r>
      <w:r w:rsidR="008914FA" w:rsidRPr="00A6370F">
        <w:rPr>
          <w:spacing w:val="-3"/>
          <w:sz w:val="22"/>
          <w:szCs w:val="22"/>
        </w:rPr>
        <w:t>Section</w:t>
      </w:r>
      <w:r w:rsidR="005F1F5A" w:rsidRPr="00A6370F">
        <w:rPr>
          <w:spacing w:val="-3"/>
          <w:sz w:val="22"/>
          <w:szCs w:val="22"/>
        </w:rPr>
        <w:t xml:space="preserve"> 333 of the Act states that “[n]o person shall willfully or maliciously interfere with or cause interference to any radio communications of any stations licensed or authorized by or under the Act or operated by the United States Government.”</w:t>
      </w:r>
      <w:r w:rsidR="008914FA" w:rsidRPr="00A6370F">
        <w:rPr>
          <w:rStyle w:val="FootnoteReference"/>
          <w:color w:val="000000"/>
          <w:sz w:val="22"/>
          <w:szCs w:val="22"/>
        </w:rPr>
        <w:footnoteReference w:id="13"/>
      </w:r>
      <w:r w:rsidR="008914FA" w:rsidRPr="00A6370F">
        <w:rPr>
          <w:color w:val="000000"/>
          <w:spacing w:val="-2"/>
          <w:sz w:val="22"/>
          <w:szCs w:val="22"/>
        </w:rPr>
        <w:t xml:space="preserve">  </w:t>
      </w:r>
      <w:r w:rsidR="005F1F5A" w:rsidRPr="00A6370F">
        <w:rPr>
          <w:color w:val="000000"/>
          <w:sz w:val="22"/>
          <w:szCs w:val="22"/>
          <w:shd w:val="clear" w:color="auto" w:fill="FFFFFF"/>
        </w:rPr>
        <w:t>The legislative history for Section 333 of the Act identifies willful and malicious interference as “intentional jamming, deliberate transmission on top of the transmissions of authorized users already using specific frequencies in order to obstruct their communications, repeated interruptions, and the use and transmission of whistles, tapes, records, or other types of noisemaking devices to interfere with the communications or radio signals of other stations.”</w:t>
      </w:r>
      <w:bookmarkStart w:id="1" w:name="FN[FN11]"/>
      <w:bookmarkEnd w:id="1"/>
      <w:r w:rsidR="005F1F5A" w:rsidRPr="00A6370F">
        <w:rPr>
          <w:rStyle w:val="FootnoteReference"/>
          <w:color w:val="000000"/>
          <w:sz w:val="22"/>
          <w:szCs w:val="22"/>
          <w:shd w:val="clear" w:color="auto" w:fill="FFFFFF"/>
        </w:rPr>
        <w:footnoteReference w:id="14"/>
      </w:r>
      <w:r w:rsidR="005F1F5A" w:rsidRPr="00A6370F">
        <w:rPr>
          <w:color w:val="000000"/>
          <w:sz w:val="22"/>
          <w:szCs w:val="22"/>
          <w:shd w:val="clear" w:color="auto" w:fill="FFFFFF"/>
        </w:rPr>
        <w:t xml:space="preserve">  </w:t>
      </w:r>
      <w:r w:rsidR="005F1F5A" w:rsidRPr="00A6370F">
        <w:rPr>
          <w:color w:val="000000"/>
          <w:sz w:val="22"/>
          <w:szCs w:val="22"/>
        </w:rPr>
        <w:t>Section 97.101(d) of the Rules states that “</w:t>
      </w:r>
      <w:r w:rsidR="005F1F5A" w:rsidRPr="00A6370F">
        <w:rPr>
          <w:color w:val="000000"/>
          <w:sz w:val="22"/>
          <w:szCs w:val="22"/>
          <w:shd w:val="clear" w:color="auto" w:fill="FFFFFF"/>
        </w:rPr>
        <w:t>[n]o amateur operator shall willfully or maliciously interfere with or cause interference to any radio communication or signal.”</w:t>
      </w:r>
      <w:r w:rsidR="005F1F5A" w:rsidRPr="00A6370F">
        <w:rPr>
          <w:rStyle w:val="FootnoteReference"/>
          <w:color w:val="000000"/>
          <w:sz w:val="22"/>
          <w:szCs w:val="22"/>
          <w:shd w:val="clear" w:color="auto" w:fill="FFFFFF"/>
        </w:rPr>
        <w:footnoteReference w:id="15"/>
      </w:r>
      <w:r w:rsidR="005F1F5A" w:rsidRPr="00A6370F">
        <w:rPr>
          <w:color w:val="000000"/>
          <w:sz w:val="22"/>
          <w:szCs w:val="22"/>
          <w:shd w:val="clear" w:color="auto" w:fill="FFFFFF"/>
        </w:rPr>
        <w:t xml:space="preserve"> </w:t>
      </w:r>
    </w:p>
    <w:p w14:paraId="463AD393" w14:textId="457B219D" w:rsidR="00693BA0" w:rsidRPr="00A6370F" w:rsidRDefault="00566441" w:rsidP="008E13EE">
      <w:pPr>
        <w:widowControl/>
        <w:numPr>
          <w:ilvl w:val="0"/>
          <w:numId w:val="22"/>
        </w:numPr>
        <w:tabs>
          <w:tab w:val="clear" w:pos="1260"/>
          <w:tab w:val="num" w:pos="1440"/>
          <w:tab w:val="left" w:pos="4680"/>
          <w:tab w:val="left" w:pos="5760"/>
        </w:tabs>
        <w:spacing w:after="120"/>
        <w:ind w:left="0"/>
        <w:rPr>
          <w:sz w:val="22"/>
          <w:szCs w:val="22"/>
        </w:rPr>
      </w:pPr>
      <w:r w:rsidRPr="00A6370F">
        <w:rPr>
          <w:color w:val="000000"/>
          <w:spacing w:val="-2"/>
          <w:sz w:val="22"/>
          <w:szCs w:val="22"/>
        </w:rPr>
        <w:t xml:space="preserve">On </w:t>
      </w:r>
      <w:r w:rsidR="00B8386D">
        <w:rPr>
          <w:color w:val="000000"/>
          <w:spacing w:val="-2"/>
          <w:sz w:val="22"/>
          <w:szCs w:val="22"/>
        </w:rPr>
        <w:t>August</w:t>
      </w:r>
      <w:r w:rsidR="0022435D">
        <w:rPr>
          <w:color w:val="000000"/>
          <w:spacing w:val="-2"/>
          <w:sz w:val="22"/>
          <w:szCs w:val="22"/>
        </w:rPr>
        <w:t xml:space="preserve"> 25</w:t>
      </w:r>
      <w:r w:rsidR="00B8386D">
        <w:rPr>
          <w:color w:val="000000"/>
          <w:spacing w:val="-2"/>
          <w:sz w:val="22"/>
          <w:szCs w:val="22"/>
        </w:rPr>
        <w:t xml:space="preserve"> and 2</w:t>
      </w:r>
      <w:r w:rsidR="0022435D">
        <w:rPr>
          <w:color w:val="000000"/>
          <w:spacing w:val="-2"/>
          <w:sz w:val="22"/>
          <w:szCs w:val="22"/>
        </w:rPr>
        <w:t>7</w:t>
      </w:r>
      <w:r w:rsidR="00307DCE" w:rsidRPr="00A6370F">
        <w:rPr>
          <w:color w:val="000000"/>
          <w:spacing w:val="-2"/>
          <w:sz w:val="22"/>
          <w:szCs w:val="22"/>
        </w:rPr>
        <w:t xml:space="preserve">, 2015, </w:t>
      </w:r>
      <w:r w:rsidR="00B8386D">
        <w:rPr>
          <w:color w:val="000000"/>
          <w:spacing w:val="-2"/>
          <w:sz w:val="22"/>
          <w:szCs w:val="22"/>
        </w:rPr>
        <w:t xml:space="preserve">Western Region </w:t>
      </w:r>
      <w:r w:rsidR="00307DCE" w:rsidRPr="00A6370F">
        <w:rPr>
          <w:color w:val="000000"/>
          <w:spacing w:val="-2"/>
          <w:sz w:val="22"/>
          <w:szCs w:val="22"/>
        </w:rPr>
        <w:t>agent</w:t>
      </w:r>
      <w:r w:rsidR="00B8386D">
        <w:rPr>
          <w:color w:val="000000"/>
          <w:spacing w:val="-2"/>
          <w:sz w:val="22"/>
          <w:szCs w:val="22"/>
        </w:rPr>
        <w:t>s</w:t>
      </w:r>
      <w:r w:rsidR="00307DCE" w:rsidRPr="00A6370F">
        <w:rPr>
          <w:color w:val="000000"/>
          <w:spacing w:val="-2"/>
          <w:sz w:val="22"/>
          <w:szCs w:val="22"/>
        </w:rPr>
        <w:t xml:space="preserve"> located the source of interference </w:t>
      </w:r>
      <w:r w:rsidR="00B14C15">
        <w:rPr>
          <w:color w:val="000000"/>
          <w:spacing w:val="-2"/>
          <w:sz w:val="22"/>
          <w:szCs w:val="22"/>
        </w:rPr>
        <w:t xml:space="preserve">to the WARFA net’s operation on 3908 kHz </w:t>
      </w:r>
      <w:r w:rsidR="00307DCE" w:rsidRPr="00A6370F">
        <w:rPr>
          <w:color w:val="000000"/>
          <w:spacing w:val="-2"/>
          <w:sz w:val="22"/>
          <w:szCs w:val="22"/>
        </w:rPr>
        <w:t>to the address of record</w:t>
      </w:r>
      <w:r w:rsidR="00920494">
        <w:rPr>
          <w:color w:val="000000"/>
          <w:spacing w:val="-2"/>
          <w:sz w:val="22"/>
          <w:szCs w:val="22"/>
        </w:rPr>
        <w:t xml:space="preserve"> for Mr. </w:t>
      </w:r>
      <w:r w:rsidR="00B8386D">
        <w:rPr>
          <w:color w:val="000000"/>
          <w:spacing w:val="-2"/>
          <w:sz w:val="22"/>
          <w:szCs w:val="22"/>
        </w:rPr>
        <w:t>Crowell’</w:t>
      </w:r>
      <w:r w:rsidR="00307DCE" w:rsidRPr="00A6370F">
        <w:rPr>
          <w:color w:val="000000"/>
          <w:spacing w:val="-2"/>
          <w:sz w:val="22"/>
          <w:szCs w:val="22"/>
        </w:rPr>
        <w:t xml:space="preserve">s amateur station, </w:t>
      </w:r>
      <w:r w:rsidR="00B8386D" w:rsidRPr="00B8386D">
        <w:rPr>
          <w:color w:val="000000"/>
          <w:spacing w:val="-2"/>
          <w:sz w:val="22"/>
          <w:szCs w:val="22"/>
        </w:rPr>
        <w:t>W6WBJ</w:t>
      </w:r>
      <w:r w:rsidR="00307DCE" w:rsidRPr="00A6370F">
        <w:rPr>
          <w:color w:val="000000"/>
          <w:spacing w:val="-2"/>
          <w:sz w:val="22"/>
          <w:szCs w:val="22"/>
        </w:rPr>
        <w:t xml:space="preserve">.  </w:t>
      </w:r>
      <w:r w:rsidR="00B8386D">
        <w:rPr>
          <w:color w:val="000000"/>
          <w:spacing w:val="-2"/>
          <w:sz w:val="22"/>
          <w:szCs w:val="22"/>
        </w:rPr>
        <w:t xml:space="preserve"> </w:t>
      </w:r>
      <w:r w:rsidR="00307DCE" w:rsidRPr="00A6370F">
        <w:rPr>
          <w:color w:val="000000"/>
          <w:spacing w:val="-2"/>
          <w:sz w:val="22"/>
          <w:szCs w:val="22"/>
        </w:rPr>
        <w:t>The agent</w:t>
      </w:r>
      <w:r w:rsidR="00B8386D">
        <w:rPr>
          <w:color w:val="000000"/>
          <w:spacing w:val="-2"/>
          <w:sz w:val="22"/>
          <w:szCs w:val="22"/>
        </w:rPr>
        <w:t>s</w:t>
      </w:r>
      <w:r w:rsidR="00A21F36">
        <w:rPr>
          <w:color w:val="000000"/>
          <w:spacing w:val="-2"/>
          <w:sz w:val="22"/>
          <w:szCs w:val="22"/>
        </w:rPr>
        <w:t>, and the HFDF Center,</w:t>
      </w:r>
      <w:r w:rsidR="00307DCE" w:rsidRPr="00A6370F">
        <w:rPr>
          <w:color w:val="000000"/>
          <w:spacing w:val="-2"/>
          <w:sz w:val="22"/>
          <w:szCs w:val="22"/>
        </w:rPr>
        <w:t xml:space="preserve"> heard Mr. </w:t>
      </w:r>
      <w:r w:rsidR="00B8386D">
        <w:rPr>
          <w:color w:val="000000"/>
          <w:spacing w:val="-2"/>
          <w:sz w:val="22"/>
          <w:szCs w:val="22"/>
        </w:rPr>
        <w:t>Crowell</w:t>
      </w:r>
      <w:r w:rsidR="00492910">
        <w:rPr>
          <w:color w:val="000000"/>
          <w:spacing w:val="-2"/>
          <w:sz w:val="22"/>
          <w:szCs w:val="22"/>
        </w:rPr>
        <w:t>’</w:t>
      </w:r>
      <w:r w:rsidR="00BE2C7A">
        <w:rPr>
          <w:color w:val="000000"/>
          <w:spacing w:val="-2"/>
          <w:sz w:val="22"/>
          <w:szCs w:val="22"/>
        </w:rPr>
        <w:t>s</w:t>
      </w:r>
      <w:r w:rsidR="00492910">
        <w:rPr>
          <w:color w:val="000000"/>
          <w:spacing w:val="-2"/>
          <w:sz w:val="22"/>
          <w:szCs w:val="22"/>
        </w:rPr>
        <w:t xml:space="preserve"> amateur radio station</w:t>
      </w:r>
      <w:r w:rsidR="00307DCE" w:rsidRPr="00A6370F">
        <w:rPr>
          <w:color w:val="000000"/>
          <w:spacing w:val="-2"/>
          <w:sz w:val="22"/>
          <w:szCs w:val="22"/>
        </w:rPr>
        <w:t xml:space="preserve"> intentionally interfering with other amateur licensees by transmitting </w:t>
      </w:r>
      <w:r w:rsidR="00B8386D" w:rsidRPr="00B8386D">
        <w:rPr>
          <w:color w:val="000000"/>
          <w:spacing w:val="-2"/>
          <w:sz w:val="22"/>
          <w:szCs w:val="22"/>
        </w:rPr>
        <w:t xml:space="preserve">on top of other amateurs attempting to transmit as part of the </w:t>
      </w:r>
      <w:r w:rsidR="00B8386D">
        <w:rPr>
          <w:color w:val="000000"/>
          <w:spacing w:val="-2"/>
          <w:sz w:val="22"/>
          <w:szCs w:val="22"/>
        </w:rPr>
        <w:t xml:space="preserve">WARFA </w:t>
      </w:r>
      <w:r w:rsidR="00B8386D" w:rsidRPr="00B8386D">
        <w:rPr>
          <w:color w:val="000000"/>
          <w:spacing w:val="-2"/>
          <w:sz w:val="22"/>
          <w:szCs w:val="22"/>
        </w:rPr>
        <w:t>net</w:t>
      </w:r>
      <w:r w:rsidR="00B8386D">
        <w:rPr>
          <w:color w:val="000000"/>
          <w:spacing w:val="-2"/>
          <w:sz w:val="22"/>
          <w:szCs w:val="22"/>
        </w:rPr>
        <w:t xml:space="preserve"> and</w:t>
      </w:r>
      <w:r w:rsidR="00B8386D" w:rsidRPr="00B8386D">
        <w:rPr>
          <w:color w:val="000000"/>
          <w:spacing w:val="-2"/>
          <w:sz w:val="22"/>
          <w:szCs w:val="22"/>
        </w:rPr>
        <w:t xml:space="preserve"> repeatedly interrupt</w:t>
      </w:r>
      <w:r w:rsidR="00B8386D">
        <w:rPr>
          <w:color w:val="000000"/>
          <w:spacing w:val="-2"/>
          <w:sz w:val="22"/>
          <w:szCs w:val="22"/>
        </w:rPr>
        <w:t>ing</w:t>
      </w:r>
      <w:r w:rsidR="00B8386D" w:rsidRPr="00B8386D">
        <w:rPr>
          <w:color w:val="000000"/>
          <w:spacing w:val="-2"/>
          <w:sz w:val="22"/>
          <w:szCs w:val="22"/>
        </w:rPr>
        <w:t xml:space="preserve"> other amateurs using noises, recordings and music, so as to not allow them to transmit on</w:t>
      </w:r>
      <w:r w:rsidR="00867693">
        <w:rPr>
          <w:color w:val="000000"/>
          <w:spacing w:val="-2"/>
          <w:sz w:val="22"/>
          <w:szCs w:val="22"/>
        </w:rPr>
        <w:t xml:space="preserve"> 3908 kHz</w:t>
      </w:r>
      <w:r w:rsidR="00B8386D">
        <w:rPr>
          <w:color w:val="000000"/>
          <w:spacing w:val="-2"/>
          <w:sz w:val="22"/>
          <w:szCs w:val="22"/>
        </w:rPr>
        <w:t xml:space="preserve">.  </w:t>
      </w:r>
      <w:r w:rsidR="00F23FB2">
        <w:rPr>
          <w:color w:val="000000"/>
          <w:spacing w:val="-2"/>
          <w:sz w:val="22"/>
          <w:szCs w:val="22"/>
        </w:rPr>
        <w:t>D</w:t>
      </w:r>
      <w:r w:rsidR="001D3EB1">
        <w:rPr>
          <w:color w:val="000000"/>
          <w:spacing w:val="-2"/>
          <w:sz w:val="22"/>
          <w:szCs w:val="22"/>
        </w:rPr>
        <w:t xml:space="preserve">uring the two nights of monitoring 3908 kHz, </w:t>
      </w:r>
      <w:r w:rsidR="00F5782A">
        <w:rPr>
          <w:color w:val="000000"/>
          <w:spacing w:val="-2"/>
          <w:sz w:val="22"/>
          <w:szCs w:val="22"/>
        </w:rPr>
        <w:t xml:space="preserve">between </w:t>
      </w:r>
      <w:r w:rsidR="00122BC4">
        <w:rPr>
          <w:color w:val="000000"/>
          <w:spacing w:val="-2"/>
          <w:sz w:val="22"/>
          <w:szCs w:val="22"/>
        </w:rPr>
        <w:t xml:space="preserve">7:45 P.M. and 9:45 p.m. </w:t>
      </w:r>
      <w:r w:rsidR="00F5782A">
        <w:rPr>
          <w:color w:val="000000"/>
          <w:spacing w:val="-2"/>
          <w:sz w:val="22"/>
          <w:szCs w:val="22"/>
        </w:rPr>
        <w:t xml:space="preserve">PDT, </w:t>
      </w:r>
      <w:r w:rsidR="001D3EB1">
        <w:rPr>
          <w:color w:val="000000"/>
          <w:spacing w:val="-2"/>
          <w:sz w:val="22"/>
          <w:szCs w:val="22"/>
        </w:rPr>
        <w:t xml:space="preserve">the agents and the HFDF Center observed at least a dozen instances per night, lasting from </w:t>
      </w:r>
      <w:r w:rsidR="00122BC4">
        <w:rPr>
          <w:color w:val="000000"/>
          <w:spacing w:val="-2"/>
          <w:sz w:val="22"/>
          <w:szCs w:val="22"/>
        </w:rPr>
        <w:t>thirty seconds</w:t>
      </w:r>
      <w:r w:rsidR="001D3EB1">
        <w:rPr>
          <w:color w:val="000000"/>
          <w:spacing w:val="-2"/>
          <w:sz w:val="22"/>
          <w:szCs w:val="22"/>
        </w:rPr>
        <w:t xml:space="preserve"> to </w:t>
      </w:r>
      <w:r w:rsidR="00122BC4">
        <w:rPr>
          <w:color w:val="000000"/>
          <w:spacing w:val="-2"/>
          <w:sz w:val="22"/>
          <w:szCs w:val="22"/>
        </w:rPr>
        <w:t xml:space="preserve">at least </w:t>
      </w:r>
      <w:r w:rsidR="001D3EB1">
        <w:rPr>
          <w:color w:val="000000"/>
          <w:spacing w:val="-2"/>
          <w:sz w:val="22"/>
          <w:szCs w:val="22"/>
        </w:rPr>
        <w:t xml:space="preserve">four minutes each, of Mr. Crowell intentionally transmitting on top of </w:t>
      </w:r>
      <w:r w:rsidR="00F5782A">
        <w:rPr>
          <w:color w:val="000000"/>
          <w:spacing w:val="-2"/>
          <w:sz w:val="22"/>
          <w:szCs w:val="22"/>
        </w:rPr>
        <w:t xml:space="preserve">and repeatedly interrupting </w:t>
      </w:r>
      <w:r w:rsidR="001D3EB1">
        <w:rPr>
          <w:color w:val="000000"/>
          <w:spacing w:val="-2"/>
          <w:sz w:val="22"/>
          <w:szCs w:val="22"/>
        </w:rPr>
        <w:t>other amateurs on the WARFA net.</w:t>
      </w:r>
      <w:r w:rsidR="00B14C15">
        <w:rPr>
          <w:rStyle w:val="FootnoteReference"/>
          <w:color w:val="000000"/>
          <w:spacing w:val="-2"/>
          <w:sz w:val="22"/>
          <w:szCs w:val="22"/>
        </w:rPr>
        <w:footnoteReference w:id="16"/>
      </w:r>
      <w:r w:rsidR="001D3EB1">
        <w:rPr>
          <w:color w:val="000000"/>
          <w:spacing w:val="-2"/>
          <w:sz w:val="22"/>
          <w:szCs w:val="22"/>
        </w:rPr>
        <w:t xml:space="preserve">  </w:t>
      </w:r>
      <w:r w:rsidR="00B8386D" w:rsidRPr="00B8386D">
        <w:rPr>
          <w:color w:val="000000"/>
          <w:spacing w:val="-2"/>
          <w:sz w:val="22"/>
          <w:szCs w:val="22"/>
        </w:rPr>
        <w:t xml:space="preserve">Mr. Crowell </w:t>
      </w:r>
      <w:r w:rsidR="00422D0A">
        <w:rPr>
          <w:color w:val="000000"/>
          <w:spacing w:val="-2"/>
          <w:sz w:val="22"/>
          <w:szCs w:val="22"/>
        </w:rPr>
        <w:t xml:space="preserve">also </w:t>
      </w:r>
      <w:r w:rsidR="00F5782A">
        <w:rPr>
          <w:color w:val="000000"/>
          <w:spacing w:val="-2"/>
          <w:sz w:val="22"/>
          <w:szCs w:val="22"/>
        </w:rPr>
        <w:t xml:space="preserve">used music and other sounds to interfere with other amateurs, including recordings.  </w:t>
      </w:r>
      <w:r w:rsidR="00867693">
        <w:rPr>
          <w:color w:val="000000"/>
          <w:spacing w:val="-2"/>
          <w:sz w:val="22"/>
          <w:szCs w:val="22"/>
        </w:rPr>
        <w:t xml:space="preserve">During an inspection of his station, Mr. Crowell acknowledged to Western Region agents that </w:t>
      </w:r>
      <w:r w:rsidR="00F23FB2">
        <w:rPr>
          <w:color w:val="000000"/>
          <w:spacing w:val="-2"/>
          <w:sz w:val="22"/>
          <w:szCs w:val="22"/>
        </w:rPr>
        <w:t xml:space="preserve">he </w:t>
      </w:r>
      <w:r w:rsidR="00867693">
        <w:rPr>
          <w:color w:val="000000"/>
          <w:spacing w:val="-2"/>
          <w:sz w:val="22"/>
          <w:szCs w:val="22"/>
        </w:rPr>
        <w:t>operates on 3908 kHz, along with other frequencies, on most nights</w:t>
      </w:r>
      <w:r w:rsidR="00422D0A">
        <w:rPr>
          <w:color w:val="000000"/>
          <w:spacing w:val="-2"/>
          <w:sz w:val="22"/>
          <w:szCs w:val="22"/>
        </w:rPr>
        <w:t>, and that he was transmitting the evening</w:t>
      </w:r>
      <w:r w:rsidR="00595A0E">
        <w:rPr>
          <w:color w:val="000000"/>
          <w:spacing w:val="-2"/>
          <w:sz w:val="22"/>
          <w:szCs w:val="22"/>
        </w:rPr>
        <w:t xml:space="preserve"> of </w:t>
      </w:r>
      <w:r w:rsidR="00422D0A">
        <w:rPr>
          <w:color w:val="000000"/>
          <w:spacing w:val="-2"/>
          <w:sz w:val="22"/>
          <w:szCs w:val="22"/>
        </w:rPr>
        <w:t>August 27</w:t>
      </w:r>
      <w:r w:rsidR="00867693">
        <w:rPr>
          <w:color w:val="000000"/>
          <w:spacing w:val="-2"/>
          <w:sz w:val="22"/>
          <w:szCs w:val="22"/>
        </w:rPr>
        <w:t>.</w:t>
      </w:r>
      <w:r w:rsidR="00307DCE" w:rsidRPr="00A6370F">
        <w:rPr>
          <w:color w:val="000000"/>
          <w:spacing w:val="-2"/>
          <w:sz w:val="22"/>
          <w:szCs w:val="22"/>
        </w:rPr>
        <w:t xml:space="preserve">  </w:t>
      </w:r>
      <w:r w:rsidR="00561F7C">
        <w:rPr>
          <w:color w:val="000000"/>
          <w:spacing w:val="-2"/>
          <w:sz w:val="22"/>
          <w:szCs w:val="22"/>
        </w:rPr>
        <w:t xml:space="preserve">The agents warned Mr. Crowell that his transmissions violate the Communications Act and the Commission’s Rules.  Mr. Crowell asserted both orally </w:t>
      </w:r>
      <w:r w:rsidR="008C3D04">
        <w:rPr>
          <w:color w:val="000000"/>
          <w:spacing w:val="-2"/>
          <w:sz w:val="22"/>
          <w:szCs w:val="22"/>
        </w:rPr>
        <w:t>during the inspection</w:t>
      </w:r>
      <w:r w:rsidR="00561F7C">
        <w:rPr>
          <w:color w:val="000000"/>
          <w:spacing w:val="-2"/>
          <w:sz w:val="22"/>
          <w:szCs w:val="22"/>
        </w:rPr>
        <w:t xml:space="preserve"> and in writing that playing</w:t>
      </w:r>
      <w:r w:rsidR="00595A0E">
        <w:rPr>
          <w:color w:val="000000"/>
          <w:spacing w:val="-2"/>
          <w:sz w:val="22"/>
          <w:szCs w:val="22"/>
        </w:rPr>
        <w:t xml:space="preserve"> recordings</w:t>
      </w:r>
      <w:r w:rsidR="00561F7C">
        <w:rPr>
          <w:color w:val="000000"/>
          <w:spacing w:val="-2"/>
          <w:sz w:val="22"/>
          <w:szCs w:val="22"/>
        </w:rPr>
        <w:t xml:space="preserve"> did</w:t>
      </w:r>
      <w:r w:rsidR="00122BC4">
        <w:rPr>
          <w:color w:val="000000"/>
          <w:spacing w:val="-2"/>
          <w:sz w:val="22"/>
          <w:szCs w:val="22"/>
        </w:rPr>
        <w:t xml:space="preserve"> not</w:t>
      </w:r>
      <w:r w:rsidR="00561F7C">
        <w:rPr>
          <w:color w:val="000000"/>
          <w:spacing w:val="-2"/>
          <w:sz w:val="22"/>
          <w:szCs w:val="22"/>
        </w:rPr>
        <w:t xml:space="preserve"> violate the Rules, and that he</w:t>
      </w:r>
      <w:r w:rsidR="00122BC4">
        <w:rPr>
          <w:color w:val="000000"/>
          <w:spacing w:val="-2"/>
          <w:sz w:val="22"/>
          <w:szCs w:val="22"/>
        </w:rPr>
        <w:t xml:space="preserve"> would</w:t>
      </w:r>
      <w:r w:rsidR="00561F7C">
        <w:rPr>
          <w:color w:val="000000"/>
          <w:spacing w:val="-2"/>
          <w:sz w:val="22"/>
          <w:szCs w:val="22"/>
        </w:rPr>
        <w:t xml:space="preserve"> continue to operate his amateur station as he had been doing.  On August 30, the HFDF Center observed Mr. Crowell </w:t>
      </w:r>
      <w:r w:rsidR="00457C41">
        <w:rPr>
          <w:color w:val="000000"/>
          <w:spacing w:val="-2"/>
          <w:sz w:val="22"/>
          <w:szCs w:val="22"/>
        </w:rPr>
        <w:t xml:space="preserve">using his amateur station to </w:t>
      </w:r>
      <w:r w:rsidR="00561F7C">
        <w:rPr>
          <w:color w:val="000000"/>
          <w:spacing w:val="-2"/>
          <w:sz w:val="22"/>
          <w:szCs w:val="22"/>
        </w:rPr>
        <w:t>engag</w:t>
      </w:r>
      <w:r w:rsidR="00186B4E">
        <w:rPr>
          <w:color w:val="000000"/>
          <w:spacing w:val="-2"/>
          <w:sz w:val="22"/>
          <w:szCs w:val="22"/>
        </w:rPr>
        <w:t>e</w:t>
      </w:r>
      <w:r w:rsidR="00561F7C">
        <w:rPr>
          <w:color w:val="000000"/>
          <w:spacing w:val="-2"/>
          <w:sz w:val="22"/>
          <w:szCs w:val="22"/>
        </w:rPr>
        <w:t xml:space="preserve"> in the same types of intentional interfering transmissions during the meeting time for the WARFA net.  We find that </w:t>
      </w:r>
      <w:r w:rsidR="00867693">
        <w:rPr>
          <w:color w:val="000000"/>
          <w:spacing w:val="-2"/>
          <w:sz w:val="22"/>
          <w:szCs w:val="22"/>
        </w:rPr>
        <w:t xml:space="preserve">Mr. Crowell’s transmissions </w:t>
      </w:r>
      <w:r w:rsidR="00307DCE" w:rsidRPr="00A6370F">
        <w:rPr>
          <w:color w:val="000000"/>
          <w:spacing w:val="-2"/>
          <w:sz w:val="22"/>
          <w:szCs w:val="22"/>
        </w:rPr>
        <w:t>were deliberate act</w:t>
      </w:r>
      <w:r w:rsidR="00F23FB2">
        <w:rPr>
          <w:color w:val="000000"/>
          <w:spacing w:val="-2"/>
          <w:sz w:val="22"/>
          <w:szCs w:val="22"/>
        </w:rPr>
        <w:t>s</w:t>
      </w:r>
      <w:r w:rsidR="00307DCE" w:rsidRPr="00A6370F">
        <w:rPr>
          <w:color w:val="000000"/>
          <w:spacing w:val="-2"/>
          <w:sz w:val="22"/>
          <w:szCs w:val="22"/>
        </w:rPr>
        <w:t xml:space="preserve"> to prevent other amateur radio operators from conducting legitimate communications.</w:t>
      </w:r>
      <w:r w:rsidR="00281649">
        <w:rPr>
          <w:rStyle w:val="FootnoteReference"/>
          <w:color w:val="000000"/>
          <w:spacing w:val="-2"/>
          <w:sz w:val="22"/>
          <w:szCs w:val="22"/>
        </w:rPr>
        <w:footnoteReference w:id="17"/>
      </w:r>
      <w:r w:rsidR="00307DCE" w:rsidRPr="00A6370F">
        <w:rPr>
          <w:color w:val="000000"/>
          <w:spacing w:val="-2"/>
          <w:sz w:val="22"/>
          <w:szCs w:val="22"/>
        </w:rPr>
        <w:t xml:space="preserve">  Based on the eviden</w:t>
      </w:r>
      <w:r w:rsidR="00B8386D">
        <w:rPr>
          <w:color w:val="000000"/>
          <w:spacing w:val="-2"/>
          <w:sz w:val="22"/>
          <w:szCs w:val="22"/>
        </w:rPr>
        <w:t>ce before us, we find that Mr. Crowell</w:t>
      </w:r>
      <w:r w:rsidR="00307DCE" w:rsidRPr="00A6370F">
        <w:rPr>
          <w:color w:val="000000"/>
          <w:spacing w:val="-2"/>
          <w:sz w:val="22"/>
          <w:szCs w:val="22"/>
        </w:rPr>
        <w:t xml:space="preserve"> apparently willfully </w:t>
      </w:r>
      <w:r w:rsidR="005D2051">
        <w:rPr>
          <w:color w:val="000000"/>
          <w:spacing w:val="-2"/>
          <w:sz w:val="22"/>
          <w:szCs w:val="22"/>
        </w:rPr>
        <w:t xml:space="preserve">and repeatedly </w:t>
      </w:r>
      <w:r w:rsidR="00307DCE" w:rsidRPr="00A6370F">
        <w:rPr>
          <w:color w:val="000000"/>
          <w:spacing w:val="-2"/>
          <w:sz w:val="22"/>
          <w:szCs w:val="22"/>
        </w:rPr>
        <w:t>violated Sec</w:t>
      </w:r>
      <w:r w:rsidR="00B42097">
        <w:rPr>
          <w:color w:val="000000"/>
          <w:spacing w:val="-2"/>
          <w:sz w:val="22"/>
          <w:szCs w:val="22"/>
        </w:rPr>
        <w:t>tion 333 of the Act and Section 97.</w:t>
      </w:r>
      <w:r w:rsidR="00307DCE" w:rsidRPr="00A6370F">
        <w:rPr>
          <w:color w:val="000000"/>
          <w:spacing w:val="-2"/>
          <w:sz w:val="22"/>
          <w:szCs w:val="22"/>
        </w:rPr>
        <w:t>101(d) of the Rules by intentionally interfering with other licensed amateur radio communications</w:t>
      </w:r>
      <w:r w:rsidR="0003441C" w:rsidRPr="00A6370F">
        <w:rPr>
          <w:color w:val="000000"/>
          <w:spacing w:val="-2"/>
          <w:sz w:val="22"/>
          <w:szCs w:val="22"/>
        </w:rPr>
        <w:t>.</w:t>
      </w:r>
      <w:r w:rsidR="00693BA0" w:rsidRPr="00A6370F">
        <w:rPr>
          <w:sz w:val="22"/>
          <w:szCs w:val="22"/>
        </w:rPr>
        <w:t xml:space="preserve"> </w:t>
      </w:r>
    </w:p>
    <w:p w14:paraId="59D39008" w14:textId="77777777" w:rsidR="007E5D46" w:rsidRPr="00A6370F" w:rsidRDefault="00182B75" w:rsidP="007E5D46">
      <w:pPr>
        <w:pStyle w:val="Heading2"/>
        <w:rPr>
          <w:sz w:val="22"/>
          <w:szCs w:val="22"/>
        </w:rPr>
      </w:pPr>
      <w:r>
        <w:rPr>
          <w:sz w:val="22"/>
          <w:szCs w:val="22"/>
        </w:rPr>
        <w:t>Transmi</w:t>
      </w:r>
      <w:r w:rsidR="00B8386D">
        <w:rPr>
          <w:sz w:val="22"/>
          <w:szCs w:val="22"/>
        </w:rPr>
        <w:t>t</w:t>
      </w:r>
      <w:r>
        <w:rPr>
          <w:sz w:val="22"/>
          <w:szCs w:val="22"/>
        </w:rPr>
        <w:t>t</w:t>
      </w:r>
      <w:r w:rsidR="007B0548">
        <w:rPr>
          <w:sz w:val="22"/>
          <w:szCs w:val="22"/>
        </w:rPr>
        <w:t>ing an</w:t>
      </w:r>
      <w:r w:rsidR="00B8386D">
        <w:rPr>
          <w:sz w:val="22"/>
          <w:szCs w:val="22"/>
        </w:rPr>
        <w:t xml:space="preserve"> Unauthorized Emission</w:t>
      </w:r>
    </w:p>
    <w:p w14:paraId="244976BF" w14:textId="4FE63878" w:rsidR="00566441" w:rsidRPr="00A6370F" w:rsidRDefault="00566441" w:rsidP="00566441">
      <w:pPr>
        <w:widowControl/>
        <w:numPr>
          <w:ilvl w:val="0"/>
          <w:numId w:val="22"/>
        </w:numPr>
        <w:tabs>
          <w:tab w:val="clear" w:pos="1260"/>
          <w:tab w:val="left" w:pos="0"/>
          <w:tab w:val="num" w:pos="1440"/>
          <w:tab w:val="left" w:pos="4680"/>
          <w:tab w:val="left" w:pos="5760"/>
        </w:tabs>
        <w:suppressAutoHyphens/>
        <w:spacing w:after="120"/>
        <w:ind w:left="0"/>
        <w:rPr>
          <w:spacing w:val="-2"/>
          <w:sz w:val="22"/>
          <w:szCs w:val="22"/>
        </w:rPr>
      </w:pPr>
      <w:r w:rsidRPr="00A6370F">
        <w:rPr>
          <w:spacing w:val="-2"/>
          <w:sz w:val="22"/>
          <w:szCs w:val="22"/>
        </w:rPr>
        <w:t xml:space="preserve">The evidence in this case also is sufficient to establish that Mr. </w:t>
      </w:r>
      <w:r w:rsidR="00B8386D">
        <w:rPr>
          <w:spacing w:val="-2"/>
          <w:sz w:val="22"/>
          <w:szCs w:val="22"/>
        </w:rPr>
        <w:t>Crowell violated Section 97.113</w:t>
      </w:r>
      <w:r w:rsidRPr="00A6370F">
        <w:rPr>
          <w:spacing w:val="-2"/>
          <w:sz w:val="22"/>
          <w:szCs w:val="22"/>
        </w:rPr>
        <w:t>(a)</w:t>
      </w:r>
      <w:r w:rsidR="00B8386D">
        <w:rPr>
          <w:spacing w:val="-2"/>
          <w:sz w:val="22"/>
          <w:szCs w:val="22"/>
        </w:rPr>
        <w:t>(4)</w:t>
      </w:r>
      <w:r w:rsidR="00AA10CC">
        <w:rPr>
          <w:spacing w:val="-2"/>
          <w:sz w:val="22"/>
          <w:szCs w:val="22"/>
        </w:rPr>
        <w:t xml:space="preserve"> of the Rules.  Section 97.113</w:t>
      </w:r>
      <w:r w:rsidRPr="00A6370F">
        <w:rPr>
          <w:spacing w:val="-2"/>
          <w:sz w:val="22"/>
          <w:szCs w:val="22"/>
        </w:rPr>
        <w:t>(a)</w:t>
      </w:r>
      <w:r w:rsidR="00AA10CC">
        <w:rPr>
          <w:spacing w:val="-2"/>
          <w:sz w:val="22"/>
          <w:szCs w:val="22"/>
        </w:rPr>
        <w:t>(4)</w:t>
      </w:r>
      <w:r w:rsidRPr="00A6370F">
        <w:rPr>
          <w:spacing w:val="-2"/>
          <w:sz w:val="22"/>
          <w:szCs w:val="22"/>
        </w:rPr>
        <w:t xml:space="preserve"> of the Rules states that “</w:t>
      </w:r>
      <w:r w:rsidR="00AA10CC">
        <w:rPr>
          <w:spacing w:val="-2"/>
          <w:sz w:val="22"/>
          <w:szCs w:val="22"/>
        </w:rPr>
        <w:t>[n]</w:t>
      </w:r>
      <w:r w:rsidR="00AA10CC" w:rsidRPr="00AA10CC">
        <w:rPr>
          <w:spacing w:val="-2"/>
          <w:sz w:val="22"/>
          <w:szCs w:val="22"/>
        </w:rPr>
        <w:t>o amateur station shall transmit</w:t>
      </w:r>
      <w:r w:rsidR="00AA10CC">
        <w:rPr>
          <w:spacing w:val="-2"/>
          <w:sz w:val="22"/>
          <w:szCs w:val="22"/>
        </w:rPr>
        <w:t xml:space="preserve"> . . .</w:t>
      </w:r>
      <w:r w:rsidR="00AA10CC" w:rsidRPr="00AA10CC">
        <w:rPr>
          <w:rFonts w:ascii="Verdana" w:hAnsi="Verdana"/>
          <w:color w:val="333333"/>
          <w:sz w:val="21"/>
          <w:szCs w:val="21"/>
          <w:shd w:val="clear" w:color="auto" w:fill="FFFFFF"/>
        </w:rPr>
        <w:t xml:space="preserve"> </w:t>
      </w:r>
      <w:r w:rsidR="00AA10CC">
        <w:rPr>
          <w:spacing w:val="-2"/>
          <w:sz w:val="22"/>
          <w:szCs w:val="22"/>
        </w:rPr>
        <w:t>[m]</w:t>
      </w:r>
      <w:r w:rsidR="00AA10CC" w:rsidRPr="00AA10CC">
        <w:rPr>
          <w:spacing w:val="-2"/>
          <w:sz w:val="22"/>
          <w:szCs w:val="22"/>
        </w:rPr>
        <w:t>usic using a phone emission except as specifically pro</w:t>
      </w:r>
      <w:r w:rsidR="00AA10CC">
        <w:rPr>
          <w:spacing w:val="-2"/>
          <w:sz w:val="22"/>
          <w:szCs w:val="22"/>
        </w:rPr>
        <w:t>vided elsewhere in this section.”</w:t>
      </w:r>
      <w:r w:rsidR="004456E0" w:rsidRPr="00A6370F">
        <w:rPr>
          <w:rStyle w:val="FootnoteReference"/>
          <w:spacing w:val="-2"/>
          <w:sz w:val="22"/>
          <w:szCs w:val="22"/>
        </w:rPr>
        <w:footnoteReference w:id="18"/>
      </w:r>
      <w:r w:rsidR="004456E0">
        <w:rPr>
          <w:spacing w:val="-2"/>
          <w:sz w:val="22"/>
          <w:szCs w:val="22"/>
        </w:rPr>
        <w:t xml:space="preserve">  </w:t>
      </w:r>
      <w:r w:rsidRPr="00A6370F">
        <w:rPr>
          <w:spacing w:val="-2"/>
          <w:sz w:val="22"/>
          <w:szCs w:val="22"/>
        </w:rPr>
        <w:t xml:space="preserve">On </w:t>
      </w:r>
      <w:r w:rsidR="00AA10CC">
        <w:rPr>
          <w:spacing w:val="-2"/>
          <w:sz w:val="22"/>
          <w:szCs w:val="22"/>
        </w:rPr>
        <w:t>August 2</w:t>
      </w:r>
      <w:r w:rsidR="0022435D">
        <w:rPr>
          <w:spacing w:val="-2"/>
          <w:sz w:val="22"/>
          <w:szCs w:val="22"/>
        </w:rPr>
        <w:t>5</w:t>
      </w:r>
      <w:r w:rsidR="00AA10CC">
        <w:rPr>
          <w:spacing w:val="-2"/>
          <w:sz w:val="22"/>
          <w:szCs w:val="22"/>
        </w:rPr>
        <w:t xml:space="preserve"> and 2</w:t>
      </w:r>
      <w:r w:rsidR="0022435D">
        <w:rPr>
          <w:spacing w:val="-2"/>
          <w:sz w:val="22"/>
          <w:szCs w:val="22"/>
        </w:rPr>
        <w:t>7</w:t>
      </w:r>
      <w:r w:rsidR="00AA10CC">
        <w:rPr>
          <w:spacing w:val="-2"/>
          <w:sz w:val="22"/>
          <w:szCs w:val="22"/>
        </w:rPr>
        <w:t>, 2015, Western Region agents</w:t>
      </w:r>
      <w:r w:rsidRPr="00A6370F">
        <w:rPr>
          <w:spacing w:val="-2"/>
          <w:sz w:val="22"/>
          <w:szCs w:val="22"/>
        </w:rPr>
        <w:t xml:space="preserve"> </w:t>
      </w:r>
      <w:r w:rsidRPr="00A6370F">
        <w:rPr>
          <w:sz w:val="22"/>
          <w:szCs w:val="22"/>
        </w:rPr>
        <w:t xml:space="preserve">monitored </w:t>
      </w:r>
      <w:r w:rsidR="00AA10CC">
        <w:rPr>
          <w:sz w:val="22"/>
          <w:szCs w:val="22"/>
        </w:rPr>
        <w:t xml:space="preserve">Mr. Crowell’s transmissions for approximately </w:t>
      </w:r>
      <w:r w:rsidR="00122BC4">
        <w:rPr>
          <w:sz w:val="22"/>
          <w:szCs w:val="22"/>
        </w:rPr>
        <w:t>two hours</w:t>
      </w:r>
      <w:r w:rsidR="00AA10CC">
        <w:rPr>
          <w:sz w:val="22"/>
          <w:szCs w:val="22"/>
        </w:rPr>
        <w:t xml:space="preserve"> each night and heard multiple instances of Mr. Crowell transmitting music</w:t>
      </w:r>
      <w:r w:rsidR="00122BC4">
        <w:rPr>
          <w:sz w:val="22"/>
          <w:szCs w:val="22"/>
        </w:rPr>
        <w:t>.</w:t>
      </w:r>
      <w:r w:rsidRPr="00A6370F">
        <w:rPr>
          <w:sz w:val="22"/>
          <w:szCs w:val="22"/>
        </w:rPr>
        <w:t xml:space="preserve">  </w:t>
      </w:r>
      <w:r w:rsidR="00867693">
        <w:rPr>
          <w:sz w:val="22"/>
          <w:szCs w:val="22"/>
        </w:rPr>
        <w:t>The Western Region agents located the source of these transmissions to Mr. Crowell’s residence</w:t>
      </w:r>
      <w:r w:rsidR="008C3D04">
        <w:rPr>
          <w:sz w:val="22"/>
          <w:szCs w:val="22"/>
        </w:rPr>
        <w:t>, and warned Mr. Crowell that his transmissions violated the Rules during the inspection of his station on August 28</w:t>
      </w:r>
      <w:r w:rsidR="00867693">
        <w:rPr>
          <w:sz w:val="22"/>
          <w:szCs w:val="22"/>
        </w:rPr>
        <w:t xml:space="preserve">.  </w:t>
      </w:r>
      <w:r w:rsidR="008C3D04">
        <w:rPr>
          <w:color w:val="000000"/>
          <w:spacing w:val="-2"/>
          <w:sz w:val="22"/>
          <w:szCs w:val="22"/>
        </w:rPr>
        <w:t xml:space="preserve">Mr. Crowell asserted both orally during the inspection and in writing that playing </w:t>
      </w:r>
      <w:r w:rsidR="00595A0E">
        <w:rPr>
          <w:color w:val="000000"/>
          <w:spacing w:val="-2"/>
          <w:sz w:val="22"/>
          <w:szCs w:val="22"/>
        </w:rPr>
        <w:t>recordings</w:t>
      </w:r>
      <w:r w:rsidR="008C3D04">
        <w:rPr>
          <w:color w:val="000000"/>
          <w:spacing w:val="-2"/>
          <w:sz w:val="22"/>
          <w:szCs w:val="22"/>
        </w:rPr>
        <w:t xml:space="preserve"> did</w:t>
      </w:r>
      <w:r w:rsidR="00122BC4">
        <w:rPr>
          <w:color w:val="000000"/>
          <w:spacing w:val="-2"/>
          <w:sz w:val="22"/>
          <w:szCs w:val="22"/>
        </w:rPr>
        <w:t xml:space="preserve"> </w:t>
      </w:r>
      <w:r w:rsidR="008C3D04">
        <w:rPr>
          <w:color w:val="000000"/>
          <w:spacing w:val="-2"/>
          <w:sz w:val="22"/>
          <w:szCs w:val="22"/>
        </w:rPr>
        <w:t>n</w:t>
      </w:r>
      <w:r w:rsidR="00122BC4">
        <w:rPr>
          <w:color w:val="000000"/>
          <w:spacing w:val="-2"/>
          <w:sz w:val="22"/>
          <w:szCs w:val="22"/>
        </w:rPr>
        <w:t>o</w:t>
      </w:r>
      <w:r w:rsidR="008C3D04">
        <w:rPr>
          <w:color w:val="000000"/>
          <w:spacing w:val="-2"/>
          <w:sz w:val="22"/>
          <w:szCs w:val="22"/>
        </w:rPr>
        <w:t>t violate the Rules, and that he</w:t>
      </w:r>
      <w:r w:rsidR="00122BC4">
        <w:rPr>
          <w:color w:val="000000"/>
          <w:spacing w:val="-2"/>
          <w:sz w:val="22"/>
          <w:szCs w:val="22"/>
        </w:rPr>
        <w:t xml:space="preserve"> would</w:t>
      </w:r>
      <w:r w:rsidR="008C3D04">
        <w:rPr>
          <w:color w:val="000000"/>
          <w:spacing w:val="-2"/>
          <w:sz w:val="22"/>
          <w:szCs w:val="22"/>
        </w:rPr>
        <w:t xml:space="preserve"> continue to operate his amateur station as he had been doing.  </w:t>
      </w:r>
      <w:r w:rsidRPr="00A6370F">
        <w:rPr>
          <w:spacing w:val="-2"/>
          <w:sz w:val="22"/>
          <w:szCs w:val="22"/>
        </w:rPr>
        <w:t xml:space="preserve">Based on the evidence before us, we find that Mr. </w:t>
      </w:r>
      <w:r w:rsidR="00AA10CC">
        <w:rPr>
          <w:spacing w:val="-2"/>
          <w:sz w:val="22"/>
          <w:szCs w:val="22"/>
        </w:rPr>
        <w:t>Crowell</w:t>
      </w:r>
      <w:r w:rsidRPr="00A6370F">
        <w:rPr>
          <w:spacing w:val="-2"/>
          <w:sz w:val="22"/>
          <w:szCs w:val="22"/>
        </w:rPr>
        <w:t xml:space="preserve"> apparently willfully</w:t>
      </w:r>
      <w:r w:rsidR="00F5782A">
        <w:rPr>
          <w:spacing w:val="-2"/>
          <w:sz w:val="22"/>
          <w:szCs w:val="22"/>
        </w:rPr>
        <w:t xml:space="preserve"> and repeatedly</w:t>
      </w:r>
      <w:r w:rsidRPr="00A6370F">
        <w:rPr>
          <w:spacing w:val="-2"/>
          <w:sz w:val="22"/>
          <w:szCs w:val="22"/>
        </w:rPr>
        <w:t xml:space="preserve"> violated Section 97.11</w:t>
      </w:r>
      <w:r w:rsidR="00AA10CC">
        <w:rPr>
          <w:spacing w:val="-2"/>
          <w:sz w:val="22"/>
          <w:szCs w:val="22"/>
        </w:rPr>
        <w:t>3</w:t>
      </w:r>
      <w:r w:rsidRPr="00A6370F">
        <w:rPr>
          <w:spacing w:val="-2"/>
          <w:sz w:val="22"/>
          <w:szCs w:val="22"/>
        </w:rPr>
        <w:t>(a)</w:t>
      </w:r>
      <w:r w:rsidR="00AA10CC">
        <w:rPr>
          <w:spacing w:val="-2"/>
          <w:sz w:val="22"/>
          <w:szCs w:val="22"/>
        </w:rPr>
        <w:t>(4)</w:t>
      </w:r>
      <w:r w:rsidRPr="00A6370F">
        <w:rPr>
          <w:spacing w:val="-2"/>
          <w:sz w:val="22"/>
          <w:szCs w:val="22"/>
        </w:rPr>
        <w:t xml:space="preserve"> of the Rules by transmit</w:t>
      </w:r>
      <w:r w:rsidR="00AA10CC">
        <w:rPr>
          <w:spacing w:val="-2"/>
          <w:sz w:val="22"/>
          <w:szCs w:val="22"/>
        </w:rPr>
        <w:t>ting unauthorized emission</w:t>
      </w:r>
      <w:r w:rsidR="00BE2C7A">
        <w:rPr>
          <w:spacing w:val="-2"/>
          <w:sz w:val="22"/>
          <w:szCs w:val="22"/>
        </w:rPr>
        <w:t>s</w:t>
      </w:r>
      <w:r w:rsidRPr="00A6370F">
        <w:rPr>
          <w:spacing w:val="-2"/>
          <w:sz w:val="22"/>
          <w:szCs w:val="22"/>
        </w:rPr>
        <w:t>.</w:t>
      </w:r>
    </w:p>
    <w:p w14:paraId="315D502F" w14:textId="77777777" w:rsidR="007E5D46" w:rsidRPr="00A6370F" w:rsidRDefault="007E5D46" w:rsidP="007E5D46">
      <w:pPr>
        <w:pStyle w:val="Heading2"/>
        <w:rPr>
          <w:sz w:val="22"/>
          <w:szCs w:val="22"/>
        </w:rPr>
      </w:pPr>
      <w:r w:rsidRPr="00A6370F">
        <w:rPr>
          <w:sz w:val="22"/>
          <w:szCs w:val="22"/>
        </w:rPr>
        <w:t>Proposed Forfeiture</w:t>
      </w:r>
    </w:p>
    <w:p w14:paraId="63D9E9E6" w14:textId="77777777" w:rsidR="007B0548" w:rsidRPr="007B0548" w:rsidRDefault="007B0548" w:rsidP="000F21CD">
      <w:pPr>
        <w:widowControl/>
        <w:numPr>
          <w:ilvl w:val="0"/>
          <w:numId w:val="22"/>
        </w:numPr>
        <w:tabs>
          <w:tab w:val="clear" w:pos="1260"/>
          <w:tab w:val="left" w:pos="0"/>
          <w:tab w:val="num" w:pos="1440"/>
        </w:tabs>
        <w:suppressAutoHyphens/>
        <w:spacing w:after="120"/>
        <w:ind w:left="0"/>
        <w:rPr>
          <w:spacing w:val="-2"/>
          <w:sz w:val="22"/>
          <w:szCs w:val="22"/>
        </w:rPr>
      </w:pPr>
      <w:r w:rsidRPr="007B0548">
        <w:rPr>
          <w:spacing w:val="-2"/>
          <w:sz w:val="22"/>
          <w:szCs w:val="22"/>
        </w:rPr>
        <w:t>Section 503(b) of the Act provides that any person who willfully or repeatedly fails to comply substantially with the terms and conditions of any license, or willfully or repeatedly fails to comply with any of the provisions of the Act or of any rule, regulation, or order issued by the Commission thereunder, shall be liable for a forfeiture penalty.</w:t>
      </w:r>
      <w:r w:rsidRPr="007B0548">
        <w:rPr>
          <w:spacing w:val="-2"/>
          <w:sz w:val="22"/>
          <w:szCs w:val="22"/>
          <w:vertAlign w:val="superscript"/>
        </w:rPr>
        <w:footnoteReference w:id="19"/>
      </w:r>
      <w:r w:rsidRPr="007B0548">
        <w:rPr>
          <w:spacing w:val="-2"/>
          <w:sz w:val="22"/>
          <w:szCs w:val="22"/>
        </w:rPr>
        <w:t xml:space="preserve">  Here, Section 503(b)(2)(D) of the Act authorizes us to assess a forfeiture against Mr. </w:t>
      </w:r>
      <w:r w:rsidR="00BE2C7A">
        <w:rPr>
          <w:spacing w:val="-2"/>
          <w:sz w:val="22"/>
          <w:szCs w:val="22"/>
        </w:rPr>
        <w:t>Crowell</w:t>
      </w:r>
      <w:r w:rsidRPr="007B0548">
        <w:rPr>
          <w:spacing w:val="-2"/>
          <w:sz w:val="22"/>
          <w:szCs w:val="22"/>
        </w:rPr>
        <w:t xml:space="preserve"> of up to $16,000 for each day of a continuing violation, up to a statutory maximum of $122,500 for a single act or failure to act.</w:t>
      </w:r>
      <w:r w:rsidRPr="007B0548">
        <w:rPr>
          <w:spacing w:val="-2"/>
          <w:sz w:val="22"/>
          <w:szCs w:val="22"/>
          <w:vertAlign w:val="superscript"/>
        </w:rPr>
        <w:footnoteReference w:id="20"/>
      </w:r>
      <w:r w:rsidRPr="007B0548">
        <w:rPr>
          <w:spacing w:val="-2"/>
          <w:sz w:val="22"/>
          <w:szCs w:val="22"/>
        </w:rPr>
        <w:t xml:space="preserve">  In exercising our forfeiture authority, we must consider the “nature, circumstances, extent, and gravity of the violation and, with respect to the violator, the degree of culpability, any history of prior offenses, ability to pay, and such other matters as justice may require.”</w:t>
      </w:r>
      <w:r w:rsidRPr="007B0548">
        <w:rPr>
          <w:spacing w:val="-2"/>
          <w:sz w:val="22"/>
          <w:szCs w:val="22"/>
          <w:vertAlign w:val="superscript"/>
        </w:rPr>
        <w:footnoteReference w:id="21"/>
      </w:r>
      <w:r w:rsidRPr="007B0548">
        <w:rPr>
          <w:spacing w:val="-2"/>
          <w:sz w:val="22"/>
          <w:szCs w:val="22"/>
        </w:rPr>
        <w:t xml:space="preserve">  In addition, the Commission has established forfeiture guidelines; they establish base penalties for certain violations and identify criteria that we consider when determining the appropriate penalty in any given case.</w:t>
      </w:r>
      <w:r w:rsidRPr="007B0548">
        <w:rPr>
          <w:spacing w:val="-2"/>
          <w:sz w:val="22"/>
          <w:szCs w:val="22"/>
          <w:vertAlign w:val="superscript"/>
        </w:rPr>
        <w:footnoteReference w:id="22"/>
      </w:r>
      <w:r w:rsidRPr="007B0548">
        <w:rPr>
          <w:spacing w:val="-2"/>
          <w:sz w:val="22"/>
          <w:szCs w:val="22"/>
          <w:vertAlign w:val="superscript"/>
        </w:rPr>
        <w:t xml:space="preserve"> </w:t>
      </w:r>
      <w:r w:rsidRPr="007B0548">
        <w:rPr>
          <w:spacing w:val="-2"/>
          <w:sz w:val="22"/>
          <w:szCs w:val="22"/>
        </w:rPr>
        <w:t xml:space="preserve"> Under these guidelines, we may adjust a forfeiture upward for violations that are egregious, intentional, or repeated, or that cause substantial harm or generate substantial economic gain for the violator.</w:t>
      </w:r>
      <w:r w:rsidRPr="007B0548">
        <w:rPr>
          <w:spacing w:val="-2"/>
          <w:sz w:val="22"/>
          <w:szCs w:val="22"/>
          <w:vertAlign w:val="superscript"/>
        </w:rPr>
        <w:footnoteReference w:id="23"/>
      </w:r>
      <w:r w:rsidRPr="007B0548">
        <w:rPr>
          <w:spacing w:val="-2"/>
          <w:sz w:val="22"/>
          <w:szCs w:val="22"/>
          <w:vertAlign w:val="superscript"/>
        </w:rPr>
        <w:t xml:space="preserve"> </w:t>
      </w:r>
    </w:p>
    <w:p w14:paraId="39EEF9B1" w14:textId="7725B11B" w:rsidR="0046336D" w:rsidRPr="0046336D" w:rsidRDefault="00D6475B" w:rsidP="0046336D">
      <w:pPr>
        <w:widowControl/>
        <w:numPr>
          <w:ilvl w:val="0"/>
          <w:numId w:val="22"/>
        </w:numPr>
        <w:tabs>
          <w:tab w:val="clear" w:pos="1260"/>
          <w:tab w:val="left" w:pos="0"/>
          <w:tab w:val="num" w:pos="1440"/>
        </w:tabs>
        <w:suppressAutoHyphens/>
        <w:spacing w:after="120"/>
        <w:ind w:left="0"/>
        <w:rPr>
          <w:spacing w:val="-2"/>
          <w:sz w:val="22"/>
          <w:szCs w:val="22"/>
        </w:rPr>
      </w:pPr>
      <w:r>
        <w:rPr>
          <w:spacing w:val="-2"/>
          <w:sz w:val="22"/>
          <w:szCs w:val="22"/>
        </w:rPr>
        <w:t>Section 1.80 of the Rules set a base forfeiture of $7,000</w:t>
      </w:r>
      <w:r w:rsidR="009B7715" w:rsidRPr="00A6370F">
        <w:rPr>
          <w:spacing w:val="-2"/>
          <w:sz w:val="22"/>
          <w:szCs w:val="22"/>
        </w:rPr>
        <w:t xml:space="preserve"> for interference</w:t>
      </w:r>
      <w:r>
        <w:rPr>
          <w:spacing w:val="-2"/>
          <w:sz w:val="22"/>
          <w:szCs w:val="22"/>
        </w:rPr>
        <w:t>, and $4,000</w:t>
      </w:r>
      <w:r w:rsidR="00AA10CC">
        <w:rPr>
          <w:spacing w:val="-2"/>
          <w:sz w:val="22"/>
          <w:szCs w:val="22"/>
        </w:rPr>
        <w:t xml:space="preserve"> for unauthorized emissions</w:t>
      </w:r>
      <w:r w:rsidR="009B7715" w:rsidRPr="00A6370F">
        <w:rPr>
          <w:spacing w:val="-2"/>
          <w:sz w:val="22"/>
          <w:szCs w:val="22"/>
        </w:rPr>
        <w:t>.</w:t>
      </w:r>
      <w:r w:rsidR="009B7715" w:rsidRPr="00A6370F">
        <w:rPr>
          <w:rStyle w:val="FootnoteReference"/>
          <w:spacing w:val="-2"/>
          <w:sz w:val="22"/>
          <w:szCs w:val="22"/>
        </w:rPr>
        <w:footnoteReference w:id="24"/>
      </w:r>
      <w:r w:rsidR="009B7715" w:rsidRPr="00A6370F">
        <w:rPr>
          <w:spacing w:val="-2"/>
          <w:sz w:val="22"/>
          <w:szCs w:val="22"/>
        </w:rPr>
        <w:t xml:space="preserve">  We retain the discretion, however, to issue a higher or lower forfeiture than provided in the </w:t>
      </w:r>
      <w:r w:rsidR="009B7715" w:rsidRPr="00A6370F">
        <w:rPr>
          <w:i/>
          <w:spacing w:val="-2"/>
          <w:sz w:val="22"/>
          <w:szCs w:val="22"/>
        </w:rPr>
        <w:t xml:space="preserve">Forfeiture Policy Statement </w:t>
      </w:r>
      <w:r w:rsidR="009B7715" w:rsidRPr="00A6370F">
        <w:rPr>
          <w:spacing w:val="-2"/>
          <w:sz w:val="22"/>
          <w:szCs w:val="22"/>
        </w:rPr>
        <w:t>or to apply alternative or additional sanctions as permitted by statute, subject to the statutory cap.</w:t>
      </w:r>
      <w:r w:rsidR="009B7715" w:rsidRPr="00A6370F">
        <w:rPr>
          <w:rStyle w:val="FootnoteReference"/>
          <w:spacing w:val="-2"/>
          <w:sz w:val="22"/>
          <w:szCs w:val="22"/>
        </w:rPr>
        <w:footnoteReference w:id="25"/>
      </w:r>
      <w:r w:rsidR="009B7715" w:rsidRPr="00A6370F">
        <w:rPr>
          <w:spacing w:val="-2"/>
          <w:sz w:val="22"/>
          <w:szCs w:val="22"/>
        </w:rPr>
        <w:t xml:space="preserve">  In assessing the monetary forfeiture amount, we must take into account the statutory factors set forth in Section 503(b)(2)(E) of the Act, which include the nature, circumstances, extent, and gravity of the violations, and with respect to the violator, the degree of culpability, any history of prior offenses, ability to pay, and other such matters as justice may require.</w:t>
      </w:r>
      <w:r w:rsidR="009B7715" w:rsidRPr="00A6370F">
        <w:rPr>
          <w:rStyle w:val="FootnoteReference"/>
          <w:spacing w:val="-2"/>
          <w:sz w:val="22"/>
          <w:szCs w:val="22"/>
        </w:rPr>
        <w:footnoteReference w:id="26"/>
      </w:r>
      <w:r w:rsidR="0022435D">
        <w:rPr>
          <w:spacing w:val="-2"/>
          <w:sz w:val="22"/>
          <w:szCs w:val="22"/>
        </w:rPr>
        <w:t xml:space="preserve">  On August 25</w:t>
      </w:r>
      <w:r>
        <w:rPr>
          <w:spacing w:val="-2"/>
          <w:sz w:val="22"/>
          <w:szCs w:val="22"/>
        </w:rPr>
        <w:t xml:space="preserve"> and 2</w:t>
      </w:r>
      <w:r w:rsidR="0022435D">
        <w:rPr>
          <w:spacing w:val="-2"/>
          <w:sz w:val="22"/>
          <w:szCs w:val="22"/>
        </w:rPr>
        <w:t>7</w:t>
      </w:r>
      <w:r>
        <w:rPr>
          <w:spacing w:val="-2"/>
          <w:sz w:val="22"/>
          <w:szCs w:val="22"/>
        </w:rPr>
        <w:t xml:space="preserve">, </w:t>
      </w:r>
      <w:r w:rsidR="00B4653E">
        <w:rPr>
          <w:spacing w:val="-2"/>
          <w:sz w:val="22"/>
          <w:szCs w:val="22"/>
        </w:rPr>
        <w:t xml:space="preserve">2015, </w:t>
      </w:r>
      <w:r>
        <w:rPr>
          <w:spacing w:val="-2"/>
          <w:sz w:val="22"/>
          <w:szCs w:val="22"/>
        </w:rPr>
        <w:t>Western Region agents observed Mr. Crowell causing intentional interference to other licensed amateur operators, using voice</w:t>
      </w:r>
      <w:r w:rsidRPr="00D6475B">
        <w:rPr>
          <w:spacing w:val="-2"/>
          <w:sz w:val="22"/>
          <w:szCs w:val="22"/>
        </w:rPr>
        <w:t>, noises</w:t>
      </w:r>
      <w:r w:rsidR="00B4653E">
        <w:rPr>
          <w:spacing w:val="-2"/>
          <w:sz w:val="22"/>
          <w:szCs w:val="22"/>
        </w:rPr>
        <w:t>,</w:t>
      </w:r>
      <w:r w:rsidR="00001BA8">
        <w:rPr>
          <w:spacing w:val="-2"/>
          <w:sz w:val="22"/>
          <w:szCs w:val="22"/>
        </w:rPr>
        <w:t xml:space="preserve"> </w:t>
      </w:r>
      <w:r w:rsidRPr="00D6475B">
        <w:rPr>
          <w:spacing w:val="-2"/>
          <w:sz w:val="22"/>
          <w:szCs w:val="22"/>
        </w:rPr>
        <w:t>music</w:t>
      </w:r>
      <w:r>
        <w:rPr>
          <w:spacing w:val="-2"/>
          <w:sz w:val="22"/>
          <w:szCs w:val="22"/>
        </w:rPr>
        <w:t>,</w:t>
      </w:r>
      <w:r w:rsidR="00B4653E">
        <w:rPr>
          <w:spacing w:val="-2"/>
          <w:sz w:val="22"/>
          <w:szCs w:val="22"/>
        </w:rPr>
        <w:t xml:space="preserve"> and recordings, including</w:t>
      </w:r>
      <w:r>
        <w:rPr>
          <w:spacing w:val="-2"/>
          <w:sz w:val="22"/>
          <w:szCs w:val="22"/>
        </w:rPr>
        <w:t xml:space="preserve"> </w:t>
      </w:r>
      <w:r w:rsidR="00B4653E">
        <w:rPr>
          <w:spacing w:val="-2"/>
          <w:sz w:val="22"/>
          <w:szCs w:val="22"/>
        </w:rPr>
        <w:t xml:space="preserve">sexual, </w:t>
      </w:r>
      <w:r>
        <w:rPr>
          <w:spacing w:val="-2"/>
          <w:sz w:val="22"/>
          <w:szCs w:val="22"/>
        </w:rPr>
        <w:t xml:space="preserve">racial, </w:t>
      </w:r>
      <w:r w:rsidR="00B4653E">
        <w:rPr>
          <w:spacing w:val="-2"/>
          <w:sz w:val="22"/>
          <w:szCs w:val="22"/>
        </w:rPr>
        <w:t xml:space="preserve">and </w:t>
      </w:r>
      <w:r>
        <w:rPr>
          <w:spacing w:val="-2"/>
          <w:sz w:val="22"/>
          <w:szCs w:val="22"/>
        </w:rPr>
        <w:t xml:space="preserve">ethnic slurs and epithets.  </w:t>
      </w:r>
      <w:r w:rsidR="00C314C0">
        <w:rPr>
          <w:spacing w:val="-2"/>
          <w:sz w:val="22"/>
          <w:szCs w:val="22"/>
        </w:rPr>
        <w:t xml:space="preserve">We propose a forfeiture of $11,000 for each day of the interference and unauthorized emissions observed by the agents.  </w:t>
      </w:r>
      <w:r>
        <w:rPr>
          <w:spacing w:val="-2"/>
          <w:sz w:val="22"/>
          <w:szCs w:val="22"/>
        </w:rPr>
        <w:t xml:space="preserve">Mr. Crowell </w:t>
      </w:r>
      <w:r w:rsidR="00F23FB2">
        <w:rPr>
          <w:spacing w:val="-2"/>
          <w:sz w:val="22"/>
          <w:szCs w:val="22"/>
        </w:rPr>
        <w:t>was warned about his operation by Western Region agents but Mr. Crowell</w:t>
      </w:r>
      <w:r>
        <w:rPr>
          <w:spacing w:val="-2"/>
          <w:sz w:val="22"/>
          <w:szCs w:val="22"/>
        </w:rPr>
        <w:t xml:space="preserve"> continued to interfere with the WARFA net two days later. </w:t>
      </w:r>
      <w:r w:rsidRPr="00D6475B">
        <w:rPr>
          <w:spacing w:val="-2"/>
          <w:sz w:val="22"/>
          <w:szCs w:val="22"/>
        </w:rPr>
        <w:t>Thus, we find that an upward adjustment in the</w:t>
      </w:r>
      <w:r>
        <w:rPr>
          <w:spacing w:val="-2"/>
          <w:sz w:val="22"/>
          <w:szCs w:val="22"/>
        </w:rPr>
        <w:t xml:space="preserve"> forfeiture amount of $3</w:t>
      </w:r>
      <w:r w:rsidRPr="00D6475B">
        <w:rPr>
          <w:spacing w:val="-2"/>
          <w:sz w:val="22"/>
          <w:szCs w:val="22"/>
        </w:rPr>
        <w:t>,000 is warranted.</w:t>
      </w:r>
      <w:r w:rsidRPr="00D6475B">
        <w:rPr>
          <w:spacing w:val="-2"/>
          <w:sz w:val="22"/>
          <w:szCs w:val="22"/>
          <w:vertAlign w:val="superscript"/>
        </w:rPr>
        <w:footnoteReference w:id="27"/>
      </w:r>
      <w:r w:rsidRPr="00D6475B">
        <w:rPr>
          <w:spacing w:val="-2"/>
          <w:sz w:val="22"/>
          <w:szCs w:val="22"/>
        </w:rPr>
        <w:t xml:space="preserve"> </w:t>
      </w:r>
      <w:r>
        <w:rPr>
          <w:spacing w:val="-2"/>
          <w:sz w:val="22"/>
          <w:szCs w:val="22"/>
        </w:rPr>
        <w:t xml:space="preserve"> </w:t>
      </w:r>
      <w:r w:rsidR="0046336D" w:rsidRPr="0046336D">
        <w:rPr>
          <w:spacing w:val="-2"/>
          <w:sz w:val="22"/>
          <w:szCs w:val="22"/>
        </w:rPr>
        <w:t xml:space="preserve">After applying the </w:t>
      </w:r>
      <w:r w:rsidR="0046336D" w:rsidRPr="0046336D">
        <w:rPr>
          <w:i/>
          <w:spacing w:val="-2"/>
          <w:sz w:val="22"/>
          <w:szCs w:val="22"/>
        </w:rPr>
        <w:t>Forfeiture Policy Statement</w:t>
      </w:r>
      <w:r w:rsidR="0046336D" w:rsidRPr="0046336D">
        <w:rPr>
          <w:spacing w:val="-2"/>
          <w:sz w:val="22"/>
          <w:szCs w:val="22"/>
        </w:rPr>
        <w:t>, Section 1.80 of the Rules, and the statutory factors, we propose a total forfeiture of $</w:t>
      </w:r>
      <w:r w:rsidR="0046336D">
        <w:rPr>
          <w:spacing w:val="-2"/>
          <w:sz w:val="22"/>
          <w:szCs w:val="22"/>
        </w:rPr>
        <w:t>2</w:t>
      </w:r>
      <w:r w:rsidR="0046336D" w:rsidRPr="0046336D">
        <w:rPr>
          <w:spacing w:val="-2"/>
          <w:sz w:val="22"/>
          <w:szCs w:val="22"/>
        </w:rPr>
        <w:t>5,000, for which Mr.</w:t>
      </w:r>
      <w:r w:rsidR="0046336D">
        <w:rPr>
          <w:spacing w:val="-2"/>
          <w:sz w:val="22"/>
          <w:szCs w:val="22"/>
        </w:rPr>
        <w:t xml:space="preserve"> Crowell</w:t>
      </w:r>
      <w:r w:rsidR="0046336D" w:rsidRPr="0046336D">
        <w:rPr>
          <w:spacing w:val="-2"/>
          <w:sz w:val="22"/>
          <w:szCs w:val="22"/>
        </w:rPr>
        <w:t xml:space="preserve"> is apparently liable.</w:t>
      </w:r>
    </w:p>
    <w:p w14:paraId="1FEDCCAD" w14:textId="77777777" w:rsidR="00050854" w:rsidRPr="00A6370F" w:rsidRDefault="00050854" w:rsidP="004A326D">
      <w:pPr>
        <w:pStyle w:val="Heading1"/>
        <w:widowControl/>
        <w:spacing w:after="120"/>
        <w:rPr>
          <w:sz w:val="22"/>
          <w:szCs w:val="22"/>
        </w:rPr>
      </w:pPr>
      <w:r w:rsidRPr="00A6370F">
        <w:rPr>
          <w:sz w:val="22"/>
          <w:szCs w:val="22"/>
        </w:rPr>
        <w:t>ORDERING CLAUSES</w:t>
      </w:r>
    </w:p>
    <w:p w14:paraId="00D1C65E" w14:textId="77777777" w:rsidR="008316AA" w:rsidRDefault="008316AA" w:rsidP="008316AA">
      <w:pPr>
        <w:widowControl/>
        <w:numPr>
          <w:ilvl w:val="0"/>
          <w:numId w:val="22"/>
        </w:numPr>
        <w:tabs>
          <w:tab w:val="left" w:pos="0"/>
        </w:tabs>
        <w:suppressAutoHyphens/>
        <w:spacing w:after="120"/>
        <w:ind w:left="0"/>
        <w:rPr>
          <w:spacing w:val="-2"/>
          <w:sz w:val="22"/>
          <w:szCs w:val="22"/>
        </w:rPr>
      </w:pPr>
      <w:r>
        <w:rPr>
          <w:spacing w:val="-2"/>
          <w:sz w:val="22"/>
          <w:szCs w:val="22"/>
        </w:rPr>
        <w:t xml:space="preserve">   </w:t>
      </w:r>
      <w:r w:rsidR="00050854" w:rsidRPr="00A6370F">
        <w:rPr>
          <w:spacing w:val="-2"/>
          <w:sz w:val="22"/>
          <w:szCs w:val="22"/>
        </w:rPr>
        <w:t>Accordingly,</w:t>
      </w:r>
      <w:r w:rsidR="00050854" w:rsidRPr="00A6370F">
        <w:rPr>
          <w:b/>
          <w:spacing w:val="-2"/>
          <w:sz w:val="22"/>
          <w:szCs w:val="22"/>
        </w:rPr>
        <w:t xml:space="preserve"> IT IS ORDERED</w:t>
      </w:r>
      <w:r w:rsidR="003F3CFD" w:rsidRPr="00A6370F">
        <w:rPr>
          <w:spacing w:val="-2"/>
          <w:sz w:val="22"/>
          <w:szCs w:val="22"/>
        </w:rPr>
        <w:t xml:space="preserve"> that</w:t>
      </w:r>
      <w:r w:rsidR="00D57AE2" w:rsidRPr="00A6370F">
        <w:rPr>
          <w:spacing w:val="-2"/>
          <w:sz w:val="22"/>
          <w:szCs w:val="22"/>
        </w:rPr>
        <w:t>, pursuant to S</w:t>
      </w:r>
      <w:r w:rsidR="00050854" w:rsidRPr="00A6370F">
        <w:rPr>
          <w:spacing w:val="-2"/>
          <w:sz w:val="22"/>
          <w:szCs w:val="22"/>
        </w:rPr>
        <w:t xml:space="preserve">ection 503(b) of the </w:t>
      </w:r>
      <w:r w:rsidR="000F21CD" w:rsidRPr="00A6370F">
        <w:rPr>
          <w:spacing w:val="-2"/>
          <w:sz w:val="22"/>
          <w:szCs w:val="22"/>
        </w:rPr>
        <w:t>Act</w:t>
      </w:r>
      <w:r w:rsidR="00D57AE2" w:rsidRPr="00A6370F">
        <w:rPr>
          <w:spacing w:val="-2"/>
          <w:sz w:val="22"/>
          <w:szCs w:val="22"/>
        </w:rPr>
        <w:t xml:space="preserve"> and S</w:t>
      </w:r>
      <w:r w:rsidR="00BE2C7A">
        <w:rPr>
          <w:spacing w:val="-2"/>
          <w:sz w:val="22"/>
          <w:szCs w:val="22"/>
        </w:rPr>
        <w:t xml:space="preserve">ections </w:t>
      </w:r>
      <w:r w:rsidR="00050854" w:rsidRPr="00A6370F">
        <w:rPr>
          <w:spacing w:val="-2"/>
          <w:sz w:val="22"/>
          <w:szCs w:val="22"/>
        </w:rPr>
        <w:t xml:space="preserve">0.111, </w:t>
      </w:r>
      <w:r w:rsidR="00856437" w:rsidRPr="00A6370F">
        <w:rPr>
          <w:spacing w:val="-2"/>
          <w:sz w:val="22"/>
          <w:szCs w:val="22"/>
        </w:rPr>
        <w:t xml:space="preserve">0.204, </w:t>
      </w:r>
      <w:r w:rsidR="00050854" w:rsidRPr="00A6370F">
        <w:rPr>
          <w:spacing w:val="-2"/>
          <w:sz w:val="22"/>
          <w:szCs w:val="22"/>
        </w:rPr>
        <w:t>0.311</w:t>
      </w:r>
      <w:r w:rsidR="00716561" w:rsidRPr="00A6370F">
        <w:rPr>
          <w:spacing w:val="-2"/>
          <w:sz w:val="22"/>
          <w:szCs w:val="22"/>
        </w:rPr>
        <w:t xml:space="preserve">, </w:t>
      </w:r>
      <w:r w:rsidR="003E2AD5" w:rsidRPr="00A6370F">
        <w:rPr>
          <w:spacing w:val="-2"/>
          <w:sz w:val="22"/>
          <w:szCs w:val="22"/>
        </w:rPr>
        <w:t xml:space="preserve">and 1.80 of the </w:t>
      </w:r>
      <w:r w:rsidR="008E2DF4" w:rsidRPr="00A6370F">
        <w:rPr>
          <w:spacing w:val="-2"/>
          <w:sz w:val="22"/>
          <w:szCs w:val="22"/>
        </w:rPr>
        <w:t>R</w:t>
      </w:r>
      <w:r w:rsidR="00050854" w:rsidRPr="00A6370F">
        <w:rPr>
          <w:spacing w:val="-2"/>
          <w:sz w:val="22"/>
          <w:szCs w:val="22"/>
        </w:rPr>
        <w:t xml:space="preserve">ules, </w:t>
      </w:r>
      <w:r w:rsidR="0046336D" w:rsidRPr="0046336D">
        <w:rPr>
          <w:spacing w:val="-2"/>
          <w:sz w:val="22"/>
          <w:szCs w:val="22"/>
        </w:rPr>
        <w:t>William F. Crowell</w:t>
      </w:r>
      <w:r w:rsidR="00C8427A">
        <w:rPr>
          <w:spacing w:val="-2"/>
          <w:sz w:val="22"/>
          <w:szCs w:val="22"/>
        </w:rPr>
        <w:t xml:space="preserve"> </w:t>
      </w:r>
      <w:r w:rsidR="00050854" w:rsidRPr="00A6370F">
        <w:rPr>
          <w:spacing w:val="-2"/>
          <w:sz w:val="22"/>
          <w:szCs w:val="22"/>
        </w:rPr>
        <w:t xml:space="preserve">is hereby </w:t>
      </w:r>
      <w:r w:rsidR="00050854" w:rsidRPr="00A6370F">
        <w:rPr>
          <w:b/>
          <w:spacing w:val="-2"/>
          <w:sz w:val="22"/>
          <w:szCs w:val="22"/>
        </w:rPr>
        <w:t xml:space="preserve">NOTIFIED </w:t>
      </w:r>
      <w:r w:rsidR="00050854" w:rsidRPr="00A6370F">
        <w:rPr>
          <w:spacing w:val="-2"/>
          <w:sz w:val="22"/>
          <w:szCs w:val="22"/>
        </w:rPr>
        <w:t xml:space="preserve">of this </w:t>
      </w:r>
      <w:r w:rsidR="00050854" w:rsidRPr="00A6370F">
        <w:rPr>
          <w:b/>
          <w:spacing w:val="-2"/>
          <w:sz w:val="22"/>
          <w:szCs w:val="22"/>
        </w:rPr>
        <w:t>APPARENT LIABILITY FOR A FORFEITURE</w:t>
      </w:r>
      <w:r w:rsidR="00484313" w:rsidRPr="00A6370F">
        <w:rPr>
          <w:b/>
          <w:spacing w:val="-2"/>
          <w:sz w:val="22"/>
          <w:szCs w:val="22"/>
        </w:rPr>
        <w:t xml:space="preserve"> </w:t>
      </w:r>
      <w:r w:rsidR="00050854" w:rsidRPr="00A6370F">
        <w:rPr>
          <w:spacing w:val="-2"/>
          <w:sz w:val="22"/>
          <w:szCs w:val="22"/>
        </w:rPr>
        <w:t>in the amount of</w:t>
      </w:r>
      <w:r w:rsidR="00050854" w:rsidRPr="00A6370F">
        <w:rPr>
          <w:sz w:val="22"/>
          <w:szCs w:val="22"/>
        </w:rPr>
        <w:t xml:space="preserve"> </w:t>
      </w:r>
      <w:r w:rsidR="00C314C0">
        <w:rPr>
          <w:sz w:val="22"/>
          <w:szCs w:val="22"/>
        </w:rPr>
        <w:t>twenty-five</w:t>
      </w:r>
      <w:r w:rsidR="00C8427A">
        <w:rPr>
          <w:sz w:val="22"/>
          <w:szCs w:val="22"/>
        </w:rPr>
        <w:t xml:space="preserve"> </w:t>
      </w:r>
      <w:r w:rsidR="00050854" w:rsidRPr="00A6370F">
        <w:rPr>
          <w:sz w:val="22"/>
          <w:szCs w:val="22"/>
        </w:rPr>
        <w:t>thousand dollars ($</w:t>
      </w:r>
      <w:r w:rsidR="00C314C0">
        <w:rPr>
          <w:sz w:val="22"/>
          <w:szCs w:val="22"/>
        </w:rPr>
        <w:t>25</w:t>
      </w:r>
      <w:r w:rsidR="00050854" w:rsidRPr="00A6370F">
        <w:rPr>
          <w:sz w:val="22"/>
          <w:szCs w:val="22"/>
        </w:rPr>
        <w:t>,000)</w:t>
      </w:r>
      <w:r w:rsidR="000F21CD" w:rsidRPr="00A6370F">
        <w:rPr>
          <w:sz w:val="22"/>
          <w:szCs w:val="22"/>
        </w:rPr>
        <w:t xml:space="preserve"> for willful and repeated violations of </w:t>
      </w:r>
      <w:r w:rsidR="00D57AE2" w:rsidRPr="00A6370F">
        <w:rPr>
          <w:sz w:val="22"/>
          <w:szCs w:val="22"/>
        </w:rPr>
        <w:t>S</w:t>
      </w:r>
      <w:r w:rsidR="00050854" w:rsidRPr="00A6370F">
        <w:rPr>
          <w:sz w:val="22"/>
          <w:szCs w:val="22"/>
        </w:rPr>
        <w:t>ection</w:t>
      </w:r>
      <w:r w:rsidR="00C8427A">
        <w:rPr>
          <w:sz w:val="22"/>
          <w:szCs w:val="22"/>
        </w:rPr>
        <w:t xml:space="preserve"> 333</w:t>
      </w:r>
      <w:r w:rsidR="00050854" w:rsidRPr="00A6370F">
        <w:rPr>
          <w:sz w:val="22"/>
          <w:szCs w:val="22"/>
        </w:rPr>
        <w:t xml:space="preserve"> </w:t>
      </w:r>
      <w:r w:rsidR="00050854" w:rsidRPr="00A6370F">
        <w:rPr>
          <w:spacing w:val="-2"/>
          <w:sz w:val="22"/>
          <w:szCs w:val="22"/>
        </w:rPr>
        <w:t>o</w:t>
      </w:r>
      <w:r w:rsidR="00050854" w:rsidRPr="00A6370F">
        <w:rPr>
          <w:sz w:val="22"/>
          <w:szCs w:val="22"/>
        </w:rPr>
        <w:t xml:space="preserve">f the </w:t>
      </w:r>
      <w:r w:rsidR="000F10C7" w:rsidRPr="00A6370F">
        <w:rPr>
          <w:sz w:val="22"/>
          <w:szCs w:val="22"/>
        </w:rPr>
        <w:t>Act</w:t>
      </w:r>
      <w:r w:rsidR="00C8427A">
        <w:rPr>
          <w:sz w:val="22"/>
          <w:szCs w:val="22"/>
        </w:rPr>
        <w:t xml:space="preserve"> an</w:t>
      </w:r>
      <w:r w:rsidR="00AA10CC">
        <w:rPr>
          <w:sz w:val="22"/>
          <w:szCs w:val="22"/>
        </w:rPr>
        <w:t>d Sections 97.101(d), and 97.113</w:t>
      </w:r>
      <w:r w:rsidR="00C8427A">
        <w:rPr>
          <w:sz w:val="22"/>
          <w:szCs w:val="22"/>
        </w:rPr>
        <w:t>(a)</w:t>
      </w:r>
      <w:r w:rsidR="00AA10CC">
        <w:rPr>
          <w:sz w:val="22"/>
          <w:szCs w:val="22"/>
        </w:rPr>
        <w:t>(4)</w:t>
      </w:r>
      <w:r w:rsidR="00C8427A">
        <w:rPr>
          <w:sz w:val="22"/>
          <w:szCs w:val="22"/>
        </w:rPr>
        <w:t xml:space="preserve"> of the Rules</w:t>
      </w:r>
      <w:r w:rsidR="00050854" w:rsidRPr="00A6370F">
        <w:rPr>
          <w:sz w:val="22"/>
          <w:szCs w:val="22"/>
        </w:rPr>
        <w:t>.</w:t>
      </w:r>
      <w:r w:rsidR="00050854" w:rsidRPr="00A6370F">
        <w:rPr>
          <w:rStyle w:val="FootnoteReference"/>
          <w:sz w:val="22"/>
          <w:szCs w:val="22"/>
        </w:rPr>
        <w:footnoteReference w:id="28"/>
      </w:r>
    </w:p>
    <w:p w14:paraId="0AB3BC80" w14:textId="77777777" w:rsidR="008316AA" w:rsidRDefault="00050854" w:rsidP="008316AA">
      <w:pPr>
        <w:widowControl/>
        <w:numPr>
          <w:ilvl w:val="0"/>
          <w:numId w:val="22"/>
        </w:numPr>
        <w:tabs>
          <w:tab w:val="left" w:pos="0"/>
        </w:tabs>
        <w:suppressAutoHyphens/>
        <w:spacing w:after="120"/>
        <w:ind w:left="0"/>
        <w:rPr>
          <w:spacing w:val="-2"/>
          <w:sz w:val="22"/>
          <w:szCs w:val="22"/>
        </w:rPr>
      </w:pPr>
      <w:r w:rsidRPr="008316AA">
        <w:rPr>
          <w:b/>
          <w:spacing w:val="-2"/>
          <w:sz w:val="22"/>
          <w:szCs w:val="22"/>
        </w:rPr>
        <w:t>IT IS FURTHER ORDERED</w:t>
      </w:r>
      <w:r w:rsidRPr="008316AA">
        <w:rPr>
          <w:spacing w:val="-2"/>
          <w:sz w:val="22"/>
          <w:szCs w:val="22"/>
        </w:rPr>
        <w:t xml:space="preserve"> </w:t>
      </w:r>
      <w:r w:rsidR="003F3CFD" w:rsidRPr="008316AA">
        <w:rPr>
          <w:spacing w:val="-2"/>
          <w:sz w:val="22"/>
          <w:szCs w:val="22"/>
        </w:rPr>
        <w:t>that</w:t>
      </w:r>
      <w:r w:rsidR="00D57AE2" w:rsidRPr="008316AA">
        <w:rPr>
          <w:spacing w:val="-2"/>
          <w:sz w:val="22"/>
          <w:szCs w:val="22"/>
        </w:rPr>
        <w:t>, pursuant to S</w:t>
      </w:r>
      <w:r w:rsidR="003E2AD5" w:rsidRPr="008316AA">
        <w:rPr>
          <w:spacing w:val="-2"/>
          <w:sz w:val="22"/>
          <w:szCs w:val="22"/>
        </w:rPr>
        <w:t xml:space="preserve">ection 1.80 of the </w:t>
      </w:r>
      <w:r w:rsidR="008E2DF4" w:rsidRPr="008316AA">
        <w:rPr>
          <w:spacing w:val="-2"/>
          <w:sz w:val="22"/>
          <w:szCs w:val="22"/>
        </w:rPr>
        <w:t>R</w:t>
      </w:r>
      <w:r w:rsidRPr="008316AA">
        <w:rPr>
          <w:spacing w:val="-2"/>
          <w:sz w:val="22"/>
          <w:szCs w:val="22"/>
        </w:rPr>
        <w:t>ules</w:t>
      </w:r>
      <w:r w:rsidR="002C62DA" w:rsidRPr="008316AA">
        <w:rPr>
          <w:spacing w:val="-2"/>
          <w:sz w:val="22"/>
          <w:szCs w:val="22"/>
        </w:rPr>
        <w:t>,</w:t>
      </w:r>
      <w:r w:rsidRPr="008316AA">
        <w:rPr>
          <w:spacing w:val="-2"/>
          <w:sz w:val="22"/>
          <w:szCs w:val="22"/>
        </w:rPr>
        <w:t xml:space="preserve"> within thirty </w:t>
      </w:r>
      <w:r w:rsidR="003A7878" w:rsidRPr="008316AA">
        <w:rPr>
          <w:spacing w:val="-2"/>
          <w:sz w:val="22"/>
          <w:szCs w:val="22"/>
        </w:rPr>
        <w:t xml:space="preserve">(30) calendar </w:t>
      </w:r>
      <w:r w:rsidRPr="008316AA">
        <w:rPr>
          <w:spacing w:val="-2"/>
          <w:sz w:val="22"/>
          <w:szCs w:val="22"/>
        </w:rPr>
        <w:t>days of the release date of this Notice of Apparent Liability for Forfeiture</w:t>
      </w:r>
      <w:r w:rsidR="000F10C7" w:rsidRPr="008316AA">
        <w:rPr>
          <w:spacing w:val="-2"/>
          <w:sz w:val="22"/>
          <w:szCs w:val="22"/>
        </w:rPr>
        <w:t xml:space="preserve">, </w:t>
      </w:r>
      <w:r w:rsidR="0046336D" w:rsidRPr="008316AA">
        <w:rPr>
          <w:spacing w:val="-2"/>
          <w:sz w:val="22"/>
          <w:szCs w:val="22"/>
        </w:rPr>
        <w:t>William F. Crowell</w:t>
      </w:r>
      <w:r w:rsidR="00C8427A" w:rsidRPr="008316AA">
        <w:rPr>
          <w:spacing w:val="-2"/>
          <w:sz w:val="22"/>
          <w:szCs w:val="22"/>
        </w:rPr>
        <w:t xml:space="preserve"> </w:t>
      </w:r>
      <w:r w:rsidR="00145224" w:rsidRPr="008316AA">
        <w:rPr>
          <w:b/>
          <w:spacing w:val="-2"/>
          <w:sz w:val="22"/>
          <w:szCs w:val="22"/>
        </w:rPr>
        <w:t>SHALL PAY</w:t>
      </w:r>
      <w:r w:rsidRPr="008316AA">
        <w:rPr>
          <w:spacing w:val="-2"/>
          <w:sz w:val="22"/>
          <w:szCs w:val="22"/>
        </w:rPr>
        <w:t xml:space="preserve"> the full amount of the proposed forfeiture or </w:t>
      </w:r>
      <w:r w:rsidR="00145224" w:rsidRPr="008316AA">
        <w:rPr>
          <w:b/>
          <w:spacing w:val="-2"/>
          <w:sz w:val="22"/>
          <w:szCs w:val="22"/>
        </w:rPr>
        <w:t>SHALL FILE</w:t>
      </w:r>
      <w:r w:rsidRPr="008316AA">
        <w:rPr>
          <w:spacing w:val="-2"/>
          <w:sz w:val="22"/>
          <w:szCs w:val="22"/>
        </w:rPr>
        <w:t xml:space="preserve"> a written statement seeking reduction or cancellation of the proposed forfeiture</w:t>
      </w:r>
      <w:r w:rsidR="00C8427A" w:rsidRPr="008316AA">
        <w:rPr>
          <w:spacing w:val="-2"/>
          <w:sz w:val="22"/>
          <w:szCs w:val="22"/>
        </w:rPr>
        <w:t>.</w:t>
      </w:r>
      <w:r w:rsidR="00583A6A" w:rsidRPr="00A6370F">
        <w:rPr>
          <w:rStyle w:val="FootnoteReference"/>
          <w:spacing w:val="-2"/>
          <w:sz w:val="22"/>
          <w:szCs w:val="22"/>
        </w:rPr>
        <w:footnoteReference w:id="29"/>
      </w:r>
    </w:p>
    <w:p w14:paraId="2C531E65" w14:textId="77777777" w:rsidR="00A66F85" w:rsidRPr="008316AA" w:rsidRDefault="008316AA" w:rsidP="008316AA">
      <w:pPr>
        <w:widowControl/>
        <w:numPr>
          <w:ilvl w:val="0"/>
          <w:numId w:val="22"/>
        </w:numPr>
        <w:tabs>
          <w:tab w:val="left" w:pos="0"/>
        </w:tabs>
        <w:suppressAutoHyphens/>
        <w:spacing w:after="120"/>
        <w:ind w:left="0"/>
        <w:rPr>
          <w:spacing w:val="-2"/>
          <w:sz w:val="22"/>
          <w:szCs w:val="22"/>
        </w:rPr>
      </w:pPr>
      <w:r w:rsidRPr="008316AA">
        <w:rPr>
          <w:spacing w:val="-2"/>
          <w:sz w:val="22"/>
          <w:szCs w:val="22"/>
        </w:rPr>
        <w:t>P</w:t>
      </w:r>
      <w:r w:rsidR="00A66F85" w:rsidRPr="008316AA">
        <w:rPr>
          <w:rFonts w:eastAsia="MS Mincho" w:cs="Arial"/>
          <w:sz w:val="22"/>
          <w:szCs w:val="22"/>
        </w:rPr>
        <w:t>ayment of the forfeiture must be made by check or similar instrument, wire transfer,</w:t>
      </w:r>
      <w:r w:rsidR="00A77AE7" w:rsidRPr="008316AA">
        <w:rPr>
          <w:rFonts w:eastAsia="MS Mincho" w:cs="Arial"/>
          <w:sz w:val="22"/>
          <w:szCs w:val="22"/>
        </w:rPr>
        <w:t xml:space="preserve"> </w:t>
      </w:r>
      <w:r w:rsidR="00A66F85" w:rsidRPr="008316AA">
        <w:rPr>
          <w:rFonts w:eastAsia="MS Mincho" w:cs="Arial"/>
          <w:sz w:val="22"/>
          <w:szCs w:val="22"/>
        </w:rPr>
        <w:t xml:space="preserve">or credit card, and must include the NAL/Account </w:t>
      </w:r>
      <w:r w:rsidR="00C46383" w:rsidRPr="008316AA">
        <w:rPr>
          <w:rFonts w:eastAsia="MS Mincho" w:cs="Arial"/>
          <w:sz w:val="22"/>
          <w:szCs w:val="22"/>
        </w:rPr>
        <w:t>N</w:t>
      </w:r>
      <w:r w:rsidR="00A66F85" w:rsidRPr="008316AA">
        <w:rPr>
          <w:rFonts w:eastAsia="MS Mincho" w:cs="Arial"/>
          <w:sz w:val="22"/>
          <w:szCs w:val="22"/>
        </w:rPr>
        <w:t>u</w:t>
      </w:r>
      <w:r w:rsidR="00E2691A" w:rsidRPr="008316AA">
        <w:rPr>
          <w:rFonts w:eastAsia="MS Mincho" w:cs="Arial"/>
          <w:sz w:val="22"/>
          <w:szCs w:val="22"/>
        </w:rPr>
        <w:t xml:space="preserve">mber and FRN referenced above.  </w:t>
      </w:r>
      <w:r w:rsidR="0046336D" w:rsidRPr="008316AA">
        <w:rPr>
          <w:rFonts w:eastAsia="MS Mincho" w:cs="Arial"/>
          <w:sz w:val="22"/>
          <w:szCs w:val="22"/>
        </w:rPr>
        <w:t>William F. Crowell</w:t>
      </w:r>
      <w:r w:rsidR="00C8427A" w:rsidRPr="008316AA">
        <w:rPr>
          <w:rFonts w:eastAsia="MS Mincho" w:cs="Arial"/>
          <w:sz w:val="22"/>
          <w:szCs w:val="22"/>
        </w:rPr>
        <w:t xml:space="preserve"> </w:t>
      </w:r>
      <w:r w:rsidR="0095119D" w:rsidRPr="008316AA">
        <w:rPr>
          <w:color w:val="000000"/>
          <w:sz w:val="22"/>
          <w:szCs w:val="22"/>
          <w:lang w:bidi="he-IL"/>
        </w:rPr>
        <w:t>shall also send electronic notification on the date said payment is made to</w:t>
      </w:r>
      <w:r w:rsidR="00C1549C" w:rsidRPr="008316AA">
        <w:rPr>
          <w:color w:val="000000"/>
          <w:sz w:val="22"/>
          <w:szCs w:val="22"/>
          <w:lang w:bidi="he-IL"/>
        </w:rPr>
        <w:t xml:space="preserve"> </w:t>
      </w:r>
      <w:r w:rsidR="0046336D" w:rsidRPr="008316AA">
        <w:rPr>
          <w:color w:val="000000"/>
          <w:sz w:val="22"/>
          <w:szCs w:val="22"/>
          <w:lang w:bidi="he-IL"/>
        </w:rPr>
        <w:t>WR</w:t>
      </w:r>
      <w:r w:rsidR="009D216A" w:rsidRPr="008316AA">
        <w:rPr>
          <w:sz w:val="22"/>
          <w:szCs w:val="22"/>
          <w:lang w:bidi="he-IL"/>
        </w:rPr>
        <w:t>-Response@fcc.gov</w:t>
      </w:r>
      <w:r w:rsidR="009D216A" w:rsidRPr="008316AA">
        <w:rPr>
          <w:color w:val="000000"/>
          <w:sz w:val="22"/>
          <w:szCs w:val="22"/>
          <w:lang w:bidi="he-IL"/>
        </w:rPr>
        <w:t>.</w:t>
      </w:r>
      <w:r w:rsidR="009D216A" w:rsidRPr="008316AA">
        <w:rPr>
          <w:spacing w:val="-2"/>
          <w:sz w:val="22"/>
          <w:szCs w:val="22"/>
        </w:rPr>
        <w:t xml:space="preserve">  </w:t>
      </w:r>
      <w:r w:rsidR="000F10C7" w:rsidRPr="008316AA">
        <w:rPr>
          <w:sz w:val="22"/>
          <w:szCs w:val="22"/>
        </w:rPr>
        <w:t>Regardle</w:t>
      </w:r>
      <w:r w:rsidR="00A66F85" w:rsidRPr="008316AA">
        <w:rPr>
          <w:rFonts w:eastAsia="MS Mincho" w:cs="Arial"/>
          <w:sz w:val="22"/>
          <w:szCs w:val="22"/>
        </w:rPr>
        <w:t>ss of the form of payment, a completed FCC Form 159 (Remittance Advice) must be submitted.</w:t>
      </w:r>
      <w:r w:rsidR="00A66F85" w:rsidRPr="00A6370F">
        <w:rPr>
          <w:rStyle w:val="FootnoteReference"/>
          <w:rFonts w:eastAsia="MS Mincho" w:cs="Arial"/>
          <w:sz w:val="22"/>
          <w:szCs w:val="22"/>
        </w:rPr>
        <w:footnoteReference w:id="30"/>
      </w:r>
      <w:r w:rsidR="00A66F85" w:rsidRPr="008316AA">
        <w:rPr>
          <w:rFonts w:eastAsia="MS Mincho" w:cs="Arial"/>
          <w:sz w:val="22"/>
          <w:szCs w:val="22"/>
        </w:rPr>
        <w:t xml:space="preserve">  When completing the FCC Form 159, enter the Account Number in block number 23A (call sign/other ID) and enter the letters “FORF” in block number 24A (payment type code).</w:t>
      </w:r>
      <w:r w:rsidR="00A77AE7" w:rsidRPr="008316AA">
        <w:rPr>
          <w:rFonts w:eastAsia="MS Mincho" w:cs="Arial"/>
          <w:sz w:val="22"/>
          <w:szCs w:val="22"/>
        </w:rPr>
        <w:t xml:space="preserve">  </w:t>
      </w:r>
      <w:r w:rsidR="00A66F85" w:rsidRPr="008316AA">
        <w:rPr>
          <w:color w:val="000000"/>
          <w:sz w:val="22"/>
          <w:szCs w:val="22"/>
        </w:rPr>
        <w:t xml:space="preserve">Below are additional instructions </w:t>
      </w:r>
      <w:r w:rsidR="00583A6A" w:rsidRPr="008316AA">
        <w:rPr>
          <w:color w:val="000000"/>
          <w:sz w:val="22"/>
          <w:szCs w:val="22"/>
        </w:rPr>
        <w:t xml:space="preserve">that should be followed </w:t>
      </w:r>
      <w:r w:rsidR="00A66F85" w:rsidRPr="008316AA">
        <w:rPr>
          <w:color w:val="000000"/>
          <w:sz w:val="22"/>
          <w:szCs w:val="22"/>
        </w:rPr>
        <w:t>b</w:t>
      </w:r>
      <w:r w:rsidR="00583A6A" w:rsidRPr="008316AA">
        <w:rPr>
          <w:color w:val="000000"/>
          <w:sz w:val="22"/>
          <w:szCs w:val="22"/>
        </w:rPr>
        <w:t xml:space="preserve">ased on the form of payment </w:t>
      </w:r>
      <w:r w:rsidR="00A66F85" w:rsidRPr="008316AA">
        <w:rPr>
          <w:color w:val="000000"/>
          <w:sz w:val="22"/>
          <w:szCs w:val="22"/>
        </w:rPr>
        <w:t>select</w:t>
      </w:r>
      <w:r w:rsidR="00583A6A" w:rsidRPr="008316AA">
        <w:rPr>
          <w:color w:val="000000"/>
          <w:sz w:val="22"/>
          <w:szCs w:val="22"/>
        </w:rPr>
        <w:t>ed</w:t>
      </w:r>
      <w:r w:rsidR="00A66F85" w:rsidRPr="008316AA">
        <w:rPr>
          <w:color w:val="000000"/>
          <w:sz w:val="22"/>
          <w:szCs w:val="22"/>
        </w:rPr>
        <w:t>:</w:t>
      </w:r>
    </w:p>
    <w:p w14:paraId="0BC1C7E6" w14:textId="77777777" w:rsidR="00A66F85" w:rsidRPr="00A6370F" w:rsidRDefault="00A66F85" w:rsidP="004A326D">
      <w:pPr>
        <w:pStyle w:val="ParaNum"/>
        <w:numPr>
          <w:ilvl w:val="0"/>
          <w:numId w:val="27"/>
        </w:numPr>
        <w:tabs>
          <w:tab w:val="clear" w:pos="1440"/>
        </w:tabs>
        <w:autoSpaceDE/>
        <w:autoSpaceDN/>
        <w:adjustRightInd/>
        <w:spacing w:after="120"/>
        <w:jc w:val="left"/>
        <w:rPr>
          <w:rFonts w:eastAsia="MS Mincho"/>
          <w:sz w:val="22"/>
          <w:szCs w:val="22"/>
        </w:rPr>
      </w:pPr>
      <w:r w:rsidRPr="00A6370F">
        <w:rPr>
          <w:rFonts w:eastAsia="MS Mincho"/>
          <w:sz w:val="22"/>
          <w:szCs w:val="22"/>
        </w:rPr>
        <w:t>Payment by check or money order must be made payable to the order of the Federal Communications Commission.</w:t>
      </w:r>
      <w:r w:rsidR="004845F7" w:rsidRPr="00A6370F">
        <w:rPr>
          <w:rFonts w:eastAsia="MS Mincho"/>
          <w:sz w:val="22"/>
          <w:szCs w:val="22"/>
        </w:rPr>
        <w:t xml:space="preserve"> </w:t>
      </w:r>
      <w:r w:rsidRPr="00A6370F">
        <w:rPr>
          <w:rFonts w:eastAsia="MS Mincho"/>
          <w:sz w:val="22"/>
          <w:szCs w:val="22"/>
        </w:rPr>
        <w:t xml:space="preserve"> Such payments</w:t>
      </w:r>
      <w:r w:rsidR="004845F7" w:rsidRPr="00A6370F">
        <w:rPr>
          <w:rFonts w:eastAsia="MS Mincho"/>
          <w:sz w:val="22"/>
          <w:szCs w:val="22"/>
        </w:rPr>
        <w:t xml:space="preserve"> </w:t>
      </w:r>
      <w:r w:rsidRPr="00A6370F">
        <w:rPr>
          <w:rFonts w:eastAsia="MS Mincho"/>
          <w:sz w:val="22"/>
          <w:szCs w:val="22"/>
        </w:rPr>
        <w:t>(along with the completed Form 159)</w:t>
      </w:r>
      <w:r w:rsidR="004845F7" w:rsidRPr="00A6370F">
        <w:rPr>
          <w:rFonts w:eastAsia="MS Mincho"/>
          <w:sz w:val="22"/>
          <w:szCs w:val="22"/>
        </w:rPr>
        <w:t xml:space="preserve"> </w:t>
      </w:r>
      <w:r w:rsidRPr="00A6370F">
        <w:rPr>
          <w:rFonts w:eastAsia="MS Mincho"/>
          <w:sz w:val="22"/>
          <w:szCs w:val="22"/>
        </w:rPr>
        <w:t>must be mailed to Federal Communications Commission, P.O. Box 979088, St. Louis, MO 63197-9000, or sent via</w:t>
      </w:r>
      <w:r w:rsidR="004845F7" w:rsidRPr="00A6370F">
        <w:rPr>
          <w:rFonts w:eastAsia="MS Mincho"/>
          <w:sz w:val="22"/>
          <w:szCs w:val="22"/>
        </w:rPr>
        <w:t xml:space="preserve"> </w:t>
      </w:r>
      <w:r w:rsidRPr="00A6370F">
        <w:rPr>
          <w:rFonts w:eastAsia="MS Mincho"/>
          <w:sz w:val="22"/>
          <w:szCs w:val="22"/>
        </w:rPr>
        <w:t>overnight mail</w:t>
      </w:r>
      <w:r w:rsidR="004845F7" w:rsidRPr="00A6370F">
        <w:rPr>
          <w:rFonts w:eastAsia="MS Mincho"/>
          <w:sz w:val="22"/>
          <w:szCs w:val="22"/>
        </w:rPr>
        <w:t xml:space="preserve"> </w:t>
      </w:r>
      <w:r w:rsidRPr="00A6370F">
        <w:rPr>
          <w:rFonts w:eastAsia="MS Mincho"/>
          <w:sz w:val="22"/>
          <w:szCs w:val="22"/>
        </w:rPr>
        <w:t>to U.S. Bank – Government Lockbox #979088, SL-MO-C2-GL, 1005 Convention Plaza, St. Louis, MO 63101.</w:t>
      </w:r>
      <w:r w:rsidR="004845F7" w:rsidRPr="00A6370F">
        <w:rPr>
          <w:rFonts w:eastAsia="MS Mincho"/>
          <w:sz w:val="22"/>
          <w:szCs w:val="22"/>
        </w:rPr>
        <w:t xml:space="preserve">  </w:t>
      </w:r>
    </w:p>
    <w:p w14:paraId="241E6B0E" w14:textId="77777777" w:rsidR="00A66F85" w:rsidRPr="00A6370F" w:rsidRDefault="00A66F85" w:rsidP="004A326D">
      <w:pPr>
        <w:pStyle w:val="ParaNum"/>
        <w:numPr>
          <w:ilvl w:val="0"/>
          <w:numId w:val="27"/>
        </w:numPr>
        <w:tabs>
          <w:tab w:val="clear" w:pos="1440"/>
        </w:tabs>
        <w:autoSpaceDE/>
        <w:autoSpaceDN/>
        <w:adjustRightInd/>
        <w:spacing w:after="120"/>
        <w:jc w:val="left"/>
        <w:rPr>
          <w:rFonts w:eastAsia="MS Mincho"/>
          <w:sz w:val="22"/>
          <w:szCs w:val="22"/>
        </w:rPr>
      </w:pPr>
      <w:r w:rsidRPr="00A6370F">
        <w:rPr>
          <w:rFonts w:eastAsia="MS Mincho"/>
          <w:sz w:val="22"/>
          <w:szCs w:val="22"/>
        </w:rPr>
        <w:t>Payment by</w:t>
      </w:r>
      <w:r w:rsidR="004845F7" w:rsidRPr="00A6370F">
        <w:rPr>
          <w:rFonts w:eastAsia="MS Mincho"/>
          <w:sz w:val="22"/>
          <w:szCs w:val="22"/>
        </w:rPr>
        <w:t xml:space="preserve"> </w:t>
      </w:r>
      <w:r w:rsidRPr="00A6370F">
        <w:rPr>
          <w:rFonts w:eastAsia="MS Mincho"/>
          <w:sz w:val="22"/>
          <w:szCs w:val="22"/>
        </w:rPr>
        <w:t>wire transfer</w:t>
      </w:r>
      <w:r w:rsidR="004845F7" w:rsidRPr="00A6370F">
        <w:rPr>
          <w:rFonts w:eastAsia="MS Mincho"/>
          <w:sz w:val="22"/>
          <w:szCs w:val="22"/>
        </w:rPr>
        <w:t xml:space="preserve"> </w:t>
      </w:r>
      <w:r w:rsidRPr="00A6370F">
        <w:rPr>
          <w:rFonts w:eastAsia="MS Mincho"/>
          <w:sz w:val="22"/>
          <w:szCs w:val="22"/>
        </w:rPr>
        <w:t>must be made to ABA Number 021030004, receiving bank TREAS/NYC, and Account Number 27000001.</w:t>
      </w:r>
      <w:r w:rsidR="004845F7" w:rsidRPr="00A6370F">
        <w:rPr>
          <w:rFonts w:eastAsia="MS Mincho"/>
          <w:sz w:val="22"/>
          <w:szCs w:val="22"/>
        </w:rPr>
        <w:t xml:space="preserve"> </w:t>
      </w:r>
      <w:r w:rsidRPr="00A6370F">
        <w:rPr>
          <w:rFonts w:eastAsia="MS Mincho"/>
          <w:sz w:val="22"/>
          <w:szCs w:val="22"/>
        </w:rPr>
        <w:t xml:space="preserve"> To complete the wire transfer and ensure appropriate crediting of the wired funds, a completed Form 159 must be faxed to U.S. Bank at (314) 418-4232 on the same business day the wire transfer is initiated.</w:t>
      </w:r>
      <w:r w:rsidR="004845F7" w:rsidRPr="00A6370F">
        <w:rPr>
          <w:rFonts w:eastAsia="MS Mincho"/>
          <w:sz w:val="22"/>
          <w:szCs w:val="22"/>
        </w:rPr>
        <w:t xml:space="preserve">  </w:t>
      </w:r>
    </w:p>
    <w:p w14:paraId="3DFDC586" w14:textId="77777777" w:rsidR="00A66F85" w:rsidRPr="00A6370F" w:rsidRDefault="00A66F85" w:rsidP="004A326D">
      <w:pPr>
        <w:pStyle w:val="ParaNum"/>
        <w:numPr>
          <w:ilvl w:val="0"/>
          <w:numId w:val="27"/>
        </w:numPr>
        <w:tabs>
          <w:tab w:val="clear" w:pos="1440"/>
        </w:tabs>
        <w:autoSpaceDE/>
        <w:autoSpaceDN/>
        <w:adjustRightInd/>
        <w:spacing w:after="120"/>
        <w:jc w:val="left"/>
        <w:rPr>
          <w:rFonts w:eastAsia="MS Mincho"/>
          <w:sz w:val="22"/>
          <w:szCs w:val="22"/>
        </w:rPr>
      </w:pPr>
      <w:r w:rsidRPr="00A6370F">
        <w:rPr>
          <w:rFonts w:eastAsia="MS Mincho"/>
          <w:sz w:val="22"/>
          <w:szCs w:val="22"/>
        </w:rPr>
        <w:t>Payment by credit card must be made by providing the required credit card information on FCC Form 159 and signing</w:t>
      </w:r>
      <w:r w:rsidR="004845F7" w:rsidRPr="00A6370F">
        <w:rPr>
          <w:rFonts w:eastAsia="MS Mincho"/>
          <w:sz w:val="22"/>
          <w:szCs w:val="22"/>
        </w:rPr>
        <w:t xml:space="preserve"> </w:t>
      </w:r>
      <w:r w:rsidRPr="00A6370F">
        <w:rPr>
          <w:rFonts w:eastAsia="MS Mincho"/>
          <w:sz w:val="22"/>
          <w:szCs w:val="22"/>
        </w:rPr>
        <w:t>and dating</w:t>
      </w:r>
      <w:r w:rsidR="004845F7" w:rsidRPr="00A6370F">
        <w:rPr>
          <w:rFonts w:eastAsia="MS Mincho"/>
          <w:sz w:val="22"/>
          <w:szCs w:val="22"/>
        </w:rPr>
        <w:t xml:space="preserve"> </w:t>
      </w:r>
      <w:r w:rsidRPr="00A6370F">
        <w:rPr>
          <w:rFonts w:eastAsia="MS Mincho"/>
          <w:sz w:val="22"/>
          <w:szCs w:val="22"/>
        </w:rPr>
        <w:t>the Form 159 to autho</w:t>
      </w:r>
      <w:r w:rsidR="00E2691A" w:rsidRPr="00A6370F">
        <w:rPr>
          <w:rFonts w:eastAsia="MS Mincho"/>
          <w:sz w:val="22"/>
          <w:szCs w:val="22"/>
        </w:rPr>
        <w:t>rize</w:t>
      </w:r>
      <w:r w:rsidR="004845F7" w:rsidRPr="00A6370F">
        <w:rPr>
          <w:rFonts w:eastAsia="MS Mincho"/>
          <w:sz w:val="22"/>
          <w:szCs w:val="22"/>
        </w:rPr>
        <w:t xml:space="preserve"> </w:t>
      </w:r>
      <w:r w:rsidR="00E2691A" w:rsidRPr="00A6370F">
        <w:rPr>
          <w:rFonts w:eastAsia="MS Mincho"/>
          <w:sz w:val="22"/>
          <w:szCs w:val="22"/>
        </w:rPr>
        <w:t xml:space="preserve">the credit card payment.  </w:t>
      </w:r>
      <w:r w:rsidRPr="00A6370F">
        <w:rPr>
          <w:rFonts w:eastAsia="MS Mincho"/>
          <w:sz w:val="22"/>
          <w:szCs w:val="22"/>
        </w:rPr>
        <w:t>The completed Form 159 must then be mailed to Federal Communications Commission, P.O. Box 979088, St. Louis, MO 63197-9000, or sent via</w:t>
      </w:r>
      <w:r w:rsidR="004845F7" w:rsidRPr="00A6370F">
        <w:rPr>
          <w:rFonts w:eastAsia="MS Mincho"/>
          <w:sz w:val="22"/>
          <w:szCs w:val="22"/>
        </w:rPr>
        <w:t xml:space="preserve"> </w:t>
      </w:r>
      <w:r w:rsidRPr="00A6370F">
        <w:rPr>
          <w:rFonts w:eastAsia="MS Mincho"/>
          <w:sz w:val="22"/>
          <w:szCs w:val="22"/>
        </w:rPr>
        <w:t>overnight mail</w:t>
      </w:r>
      <w:r w:rsidR="004845F7" w:rsidRPr="00A6370F">
        <w:rPr>
          <w:rFonts w:eastAsia="MS Mincho"/>
          <w:sz w:val="22"/>
          <w:szCs w:val="22"/>
        </w:rPr>
        <w:t xml:space="preserve"> </w:t>
      </w:r>
      <w:r w:rsidRPr="00A6370F">
        <w:rPr>
          <w:rFonts w:eastAsia="MS Mincho"/>
          <w:sz w:val="22"/>
          <w:szCs w:val="22"/>
        </w:rPr>
        <w:t>to U.S. Bank – Government Lockbox #979088, SL-MO-C2-GL, 1005 Convention Plaza, St. Louis, MO 63101.</w:t>
      </w:r>
      <w:r w:rsidR="004845F7" w:rsidRPr="00A6370F">
        <w:rPr>
          <w:rFonts w:eastAsia="MS Mincho"/>
          <w:sz w:val="22"/>
          <w:szCs w:val="22"/>
        </w:rPr>
        <w:t xml:space="preserve"> </w:t>
      </w:r>
      <w:r w:rsidRPr="00A6370F">
        <w:rPr>
          <w:rFonts w:eastAsia="MS Mincho"/>
          <w:sz w:val="22"/>
          <w:szCs w:val="22"/>
        </w:rPr>
        <w:t xml:space="preserve"> </w:t>
      </w:r>
    </w:p>
    <w:p w14:paraId="4B8F882C" w14:textId="77777777" w:rsidR="00C46383" w:rsidRPr="00A6370F" w:rsidRDefault="00A66F85" w:rsidP="004A326D">
      <w:pPr>
        <w:widowControl/>
        <w:numPr>
          <w:ilvl w:val="0"/>
          <w:numId w:val="22"/>
        </w:numPr>
        <w:tabs>
          <w:tab w:val="clear" w:pos="1260"/>
          <w:tab w:val="left" w:pos="0"/>
          <w:tab w:val="num" w:pos="1440"/>
        </w:tabs>
        <w:suppressAutoHyphens/>
        <w:spacing w:after="120"/>
        <w:ind w:left="0"/>
        <w:rPr>
          <w:spacing w:val="-2"/>
          <w:sz w:val="22"/>
          <w:szCs w:val="22"/>
        </w:rPr>
      </w:pPr>
      <w:r w:rsidRPr="00A6370F">
        <w:rPr>
          <w:rFonts w:eastAsia="MS Mincho"/>
          <w:sz w:val="22"/>
          <w:szCs w:val="22"/>
        </w:rPr>
        <w:t xml:space="preserve">Any </w:t>
      </w:r>
      <w:r w:rsidRPr="00A6370F">
        <w:rPr>
          <w:rFonts w:eastAsia="MS Mincho" w:cs="Arial"/>
          <w:sz w:val="22"/>
          <w:szCs w:val="22"/>
        </w:rPr>
        <w:t>request</w:t>
      </w:r>
      <w:r w:rsidRPr="00A6370F">
        <w:rPr>
          <w:rFonts w:eastAsia="MS Mincho"/>
          <w:sz w:val="22"/>
          <w:szCs w:val="22"/>
        </w:rPr>
        <w:t xml:space="preserve"> for </w:t>
      </w:r>
      <w:r w:rsidR="00D13FA6" w:rsidRPr="00A6370F">
        <w:rPr>
          <w:rFonts w:eastAsia="MS Mincho"/>
          <w:sz w:val="22"/>
          <w:szCs w:val="22"/>
        </w:rPr>
        <w:t xml:space="preserve">making </w:t>
      </w:r>
      <w:r w:rsidRPr="00A6370F">
        <w:rPr>
          <w:rFonts w:eastAsia="MS Mincho"/>
          <w:sz w:val="22"/>
          <w:szCs w:val="22"/>
        </w:rPr>
        <w:t xml:space="preserve">full payment </w:t>
      </w:r>
      <w:r w:rsidR="00D13FA6" w:rsidRPr="00A6370F">
        <w:rPr>
          <w:rFonts w:eastAsia="MS Mincho"/>
          <w:sz w:val="22"/>
          <w:szCs w:val="22"/>
        </w:rPr>
        <w:t xml:space="preserve">over time </w:t>
      </w:r>
      <w:r w:rsidRPr="00A6370F">
        <w:rPr>
          <w:rFonts w:eastAsia="MS Mincho" w:cs="Arial"/>
          <w:sz w:val="22"/>
          <w:szCs w:val="22"/>
        </w:rPr>
        <w:t>under</w:t>
      </w:r>
      <w:r w:rsidRPr="00A6370F">
        <w:rPr>
          <w:rFonts w:eastAsia="MS Mincho"/>
          <w:sz w:val="22"/>
          <w:szCs w:val="22"/>
        </w:rPr>
        <w:t xml:space="preserve"> an installment plan should be sent to:</w:t>
      </w:r>
      <w:r w:rsidR="004845F7" w:rsidRPr="00A6370F">
        <w:rPr>
          <w:rFonts w:eastAsia="MS Mincho"/>
          <w:sz w:val="22"/>
          <w:szCs w:val="22"/>
        </w:rPr>
        <w:t xml:space="preserve"> </w:t>
      </w:r>
      <w:r w:rsidRPr="00A6370F">
        <w:rPr>
          <w:rFonts w:eastAsia="MS Mincho"/>
          <w:sz w:val="22"/>
          <w:szCs w:val="22"/>
        </w:rPr>
        <w:t xml:space="preserve"> Chief Financial Officer—Financial Operations, </w:t>
      </w:r>
      <w:r w:rsidRPr="00A6370F">
        <w:rPr>
          <w:rFonts w:eastAsia="MS Mincho" w:cs="Arial"/>
          <w:sz w:val="22"/>
          <w:szCs w:val="22"/>
        </w:rPr>
        <w:t>Federal</w:t>
      </w:r>
      <w:r w:rsidRPr="00A6370F">
        <w:rPr>
          <w:rFonts w:eastAsia="MS Mincho"/>
          <w:sz w:val="22"/>
          <w:szCs w:val="22"/>
        </w:rPr>
        <w:t xml:space="preserve"> Communications Commission, 445 12th Street, S.W., Room 1-A625, Washington, D.C.</w:t>
      </w:r>
      <w:r w:rsidR="004845F7" w:rsidRPr="00A6370F">
        <w:rPr>
          <w:rFonts w:eastAsia="MS Mincho"/>
          <w:sz w:val="22"/>
          <w:szCs w:val="22"/>
        </w:rPr>
        <w:t xml:space="preserve"> </w:t>
      </w:r>
      <w:r w:rsidRPr="00A6370F">
        <w:rPr>
          <w:rFonts w:eastAsia="MS Mincho"/>
          <w:sz w:val="22"/>
          <w:szCs w:val="22"/>
        </w:rPr>
        <w:t xml:space="preserve"> 20554.</w:t>
      </w:r>
      <w:r w:rsidRPr="00A6370F">
        <w:rPr>
          <w:rStyle w:val="FootnoteReference"/>
          <w:rFonts w:eastAsia="MS Mincho"/>
          <w:sz w:val="22"/>
          <w:szCs w:val="22"/>
        </w:rPr>
        <w:footnoteReference w:id="31"/>
      </w:r>
      <w:r w:rsidR="004845F7" w:rsidRPr="00A6370F">
        <w:rPr>
          <w:rFonts w:eastAsia="MS Mincho"/>
          <w:sz w:val="22"/>
          <w:szCs w:val="22"/>
        </w:rPr>
        <w:t xml:space="preserve">  </w:t>
      </w:r>
      <w:r w:rsidR="00583A6A" w:rsidRPr="00A6370F">
        <w:rPr>
          <w:rFonts w:eastAsia="MS Mincho"/>
          <w:sz w:val="22"/>
          <w:szCs w:val="22"/>
        </w:rPr>
        <w:t xml:space="preserve">Questions regarding payment </w:t>
      </w:r>
      <w:r w:rsidR="006C73C9" w:rsidRPr="00A6370F">
        <w:rPr>
          <w:rFonts w:eastAsia="MS Mincho"/>
          <w:sz w:val="22"/>
          <w:szCs w:val="22"/>
        </w:rPr>
        <w:t>procedures</w:t>
      </w:r>
      <w:r w:rsidR="00583A6A" w:rsidRPr="00A6370F">
        <w:rPr>
          <w:rFonts w:eastAsia="MS Mincho"/>
          <w:sz w:val="22"/>
          <w:szCs w:val="22"/>
        </w:rPr>
        <w:t xml:space="preserve"> should be directed to </w:t>
      </w:r>
      <w:r w:rsidRPr="00A6370F">
        <w:rPr>
          <w:rFonts w:eastAsia="MS Mincho"/>
          <w:sz w:val="22"/>
          <w:szCs w:val="22"/>
        </w:rPr>
        <w:t>the Financial Operations Group Help Desk</w:t>
      </w:r>
      <w:r w:rsidR="004845F7" w:rsidRPr="00A6370F">
        <w:rPr>
          <w:rFonts w:eastAsia="MS Mincho"/>
          <w:sz w:val="22"/>
          <w:szCs w:val="22"/>
        </w:rPr>
        <w:t xml:space="preserve"> </w:t>
      </w:r>
      <w:r w:rsidRPr="00A6370F">
        <w:rPr>
          <w:rFonts w:eastAsia="MS Mincho"/>
          <w:sz w:val="22"/>
          <w:szCs w:val="22"/>
        </w:rPr>
        <w:t>by phone,</w:t>
      </w:r>
      <w:r w:rsidR="004845F7" w:rsidRPr="00A6370F">
        <w:rPr>
          <w:rFonts w:eastAsia="MS Mincho"/>
          <w:sz w:val="22"/>
          <w:szCs w:val="22"/>
        </w:rPr>
        <w:t xml:space="preserve"> </w:t>
      </w:r>
      <w:r w:rsidRPr="00A6370F">
        <w:rPr>
          <w:rFonts w:eastAsia="MS Mincho"/>
          <w:sz w:val="22"/>
          <w:szCs w:val="22"/>
        </w:rPr>
        <w:t>1-877-480-3201, or</w:t>
      </w:r>
      <w:r w:rsidR="004845F7" w:rsidRPr="00A6370F">
        <w:rPr>
          <w:rFonts w:eastAsia="MS Mincho"/>
          <w:sz w:val="22"/>
          <w:szCs w:val="22"/>
        </w:rPr>
        <w:t xml:space="preserve"> </w:t>
      </w:r>
      <w:r w:rsidRPr="00A6370F">
        <w:rPr>
          <w:rFonts w:eastAsia="MS Mincho"/>
          <w:sz w:val="22"/>
          <w:szCs w:val="22"/>
        </w:rPr>
        <w:t>by e</w:t>
      </w:r>
      <w:r w:rsidRPr="00A6370F">
        <w:rPr>
          <w:rFonts w:eastAsia="MS Mincho"/>
          <w:sz w:val="22"/>
          <w:szCs w:val="22"/>
        </w:rPr>
        <w:noBreakHyphen/>
        <w:t xml:space="preserve">mail, </w:t>
      </w:r>
      <w:r w:rsidRPr="00A6370F">
        <w:rPr>
          <w:rFonts w:eastAsia="MS Mincho" w:cs="Arial"/>
          <w:sz w:val="22"/>
          <w:szCs w:val="22"/>
        </w:rPr>
        <w:t>ARINQUIRIES@fcc.gov</w:t>
      </w:r>
      <w:r w:rsidRPr="00A6370F">
        <w:rPr>
          <w:rFonts w:eastAsia="MS Mincho"/>
          <w:sz w:val="22"/>
          <w:szCs w:val="22"/>
        </w:rPr>
        <w:t xml:space="preserve">.  </w:t>
      </w:r>
    </w:p>
    <w:p w14:paraId="5C67E416" w14:textId="77777777" w:rsidR="00C46383" w:rsidRPr="009A76FB" w:rsidRDefault="007E2E05" w:rsidP="00AD0184">
      <w:pPr>
        <w:widowControl/>
        <w:numPr>
          <w:ilvl w:val="0"/>
          <w:numId w:val="22"/>
        </w:numPr>
        <w:tabs>
          <w:tab w:val="clear" w:pos="1260"/>
          <w:tab w:val="left" w:pos="0"/>
          <w:tab w:val="num" w:pos="1440"/>
        </w:tabs>
        <w:suppressAutoHyphens/>
        <w:spacing w:after="120"/>
        <w:ind w:left="0"/>
        <w:rPr>
          <w:spacing w:val="-2"/>
          <w:sz w:val="22"/>
          <w:szCs w:val="22"/>
        </w:rPr>
      </w:pPr>
      <w:r w:rsidRPr="009A76FB">
        <w:rPr>
          <w:sz w:val="22"/>
          <w:szCs w:val="22"/>
        </w:rPr>
        <w:t>The written statement seeking reduction or cancellation of the proposed forfeiture, if any, must include a detailed factual statement supported by appropriate documentat</w:t>
      </w:r>
      <w:r w:rsidR="00D57AE2" w:rsidRPr="009A76FB">
        <w:rPr>
          <w:sz w:val="22"/>
          <w:szCs w:val="22"/>
        </w:rPr>
        <w:t>ion and affidavits pursuant to S</w:t>
      </w:r>
      <w:r w:rsidRPr="009A76FB">
        <w:rPr>
          <w:sz w:val="22"/>
          <w:szCs w:val="22"/>
        </w:rPr>
        <w:t xml:space="preserve">ections </w:t>
      </w:r>
      <w:r w:rsidR="00F30E61" w:rsidRPr="009A76FB">
        <w:rPr>
          <w:sz w:val="22"/>
          <w:szCs w:val="22"/>
        </w:rPr>
        <w:t xml:space="preserve">1.16 and </w:t>
      </w:r>
      <w:r w:rsidRPr="009A76FB">
        <w:rPr>
          <w:sz w:val="22"/>
          <w:szCs w:val="22"/>
        </w:rPr>
        <w:t>1.80(f)(3) of the Rules.</w:t>
      </w:r>
      <w:r w:rsidR="003E2AD5" w:rsidRPr="00A6370F">
        <w:rPr>
          <w:rStyle w:val="FootnoteReference"/>
          <w:sz w:val="22"/>
          <w:szCs w:val="22"/>
        </w:rPr>
        <w:footnoteReference w:id="32"/>
      </w:r>
      <w:r w:rsidRPr="009A76FB">
        <w:rPr>
          <w:sz w:val="22"/>
          <w:szCs w:val="22"/>
        </w:rPr>
        <w:t xml:space="preserve">  Mail the written statement to Federal Communications Commission, Enforcement Bureau,</w:t>
      </w:r>
      <w:r w:rsidR="00050854" w:rsidRPr="009A76FB">
        <w:rPr>
          <w:spacing w:val="-2"/>
          <w:sz w:val="22"/>
          <w:szCs w:val="22"/>
        </w:rPr>
        <w:t xml:space="preserve"> </w:t>
      </w:r>
      <w:r w:rsidR="009A76FB" w:rsidRPr="009A76FB">
        <w:rPr>
          <w:spacing w:val="-2"/>
          <w:sz w:val="22"/>
          <w:szCs w:val="22"/>
        </w:rPr>
        <w:t>Western</w:t>
      </w:r>
      <w:r w:rsidR="004845F7" w:rsidRPr="009A76FB">
        <w:rPr>
          <w:spacing w:val="-2"/>
          <w:sz w:val="22"/>
          <w:szCs w:val="22"/>
        </w:rPr>
        <w:t xml:space="preserve"> Region, </w:t>
      </w:r>
      <w:r w:rsidR="009A76FB" w:rsidRPr="009A76FB">
        <w:rPr>
          <w:spacing w:val="-2"/>
          <w:sz w:val="22"/>
          <w:szCs w:val="22"/>
        </w:rPr>
        <w:t xml:space="preserve">San Francisco Office, 5653 Stoneridge Drive, Suite 105, Pleasanton, California, 94588-8543, </w:t>
      </w:r>
      <w:r w:rsidR="00050854" w:rsidRPr="009A76FB">
        <w:rPr>
          <w:spacing w:val="-2"/>
          <w:sz w:val="22"/>
          <w:szCs w:val="22"/>
        </w:rPr>
        <w:t>and include the NAL/Acct. No. referenced in the caption.</w:t>
      </w:r>
      <w:r w:rsidR="00683F6F" w:rsidRPr="009A76FB">
        <w:rPr>
          <w:spacing w:val="-2"/>
          <w:sz w:val="22"/>
          <w:szCs w:val="22"/>
        </w:rPr>
        <w:t xml:space="preserve">  </w:t>
      </w:r>
      <w:r w:rsidR="00583A6A" w:rsidRPr="009A76FB">
        <w:rPr>
          <w:spacing w:val="-2"/>
          <w:sz w:val="22"/>
          <w:szCs w:val="22"/>
        </w:rPr>
        <w:t xml:space="preserve">The statement must </w:t>
      </w:r>
      <w:r w:rsidR="005F67D7" w:rsidRPr="009A76FB">
        <w:rPr>
          <w:color w:val="000000"/>
          <w:spacing w:val="-2"/>
          <w:sz w:val="22"/>
          <w:szCs w:val="22"/>
        </w:rPr>
        <w:t>also</w:t>
      </w:r>
      <w:r w:rsidR="00583A6A" w:rsidRPr="009A76FB">
        <w:rPr>
          <w:color w:val="000000"/>
          <w:spacing w:val="-2"/>
          <w:sz w:val="22"/>
          <w:szCs w:val="22"/>
        </w:rPr>
        <w:t xml:space="preserve"> be </w:t>
      </w:r>
      <w:r w:rsidR="00683F6F" w:rsidRPr="009A76FB">
        <w:rPr>
          <w:spacing w:val="-2"/>
          <w:sz w:val="22"/>
          <w:szCs w:val="22"/>
        </w:rPr>
        <w:t>e</w:t>
      </w:r>
      <w:r w:rsidR="00C009F7" w:rsidRPr="009A76FB">
        <w:rPr>
          <w:spacing w:val="-2"/>
          <w:sz w:val="22"/>
          <w:szCs w:val="22"/>
        </w:rPr>
        <w:t>-</w:t>
      </w:r>
      <w:r w:rsidR="00683F6F" w:rsidRPr="009A76FB">
        <w:rPr>
          <w:spacing w:val="-2"/>
          <w:sz w:val="22"/>
          <w:szCs w:val="22"/>
        </w:rPr>
        <w:t>mail</w:t>
      </w:r>
      <w:r w:rsidR="00583A6A" w:rsidRPr="009A76FB">
        <w:rPr>
          <w:spacing w:val="-2"/>
          <w:sz w:val="22"/>
          <w:szCs w:val="22"/>
        </w:rPr>
        <w:t xml:space="preserve">ed </w:t>
      </w:r>
      <w:r w:rsidR="00683F6F" w:rsidRPr="009A76FB">
        <w:rPr>
          <w:spacing w:val="-2"/>
          <w:sz w:val="22"/>
          <w:szCs w:val="22"/>
        </w:rPr>
        <w:t>to</w:t>
      </w:r>
      <w:r w:rsidR="000F10C7" w:rsidRPr="009A76FB">
        <w:rPr>
          <w:spacing w:val="-2"/>
          <w:sz w:val="22"/>
          <w:szCs w:val="22"/>
        </w:rPr>
        <w:t xml:space="preserve"> </w:t>
      </w:r>
      <w:r w:rsidR="009A76FB">
        <w:rPr>
          <w:spacing w:val="-2"/>
          <w:sz w:val="22"/>
          <w:szCs w:val="22"/>
        </w:rPr>
        <w:t>W</w:t>
      </w:r>
      <w:r w:rsidR="004845F7" w:rsidRPr="009A76FB">
        <w:rPr>
          <w:spacing w:val="-2"/>
          <w:sz w:val="22"/>
          <w:szCs w:val="22"/>
        </w:rPr>
        <w:t>R</w:t>
      </w:r>
      <w:r w:rsidR="004845F7" w:rsidRPr="009A76FB">
        <w:rPr>
          <w:sz w:val="22"/>
          <w:szCs w:val="22"/>
        </w:rPr>
        <w:t>-Response@fcc.gov</w:t>
      </w:r>
      <w:r w:rsidR="000F10C7" w:rsidRPr="009A76FB">
        <w:rPr>
          <w:sz w:val="22"/>
          <w:szCs w:val="22"/>
        </w:rPr>
        <w:t>.</w:t>
      </w:r>
    </w:p>
    <w:p w14:paraId="18A6139C" w14:textId="77777777" w:rsidR="0046336D" w:rsidRDefault="00050854" w:rsidP="0046336D">
      <w:pPr>
        <w:widowControl/>
        <w:numPr>
          <w:ilvl w:val="0"/>
          <w:numId w:val="22"/>
        </w:numPr>
        <w:tabs>
          <w:tab w:val="clear" w:pos="1260"/>
          <w:tab w:val="left" w:pos="0"/>
          <w:tab w:val="num" w:pos="1440"/>
        </w:tabs>
        <w:suppressAutoHyphens/>
        <w:spacing w:after="120"/>
        <w:ind w:left="0"/>
        <w:rPr>
          <w:spacing w:val="-2"/>
          <w:sz w:val="22"/>
          <w:szCs w:val="22"/>
        </w:rPr>
      </w:pPr>
      <w:r w:rsidRPr="00A6370F">
        <w:rPr>
          <w:spacing w:val="-2"/>
          <w:sz w:val="22"/>
          <w:szCs w:val="22"/>
        </w:rPr>
        <w:t xml:space="preserve">The Commission will not consider reducing or canceling a forfeiture in response to a claim of inability to pay unless the petitioner submits: </w:t>
      </w:r>
      <w:r w:rsidR="00F30E61" w:rsidRPr="00A6370F">
        <w:rPr>
          <w:spacing w:val="-2"/>
          <w:sz w:val="22"/>
          <w:szCs w:val="22"/>
        </w:rPr>
        <w:t xml:space="preserve"> </w:t>
      </w:r>
      <w:r w:rsidRPr="00A6370F">
        <w:rPr>
          <w:spacing w:val="-2"/>
          <w:sz w:val="22"/>
          <w:szCs w:val="22"/>
        </w:rPr>
        <w:t>(1) federal tax returns for the most recent three-year period; (2) financial statements prepared according to generally accepted accounting pr</w:t>
      </w:r>
      <w:r w:rsidR="00D13FA6" w:rsidRPr="00A6370F">
        <w:rPr>
          <w:spacing w:val="-2"/>
          <w:sz w:val="22"/>
          <w:szCs w:val="22"/>
        </w:rPr>
        <w:t>inciples</w:t>
      </w:r>
      <w:r w:rsidRPr="00A6370F">
        <w:rPr>
          <w:spacing w:val="-2"/>
          <w:sz w:val="22"/>
          <w:szCs w:val="22"/>
        </w:rPr>
        <w:t xml:space="preserve"> (GAAP); or (3) some other reliable and objective documentation that accurately reflects the petitioner’s current financial status.  Any claim of inability to pay must specifically identify the basis for the claim by reference to the financial documentation submitted.</w:t>
      </w:r>
    </w:p>
    <w:p w14:paraId="364B0590" w14:textId="77777777" w:rsidR="00050854" w:rsidRPr="0046336D" w:rsidRDefault="00050854" w:rsidP="0046336D">
      <w:pPr>
        <w:widowControl/>
        <w:numPr>
          <w:ilvl w:val="0"/>
          <w:numId w:val="22"/>
        </w:numPr>
        <w:tabs>
          <w:tab w:val="clear" w:pos="1260"/>
          <w:tab w:val="left" w:pos="0"/>
          <w:tab w:val="num" w:pos="1440"/>
        </w:tabs>
        <w:suppressAutoHyphens/>
        <w:spacing w:after="120"/>
        <w:ind w:left="0"/>
        <w:rPr>
          <w:spacing w:val="-2"/>
          <w:sz w:val="22"/>
          <w:szCs w:val="22"/>
        </w:rPr>
      </w:pPr>
      <w:r w:rsidRPr="0046336D">
        <w:rPr>
          <w:b/>
          <w:spacing w:val="-2"/>
          <w:sz w:val="22"/>
          <w:szCs w:val="22"/>
        </w:rPr>
        <w:t>IT IS FURTHER ORDERED</w:t>
      </w:r>
      <w:r w:rsidRPr="0046336D">
        <w:rPr>
          <w:spacing w:val="-2"/>
          <w:sz w:val="22"/>
          <w:szCs w:val="22"/>
        </w:rPr>
        <w:t xml:space="preserve"> </w:t>
      </w:r>
      <w:r w:rsidR="003F3CFD" w:rsidRPr="0046336D">
        <w:rPr>
          <w:spacing w:val="-2"/>
          <w:sz w:val="22"/>
          <w:szCs w:val="22"/>
        </w:rPr>
        <w:t>that</w:t>
      </w:r>
      <w:r w:rsidRPr="0046336D">
        <w:rPr>
          <w:spacing w:val="-2"/>
          <w:sz w:val="22"/>
          <w:szCs w:val="22"/>
        </w:rPr>
        <w:t xml:space="preserve"> a copy of this Notice of Apparent Liability for Forfeiture shall be sent by </w:t>
      </w:r>
      <w:r w:rsidR="00583A6A" w:rsidRPr="0046336D">
        <w:rPr>
          <w:spacing w:val="-2"/>
          <w:sz w:val="22"/>
          <w:szCs w:val="22"/>
        </w:rPr>
        <w:t xml:space="preserve">first class mail and certified mail, return receipt requested, </w:t>
      </w:r>
      <w:r w:rsidRPr="0046336D">
        <w:rPr>
          <w:spacing w:val="-2"/>
          <w:sz w:val="22"/>
          <w:szCs w:val="22"/>
        </w:rPr>
        <w:t xml:space="preserve">to </w:t>
      </w:r>
      <w:r w:rsidR="0046336D" w:rsidRPr="0046336D">
        <w:rPr>
          <w:spacing w:val="-2"/>
          <w:sz w:val="22"/>
          <w:szCs w:val="22"/>
        </w:rPr>
        <w:t>William F. Crowell</w:t>
      </w:r>
      <w:r w:rsidR="0046336D">
        <w:rPr>
          <w:spacing w:val="-2"/>
          <w:sz w:val="22"/>
          <w:szCs w:val="22"/>
        </w:rPr>
        <w:t xml:space="preserve"> </w:t>
      </w:r>
      <w:r w:rsidR="000F10C7" w:rsidRPr="0046336D">
        <w:rPr>
          <w:spacing w:val="-2"/>
          <w:sz w:val="22"/>
          <w:szCs w:val="22"/>
        </w:rPr>
        <w:t xml:space="preserve">at his address of record.  </w:t>
      </w:r>
    </w:p>
    <w:p w14:paraId="7721407F" w14:textId="77777777" w:rsidR="00331410" w:rsidRPr="00A6370F" w:rsidRDefault="00331410" w:rsidP="00BF1922">
      <w:pPr>
        <w:widowControl/>
        <w:tabs>
          <w:tab w:val="left" w:pos="0"/>
        </w:tabs>
        <w:suppressAutoHyphens/>
        <w:spacing w:line="240" w:lineRule="atLeast"/>
        <w:rPr>
          <w:spacing w:val="-2"/>
          <w:sz w:val="22"/>
          <w:szCs w:val="22"/>
        </w:rPr>
      </w:pPr>
    </w:p>
    <w:p w14:paraId="51B44A83" w14:textId="77777777" w:rsidR="00050854" w:rsidRPr="00A6370F" w:rsidRDefault="00050854" w:rsidP="00BF1922">
      <w:pPr>
        <w:widowControl/>
        <w:tabs>
          <w:tab w:val="left" w:pos="0"/>
          <w:tab w:val="num" w:pos="1440"/>
        </w:tabs>
        <w:suppressAutoHyphens/>
        <w:spacing w:line="240" w:lineRule="atLeast"/>
        <w:jc w:val="both"/>
        <w:rPr>
          <w:spacing w:val="-2"/>
          <w:sz w:val="22"/>
          <w:szCs w:val="22"/>
        </w:rPr>
      </w:pPr>
    </w:p>
    <w:p w14:paraId="0C9B5F88" w14:textId="77777777" w:rsidR="00050854" w:rsidRPr="00A6370F" w:rsidRDefault="00331410" w:rsidP="00BF1922">
      <w:pPr>
        <w:widowControl/>
        <w:tabs>
          <w:tab w:val="left" w:pos="0"/>
          <w:tab w:val="num" w:pos="1440"/>
        </w:tabs>
        <w:suppressAutoHyphens/>
        <w:spacing w:line="240" w:lineRule="atLeast"/>
        <w:rPr>
          <w:spacing w:val="-2"/>
          <w:sz w:val="22"/>
          <w:szCs w:val="22"/>
        </w:rPr>
      </w:pPr>
      <w:r w:rsidRPr="00A6370F">
        <w:rPr>
          <w:spacing w:val="-2"/>
          <w:sz w:val="22"/>
          <w:szCs w:val="22"/>
        </w:rPr>
        <w:tab/>
      </w:r>
      <w:r w:rsidRPr="00A6370F">
        <w:rPr>
          <w:spacing w:val="-2"/>
          <w:sz w:val="22"/>
          <w:szCs w:val="22"/>
        </w:rPr>
        <w:tab/>
      </w:r>
      <w:r w:rsidRPr="00A6370F">
        <w:rPr>
          <w:spacing w:val="-2"/>
          <w:sz w:val="22"/>
          <w:szCs w:val="22"/>
        </w:rPr>
        <w:tab/>
      </w:r>
      <w:r w:rsidRPr="00A6370F">
        <w:rPr>
          <w:spacing w:val="-2"/>
          <w:sz w:val="22"/>
          <w:szCs w:val="22"/>
        </w:rPr>
        <w:tab/>
      </w:r>
      <w:r w:rsidRPr="00A6370F">
        <w:rPr>
          <w:spacing w:val="-2"/>
          <w:sz w:val="22"/>
          <w:szCs w:val="22"/>
        </w:rPr>
        <w:tab/>
      </w:r>
      <w:r w:rsidR="00050854" w:rsidRPr="00A6370F">
        <w:rPr>
          <w:spacing w:val="-2"/>
          <w:sz w:val="22"/>
          <w:szCs w:val="22"/>
        </w:rPr>
        <w:t>FEDERAL COMMUNICATIONS COMMISSION</w:t>
      </w:r>
    </w:p>
    <w:p w14:paraId="3FAC9303" w14:textId="77777777" w:rsidR="00050854" w:rsidRPr="00A6370F" w:rsidRDefault="00050854" w:rsidP="00BF1922">
      <w:pPr>
        <w:widowControl/>
        <w:tabs>
          <w:tab w:val="left" w:pos="0"/>
          <w:tab w:val="num" w:pos="1440"/>
        </w:tabs>
        <w:suppressAutoHyphens/>
        <w:spacing w:line="240" w:lineRule="atLeast"/>
        <w:jc w:val="both"/>
        <w:rPr>
          <w:spacing w:val="-2"/>
          <w:sz w:val="22"/>
          <w:szCs w:val="22"/>
        </w:rPr>
      </w:pPr>
    </w:p>
    <w:p w14:paraId="5A90B32E" w14:textId="77777777" w:rsidR="00050854" w:rsidRPr="00A6370F" w:rsidRDefault="00050854" w:rsidP="00BF1922">
      <w:pPr>
        <w:widowControl/>
        <w:tabs>
          <w:tab w:val="left" w:pos="0"/>
          <w:tab w:val="num" w:pos="1440"/>
        </w:tabs>
        <w:suppressAutoHyphens/>
        <w:spacing w:line="240" w:lineRule="atLeast"/>
        <w:jc w:val="both"/>
        <w:rPr>
          <w:spacing w:val="-2"/>
          <w:sz w:val="22"/>
          <w:szCs w:val="22"/>
        </w:rPr>
      </w:pPr>
    </w:p>
    <w:p w14:paraId="7C36C46C" w14:textId="77777777" w:rsidR="00050854" w:rsidRPr="00A6370F" w:rsidRDefault="00050854" w:rsidP="00BF1922">
      <w:pPr>
        <w:widowControl/>
        <w:tabs>
          <w:tab w:val="left" w:pos="0"/>
          <w:tab w:val="num" w:pos="1440"/>
        </w:tabs>
        <w:suppressAutoHyphens/>
        <w:spacing w:line="240" w:lineRule="atLeast"/>
        <w:jc w:val="both"/>
        <w:rPr>
          <w:spacing w:val="-2"/>
          <w:sz w:val="22"/>
          <w:szCs w:val="22"/>
        </w:rPr>
      </w:pPr>
    </w:p>
    <w:p w14:paraId="5C1A65D5" w14:textId="77777777" w:rsidR="00331410" w:rsidRPr="00A6370F" w:rsidRDefault="00050854" w:rsidP="00BF1922">
      <w:pPr>
        <w:widowControl/>
        <w:tabs>
          <w:tab w:val="left" w:pos="0"/>
          <w:tab w:val="num" w:pos="1440"/>
        </w:tabs>
        <w:suppressAutoHyphens/>
        <w:spacing w:line="240" w:lineRule="atLeast"/>
        <w:jc w:val="both"/>
        <w:rPr>
          <w:spacing w:val="-2"/>
          <w:sz w:val="22"/>
          <w:szCs w:val="22"/>
        </w:rPr>
      </w:pPr>
      <w:r w:rsidRPr="00A6370F">
        <w:rPr>
          <w:spacing w:val="-2"/>
          <w:sz w:val="22"/>
          <w:szCs w:val="22"/>
        </w:rPr>
        <w:tab/>
      </w:r>
      <w:r w:rsidRPr="00A6370F">
        <w:rPr>
          <w:spacing w:val="-2"/>
          <w:sz w:val="22"/>
          <w:szCs w:val="22"/>
        </w:rPr>
        <w:tab/>
      </w:r>
      <w:r w:rsidRPr="00A6370F">
        <w:rPr>
          <w:spacing w:val="-2"/>
          <w:sz w:val="22"/>
          <w:szCs w:val="22"/>
        </w:rPr>
        <w:tab/>
      </w:r>
      <w:r w:rsidRPr="00A6370F">
        <w:rPr>
          <w:spacing w:val="-2"/>
          <w:sz w:val="22"/>
          <w:szCs w:val="22"/>
        </w:rPr>
        <w:tab/>
      </w:r>
      <w:r w:rsidRPr="00A6370F">
        <w:rPr>
          <w:spacing w:val="-2"/>
          <w:sz w:val="22"/>
          <w:szCs w:val="22"/>
        </w:rPr>
        <w:tab/>
      </w:r>
    </w:p>
    <w:p w14:paraId="7BC18D4B" w14:textId="77777777" w:rsidR="004845F7" w:rsidRPr="00A6370F" w:rsidRDefault="00331410" w:rsidP="004845F7">
      <w:pPr>
        <w:widowControl/>
        <w:tabs>
          <w:tab w:val="left" w:pos="0"/>
          <w:tab w:val="num" w:pos="1440"/>
        </w:tabs>
        <w:suppressAutoHyphens/>
        <w:spacing w:line="240" w:lineRule="atLeast"/>
        <w:jc w:val="both"/>
        <w:rPr>
          <w:spacing w:val="-2"/>
          <w:sz w:val="22"/>
          <w:szCs w:val="22"/>
        </w:rPr>
      </w:pPr>
      <w:r w:rsidRPr="00A6370F">
        <w:rPr>
          <w:spacing w:val="-2"/>
          <w:sz w:val="22"/>
          <w:szCs w:val="22"/>
        </w:rPr>
        <w:tab/>
      </w:r>
      <w:r w:rsidRPr="00A6370F">
        <w:rPr>
          <w:spacing w:val="-2"/>
          <w:sz w:val="22"/>
          <w:szCs w:val="22"/>
        </w:rPr>
        <w:tab/>
      </w:r>
      <w:r w:rsidRPr="00A6370F">
        <w:rPr>
          <w:spacing w:val="-2"/>
          <w:sz w:val="22"/>
          <w:szCs w:val="22"/>
        </w:rPr>
        <w:tab/>
      </w:r>
      <w:r w:rsidRPr="00A6370F">
        <w:rPr>
          <w:spacing w:val="-2"/>
          <w:sz w:val="22"/>
          <w:szCs w:val="22"/>
        </w:rPr>
        <w:tab/>
      </w:r>
      <w:r w:rsidR="00050854" w:rsidRPr="00A6370F">
        <w:rPr>
          <w:spacing w:val="-2"/>
          <w:sz w:val="22"/>
          <w:szCs w:val="22"/>
        </w:rPr>
        <w:tab/>
      </w:r>
      <w:r w:rsidR="004078F7">
        <w:rPr>
          <w:spacing w:val="-2"/>
          <w:sz w:val="22"/>
          <w:szCs w:val="22"/>
        </w:rPr>
        <w:t>David K</w:t>
      </w:r>
      <w:r w:rsidR="0046336D">
        <w:rPr>
          <w:spacing w:val="-2"/>
          <w:sz w:val="22"/>
          <w:szCs w:val="22"/>
        </w:rPr>
        <w:t>. Hartshorn</w:t>
      </w:r>
    </w:p>
    <w:p w14:paraId="4B566C2F" w14:textId="77777777" w:rsidR="004845F7" w:rsidRPr="00A6370F" w:rsidRDefault="004845F7" w:rsidP="004845F7">
      <w:pPr>
        <w:widowControl/>
        <w:tabs>
          <w:tab w:val="left" w:pos="0"/>
          <w:tab w:val="num" w:pos="1440"/>
        </w:tabs>
        <w:suppressAutoHyphens/>
        <w:spacing w:line="240" w:lineRule="atLeast"/>
        <w:jc w:val="both"/>
        <w:rPr>
          <w:spacing w:val="-2"/>
          <w:sz w:val="22"/>
          <w:szCs w:val="22"/>
        </w:rPr>
      </w:pPr>
      <w:r w:rsidRPr="00A6370F">
        <w:rPr>
          <w:spacing w:val="-2"/>
          <w:sz w:val="22"/>
          <w:szCs w:val="22"/>
        </w:rPr>
        <w:tab/>
      </w:r>
      <w:r w:rsidRPr="00A6370F">
        <w:rPr>
          <w:spacing w:val="-2"/>
          <w:sz w:val="22"/>
          <w:szCs w:val="22"/>
        </w:rPr>
        <w:tab/>
      </w:r>
      <w:r w:rsidRPr="00A6370F">
        <w:rPr>
          <w:spacing w:val="-2"/>
          <w:sz w:val="22"/>
          <w:szCs w:val="22"/>
        </w:rPr>
        <w:tab/>
      </w:r>
      <w:r w:rsidRPr="00A6370F">
        <w:rPr>
          <w:spacing w:val="-2"/>
          <w:sz w:val="22"/>
          <w:szCs w:val="22"/>
        </w:rPr>
        <w:tab/>
      </w:r>
      <w:r w:rsidRPr="00A6370F">
        <w:rPr>
          <w:spacing w:val="-2"/>
          <w:sz w:val="22"/>
          <w:szCs w:val="22"/>
        </w:rPr>
        <w:tab/>
        <w:t xml:space="preserve">District Director </w:t>
      </w:r>
    </w:p>
    <w:p w14:paraId="4D811D51" w14:textId="77777777" w:rsidR="00050854" w:rsidRPr="00A6370F" w:rsidRDefault="004845F7" w:rsidP="004845F7">
      <w:pPr>
        <w:widowControl/>
        <w:tabs>
          <w:tab w:val="left" w:pos="0"/>
          <w:tab w:val="num" w:pos="1440"/>
        </w:tabs>
        <w:suppressAutoHyphens/>
        <w:spacing w:line="240" w:lineRule="atLeast"/>
        <w:jc w:val="both"/>
        <w:rPr>
          <w:spacing w:val="-2"/>
          <w:sz w:val="22"/>
          <w:szCs w:val="22"/>
        </w:rPr>
      </w:pPr>
      <w:r w:rsidRPr="00A6370F">
        <w:rPr>
          <w:spacing w:val="-2"/>
          <w:sz w:val="22"/>
          <w:szCs w:val="22"/>
        </w:rPr>
        <w:tab/>
      </w:r>
      <w:r w:rsidRPr="00A6370F">
        <w:rPr>
          <w:spacing w:val="-2"/>
          <w:sz w:val="22"/>
          <w:szCs w:val="22"/>
        </w:rPr>
        <w:tab/>
      </w:r>
      <w:r w:rsidRPr="00A6370F">
        <w:rPr>
          <w:spacing w:val="-2"/>
          <w:sz w:val="22"/>
          <w:szCs w:val="22"/>
        </w:rPr>
        <w:tab/>
      </w:r>
      <w:r w:rsidRPr="00A6370F">
        <w:rPr>
          <w:spacing w:val="-2"/>
          <w:sz w:val="22"/>
          <w:szCs w:val="22"/>
        </w:rPr>
        <w:tab/>
      </w:r>
      <w:r w:rsidRPr="00A6370F">
        <w:rPr>
          <w:spacing w:val="-2"/>
          <w:sz w:val="22"/>
          <w:szCs w:val="22"/>
        </w:rPr>
        <w:tab/>
      </w:r>
      <w:r w:rsidR="0046336D">
        <w:rPr>
          <w:spacing w:val="-2"/>
          <w:sz w:val="22"/>
          <w:szCs w:val="22"/>
        </w:rPr>
        <w:t>San Francisco Office</w:t>
      </w:r>
    </w:p>
    <w:p w14:paraId="6D4E88E3" w14:textId="77777777" w:rsidR="00050854" w:rsidRPr="00A6370F" w:rsidRDefault="000A0EEE" w:rsidP="00BF1922">
      <w:pPr>
        <w:widowControl/>
        <w:tabs>
          <w:tab w:val="left" w:pos="0"/>
          <w:tab w:val="num" w:pos="1440"/>
        </w:tabs>
        <w:suppressAutoHyphens/>
        <w:spacing w:line="240" w:lineRule="atLeast"/>
        <w:jc w:val="both"/>
        <w:rPr>
          <w:spacing w:val="-2"/>
          <w:sz w:val="22"/>
          <w:szCs w:val="22"/>
        </w:rPr>
      </w:pPr>
      <w:r w:rsidRPr="00A6370F">
        <w:rPr>
          <w:spacing w:val="-2"/>
          <w:sz w:val="22"/>
          <w:szCs w:val="22"/>
        </w:rPr>
        <w:tab/>
      </w:r>
      <w:r w:rsidRPr="00A6370F">
        <w:rPr>
          <w:spacing w:val="-2"/>
          <w:sz w:val="22"/>
          <w:szCs w:val="22"/>
        </w:rPr>
        <w:tab/>
      </w:r>
      <w:r w:rsidRPr="00A6370F">
        <w:rPr>
          <w:spacing w:val="-2"/>
          <w:sz w:val="22"/>
          <w:szCs w:val="22"/>
        </w:rPr>
        <w:tab/>
      </w:r>
      <w:r w:rsidRPr="00A6370F">
        <w:rPr>
          <w:spacing w:val="-2"/>
          <w:sz w:val="22"/>
          <w:szCs w:val="22"/>
        </w:rPr>
        <w:tab/>
      </w:r>
      <w:r w:rsidRPr="00A6370F">
        <w:rPr>
          <w:spacing w:val="-2"/>
          <w:sz w:val="22"/>
          <w:szCs w:val="22"/>
        </w:rPr>
        <w:tab/>
      </w:r>
      <w:r w:rsidR="0046336D">
        <w:rPr>
          <w:spacing w:val="-2"/>
          <w:sz w:val="22"/>
          <w:szCs w:val="22"/>
        </w:rPr>
        <w:t>Western</w:t>
      </w:r>
      <w:r w:rsidR="004845F7" w:rsidRPr="00A6370F">
        <w:rPr>
          <w:spacing w:val="-2"/>
          <w:sz w:val="22"/>
          <w:szCs w:val="22"/>
        </w:rPr>
        <w:t xml:space="preserve"> Region</w:t>
      </w:r>
    </w:p>
    <w:p w14:paraId="78E64BD8" w14:textId="77777777" w:rsidR="009F6C24" w:rsidRPr="00A6370F" w:rsidRDefault="00050854" w:rsidP="003407D0">
      <w:pPr>
        <w:widowControl/>
        <w:tabs>
          <w:tab w:val="left" w:pos="0"/>
          <w:tab w:val="num" w:pos="1440"/>
        </w:tabs>
        <w:suppressAutoHyphens/>
        <w:spacing w:line="240" w:lineRule="atLeast"/>
        <w:jc w:val="both"/>
        <w:rPr>
          <w:sz w:val="22"/>
          <w:szCs w:val="22"/>
        </w:rPr>
      </w:pPr>
      <w:r w:rsidRPr="00A6370F">
        <w:rPr>
          <w:spacing w:val="-2"/>
          <w:sz w:val="22"/>
          <w:szCs w:val="22"/>
        </w:rPr>
        <w:tab/>
      </w:r>
      <w:r w:rsidRPr="00A6370F">
        <w:rPr>
          <w:spacing w:val="-2"/>
          <w:sz w:val="22"/>
          <w:szCs w:val="22"/>
        </w:rPr>
        <w:tab/>
      </w:r>
      <w:r w:rsidRPr="00A6370F">
        <w:rPr>
          <w:spacing w:val="-2"/>
          <w:sz w:val="22"/>
          <w:szCs w:val="22"/>
        </w:rPr>
        <w:tab/>
      </w:r>
      <w:r w:rsidRPr="00A6370F">
        <w:rPr>
          <w:spacing w:val="-2"/>
          <w:sz w:val="22"/>
          <w:szCs w:val="22"/>
        </w:rPr>
        <w:tab/>
      </w:r>
      <w:r w:rsidRPr="00A6370F">
        <w:rPr>
          <w:spacing w:val="-2"/>
          <w:sz w:val="22"/>
          <w:szCs w:val="22"/>
        </w:rPr>
        <w:tab/>
        <w:t>Enforcement Bureau</w:t>
      </w:r>
    </w:p>
    <w:sectPr w:rsidR="009F6C24" w:rsidRPr="00A6370F" w:rsidSect="003924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008" w:left="1440" w:header="1008"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0BB8A" w14:textId="77777777" w:rsidR="00D5120F" w:rsidRDefault="00D5120F">
      <w:r>
        <w:separator/>
      </w:r>
    </w:p>
  </w:endnote>
  <w:endnote w:type="continuationSeparator" w:id="0">
    <w:p w14:paraId="4E4E0859" w14:textId="77777777" w:rsidR="00D5120F" w:rsidRDefault="00D5120F">
      <w:r>
        <w:continuationSeparator/>
      </w:r>
    </w:p>
  </w:endnote>
  <w:endnote w:type="continuationNotice" w:id="1">
    <w:p w14:paraId="682AA767" w14:textId="77777777" w:rsidR="00D5120F" w:rsidRDefault="00D512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AF600" w14:textId="77777777" w:rsidR="007A66B9" w:rsidRDefault="007A66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D9166" w14:textId="77777777" w:rsidR="00B943BA" w:rsidRDefault="00B943BA">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882B73">
      <w:rPr>
        <w:rStyle w:val="PageNumber"/>
        <w:noProof/>
      </w:rPr>
      <w:t>2</w:t>
    </w:r>
    <w:r>
      <w:rPr>
        <w:rStyle w:val="PageNumber"/>
      </w:rPr>
      <w:fldChar w:fldCharType="end"/>
    </w:r>
  </w:p>
  <w:p w14:paraId="440FBB83" w14:textId="77777777" w:rsidR="00B943BA" w:rsidRDefault="00B943BA" w:rsidP="006C72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AD301" w14:textId="77777777" w:rsidR="007A66B9" w:rsidRDefault="007A66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098FA" w14:textId="77777777" w:rsidR="00D5120F" w:rsidRDefault="00D5120F">
      <w:r>
        <w:separator/>
      </w:r>
    </w:p>
  </w:footnote>
  <w:footnote w:type="continuationSeparator" w:id="0">
    <w:p w14:paraId="588CD9AF" w14:textId="77777777" w:rsidR="00D5120F" w:rsidRDefault="00D5120F">
      <w:r>
        <w:separator/>
      </w:r>
    </w:p>
    <w:p w14:paraId="2E87EA4A" w14:textId="77777777" w:rsidR="00D5120F" w:rsidRDefault="00D5120F">
      <w:r>
        <w:t>(...continued from previous page)</w:t>
      </w:r>
    </w:p>
  </w:footnote>
  <w:footnote w:type="continuationNotice" w:id="1">
    <w:p w14:paraId="7316A15D" w14:textId="77777777" w:rsidR="00D5120F" w:rsidRDefault="00D5120F">
      <w:pPr>
        <w:jc w:val="right"/>
      </w:pPr>
      <w:r>
        <w:t>(continued....)</w:t>
      </w:r>
    </w:p>
  </w:footnote>
  <w:footnote w:id="2">
    <w:p w14:paraId="04505988" w14:textId="7C085543" w:rsidR="002F2178" w:rsidRPr="00BE2C7A" w:rsidRDefault="002F2178" w:rsidP="00AB4886">
      <w:pPr>
        <w:pStyle w:val="FootnoteText"/>
        <w:jc w:val="left"/>
      </w:pPr>
      <w:r>
        <w:rPr>
          <w:rStyle w:val="FootnoteReference"/>
        </w:rPr>
        <w:footnoteRef/>
      </w:r>
      <w:r>
        <w:t xml:space="preserve"> </w:t>
      </w:r>
      <w:r w:rsidR="00BE2C7A">
        <w:t xml:space="preserve">Mr. Crowell’s current amateur license renewal application was designated for hearing </w:t>
      </w:r>
      <w:r w:rsidR="00C243ED">
        <w:t>because he</w:t>
      </w:r>
      <w:r w:rsidR="00BE2C7A">
        <w:t xml:space="preserve"> “</w:t>
      </w:r>
      <w:r w:rsidR="00BE2C7A" w:rsidRPr="00BE2C7A">
        <w:t xml:space="preserve">apparently willfully and repeatedly engaged in and continues to engage in unlawful Commission-related activities, including, but not limited to, intentionally causing interference and/or interruption, </w:t>
      </w:r>
      <w:r w:rsidR="00BE2C7A">
        <w:t xml:space="preserve">transmitting music and one-way </w:t>
      </w:r>
      <w:r w:rsidR="00BE2C7A" w:rsidRPr="00BE2C7A">
        <w:t>communications, and using indecent language on amateur frequencies.</w:t>
      </w:r>
      <w:r w:rsidR="00BE2C7A">
        <w:t xml:space="preserve">”  </w:t>
      </w:r>
      <w:r w:rsidR="00BE2C7A">
        <w:rPr>
          <w:i/>
        </w:rPr>
        <w:t xml:space="preserve">William F. Crowell, </w:t>
      </w:r>
      <w:r w:rsidR="00BE2C7A">
        <w:t>Hearing Designation Order, 23 FCC Rcd 1865</w:t>
      </w:r>
      <w:r w:rsidR="005134DE">
        <w:t>, 1865, para. 1</w:t>
      </w:r>
      <w:r w:rsidR="00BE2C7A">
        <w:t xml:space="preserve"> (WTB 2008).</w:t>
      </w:r>
    </w:p>
  </w:footnote>
  <w:footnote w:id="3">
    <w:p w14:paraId="19875667" w14:textId="77777777" w:rsidR="00A526DE" w:rsidRDefault="00A526DE" w:rsidP="00AB4886">
      <w:pPr>
        <w:pStyle w:val="FootnoteText"/>
        <w:jc w:val="left"/>
      </w:pPr>
      <w:r>
        <w:rPr>
          <w:rStyle w:val="FootnoteReference"/>
        </w:rPr>
        <w:footnoteRef/>
      </w:r>
      <w:r>
        <w:t xml:space="preserve"> 47 U.S.C. §333, 47 C.F.R. §§ 97.101(d), 97.11</w:t>
      </w:r>
      <w:r w:rsidR="000B1AC9">
        <w:t>3</w:t>
      </w:r>
      <w:r>
        <w:t>(a)</w:t>
      </w:r>
      <w:r w:rsidR="000B1AC9">
        <w:t>(4)</w:t>
      </w:r>
      <w:r>
        <w:t>.</w:t>
      </w:r>
    </w:p>
  </w:footnote>
  <w:footnote w:id="4">
    <w:p w14:paraId="780A7665" w14:textId="5B9C2840" w:rsidR="00FD24D8" w:rsidRPr="00FD24D8" w:rsidRDefault="00FD24D8" w:rsidP="00AB4886">
      <w:pPr>
        <w:pStyle w:val="FootnoteText"/>
        <w:jc w:val="left"/>
      </w:pPr>
      <w:r>
        <w:rPr>
          <w:rStyle w:val="FootnoteReference"/>
        </w:rPr>
        <w:footnoteRef/>
      </w:r>
      <w:r>
        <w:rPr>
          <w:i/>
        </w:rPr>
        <w:t xml:space="preserve">See </w:t>
      </w:r>
      <w:r w:rsidRPr="00C008E9">
        <w:t>http://warfa.org/</w:t>
      </w:r>
      <w:r>
        <w:t xml:space="preserve"> (last visited Nov. 21, 2015).</w:t>
      </w:r>
      <w:r w:rsidR="002C578C">
        <w:t xml:space="preserve">  According to its website, the WARFA’s motto is “</w:t>
      </w:r>
      <w:r w:rsidR="002C578C" w:rsidRPr="002C578C">
        <w:rPr>
          <w:bCs/>
          <w:iCs/>
        </w:rPr>
        <w:t>Communicating With The World Through Friendship</w:t>
      </w:r>
      <w:r w:rsidR="002C578C">
        <w:rPr>
          <w:bCs/>
          <w:iCs/>
        </w:rPr>
        <w:t xml:space="preserve">” and it operates </w:t>
      </w:r>
      <w:r w:rsidR="002C578C" w:rsidRPr="002C578C">
        <w:rPr>
          <w:bCs/>
          <w:iCs/>
        </w:rPr>
        <w:t>“</w:t>
      </w:r>
      <w:r w:rsidR="002C578C">
        <w:rPr>
          <w:bCs/>
          <w:iCs/>
        </w:rPr>
        <w:t>[v]</w:t>
      </w:r>
      <w:r w:rsidR="002C578C" w:rsidRPr="002C578C">
        <w:rPr>
          <w:bCs/>
          <w:iCs/>
        </w:rPr>
        <w:t>ia 3908khz Sunday, Tuesday, and Thursday at 8pm PT (standard or daylight).” </w:t>
      </w:r>
    </w:p>
  </w:footnote>
  <w:footnote w:id="5">
    <w:p w14:paraId="47D541E8" w14:textId="1C0C64EB" w:rsidR="002C66D8" w:rsidRDefault="002C66D8" w:rsidP="00970378">
      <w:pPr>
        <w:pStyle w:val="FootnoteText"/>
        <w:jc w:val="left"/>
      </w:pPr>
      <w:r>
        <w:rPr>
          <w:rStyle w:val="FootnoteReference"/>
        </w:rPr>
        <w:footnoteRef/>
      </w:r>
      <w:r>
        <w:t xml:space="preserve"> </w:t>
      </w:r>
      <w:r w:rsidRPr="002C66D8">
        <w:t xml:space="preserve">E-mail from </w:t>
      </w:r>
      <w:r>
        <w:t xml:space="preserve">William Crowell to David Hartshorn, District Director, San Francisco Office, Western Region, </w:t>
      </w:r>
      <w:r w:rsidRPr="002C66D8">
        <w:t>Enforcement Bureau, FCC (</w:t>
      </w:r>
      <w:r>
        <w:t>Aug. 28, 2015</w:t>
      </w:r>
      <w:r w:rsidRPr="002C66D8">
        <w:t xml:space="preserve">, </w:t>
      </w:r>
      <w:r>
        <w:t>11:31 PDT</w:t>
      </w:r>
      <w:r w:rsidRPr="002C66D8">
        <w:t>)</w:t>
      </w:r>
      <w:r w:rsidR="00206140">
        <w:t xml:space="preserve">  (On file in EB-FIELDWR-15-00019827).</w:t>
      </w:r>
    </w:p>
  </w:footnote>
  <w:footnote w:id="6">
    <w:p w14:paraId="446CFDBF" w14:textId="14DD3131" w:rsidR="000113B2" w:rsidRDefault="000113B2" w:rsidP="00AB4886">
      <w:pPr>
        <w:pStyle w:val="FootnoteText"/>
        <w:jc w:val="left"/>
      </w:pPr>
      <w:r>
        <w:rPr>
          <w:rStyle w:val="FootnoteReference"/>
        </w:rPr>
        <w:footnoteRef/>
      </w:r>
      <w:r>
        <w:t xml:space="preserve"> 47 U.S.C. §</w:t>
      </w:r>
      <w:r w:rsidR="008B6AE0">
        <w:t xml:space="preserve"> </w:t>
      </w:r>
      <w:r>
        <w:t>333, 47 C.F.R. §§ 97.101(d), 97.113(a)(4).</w:t>
      </w:r>
    </w:p>
  </w:footnote>
  <w:footnote w:id="7">
    <w:p w14:paraId="244F685F" w14:textId="77777777" w:rsidR="008914FA" w:rsidRPr="006856C3" w:rsidRDefault="008914FA" w:rsidP="00AB4886">
      <w:pPr>
        <w:pStyle w:val="FootnoteText"/>
        <w:jc w:val="left"/>
      </w:pPr>
      <w:r w:rsidRPr="006856C3">
        <w:rPr>
          <w:rStyle w:val="FootnoteReference"/>
        </w:rPr>
        <w:footnoteRef/>
      </w:r>
      <w:r w:rsidRPr="006856C3">
        <w:t xml:space="preserve"> 47 U.S.C. § 503(b).</w:t>
      </w:r>
    </w:p>
  </w:footnote>
  <w:footnote w:id="8">
    <w:p w14:paraId="1563D224" w14:textId="77777777" w:rsidR="008914FA" w:rsidRPr="00353607" w:rsidRDefault="008914FA" w:rsidP="00AB4886">
      <w:pPr>
        <w:pStyle w:val="FootnoteText"/>
        <w:widowControl/>
        <w:jc w:val="left"/>
      </w:pPr>
      <w:r w:rsidRPr="00353607">
        <w:rPr>
          <w:rStyle w:val="FootnoteReference"/>
        </w:rPr>
        <w:footnoteRef/>
      </w:r>
      <w:r w:rsidRPr="00353607">
        <w:t xml:space="preserve"> 47 U.S.C. § 312(f)(1).</w:t>
      </w:r>
    </w:p>
  </w:footnote>
  <w:footnote w:id="9">
    <w:p w14:paraId="31816973" w14:textId="77777777" w:rsidR="008914FA" w:rsidRPr="005278EF" w:rsidRDefault="008914FA" w:rsidP="00AB4886">
      <w:pPr>
        <w:pStyle w:val="FootnoteText"/>
        <w:jc w:val="left"/>
      </w:pPr>
      <w:r w:rsidRPr="005278EF">
        <w:rPr>
          <w:rStyle w:val="FootnoteReference"/>
        </w:rPr>
        <w:footnoteRef/>
      </w:r>
      <w:r w:rsidRPr="005278EF">
        <w:t xml:space="preserve"> H.R. Rep. No. 97-765, 97</w:t>
      </w:r>
      <w:r w:rsidRPr="005278EF">
        <w:rPr>
          <w:vertAlign w:val="superscript"/>
        </w:rPr>
        <w:t>th</w:t>
      </w:r>
      <w:r w:rsidRPr="005278EF">
        <w:t xml:space="preserve"> Cong. 2d Sess. 51 (1982) (“</w:t>
      </w:r>
      <w:r w:rsidRPr="005278EF">
        <w:rPr>
          <w:rStyle w:val="documentbody"/>
        </w:rPr>
        <w:t xml:space="preserve">This provision [inserted in Section 312] defines the terms ‘willful’ and ‘repeated’ for purposes of section </w:t>
      </w:r>
      <w:r w:rsidRPr="005278EF">
        <w:rPr>
          <w:rStyle w:val="searchterm"/>
        </w:rPr>
        <w:t>312</w:t>
      </w:r>
      <w:r w:rsidRPr="005278EF">
        <w:rPr>
          <w:rStyle w:val="documentbody"/>
        </w:rPr>
        <w:t>, and for any other relevant section of the act (e.g., Section 503)   . . . .  As defined[,] . . . ‘willful’ means that the licensee knew that he was doing the act in question, regardless of whether there was</w:t>
      </w:r>
      <w:r w:rsidR="00676352">
        <w:rPr>
          <w:rStyle w:val="documentbody"/>
        </w:rPr>
        <w:t xml:space="preserve"> an intent to violate the law</w:t>
      </w:r>
      <w:r w:rsidRPr="005278EF">
        <w:rPr>
          <w:rStyle w:val="documentbody"/>
        </w:rPr>
        <w:t>.”).</w:t>
      </w:r>
    </w:p>
  </w:footnote>
  <w:footnote w:id="10">
    <w:p w14:paraId="4CB7275C" w14:textId="184CCB64" w:rsidR="008914FA" w:rsidRPr="005278EF" w:rsidRDefault="008914FA" w:rsidP="00AB4886">
      <w:pPr>
        <w:pStyle w:val="FootnoteText"/>
        <w:jc w:val="left"/>
      </w:pPr>
      <w:r w:rsidRPr="005278EF">
        <w:rPr>
          <w:rStyle w:val="FootnoteReference"/>
        </w:rPr>
        <w:footnoteRef/>
      </w:r>
      <w:r w:rsidRPr="005278EF">
        <w:t xml:space="preserve"> </w:t>
      </w:r>
      <w:r w:rsidRPr="005278EF">
        <w:rPr>
          <w:i/>
        </w:rPr>
        <w:t>See, e.g.</w:t>
      </w:r>
      <w:r w:rsidRPr="005278EF">
        <w:t>,</w:t>
      </w:r>
      <w:r w:rsidRPr="005278EF">
        <w:rPr>
          <w:i/>
        </w:rPr>
        <w:t xml:space="preserve"> So</w:t>
      </w:r>
      <w:r w:rsidR="00C008E9">
        <w:rPr>
          <w:i/>
        </w:rPr>
        <w:t>. Cal. Broad. Co.</w:t>
      </w:r>
      <w:r w:rsidRPr="005278EF">
        <w:t xml:space="preserve">, Memorandum Opinion and Order, 6 FCC Rcd 4387, 4388, para. 5 (1991), </w:t>
      </w:r>
      <w:r w:rsidRPr="005278EF">
        <w:rPr>
          <w:i/>
        </w:rPr>
        <w:t>recons. denied</w:t>
      </w:r>
      <w:r w:rsidRPr="005278EF">
        <w:t>,</w:t>
      </w:r>
      <w:r w:rsidRPr="005278EF">
        <w:rPr>
          <w:i/>
        </w:rPr>
        <w:t xml:space="preserve"> </w:t>
      </w:r>
      <w:r w:rsidRPr="005278EF">
        <w:t>7 FCC Rcd 3454 (1992).</w:t>
      </w:r>
    </w:p>
  </w:footnote>
  <w:footnote w:id="11">
    <w:p w14:paraId="296DD24F" w14:textId="77777777" w:rsidR="008914FA" w:rsidRPr="005278EF" w:rsidRDefault="008914FA" w:rsidP="00AB4886">
      <w:pPr>
        <w:pStyle w:val="FootnoteText"/>
        <w:jc w:val="left"/>
      </w:pPr>
      <w:r w:rsidRPr="005278EF">
        <w:rPr>
          <w:rStyle w:val="FootnoteReference"/>
        </w:rPr>
        <w:footnoteRef/>
      </w:r>
      <w:r w:rsidRPr="005278EF">
        <w:t xml:space="preserve"> </w:t>
      </w:r>
      <w:r w:rsidRPr="005278EF">
        <w:rPr>
          <w:i/>
        </w:rPr>
        <w:t>See, e.g.</w:t>
      </w:r>
      <w:r w:rsidRPr="005278EF">
        <w:t xml:space="preserve">, </w:t>
      </w:r>
      <w:r w:rsidRPr="005278EF">
        <w:rPr>
          <w:i/>
        </w:rPr>
        <w:t>Callais Cablevision, Inc.</w:t>
      </w:r>
      <w:r w:rsidRPr="005278EF">
        <w:t>, Notice of Apparent Liability for Monetary Forfeiture, 16 FCC Rcd 1359, 1362, para. 10 (2001) (</w:t>
      </w:r>
      <w:r w:rsidRPr="005278EF">
        <w:rPr>
          <w:i/>
        </w:rPr>
        <w:t>Callais Cablevision, Inc.</w:t>
      </w:r>
      <w:r w:rsidRPr="005278EF">
        <w:t xml:space="preserve">) (proposing a forfeiture for, </w:t>
      </w:r>
      <w:r w:rsidRPr="005278EF">
        <w:rPr>
          <w:i/>
        </w:rPr>
        <w:t>inter alia</w:t>
      </w:r>
      <w:r w:rsidRPr="005278EF">
        <w:t xml:space="preserve">, a cable television operator’s repeated signal leakage). </w:t>
      </w:r>
    </w:p>
  </w:footnote>
  <w:footnote w:id="12">
    <w:p w14:paraId="7529EB06" w14:textId="77777777" w:rsidR="008914FA" w:rsidRPr="00353607" w:rsidRDefault="008914FA" w:rsidP="00AB4886">
      <w:pPr>
        <w:pStyle w:val="FootnoteText"/>
        <w:widowControl/>
        <w:jc w:val="left"/>
      </w:pPr>
      <w:r w:rsidRPr="005278EF">
        <w:rPr>
          <w:rStyle w:val="FootnoteReference"/>
        </w:rPr>
        <w:footnoteRef/>
      </w:r>
      <w:r w:rsidRPr="005278EF">
        <w:t xml:space="preserve"> Section 312(f)(2) of the Act, 47 U.S.C. § 312(f)(2), which also applies to violations for which forfeitures are assessed under Section 503(b) of the Act, provides that “[t]he term ‘repeated’, when used with reference to the commission or omission of any act, means the commission or omission of such act more than once or, if such commission or omission is continuous, for more than one day.”  </w:t>
      </w:r>
      <w:r w:rsidRPr="005278EF">
        <w:rPr>
          <w:i/>
        </w:rPr>
        <w:t>See Callais Cablevision, Inc.</w:t>
      </w:r>
      <w:r w:rsidRPr="005278EF">
        <w:t>, 16 FCC Rcd</w:t>
      </w:r>
      <w:r w:rsidRPr="005278EF">
        <w:rPr>
          <w:i/>
        </w:rPr>
        <w:t xml:space="preserve"> </w:t>
      </w:r>
      <w:r w:rsidRPr="005278EF">
        <w:t>at 1362, para. 9.</w:t>
      </w:r>
      <w:r w:rsidRPr="00353607">
        <w:t xml:space="preserve"> </w:t>
      </w:r>
    </w:p>
  </w:footnote>
  <w:footnote w:id="13">
    <w:p w14:paraId="642A4C93" w14:textId="77777777" w:rsidR="008914FA" w:rsidRPr="00353607" w:rsidRDefault="008914FA" w:rsidP="00AB4886">
      <w:pPr>
        <w:pStyle w:val="FootnoteText"/>
        <w:jc w:val="left"/>
        <w:rPr>
          <w:color w:val="000000"/>
        </w:rPr>
      </w:pPr>
      <w:r w:rsidRPr="00353607">
        <w:rPr>
          <w:rStyle w:val="FootnoteReference"/>
          <w:color w:val="000000"/>
        </w:rPr>
        <w:footnoteRef/>
      </w:r>
      <w:r w:rsidRPr="00353607">
        <w:rPr>
          <w:color w:val="000000"/>
        </w:rPr>
        <w:t xml:space="preserve"> 47 U.S.C. § 3</w:t>
      </w:r>
      <w:r w:rsidR="005F1F5A">
        <w:rPr>
          <w:color w:val="000000"/>
        </w:rPr>
        <w:t>33</w:t>
      </w:r>
      <w:r w:rsidRPr="00353607">
        <w:rPr>
          <w:color w:val="000000"/>
        </w:rPr>
        <w:t>.</w:t>
      </w:r>
    </w:p>
  </w:footnote>
  <w:footnote w:id="14">
    <w:p w14:paraId="45C885EF" w14:textId="77777777" w:rsidR="005F1F5A" w:rsidRPr="00225173" w:rsidRDefault="005F1F5A" w:rsidP="00AB4886">
      <w:pPr>
        <w:pStyle w:val="FootnoteText"/>
        <w:jc w:val="left"/>
      </w:pPr>
      <w:r w:rsidRPr="00225173">
        <w:rPr>
          <w:rStyle w:val="FootnoteReference"/>
        </w:rPr>
        <w:footnoteRef/>
      </w:r>
      <w:r w:rsidRPr="00225173">
        <w:t xml:space="preserve"> H.R. Rep. No. 101-316, at 8 (1989).  </w:t>
      </w:r>
    </w:p>
  </w:footnote>
  <w:footnote w:id="15">
    <w:p w14:paraId="38C6F632" w14:textId="77777777" w:rsidR="005F1F5A" w:rsidRPr="00225173" w:rsidRDefault="005F1F5A" w:rsidP="00AB4886">
      <w:pPr>
        <w:pStyle w:val="FootnoteText"/>
        <w:jc w:val="left"/>
      </w:pPr>
      <w:r w:rsidRPr="00225173">
        <w:rPr>
          <w:rStyle w:val="FootnoteReference"/>
        </w:rPr>
        <w:footnoteRef/>
      </w:r>
      <w:r w:rsidRPr="00225173">
        <w:t xml:space="preserve"> 47 C.F.R. § 97.101(d).  </w:t>
      </w:r>
      <w:r w:rsidRPr="00225173">
        <w:rPr>
          <w:i/>
        </w:rPr>
        <w:t xml:space="preserve">See </w:t>
      </w:r>
      <w:r w:rsidRPr="00225173">
        <w:t xml:space="preserve">47 C.F.R. § 97.101(a) (stating that “each amateur radio station must be operated in accordance with good engineering and good amateur practice”). </w:t>
      </w:r>
    </w:p>
  </w:footnote>
  <w:footnote w:id="16">
    <w:p w14:paraId="5BA6E679" w14:textId="5EBE1F08" w:rsidR="00B14C15" w:rsidRDefault="00B14C15" w:rsidP="00CB0CD5">
      <w:pPr>
        <w:pStyle w:val="FootnoteText"/>
        <w:jc w:val="left"/>
      </w:pPr>
      <w:r>
        <w:rPr>
          <w:rStyle w:val="FootnoteReference"/>
        </w:rPr>
        <w:footnoteRef/>
      </w:r>
      <w:r>
        <w:t xml:space="preserve"> The agents and the HFDF Center observed Mr. Crowell </w:t>
      </w:r>
      <w:r w:rsidR="00422D0A">
        <w:t xml:space="preserve">repeatedly </w:t>
      </w:r>
      <w:r>
        <w:t xml:space="preserve">making disparaging </w:t>
      </w:r>
      <w:r w:rsidR="00422D0A">
        <w:t xml:space="preserve">remarks about the WARFA net and its members, and observed him stating that </w:t>
      </w:r>
      <w:r w:rsidR="00122BC4">
        <w:t>because of the “enemies” of the WARFA net, the net will “get totally jammed out if [it] tr[ies] to take check ins from the west coast.”</w:t>
      </w:r>
    </w:p>
  </w:footnote>
  <w:footnote w:id="17">
    <w:p w14:paraId="43DFA3DF" w14:textId="77777777" w:rsidR="00281649" w:rsidRDefault="00281649" w:rsidP="00AB4886">
      <w:pPr>
        <w:pStyle w:val="FootnoteText"/>
        <w:jc w:val="left"/>
      </w:pPr>
      <w:r>
        <w:rPr>
          <w:rStyle w:val="FootnoteReference"/>
        </w:rPr>
        <w:footnoteRef/>
      </w:r>
      <w:r>
        <w:t xml:space="preserve"> Mr. Crowell’s actions directly contravene amateur radio service’s “fundamental purpose as expressed in the following principles: (a) Recognition and enhancement of the value of the amateur service to the public as a voluntary noncommercial communication service, particularly with respect to providing emergency communications. (b) Continuation and extension of the amateur's proven ability to contribute to the advancement of the radio art. (c) Encouragement and improvement of the amateur service through rules which provide for advancing skills in both the communication and technical phases of the art. (d) Expansion of the existing reservoir within the amateur radio service of trained operators, technicians, and electronics experts. (e) Continuation and extension of the amateur's unique ability to enhance international goodwill.”  </w:t>
      </w:r>
      <w:r w:rsidRPr="00281649">
        <w:t>47 C.F.R. § 97.1.</w:t>
      </w:r>
    </w:p>
  </w:footnote>
  <w:footnote w:id="18">
    <w:p w14:paraId="759E7554" w14:textId="77777777" w:rsidR="004456E0" w:rsidRDefault="004456E0" w:rsidP="00AB4886">
      <w:pPr>
        <w:pStyle w:val="FootnoteText"/>
        <w:jc w:val="left"/>
      </w:pPr>
      <w:r>
        <w:rPr>
          <w:rStyle w:val="FootnoteReference"/>
        </w:rPr>
        <w:footnoteRef/>
      </w:r>
      <w:r w:rsidR="00AA10CC">
        <w:t xml:space="preserve"> 47 C.F.R. § 97.113(a)(4)</w:t>
      </w:r>
      <w:r>
        <w:t>.</w:t>
      </w:r>
    </w:p>
  </w:footnote>
  <w:footnote w:id="19">
    <w:p w14:paraId="5B08171E" w14:textId="77777777" w:rsidR="007B0548" w:rsidRPr="006856C3" w:rsidRDefault="007B0548" w:rsidP="00AB4886">
      <w:pPr>
        <w:pStyle w:val="FootnoteText"/>
        <w:jc w:val="left"/>
      </w:pPr>
      <w:r w:rsidRPr="006856C3">
        <w:rPr>
          <w:rStyle w:val="FootnoteReference"/>
        </w:rPr>
        <w:footnoteRef/>
      </w:r>
      <w:r w:rsidRPr="006856C3">
        <w:t xml:space="preserve"> 47 U.S.C. § 503(b).</w:t>
      </w:r>
    </w:p>
  </w:footnote>
  <w:footnote w:id="20">
    <w:p w14:paraId="606BC0A0" w14:textId="77777777" w:rsidR="007B0548" w:rsidRPr="00981F23" w:rsidRDefault="007B0548" w:rsidP="00AB4886">
      <w:pPr>
        <w:pStyle w:val="FootnoteText"/>
        <w:jc w:val="left"/>
        <w:rPr>
          <w:color w:val="000000" w:themeColor="text1"/>
        </w:rPr>
      </w:pPr>
      <w:r w:rsidRPr="00981F23">
        <w:rPr>
          <w:rStyle w:val="FootnoteReference"/>
          <w:color w:val="000000" w:themeColor="text1"/>
        </w:rPr>
        <w:footnoteRef/>
      </w:r>
      <w:r w:rsidRPr="00981F23">
        <w:rPr>
          <w:color w:val="000000" w:themeColor="text1"/>
        </w:rPr>
        <w:t xml:space="preserve"> </w:t>
      </w:r>
      <w:r w:rsidRPr="00981F23">
        <w:rPr>
          <w:i/>
          <w:color w:val="000000" w:themeColor="text1"/>
        </w:rPr>
        <w:t>See</w:t>
      </w:r>
      <w:r w:rsidRPr="00981F23">
        <w:rPr>
          <w:color w:val="000000" w:themeColor="text1"/>
        </w:rPr>
        <w:t xml:space="preserve"> </w:t>
      </w:r>
      <w:r w:rsidRPr="00981F23">
        <w:rPr>
          <w:snapToGrid w:val="0"/>
          <w:color w:val="000000" w:themeColor="text1"/>
        </w:rPr>
        <w:t>47 U.S.C. § 503(b)(</w:t>
      </w:r>
      <w:r>
        <w:rPr>
          <w:snapToGrid w:val="0"/>
          <w:color w:val="000000" w:themeColor="text1"/>
        </w:rPr>
        <w:t>2</w:t>
      </w:r>
      <w:r w:rsidRPr="00981F23">
        <w:rPr>
          <w:snapToGrid w:val="0"/>
          <w:color w:val="000000" w:themeColor="text1"/>
        </w:rPr>
        <w:t>)</w:t>
      </w:r>
      <w:r>
        <w:rPr>
          <w:snapToGrid w:val="0"/>
          <w:color w:val="000000" w:themeColor="text1"/>
        </w:rPr>
        <w:t>(D)</w:t>
      </w:r>
      <w:r w:rsidRPr="00981F23">
        <w:rPr>
          <w:snapToGrid w:val="0"/>
          <w:color w:val="000000" w:themeColor="text1"/>
        </w:rPr>
        <w:t>; 47 C.F.R. § 1.80(b)(</w:t>
      </w:r>
      <w:r>
        <w:rPr>
          <w:snapToGrid w:val="0"/>
          <w:color w:val="000000" w:themeColor="text1"/>
        </w:rPr>
        <w:t>7</w:t>
      </w:r>
      <w:r w:rsidRPr="00981F23">
        <w:rPr>
          <w:snapToGrid w:val="0"/>
          <w:color w:val="000000" w:themeColor="text1"/>
        </w:rPr>
        <w:t>).  These amounts reflect inflation adjustments to the forfeitures specified in Section 503(b)(</w:t>
      </w:r>
      <w:r>
        <w:rPr>
          <w:snapToGrid w:val="0"/>
          <w:color w:val="000000" w:themeColor="text1"/>
        </w:rPr>
        <w:t>2)(D</w:t>
      </w:r>
      <w:r w:rsidRPr="00981F23">
        <w:rPr>
          <w:snapToGrid w:val="0"/>
          <w:color w:val="000000" w:themeColor="text1"/>
        </w:rPr>
        <w:t>) ($</w:t>
      </w:r>
      <w:r>
        <w:rPr>
          <w:snapToGrid w:val="0"/>
          <w:color w:val="000000" w:themeColor="text1"/>
        </w:rPr>
        <w:t>10,000</w:t>
      </w:r>
      <w:r w:rsidRPr="00981F23">
        <w:rPr>
          <w:snapToGrid w:val="0"/>
          <w:color w:val="000000" w:themeColor="text1"/>
        </w:rPr>
        <w:t xml:space="preserve"> per violation or per day of a continuing violation and $</w:t>
      </w:r>
      <w:r>
        <w:rPr>
          <w:snapToGrid w:val="0"/>
          <w:color w:val="000000" w:themeColor="text1"/>
        </w:rPr>
        <w:t>75,000</w:t>
      </w:r>
      <w:r w:rsidRPr="00981F23">
        <w:rPr>
          <w:snapToGrid w:val="0"/>
          <w:color w:val="000000" w:themeColor="text1"/>
        </w:rPr>
        <w:t xml:space="preserve"> per any single act or failure to act).  The Federal Civil Penalties Inflation Adjustment Act of 1990, Pub. L. No. 101-410, 104 Stat. 890, as amended by the Debt Collection Improvement Act of 1996, Pub. L. No. 104-134, S</w:t>
      </w:r>
      <w:r>
        <w:rPr>
          <w:snapToGrid w:val="0"/>
          <w:color w:val="000000" w:themeColor="text1"/>
        </w:rPr>
        <w:t>ec. 31001, 110 Stat. 1321</w:t>
      </w:r>
      <w:r w:rsidRPr="00981F23">
        <w:rPr>
          <w:snapToGrid w:val="0"/>
          <w:color w:val="000000" w:themeColor="text1"/>
        </w:rPr>
        <w:t xml:space="preserve">, requires the Commission to adjust its forfeiture penalties periodically for inflation.  </w:t>
      </w:r>
      <w:r w:rsidRPr="00981F23">
        <w:rPr>
          <w:i/>
          <w:iCs/>
          <w:snapToGrid w:val="0"/>
          <w:color w:val="000000" w:themeColor="text1"/>
        </w:rPr>
        <w:t>See</w:t>
      </w:r>
      <w:r w:rsidRPr="00981F23">
        <w:rPr>
          <w:snapToGrid w:val="0"/>
          <w:color w:val="000000" w:themeColor="text1"/>
        </w:rPr>
        <w:t xml:space="preserve"> 28 U.S.C. § 2461 note (4).  The Commission most recently adjusted its penalties to account for inflation in 2013.  </w:t>
      </w:r>
      <w:r w:rsidRPr="00981F23">
        <w:rPr>
          <w:i/>
          <w:iCs/>
          <w:snapToGrid w:val="0"/>
          <w:color w:val="000000" w:themeColor="text1"/>
        </w:rPr>
        <w:t>See Amendment of Section 1.80(b) of the Commission’s Rules, Adjustment of Civil Monetary Penalties to Reflect Inflation</w:t>
      </w:r>
      <w:r w:rsidRPr="00981F23">
        <w:rPr>
          <w:snapToGrid w:val="0"/>
          <w:color w:val="000000" w:themeColor="text1"/>
        </w:rPr>
        <w:t xml:space="preserve">, Order, 28 FCC Rcd 10785 (Enf. Bur. 2013); </w:t>
      </w:r>
      <w:r w:rsidRPr="00981F23">
        <w:rPr>
          <w:i/>
          <w:iCs/>
          <w:snapToGrid w:val="0"/>
          <w:color w:val="000000" w:themeColor="text1"/>
        </w:rPr>
        <w:t>see also</w:t>
      </w:r>
      <w:r w:rsidRPr="00981F23">
        <w:rPr>
          <w:snapToGrid w:val="0"/>
          <w:color w:val="000000" w:themeColor="text1"/>
        </w:rPr>
        <w:t xml:space="preserve"> Inflation Adjustment of Monetary Penalties, 78 Fed. Reg. 49,370-01 (Aug. 14, 2013) (setting Sept. 13, 2013, as the effective date for the increases).  </w:t>
      </w:r>
    </w:p>
  </w:footnote>
  <w:footnote w:id="21">
    <w:p w14:paraId="20C99517" w14:textId="77777777" w:rsidR="007B0548" w:rsidRPr="00981F23" w:rsidRDefault="007B0548" w:rsidP="00AB4886">
      <w:pPr>
        <w:pStyle w:val="FootnoteText"/>
        <w:jc w:val="left"/>
        <w:rPr>
          <w:color w:val="000000" w:themeColor="text1"/>
          <w:lang w:val="es-ES"/>
        </w:rPr>
      </w:pPr>
      <w:r w:rsidRPr="00981F23">
        <w:rPr>
          <w:rStyle w:val="FootnoteReference"/>
          <w:color w:val="000000" w:themeColor="text1"/>
        </w:rPr>
        <w:footnoteRef/>
      </w:r>
      <w:r w:rsidRPr="00981F23">
        <w:rPr>
          <w:color w:val="000000" w:themeColor="text1"/>
          <w:lang w:val="es-ES"/>
        </w:rPr>
        <w:t xml:space="preserve"> 47 U.S.C. § 503(b)(2)(E).</w:t>
      </w:r>
    </w:p>
  </w:footnote>
  <w:footnote w:id="22">
    <w:p w14:paraId="70695A76" w14:textId="77777777" w:rsidR="007B0548" w:rsidRPr="00981F23" w:rsidRDefault="007B0548" w:rsidP="00AB4886">
      <w:pPr>
        <w:pStyle w:val="FootnoteText"/>
        <w:jc w:val="left"/>
        <w:rPr>
          <w:color w:val="000000" w:themeColor="text1"/>
        </w:rPr>
      </w:pPr>
      <w:r w:rsidRPr="00981F23">
        <w:rPr>
          <w:rStyle w:val="FootnoteReference"/>
          <w:color w:val="000000" w:themeColor="text1"/>
        </w:rPr>
        <w:footnoteRef/>
      </w:r>
      <w:r w:rsidRPr="00981F23">
        <w:rPr>
          <w:color w:val="000000" w:themeColor="text1"/>
        </w:rPr>
        <w:t xml:space="preserve"> 47 C.F.R. § 1.80(b)(8), Note to paragraph (b)(8). </w:t>
      </w:r>
    </w:p>
  </w:footnote>
  <w:footnote w:id="23">
    <w:p w14:paraId="14C0492C" w14:textId="77777777" w:rsidR="007B0548" w:rsidRPr="00981F23" w:rsidRDefault="007B0548" w:rsidP="00AB4886">
      <w:pPr>
        <w:pStyle w:val="FootnoteText"/>
        <w:jc w:val="left"/>
        <w:rPr>
          <w:color w:val="000000" w:themeColor="text1"/>
        </w:rPr>
      </w:pPr>
      <w:r w:rsidRPr="00981F23">
        <w:rPr>
          <w:rStyle w:val="FootnoteReference"/>
          <w:color w:val="000000" w:themeColor="text1"/>
        </w:rPr>
        <w:footnoteRef/>
      </w:r>
      <w:r w:rsidRPr="00981F23">
        <w:rPr>
          <w:color w:val="000000" w:themeColor="text1"/>
        </w:rPr>
        <w:t xml:space="preserve"> </w:t>
      </w:r>
      <w:r w:rsidRPr="00981F23">
        <w:rPr>
          <w:i/>
          <w:color w:val="000000" w:themeColor="text1"/>
        </w:rPr>
        <w:t>Id</w:t>
      </w:r>
      <w:r w:rsidRPr="00981F23">
        <w:rPr>
          <w:color w:val="000000" w:themeColor="text1"/>
        </w:rPr>
        <w:t>.</w:t>
      </w:r>
    </w:p>
  </w:footnote>
  <w:footnote w:id="24">
    <w:p w14:paraId="2FC3CA78" w14:textId="77777777" w:rsidR="009B7715" w:rsidRPr="00225173" w:rsidRDefault="009B7715" w:rsidP="00AB4886">
      <w:pPr>
        <w:pStyle w:val="FootnoteText"/>
        <w:jc w:val="left"/>
      </w:pPr>
      <w:r w:rsidRPr="00225173">
        <w:rPr>
          <w:rStyle w:val="FootnoteReference"/>
        </w:rPr>
        <w:footnoteRef/>
      </w:r>
      <w:r w:rsidRPr="00225173">
        <w:t xml:space="preserve"> </w:t>
      </w:r>
      <w:r w:rsidRPr="00225173">
        <w:rPr>
          <w:i/>
        </w:rPr>
        <w:t>The Commission’s Forfeiture Policy Statement and Amendment of Section 1.80 of the Rules to Incorporate the Forfeiture Guidelines</w:t>
      </w:r>
      <w:r w:rsidRPr="00225173">
        <w:t>, Report and Order, 12 FCC Rcd 17087 (1997) (</w:t>
      </w:r>
      <w:r w:rsidRPr="00225173">
        <w:rPr>
          <w:i/>
        </w:rPr>
        <w:t>Forfeiture Policy Statement</w:t>
      </w:r>
      <w:r w:rsidRPr="00225173">
        <w:t xml:space="preserve">), </w:t>
      </w:r>
      <w:r w:rsidRPr="00225173">
        <w:rPr>
          <w:i/>
        </w:rPr>
        <w:t>recons. denied</w:t>
      </w:r>
      <w:r w:rsidRPr="00225173">
        <w:t>, 15 FCC Rcd 303 (1999); 47 C.F.R. § 1.80.</w:t>
      </w:r>
    </w:p>
  </w:footnote>
  <w:footnote w:id="25">
    <w:p w14:paraId="053B1AE4" w14:textId="77777777" w:rsidR="009B7715" w:rsidRPr="00E11B60" w:rsidRDefault="009B7715" w:rsidP="00AB4886">
      <w:pPr>
        <w:pStyle w:val="FootnoteText"/>
        <w:jc w:val="left"/>
      </w:pPr>
      <w:r>
        <w:rPr>
          <w:rStyle w:val="FootnoteReference"/>
        </w:rPr>
        <w:footnoteRef/>
      </w:r>
      <w:r>
        <w:t xml:space="preserve"> 47 C.F.R. § 1.80(b)(8), Note (“The Commission and its staff retain the discretion to issue a higher or lower forfeiture than provided in the guidelines, to issue no forfeiture at all, or to apply alternative or additional sanctions as permitted by statute.”).</w:t>
      </w:r>
    </w:p>
  </w:footnote>
  <w:footnote w:id="26">
    <w:p w14:paraId="47834045" w14:textId="77777777" w:rsidR="009B7715" w:rsidRPr="00225173" w:rsidRDefault="009B7715" w:rsidP="00AB4886">
      <w:pPr>
        <w:pStyle w:val="FootnoteText"/>
        <w:jc w:val="left"/>
      </w:pPr>
      <w:r w:rsidRPr="00225173">
        <w:rPr>
          <w:rStyle w:val="FootnoteReference"/>
        </w:rPr>
        <w:footnoteRef/>
      </w:r>
      <w:r w:rsidRPr="00225173">
        <w:t xml:space="preserve"> 47 U.S.C. § 503(b)(2)(E).</w:t>
      </w:r>
    </w:p>
  </w:footnote>
  <w:footnote w:id="27">
    <w:p w14:paraId="11456DB0" w14:textId="3102A4A2" w:rsidR="00D6475B" w:rsidRDefault="00D6475B" w:rsidP="00AB4886">
      <w:pPr>
        <w:pStyle w:val="FootnoteText"/>
        <w:jc w:val="left"/>
      </w:pPr>
      <w:r>
        <w:rPr>
          <w:rStyle w:val="FootnoteReference"/>
        </w:rPr>
        <w:footnoteRef/>
      </w:r>
      <w:r>
        <w:t xml:space="preserve"> </w:t>
      </w:r>
      <w:r w:rsidRPr="004D5528">
        <w:rPr>
          <w:i/>
        </w:rPr>
        <w:t>See Robert Brown</w:t>
      </w:r>
      <w:r w:rsidRPr="004D5528">
        <w:t xml:space="preserve">, Memorandum Opinion and Order, 27 FCC Rcd 6975 (Enf. Bur. 2012), </w:t>
      </w:r>
      <w:r w:rsidRPr="004D5528">
        <w:rPr>
          <w:i/>
        </w:rPr>
        <w:t>aff’g</w:t>
      </w:r>
      <w:r>
        <w:t>,</w:t>
      </w:r>
      <w:r w:rsidRPr="004D5528">
        <w:t xml:space="preserve"> Forfeiture Order, 26 FCC Rcd 6854 (Enf. Bur. 2011), </w:t>
      </w:r>
      <w:r w:rsidRPr="004D5528">
        <w:rPr>
          <w:i/>
        </w:rPr>
        <w:t>aff’g</w:t>
      </w:r>
      <w:r w:rsidRPr="004D5528">
        <w:t xml:space="preserve">, Notice of Apparent Liability for Forfeiture, 25 FCC Rcd 13740 (Enf. Bur. 2010) </w:t>
      </w:r>
      <w:r w:rsidRPr="004D5528">
        <w:rPr>
          <w:color w:val="010101"/>
        </w:rPr>
        <w:t>(upwardly adjusted proposed forfeiture by $5,000 because violator operated an unlicensed radio station after receiving a warning that such action violated the Act and Rules)</w:t>
      </w:r>
      <w:r w:rsidR="0022435D">
        <w:rPr>
          <w:color w:val="010101"/>
        </w:rPr>
        <w:t>.</w:t>
      </w:r>
    </w:p>
  </w:footnote>
  <w:footnote w:id="28">
    <w:p w14:paraId="2F8DAB84" w14:textId="2D6D178D" w:rsidR="00B943BA" w:rsidRPr="00C17F42" w:rsidRDefault="00B943BA" w:rsidP="00AB4886">
      <w:pPr>
        <w:pStyle w:val="FootnoteText"/>
        <w:jc w:val="left"/>
      </w:pPr>
      <w:r>
        <w:rPr>
          <w:rStyle w:val="FootnoteReference"/>
        </w:rPr>
        <w:footnoteRef/>
      </w:r>
      <w:r>
        <w:t xml:space="preserve"> </w:t>
      </w:r>
      <w:r w:rsidR="000F10C7" w:rsidRPr="007C01DD">
        <w:rPr>
          <w:color w:val="000000"/>
        </w:rPr>
        <w:t>47 U.S.C. §§ 3</w:t>
      </w:r>
      <w:r w:rsidR="00C8427A">
        <w:rPr>
          <w:color w:val="000000"/>
        </w:rPr>
        <w:t>33</w:t>
      </w:r>
      <w:r w:rsidR="000F10C7" w:rsidRPr="007C01DD">
        <w:rPr>
          <w:color w:val="000000"/>
        </w:rPr>
        <w:t>, 503(b); 47 C.F.R. §§ 0.111, 0.204, 0.311, 1.80</w:t>
      </w:r>
      <w:r w:rsidR="0046336D">
        <w:rPr>
          <w:color w:val="000000"/>
        </w:rPr>
        <w:t>, 97.101(d), and 97.113</w:t>
      </w:r>
      <w:r w:rsidR="00C8427A">
        <w:rPr>
          <w:color w:val="000000"/>
        </w:rPr>
        <w:t>(a)</w:t>
      </w:r>
      <w:r w:rsidR="0046336D">
        <w:rPr>
          <w:color w:val="000000"/>
        </w:rPr>
        <w:t>(4)</w:t>
      </w:r>
      <w:r w:rsidR="000F21CD">
        <w:rPr>
          <w:color w:val="000000"/>
        </w:rPr>
        <w:t>.</w:t>
      </w:r>
    </w:p>
  </w:footnote>
  <w:footnote w:id="29">
    <w:p w14:paraId="68F9B1BB" w14:textId="77777777" w:rsidR="00583A6A" w:rsidRDefault="00583A6A" w:rsidP="00AB4886">
      <w:pPr>
        <w:pStyle w:val="FootnoteText"/>
        <w:jc w:val="left"/>
      </w:pPr>
      <w:r>
        <w:rPr>
          <w:rStyle w:val="FootnoteReference"/>
        </w:rPr>
        <w:footnoteRef/>
      </w:r>
      <w:r>
        <w:t xml:space="preserve"> 47 C.F.R. § 1.80.</w:t>
      </w:r>
    </w:p>
  </w:footnote>
  <w:footnote w:id="30">
    <w:p w14:paraId="4E243769" w14:textId="77777777" w:rsidR="00B943BA" w:rsidRDefault="00B943BA" w:rsidP="00AB4886">
      <w:pPr>
        <w:pStyle w:val="FootnoteText"/>
        <w:jc w:val="left"/>
      </w:pPr>
      <w:r>
        <w:rPr>
          <w:rStyle w:val="FootnoteReference"/>
        </w:rPr>
        <w:footnoteRef/>
      </w:r>
      <w:r>
        <w:t xml:space="preserve"> </w:t>
      </w:r>
      <w:r w:rsidRPr="00626BA2">
        <w:rPr>
          <w:rFonts w:eastAsia="MS Mincho" w:cs="Arial"/>
        </w:rPr>
        <w:t>An FCC Form 159 </w:t>
      </w:r>
      <w:r>
        <w:rPr>
          <w:rFonts w:eastAsia="MS Mincho" w:cs="Arial"/>
        </w:rPr>
        <w:t>and</w:t>
      </w:r>
      <w:r w:rsidRPr="00626BA2">
        <w:rPr>
          <w:rFonts w:eastAsia="MS Mincho" w:cs="Arial"/>
        </w:rPr>
        <w:t> </w:t>
      </w:r>
      <w:r>
        <w:rPr>
          <w:rFonts w:eastAsia="MS Mincho" w:cs="Arial"/>
        </w:rPr>
        <w:t xml:space="preserve">detailed </w:t>
      </w:r>
      <w:r w:rsidRPr="00626BA2">
        <w:rPr>
          <w:rFonts w:eastAsia="MS Mincho" w:cs="Arial"/>
        </w:rPr>
        <w:t>instructions for completing the form may be obtained at http://www.fcc.gov/Forms/Form159/159.pdf.</w:t>
      </w:r>
    </w:p>
  </w:footnote>
  <w:footnote w:id="31">
    <w:p w14:paraId="5E6EA73C" w14:textId="77777777" w:rsidR="00B943BA" w:rsidRDefault="00B943BA" w:rsidP="00AB4886">
      <w:pPr>
        <w:pStyle w:val="FootnoteText"/>
        <w:jc w:val="left"/>
      </w:pPr>
      <w:r>
        <w:rPr>
          <w:rStyle w:val="FootnoteReference"/>
        </w:rPr>
        <w:footnoteRef/>
      </w:r>
      <w:r>
        <w:t xml:space="preserve"> </w:t>
      </w:r>
      <w:r w:rsidRPr="00D70F1F">
        <w:rPr>
          <w:i/>
        </w:rPr>
        <w:t>See</w:t>
      </w:r>
      <w:r>
        <w:t xml:space="preserve"> 47 C.F.R. § 1.1914.</w:t>
      </w:r>
    </w:p>
  </w:footnote>
  <w:footnote w:id="32">
    <w:p w14:paraId="56129ECF" w14:textId="77777777" w:rsidR="00B943BA" w:rsidRDefault="00B943BA" w:rsidP="00AB4886">
      <w:pPr>
        <w:pStyle w:val="FootnoteText"/>
        <w:jc w:val="left"/>
      </w:pPr>
      <w:r>
        <w:rPr>
          <w:rStyle w:val="FootnoteReference"/>
        </w:rPr>
        <w:footnoteRef/>
      </w:r>
      <w:r>
        <w:t xml:space="preserve"> 47 C.F.R. §§ 1.16, 1.80(f)(3).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10DE8" w14:textId="77777777" w:rsidR="007A66B9" w:rsidRDefault="007A66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D56F8" w14:textId="780BD814" w:rsidR="00B943BA" w:rsidRPr="00331410" w:rsidRDefault="00B943BA">
    <w:pPr>
      <w:pStyle w:val="Header"/>
      <w:tabs>
        <w:tab w:val="clear" w:pos="4320"/>
        <w:tab w:val="clear" w:pos="8640"/>
        <w:tab w:val="center" w:pos="4680"/>
        <w:tab w:val="right" w:pos="9360"/>
      </w:tabs>
      <w:rPr>
        <w:b/>
        <w:sz w:val="22"/>
        <w:szCs w:val="22"/>
      </w:rPr>
    </w:pPr>
    <w:r>
      <w:rPr>
        <w:b/>
      </w:rPr>
      <w:tab/>
    </w:r>
    <w:r w:rsidRPr="00331410">
      <w:rPr>
        <w:b/>
        <w:sz w:val="22"/>
        <w:szCs w:val="22"/>
      </w:rPr>
      <w:t>Federal Communications Commission</w:t>
    </w:r>
    <w:r w:rsidRPr="00331410">
      <w:rPr>
        <w:b/>
        <w:sz w:val="22"/>
        <w:szCs w:val="22"/>
      </w:rPr>
      <w:tab/>
    </w:r>
    <w:r>
      <w:rPr>
        <w:b/>
        <w:sz w:val="22"/>
        <w:szCs w:val="22"/>
      </w:rPr>
      <w:t>DA 1</w:t>
    </w:r>
    <w:r w:rsidR="004C1996">
      <w:rPr>
        <w:b/>
        <w:sz w:val="22"/>
        <w:szCs w:val="22"/>
      </w:rPr>
      <w:t>5</w:t>
    </w:r>
    <w:r>
      <w:rPr>
        <w:b/>
        <w:sz w:val="22"/>
        <w:szCs w:val="22"/>
      </w:rPr>
      <w:t>-</w:t>
    </w:r>
    <w:r w:rsidR="00DA6986">
      <w:rPr>
        <w:b/>
        <w:sz w:val="22"/>
        <w:szCs w:val="22"/>
      </w:rPr>
      <w:t>1438</w:t>
    </w:r>
  </w:p>
  <w:p w14:paraId="497E1A12" w14:textId="77777777" w:rsidR="00B943BA" w:rsidRDefault="00492910">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62353B98" wp14:editId="2F3C2B1C">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06C077"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14:paraId="05BB044D" w14:textId="77777777" w:rsidR="00B943BA" w:rsidRDefault="00B943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5566A" w14:textId="5312C1AE" w:rsidR="00B943BA" w:rsidRPr="00331410" w:rsidRDefault="00B943BA">
    <w:pPr>
      <w:pStyle w:val="Header"/>
      <w:tabs>
        <w:tab w:val="clear" w:pos="4320"/>
        <w:tab w:val="clear" w:pos="8640"/>
        <w:tab w:val="center" w:pos="4680"/>
        <w:tab w:val="right" w:pos="9360"/>
      </w:tabs>
      <w:rPr>
        <w:b/>
        <w:sz w:val="22"/>
        <w:szCs w:val="22"/>
      </w:rPr>
    </w:pPr>
    <w:r>
      <w:rPr>
        <w:b/>
      </w:rPr>
      <w:tab/>
    </w:r>
    <w:r w:rsidRPr="00331410">
      <w:rPr>
        <w:b/>
        <w:sz w:val="22"/>
        <w:szCs w:val="22"/>
      </w:rPr>
      <w:t>Federal Communications Commission</w:t>
    </w:r>
    <w:r w:rsidRPr="00331410">
      <w:rPr>
        <w:b/>
        <w:sz w:val="22"/>
        <w:szCs w:val="22"/>
      </w:rPr>
      <w:tab/>
    </w:r>
    <w:r>
      <w:rPr>
        <w:b/>
        <w:sz w:val="22"/>
        <w:szCs w:val="22"/>
      </w:rPr>
      <w:t>DA 1</w:t>
    </w:r>
    <w:r w:rsidR="004C1996">
      <w:rPr>
        <w:b/>
        <w:sz w:val="22"/>
        <w:szCs w:val="22"/>
      </w:rPr>
      <w:t>5</w:t>
    </w:r>
    <w:r>
      <w:rPr>
        <w:b/>
        <w:sz w:val="22"/>
        <w:szCs w:val="22"/>
      </w:rPr>
      <w:t>-</w:t>
    </w:r>
    <w:r w:rsidR="00EA2671">
      <w:rPr>
        <w:b/>
        <w:sz w:val="22"/>
        <w:szCs w:val="22"/>
      </w:rPr>
      <w:t>1438</w:t>
    </w:r>
  </w:p>
  <w:p w14:paraId="1990FBEC" w14:textId="77777777" w:rsidR="00B943BA" w:rsidRDefault="00492910">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324EA970" wp14:editId="0EC7067B">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CE4926"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693E"/>
    <w:multiLevelType w:val="singleLevel"/>
    <w:tmpl w:val="CABAE556"/>
    <w:lvl w:ilvl="0">
      <w:start w:val="1"/>
      <w:numFmt w:val="decimal"/>
      <w:lvlText w:val="%1."/>
      <w:lvlJc w:val="left"/>
      <w:pPr>
        <w:tabs>
          <w:tab w:val="num" w:pos="1260"/>
        </w:tabs>
        <w:ind w:left="180" w:firstLine="720"/>
      </w:pPr>
      <w:rPr>
        <w:rFonts w:ascii="Times New Roman" w:hAnsi="Times New Roman" w:hint="default"/>
        <w:b w:val="0"/>
        <w:i w:val="0"/>
        <w:sz w:val="22"/>
        <w:szCs w:val="22"/>
      </w:r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4F76BB7"/>
    <w:multiLevelType w:val="hybridMultilevel"/>
    <w:tmpl w:val="27C65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5">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9">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81073ED"/>
    <w:multiLevelType w:val="hybridMultilevel"/>
    <w:tmpl w:val="343C3AB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3C775E63"/>
    <w:multiLevelType w:val="hybridMultilevel"/>
    <w:tmpl w:val="5012492E"/>
    <w:lvl w:ilvl="0" w:tplc="BB08D36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7">
    <w:nsid w:val="432817C4"/>
    <w:multiLevelType w:val="singleLevel"/>
    <w:tmpl w:val="9F0ACDBA"/>
    <w:lvl w:ilvl="0">
      <w:start w:val="1"/>
      <w:numFmt w:val="decimal"/>
      <w:lvlText w:val="%1."/>
      <w:lvlJc w:val="left"/>
      <w:pPr>
        <w:tabs>
          <w:tab w:val="num" w:pos="1260"/>
        </w:tabs>
        <w:ind w:left="180" w:firstLine="540"/>
      </w:pPr>
      <w:rPr>
        <w:rFonts w:ascii="Times New Roman" w:hAnsi="Times New Roman" w:hint="default"/>
        <w:b w:val="0"/>
        <w:i w:val="0"/>
        <w:sz w:val="22"/>
        <w:szCs w:val="22"/>
      </w:rPr>
    </w:lvl>
  </w:abstractNum>
  <w:abstractNum w:abstractNumId="18">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0">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1">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2">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3">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4">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5">
    <w:nsid w:val="628E1E95"/>
    <w:multiLevelType w:val="singleLevel"/>
    <w:tmpl w:val="084CABB8"/>
    <w:lvl w:ilvl="0">
      <w:start w:val="1"/>
      <w:numFmt w:val="decimal"/>
      <w:pStyle w:val="par1"/>
      <w:lvlText w:val="%1."/>
      <w:lvlJc w:val="left"/>
      <w:pPr>
        <w:tabs>
          <w:tab w:val="num" w:pos="990"/>
        </w:tabs>
        <w:ind w:left="-90" w:firstLine="720"/>
      </w:pPr>
      <w:rPr>
        <w:b w:val="0"/>
      </w:rPr>
    </w:lvl>
  </w:abstractNum>
  <w:abstractNum w:abstractNumId="26">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6"/>
  </w:num>
  <w:num w:numId="2">
    <w:abstractNumId w:val="27"/>
  </w:num>
  <w:num w:numId="3">
    <w:abstractNumId w:val="5"/>
  </w:num>
  <w:num w:numId="4">
    <w:abstractNumId w:val="21"/>
  </w:num>
  <w:num w:numId="5">
    <w:abstractNumId w:val="6"/>
  </w:num>
  <w:num w:numId="6">
    <w:abstractNumId w:val="24"/>
  </w:num>
  <w:num w:numId="7">
    <w:abstractNumId w:val="18"/>
  </w:num>
  <w:num w:numId="8">
    <w:abstractNumId w:val="7"/>
  </w:num>
  <w:num w:numId="9">
    <w:abstractNumId w:val="23"/>
  </w:num>
  <w:num w:numId="10">
    <w:abstractNumId w:val="13"/>
  </w:num>
  <w:num w:numId="11">
    <w:abstractNumId w:val="11"/>
  </w:num>
  <w:num w:numId="12">
    <w:abstractNumId w:val="8"/>
  </w:num>
  <w:num w:numId="13">
    <w:abstractNumId w:val="15"/>
  </w:num>
  <w:num w:numId="14">
    <w:abstractNumId w:val="22"/>
  </w:num>
  <w:num w:numId="15">
    <w:abstractNumId w:val="3"/>
  </w:num>
  <w:num w:numId="16">
    <w:abstractNumId w:val="4"/>
  </w:num>
  <w:num w:numId="17">
    <w:abstractNumId w:val="9"/>
  </w:num>
  <w:num w:numId="18">
    <w:abstractNumId w:val="1"/>
  </w:num>
  <w:num w:numId="19">
    <w:abstractNumId w:val="10"/>
  </w:num>
  <w:num w:numId="20">
    <w:abstractNumId w:val="19"/>
  </w:num>
  <w:num w:numId="21">
    <w:abstractNumId w:val="20"/>
  </w:num>
  <w:num w:numId="22">
    <w:abstractNumId w:val="17"/>
  </w:num>
  <w:num w:numId="23">
    <w:abstractNumId w:val="12"/>
  </w:num>
  <w:num w:numId="24">
    <w:abstractNumId w:val="25"/>
  </w:num>
  <w:num w:numId="25">
    <w:abstractNumId w:val="14"/>
  </w:num>
  <w:num w:numId="26">
    <w:abstractNumId w:val="16"/>
  </w:num>
  <w:num w:numId="27">
    <w:abstractNumId w:val="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7E3"/>
    <w:rsid w:val="00001BA8"/>
    <w:rsid w:val="00010A28"/>
    <w:rsid w:val="000113B2"/>
    <w:rsid w:val="0001779C"/>
    <w:rsid w:val="00017CDA"/>
    <w:rsid w:val="00022679"/>
    <w:rsid w:val="000279CC"/>
    <w:rsid w:val="000305FC"/>
    <w:rsid w:val="0003441C"/>
    <w:rsid w:val="000355E3"/>
    <w:rsid w:val="00036DCF"/>
    <w:rsid w:val="00037295"/>
    <w:rsid w:val="000374E3"/>
    <w:rsid w:val="00050854"/>
    <w:rsid w:val="00057ADA"/>
    <w:rsid w:val="000645D1"/>
    <w:rsid w:val="00071484"/>
    <w:rsid w:val="000736C0"/>
    <w:rsid w:val="00075D5C"/>
    <w:rsid w:val="00077F92"/>
    <w:rsid w:val="00080241"/>
    <w:rsid w:val="0008139C"/>
    <w:rsid w:val="000875B1"/>
    <w:rsid w:val="00092DD6"/>
    <w:rsid w:val="00094435"/>
    <w:rsid w:val="00095808"/>
    <w:rsid w:val="000A0EEE"/>
    <w:rsid w:val="000A57A2"/>
    <w:rsid w:val="000A5F92"/>
    <w:rsid w:val="000A71AC"/>
    <w:rsid w:val="000B1AC9"/>
    <w:rsid w:val="000B3C45"/>
    <w:rsid w:val="000C5769"/>
    <w:rsid w:val="000D388A"/>
    <w:rsid w:val="000D7699"/>
    <w:rsid w:val="000E0451"/>
    <w:rsid w:val="000E2560"/>
    <w:rsid w:val="000F10C7"/>
    <w:rsid w:val="000F21CD"/>
    <w:rsid w:val="000F471E"/>
    <w:rsid w:val="000F6E0C"/>
    <w:rsid w:val="00101BA4"/>
    <w:rsid w:val="001028DB"/>
    <w:rsid w:val="00105973"/>
    <w:rsid w:val="00106F74"/>
    <w:rsid w:val="0011114B"/>
    <w:rsid w:val="001115EE"/>
    <w:rsid w:val="0011170C"/>
    <w:rsid w:val="00120233"/>
    <w:rsid w:val="00121C0F"/>
    <w:rsid w:val="00122BC4"/>
    <w:rsid w:val="001253C3"/>
    <w:rsid w:val="00125A4D"/>
    <w:rsid w:val="00127781"/>
    <w:rsid w:val="00131A23"/>
    <w:rsid w:val="00145224"/>
    <w:rsid w:val="001526A2"/>
    <w:rsid w:val="00154417"/>
    <w:rsid w:val="001665F5"/>
    <w:rsid w:val="0016758C"/>
    <w:rsid w:val="00174A12"/>
    <w:rsid w:val="00175E71"/>
    <w:rsid w:val="00182851"/>
    <w:rsid w:val="00182B75"/>
    <w:rsid w:val="001869BF"/>
    <w:rsid w:val="00186B4E"/>
    <w:rsid w:val="00190523"/>
    <w:rsid w:val="00196D5B"/>
    <w:rsid w:val="001A10F7"/>
    <w:rsid w:val="001B3336"/>
    <w:rsid w:val="001B4192"/>
    <w:rsid w:val="001C0B1F"/>
    <w:rsid w:val="001D3EB1"/>
    <w:rsid w:val="001E2A65"/>
    <w:rsid w:val="001E79AF"/>
    <w:rsid w:val="001F3E42"/>
    <w:rsid w:val="001F566B"/>
    <w:rsid w:val="001F6C9A"/>
    <w:rsid w:val="0020249E"/>
    <w:rsid w:val="00206140"/>
    <w:rsid w:val="002071E0"/>
    <w:rsid w:val="00211D85"/>
    <w:rsid w:val="00214820"/>
    <w:rsid w:val="00223F70"/>
    <w:rsid w:val="0022435D"/>
    <w:rsid w:val="00237F81"/>
    <w:rsid w:val="002426DA"/>
    <w:rsid w:val="00245B5D"/>
    <w:rsid w:val="002511FB"/>
    <w:rsid w:val="002523E0"/>
    <w:rsid w:val="0025300A"/>
    <w:rsid w:val="00256422"/>
    <w:rsid w:val="00260C08"/>
    <w:rsid w:val="00281649"/>
    <w:rsid w:val="002A06F7"/>
    <w:rsid w:val="002A11CF"/>
    <w:rsid w:val="002A55CE"/>
    <w:rsid w:val="002A6200"/>
    <w:rsid w:val="002A732B"/>
    <w:rsid w:val="002C2258"/>
    <w:rsid w:val="002C578C"/>
    <w:rsid w:val="002C62DA"/>
    <w:rsid w:val="002C66D8"/>
    <w:rsid w:val="002C67E7"/>
    <w:rsid w:val="002E209E"/>
    <w:rsid w:val="002F18B9"/>
    <w:rsid w:val="002F2178"/>
    <w:rsid w:val="003003E1"/>
    <w:rsid w:val="00303D60"/>
    <w:rsid w:val="0030752B"/>
    <w:rsid w:val="00307DCE"/>
    <w:rsid w:val="0031433F"/>
    <w:rsid w:val="003170E9"/>
    <w:rsid w:val="00317590"/>
    <w:rsid w:val="0032052B"/>
    <w:rsid w:val="00321805"/>
    <w:rsid w:val="00323513"/>
    <w:rsid w:val="003235A9"/>
    <w:rsid w:val="00326089"/>
    <w:rsid w:val="0033085D"/>
    <w:rsid w:val="00331410"/>
    <w:rsid w:val="0033665C"/>
    <w:rsid w:val="0033797D"/>
    <w:rsid w:val="00337B75"/>
    <w:rsid w:val="00340311"/>
    <w:rsid w:val="003407D0"/>
    <w:rsid w:val="003422DF"/>
    <w:rsid w:val="00347CA1"/>
    <w:rsid w:val="00356F36"/>
    <w:rsid w:val="00371336"/>
    <w:rsid w:val="003740F2"/>
    <w:rsid w:val="003817A3"/>
    <w:rsid w:val="00382459"/>
    <w:rsid w:val="00390F1B"/>
    <w:rsid w:val="00392410"/>
    <w:rsid w:val="003A2112"/>
    <w:rsid w:val="003A7400"/>
    <w:rsid w:val="003A7878"/>
    <w:rsid w:val="003B2568"/>
    <w:rsid w:val="003C01F5"/>
    <w:rsid w:val="003C6184"/>
    <w:rsid w:val="003D005B"/>
    <w:rsid w:val="003D0DB3"/>
    <w:rsid w:val="003D5F8B"/>
    <w:rsid w:val="003E2AD5"/>
    <w:rsid w:val="003F3CFD"/>
    <w:rsid w:val="00401CF7"/>
    <w:rsid w:val="004078F7"/>
    <w:rsid w:val="00410716"/>
    <w:rsid w:val="00410BB8"/>
    <w:rsid w:val="004110FC"/>
    <w:rsid w:val="0041443C"/>
    <w:rsid w:val="00422D0A"/>
    <w:rsid w:val="00424391"/>
    <w:rsid w:val="004251DE"/>
    <w:rsid w:val="00425706"/>
    <w:rsid w:val="00431F38"/>
    <w:rsid w:val="00444355"/>
    <w:rsid w:val="004456E0"/>
    <w:rsid w:val="00447AAD"/>
    <w:rsid w:val="00457C41"/>
    <w:rsid w:val="0046336D"/>
    <w:rsid w:val="00484313"/>
    <w:rsid w:val="004845F7"/>
    <w:rsid w:val="00487DA5"/>
    <w:rsid w:val="00492910"/>
    <w:rsid w:val="004930F5"/>
    <w:rsid w:val="00493D1D"/>
    <w:rsid w:val="00495FB3"/>
    <w:rsid w:val="004A326D"/>
    <w:rsid w:val="004B6284"/>
    <w:rsid w:val="004C06B9"/>
    <w:rsid w:val="004C1996"/>
    <w:rsid w:val="004C603D"/>
    <w:rsid w:val="004C6D99"/>
    <w:rsid w:val="004D6C59"/>
    <w:rsid w:val="004E00D3"/>
    <w:rsid w:val="004F454C"/>
    <w:rsid w:val="004F6EFD"/>
    <w:rsid w:val="004F702E"/>
    <w:rsid w:val="004F7B2E"/>
    <w:rsid w:val="00502239"/>
    <w:rsid w:val="00506AC1"/>
    <w:rsid w:val="005073D6"/>
    <w:rsid w:val="00510919"/>
    <w:rsid w:val="00512D71"/>
    <w:rsid w:val="005134DE"/>
    <w:rsid w:val="0051542D"/>
    <w:rsid w:val="00515AC0"/>
    <w:rsid w:val="005271D1"/>
    <w:rsid w:val="00530E80"/>
    <w:rsid w:val="00536913"/>
    <w:rsid w:val="005415DB"/>
    <w:rsid w:val="00541C02"/>
    <w:rsid w:val="00561F7C"/>
    <w:rsid w:val="00562A69"/>
    <w:rsid w:val="00566441"/>
    <w:rsid w:val="00571009"/>
    <w:rsid w:val="00571713"/>
    <w:rsid w:val="0057443E"/>
    <w:rsid w:val="00574A7A"/>
    <w:rsid w:val="00583A6A"/>
    <w:rsid w:val="00595A0E"/>
    <w:rsid w:val="005A4D97"/>
    <w:rsid w:val="005C553D"/>
    <w:rsid w:val="005D19E6"/>
    <w:rsid w:val="005D2051"/>
    <w:rsid w:val="005D36D5"/>
    <w:rsid w:val="005D6284"/>
    <w:rsid w:val="005E587D"/>
    <w:rsid w:val="005E6EE5"/>
    <w:rsid w:val="005F002F"/>
    <w:rsid w:val="005F1F5A"/>
    <w:rsid w:val="005F483B"/>
    <w:rsid w:val="005F67D7"/>
    <w:rsid w:val="00607D4F"/>
    <w:rsid w:val="00612A58"/>
    <w:rsid w:val="0062252C"/>
    <w:rsid w:val="00624E7D"/>
    <w:rsid w:val="00631624"/>
    <w:rsid w:val="006459F6"/>
    <w:rsid w:val="00651DE2"/>
    <w:rsid w:val="0065566D"/>
    <w:rsid w:val="00666A6B"/>
    <w:rsid w:val="00670626"/>
    <w:rsid w:val="006727B3"/>
    <w:rsid w:val="00673CCA"/>
    <w:rsid w:val="00674E41"/>
    <w:rsid w:val="00676352"/>
    <w:rsid w:val="00681F10"/>
    <w:rsid w:val="00683F6F"/>
    <w:rsid w:val="006868B5"/>
    <w:rsid w:val="00687318"/>
    <w:rsid w:val="006876EC"/>
    <w:rsid w:val="00693BA0"/>
    <w:rsid w:val="006C72D8"/>
    <w:rsid w:val="006C73C9"/>
    <w:rsid w:val="006D1288"/>
    <w:rsid w:val="006D2E91"/>
    <w:rsid w:val="006D5B48"/>
    <w:rsid w:val="006D7FF1"/>
    <w:rsid w:val="006F036D"/>
    <w:rsid w:val="006F1412"/>
    <w:rsid w:val="006F2F81"/>
    <w:rsid w:val="006F4962"/>
    <w:rsid w:val="00712156"/>
    <w:rsid w:val="00716561"/>
    <w:rsid w:val="00720B9F"/>
    <w:rsid w:val="00731291"/>
    <w:rsid w:val="007323A6"/>
    <w:rsid w:val="00735D4D"/>
    <w:rsid w:val="00744632"/>
    <w:rsid w:val="007474FE"/>
    <w:rsid w:val="00754ADB"/>
    <w:rsid w:val="0076715E"/>
    <w:rsid w:val="00771324"/>
    <w:rsid w:val="00777E77"/>
    <w:rsid w:val="00780C18"/>
    <w:rsid w:val="00784658"/>
    <w:rsid w:val="00787C4B"/>
    <w:rsid w:val="007907B0"/>
    <w:rsid w:val="00794C59"/>
    <w:rsid w:val="007960C5"/>
    <w:rsid w:val="00797BC7"/>
    <w:rsid w:val="007A4411"/>
    <w:rsid w:val="007A66B9"/>
    <w:rsid w:val="007B0548"/>
    <w:rsid w:val="007C3CB2"/>
    <w:rsid w:val="007C5711"/>
    <w:rsid w:val="007C7FB8"/>
    <w:rsid w:val="007D4B82"/>
    <w:rsid w:val="007D6E11"/>
    <w:rsid w:val="007E1626"/>
    <w:rsid w:val="007E2E05"/>
    <w:rsid w:val="007E4AAE"/>
    <w:rsid w:val="007E5D46"/>
    <w:rsid w:val="007F7874"/>
    <w:rsid w:val="0080101F"/>
    <w:rsid w:val="008024F6"/>
    <w:rsid w:val="00802AEA"/>
    <w:rsid w:val="00803F94"/>
    <w:rsid w:val="00806F42"/>
    <w:rsid w:val="00810553"/>
    <w:rsid w:val="00815BB3"/>
    <w:rsid w:val="00825017"/>
    <w:rsid w:val="008316AA"/>
    <w:rsid w:val="00832D6C"/>
    <w:rsid w:val="00840A6A"/>
    <w:rsid w:val="00845B04"/>
    <w:rsid w:val="00852A75"/>
    <w:rsid w:val="00853004"/>
    <w:rsid w:val="00856437"/>
    <w:rsid w:val="008603F5"/>
    <w:rsid w:val="00867693"/>
    <w:rsid w:val="00875DB2"/>
    <w:rsid w:val="0088293C"/>
    <w:rsid w:val="00882B73"/>
    <w:rsid w:val="00887660"/>
    <w:rsid w:val="00890911"/>
    <w:rsid w:val="00890DA6"/>
    <w:rsid w:val="008914FA"/>
    <w:rsid w:val="00897E44"/>
    <w:rsid w:val="008A281A"/>
    <w:rsid w:val="008B58B7"/>
    <w:rsid w:val="008B5FA9"/>
    <w:rsid w:val="008B6AE0"/>
    <w:rsid w:val="008C26F7"/>
    <w:rsid w:val="008C3D04"/>
    <w:rsid w:val="008C4978"/>
    <w:rsid w:val="008D235A"/>
    <w:rsid w:val="008E13EE"/>
    <w:rsid w:val="008E2DF4"/>
    <w:rsid w:val="008E58B0"/>
    <w:rsid w:val="00913E7A"/>
    <w:rsid w:val="0091686F"/>
    <w:rsid w:val="00920494"/>
    <w:rsid w:val="00920C19"/>
    <w:rsid w:val="00924EBF"/>
    <w:rsid w:val="009423ED"/>
    <w:rsid w:val="009436A7"/>
    <w:rsid w:val="0095119D"/>
    <w:rsid w:val="009539A0"/>
    <w:rsid w:val="009578B1"/>
    <w:rsid w:val="00967758"/>
    <w:rsid w:val="00970378"/>
    <w:rsid w:val="009711A7"/>
    <w:rsid w:val="009712F4"/>
    <w:rsid w:val="00980C46"/>
    <w:rsid w:val="00980DFC"/>
    <w:rsid w:val="00984B37"/>
    <w:rsid w:val="00986009"/>
    <w:rsid w:val="00990FB6"/>
    <w:rsid w:val="00994E33"/>
    <w:rsid w:val="009965DF"/>
    <w:rsid w:val="009A76FB"/>
    <w:rsid w:val="009B7715"/>
    <w:rsid w:val="009C3863"/>
    <w:rsid w:val="009C5732"/>
    <w:rsid w:val="009D0ED2"/>
    <w:rsid w:val="009D1F23"/>
    <w:rsid w:val="009D216A"/>
    <w:rsid w:val="009D7325"/>
    <w:rsid w:val="009D7F46"/>
    <w:rsid w:val="009E389F"/>
    <w:rsid w:val="009E4540"/>
    <w:rsid w:val="009E7FB7"/>
    <w:rsid w:val="009F6C24"/>
    <w:rsid w:val="00A10DA6"/>
    <w:rsid w:val="00A113CA"/>
    <w:rsid w:val="00A12D37"/>
    <w:rsid w:val="00A16AF9"/>
    <w:rsid w:val="00A21F36"/>
    <w:rsid w:val="00A37420"/>
    <w:rsid w:val="00A40E8B"/>
    <w:rsid w:val="00A526DE"/>
    <w:rsid w:val="00A53E22"/>
    <w:rsid w:val="00A546FC"/>
    <w:rsid w:val="00A623A8"/>
    <w:rsid w:val="00A62555"/>
    <w:rsid w:val="00A6370F"/>
    <w:rsid w:val="00A66F85"/>
    <w:rsid w:val="00A70D1C"/>
    <w:rsid w:val="00A76BC5"/>
    <w:rsid w:val="00A77AE7"/>
    <w:rsid w:val="00A80113"/>
    <w:rsid w:val="00A8216F"/>
    <w:rsid w:val="00A86A4A"/>
    <w:rsid w:val="00AA10CC"/>
    <w:rsid w:val="00AB3F15"/>
    <w:rsid w:val="00AB4886"/>
    <w:rsid w:val="00AB53B5"/>
    <w:rsid w:val="00AC2B1F"/>
    <w:rsid w:val="00AD797A"/>
    <w:rsid w:val="00AE3A0F"/>
    <w:rsid w:val="00B023D1"/>
    <w:rsid w:val="00B02EF6"/>
    <w:rsid w:val="00B02F40"/>
    <w:rsid w:val="00B04DF4"/>
    <w:rsid w:val="00B073EE"/>
    <w:rsid w:val="00B14C15"/>
    <w:rsid w:val="00B176A8"/>
    <w:rsid w:val="00B35A8A"/>
    <w:rsid w:val="00B42097"/>
    <w:rsid w:val="00B4653E"/>
    <w:rsid w:val="00B50DC1"/>
    <w:rsid w:val="00B57639"/>
    <w:rsid w:val="00B711FC"/>
    <w:rsid w:val="00B72EFB"/>
    <w:rsid w:val="00B81F38"/>
    <w:rsid w:val="00B8386D"/>
    <w:rsid w:val="00B87B25"/>
    <w:rsid w:val="00B931DD"/>
    <w:rsid w:val="00B943BA"/>
    <w:rsid w:val="00BA16DF"/>
    <w:rsid w:val="00BA18A0"/>
    <w:rsid w:val="00BA5372"/>
    <w:rsid w:val="00BA5DD6"/>
    <w:rsid w:val="00BA6DFF"/>
    <w:rsid w:val="00BB34F3"/>
    <w:rsid w:val="00BB4E8D"/>
    <w:rsid w:val="00BB5A17"/>
    <w:rsid w:val="00BC7B30"/>
    <w:rsid w:val="00BD24E7"/>
    <w:rsid w:val="00BE249D"/>
    <w:rsid w:val="00BE2C7A"/>
    <w:rsid w:val="00BE6E2F"/>
    <w:rsid w:val="00BE75E9"/>
    <w:rsid w:val="00BE7B49"/>
    <w:rsid w:val="00BF18CE"/>
    <w:rsid w:val="00BF1922"/>
    <w:rsid w:val="00BF4DA8"/>
    <w:rsid w:val="00C008E9"/>
    <w:rsid w:val="00C009F7"/>
    <w:rsid w:val="00C06653"/>
    <w:rsid w:val="00C13577"/>
    <w:rsid w:val="00C1549C"/>
    <w:rsid w:val="00C24320"/>
    <w:rsid w:val="00C243ED"/>
    <w:rsid w:val="00C24414"/>
    <w:rsid w:val="00C25C7E"/>
    <w:rsid w:val="00C2749D"/>
    <w:rsid w:val="00C314C0"/>
    <w:rsid w:val="00C365F4"/>
    <w:rsid w:val="00C376B5"/>
    <w:rsid w:val="00C42503"/>
    <w:rsid w:val="00C46383"/>
    <w:rsid w:val="00C4669A"/>
    <w:rsid w:val="00C46A39"/>
    <w:rsid w:val="00C5037A"/>
    <w:rsid w:val="00C55AF9"/>
    <w:rsid w:val="00C5634A"/>
    <w:rsid w:val="00C600C5"/>
    <w:rsid w:val="00C6354F"/>
    <w:rsid w:val="00C66DFA"/>
    <w:rsid w:val="00C8210C"/>
    <w:rsid w:val="00C8427A"/>
    <w:rsid w:val="00C85747"/>
    <w:rsid w:val="00C91804"/>
    <w:rsid w:val="00C962DD"/>
    <w:rsid w:val="00CA057C"/>
    <w:rsid w:val="00CA14FC"/>
    <w:rsid w:val="00CB0CD5"/>
    <w:rsid w:val="00CC107D"/>
    <w:rsid w:val="00CC2A5F"/>
    <w:rsid w:val="00CC77A7"/>
    <w:rsid w:val="00CD5AA2"/>
    <w:rsid w:val="00CD6842"/>
    <w:rsid w:val="00CE1311"/>
    <w:rsid w:val="00CE13E0"/>
    <w:rsid w:val="00D01709"/>
    <w:rsid w:val="00D02F61"/>
    <w:rsid w:val="00D13FA6"/>
    <w:rsid w:val="00D15A5F"/>
    <w:rsid w:val="00D16C2A"/>
    <w:rsid w:val="00D24820"/>
    <w:rsid w:val="00D360EB"/>
    <w:rsid w:val="00D36F98"/>
    <w:rsid w:val="00D41966"/>
    <w:rsid w:val="00D5120F"/>
    <w:rsid w:val="00D52690"/>
    <w:rsid w:val="00D57AE2"/>
    <w:rsid w:val="00D6475B"/>
    <w:rsid w:val="00D71CFF"/>
    <w:rsid w:val="00D7437C"/>
    <w:rsid w:val="00D80423"/>
    <w:rsid w:val="00D943AE"/>
    <w:rsid w:val="00D97FBC"/>
    <w:rsid w:val="00DA6986"/>
    <w:rsid w:val="00DA711A"/>
    <w:rsid w:val="00DB469F"/>
    <w:rsid w:val="00DC7D2B"/>
    <w:rsid w:val="00DD222B"/>
    <w:rsid w:val="00DD297B"/>
    <w:rsid w:val="00DD5C17"/>
    <w:rsid w:val="00DE0510"/>
    <w:rsid w:val="00DE5EA0"/>
    <w:rsid w:val="00DF64C1"/>
    <w:rsid w:val="00E16103"/>
    <w:rsid w:val="00E168AE"/>
    <w:rsid w:val="00E2691A"/>
    <w:rsid w:val="00E45569"/>
    <w:rsid w:val="00E458B2"/>
    <w:rsid w:val="00E50785"/>
    <w:rsid w:val="00E52C78"/>
    <w:rsid w:val="00E54E2A"/>
    <w:rsid w:val="00E833C5"/>
    <w:rsid w:val="00E842C2"/>
    <w:rsid w:val="00E847E3"/>
    <w:rsid w:val="00E86502"/>
    <w:rsid w:val="00E92EAB"/>
    <w:rsid w:val="00EA2671"/>
    <w:rsid w:val="00EA334B"/>
    <w:rsid w:val="00EA4240"/>
    <w:rsid w:val="00EB57F9"/>
    <w:rsid w:val="00EC0A33"/>
    <w:rsid w:val="00EC6A6F"/>
    <w:rsid w:val="00ED3C60"/>
    <w:rsid w:val="00ED433F"/>
    <w:rsid w:val="00EE1725"/>
    <w:rsid w:val="00EE5FE0"/>
    <w:rsid w:val="00EE7962"/>
    <w:rsid w:val="00EF0724"/>
    <w:rsid w:val="00EF3A7E"/>
    <w:rsid w:val="00EF4F26"/>
    <w:rsid w:val="00EF5599"/>
    <w:rsid w:val="00F112F1"/>
    <w:rsid w:val="00F209DD"/>
    <w:rsid w:val="00F23FB2"/>
    <w:rsid w:val="00F25F9A"/>
    <w:rsid w:val="00F30E61"/>
    <w:rsid w:val="00F338AA"/>
    <w:rsid w:val="00F409B5"/>
    <w:rsid w:val="00F4123C"/>
    <w:rsid w:val="00F46870"/>
    <w:rsid w:val="00F51895"/>
    <w:rsid w:val="00F5782A"/>
    <w:rsid w:val="00F6189B"/>
    <w:rsid w:val="00F634DD"/>
    <w:rsid w:val="00F6632A"/>
    <w:rsid w:val="00F71B85"/>
    <w:rsid w:val="00F82954"/>
    <w:rsid w:val="00F838FF"/>
    <w:rsid w:val="00F87715"/>
    <w:rsid w:val="00FA29CB"/>
    <w:rsid w:val="00FB30D7"/>
    <w:rsid w:val="00FB4F88"/>
    <w:rsid w:val="00FC0F5A"/>
    <w:rsid w:val="00FC3D59"/>
    <w:rsid w:val="00FD24D8"/>
    <w:rsid w:val="00FE0C77"/>
    <w:rsid w:val="00FE3A3D"/>
    <w:rsid w:val="00FE5B6F"/>
    <w:rsid w:val="00FF0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14:docId w14:val="3E454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854"/>
    <w:pPr>
      <w:widowControl w:val="0"/>
      <w:autoSpaceDE w:val="0"/>
      <w:autoSpaceDN w:val="0"/>
      <w:adjustRightInd w:val="0"/>
    </w:pPr>
  </w:style>
  <w:style w:type="paragraph" w:styleId="Heading1">
    <w:name w:val="heading 1"/>
    <w:basedOn w:val="Normal"/>
    <w:next w:val="ParaNum"/>
    <w:qFormat/>
    <w:pPr>
      <w:keepNext/>
      <w:numPr>
        <w:numId w:val="4"/>
      </w:numPr>
      <w:suppressAutoHyphens/>
      <w:spacing w:after="220"/>
      <w:jc w:val="both"/>
      <w:outlineLvl w:val="0"/>
    </w:pPr>
    <w:rPr>
      <w:b/>
      <w:caps/>
    </w:rPr>
  </w:style>
  <w:style w:type="paragraph" w:styleId="Heading2">
    <w:name w:val="heading 2"/>
    <w:basedOn w:val="Normal"/>
    <w:next w:val="ParaNum"/>
    <w:qFormat/>
    <w:pPr>
      <w:keepNext/>
      <w:numPr>
        <w:ilvl w:val="1"/>
        <w:numId w:val="4"/>
      </w:numPr>
      <w:spacing w:after="220"/>
      <w:jc w:val="both"/>
      <w:outlineLvl w:val="1"/>
    </w:pPr>
    <w:rPr>
      <w:b/>
    </w:rPr>
  </w:style>
  <w:style w:type="paragraph" w:styleId="Heading3">
    <w:name w:val="heading 3"/>
    <w:basedOn w:val="Normal"/>
    <w:next w:val="ParaNum"/>
    <w:qFormat/>
    <w:pPr>
      <w:keepNext/>
      <w:numPr>
        <w:ilvl w:val="2"/>
        <w:numId w:val="4"/>
      </w:numPr>
      <w:spacing w:after="220"/>
      <w:jc w:val="both"/>
      <w:outlineLvl w:val="2"/>
    </w:pPr>
    <w:rPr>
      <w:b/>
    </w:rPr>
  </w:style>
  <w:style w:type="paragraph" w:styleId="Heading4">
    <w:name w:val="heading 4"/>
    <w:basedOn w:val="Normal"/>
    <w:next w:val="ParaNum"/>
    <w:qFormat/>
    <w:pPr>
      <w:keepNext/>
      <w:numPr>
        <w:ilvl w:val="3"/>
        <w:numId w:val="4"/>
      </w:numPr>
      <w:spacing w:after="220"/>
      <w:jc w:val="both"/>
      <w:outlineLvl w:val="3"/>
    </w:pPr>
    <w:rPr>
      <w:b/>
    </w:rPr>
  </w:style>
  <w:style w:type="paragraph" w:styleId="Heading5">
    <w:name w:val="heading 5"/>
    <w:basedOn w:val="Normal"/>
    <w:next w:val="ParaNum"/>
    <w:qFormat/>
    <w:pPr>
      <w:keepNext/>
      <w:numPr>
        <w:ilvl w:val="4"/>
        <w:numId w:val="4"/>
      </w:numPr>
      <w:suppressAutoHyphens/>
      <w:spacing w:after="220"/>
      <w:jc w:val="both"/>
      <w:outlineLvl w:val="4"/>
    </w:pPr>
    <w:rPr>
      <w:b/>
    </w:rPr>
  </w:style>
  <w:style w:type="paragraph" w:styleId="Heading6">
    <w:name w:val="heading 6"/>
    <w:basedOn w:val="Normal"/>
    <w:next w:val="ParaNum"/>
    <w:qFormat/>
    <w:pPr>
      <w:numPr>
        <w:ilvl w:val="5"/>
        <w:numId w:val="4"/>
      </w:numPr>
      <w:spacing w:after="220"/>
      <w:jc w:val="both"/>
      <w:outlineLvl w:val="5"/>
    </w:pPr>
    <w:rPr>
      <w:b/>
    </w:rPr>
  </w:style>
  <w:style w:type="paragraph" w:styleId="Heading7">
    <w:name w:val="heading 7"/>
    <w:basedOn w:val="Normal"/>
    <w:next w:val="ParaNum"/>
    <w:qFormat/>
    <w:pPr>
      <w:numPr>
        <w:ilvl w:val="6"/>
        <w:numId w:val="4"/>
      </w:numPr>
      <w:spacing w:after="220"/>
      <w:jc w:val="both"/>
      <w:outlineLvl w:val="6"/>
    </w:pPr>
    <w:rPr>
      <w:b/>
    </w:rPr>
  </w:style>
  <w:style w:type="paragraph" w:styleId="Heading8">
    <w:name w:val="heading 8"/>
    <w:basedOn w:val="Normal"/>
    <w:next w:val="ParaNum"/>
    <w:qFormat/>
    <w:pPr>
      <w:numPr>
        <w:ilvl w:val="7"/>
        <w:numId w:val="4"/>
      </w:numPr>
      <w:spacing w:after="220"/>
      <w:jc w:val="both"/>
      <w:outlineLvl w:val="7"/>
    </w:pPr>
    <w:rPr>
      <w:b/>
    </w:rPr>
  </w:style>
  <w:style w:type="paragraph" w:styleId="Heading9">
    <w:name w:val="heading 9"/>
    <w:basedOn w:val="Normal"/>
    <w:next w:val="ParaNum"/>
    <w:qFormat/>
    <w:pPr>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numPr>
        <w:numId w:val="13"/>
      </w:numPr>
      <w:tabs>
        <w:tab w:val="clear" w:pos="1080"/>
        <w:tab w:val="left" w:pos="1440"/>
      </w:tabs>
      <w:spacing w:after="220"/>
      <w:jc w:val="both"/>
    </w:p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basedOn w:val="Normal"/>
    <w:link w:val="FootnoteTextChar2"/>
    <w:pPr>
      <w:tabs>
        <w:tab w:val="left" w:pos="180"/>
        <w:tab w:val="left" w:pos="720"/>
        <w:tab w:val="left" w:pos="1440"/>
        <w:tab w:val="left" w:pos="2160"/>
      </w:tabs>
      <w:spacing w:after="120"/>
      <w:jc w:val="both"/>
    </w:pPr>
  </w:style>
  <w:style w:type="paragraph" w:customStyle="1" w:styleId="Bullet">
    <w:name w:val="Bullet"/>
    <w:basedOn w:val="Normal"/>
    <w:pPr>
      <w:numPr>
        <w:numId w:val="9"/>
      </w:numPr>
      <w:tabs>
        <w:tab w:val="clear" w:pos="2520"/>
      </w:tabs>
      <w:spacing w:after="220"/>
      <w:ind w:left="2160" w:hanging="720"/>
      <w:jc w:val="both"/>
    </w:pPr>
  </w:style>
  <w:style w:type="paragraph" w:styleId="BlockText">
    <w:name w:val="Block Text"/>
    <w:basedOn w:val="Normal"/>
    <w:pPr>
      <w:spacing w:after="220"/>
      <w:ind w:left="1440" w:right="1440"/>
      <w:jc w:val="both"/>
    </w:pPr>
  </w:style>
  <w:style w:type="paragraph" w:customStyle="1" w:styleId="TableFormat">
    <w:name w:val="TableFormat"/>
    <w:basedOn w:val="Normal"/>
    <w:pPr>
      <w:tabs>
        <w:tab w:val="left" w:pos="5040"/>
      </w:tabs>
      <w:spacing w:after="220"/>
      <w:ind w:left="5040" w:hanging="3600"/>
      <w:jc w:val="both"/>
    </w:pPr>
  </w:style>
  <w:style w:type="character" w:styleId="FootnoteReference">
    <w:name w:val="footnote reference"/>
    <w:aliases w:val="Style 12,(NECG) Footnote Reference,Appel note de bas de p,Style 124,Style 4,Style 13,o,fr,Style 3,Footnote Reference1,FR,Style 17,Style 6,Footnote Reference/"/>
    <w:uiPriority w:val="99"/>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tabs>
        <w:tab w:val="right" w:leader="dot" w:pos="9360"/>
      </w:tabs>
      <w:suppressAutoHyphens/>
      <w:spacing w:before="220"/>
      <w:ind w:left="720" w:right="720" w:hanging="720"/>
      <w:jc w:val="both"/>
    </w:pPr>
    <w:rPr>
      <w:caps/>
    </w:rPr>
  </w:style>
  <w:style w:type="paragraph" w:styleId="TOC3">
    <w:name w:val="toc 3"/>
    <w:basedOn w:val="Normal"/>
    <w:next w:val="Normal"/>
    <w:semiHidden/>
    <w:pPr>
      <w:tabs>
        <w:tab w:val="left" w:pos="2160"/>
        <w:tab w:val="right" w:leader="dot" w:pos="9360"/>
      </w:tabs>
      <w:suppressAutoHyphens/>
      <w:ind w:left="2160" w:right="720" w:hanging="720"/>
      <w:jc w:val="both"/>
    </w:pPr>
  </w:style>
  <w:style w:type="paragraph" w:styleId="TOC4">
    <w:name w:val="toc 4"/>
    <w:basedOn w:val="Normal"/>
    <w:next w:val="Normal"/>
    <w:semiHidden/>
    <w:pPr>
      <w:tabs>
        <w:tab w:val="left" w:pos="2880"/>
        <w:tab w:val="right" w:leader="dot" w:pos="9360"/>
      </w:tabs>
      <w:suppressAutoHyphens/>
      <w:ind w:left="2880" w:right="720" w:hanging="720"/>
      <w:jc w:val="both"/>
    </w:pPr>
  </w:style>
  <w:style w:type="paragraph" w:styleId="TOC5">
    <w:name w:val="toc 5"/>
    <w:basedOn w:val="Normal"/>
    <w:next w:val="Normal"/>
    <w:semiHidden/>
    <w:pPr>
      <w:tabs>
        <w:tab w:val="left" w:pos="3600"/>
        <w:tab w:val="right" w:leader="dot" w:pos="9360"/>
      </w:tabs>
      <w:suppressAutoHyphens/>
      <w:ind w:left="3600" w:right="720" w:hanging="720"/>
      <w:jc w:val="both"/>
    </w:pPr>
  </w:style>
  <w:style w:type="paragraph" w:styleId="TOC6">
    <w:name w:val="toc 6"/>
    <w:basedOn w:val="Normal"/>
    <w:next w:val="Normal"/>
    <w:semiHidden/>
    <w:pPr>
      <w:tabs>
        <w:tab w:val="left" w:leader="dot" w:pos="9360"/>
      </w:tabs>
      <w:suppressAutoHyphens/>
      <w:ind w:left="720" w:hanging="720"/>
      <w:jc w:val="both"/>
    </w:pPr>
  </w:style>
  <w:style w:type="paragraph" w:styleId="TOC7">
    <w:name w:val="toc 7"/>
    <w:basedOn w:val="Normal"/>
    <w:next w:val="Normal"/>
    <w:semiHidden/>
    <w:pPr>
      <w:tabs>
        <w:tab w:val="left" w:leader="dot" w:pos="9360"/>
      </w:tabs>
      <w:suppressAutoHyphens/>
      <w:ind w:left="720" w:hanging="720"/>
      <w:jc w:val="both"/>
    </w:pPr>
  </w:style>
  <w:style w:type="paragraph" w:styleId="TOC8">
    <w:name w:val="toc 8"/>
    <w:basedOn w:val="Normal"/>
    <w:next w:val="Normal"/>
    <w:semiHidden/>
    <w:pPr>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sid w:val="000E2560"/>
    <w:rPr>
      <w:color w:val="0000FF"/>
      <w:u w:val="single"/>
    </w:rPr>
  </w:style>
  <w:style w:type="paragraph" w:styleId="BalloonText">
    <w:name w:val="Balloon Text"/>
    <w:basedOn w:val="Normal"/>
    <w:semiHidden/>
    <w:rsid w:val="007E2E05"/>
    <w:rPr>
      <w:rFonts w:ascii="Tahoma" w:hAnsi="Tahoma" w:cs="Tahoma"/>
      <w:sz w:val="16"/>
      <w:szCs w:val="16"/>
    </w:rPr>
  </w:style>
  <w:style w:type="character" w:styleId="CommentReference">
    <w:name w:val="annotation reference"/>
    <w:semiHidden/>
    <w:rsid w:val="00856437"/>
    <w:rPr>
      <w:sz w:val="16"/>
      <w:szCs w:val="16"/>
    </w:rPr>
  </w:style>
  <w:style w:type="paragraph" w:styleId="CommentText">
    <w:name w:val="annotation text"/>
    <w:basedOn w:val="Normal"/>
    <w:semiHidden/>
    <w:rsid w:val="00856437"/>
  </w:style>
  <w:style w:type="paragraph" w:styleId="CommentSubject">
    <w:name w:val="annotation subject"/>
    <w:basedOn w:val="CommentText"/>
    <w:next w:val="CommentText"/>
    <w:semiHidden/>
    <w:rsid w:val="00856437"/>
    <w:rPr>
      <w:b/>
      <w:bCs/>
    </w:rPr>
  </w:style>
  <w:style w:type="character" w:customStyle="1" w:styleId="documentbody">
    <w:name w:val="documentbody"/>
    <w:basedOn w:val="DefaultParagraphFont"/>
    <w:rsid w:val="001665F5"/>
  </w:style>
  <w:style w:type="character" w:customStyle="1" w:styleId="searchterm">
    <w:name w:val="searchterm"/>
    <w:basedOn w:val="DefaultParagraphFont"/>
    <w:rsid w:val="001665F5"/>
  </w:style>
  <w:style w:type="paragraph" w:customStyle="1" w:styleId="par1">
    <w:name w:val="par1"/>
    <w:basedOn w:val="Normal"/>
    <w:rsid w:val="001665F5"/>
    <w:pPr>
      <w:widowControl/>
      <w:numPr>
        <w:numId w:val="24"/>
      </w:numPr>
      <w:tabs>
        <w:tab w:val="left" w:pos="1440"/>
      </w:tabs>
      <w:autoSpaceDE/>
      <w:autoSpaceDN/>
      <w:adjustRightInd/>
    </w:pPr>
    <w:rPr>
      <w:sz w:val="22"/>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1665F5"/>
    <w:rPr>
      <w:lang w:val="en-US" w:eastAsia="en-US" w:bidi="ar-SA"/>
    </w:rPr>
  </w:style>
  <w:style w:type="character" w:customStyle="1" w:styleId="ParaNumChar">
    <w:name w:val="ParaNum Char"/>
    <w:link w:val="ParaNum"/>
    <w:rsid w:val="00A66F85"/>
    <w:rPr>
      <w:lang w:val="en-US" w:eastAsia="en-US" w:bidi="ar-SA"/>
    </w:rPr>
  </w:style>
  <w:style w:type="character" w:customStyle="1" w:styleId="apple-converted-space">
    <w:name w:val="apple-converted-space"/>
    <w:rsid w:val="00E168AE"/>
  </w:style>
  <w:style w:type="character" w:customStyle="1" w:styleId="footnote">
    <w:name w:val="footnote"/>
    <w:rsid w:val="00E168AE"/>
  </w:style>
  <w:style w:type="paragraph" w:styleId="NormalWeb">
    <w:name w:val="Normal (Web)"/>
    <w:basedOn w:val="Normal"/>
    <w:semiHidden/>
    <w:unhideWhenUsed/>
    <w:rsid w:val="002C578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854"/>
    <w:pPr>
      <w:widowControl w:val="0"/>
      <w:autoSpaceDE w:val="0"/>
      <w:autoSpaceDN w:val="0"/>
      <w:adjustRightInd w:val="0"/>
    </w:pPr>
  </w:style>
  <w:style w:type="paragraph" w:styleId="Heading1">
    <w:name w:val="heading 1"/>
    <w:basedOn w:val="Normal"/>
    <w:next w:val="ParaNum"/>
    <w:qFormat/>
    <w:pPr>
      <w:keepNext/>
      <w:numPr>
        <w:numId w:val="4"/>
      </w:numPr>
      <w:suppressAutoHyphens/>
      <w:spacing w:after="220"/>
      <w:jc w:val="both"/>
      <w:outlineLvl w:val="0"/>
    </w:pPr>
    <w:rPr>
      <w:b/>
      <w:caps/>
    </w:rPr>
  </w:style>
  <w:style w:type="paragraph" w:styleId="Heading2">
    <w:name w:val="heading 2"/>
    <w:basedOn w:val="Normal"/>
    <w:next w:val="ParaNum"/>
    <w:qFormat/>
    <w:pPr>
      <w:keepNext/>
      <w:numPr>
        <w:ilvl w:val="1"/>
        <w:numId w:val="4"/>
      </w:numPr>
      <w:spacing w:after="220"/>
      <w:jc w:val="both"/>
      <w:outlineLvl w:val="1"/>
    </w:pPr>
    <w:rPr>
      <w:b/>
    </w:rPr>
  </w:style>
  <w:style w:type="paragraph" w:styleId="Heading3">
    <w:name w:val="heading 3"/>
    <w:basedOn w:val="Normal"/>
    <w:next w:val="ParaNum"/>
    <w:qFormat/>
    <w:pPr>
      <w:keepNext/>
      <w:numPr>
        <w:ilvl w:val="2"/>
        <w:numId w:val="4"/>
      </w:numPr>
      <w:spacing w:after="220"/>
      <w:jc w:val="both"/>
      <w:outlineLvl w:val="2"/>
    </w:pPr>
    <w:rPr>
      <w:b/>
    </w:rPr>
  </w:style>
  <w:style w:type="paragraph" w:styleId="Heading4">
    <w:name w:val="heading 4"/>
    <w:basedOn w:val="Normal"/>
    <w:next w:val="ParaNum"/>
    <w:qFormat/>
    <w:pPr>
      <w:keepNext/>
      <w:numPr>
        <w:ilvl w:val="3"/>
        <w:numId w:val="4"/>
      </w:numPr>
      <w:spacing w:after="220"/>
      <w:jc w:val="both"/>
      <w:outlineLvl w:val="3"/>
    </w:pPr>
    <w:rPr>
      <w:b/>
    </w:rPr>
  </w:style>
  <w:style w:type="paragraph" w:styleId="Heading5">
    <w:name w:val="heading 5"/>
    <w:basedOn w:val="Normal"/>
    <w:next w:val="ParaNum"/>
    <w:qFormat/>
    <w:pPr>
      <w:keepNext/>
      <w:numPr>
        <w:ilvl w:val="4"/>
        <w:numId w:val="4"/>
      </w:numPr>
      <w:suppressAutoHyphens/>
      <w:spacing w:after="220"/>
      <w:jc w:val="both"/>
      <w:outlineLvl w:val="4"/>
    </w:pPr>
    <w:rPr>
      <w:b/>
    </w:rPr>
  </w:style>
  <w:style w:type="paragraph" w:styleId="Heading6">
    <w:name w:val="heading 6"/>
    <w:basedOn w:val="Normal"/>
    <w:next w:val="ParaNum"/>
    <w:qFormat/>
    <w:pPr>
      <w:numPr>
        <w:ilvl w:val="5"/>
        <w:numId w:val="4"/>
      </w:numPr>
      <w:spacing w:after="220"/>
      <w:jc w:val="both"/>
      <w:outlineLvl w:val="5"/>
    </w:pPr>
    <w:rPr>
      <w:b/>
    </w:rPr>
  </w:style>
  <w:style w:type="paragraph" w:styleId="Heading7">
    <w:name w:val="heading 7"/>
    <w:basedOn w:val="Normal"/>
    <w:next w:val="ParaNum"/>
    <w:qFormat/>
    <w:pPr>
      <w:numPr>
        <w:ilvl w:val="6"/>
        <w:numId w:val="4"/>
      </w:numPr>
      <w:spacing w:after="220"/>
      <w:jc w:val="both"/>
      <w:outlineLvl w:val="6"/>
    </w:pPr>
    <w:rPr>
      <w:b/>
    </w:rPr>
  </w:style>
  <w:style w:type="paragraph" w:styleId="Heading8">
    <w:name w:val="heading 8"/>
    <w:basedOn w:val="Normal"/>
    <w:next w:val="ParaNum"/>
    <w:qFormat/>
    <w:pPr>
      <w:numPr>
        <w:ilvl w:val="7"/>
        <w:numId w:val="4"/>
      </w:numPr>
      <w:spacing w:after="220"/>
      <w:jc w:val="both"/>
      <w:outlineLvl w:val="7"/>
    </w:pPr>
    <w:rPr>
      <w:b/>
    </w:rPr>
  </w:style>
  <w:style w:type="paragraph" w:styleId="Heading9">
    <w:name w:val="heading 9"/>
    <w:basedOn w:val="Normal"/>
    <w:next w:val="ParaNum"/>
    <w:qFormat/>
    <w:pPr>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numPr>
        <w:numId w:val="13"/>
      </w:numPr>
      <w:tabs>
        <w:tab w:val="clear" w:pos="1080"/>
        <w:tab w:val="left" w:pos="1440"/>
      </w:tabs>
      <w:spacing w:after="220"/>
      <w:jc w:val="both"/>
    </w:p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basedOn w:val="Normal"/>
    <w:link w:val="FootnoteTextChar2"/>
    <w:pPr>
      <w:tabs>
        <w:tab w:val="left" w:pos="180"/>
        <w:tab w:val="left" w:pos="720"/>
        <w:tab w:val="left" w:pos="1440"/>
        <w:tab w:val="left" w:pos="2160"/>
      </w:tabs>
      <w:spacing w:after="120"/>
      <w:jc w:val="both"/>
    </w:pPr>
  </w:style>
  <w:style w:type="paragraph" w:customStyle="1" w:styleId="Bullet">
    <w:name w:val="Bullet"/>
    <w:basedOn w:val="Normal"/>
    <w:pPr>
      <w:numPr>
        <w:numId w:val="9"/>
      </w:numPr>
      <w:tabs>
        <w:tab w:val="clear" w:pos="2520"/>
      </w:tabs>
      <w:spacing w:after="220"/>
      <w:ind w:left="2160" w:hanging="720"/>
      <w:jc w:val="both"/>
    </w:pPr>
  </w:style>
  <w:style w:type="paragraph" w:styleId="BlockText">
    <w:name w:val="Block Text"/>
    <w:basedOn w:val="Normal"/>
    <w:pPr>
      <w:spacing w:after="220"/>
      <w:ind w:left="1440" w:right="1440"/>
      <w:jc w:val="both"/>
    </w:pPr>
  </w:style>
  <w:style w:type="paragraph" w:customStyle="1" w:styleId="TableFormat">
    <w:name w:val="TableFormat"/>
    <w:basedOn w:val="Normal"/>
    <w:pPr>
      <w:tabs>
        <w:tab w:val="left" w:pos="5040"/>
      </w:tabs>
      <w:spacing w:after="220"/>
      <w:ind w:left="5040" w:hanging="3600"/>
      <w:jc w:val="both"/>
    </w:pPr>
  </w:style>
  <w:style w:type="character" w:styleId="FootnoteReference">
    <w:name w:val="footnote reference"/>
    <w:aliases w:val="Style 12,(NECG) Footnote Reference,Appel note de bas de p,Style 124,Style 4,Style 13,o,fr,Style 3,Footnote Reference1,FR,Style 17,Style 6,Footnote Reference/"/>
    <w:uiPriority w:val="99"/>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tabs>
        <w:tab w:val="right" w:leader="dot" w:pos="9360"/>
      </w:tabs>
      <w:suppressAutoHyphens/>
      <w:spacing w:before="220"/>
      <w:ind w:left="720" w:right="720" w:hanging="720"/>
      <w:jc w:val="both"/>
    </w:pPr>
    <w:rPr>
      <w:caps/>
    </w:rPr>
  </w:style>
  <w:style w:type="paragraph" w:styleId="TOC3">
    <w:name w:val="toc 3"/>
    <w:basedOn w:val="Normal"/>
    <w:next w:val="Normal"/>
    <w:semiHidden/>
    <w:pPr>
      <w:tabs>
        <w:tab w:val="left" w:pos="2160"/>
        <w:tab w:val="right" w:leader="dot" w:pos="9360"/>
      </w:tabs>
      <w:suppressAutoHyphens/>
      <w:ind w:left="2160" w:right="720" w:hanging="720"/>
      <w:jc w:val="both"/>
    </w:pPr>
  </w:style>
  <w:style w:type="paragraph" w:styleId="TOC4">
    <w:name w:val="toc 4"/>
    <w:basedOn w:val="Normal"/>
    <w:next w:val="Normal"/>
    <w:semiHidden/>
    <w:pPr>
      <w:tabs>
        <w:tab w:val="left" w:pos="2880"/>
        <w:tab w:val="right" w:leader="dot" w:pos="9360"/>
      </w:tabs>
      <w:suppressAutoHyphens/>
      <w:ind w:left="2880" w:right="720" w:hanging="720"/>
      <w:jc w:val="both"/>
    </w:pPr>
  </w:style>
  <w:style w:type="paragraph" w:styleId="TOC5">
    <w:name w:val="toc 5"/>
    <w:basedOn w:val="Normal"/>
    <w:next w:val="Normal"/>
    <w:semiHidden/>
    <w:pPr>
      <w:tabs>
        <w:tab w:val="left" w:pos="3600"/>
        <w:tab w:val="right" w:leader="dot" w:pos="9360"/>
      </w:tabs>
      <w:suppressAutoHyphens/>
      <w:ind w:left="3600" w:right="720" w:hanging="720"/>
      <w:jc w:val="both"/>
    </w:pPr>
  </w:style>
  <w:style w:type="paragraph" w:styleId="TOC6">
    <w:name w:val="toc 6"/>
    <w:basedOn w:val="Normal"/>
    <w:next w:val="Normal"/>
    <w:semiHidden/>
    <w:pPr>
      <w:tabs>
        <w:tab w:val="left" w:leader="dot" w:pos="9360"/>
      </w:tabs>
      <w:suppressAutoHyphens/>
      <w:ind w:left="720" w:hanging="720"/>
      <w:jc w:val="both"/>
    </w:pPr>
  </w:style>
  <w:style w:type="paragraph" w:styleId="TOC7">
    <w:name w:val="toc 7"/>
    <w:basedOn w:val="Normal"/>
    <w:next w:val="Normal"/>
    <w:semiHidden/>
    <w:pPr>
      <w:tabs>
        <w:tab w:val="left" w:leader="dot" w:pos="9360"/>
      </w:tabs>
      <w:suppressAutoHyphens/>
      <w:ind w:left="720" w:hanging="720"/>
      <w:jc w:val="both"/>
    </w:pPr>
  </w:style>
  <w:style w:type="paragraph" w:styleId="TOC8">
    <w:name w:val="toc 8"/>
    <w:basedOn w:val="Normal"/>
    <w:next w:val="Normal"/>
    <w:semiHidden/>
    <w:pPr>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sid w:val="000E2560"/>
    <w:rPr>
      <w:color w:val="0000FF"/>
      <w:u w:val="single"/>
    </w:rPr>
  </w:style>
  <w:style w:type="paragraph" w:styleId="BalloonText">
    <w:name w:val="Balloon Text"/>
    <w:basedOn w:val="Normal"/>
    <w:semiHidden/>
    <w:rsid w:val="007E2E05"/>
    <w:rPr>
      <w:rFonts w:ascii="Tahoma" w:hAnsi="Tahoma" w:cs="Tahoma"/>
      <w:sz w:val="16"/>
      <w:szCs w:val="16"/>
    </w:rPr>
  </w:style>
  <w:style w:type="character" w:styleId="CommentReference">
    <w:name w:val="annotation reference"/>
    <w:semiHidden/>
    <w:rsid w:val="00856437"/>
    <w:rPr>
      <w:sz w:val="16"/>
      <w:szCs w:val="16"/>
    </w:rPr>
  </w:style>
  <w:style w:type="paragraph" w:styleId="CommentText">
    <w:name w:val="annotation text"/>
    <w:basedOn w:val="Normal"/>
    <w:semiHidden/>
    <w:rsid w:val="00856437"/>
  </w:style>
  <w:style w:type="paragraph" w:styleId="CommentSubject">
    <w:name w:val="annotation subject"/>
    <w:basedOn w:val="CommentText"/>
    <w:next w:val="CommentText"/>
    <w:semiHidden/>
    <w:rsid w:val="00856437"/>
    <w:rPr>
      <w:b/>
      <w:bCs/>
    </w:rPr>
  </w:style>
  <w:style w:type="character" w:customStyle="1" w:styleId="documentbody">
    <w:name w:val="documentbody"/>
    <w:basedOn w:val="DefaultParagraphFont"/>
    <w:rsid w:val="001665F5"/>
  </w:style>
  <w:style w:type="character" w:customStyle="1" w:styleId="searchterm">
    <w:name w:val="searchterm"/>
    <w:basedOn w:val="DefaultParagraphFont"/>
    <w:rsid w:val="001665F5"/>
  </w:style>
  <w:style w:type="paragraph" w:customStyle="1" w:styleId="par1">
    <w:name w:val="par1"/>
    <w:basedOn w:val="Normal"/>
    <w:rsid w:val="001665F5"/>
    <w:pPr>
      <w:widowControl/>
      <w:numPr>
        <w:numId w:val="24"/>
      </w:numPr>
      <w:tabs>
        <w:tab w:val="left" w:pos="1440"/>
      </w:tabs>
      <w:autoSpaceDE/>
      <w:autoSpaceDN/>
      <w:adjustRightInd/>
    </w:pPr>
    <w:rPr>
      <w:sz w:val="22"/>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1665F5"/>
    <w:rPr>
      <w:lang w:val="en-US" w:eastAsia="en-US" w:bidi="ar-SA"/>
    </w:rPr>
  </w:style>
  <w:style w:type="character" w:customStyle="1" w:styleId="ParaNumChar">
    <w:name w:val="ParaNum Char"/>
    <w:link w:val="ParaNum"/>
    <w:rsid w:val="00A66F85"/>
    <w:rPr>
      <w:lang w:val="en-US" w:eastAsia="en-US" w:bidi="ar-SA"/>
    </w:rPr>
  </w:style>
  <w:style w:type="character" w:customStyle="1" w:styleId="apple-converted-space">
    <w:name w:val="apple-converted-space"/>
    <w:rsid w:val="00E168AE"/>
  </w:style>
  <w:style w:type="character" w:customStyle="1" w:styleId="footnote">
    <w:name w:val="footnote"/>
    <w:rsid w:val="00E168AE"/>
  </w:style>
  <w:style w:type="paragraph" w:styleId="NormalWeb">
    <w:name w:val="Normal (Web)"/>
    <w:basedOn w:val="Normal"/>
    <w:semiHidden/>
    <w:unhideWhenUsed/>
    <w:rsid w:val="002C57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458507">
      <w:bodyDiv w:val="1"/>
      <w:marLeft w:val="0"/>
      <w:marRight w:val="0"/>
      <w:marTop w:val="0"/>
      <w:marBottom w:val="0"/>
      <w:divBdr>
        <w:top w:val="none" w:sz="0" w:space="0" w:color="auto"/>
        <w:left w:val="none" w:sz="0" w:space="0" w:color="auto"/>
        <w:bottom w:val="none" w:sz="0" w:space="0" w:color="auto"/>
        <w:right w:val="none" w:sz="0" w:space="0" w:color="auto"/>
      </w:divBdr>
    </w:div>
    <w:div w:id="1530725765">
      <w:bodyDiv w:val="1"/>
      <w:marLeft w:val="0"/>
      <w:marRight w:val="0"/>
      <w:marTop w:val="0"/>
      <w:marBottom w:val="0"/>
      <w:divBdr>
        <w:top w:val="none" w:sz="0" w:space="0" w:color="auto"/>
        <w:left w:val="none" w:sz="0" w:space="0" w:color="auto"/>
        <w:bottom w:val="none" w:sz="0" w:space="0" w:color="auto"/>
        <w:right w:val="none" w:sz="0" w:space="0" w:color="auto"/>
      </w:divBdr>
      <w:divsChild>
        <w:div w:id="1361471758">
          <w:marLeft w:val="0"/>
          <w:marRight w:val="0"/>
          <w:marTop w:val="0"/>
          <w:marBottom w:val="0"/>
          <w:divBdr>
            <w:top w:val="none" w:sz="0" w:space="0" w:color="auto"/>
            <w:left w:val="none" w:sz="0" w:space="0" w:color="auto"/>
            <w:bottom w:val="none" w:sz="0" w:space="0" w:color="auto"/>
            <w:right w:val="none" w:sz="0" w:space="0" w:color="auto"/>
          </w:divBdr>
          <w:divsChild>
            <w:div w:id="2034838209">
              <w:marLeft w:val="0"/>
              <w:marRight w:val="0"/>
              <w:marTop w:val="0"/>
              <w:marBottom w:val="0"/>
              <w:divBdr>
                <w:top w:val="none" w:sz="0" w:space="0" w:color="auto"/>
                <w:left w:val="none" w:sz="0" w:space="0" w:color="auto"/>
                <w:bottom w:val="none" w:sz="0" w:space="0" w:color="auto"/>
                <w:right w:val="none" w:sz="0" w:space="0" w:color="auto"/>
              </w:divBdr>
              <w:divsChild>
                <w:div w:id="1482847760">
                  <w:marLeft w:val="0"/>
                  <w:marRight w:val="0"/>
                  <w:marTop w:val="0"/>
                  <w:marBottom w:val="0"/>
                  <w:divBdr>
                    <w:top w:val="none" w:sz="0" w:space="0" w:color="auto"/>
                    <w:left w:val="none" w:sz="0" w:space="0" w:color="auto"/>
                    <w:bottom w:val="none" w:sz="0" w:space="0" w:color="auto"/>
                    <w:right w:val="none" w:sz="0" w:space="0" w:color="auto"/>
                  </w:divBdr>
                  <w:divsChild>
                    <w:div w:id="18548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IANE~1.LAW\LOCALS~1\Temp\NAL1012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NAL101210</Template>
  <TotalTime>0</TotalTime>
  <Pages>3</Pages>
  <Words>2746</Words>
  <Characters>15187</Characters>
  <Application>Microsoft Office Word</Application>
  <DocSecurity>0</DocSecurity>
  <Lines>226</Lines>
  <Paragraphs>51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18020</CharactersWithSpaces>
  <SharedDoc>false</SharedDoc>
  <HyperlinkBase> </HyperlinkBase>
  <HLinks>
    <vt:vector size="12" baseType="variant">
      <vt:variant>
        <vt:i4>1835128</vt:i4>
      </vt:variant>
      <vt:variant>
        <vt:i4>3</vt:i4>
      </vt:variant>
      <vt:variant>
        <vt:i4>0</vt:i4>
      </vt:variant>
      <vt:variant>
        <vt:i4>5</vt:i4>
      </vt:variant>
      <vt:variant>
        <vt:lpwstr>mailto:SCR-Response@fcc.gov</vt:lpwstr>
      </vt:variant>
      <vt:variant>
        <vt:lpwstr/>
      </vt:variant>
      <vt:variant>
        <vt:i4>1835128</vt:i4>
      </vt:variant>
      <vt:variant>
        <vt:i4>0</vt:i4>
      </vt:variant>
      <vt:variant>
        <vt:i4>0</vt:i4>
      </vt:variant>
      <vt:variant>
        <vt:i4>5</vt:i4>
      </vt:variant>
      <vt:variant>
        <vt:lpwstr>mailto:SCR-Response@fcc.gov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2015-04-13T23:11:00Z</cp:lastPrinted>
  <dcterms:created xsi:type="dcterms:W3CDTF">2015-12-18T01:13:00Z</dcterms:created>
  <dcterms:modified xsi:type="dcterms:W3CDTF">2015-12-18T01:13:00Z</dcterms:modified>
  <cp:category> </cp:category>
  <cp:contentStatus> </cp:contentStatus>
</cp:coreProperties>
</file>