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7D2E" w14:textId="77777777" w:rsidR="00DE5386" w:rsidRDefault="00DE5386">
      <w:pPr>
        <w:tabs>
          <w:tab w:val="center" w:pos="4680"/>
        </w:tabs>
        <w:suppressAutoHyphens/>
        <w:spacing w:line="240" w:lineRule="atLeast"/>
        <w:jc w:val="center"/>
        <w:outlineLvl w:val="0"/>
        <w:rPr>
          <w:b/>
        </w:rPr>
      </w:pPr>
      <w:bookmarkStart w:id="0" w:name="_GoBack"/>
      <w:bookmarkEnd w:id="0"/>
      <w:r>
        <w:rPr>
          <w:b/>
        </w:rPr>
        <w:t>Before the</w:t>
      </w:r>
    </w:p>
    <w:p w14:paraId="2DAD120C" w14:textId="77777777" w:rsidR="00DE5386" w:rsidRDefault="00DE5386">
      <w:pPr>
        <w:tabs>
          <w:tab w:val="center" w:pos="4680"/>
        </w:tabs>
        <w:suppressAutoHyphens/>
        <w:spacing w:line="240" w:lineRule="atLeast"/>
        <w:jc w:val="both"/>
        <w:outlineLvl w:val="0"/>
        <w:rPr>
          <w:b/>
        </w:rPr>
      </w:pPr>
      <w:r>
        <w:rPr>
          <w:b/>
        </w:rPr>
        <w:tab/>
        <w:t>Federal Communications Commission</w:t>
      </w:r>
    </w:p>
    <w:p w14:paraId="639A2302" w14:textId="77777777"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2B3DFCF6" w14:textId="77777777"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593"/>
        <w:gridCol w:w="352"/>
        <w:gridCol w:w="4523"/>
      </w:tblGrid>
      <w:tr w:rsidR="00DE5386" w14:paraId="492F6F10" w14:textId="77777777" w:rsidTr="009A462D">
        <w:trPr>
          <w:trHeight w:val="1457"/>
        </w:trPr>
        <w:tc>
          <w:tcPr>
            <w:tcW w:w="4593" w:type="dxa"/>
          </w:tcPr>
          <w:p w14:paraId="041E3F2A" w14:textId="77777777" w:rsidR="009A462D" w:rsidRDefault="009A462D" w:rsidP="009A462D">
            <w:r>
              <w:t xml:space="preserve">In the Matter of </w:t>
            </w:r>
          </w:p>
          <w:p w14:paraId="1769E0EA" w14:textId="77777777" w:rsidR="009A462D" w:rsidRDefault="009A462D" w:rsidP="009A462D"/>
          <w:p w14:paraId="53E61C64" w14:textId="357BA5C6" w:rsidR="009A462D" w:rsidRDefault="007531E0" w:rsidP="009A462D">
            <w:r>
              <w:t>GCI Communication Corp.</w:t>
            </w:r>
          </w:p>
          <w:p w14:paraId="3DDC08B0" w14:textId="77777777" w:rsidR="00F900FA" w:rsidRDefault="00F900FA" w:rsidP="009A462D"/>
          <w:p w14:paraId="469064D1" w14:textId="77777777" w:rsidR="002C4062" w:rsidRDefault="002C4062" w:rsidP="009A462D">
            <w:r>
              <w:t xml:space="preserve">Former </w:t>
            </w:r>
            <w:r w:rsidR="007531E0">
              <w:t>Registrant of</w:t>
            </w:r>
          </w:p>
          <w:p w14:paraId="3D46120B" w14:textId="25689846" w:rsidR="009A462D" w:rsidRDefault="007531E0" w:rsidP="009A462D">
            <w:r>
              <w:t>Antenna Structure No. 1265246</w:t>
            </w:r>
          </w:p>
          <w:p w14:paraId="495A91E8" w14:textId="5865ECBF" w:rsidR="009A462D" w:rsidRDefault="007531E0" w:rsidP="009A462D">
            <w:r>
              <w:t>Fairbanks, Alaska</w:t>
            </w:r>
          </w:p>
          <w:p w14:paraId="329C47AD" w14:textId="77777777" w:rsidR="009A462D" w:rsidRDefault="009A462D" w:rsidP="009A462D">
            <w:pPr>
              <w:rPr>
                <w:spacing w:val="-2"/>
              </w:rPr>
            </w:pPr>
          </w:p>
        </w:tc>
        <w:tc>
          <w:tcPr>
            <w:tcW w:w="352" w:type="dxa"/>
          </w:tcPr>
          <w:p w14:paraId="30767BE2" w14:textId="77777777" w:rsidR="00DE5386" w:rsidRDefault="00DE5386">
            <w:pPr>
              <w:tabs>
                <w:tab w:val="center" w:pos="4680"/>
              </w:tabs>
              <w:suppressAutoHyphens/>
              <w:spacing w:line="240" w:lineRule="atLeast"/>
              <w:jc w:val="both"/>
              <w:outlineLvl w:val="0"/>
            </w:pPr>
            <w:r>
              <w:t>)</w:t>
            </w:r>
          </w:p>
          <w:p w14:paraId="4C7B643E" w14:textId="77777777" w:rsidR="00DE5386" w:rsidRDefault="00DE5386">
            <w:pPr>
              <w:tabs>
                <w:tab w:val="center" w:pos="4680"/>
              </w:tabs>
              <w:suppressAutoHyphens/>
              <w:spacing w:line="240" w:lineRule="atLeast"/>
              <w:jc w:val="both"/>
              <w:outlineLvl w:val="0"/>
            </w:pPr>
            <w:r>
              <w:t>)</w:t>
            </w:r>
          </w:p>
          <w:p w14:paraId="34C181E1" w14:textId="77777777" w:rsidR="00DE5386" w:rsidRDefault="00DE5386">
            <w:pPr>
              <w:tabs>
                <w:tab w:val="center" w:pos="4680"/>
              </w:tabs>
              <w:suppressAutoHyphens/>
              <w:spacing w:line="240" w:lineRule="atLeast"/>
              <w:jc w:val="both"/>
              <w:outlineLvl w:val="0"/>
            </w:pPr>
            <w:r>
              <w:t>)</w:t>
            </w:r>
          </w:p>
          <w:p w14:paraId="7EA06907" w14:textId="77777777" w:rsidR="00DE5386" w:rsidRDefault="00DE5386">
            <w:pPr>
              <w:tabs>
                <w:tab w:val="center" w:pos="4680"/>
              </w:tabs>
              <w:suppressAutoHyphens/>
              <w:spacing w:line="240" w:lineRule="atLeast"/>
              <w:jc w:val="both"/>
              <w:outlineLvl w:val="0"/>
            </w:pPr>
            <w:r>
              <w:t>)</w:t>
            </w:r>
          </w:p>
          <w:p w14:paraId="6AEA3F01" w14:textId="77777777" w:rsidR="00DE5386" w:rsidRDefault="00DE5386">
            <w:pPr>
              <w:tabs>
                <w:tab w:val="center" w:pos="4680"/>
              </w:tabs>
              <w:suppressAutoHyphens/>
              <w:spacing w:line="240" w:lineRule="atLeast"/>
              <w:jc w:val="both"/>
              <w:outlineLvl w:val="0"/>
            </w:pPr>
            <w:r>
              <w:t>)</w:t>
            </w:r>
          </w:p>
          <w:p w14:paraId="3780072B" w14:textId="77777777" w:rsidR="00DE5386" w:rsidRDefault="00DE5386">
            <w:pPr>
              <w:tabs>
                <w:tab w:val="center" w:pos="4680"/>
              </w:tabs>
              <w:suppressAutoHyphens/>
              <w:spacing w:line="240" w:lineRule="atLeast"/>
              <w:jc w:val="both"/>
              <w:outlineLvl w:val="0"/>
            </w:pPr>
            <w:r>
              <w:t>)</w:t>
            </w:r>
          </w:p>
          <w:p w14:paraId="1FD0C018" w14:textId="38A6817C" w:rsidR="006E6B64" w:rsidRPr="009A462D" w:rsidRDefault="002C4062" w:rsidP="009A462D">
            <w:pPr>
              <w:tabs>
                <w:tab w:val="center" w:pos="4680"/>
              </w:tabs>
              <w:suppressAutoHyphens/>
              <w:spacing w:line="240" w:lineRule="atLeast"/>
              <w:jc w:val="both"/>
              <w:outlineLvl w:val="0"/>
            </w:pPr>
            <w:r>
              <w:t>)</w:t>
            </w:r>
          </w:p>
        </w:tc>
        <w:tc>
          <w:tcPr>
            <w:tcW w:w="4523" w:type="dxa"/>
          </w:tcPr>
          <w:p w14:paraId="266616D6" w14:textId="77777777" w:rsidR="00DE5386" w:rsidRDefault="00DE5386">
            <w:pPr>
              <w:rPr>
                <w:spacing w:val="-2"/>
              </w:rPr>
            </w:pPr>
          </w:p>
          <w:p w14:paraId="3586D979" w14:textId="77777777" w:rsidR="00DE5386" w:rsidRDefault="00DE5386">
            <w:pPr>
              <w:ind w:left="702"/>
              <w:rPr>
                <w:spacing w:val="-2"/>
              </w:rPr>
            </w:pPr>
          </w:p>
          <w:p w14:paraId="1151C69C" w14:textId="40487D52" w:rsidR="009A462D" w:rsidRPr="009A462D" w:rsidRDefault="009A462D" w:rsidP="00DC2EFE">
            <w:pPr>
              <w:ind w:left="522"/>
            </w:pPr>
            <w:r w:rsidRPr="009A462D">
              <w:t>File No.:  EB-FIELDWR-12-0000</w:t>
            </w:r>
            <w:r w:rsidR="007531E0">
              <w:t>4576</w:t>
            </w:r>
          </w:p>
          <w:p w14:paraId="093D0560" w14:textId="1329A8B0" w:rsidR="009A462D" w:rsidRPr="009A462D" w:rsidRDefault="009A462D" w:rsidP="009A462D">
            <w:pPr>
              <w:ind w:left="522"/>
            </w:pPr>
            <w:r w:rsidRPr="009A462D">
              <w:t>NAL/Acct. No.:  201332</w:t>
            </w:r>
            <w:r w:rsidR="007531E0">
              <w:t>7</w:t>
            </w:r>
            <w:r w:rsidRPr="009A462D">
              <w:t>8000</w:t>
            </w:r>
            <w:r w:rsidR="007531E0">
              <w:t>1</w:t>
            </w:r>
          </w:p>
          <w:p w14:paraId="0503D7EB" w14:textId="0C6D843C" w:rsidR="009A462D" w:rsidRPr="009A462D" w:rsidRDefault="007531E0" w:rsidP="009A462D">
            <w:pPr>
              <w:ind w:left="522"/>
            </w:pPr>
            <w:r>
              <w:t>FRN:  0001568880</w:t>
            </w:r>
          </w:p>
          <w:p w14:paraId="7F7F1401" w14:textId="77E062EC" w:rsidR="00DE5386" w:rsidRDefault="00DE5386" w:rsidP="009A462D">
            <w:pPr>
              <w:ind w:left="522"/>
            </w:pPr>
          </w:p>
        </w:tc>
      </w:tr>
    </w:tbl>
    <w:p w14:paraId="3BC486AA" w14:textId="77777777" w:rsidR="009A462D" w:rsidRPr="009A462D" w:rsidRDefault="009A462D" w:rsidP="009A462D">
      <w:pPr>
        <w:jc w:val="center"/>
        <w:rPr>
          <w:b/>
        </w:rPr>
      </w:pPr>
      <w:r w:rsidRPr="009A462D">
        <w:rPr>
          <w:b/>
        </w:rPr>
        <w:t>FORFEITURE ORDER</w:t>
      </w:r>
    </w:p>
    <w:p w14:paraId="7D6EF707" w14:textId="77777777" w:rsidR="005215D5" w:rsidRDefault="005215D5" w:rsidP="009A462D">
      <w:pPr>
        <w:jc w:val="center"/>
      </w:pPr>
    </w:p>
    <w:p w14:paraId="2507CE7E" w14:textId="57602325" w:rsidR="00DE5386" w:rsidRDefault="00DE5386" w:rsidP="00627660">
      <w:pPr>
        <w:tabs>
          <w:tab w:val="left" w:pos="0"/>
          <w:tab w:val="left" w:pos="720"/>
          <w:tab w:val="left" w:pos="5760"/>
        </w:tabs>
        <w:suppressAutoHyphens/>
        <w:spacing w:line="240" w:lineRule="atLeast"/>
      </w:pPr>
      <w:r>
        <w:rPr>
          <w:b/>
        </w:rPr>
        <w:t xml:space="preserve">Adopted: </w:t>
      </w:r>
      <w:r w:rsidR="009A462D">
        <w:rPr>
          <w:b/>
        </w:rPr>
        <w:t xml:space="preserve"> </w:t>
      </w:r>
      <w:r w:rsidR="008A7282">
        <w:rPr>
          <w:b/>
        </w:rPr>
        <w:t xml:space="preserve">February </w:t>
      </w:r>
      <w:r w:rsidR="00C2302F">
        <w:rPr>
          <w:b/>
        </w:rPr>
        <w:t>3</w:t>
      </w:r>
      <w:r w:rsidR="008A7282">
        <w:rPr>
          <w:b/>
        </w:rPr>
        <w:t>, 2015</w:t>
      </w:r>
      <w:r>
        <w:rPr>
          <w:b/>
        </w:rPr>
        <w:tab/>
      </w:r>
      <w:r>
        <w:rPr>
          <w:b/>
        </w:rPr>
        <w:tab/>
        <w:t xml:space="preserve">Released:  </w:t>
      </w:r>
      <w:r w:rsidR="008A7282">
        <w:rPr>
          <w:b/>
        </w:rPr>
        <w:t xml:space="preserve">February </w:t>
      </w:r>
      <w:r w:rsidR="00C2302F">
        <w:rPr>
          <w:b/>
        </w:rPr>
        <w:t>4</w:t>
      </w:r>
      <w:r w:rsidR="008A7282">
        <w:rPr>
          <w:b/>
        </w:rPr>
        <w:t>, 2015</w:t>
      </w:r>
    </w:p>
    <w:p w14:paraId="3789707F" w14:textId="77777777" w:rsidR="00DE5386" w:rsidRDefault="00DE5386" w:rsidP="00627660">
      <w:pPr>
        <w:tabs>
          <w:tab w:val="left" w:pos="0"/>
          <w:tab w:val="left" w:pos="720"/>
          <w:tab w:val="left" w:pos="5760"/>
        </w:tabs>
        <w:suppressAutoHyphens/>
        <w:spacing w:line="240" w:lineRule="atLeast"/>
        <w:jc w:val="both"/>
      </w:pPr>
    </w:p>
    <w:p w14:paraId="2EAD7EDF" w14:textId="77777777" w:rsidR="00DE5386" w:rsidRDefault="001F0226" w:rsidP="00A76318">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14:paraId="3444D458" w14:textId="77777777" w:rsidR="007B67CE" w:rsidRPr="002A7814" w:rsidRDefault="007B67CE" w:rsidP="00A76318">
      <w:pPr>
        <w:tabs>
          <w:tab w:val="left" w:pos="0"/>
          <w:tab w:val="left" w:pos="720"/>
          <w:tab w:val="left" w:pos="5760"/>
        </w:tabs>
        <w:suppressAutoHyphens/>
        <w:spacing w:line="240" w:lineRule="atLeast"/>
        <w:jc w:val="both"/>
        <w:rPr>
          <w:color w:val="000000"/>
          <w:spacing w:val="-2"/>
        </w:rPr>
      </w:pPr>
    </w:p>
    <w:p w14:paraId="1444420C" w14:textId="5390E38A" w:rsidR="00DE5386" w:rsidRPr="00D21D26" w:rsidRDefault="00DE5386" w:rsidP="00305FED">
      <w:pPr>
        <w:pStyle w:val="Heading1"/>
        <w:tabs>
          <w:tab w:val="left" w:pos="720"/>
        </w:tabs>
        <w:spacing w:before="0" w:after="120"/>
        <w:rPr>
          <w:rFonts w:ascii="Times New Roman" w:hAnsi="Times New Roman" w:cs="Times New Roman"/>
          <w:sz w:val="22"/>
          <w:szCs w:val="22"/>
        </w:rPr>
      </w:pPr>
      <w:r w:rsidRPr="00D21D26">
        <w:rPr>
          <w:rFonts w:ascii="Times New Roman" w:hAnsi="Times New Roman" w:cs="Times New Roman"/>
          <w:sz w:val="22"/>
          <w:szCs w:val="22"/>
        </w:rPr>
        <w:t xml:space="preserve">I.  </w:t>
      </w:r>
      <w:r w:rsidR="00D21D26">
        <w:rPr>
          <w:rFonts w:ascii="Times New Roman" w:hAnsi="Times New Roman" w:cs="Times New Roman"/>
          <w:sz w:val="22"/>
          <w:szCs w:val="22"/>
        </w:rPr>
        <w:tab/>
      </w:r>
      <w:r w:rsidRPr="00D21D26">
        <w:rPr>
          <w:rFonts w:ascii="Times New Roman" w:hAnsi="Times New Roman" w:cs="Times New Roman"/>
          <w:sz w:val="22"/>
          <w:szCs w:val="22"/>
        </w:rPr>
        <w:t>INTRODUCTION</w:t>
      </w:r>
    </w:p>
    <w:p w14:paraId="068BEED8" w14:textId="754A7AD3" w:rsidR="00D21D26" w:rsidRDefault="00972009" w:rsidP="00305FED">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972009">
        <w:rPr>
          <w:color w:val="000000"/>
          <w:spacing w:val="-2"/>
        </w:rPr>
        <w:t>We impose a penalty of $2</w:t>
      </w:r>
      <w:r>
        <w:rPr>
          <w:color w:val="000000"/>
          <w:spacing w:val="-2"/>
        </w:rPr>
        <w:t>0,000</w:t>
      </w:r>
      <w:r w:rsidRPr="00972009">
        <w:rPr>
          <w:color w:val="000000"/>
          <w:spacing w:val="-2"/>
        </w:rPr>
        <w:t xml:space="preserve"> against </w:t>
      </w:r>
      <w:r w:rsidR="007531E0" w:rsidRPr="007531E0">
        <w:rPr>
          <w:color w:val="000000"/>
          <w:spacing w:val="-2"/>
        </w:rPr>
        <w:t xml:space="preserve">General Communication, Inc., d/b/a GCI Communication Corp. (GCI), </w:t>
      </w:r>
      <w:r w:rsidR="002C4062">
        <w:rPr>
          <w:color w:val="000000"/>
          <w:spacing w:val="-2"/>
        </w:rPr>
        <w:t>former owner</w:t>
      </w:r>
      <w:r w:rsidR="007531E0" w:rsidRPr="007531E0">
        <w:rPr>
          <w:color w:val="000000"/>
          <w:spacing w:val="-2"/>
        </w:rPr>
        <w:t xml:space="preserve"> of </w:t>
      </w:r>
      <w:r w:rsidR="007531E0">
        <w:rPr>
          <w:color w:val="000000"/>
          <w:spacing w:val="-2"/>
        </w:rPr>
        <w:t xml:space="preserve">an </w:t>
      </w:r>
      <w:r w:rsidR="007531E0" w:rsidRPr="007531E0">
        <w:rPr>
          <w:color w:val="000000"/>
          <w:spacing w:val="-2"/>
        </w:rPr>
        <w:t>antenna structure located near Fairbanks, Alaska,</w:t>
      </w:r>
      <w:r w:rsidR="007531E0">
        <w:rPr>
          <w:color w:val="000000"/>
          <w:spacing w:val="-2"/>
        </w:rPr>
        <w:t xml:space="preserve"> </w:t>
      </w:r>
      <w:r w:rsidRPr="00972009">
        <w:rPr>
          <w:color w:val="000000"/>
          <w:spacing w:val="-2"/>
        </w:rPr>
        <w:t xml:space="preserve">for </w:t>
      </w:r>
      <w:r>
        <w:rPr>
          <w:color w:val="000000"/>
          <w:spacing w:val="-2"/>
        </w:rPr>
        <w:t>failing to m</w:t>
      </w:r>
      <w:r w:rsidR="007531E0">
        <w:rPr>
          <w:color w:val="000000"/>
          <w:spacing w:val="-2"/>
        </w:rPr>
        <w:t>onitor and exhibit the required lighting on the structure and for failing to notify the Federal Aviation Administration</w:t>
      </w:r>
      <w:r w:rsidR="00026D0F">
        <w:rPr>
          <w:color w:val="000000"/>
          <w:spacing w:val="-2"/>
        </w:rPr>
        <w:t xml:space="preserve"> </w:t>
      </w:r>
      <w:r w:rsidR="007531E0">
        <w:rPr>
          <w:color w:val="000000"/>
          <w:spacing w:val="-2"/>
        </w:rPr>
        <w:t>(FAA) of the light outage</w:t>
      </w:r>
      <w:r>
        <w:rPr>
          <w:color w:val="000000"/>
          <w:spacing w:val="-2"/>
        </w:rPr>
        <w:t xml:space="preserve">. </w:t>
      </w:r>
      <w:r w:rsidR="00F900FA">
        <w:rPr>
          <w:color w:val="000000"/>
          <w:spacing w:val="-2"/>
        </w:rPr>
        <w:t xml:space="preserve"> </w:t>
      </w:r>
      <w:r w:rsidR="007531E0">
        <w:rPr>
          <w:color w:val="000000"/>
          <w:spacing w:val="-2"/>
        </w:rPr>
        <w:t>GCI</w:t>
      </w:r>
      <w:r>
        <w:rPr>
          <w:color w:val="000000"/>
          <w:spacing w:val="-2"/>
        </w:rPr>
        <w:t xml:space="preserve"> does not deny </w:t>
      </w:r>
      <w:r w:rsidR="005C71EC">
        <w:rPr>
          <w:color w:val="000000"/>
          <w:spacing w:val="-2"/>
        </w:rPr>
        <w:t>the violations</w:t>
      </w:r>
      <w:r>
        <w:rPr>
          <w:color w:val="000000"/>
          <w:spacing w:val="-2"/>
        </w:rPr>
        <w:t>, but</w:t>
      </w:r>
      <w:r w:rsidR="00DC2EFE">
        <w:rPr>
          <w:color w:val="000000"/>
          <w:spacing w:val="-2"/>
        </w:rPr>
        <w:t xml:space="preserve"> </w:t>
      </w:r>
      <w:r w:rsidRPr="00972009">
        <w:rPr>
          <w:color w:val="000000"/>
          <w:spacing w:val="-2"/>
        </w:rPr>
        <w:t xml:space="preserve">requests </w:t>
      </w:r>
      <w:r>
        <w:rPr>
          <w:color w:val="000000"/>
          <w:spacing w:val="-2"/>
        </w:rPr>
        <w:t xml:space="preserve">that </w:t>
      </w:r>
      <w:r w:rsidR="008115F3">
        <w:rPr>
          <w:color w:val="000000"/>
          <w:spacing w:val="-2"/>
        </w:rPr>
        <w:t xml:space="preserve">we reduce </w:t>
      </w:r>
      <w:r w:rsidR="00DC2EFE">
        <w:rPr>
          <w:color w:val="000000"/>
          <w:spacing w:val="-2"/>
        </w:rPr>
        <w:t xml:space="preserve">the proposed </w:t>
      </w:r>
      <w:r w:rsidRPr="00972009">
        <w:rPr>
          <w:color w:val="000000"/>
          <w:spacing w:val="-2"/>
        </w:rPr>
        <w:t xml:space="preserve">forfeiture </w:t>
      </w:r>
      <w:r w:rsidR="00403CCA">
        <w:rPr>
          <w:color w:val="000000"/>
          <w:spacing w:val="-2"/>
        </w:rPr>
        <w:t xml:space="preserve">because </w:t>
      </w:r>
      <w:r w:rsidR="007531E0">
        <w:rPr>
          <w:color w:val="000000"/>
          <w:spacing w:val="-2"/>
        </w:rPr>
        <w:t xml:space="preserve">of its </w:t>
      </w:r>
      <w:r w:rsidR="00430434">
        <w:rPr>
          <w:color w:val="000000"/>
          <w:spacing w:val="-2"/>
        </w:rPr>
        <w:t xml:space="preserve">good faith </w:t>
      </w:r>
      <w:r w:rsidR="007531E0">
        <w:rPr>
          <w:color w:val="000000"/>
          <w:spacing w:val="-2"/>
        </w:rPr>
        <w:t>efforts to correct the lighting issues</w:t>
      </w:r>
      <w:r w:rsidR="00BA24C0">
        <w:rPr>
          <w:color w:val="000000"/>
          <w:spacing w:val="-2"/>
        </w:rPr>
        <w:t>, which we deny given</w:t>
      </w:r>
      <w:r w:rsidR="00BA24C0" w:rsidRPr="00BA24C0">
        <w:rPr>
          <w:color w:val="000000"/>
          <w:spacing w:val="-2"/>
        </w:rPr>
        <w:t xml:space="preserve"> that GCI’s corrective actions were taken after being notified of the light outage by FCC agents. </w:t>
      </w:r>
      <w:r w:rsidR="007531E0">
        <w:rPr>
          <w:color w:val="000000"/>
          <w:spacing w:val="-2"/>
        </w:rPr>
        <w:t xml:space="preserve"> </w:t>
      </w:r>
      <w:r w:rsidR="00BA24C0">
        <w:rPr>
          <w:color w:val="000000"/>
          <w:spacing w:val="-2"/>
        </w:rPr>
        <w:t xml:space="preserve">After reviewing GCI’s response to the </w:t>
      </w:r>
      <w:r w:rsidR="00BA24C0">
        <w:rPr>
          <w:i/>
          <w:color w:val="000000"/>
          <w:spacing w:val="-2"/>
        </w:rPr>
        <w:t>NAL</w:t>
      </w:r>
      <w:r w:rsidR="007B67CE" w:rsidRPr="00305FED">
        <w:rPr>
          <w:color w:val="000000"/>
          <w:spacing w:val="-2"/>
        </w:rPr>
        <w:t>,</w:t>
      </w:r>
      <w:r w:rsidR="00BA24C0">
        <w:rPr>
          <w:i/>
          <w:color w:val="000000"/>
          <w:spacing w:val="-2"/>
        </w:rPr>
        <w:t xml:space="preserve"> </w:t>
      </w:r>
      <w:r w:rsidR="00BA24C0">
        <w:rPr>
          <w:color w:val="000000"/>
          <w:spacing w:val="-2"/>
        </w:rPr>
        <w:t>we find no reason to cancel, withdraw, or reduce the proposed penalty, and therefore we assess the $20,000 forfeiture the Bureau previously proposed.</w:t>
      </w:r>
    </w:p>
    <w:p w14:paraId="69856C47" w14:textId="22516F22" w:rsidR="00D21D26" w:rsidRPr="00D21D26" w:rsidRDefault="00D21D26" w:rsidP="00305FED">
      <w:pPr>
        <w:pStyle w:val="Heading1"/>
        <w:spacing w:before="0" w:after="120"/>
        <w:rPr>
          <w:rFonts w:ascii="Times New Roman" w:hAnsi="Times New Roman" w:cs="Times New Roman"/>
          <w:sz w:val="22"/>
          <w:szCs w:val="22"/>
        </w:rPr>
      </w:pPr>
      <w:r w:rsidRPr="00D21D26">
        <w:rPr>
          <w:rFonts w:ascii="Times New Roman" w:hAnsi="Times New Roman" w:cs="Times New Roman"/>
          <w:sz w:val="22"/>
          <w:szCs w:val="22"/>
        </w:rPr>
        <w:t>II.</w:t>
      </w:r>
      <w:r w:rsidRPr="00D21D26">
        <w:rPr>
          <w:rFonts w:ascii="Times New Roman" w:hAnsi="Times New Roman" w:cs="Times New Roman"/>
          <w:sz w:val="22"/>
          <w:szCs w:val="22"/>
        </w:rPr>
        <w:tab/>
        <w:t>BACKGROUND</w:t>
      </w:r>
    </w:p>
    <w:p w14:paraId="7139F189" w14:textId="0409BF0E" w:rsidR="00D21D26" w:rsidRDefault="00804712" w:rsidP="00305FED">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D21D26">
        <w:rPr>
          <w:color w:val="000000"/>
        </w:rPr>
        <w:t>During inspection</w:t>
      </w:r>
      <w:r w:rsidR="007B67CE">
        <w:rPr>
          <w:color w:val="000000"/>
        </w:rPr>
        <w:t>s</w:t>
      </w:r>
      <w:r w:rsidRPr="00D21D26">
        <w:rPr>
          <w:color w:val="000000"/>
        </w:rPr>
        <w:t xml:space="preserve"> on September 12 and September 13, 2012, an agent from the Enforcement Bureau’s Anchorage Office (Anchorage Office) observed that antenna structure number 1265246 (the Antenna Structure),</w:t>
      </w:r>
      <w:r w:rsidRPr="00804712">
        <w:rPr>
          <w:vertAlign w:val="superscript"/>
        </w:rPr>
        <w:footnoteReference w:id="2"/>
      </w:r>
      <w:r w:rsidRPr="00D21D26">
        <w:rPr>
          <w:color w:val="000000"/>
        </w:rPr>
        <w:t xml:space="preserve"> located near Fairbanks, Alaska, </w:t>
      </w:r>
      <w:r w:rsidR="00AF64D2">
        <w:rPr>
          <w:color w:val="000000"/>
        </w:rPr>
        <w:t xml:space="preserve">which is required for aircraft safety purposes to display </w:t>
      </w:r>
      <w:r w:rsidR="00AF64D2" w:rsidRPr="005F515C">
        <w:rPr>
          <w:color w:val="000000"/>
        </w:rPr>
        <w:t>medium intensity flashing white lights during the daytime and at twilight</w:t>
      </w:r>
      <w:r w:rsidR="00AF64D2">
        <w:rPr>
          <w:color w:val="000000"/>
        </w:rPr>
        <w:t xml:space="preserve"> and </w:t>
      </w:r>
      <w:r w:rsidR="00AF64D2" w:rsidRPr="005F515C">
        <w:rPr>
          <w:color w:val="000000"/>
        </w:rPr>
        <w:t>red lights at nighttime</w:t>
      </w:r>
      <w:r w:rsidR="00AF64D2">
        <w:rPr>
          <w:color w:val="000000"/>
        </w:rPr>
        <w:t xml:space="preserve">, </w:t>
      </w:r>
      <w:r w:rsidRPr="00D21D26">
        <w:rPr>
          <w:color w:val="000000"/>
        </w:rPr>
        <w:t>was unlit during daytime hours.</w:t>
      </w:r>
      <w:r w:rsidR="00DE5386" w:rsidRPr="00950E7E">
        <w:rPr>
          <w:color w:val="000000"/>
          <w:vertAlign w:val="superscript"/>
        </w:rPr>
        <w:footnoteReference w:id="3"/>
      </w:r>
      <w:r w:rsidR="00DE5386" w:rsidRPr="00950E7E">
        <w:rPr>
          <w:color w:val="000000"/>
        </w:rPr>
        <w:t xml:space="preserve"> </w:t>
      </w:r>
      <w:r w:rsidRPr="00D21D26">
        <w:rPr>
          <w:color w:val="000000"/>
        </w:rPr>
        <w:t xml:space="preserve"> The agent contacted the FAA and</w:t>
      </w:r>
      <w:r w:rsidR="008A6611" w:rsidRPr="00D21D26">
        <w:rPr>
          <w:color w:val="000000"/>
        </w:rPr>
        <w:t>, after learning that a</w:t>
      </w:r>
      <w:r w:rsidRPr="00D21D26">
        <w:rPr>
          <w:color w:val="000000"/>
        </w:rPr>
        <w:t xml:space="preserve"> Notice to Airmen (NOTAM) had </w:t>
      </w:r>
      <w:r w:rsidR="008A6611" w:rsidRPr="00D21D26">
        <w:rPr>
          <w:color w:val="000000"/>
        </w:rPr>
        <w:t xml:space="preserve">not </w:t>
      </w:r>
      <w:r w:rsidRPr="00D21D26">
        <w:rPr>
          <w:color w:val="000000"/>
        </w:rPr>
        <w:t xml:space="preserve">been issued </w:t>
      </w:r>
      <w:r w:rsidR="00FD05FA">
        <w:rPr>
          <w:color w:val="000000"/>
        </w:rPr>
        <w:t xml:space="preserve">by GCI </w:t>
      </w:r>
      <w:r w:rsidRPr="00D21D26">
        <w:rPr>
          <w:color w:val="000000"/>
        </w:rPr>
        <w:t xml:space="preserve">for the </w:t>
      </w:r>
      <w:r w:rsidR="00AF64D2">
        <w:rPr>
          <w:color w:val="000000"/>
        </w:rPr>
        <w:t xml:space="preserve">unlit </w:t>
      </w:r>
      <w:r w:rsidRPr="00D21D26">
        <w:rPr>
          <w:color w:val="000000"/>
        </w:rPr>
        <w:t>Antenna Structure</w:t>
      </w:r>
      <w:r w:rsidR="008A6611" w:rsidRPr="00D21D26">
        <w:rPr>
          <w:color w:val="000000"/>
        </w:rPr>
        <w:t xml:space="preserve">, asked the </w:t>
      </w:r>
      <w:r w:rsidR="008A6611" w:rsidRPr="00D21D26">
        <w:rPr>
          <w:color w:val="000000"/>
        </w:rPr>
        <w:lastRenderedPageBreak/>
        <w:t>FAA to issue one</w:t>
      </w:r>
      <w:r w:rsidRPr="00D21D26">
        <w:rPr>
          <w:color w:val="000000"/>
        </w:rPr>
        <w:t>.</w:t>
      </w:r>
      <w:r w:rsidRPr="005F515C">
        <w:rPr>
          <w:rStyle w:val="FootnoteReference"/>
          <w:color w:val="000000"/>
          <w:spacing w:val="-2"/>
        </w:rPr>
        <w:footnoteReference w:id="4"/>
      </w:r>
      <w:r w:rsidRPr="00D21D26">
        <w:rPr>
          <w:color w:val="000000"/>
        </w:rPr>
        <w:t xml:space="preserve"> </w:t>
      </w:r>
      <w:r w:rsidR="008A6611" w:rsidRPr="00D21D26">
        <w:rPr>
          <w:color w:val="000000"/>
        </w:rPr>
        <w:t xml:space="preserve"> The agent then </w:t>
      </w:r>
      <w:r w:rsidRPr="00D21D26">
        <w:rPr>
          <w:color w:val="000000"/>
        </w:rPr>
        <w:t>contacted GCI personnel and advised them of the light outage and the issuance of the NOTAM.</w:t>
      </w:r>
      <w:r w:rsidRPr="005F515C">
        <w:rPr>
          <w:rStyle w:val="FootnoteReference"/>
          <w:color w:val="000000"/>
        </w:rPr>
        <w:footnoteReference w:id="5"/>
      </w:r>
      <w:r w:rsidR="008A6611" w:rsidRPr="00D21D26">
        <w:rPr>
          <w:color w:val="000000"/>
        </w:rPr>
        <w:t xml:space="preserve">  </w:t>
      </w:r>
    </w:p>
    <w:p w14:paraId="4B567D00" w14:textId="7F77845D" w:rsidR="008F59DF" w:rsidRDefault="00DE5386" w:rsidP="00305FED">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D21D26">
        <w:rPr>
          <w:color w:val="000000"/>
          <w:spacing w:val="-2"/>
        </w:rPr>
        <w:t xml:space="preserve">On </w:t>
      </w:r>
      <w:r w:rsidR="00934211" w:rsidRPr="00D21D26">
        <w:rPr>
          <w:color w:val="000000"/>
          <w:spacing w:val="-2"/>
        </w:rPr>
        <w:t>July 10, 2013</w:t>
      </w:r>
      <w:r w:rsidRPr="00D21D26">
        <w:rPr>
          <w:color w:val="000000"/>
          <w:spacing w:val="-2"/>
        </w:rPr>
        <w:t xml:space="preserve">, the </w:t>
      </w:r>
      <w:r w:rsidR="00D21D26">
        <w:rPr>
          <w:color w:val="000000"/>
          <w:spacing w:val="-2"/>
        </w:rPr>
        <w:t>Bureau</w:t>
      </w:r>
      <w:r w:rsidR="00835FE8" w:rsidRPr="00D21D26">
        <w:rPr>
          <w:color w:val="000000"/>
          <w:spacing w:val="-2"/>
        </w:rPr>
        <w:t xml:space="preserve"> </w:t>
      </w:r>
      <w:r w:rsidRPr="00D21D26">
        <w:rPr>
          <w:color w:val="000000"/>
          <w:spacing w:val="-2"/>
        </w:rPr>
        <w:t xml:space="preserve">issued </w:t>
      </w:r>
      <w:r w:rsidR="0004261E">
        <w:rPr>
          <w:color w:val="000000"/>
          <w:spacing w:val="-2"/>
        </w:rPr>
        <w:t>the</w:t>
      </w:r>
      <w:r w:rsidRPr="00305FED">
        <w:rPr>
          <w:color w:val="000000"/>
          <w:spacing w:val="-2"/>
        </w:rPr>
        <w:t xml:space="preserve"> </w:t>
      </w:r>
      <w:r w:rsidRPr="00D21D26">
        <w:rPr>
          <w:i/>
          <w:color w:val="000000"/>
          <w:spacing w:val="-2"/>
        </w:rPr>
        <w:t>NAL</w:t>
      </w:r>
      <w:r w:rsidRPr="00D21D26">
        <w:rPr>
          <w:rStyle w:val="FootnoteReference"/>
          <w:color w:val="000000"/>
          <w:spacing w:val="-2"/>
          <w:sz w:val="22"/>
        </w:rPr>
        <w:t xml:space="preserve"> </w:t>
      </w:r>
      <w:r w:rsidR="005511AE" w:rsidRPr="00D21D26">
        <w:rPr>
          <w:color w:val="000000"/>
          <w:spacing w:val="-2"/>
        </w:rPr>
        <w:t xml:space="preserve">proposing a </w:t>
      </w:r>
      <w:r w:rsidRPr="00D21D26">
        <w:rPr>
          <w:color w:val="000000"/>
          <w:spacing w:val="-2"/>
        </w:rPr>
        <w:t>$</w:t>
      </w:r>
      <w:r w:rsidR="00226B3D" w:rsidRPr="00D21D26">
        <w:rPr>
          <w:color w:val="000000"/>
          <w:spacing w:val="-2"/>
        </w:rPr>
        <w:t>2</w:t>
      </w:r>
      <w:r w:rsidR="009A3B4C" w:rsidRPr="00D21D26">
        <w:rPr>
          <w:color w:val="000000"/>
          <w:spacing w:val="-2"/>
        </w:rPr>
        <w:t>0</w:t>
      </w:r>
      <w:r w:rsidR="00226B3D" w:rsidRPr="00D21D26">
        <w:rPr>
          <w:color w:val="000000"/>
          <w:spacing w:val="-2"/>
        </w:rPr>
        <w:t>,</w:t>
      </w:r>
      <w:r w:rsidRPr="00D21D26">
        <w:rPr>
          <w:color w:val="000000"/>
          <w:spacing w:val="-2"/>
        </w:rPr>
        <w:t xml:space="preserve">000 </w:t>
      </w:r>
      <w:r w:rsidR="005511AE" w:rsidRPr="00D21D26">
        <w:rPr>
          <w:color w:val="000000"/>
          <w:spacing w:val="-2"/>
        </w:rPr>
        <w:t>forfeiture against</w:t>
      </w:r>
      <w:r w:rsidRPr="00D21D26">
        <w:rPr>
          <w:color w:val="000000"/>
          <w:spacing w:val="-2"/>
        </w:rPr>
        <w:t xml:space="preserve"> </w:t>
      </w:r>
      <w:r w:rsidR="009A3B4C" w:rsidRPr="00D21D26">
        <w:rPr>
          <w:color w:val="000000"/>
          <w:spacing w:val="-2"/>
        </w:rPr>
        <w:t xml:space="preserve">GCI </w:t>
      </w:r>
      <w:r w:rsidR="00FB29D6" w:rsidRPr="00D21D26">
        <w:rPr>
          <w:color w:val="000000"/>
          <w:spacing w:val="-2"/>
        </w:rPr>
        <w:t xml:space="preserve">for </w:t>
      </w:r>
      <w:r w:rsidR="00950E7E">
        <w:rPr>
          <w:color w:val="000000"/>
          <w:spacing w:val="-2"/>
        </w:rPr>
        <w:t xml:space="preserve">its apparent willful and repeated violation of </w:t>
      </w:r>
      <w:r w:rsidR="00950E7E" w:rsidRPr="00950E7E">
        <w:rPr>
          <w:color w:val="000000"/>
          <w:spacing w:val="-2"/>
        </w:rPr>
        <w:t>Section 303(q) of the Communications Act of 1934, as amended (Act),</w:t>
      </w:r>
      <w:r w:rsidR="00950E7E" w:rsidRPr="00950E7E">
        <w:rPr>
          <w:color w:val="000000"/>
          <w:spacing w:val="-2"/>
          <w:vertAlign w:val="superscript"/>
        </w:rPr>
        <w:footnoteReference w:id="6"/>
      </w:r>
      <w:r w:rsidR="00950E7E" w:rsidRPr="00950E7E">
        <w:rPr>
          <w:color w:val="000000"/>
          <w:spacing w:val="-2"/>
        </w:rPr>
        <w:t xml:space="preserve"> and Sections 17.47, 17.48, and 17.51(b)</w:t>
      </w:r>
      <w:r w:rsidR="00950E7E" w:rsidRPr="00950E7E">
        <w:rPr>
          <w:b/>
          <w:color w:val="000000"/>
          <w:spacing w:val="-2"/>
        </w:rPr>
        <w:t xml:space="preserve"> </w:t>
      </w:r>
      <w:r w:rsidR="00950E7E" w:rsidRPr="00950E7E">
        <w:rPr>
          <w:color w:val="000000"/>
          <w:spacing w:val="-2"/>
        </w:rPr>
        <w:t>of the Commission’s rules (Rules),</w:t>
      </w:r>
      <w:r w:rsidR="00950E7E" w:rsidRPr="00950E7E">
        <w:rPr>
          <w:color w:val="000000"/>
          <w:spacing w:val="-2"/>
          <w:vertAlign w:val="superscript"/>
        </w:rPr>
        <w:footnoteReference w:id="7"/>
      </w:r>
      <w:r w:rsidR="00950E7E" w:rsidRPr="00950E7E">
        <w:rPr>
          <w:color w:val="000000"/>
          <w:spacing w:val="-2"/>
        </w:rPr>
        <w:t xml:space="preserve"> by </w:t>
      </w:r>
      <w:r w:rsidR="00FB29D6" w:rsidRPr="00D21D26">
        <w:rPr>
          <w:color w:val="000000"/>
          <w:spacing w:val="-2"/>
        </w:rPr>
        <w:t xml:space="preserve">failing to </w:t>
      </w:r>
      <w:r w:rsidR="009A3B4C" w:rsidRPr="00D21D26">
        <w:rPr>
          <w:color w:val="000000"/>
          <w:spacing w:val="-2"/>
        </w:rPr>
        <w:t>monitor the Antenna Structure’s obstruction lighting on a daily basis or maintain a functioning alarm system; exhibit the Antenna Structure’s required daytime medium intensity obstruction lighting; and notify the FAA of a known lighting outage on the Antenna Structure</w:t>
      </w:r>
      <w:r w:rsidR="00226B3D" w:rsidRPr="00D21D26">
        <w:rPr>
          <w:color w:val="000000"/>
          <w:spacing w:val="-2"/>
        </w:rPr>
        <w:t>.</w:t>
      </w:r>
    </w:p>
    <w:p w14:paraId="68DF6EDD" w14:textId="786C2770" w:rsidR="00302DB8" w:rsidRDefault="00950E7E" w:rsidP="00305FED">
      <w:pPr>
        <w:numPr>
          <w:ilvl w:val="0"/>
          <w:numId w:val="1"/>
        </w:numPr>
        <w:tabs>
          <w:tab w:val="clear" w:pos="1080"/>
          <w:tab w:val="left" w:pos="0"/>
          <w:tab w:val="num" w:pos="1440"/>
        </w:tabs>
        <w:suppressAutoHyphens/>
        <w:autoSpaceDE w:val="0"/>
        <w:autoSpaceDN w:val="0"/>
        <w:adjustRightInd w:val="0"/>
        <w:spacing w:after="120"/>
        <w:rPr>
          <w:color w:val="000000"/>
          <w:spacing w:val="-2"/>
        </w:rPr>
      </w:pPr>
      <w:r>
        <w:rPr>
          <w:color w:val="000000"/>
          <w:spacing w:val="-2"/>
        </w:rPr>
        <w:t xml:space="preserve">On October 28, 2013, </w:t>
      </w:r>
      <w:r w:rsidR="009A3B4C" w:rsidRPr="00D21D26">
        <w:rPr>
          <w:color w:val="000000"/>
          <w:spacing w:val="-2"/>
        </w:rPr>
        <w:t>GCI</w:t>
      </w:r>
      <w:r w:rsidR="00DE5386" w:rsidRPr="00D21D26">
        <w:rPr>
          <w:color w:val="000000"/>
          <w:spacing w:val="-2"/>
        </w:rPr>
        <w:t xml:space="preserve"> </w:t>
      </w:r>
      <w:r>
        <w:rPr>
          <w:color w:val="000000"/>
          <w:spacing w:val="-2"/>
        </w:rPr>
        <w:t xml:space="preserve">filed a response to the </w:t>
      </w:r>
      <w:r>
        <w:rPr>
          <w:i/>
          <w:color w:val="000000"/>
          <w:spacing w:val="-2"/>
        </w:rPr>
        <w:t>NAL.</w:t>
      </w:r>
      <w:r w:rsidRPr="00B8444B">
        <w:rPr>
          <w:vertAlign w:val="superscript"/>
        </w:rPr>
        <w:footnoteReference w:id="8"/>
      </w:r>
      <w:r>
        <w:rPr>
          <w:i/>
          <w:color w:val="000000"/>
          <w:spacing w:val="-2"/>
        </w:rPr>
        <w:t xml:space="preserve">  </w:t>
      </w:r>
      <w:r w:rsidRPr="00950E7E">
        <w:rPr>
          <w:color w:val="000000"/>
          <w:spacing w:val="-2"/>
        </w:rPr>
        <w:t xml:space="preserve">GCI makes a number of arguments as to why the </w:t>
      </w:r>
      <w:r w:rsidRPr="00950E7E">
        <w:rPr>
          <w:i/>
          <w:color w:val="000000"/>
          <w:spacing w:val="-2"/>
        </w:rPr>
        <w:t>NAL</w:t>
      </w:r>
      <w:r>
        <w:rPr>
          <w:color w:val="000000"/>
          <w:spacing w:val="-2"/>
        </w:rPr>
        <w:t xml:space="preserve"> should be reduced, specifically stating that </w:t>
      </w:r>
      <w:r w:rsidR="0004261E">
        <w:rPr>
          <w:color w:val="000000"/>
          <w:spacing w:val="-2"/>
        </w:rPr>
        <w:t xml:space="preserve">it had </w:t>
      </w:r>
      <w:r>
        <w:rPr>
          <w:color w:val="000000"/>
          <w:spacing w:val="-2"/>
        </w:rPr>
        <w:t>made efforts to</w:t>
      </w:r>
      <w:r w:rsidR="006F6ACD" w:rsidRPr="00D21D26">
        <w:rPr>
          <w:color w:val="000000"/>
          <w:spacing w:val="-2"/>
        </w:rPr>
        <w:t xml:space="preserve"> resolve</w:t>
      </w:r>
      <w:r w:rsidR="007274B2" w:rsidRPr="00D21D26">
        <w:rPr>
          <w:color w:val="000000"/>
          <w:spacing w:val="-2"/>
        </w:rPr>
        <w:t xml:space="preserve"> </w:t>
      </w:r>
      <w:r w:rsidR="009A3B4C" w:rsidRPr="00D21D26">
        <w:rPr>
          <w:color w:val="000000"/>
          <w:spacing w:val="-2"/>
        </w:rPr>
        <w:t xml:space="preserve">the </w:t>
      </w:r>
      <w:r w:rsidR="0004261E">
        <w:rPr>
          <w:color w:val="000000"/>
          <w:spacing w:val="-2"/>
        </w:rPr>
        <w:t xml:space="preserve">light </w:t>
      </w:r>
      <w:r w:rsidR="009A3B4C" w:rsidRPr="00D21D26">
        <w:rPr>
          <w:color w:val="000000"/>
          <w:spacing w:val="-2"/>
        </w:rPr>
        <w:t>outage after</w:t>
      </w:r>
      <w:r w:rsidR="00B8444B" w:rsidRPr="00D21D26">
        <w:rPr>
          <w:color w:val="000000"/>
          <w:spacing w:val="-2"/>
        </w:rPr>
        <w:t xml:space="preserve"> notifi</w:t>
      </w:r>
      <w:r w:rsidR="0004261E">
        <w:rPr>
          <w:color w:val="000000"/>
          <w:spacing w:val="-2"/>
        </w:rPr>
        <w:t>cation</w:t>
      </w:r>
      <w:r w:rsidR="00B8444B" w:rsidRPr="00D21D26">
        <w:rPr>
          <w:color w:val="000000"/>
          <w:spacing w:val="-2"/>
        </w:rPr>
        <w:t xml:space="preserve"> by </w:t>
      </w:r>
      <w:r w:rsidR="008C1A0C" w:rsidRPr="00D21D26">
        <w:rPr>
          <w:color w:val="000000"/>
          <w:spacing w:val="-2"/>
        </w:rPr>
        <w:t>the</w:t>
      </w:r>
      <w:r w:rsidR="00B8444B" w:rsidRPr="00D21D26">
        <w:rPr>
          <w:color w:val="000000"/>
          <w:spacing w:val="-2"/>
        </w:rPr>
        <w:t xml:space="preserve"> An</w:t>
      </w:r>
      <w:r w:rsidR="009A3B4C" w:rsidRPr="00D21D26">
        <w:rPr>
          <w:color w:val="000000"/>
          <w:spacing w:val="-2"/>
        </w:rPr>
        <w:t>cho</w:t>
      </w:r>
      <w:r w:rsidR="00B8444B" w:rsidRPr="00D21D26">
        <w:rPr>
          <w:color w:val="000000"/>
          <w:spacing w:val="-2"/>
        </w:rPr>
        <w:t>r</w:t>
      </w:r>
      <w:r w:rsidR="009A3B4C" w:rsidRPr="00D21D26">
        <w:rPr>
          <w:color w:val="000000"/>
          <w:spacing w:val="-2"/>
        </w:rPr>
        <w:t>age Office</w:t>
      </w:r>
      <w:r w:rsidR="006F6ACD" w:rsidRPr="00D21D26">
        <w:rPr>
          <w:color w:val="000000"/>
          <w:spacing w:val="-2"/>
        </w:rPr>
        <w:t xml:space="preserve"> </w:t>
      </w:r>
      <w:r w:rsidR="007B67CE">
        <w:rPr>
          <w:color w:val="000000"/>
          <w:spacing w:val="-2"/>
        </w:rPr>
        <w:t xml:space="preserve">of the violations </w:t>
      </w:r>
      <w:r>
        <w:rPr>
          <w:color w:val="000000"/>
          <w:spacing w:val="-2"/>
        </w:rPr>
        <w:t>as well as</w:t>
      </w:r>
      <w:r w:rsidR="006F6ACD" w:rsidRPr="00D21D26">
        <w:rPr>
          <w:color w:val="000000"/>
          <w:spacing w:val="-2"/>
        </w:rPr>
        <w:t xml:space="preserve"> its </w:t>
      </w:r>
      <w:r w:rsidR="0080340B" w:rsidRPr="00D21D26">
        <w:rPr>
          <w:color w:val="000000"/>
          <w:spacing w:val="-2"/>
        </w:rPr>
        <w:t xml:space="preserve">subsequent </w:t>
      </w:r>
      <w:r w:rsidR="006F6ACD" w:rsidRPr="00D21D26">
        <w:rPr>
          <w:color w:val="000000"/>
          <w:spacing w:val="-2"/>
        </w:rPr>
        <w:t xml:space="preserve">installation of a monitoring system prior to the issuance of the </w:t>
      </w:r>
      <w:r w:rsidR="006F6ACD" w:rsidRPr="00950E7E">
        <w:rPr>
          <w:i/>
          <w:color w:val="000000"/>
          <w:spacing w:val="-2"/>
        </w:rPr>
        <w:t>NAL</w:t>
      </w:r>
      <w:r w:rsidR="009A3B4C" w:rsidRPr="00D21D26">
        <w:rPr>
          <w:color w:val="000000"/>
          <w:spacing w:val="-2"/>
        </w:rPr>
        <w:t>.</w:t>
      </w:r>
      <w:r w:rsidR="00B8444B" w:rsidRPr="00B8444B">
        <w:rPr>
          <w:vertAlign w:val="superscript"/>
        </w:rPr>
        <w:footnoteReference w:id="9"/>
      </w:r>
      <w:r w:rsidR="009A3B4C" w:rsidRPr="00D21D26">
        <w:rPr>
          <w:color w:val="000000"/>
          <w:spacing w:val="-2"/>
        </w:rPr>
        <w:t xml:space="preserve">  </w:t>
      </w:r>
      <w:r w:rsidR="008E6B70" w:rsidRPr="00D21D26">
        <w:rPr>
          <w:color w:val="000000"/>
          <w:spacing w:val="-2"/>
        </w:rPr>
        <w:t>GCI states that after replacing the light, i</w:t>
      </w:r>
      <w:r w:rsidR="009A3B4C" w:rsidRPr="00D21D26">
        <w:rPr>
          <w:color w:val="000000"/>
          <w:spacing w:val="-2"/>
        </w:rPr>
        <w:t xml:space="preserve">t later determined further problems with its </w:t>
      </w:r>
      <w:r w:rsidR="00B8444B" w:rsidRPr="00D21D26">
        <w:rPr>
          <w:color w:val="000000"/>
          <w:spacing w:val="-2"/>
        </w:rPr>
        <w:t xml:space="preserve">lighting system </w:t>
      </w:r>
      <w:r w:rsidR="008E6B70" w:rsidRPr="00D21D26">
        <w:rPr>
          <w:color w:val="000000"/>
          <w:spacing w:val="-2"/>
        </w:rPr>
        <w:t xml:space="preserve">existed </w:t>
      </w:r>
      <w:r w:rsidR="00B8444B" w:rsidRPr="00D21D26">
        <w:rPr>
          <w:color w:val="000000"/>
          <w:spacing w:val="-2"/>
        </w:rPr>
        <w:t>an</w:t>
      </w:r>
      <w:r w:rsidR="009A3B4C" w:rsidRPr="00D21D26">
        <w:rPr>
          <w:color w:val="000000"/>
          <w:spacing w:val="-2"/>
        </w:rPr>
        <w:t>d replaced other equipment</w:t>
      </w:r>
      <w:r w:rsidR="00B8444B" w:rsidRPr="00D21D26">
        <w:rPr>
          <w:color w:val="000000"/>
          <w:spacing w:val="-2"/>
        </w:rPr>
        <w:t xml:space="preserve"> and then installed a remote monitoring system to “more efficiently correct any future tower light outages.”</w:t>
      </w:r>
      <w:r w:rsidR="00B8444B">
        <w:rPr>
          <w:rStyle w:val="FootnoteReference"/>
          <w:color w:val="000000"/>
          <w:spacing w:val="-2"/>
        </w:rPr>
        <w:footnoteReference w:id="10"/>
      </w:r>
      <w:r w:rsidR="00B8444B" w:rsidRPr="00D21D26">
        <w:rPr>
          <w:color w:val="000000"/>
          <w:spacing w:val="-2"/>
        </w:rPr>
        <w:t xml:space="preserve"> </w:t>
      </w:r>
      <w:r w:rsidR="00226B3D" w:rsidRPr="00D21D26">
        <w:rPr>
          <w:color w:val="000000"/>
          <w:spacing w:val="-2"/>
        </w:rPr>
        <w:t xml:space="preserve"> </w:t>
      </w:r>
      <w:r w:rsidR="00B8444B" w:rsidRPr="00D21D26">
        <w:rPr>
          <w:color w:val="000000"/>
          <w:spacing w:val="-2"/>
        </w:rPr>
        <w:t>GCI also argues that the upward adjustment of $10,000 that was made to the proposed forfeiture because of the size of GCI was unnecessary as GCI “takes its obligations seriously and clearly considers a $10,000 forfeiture to be a deterrent and not merely ‘a cost of doing business.’”</w:t>
      </w:r>
      <w:r w:rsidR="00B8444B">
        <w:rPr>
          <w:rStyle w:val="FootnoteReference"/>
          <w:color w:val="000000"/>
          <w:spacing w:val="-2"/>
        </w:rPr>
        <w:footnoteReference w:id="11"/>
      </w:r>
      <w:r w:rsidR="00DE5386" w:rsidRPr="00D21D26">
        <w:rPr>
          <w:color w:val="000000"/>
          <w:spacing w:val="-2"/>
        </w:rPr>
        <w:t xml:space="preserve"> </w:t>
      </w:r>
    </w:p>
    <w:p w14:paraId="2B9F8EA5" w14:textId="09E3B008" w:rsidR="00302DB8" w:rsidRPr="00302DB8" w:rsidRDefault="00302DB8" w:rsidP="00305FED">
      <w:pPr>
        <w:pStyle w:val="Heading1"/>
        <w:tabs>
          <w:tab w:val="left" w:pos="720"/>
        </w:tabs>
        <w:spacing w:before="0" w:after="1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Pr="00302DB8">
        <w:rPr>
          <w:rFonts w:ascii="Times New Roman" w:hAnsi="Times New Roman" w:cs="Times New Roman"/>
          <w:sz w:val="22"/>
          <w:szCs w:val="22"/>
        </w:rPr>
        <w:t>DISCUSSION</w:t>
      </w:r>
    </w:p>
    <w:p w14:paraId="0C0F3190" w14:textId="28FF35BA" w:rsidR="00302DB8" w:rsidRDefault="00302DB8">
      <w:pPr>
        <w:pStyle w:val="ParaNum"/>
        <w:numPr>
          <w:ilvl w:val="0"/>
          <w:numId w:val="1"/>
        </w:numPr>
        <w:tabs>
          <w:tab w:val="clear" w:pos="1080"/>
          <w:tab w:val="num" w:pos="1440"/>
        </w:tabs>
        <w:spacing w:after="120"/>
      </w:pPr>
      <w:r w:rsidRPr="00344C0B">
        <w:t>The Bureau proposed a forfeiture in this case in accordance with Section 503(b) of th</w:t>
      </w:r>
      <w:r>
        <w:t xml:space="preserve">e </w:t>
      </w:r>
      <w:r w:rsidRPr="00344C0B">
        <w:t>Act,</w:t>
      </w:r>
      <w:r w:rsidRPr="0007571D">
        <w:rPr>
          <w:rStyle w:val="FootnoteReference"/>
        </w:rPr>
        <w:footnoteReference w:id="12"/>
      </w:r>
      <w:r w:rsidRPr="0007571D">
        <w:t xml:space="preserve"> Section 1.80 of the</w:t>
      </w:r>
      <w:r>
        <w:t xml:space="preserve"> Rules</w:t>
      </w:r>
      <w:r w:rsidRPr="0007571D">
        <w:t>,</w:t>
      </w:r>
      <w:r w:rsidRPr="0007571D">
        <w:rPr>
          <w:vertAlign w:val="superscript"/>
        </w:rPr>
        <w:footnoteReference w:id="13"/>
      </w:r>
      <w:r w:rsidRPr="0007571D">
        <w:t xml:space="preserve"> and the Commissi</w:t>
      </w:r>
      <w:r w:rsidRPr="00344C0B">
        <w:t xml:space="preserve">on’s </w:t>
      </w:r>
      <w:r w:rsidRPr="00344C0B">
        <w:rPr>
          <w:i/>
        </w:rPr>
        <w:t xml:space="preserve">Forfeiture Policy </w:t>
      </w:r>
      <w:r w:rsidRPr="00344C0B">
        <w:rPr>
          <w:rFonts w:eastAsia="MS Mincho"/>
          <w:i/>
        </w:rPr>
        <w:t>Statement</w:t>
      </w:r>
      <w:r w:rsidRPr="00344C0B">
        <w:t>.</w:t>
      </w:r>
      <w:r w:rsidRPr="0007571D">
        <w:rPr>
          <w:rStyle w:val="FootnoteReference"/>
        </w:rPr>
        <w:footnoteReference w:id="14"/>
      </w:r>
      <w:r w:rsidRPr="0007571D">
        <w:t xml:space="preserve">  </w:t>
      </w:r>
      <w:r w:rsidRPr="00344C0B">
        <w:t>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Pr="0007571D">
        <w:rPr>
          <w:vertAlign w:val="superscript"/>
        </w:rPr>
        <w:footnoteReference w:id="15"/>
      </w:r>
      <w:r w:rsidRPr="0007571D">
        <w:t xml:space="preserve">  </w:t>
      </w:r>
      <w:r w:rsidRPr="00344C0B">
        <w:t xml:space="preserve">As discussed below, we have </w:t>
      </w:r>
      <w:r w:rsidRPr="00344C0B">
        <w:lastRenderedPageBreak/>
        <w:t xml:space="preserve">fully considered </w:t>
      </w:r>
      <w:r>
        <w:t>GCI’s</w:t>
      </w:r>
      <w:r w:rsidRPr="0007571D">
        <w:t xml:space="preserve"> </w:t>
      </w:r>
      <w:r w:rsidRPr="00344C0B">
        <w:t xml:space="preserve">response to the </w:t>
      </w:r>
      <w:r w:rsidRPr="00344C0B">
        <w:rPr>
          <w:i/>
        </w:rPr>
        <w:t>NAL</w:t>
      </w:r>
      <w:r w:rsidRPr="00344C0B">
        <w:t>, but we find none of the</w:t>
      </w:r>
      <w:r w:rsidR="0004261E">
        <w:t xml:space="preserve"> arguments</w:t>
      </w:r>
      <w:r w:rsidRPr="00344C0B">
        <w:t xml:space="preserve"> persuasive.  We therefore affirm the $</w:t>
      </w:r>
      <w:r>
        <w:t>20,000</w:t>
      </w:r>
      <w:r w:rsidRPr="0007571D">
        <w:t xml:space="preserve"> forfeiture proposed in the </w:t>
      </w:r>
      <w:r w:rsidRPr="0007571D">
        <w:rPr>
          <w:i/>
        </w:rPr>
        <w:t>NAL.</w:t>
      </w:r>
    </w:p>
    <w:p w14:paraId="1C7F29DD" w14:textId="5D6722BA" w:rsidR="0004261E" w:rsidRPr="00BC2849" w:rsidRDefault="00BC2849">
      <w:pPr>
        <w:pStyle w:val="ParaNum"/>
        <w:numPr>
          <w:ilvl w:val="0"/>
          <w:numId w:val="27"/>
        </w:numPr>
        <w:spacing w:after="120"/>
        <w:ind w:left="1440" w:right="90" w:hanging="720"/>
        <w:rPr>
          <w:b/>
        </w:rPr>
      </w:pPr>
      <w:r>
        <w:rPr>
          <w:b/>
        </w:rPr>
        <w:t>Good F</w:t>
      </w:r>
      <w:r w:rsidR="0004261E">
        <w:rPr>
          <w:b/>
        </w:rPr>
        <w:t xml:space="preserve">aith </w:t>
      </w:r>
      <w:r>
        <w:rPr>
          <w:b/>
        </w:rPr>
        <w:t>P</w:t>
      </w:r>
      <w:r w:rsidR="0004261E">
        <w:rPr>
          <w:b/>
        </w:rPr>
        <w:t xml:space="preserve">enalty </w:t>
      </w:r>
      <w:r>
        <w:rPr>
          <w:b/>
        </w:rPr>
        <w:t>Reductions A</w:t>
      </w:r>
      <w:r w:rsidR="0004261E">
        <w:rPr>
          <w:b/>
        </w:rPr>
        <w:t xml:space="preserve">pply to </w:t>
      </w:r>
      <w:r>
        <w:rPr>
          <w:b/>
        </w:rPr>
        <w:t>C</w:t>
      </w:r>
      <w:r w:rsidR="0004261E">
        <w:rPr>
          <w:b/>
        </w:rPr>
        <w:t xml:space="preserve">orrective </w:t>
      </w:r>
      <w:r>
        <w:rPr>
          <w:b/>
        </w:rPr>
        <w:t>A</w:t>
      </w:r>
      <w:r w:rsidR="0004261E">
        <w:rPr>
          <w:b/>
        </w:rPr>
        <w:t xml:space="preserve">ctions </w:t>
      </w:r>
      <w:r>
        <w:rPr>
          <w:b/>
        </w:rPr>
        <w:t>Begun</w:t>
      </w:r>
      <w:r w:rsidR="00E30C2F">
        <w:rPr>
          <w:b/>
        </w:rPr>
        <w:t xml:space="preserve"> </w:t>
      </w:r>
      <w:r>
        <w:rPr>
          <w:b/>
        </w:rPr>
        <w:t>Prior to Notification of a V</w:t>
      </w:r>
      <w:r w:rsidR="0004261E">
        <w:rPr>
          <w:b/>
        </w:rPr>
        <w:t>iolation.</w:t>
      </w:r>
    </w:p>
    <w:p w14:paraId="34FA6BF6" w14:textId="77777777" w:rsidR="00302DB8" w:rsidRDefault="00430434">
      <w:pPr>
        <w:pStyle w:val="ParaNum"/>
        <w:numPr>
          <w:ilvl w:val="0"/>
          <w:numId w:val="1"/>
        </w:numPr>
        <w:tabs>
          <w:tab w:val="clear" w:pos="1080"/>
          <w:tab w:val="num" w:pos="1440"/>
        </w:tabs>
        <w:spacing w:after="120"/>
      </w:pPr>
      <w:r w:rsidRPr="00302DB8">
        <w:rPr>
          <w:color w:val="000000"/>
        </w:rPr>
        <w:t xml:space="preserve">GCI </w:t>
      </w:r>
      <w:r w:rsidR="00DE5386" w:rsidRPr="00302DB8">
        <w:rPr>
          <w:color w:val="000000"/>
        </w:rPr>
        <w:t xml:space="preserve">requests </w:t>
      </w:r>
      <w:r w:rsidRPr="00302DB8">
        <w:rPr>
          <w:color w:val="000000"/>
        </w:rPr>
        <w:t>re</w:t>
      </w:r>
      <w:r w:rsidR="000E468A" w:rsidRPr="00302DB8">
        <w:rPr>
          <w:color w:val="000000"/>
        </w:rPr>
        <w:t xml:space="preserve">duction of the </w:t>
      </w:r>
      <w:r w:rsidR="00855EC9" w:rsidRPr="00302DB8">
        <w:rPr>
          <w:color w:val="000000"/>
        </w:rPr>
        <w:t xml:space="preserve">proposed </w:t>
      </w:r>
      <w:r w:rsidR="00DE5386" w:rsidRPr="00302DB8">
        <w:rPr>
          <w:color w:val="000000"/>
        </w:rPr>
        <w:t>forfeiture</w:t>
      </w:r>
      <w:r w:rsidRPr="00302DB8">
        <w:rPr>
          <w:color w:val="000000"/>
        </w:rPr>
        <w:t xml:space="preserve">, arguing that it made good faith efforts to repair the lights on the </w:t>
      </w:r>
      <w:r w:rsidR="001E38F2" w:rsidRPr="00302DB8">
        <w:rPr>
          <w:color w:val="000000"/>
        </w:rPr>
        <w:t>A</w:t>
      </w:r>
      <w:r w:rsidRPr="00302DB8">
        <w:rPr>
          <w:color w:val="000000"/>
        </w:rPr>
        <w:t>ntenn</w:t>
      </w:r>
      <w:r w:rsidR="001E38F2" w:rsidRPr="00302DB8">
        <w:rPr>
          <w:color w:val="000000"/>
        </w:rPr>
        <w:t>a</w:t>
      </w:r>
      <w:r w:rsidRPr="00302DB8">
        <w:rPr>
          <w:color w:val="000000"/>
        </w:rPr>
        <w:t xml:space="preserve"> Structure after being notif</w:t>
      </w:r>
      <w:r w:rsidR="001E38F2" w:rsidRPr="00302DB8">
        <w:rPr>
          <w:color w:val="000000"/>
        </w:rPr>
        <w:t>i</w:t>
      </w:r>
      <w:r w:rsidRPr="00302DB8">
        <w:rPr>
          <w:color w:val="000000"/>
        </w:rPr>
        <w:t>ed of</w:t>
      </w:r>
      <w:r w:rsidR="001E38F2" w:rsidRPr="00302DB8">
        <w:rPr>
          <w:color w:val="000000"/>
        </w:rPr>
        <w:t xml:space="preserve"> </w:t>
      </w:r>
      <w:r w:rsidRPr="00302DB8">
        <w:rPr>
          <w:color w:val="000000"/>
        </w:rPr>
        <w:t>th</w:t>
      </w:r>
      <w:r w:rsidR="001E38F2" w:rsidRPr="00302DB8">
        <w:rPr>
          <w:color w:val="000000"/>
        </w:rPr>
        <w:t>e</w:t>
      </w:r>
      <w:r w:rsidRPr="00302DB8">
        <w:rPr>
          <w:color w:val="000000"/>
        </w:rPr>
        <w:t xml:space="preserve"> outage by the Anchorage Offic</w:t>
      </w:r>
      <w:r w:rsidR="001E38F2" w:rsidRPr="00302DB8">
        <w:rPr>
          <w:color w:val="000000"/>
        </w:rPr>
        <w:t>e</w:t>
      </w:r>
      <w:r w:rsidR="00E01A32">
        <w:t>.</w:t>
      </w:r>
      <w:r w:rsidR="00E01A32">
        <w:rPr>
          <w:rStyle w:val="FootnoteReference"/>
        </w:rPr>
        <w:footnoteReference w:id="16"/>
      </w:r>
      <w:r w:rsidR="00E01A32">
        <w:t xml:space="preserve">  </w:t>
      </w:r>
      <w:r w:rsidRPr="00430434">
        <w:t xml:space="preserve">While the Commission will generally reduce an assessed forfeiture based on the good faith corrective efforts of a violator, those corrective efforts must be taken </w:t>
      </w:r>
      <w:r w:rsidRPr="00302DB8">
        <w:rPr>
          <w:i/>
        </w:rPr>
        <w:t xml:space="preserve">prior </w:t>
      </w:r>
      <w:r w:rsidRPr="00430434">
        <w:t>to notification of the violation.</w:t>
      </w:r>
      <w:r w:rsidRPr="00430434">
        <w:rPr>
          <w:vertAlign w:val="superscript"/>
        </w:rPr>
        <w:footnoteReference w:id="17"/>
      </w:r>
      <w:r w:rsidRPr="00430434">
        <w:t xml:space="preserve">  As the Commission has repeatedly stated, “corrective action taken to come into compliance with Commission rules or policy is expected, and does not nullify or mitigate any prior forfeitures or violations.</w:t>
      </w:r>
      <w:bookmarkStart w:id="1" w:name="FN[FN8]"/>
      <w:bookmarkEnd w:id="1"/>
      <w:r w:rsidRPr="00430434">
        <w:t>”</w:t>
      </w:r>
      <w:r w:rsidRPr="00430434">
        <w:rPr>
          <w:vertAlign w:val="superscript"/>
        </w:rPr>
        <w:footnoteReference w:id="18"/>
      </w:r>
      <w:r w:rsidRPr="00430434">
        <w:t xml:space="preserve">  Consequently, we have reduced proposed forfeitures when a licensee demonstrates that it contracted to resolve a violation prior to inspection.</w:t>
      </w:r>
      <w:r w:rsidRPr="00430434">
        <w:rPr>
          <w:vertAlign w:val="superscript"/>
        </w:rPr>
        <w:footnoteReference w:id="19"/>
      </w:r>
      <w:r w:rsidRPr="00430434">
        <w:t xml:space="preserve">  </w:t>
      </w:r>
      <w:r w:rsidR="001E38F2">
        <w:t>GCI</w:t>
      </w:r>
      <w:r w:rsidRPr="00430434">
        <w:t xml:space="preserve"> has presented no evidence that it </w:t>
      </w:r>
      <w:r w:rsidR="007C4744">
        <w:t>underto</w:t>
      </w:r>
      <w:r w:rsidR="004B5754">
        <w:t>ok</w:t>
      </w:r>
      <w:r w:rsidR="007C4744">
        <w:t xml:space="preserve"> efforts to</w:t>
      </w:r>
      <w:r w:rsidR="0080340B">
        <w:t xml:space="preserve"> </w:t>
      </w:r>
      <w:r w:rsidR="001E38F2">
        <w:t xml:space="preserve">repair the lighting </w:t>
      </w:r>
      <w:r w:rsidR="0080340B">
        <w:t xml:space="preserve">outage </w:t>
      </w:r>
      <w:r w:rsidR="001E38F2">
        <w:t>or upgraded its monitoring system pr</w:t>
      </w:r>
      <w:r w:rsidRPr="00430434">
        <w:t xml:space="preserve">ior to </w:t>
      </w:r>
      <w:r w:rsidR="001E38F2">
        <w:t>being contacted by the Anchorage</w:t>
      </w:r>
      <w:r w:rsidRPr="00430434">
        <w:t xml:space="preserve"> Office </w:t>
      </w:r>
      <w:r w:rsidR="00A775A3">
        <w:t xml:space="preserve">during the </w:t>
      </w:r>
      <w:r w:rsidRPr="00430434">
        <w:t xml:space="preserve">inspection.  We therefore decline to </w:t>
      </w:r>
      <w:r w:rsidR="001E38F2">
        <w:t>reduce</w:t>
      </w:r>
      <w:r w:rsidRPr="00430434">
        <w:t xml:space="preserve"> the proposed forfeiture.</w:t>
      </w:r>
    </w:p>
    <w:p w14:paraId="71FDFE77" w14:textId="46CA8F61" w:rsidR="0004261E" w:rsidRPr="00BC2849" w:rsidRDefault="00BC2849">
      <w:pPr>
        <w:pStyle w:val="ParaNum"/>
        <w:numPr>
          <w:ilvl w:val="0"/>
          <w:numId w:val="27"/>
        </w:numPr>
        <w:spacing w:after="120"/>
        <w:ind w:left="1440" w:hanging="720"/>
      </w:pPr>
      <w:r>
        <w:rPr>
          <w:b/>
        </w:rPr>
        <w:t>Upward A</w:t>
      </w:r>
      <w:r w:rsidR="0004261E" w:rsidRPr="00BC2849">
        <w:rPr>
          <w:b/>
        </w:rPr>
        <w:t xml:space="preserve">djustments to </w:t>
      </w:r>
      <w:r>
        <w:rPr>
          <w:b/>
        </w:rPr>
        <w:t>P</w:t>
      </w:r>
      <w:r w:rsidR="0004261E" w:rsidRPr="00BC2849">
        <w:rPr>
          <w:b/>
        </w:rPr>
        <w:t xml:space="preserve">enalty </w:t>
      </w:r>
      <w:r>
        <w:rPr>
          <w:b/>
        </w:rPr>
        <w:t>A</w:t>
      </w:r>
      <w:r w:rsidR="0004261E" w:rsidRPr="00BC2849">
        <w:rPr>
          <w:b/>
        </w:rPr>
        <w:t xml:space="preserve">ssessments are </w:t>
      </w:r>
      <w:r>
        <w:rPr>
          <w:b/>
        </w:rPr>
        <w:t>A</w:t>
      </w:r>
      <w:r w:rsidR="0004261E" w:rsidRPr="00BC2849">
        <w:rPr>
          <w:b/>
        </w:rPr>
        <w:t xml:space="preserve">ppropriate for </w:t>
      </w:r>
      <w:r>
        <w:rPr>
          <w:b/>
        </w:rPr>
        <w:t>L</w:t>
      </w:r>
      <w:r w:rsidR="0004261E" w:rsidRPr="00BC2849">
        <w:rPr>
          <w:b/>
        </w:rPr>
        <w:t xml:space="preserve">arge and </w:t>
      </w:r>
      <w:r>
        <w:rPr>
          <w:b/>
        </w:rPr>
        <w:t>H</w:t>
      </w:r>
      <w:r w:rsidR="0004261E" w:rsidRPr="00BC2849">
        <w:rPr>
          <w:b/>
        </w:rPr>
        <w:t xml:space="preserve">ighly </w:t>
      </w:r>
      <w:r>
        <w:rPr>
          <w:b/>
        </w:rPr>
        <w:t>P</w:t>
      </w:r>
      <w:r w:rsidR="0004261E" w:rsidRPr="00BC2849">
        <w:rPr>
          <w:b/>
        </w:rPr>
        <w:t xml:space="preserve">rofitable </w:t>
      </w:r>
      <w:r>
        <w:rPr>
          <w:b/>
        </w:rPr>
        <w:t>E</w:t>
      </w:r>
      <w:r w:rsidR="0004261E" w:rsidRPr="00BC2849">
        <w:rPr>
          <w:b/>
        </w:rPr>
        <w:t>ntities.</w:t>
      </w:r>
    </w:p>
    <w:p w14:paraId="65065722" w14:textId="3A323EEC" w:rsidR="00302DB8" w:rsidRDefault="00D741DB">
      <w:pPr>
        <w:pStyle w:val="ParaNum"/>
        <w:numPr>
          <w:ilvl w:val="0"/>
          <w:numId w:val="1"/>
        </w:numPr>
        <w:tabs>
          <w:tab w:val="clear" w:pos="1080"/>
          <w:tab w:val="num" w:pos="1440"/>
        </w:tabs>
        <w:spacing w:after="120"/>
      </w:pPr>
      <w:r>
        <w:t>GCI also argue</w:t>
      </w:r>
      <w:r w:rsidR="0080340B">
        <w:t>s</w:t>
      </w:r>
      <w:r>
        <w:t xml:space="preserve"> that the upward adjustment of $10,000, to the base forfeiture of $10,000, was unnecessary.</w:t>
      </w:r>
      <w:r>
        <w:rPr>
          <w:rStyle w:val="FootnoteReference"/>
        </w:rPr>
        <w:footnoteReference w:id="20"/>
      </w:r>
      <w:r>
        <w:t xml:space="preserve">  We disagree.  </w:t>
      </w:r>
      <w:r w:rsidR="009732D2">
        <w:t xml:space="preserve">As explained in the </w:t>
      </w:r>
      <w:r w:rsidR="009732D2" w:rsidRPr="00302DB8">
        <w:rPr>
          <w:i/>
        </w:rPr>
        <w:t>NAL</w:t>
      </w:r>
      <w:r w:rsidR="009732D2">
        <w:t xml:space="preserve">, </w:t>
      </w:r>
      <w:r w:rsidR="009732D2" w:rsidRPr="009732D2">
        <w:t>GCI, a Tier III carrier, is a publicly-held corporation serving most of Alaska, with annual revenues in the hundreds of millions of dollars.</w:t>
      </w:r>
      <w:r w:rsidR="009732D2" w:rsidRPr="009732D2">
        <w:rPr>
          <w:vertAlign w:val="superscript"/>
        </w:rPr>
        <w:footnoteReference w:id="21"/>
      </w:r>
      <w:r w:rsidR="009732D2" w:rsidRPr="009732D2">
        <w:t xml:space="preserve">  To ensure that forfeiture liability is a deterrent and not simply a cost of doing business, the Commission has determined that large companies such as GCI should expect the assessment of higher forfeitures for violations.</w:t>
      </w:r>
      <w:r w:rsidR="009732D2" w:rsidRPr="009732D2">
        <w:rPr>
          <w:vertAlign w:val="superscript"/>
        </w:rPr>
        <w:footnoteReference w:id="22"/>
      </w:r>
      <w:r w:rsidR="009732D2" w:rsidRPr="009732D2">
        <w:t xml:space="preserve">  </w:t>
      </w:r>
    </w:p>
    <w:p w14:paraId="29FF2F02" w14:textId="3CA35BBB" w:rsidR="00B56CDF" w:rsidRDefault="00302DB8">
      <w:pPr>
        <w:pStyle w:val="ParaNum"/>
        <w:numPr>
          <w:ilvl w:val="0"/>
          <w:numId w:val="1"/>
        </w:numPr>
        <w:tabs>
          <w:tab w:val="clear" w:pos="1080"/>
          <w:tab w:val="num" w:pos="1440"/>
        </w:tabs>
        <w:spacing w:after="120"/>
      </w:pPr>
      <w:r w:rsidRPr="00302DB8">
        <w:lastRenderedPageBreak/>
        <w:t>Weighing the relevant statutory factors and our own forfeiture guidelines, we conclude, based upon the evidence before us, that the proposed forfeiture of $</w:t>
      </w:r>
      <w:r>
        <w:t>20,000</w:t>
      </w:r>
      <w:r w:rsidRPr="00302DB8">
        <w:t xml:space="preserve"> properly reflects the seriousness, duration, and scope of </w:t>
      </w:r>
      <w:r>
        <w:t>GCI’s</w:t>
      </w:r>
      <w:r w:rsidRPr="00302DB8">
        <w:t xml:space="preserve"> violations.</w:t>
      </w:r>
    </w:p>
    <w:p w14:paraId="0CD7F19A" w14:textId="16C3B40F" w:rsidR="00B56CDF" w:rsidRPr="00B56CDF" w:rsidRDefault="00B56CDF" w:rsidP="00305FED">
      <w:pPr>
        <w:pStyle w:val="Heading1"/>
        <w:tabs>
          <w:tab w:val="left" w:pos="720"/>
        </w:tabs>
        <w:spacing w:before="0" w:after="120"/>
        <w:rPr>
          <w:rFonts w:ascii="Times New Roman" w:hAnsi="Times New Roman" w:cs="Times New Roman"/>
          <w:sz w:val="22"/>
          <w:szCs w:val="22"/>
        </w:rPr>
      </w:pPr>
      <w:r w:rsidRPr="00302DB8">
        <w:rPr>
          <w:rFonts w:ascii="Times New Roman" w:hAnsi="Times New Roman" w:cs="Times New Roman"/>
          <w:sz w:val="22"/>
          <w:szCs w:val="22"/>
        </w:rPr>
        <w:t>IV.</w:t>
      </w:r>
      <w:r w:rsidRPr="00302DB8">
        <w:rPr>
          <w:rFonts w:ascii="Times New Roman" w:hAnsi="Times New Roman" w:cs="Times New Roman"/>
          <w:sz w:val="22"/>
          <w:szCs w:val="22"/>
        </w:rPr>
        <w:tab/>
        <w:t>CONCLUSION</w:t>
      </w:r>
    </w:p>
    <w:p w14:paraId="148B4B92" w14:textId="6661E53C" w:rsidR="00302DB8" w:rsidRDefault="00B56CDF">
      <w:pPr>
        <w:pStyle w:val="ParaNum"/>
        <w:numPr>
          <w:ilvl w:val="0"/>
          <w:numId w:val="1"/>
        </w:numPr>
        <w:tabs>
          <w:tab w:val="clear" w:pos="1080"/>
          <w:tab w:val="num" w:pos="1440"/>
        </w:tabs>
        <w:spacing w:after="120"/>
      </w:pPr>
      <w:r w:rsidRPr="00344C0B">
        <w:t xml:space="preserve">Based on the record before us and in light of the applicable statutory factors, we </w:t>
      </w:r>
      <w:r>
        <w:t>conclude</w:t>
      </w:r>
      <w:r w:rsidRPr="00344C0B">
        <w:t xml:space="preserve"> that </w:t>
      </w:r>
      <w:r>
        <w:t>GCI</w:t>
      </w:r>
      <w:r w:rsidRPr="0007571D">
        <w:t xml:space="preserve"> willfully and repeatedly violated </w:t>
      </w:r>
      <w:r w:rsidRPr="00950E7E">
        <w:rPr>
          <w:color w:val="000000"/>
          <w:spacing w:val="-2"/>
        </w:rPr>
        <w:t>Section 303(q) of the Act,</w:t>
      </w:r>
      <w:r w:rsidRPr="00950E7E">
        <w:rPr>
          <w:color w:val="000000"/>
          <w:spacing w:val="-2"/>
          <w:vertAlign w:val="superscript"/>
        </w:rPr>
        <w:footnoteReference w:id="23"/>
      </w:r>
      <w:r w:rsidRPr="00950E7E">
        <w:rPr>
          <w:color w:val="000000"/>
          <w:spacing w:val="-2"/>
        </w:rPr>
        <w:t xml:space="preserve"> and Sections 17.47, 17.48, and 17.51(b)</w:t>
      </w:r>
      <w:r w:rsidRPr="00950E7E">
        <w:rPr>
          <w:b/>
          <w:color w:val="000000"/>
          <w:spacing w:val="-2"/>
        </w:rPr>
        <w:t xml:space="preserve"> </w:t>
      </w:r>
      <w:r w:rsidRPr="00950E7E">
        <w:rPr>
          <w:color w:val="000000"/>
          <w:spacing w:val="-2"/>
        </w:rPr>
        <w:t>of the</w:t>
      </w:r>
      <w:r>
        <w:rPr>
          <w:color w:val="000000"/>
          <w:spacing w:val="-2"/>
        </w:rPr>
        <w:t xml:space="preserve"> </w:t>
      </w:r>
      <w:r w:rsidRPr="00950E7E">
        <w:rPr>
          <w:color w:val="000000"/>
          <w:spacing w:val="-2"/>
        </w:rPr>
        <w:t>Rules,</w:t>
      </w:r>
      <w:r w:rsidRPr="00950E7E">
        <w:rPr>
          <w:color w:val="000000"/>
          <w:spacing w:val="-2"/>
          <w:vertAlign w:val="superscript"/>
        </w:rPr>
        <w:footnoteReference w:id="24"/>
      </w:r>
      <w:r w:rsidRPr="00950E7E">
        <w:rPr>
          <w:color w:val="000000"/>
          <w:spacing w:val="-2"/>
        </w:rPr>
        <w:t xml:space="preserve"> by </w:t>
      </w:r>
      <w:r w:rsidRPr="00D21D26">
        <w:rPr>
          <w:color w:val="000000"/>
          <w:spacing w:val="-2"/>
        </w:rPr>
        <w:t>failing to monitor the Antenna Structure’s obstruction lighting on a daily basis or maintain a functioning alarm system; exhibit the Antenna Structure’s required daytime medium intensity obstruction lighting; and notify the FAA of a known lighting outage on the Antenna Structure</w:t>
      </w:r>
      <w:r w:rsidRPr="0007571D">
        <w:t>.  We decline to cancel or reduce the</w:t>
      </w:r>
      <w:r>
        <w:t xml:space="preserve"> </w:t>
      </w:r>
      <w:r w:rsidRPr="0007571D">
        <w:t>$</w:t>
      </w:r>
      <w:r>
        <w:t>20,000</w:t>
      </w:r>
      <w:r w:rsidRPr="00A020A9">
        <w:t xml:space="preserve"> </w:t>
      </w:r>
      <w:r>
        <w:t xml:space="preserve">forfeiture </w:t>
      </w:r>
      <w:r w:rsidRPr="00A020A9">
        <w:t xml:space="preserve">proposed in the </w:t>
      </w:r>
      <w:r w:rsidRPr="00C138D9">
        <w:rPr>
          <w:i/>
        </w:rPr>
        <w:t>NAL</w:t>
      </w:r>
      <w:r>
        <w:t xml:space="preserve">. </w:t>
      </w:r>
    </w:p>
    <w:p w14:paraId="107A2263" w14:textId="440C1650" w:rsidR="00B56CDF" w:rsidRPr="00B56CDF" w:rsidRDefault="00B56CDF" w:rsidP="00305FED">
      <w:pPr>
        <w:pStyle w:val="Heading1"/>
        <w:tabs>
          <w:tab w:val="left" w:pos="720"/>
        </w:tabs>
        <w:spacing w:before="0" w:after="120"/>
        <w:rPr>
          <w:rFonts w:ascii="Times New Roman" w:hAnsi="Times New Roman" w:cs="Times New Roman"/>
          <w:sz w:val="22"/>
          <w:szCs w:val="22"/>
        </w:rPr>
      </w:pPr>
      <w:r w:rsidRPr="00B56CDF">
        <w:rPr>
          <w:rFonts w:ascii="Times New Roman" w:hAnsi="Times New Roman" w:cs="Times New Roman"/>
          <w:sz w:val="22"/>
          <w:szCs w:val="22"/>
        </w:rPr>
        <w:t>V.</w:t>
      </w:r>
      <w:r>
        <w:rPr>
          <w:rFonts w:ascii="Times New Roman" w:hAnsi="Times New Roman" w:cs="Times New Roman"/>
          <w:sz w:val="22"/>
          <w:szCs w:val="22"/>
        </w:rPr>
        <w:tab/>
      </w:r>
      <w:r w:rsidRPr="00B56CDF">
        <w:rPr>
          <w:rFonts w:ascii="Times New Roman" w:hAnsi="Times New Roman" w:cs="Times New Roman"/>
          <w:sz w:val="22"/>
          <w:szCs w:val="22"/>
        </w:rPr>
        <w:t>ORDERING CLAUSES</w:t>
      </w:r>
    </w:p>
    <w:p w14:paraId="3885F653" w14:textId="003A7669" w:rsidR="00B56CDF" w:rsidRPr="00B56CDF" w:rsidRDefault="00B56CDF">
      <w:pPr>
        <w:pStyle w:val="ParaNum"/>
        <w:numPr>
          <w:ilvl w:val="0"/>
          <w:numId w:val="1"/>
        </w:numPr>
        <w:tabs>
          <w:tab w:val="clear" w:pos="1080"/>
          <w:tab w:val="num" w:pos="1440"/>
        </w:tabs>
        <w:spacing w:after="120"/>
      </w:pPr>
      <w:r w:rsidRPr="00B56CDF">
        <w:t xml:space="preserve">Accordingly, </w:t>
      </w:r>
      <w:r w:rsidRPr="00B56CDF">
        <w:rPr>
          <w:b/>
        </w:rPr>
        <w:t xml:space="preserve">IT IS ORDERED </w:t>
      </w:r>
      <w:r w:rsidRPr="00B56CDF">
        <w:t>that, pursuant to Section 503(b) of the Act,</w:t>
      </w:r>
      <w:r w:rsidRPr="00B56CDF">
        <w:rPr>
          <w:vertAlign w:val="superscript"/>
        </w:rPr>
        <w:footnoteReference w:id="25"/>
      </w:r>
      <w:r w:rsidRPr="00B56CDF">
        <w:t xml:space="preserve"> and Section 1.80 of the Rules,</w:t>
      </w:r>
      <w:r w:rsidRPr="00B56CDF">
        <w:rPr>
          <w:vertAlign w:val="superscript"/>
        </w:rPr>
        <w:footnoteReference w:id="26"/>
      </w:r>
      <w:r w:rsidRPr="00B56CDF">
        <w:t xml:space="preserve"> General Communication, Inc., d/b/a GCI Communication Corp.</w:t>
      </w:r>
      <w:r>
        <w:t>,</w:t>
      </w:r>
      <w:r w:rsidRPr="00B56CDF">
        <w:t xml:space="preserve"> </w:t>
      </w:r>
      <w:r w:rsidRPr="00B56CDF">
        <w:rPr>
          <w:b/>
        </w:rPr>
        <w:t>IS LIABLE FOR A MONETARY FORFEITURE</w:t>
      </w:r>
      <w:r w:rsidRPr="00B56CDF">
        <w:t xml:space="preserve"> in the amount of twenty thousand dollars ($20,000) for violations of Section 303(q) of the Act and Sections 17.47, 17.48, and 17.51(b) of the Rules. </w:t>
      </w:r>
    </w:p>
    <w:p w14:paraId="06479723" w14:textId="77777777" w:rsidR="00B56CDF" w:rsidRPr="00B56CDF" w:rsidRDefault="00B56CDF">
      <w:pPr>
        <w:pStyle w:val="ParaNum"/>
        <w:numPr>
          <w:ilvl w:val="0"/>
          <w:numId w:val="1"/>
        </w:numPr>
        <w:tabs>
          <w:tab w:val="clear" w:pos="1080"/>
          <w:tab w:val="num" w:pos="1440"/>
        </w:tabs>
        <w:spacing w:after="120"/>
      </w:pPr>
      <w:r w:rsidRPr="00B56CDF">
        <w:t>Payment of the forfeiture shall be made in the manner provided for in Section 1.80 of the Rules within thirty (30) calendar days after the release of this Forfeiture Order.</w:t>
      </w:r>
      <w:r w:rsidRPr="00B56CDF">
        <w:rPr>
          <w:vertAlign w:val="superscript"/>
        </w:rPr>
        <w:footnoteReference w:id="27"/>
      </w:r>
      <w:r w:rsidRPr="00B56CDF">
        <w:t xml:space="preserve">  If the forfeiture is not paid within the period specified, the case may be referred to the U.S. Department of Justice for enforcement of the forfeiture pursuant to Section 504(a) of the Act.</w:t>
      </w:r>
      <w:r w:rsidRPr="00B56CDF">
        <w:rPr>
          <w:vertAlign w:val="superscript"/>
        </w:rPr>
        <w:footnoteReference w:id="28"/>
      </w:r>
      <w:r w:rsidRPr="00B56CDF">
        <w:t xml:space="preserve">  </w:t>
      </w:r>
    </w:p>
    <w:p w14:paraId="037DCA0C" w14:textId="4049432A" w:rsidR="00B56CDF" w:rsidRDefault="00B56CDF" w:rsidP="00305FED">
      <w:pPr>
        <w:pStyle w:val="ParaNum"/>
        <w:numPr>
          <w:ilvl w:val="0"/>
          <w:numId w:val="1"/>
        </w:numPr>
        <w:tabs>
          <w:tab w:val="clear" w:pos="1080"/>
          <w:tab w:val="num" w:pos="1440"/>
        </w:tabs>
        <w:spacing w:after="120"/>
      </w:pPr>
      <w:r w:rsidRPr="00B56CDF">
        <w:t xml:space="preserve">Payment of the forfeiture must be made by check or similar instrument, wire transfer, or credit card, and must include the NAL/Account Number and FRN referenced above.  General Communication, Inc., d/b/a GCI Communication Corp., </w:t>
      </w:r>
      <w:r>
        <w:t>sh</w:t>
      </w:r>
      <w:r w:rsidRPr="00B56CDF">
        <w:t>all send electronic notification of payment to WR-Response@fcc.gov on the date said payment is made.  Regardless of the form of payment, a completed FCC Form 159 (Remittance Advice) must be submitted.</w:t>
      </w:r>
      <w:r w:rsidRPr="00B56CDF">
        <w:rPr>
          <w:vertAlign w:val="superscript"/>
        </w:rPr>
        <w:footnoteReference w:id="29"/>
      </w:r>
      <w:r w:rsidRPr="00B56CDF">
        <w:t xml:space="preserve">  When completing the Form 159, enter the Account Number in block number 23A (call sign/other ID) and enter the letters “FORF” in block number 24A (payment type code).  Below are additional instructions that should be followed based on the form of payment selected:</w:t>
      </w:r>
    </w:p>
    <w:p w14:paraId="38E0A6C3" w14:textId="77777777" w:rsidR="00B56CDF" w:rsidRPr="00344C0B" w:rsidRDefault="00B56CDF">
      <w:pPr>
        <w:pStyle w:val="par1"/>
        <w:widowControl/>
        <w:numPr>
          <w:ilvl w:val="0"/>
          <w:numId w:val="22"/>
        </w:numPr>
        <w:tabs>
          <w:tab w:val="clear" w:pos="1440"/>
        </w:tabs>
        <w:spacing w:after="120"/>
        <w:rPr>
          <w:sz w:val="22"/>
        </w:rPr>
      </w:pPr>
      <w:r w:rsidRPr="00344C0B">
        <w:rPr>
          <w:sz w:val="22"/>
        </w:rPr>
        <w:t xml:space="preserve">Payment by check or money order must be made payable to the order of the Federal Communications Commission.  Such payments (along with completed Form 159) must be mailed to the Federal Communications Commission, P.O. Box 979088, St. Louis, MO </w:t>
      </w:r>
      <w:r w:rsidRPr="00344C0B">
        <w:rPr>
          <w:sz w:val="22"/>
        </w:rPr>
        <w:lastRenderedPageBreak/>
        <w:t>63197-9000, or sent via overnight mail to U.S. Bank – Government Lockbox #979088, SL</w:t>
      </w:r>
      <w:r w:rsidRPr="00344C0B">
        <w:rPr>
          <w:sz w:val="22"/>
        </w:rPr>
        <w:noBreakHyphen/>
        <w:t>MO-C2-GL, 1005 Convention Plaza, St. Louis, MO 63101.</w:t>
      </w:r>
    </w:p>
    <w:p w14:paraId="1D6A4662" w14:textId="77777777" w:rsidR="00B56CDF" w:rsidRPr="00344C0B" w:rsidRDefault="00B56CDF">
      <w:pPr>
        <w:pStyle w:val="par1"/>
        <w:widowControl/>
        <w:numPr>
          <w:ilvl w:val="0"/>
          <w:numId w:val="22"/>
        </w:numPr>
        <w:tabs>
          <w:tab w:val="clear" w:pos="1440"/>
        </w:tabs>
        <w:spacing w:after="120"/>
        <w:rPr>
          <w:sz w:val="22"/>
        </w:rPr>
      </w:pPr>
      <w:r w:rsidRPr="00344C0B">
        <w:rPr>
          <w:sz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111AD248" w14:textId="77777777" w:rsidR="00B56CDF" w:rsidRPr="00344C0B" w:rsidRDefault="00B56CDF">
      <w:pPr>
        <w:pStyle w:val="par1"/>
        <w:widowControl/>
        <w:numPr>
          <w:ilvl w:val="0"/>
          <w:numId w:val="22"/>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7D43534" w14:textId="77777777" w:rsidR="00B56CDF" w:rsidRPr="00B56CDF" w:rsidRDefault="00B56CDF">
      <w:pPr>
        <w:pStyle w:val="ParaNum"/>
        <w:numPr>
          <w:ilvl w:val="0"/>
          <w:numId w:val="1"/>
        </w:numPr>
        <w:tabs>
          <w:tab w:val="clear" w:pos="1080"/>
          <w:tab w:val="num" w:pos="1440"/>
        </w:tabs>
        <w:spacing w:after="120"/>
      </w:pPr>
      <w:r w:rsidRPr="00B56CDF">
        <w:t>Any request for making full payment over time under an installment plan should be sent to:  Chief Financial Officer – Financial Operations, Federal Communications Commission, 445 12th Street, SW, Room 1</w:t>
      </w:r>
      <w:r w:rsidRPr="00B56CDF">
        <w:noBreakHyphen/>
        <w:t>A625, Washington, D.C. 20554.</w:t>
      </w:r>
      <w:r w:rsidRPr="00B56CDF">
        <w:rPr>
          <w:vertAlign w:val="superscript"/>
        </w:rPr>
        <w:footnoteReference w:id="30"/>
      </w:r>
      <w:r w:rsidRPr="00B56CDF">
        <w:t xml:space="preserve">  Questions regarding payment procedures should be directed to the Financial Operations Group Help Desk by telephone, 1-877-480-3201, or by e-mail, ARINQUIRIES@fcc.gov.</w:t>
      </w:r>
    </w:p>
    <w:p w14:paraId="19F87D50" w14:textId="12CA2470" w:rsidR="00DE5386" w:rsidRPr="00BA09F4" w:rsidRDefault="00B56CDF" w:rsidP="00305FED">
      <w:pPr>
        <w:pStyle w:val="ParaNum"/>
        <w:numPr>
          <w:ilvl w:val="0"/>
          <w:numId w:val="1"/>
        </w:numPr>
        <w:tabs>
          <w:tab w:val="clear" w:pos="1080"/>
          <w:tab w:val="num" w:pos="1440"/>
        </w:tabs>
        <w:spacing w:after="120"/>
      </w:pPr>
      <w:r w:rsidRPr="00B56CDF">
        <w:rPr>
          <w:b/>
        </w:rPr>
        <w:t>IT IS FURTHER ORDERED</w:t>
      </w:r>
      <w:r w:rsidRPr="00B56CDF">
        <w:t xml:space="preserve"> that a copy of this Forfeiture Order shall be sent by first class mail and certified mail, return receipt requested, to </w:t>
      </w:r>
      <w:r w:rsidR="00BA09F4" w:rsidRPr="00BA09F4">
        <w:t>GCI Communication Corp., at 2550 Denali Street, Suite 1000, Anchorage, Alaska 99503-2751.</w:t>
      </w:r>
    </w:p>
    <w:p w14:paraId="469FCC42" w14:textId="77777777" w:rsidR="0066702C" w:rsidRDefault="0066702C" w:rsidP="00F67168">
      <w:pPr>
        <w:tabs>
          <w:tab w:val="left" w:pos="0"/>
        </w:tabs>
        <w:suppressAutoHyphens/>
        <w:autoSpaceDE w:val="0"/>
        <w:autoSpaceDN w:val="0"/>
        <w:adjustRightInd w:val="0"/>
        <w:spacing w:line="240" w:lineRule="atLeast"/>
        <w:ind w:left="720"/>
        <w:rPr>
          <w:color w:val="000000"/>
          <w:spacing w:val="-2"/>
        </w:rPr>
      </w:pPr>
    </w:p>
    <w:p w14:paraId="6CEC2094" w14:textId="77777777" w:rsidR="00DE5386" w:rsidRPr="002A7814" w:rsidRDefault="00DE5386" w:rsidP="00F67168">
      <w:pPr>
        <w:pStyle w:val="ParaNum"/>
        <w:numPr>
          <w:ilvl w:val="0"/>
          <w:numId w:val="0"/>
        </w:numPr>
        <w:spacing w:after="0"/>
        <w:ind w:left="4320"/>
        <w:rPr>
          <w:color w:val="000000"/>
          <w:spacing w:val="-2"/>
        </w:rPr>
      </w:pPr>
      <w:r w:rsidRPr="002A7814">
        <w:rPr>
          <w:color w:val="000000"/>
          <w:spacing w:val="-2"/>
        </w:rPr>
        <w:t>FEDERAL COMMUNICATIONS COMMISSION</w:t>
      </w:r>
    </w:p>
    <w:p w14:paraId="39AAC8A6" w14:textId="77777777" w:rsidR="00DE5386" w:rsidRPr="002A7814" w:rsidRDefault="00DE5386" w:rsidP="00F67168">
      <w:pPr>
        <w:pStyle w:val="ParaNum"/>
        <w:numPr>
          <w:ilvl w:val="0"/>
          <w:numId w:val="0"/>
        </w:numPr>
        <w:spacing w:after="0"/>
        <w:ind w:left="4320"/>
        <w:rPr>
          <w:color w:val="000000"/>
          <w:spacing w:val="-2"/>
        </w:rPr>
      </w:pPr>
    </w:p>
    <w:p w14:paraId="2580FE5C" w14:textId="77777777" w:rsidR="00DE5386" w:rsidRPr="002A7814" w:rsidRDefault="00DE5386" w:rsidP="00F67168">
      <w:pPr>
        <w:pStyle w:val="ParaNum"/>
        <w:numPr>
          <w:ilvl w:val="0"/>
          <w:numId w:val="0"/>
        </w:numPr>
        <w:spacing w:after="0"/>
        <w:ind w:left="4320"/>
        <w:rPr>
          <w:color w:val="000000"/>
          <w:spacing w:val="-2"/>
        </w:rPr>
      </w:pPr>
    </w:p>
    <w:p w14:paraId="60AAC30C" w14:textId="77777777" w:rsidR="00DC2EFE" w:rsidRDefault="00DC2EFE" w:rsidP="00F67168">
      <w:pPr>
        <w:pStyle w:val="ParaNum"/>
        <w:numPr>
          <w:ilvl w:val="0"/>
          <w:numId w:val="0"/>
        </w:numPr>
        <w:spacing w:after="0"/>
        <w:ind w:left="3600" w:firstLine="720"/>
        <w:rPr>
          <w:color w:val="000000"/>
          <w:spacing w:val="-2"/>
        </w:rPr>
      </w:pPr>
    </w:p>
    <w:p w14:paraId="068EEDC8" w14:textId="77777777" w:rsidR="007B67CE" w:rsidRDefault="007B67CE" w:rsidP="00F67168">
      <w:pPr>
        <w:pStyle w:val="ParaNum"/>
        <w:numPr>
          <w:ilvl w:val="0"/>
          <w:numId w:val="0"/>
        </w:numPr>
        <w:spacing w:after="0"/>
        <w:ind w:left="3600" w:firstLine="720"/>
        <w:rPr>
          <w:color w:val="000000"/>
          <w:spacing w:val="-2"/>
        </w:rPr>
      </w:pPr>
    </w:p>
    <w:p w14:paraId="120982F9" w14:textId="77777777" w:rsidR="00DE5386" w:rsidRPr="002A7814" w:rsidRDefault="00627660" w:rsidP="00F67168">
      <w:pPr>
        <w:pStyle w:val="ParaNum"/>
        <w:numPr>
          <w:ilvl w:val="0"/>
          <w:numId w:val="0"/>
        </w:numPr>
        <w:spacing w:after="0"/>
        <w:ind w:left="3600" w:firstLine="720"/>
        <w:rPr>
          <w:color w:val="000000"/>
          <w:spacing w:val="-2"/>
        </w:rPr>
      </w:pPr>
      <w:r w:rsidRPr="002A7814">
        <w:rPr>
          <w:color w:val="000000"/>
          <w:spacing w:val="-2"/>
        </w:rPr>
        <w:t>Rebecca L. Dorch</w:t>
      </w:r>
    </w:p>
    <w:p w14:paraId="11F2353F" w14:textId="77777777" w:rsidR="00DE5386" w:rsidRPr="002A7814" w:rsidRDefault="00DE5386" w:rsidP="00F67168">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14:paraId="13F15A80" w14:textId="77777777" w:rsidR="00DE5386" w:rsidRPr="002A7814" w:rsidRDefault="00DE5386" w:rsidP="00F67168">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1B401" w14:textId="77777777" w:rsidR="00223043" w:rsidRDefault="00223043">
      <w:r>
        <w:separator/>
      </w:r>
    </w:p>
  </w:endnote>
  <w:endnote w:type="continuationSeparator" w:id="0">
    <w:p w14:paraId="7D517420" w14:textId="77777777" w:rsidR="00223043" w:rsidRDefault="00223043">
      <w:r>
        <w:continuationSeparator/>
      </w:r>
    </w:p>
  </w:endnote>
  <w:endnote w:type="continuationNotice" w:id="1">
    <w:p w14:paraId="25A8A8DB" w14:textId="77777777" w:rsidR="00223043" w:rsidRDefault="00223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D60C" w14:textId="77777777"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B43C1" w14:textId="77777777"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C542" w14:textId="77777777"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76A8B">
      <w:rPr>
        <w:rStyle w:val="PageNumber"/>
        <w:noProof/>
        <w:sz w:val="20"/>
        <w:szCs w:val="20"/>
      </w:rPr>
      <w:t>4</w:t>
    </w:r>
    <w:r>
      <w:rPr>
        <w:rStyle w:val="PageNumber"/>
        <w:sz w:val="20"/>
        <w:szCs w:val="20"/>
      </w:rPr>
      <w:fldChar w:fldCharType="end"/>
    </w:r>
  </w:p>
  <w:p w14:paraId="01B360CD" w14:textId="77777777" w:rsidR="00A80EF9" w:rsidRDefault="00A80EF9" w:rsidP="009C6F4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1FE7" w14:textId="77777777" w:rsidR="00290931" w:rsidRDefault="0029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D8A3A" w14:textId="77777777" w:rsidR="00223043" w:rsidRDefault="00223043">
      <w:r>
        <w:separator/>
      </w:r>
    </w:p>
  </w:footnote>
  <w:footnote w:type="continuationSeparator" w:id="0">
    <w:p w14:paraId="495A7CA8" w14:textId="77777777" w:rsidR="00223043" w:rsidRPr="008E5F5B" w:rsidRDefault="00223043" w:rsidP="008E5F5B">
      <w:pPr>
        <w:spacing w:before="120"/>
        <w:rPr>
          <w:sz w:val="20"/>
        </w:rPr>
      </w:pPr>
      <w:r>
        <w:rPr>
          <w:sz w:val="20"/>
        </w:rPr>
        <w:t xml:space="preserve">(Continued from previous page)  </w:t>
      </w:r>
      <w:r>
        <w:rPr>
          <w:sz w:val="20"/>
        </w:rPr>
        <w:separator/>
      </w:r>
    </w:p>
  </w:footnote>
  <w:footnote w:type="continuationNotice" w:id="1">
    <w:p w14:paraId="07799B2D" w14:textId="77777777" w:rsidR="00223043" w:rsidRPr="008E5F5B" w:rsidRDefault="00223043" w:rsidP="008E5F5B">
      <w:pPr>
        <w:jc w:val="right"/>
        <w:rPr>
          <w:sz w:val="20"/>
        </w:rPr>
      </w:pPr>
      <w:r>
        <w:rPr>
          <w:sz w:val="20"/>
        </w:rPr>
        <w:t>(continued….)</w:t>
      </w:r>
    </w:p>
  </w:footnote>
  <w:footnote w:id="2">
    <w:p w14:paraId="01282EAF" w14:textId="6831EFFE" w:rsidR="00804712" w:rsidRDefault="00804712" w:rsidP="00C2302F">
      <w:pPr>
        <w:spacing w:after="120"/>
      </w:pPr>
      <w:r w:rsidRPr="002C4062">
        <w:rPr>
          <w:rStyle w:val="FootnoteReference"/>
        </w:rPr>
        <w:footnoteRef/>
      </w:r>
      <w:r w:rsidRPr="002C4062">
        <w:rPr>
          <w:sz w:val="20"/>
          <w:szCs w:val="20"/>
        </w:rPr>
        <w:t xml:space="preserve"> On February 4, 2014, GCI filed an application to update the name of the registrant of the Antenn</w:t>
      </w:r>
      <w:r>
        <w:rPr>
          <w:sz w:val="20"/>
          <w:szCs w:val="20"/>
        </w:rPr>
        <w:t>a</w:t>
      </w:r>
      <w:r w:rsidRPr="002C4062">
        <w:rPr>
          <w:sz w:val="20"/>
          <w:szCs w:val="20"/>
        </w:rPr>
        <w:t xml:space="preserve"> Struct</w:t>
      </w:r>
      <w:r>
        <w:rPr>
          <w:sz w:val="20"/>
          <w:szCs w:val="20"/>
        </w:rPr>
        <w:t>u</w:t>
      </w:r>
      <w:r w:rsidRPr="002C4062">
        <w:rPr>
          <w:sz w:val="20"/>
          <w:szCs w:val="20"/>
        </w:rPr>
        <w:t xml:space="preserve">re to The Alaska Wireless Network.  </w:t>
      </w:r>
      <w:r w:rsidRPr="002C4062">
        <w:rPr>
          <w:i/>
          <w:sz w:val="20"/>
          <w:szCs w:val="20"/>
        </w:rPr>
        <w:t>See</w:t>
      </w:r>
      <w:r w:rsidRPr="002C4062">
        <w:rPr>
          <w:sz w:val="20"/>
          <w:szCs w:val="20"/>
        </w:rPr>
        <w:t xml:space="preserve"> Application No. </w:t>
      </w:r>
      <w:r w:rsidRPr="002C4062">
        <w:rPr>
          <w:bCs/>
          <w:sz w:val="20"/>
          <w:szCs w:val="20"/>
        </w:rPr>
        <w:t xml:space="preserve">A0891823, granted Feb. 5, 2014.  The Alaska Wireless Network is partially owned by GCI.  </w:t>
      </w:r>
      <w:r w:rsidRPr="002C4062">
        <w:rPr>
          <w:bCs/>
          <w:i/>
          <w:sz w:val="20"/>
          <w:szCs w:val="20"/>
        </w:rPr>
        <w:t>See</w:t>
      </w:r>
      <w:r w:rsidRPr="002C4062">
        <w:rPr>
          <w:bCs/>
          <w:sz w:val="20"/>
          <w:szCs w:val="20"/>
        </w:rPr>
        <w:t xml:space="preserve"> </w:t>
      </w:r>
      <w:r w:rsidRPr="004C55DA">
        <w:rPr>
          <w:bCs/>
          <w:i/>
          <w:sz w:val="20"/>
          <w:szCs w:val="20"/>
        </w:rPr>
        <w:t xml:space="preserve">Applications of GCI Communication Corp., ACS Wireless License Sub, Inc., ACS Of Anchorage License Sub, Inc., </w:t>
      </w:r>
      <w:r w:rsidR="007B67CE">
        <w:rPr>
          <w:bCs/>
          <w:i/>
          <w:sz w:val="20"/>
          <w:szCs w:val="20"/>
        </w:rPr>
        <w:t>a</w:t>
      </w:r>
      <w:r w:rsidRPr="004C55DA">
        <w:rPr>
          <w:bCs/>
          <w:i/>
          <w:sz w:val="20"/>
          <w:szCs w:val="20"/>
        </w:rPr>
        <w:t>nd Unicom, Inc. For Consent To Assign Licenses To The Alaska Wireless Network, LLC</w:t>
      </w:r>
      <w:r w:rsidRPr="002C4062">
        <w:rPr>
          <w:bCs/>
          <w:sz w:val="20"/>
          <w:szCs w:val="20"/>
        </w:rPr>
        <w:t>, Memorandum Opinion and Order and Declaratory Ruling, 28 FCC Rcd 10433 (2013) (</w:t>
      </w:r>
      <w:r>
        <w:rPr>
          <w:bCs/>
          <w:sz w:val="20"/>
          <w:szCs w:val="20"/>
        </w:rPr>
        <w:t xml:space="preserve">granting multiple </w:t>
      </w:r>
      <w:r w:rsidRPr="004C55DA">
        <w:rPr>
          <w:bCs/>
          <w:sz w:val="20"/>
          <w:szCs w:val="20"/>
        </w:rPr>
        <w:t>applications for the assignment of licenses from ACS of Anchorage License Sub, Inc., ACS Wireless License Sub, Inc., GCI Communication Corp., and Unicom, Inc. to The Alaska Wireless Network, LLC</w:t>
      </w:r>
      <w:r>
        <w:rPr>
          <w:bCs/>
          <w:sz w:val="20"/>
          <w:szCs w:val="20"/>
        </w:rPr>
        <w:t>).</w:t>
      </w:r>
      <w:r>
        <w:rPr>
          <w:b/>
          <w:bCs/>
        </w:rPr>
        <w:t xml:space="preserve"> </w:t>
      </w:r>
    </w:p>
  </w:footnote>
  <w:footnote w:id="3">
    <w:p w14:paraId="1D12C2F3" w14:textId="435DB8DB" w:rsidR="00950E7E" w:rsidRPr="00163967" w:rsidRDefault="00950E7E">
      <w:pPr>
        <w:pStyle w:val="FootnoteText"/>
        <w:widowControl/>
        <w:ind w:firstLine="0"/>
        <w:jc w:val="left"/>
        <w:rPr>
          <w:szCs w:val="20"/>
        </w:rPr>
      </w:pPr>
      <w:r w:rsidRPr="00163967">
        <w:rPr>
          <w:rStyle w:val="FootnoteReference"/>
        </w:rPr>
        <w:footnoteRef/>
      </w:r>
      <w:r w:rsidRPr="00163967">
        <w:rPr>
          <w:szCs w:val="20"/>
        </w:rPr>
        <w:t xml:space="preserve"> </w:t>
      </w:r>
      <w:r w:rsidR="00E32D89" w:rsidRPr="00E32D89">
        <w:rPr>
          <w:iCs/>
          <w:szCs w:val="20"/>
        </w:rPr>
        <w:t xml:space="preserve">The </w:t>
      </w:r>
      <w:r w:rsidR="00E32D89" w:rsidRPr="00E32D89">
        <w:rPr>
          <w:i/>
          <w:iCs/>
          <w:szCs w:val="20"/>
        </w:rPr>
        <w:t>NAL</w:t>
      </w:r>
      <w:r w:rsidR="00E32D89" w:rsidRPr="00E32D89">
        <w:rPr>
          <w:iCs/>
          <w:szCs w:val="20"/>
        </w:rPr>
        <w:t xml:space="preserve"> includes a more complete discussion of the facts and history of this case and is incorporated herein by reference.</w:t>
      </w:r>
      <w:r w:rsidR="00E32D89" w:rsidRPr="00E32D89">
        <w:rPr>
          <w:szCs w:val="20"/>
        </w:rPr>
        <w:t xml:space="preserve">  </w:t>
      </w:r>
      <w:r w:rsidR="00E32D89" w:rsidRPr="00E32D89">
        <w:rPr>
          <w:i/>
          <w:szCs w:val="20"/>
        </w:rPr>
        <w:t xml:space="preserve">See </w:t>
      </w:r>
      <w:r w:rsidR="007B67CE">
        <w:rPr>
          <w:i/>
          <w:szCs w:val="20"/>
        </w:rPr>
        <w:t>GCI Communications Corp.</w:t>
      </w:r>
      <w:r w:rsidR="00E32D89" w:rsidRPr="00E32D89">
        <w:rPr>
          <w:szCs w:val="20"/>
        </w:rPr>
        <w:t xml:space="preserve">, Notice of Apparent Liability for Forfeiture, </w:t>
      </w:r>
      <w:r w:rsidR="00E32D89">
        <w:rPr>
          <w:szCs w:val="20"/>
        </w:rPr>
        <w:t>28</w:t>
      </w:r>
      <w:r w:rsidR="00E32D89" w:rsidRPr="00E32D89">
        <w:rPr>
          <w:szCs w:val="20"/>
        </w:rPr>
        <w:t xml:space="preserve"> FCC Rcd </w:t>
      </w:r>
      <w:r w:rsidR="007B67CE">
        <w:rPr>
          <w:szCs w:val="20"/>
        </w:rPr>
        <w:t xml:space="preserve">12991, </w:t>
      </w:r>
      <w:r w:rsidR="00E32D89">
        <w:rPr>
          <w:szCs w:val="20"/>
        </w:rPr>
        <w:t>12991–92</w:t>
      </w:r>
      <w:r w:rsidR="00E32D89" w:rsidRPr="00E32D89">
        <w:rPr>
          <w:szCs w:val="20"/>
        </w:rPr>
        <w:t>, paras.</w:t>
      </w:r>
      <w:r w:rsidR="00E32D89">
        <w:rPr>
          <w:szCs w:val="20"/>
        </w:rPr>
        <w:t xml:space="preserve"> 2–4 </w:t>
      </w:r>
      <w:r w:rsidR="00E32D89" w:rsidRPr="00E32D89">
        <w:rPr>
          <w:szCs w:val="20"/>
        </w:rPr>
        <w:t>(</w:t>
      </w:r>
      <w:r w:rsidR="00E32D89">
        <w:rPr>
          <w:szCs w:val="20"/>
        </w:rPr>
        <w:t>Enf. Bur. 2013</w:t>
      </w:r>
      <w:r w:rsidR="00E32D89" w:rsidRPr="00E32D89">
        <w:rPr>
          <w:szCs w:val="20"/>
        </w:rPr>
        <w:t>)</w:t>
      </w:r>
      <w:r w:rsidR="007B67CE">
        <w:rPr>
          <w:szCs w:val="20"/>
        </w:rPr>
        <w:t xml:space="preserve"> (</w:t>
      </w:r>
      <w:r w:rsidR="007B67CE">
        <w:rPr>
          <w:i/>
          <w:szCs w:val="20"/>
        </w:rPr>
        <w:t>NAL</w:t>
      </w:r>
      <w:r w:rsidR="007B67CE">
        <w:rPr>
          <w:szCs w:val="20"/>
        </w:rPr>
        <w:t>)</w:t>
      </w:r>
      <w:r w:rsidR="00E32D89">
        <w:rPr>
          <w:szCs w:val="20"/>
        </w:rPr>
        <w:t>.</w:t>
      </w:r>
      <w:r w:rsidRPr="00163967">
        <w:rPr>
          <w:szCs w:val="20"/>
        </w:rPr>
        <w:t xml:space="preserve">  </w:t>
      </w:r>
    </w:p>
  </w:footnote>
  <w:footnote w:id="4">
    <w:p w14:paraId="24FCB361" w14:textId="27179D64" w:rsidR="00804712" w:rsidRPr="005F515C" w:rsidRDefault="00804712">
      <w:pPr>
        <w:pStyle w:val="FootnoteText"/>
        <w:widowControl/>
        <w:ind w:firstLine="0"/>
        <w:jc w:val="left"/>
        <w:rPr>
          <w:color w:val="000000"/>
        </w:rPr>
      </w:pPr>
      <w:r w:rsidRPr="005F515C">
        <w:rPr>
          <w:rStyle w:val="FootnoteReference"/>
          <w:color w:val="000000"/>
        </w:rPr>
        <w:footnoteRef/>
      </w:r>
      <w:r w:rsidRPr="005F515C">
        <w:rPr>
          <w:color w:val="000000"/>
        </w:rPr>
        <w:t xml:space="preserve"> </w:t>
      </w:r>
      <w:r w:rsidRPr="005F515C">
        <w:rPr>
          <w:i/>
          <w:color w:val="000000"/>
        </w:rPr>
        <w:t xml:space="preserve">See </w:t>
      </w:r>
      <w:r w:rsidRPr="005F515C">
        <w:rPr>
          <w:color w:val="000000"/>
        </w:rPr>
        <w:t xml:space="preserve">47 C.F.R. § 17.48 (requiring antenna structure owners to notify the FAA immediately of any known outages of tower lighting lasting more than 30 minutes).  </w:t>
      </w:r>
    </w:p>
  </w:footnote>
  <w:footnote w:id="5">
    <w:p w14:paraId="0D7A473D" w14:textId="77777777" w:rsidR="00804712" w:rsidRPr="005F515C" w:rsidRDefault="00804712" w:rsidP="00305FED">
      <w:pPr>
        <w:pStyle w:val="FootnoteText"/>
        <w:widowControl/>
        <w:ind w:firstLine="0"/>
        <w:jc w:val="left"/>
        <w:rPr>
          <w:color w:val="000000"/>
        </w:rPr>
      </w:pPr>
      <w:r w:rsidRPr="005F515C">
        <w:rPr>
          <w:rStyle w:val="FootnoteReference"/>
          <w:color w:val="000000"/>
        </w:rPr>
        <w:footnoteRef/>
      </w:r>
      <w:r w:rsidRPr="005F515C">
        <w:rPr>
          <w:color w:val="000000"/>
        </w:rPr>
        <w:t xml:space="preserve"> The agent also monitored the structure a</w:t>
      </w:r>
      <w:r>
        <w:rPr>
          <w:color w:val="000000"/>
        </w:rPr>
        <w:t>t</w:t>
      </w:r>
      <w:r w:rsidRPr="005F515C">
        <w:rPr>
          <w:color w:val="000000"/>
        </w:rPr>
        <w:t xml:space="preserve"> nighttime and observed that the red obstruction lighting was functioning properly.</w:t>
      </w:r>
    </w:p>
  </w:footnote>
  <w:footnote w:id="6">
    <w:p w14:paraId="57F6CEE0" w14:textId="77777777" w:rsidR="00950E7E" w:rsidRPr="005F515C" w:rsidRDefault="00950E7E">
      <w:pPr>
        <w:pStyle w:val="FootnoteText"/>
        <w:ind w:firstLine="0"/>
        <w:jc w:val="left"/>
        <w:rPr>
          <w:color w:val="000000"/>
        </w:rPr>
      </w:pPr>
      <w:r w:rsidRPr="005F515C">
        <w:rPr>
          <w:rStyle w:val="FootnoteReference"/>
          <w:color w:val="000000"/>
        </w:rPr>
        <w:footnoteRef/>
      </w:r>
      <w:r w:rsidRPr="005F515C">
        <w:rPr>
          <w:color w:val="000000"/>
        </w:rPr>
        <w:t xml:space="preserve"> 47 U.S.C. § 303(q).</w:t>
      </w:r>
    </w:p>
  </w:footnote>
  <w:footnote w:id="7">
    <w:p w14:paraId="326B55D2" w14:textId="7D896F50" w:rsidR="00950E7E" w:rsidRPr="005F515C" w:rsidRDefault="00950E7E">
      <w:pPr>
        <w:pStyle w:val="FootnoteText"/>
        <w:ind w:firstLine="0"/>
        <w:jc w:val="left"/>
        <w:rPr>
          <w:color w:val="000000"/>
        </w:rPr>
      </w:pPr>
      <w:r w:rsidRPr="005F515C">
        <w:rPr>
          <w:rStyle w:val="FootnoteReference"/>
          <w:color w:val="000000"/>
        </w:rPr>
        <w:footnoteRef/>
      </w:r>
      <w:r w:rsidRPr="005F515C">
        <w:rPr>
          <w:color w:val="000000"/>
        </w:rPr>
        <w:t xml:space="preserve"> 47 C.F.R. §</w:t>
      </w:r>
      <w:r w:rsidR="007B67CE">
        <w:rPr>
          <w:color w:val="000000"/>
        </w:rPr>
        <w:t>§</w:t>
      </w:r>
      <w:r w:rsidRPr="005F515C">
        <w:rPr>
          <w:color w:val="000000"/>
        </w:rPr>
        <w:t xml:space="preserve"> 17.47, </w:t>
      </w:r>
      <w:r>
        <w:rPr>
          <w:color w:val="000000"/>
        </w:rPr>
        <w:t xml:space="preserve">17.48, </w:t>
      </w:r>
      <w:r w:rsidRPr="005F515C">
        <w:rPr>
          <w:color w:val="000000"/>
        </w:rPr>
        <w:t>17.51(b).</w:t>
      </w:r>
      <w:r>
        <w:rPr>
          <w:color w:val="000000"/>
        </w:rPr>
        <w:t xml:space="preserve">  </w:t>
      </w:r>
      <w:r w:rsidRPr="00BF2261">
        <w:rPr>
          <w:color w:val="000000"/>
        </w:rPr>
        <w:t xml:space="preserve">The Commission recently amended Sections </w:t>
      </w:r>
      <w:r>
        <w:rPr>
          <w:color w:val="000000"/>
        </w:rPr>
        <w:t xml:space="preserve">17.47, 17.48 and 17.51 </w:t>
      </w:r>
      <w:r w:rsidRPr="00BF2261">
        <w:rPr>
          <w:color w:val="000000"/>
        </w:rPr>
        <w:t xml:space="preserve">of the Rules.  </w:t>
      </w:r>
      <w:r w:rsidRPr="00F540A1">
        <w:rPr>
          <w:i/>
          <w:color w:val="000000"/>
        </w:rPr>
        <w:t>See In the Matter of 2004 and 2006 Biennial Regulatory Review – Streamlining and Other Revisions of Parts 1 and 17 of the Commission’s Rules Governing Construction, Marking and Lighting of Antenna Structures</w:t>
      </w:r>
      <w:r w:rsidRPr="00BF2261">
        <w:rPr>
          <w:color w:val="000000"/>
        </w:rPr>
        <w:t xml:space="preserve">, Report and Order, 29 FCC Rcd 9787 (2014).  The Rules cited to in this </w:t>
      </w:r>
      <w:r w:rsidR="007B67CE">
        <w:rPr>
          <w:color w:val="000000"/>
        </w:rPr>
        <w:t xml:space="preserve">Forfeiture </w:t>
      </w:r>
      <w:r w:rsidRPr="00BF2261">
        <w:rPr>
          <w:color w:val="000000"/>
        </w:rPr>
        <w:t>Order, however, were the Rules in effect at the time of the violation</w:t>
      </w:r>
      <w:r>
        <w:rPr>
          <w:color w:val="000000"/>
        </w:rPr>
        <w:t>s</w:t>
      </w:r>
      <w:r w:rsidRPr="00BF2261">
        <w:rPr>
          <w:color w:val="000000"/>
        </w:rPr>
        <w:t xml:space="preserve">.     </w:t>
      </w:r>
    </w:p>
  </w:footnote>
  <w:footnote w:id="8">
    <w:p w14:paraId="4D560A32" w14:textId="728F17D5" w:rsidR="00950E7E" w:rsidRPr="00163967" w:rsidRDefault="00950E7E">
      <w:pPr>
        <w:pStyle w:val="FootnoteText"/>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w:t>
      </w:r>
      <w:r w:rsidR="00037FC8">
        <w:rPr>
          <w:szCs w:val="20"/>
        </w:rPr>
        <w:t xml:space="preserve">GCI </w:t>
      </w:r>
      <w:r w:rsidRPr="00163967">
        <w:rPr>
          <w:szCs w:val="20"/>
        </w:rPr>
        <w:t xml:space="preserve">Response </w:t>
      </w:r>
      <w:r w:rsidR="00037FC8">
        <w:rPr>
          <w:szCs w:val="20"/>
        </w:rPr>
        <w:t>to Notice of Apparent Liability</w:t>
      </w:r>
      <w:r w:rsidRPr="00163967">
        <w:rPr>
          <w:szCs w:val="20"/>
        </w:rPr>
        <w:t xml:space="preserve"> (</w:t>
      </w:r>
      <w:r>
        <w:rPr>
          <w:szCs w:val="20"/>
        </w:rPr>
        <w:t>October 28, 2013</w:t>
      </w:r>
      <w:r w:rsidRPr="00163967">
        <w:rPr>
          <w:szCs w:val="20"/>
        </w:rPr>
        <w:t>) (on file in EB-FIELDWR-</w:t>
      </w:r>
      <w:r w:rsidRPr="00B8444B">
        <w:rPr>
          <w:szCs w:val="20"/>
        </w:rPr>
        <w:t>00004576</w:t>
      </w:r>
      <w:r w:rsidRPr="00163967">
        <w:rPr>
          <w:szCs w:val="20"/>
        </w:rPr>
        <w:t>) (</w:t>
      </w:r>
      <w:r w:rsidRPr="00037FC8">
        <w:rPr>
          <w:szCs w:val="20"/>
        </w:rPr>
        <w:t>NAL Response</w:t>
      </w:r>
      <w:r>
        <w:rPr>
          <w:szCs w:val="20"/>
        </w:rPr>
        <w:t>).</w:t>
      </w:r>
      <w:r>
        <w:rPr>
          <w:color w:val="000000"/>
        </w:rPr>
        <w:t xml:space="preserve"> </w:t>
      </w:r>
    </w:p>
  </w:footnote>
  <w:footnote w:id="9">
    <w:p w14:paraId="667DA69B" w14:textId="74FAF207" w:rsidR="00B8444B" w:rsidRPr="00163967" w:rsidRDefault="00B8444B">
      <w:pPr>
        <w:pStyle w:val="FootnoteText"/>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w:t>
      </w:r>
      <w:r w:rsidRPr="00037FC8">
        <w:rPr>
          <w:szCs w:val="20"/>
        </w:rPr>
        <w:t xml:space="preserve">NAL </w:t>
      </w:r>
      <w:r w:rsidRPr="00D406A3">
        <w:rPr>
          <w:szCs w:val="20"/>
        </w:rPr>
        <w:t>Respo</w:t>
      </w:r>
      <w:r w:rsidRPr="00305FED">
        <w:t>nse</w:t>
      </w:r>
      <w:r w:rsidR="00950E7E" w:rsidRPr="00D406A3">
        <w:rPr>
          <w:szCs w:val="20"/>
        </w:rPr>
        <w:t xml:space="preserve"> at</w:t>
      </w:r>
      <w:r w:rsidR="00950E7E">
        <w:rPr>
          <w:szCs w:val="20"/>
        </w:rPr>
        <w:t xml:space="preserve"> 1.</w:t>
      </w:r>
      <w:r w:rsidR="00F53564">
        <w:rPr>
          <w:szCs w:val="20"/>
        </w:rPr>
        <w:t xml:space="preserve">  </w:t>
      </w:r>
    </w:p>
  </w:footnote>
  <w:footnote w:id="10">
    <w:p w14:paraId="5AF4FF7F" w14:textId="5D5C0C67" w:rsidR="00B8444B" w:rsidRPr="001E38F2" w:rsidRDefault="00B8444B">
      <w:pPr>
        <w:pStyle w:val="FootnoteText"/>
        <w:ind w:firstLine="0"/>
        <w:jc w:val="left"/>
      </w:pPr>
      <w:r>
        <w:rPr>
          <w:rStyle w:val="FootnoteReference"/>
        </w:rPr>
        <w:footnoteRef/>
      </w:r>
      <w:r>
        <w:t xml:space="preserve"> </w:t>
      </w:r>
      <w:r>
        <w:rPr>
          <w:i/>
        </w:rPr>
        <w:t>Id.</w:t>
      </w:r>
      <w:r>
        <w:t xml:space="preserve"> at 1–2. </w:t>
      </w:r>
      <w:r w:rsidR="001E38F2">
        <w:t xml:space="preserve"> GCI also sta</w:t>
      </w:r>
      <w:r w:rsidR="00D741DB">
        <w:t>t</w:t>
      </w:r>
      <w:r w:rsidR="001E38F2">
        <w:t xml:space="preserve">es that it has undertaken a “voluntary, internal comprehensive audit of tower licensing and construction procedures to ensure compliance and future safety.”  </w:t>
      </w:r>
      <w:r w:rsidR="001E38F2">
        <w:rPr>
          <w:i/>
        </w:rPr>
        <w:t xml:space="preserve">Id. </w:t>
      </w:r>
      <w:r w:rsidR="001E38F2">
        <w:t>at 2.</w:t>
      </w:r>
    </w:p>
  </w:footnote>
  <w:footnote w:id="11">
    <w:p w14:paraId="4FB46802" w14:textId="160DA4EE" w:rsidR="00B8444B" w:rsidRPr="00D741DB" w:rsidRDefault="00B8444B">
      <w:pPr>
        <w:pStyle w:val="FootnoteText"/>
        <w:ind w:firstLine="0"/>
        <w:jc w:val="left"/>
      </w:pPr>
      <w:r>
        <w:rPr>
          <w:rStyle w:val="FootnoteReference"/>
        </w:rPr>
        <w:footnoteRef/>
      </w:r>
      <w:r>
        <w:t xml:space="preserve"> </w:t>
      </w:r>
      <w:r w:rsidRPr="00B8444B">
        <w:rPr>
          <w:i/>
        </w:rPr>
        <w:t>Id.</w:t>
      </w:r>
      <w:r w:rsidR="001E38F2">
        <w:rPr>
          <w:i/>
        </w:rPr>
        <w:t xml:space="preserve"> </w:t>
      </w:r>
      <w:r w:rsidRPr="00B8444B">
        <w:t>at 2.</w:t>
      </w:r>
    </w:p>
  </w:footnote>
  <w:footnote w:id="12">
    <w:p w14:paraId="3F546CF9" w14:textId="77777777" w:rsidR="00302DB8" w:rsidRPr="00344C0B" w:rsidRDefault="00302DB8" w:rsidP="00305FED">
      <w:pPr>
        <w:pStyle w:val="FootnoteText"/>
        <w:ind w:firstLine="0"/>
        <w:jc w:val="left"/>
      </w:pPr>
      <w:r w:rsidRPr="00344C0B">
        <w:rPr>
          <w:rStyle w:val="FootnoteReference"/>
        </w:rPr>
        <w:footnoteRef/>
      </w:r>
      <w:r w:rsidRPr="00344C0B">
        <w:t xml:space="preserve"> </w:t>
      </w:r>
      <w:r w:rsidRPr="00344C0B">
        <w:rPr>
          <w:color w:val="000000"/>
        </w:rPr>
        <w:t>47 U.S.C. § 503(b).</w:t>
      </w:r>
    </w:p>
  </w:footnote>
  <w:footnote w:id="13">
    <w:p w14:paraId="24E568FF" w14:textId="77777777" w:rsidR="00302DB8" w:rsidRPr="00344C0B" w:rsidRDefault="00302DB8" w:rsidP="00305FED">
      <w:pPr>
        <w:pStyle w:val="FootnoteText"/>
        <w:ind w:firstLine="0"/>
        <w:jc w:val="left"/>
      </w:pPr>
      <w:r w:rsidRPr="00344C0B">
        <w:rPr>
          <w:rStyle w:val="FootnoteReference"/>
        </w:rPr>
        <w:footnoteRef/>
      </w:r>
      <w:r w:rsidRPr="00344C0B">
        <w:t xml:space="preserve"> 47 C.F.R. § 1.80.</w:t>
      </w:r>
    </w:p>
  </w:footnote>
  <w:footnote w:id="14">
    <w:p w14:paraId="0FF9BEA1" w14:textId="77777777" w:rsidR="00302DB8" w:rsidRPr="00344C0B" w:rsidRDefault="00302DB8" w:rsidP="00305FED">
      <w:pPr>
        <w:pStyle w:val="FootnoteText"/>
        <w:ind w:firstLine="0"/>
        <w:jc w:val="lef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5">
    <w:p w14:paraId="7B12DE9B" w14:textId="77777777" w:rsidR="00302DB8" w:rsidRPr="00344C0B" w:rsidRDefault="00302DB8" w:rsidP="00305FED">
      <w:pPr>
        <w:pStyle w:val="FootnoteText"/>
        <w:ind w:firstLine="0"/>
        <w:jc w:val="left"/>
      </w:pPr>
      <w:r w:rsidRPr="00344C0B">
        <w:rPr>
          <w:rStyle w:val="FootnoteReference"/>
        </w:rPr>
        <w:footnoteRef/>
      </w:r>
      <w:r w:rsidRPr="00344C0B">
        <w:t xml:space="preserve"> 47 U.S.C. § 503(b)(2)(E).</w:t>
      </w:r>
    </w:p>
  </w:footnote>
  <w:footnote w:id="16">
    <w:p w14:paraId="23FFBB18" w14:textId="784A3720" w:rsidR="00E01A32" w:rsidRPr="00163967" w:rsidRDefault="00E01A32">
      <w:pPr>
        <w:pStyle w:val="FootnoteText"/>
        <w:tabs>
          <w:tab w:val="clear" w:pos="720"/>
        </w:tabs>
        <w:ind w:firstLine="0"/>
        <w:jc w:val="left"/>
        <w:rPr>
          <w:szCs w:val="20"/>
        </w:rPr>
      </w:pPr>
      <w:r w:rsidRPr="00163967">
        <w:rPr>
          <w:rStyle w:val="FootnoteReference"/>
        </w:rPr>
        <w:footnoteRef/>
      </w:r>
      <w:r w:rsidRPr="00163967">
        <w:rPr>
          <w:szCs w:val="20"/>
        </w:rPr>
        <w:t xml:space="preserve"> </w:t>
      </w:r>
      <w:r w:rsidRPr="00037FC8">
        <w:t>NAL Response</w:t>
      </w:r>
      <w:r w:rsidR="00430434">
        <w:rPr>
          <w:szCs w:val="20"/>
        </w:rPr>
        <w:t xml:space="preserve"> at 1</w:t>
      </w:r>
      <w:r w:rsidR="00D741DB">
        <w:rPr>
          <w:szCs w:val="20"/>
        </w:rPr>
        <w:t>–2</w:t>
      </w:r>
      <w:r w:rsidRPr="00163967">
        <w:rPr>
          <w:szCs w:val="20"/>
        </w:rPr>
        <w:t>.</w:t>
      </w:r>
    </w:p>
  </w:footnote>
  <w:footnote w:id="17">
    <w:p w14:paraId="41AAECA0" w14:textId="2F54BAB0" w:rsidR="00430434" w:rsidRPr="005A6D93" w:rsidRDefault="00430434" w:rsidP="00305FED">
      <w:pPr>
        <w:pStyle w:val="FootnoteText"/>
        <w:ind w:firstLine="0"/>
        <w:jc w:val="left"/>
      </w:pPr>
      <w:r w:rsidRPr="005A6D93">
        <w:rPr>
          <w:rStyle w:val="FootnoteReference"/>
        </w:rPr>
        <w:footnoteRef/>
      </w:r>
      <w:r w:rsidRPr="005A6D93">
        <w:t xml:space="preserve"> </w:t>
      </w:r>
      <w:r w:rsidRPr="005A6D93">
        <w:rPr>
          <w:i/>
        </w:rPr>
        <w:t>See, e.g.</w:t>
      </w:r>
      <w:r w:rsidRPr="005A6D93">
        <w:t xml:space="preserve">, </w:t>
      </w:r>
      <w:r w:rsidRPr="005A6D93">
        <w:rPr>
          <w:rStyle w:val="Emphasis"/>
        </w:rPr>
        <w:t>Sutro Corp.</w:t>
      </w:r>
      <w:r w:rsidRPr="005A6D93">
        <w:t xml:space="preserve">, Memorandum Opinion and Order, 19 FCC Rcd 15274, 15277, para. 10 (2004) (stating that the Commission will generally reduce a forfeiture “based on the good faith corrective efforts of a violator when those corrective efforts were taken prior to Commission notification of the violation”); </w:t>
      </w:r>
      <w:r w:rsidRPr="005A6D93">
        <w:rPr>
          <w:i/>
        </w:rPr>
        <w:t>Catholic Radio Network of Loveland, Inc.</w:t>
      </w:r>
      <w:r w:rsidRPr="005A6D93">
        <w:t xml:space="preserve">, Forfeiture Order, 29 FCC Rcd 121, 122–23, para. 5 (Enf. Bur. 2014) (“The Commission will generally reduce an assessed forfeiture based on the good faith corrective efforts of a violator when those corrective efforts were taken </w:t>
      </w:r>
      <w:r w:rsidRPr="005A6D93">
        <w:rPr>
          <w:rStyle w:val="Emphasis"/>
        </w:rPr>
        <w:t>prior</w:t>
      </w:r>
      <w:r w:rsidRPr="005A6D93">
        <w:t xml:space="preserve"> to Commission notification of the violation</w:t>
      </w:r>
      <w:r>
        <w:t>.</w:t>
      </w:r>
      <w:r w:rsidRPr="005A6D93">
        <w:t xml:space="preserve">”) (emphasis in original); </w:t>
      </w:r>
      <w:r w:rsidRPr="005A6D93">
        <w:rPr>
          <w:i/>
        </w:rPr>
        <w:t>Argos Net, Inc.</w:t>
      </w:r>
      <w:r w:rsidRPr="005A6D93">
        <w:t>, Forfeiture Order, 28 FCC Rcd 1126</w:t>
      </w:r>
      <w:r>
        <w:t>,</w:t>
      </w:r>
      <w:r w:rsidRPr="005A6D93">
        <w:t xml:space="preserve"> 1127, para. 4 (Enf. Bur. 2013) (“[C</w:t>
      </w:r>
      <w:r w:rsidR="00DC2996">
        <w:t>]</w:t>
      </w:r>
      <w:r w:rsidRPr="005A6D93">
        <w:t xml:space="preserve">orrective action taken after notification or inspection by the Commission does not mitigate the violation . . . .”).  </w:t>
      </w:r>
    </w:p>
  </w:footnote>
  <w:footnote w:id="18">
    <w:p w14:paraId="55447AAF" w14:textId="04935AE2" w:rsidR="00430434" w:rsidRPr="005A6D93" w:rsidRDefault="00430434" w:rsidP="00305FED">
      <w:pPr>
        <w:pStyle w:val="FootnoteText"/>
        <w:ind w:firstLine="0"/>
        <w:jc w:val="left"/>
      </w:pPr>
      <w:r w:rsidRPr="005A6D93">
        <w:rPr>
          <w:rStyle w:val="FootnoteReference"/>
        </w:rPr>
        <w:footnoteRef/>
      </w:r>
      <w:r w:rsidRPr="005A6D93">
        <w:t xml:space="preserve"> </w:t>
      </w:r>
      <w:r w:rsidRPr="005A6D93">
        <w:rPr>
          <w:i/>
          <w:iCs/>
        </w:rPr>
        <w:t>See, e.g.</w:t>
      </w:r>
      <w:r w:rsidRPr="005A6D93">
        <w:t>,</w:t>
      </w:r>
      <w:r w:rsidRPr="005A6D93">
        <w:rPr>
          <w:i/>
          <w:iCs/>
        </w:rPr>
        <w:t xml:space="preserve"> </w:t>
      </w:r>
      <w:r w:rsidRPr="001E38F2">
        <w:rPr>
          <w:i/>
          <w:iCs/>
        </w:rPr>
        <w:t>Seawest Yacht Brokers</w:t>
      </w:r>
      <w:r w:rsidRPr="001E38F2">
        <w:rPr>
          <w:iCs/>
        </w:rPr>
        <w:t xml:space="preserve">, </w:t>
      </w:r>
      <w:r w:rsidRPr="001E38F2">
        <w:t>Notice of Forfeiture</w:t>
      </w:r>
      <w:r w:rsidRPr="001E38F2">
        <w:rPr>
          <w:iCs/>
        </w:rPr>
        <w:t>, 9 FCC Rcd 6099, 6099, para. 7 (1994)</w:t>
      </w:r>
      <w:r w:rsidRPr="005A6D93">
        <w:rPr>
          <w:iCs/>
        </w:rPr>
        <w:t xml:space="preserve"> </w:t>
      </w:r>
      <w:r w:rsidRPr="005A6D93">
        <w:t>(</w:t>
      </w:r>
      <w:r w:rsidRPr="005A6D93">
        <w:rPr>
          <w:iCs/>
        </w:rPr>
        <w:t>citations omitted)</w:t>
      </w:r>
      <w:r w:rsidRPr="005A6D93">
        <w:t xml:space="preserve">; </w:t>
      </w:r>
      <w:r w:rsidRPr="001E38F2">
        <w:rPr>
          <w:i/>
          <w:iCs/>
        </w:rPr>
        <w:t>Exec. Broad. Corp.</w:t>
      </w:r>
      <w:r w:rsidRPr="001E38F2">
        <w:t>, 3 FCC 2d 699, 700, para. 6 (1966)</w:t>
      </w:r>
      <w:r w:rsidRPr="005A6D93">
        <w:t xml:space="preserve"> (“The fact that prompt corrective action was taken . . . does not excuse the prior violations.”).</w:t>
      </w:r>
    </w:p>
  </w:footnote>
  <w:footnote w:id="19">
    <w:p w14:paraId="3F236D22" w14:textId="77777777" w:rsidR="00430434" w:rsidRPr="005A6D93" w:rsidRDefault="00430434" w:rsidP="00305FED">
      <w:pPr>
        <w:pStyle w:val="FootnoteText"/>
        <w:ind w:firstLine="0"/>
        <w:jc w:val="left"/>
      </w:pPr>
      <w:r w:rsidRPr="005A6D93">
        <w:rPr>
          <w:rStyle w:val="FootnoteReference"/>
        </w:rPr>
        <w:footnoteRef/>
      </w:r>
      <w:r w:rsidRPr="005A6D93">
        <w:t xml:space="preserve"> </w:t>
      </w:r>
      <w:r w:rsidRPr="005A6D93">
        <w:rPr>
          <w:i/>
        </w:rPr>
        <w:t>See, e.g.</w:t>
      </w:r>
      <w:r w:rsidRPr="005A6D93">
        <w:t>,</w:t>
      </w:r>
      <w:r w:rsidRPr="005A6D93">
        <w:rPr>
          <w:i/>
        </w:rPr>
        <w:t xml:space="preserve"> Bold Gold Media WBS, L.P.</w:t>
      </w:r>
      <w:r w:rsidRPr="005A6D93">
        <w:t xml:space="preserve">, Forfeiture Order, 29 FCC Rcd 6016 (Enf. Bur. 2014) (reducing proposed forfeiture where licensee contracted to acquire required Emergency Alert System equipment prior to inspection). </w:t>
      </w:r>
    </w:p>
  </w:footnote>
  <w:footnote w:id="20">
    <w:p w14:paraId="7DF0C417" w14:textId="23CE70CC" w:rsidR="00D741DB" w:rsidRDefault="00D741DB" w:rsidP="00305FED">
      <w:pPr>
        <w:pStyle w:val="FootnoteText"/>
        <w:ind w:firstLine="0"/>
        <w:jc w:val="left"/>
      </w:pPr>
      <w:r>
        <w:rPr>
          <w:rStyle w:val="FootnoteReference"/>
        </w:rPr>
        <w:footnoteRef/>
      </w:r>
      <w:r>
        <w:t xml:space="preserve"> </w:t>
      </w:r>
      <w:r w:rsidRPr="00037FC8">
        <w:t>NAL Response</w:t>
      </w:r>
      <w:r w:rsidRPr="00D741DB">
        <w:t xml:space="preserve"> at </w:t>
      </w:r>
      <w:r>
        <w:t>2</w:t>
      </w:r>
      <w:r w:rsidRPr="00D741DB">
        <w:t>.</w:t>
      </w:r>
    </w:p>
  </w:footnote>
  <w:footnote w:id="21">
    <w:p w14:paraId="4DC0B384" w14:textId="663B5681" w:rsidR="009732D2" w:rsidRPr="009732D2" w:rsidRDefault="009732D2">
      <w:pPr>
        <w:pStyle w:val="FootnoteText"/>
        <w:ind w:firstLine="0"/>
        <w:jc w:val="left"/>
      </w:pPr>
      <w:r>
        <w:rPr>
          <w:rStyle w:val="FootnoteReference"/>
        </w:rPr>
        <w:footnoteRef/>
      </w:r>
      <w:r w:rsidR="00306A7D">
        <w:t xml:space="preserve"> </w:t>
      </w:r>
      <w:r w:rsidR="00306A7D" w:rsidRPr="00306A7D">
        <w:rPr>
          <w:i/>
        </w:rPr>
        <w:t>See NAL</w:t>
      </w:r>
      <w:r w:rsidR="00306A7D" w:rsidRPr="00306A7D">
        <w:t>, 28 FCC Rcd 12994, para. 9</w:t>
      </w:r>
      <w:r w:rsidR="00306A7D">
        <w:t xml:space="preserve">. </w:t>
      </w:r>
      <w:r>
        <w:t xml:space="preserve"> </w:t>
      </w:r>
      <w:r w:rsidRPr="0023071F">
        <w:t>Based on its 10-</w:t>
      </w:r>
      <w:r>
        <w:t>K</w:t>
      </w:r>
      <w:r w:rsidRPr="0023071F">
        <w:t xml:space="preserve"> SEC filing (Mar. </w:t>
      </w:r>
      <w:r w:rsidR="00306A7D">
        <w:t>27</w:t>
      </w:r>
      <w:r w:rsidRPr="0023071F">
        <w:t>, 201</w:t>
      </w:r>
      <w:r w:rsidR="00306A7D">
        <w:t>4</w:t>
      </w:r>
      <w:r w:rsidRPr="0023071F">
        <w:t>), GCI had annual revenues of $</w:t>
      </w:r>
      <w:r w:rsidR="004C55DA">
        <w:t>811,628</w:t>
      </w:r>
      <w:r w:rsidRPr="0023071F">
        <w:t>,000 in 201</w:t>
      </w:r>
      <w:r w:rsidR="004C55DA">
        <w:t>3</w:t>
      </w:r>
      <w:r>
        <w:t xml:space="preserve">.  </w:t>
      </w:r>
      <w:r w:rsidRPr="0023071F">
        <w:t xml:space="preserve">Based on </w:t>
      </w:r>
      <w:r>
        <w:t>the</w:t>
      </w:r>
      <w:r w:rsidRPr="0023071F">
        <w:t xml:space="preserve"> </w:t>
      </w:r>
      <w:r>
        <w:t xml:space="preserve">most recent </w:t>
      </w:r>
      <w:r w:rsidR="00306A7D">
        <w:t xml:space="preserve">10-Q </w:t>
      </w:r>
      <w:r w:rsidRPr="0023071F">
        <w:t>quarterly report fil</w:t>
      </w:r>
      <w:r w:rsidR="00306A7D">
        <w:t>ing (</w:t>
      </w:r>
      <w:r w:rsidRPr="0023071F">
        <w:t xml:space="preserve">Aug. </w:t>
      </w:r>
      <w:r w:rsidR="00306A7D">
        <w:t>7</w:t>
      </w:r>
      <w:r w:rsidRPr="0023071F">
        <w:t>, 201</w:t>
      </w:r>
      <w:r w:rsidR="00306A7D">
        <w:t>4)</w:t>
      </w:r>
      <w:r w:rsidRPr="0023071F">
        <w:t xml:space="preserve">, GCI’s </w:t>
      </w:r>
      <w:r w:rsidR="00306A7D">
        <w:t xml:space="preserve">total </w:t>
      </w:r>
      <w:r w:rsidRPr="0023071F">
        <w:t>r</w:t>
      </w:r>
      <w:r>
        <w:t>evenues for the six months ending</w:t>
      </w:r>
      <w:r w:rsidRPr="0023071F">
        <w:t xml:space="preserve"> July 30, 201</w:t>
      </w:r>
      <w:r>
        <w:t>3</w:t>
      </w:r>
      <w:r w:rsidRPr="0023071F">
        <w:t>, were $</w:t>
      </w:r>
      <w:r w:rsidR="00306A7D" w:rsidRPr="00306A7D">
        <w:t>440,682</w:t>
      </w:r>
      <w:r w:rsidRPr="0023071F">
        <w:t>,000</w:t>
      </w:r>
      <w:r>
        <w:t xml:space="preserve">.   </w:t>
      </w:r>
      <w:r>
        <w:rPr>
          <w:i/>
        </w:rPr>
        <w:t>See NAL</w:t>
      </w:r>
      <w:r>
        <w:t xml:space="preserve">, </w:t>
      </w:r>
      <w:r w:rsidRPr="009732D2">
        <w:t xml:space="preserve">28 FCC Rcd </w:t>
      </w:r>
      <w:r w:rsidR="00037FC8">
        <w:t xml:space="preserve">at </w:t>
      </w:r>
      <w:r w:rsidRPr="009732D2">
        <w:t>1</w:t>
      </w:r>
      <w:r>
        <w:t>2994, para. 9.</w:t>
      </w:r>
    </w:p>
  </w:footnote>
  <w:footnote w:id="22">
    <w:p w14:paraId="74B3B839" w14:textId="7A39D8A1" w:rsidR="009732D2" w:rsidRDefault="009732D2">
      <w:pPr>
        <w:pStyle w:val="FootnoteText"/>
        <w:ind w:firstLine="0"/>
        <w:jc w:val="left"/>
      </w:pPr>
      <w:r>
        <w:rPr>
          <w:rStyle w:val="FootnoteReference"/>
        </w:rPr>
        <w:footnoteRef/>
      </w:r>
      <w:r>
        <w:t xml:space="preserve"> </w:t>
      </w:r>
      <w:r w:rsidRPr="0025429B">
        <w:rPr>
          <w:i/>
        </w:rPr>
        <w:t>See</w:t>
      </w:r>
      <w:r>
        <w:rPr>
          <w:i/>
        </w:rPr>
        <w:t>, e.g.</w:t>
      </w:r>
      <w:r>
        <w:t>,</w:t>
      </w:r>
      <w:r w:rsidRPr="0025429B">
        <w:rPr>
          <w:i/>
        </w:rPr>
        <w:t xml:space="preserve"> Forfeiture Policy Statement</w:t>
      </w:r>
      <w:r w:rsidRPr="0025429B">
        <w:t>, 12 FCC Rcd at 17099</w:t>
      </w:r>
      <w:r w:rsidR="00C2302F">
        <w:t>–</w:t>
      </w:r>
      <w:r w:rsidRPr="0025429B">
        <w:t>100, paras. 23</w:t>
      </w:r>
      <w:r w:rsidR="00C2302F">
        <w:t>–</w:t>
      </w:r>
      <w:r w:rsidRPr="0025429B">
        <w:t>24 (cautioning all entities and individuals that, independent from the uniform base forfeiture amounts, the Commission will take in</w:t>
      </w:r>
      <w:r>
        <w:t>to account the subject violator’</w:t>
      </w:r>
      <w:r w:rsidRPr="0025429B">
        <w:t xml:space="preserve">s ability to pay in determining the amount of a forfeiture to guarantee that forfeitures issued against large or highly profitable entities are not considered merely an affordable cost of doing business, and noting that such large or highly profitable entities should expect that the forfeiture amount set out in a Notice of Apparent Liability against them may in many cases be above, or even well above, the relevant base amount); </w:t>
      </w:r>
      <w:r w:rsidRPr="0025429B">
        <w:rPr>
          <w:i/>
        </w:rPr>
        <w:t>Google Inc.</w:t>
      </w:r>
      <w:r w:rsidRPr="0025429B">
        <w:t>, Notice of Apparent Liability for Forfeiture, 27 FCC Rcd 4012 (Enf. Bur. 2012) (upwardly adjusting the base forfeiture due to the deliberate nature o</w:t>
      </w:r>
      <w:r>
        <w:t>f the violation and the company’</w:t>
      </w:r>
      <w:r w:rsidRPr="0025429B">
        <w:t xml:space="preserve">s gross revenues); </w:t>
      </w:r>
      <w:r w:rsidRPr="0025429B">
        <w:rPr>
          <w:i/>
        </w:rPr>
        <w:t>America Movil, S.A.B. de C.V., Parent of Puerto Rico Telephone Company, Inc.</w:t>
      </w:r>
      <w:r w:rsidRPr="0025429B">
        <w:t>, Notice of Apparent Liability for Forfeiture, 26 FCC Rcd 8672 (Enf. Bur. 2011) (doubling the bas</w:t>
      </w:r>
      <w:r>
        <w:t>e forfeiture due to the company’</w:t>
      </w:r>
      <w:r w:rsidRPr="0025429B">
        <w:t xml:space="preserve">s size and gross revenues); </w:t>
      </w:r>
      <w:r w:rsidRPr="00EA6D11">
        <w:rPr>
          <w:i/>
        </w:rPr>
        <w:t>Fox Television Stations Inc.</w:t>
      </w:r>
      <w:r w:rsidRPr="0025429B">
        <w:t>, Notice of Apparent Liability for Forfeiture, 25 FCC Rcd 7074 (Enf. Bur. 2010) (upwardly adjusting the base forfeiture based on the egregiousness o</w:t>
      </w:r>
      <w:r>
        <w:t>f the violation and the company’</w:t>
      </w:r>
      <w:r w:rsidRPr="0025429B">
        <w:t>s substantial revenues).</w:t>
      </w:r>
      <w:r>
        <w:t xml:space="preserve">  </w:t>
      </w:r>
      <w:r w:rsidRPr="009732D2">
        <w:rPr>
          <w:i/>
        </w:rPr>
        <w:t>See NAL</w:t>
      </w:r>
      <w:r w:rsidRPr="009732D2">
        <w:t xml:space="preserve">, 28 FCC Rcd </w:t>
      </w:r>
      <w:r w:rsidR="00037FC8">
        <w:t xml:space="preserve">at </w:t>
      </w:r>
      <w:r w:rsidRPr="009732D2">
        <w:t>12994, para. 9.</w:t>
      </w:r>
    </w:p>
  </w:footnote>
  <w:footnote w:id="23">
    <w:p w14:paraId="077A7CD0" w14:textId="77777777" w:rsidR="00B56CDF" w:rsidRPr="005F515C" w:rsidRDefault="00B56CDF">
      <w:pPr>
        <w:pStyle w:val="FootnoteText"/>
        <w:ind w:firstLine="0"/>
        <w:jc w:val="left"/>
        <w:rPr>
          <w:color w:val="000000"/>
        </w:rPr>
      </w:pPr>
      <w:r w:rsidRPr="005F515C">
        <w:rPr>
          <w:rStyle w:val="FootnoteReference"/>
          <w:color w:val="000000"/>
        </w:rPr>
        <w:footnoteRef/>
      </w:r>
      <w:r w:rsidRPr="005F515C">
        <w:rPr>
          <w:color w:val="000000"/>
        </w:rPr>
        <w:t xml:space="preserve"> 47 U.S.C. § 303(q).</w:t>
      </w:r>
    </w:p>
  </w:footnote>
  <w:footnote w:id="24">
    <w:p w14:paraId="0112EC65" w14:textId="032D2168" w:rsidR="00B56CDF" w:rsidRPr="005F515C" w:rsidRDefault="00B56CDF">
      <w:pPr>
        <w:pStyle w:val="FootnoteText"/>
        <w:ind w:firstLine="0"/>
        <w:jc w:val="left"/>
        <w:rPr>
          <w:color w:val="000000"/>
        </w:rPr>
      </w:pPr>
      <w:r w:rsidRPr="005F515C">
        <w:rPr>
          <w:rStyle w:val="FootnoteReference"/>
          <w:color w:val="000000"/>
        </w:rPr>
        <w:footnoteRef/>
      </w:r>
      <w:r w:rsidRPr="005F515C">
        <w:rPr>
          <w:color w:val="000000"/>
        </w:rPr>
        <w:t xml:space="preserve"> 47 C.F.R. § 17.47, </w:t>
      </w:r>
      <w:r>
        <w:rPr>
          <w:color w:val="000000"/>
        </w:rPr>
        <w:t xml:space="preserve">17.48, </w:t>
      </w:r>
      <w:r w:rsidRPr="005F515C">
        <w:rPr>
          <w:color w:val="000000"/>
        </w:rPr>
        <w:t>17.51(b).</w:t>
      </w:r>
      <w:r>
        <w:rPr>
          <w:color w:val="000000"/>
        </w:rPr>
        <w:t xml:space="preserve">  </w:t>
      </w:r>
      <w:r w:rsidRPr="00BF2261">
        <w:rPr>
          <w:color w:val="000000"/>
        </w:rPr>
        <w:t xml:space="preserve">    </w:t>
      </w:r>
    </w:p>
  </w:footnote>
  <w:footnote w:id="25">
    <w:p w14:paraId="1F491578" w14:textId="77777777" w:rsidR="00B56CDF" w:rsidRPr="00344C0B" w:rsidRDefault="00B56CDF" w:rsidP="00305FED">
      <w:pPr>
        <w:pStyle w:val="FootnoteText"/>
        <w:ind w:firstLine="0"/>
        <w:jc w:val="left"/>
      </w:pPr>
      <w:r w:rsidRPr="00344C0B">
        <w:rPr>
          <w:rStyle w:val="FootnoteReference"/>
        </w:rPr>
        <w:footnoteRef/>
      </w:r>
      <w:r w:rsidRPr="00344C0B">
        <w:t xml:space="preserve"> 47 U.S.C. § 503(b).</w:t>
      </w:r>
    </w:p>
  </w:footnote>
  <w:footnote w:id="26">
    <w:p w14:paraId="51C96B7E" w14:textId="77777777" w:rsidR="00B56CDF" w:rsidRPr="00344C0B" w:rsidRDefault="00B56CDF" w:rsidP="00305FED">
      <w:pPr>
        <w:pStyle w:val="FootnoteText"/>
        <w:ind w:firstLine="0"/>
        <w:jc w:val="left"/>
      </w:pPr>
      <w:r w:rsidRPr="00344C0B">
        <w:rPr>
          <w:rStyle w:val="FootnoteReference"/>
        </w:rPr>
        <w:footnoteRef/>
      </w:r>
      <w:r w:rsidRPr="00344C0B">
        <w:t xml:space="preserve"> 47 C.F.R. § 1.80.</w:t>
      </w:r>
    </w:p>
  </w:footnote>
  <w:footnote w:id="27">
    <w:p w14:paraId="372DA4E1" w14:textId="77777777" w:rsidR="00B56CDF" w:rsidRPr="00344C0B" w:rsidRDefault="00B56CDF" w:rsidP="00305FED">
      <w:pPr>
        <w:pStyle w:val="FootnoteText"/>
        <w:ind w:firstLine="0"/>
        <w:jc w:val="left"/>
      </w:pPr>
      <w:r w:rsidRPr="00344C0B">
        <w:rPr>
          <w:rStyle w:val="FootnoteReference"/>
        </w:rPr>
        <w:footnoteRef/>
      </w:r>
      <w:r w:rsidRPr="00344C0B">
        <w:t xml:space="preserve"> </w:t>
      </w:r>
      <w:r w:rsidRPr="00344C0B">
        <w:rPr>
          <w:i/>
        </w:rPr>
        <w:t>Id.</w:t>
      </w:r>
    </w:p>
  </w:footnote>
  <w:footnote w:id="28">
    <w:p w14:paraId="6D1B18FD" w14:textId="77777777" w:rsidR="00B56CDF" w:rsidRPr="00344C0B" w:rsidRDefault="00B56CDF" w:rsidP="00305FED">
      <w:pPr>
        <w:pStyle w:val="FootnoteText"/>
        <w:ind w:firstLine="0"/>
        <w:jc w:val="left"/>
      </w:pPr>
      <w:r w:rsidRPr="00344C0B">
        <w:rPr>
          <w:rStyle w:val="FootnoteReference"/>
        </w:rPr>
        <w:footnoteRef/>
      </w:r>
      <w:r w:rsidRPr="00344C0B">
        <w:t xml:space="preserve"> 47 U.S.C. § 504(a).</w:t>
      </w:r>
    </w:p>
  </w:footnote>
  <w:footnote w:id="29">
    <w:p w14:paraId="439A862A" w14:textId="17CEBFAD" w:rsidR="00B56CDF" w:rsidRPr="00344C0B" w:rsidRDefault="00B56CDF">
      <w:pPr>
        <w:pStyle w:val="FootnoteText"/>
        <w:ind w:firstLine="0"/>
        <w:jc w:val="left"/>
      </w:pPr>
      <w:r w:rsidRPr="00344C0B">
        <w:rPr>
          <w:rStyle w:val="FootnoteReference"/>
        </w:rPr>
        <w:footnoteRef/>
      </w:r>
      <w:r w:rsidR="00037FC8">
        <w:t xml:space="preserve"> </w:t>
      </w:r>
      <w:r w:rsidRPr="00344C0B">
        <w:t>An FCC Form 159 and detailed instructions for completing the form may be obtained at http://www.fcc.gov/Forms/Form159/159.pdf.</w:t>
      </w:r>
    </w:p>
  </w:footnote>
  <w:footnote w:id="30">
    <w:p w14:paraId="1A19D473" w14:textId="77777777" w:rsidR="00B56CDF" w:rsidRPr="0030738C" w:rsidRDefault="00B56CDF" w:rsidP="00305FED">
      <w:pPr>
        <w:pStyle w:val="FootnoteText"/>
        <w:ind w:firstLine="0"/>
        <w:jc w:val="lef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5F01" w14:textId="77777777" w:rsidR="00290931" w:rsidRDefault="00290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7C9D" w14:textId="0214465A" w:rsidR="00A80EF9" w:rsidRDefault="00A80EF9">
    <w:pPr>
      <w:tabs>
        <w:tab w:val="center" w:pos="4680"/>
        <w:tab w:val="right" w:pos="9360"/>
      </w:tabs>
      <w:suppressAutoHyphens/>
      <w:spacing w:line="227" w:lineRule="auto"/>
      <w:jc w:val="both"/>
      <w:rPr>
        <w:b/>
      </w:rPr>
    </w:pPr>
    <w:r>
      <w:rPr>
        <w:b/>
      </w:rPr>
      <w:tab/>
      <w:t>Federal Communications Commission</w:t>
    </w:r>
    <w:r>
      <w:rPr>
        <w:b/>
      </w:rPr>
      <w:tab/>
      <w:t>DA 1</w:t>
    </w:r>
    <w:r w:rsidR="00302DB8">
      <w:rPr>
        <w:b/>
      </w:rPr>
      <w:t>5</w:t>
    </w:r>
    <w:r>
      <w:rPr>
        <w:b/>
      </w:rPr>
      <w:t>-</w:t>
    </w:r>
    <w:r w:rsidR="008A7282">
      <w:rPr>
        <w:b/>
      </w:rPr>
      <w:t>137</w:t>
    </w:r>
  </w:p>
  <w:p w14:paraId="7E7E8765" w14:textId="77777777" w:rsidR="00A80EF9" w:rsidRDefault="00345358">
    <w:pPr>
      <w:pStyle w:val="Header"/>
      <w:jc w:val="both"/>
      <w:rPr>
        <w:b/>
      </w:rPr>
    </w:pPr>
    <w:r>
      <w:rPr>
        <w:b/>
        <w:noProof/>
      </w:rPr>
      <mc:AlternateContent>
        <mc:Choice Requires="wps">
          <w:drawing>
            <wp:anchor distT="0" distB="0" distL="114300" distR="114300" simplePos="0" relativeHeight="251657216" behindDoc="1" locked="0" layoutInCell="0" allowOverlap="1" wp14:anchorId="290CFB6D" wp14:editId="72164FD3">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3501B"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14:paraId="0483501B" w14:textId="77777777"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01BB" w14:textId="41107738" w:rsidR="00A80EF9" w:rsidRDefault="00A80EF9">
    <w:pPr>
      <w:tabs>
        <w:tab w:val="center" w:pos="4680"/>
        <w:tab w:val="right" w:pos="9360"/>
      </w:tabs>
      <w:suppressAutoHyphens/>
      <w:spacing w:line="227" w:lineRule="auto"/>
      <w:jc w:val="both"/>
      <w:rPr>
        <w:spacing w:val="-2"/>
      </w:rPr>
    </w:pPr>
    <w:r>
      <w:rPr>
        <w:b/>
        <w:spacing w:val="-2"/>
      </w:rPr>
      <w:tab/>
      <w:t>Federal</w:t>
    </w:r>
    <w:r w:rsidR="00302DB8">
      <w:rPr>
        <w:b/>
        <w:spacing w:val="-2"/>
      </w:rPr>
      <w:t xml:space="preserve"> Communications Commission</w:t>
    </w:r>
    <w:r w:rsidR="00302DB8">
      <w:rPr>
        <w:b/>
        <w:spacing w:val="-2"/>
      </w:rPr>
      <w:tab/>
      <w:t>DA 15</w:t>
    </w:r>
    <w:r>
      <w:rPr>
        <w:b/>
        <w:spacing w:val="-2"/>
      </w:rPr>
      <w:t>-</w:t>
    </w:r>
    <w:r w:rsidR="008A7282">
      <w:rPr>
        <w:b/>
        <w:spacing w:val="-2"/>
      </w:rPr>
      <w:t>137</w:t>
    </w:r>
  </w:p>
  <w:p w14:paraId="4E0F5559" w14:textId="7A20EEE5" w:rsidR="00A80EF9" w:rsidRPr="008E5F5B" w:rsidRDefault="00345358" w:rsidP="008E5F5B">
    <w:pPr>
      <w:tabs>
        <w:tab w:val="left" w:pos="-1440"/>
        <w:tab w:val="left" w:pos="-720"/>
        <w:tab w:val="left" w:pos="324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24622C34" wp14:editId="6546999C">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642F6"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14:paraId="1B4642F6" w14:textId="77777777" w:rsidR="00A80EF9" w:rsidRDefault="00A80EF9"/>
                </w:txbxContent>
              </v:textbox>
              <w10:wrap anchorx="margin"/>
            </v:rect>
          </w:pict>
        </mc:Fallback>
      </mc:AlternateContent>
    </w:r>
    <w:r w:rsidR="00DC2EFE" w:rsidRPr="008E5F5B">
      <w:rPr>
        <w:spacing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0835D53"/>
    <w:multiLevelType w:val="multilevel"/>
    <w:tmpl w:val="0409001D"/>
    <w:numStyleLink w:val="Style3"/>
  </w:abstractNum>
  <w:abstractNum w:abstractNumId="2">
    <w:nsid w:val="05EF645E"/>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3">
    <w:nsid w:val="0EF62E39"/>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4">
    <w:nsid w:val="15B60EBF"/>
    <w:multiLevelType w:val="multilevel"/>
    <w:tmpl w:val="C2CC7D36"/>
    <w:styleLink w:val="Style1"/>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6">
    <w:nsid w:val="1A2F361D"/>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7">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0303C7"/>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12">
    <w:nsid w:val="392F75C6"/>
    <w:multiLevelType w:val="multilevel"/>
    <w:tmpl w:val="C2CC7D36"/>
    <w:numStyleLink w:val="Style2"/>
  </w:abstractNum>
  <w:abstractNum w:abstractNumId="13">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5">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6">
    <w:nsid w:val="50A21FC2"/>
    <w:multiLevelType w:val="hybridMultilevel"/>
    <w:tmpl w:val="DBBAF81E"/>
    <w:lvl w:ilvl="0" w:tplc="8E20EFDC">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64E2CB06">
      <w:start w:val="1"/>
      <w:numFmt w:val="bullet"/>
      <w:lvlText w:val=""/>
      <w:lvlJc w:val="left"/>
      <w:pPr>
        <w:tabs>
          <w:tab w:val="num" w:pos="1440"/>
        </w:tabs>
        <w:ind w:left="1440" w:hanging="360"/>
      </w:pPr>
      <w:rPr>
        <w:rFonts w:ascii="Wingdings" w:hAnsi="Wingdings" w:hint="default"/>
        <w:b w:val="0"/>
        <w:color w:val="auto"/>
        <w:sz w:val="16"/>
      </w:rPr>
    </w:lvl>
    <w:lvl w:ilvl="2" w:tplc="5F12BAEA">
      <w:start w:val="1"/>
      <w:numFmt w:val="lowerRoman"/>
      <w:lvlText w:val="%3."/>
      <w:lvlJc w:val="right"/>
      <w:pPr>
        <w:tabs>
          <w:tab w:val="num" w:pos="2160"/>
        </w:tabs>
        <w:ind w:left="2160" w:hanging="180"/>
      </w:pPr>
    </w:lvl>
    <w:lvl w:ilvl="3" w:tplc="30881886">
      <w:start w:val="1"/>
      <w:numFmt w:val="decimal"/>
      <w:lvlText w:val="%4."/>
      <w:lvlJc w:val="left"/>
      <w:pPr>
        <w:tabs>
          <w:tab w:val="num" w:pos="2880"/>
        </w:tabs>
        <w:ind w:left="2880" w:hanging="360"/>
      </w:pPr>
    </w:lvl>
    <w:lvl w:ilvl="4" w:tplc="13761A34">
      <w:start w:val="1"/>
      <w:numFmt w:val="lowerLetter"/>
      <w:lvlText w:val="%5."/>
      <w:lvlJc w:val="left"/>
      <w:pPr>
        <w:tabs>
          <w:tab w:val="num" w:pos="3600"/>
        </w:tabs>
        <w:ind w:left="3600" w:hanging="360"/>
      </w:pPr>
    </w:lvl>
    <w:lvl w:ilvl="5" w:tplc="97A65E6C">
      <w:start w:val="1"/>
      <w:numFmt w:val="lowerRoman"/>
      <w:lvlText w:val="%6."/>
      <w:lvlJc w:val="right"/>
      <w:pPr>
        <w:tabs>
          <w:tab w:val="num" w:pos="4320"/>
        </w:tabs>
        <w:ind w:left="4320" w:hanging="180"/>
      </w:pPr>
    </w:lvl>
    <w:lvl w:ilvl="6" w:tplc="E4BCAE4E">
      <w:start w:val="1"/>
      <w:numFmt w:val="decimal"/>
      <w:lvlText w:val="%7."/>
      <w:lvlJc w:val="left"/>
      <w:pPr>
        <w:tabs>
          <w:tab w:val="num" w:pos="5040"/>
        </w:tabs>
        <w:ind w:left="5040" w:hanging="360"/>
      </w:pPr>
    </w:lvl>
    <w:lvl w:ilvl="7" w:tplc="8DAC6E56">
      <w:start w:val="1"/>
      <w:numFmt w:val="lowerLetter"/>
      <w:lvlText w:val="%8."/>
      <w:lvlJc w:val="left"/>
      <w:pPr>
        <w:tabs>
          <w:tab w:val="num" w:pos="5760"/>
        </w:tabs>
        <w:ind w:left="5760" w:hanging="360"/>
      </w:pPr>
    </w:lvl>
    <w:lvl w:ilvl="8" w:tplc="367A410E">
      <w:start w:val="1"/>
      <w:numFmt w:val="lowerRoman"/>
      <w:lvlText w:val="%9."/>
      <w:lvlJc w:val="right"/>
      <w:pPr>
        <w:tabs>
          <w:tab w:val="num" w:pos="6480"/>
        </w:tabs>
        <w:ind w:left="6480" w:hanging="180"/>
      </w:pPr>
    </w:lvl>
  </w:abstractNum>
  <w:abstractNum w:abstractNumId="17">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96E6EA9"/>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21">
    <w:nsid w:val="71BC1BB9"/>
    <w:multiLevelType w:val="multilevel"/>
    <w:tmpl w:val="C2CC7D36"/>
    <w:numStyleLink w:val="Style1"/>
  </w:abstractNum>
  <w:abstractNum w:abstractNumId="22">
    <w:nsid w:val="7AE623B2"/>
    <w:multiLevelType w:val="hybridMultilevel"/>
    <w:tmpl w:val="C94C0F76"/>
    <w:lvl w:ilvl="0" w:tplc="112E5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5C6F81"/>
    <w:multiLevelType w:val="hybridMultilevel"/>
    <w:tmpl w:val="F0E4DE98"/>
    <w:lvl w:ilvl="0" w:tplc="540E2A4A">
      <w:start w:val="1"/>
      <w:numFmt w:val="decimal"/>
      <w:lvlText w:val="%1."/>
      <w:lvlJc w:val="left"/>
      <w:pPr>
        <w:tabs>
          <w:tab w:val="num" w:pos="1080"/>
        </w:tabs>
        <w:ind w:left="0" w:firstLine="720"/>
      </w:pPr>
      <w:rPr>
        <w:rFonts w:ascii="Times New Roman" w:hAnsi="Times New Roman" w:hint="default"/>
        <w:b w:val="0"/>
        <w:i w:val="0"/>
        <w:sz w:val="22"/>
        <w:szCs w:val="22"/>
      </w:rPr>
    </w:lvl>
    <w:lvl w:ilvl="1" w:tplc="DECCC056">
      <w:start w:val="1"/>
      <w:numFmt w:val="lowerLetter"/>
      <w:lvlText w:val="%2."/>
      <w:lvlJc w:val="left"/>
      <w:pPr>
        <w:tabs>
          <w:tab w:val="num" w:pos="720"/>
        </w:tabs>
        <w:ind w:left="720" w:hanging="360"/>
      </w:pPr>
    </w:lvl>
    <w:lvl w:ilvl="2" w:tplc="4C34C2AC" w:tentative="1">
      <w:start w:val="1"/>
      <w:numFmt w:val="lowerRoman"/>
      <w:lvlText w:val="%3."/>
      <w:lvlJc w:val="right"/>
      <w:pPr>
        <w:tabs>
          <w:tab w:val="num" w:pos="1440"/>
        </w:tabs>
        <w:ind w:left="1440" w:hanging="180"/>
      </w:pPr>
    </w:lvl>
    <w:lvl w:ilvl="3" w:tplc="E4704906" w:tentative="1">
      <w:start w:val="1"/>
      <w:numFmt w:val="decimal"/>
      <w:lvlText w:val="%4."/>
      <w:lvlJc w:val="left"/>
      <w:pPr>
        <w:tabs>
          <w:tab w:val="num" w:pos="2160"/>
        </w:tabs>
        <w:ind w:left="2160" w:hanging="360"/>
      </w:pPr>
    </w:lvl>
    <w:lvl w:ilvl="4" w:tplc="D980C09E" w:tentative="1">
      <w:start w:val="1"/>
      <w:numFmt w:val="lowerLetter"/>
      <w:lvlText w:val="%5."/>
      <w:lvlJc w:val="left"/>
      <w:pPr>
        <w:tabs>
          <w:tab w:val="num" w:pos="2880"/>
        </w:tabs>
        <w:ind w:left="2880" w:hanging="360"/>
      </w:pPr>
    </w:lvl>
    <w:lvl w:ilvl="5" w:tplc="F5101024" w:tentative="1">
      <w:start w:val="1"/>
      <w:numFmt w:val="lowerRoman"/>
      <w:lvlText w:val="%6."/>
      <w:lvlJc w:val="right"/>
      <w:pPr>
        <w:tabs>
          <w:tab w:val="num" w:pos="3600"/>
        </w:tabs>
        <w:ind w:left="3600" w:hanging="180"/>
      </w:pPr>
    </w:lvl>
    <w:lvl w:ilvl="6" w:tplc="7520C0CC" w:tentative="1">
      <w:start w:val="1"/>
      <w:numFmt w:val="decimal"/>
      <w:lvlText w:val="%7."/>
      <w:lvlJc w:val="left"/>
      <w:pPr>
        <w:tabs>
          <w:tab w:val="num" w:pos="4320"/>
        </w:tabs>
        <w:ind w:left="4320" w:hanging="360"/>
      </w:pPr>
    </w:lvl>
    <w:lvl w:ilvl="7" w:tplc="E9FAB240" w:tentative="1">
      <w:start w:val="1"/>
      <w:numFmt w:val="lowerLetter"/>
      <w:lvlText w:val="%8."/>
      <w:lvlJc w:val="left"/>
      <w:pPr>
        <w:tabs>
          <w:tab w:val="num" w:pos="5040"/>
        </w:tabs>
        <w:ind w:left="5040" w:hanging="360"/>
      </w:pPr>
    </w:lvl>
    <w:lvl w:ilvl="8" w:tplc="DE2E2C66" w:tentative="1">
      <w:start w:val="1"/>
      <w:numFmt w:val="lowerRoman"/>
      <w:lvlText w:val="%9."/>
      <w:lvlJc w:val="right"/>
      <w:pPr>
        <w:tabs>
          <w:tab w:val="num" w:pos="5760"/>
        </w:tabs>
        <w:ind w:left="5760" w:hanging="180"/>
      </w:pPr>
    </w:lvl>
  </w:abstractNum>
  <w:abstractNum w:abstractNumId="24">
    <w:nsid w:val="7F374834"/>
    <w:multiLevelType w:val="hybridMultilevel"/>
    <w:tmpl w:val="B156BBB0"/>
    <w:lvl w:ilvl="0" w:tplc="BFF8110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A94952"/>
    <w:multiLevelType w:val="multilevel"/>
    <w:tmpl w:val="C2CC7D36"/>
    <w:styleLink w:val="Style2"/>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3"/>
  </w:num>
  <w:num w:numId="3">
    <w:abstractNumId w:val="9"/>
  </w:num>
  <w:num w:numId="4">
    <w:abstractNumId w:val="19"/>
  </w:num>
  <w:num w:numId="5">
    <w:abstractNumId w:val="8"/>
  </w:num>
  <w:num w:numId="6">
    <w:abstractNumId w:val="11"/>
  </w:num>
  <w:num w:numId="7">
    <w:abstractNumId w:val="7"/>
  </w:num>
  <w:num w:numId="8">
    <w:abstractNumId w:val="23"/>
  </w:num>
  <w:num w:numId="9">
    <w:abstractNumId w:val="18"/>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num>
  <w:num w:numId="15">
    <w:abstractNumId w:val="20"/>
  </w:num>
  <w:num w:numId="16">
    <w:abstractNumId w:val="3"/>
  </w:num>
  <w:num w:numId="17">
    <w:abstractNumId w:val="21"/>
  </w:num>
  <w:num w:numId="18">
    <w:abstractNumId w:val="4"/>
  </w:num>
  <w:num w:numId="19">
    <w:abstractNumId w:val="25"/>
  </w:num>
  <w:num w:numId="20">
    <w:abstractNumId w:val="10"/>
  </w:num>
  <w:num w:numId="21">
    <w:abstractNumId w:val="1"/>
  </w:num>
  <w:num w:numId="22">
    <w:abstractNumId w:val="17"/>
  </w:num>
  <w:num w:numId="23">
    <w:abstractNumId w:val="15"/>
  </w:num>
  <w:num w:numId="24">
    <w:abstractNumId w:val="0"/>
    <w:lvlOverride w:ilvl="0">
      <w:lvl w:ilvl="0">
        <w:numFmt w:val="bullet"/>
        <w:pStyle w:val="par1"/>
        <w:lvlText w:val=""/>
        <w:legacy w:legacy="1" w:legacySpace="0" w:legacyIndent="360"/>
        <w:lvlJc w:val="left"/>
        <w:rPr>
          <w:rFonts w:ascii="Symbol" w:hAnsi="Symbol" w:hint="default"/>
        </w:rPr>
      </w:lvl>
    </w:lvlOverride>
  </w:num>
  <w:num w:numId="25">
    <w:abstractNumId w:val="13"/>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0158E"/>
    <w:rsid w:val="00013AE8"/>
    <w:rsid w:val="00017501"/>
    <w:rsid w:val="00026D0F"/>
    <w:rsid w:val="000313B9"/>
    <w:rsid w:val="00032C36"/>
    <w:rsid w:val="00035D3B"/>
    <w:rsid w:val="00037FC8"/>
    <w:rsid w:val="0004261E"/>
    <w:rsid w:val="00045489"/>
    <w:rsid w:val="000478B5"/>
    <w:rsid w:val="00065D52"/>
    <w:rsid w:val="00075E37"/>
    <w:rsid w:val="00095EBC"/>
    <w:rsid w:val="000B4DF2"/>
    <w:rsid w:val="000B7B9C"/>
    <w:rsid w:val="000D7FCC"/>
    <w:rsid w:val="000E468A"/>
    <w:rsid w:val="000E5BF2"/>
    <w:rsid w:val="001221C1"/>
    <w:rsid w:val="001557D7"/>
    <w:rsid w:val="00160E82"/>
    <w:rsid w:val="00163967"/>
    <w:rsid w:val="00187123"/>
    <w:rsid w:val="001B2825"/>
    <w:rsid w:val="001B5E6D"/>
    <w:rsid w:val="001C0059"/>
    <w:rsid w:val="001C0F6A"/>
    <w:rsid w:val="001C1B23"/>
    <w:rsid w:val="001C3864"/>
    <w:rsid w:val="001D3E1E"/>
    <w:rsid w:val="001D684D"/>
    <w:rsid w:val="001E38F2"/>
    <w:rsid w:val="001E3A4D"/>
    <w:rsid w:val="001F0226"/>
    <w:rsid w:val="001F73B5"/>
    <w:rsid w:val="00211A8B"/>
    <w:rsid w:val="00223043"/>
    <w:rsid w:val="00226B3D"/>
    <w:rsid w:val="002375F1"/>
    <w:rsid w:val="00243A06"/>
    <w:rsid w:val="00250566"/>
    <w:rsid w:val="00257394"/>
    <w:rsid w:val="002622B8"/>
    <w:rsid w:val="0026705B"/>
    <w:rsid w:val="0027787A"/>
    <w:rsid w:val="00287E3C"/>
    <w:rsid w:val="00290931"/>
    <w:rsid w:val="002A5137"/>
    <w:rsid w:val="002A7814"/>
    <w:rsid w:val="002B142E"/>
    <w:rsid w:val="002C4062"/>
    <w:rsid w:val="002C7509"/>
    <w:rsid w:val="00300B98"/>
    <w:rsid w:val="00302DB8"/>
    <w:rsid w:val="00305FED"/>
    <w:rsid w:val="00306A7D"/>
    <w:rsid w:val="00323B69"/>
    <w:rsid w:val="00334D47"/>
    <w:rsid w:val="00334DCA"/>
    <w:rsid w:val="00345358"/>
    <w:rsid w:val="00360754"/>
    <w:rsid w:val="003621F1"/>
    <w:rsid w:val="0038494B"/>
    <w:rsid w:val="00386693"/>
    <w:rsid w:val="003876EE"/>
    <w:rsid w:val="003916F4"/>
    <w:rsid w:val="003959D8"/>
    <w:rsid w:val="003C54FB"/>
    <w:rsid w:val="0040394E"/>
    <w:rsid w:val="00403CCA"/>
    <w:rsid w:val="00404144"/>
    <w:rsid w:val="00411FF4"/>
    <w:rsid w:val="00430434"/>
    <w:rsid w:val="00430B8A"/>
    <w:rsid w:val="0043171B"/>
    <w:rsid w:val="00436EF6"/>
    <w:rsid w:val="00447053"/>
    <w:rsid w:val="004573F0"/>
    <w:rsid w:val="00484344"/>
    <w:rsid w:val="00495717"/>
    <w:rsid w:val="004B5754"/>
    <w:rsid w:val="004C50D7"/>
    <w:rsid w:val="004C55DA"/>
    <w:rsid w:val="004D32B8"/>
    <w:rsid w:val="004E4192"/>
    <w:rsid w:val="00500C3C"/>
    <w:rsid w:val="00507736"/>
    <w:rsid w:val="0051192E"/>
    <w:rsid w:val="005215D5"/>
    <w:rsid w:val="00525D4F"/>
    <w:rsid w:val="005269A2"/>
    <w:rsid w:val="00526CFB"/>
    <w:rsid w:val="00532D14"/>
    <w:rsid w:val="00532DC0"/>
    <w:rsid w:val="005511AE"/>
    <w:rsid w:val="00563587"/>
    <w:rsid w:val="00567C29"/>
    <w:rsid w:val="00580574"/>
    <w:rsid w:val="00594F52"/>
    <w:rsid w:val="005B0CE2"/>
    <w:rsid w:val="005B6CDE"/>
    <w:rsid w:val="005C10DB"/>
    <w:rsid w:val="005C71EC"/>
    <w:rsid w:val="005E5B28"/>
    <w:rsid w:val="005F2619"/>
    <w:rsid w:val="0061124B"/>
    <w:rsid w:val="00624567"/>
    <w:rsid w:val="0062714A"/>
    <w:rsid w:val="00627660"/>
    <w:rsid w:val="00640254"/>
    <w:rsid w:val="0066026B"/>
    <w:rsid w:val="00665A4F"/>
    <w:rsid w:val="0066702C"/>
    <w:rsid w:val="00667A0E"/>
    <w:rsid w:val="006738C7"/>
    <w:rsid w:val="00676A8B"/>
    <w:rsid w:val="006A5DE0"/>
    <w:rsid w:val="006D0771"/>
    <w:rsid w:val="006D2C3C"/>
    <w:rsid w:val="006E6B64"/>
    <w:rsid w:val="006F37EC"/>
    <w:rsid w:val="006F6ACD"/>
    <w:rsid w:val="00701719"/>
    <w:rsid w:val="00726B4C"/>
    <w:rsid w:val="007274B2"/>
    <w:rsid w:val="007316D1"/>
    <w:rsid w:val="0073534D"/>
    <w:rsid w:val="00745774"/>
    <w:rsid w:val="00747D0C"/>
    <w:rsid w:val="00751065"/>
    <w:rsid w:val="007531E0"/>
    <w:rsid w:val="0075733D"/>
    <w:rsid w:val="007703F8"/>
    <w:rsid w:val="00786081"/>
    <w:rsid w:val="00792824"/>
    <w:rsid w:val="007B3C8E"/>
    <w:rsid w:val="007B67CE"/>
    <w:rsid w:val="007C4744"/>
    <w:rsid w:val="007D4710"/>
    <w:rsid w:val="0080340B"/>
    <w:rsid w:val="00804712"/>
    <w:rsid w:val="00804F58"/>
    <w:rsid w:val="008115F3"/>
    <w:rsid w:val="00817091"/>
    <w:rsid w:val="00835FE8"/>
    <w:rsid w:val="008411BC"/>
    <w:rsid w:val="00843372"/>
    <w:rsid w:val="00855EC9"/>
    <w:rsid w:val="00857739"/>
    <w:rsid w:val="00861AAF"/>
    <w:rsid w:val="00864481"/>
    <w:rsid w:val="00886B82"/>
    <w:rsid w:val="00895196"/>
    <w:rsid w:val="008A6611"/>
    <w:rsid w:val="008A7282"/>
    <w:rsid w:val="008B3887"/>
    <w:rsid w:val="008B3D50"/>
    <w:rsid w:val="008C1A0C"/>
    <w:rsid w:val="008E079A"/>
    <w:rsid w:val="008E598B"/>
    <w:rsid w:val="008E5F5B"/>
    <w:rsid w:val="008E6666"/>
    <w:rsid w:val="008E6B70"/>
    <w:rsid w:val="008F59DF"/>
    <w:rsid w:val="00912147"/>
    <w:rsid w:val="00922E07"/>
    <w:rsid w:val="00923CCC"/>
    <w:rsid w:val="00924171"/>
    <w:rsid w:val="00925A53"/>
    <w:rsid w:val="00934211"/>
    <w:rsid w:val="00950E7E"/>
    <w:rsid w:val="00951A66"/>
    <w:rsid w:val="009564E9"/>
    <w:rsid w:val="00972009"/>
    <w:rsid w:val="009732D2"/>
    <w:rsid w:val="009A3B4C"/>
    <w:rsid w:val="009A462D"/>
    <w:rsid w:val="009B3B64"/>
    <w:rsid w:val="009C17AA"/>
    <w:rsid w:val="009C6F42"/>
    <w:rsid w:val="009E61A9"/>
    <w:rsid w:val="00A04FA3"/>
    <w:rsid w:val="00A13E31"/>
    <w:rsid w:val="00A15C53"/>
    <w:rsid w:val="00A1624B"/>
    <w:rsid w:val="00A22F36"/>
    <w:rsid w:val="00A31F76"/>
    <w:rsid w:val="00A4026E"/>
    <w:rsid w:val="00A52750"/>
    <w:rsid w:val="00A54EF7"/>
    <w:rsid w:val="00A6515B"/>
    <w:rsid w:val="00A72764"/>
    <w:rsid w:val="00A76318"/>
    <w:rsid w:val="00A775A3"/>
    <w:rsid w:val="00A80EF9"/>
    <w:rsid w:val="00A85887"/>
    <w:rsid w:val="00A86D7F"/>
    <w:rsid w:val="00A96136"/>
    <w:rsid w:val="00AB0273"/>
    <w:rsid w:val="00AF64D2"/>
    <w:rsid w:val="00AF6CE4"/>
    <w:rsid w:val="00B055B2"/>
    <w:rsid w:val="00B175EB"/>
    <w:rsid w:val="00B2411E"/>
    <w:rsid w:val="00B33D4E"/>
    <w:rsid w:val="00B41224"/>
    <w:rsid w:val="00B56CDF"/>
    <w:rsid w:val="00B61D95"/>
    <w:rsid w:val="00B72690"/>
    <w:rsid w:val="00B81DE3"/>
    <w:rsid w:val="00B8444B"/>
    <w:rsid w:val="00B85B71"/>
    <w:rsid w:val="00BA09F4"/>
    <w:rsid w:val="00BA24C0"/>
    <w:rsid w:val="00BB7534"/>
    <w:rsid w:val="00BC2849"/>
    <w:rsid w:val="00BD060F"/>
    <w:rsid w:val="00BD10A2"/>
    <w:rsid w:val="00BF2261"/>
    <w:rsid w:val="00C04DCF"/>
    <w:rsid w:val="00C1614E"/>
    <w:rsid w:val="00C16F99"/>
    <w:rsid w:val="00C22884"/>
    <w:rsid w:val="00C2302F"/>
    <w:rsid w:val="00C330EF"/>
    <w:rsid w:val="00C3486D"/>
    <w:rsid w:val="00C401BE"/>
    <w:rsid w:val="00C41085"/>
    <w:rsid w:val="00C42218"/>
    <w:rsid w:val="00C42E4D"/>
    <w:rsid w:val="00C45ADC"/>
    <w:rsid w:val="00C67679"/>
    <w:rsid w:val="00CB6803"/>
    <w:rsid w:val="00CD1DBE"/>
    <w:rsid w:val="00D00FED"/>
    <w:rsid w:val="00D07731"/>
    <w:rsid w:val="00D1310B"/>
    <w:rsid w:val="00D21D26"/>
    <w:rsid w:val="00D22F42"/>
    <w:rsid w:val="00D269A7"/>
    <w:rsid w:val="00D269C4"/>
    <w:rsid w:val="00D406A3"/>
    <w:rsid w:val="00D44695"/>
    <w:rsid w:val="00D471D6"/>
    <w:rsid w:val="00D54BD4"/>
    <w:rsid w:val="00D56963"/>
    <w:rsid w:val="00D60D8C"/>
    <w:rsid w:val="00D62F4A"/>
    <w:rsid w:val="00D70CCD"/>
    <w:rsid w:val="00D741DB"/>
    <w:rsid w:val="00D83E65"/>
    <w:rsid w:val="00D90BD5"/>
    <w:rsid w:val="00D9193E"/>
    <w:rsid w:val="00D94C13"/>
    <w:rsid w:val="00DA316C"/>
    <w:rsid w:val="00DC25A2"/>
    <w:rsid w:val="00DC2996"/>
    <w:rsid w:val="00DC2EFE"/>
    <w:rsid w:val="00DC59AD"/>
    <w:rsid w:val="00DC70CC"/>
    <w:rsid w:val="00DD1F81"/>
    <w:rsid w:val="00DD22E5"/>
    <w:rsid w:val="00DD5284"/>
    <w:rsid w:val="00DD75F8"/>
    <w:rsid w:val="00DE5386"/>
    <w:rsid w:val="00E01A32"/>
    <w:rsid w:val="00E03094"/>
    <w:rsid w:val="00E0519C"/>
    <w:rsid w:val="00E26178"/>
    <w:rsid w:val="00E30C2F"/>
    <w:rsid w:val="00E32D89"/>
    <w:rsid w:val="00E3457A"/>
    <w:rsid w:val="00E570AD"/>
    <w:rsid w:val="00E61A51"/>
    <w:rsid w:val="00E6231A"/>
    <w:rsid w:val="00E71504"/>
    <w:rsid w:val="00E72CE4"/>
    <w:rsid w:val="00E8363E"/>
    <w:rsid w:val="00E9705D"/>
    <w:rsid w:val="00EA58D7"/>
    <w:rsid w:val="00EB628D"/>
    <w:rsid w:val="00EB7588"/>
    <w:rsid w:val="00EC740C"/>
    <w:rsid w:val="00ED0C14"/>
    <w:rsid w:val="00ED704F"/>
    <w:rsid w:val="00EF6261"/>
    <w:rsid w:val="00F07DF9"/>
    <w:rsid w:val="00F12E62"/>
    <w:rsid w:val="00F225B6"/>
    <w:rsid w:val="00F34069"/>
    <w:rsid w:val="00F37040"/>
    <w:rsid w:val="00F4427B"/>
    <w:rsid w:val="00F53564"/>
    <w:rsid w:val="00F540A1"/>
    <w:rsid w:val="00F6621C"/>
    <w:rsid w:val="00F67168"/>
    <w:rsid w:val="00F85FC5"/>
    <w:rsid w:val="00F900FA"/>
    <w:rsid w:val="00FA5A31"/>
    <w:rsid w:val="00FA623A"/>
    <w:rsid w:val="00FA7F8B"/>
    <w:rsid w:val="00FB29D6"/>
    <w:rsid w:val="00FB3EAE"/>
    <w:rsid w:val="00FB617A"/>
    <w:rsid w:val="00FC0AA9"/>
    <w:rsid w:val="00FD05FA"/>
    <w:rsid w:val="00FE3257"/>
    <w:rsid w:val="00FE731F"/>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FR,Style 17,Style 6,Footnote Referenc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 w:type="numbering" w:customStyle="1" w:styleId="Style1">
    <w:name w:val="Style1"/>
    <w:uiPriority w:val="99"/>
    <w:rsid w:val="00D21D26"/>
    <w:pPr>
      <w:numPr>
        <w:numId w:val="18"/>
      </w:numPr>
    </w:pPr>
  </w:style>
  <w:style w:type="numbering" w:customStyle="1" w:styleId="Style2">
    <w:name w:val="Style2"/>
    <w:uiPriority w:val="99"/>
    <w:rsid w:val="00D21D26"/>
    <w:pPr>
      <w:numPr>
        <w:numId w:val="19"/>
      </w:numPr>
    </w:pPr>
  </w:style>
  <w:style w:type="numbering" w:customStyle="1" w:styleId="Style3">
    <w:name w:val="Style3"/>
    <w:uiPriority w:val="99"/>
    <w:rsid w:val="00D21D26"/>
    <w:pPr>
      <w:numPr>
        <w:numId w:val="20"/>
      </w:numPr>
    </w:pPr>
  </w:style>
  <w:style w:type="paragraph" w:customStyle="1" w:styleId="par1">
    <w:name w:val="par1"/>
    <w:basedOn w:val="Normal"/>
    <w:link w:val="par1Char"/>
    <w:uiPriority w:val="99"/>
    <w:rsid w:val="00B56CDF"/>
    <w:pPr>
      <w:widowControl w:val="0"/>
      <w:numPr>
        <w:numId w:val="24"/>
      </w:numPr>
      <w:tabs>
        <w:tab w:val="num" w:pos="900"/>
        <w:tab w:val="left" w:pos="1440"/>
      </w:tabs>
      <w:ind w:left="-180" w:firstLine="720"/>
    </w:pPr>
    <w:rPr>
      <w:snapToGrid w:val="0"/>
      <w:kern w:val="28"/>
      <w:sz w:val="20"/>
      <w:szCs w:val="20"/>
    </w:rPr>
  </w:style>
  <w:style w:type="character" w:customStyle="1" w:styleId="par1Char">
    <w:name w:val="par1 Char"/>
    <w:link w:val="par1"/>
    <w:uiPriority w:val="99"/>
    <w:locked/>
    <w:rsid w:val="00B56CDF"/>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FR,Style 17,Style 6,Footnote Referenc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 w:type="numbering" w:customStyle="1" w:styleId="Style1">
    <w:name w:val="Style1"/>
    <w:uiPriority w:val="99"/>
    <w:rsid w:val="00D21D26"/>
    <w:pPr>
      <w:numPr>
        <w:numId w:val="18"/>
      </w:numPr>
    </w:pPr>
  </w:style>
  <w:style w:type="numbering" w:customStyle="1" w:styleId="Style2">
    <w:name w:val="Style2"/>
    <w:uiPriority w:val="99"/>
    <w:rsid w:val="00D21D26"/>
    <w:pPr>
      <w:numPr>
        <w:numId w:val="19"/>
      </w:numPr>
    </w:pPr>
  </w:style>
  <w:style w:type="numbering" w:customStyle="1" w:styleId="Style3">
    <w:name w:val="Style3"/>
    <w:uiPriority w:val="99"/>
    <w:rsid w:val="00D21D26"/>
    <w:pPr>
      <w:numPr>
        <w:numId w:val="20"/>
      </w:numPr>
    </w:pPr>
  </w:style>
  <w:style w:type="paragraph" w:customStyle="1" w:styleId="par1">
    <w:name w:val="par1"/>
    <w:basedOn w:val="Normal"/>
    <w:link w:val="par1Char"/>
    <w:uiPriority w:val="99"/>
    <w:rsid w:val="00B56CDF"/>
    <w:pPr>
      <w:widowControl w:val="0"/>
      <w:numPr>
        <w:numId w:val="24"/>
      </w:numPr>
      <w:tabs>
        <w:tab w:val="num" w:pos="900"/>
        <w:tab w:val="left" w:pos="1440"/>
      </w:tabs>
      <w:ind w:left="-180" w:firstLine="720"/>
    </w:pPr>
    <w:rPr>
      <w:snapToGrid w:val="0"/>
      <w:kern w:val="28"/>
      <w:sz w:val="20"/>
      <w:szCs w:val="20"/>
    </w:rPr>
  </w:style>
  <w:style w:type="character" w:customStyle="1" w:styleId="par1Char">
    <w:name w:val="par1 Char"/>
    <w:link w:val="par1"/>
    <w:uiPriority w:val="99"/>
    <w:locked/>
    <w:rsid w:val="00B56CDF"/>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2223233">
      <w:bodyDiv w:val="1"/>
      <w:marLeft w:val="0"/>
      <w:marRight w:val="0"/>
      <w:marTop w:val="0"/>
      <w:marBottom w:val="0"/>
      <w:divBdr>
        <w:top w:val="none" w:sz="0" w:space="0" w:color="auto"/>
        <w:left w:val="none" w:sz="0" w:space="0" w:color="auto"/>
        <w:bottom w:val="none" w:sz="0" w:space="0" w:color="auto"/>
        <w:right w:val="none" w:sz="0" w:space="0" w:color="auto"/>
      </w:divBdr>
      <w:divsChild>
        <w:div w:id="1303535507">
          <w:marLeft w:val="0"/>
          <w:marRight w:val="0"/>
          <w:marTop w:val="0"/>
          <w:marBottom w:val="0"/>
          <w:divBdr>
            <w:top w:val="none" w:sz="0" w:space="0" w:color="auto"/>
            <w:left w:val="none" w:sz="0" w:space="0" w:color="auto"/>
            <w:bottom w:val="none" w:sz="0" w:space="0" w:color="auto"/>
            <w:right w:val="none" w:sz="0" w:space="0" w:color="auto"/>
          </w:divBdr>
          <w:divsChild>
            <w:div w:id="1258751242">
              <w:marLeft w:val="0"/>
              <w:marRight w:val="0"/>
              <w:marTop w:val="0"/>
              <w:marBottom w:val="0"/>
              <w:divBdr>
                <w:top w:val="none" w:sz="0" w:space="0" w:color="auto"/>
                <w:left w:val="none" w:sz="0" w:space="0" w:color="auto"/>
                <w:bottom w:val="none" w:sz="0" w:space="0" w:color="auto"/>
                <w:right w:val="none" w:sz="0" w:space="0" w:color="auto"/>
              </w:divBdr>
              <w:divsChild>
                <w:div w:id="1388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865443038">
      <w:bodyDiv w:val="1"/>
      <w:marLeft w:val="30"/>
      <w:marRight w:val="30"/>
      <w:marTop w:val="30"/>
      <w:marBottom w:val="30"/>
      <w:divBdr>
        <w:top w:val="none" w:sz="0" w:space="0" w:color="auto"/>
        <w:left w:val="none" w:sz="0" w:space="0" w:color="auto"/>
        <w:bottom w:val="none" w:sz="0" w:space="0" w:color="auto"/>
        <w:right w:val="none" w:sz="0" w:space="0" w:color="auto"/>
      </w:divBdr>
      <w:divsChild>
        <w:div w:id="331223384">
          <w:marLeft w:val="0"/>
          <w:marRight w:val="0"/>
          <w:marTop w:val="0"/>
          <w:marBottom w:val="0"/>
          <w:divBdr>
            <w:top w:val="none" w:sz="0" w:space="0" w:color="auto"/>
            <w:left w:val="none" w:sz="0" w:space="0" w:color="auto"/>
            <w:bottom w:val="none" w:sz="0" w:space="0" w:color="auto"/>
            <w:right w:val="none" w:sz="0" w:space="0" w:color="auto"/>
          </w:divBdr>
          <w:divsChild>
            <w:div w:id="976959446">
              <w:marLeft w:val="45"/>
              <w:marRight w:val="45"/>
              <w:marTop w:val="45"/>
              <w:marBottom w:val="45"/>
              <w:divBdr>
                <w:top w:val="none" w:sz="0" w:space="0" w:color="auto"/>
                <w:left w:val="none" w:sz="0" w:space="0" w:color="auto"/>
                <w:bottom w:val="none" w:sz="0" w:space="0" w:color="auto"/>
                <w:right w:val="none" w:sz="0" w:space="0" w:color="auto"/>
              </w:divBdr>
              <w:divsChild>
                <w:div w:id="1996255291">
                  <w:marLeft w:val="0"/>
                  <w:marRight w:val="0"/>
                  <w:marTop w:val="0"/>
                  <w:marBottom w:val="0"/>
                  <w:divBdr>
                    <w:top w:val="none" w:sz="0" w:space="0" w:color="auto"/>
                    <w:left w:val="none" w:sz="0" w:space="0" w:color="auto"/>
                    <w:bottom w:val="none" w:sz="0" w:space="0" w:color="auto"/>
                    <w:right w:val="none" w:sz="0" w:space="0" w:color="auto"/>
                  </w:divBdr>
                  <w:divsChild>
                    <w:div w:id="816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8412</Characters>
  <Application>Microsoft Office Word</Application>
  <DocSecurity>0</DocSecurity>
  <Lines>151</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9978</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2013-08-30T01:41:00Z</cp:lastPrinted>
  <dcterms:created xsi:type="dcterms:W3CDTF">2015-02-04T01:58:00Z</dcterms:created>
  <dcterms:modified xsi:type="dcterms:W3CDTF">2015-02-04T01:58:00Z</dcterms:modified>
  <cp:category> </cp:category>
  <cp:contentStatus> </cp:contentStatus>
</cp:coreProperties>
</file>