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C34C3" w14:textId="77777777" w:rsidR="00F8305B" w:rsidRDefault="00F8305B">
      <w:pPr>
        <w:jc w:val="center"/>
        <w:rPr>
          <w:rFonts w:ascii="Times New Roman Bold" w:hAnsi="Times New Roman Bold"/>
        </w:rPr>
      </w:pPr>
      <w:bookmarkStart w:id="0" w:name="_GoBack"/>
      <w:bookmarkEnd w:id="0"/>
      <w:r>
        <w:rPr>
          <w:rFonts w:ascii="Times New Roman Bold" w:hAnsi="Times New Roman Bold"/>
        </w:rPr>
        <w:t>Before the</w:t>
      </w:r>
    </w:p>
    <w:p w14:paraId="3BF1042B" w14:textId="77777777" w:rsidR="00F8305B" w:rsidRDefault="00F8305B">
      <w:pPr>
        <w:jc w:val="center"/>
        <w:rPr>
          <w:rFonts w:ascii="Times New Roman Bold" w:hAnsi="Times New Roman Bold"/>
        </w:rPr>
      </w:pPr>
      <w:r>
        <w:rPr>
          <w:rFonts w:ascii="Times New Roman Bold" w:hAnsi="Times New Roman Bold"/>
        </w:rPr>
        <w:t>Federal Communications Commission</w:t>
      </w:r>
    </w:p>
    <w:p w14:paraId="2839ABAE" w14:textId="77777777" w:rsidR="00F8305B" w:rsidRDefault="00F8305B">
      <w:pPr>
        <w:jc w:val="center"/>
        <w:rPr>
          <w:rFonts w:ascii="Times New Roman Bold" w:hAnsi="Times New Roman Bold"/>
        </w:rPr>
      </w:pPr>
      <w:r>
        <w:rPr>
          <w:rFonts w:ascii="Times New Roman Bold" w:hAnsi="Times New Roman Bold"/>
        </w:rPr>
        <w:t>Washington, D.C. 20554</w:t>
      </w:r>
    </w:p>
    <w:p w14:paraId="477C05AE" w14:textId="77777777" w:rsidR="00F8305B" w:rsidRDefault="00F8305B"/>
    <w:tbl>
      <w:tblPr>
        <w:tblW w:w="0" w:type="auto"/>
        <w:tblLayout w:type="fixed"/>
        <w:tblLook w:val="0000" w:firstRow="0" w:lastRow="0" w:firstColumn="0" w:lastColumn="0" w:noHBand="0" w:noVBand="0"/>
      </w:tblPr>
      <w:tblGrid>
        <w:gridCol w:w="4698"/>
        <w:gridCol w:w="630"/>
        <w:gridCol w:w="4248"/>
      </w:tblGrid>
      <w:tr w:rsidR="003D51B8" w:rsidRPr="003D51B8" w14:paraId="404D00A0" w14:textId="77777777" w:rsidTr="00F8305B">
        <w:tc>
          <w:tcPr>
            <w:tcW w:w="4698" w:type="dxa"/>
          </w:tcPr>
          <w:p w14:paraId="7BF2CB62" w14:textId="77777777"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r w:rsidRPr="003D51B8">
              <w:rPr>
                <w:rFonts w:eastAsia="Times New Roman"/>
                <w:snapToGrid w:val="0"/>
                <w:color w:val="auto"/>
                <w:spacing w:val="-2"/>
                <w:kern w:val="28"/>
                <w:szCs w:val="20"/>
              </w:rPr>
              <w:t>In the Matter of</w:t>
            </w:r>
          </w:p>
          <w:p w14:paraId="2C717360" w14:textId="77777777"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14:paraId="1763FE9F" w14:textId="77777777" w:rsidR="003D51B8" w:rsidRDefault="004748E6"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Victory Temple</w:t>
            </w:r>
            <w:r w:rsidR="003D51B8">
              <w:rPr>
                <w:rFonts w:eastAsia="Times New Roman"/>
                <w:snapToGrid w:val="0"/>
                <w:color w:val="auto"/>
                <w:spacing w:val="-2"/>
                <w:kern w:val="28"/>
                <w:szCs w:val="20"/>
              </w:rPr>
              <w:t xml:space="preserve"> </w:t>
            </w:r>
          </w:p>
          <w:p w14:paraId="722BDDF2" w14:textId="77777777" w:rsidR="004748E6" w:rsidRDefault="004748E6" w:rsidP="003D51B8">
            <w:pPr>
              <w:widowControl w:val="0"/>
              <w:tabs>
                <w:tab w:val="center" w:pos="4680"/>
              </w:tabs>
              <w:suppressAutoHyphens/>
              <w:spacing w:after="0"/>
              <w:ind w:firstLine="0"/>
              <w:rPr>
                <w:rFonts w:eastAsia="Times New Roman"/>
                <w:snapToGrid w:val="0"/>
                <w:color w:val="auto"/>
                <w:spacing w:val="-2"/>
                <w:kern w:val="28"/>
                <w:szCs w:val="20"/>
              </w:rPr>
            </w:pPr>
          </w:p>
          <w:p w14:paraId="17EE71FF" w14:textId="77777777" w:rsidR="0068057E" w:rsidRDefault="0068057E"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 xml:space="preserve">Petition for Exemption from the </w:t>
            </w:r>
          </w:p>
          <w:p w14:paraId="3197F876" w14:textId="77777777" w:rsidR="003D51B8" w:rsidRPr="003D51B8" w:rsidRDefault="0068057E" w:rsidP="00EE2974">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Closed Captioning Requirements</w:t>
            </w:r>
          </w:p>
        </w:tc>
        <w:tc>
          <w:tcPr>
            <w:tcW w:w="630" w:type="dxa"/>
          </w:tcPr>
          <w:p w14:paraId="2E23A2E1" w14:textId="77777777"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14:paraId="282C6DAD" w14:textId="77777777"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14:paraId="4B785AD1" w14:textId="77777777"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14:paraId="6340DD04" w14:textId="77777777"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14:paraId="4A6BBB2B" w14:textId="77777777"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14:paraId="21F83CDC" w14:textId="77777777"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14:paraId="4B438E66" w14:textId="77777777"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tc>
        <w:tc>
          <w:tcPr>
            <w:tcW w:w="4248" w:type="dxa"/>
          </w:tcPr>
          <w:p w14:paraId="79BACE05" w14:textId="77777777"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14:paraId="0E7E9666" w14:textId="77777777"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14:paraId="295C6ED8" w14:textId="77777777" w:rsidR="003D51B8" w:rsidRDefault="0068057E"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CGB-CC-</w:t>
            </w:r>
            <w:r w:rsidR="004748E6">
              <w:rPr>
                <w:rFonts w:eastAsia="Times New Roman"/>
                <w:snapToGrid w:val="0"/>
                <w:color w:val="auto"/>
                <w:spacing w:val="-2"/>
                <w:kern w:val="28"/>
                <w:szCs w:val="20"/>
              </w:rPr>
              <w:t>0406</w:t>
            </w:r>
          </w:p>
          <w:p w14:paraId="5A151940" w14:textId="77777777" w:rsid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14:paraId="7676A2B5" w14:textId="77777777" w:rsidR="003D51B8" w:rsidRPr="003D51B8" w:rsidRDefault="0068057E"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CG Docket No. 06-181</w:t>
            </w:r>
          </w:p>
        </w:tc>
      </w:tr>
    </w:tbl>
    <w:p w14:paraId="651DD22A" w14:textId="77777777" w:rsidR="003D51B8" w:rsidRPr="003D51B8" w:rsidRDefault="003D51B8" w:rsidP="003D51B8">
      <w:pPr>
        <w:widowControl w:val="0"/>
        <w:spacing w:after="0"/>
        <w:ind w:firstLine="0"/>
        <w:rPr>
          <w:rFonts w:eastAsia="Times New Roman"/>
          <w:snapToGrid w:val="0"/>
          <w:color w:val="auto"/>
          <w:kern w:val="28"/>
          <w:szCs w:val="20"/>
        </w:rPr>
      </w:pPr>
    </w:p>
    <w:p w14:paraId="44147F82" w14:textId="77777777" w:rsidR="003D51B8" w:rsidRPr="003D51B8" w:rsidRDefault="003D51B8" w:rsidP="003D51B8">
      <w:pPr>
        <w:widowControl w:val="0"/>
        <w:spacing w:after="0"/>
        <w:ind w:firstLine="0"/>
        <w:jc w:val="center"/>
        <w:rPr>
          <w:rFonts w:ascii="Times New Roman Bold" w:eastAsia="Times New Roman" w:hAnsi="Times New Roman Bold"/>
          <w:b/>
          <w:bCs/>
          <w:caps/>
          <w:snapToGrid w:val="0"/>
          <w:color w:val="auto"/>
          <w:kern w:val="28"/>
          <w:szCs w:val="22"/>
        </w:rPr>
      </w:pPr>
      <w:r>
        <w:rPr>
          <w:rFonts w:ascii="Times New Roman Bold" w:eastAsia="Times New Roman" w:hAnsi="Times New Roman Bold"/>
          <w:b/>
          <w:bCs/>
          <w:caps/>
          <w:snapToGrid w:val="0"/>
          <w:color w:val="auto"/>
          <w:kern w:val="28"/>
          <w:szCs w:val="22"/>
        </w:rPr>
        <w:t>MEMORANDUM OPINION AND ORDER</w:t>
      </w:r>
    </w:p>
    <w:p w14:paraId="616C676E" w14:textId="77777777" w:rsidR="003D51B8" w:rsidRPr="003D51B8" w:rsidRDefault="003D51B8" w:rsidP="003D51B8">
      <w:pPr>
        <w:widowControl w:val="0"/>
        <w:tabs>
          <w:tab w:val="left" w:pos="-720"/>
        </w:tabs>
        <w:suppressAutoHyphens/>
        <w:spacing w:after="0" w:line="227" w:lineRule="auto"/>
        <w:ind w:firstLine="0"/>
        <w:rPr>
          <w:rFonts w:eastAsia="Times New Roman"/>
          <w:snapToGrid w:val="0"/>
          <w:color w:val="auto"/>
          <w:spacing w:val="-2"/>
          <w:kern w:val="28"/>
          <w:szCs w:val="20"/>
        </w:rPr>
      </w:pPr>
    </w:p>
    <w:p w14:paraId="16C8D290" w14:textId="0ADD8630" w:rsidR="003D51B8" w:rsidRPr="003D51B8" w:rsidRDefault="003D51B8" w:rsidP="003D51B8">
      <w:pPr>
        <w:widowControl w:val="0"/>
        <w:tabs>
          <w:tab w:val="left" w:pos="720"/>
          <w:tab w:val="right" w:pos="9360"/>
        </w:tabs>
        <w:suppressAutoHyphens/>
        <w:spacing w:after="0" w:line="227" w:lineRule="auto"/>
        <w:ind w:firstLine="0"/>
        <w:rPr>
          <w:rFonts w:eastAsia="Times New Roman"/>
          <w:snapToGrid w:val="0"/>
          <w:color w:val="auto"/>
          <w:spacing w:val="-2"/>
          <w:kern w:val="28"/>
          <w:szCs w:val="20"/>
        </w:rPr>
      </w:pPr>
      <w:r w:rsidRPr="003D51B8">
        <w:rPr>
          <w:rFonts w:eastAsia="Times New Roman"/>
          <w:b/>
          <w:snapToGrid w:val="0"/>
          <w:color w:val="auto"/>
          <w:spacing w:val="-2"/>
          <w:kern w:val="28"/>
          <w:szCs w:val="20"/>
        </w:rPr>
        <w:t xml:space="preserve">Adopted:  </w:t>
      </w:r>
      <w:r w:rsidR="001939D0">
        <w:rPr>
          <w:rFonts w:eastAsia="Times New Roman"/>
          <w:b/>
          <w:snapToGrid w:val="0"/>
          <w:color w:val="auto"/>
          <w:spacing w:val="-2"/>
          <w:kern w:val="28"/>
          <w:szCs w:val="20"/>
        </w:rPr>
        <w:t xml:space="preserve">November 17, 2015                                                            </w:t>
      </w:r>
      <w:r w:rsidRPr="003D51B8">
        <w:rPr>
          <w:rFonts w:eastAsia="Times New Roman"/>
          <w:b/>
          <w:snapToGrid w:val="0"/>
          <w:color w:val="auto"/>
          <w:spacing w:val="-2"/>
          <w:kern w:val="28"/>
          <w:szCs w:val="20"/>
        </w:rPr>
        <w:t xml:space="preserve">Released:  </w:t>
      </w:r>
      <w:r w:rsidR="001939D0" w:rsidRPr="001939D0">
        <w:rPr>
          <w:rFonts w:eastAsia="Times New Roman"/>
          <w:b/>
          <w:snapToGrid w:val="0"/>
          <w:color w:val="auto"/>
          <w:spacing w:val="-2"/>
          <w:kern w:val="28"/>
          <w:szCs w:val="20"/>
        </w:rPr>
        <w:t>November 17, 2015</w:t>
      </w:r>
    </w:p>
    <w:p w14:paraId="31428B7F" w14:textId="77777777" w:rsidR="003D51B8" w:rsidRPr="003D51B8" w:rsidRDefault="003D51B8" w:rsidP="003D51B8">
      <w:pPr>
        <w:widowControl w:val="0"/>
        <w:spacing w:after="0"/>
        <w:ind w:firstLine="0"/>
        <w:rPr>
          <w:rFonts w:eastAsia="Times New Roman"/>
          <w:snapToGrid w:val="0"/>
          <w:color w:val="auto"/>
          <w:kern w:val="28"/>
          <w:szCs w:val="20"/>
        </w:rPr>
      </w:pPr>
    </w:p>
    <w:p w14:paraId="60EE4EEB" w14:textId="77777777" w:rsidR="00F8305B" w:rsidRDefault="003D51B8" w:rsidP="00F962BD">
      <w:pPr>
        <w:ind w:firstLine="0"/>
      </w:pPr>
      <w:r w:rsidRPr="003D51B8">
        <w:rPr>
          <w:rFonts w:eastAsia="Times New Roman"/>
          <w:snapToGrid w:val="0"/>
          <w:color w:val="auto"/>
          <w:kern w:val="28"/>
          <w:szCs w:val="20"/>
        </w:rPr>
        <w:t xml:space="preserve">By the </w:t>
      </w:r>
      <w:r w:rsidR="0068057E">
        <w:rPr>
          <w:rFonts w:eastAsia="Times New Roman"/>
          <w:snapToGrid w:val="0"/>
          <w:color w:val="auto"/>
          <w:spacing w:val="-2"/>
          <w:kern w:val="28"/>
          <w:szCs w:val="20"/>
        </w:rPr>
        <w:t xml:space="preserve">Deputy </w:t>
      </w:r>
      <w:r>
        <w:rPr>
          <w:rFonts w:eastAsia="Times New Roman"/>
          <w:snapToGrid w:val="0"/>
          <w:color w:val="auto"/>
          <w:spacing w:val="-2"/>
          <w:kern w:val="28"/>
          <w:szCs w:val="20"/>
        </w:rPr>
        <w:t>Chief, Consumer and Governmental Affairs Bureau</w:t>
      </w:r>
      <w:r w:rsidRPr="003D51B8">
        <w:rPr>
          <w:rFonts w:eastAsia="Times New Roman"/>
          <w:snapToGrid w:val="0"/>
          <w:color w:val="auto"/>
          <w:spacing w:val="-2"/>
          <w:kern w:val="28"/>
          <w:szCs w:val="20"/>
        </w:rPr>
        <w:t>:</w:t>
      </w:r>
    </w:p>
    <w:p w14:paraId="315667A9" w14:textId="77777777" w:rsidR="00F8305B" w:rsidRDefault="00F8305B"/>
    <w:p w14:paraId="5AD39383" w14:textId="77777777" w:rsidR="00F8305B" w:rsidRDefault="00F8305B">
      <w:pPr>
        <w:pStyle w:val="Heading11"/>
        <w:numPr>
          <w:ilvl w:val="0"/>
          <w:numId w:val="1"/>
        </w:numPr>
        <w:ind w:hanging="720"/>
        <w:rPr>
          <w:rFonts w:ascii="Times New Roman" w:hAnsi="Times New Roman"/>
        </w:rPr>
      </w:pPr>
      <w:r>
        <w:t>INTRODUCTION</w:t>
      </w:r>
    </w:p>
    <w:p w14:paraId="01CEEF9F" w14:textId="3C246DBB" w:rsidR="00DA0E2A" w:rsidRPr="00077DF2" w:rsidRDefault="00DA0E2A" w:rsidP="00DA0E2A">
      <w:pPr>
        <w:pStyle w:val="ParaNum"/>
        <w:numPr>
          <w:ilvl w:val="0"/>
          <w:numId w:val="3"/>
        </w:numPr>
        <w:spacing w:after="120"/>
        <w:ind w:left="0" w:firstLine="720"/>
        <w:jc w:val="left"/>
        <w:rPr>
          <w:szCs w:val="22"/>
        </w:rPr>
      </w:pPr>
      <w:r w:rsidRPr="00077DF2">
        <w:rPr>
          <w:szCs w:val="22"/>
        </w:rPr>
        <w:t xml:space="preserve">In this Memorandum Opinion and Order (Order), we address a petition filed by </w:t>
      </w:r>
      <w:r w:rsidR="00FC4833">
        <w:rPr>
          <w:szCs w:val="22"/>
        </w:rPr>
        <w:t>V</w:t>
      </w:r>
      <w:r w:rsidR="004748E6">
        <w:rPr>
          <w:szCs w:val="22"/>
        </w:rPr>
        <w:t>ictory Temple</w:t>
      </w:r>
      <w:r w:rsidR="00587C85">
        <w:rPr>
          <w:szCs w:val="22"/>
        </w:rPr>
        <w:t xml:space="preserve"> Church, Beaumont, Texas </w:t>
      </w:r>
      <w:r w:rsidR="00162DC3">
        <w:rPr>
          <w:szCs w:val="22"/>
        </w:rPr>
        <w:t>(</w:t>
      </w:r>
      <w:r w:rsidR="004748E6">
        <w:rPr>
          <w:szCs w:val="22"/>
        </w:rPr>
        <w:t>Victory Temple</w:t>
      </w:r>
      <w:r w:rsidRPr="00077DF2">
        <w:rPr>
          <w:szCs w:val="22"/>
        </w:rPr>
        <w:t xml:space="preserve">) for an exemption from the </w:t>
      </w:r>
      <w:r>
        <w:rPr>
          <w:szCs w:val="22"/>
        </w:rPr>
        <w:t xml:space="preserve">Federal Communications </w:t>
      </w:r>
      <w:r w:rsidRPr="00077DF2">
        <w:rPr>
          <w:szCs w:val="22"/>
        </w:rPr>
        <w:t>Commission’s</w:t>
      </w:r>
      <w:r>
        <w:rPr>
          <w:szCs w:val="22"/>
        </w:rPr>
        <w:t xml:space="preserve"> (FCC’s or Commission’s)</w:t>
      </w:r>
      <w:r w:rsidRPr="00077DF2">
        <w:rPr>
          <w:szCs w:val="22"/>
        </w:rPr>
        <w:t xml:space="preserve"> closed captioning requirements for its program, </w:t>
      </w:r>
      <w:r w:rsidR="00587C85">
        <w:rPr>
          <w:i/>
          <w:szCs w:val="22"/>
        </w:rPr>
        <w:t>The World We Live In</w:t>
      </w:r>
      <w:r w:rsidRPr="00077DF2">
        <w:rPr>
          <w:szCs w:val="22"/>
        </w:rPr>
        <w:t xml:space="preserve">. </w:t>
      </w:r>
      <w:r>
        <w:rPr>
          <w:szCs w:val="22"/>
        </w:rPr>
        <w:t xml:space="preserve"> </w:t>
      </w:r>
      <w:r w:rsidRPr="00077DF2">
        <w:rPr>
          <w:szCs w:val="22"/>
        </w:rPr>
        <w:t xml:space="preserve">Because we conclude that </w:t>
      </w:r>
      <w:r w:rsidR="004748E6">
        <w:rPr>
          <w:szCs w:val="22"/>
        </w:rPr>
        <w:t>Victory Temple</w:t>
      </w:r>
      <w:r w:rsidRPr="00077DF2">
        <w:rPr>
          <w:szCs w:val="22"/>
        </w:rPr>
        <w:t xml:space="preserve"> has not demonstrated that its compliance with the Commission’s closed captioning requirements</w:t>
      </w:r>
      <w:r w:rsidR="009A10BA">
        <w:rPr>
          <w:szCs w:val="22"/>
        </w:rPr>
        <w:t xml:space="preserve"> for this program</w:t>
      </w:r>
      <w:r w:rsidRPr="00077DF2">
        <w:rPr>
          <w:szCs w:val="22"/>
        </w:rPr>
        <w:t xml:space="preserve"> would be economically burdensome</w:t>
      </w:r>
      <w:r>
        <w:rPr>
          <w:szCs w:val="22"/>
        </w:rPr>
        <w:t xml:space="preserve"> to it</w:t>
      </w:r>
      <w:r w:rsidRPr="00077DF2">
        <w:rPr>
          <w:szCs w:val="22"/>
        </w:rPr>
        <w:t xml:space="preserve">, we deny the </w:t>
      </w:r>
      <w:r w:rsidR="00927EF0">
        <w:rPr>
          <w:szCs w:val="22"/>
        </w:rPr>
        <w:t>P</w:t>
      </w:r>
      <w:r w:rsidRPr="00077DF2">
        <w:rPr>
          <w:szCs w:val="22"/>
        </w:rPr>
        <w:t>etition.</w:t>
      </w:r>
      <w:r>
        <w:rPr>
          <w:szCs w:val="22"/>
        </w:rPr>
        <w:t xml:space="preserve">  In light of our action, </w:t>
      </w:r>
      <w:r w:rsidR="00934430">
        <w:rPr>
          <w:i/>
          <w:szCs w:val="22"/>
        </w:rPr>
        <w:t xml:space="preserve">The World We Live In </w:t>
      </w:r>
      <w:r w:rsidR="00934430">
        <w:rPr>
          <w:szCs w:val="22"/>
        </w:rPr>
        <w:t>must be captioned</w:t>
      </w:r>
      <w:r w:rsidR="003B4FFA">
        <w:rPr>
          <w:szCs w:val="22"/>
        </w:rPr>
        <w:t xml:space="preserve"> </w:t>
      </w:r>
      <w:r w:rsidR="001939D0">
        <w:rPr>
          <w:szCs w:val="22"/>
        </w:rPr>
        <w:t>no later than February 16, 2016</w:t>
      </w:r>
      <w:r w:rsidRPr="00FD62B1">
        <w:rPr>
          <w:szCs w:val="22"/>
        </w:rPr>
        <w:t>,</w:t>
      </w:r>
      <w:r w:rsidR="001939D0">
        <w:rPr>
          <w:rStyle w:val="FootnoteReference"/>
          <w:szCs w:val="22"/>
        </w:rPr>
        <w:footnoteReference w:id="1"/>
      </w:r>
      <w:r w:rsidRPr="00FD62B1">
        <w:rPr>
          <w:szCs w:val="22"/>
        </w:rPr>
        <w:t xml:space="preserve"> which is 90 days from the </w:t>
      </w:r>
      <w:r>
        <w:rPr>
          <w:szCs w:val="22"/>
        </w:rPr>
        <w:t xml:space="preserve">date of the </w:t>
      </w:r>
      <w:r w:rsidRPr="00FD62B1">
        <w:rPr>
          <w:szCs w:val="22"/>
        </w:rPr>
        <w:t>release of this Order.</w:t>
      </w:r>
    </w:p>
    <w:p w14:paraId="7ACB50DE" w14:textId="77777777" w:rsidR="00F8305B" w:rsidRDefault="00F8305B">
      <w:pPr>
        <w:pStyle w:val="Heading11"/>
        <w:numPr>
          <w:ilvl w:val="0"/>
          <w:numId w:val="1"/>
        </w:numPr>
        <w:ind w:hanging="720"/>
        <w:jc w:val="left"/>
      </w:pPr>
      <w:r>
        <w:t>Background</w:t>
      </w:r>
    </w:p>
    <w:p w14:paraId="64EA5800" w14:textId="77777777" w:rsidR="00162DC3" w:rsidRPr="00101734" w:rsidRDefault="00162DC3" w:rsidP="00162DC3">
      <w:pPr>
        <w:pStyle w:val="ParaNum"/>
        <w:numPr>
          <w:ilvl w:val="0"/>
          <w:numId w:val="3"/>
        </w:numPr>
        <w:spacing w:after="120"/>
        <w:ind w:left="0" w:firstLine="720"/>
        <w:jc w:val="left"/>
        <w:rPr>
          <w:szCs w:val="22"/>
        </w:rPr>
      </w:pPr>
      <w:r w:rsidRPr="00101734">
        <w:rPr>
          <w:szCs w:val="22"/>
        </w:rPr>
        <w:t xml:space="preserve">In 1996, Congress added section 713 to the Communications Act of 1934, as amended (Communications Act), establishing </w:t>
      </w:r>
      <w:r w:rsidRPr="00096ACC">
        <w:rPr>
          <w:szCs w:val="22"/>
        </w:rPr>
        <w:t xml:space="preserve">requirements </w:t>
      </w:r>
      <w:r w:rsidRPr="00101734">
        <w:rPr>
          <w:szCs w:val="22"/>
        </w:rPr>
        <w:t>for closed captioning o</w:t>
      </w:r>
      <w:r>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Pr>
          <w:szCs w:val="22"/>
        </w:rPr>
        <w:t xml:space="preserve"> </w:t>
      </w:r>
      <w:r>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5"/>
      </w:r>
      <w:r>
        <w:rPr>
          <w:szCs w:val="22"/>
        </w:rPr>
        <w:t xml:space="preserve">  </w:t>
      </w:r>
    </w:p>
    <w:p w14:paraId="7C133138" w14:textId="0375469C" w:rsidR="001E41DF" w:rsidRPr="009A52CF" w:rsidRDefault="00162DC3" w:rsidP="009A52CF">
      <w:pPr>
        <w:pStyle w:val="ParaNum"/>
        <w:numPr>
          <w:ilvl w:val="0"/>
          <w:numId w:val="3"/>
        </w:numPr>
        <w:spacing w:after="120"/>
        <w:ind w:left="0" w:firstLine="720"/>
        <w:jc w:val="left"/>
        <w:rPr>
          <w:rFonts w:eastAsia="Times New Roman"/>
          <w:color w:val="auto"/>
        </w:rPr>
      </w:pPr>
      <w:r w:rsidRPr="00101734">
        <w:rPr>
          <w:szCs w:val="22"/>
        </w:rPr>
        <w:t>Section 713</w:t>
      </w:r>
      <w:r>
        <w:rPr>
          <w:szCs w:val="22"/>
        </w:rPr>
        <w:t>(d)(3)</w:t>
      </w:r>
      <w:r w:rsidRPr="00101734">
        <w:rPr>
          <w:szCs w:val="22"/>
        </w:rPr>
        <w:t xml:space="preserve"> of the Communications Act authorizes the Commission to grant individual exemptions from </w:t>
      </w:r>
      <w:r w:rsidRPr="00F962BD">
        <w:rPr>
          <w:szCs w:val="22"/>
        </w:rPr>
        <w:t>the</w:t>
      </w:r>
      <w:r w:rsidRPr="00101734">
        <w:rPr>
          <w:szCs w:val="22"/>
        </w:rPr>
        <w:t xml:space="preserv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14:paraId="13E79913" w14:textId="0CC85787" w:rsidR="001E41DF" w:rsidRPr="009A52CF" w:rsidRDefault="001E41DF" w:rsidP="009A52CF">
      <w:pPr>
        <w:pStyle w:val="ListParagraph"/>
        <w:widowControl w:val="0"/>
        <w:numPr>
          <w:ilvl w:val="0"/>
          <w:numId w:val="3"/>
        </w:numPr>
        <w:ind w:left="0"/>
        <w:rPr>
          <w:rFonts w:eastAsia="Times New Roman"/>
          <w:color w:val="auto"/>
          <w:szCs w:val="20"/>
        </w:rPr>
      </w:pPr>
      <w:r w:rsidRPr="009A52CF">
        <w:rPr>
          <w:rFonts w:eastAsia="Times New Roman"/>
          <w:snapToGrid w:val="0"/>
          <w:color w:val="auto"/>
          <w:kern w:val="28"/>
          <w:szCs w:val="20"/>
        </w:rPr>
        <w:lastRenderedPageBreak/>
        <w:t xml:space="preserve">The Commission has also determined that the following information and documentation must be submitted with closed captioning exemption petitions to enable its consideration of the above factors:  </w:t>
      </w:r>
    </w:p>
    <w:p w14:paraId="36E833BD" w14:textId="77777777" w:rsidR="001E41DF" w:rsidRPr="001E41DF" w:rsidRDefault="001E41DF" w:rsidP="001E41DF">
      <w:pPr>
        <w:widowControl w:val="0"/>
        <w:numPr>
          <w:ilvl w:val="0"/>
          <w:numId w:val="21"/>
        </w:numPr>
        <w:tabs>
          <w:tab w:val="left" w:pos="1440"/>
        </w:tabs>
        <w:spacing w:after="220"/>
        <w:rPr>
          <w:rFonts w:eastAsia="Times New Roman"/>
          <w:snapToGrid w:val="0"/>
          <w:color w:val="auto"/>
          <w:kern w:val="28"/>
          <w:szCs w:val="20"/>
        </w:rPr>
      </w:pPr>
      <w:r w:rsidRPr="001E41DF">
        <w:rPr>
          <w:rFonts w:eastAsia="Times New Roman"/>
          <w:snapToGrid w:val="0"/>
          <w:color w:val="auto"/>
          <w:kern w:val="28"/>
          <w:szCs w:val="20"/>
        </w:rPr>
        <w:t>documentation of the petitioner’s financial status, including detailed information regarding finances and assets;</w:t>
      </w:r>
    </w:p>
    <w:p w14:paraId="0515983B" w14:textId="77777777" w:rsidR="001E41DF" w:rsidRPr="001E41DF" w:rsidRDefault="001E41DF" w:rsidP="001E41DF">
      <w:pPr>
        <w:widowControl w:val="0"/>
        <w:numPr>
          <w:ilvl w:val="0"/>
          <w:numId w:val="21"/>
        </w:numPr>
        <w:tabs>
          <w:tab w:val="left" w:pos="1440"/>
        </w:tabs>
        <w:spacing w:after="220"/>
        <w:rPr>
          <w:rFonts w:eastAsia="Times New Roman"/>
          <w:snapToGrid w:val="0"/>
          <w:color w:val="auto"/>
          <w:kern w:val="28"/>
          <w:szCs w:val="20"/>
        </w:rPr>
      </w:pPr>
      <w:r w:rsidRPr="001E41DF">
        <w:rPr>
          <w:rFonts w:eastAsia="Times New Roman"/>
          <w:snapToGrid w:val="0"/>
          <w:color w:val="auto"/>
          <w:kern w:val="28"/>
          <w:szCs w:val="20"/>
        </w:rPr>
        <w:t xml:space="preserve">verification that the petitioner has obtained information about the costs it would incur to provide closed captioning of the programming; </w:t>
      </w:r>
    </w:p>
    <w:p w14:paraId="287DB640" w14:textId="77777777" w:rsidR="001E41DF" w:rsidRPr="001E41DF" w:rsidRDefault="001E41DF" w:rsidP="001E41DF">
      <w:pPr>
        <w:widowControl w:val="0"/>
        <w:numPr>
          <w:ilvl w:val="0"/>
          <w:numId w:val="21"/>
        </w:numPr>
        <w:tabs>
          <w:tab w:val="left" w:pos="1440"/>
        </w:tabs>
        <w:spacing w:after="220"/>
        <w:rPr>
          <w:rFonts w:eastAsia="Times New Roman"/>
          <w:snapToGrid w:val="0"/>
          <w:color w:val="auto"/>
          <w:kern w:val="28"/>
          <w:szCs w:val="20"/>
        </w:rPr>
      </w:pPr>
      <w:r w:rsidRPr="001E41DF">
        <w:rPr>
          <w:rFonts w:eastAsia="Times New Roman"/>
          <w:snapToGrid w:val="0"/>
          <w:color w:val="auto"/>
          <w:kern w:val="28"/>
          <w:szCs w:val="20"/>
        </w:rPr>
        <w:t xml:space="preserve">verification that the petitioner has sought closed captioning assistance from its video programming distributor(s), noting the extent to which such assistance has been provided or rejected; </w:t>
      </w:r>
    </w:p>
    <w:p w14:paraId="79C56C2B" w14:textId="77777777" w:rsidR="001E41DF" w:rsidRPr="001E41DF" w:rsidRDefault="001E41DF" w:rsidP="001E41DF">
      <w:pPr>
        <w:widowControl w:val="0"/>
        <w:numPr>
          <w:ilvl w:val="0"/>
          <w:numId w:val="21"/>
        </w:numPr>
        <w:tabs>
          <w:tab w:val="left" w:pos="1440"/>
        </w:tabs>
        <w:spacing w:after="220"/>
        <w:rPr>
          <w:rFonts w:eastAsia="Times New Roman"/>
          <w:snapToGrid w:val="0"/>
          <w:color w:val="auto"/>
          <w:kern w:val="28"/>
          <w:szCs w:val="20"/>
        </w:rPr>
      </w:pPr>
      <w:r w:rsidRPr="001E41DF">
        <w:rPr>
          <w:rFonts w:eastAsia="Times New Roman"/>
          <w:snapToGrid w:val="0"/>
          <w:color w:val="auto"/>
          <w:kern w:val="28"/>
          <w:szCs w:val="20"/>
        </w:rPr>
        <w:t>verification as to whether the petitioner has sought additional sponsorships (other than from its video programming distributor(s)) or other sources of revenue for captioning; and</w:t>
      </w:r>
    </w:p>
    <w:p w14:paraId="25D3B34C" w14:textId="77777777" w:rsidR="001E41DF" w:rsidRDefault="001E41DF" w:rsidP="001E41DF">
      <w:pPr>
        <w:widowControl w:val="0"/>
        <w:numPr>
          <w:ilvl w:val="0"/>
          <w:numId w:val="21"/>
        </w:numPr>
        <w:spacing w:after="0"/>
        <w:rPr>
          <w:rFonts w:eastAsia="Times New Roman"/>
          <w:snapToGrid w:val="0"/>
          <w:color w:val="auto"/>
          <w:kern w:val="28"/>
          <w:szCs w:val="22"/>
        </w:rPr>
      </w:pPr>
      <w:r w:rsidRPr="001E41DF">
        <w:rPr>
          <w:rFonts w:eastAsia="Times New Roman"/>
          <w:snapToGrid w:val="0"/>
          <w:color w:val="auto"/>
          <w:kern w:val="28"/>
          <w:szCs w:val="20"/>
        </w:rPr>
        <w:t>a showing that the petitioner does not have the means to provide captioning for the programming</w:t>
      </w:r>
      <w:r w:rsidRPr="001E41DF">
        <w:rPr>
          <w:rFonts w:eastAsia="Times New Roman"/>
          <w:snapToGrid w:val="0"/>
          <w:color w:val="auto"/>
          <w:kern w:val="28"/>
          <w:szCs w:val="22"/>
        </w:rPr>
        <w:t>.</w:t>
      </w:r>
      <w:r w:rsidRPr="001E41DF">
        <w:rPr>
          <w:rFonts w:eastAsia="Times New Roman"/>
          <w:snapToGrid w:val="0"/>
          <w:color w:val="auto"/>
          <w:kern w:val="28"/>
          <w:szCs w:val="22"/>
          <w:vertAlign w:val="superscript"/>
        </w:rPr>
        <w:footnoteReference w:id="9"/>
      </w:r>
      <w:r w:rsidRPr="001E41DF">
        <w:rPr>
          <w:rFonts w:eastAsia="Times New Roman"/>
          <w:snapToGrid w:val="0"/>
          <w:color w:val="auto"/>
          <w:kern w:val="28"/>
          <w:szCs w:val="22"/>
        </w:rPr>
        <w:t xml:space="preserve">  </w:t>
      </w:r>
    </w:p>
    <w:p w14:paraId="373414A2" w14:textId="77777777" w:rsidR="001E41DF" w:rsidRPr="001E41DF" w:rsidRDefault="001E41DF" w:rsidP="009A52CF">
      <w:pPr>
        <w:widowControl w:val="0"/>
        <w:spacing w:after="0"/>
        <w:ind w:left="1080" w:firstLine="0"/>
        <w:rPr>
          <w:rFonts w:eastAsia="Times New Roman"/>
          <w:snapToGrid w:val="0"/>
          <w:color w:val="auto"/>
          <w:kern w:val="28"/>
          <w:szCs w:val="22"/>
        </w:rPr>
      </w:pPr>
    </w:p>
    <w:p w14:paraId="03405307" w14:textId="77777777" w:rsidR="00162DC3" w:rsidRPr="00EB38D7" w:rsidRDefault="00162DC3" w:rsidP="00162DC3">
      <w:pPr>
        <w:pStyle w:val="ParaNum"/>
        <w:numPr>
          <w:ilvl w:val="0"/>
          <w:numId w:val="3"/>
        </w:numPr>
        <w:spacing w:after="120"/>
        <w:ind w:left="0" w:firstLine="7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14:paraId="55BDD675" w14:textId="789F6670" w:rsidR="00AE3A0B" w:rsidRPr="00CD1DBA" w:rsidRDefault="004748E6">
      <w:pPr>
        <w:pStyle w:val="ParaNum"/>
        <w:numPr>
          <w:ilvl w:val="0"/>
          <w:numId w:val="3"/>
        </w:numPr>
        <w:spacing w:after="120"/>
        <w:ind w:left="0" w:firstLine="720"/>
        <w:jc w:val="left"/>
        <w:rPr>
          <w:szCs w:val="22"/>
        </w:rPr>
      </w:pPr>
      <w:r>
        <w:rPr>
          <w:szCs w:val="22"/>
        </w:rPr>
        <w:t>Victory Temple</w:t>
      </w:r>
      <w:r w:rsidR="007A1D24" w:rsidRPr="00EF4D9B">
        <w:rPr>
          <w:szCs w:val="22"/>
        </w:rPr>
        <w:t xml:space="preserve"> initially</w:t>
      </w:r>
      <w:r w:rsidR="00F55F67">
        <w:rPr>
          <w:szCs w:val="22"/>
        </w:rPr>
        <w:t xml:space="preserve"> submitted</w:t>
      </w:r>
      <w:r w:rsidR="007A1D24" w:rsidRPr="00EF4D9B">
        <w:rPr>
          <w:szCs w:val="22"/>
        </w:rPr>
        <w:t xml:space="preserve"> a petition for </w:t>
      </w:r>
      <w:r w:rsidR="00617D7E">
        <w:rPr>
          <w:szCs w:val="22"/>
        </w:rPr>
        <w:t xml:space="preserve">a closed captioning </w:t>
      </w:r>
      <w:r w:rsidR="007A1D24" w:rsidRPr="00EF4D9B">
        <w:rPr>
          <w:szCs w:val="22"/>
        </w:rPr>
        <w:t xml:space="preserve">exemption </w:t>
      </w:r>
      <w:r w:rsidR="00F55F67">
        <w:rPr>
          <w:szCs w:val="22"/>
        </w:rPr>
        <w:t>on</w:t>
      </w:r>
      <w:r w:rsidR="00592278">
        <w:rPr>
          <w:szCs w:val="22"/>
        </w:rPr>
        <w:t xml:space="preserve"> </w:t>
      </w:r>
      <w:r w:rsidR="00587C85">
        <w:rPr>
          <w:szCs w:val="22"/>
        </w:rPr>
        <w:t>January 10, 2006</w:t>
      </w:r>
      <w:r w:rsidR="007A1D24">
        <w:rPr>
          <w:szCs w:val="22"/>
        </w:rPr>
        <w:t>.</w:t>
      </w:r>
      <w:r w:rsidR="007A1D24" w:rsidRPr="00EF4D9B">
        <w:rPr>
          <w:rStyle w:val="FootnoteReference"/>
          <w:szCs w:val="22"/>
        </w:rPr>
        <w:footnoteReference w:id="13"/>
      </w:r>
      <w:r w:rsidR="007A1D24" w:rsidRPr="00EF4D9B">
        <w:rPr>
          <w:vanish/>
          <w:szCs w:val="22"/>
        </w:rPr>
        <w:t xml:space="preserve">  </w:t>
      </w:r>
      <w:r w:rsidR="007A1D24">
        <w:rPr>
          <w:szCs w:val="22"/>
        </w:rPr>
        <w:t xml:space="preserve"> </w:t>
      </w:r>
      <w:r w:rsidR="00AE4A60">
        <w:rPr>
          <w:szCs w:val="22"/>
        </w:rPr>
        <w:t xml:space="preserve"> </w:t>
      </w:r>
      <w:r w:rsidR="00CD1DBA" w:rsidRPr="00537E26">
        <w:rPr>
          <w:szCs w:val="22"/>
        </w:rPr>
        <w:t xml:space="preserve">The </w:t>
      </w:r>
      <w:r w:rsidR="004F7CA4">
        <w:rPr>
          <w:szCs w:val="22"/>
        </w:rPr>
        <w:t xml:space="preserve">Consumer and Governmental Affairs </w:t>
      </w:r>
      <w:r w:rsidR="00CD1DBA" w:rsidRPr="00537E26">
        <w:rPr>
          <w:szCs w:val="22"/>
        </w:rPr>
        <w:t xml:space="preserve">Bureau </w:t>
      </w:r>
      <w:r w:rsidR="004F7CA4">
        <w:rPr>
          <w:szCs w:val="22"/>
        </w:rPr>
        <w:t xml:space="preserve">(Bureau) </w:t>
      </w:r>
      <w:r w:rsidR="00CD1DBA" w:rsidRPr="00FD62B1">
        <w:t xml:space="preserve">granted </w:t>
      </w:r>
      <w:r w:rsidR="00803C33">
        <w:t xml:space="preserve">the </w:t>
      </w:r>
      <w:r w:rsidR="00CD1DBA" w:rsidRPr="00FD62B1">
        <w:t>exemption</w:t>
      </w:r>
      <w:r w:rsidR="00766347">
        <w:t xml:space="preserve"> to Victory Temple by </w:t>
      </w:r>
      <w:r w:rsidR="003B69B6">
        <w:t>l</w:t>
      </w:r>
      <w:r w:rsidR="00766347">
        <w:t xml:space="preserve">etter </w:t>
      </w:r>
      <w:r w:rsidR="003B69B6">
        <w:t>o</w:t>
      </w:r>
      <w:r w:rsidR="00CD1DBA">
        <w:t>rder dated September 1</w:t>
      </w:r>
      <w:r w:rsidR="00AE68F4">
        <w:t>2</w:t>
      </w:r>
      <w:r w:rsidR="00CD1DBA">
        <w:t>, 2006</w:t>
      </w:r>
      <w:r w:rsidR="00AE4A60" w:rsidRPr="00EF4D9B">
        <w:rPr>
          <w:szCs w:val="22"/>
        </w:rPr>
        <w:t>.</w:t>
      </w:r>
      <w:r w:rsidR="00AE4A60" w:rsidRPr="00EF4D9B">
        <w:rPr>
          <w:rStyle w:val="FootnoteReference"/>
          <w:szCs w:val="22"/>
        </w:rPr>
        <w:footnoteReference w:id="14"/>
      </w:r>
      <w:r w:rsidR="00AE4A60" w:rsidRPr="00EF4D9B">
        <w:rPr>
          <w:szCs w:val="22"/>
        </w:rPr>
        <w:t xml:space="preserve">  </w:t>
      </w:r>
      <w:r w:rsidR="00652D51" w:rsidRPr="00537E26">
        <w:rPr>
          <w:szCs w:val="22"/>
        </w:rPr>
        <w:t xml:space="preserve">On November 7, 2006, the Bureau issued a Public Notice holding in abeyance </w:t>
      </w:r>
      <w:r w:rsidR="00652D51">
        <w:t xml:space="preserve">various </w:t>
      </w:r>
      <w:r w:rsidR="00652D51" w:rsidRPr="00FD62B1">
        <w:t>letter order</w:t>
      </w:r>
      <w:r w:rsidR="00652D51">
        <w:t>s</w:t>
      </w:r>
      <w:r w:rsidR="00652D51" w:rsidRPr="00FD62B1">
        <w:t xml:space="preserve"> granting </w:t>
      </w:r>
      <w:r w:rsidR="00652D51" w:rsidRPr="000B3427">
        <w:t>exemption</w:t>
      </w:r>
      <w:r w:rsidR="00652D51">
        <w:t>s, including that to Victory Temple,</w:t>
      </w:r>
      <w:r w:rsidR="00652D51" w:rsidRPr="00FD62B1">
        <w:t xml:space="preserve"> and invit</w:t>
      </w:r>
      <w:r w:rsidR="00652D51">
        <w:t>ing comments on certain exemption petitions, including Victory Temple’s</w:t>
      </w:r>
      <w:r w:rsidR="00652D51" w:rsidRPr="00537E26">
        <w:rPr>
          <w:szCs w:val="22"/>
        </w:rPr>
        <w:t>.</w:t>
      </w:r>
      <w:r w:rsidR="00652D51">
        <w:rPr>
          <w:rStyle w:val="FootnoteReference"/>
          <w:szCs w:val="22"/>
        </w:rPr>
        <w:footnoteReference w:id="15"/>
      </w:r>
      <w:r w:rsidR="00652D51" w:rsidRPr="00537E26">
        <w:rPr>
          <w:szCs w:val="22"/>
        </w:rPr>
        <w:t xml:space="preserve">   </w:t>
      </w:r>
      <w:r w:rsidR="0035657F">
        <w:rPr>
          <w:szCs w:val="22"/>
        </w:rPr>
        <w:t>On March 2, 2007, several consumer groups jointly opposed t</w:t>
      </w:r>
      <w:r w:rsidR="00652D51">
        <w:rPr>
          <w:szCs w:val="22"/>
        </w:rPr>
        <w:t>he p</w:t>
      </w:r>
      <w:r w:rsidR="00CD1DBA">
        <w:rPr>
          <w:szCs w:val="22"/>
        </w:rPr>
        <w:t>etition.</w:t>
      </w:r>
      <w:r w:rsidR="0035657F">
        <w:rPr>
          <w:rStyle w:val="FootnoteReference"/>
          <w:szCs w:val="22"/>
        </w:rPr>
        <w:footnoteReference w:id="16"/>
      </w:r>
      <w:r w:rsidR="00CD1DBA">
        <w:rPr>
          <w:szCs w:val="22"/>
        </w:rPr>
        <w:t xml:space="preserve">  </w:t>
      </w:r>
      <w:r w:rsidR="00652D51" w:rsidRPr="00686461">
        <w:rPr>
          <w:szCs w:val="22"/>
        </w:rPr>
        <w:t xml:space="preserve">In 2011, the Commission </w:t>
      </w:r>
      <w:r w:rsidR="00652D51" w:rsidRPr="00FD62B1">
        <w:t xml:space="preserve">reversed </w:t>
      </w:r>
      <w:r w:rsidR="00652D51">
        <w:t>certain</w:t>
      </w:r>
      <w:r w:rsidR="00652D51" w:rsidRPr="00FD62B1">
        <w:t xml:space="preserve"> </w:t>
      </w:r>
      <w:r w:rsidR="00652D51">
        <w:t xml:space="preserve">Bureau </w:t>
      </w:r>
      <w:r w:rsidR="00652D51" w:rsidRPr="00FD62B1">
        <w:t>grant</w:t>
      </w:r>
      <w:r w:rsidR="00652D51">
        <w:t>s</w:t>
      </w:r>
      <w:r w:rsidR="00652D51" w:rsidRPr="00FD62B1">
        <w:t xml:space="preserve"> of exemption</w:t>
      </w:r>
      <w:r w:rsidR="00652D51">
        <w:t>, including that to Victory Temple</w:t>
      </w:r>
      <w:r w:rsidR="00652D51" w:rsidRPr="00686461">
        <w:rPr>
          <w:szCs w:val="22"/>
        </w:rPr>
        <w:t>.</w:t>
      </w:r>
      <w:r w:rsidR="00652D51" w:rsidRPr="00EF4D9B">
        <w:rPr>
          <w:rStyle w:val="FootnoteReference"/>
          <w:szCs w:val="22"/>
        </w:rPr>
        <w:footnoteReference w:id="17"/>
      </w:r>
      <w:r w:rsidR="00652D51" w:rsidRPr="00686461">
        <w:rPr>
          <w:szCs w:val="22"/>
        </w:rPr>
        <w:t xml:space="preserve">  By letter dated October 25, 2011, the Bureau notified Victory Temple of this reversal and explained that Victory Temple would need to file a new exemption petition and supplement the record with up-to-date information, supported by affidavit, about its inability to provide closed captioning if it wished to receive a closed captioning exemption.</w:t>
      </w:r>
      <w:r w:rsidR="00652D51" w:rsidRPr="008E7A3A">
        <w:rPr>
          <w:rStyle w:val="FootnoteReference"/>
          <w:szCs w:val="22"/>
        </w:rPr>
        <w:footnoteReference w:id="18"/>
      </w:r>
      <w:r w:rsidR="00652D51" w:rsidRPr="00686461">
        <w:rPr>
          <w:szCs w:val="22"/>
        </w:rPr>
        <w:t xml:space="preserve">  </w:t>
      </w:r>
      <w:r w:rsidRPr="00CD1DBA">
        <w:rPr>
          <w:szCs w:val="22"/>
        </w:rPr>
        <w:t>Victory Temple</w:t>
      </w:r>
      <w:r w:rsidR="00F109D1" w:rsidRPr="00CD1DBA">
        <w:rPr>
          <w:szCs w:val="22"/>
        </w:rPr>
        <w:t xml:space="preserve"> </w:t>
      </w:r>
      <w:r w:rsidR="006C1D90">
        <w:rPr>
          <w:szCs w:val="22"/>
        </w:rPr>
        <w:t xml:space="preserve">submitted </w:t>
      </w:r>
      <w:r w:rsidR="00652D51">
        <w:rPr>
          <w:szCs w:val="22"/>
        </w:rPr>
        <w:t>a new petition</w:t>
      </w:r>
      <w:r w:rsidR="00F109D1" w:rsidRPr="00CD1DBA">
        <w:rPr>
          <w:szCs w:val="22"/>
        </w:rPr>
        <w:t xml:space="preserve"> </w:t>
      </w:r>
      <w:r w:rsidR="00AC4975">
        <w:rPr>
          <w:szCs w:val="22"/>
        </w:rPr>
        <w:t>dated</w:t>
      </w:r>
      <w:r w:rsidR="00F109D1" w:rsidRPr="00CD1DBA">
        <w:rPr>
          <w:szCs w:val="22"/>
        </w:rPr>
        <w:t xml:space="preserve"> January </w:t>
      </w:r>
      <w:r w:rsidR="006C1D90">
        <w:rPr>
          <w:szCs w:val="22"/>
        </w:rPr>
        <w:t>12</w:t>
      </w:r>
      <w:r w:rsidR="00CD1DBA">
        <w:rPr>
          <w:szCs w:val="22"/>
        </w:rPr>
        <w:t>, 2012</w:t>
      </w:r>
      <w:r w:rsidR="00F109D1" w:rsidRPr="00CD1DBA">
        <w:rPr>
          <w:szCs w:val="22"/>
        </w:rPr>
        <w:t>.</w:t>
      </w:r>
      <w:r w:rsidR="00F109D1">
        <w:rPr>
          <w:rStyle w:val="FootnoteReference"/>
          <w:szCs w:val="22"/>
        </w:rPr>
        <w:footnoteReference w:id="19"/>
      </w:r>
      <w:r w:rsidR="002B2258">
        <w:rPr>
          <w:szCs w:val="22"/>
        </w:rPr>
        <w:t xml:space="preserve">  </w:t>
      </w:r>
      <w:r w:rsidR="00617D7E">
        <w:rPr>
          <w:szCs w:val="22"/>
        </w:rPr>
        <w:t>On March 28, 2012, t</w:t>
      </w:r>
      <w:r w:rsidR="00653A48">
        <w:rPr>
          <w:szCs w:val="22"/>
        </w:rPr>
        <w:t>he Bureau requested additional information of Victory Temple,</w:t>
      </w:r>
      <w:r w:rsidR="002B2258">
        <w:rPr>
          <w:rStyle w:val="FootnoteReference"/>
          <w:szCs w:val="22"/>
        </w:rPr>
        <w:footnoteReference w:id="20"/>
      </w:r>
      <w:r w:rsidR="002B2258" w:rsidRPr="00537E26">
        <w:rPr>
          <w:szCs w:val="22"/>
        </w:rPr>
        <w:t xml:space="preserve"> </w:t>
      </w:r>
      <w:r w:rsidR="00653A48">
        <w:rPr>
          <w:szCs w:val="22"/>
        </w:rPr>
        <w:t>and i</w:t>
      </w:r>
      <w:r w:rsidR="002B2258" w:rsidRPr="00537E26">
        <w:rPr>
          <w:szCs w:val="22"/>
        </w:rPr>
        <w:t>n response</w:t>
      </w:r>
      <w:r w:rsidR="00D47C2E">
        <w:rPr>
          <w:szCs w:val="22"/>
        </w:rPr>
        <w:t xml:space="preserve">, </w:t>
      </w:r>
      <w:r w:rsidR="002B2258" w:rsidRPr="00537E26">
        <w:rPr>
          <w:szCs w:val="22"/>
        </w:rPr>
        <w:t>Victory Temple supplemented its Petition</w:t>
      </w:r>
      <w:r w:rsidR="00DB46AA">
        <w:rPr>
          <w:szCs w:val="22"/>
        </w:rPr>
        <w:t xml:space="preserve"> in a letter dated April 26, 201</w:t>
      </w:r>
      <w:r w:rsidR="00F36C26">
        <w:rPr>
          <w:szCs w:val="22"/>
        </w:rPr>
        <w:t>2</w:t>
      </w:r>
      <w:r w:rsidR="00DB46AA">
        <w:rPr>
          <w:szCs w:val="22"/>
        </w:rPr>
        <w:t>.</w:t>
      </w:r>
      <w:r w:rsidR="002B2258" w:rsidRPr="00317971">
        <w:rPr>
          <w:rStyle w:val="FootnoteReference"/>
          <w:szCs w:val="22"/>
        </w:rPr>
        <w:footnoteReference w:id="21"/>
      </w:r>
      <w:r w:rsidR="002B2258" w:rsidRPr="00537E26">
        <w:rPr>
          <w:szCs w:val="22"/>
        </w:rPr>
        <w:t xml:space="preserve"> </w:t>
      </w:r>
      <w:r w:rsidR="00BF5068">
        <w:rPr>
          <w:szCs w:val="22"/>
        </w:rPr>
        <w:t xml:space="preserve"> </w:t>
      </w:r>
      <w:r w:rsidR="002B2258" w:rsidRPr="00C67CB3">
        <w:rPr>
          <w:szCs w:val="22"/>
        </w:rPr>
        <w:t xml:space="preserve">In a Public Notice released on </w:t>
      </w:r>
      <w:r w:rsidR="002B2258">
        <w:rPr>
          <w:szCs w:val="22"/>
        </w:rPr>
        <w:t>August 9, 2012</w:t>
      </w:r>
      <w:r w:rsidR="002B2258" w:rsidRPr="00C67CB3">
        <w:rPr>
          <w:szCs w:val="22"/>
        </w:rPr>
        <w:t xml:space="preserve">, the Bureau invited comment on the </w:t>
      </w:r>
      <w:r w:rsidR="002B2258">
        <w:rPr>
          <w:szCs w:val="22"/>
        </w:rPr>
        <w:t>P</w:t>
      </w:r>
      <w:r w:rsidR="002B2258" w:rsidRPr="00C67CB3">
        <w:rPr>
          <w:szCs w:val="22"/>
        </w:rPr>
        <w:t>etition.</w:t>
      </w:r>
      <w:r w:rsidR="002B2258">
        <w:rPr>
          <w:rStyle w:val="FootnoteReference"/>
          <w:szCs w:val="22"/>
        </w:rPr>
        <w:footnoteReference w:id="22"/>
      </w:r>
      <w:r w:rsidR="002B2258" w:rsidRPr="00C67CB3">
        <w:rPr>
          <w:szCs w:val="22"/>
        </w:rPr>
        <w:t xml:space="preserve">  </w:t>
      </w:r>
      <w:r w:rsidR="00C92427" w:rsidRPr="00DE45F6">
        <w:rPr>
          <w:szCs w:val="22"/>
        </w:rPr>
        <w:t>Certain consumer organizations join</w:t>
      </w:r>
      <w:r w:rsidR="006C1D90">
        <w:rPr>
          <w:szCs w:val="22"/>
        </w:rPr>
        <w:t>tly filed an opposition to the P</w:t>
      </w:r>
      <w:r w:rsidR="00C92427" w:rsidRPr="00DE45F6">
        <w:rPr>
          <w:szCs w:val="22"/>
        </w:rPr>
        <w:t>etition.</w:t>
      </w:r>
      <w:r w:rsidR="00C92427">
        <w:rPr>
          <w:rStyle w:val="FootnoteReference"/>
          <w:szCs w:val="22"/>
        </w:rPr>
        <w:footnoteReference w:id="23"/>
      </w:r>
      <w:r w:rsidR="00C92427" w:rsidRPr="00DE45F6">
        <w:rPr>
          <w:szCs w:val="22"/>
        </w:rPr>
        <w:t xml:space="preserve"> </w:t>
      </w:r>
      <w:r w:rsidR="006C1D90">
        <w:rPr>
          <w:szCs w:val="22"/>
        </w:rPr>
        <w:t xml:space="preserve"> </w:t>
      </w:r>
      <w:r w:rsidR="00653A48">
        <w:rPr>
          <w:szCs w:val="22"/>
        </w:rPr>
        <w:t>S</w:t>
      </w:r>
      <w:r w:rsidR="007A1D24" w:rsidRPr="00CD1DBA">
        <w:rPr>
          <w:szCs w:val="22"/>
        </w:rPr>
        <w:t xml:space="preserve">ubsequently, the Bureau </w:t>
      </w:r>
      <w:r w:rsidR="005E4A1A">
        <w:rPr>
          <w:szCs w:val="22"/>
        </w:rPr>
        <w:t>requested additional information</w:t>
      </w:r>
      <w:r w:rsidR="007A1D24" w:rsidRPr="00CD1DBA">
        <w:rPr>
          <w:szCs w:val="22"/>
        </w:rPr>
        <w:t xml:space="preserve"> to enable it to determine whether the programming that was the subject of the Petition should be exempt from the Commission’s closed captioning obligations.</w:t>
      </w:r>
      <w:r w:rsidR="00F254DA">
        <w:rPr>
          <w:rStyle w:val="FootnoteReference"/>
          <w:szCs w:val="22"/>
        </w:rPr>
        <w:footnoteReference w:id="24"/>
      </w:r>
      <w:r w:rsidR="007A1D24" w:rsidRPr="00CD1DBA">
        <w:rPr>
          <w:szCs w:val="22"/>
        </w:rPr>
        <w:t xml:space="preserve">  In response to Bureau letter</w:t>
      </w:r>
      <w:r w:rsidR="009C1E2E">
        <w:rPr>
          <w:szCs w:val="22"/>
        </w:rPr>
        <w:t>s</w:t>
      </w:r>
      <w:r w:rsidR="007A1D24" w:rsidRPr="00CD1DBA">
        <w:rPr>
          <w:szCs w:val="22"/>
        </w:rPr>
        <w:t xml:space="preserve"> dated September 27, 2013</w:t>
      </w:r>
      <w:r w:rsidR="009C1E2E">
        <w:rPr>
          <w:szCs w:val="22"/>
        </w:rPr>
        <w:t xml:space="preserve"> and May 30, 2014</w:t>
      </w:r>
      <w:r w:rsidR="007A1D24" w:rsidRPr="00CD1DBA">
        <w:rPr>
          <w:szCs w:val="22"/>
        </w:rPr>
        <w:t xml:space="preserve">, </w:t>
      </w:r>
      <w:r w:rsidRPr="00CD1DBA">
        <w:rPr>
          <w:szCs w:val="22"/>
        </w:rPr>
        <w:t>Victory Temple</w:t>
      </w:r>
      <w:r w:rsidR="007A1D24" w:rsidRPr="00CD1DBA">
        <w:rPr>
          <w:szCs w:val="22"/>
        </w:rPr>
        <w:t xml:space="preserve"> </w:t>
      </w:r>
      <w:r w:rsidR="00615686">
        <w:rPr>
          <w:szCs w:val="22"/>
        </w:rPr>
        <w:t xml:space="preserve">twice </w:t>
      </w:r>
      <w:r w:rsidR="007A1D24" w:rsidRPr="00CD1DBA">
        <w:rPr>
          <w:szCs w:val="22"/>
        </w:rPr>
        <w:t>supplemented its Petition.</w:t>
      </w:r>
      <w:r w:rsidR="007A1D24" w:rsidRPr="00317971">
        <w:rPr>
          <w:rStyle w:val="FootnoteReference"/>
          <w:szCs w:val="22"/>
        </w:rPr>
        <w:footnoteReference w:id="25"/>
      </w:r>
      <w:r w:rsidR="007A1D24" w:rsidRPr="00CD1DBA">
        <w:rPr>
          <w:szCs w:val="22"/>
        </w:rPr>
        <w:t xml:space="preserve">  The Bureau again placed the Petition on Public Notice for comment on</w:t>
      </w:r>
      <w:r w:rsidR="00E712E4">
        <w:rPr>
          <w:szCs w:val="22"/>
        </w:rPr>
        <w:t xml:space="preserve"> January 14, 2015</w:t>
      </w:r>
      <w:r w:rsidR="007A1D24" w:rsidRPr="00CD1DBA">
        <w:rPr>
          <w:szCs w:val="22"/>
        </w:rPr>
        <w:t>.</w:t>
      </w:r>
      <w:r w:rsidR="007A1D24" w:rsidRPr="00E74DC1">
        <w:rPr>
          <w:rStyle w:val="FootnoteReference"/>
          <w:szCs w:val="22"/>
        </w:rPr>
        <w:footnoteReference w:id="26"/>
      </w:r>
      <w:r w:rsidR="007A1D24" w:rsidRPr="00CD1DBA">
        <w:rPr>
          <w:szCs w:val="22"/>
        </w:rPr>
        <w:t xml:space="preserve">  Again, </w:t>
      </w:r>
      <w:r w:rsidR="00364EE8" w:rsidRPr="00CD1DBA">
        <w:rPr>
          <w:szCs w:val="22"/>
        </w:rPr>
        <w:t>several c</w:t>
      </w:r>
      <w:r w:rsidR="007A1D24" w:rsidRPr="00CD1DBA">
        <w:rPr>
          <w:szCs w:val="22"/>
        </w:rPr>
        <w:t xml:space="preserve">onsumer </w:t>
      </w:r>
      <w:r w:rsidR="00364EE8" w:rsidRPr="00CD1DBA">
        <w:rPr>
          <w:szCs w:val="22"/>
        </w:rPr>
        <w:t>g</w:t>
      </w:r>
      <w:r w:rsidR="007A1D24" w:rsidRPr="00CD1DBA">
        <w:rPr>
          <w:szCs w:val="22"/>
        </w:rPr>
        <w:t>roups jointly opposed the Petition.</w:t>
      </w:r>
      <w:r w:rsidR="007A1D24" w:rsidRPr="00EB38D7">
        <w:rPr>
          <w:rStyle w:val="FootnoteReference"/>
          <w:szCs w:val="22"/>
        </w:rPr>
        <w:footnoteReference w:id="27"/>
      </w:r>
    </w:p>
    <w:p w14:paraId="6ED93912" w14:textId="77777777" w:rsidR="00F8305B" w:rsidRDefault="00F8305B">
      <w:pPr>
        <w:pStyle w:val="Heading11"/>
        <w:numPr>
          <w:ilvl w:val="0"/>
          <w:numId w:val="1"/>
        </w:numPr>
        <w:ind w:hanging="720"/>
        <w:jc w:val="left"/>
      </w:pPr>
      <w:r>
        <w:t>discussion</w:t>
      </w:r>
    </w:p>
    <w:p w14:paraId="1E6F4DF8" w14:textId="49D6DCD6" w:rsidR="00612B9C" w:rsidRPr="00612B9C" w:rsidRDefault="004748E6" w:rsidP="00612B9C">
      <w:pPr>
        <w:pStyle w:val="ParaNum"/>
        <w:numPr>
          <w:ilvl w:val="0"/>
          <w:numId w:val="3"/>
        </w:numPr>
        <w:spacing w:after="120"/>
        <w:ind w:left="0" w:firstLine="720"/>
        <w:jc w:val="left"/>
      </w:pPr>
      <w:r>
        <w:rPr>
          <w:szCs w:val="22"/>
        </w:rPr>
        <w:t>Victory Temple</w:t>
      </w:r>
      <w:r w:rsidR="00612B9C" w:rsidRPr="001D646A">
        <w:rPr>
          <w:szCs w:val="22"/>
        </w:rPr>
        <w:t xml:space="preserve"> produces </w:t>
      </w:r>
      <w:r w:rsidR="00587C85">
        <w:rPr>
          <w:i/>
          <w:szCs w:val="22"/>
        </w:rPr>
        <w:t>The World We Live In</w:t>
      </w:r>
      <w:r w:rsidR="003C1A65">
        <w:rPr>
          <w:szCs w:val="22"/>
        </w:rPr>
        <w:t>,</w:t>
      </w:r>
      <w:r w:rsidR="00612B9C">
        <w:rPr>
          <w:szCs w:val="22"/>
        </w:rPr>
        <w:t xml:space="preserve"> </w:t>
      </w:r>
      <w:r w:rsidR="00612B9C" w:rsidRPr="001D646A">
        <w:rPr>
          <w:szCs w:val="22"/>
        </w:rPr>
        <w:t xml:space="preserve">a one-hour program that is broadcast </w:t>
      </w:r>
      <w:r w:rsidR="00B27613">
        <w:rPr>
          <w:szCs w:val="22"/>
        </w:rPr>
        <w:t xml:space="preserve">twice </w:t>
      </w:r>
      <w:r w:rsidR="00612B9C" w:rsidRPr="001D646A">
        <w:rPr>
          <w:szCs w:val="22"/>
        </w:rPr>
        <w:t xml:space="preserve">weekly on </w:t>
      </w:r>
      <w:r w:rsidR="00FF4741">
        <w:rPr>
          <w:szCs w:val="22"/>
        </w:rPr>
        <w:t xml:space="preserve">Station </w:t>
      </w:r>
      <w:r w:rsidR="00B27613">
        <w:t>KBMT</w:t>
      </w:r>
      <w:r w:rsidR="00612B9C">
        <w:t xml:space="preserve">-TV, </w:t>
      </w:r>
      <w:r w:rsidR="00B27613">
        <w:t>Beaumont, TX</w:t>
      </w:r>
      <w:r w:rsidR="008F0A5D">
        <w:t xml:space="preserve"> (</w:t>
      </w:r>
      <w:r w:rsidR="00B27613">
        <w:t>KBMT</w:t>
      </w:r>
      <w:r w:rsidR="009C1E2E">
        <w:t>-TV</w:t>
      </w:r>
      <w:r w:rsidR="008F0A5D">
        <w:t>)</w:t>
      </w:r>
      <w:r w:rsidR="00612B9C">
        <w:rPr>
          <w:szCs w:val="22"/>
        </w:rPr>
        <w:t>,</w:t>
      </w:r>
      <w:r w:rsidR="00612B9C" w:rsidRPr="001D646A">
        <w:rPr>
          <w:szCs w:val="22"/>
        </w:rPr>
        <w:t xml:space="preserve"> on Sunday</w:t>
      </w:r>
      <w:r w:rsidR="00B27613">
        <w:rPr>
          <w:szCs w:val="22"/>
        </w:rPr>
        <w:t>s</w:t>
      </w:r>
      <w:r w:rsidR="00612B9C" w:rsidRPr="001D646A">
        <w:rPr>
          <w:szCs w:val="22"/>
        </w:rPr>
        <w:t xml:space="preserve"> </w:t>
      </w:r>
      <w:r w:rsidR="00B27613">
        <w:rPr>
          <w:szCs w:val="22"/>
        </w:rPr>
        <w:t xml:space="preserve">at 11:00 a.m. and </w:t>
      </w:r>
      <w:r w:rsidR="004662DA">
        <w:rPr>
          <w:szCs w:val="22"/>
        </w:rPr>
        <w:t>11</w:t>
      </w:r>
      <w:r w:rsidR="00B27613">
        <w:rPr>
          <w:szCs w:val="22"/>
        </w:rPr>
        <w:t>:35</w:t>
      </w:r>
      <w:r w:rsidR="004662DA">
        <w:rPr>
          <w:szCs w:val="22"/>
        </w:rPr>
        <w:t xml:space="preserve"> p</w:t>
      </w:r>
      <w:r w:rsidR="00B27613">
        <w:rPr>
          <w:szCs w:val="22"/>
        </w:rPr>
        <w:t>.m</w:t>
      </w:r>
      <w:r w:rsidR="00612B9C" w:rsidRPr="001D646A">
        <w:rPr>
          <w:szCs w:val="22"/>
        </w:rPr>
        <w:t>.</w:t>
      </w:r>
      <w:r w:rsidR="00612B9C">
        <w:rPr>
          <w:rStyle w:val="FootnoteReference1"/>
        </w:rPr>
        <w:footnoteReference w:id="28"/>
      </w:r>
      <w:r w:rsidR="00612B9C">
        <w:t xml:space="preserve"> </w:t>
      </w:r>
      <w:r w:rsidR="00612B9C" w:rsidRPr="001D646A">
        <w:rPr>
          <w:szCs w:val="22"/>
        </w:rPr>
        <w:t xml:space="preserve">  </w:t>
      </w:r>
      <w:r w:rsidR="00612B9C">
        <w:rPr>
          <w:szCs w:val="22"/>
        </w:rPr>
        <w:t xml:space="preserve">The broadcast </w:t>
      </w:r>
      <w:r w:rsidR="00612B9C">
        <w:t xml:space="preserve">consists of an edited </w:t>
      </w:r>
      <w:r w:rsidR="004662DA">
        <w:t xml:space="preserve">portion of a Victory Temple’s Sunday morning service </w:t>
      </w:r>
      <w:r w:rsidR="00612B9C">
        <w:t>that t</w:t>
      </w:r>
      <w:r w:rsidR="001A19BA">
        <w:t>akes</w:t>
      </w:r>
      <w:r w:rsidR="00612B9C">
        <w:t xml:space="preserve"> place typically around </w:t>
      </w:r>
      <w:r w:rsidR="004662DA">
        <w:t xml:space="preserve">three to </w:t>
      </w:r>
      <w:r w:rsidR="00612B9C">
        <w:t>four weeks prior to the broadcast.</w:t>
      </w:r>
      <w:r w:rsidR="004662DA">
        <w:rPr>
          <w:rStyle w:val="FootnoteReference"/>
        </w:rPr>
        <w:footnoteReference w:id="29"/>
      </w:r>
      <w:r w:rsidR="00612B9C" w:rsidRPr="001D646A">
        <w:rPr>
          <w:szCs w:val="22"/>
        </w:rPr>
        <w:t xml:space="preserve">  </w:t>
      </w:r>
      <w:r>
        <w:rPr>
          <w:szCs w:val="22"/>
        </w:rPr>
        <w:t>Victory Temple</w:t>
      </w:r>
      <w:r w:rsidR="00364EE8">
        <w:rPr>
          <w:szCs w:val="22"/>
        </w:rPr>
        <w:t xml:space="preserve"> reports that </w:t>
      </w:r>
      <w:r w:rsidR="00C23A3E">
        <w:rPr>
          <w:szCs w:val="22"/>
        </w:rPr>
        <w:t>“</w:t>
      </w:r>
      <w:r w:rsidR="00364EE8">
        <w:rPr>
          <w:szCs w:val="22"/>
        </w:rPr>
        <w:t>t</w:t>
      </w:r>
      <w:r w:rsidR="00612B9C">
        <w:t xml:space="preserve">he </w:t>
      </w:r>
      <w:r w:rsidR="004662DA">
        <w:t>main objective</w:t>
      </w:r>
      <w:r w:rsidR="00C23A3E">
        <w:t>”</w:t>
      </w:r>
      <w:r w:rsidR="004662DA">
        <w:t xml:space="preserve"> of the </w:t>
      </w:r>
      <w:r w:rsidR="00612B9C">
        <w:t xml:space="preserve">program </w:t>
      </w:r>
      <w:r w:rsidR="00C23A3E">
        <w:t>“</w:t>
      </w:r>
      <w:r w:rsidR="00612B9C">
        <w:t xml:space="preserve">is </w:t>
      </w:r>
      <w:r w:rsidR="004662DA">
        <w:t>to take the Gospel of Jesus Christ to the people of its viewing area.</w:t>
      </w:r>
      <w:r w:rsidR="00C23A3E">
        <w:t>”</w:t>
      </w:r>
      <w:r w:rsidR="00612B9C">
        <w:rPr>
          <w:rStyle w:val="FootnoteReference1"/>
        </w:rPr>
        <w:footnoteReference w:id="30"/>
      </w:r>
      <w:r w:rsidR="00612B9C">
        <w:t xml:space="preserve">  </w:t>
      </w:r>
      <w:r>
        <w:t>Victory Temple</w:t>
      </w:r>
      <w:r w:rsidR="00612B9C">
        <w:t xml:space="preserve"> contends that it is unable to afford closed captioning </w:t>
      </w:r>
      <w:r w:rsidR="00364EE8">
        <w:t>for</w:t>
      </w:r>
      <w:r w:rsidR="00612B9C">
        <w:t xml:space="preserve"> the weekly broadcasts, and that</w:t>
      </w:r>
      <w:r w:rsidR="004662DA">
        <w:t>, if it is not granted an exemption, its “ability to continue with [its] weekly program could be affected.”</w:t>
      </w:r>
      <w:r w:rsidR="00612B9C">
        <w:rPr>
          <w:rStyle w:val="FootnoteReference"/>
        </w:rPr>
        <w:footnoteReference w:id="31"/>
      </w:r>
      <w:r w:rsidR="00612B9C">
        <w:t xml:space="preserve">  </w:t>
      </w:r>
    </w:p>
    <w:p w14:paraId="2F0EE242" w14:textId="716C0342" w:rsidR="009E4A5F" w:rsidRPr="00A30BE7" w:rsidRDefault="004748E6" w:rsidP="00CC013B">
      <w:pPr>
        <w:pStyle w:val="ParaNum"/>
        <w:numPr>
          <w:ilvl w:val="0"/>
          <w:numId w:val="3"/>
        </w:numPr>
        <w:spacing w:after="120"/>
        <w:ind w:left="0" w:firstLine="720"/>
        <w:jc w:val="left"/>
        <w:rPr>
          <w:szCs w:val="22"/>
        </w:rPr>
      </w:pPr>
      <w:r>
        <w:rPr>
          <w:szCs w:val="22"/>
        </w:rPr>
        <w:t>Victory Temple</w:t>
      </w:r>
      <w:r w:rsidR="009E4A5F" w:rsidRPr="001D646A">
        <w:rPr>
          <w:szCs w:val="22"/>
        </w:rPr>
        <w:t xml:space="preserve"> obtained </w:t>
      </w:r>
      <w:r w:rsidR="009E4A5F" w:rsidRPr="00B66851">
        <w:rPr>
          <w:szCs w:val="22"/>
        </w:rPr>
        <w:t xml:space="preserve">two </w:t>
      </w:r>
      <w:r w:rsidR="009E4A5F" w:rsidRPr="00F26182">
        <w:rPr>
          <w:szCs w:val="22"/>
        </w:rPr>
        <w:t xml:space="preserve">quotes to caption its program, </w:t>
      </w:r>
      <w:r w:rsidR="003C1A65">
        <w:t xml:space="preserve">one for </w:t>
      </w:r>
      <w:r w:rsidR="000B53F6">
        <w:t xml:space="preserve">$250 </w:t>
      </w:r>
      <w:r w:rsidR="003C1A65">
        <w:t xml:space="preserve">per </w:t>
      </w:r>
      <w:r w:rsidR="000B53F6">
        <w:t xml:space="preserve">hour </w:t>
      </w:r>
      <w:r w:rsidR="003C1A65">
        <w:t xml:space="preserve">from </w:t>
      </w:r>
      <w:r w:rsidR="000B7748">
        <w:t xml:space="preserve">Closed Caption Maker </w:t>
      </w:r>
      <w:r w:rsidR="003C1A65">
        <w:t xml:space="preserve">and another for </w:t>
      </w:r>
      <w:r w:rsidR="000B53F6">
        <w:t xml:space="preserve">$300 </w:t>
      </w:r>
      <w:r w:rsidR="003C1A65">
        <w:t xml:space="preserve">per </w:t>
      </w:r>
      <w:r w:rsidR="000B53F6">
        <w:t xml:space="preserve">hour </w:t>
      </w:r>
      <w:r w:rsidR="003C1A65">
        <w:t xml:space="preserve">from </w:t>
      </w:r>
      <w:r w:rsidR="000B7748">
        <w:t>VITAC</w:t>
      </w:r>
      <w:r w:rsidR="003C1A65">
        <w:t>.</w:t>
      </w:r>
      <w:r w:rsidR="003C1A65">
        <w:rPr>
          <w:rStyle w:val="FootnoteReference1"/>
        </w:rPr>
        <w:footnoteReference w:id="32"/>
      </w:r>
      <w:r w:rsidR="003C1A65">
        <w:t xml:space="preserve">  </w:t>
      </w:r>
      <w:r w:rsidR="009E4A5F" w:rsidRPr="001D646A">
        <w:rPr>
          <w:szCs w:val="22"/>
        </w:rPr>
        <w:t xml:space="preserve">Based on these quotes, </w:t>
      </w:r>
      <w:r>
        <w:rPr>
          <w:szCs w:val="22"/>
        </w:rPr>
        <w:t>Victory Temple</w:t>
      </w:r>
      <w:r w:rsidR="009E4A5F" w:rsidRPr="001D646A">
        <w:rPr>
          <w:szCs w:val="22"/>
        </w:rPr>
        <w:t xml:space="preserve"> </w:t>
      </w:r>
      <w:r w:rsidR="009E4A5F">
        <w:rPr>
          <w:szCs w:val="22"/>
        </w:rPr>
        <w:t>states</w:t>
      </w:r>
      <w:r w:rsidR="009E4A5F" w:rsidRPr="001D646A">
        <w:rPr>
          <w:szCs w:val="22"/>
        </w:rPr>
        <w:t xml:space="preserve"> that the cost of</w:t>
      </w:r>
      <w:r w:rsidR="009E4A5F">
        <w:rPr>
          <w:szCs w:val="22"/>
        </w:rPr>
        <w:t xml:space="preserve"> </w:t>
      </w:r>
      <w:r w:rsidR="009E4A5F" w:rsidRPr="001D646A">
        <w:rPr>
          <w:szCs w:val="22"/>
        </w:rPr>
        <w:t>captioning</w:t>
      </w:r>
      <w:r w:rsidR="009E4A5F">
        <w:rPr>
          <w:szCs w:val="22"/>
        </w:rPr>
        <w:t xml:space="preserve"> services for</w:t>
      </w:r>
      <w:r w:rsidR="009E4A5F" w:rsidRPr="001D646A">
        <w:rPr>
          <w:szCs w:val="22"/>
        </w:rPr>
        <w:t xml:space="preserve"> a full year of </w:t>
      </w:r>
      <w:r w:rsidR="00587C85">
        <w:rPr>
          <w:i/>
          <w:szCs w:val="22"/>
        </w:rPr>
        <w:t>The World We Live In</w:t>
      </w:r>
      <w:r w:rsidR="003C1A65" w:rsidRPr="001D646A">
        <w:rPr>
          <w:szCs w:val="22"/>
        </w:rPr>
        <w:t xml:space="preserve"> </w:t>
      </w:r>
      <w:r w:rsidR="009E4A5F" w:rsidRPr="001D646A">
        <w:rPr>
          <w:szCs w:val="22"/>
        </w:rPr>
        <w:t>(</w:t>
      </w:r>
      <w:r w:rsidR="009E4A5F" w:rsidRPr="00AC53AC">
        <w:rPr>
          <w:i/>
          <w:szCs w:val="22"/>
        </w:rPr>
        <w:t>i.e</w:t>
      </w:r>
      <w:r w:rsidR="009E4A5F" w:rsidRPr="001D646A">
        <w:rPr>
          <w:szCs w:val="22"/>
        </w:rPr>
        <w:t>., 52 programs) would be $</w:t>
      </w:r>
      <w:r w:rsidR="00C217E0">
        <w:rPr>
          <w:szCs w:val="22"/>
        </w:rPr>
        <w:t>13</w:t>
      </w:r>
      <w:r w:rsidR="003C1A65">
        <w:rPr>
          <w:szCs w:val="22"/>
        </w:rPr>
        <w:t>,000</w:t>
      </w:r>
      <w:r w:rsidR="009E4A5F" w:rsidRPr="001D646A">
        <w:rPr>
          <w:szCs w:val="22"/>
        </w:rPr>
        <w:t xml:space="preserve"> and $</w:t>
      </w:r>
      <w:r w:rsidR="00C217E0">
        <w:rPr>
          <w:szCs w:val="22"/>
        </w:rPr>
        <w:t>15,600</w:t>
      </w:r>
      <w:r w:rsidR="009E4A5F" w:rsidRPr="001D646A">
        <w:rPr>
          <w:szCs w:val="22"/>
        </w:rPr>
        <w:t>, respectively.</w:t>
      </w:r>
      <w:r w:rsidR="009E4A5F" w:rsidRPr="00FD62B1">
        <w:rPr>
          <w:rStyle w:val="FootnoteReference"/>
          <w:szCs w:val="22"/>
        </w:rPr>
        <w:footnoteReference w:id="33"/>
      </w:r>
      <w:r w:rsidR="009E4A5F" w:rsidRPr="001D646A">
        <w:rPr>
          <w:szCs w:val="22"/>
        </w:rPr>
        <w:t xml:space="preserve">  </w:t>
      </w:r>
      <w:r w:rsidR="00342126">
        <w:rPr>
          <w:szCs w:val="22"/>
        </w:rPr>
        <w:t>Further, Victory Temple states that i</w:t>
      </w:r>
      <w:r w:rsidR="00D548EA">
        <w:rPr>
          <w:szCs w:val="22"/>
        </w:rPr>
        <w:t xml:space="preserve">t has </w:t>
      </w:r>
      <w:r w:rsidR="006152A2">
        <w:rPr>
          <w:szCs w:val="22"/>
        </w:rPr>
        <w:t xml:space="preserve">considered </w:t>
      </w:r>
      <w:r w:rsidR="00D548EA">
        <w:rPr>
          <w:szCs w:val="22"/>
        </w:rPr>
        <w:t xml:space="preserve">purchasing equipment to </w:t>
      </w:r>
      <w:r w:rsidR="006152A2">
        <w:rPr>
          <w:szCs w:val="22"/>
        </w:rPr>
        <w:t xml:space="preserve">provide closed </w:t>
      </w:r>
      <w:r w:rsidR="00D548EA">
        <w:rPr>
          <w:szCs w:val="22"/>
        </w:rPr>
        <w:t>caption</w:t>
      </w:r>
      <w:r w:rsidR="006152A2">
        <w:rPr>
          <w:szCs w:val="22"/>
        </w:rPr>
        <w:t>ing in-house</w:t>
      </w:r>
      <w:r w:rsidR="00D548EA">
        <w:rPr>
          <w:szCs w:val="22"/>
        </w:rPr>
        <w:t>, but that it is unable to estimate the costs of equipment and labor to do so.</w:t>
      </w:r>
      <w:r w:rsidR="00342126">
        <w:rPr>
          <w:rStyle w:val="FootnoteReference"/>
          <w:szCs w:val="22"/>
        </w:rPr>
        <w:footnoteReference w:id="34"/>
      </w:r>
      <w:r w:rsidR="00342126" w:rsidRPr="0078615E">
        <w:rPr>
          <w:szCs w:val="22"/>
        </w:rPr>
        <w:t xml:space="preserve">  </w:t>
      </w:r>
    </w:p>
    <w:p w14:paraId="690ADC89" w14:textId="3149B84C" w:rsidR="00224089" w:rsidRPr="001228E1" w:rsidRDefault="002956EA" w:rsidP="001228E1">
      <w:pPr>
        <w:pStyle w:val="ParaNum"/>
        <w:numPr>
          <w:ilvl w:val="0"/>
          <w:numId w:val="3"/>
        </w:numPr>
        <w:spacing w:after="120"/>
        <w:ind w:left="0" w:firstLine="720"/>
        <w:jc w:val="left"/>
        <w:rPr>
          <w:szCs w:val="22"/>
        </w:rPr>
      </w:pPr>
      <w:r>
        <w:rPr>
          <w:szCs w:val="22"/>
        </w:rPr>
        <w:t xml:space="preserve">With its Petition, as supplemented, </w:t>
      </w:r>
      <w:r w:rsidR="004748E6">
        <w:rPr>
          <w:szCs w:val="22"/>
        </w:rPr>
        <w:t>Victory Temple</w:t>
      </w:r>
      <w:r w:rsidR="007E5975" w:rsidRPr="00EC3C85">
        <w:rPr>
          <w:szCs w:val="22"/>
        </w:rPr>
        <w:t xml:space="preserve"> submitted </w:t>
      </w:r>
      <w:r w:rsidR="00841E4F" w:rsidRPr="00EC3C85">
        <w:rPr>
          <w:szCs w:val="22"/>
        </w:rPr>
        <w:t xml:space="preserve">financial statements </w:t>
      </w:r>
      <w:r w:rsidR="00AC3A14">
        <w:rPr>
          <w:szCs w:val="22"/>
        </w:rPr>
        <w:t>for 2012</w:t>
      </w:r>
      <w:r w:rsidR="00210690" w:rsidRPr="00EC3C85">
        <w:rPr>
          <w:szCs w:val="22"/>
        </w:rPr>
        <w:t xml:space="preserve"> and 201</w:t>
      </w:r>
      <w:r w:rsidR="00AC3A14">
        <w:rPr>
          <w:szCs w:val="22"/>
        </w:rPr>
        <w:t>1</w:t>
      </w:r>
      <w:r w:rsidR="00210690" w:rsidRPr="00EC3C85">
        <w:rPr>
          <w:szCs w:val="22"/>
        </w:rPr>
        <w:t>.</w:t>
      </w:r>
      <w:r w:rsidR="00F85163">
        <w:rPr>
          <w:rStyle w:val="FootnoteReference"/>
          <w:szCs w:val="22"/>
        </w:rPr>
        <w:footnoteReference w:id="35"/>
      </w:r>
      <w:r w:rsidR="00210690" w:rsidRPr="00EC3C85">
        <w:rPr>
          <w:szCs w:val="22"/>
        </w:rPr>
        <w:t xml:space="preserve"> </w:t>
      </w:r>
      <w:r w:rsidR="00AC3A14">
        <w:rPr>
          <w:szCs w:val="22"/>
        </w:rPr>
        <w:t xml:space="preserve"> </w:t>
      </w:r>
      <w:r w:rsidR="00353B59" w:rsidRPr="00EC3C85">
        <w:rPr>
          <w:szCs w:val="22"/>
        </w:rPr>
        <w:t xml:space="preserve">For 2012, </w:t>
      </w:r>
      <w:r w:rsidR="004748E6">
        <w:rPr>
          <w:szCs w:val="22"/>
        </w:rPr>
        <w:t>Victory Temple</w:t>
      </w:r>
      <w:r w:rsidR="00353B59" w:rsidRPr="00EC3C85">
        <w:rPr>
          <w:szCs w:val="22"/>
        </w:rPr>
        <w:t xml:space="preserve"> reports</w:t>
      </w:r>
      <w:r w:rsidR="006D17D1">
        <w:rPr>
          <w:szCs w:val="22"/>
        </w:rPr>
        <w:t xml:space="preserve"> total</w:t>
      </w:r>
      <w:r w:rsidR="00353B59" w:rsidRPr="00EC3C85">
        <w:rPr>
          <w:szCs w:val="22"/>
        </w:rPr>
        <w:t xml:space="preserve"> income of </w:t>
      </w:r>
      <w:r w:rsidR="00DD2EDA" w:rsidRPr="00EC3C85">
        <w:rPr>
          <w:szCs w:val="22"/>
        </w:rPr>
        <w:t>$</w:t>
      </w:r>
      <w:r w:rsidR="00DD2EDA">
        <w:t>810,493,</w:t>
      </w:r>
      <w:r w:rsidR="00DD2EDA" w:rsidRPr="00EC3C85">
        <w:rPr>
          <w:szCs w:val="22"/>
        </w:rPr>
        <w:t xml:space="preserve"> </w:t>
      </w:r>
      <w:r w:rsidR="001228E1">
        <w:rPr>
          <w:szCs w:val="22"/>
        </w:rPr>
        <w:t xml:space="preserve">and, excluding depreciation expenses, Victory Temple had expenses of $756,027, resulting in an </w:t>
      </w:r>
      <w:r w:rsidR="00DA09FE" w:rsidRPr="00EC3C85">
        <w:rPr>
          <w:szCs w:val="22"/>
        </w:rPr>
        <w:t xml:space="preserve">excess of </w:t>
      </w:r>
      <w:r w:rsidR="001228E1">
        <w:rPr>
          <w:szCs w:val="22"/>
        </w:rPr>
        <w:t>revenue over expenses (net profit) of $54,466.</w:t>
      </w:r>
      <w:r w:rsidR="00C02480">
        <w:rPr>
          <w:rStyle w:val="FootnoteReference"/>
          <w:szCs w:val="22"/>
        </w:rPr>
        <w:footnoteReference w:id="36"/>
      </w:r>
      <w:r w:rsidR="00C02480" w:rsidRPr="00EC3C85">
        <w:rPr>
          <w:szCs w:val="22"/>
        </w:rPr>
        <w:t xml:space="preserve">  </w:t>
      </w:r>
      <w:r w:rsidR="00AC3A14" w:rsidRPr="00EC3C85">
        <w:rPr>
          <w:szCs w:val="22"/>
        </w:rPr>
        <w:t xml:space="preserve">For 2011, </w:t>
      </w:r>
      <w:r w:rsidR="00AC3A14">
        <w:t>Victory Temple</w:t>
      </w:r>
      <w:r w:rsidR="00AC3A14" w:rsidRPr="00EC3C85">
        <w:rPr>
          <w:szCs w:val="22"/>
        </w:rPr>
        <w:t xml:space="preserve"> reports total </w:t>
      </w:r>
      <w:r w:rsidR="00AC3A14">
        <w:rPr>
          <w:szCs w:val="22"/>
        </w:rPr>
        <w:t>income</w:t>
      </w:r>
      <w:r w:rsidR="00AC3A14" w:rsidRPr="00EC3C85">
        <w:rPr>
          <w:szCs w:val="22"/>
        </w:rPr>
        <w:t xml:space="preserve"> of </w:t>
      </w:r>
      <w:r w:rsidR="00AC3A14">
        <w:t>$899,025</w:t>
      </w:r>
      <w:r w:rsidR="00AC3A14" w:rsidRPr="00EC3C85">
        <w:rPr>
          <w:szCs w:val="22"/>
        </w:rPr>
        <w:t xml:space="preserve">, </w:t>
      </w:r>
      <w:r w:rsidR="001228E1">
        <w:rPr>
          <w:szCs w:val="22"/>
        </w:rPr>
        <w:t>and excluding depreciation expenses, Victory Temple had expenses of $878,963, resulting in an excess of revenue over expenses (net profit) of $20,062</w:t>
      </w:r>
      <w:r w:rsidR="00224089" w:rsidRPr="001228E1">
        <w:rPr>
          <w:szCs w:val="22"/>
        </w:rPr>
        <w:t>.</w:t>
      </w:r>
      <w:r w:rsidR="00224089" w:rsidRPr="00BC0F73">
        <w:rPr>
          <w:rStyle w:val="FootnoteReference"/>
          <w:szCs w:val="22"/>
        </w:rPr>
        <w:footnoteReference w:id="37"/>
      </w:r>
    </w:p>
    <w:p w14:paraId="60BB5673" w14:textId="58363935" w:rsidR="00353B59" w:rsidRPr="00EC3C85" w:rsidRDefault="004748E6" w:rsidP="00EC3C85">
      <w:pPr>
        <w:pStyle w:val="ParaNum"/>
        <w:numPr>
          <w:ilvl w:val="0"/>
          <w:numId w:val="3"/>
        </w:numPr>
        <w:spacing w:after="120"/>
        <w:ind w:left="0" w:firstLine="720"/>
        <w:jc w:val="left"/>
        <w:rPr>
          <w:szCs w:val="22"/>
        </w:rPr>
      </w:pPr>
      <w:r>
        <w:rPr>
          <w:szCs w:val="22"/>
        </w:rPr>
        <w:t>Victory Temple</w:t>
      </w:r>
      <w:r w:rsidR="00F102EC" w:rsidRPr="00EC3C85">
        <w:rPr>
          <w:szCs w:val="22"/>
        </w:rPr>
        <w:t xml:space="preserve"> also submitted </w:t>
      </w:r>
      <w:r w:rsidR="00EC3C85">
        <w:rPr>
          <w:szCs w:val="22"/>
        </w:rPr>
        <w:t>b</w:t>
      </w:r>
      <w:r w:rsidR="00F102EC" w:rsidRPr="00EC3C85">
        <w:rPr>
          <w:szCs w:val="22"/>
        </w:rPr>
        <w:t xml:space="preserve">alance </w:t>
      </w:r>
      <w:r w:rsidR="00EC3C85">
        <w:rPr>
          <w:szCs w:val="22"/>
        </w:rPr>
        <w:t>s</w:t>
      </w:r>
      <w:r w:rsidR="00F102EC" w:rsidRPr="00EC3C85">
        <w:rPr>
          <w:szCs w:val="22"/>
        </w:rPr>
        <w:t xml:space="preserve">heets </w:t>
      </w:r>
      <w:r w:rsidR="00EC3C85">
        <w:rPr>
          <w:szCs w:val="22"/>
        </w:rPr>
        <w:t xml:space="preserve">for </w:t>
      </w:r>
      <w:r w:rsidR="00F102EC" w:rsidRPr="00EC3C85">
        <w:rPr>
          <w:szCs w:val="22"/>
        </w:rPr>
        <w:t>2011 and 2012.</w:t>
      </w:r>
      <w:r w:rsidR="00AA1AF1" w:rsidRPr="00EC3C85">
        <w:rPr>
          <w:szCs w:val="22"/>
        </w:rPr>
        <w:t xml:space="preserve"> </w:t>
      </w:r>
      <w:r w:rsidR="00F102EC" w:rsidRPr="00EC3C85">
        <w:rPr>
          <w:szCs w:val="22"/>
        </w:rPr>
        <w:t xml:space="preserve"> </w:t>
      </w:r>
      <w:r>
        <w:rPr>
          <w:szCs w:val="22"/>
        </w:rPr>
        <w:t>Victory Temple</w:t>
      </w:r>
      <w:r w:rsidR="00353B59" w:rsidRPr="00EC3C85">
        <w:rPr>
          <w:szCs w:val="22"/>
        </w:rPr>
        <w:t xml:space="preserve"> reports current assets </w:t>
      </w:r>
      <w:r w:rsidR="00F96AEA" w:rsidRPr="00EC3C85">
        <w:rPr>
          <w:szCs w:val="22"/>
        </w:rPr>
        <w:t xml:space="preserve">as of </w:t>
      </w:r>
      <w:r w:rsidR="00F96AEA" w:rsidRPr="00CC013B">
        <w:t>December</w:t>
      </w:r>
      <w:r w:rsidR="00F96AEA" w:rsidRPr="00EC3C85">
        <w:rPr>
          <w:szCs w:val="22"/>
        </w:rPr>
        <w:t xml:space="preserve"> </w:t>
      </w:r>
      <w:r w:rsidR="00F96AEA">
        <w:rPr>
          <w:szCs w:val="22"/>
        </w:rPr>
        <w:t xml:space="preserve">31, </w:t>
      </w:r>
      <w:r w:rsidR="00F96AEA" w:rsidRPr="00EC3C85">
        <w:rPr>
          <w:szCs w:val="22"/>
        </w:rPr>
        <w:t>2012 of $</w:t>
      </w:r>
      <w:r w:rsidR="00F96AEA">
        <w:t>413,970</w:t>
      </w:r>
      <w:r w:rsidR="00F96AEA" w:rsidRPr="00EC3C85">
        <w:rPr>
          <w:szCs w:val="22"/>
        </w:rPr>
        <w:t xml:space="preserve">, </w:t>
      </w:r>
      <w:r w:rsidR="00F96AEA">
        <w:rPr>
          <w:szCs w:val="22"/>
        </w:rPr>
        <w:t xml:space="preserve">and no </w:t>
      </w:r>
      <w:r w:rsidR="00F96AEA" w:rsidRPr="00EC3C85">
        <w:rPr>
          <w:szCs w:val="22"/>
        </w:rPr>
        <w:t>current liabilities</w:t>
      </w:r>
      <w:r w:rsidR="00F96AEA">
        <w:t>, resulting in net current assets of $413,970.</w:t>
      </w:r>
      <w:r w:rsidR="00F4331B" w:rsidRPr="00F4331B">
        <w:rPr>
          <w:szCs w:val="22"/>
          <w:vertAlign w:val="superscript"/>
        </w:rPr>
        <w:footnoteReference w:id="38"/>
      </w:r>
      <w:r w:rsidR="00F4331B">
        <w:rPr>
          <w:szCs w:val="22"/>
          <w:vertAlign w:val="superscript"/>
        </w:rPr>
        <w:t xml:space="preserve">  </w:t>
      </w:r>
      <w:r w:rsidR="00F96AEA">
        <w:rPr>
          <w:szCs w:val="22"/>
          <w:vertAlign w:val="superscript"/>
        </w:rPr>
        <w:t xml:space="preserve"> </w:t>
      </w:r>
      <w:r>
        <w:rPr>
          <w:szCs w:val="22"/>
        </w:rPr>
        <w:t>Victory Temple</w:t>
      </w:r>
      <w:r w:rsidR="00353B59" w:rsidRPr="00EC3C85">
        <w:rPr>
          <w:szCs w:val="22"/>
        </w:rPr>
        <w:t xml:space="preserve"> </w:t>
      </w:r>
      <w:r w:rsidR="00F4331B">
        <w:rPr>
          <w:szCs w:val="22"/>
        </w:rPr>
        <w:t xml:space="preserve">also </w:t>
      </w:r>
      <w:r w:rsidR="00353B59" w:rsidRPr="00EC3C85">
        <w:rPr>
          <w:szCs w:val="22"/>
        </w:rPr>
        <w:t>reports current assets</w:t>
      </w:r>
      <w:r w:rsidR="00F96AEA" w:rsidRPr="00F96AEA">
        <w:rPr>
          <w:szCs w:val="22"/>
        </w:rPr>
        <w:t xml:space="preserve"> </w:t>
      </w:r>
      <w:r w:rsidR="00F96AEA" w:rsidRPr="00EC3C85">
        <w:rPr>
          <w:szCs w:val="22"/>
        </w:rPr>
        <w:t xml:space="preserve">as of December </w:t>
      </w:r>
      <w:r w:rsidR="00F96AEA">
        <w:rPr>
          <w:szCs w:val="22"/>
        </w:rPr>
        <w:t xml:space="preserve">31, </w:t>
      </w:r>
      <w:r w:rsidR="00F96AEA" w:rsidRPr="00EC3C85">
        <w:rPr>
          <w:szCs w:val="22"/>
        </w:rPr>
        <w:t>2011 of $</w:t>
      </w:r>
      <w:r w:rsidR="00F96AEA">
        <w:t xml:space="preserve">385,697, and no </w:t>
      </w:r>
      <w:r w:rsidR="00F96AEA" w:rsidRPr="00EC3C85">
        <w:rPr>
          <w:szCs w:val="22"/>
        </w:rPr>
        <w:t>current liabilities</w:t>
      </w:r>
      <w:r w:rsidR="00F96AEA">
        <w:rPr>
          <w:szCs w:val="22"/>
        </w:rPr>
        <w:t>, resulting in net current assets of $</w:t>
      </w:r>
      <w:r w:rsidR="00F96AEA">
        <w:t>385,697</w:t>
      </w:r>
      <w:r w:rsidR="00F4331B">
        <w:t>.</w:t>
      </w:r>
      <w:r w:rsidR="00F80012">
        <w:rPr>
          <w:rStyle w:val="FootnoteReference1"/>
        </w:rPr>
        <w:footnoteReference w:id="39"/>
      </w:r>
      <w:r w:rsidR="00F80012">
        <w:t xml:space="preserve">  </w:t>
      </w:r>
    </w:p>
    <w:p w14:paraId="0DF05C16" w14:textId="333D7BD3" w:rsidR="00625445" w:rsidRDefault="004748E6" w:rsidP="00CC013B">
      <w:pPr>
        <w:pStyle w:val="ParaNum"/>
        <w:numPr>
          <w:ilvl w:val="0"/>
          <w:numId w:val="3"/>
        </w:numPr>
        <w:spacing w:after="120"/>
        <w:ind w:left="0" w:firstLine="720"/>
        <w:jc w:val="left"/>
      </w:pPr>
      <w:r>
        <w:rPr>
          <w:szCs w:val="22"/>
        </w:rPr>
        <w:t>Victory Temple</w:t>
      </w:r>
      <w:r w:rsidR="00B93928" w:rsidRPr="00FD62B1">
        <w:rPr>
          <w:szCs w:val="22"/>
        </w:rPr>
        <w:t xml:space="preserve"> reports that it requested captioning assistance from its video programming distributor </w:t>
      </w:r>
      <w:r w:rsidR="00C02480">
        <w:t>KBMT</w:t>
      </w:r>
      <w:r w:rsidR="00A425A0">
        <w:t>-TV</w:t>
      </w:r>
      <w:r w:rsidR="00B93928">
        <w:rPr>
          <w:szCs w:val="22"/>
        </w:rPr>
        <w:t>;</w:t>
      </w:r>
      <w:r w:rsidR="00B93928" w:rsidRPr="00FD62B1">
        <w:rPr>
          <w:szCs w:val="22"/>
        </w:rPr>
        <w:t xml:space="preserve"> however, </w:t>
      </w:r>
      <w:r w:rsidR="00C02480">
        <w:rPr>
          <w:szCs w:val="22"/>
        </w:rPr>
        <w:t>KBMT</w:t>
      </w:r>
      <w:r w:rsidR="00A425A0">
        <w:rPr>
          <w:szCs w:val="22"/>
        </w:rPr>
        <w:t>-TV</w:t>
      </w:r>
      <w:r w:rsidR="00B93928">
        <w:rPr>
          <w:szCs w:val="22"/>
        </w:rPr>
        <w:t xml:space="preserve"> </w:t>
      </w:r>
      <w:r w:rsidR="00B93928" w:rsidRPr="00FD62B1">
        <w:rPr>
          <w:szCs w:val="22"/>
        </w:rPr>
        <w:t>was unable to offer captioning assistance</w:t>
      </w:r>
      <w:r w:rsidR="00625445">
        <w:t>.</w:t>
      </w:r>
      <w:r w:rsidR="00625445">
        <w:rPr>
          <w:rStyle w:val="FootnoteReference1"/>
        </w:rPr>
        <w:footnoteReference w:id="40"/>
      </w:r>
      <w:r w:rsidR="00625445">
        <w:t xml:space="preserve">  </w:t>
      </w:r>
      <w:r>
        <w:t>Victory Temple</w:t>
      </w:r>
      <w:r w:rsidR="004B155C">
        <w:t xml:space="preserve"> </w:t>
      </w:r>
      <w:r w:rsidR="00364EE8">
        <w:t xml:space="preserve">further indicates that it </w:t>
      </w:r>
      <w:r w:rsidR="00C02480">
        <w:t>does not “solicit offerings,”</w:t>
      </w:r>
      <w:r w:rsidR="00C02480">
        <w:rPr>
          <w:rStyle w:val="FootnoteReference"/>
        </w:rPr>
        <w:footnoteReference w:id="41"/>
      </w:r>
      <w:r w:rsidR="00C02480">
        <w:t xml:space="preserve"> and states that “our program is a way for us to give to those who live in this area, not to ask anything from them.”</w:t>
      </w:r>
      <w:r w:rsidR="004B155C">
        <w:rPr>
          <w:rStyle w:val="FootnoteReference"/>
        </w:rPr>
        <w:footnoteReference w:id="42"/>
      </w:r>
      <w:r w:rsidR="004B155C">
        <w:t xml:space="preserve">  </w:t>
      </w:r>
      <w:r w:rsidR="00F8305B">
        <w:t xml:space="preserve"> </w:t>
      </w:r>
      <w:r>
        <w:t>Victory Temple</w:t>
      </w:r>
      <w:r w:rsidR="00F94ABC" w:rsidRPr="00F94ABC">
        <w:t xml:space="preserve"> asserts that, absent an exemption from the captioning requirements, it </w:t>
      </w:r>
      <w:r w:rsidR="00364EE8">
        <w:t>may</w:t>
      </w:r>
      <w:r w:rsidR="00F94ABC" w:rsidRPr="00F94ABC">
        <w:t xml:space="preserve"> have to discontinue its broadcast of </w:t>
      </w:r>
      <w:r w:rsidR="00587C85">
        <w:rPr>
          <w:i/>
        </w:rPr>
        <w:t>The World We Live In</w:t>
      </w:r>
      <w:r w:rsidR="00F94ABC" w:rsidRPr="00F94ABC">
        <w:t>.</w:t>
      </w:r>
      <w:r w:rsidR="00F94ABC" w:rsidRPr="00F94ABC">
        <w:rPr>
          <w:vertAlign w:val="superscript"/>
        </w:rPr>
        <w:footnoteReference w:id="43"/>
      </w:r>
    </w:p>
    <w:p w14:paraId="6231CD4F" w14:textId="52E2CC44" w:rsidR="00CC7C06" w:rsidRPr="00CC7C06" w:rsidRDefault="009911C9" w:rsidP="00CB04AC">
      <w:pPr>
        <w:pStyle w:val="ParaNum"/>
        <w:numPr>
          <w:ilvl w:val="0"/>
          <w:numId w:val="3"/>
        </w:numPr>
        <w:spacing w:after="120"/>
        <w:ind w:left="0" w:firstLine="720"/>
        <w:jc w:val="left"/>
      </w:pPr>
      <w:r w:rsidRPr="00B0196F">
        <w:rPr>
          <w:szCs w:val="22"/>
        </w:rPr>
        <w:t xml:space="preserve">Consumer Groups, which were the only parties to comment on the Petition in response to the </w:t>
      </w:r>
      <w:r w:rsidRPr="00B0196F">
        <w:rPr>
          <w:i/>
          <w:szCs w:val="22"/>
        </w:rPr>
        <w:t>201</w:t>
      </w:r>
      <w:r w:rsidR="003A4096">
        <w:rPr>
          <w:i/>
          <w:szCs w:val="22"/>
        </w:rPr>
        <w:t>5</w:t>
      </w:r>
      <w:r w:rsidR="003D6DFA">
        <w:rPr>
          <w:i/>
          <w:szCs w:val="22"/>
        </w:rPr>
        <w:t xml:space="preserve"> </w:t>
      </w:r>
      <w:r w:rsidRPr="00B0196F">
        <w:rPr>
          <w:i/>
          <w:szCs w:val="22"/>
        </w:rPr>
        <w:t>Public Notice</w:t>
      </w:r>
      <w:r w:rsidRPr="00B0196F">
        <w:rPr>
          <w:szCs w:val="22"/>
        </w:rPr>
        <w:t xml:space="preserve">, contend that </w:t>
      </w:r>
      <w:r w:rsidR="004748E6" w:rsidRPr="00B0196F">
        <w:rPr>
          <w:szCs w:val="22"/>
        </w:rPr>
        <w:t>Victory Temple</w:t>
      </w:r>
      <w:r w:rsidRPr="00B0196F">
        <w:rPr>
          <w:szCs w:val="22"/>
        </w:rPr>
        <w:t xml:space="preserve"> failed to satisfy the statutory and regulatory requirements to demonstrate that captioning would be economically burdensome on several grounds</w:t>
      </w:r>
      <w:r w:rsidR="00224D5D" w:rsidRPr="00B0196F">
        <w:rPr>
          <w:szCs w:val="22"/>
        </w:rPr>
        <w:t>.</w:t>
      </w:r>
      <w:r w:rsidR="00224D5D" w:rsidRPr="00B0196F">
        <w:rPr>
          <w:rStyle w:val="FootnoteReference1"/>
        </w:rPr>
        <w:footnoteReference w:id="44"/>
      </w:r>
      <w:r w:rsidR="00224D5D" w:rsidRPr="00B0196F">
        <w:rPr>
          <w:szCs w:val="22"/>
        </w:rPr>
        <w:t xml:space="preserve"> </w:t>
      </w:r>
      <w:r w:rsidRPr="00B0196F">
        <w:rPr>
          <w:szCs w:val="22"/>
        </w:rPr>
        <w:t xml:space="preserve"> First, Consumer Groups </w:t>
      </w:r>
      <w:r w:rsidR="003A4096">
        <w:rPr>
          <w:szCs w:val="22"/>
        </w:rPr>
        <w:t xml:space="preserve">urge that the petition be dismissed for </w:t>
      </w:r>
      <w:r w:rsidR="00CC7C06">
        <w:rPr>
          <w:szCs w:val="22"/>
        </w:rPr>
        <w:t xml:space="preserve">Victory Temple’s </w:t>
      </w:r>
      <w:r w:rsidR="003A4096">
        <w:rPr>
          <w:szCs w:val="22"/>
        </w:rPr>
        <w:t>failure to meet its burden of proof under the economically burdensome standard.</w:t>
      </w:r>
      <w:r w:rsidR="003A4096">
        <w:rPr>
          <w:rStyle w:val="FootnoteReference"/>
          <w:szCs w:val="22"/>
        </w:rPr>
        <w:footnoteReference w:id="45"/>
      </w:r>
      <w:r w:rsidR="003A4096">
        <w:rPr>
          <w:szCs w:val="22"/>
        </w:rPr>
        <w:t xml:space="preserve">  They point to </w:t>
      </w:r>
      <w:r w:rsidR="00FD2576">
        <w:rPr>
          <w:szCs w:val="22"/>
        </w:rPr>
        <w:t>what they term a repeated failure “to provide a full financial statement with adequate explanation and evidence, despite numerous requests from the FCC.”</w:t>
      </w:r>
      <w:r w:rsidR="00FD2576">
        <w:rPr>
          <w:rStyle w:val="FootnoteReference"/>
          <w:szCs w:val="22"/>
        </w:rPr>
        <w:footnoteReference w:id="46"/>
      </w:r>
      <w:r w:rsidR="00FD2576">
        <w:rPr>
          <w:szCs w:val="22"/>
        </w:rPr>
        <w:t xml:space="preserve">  In particular, Consumer Groups claim that the </w:t>
      </w:r>
      <w:r w:rsidR="003A4096">
        <w:rPr>
          <w:szCs w:val="22"/>
        </w:rPr>
        <w:t>Victory Temple</w:t>
      </w:r>
      <w:r w:rsidR="00FD2576">
        <w:rPr>
          <w:szCs w:val="22"/>
        </w:rPr>
        <w:t xml:space="preserve"> failed to </w:t>
      </w:r>
      <w:r w:rsidR="009613F0">
        <w:rPr>
          <w:szCs w:val="22"/>
        </w:rPr>
        <w:t>provide key parts of their auditor’s report, “Notes to Financial Statements,” as requested by the Bureau.</w:t>
      </w:r>
      <w:r w:rsidR="009613F0">
        <w:rPr>
          <w:rStyle w:val="FootnoteReference"/>
          <w:szCs w:val="22"/>
        </w:rPr>
        <w:footnoteReference w:id="47"/>
      </w:r>
      <w:r w:rsidR="009613F0">
        <w:rPr>
          <w:szCs w:val="22"/>
        </w:rPr>
        <w:t xml:space="preserve">  Consumer Groups maintain that “this missing information would shed light on some of Victory’s unusual expenses,” and that failure to submit these Notes warrants dismissal of the Petition.</w:t>
      </w:r>
      <w:r w:rsidR="009613F0">
        <w:rPr>
          <w:rStyle w:val="FootnoteReference"/>
          <w:szCs w:val="22"/>
        </w:rPr>
        <w:footnoteReference w:id="48"/>
      </w:r>
      <w:r w:rsidR="009613F0">
        <w:rPr>
          <w:szCs w:val="22"/>
        </w:rPr>
        <w:t xml:space="preserve">  Consumer Groups additionally note that “Victory’s unexplained depreciation expenses raise additional quest</w:t>
      </w:r>
      <w:r w:rsidR="00FE4779">
        <w:rPr>
          <w:szCs w:val="22"/>
        </w:rPr>
        <w:t>ions about its financial health.</w:t>
      </w:r>
      <w:r w:rsidR="009613F0">
        <w:rPr>
          <w:szCs w:val="22"/>
        </w:rPr>
        <w:t>”</w:t>
      </w:r>
      <w:r w:rsidR="009613F0">
        <w:rPr>
          <w:rStyle w:val="FootnoteReference"/>
          <w:szCs w:val="22"/>
        </w:rPr>
        <w:footnoteReference w:id="49"/>
      </w:r>
      <w:r w:rsidR="009613F0">
        <w:rPr>
          <w:szCs w:val="22"/>
        </w:rPr>
        <w:t xml:space="preserve">  They challenge Victory Temple’s inclusion of depreciation as </w:t>
      </w:r>
      <w:r w:rsidR="00671519">
        <w:rPr>
          <w:szCs w:val="22"/>
        </w:rPr>
        <w:t>an expense</w:t>
      </w:r>
      <w:r w:rsidR="009613F0">
        <w:rPr>
          <w:szCs w:val="22"/>
        </w:rPr>
        <w:t>, especially because this “skews its annual expenses to make it appear as though Petitioner has annual losses.”</w:t>
      </w:r>
      <w:r w:rsidR="009613F0">
        <w:rPr>
          <w:rStyle w:val="FootnoteReference"/>
          <w:szCs w:val="22"/>
        </w:rPr>
        <w:footnoteReference w:id="50"/>
      </w:r>
      <w:r w:rsidR="00671519">
        <w:rPr>
          <w:szCs w:val="22"/>
        </w:rPr>
        <w:t xml:space="preserve">  </w:t>
      </w:r>
    </w:p>
    <w:p w14:paraId="59097775" w14:textId="021550F3" w:rsidR="002E1EF8" w:rsidRDefault="00F85306" w:rsidP="00CB04AC">
      <w:pPr>
        <w:pStyle w:val="ParaNum"/>
        <w:numPr>
          <w:ilvl w:val="0"/>
          <w:numId w:val="3"/>
        </w:numPr>
        <w:spacing w:after="120"/>
        <w:ind w:left="0" w:firstLine="720"/>
        <w:jc w:val="left"/>
      </w:pPr>
      <w:r>
        <w:rPr>
          <w:szCs w:val="22"/>
        </w:rPr>
        <w:t xml:space="preserve">In addition to </w:t>
      </w:r>
      <w:r w:rsidR="00CC7C06">
        <w:rPr>
          <w:szCs w:val="22"/>
        </w:rPr>
        <w:t>the above alleged inadequacies in the Petition, Consumer Groups next allege that</w:t>
      </w:r>
      <w:r w:rsidR="00A96D44">
        <w:rPr>
          <w:szCs w:val="22"/>
        </w:rPr>
        <w:t>,</w:t>
      </w:r>
      <w:r w:rsidR="00CC7C06">
        <w:rPr>
          <w:szCs w:val="22"/>
        </w:rPr>
        <w:t xml:space="preserve"> based on the information that Victory Temple did provide</w:t>
      </w:r>
      <w:r w:rsidR="00F63370">
        <w:rPr>
          <w:szCs w:val="22"/>
        </w:rPr>
        <w:t xml:space="preserve"> to the Commission</w:t>
      </w:r>
      <w:r w:rsidR="00CC7C06">
        <w:rPr>
          <w:szCs w:val="22"/>
        </w:rPr>
        <w:t>, sufficient evidence exists to warrant denial of the Petition</w:t>
      </w:r>
      <w:r w:rsidR="00F63370">
        <w:rPr>
          <w:szCs w:val="22"/>
        </w:rPr>
        <w:t>.</w:t>
      </w:r>
      <w:r w:rsidR="00671519">
        <w:rPr>
          <w:rStyle w:val="FootnoteReference"/>
          <w:szCs w:val="22"/>
        </w:rPr>
        <w:footnoteReference w:id="51"/>
      </w:r>
      <w:r w:rsidR="00671519">
        <w:rPr>
          <w:szCs w:val="22"/>
        </w:rPr>
        <w:t xml:space="preserve">  </w:t>
      </w:r>
      <w:r>
        <w:rPr>
          <w:szCs w:val="22"/>
        </w:rPr>
        <w:t xml:space="preserve">When considering </w:t>
      </w:r>
      <w:r w:rsidR="00F63370">
        <w:rPr>
          <w:szCs w:val="22"/>
        </w:rPr>
        <w:t xml:space="preserve">Victory </w:t>
      </w:r>
      <w:r w:rsidR="00F63370" w:rsidRPr="009264B3">
        <w:rPr>
          <w:szCs w:val="22"/>
        </w:rPr>
        <w:t>Temple’s</w:t>
      </w:r>
      <w:r w:rsidR="00FE4779" w:rsidRPr="009264B3">
        <w:rPr>
          <w:szCs w:val="22"/>
        </w:rPr>
        <w:t xml:space="preserve"> annual net profits </w:t>
      </w:r>
      <w:r w:rsidR="00F63370" w:rsidRPr="009264B3">
        <w:rPr>
          <w:szCs w:val="22"/>
        </w:rPr>
        <w:t xml:space="preserve">at $20,062 and $54,466 </w:t>
      </w:r>
      <w:r w:rsidR="00FE4779" w:rsidRPr="009264B3">
        <w:rPr>
          <w:szCs w:val="22"/>
        </w:rPr>
        <w:t>for the years 2011 and 2012</w:t>
      </w:r>
      <w:r w:rsidR="00F63370" w:rsidRPr="009264B3">
        <w:rPr>
          <w:szCs w:val="22"/>
        </w:rPr>
        <w:t>, respectively</w:t>
      </w:r>
      <w:r w:rsidR="00A96D44" w:rsidRPr="009264B3">
        <w:rPr>
          <w:szCs w:val="22"/>
        </w:rPr>
        <w:t>,</w:t>
      </w:r>
      <w:r w:rsidR="00FE4779" w:rsidRPr="009264B3">
        <w:rPr>
          <w:szCs w:val="22"/>
        </w:rPr>
        <w:t xml:space="preserve"> </w:t>
      </w:r>
      <w:r w:rsidRPr="009264B3">
        <w:rPr>
          <w:szCs w:val="22"/>
        </w:rPr>
        <w:t xml:space="preserve">and captioning costs of </w:t>
      </w:r>
      <w:r w:rsidR="00FE4779" w:rsidRPr="009264B3">
        <w:rPr>
          <w:szCs w:val="22"/>
        </w:rPr>
        <w:t xml:space="preserve">$10,400 </w:t>
      </w:r>
      <w:r>
        <w:rPr>
          <w:szCs w:val="22"/>
        </w:rPr>
        <w:t>annually</w:t>
      </w:r>
      <w:r w:rsidR="00FE4779">
        <w:rPr>
          <w:szCs w:val="22"/>
        </w:rPr>
        <w:t>,</w:t>
      </w:r>
      <w:r w:rsidR="005E7BED">
        <w:rPr>
          <w:rStyle w:val="FootnoteReference"/>
          <w:szCs w:val="22"/>
        </w:rPr>
        <w:footnoteReference w:id="52"/>
      </w:r>
      <w:r w:rsidR="00FE4779">
        <w:rPr>
          <w:szCs w:val="22"/>
        </w:rPr>
        <w:t xml:space="preserve"> </w:t>
      </w:r>
      <w:r>
        <w:rPr>
          <w:szCs w:val="22"/>
        </w:rPr>
        <w:t xml:space="preserve">Consumer Groups note that </w:t>
      </w:r>
      <w:r w:rsidR="00DE49AE">
        <w:rPr>
          <w:szCs w:val="22"/>
        </w:rPr>
        <w:t>Victory Temple</w:t>
      </w:r>
      <w:r w:rsidR="00FE4779">
        <w:rPr>
          <w:szCs w:val="22"/>
        </w:rPr>
        <w:t xml:space="preserve"> </w:t>
      </w:r>
      <w:r w:rsidR="00A96D44">
        <w:rPr>
          <w:szCs w:val="22"/>
        </w:rPr>
        <w:t xml:space="preserve">would have </w:t>
      </w:r>
      <w:r w:rsidR="00FE4779">
        <w:rPr>
          <w:szCs w:val="22"/>
        </w:rPr>
        <w:t>still retained excess profits of $9,662 in 2011</w:t>
      </w:r>
      <w:r w:rsidR="00A96D44">
        <w:rPr>
          <w:szCs w:val="22"/>
        </w:rPr>
        <w:t>,</w:t>
      </w:r>
      <w:r w:rsidR="00FE4779">
        <w:rPr>
          <w:szCs w:val="22"/>
        </w:rPr>
        <w:t xml:space="preserve"> and $44,066 in 2012.</w:t>
      </w:r>
      <w:r w:rsidR="0004110D">
        <w:rPr>
          <w:rStyle w:val="FootnoteReference"/>
          <w:szCs w:val="22"/>
        </w:rPr>
        <w:footnoteReference w:id="53"/>
      </w:r>
      <w:r w:rsidR="00FE4779">
        <w:rPr>
          <w:szCs w:val="22"/>
        </w:rPr>
        <w:t xml:space="preserve">  Consumer Groups </w:t>
      </w:r>
      <w:r w:rsidR="00A96D44">
        <w:rPr>
          <w:szCs w:val="22"/>
        </w:rPr>
        <w:t xml:space="preserve">point out </w:t>
      </w:r>
      <w:r w:rsidR="00FE4779">
        <w:rPr>
          <w:szCs w:val="22"/>
        </w:rPr>
        <w:t xml:space="preserve">that </w:t>
      </w:r>
      <w:r w:rsidR="00A96D44">
        <w:rPr>
          <w:szCs w:val="22"/>
        </w:rPr>
        <w:t xml:space="preserve">such </w:t>
      </w:r>
      <w:r w:rsidR="00FE4779">
        <w:rPr>
          <w:szCs w:val="22"/>
        </w:rPr>
        <w:t>costs represent</w:t>
      </w:r>
      <w:r w:rsidR="00A96D44">
        <w:rPr>
          <w:szCs w:val="22"/>
        </w:rPr>
        <w:t>ed</w:t>
      </w:r>
      <w:r w:rsidR="00FE4779">
        <w:rPr>
          <w:szCs w:val="22"/>
        </w:rPr>
        <w:t xml:space="preserve"> only 19% of Victory Temple’s 2012 net profits</w:t>
      </w:r>
      <w:r w:rsidR="00173FE3">
        <w:rPr>
          <w:szCs w:val="22"/>
        </w:rPr>
        <w:t xml:space="preserve">, less than the percentage determined not to be economically burdensome in </w:t>
      </w:r>
      <w:r w:rsidR="004F7CA4">
        <w:rPr>
          <w:szCs w:val="22"/>
        </w:rPr>
        <w:t>a</w:t>
      </w:r>
      <w:r w:rsidR="005E7BED">
        <w:rPr>
          <w:szCs w:val="22"/>
        </w:rPr>
        <w:t xml:space="preserve"> different </w:t>
      </w:r>
      <w:r w:rsidR="00173FE3">
        <w:rPr>
          <w:szCs w:val="22"/>
        </w:rPr>
        <w:t xml:space="preserve">Bureau </w:t>
      </w:r>
      <w:r w:rsidR="005E7BED">
        <w:rPr>
          <w:szCs w:val="22"/>
        </w:rPr>
        <w:t xml:space="preserve">captioning exemption </w:t>
      </w:r>
      <w:r w:rsidR="00173FE3">
        <w:rPr>
          <w:szCs w:val="22"/>
        </w:rPr>
        <w:t>order</w:t>
      </w:r>
      <w:r w:rsidR="00FE4779">
        <w:rPr>
          <w:szCs w:val="22"/>
        </w:rPr>
        <w:t>.</w:t>
      </w:r>
      <w:r w:rsidR="00DE49AE">
        <w:rPr>
          <w:rStyle w:val="FootnoteReference"/>
          <w:szCs w:val="22"/>
        </w:rPr>
        <w:footnoteReference w:id="54"/>
      </w:r>
      <w:r w:rsidR="00FE4779">
        <w:rPr>
          <w:szCs w:val="22"/>
        </w:rPr>
        <w:t xml:space="preserve">  </w:t>
      </w:r>
      <w:r w:rsidR="00DE49AE">
        <w:rPr>
          <w:szCs w:val="22"/>
        </w:rPr>
        <w:t>Further, Consumer Groups note that</w:t>
      </w:r>
      <w:r w:rsidR="00A96D44">
        <w:rPr>
          <w:szCs w:val="22"/>
        </w:rPr>
        <w:t>, even if the disputed depreciation costs were figured in,</w:t>
      </w:r>
      <w:r w:rsidR="00DE49AE">
        <w:rPr>
          <w:szCs w:val="22"/>
        </w:rPr>
        <w:t xml:space="preserve"> Victory Temple </w:t>
      </w:r>
      <w:r w:rsidR="00A96D44">
        <w:rPr>
          <w:szCs w:val="22"/>
        </w:rPr>
        <w:t xml:space="preserve">would have had </w:t>
      </w:r>
      <w:r w:rsidR="00DE49AE">
        <w:rPr>
          <w:szCs w:val="22"/>
        </w:rPr>
        <w:t>ample current net assets of $385,697 in 2011</w:t>
      </w:r>
      <w:r w:rsidR="00A96D44">
        <w:rPr>
          <w:szCs w:val="22"/>
        </w:rPr>
        <w:t>,</w:t>
      </w:r>
      <w:r w:rsidR="00DE49AE">
        <w:rPr>
          <w:szCs w:val="22"/>
        </w:rPr>
        <w:t xml:space="preserve"> and $413,970 in 2012, </w:t>
      </w:r>
      <w:r w:rsidR="00A96D44">
        <w:rPr>
          <w:szCs w:val="22"/>
        </w:rPr>
        <w:t>for</w:t>
      </w:r>
      <w:r w:rsidR="00DE49AE">
        <w:rPr>
          <w:szCs w:val="22"/>
        </w:rPr>
        <w:t xml:space="preserve"> closed captioning.</w:t>
      </w:r>
      <w:r w:rsidR="00DE49AE">
        <w:rPr>
          <w:rStyle w:val="FootnoteReference"/>
          <w:szCs w:val="22"/>
        </w:rPr>
        <w:footnoteReference w:id="55"/>
      </w:r>
      <w:r w:rsidR="00B429F0">
        <w:rPr>
          <w:szCs w:val="22"/>
        </w:rPr>
        <w:t xml:space="preserve"> </w:t>
      </w:r>
      <w:r w:rsidR="00CB04AC">
        <w:t xml:space="preserve"> T</w:t>
      </w:r>
      <w:r w:rsidR="009911C9" w:rsidRPr="00CB04AC">
        <w:rPr>
          <w:szCs w:val="22"/>
        </w:rPr>
        <w:t xml:space="preserve">hus, Consumer Groups conclude, </w:t>
      </w:r>
      <w:r w:rsidR="00F63370">
        <w:rPr>
          <w:szCs w:val="22"/>
        </w:rPr>
        <w:t>Victory Temple has adequate resources to provide closed captioning</w:t>
      </w:r>
      <w:r w:rsidR="00A96D44">
        <w:rPr>
          <w:szCs w:val="22"/>
        </w:rPr>
        <w:t>,</w:t>
      </w:r>
      <w:r w:rsidR="00F63370" w:rsidRPr="00CB04AC">
        <w:rPr>
          <w:szCs w:val="22"/>
        </w:rPr>
        <w:t xml:space="preserve"> </w:t>
      </w:r>
      <w:r w:rsidR="00F63370">
        <w:rPr>
          <w:szCs w:val="22"/>
        </w:rPr>
        <w:t xml:space="preserve">and </w:t>
      </w:r>
      <w:r w:rsidR="009911C9" w:rsidRPr="00CB04AC">
        <w:rPr>
          <w:szCs w:val="22"/>
        </w:rPr>
        <w:t xml:space="preserve">requiring </w:t>
      </w:r>
      <w:r w:rsidR="004748E6" w:rsidRPr="00CB04AC">
        <w:rPr>
          <w:szCs w:val="22"/>
        </w:rPr>
        <w:t>Victory Temple</w:t>
      </w:r>
      <w:r w:rsidR="009911C9" w:rsidRPr="00CB04AC">
        <w:rPr>
          <w:szCs w:val="22"/>
        </w:rPr>
        <w:t xml:space="preserve"> to caption its program </w:t>
      </w:r>
      <w:r w:rsidR="00F63370">
        <w:rPr>
          <w:szCs w:val="22"/>
        </w:rPr>
        <w:t xml:space="preserve">would </w:t>
      </w:r>
      <w:r w:rsidR="009911C9" w:rsidRPr="00CB04AC">
        <w:rPr>
          <w:szCs w:val="22"/>
        </w:rPr>
        <w:t>not be economically burdensome.</w:t>
      </w:r>
      <w:r w:rsidR="009911C9" w:rsidRPr="00B0196F">
        <w:rPr>
          <w:rStyle w:val="FootnoteReference"/>
          <w:szCs w:val="22"/>
        </w:rPr>
        <w:footnoteReference w:id="56"/>
      </w:r>
      <w:r w:rsidR="009911C9" w:rsidRPr="00CB04AC">
        <w:rPr>
          <w:szCs w:val="22"/>
        </w:rPr>
        <w:t xml:space="preserve">  </w:t>
      </w:r>
      <w:r w:rsidR="009911C9">
        <w:t xml:space="preserve"> </w:t>
      </w:r>
    </w:p>
    <w:p w14:paraId="5B389792" w14:textId="120AA9BB" w:rsidR="002E1EF8" w:rsidRPr="00D548EA" w:rsidRDefault="0018451C" w:rsidP="00D548EA">
      <w:pPr>
        <w:pStyle w:val="ParaNum"/>
        <w:widowControl/>
        <w:numPr>
          <w:ilvl w:val="0"/>
          <w:numId w:val="3"/>
        </w:numPr>
        <w:spacing w:after="120"/>
        <w:ind w:left="0" w:firstLine="720"/>
        <w:jc w:val="left"/>
        <w:rPr>
          <w:szCs w:val="22"/>
        </w:rPr>
      </w:pPr>
      <w:r w:rsidRPr="001C6A2F">
        <w:rPr>
          <w:i/>
          <w:szCs w:val="22"/>
        </w:rPr>
        <w:t>Determination.</w:t>
      </w:r>
      <w:r w:rsidRPr="001C6A2F">
        <w:rPr>
          <w:szCs w:val="22"/>
        </w:rPr>
        <w:t xml:space="preserve">  After a careful review of the record, the Bureau finds that </w:t>
      </w:r>
      <w:r w:rsidR="004748E6" w:rsidRPr="001C6A2F">
        <w:rPr>
          <w:szCs w:val="22"/>
        </w:rPr>
        <w:t>Victory Temple</w:t>
      </w:r>
      <w:r w:rsidRPr="001C6A2F">
        <w:rPr>
          <w:szCs w:val="22"/>
        </w:rPr>
        <w:t xml:space="preserve"> has not demonstrated that the provision of closed captioning for </w:t>
      </w:r>
      <w:r w:rsidR="00DD1EAF" w:rsidRPr="001C6A2F">
        <w:rPr>
          <w:szCs w:val="22"/>
        </w:rPr>
        <w:t>its program</w:t>
      </w:r>
      <w:r w:rsidR="00AE176C" w:rsidRPr="001C6A2F">
        <w:rPr>
          <w:szCs w:val="22"/>
        </w:rPr>
        <w:t xml:space="preserve"> </w:t>
      </w:r>
      <w:r w:rsidRPr="001C6A2F">
        <w:rPr>
          <w:szCs w:val="22"/>
        </w:rPr>
        <w:t>would be economically burdensome</w:t>
      </w:r>
      <w:r w:rsidR="00F663FB">
        <w:rPr>
          <w:szCs w:val="22"/>
        </w:rPr>
        <w:t xml:space="preserve"> to it</w:t>
      </w:r>
      <w:r w:rsidRPr="001C6A2F">
        <w:rPr>
          <w:szCs w:val="22"/>
        </w:rPr>
        <w:t>.</w:t>
      </w:r>
      <w:r w:rsidR="00D548EA">
        <w:rPr>
          <w:szCs w:val="22"/>
        </w:rPr>
        <w:t xml:space="preserve">  </w:t>
      </w:r>
      <w:r w:rsidR="001D6275">
        <w:rPr>
          <w:szCs w:val="22"/>
        </w:rPr>
        <w:t>As an initial matter, the Commission has previously determined that, when conducting an economically burdensome analysis, “all the petitioners’ available resources” must be taken into consideration.</w:t>
      </w:r>
      <w:r w:rsidR="001D6275">
        <w:rPr>
          <w:rStyle w:val="FootnoteReference"/>
          <w:szCs w:val="22"/>
        </w:rPr>
        <w:footnoteReference w:id="57"/>
      </w:r>
      <w:r w:rsidR="00072256">
        <w:rPr>
          <w:szCs w:val="22"/>
        </w:rPr>
        <w:t xml:space="preserve">  </w:t>
      </w:r>
      <w:r w:rsidR="00CC013B" w:rsidRPr="00D548EA">
        <w:rPr>
          <w:szCs w:val="22"/>
        </w:rPr>
        <w:t xml:space="preserve">According to the information and documentation it has provided, </w:t>
      </w:r>
      <w:r w:rsidR="004748E6" w:rsidRPr="00D548EA">
        <w:rPr>
          <w:szCs w:val="22"/>
        </w:rPr>
        <w:t>Victory Temple</w:t>
      </w:r>
      <w:r w:rsidR="00CC013B" w:rsidRPr="00D548EA">
        <w:rPr>
          <w:szCs w:val="22"/>
        </w:rPr>
        <w:t xml:space="preserve"> operat</w:t>
      </w:r>
      <w:r w:rsidR="00FE71ED">
        <w:rPr>
          <w:szCs w:val="22"/>
        </w:rPr>
        <w:t>ed</w:t>
      </w:r>
      <w:r w:rsidR="00CC013B" w:rsidRPr="00D548EA">
        <w:rPr>
          <w:szCs w:val="22"/>
        </w:rPr>
        <w:t xml:space="preserve"> </w:t>
      </w:r>
      <w:r w:rsidR="00DA09FE" w:rsidRPr="00D548EA">
        <w:rPr>
          <w:szCs w:val="22"/>
        </w:rPr>
        <w:t>with</w:t>
      </w:r>
      <w:r w:rsidR="00CC013B" w:rsidRPr="00D548EA">
        <w:rPr>
          <w:szCs w:val="22"/>
        </w:rPr>
        <w:t xml:space="preserve"> a</w:t>
      </w:r>
      <w:r w:rsidR="00DA09FE" w:rsidRPr="00D548EA">
        <w:rPr>
          <w:szCs w:val="22"/>
        </w:rPr>
        <w:t xml:space="preserve">n excess of </w:t>
      </w:r>
      <w:r w:rsidR="00D10DE7" w:rsidRPr="00D548EA">
        <w:rPr>
          <w:szCs w:val="22"/>
        </w:rPr>
        <w:t>revenue</w:t>
      </w:r>
      <w:r w:rsidR="00A425A0" w:rsidRPr="00D548EA">
        <w:rPr>
          <w:szCs w:val="22"/>
        </w:rPr>
        <w:t xml:space="preserve"> over expenses (net profit) of $54,466 in 2012.</w:t>
      </w:r>
      <w:r w:rsidR="00CC013B" w:rsidRPr="00A425A0">
        <w:rPr>
          <w:rStyle w:val="FootnoteReference"/>
          <w:szCs w:val="22"/>
        </w:rPr>
        <w:footnoteReference w:id="58"/>
      </w:r>
      <w:r w:rsidR="0002584D">
        <w:rPr>
          <w:szCs w:val="22"/>
        </w:rPr>
        <w:t xml:space="preserve"> </w:t>
      </w:r>
      <w:r w:rsidR="00A425A0" w:rsidRPr="00D548EA">
        <w:rPr>
          <w:szCs w:val="22"/>
        </w:rPr>
        <w:t xml:space="preserve"> When we compare </w:t>
      </w:r>
      <w:r w:rsidR="00F663FB">
        <w:rPr>
          <w:szCs w:val="22"/>
        </w:rPr>
        <w:t xml:space="preserve">Victory Temple’s reported </w:t>
      </w:r>
      <w:r w:rsidR="00A425A0" w:rsidRPr="00D548EA">
        <w:rPr>
          <w:szCs w:val="22"/>
        </w:rPr>
        <w:t>costs for providing closed captioning of $13,000 annually</w:t>
      </w:r>
      <w:r w:rsidR="00A425A0">
        <w:rPr>
          <w:rStyle w:val="FootnoteReference"/>
          <w:szCs w:val="22"/>
        </w:rPr>
        <w:footnoteReference w:id="59"/>
      </w:r>
      <w:r w:rsidR="00A425A0" w:rsidRPr="00D548EA">
        <w:rPr>
          <w:szCs w:val="22"/>
        </w:rPr>
        <w:t xml:space="preserve"> to </w:t>
      </w:r>
      <w:r w:rsidR="00F663FB">
        <w:rPr>
          <w:szCs w:val="22"/>
        </w:rPr>
        <w:t>this net profit</w:t>
      </w:r>
      <w:r w:rsidR="00A425A0" w:rsidRPr="00D548EA">
        <w:rPr>
          <w:szCs w:val="22"/>
        </w:rPr>
        <w:t>, we conclude that such revenue was sufficient to cover the cost of captioning Victory Temple’s program.  Additionally,</w:t>
      </w:r>
      <w:r w:rsidR="00C67B3D" w:rsidRPr="00D548EA">
        <w:rPr>
          <w:szCs w:val="22"/>
        </w:rPr>
        <w:t xml:space="preserve"> </w:t>
      </w:r>
      <w:r w:rsidR="004748E6" w:rsidRPr="00D548EA">
        <w:rPr>
          <w:szCs w:val="22"/>
        </w:rPr>
        <w:t>Victory Temple</w:t>
      </w:r>
      <w:r w:rsidR="00C67B3D" w:rsidRPr="00D548EA">
        <w:rPr>
          <w:szCs w:val="22"/>
        </w:rPr>
        <w:t xml:space="preserve"> had net current assets of $</w:t>
      </w:r>
      <w:r w:rsidR="009127BF">
        <w:t xml:space="preserve">413,970 </w:t>
      </w:r>
      <w:r w:rsidR="00C67B3D" w:rsidRPr="00D548EA">
        <w:rPr>
          <w:szCs w:val="22"/>
        </w:rPr>
        <w:t xml:space="preserve">as of December </w:t>
      </w:r>
      <w:r w:rsidR="00822BAA" w:rsidRPr="00D548EA">
        <w:rPr>
          <w:szCs w:val="22"/>
        </w:rPr>
        <w:t xml:space="preserve">31, </w:t>
      </w:r>
      <w:r w:rsidR="00C67B3D" w:rsidRPr="00D548EA">
        <w:rPr>
          <w:szCs w:val="22"/>
        </w:rPr>
        <w:t>2012,</w:t>
      </w:r>
      <w:r w:rsidR="00C67B3D" w:rsidRPr="00FD62B1">
        <w:rPr>
          <w:rStyle w:val="FootnoteReference"/>
          <w:szCs w:val="22"/>
        </w:rPr>
        <w:footnoteReference w:id="60"/>
      </w:r>
      <w:r w:rsidR="009127BF" w:rsidRPr="00D548EA">
        <w:rPr>
          <w:szCs w:val="22"/>
        </w:rPr>
        <w:t xml:space="preserve"> </w:t>
      </w:r>
      <w:r w:rsidR="00072256">
        <w:rPr>
          <w:szCs w:val="22"/>
        </w:rPr>
        <w:t>further supporting a finding that it had sufficient funding to fund the captioning of its program in that year.</w:t>
      </w:r>
      <w:r w:rsidR="00CC013B" w:rsidRPr="00FD62B1">
        <w:rPr>
          <w:rStyle w:val="FootnoteReference"/>
          <w:szCs w:val="22"/>
        </w:rPr>
        <w:footnoteReference w:id="61"/>
      </w:r>
      <w:r w:rsidR="00CC013B" w:rsidRPr="00D548EA">
        <w:rPr>
          <w:szCs w:val="22"/>
        </w:rPr>
        <w:t xml:space="preserve">  </w:t>
      </w:r>
    </w:p>
    <w:p w14:paraId="251BB49A" w14:textId="19FF2307" w:rsidR="0018451C" w:rsidRPr="002E1EF8" w:rsidRDefault="004748E6" w:rsidP="00096170">
      <w:pPr>
        <w:pStyle w:val="ParaNum"/>
        <w:numPr>
          <w:ilvl w:val="0"/>
          <w:numId w:val="3"/>
        </w:numPr>
        <w:spacing w:after="120"/>
        <w:ind w:left="0" w:firstLine="720"/>
        <w:jc w:val="left"/>
        <w:rPr>
          <w:szCs w:val="22"/>
        </w:rPr>
      </w:pPr>
      <w:r>
        <w:rPr>
          <w:szCs w:val="22"/>
        </w:rPr>
        <w:t>Victory Temple</w:t>
      </w:r>
      <w:r w:rsidR="00482D4F" w:rsidRPr="00E806C3">
        <w:rPr>
          <w:szCs w:val="22"/>
        </w:rPr>
        <w:t xml:space="preserve"> asserts that, if not granted a captioning exemption, it will have to cease production of its telecast.</w:t>
      </w:r>
      <w:r w:rsidR="00482D4F" w:rsidRPr="00BB7D44">
        <w:rPr>
          <w:rStyle w:val="FootnoteReference"/>
          <w:szCs w:val="22"/>
        </w:rPr>
        <w:footnoteReference w:id="62"/>
      </w:r>
      <w:r w:rsidR="00482D4F" w:rsidRPr="00E806C3">
        <w:rPr>
          <w:szCs w:val="22"/>
        </w:rPr>
        <w:t xml:space="preserve">  Because we conclude, based on the information provided by </w:t>
      </w:r>
      <w:r>
        <w:rPr>
          <w:szCs w:val="22"/>
        </w:rPr>
        <w:t>Victory Temple</w:t>
      </w:r>
      <w:r w:rsidR="00482D4F" w:rsidRPr="00E806C3">
        <w:rPr>
          <w:szCs w:val="22"/>
        </w:rPr>
        <w:t xml:space="preserve">, that </w:t>
      </w:r>
      <w:r>
        <w:rPr>
          <w:szCs w:val="22"/>
        </w:rPr>
        <w:t>Victory Temple</w:t>
      </w:r>
      <w:r w:rsidR="00482D4F" w:rsidRPr="00E806C3">
        <w:rPr>
          <w:szCs w:val="22"/>
        </w:rPr>
        <w:t xml:space="preserve"> has adequate financial resources to enable it to af</w:t>
      </w:r>
      <w:r w:rsidR="00482D4F" w:rsidRPr="001D5713">
        <w:rPr>
          <w:szCs w:val="22"/>
        </w:rPr>
        <w:t>ford the costs of c</w:t>
      </w:r>
      <w:r w:rsidR="00482D4F" w:rsidRPr="008D016C">
        <w:rPr>
          <w:szCs w:val="22"/>
        </w:rPr>
        <w:t>aptioning its television program,</w:t>
      </w:r>
      <w:r w:rsidR="00482D4F" w:rsidRPr="00BB7D44">
        <w:rPr>
          <w:rStyle w:val="FootnoteReference"/>
          <w:szCs w:val="22"/>
        </w:rPr>
        <w:footnoteReference w:id="63"/>
      </w:r>
      <w:r w:rsidR="00482D4F" w:rsidRPr="00E806C3">
        <w:rPr>
          <w:szCs w:val="22"/>
        </w:rPr>
        <w:t xml:space="preserve"> we do not find credible </w:t>
      </w:r>
      <w:r>
        <w:rPr>
          <w:szCs w:val="22"/>
        </w:rPr>
        <w:t>Victory Temple</w:t>
      </w:r>
      <w:r w:rsidR="00482D4F" w:rsidRPr="00E806C3">
        <w:rPr>
          <w:szCs w:val="22"/>
        </w:rPr>
        <w:t xml:space="preserve">’ claimed uncertainty about continuing its program if it must provide closed captioning.  Accordingly, we </w:t>
      </w:r>
      <w:r w:rsidR="00F663FB">
        <w:rPr>
          <w:szCs w:val="22"/>
        </w:rPr>
        <w:t>conclude</w:t>
      </w:r>
      <w:r w:rsidR="00482D4F" w:rsidRPr="00E806C3">
        <w:rPr>
          <w:szCs w:val="22"/>
        </w:rPr>
        <w:t xml:space="preserve"> that it would not be economically burdensome for </w:t>
      </w:r>
      <w:r>
        <w:rPr>
          <w:szCs w:val="22"/>
        </w:rPr>
        <w:t>Victory Temple</w:t>
      </w:r>
      <w:r w:rsidR="00482D4F" w:rsidRPr="00E806C3">
        <w:rPr>
          <w:szCs w:val="22"/>
        </w:rPr>
        <w:t xml:space="preserve"> to caption its program within the meaning of the Communications Act </w:t>
      </w:r>
      <w:r w:rsidR="001D046B">
        <w:rPr>
          <w:szCs w:val="22"/>
        </w:rPr>
        <w:t>and</w:t>
      </w:r>
      <w:r w:rsidR="001D046B" w:rsidRPr="00E806C3">
        <w:rPr>
          <w:szCs w:val="22"/>
        </w:rPr>
        <w:t xml:space="preserve"> </w:t>
      </w:r>
      <w:r w:rsidR="00482D4F" w:rsidRPr="00E806C3">
        <w:rPr>
          <w:szCs w:val="22"/>
        </w:rPr>
        <w:t>the Commission’s rules.</w:t>
      </w:r>
    </w:p>
    <w:p w14:paraId="32EC3563" w14:textId="77777777" w:rsidR="00F8305B" w:rsidRDefault="00F8305B">
      <w:pPr>
        <w:pStyle w:val="Heading11"/>
        <w:numPr>
          <w:ilvl w:val="0"/>
          <w:numId w:val="1"/>
        </w:numPr>
        <w:ind w:hanging="720"/>
        <w:jc w:val="left"/>
      </w:pPr>
      <w:bookmarkStart w:id="1" w:name="GoBack"/>
      <w:bookmarkEnd w:id="1"/>
      <w:r>
        <w:t>ordering clauses</w:t>
      </w:r>
      <w:r>
        <w:tab/>
      </w:r>
    </w:p>
    <w:p w14:paraId="2AC8EEB5" w14:textId="77777777" w:rsidR="00C115ED" w:rsidRDefault="00C115ED" w:rsidP="00C115ED">
      <w:pPr>
        <w:pStyle w:val="ParaNum"/>
        <w:numPr>
          <w:ilvl w:val="0"/>
          <w:numId w:val="3"/>
        </w:numPr>
        <w:spacing w:after="120"/>
        <w:ind w:left="0" w:firstLine="720"/>
        <w:jc w:val="left"/>
        <w:rPr>
          <w:szCs w:val="22"/>
        </w:rPr>
      </w:pPr>
      <w:r w:rsidRPr="00FD62B1">
        <w:rPr>
          <w:szCs w:val="22"/>
        </w:rPr>
        <w:t xml:space="preserve">Accordingly, </w:t>
      </w:r>
      <w:r>
        <w:rPr>
          <w:szCs w:val="22"/>
        </w:rPr>
        <w:t>pursuant to section 713 of the Communications Act of 1934, as amended, and sections 0.141(f) and 79.1(f) of the Commission’s rules,</w:t>
      </w:r>
      <w:r>
        <w:rPr>
          <w:rStyle w:val="FootnoteReference"/>
          <w:szCs w:val="22"/>
        </w:rPr>
        <w:footnoteReference w:id="64"/>
      </w:r>
      <w:r>
        <w:rPr>
          <w:szCs w:val="22"/>
        </w:rPr>
        <w:t xml:space="preserve"> </w:t>
      </w:r>
      <w:r w:rsidRPr="00FD62B1">
        <w:rPr>
          <w:szCs w:val="22"/>
        </w:rPr>
        <w:t>IT IS ORDERED</w:t>
      </w:r>
      <w:r w:rsidRPr="00FD62B1">
        <w:rPr>
          <w:b/>
          <w:szCs w:val="22"/>
        </w:rPr>
        <w:t xml:space="preserve"> </w:t>
      </w:r>
      <w:r w:rsidRPr="00FD62B1">
        <w:rPr>
          <w:szCs w:val="22"/>
        </w:rPr>
        <w:t xml:space="preserve">that the Petition filed by </w:t>
      </w:r>
      <w:r w:rsidR="004748E6">
        <w:rPr>
          <w:szCs w:val="22"/>
        </w:rPr>
        <w:t>Victory Temple</w:t>
      </w:r>
      <w:r>
        <w:rPr>
          <w:szCs w:val="22"/>
        </w:rPr>
        <w:t>,</w:t>
      </w:r>
      <w:r w:rsidRPr="00FD62B1">
        <w:rPr>
          <w:szCs w:val="22"/>
        </w:rPr>
        <w:t xml:space="preserve"> requesting an exemption from the Commission’s closed captioning rules</w:t>
      </w:r>
      <w:r>
        <w:rPr>
          <w:szCs w:val="22"/>
        </w:rPr>
        <w:t>,</w:t>
      </w:r>
      <w:r w:rsidRPr="00FD62B1">
        <w:rPr>
          <w:szCs w:val="22"/>
        </w:rPr>
        <w:t xml:space="preserve"> IS DENIED</w:t>
      </w:r>
      <w:r w:rsidRPr="00FD62B1">
        <w:rPr>
          <w:b/>
          <w:szCs w:val="22"/>
        </w:rPr>
        <w:t>.</w:t>
      </w:r>
      <w:r w:rsidRPr="00FD62B1">
        <w:rPr>
          <w:szCs w:val="22"/>
        </w:rPr>
        <w:t xml:space="preserve">  </w:t>
      </w:r>
    </w:p>
    <w:p w14:paraId="797A6420" w14:textId="4714F643" w:rsidR="00C115ED" w:rsidRPr="00FD62B1" w:rsidRDefault="00C115ED" w:rsidP="00C115ED">
      <w:pPr>
        <w:pStyle w:val="ParaNum"/>
        <w:numPr>
          <w:ilvl w:val="0"/>
          <w:numId w:val="3"/>
        </w:numPr>
        <w:spacing w:after="120"/>
        <w:ind w:left="0" w:firstLine="720"/>
        <w:jc w:val="left"/>
        <w:rPr>
          <w:szCs w:val="22"/>
        </w:rPr>
      </w:pPr>
      <w:r w:rsidRPr="00FD62B1">
        <w:rPr>
          <w:szCs w:val="22"/>
        </w:rPr>
        <w:t xml:space="preserve">IT IS FURTHER ORDERED that </w:t>
      </w:r>
      <w:r w:rsidR="00072256">
        <w:rPr>
          <w:szCs w:val="22"/>
        </w:rPr>
        <w:t xml:space="preserve">the programming that is the subject of its Petition must be captioned </w:t>
      </w:r>
      <w:r w:rsidRPr="00FD62B1">
        <w:rPr>
          <w:szCs w:val="22"/>
        </w:rPr>
        <w:t xml:space="preserve">no later than </w:t>
      </w:r>
      <w:r w:rsidR="00F71BD4">
        <w:rPr>
          <w:szCs w:val="22"/>
        </w:rPr>
        <w:t>February 16, 2016</w:t>
      </w:r>
      <w:r w:rsidRPr="00FD62B1">
        <w:rPr>
          <w:szCs w:val="22"/>
        </w:rPr>
        <w:t xml:space="preserve">, which is 90 days from the </w:t>
      </w:r>
      <w:r>
        <w:rPr>
          <w:szCs w:val="22"/>
        </w:rPr>
        <w:t xml:space="preserve">date of the </w:t>
      </w:r>
      <w:r w:rsidRPr="00FD62B1">
        <w:rPr>
          <w:szCs w:val="22"/>
        </w:rPr>
        <w:t>release of this Order.</w:t>
      </w:r>
    </w:p>
    <w:p w14:paraId="67601FAD" w14:textId="497B0346" w:rsidR="00C115ED" w:rsidRPr="00FD62B1" w:rsidRDefault="00C115ED" w:rsidP="00C115ED">
      <w:pPr>
        <w:pStyle w:val="ParaNum"/>
        <w:numPr>
          <w:ilvl w:val="0"/>
          <w:numId w:val="3"/>
        </w:numPr>
        <w:spacing w:after="120"/>
        <w:ind w:left="0" w:firstLine="720"/>
        <w:jc w:val="left"/>
        <w:rPr>
          <w:szCs w:val="22"/>
        </w:rPr>
      </w:pPr>
      <w:r w:rsidRPr="00FD62B1">
        <w:rPr>
          <w:szCs w:val="22"/>
        </w:rPr>
        <w:t xml:space="preserve">IT IS FURTHER ORDERED that </w:t>
      </w:r>
      <w:r w:rsidR="004748E6">
        <w:rPr>
          <w:szCs w:val="22"/>
        </w:rPr>
        <w:t>Victory Temple</w:t>
      </w:r>
      <w:r w:rsidRPr="00FD62B1">
        <w:rPr>
          <w:szCs w:val="22"/>
        </w:rPr>
        <w:t xml:space="preserve"> must inform the Commission of the date on which </w:t>
      </w:r>
      <w:r w:rsidR="00E357E0">
        <w:rPr>
          <w:szCs w:val="22"/>
        </w:rPr>
        <w:t xml:space="preserve">the programming is </w:t>
      </w:r>
      <w:r w:rsidRPr="00FD62B1">
        <w:rPr>
          <w:szCs w:val="22"/>
        </w:rPr>
        <w:t>closed caption</w:t>
      </w:r>
      <w:r w:rsidR="00E357E0">
        <w:rPr>
          <w:szCs w:val="22"/>
        </w:rPr>
        <w:t>ed</w:t>
      </w:r>
      <w:r w:rsidRPr="00FD62B1">
        <w:rPr>
          <w:szCs w:val="22"/>
        </w:rPr>
        <w:t xml:space="preserve"> in accordance with this Order and the Commission’s rules by e-mail to </w:t>
      </w:r>
      <w:hyperlink r:id="rId8" w:history="1">
        <w:r w:rsidRPr="00FD62B1">
          <w:rPr>
            <w:rStyle w:val="Hyperlink"/>
            <w:szCs w:val="22"/>
          </w:rPr>
          <w:t>captioningexemption@fcc.gov</w:t>
        </w:r>
      </w:hyperlink>
      <w:r w:rsidR="00822BAA">
        <w:rPr>
          <w:color w:val="auto"/>
          <w:szCs w:val="22"/>
        </w:rPr>
        <w:t>.</w:t>
      </w:r>
      <w:r w:rsidRPr="00FD62B1">
        <w:rPr>
          <w:rStyle w:val="FootnoteReference"/>
          <w:szCs w:val="22"/>
        </w:rPr>
        <w:footnoteReference w:id="65"/>
      </w:r>
      <w:r w:rsidRPr="00FD62B1">
        <w:rPr>
          <w:szCs w:val="22"/>
        </w:rPr>
        <w:t xml:space="preserve">  The e-mail </w:t>
      </w:r>
      <w:r w:rsidR="00412AC5">
        <w:rPr>
          <w:szCs w:val="22"/>
        </w:rPr>
        <w:t xml:space="preserve">attachment </w:t>
      </w:r>
      <w:r w:rsidRPr="00FD62B1">
        <w:rPr>
          <w:szCs w:val="22"/>
        </w:rPr>
        <w:t>must reference Case Identifier CGB-CC-</w:t>
      </w:r>
      <w:r w:rsidR="004748E6">
        <w:rPr>
          <w:szCs w:val="22"/>
        </w:rPr>
        <w:t xml:space="preserve">0406 </w:t>
      </w:r>
      <w:r w:rsidR="00412AC5">
        <w:rPr>
          <w:szCs w:val="22"/>
        </w:rPr>
        <w:t>and will be posted on the docket in order to be publicly available</w:t>
      </w:r>
      <w:r w:rsidRPr="00FD62B1">
        <w:rPr>
          <w:szCs w:val="22"/>
        </w:rPr>
        <w:t xml:space="preserve">.  </w:t>
      </w:r>
    </w:p>
    <w:p w14:paraId="6DAC1A05" w14:textId="77777777" w:rsidR="00C115ED" w:rsidRPr="00FD62B1" w:rsidRDefault="00C115ED" w:rsidP="00C115ED">
      <w:pPr>
        <w:pStyle w:val="ParaNum"/>
        <w:widowControl/>
        <w:numPr>
          <w:ilvl w:val="0"/>
          <w:numId w:val="0"/>
        </w:numPr>
        <w:spacing w:after="0"/>
        <w:ind w:firstLine="720"/>
        <w:jc w:val="left"/>
        <w:rPr>
          <w:szCs w:val="22"/>
        </w:rPr>
      </w:pPr>
    </w:p>
    <w:p w14:paraId="7E6F1A6A" w14:textId="77777777" w:rsidR="00C115ED" w:rsidRPr="00FD62B1" w:rsidRDefault="00C115ED" w:rsidP="00C115E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14:paraId="0755443B" w14:textId="77777777" w:rsidR="00C115ED" w:rsidRDefault="00C115ED" w:rsidP="00C115ED">
      <w:pPr>
        <w:pStyle w:val="ParaNum"/>
        <w:widowControl/>
        <w:numPr>
          <w:ilvl w:val="0"/>
          <w:numId w:val="0"/>
        </w:numPr>
        <w:tabs>
          <w:tab w:val="left" w:pos="4680"/>
        </w:tabs>
        <w:spacing w:after="0"/>
        <w:ind w:firstLine="720"/>
        <w:jc w:val="left"/>
        <w:rPr>
          <w:szCs w:val="22"/>
        </w:rPr>
      </w:pPr>
    </w:p>
    <w:p w14:paraId="6D273850" w14:textId="77777777" w:rsidR="00C115ED" w:rsidRDefault="00C115ED" w:rsidP="00C115ED">
      <w:pPr>
        <w:pStyle w:val="ParaNum"/>
        <w:widowControl/>
        <w:numPr>
          <w:ilvl w:val="0"/>
          <w:numId w:val="0"/>
        </w:numPr>
        <w:tabs>
          <w:tab w:val="left" w:pos="4680"/>
        </w:tabs>
        <w:spacing w:after="0"/>
        <w:ind w:firstLine="720"/>
        <w:jc w:val="left"/>
        <w:rPr>
          <w:szCs w:val="22"/>
        </w:rPr>
      </w:pPr>
    </w:p>
    <w:p w14:paraId="14A84DB3" w14:textId="77777777" w:rsidR="00C115ED" w:rsidRPr="00FD62B1" w:rsidRDefault="00C115ED" w:rsidP="00C115ED">
      <w:pPr>
        <w:pStyle w:val="ParaNum"/>
        <w:widowControl/>
        <w:numPr>
          <w:ilvl w:val="0"/>
          <w:numId w:val="0"/>
        </w:numPr>
        <w:tabs>
          <w:tab w:val="left" w:pos="4680"/>
        </w:tabs>
        <w:spacing w:after="0"/>
        <w:ind w:firstLine="720"/>
        <w:jc w:val="left"/>
        <w:rPr>
          <w:szCs w:val="22"/>
        </w:rPr>
      </w:pPr>
    </w:p>
    <w:p w14:paraId="17B99097" w14:textId="77777777" w:rsidR="00C115ED" w:rsidRPr="00F0277B" w:rsidRDefault="00C115ED" w:rsidP="00C115ED">
      <w:pPr>
        <w:pStyle w:val="ParaNum"/>
        <w:widowControl/>
        <w:numPr>
          <w:ilvl w:val="0"/>
          <w:numId w:val="0"/>
        </w:numPr>
        <w:tabs>
          <w:tab w:val="clear" w:pos="1440"/>
          <w:tab w:val="left" w:pos="4680"/>
        </w:tabs>
        <w:spacing w:after="0"/>
        <w:jc w:val="left"/>
        <w:rPr>
          <w:szCs w:val="22"/>
        </w:rPr>
      </w:pPr>
      <w:r w:rsidRPr="00FD62B1">
        <w:rPr>
          <w:szCs w:val="22"/>
        </w:rPr>
        <w:tab/>
      </w:r>
      <w:r>
        <w:rPr>
          <w:szCs w:val="22"/>
        </w:rPr>
        <w:t>Karen Peltz Strauss</w:t>
      </w:r>
    </w:p>
    <w:p w14:paraId="44ECAC0D" w14:textId="77777777" w:rsidR="00C115ED" w:rsidRDefault="00C115ED" w:rsidP="00C115E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14:paraId="4691353B" w14:textId="77777777" w:rsidR="00C115ED" w:rsidRPr="00FD62B1" w:rsidRDefault="00C115ED" w:rsidP="00C115E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Consumer and Governmental Affairs Bureau</w:t>
      </w:r>
    </w:p>
    <w:p w14:paraId="4BB3EF5A" w14:textId="77777777" w:rsidR="00C115ED" w:rsidRPr="00FD62B1" w:rsidRDefault="00C115ED" w:rsidP="00C115ED">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p w14:paraId="50F21E25" w14:textId="77777777" w:rsidR="00C115ED" w:rsidRPr="00FD62B1" w:rsidRDefault="00C115ED" w:rsidP="00C115ED">
      <w:pPr>
        <w:pStyle w:val="ParaNum"/>
        <w:numPr>
          <w:ilvl w:val="0"/>
          <w:numId w:val="0"/>
        </w:numPr>
        <w:spacing w:after="120"/>
        <w:ind w:left="720" w:hanging="360"/>
        <w:jc w:val="left"/>
        <w:rPr>
          <w:szCs w:val="22"/>
        </w:rPr>
      </w:pPr>
    </w:p>
    <w:p w14:paraId="737B5219" w14:textId="77777777" w:rsidR="00F8305B" w:rsidRDefault="00F8305B" w:rsidP="00DA0E2A">
      <w:pPr>
        <w:pStyle w:val="ParaNum"/>
        <w:numPr>
          <w:ilvl w:val="0"/>
          <w:numId w:val="0"/>
        </w:numPr>
        <w:spacing w:after="0"/>
        <w:ind w:left="792"/>
        <w:jc w:val="left"/>
        <w:rPr>
          <w:rFonts w:eastAsia="Times New Roman"/>
          <w:color w:val="auto"/>
          <w:sz w:val="20"/>
          <w:lang w:bidi="x-none"/>
        </w:rPr>
      </w:pPr>
    </w:p>
    <w:sectPr w:rsidR="00F8305B" w:rsidSect="00E30AA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CD088" w14:textId="77777777" w:rsidR="00D64D6A" w:rsidRDefault="00D64D6A">
      <w:pPr>
        <w:spacing w:after="0"/>
      </w:pPr>
      <w:r>
        <w:separator/>
      </w:r>
    </w:p>
  </w:endnote>
  <w:endnote w:type="continuationSeparator" w:id="0">
    <w:p w14:paraId="64484C1B" w14:textId="77777777" w:rsidR="00D64D6A" w:rsidRDefault="00D64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Bold">
    <w:panose1 w:val="020B0804030504040204"/>
    <w:charset w:val="00"/>
    <w:family w:val="roman"/>
    <w:pitch w:val="default"/>
  </w:font>
  <w:font w:name="ヒラギノ角ゴ Pro W3">
    <w:altName w:val="Times New Roman"/>
    <w:charset w:val="00"/>
    <w:family w:val="roman"/>
    <w:pitch w:val="default"/>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29EB" w14:textId="77777777" w:rsidR="00C02480" w:rsidRDefault="00C02480">
    <w:pPr>
      <w:pStyle w:val="Footer1"/>
      <w:jc w:val="center"/>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F50FD6">
      <w:rPr>
        <w:rStyle w:val="PageNumber1"/>
        <w:noProof/>
      </w:rPr>
      <w:t>2</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507D" w14:textId="77777777" w:rsidR="00C02480" w:rsidRDefault="00C02480">
    <w:pPr>
      <w:pStyle w:val="Footer1"/>
      <w:jc w:val="center"/>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F532C4">
      <w:rPr>
        <w:rStyle w:val="PageNumber1"/>
        <w:noProof/>
      </w:rPr>
      <w:t>3</w:t>
    </w:r>
    <w:r>
      <w:rPr>
        <w:rStyle w:val="PageNumber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DE02" w14:textId="77777777" w:rsidR="001D2560" w:rsidRDefault="001D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B4FF0" w14:textId="77777777" w:rsidR="00D64D6A" w:rsidRDefault="00D64D6A">
      <w:pPr>
        <w:spacing w:after="0"/>
      </w:pPr>
      <w:r>
        <w:separator/>
      </w:r>
    </w:p>
  </w:footnote>
  <w:footnote w:type="continuationSeparator" w:id="0">
    <w:p w14:paraId="1ECCB40B" w14:textId="77777777" w:rsidR="00D64D6A" w:rsidRDefault="00D64D6A">
      <w:pPr>
        <w:spacing w:after="0"/>
      </w:pPr>
      <w:r>
        <w:continuationSeparator/>
      </w:r>
    </w:p>
  </w:footnote>
  <w:footnote w:id="1">
    <w:p w14:paraId="7A2D9BC3" w14:textId="0681E788" w:rsidR="001939D0" w:rsidRDefault="001939D0" w:rsidP="00802D76">
      <w:pPr>
        <w:pStyle w:val="FootnoteText"/>
        <w:ind w:firstLine="0"/>
      </w:pPr>
      <w:r>
        <w:rPr>
          <w:rStyle w:val="FootnoteReference"/>
        </w:rPr>
        <w:footnoteRef/>
      </w:r>
      <w:r>
        <w:t xml:space="preserve"> February 15 is a Federal holiday.</w:t>
      </w:r>
    </w:p>
  </w:footnote>
  <w:footnote w:id="2">
    <w:p w14:paraId="5577B75C" w14:textId="77777777" w:rsidR="00C02480" w:rsidRPr="00D37256" w:rsidRDefault="00C02480" w:rsidP="004052D0">
      <w:pPr>
        <w:pStyle w:val="FootnoteText1"/>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14:paraId="6CC21AD0" w14:textId="66ADD9B6" w:rsidR="00C02480" w:rsidRPr="00D37256" w:rsidRDefault="00C02480" w:rsidP="004052D0">
      <w:pPr>
        <w:pStyle w:val="FootnoteText1"/>
        <w:jc w:val="left"/>
      </w:pPr>
      <w:r w:rsidRPr="00D37256">
        <w:rPr>
          <w:rStyle w:val="FootnoteReference"/>
        </w:rPr>
        <w:footnoteRef/>
      </w:r>
      <w:r w:rsidRPr="00D37256">
        <w:t xml:space="preserve"> 47 U.S.C. §§ 613(b)</w:t>
      </w:r>
      <w:r w:rsidR="00FC4833">
        <w:t>-</w:t>
      </w:r>
      <w:r w:rsidRPr="00D37256">
        <w:t>(c).</w:t>
      </w:r>
    </w:p>
  </w:footnote>
  <w:footnote w:id="4">
    <w:p w14:paraId="6D8B87F5" w14:textId="77777777" w:rsidR="00C02480" w:rsidRPr="00D37256" w:rsidRDefault="00C02480" w:rsidP="004052D0">
      <w:pPr>
        <w:pStyle w:val="FootnoteText1"/>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w:t>
      </w:r>
      <w:r w:rsidRPr="0053093C">
        <w:t>MM Docket No. 95-176</w:t>
      </w:r>
      <w:r>
        <w:t xml:space="preserve">, </w:t>
      </w:r>
      <w:r w:rsidRPr="00D37256">
        <w:t>Report and Order, 13 FCC Rcd 3272 (1997) (</w:t>
      </w:r>
      <w:r w:rsidRPr="00D37256">
        <w:rPr>
          <w:i/>
        </w:rPr>
        <w:t xml:space="preserve">Closed Captioning Report and Order); </w:t>
      </w:r>
      <w:r w:rsidRPr="00D37256">
        <w:rPr>
          <w:i/>
          <w:iCs/>
        </w:rPr>
        <w:t>Closed Captioning and Video Description of Video Programming</w:t>
      </w:r>
      <w:r w:rsidRPr="004052D0">
        <w:rPr>
          <w:i/>
          <w:iCs/>
        </w:rPr>
        <w:t xml:space="preserve">, </w:t>
      </w:r>
      <w:r w:rsidRPr="004052D0">
        <w:rPr>
          <w:i/>
        </w:rPr>
        <w:t>Implementation</w:t>
      </w:r>
      <w:r w:rsidRPr="00D37256">
        <w:rPr>
          <w:i/>
          <w:iCs/>
        </w:rPr>
        <w:t xml:space="preserve"> of Section 305 of the Telecommunications Act of 1996, Video Programming Accessibility, </w:t>
      </w:r>
      <w:r w:rsidRPr="0053093C">
        <w:t>MM Docket No. 95-176,</w:t>
      </w:r>
      <w:r>
        <w:t xml:space="preserve">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14:paraId="1CEBBF83" w14:textId="77777777" w:rsidR="00C02480" w:rsidRPr="00D37256" w:rsidRDefault="00C02480" w:rsidP="004052D0">
      <w:pPr>
        <w:pStyle w:val="FootnoteText1"/>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xml:space="preserve">, </w:t>
      </w:r>
      <w:r w:rsidRPr="0053093C">
        <w:t xml:space="preserve">CG Docket No. 05-231, </w:t>
      </w:r>
      <w:r w:rsidRPr="00D37256">
        <w:t>Report and Order, Declaratory Ruling, and Further Notice of Proposed Rulemaking, 29 FCC Rcd 2221, 2288-89, ¶ 115 (2014).</w:t>
      </w:r>
    </w:p>
  </w:footnote>
  <w:footnote w:id="6">
    <w:p w14:paraId="1B1EC1A9" w14:textId="77777777" w:rsidR="00C02480" w:rsidRPr="00D37256" w:rsidRDefault="00C02480" w:rsidP="004052D0">
      <w:pPr>
        <w:pStyle w:val="FootnoteText1"/>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xml:space="preserve">, </w:t>
      </w:r>
      <w:r w:rsidRPr="0053093C">
        <w:t xml:space="preserve">CG Docket No. 11-175, </w:t>
      </w:r>
      <w:r w:rsidRPr="00D37256">
        <w:t>Report and Order, 27 FCC Rcd 8831, 8834, ¶ 7 (2012) (</w:t>
      </w:r>
      <w:r w:rsidRPr="00D37256">
        <w:rPr>
          <w:i/>
        </w:rPr>
        <w:t>Economically Burdensome Standard Order</w:t>
      </w:r>
      <w:r w:rsidRPr="00D37256">
        <w:t>).</w:t>
      </w:r>
    </w:p>
  </w:footnote>
  <w:footnote w:id="7">
    <w:p w14:paraId="05F8254C" w14:textId="246CAFC2" w:rsidR="00C02480" w:rsidRPr="00D37256" w:rsidRDefault="00C02480" w:rsidP="004052D0">
      <w:pPr>
        <w:pStyle w:val="FootnoteText1"/>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n.</w:t>
      </w:r>
      <w:r w:rsidR="003C3292">
        <w:t>5</w:t>
      </w:r>
      <w:r w:rsidRPr="00D37256">
        <w:t xml:space="preserve">,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1BBB913B" w14:textId="77777777" w:rsidR="00C02480" w:rsidRPr="00D37256" w:rsidRDefault="00C02480" w:rsidP="004052D0">
      <w:pPr>
        <w:pStyle w:val="FootnoteText1"/>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14:paraId="45921FE2" w14:textId="77777777" w:rsidR="001E41DF" w:rsidRPr="00D37256" w:rsidRDefault="001E41DF" w:rsidP="008D762E">
      <w:pPr>
        <w:suppressAutoHyphens/>
        <w:ind w:firstLine="0"/>
        <w:rPr>
          <w:sz w:val="20"/>
        </w:rPr>
      </w:pPr>
      <w:r w:rsidRPr="00D37256">
        <w:rPr>
          <w:rStyle w:val="FootnoteReference"/>
        </w:rPr>
        <w:footnoteRef/>
      </w:r>
      <w:r w:rsidRPr="00D37256">
        <w:rPr>
          <w:sz w:val="20"/>
        </w:rPr>
        <w:t xml:space="preserve"> </w:t>
      </w:r>
      <w:r w:rsidRPr="005510D6">
        <w:rPr>
          <w:i/>
          <w:sz w:val="20"/>
        </w:rPr>
        <w:t>Anglers for Christ Ministries, Inc., et al.; Amendment of Section 79.1(f) of the Commission’s Rules; Video Programming Accessibility</w:t>
      </w:r>
      <w:r w:rsidRPr="005510D6">
        <w:rPr>
          <w:sz w:val="20"/>
        </w:rPr>
        <w:t>, CG Docket Nos. 06-181 and 11-175, Memorandum Opinion and Order, Order, and Notice of Proposed Rulemaking, 26 FCC Rcd 14941, 14955-56, ¶ 28 &amp; nn. 100-04 (2011) (</w:t>
      </w:r>
      <w:r w:rsidRPr="005510D6">
        <w:rPr>
          <w:i/>
          <w:sz w:val="20"/>
        </w:rPr>
        <w:t>Anglers Reversal MO&amp;O</w:t>
      </w:r>
      <w:r w:rsidRPr="005510D6">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sidRPr="005510D6">
        <w:rPr>
          <w:i/>
          <w:sz w:val="20"/>
        </w:rPr>
        <w:t>Bureau Information Guidance</w:t>
      </w:r>
      <w:r w:rsidRPr="005510D6">
        <w:rPr>
          <w:sz w:val="20"/>
        </w:rPr>
        <w:t>).</w:t>
      </w:r>
    </w:p>
  </w:footnote>
  <w:footnote w:id="10">
    <w:p w14:paraId="13831AD0" w14:textId="77777777" w:rsidR="00C02480" w:rsidRPr="00D37256" w:rsidRDefault="00C02480" w:rsidP="004052D0">
      <w:pPr>
        <w:pStyle w:val="FootnoteText1"/>
        <w:jc w:val="left"/>
      </w:pPr>
      <w:r w:rsidRPr="00D37256">
        <w:rPr>
          <w:rStyle w:val="FootnoteReference"/>
        </w:rPr>
        <w:footnoteRef/>
      </w:r>
      <w:r w:rsidRPr="00D37256">
        <w:t xml:space="preserve"> 47 C.F.R. § 79.1(f)(9).  A petition for exemption may also be supported by an </w:t>
      </w:r>
      <w:r w:rsidRPr="00D37256">
        <w:rPr>
          <w:rStyle w:val="contents"/>
        </w:rPr>
        <w:t xml:space="preserve">unsworn written statement signed by a </w:t>
      </w:r>
      <w:r w:rsidRPr="004052D0">
        <w:t>declarant</w:t>
      </w:r>
      <w:r w:rsidRPr="00D37256">
        <w:rPr>
          <w:rStyle w:val="contents"/>
        </w:rPr>
        <w:t xml:space="preserve"> under</w:t>
      </w:r>
      <w:r>
        <w:rPr>
          <w:rStyle w:val="contents"/>
        </w:rPr>
        <w:t xml:space="preserve"> penalty of perjury.  47 C.F.R. </w:t>
      </w:r>
      <w:r w:rsidRPr="00D37256">
        <w:rPr>
          <w:rStyle w:val="contents"/>
        </w:rPr>
        <w:t>§ 1.16.</w:t>
      </w:r>
    </w:p>
  </w:footnote>
  <w:footnote w:id="11">
    <w:p w14:paraId="27A84CC5" w14:textId="77777777" w:rsidR="00C02480" w:rsidRPr="00D37256" w:rsidRDefault="00C02480" w:rsidP="004052D0">
      <w:pPr>
        <w:pStyle w:val="FootnoteText1"/>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 xml:space="preserve">Video Programming </w:t>
      </w:r>
      <w:r w:rsidRPr="004052D0">
        <w:t>Accessibility</w:t>
      </w:r>
      <w:r w:rsidRPr="00D37256">
        <w:rPr>
          <w:i/>
        </w:rPr>
        <w:t>, Petition for Waiver of Closed Captioning Requirements</w:t>
      </w:r>
      <w:r w:rsidRPr="00D37256">
        <w:t xml:space="preserve">, </w:t>
      </w:r>
      <w:r>
        <w:t xml:space="preserve">CSR Docket No. 5444, </w:t>
      </w:r>
      <w:r w:rsidRPr="00D37256">
        <w:t>Memorandum Opinion and Order, 16 FCC Rcd 13611, 13614, ¶ 12 (Cable Services Bureau, 2001) (</w:t>
      </w:r>
      <w:r w:rsidRPr="00D37256">
        <w:rPr>
          <w:i/>
        </w:rPr>
        <w:t>Wild Outdoors 2001</w:t>
      </w:r>
      <w:r w:rsidRPr="00D37256">
        <w:t xml:space="preserve">)).  </w:t>
      </w:r>
    </w:p>
  </w:footnote>
  <w:footnote w:id="12">
    <w:p w14:paraId="7E95E5AC" w14:textId="77777777" w:rsidR="00C02480" w:rsidRPr="00D37256" w:rsidRDefault="00C02480" w:rsidP="004052D0">
      <w:pPr>
        <w:pStyle w:val="FootnoteText1"/>
        <w:jc w:val="left"/>
      </w:pPr>
      <w:r w:rsidRPr="00D37256">
        <w:rPr>
          <w:rStyle w:val="FootnoteReference"/>
        </w:rPr>
        <w:footnoteRef/>
      </w:r>
      <w:r w:rsidRPr="00D37256">
        <w:t xml:space="preserve"> 47 U.S.C. § 613(d)(3); 47 C.F.R. § 79.1(f)(11).</w:t>
      </w:r>
    </w:p>
  </w:footnote>
  <w:footnote w:id="13">
    <w:p w14:paraId="5798FBF5" w14:textId="07F1F854" w:rsidR="00C02480" w:rsidRPr="005A6EA2" w:rsidRDefault="00C02480" w:rsidP="004052D0">
      <w:pPr>
        <w:pStyle w:val="FootnoteText1"/>
        <w:jc w:val="left"/>
      </w:pPr>
      <w:r w:rsidRPr="00D37256">
        <w:rPr>
          <w:rStyle w:val="FootnoteReference"/>
        </w:rPr>
        <w:footnoteRef/>
      </w:r>
      <w:r w:rsidRPr="00D37256">
        <w:t xml:space="preserve"> </w:t>
      </w:r>
      <w:r w:rsidRPr="00D37256">
        <w:rPr>
          <w:i/>
        </w:rPr>
        <w:t>See</w:t>
      </w:r>
      <w:r w:rsidRPr="00D37256">
        <w:t xml:space="preserve"> Letter from </w:t>
      </w:r>
      <w:r>
        <w:t>Robert Turnage, Pastor, Victory Temple</w:t>
      </w:r>
      <w:r w:rsidRPr="00D37256">
        <w:t>, to Office of the Secretary, F</w:t>
      </w:r>
      <w:r>
        <w:t>CC</w:t>
      </w:r>
      <w:r w:rsidRPr="00D37256">
        <w:t xml:space="preserve"> (</w:t>
      </w:r>
      <w:r w:rsidR="00934430">
        <w:t>Jan. 1</w:t>
      </w:r>
      <w:r>
        <w:t>0, 2006</w:t>
      </w:r>
      <w:r w:rsidRPr="00D37256">
        <w:t>)</w:t>
      </w:r>
      <w:r w:rsidR="00934430">
        <w:t xml:space="preserve"> (filed Jan. 30, 2006)</w:t>
      </w:r>
      <w:r w:rsidR="00BB481A">
        <w:t xml:space="preserve"> (2006 Request</w:t>
      </w:r>
      <w:r w:rsidR="00D23881">
        <w:t xml:space="preserve">).  In </w:t>
      </w:r>
      <w:r w:rsidR="00F643A3">
        <w:t xml:space="preserve">its initial petition, in addition to requesting an exemption based on economic burden, Victory Temple </w:t>
      </w:r>
      <w:r w:rsidR="005A6EA2">
        <w:t>claimed</w:t>
      </w:r>
      <w:r w:rsidR="00F643A3">
        <w:t xml:space="preserve"> to be exempt from the Commission’s closed captioning rules under section 791(d)(8) of the Commission’s rules.  </w:t>
      </w:r>
      <w:r w:rsidR="00F643A3">
        <w:rPr>
          <w:i/>
        </w:rPr>
        <w:t>Id.</w:t>
      </w:r>
      <w:r w:rsidR="00F643A3">
        <w:t xml:space="preserve"> at 1.  Section 79.1(d)(8) of the Commission’s rules exempts “[programming that is </w:t>
      </w:r>
      <w:r w:rsidR="003609F2">
        <w:t xml:space="preserve">locally produced </w:t>
      </w:r>
      <w:r w:rsidR="003609F2">
        <w:rPr>
          <w:i/>
        </w:rPr>
        <w:t>by the video programming distributor</w:t>
      </w:r>
      <w:r w:rsidR="003609F2">
        <w:t>, has no repeat value, is of local public interest, is not news programming, and for which the ‘electronic news room’ technique of captioning is unavailable.”  47 C.F.R. § 79.1(d)(8)</w:t>
      </w:r>
      <w:r w:rsidR="006F22EF">
        <w:t>(Emphasis added)</w:t>
      </w:r>
      <w:r w:rsidR="003609F2">
        <w:t xml:space="preserve">.  Section 79.1(a)(2) of the Commission’s rules defines “video programming distributor,” in part, as “[a]ny television broadcast station licensed by the Commission and any multichannel video programming distributor.” </w:t>
      </w:r>
      <w:r w:rsidR="003609F2">
        <w:rPr>
          <w:i/>
        </w:rPr>
        <w:t>Id</w:t>
      </w:r>
      <w:r w:rsidR="003609F2">
        <w:t>. § 79.1(a)(2).</w:t>
      </w:r>
      <w:r w:rsidR="005A6EA2">
        <w:t xml:space="preserve">  Since Victory Temple is a producer of a single program, Victory Temple is not a video programming distributor and does not qualify for an exemption under section 79.1(d)(8).  Similarly, Victory Temple’s claim to be exempt since it has less than $3,000,000 in revenues is incorrect because in order to qualify for the exemption under section 79.1(d)(12), the provider must have a channel</w:t>
      </w:r>
      <w:r w:rsidR="005375D2">
        <w:t xml:space="preserve"> (not a program) </w:t>
      </w:r>
      <w:r w:rsidR="005A6EA2">
        <w:t xml:space="preserve">that produces revenues of under $3,000,000. </w:t>
      </w:r>
      <w:r w:rsidR="005375D2">
        <w:t>2006 Request</w:t>
      </w:r>
      <w:r w:rsidR="005A6EA2">
        <w:t xml:space="preserve"> at </w:t>
      </w:r>
      <w:r w:rsidR="005375D2">
        <w:t xml:space="preserve">1, 3.  47 C.F.R. § 79.1(d)(12).  </w:t>
      </w:r>
    </w:p>
  </w:footnote>
  <w:footnote w:id="14">
    <w:p w14:paraId="2306C53D" w14:textId="5C64F4D6" w:rsidR="00C02480" w:rsidRPr="00B01B16" w:rsidRDefault="00C02480" w:rsidP="00A059B1">
      <w:pPr>
        <w:pStyle w:val="FootnoteText1"/>
        <w:jc w:val="left"/>
      </w:pPr>
      <w:r w:rsidRPr="00B01B16">
        <w:rPr>
          <w:rStyle w:val="FootnoteReference"/>
        </w:rPr>
        <w:footnoteRef/>
      </w:r>
      <w:r w:rsidRPr="00B01B16">
        <w:t xml:space="preserve"> </w:t>
      </w:r>
      <w:r w:rsidRPr="00FD62B1">
        <w:rPr>
          <w:i/>
        </w:rPr>
        <w:t xml:space="preserve">See </w:t>
      </w:r>
      <w:r w:rsidRPr="00FD62B1">
        <w:t>Letter from Thomas E. Chandler, Chief, Disability Rights Office</w:t>
      </w:r>
      <w:r w:rsidR="00AC4975">
        <w:t xml:space="preserve"> (DRO)</w:t>
      </w:r>
      <w:r w:rsidRPr="00FD62B1">
        <w:t xml:space="preserve">, </w:t>
      </w:r>
      <w:r w:rsidR="00AC4975">
        <w:t>FCC,</w:t>
      </w:r>
      <w:r>
        <w:t xml:space="preserve"> to Victory Temple (</w:t>
      </w:r>
      <w:r w:rsidRPr="00FD62B1">
        <w:t>Sept</w:t>
      </w:r>
      <w:r>
        <w:t>.</w:t>
      </w:r>
      <w:r w:rsidRPr="00FD62B1">
        <w:t xml:space="preserve"> 12, 2006</w:t>
      </w:r>
      <w:r>
        <w:t>)</w:t>
      </w:r>
      <w:r w:rsidRPr="00FD62B1">
        <w:t xml:space="preserve">.  </w:t>
      </w:r>
    </w:p>
  </w:footnote>
  <w:footnote w:id="15">
    <w:p w14:paraId="55C989D4" w14:textId="51D8AA34" w:rsidR="00C02480" w:rsidRPr="00D37256" w:rsidRDefault="00C02480" w:rsidP="00652D51">
      <w:pPr>
        <w:pStyle w:val="FootnoteText"/>
        <w:ind w:firstLine="0"/>
      </w:pPr>
      <w:r w:rsidRPr="00D37256">
        <w:rPr>
          <w:rStyle w:val="FootnoteReference"/>
        </w:rPr>
        <w:footnoteRef/>
      </w:r>
      <w:r w:rsidRPr="00D37256">
        <w:t xml:space="preserve"> </w:t>
      </w:r>
      <w:r w:rsidRPr="00D37256">
        <w:rPr>
          <w:i/>
        </w:rPr>
        <w:t>Consumer and Governmental Affairs Bureau Action Request for Exemption from Commission’s Closed Captioning Rules</w:t>
      </w:r>
      <w:r w:rsidRPr="00D37256">
        <w:t xml:space="preserve">, </w:t>
      </w:r>
      <w:r w:rsidR="007A0666">
        <w:t xml:space="preserve">CG Docket No. 06-181, </w:t>
      </w:r>
      <w:r w:rsidRPr="00D37256">
        <w:t xml:space="preserve">Public Notice, </w:t>
      </w:r>
      <w:r w:rsidR="007A0666">
        <w:t>21 FCC Rcd 13142 (CGB 2006).</w:t>
      </w:r>
    </w:p>
  </w:footnote>
  <w:footnote w:id="16">
    <w:p w14:paraId="2FB96D99" w14:textId="493F81C4" w:rsidR="00C02480" w:rsidRDefault="00C02480" w:rsidP="00A059B1">
      <w:pPr>
        <w:pStyle w:val="FootnoteText1"/>
        <w:jc w:val="left"/>
      </w:pPr>
      <w:r>
        <w:rPr>
          <w:rStyle w:val="FootnoteReference"/>
        </w:rPr>
        <w:footnoteRef/>
      </w:r>
      <w:r>
        <w:t xml:space="preserve"> </w:t>
      </w:r>
      <w:r w:rsidRPr="00D37256">
        <w:rPr>
          <w:i/>
        </w:rPr>
        <w:t>See</w:t>
      </w:r>
      <w:r w:rsidR="00766347">
        <w:rPr>
          <w:i/>
        </w:rPr>
        <w:t xml:space="preserve"> </w:t>
      </w:r>
      <w:r w:rsidR="00766347" w:rsidRPr="009A52CF">
        <w:t>CGB-CC-0406 – Opposition to the Petition for Exemption from Closed Captioning Requirements Filed by Victory Temple</w:t>
      </w:r>
      <w:r w:rsidR="00766347">
        <w:t>, f</w:t>
      </w:r>
      <w:r>
        <w:t>iled by T</w:t>
      </w:r>
      <w:r w:rsidRPr="00D37256">
        <w:t>elecommunications for the</w:t>
      </w:r>
      <w:r w:rsidR="00766347">
        <w:t xml:space="preserve"> Deaf and Hard of Hearing, Inc. (TDI),</w:t>
      </w:r>
      <w:r w:rsidRPr="00D37256">
        <w:t xml:space="preserve"> National Association of the Deaf</w:t>
      </w:r>
      <w:r w:rsidR="00766347">
        <w:t xml:space="preserve"> (NAD)</w:t>
      </w:r>
      <w:r w:rsidRPr="00D37256">
        <w:t>, Deaf and Hard of Hearing Consumer Advocacy Network</w:t>
      </w:r>
      <w:r w:rsidR="00766347">
        <w:t xml:space="preserve"> (DHHCAN)</w:t>
      </w:r>
      <w:r w:rsidRPr="00D37256">
        <w:t xml:space="preserve">, </w:t>
      </w:r>
      <w:r>
        <w:t>Hearing Loss Association of America</w:t>
      </w:r>
      <w:r w:rsidR="00F52904">
        <w:t xml:space="preserve"> (HLAA)</w:t>
      </w:r>
      <w:r>
        <w:t xml:space="preserve">, </w:t>
      </w:r>
      <w:r w:rsidRPr="00D37256">
        <w:t>Association of Late-Deafened Adults</w:t>
      </w:r>
      <w:r w:rsidR="00766347">
        <w:t xml:space="preserve"> (ALDA)</w:t>
      </w:r>
      <w:r w:rsidRPr="00D37256">
        <w:t xml:space="preserve">, </w:t>
      </w:r>
      <w:r>
        <w:t>American Association of People with Disabilities</w:t>
      </w:r>
      <w:r w:rsidR="00F52904">
        <w:t xml:space="preserve"> (AAPD)</w:t>
      </w:r>
      <w:r>
        <w:t xml:space="preserve">, and California Coalition of Agencies Serving the Deaf and Hard of Hearing </w:t>
      </w:r>
      <w:r w:rsidR="00F52904">
        <w:t xml:space="preserve">(CCASDHH) </w:t>
      </w:r>
      <w:r w:rsidRPr="00D37256">
        <w:t xml:space="preserve">(Mar. </w:t>
      </w:r>
      <w:r>
        <w:t>2</w:t>
      </w:r>
      <w:r w:rsidRPr="00D37256">
        <w:t>, 20</w:t>
      </w:r>
      <w:r>
        <w:t>07</w:t>
      </w:r>
      <w:r w:rsidRPr="00D37256">
        <w:t>)</w:t>
      </w:r>
      <w:r w:rsidR="00617D7E">
        <w:t xml:space="preserve"> </w:t>
      </w:r>
      <w:r w:rsidR="006F22EF">
        <w:t>(Consumer Groups 2007 Opposition)</w:t>
      </w:r>
      <w:r w:rsidRPr="00D37256">
        <w:t>.</w:t>
      </w:r>
    </w:p>
  </w:footnote>
  <w:footnote w:id="17">
    <w:p w14:paraId="77AE496A" w14:textId="1629C309" w:rsidR="00C02480" w:rsidRPr="00D37256" w:rsidRDefault="00C02480" w:rsidP="00652D51">
      <w:pPr>
        <w:pStyle w:val="FootnoteText1"/>
        <w:jc w:val="left"/>
      </w:pPr>
      <w:r w:rsidRPr="00D37256">
        <w:rPr>
          <w:rStyle w:val="FootnoteReference"/>
        </w:rPr>
        <w:footnoteRef/>
      </w:r>
      <w:r w:rsidRPr="00D37256">
        <w:t xml:space="preserve"> </w:t>
      </w:r>
      <w:r w:rsidRPr="00D37256">
        <w:rPr>
          <w:i/>
        </w:rPr>
        <w:t>Anglers Reversal MO&amp;O</w:t>
      </w:r>
      <w:r w:rsidRPr="00D37256">
        <w:t>, 26 FCC Rcd at 14949, ¶ 25</w:t>
      </w:r>
      <w:r>
        <w:t>, and 14972 (Appendix A)</w:t>
      </w:r>
      <w:r w:rsidRPr="00D37256">
        <w:t>.  The Commission reversed this and other Bureau letter orders that had failed to analyze the individual circumstances of the petitioners under the “undue burden” criteria</w:t>
      </w:r>
      <w:r w:rsidRPr="004E4ACD">
        <w:rPr>
          <w:rStyle w:val="Emphasis"/>
          <w:i w:val="0"/>
        </w:rPr>
        <w:t xml:space="preserve">, as required under the Communications Act and the Commission’s rules. </w:t>
      </w:r>
      <w:r w:rsidRPr="00D37256">
        <w:rPr>
          <w:rStyle w:val="Emphasis"/>
        </w:rPr>
        <w:t xml:space="preserve"> </w:t>
      </w:r>
      <w:r w:rsidRPr="004052D0">
        <w:rPr>
          <w:i/>
          <w:iCs/>
        </w:rPr>
        <w:t>Id</w:t>
      </w:r>
      <w:r w:rsidRPr="00D37256">
        <w:rPr>
          <w:rStyle w:val="Emphasis"/>
        </w:rPr>
        <w:t>.,</w:t>
      </w:r>
      <w:r w:rsidRPr="00D37256">
        <w:t xml:space="preserve"> 26 FCC Rcd at 14949, ¶ 26.  </w:t>
      </w:r>
      <w:r w:rsidRPr="004E4ACD">
        <w:rPr>
          <w:rStyle w:val="Emphasis"/>
          <w:i w:val="0"/>
        </w:rPr>
        <w:t>As explained earlier, the economically burdensome criteria now used by the Commission to evaluate closed captioning exemption requests are identical to the undue burden criteria.</w:t>
      </w:r>
      <w:r w:rsidRPr="00D37256">
        <w:rPr>
          <w:rStyle w:val="Emphasis"/>
        </w:rPr>
        <w:t xml:space="preserve">  See </w:t>
      </w:r>
      <w:r w:rsidRPr="004E4ACD">
        <w:rPr>
          <w:rStyle w:val="Emphasis"/>
          <w:i w:val="0"/>
        </w:rPr>
        <w:t>n.</w:t>
      </w:r>
      <w:r w:rsidR="001939D0">
        <w:rPr>
          <w:rStyle w:val="Emphasis"/>
          <w:i w:val="0"/>
        </w:rPr>
        <w:t>6</w:t>
      </w:r>
      <w:r w:rsidRPr="004E4ACD">
        <w:rPr>
          <w:rStyle w:val="Emphasis"/>
          <w:i w:val="0"/>
        </w:rPr>
        <w:t>,</w:t>
      </w:r>
      <w:r w:rsidRPr="00D37256">
        <w:rPr>
          <w:rStyle w:val="Emphasis"/>
        </w:rPr>
        <w:t xml:space="preserve"> supra.</w:t>
      </w:r>
    </w:p>
  </w:footnote>
  <w:footnote w:id="18">
    <w:p w14:paraId="7443689B" w14:textId="22835459" w:rsidR="00C02480" w:rsidRPr="00273279" w:rsidRDefault="00C02480" w:rsidP="00652D51">
      <w:pPr>
        <w:pStyle w:val="FootnoteText1"/>
        <w:jc w:val="left"/>
      </w:pPr>
      <w:r w:rsidRPr="00D37256">
        <w:rPr>
          <w:rStyle w:val="FootnoteReference"/>
        </w:rPr>
        <w:footnoteRef/>
      </w:r>
      <w:r w:rsidRPr="00D37256">
        <w:t xml:space="preserve"> </w:t>
      </w:r>
      <w:r w:rsidRPr="00D37256">
        <w:rPr>
          <w:i/>
        </w:rPr>
        <w:t xml:space="preserve">See </w:t>
      </w:r>
      <w:r w:rsidRPr="00D37256">
        <w:t xml:space="preserve">Letter from Joel Gurin, </w:t>
      </w:r>
      <w:r w:rsidR="00AC4975">
        <w:t xml:space="preserve">FCC, </w:t>
      </w:r>
      <w:r w:rsidRPr="00D37256">
        <w:t xml:space="preserve">to </w:t>
      </w:r>
      <w:r>
        <w:t xml:space="preserve">Victory Temple </w:t>
      </w:r>
      <w:r w:rsidRPr="00D37256">
        <w:t xml:space="preserve">(Oct. 25, 2011).  </w:t>
      </w:r>
      <w:r w:rsidRPr="00D37256">
        <w:rPr>
          <w:i/>
        </w:rPr>
        <w:t xml:space="preserve">See also </w:t>
      </w:r>
      <w:r w:rsidRPr="00D37256">
        <w:t xml:space="preserve">47 C.F.R. § 79.1(f)(11); </w:t>
      </w:r>
      <w:r w:rsidRPr="00D37256">
        <w:rPr>
          <w:i/>
        </w:rPr>
        <w:t xml:space="preserve">Anglers Reversal MO&amp;O, </w:t>
      </w:r>
      <w:r w:rsidRPr="00D37256">
        <w:t xml:space="preserve">26 FCC Rcd at 14949, ¶ 16, n.60.   </w:t>
      </w:r>
      <w:r w:rsidR="00273279">
        <w:rPr>
          <w:i/>
        </w:rPr>
        <w:t>Also see Notice of Exemption Dismissals and Obligation to Begin Providing Closed Captioning</w:t>
      </w:r>
      <w:r w:rsidR="00273279">
        <w:t>, CG Docket No. 06-181, Public Notice, 27 FCC Rcd 1947 (CGB 2012) (indicating that new petitions filed after January 18, 2012 are considered pending as of the date it was received by the Commission.)</w:t>
      </w:r>
    </w:p>
  </w:footnote>
  <w:footnote w:id="19">
    <w:p w14:paraId="59110150" w14:textId="77777777" w:rsidR="00C02480" w:rsidRPr="00737690" w:rsidRDefault="00C02480" w:rsidP="00F962BD">
      <w:pPr>
        <w:pStyle w:val="FootnoteText"/>
        <w:ind w:firstLine="0"/>
      </w:pPr>
      <w:r>
        <w:rPr>
          <w:rStyle w:val="FootnoteReference"/>
        </w:rPr>
        <w:footnoteRef/>
      </w:r>
      <w:r>
        <w:t xml:space="preserve"> </w:t>
      </w:r>
      <w:r>
        <w:rPr>
          <w:i/>
        </w:rPr>
        <w:t xml:space="preserve">See </w:t>
      </w:r>
      <w:r>
        <w:t>Letter from Robert Turnage, Pastor, Victory Temple</w:t>
      </w:r>
      <w:r w:rsidR="006C1D90">
        <w:t xml:space="preserve"> (Jan. 12, 2012) (filed Jan.</w:t>
      </w:r>
      <w:r>
        <w:t xml:space="preserve"> 23, 2012) (Petition).</w:t>
      </w:r>
    </w:p>
  </w:footnote>
  <w:footnote w:id="20">
    <w:p w14:paraId="7C6C2F67" w14:textId="23479933" w:rsidR="00C02480" w:rsidRPr="008E7A3A" w:rsidRDefault="00C02480" w:rsidP="002B2258">
      <w:pPr>
        <w:pStyle w:val="FootnoteText"/>
        <w:ind w:firstLine="0"/>
      </w:pPr>
      <w:r>
        <w:rPr>
          <w:rStyle w:val="FootnoteReference"/>
        </w:rPr>
        <w:footnoteRef/>
      </w:r>
      <w:r>
        <w:t xml:space="preserve"> </w:t>
      </w:r>
      <w:r>
        <w:rPr>
          <w:i/>
        </w:rPr>
        <w:t>See</w:t>
      </w:r>
      <w:r>
        <w:t xml:space="preserve"> Letter from Roger Holberg, Attorney, D</w:t>
      </w:r>
      <w:r w:rsidR="00AC4975">
        <w:t>RO</w:t>
      </w:r>
      <w:r w:rsidR="006C1D90">
        <w:t xml:space="preserve">, </w:t>
      </w:r>
      <w:r w:rsidR="00AC4975">
        <w:t xml:space="preserve">FCC, </w:t>
      </w:r>
      <w:r w:rsidR="006C1D90">
        <w:t xml:space="preserve">to Victory </w:t>
      </w:r>
      <w:r>
        <w:t>Temple (Mar. 28, 2012).</w:t>
      </w:r>
    </w:p>
  </w:footnote>
  <w:footnote w:id="21">
    <w:p w14:paraId="5D637E59" w14:textId="08DD45BA" w:rsidR="00C02480" w:rsidRPr="00D37256" w:rsidRDefault="00C02480" w:rsidP="002B2258">
      <w:pPr>
        <w:pStyle w:val="FootnoteText1"/>
        <w:jc w:val="left"/>
      </w:pPr>
      <w:r w:rsidRPr="00D37256">
        <w:rPr>
          <w:rStyle w:val="FootnoteReference"/>
        </w:rPr>
        <w:footnoteRef/>
      </w:r>
      <w:r w:rsidRPr="00D37256">
        <w:t xml:space="preserve"> </w:t>
      </w:r>
      <w:r w:rsidRPr="00D37256">
        <w:rPr>
          <w:i/>
        </w:rPr>
        <w:t xml:space="preserve">See </w:t>
      </w:r>
      <w:r w:rsidRPr="00D37256">
        <w:t xml:space="preserve">Letter </w:t>
      </w:r>
      <w:r>
        <w:t xml:space="preserve">from Victory Temple </w:t>
      </w:r>
      <w:r w:rsidRPr="00D37256">
        <w:t>to</w:t>
      </w:r>
      <w:r w:rsidRPr="00B87D19">
        <w:t xml:space="preserve"> </w:t>
      </w:r>
      <w:r w:rsidRPr="00D37256">
        <w:t>F</w:t>
      </w:r>
      <w:r>
        <w:t>CC (</w:t>
      </w:r>
      <w:r w:rsidR="006C1D90">
        <w:t>Apr. 26, 2012) (filed Apr.</w:t>
      </w:r>
      <w:r>
        <w:t xml:space="preserve"> 27, 2012</w:t>
      </w:r>
      <w:r w:rsidRPr="00D37256">
        <w:t>) (</w:t>
      </w:r>
      <w:r>
        <w:t xml:space="preserve">2012 </w:t>
      </w:r>
      <w:r w:rsidRPr="00D37256">
        <w:t>Supplement)</w:t>
      </w:r>
      <w:r w:rsidR="00D664BA">
        <w:t xml:space="preserve"> (requesting confidential treatment for its Profit and Loss Statements, which was accommodated)</w:t>
      </w:r>
      <w:r w:rsidRPr="00D37256">
        <w:t>.</w:t>
      </w:r>
    </w:p>
  </w:footnote>
  <w:footnote w:id="22">
    <w:p w14:paraId="4CF306F4" w14:textId="77777777" w:rsidR="00C02480" w:rsidRPr="00EE2974" w:rsidRDefault="00C02480" w:rsidP="002B2258">
      <w:pPr>
        <w:pStyle w:val="FootnoteText"/>
        <w:ind w:firstLine="0"/>
      </w:pPr>
      <w:r>
        <w:rPr>
          <w:rStyle w:val="FootnoteReference"/>
        </w:rPr>
        <w:footnoteRef/>
      </w:r>
      <w:r>
        <w:t xml:space="preserve"> </w:t>
      </w:r>
      <w:r>
        <w:rPr>
          <w:i/>
        </w:rPr>
        <w:t>Request for Comment; Request for Exemption from Commission’s Closed Captioning Rules</w:t>
      </w:r>
      <w:r>
        <w:t xml:space="preserve">, CG Docket No. 06-181, Public Notice, 27 FCC Rcd 9268 (CGB 2012).  </w:t>
      </w:r>
    </w:p>
  </w:footnote>
  <w:footnote w:id="23">
    <w:p w14:paraId="225EAAB0" w14:textId="5852DE27" w:rsidR="00C02480" w:rsidRPr="005A529D" w:rsidRDefault="00C02480" w:rsidP="00C92427">
      <w:pPr>
        <w:pStyle w:val="FootnoteText"/>
        <w:ind w:firstLine="0"/>
      </w:pPr>
      <w:r>
        <w:rPr>
          <w:rStyle w:val="FootnoteReference"/>
        </w:rPr>
        <w:footnoteRef/>
      </w:r>
      <w:r>
        <w:t xml:space="preserve"> </w:t>
      </w:r>
      <w:r>
        <w:rPr>
          <w:i/>
        </w:rPr>
        <w:t xml:space="preserve">See </w:t>
      </w:r>
      <w:r w:rsidR="00766347">
        <w:rPr>
          <w:i/>
        </w:rPr>
        <w:t>Victory Temple Petition for Exemption from the Commission’s Closed Captioning Rules, Case No.</w:t>
      </w:r>
      <w:r w:rsidR="00766347">
        <w:t xml:space="preserve"> </w:t>
      </w:r>
      <w:r w:rsidR="00766347" w:rsidRPr="00766347">
        <w:rPr>
          <w:i/>
        </w:rPr>
        <w:t>CGB-CC-0406</w:t>
      </w:r>
      <w:r w:rsidR="00766347">
        <w:rPr>
          <w:i/>
        </w:rPr>
        <w:t>, CG Docket No. 06-181</w:t>
      </w:r>
      <w:r>
        <w:t>,</w:t>
      </w:r>
      <w:r w:rsidR="00766347">
        <w:t xml:space="preserve"> filed by</w:t>
      </w:r>
      <w:r w:rsidR="006C1D90">
        <w:t xml:space="preserve"> TDI, NAD, DHHCAN, ALDA</w:t>
      </w:r>
      <w:r>
        <w:t>, and the Cerebral Palsy and Deaf Organization</w:t>
      </w:r>
      <w:r w:rsidR="006C1D90">
        <w:t xml:space="preserve"> (CPADO)</w:t>
      </w:r>
      <w:r>
        <w:t xml:space="preserve"> (Sept. 10, 2012) (Consumer Groups 2012 Opposition).  </w:t>
      </w:r>
      <w:r w:rsidR="009A52CF">
        <w:t>Consumer Groups also filed separately its</w:t>
      </w:r>
      <w:r w:rsidR="00F60C92" w:rsidRPr="00F60C92">
        <w:t xml:space="preserve"> opposition to Victory Temple’s request for confidential treatment of materials in its Petition</w:t>
      </w:r>
      <w:r w:rsidR="00F60C92">
        <w:t xml:space="preserve">. </w:t>
      </w:r>
      <w:r w:rsidR="00F60C92" w:rsidRPr="00F60C92">
        <w:rPr>
          <w:i/>
        </w:rPr>
        <w:t>See Opposition to Victory Temple’s Request for Confidential Treatment and Motion to Extend Public Comment Period</w:t>
      </w:r>
      <w:r w:rsidR="00F60C92" w:rsidRPr="00F60C92">
        <w:t>, filed by TDI, NAD, DHHCAN, ALDA, and CPADO (Sept. 10, 2012)</w:t>
      </w:r>
      <w:r w:rsidR="00F60C92">
        <w:t xml:space="preserve">. </w:t>
      </w:r>
      <w:r w:rsidR="00987E62">
        <w:t xml:space="preserve">The request for </w:t>
      </w:r>
      <w:r w:rsidR="009C58E4">
        <w:t>confidential treatment</w:t>
      </w:r>
      <w:r w:rsidR="00987E62">
        <w:t xml:space="preserve"> was granted</w:t>
      </w:r>
      <w:r w:rsidR="009C58E4">
        <w:t xml:space="preserve"> </w:t>
      </w:r>
      <w:r w:rsidR="00670459">
        <w:t>because the</w:t>
      </w:r>
      <w:r w:rsidR="00987E62">
        <w:t xml:space="preserve"> public version of the</w:t>
      </w:r>
      <w:r w:rsidR="00670459">
        <w:t xml:space="preserve"> Petition had sufficient information to determine whether or not provision of closed captioning would be economically burdensome.  </w:t>
      </w:r>
      <w:r w:rsidR="00670459">
        <w:rPr>
          <w:i/>
        </w:rPr>
        <w:t xml:space="preserve">See </w:t>
      </w:r>
      <w:r w:rsidR="00670459">
        <w:t xml:space="preserve">¶ 9-10, </w:t>
      </w:r>
      <w:r w:rsidR="00670459">
        <w:rPr>
          <w:i/>
        </w:rPr>
        <w:t>supra.</w:t>
      </w:r>
      <w:r w:rsidR="00670459">
        <w:t xml:space="preserve"> The request for an extension</w:t>
      </w:r>
      <w:r w:rsidR="00987E62">
        <w:t xml:space="preserve"> of the public comment period was</w:t>
      </w:r>
      <w:r w:rsidR="00670459">
        <w:t xml:space="preserve"> moot since the Petition</w:t>
      </w:r>
      <w:r w:rsidR="006F22EF">
        <w:t xml:space="preserve"> subsequently</w:t>
      </w:r>
      <w:r w:rsidR="00670459">
        <w:t xml:space="preserve"> was placed again on Public Notice</w:t>
      </w:r>
      <w:r w:rsidR="006F22EF">
        <w:t>.</w:t>
      </w:r>
      <w:r w:rsidR="00670459">
        <w:t xml:space="preserve">  </w:t>
      </w:r>
      <w:r w:rsidR="00670459">
        <w:rPr>
          <w:i/>
        </w:rPr>
        <w:t xml:space="preserve">See </w:t>
      </w:r>
      <w:r w:rsidR="00670459" w:rsidRPr="00670459">
        <w:rPr>
          <w:i/>
        </w:rPr>
        <w:t>Request for Comment, Request for Exemption from Commission’s Closed Captioning Rules</w:t>
      </w:r>
      <w:r w:rsidR="00670459" w:rsidRPr="00670459">
        <w:t>, CG Docket No. 06-181, Public Notice, 30 FCC Rcd 176 (CGB 2015) (</w:t>
      </w:r>
      <w:r w:rsidR="00670459" w:rsidRPr="00670459">
        <w:rPr>
          <w:i/>
        </w:rPr>
        <w:t>2015 Public Notice</w:t>
      </w:r>
      <w:r w:rsidR="00670459">
        <w:t>)</w:t>
      </w:r>
      <w:r w:rsidR="00D664BA">
        <w:t xml:space="preserve">. </w:t>
      </w:r>
    </w:p>
  </w:footnote>
  <w:footnote w:id="24">
    <w:p w14:paraId="004897E2" w14:textId="2EF496C9" w:rsidR="00C02480" w:rsidRPr="008E7A3A" w:rsidRDefault="00C02480" w:rsidP="00F962BD">
      <w:pPr>
        <w:pStyle w:val="FootnoteText"/>
        <w:ind w:firstLine="0"/>
      </w:pPr>
      <w:r>
        <w:rPr>
          <w:rStyle w:val="FootnoteReference"/>
        </w:rPr>
        <w:footnoteRef/>
      </w:r>
      <w:r>
        <w:t xml:space="preserve"> </w:t>
      </w:r>
      <w:r>
        <w:rPr>
          <w:i/>
        </w:rPr>
        <w:t>See</w:t>
      </w:r>
      <w:r>
        <w:t xml:space="preserve"> Letter from Cheryl J. King, Attorney, D</w:t>
      </w:r>
      <w:r w:rsidR="00351E74">
        <w:t>RO</w:t>
      </w:r>
      <w:r>
        <w:t xml:space="preserve">, </w:t>
      </w:r>
      <w:r w:rsidR="00351E74">
        <w:t xml:space="preserve">FCC, </w:t>
      </w:r>
      <w:r>
        <w:t>to V</w:t>
      </w:r>
      <w:r w:rsidR="009C1E2E">
        <w:t xml:space="preserve">ictory Temple (Sept. 27, 2013); </w:t>
      </w:r>
      <w:r w:rsidR="009C1E2E">
        <w:rPr>
          <w:i/>
        </w:rPr>
        <w:t>see also</w:t>
      </w:r>
      <w:r w:rsidR="009C1E2E">
        <w:t xml:space="preserve"> Letter from E. Elaine Gardner, Attorney, D</w:t>
      </w:r>
      <w:r w:rsidR="00351E74">
        <w:t>RO</w:t>
      </w:r>
      <w:r w:rsidR="009C1E2E">
        <w:t xml:space="preserve">, </w:t>
      </w:r>
      <w:r w:rsidR="00351E74">
        <w:t xml:space="preserve">FCC, </w:t>
      </w:r>
      <w:r w:rsidR="009C1E2E">
        <w:t>to Victory Temple (May 30, 2014).</w:t>
      </w:r>
    </w:p>
  </w:footnote>
  <w:footnote w:id="25">
    <w:p w14:paraId="7BF76F45" w14:textId="355A5C1A" w:rsidR="00C02480" w:rsidRPr="00D37256" w:rsidRDefault="00C02480" w:rsidP="004052D0">
      <w:pPr>
        <w:pStyle w:val="FootnoteText1"/>
        <w:jc w:val="left"/>
      </w:pPr>
      <w:r w:rsidRPr="00D37256">
        <w:rPr>
          <w:rStyle w:val="FootnoteReference"/>
        </w:rPr>
        <w:footnoteRef/>
      </w:r>
      <w:r w:rsidRPr="00D37256">
        <w:t xml:space="preserve"> </w:t>
      </w:r>
      <w:r w:rsidRPr="00D37256">
        <w:rPr>
          <w:i/>
        </w:rPr>
        <w:t xml:space="preserve">See </w:t>
      </w:r>
      <w:r w:rsidRPr="00D37256">
        <w:t xml:space="preserve">Letter </w:t>
      </w:r>
      <w:r>
        <w:t>from Robert Turnage,</w:t>
      </w:r>
      <w:r w:rsidRPr="00B87D19">
        <w:t xml:space="preserve"> </w:t>
      </w:r>
      <w:r>
        <w:t>Pastor, Victory Temple</w:t>
      </w:r>
      <w:r w:rsidRPr="00D37256">
        <w:t>, to</w:t>
      </w:r>
      <w:r w:rsidRPr="00B87D19">
        <w:t xml:space="preserve"> </w:t>
      </w:r>
      <w:r w:rsidRPr="00D37256">
        <w:t>F</w:t>
      </w:r>
      <w:r>
        <w:t xml:space="preserve">CC </w:t>
      </w:r>
      <w:r w:rsidR="00C27763">
        <w:t xml:space="preserve">(Oct. 22, 2013) </w:t>
      </w:r>
      <w:r>
        <w:t>(</w:t>
      </w:r>
      <w:r w:rsidR="00C27763">
        <w:t xml:space="preserve">filed </w:t>
      </w:r>
      <w:r>
        <w:t>Oct. 24</w:t>
      </w:r>
      <w:r w:rsidRPr="00D37256">
        <w:t>, 2013) (</w:t>
      </w:r>
      <w:r>
        <w:t xml:space="preserve">2013 </w:t>
      </w:r>
      <w:r w:rsidR="009C1E2E">
        <w:t>Supplement)</w:t>
      </w:r>
      <w:r w:rsidR="009D5CE7">
        <w:t xml:space="preserve"> </w:t>
      </w:r>
      <w:r w:rsidR="00495B82">
        <w:t>(</w:t>
      </w:r>
      <w:r w:rsidR="00495B82" w:rsidRPr="001A19BA">
        <w:t xml:space="preserve">stating that the program has no repeat value and is not a news program, </w:t>
      </w:r>
      <w:r w:rsidR="00495B82" w:rsidRPr="00080310">
        <w:t>which is addressed by</w:t>
      </w:r>
      <w:r w:rsidR="006F22EF" w:rsidRPr="00080310">
        <w:t xml:space="preserve"> an FCC letter cited in</w:t>
      </w:r>
      <w:r w:rsidR="00495B82" w:rsidRPr="00080310">
        <w:t xml:space="preserve"> n. 1</w:t>
      </w:r>
      <w:r w:rsidR="001939D0">
        <w:t>3</w:t>
      </w:r>
      <w:r w:rsidR="00495B82" w:rsidRPr="00F36C26">
        <w:t xml:space="preserve">, </w:t>
      </w:r>
      <w:r w:rsidR="00495B82" w:rsidRPr="00F36C26">
        <w:rPr>
          <w:i/>
        </w:rPr>
        <w:t>supra</w:t>
      </w:r>
      <w:r w:rsidR="00495B82">
        <w:rPr>
          <w:i/>
        </w:rPr>
        <w:t>)</w:t>
      </w:r>
      <w:r w:rsidR="009C1E2E">
        <w:t>;</w:t>
      </w:r>
      <w:r w:rsidR="009C1E2E" w:rsidRPr="00D37256">
        <w:rPr>
          <w:i/>
        </w:rPr>
        <w:t xml:space="preserve"> </w:t>
      </w:r>
      <w:r w:rsidR="009C1E2E" w:rsidRPr="00D37256">
        <w:t xml:space="preserve">Letter </w:t>
      </w:r>
      <w:r w:rsidR="009C1E2E">
        <w:t>from Robert Turnage,</w:t>
      </w:r>
      <w:r w:rsidR="009C1E2E" w:rsidRPr="00B87D19">
        <w:t xml:space="preserve"> </w:t>
      </w:r>
      <w:r w:rsidR="009C1E2E">
        <w:t>Pastor, Victory Temple</w:t>
      </w:r>
      <w:r w:rsidR="009C1E2E" w:rsidRPr="00D37256">
        <w:t>, to</w:t>
      </w:r>
      <w:r w:rsidR="009C1E2E" w:rsidRPr="00B87D19">
        <w:t xml:space="preserve"> Office </w:t>
      </w:r>
      <w:r w:rsidR="009C1E2E" w:rsidRPr="00D37256">
        <w:t>of the Secretary, F</w:t>
      </w:r>
      <w:r w:rsidR="009C1E2E">
        <w:t>CC (Oct. 13, 2014</w:t>
      </w:r>
      <w:r w:rsidR="009C1E2E" w:rsidRPr="00D37256">
        <w:t>)</w:t>
      </w:r>
      <w:r w:rsidR="003A6380">
        <w:t xml:space="preserve"> (filed Oct. 14, 2014)</w:t>
      </w:r>
      <w:r w:rsidR="009C1E2E" w:rsidRPr="00D37256">
        <w:t xml:space="preserve"> (</w:t>
      </w:r>
      <w:r w:rsidR="009C1E2E">
        <w:t xml:space="preserve">2014 </w:t>
      </w:r>
      <w:r w:rsidR="009C1E2E" w:rsidRPr="00D37256">
        <w:t>Supplement).</w:t>
      </w:r>
    </w:p>
  </w:footnote>
  <w:footnote w:id="26">
    <w:p w14:paraId="5E74B6C8" w14:textId="45133BCA" w:rsidR="00C02480" w:rsidRPr="00D37256" w:rsidRDefault="00C02480" w:rsidP="004052D0">
      <w:pPr>
        <w:pStyle w:val="FootnoteText1"/>
        <w:jc w:val="left"/>
      </w:pPr>
      <w:r w:rsidRPr="00D37256">
        <w:rPr>
          <w:rStyle w:val="FootnoteReference"/>
        </w:rPr>
        <w:footnoteRef/>
      </w:r>
      <w:r w:rsidRPr="00D37256">
        <w:t xml:space="preserve"> </w:t>
      </w:r>
      <w:r w:rsidRPr="00D37256">
        <w:rPr>
          <w:i/>
        </w:rPr>
        <w:t>20</w:t>
      </w:r>
      <w:r>
        <w:rPr>
          <w:i/>
        </w:rPr>
        <w:t>15</w:t>
      </w:r>
      <w:r w:rsidRPr="00D37256">
        <w:rPr>
          <w:i/>
        </w:rPr>
        <w:t xml:space="preserve"> Public Notice</w:t>
      </w:r>
      <w:r w:rsidRPr="00D37256">
        <w:t xml:space="preserve">.  </w:t>
      </w:r>
    </w:p>
  </w:footnote>
  <w:footnote w:id="27">
    <w:p w14:paraId="3E950387" w14:textId="75D3148A" w:rsidR="00C02480" w:rsidRPr="00D37256" w:rsidRDefault="00C02480" w:rsidP="005C062A">
      <w:pPr>
        <w:pStyle w:val="FootnoteText1"/>
        <w:jc w:val="left"/>
      </w:pPr>
      <w:r w:rsidRPr="00D37256">
        <w:rPr>
          <w:rStyle w:val="FootnoteReference"/>
        </w:rPr>
        <w:footnoteRef/>
      </w:r>
      <w:r w:rsidRPr="00D37256">
        <w:t xml:space="preserve"> </w:t>
      </w:r>
      <w:r w:rsidRPr="00D37256">
        <w:rPr>
          <w:i/>
        </w:rPr>
        <w:t>See</w:t>
      </w:r>
      <w:r w:rsidR="00A86787">
        <w:t xml:space="preserve"> RE: </w:t>
      </w:r>
      <w:r w:rsidRPr="00D37256">
        <w:t xml:space="preserve"> </w:t>
      </w:r>
      <w:r w:rsidR="00E00F08" w:rsidRPr="009A52CF">
        <w:t>Opposition to Petition for Exemption from the Commission’s Closed Captioning Rules, CG Dkt. No. 06-181</w:t>
      </w:r>
      <w:r w:rsidR="00E00F08" w:rsidRPr="00A86787">
        <w:t xml:space="preserve">, </w:t>
      </w:r>
      <w:r w:rsidR="00E00F08" w:rsidRPr="009A52CF">
        <w:t>Victory Assembly Church of Beaumont (formerly Victory Temple),</w:t>
      </w:r>
      <w:r w:rsidR="00E00F08" w:rsidRPr="00A86787">
        <w:t xml:space="preserve"> </w:t>
      </w:r>
      <w:r w:rsidR="00E00F08" w:rsidRPr="009A52CF">
        <w:t>CGB-CC-0406</w:t>
      </w:r>
      <w:r w:rsidR="00E00F08">
        <w:rPr>
          <w:i/>
        </w:rPr>
        <w:t>,</w:t>
      </w:r>
      <w:r w:rsidR="00A86787">
        <w:t xml:space="preserve"> </w:t>
      </w:r>
      <w:r w:rsidR="00E00F08">
        <w:t xml:space="preserve">filed by TDI, NAD, CPADO, and Deaf Seniors of America </w:t>
      </w:r>
      <w:r w:rsidR="00A86787">
        <w:t xml:space="preserve">(DSA) </w:t>
      </w:r>
      <w:r w:rsidR="00E00F08">
        <w:t xml:space="preserve">(hereinafter “Consumer Groups”) (Feb. 13, 2015) (Consumer Groups 2015 Opposition).  </w:t>
      </w:r>
    </w:p>
  </w:footnote>
  <w:footnote w:id="28">
    <w:p w14:paraId="75B528F5" w14:textId="77777777" w:rsidR="00C02480" w:rsidRDefault="00C02480" w:rsidP="00F962BD">
      <w:pPr>
        <w:pStyle w:val="FootnoteText1"/>
        <w:jc w:val="left"/>
        <w:rPr>
          <w:rFonts w:eastAsia="Times New Roman"/>
          <w:color w:val="auto"/>
          <w:lang w:bidi="x-none"/>
        </w:rPr>
      </w:pPr>
      <w:r>
        <w:rPr>
          <w:rStyle w:val="FootnoteReference1"/>
          <w:sz w:val="20"/>
        </w:rPr>
        <w:footnoteRef/>
      </w:r>
      <w:r>
        <w:t xml:space="preserve"> Petition at 3.</w:t>
      </w:r>
    </w:p>
  </w:footnote>
  <w:footnote w:id="29">
    <w:p w14:paraId="41F133D1" w14:textId="77777777" w:rsidR="00C02480" w:rsidRPr="004662DA" w:rsidRDefault="00C02480" w:rsidP="00A059B1">
      <w:pPr>
        <w:pStyle w:val="FootnoteText1"/>
        <w:jc w:val="left"/>
      </w:pPr>
      <w:r>
        <w:rPr>
          <w:rStyle w:val="FootnoteReference"/>
        </w:rPr>
        <w:footnoteRef/>
      </w:r>
      <w:r>
        <w:t xml:space="preserve"> </w:t>
      </w:r>
      <w:r>
        <w:rPr>
          <w:i/>
        </w:rPr>
        <w:t>Id.</w:t>
      </w:r>
      <w:r>
        <w:t xml:space="preserve"> at 2.</w:t>
      </w:r>
    </w:p>
  </w:footnote>
  <w:footnote w:id="30">
    <w:p w14:paraId="5D5DB9A8" w14:textId="0B974401" w:rsidR="00C02480" w:rsidRDefault="00C02480" w:rsidP="00F962BD">
      <w:pPr>
        <w:pStyle w:val="FootnoteText1"/>
        <w:jc w:val="left"/>
        <w:rPr>
          <w:rFonts w:eastAsia="Times New Roman"/>
          <w:color w:val="auto"/>
          <w:lang w:bidi="x-none"/>
        </w:rPr>
      </w:pPr>
      <w:r>
        <w:rPr>
          <w:rStyle w:val="FootnoteReference1"/>
          <w:sz w:val="20"/>
        </w:rPr>
        <w:footnoteRef/>
      </w:r>
      <w:r>
        <w:t xml:space="preserve"> </w:t>
      </w:r>
      <w:r w:rsidR="00E3028D">
        <w:t xml:space="preserve">2012 Supplement at 1; </w:t>
      </w:r>
      <w:r>
        <w:t>2013</w:t>
      </w:r>
      <w:r w:rsidR="00D548EA">
        <w:t xml:space="preserve"> </w:t>
      </w:r>
      <w:r>
        <w:t xml:space="preserve">Supplement at 1.  </w:t>
      </w:r>
    </w:p>
  </w:footnote>
  <w:footnote w:id="31">
    <w:p w14:paraId="6FA84EF9" w14:textId="668C2A75" w:rsidR="00C02480" w:rsidRDefault="00C02480" w:rsidP="00F962BD">
      <w:pPr>
        <w:pStyle w:val="FootnoteText1"/>
        <w:jc w:val="left"/>
      </w:pPr>
      <w:r>
        <w:rPr>
          <w:rStyle w:val="FootnoteReference"/>
        </w:rPr>
        <w:footnoteRef/>
      </w:r>
      <w:r w:rsidR="00426490">
        <w:t xml:space="preserve"> </w:t>
      </w:r>
      <w:r w:rsidR="00A327F6">
        <w:t>2013 Supplement</w:t>
      </w:r>
      <w:r w:rsidR="00D548EA">
        <w:rPr>
          <w:i/>
        </w:rPr>
        <w:t xml:space="preserve"> </w:t>
      </w:r>
      <w:r>
        <w:t>at 2.</w:t>
      </w:r>
    </w:p>
  </w:footnote>
  <w:footnote w:id="32">
    <w:p w14:paraId="26EAAAB5" w14:textId="6074FC16" w:rsidR="00C02480" w:rsidRDefault="00C02480" w:rsidP="005C062A">
      <w:pPr>
        <w:pStyle w:val="FootnoteText1"/>
        <w:jc w:val="left"/>
        <w:rPr>
          <w:rFonts w:eastAsia="Times New Roman"/>
          <w:color w:val="auto"/>
          <w:lang w:bidi="x-none"/>
        </w:rPr>
      </w:pPr>
      <w:r>
        <w:rPr>
          <w:rStyle w:val="FootnoteReference1"/>
          <w:sz w:val="20"/>
        </w:rPr>
        <w:footnoteRef/>
      </w:r>
      <w:r>
        <w:t xml:space="preserve"> </w:t>
      </w:r>
      <w:r w:rsidR="00426490">
        <w:rPr>
          <w:i/>
        </w:rPr>
        <w:t>Id.</w:t>
      </w:r>
      <w:r w:rsidR="009D5CE7">
        <w:t xml:space="preserve"> at 5-11</w:t>
      </w:r>
      <w:r w:rsidR="00121ED2">
        <w:t>; 2014 Supplement at 1</w:t>
      </w:r>
      <w:r w:rsidR="00426490">
        <w:t>.</w:t>
      </w:r>
      <w:r>
        <w:t xml:space="preserve">    </w:t>
      </w:r>
    </w:p>
  </w:footnote>
  <w:footnote w:id="33">
    <w:p w14:paraId="13A3AC29" w14:textId="11521150" w:rsidR="00C02480" w:rsidRPr="000B7748" w:rsidRDefault="00C02480" w:rsidP="00F962BD">
      <w:pPr>
        <w:pStyle w:val="FootnoteText1"/>
        <w:jc w:val="left"/>
      </w:pPr>
      <w:r w:rsidRPr="00D37256">
        <w:rPr>
          <w:rStyle w:val="FootnoteReference"/>
        </w:rPr>
        <w:footnoteRef/>
      </w:r>
      <w:r w:rsidRPr="00D37256">
        <w:t xml:space="preserve"> </w:t>
      </w:r>
      <w:r>
        <w:t>2014</w:t>
      </w:r>
      <w:r w:rsidR="000B7748">
        <w:t xml:space="preserve"> Supplement at 1.  </w:t>
      </w:r>
      <w:r w:rsidR="006152A2">
        <w:t xml:space="preserve">The undated and non-annualized captioning quote of $800 per hour from USAStudios is not considered, because it is incomplete.  </w:t>
      </w:r>
      <w:r w:rsidR="009D5CE7">
        <w:t>2013 Supplement at 12-13</w:t>
      </w:r>
      <w:r w:rsidR="006152A2">
        <w:t xml:space="preserve">.  </w:t>
      </w:r>
    </w:p>
  </w:footnote>
  <w:footnote w:id="34">
    <w:p w14:paraId="09106289" w14:textId="77777777" w:rsidR="00342126" w:rsidRDefault="00342126" w:rsidP="00D548EA">
      <w:pPr>
        <w:pStyle w:val="FootnoteText"/>
        <w:ind w:firstLine="0"/>
      </w:pPr>
      <w:r>
        <w:rPr>
          <w:rStyle w:val="FootnoteReference"/>
        </w:rPr>
        <w:footnoteRef/>
      </w:r>
      <w:r>
        <w:t xml:space="preserve"> 2013 Supplement at </w:t>
      </w:r>
      <w:r w:rsidR="00D548EA">
        <w:t>1.</w:t>
      </w:r>
    </w:p>
  </w:footnote>
  <w:footnote w:id="35">
    <w:p w14:paraId="030064C7" w14:textId="1CC3183E" w:rsidR="00F85163" w:rsidRPr="00B86411" w:rsidRDefault="00F85163" w:rsidP="009A52CF">
      <w:pPr>
        <w:pStyle w:val="FootnoteText"/>
        <w:ind w:firstLine="0"/>
      </w:pPr>
      <w:r>
        <w:rPr>
          <w:rStyle w:val="FootnoteReference"/>
        </w:rPr>
        <w:footnoteRef/>
      </w:r>
      <w:r>
        <w:t xml:space="preserve"> </w:t>
      </w:r>
      <w:r w:rsidR="00FA620F">
        <w:t xml:space="preserve">2013 Supplement at </w:t>
      </w:r>
      <w:r w:rsidR="009D5CE7">
        <w:t>20</w:t>
      </w:r>
      <w:r w:rsidR="00804433">
        <w:t xml:space="preserve">, </w:t>
      </w:r>
      <w:r w:rsidR="00B86411">
        <w:t xml:space="preserve">2014 Supplement at 2.  We note that Victory Temple reports depreciation expenses in 2012 and 2011.  Depreciation expenses represent the systemic and rational decrease in the future economic benefits of long term and fixed assets.  As noted in our prior decisions, “our analysis in determining whether providing closed captioning would be economically burdensome does not focus on long term assets.  Instead, it focuses on current assets, current liabilities, working capital, and the operating cash flows of the organization.”  </w:t>
      </w:r>
      <w:r w:rsidR="00B86411">
        <w:rPr>
          <w:i/>
        </w:rPr>
        <w:t>Van Buren First Assembly of God; Petition for Exemption from the Closed Captioning Requirements</w:t>
      </w:r>
      <w:r w:rsidR="00B86411">
        <w:t>, CGB-CC-0045, CG Docket 06-181, Memorandum and Order</w:t>
      </w:r>
      <w:r w:rsidR="00E9421B">
        <w:t>, 30 FCC Rcd 7368, at 7373</w:t>
      </w:r>
      <w:r w:rsidR="00B86411">
        <w:t xml:space="preserve"> (CGB 2015) (removing depreciation expenses from petitioner’s expenses for purposes of analysis.)  Accordingly, when considering Victory Temple’s overall financial resources to determine if providing closed captioning would be economically burdensome, we do not consider depreciation expenses, and we have removed depreciation expenses from Victory Temple’s 2012 and 2011 expenses for purposes of our analysis.</w:t>
      </w:r>
    </w:p>
  </w:footnote>
  <w:footnote w:id="36">
    <w:p w14:paraId="54A0D9BD" w14:textId="281C6A02" w:rsidR="00C02480" w:rsidRDefault="00C02480" w:rsidP="00F962BD">
      <w:pPr>
        <w:pStyle w:val="FootnoteText1"/>
        <w:jc w:val="left"/>
      </w:pPr>
      <w:r>
        <w:rPr>
          <w:rStyle w:val="FootnoteReference"/>
        </w:rPr>
        <w:footnoteRef/>
      </w:r>
      <w:r>
        <w:t xml:space="preserve"> </w:t>
      </w:r>
      <w:r w:rsidRPr="00EC3C85">
        <w:rPr>
          <w:sz w:val="22"/>
          <w:szCs w:val="24"/>
        </w:rPr>
        <w:t xml:space="preserve"> </w:t>
      </w:r>
      <w:r>
        <w:t>2013</w:t>
      </w:r>
      <w:r w:rsidRPr="00EC3C85">
        <w:t xml:space="preserve"> Supplement</w:t>
      </w:r>
      <w:r>
        <w:t xml:space="preserve"> </w:t>
      </w:r>
      <w:r w:rsidRPr="00EC3C85">
        <w:t xml:space="preserve">at </w:t>
      </w:r>
      <w:r w:rsidR="00CF4A55">
        <w:t>20</w:t>
      </w:r>
      <w:r w:rsidR="000B1DB1">
        <w:t>, 2014 Supplement at 2.  Victory Temple’s 2012 expenses, excluding its depreciation expenses, are calculated as follows:  $1,012,060 (total expenses) minus $256,033 (depreciation expenses) = $756,027</w:t>
      </w:r>
      <w:r w:rsidRPr="00EC3C85">
        <w:t xml:space="preserve">.  </w:t>
      </w:r>
    </w:p>
  </w:footnote>
  <w:footnote w:id="37">
    <w:p w14:paraId="2A813A46" w14:textId="4CE9C945" w:rsidR="00224089" w:rsidRDefault="00224089" w:rsidP="00962E4A">
      <w:pPr>
        <w:pStyle w:val="FootnoteText"/>
        <w:ind w:firstLine="0"/>
      </w:pPr>
      <w:r>
        <w:rPr>
          <w:rStyle w:val="FootnoteReference"/>
        </w:rPr>
        <w:footnoteRef/>
      </w:r>
      <w:r>
        <w:t xml:space="preserve"> </w:t>
      </w:r>
      <w:r w:rsidR="00CF4A55">
        <w:t xml:space="preserve"> </w:t>
      </w:r>
      <w:r w:rsidR="00FA620F">
        <w:t xml:space="preserve">2013 Supplement at </w:t>
      </w:r>
      <w:r w:rsidR="00CF4A55">
        <w:t>20</w:t>
      </w:r>
      <w:r w:rsidR="00DE53E8">
        <w:t>; 2014 Supplement at 2.  Victory Temple’s 2011 expenses, excluding its depreciation expenses, are calculated as follows:  $1,135,746 (total expenses) minus $256,783 (depreciation expenses) = $878,963.</w:t>
      </w:r>
    </w:p>
  </w:footnote>
  <w:footnote w:id="38">
    <w:p w14:paraId="3AA552B7" w14:textId="1F0D488B" w:rsidR="00C02480" w:rsidRPr="00F96AEA" w:rsidRDefault="00C02480" w:rsidP="00F4331B">
      <w:pPr>
        <w:pStyle w:val="FootnoteText"/>
        <w:ind w:firstLine="0"/>
        <w:jc w:val="both"/>
      </w:pPr>
      <w:r>
        <w:rPr>
          <w:rStyle w:val="FootnoteReference"/>
        </w:rPr>
        <w:footnoteRef/>
      </w:r>
      <w:r>
        <w:t xml:space="preserve"> </w:t>
      </w:r>
      <w:r w:rsidR="00F96AEA">
        <w:t xml:space="preserve">2013 Supplement at </w:t>
      </w:r>
      <w:r w:rsidR="00CF4A55">
        <w:t>19</w:t>
      </w:r>
      <w:r w:rsidR="00F96AEA">
        <w:t>.</w:t>
      </w:r>
    </w:p>
  </w:footnote>
  <w:footnote w:id="39">
    <w:p w14:paraId="736314AA" w14:textId="77777777" w:rsidR="00C02480" w:rsidRPr="00A059B1" w:rsidRDefault="00C02480" w:rsidP="00F962BD">
      <w:pPr>
        <w:pStyle w:val="FootnoteText1"/>
        <w:jc w:val="left"/>
        <w:rPr>
          <w:rFonts w:eastAsia="Times New Roman"/>
          <w:i/>
          <w:color w:val="auto"/>
          <w:lang w:bidi="x-none"/>
        </w:rPr>
      </w:pPr>
      <w:r>
        <w:rPr>
          <w:rStyle w:val="FootnoteReference1"/>
          <w:sz w:val="20"/>
        </w:rPr>
        <w:footnoteRef/>
      </w:r>
      <w:r>
        <w:t xml:space="preserve"> </w:t>
      </w:r>
      <w:r>
        <w:rPr>
          <w:i/>
        </w:rPr>
        <w:t>Id.</w:t>
      </w:r>
    </w:p>
  </w:footnote>
  <w:footnote w:id="40">
    <w:p w14:paraId="3B1CA3F6" w14:textId="4EDC6EB6" w:rsidR="00C02480" w:rsidRDefault="00C02480" w:rsidP="005C062A">
      <w:pPr>
        <w:pStyle w:val="FootnoteText1"/>
        <w:jc w:val="left"/>
        <w:rPr>
          <w:rFonts w:eastAsia="Times New Roman"/>
          <w:color w:val="auto"/>
          <w:lang w:bidi="x-none"/>
        </w:rPr>
      </w:pPr>
      <w:r>
        <w:rPr>
          <w:rStyle w:val="FootnoteReference1"/>
          <w:sz w:val="20"/>
        </w:rPr>
        <w:footnoteRef/>
      </w:r>
      <w:r>
        <w:t xml:space="preserve"> </w:t>
      </w:r>
      <w:r>
        <w:rPr>
          <w:rFonts w:ascii="Times New Roman Italic" w:hAnsi="Times New Roman Italic"/>
        </w:rPr>
        <w:t>See</w:t>
      </w:r>
      <w:r>
        <w:t xml:space="preserve"> Petition at 2, 10</w:t>
      </w:r>
      <w:r w:rsidR="003D6DFA">
        <w:t>; 2013 Supplement at 4</w:t>
      </w:r>
      <w:r>
        <w:t xml:space="preserve">.      </w:t>
      </w:r>
    </w:p>
  </w:footnote>
  <w:footnote w:id="41">
    <w:p w14:paraId="54CAE4EA" w14:textId="77777777" w:rsidR="00C02480" w:rsidRDefault="00C02480" w:rsidP="00A059B1">
      <w:pPr>
        <w:pStyle w:val="FootnoteText1"/>
        <w:jc w:val="left"/>
      </w:pPr>
      <w:r>
        <w:rPr>
          <w:rStyle w:val="FootnoteReference"/>
        </w:rPr>
        <w:footnoteRef/>
      </w:r>
      <w:r>
        <w:t xml:space="preserve"> 2013 Supplement at 1.</w:t>
      </w:r>
    </w:p>
  </w:footnote>
  <w:footnote w:id="42">
    <w:p w14:paraId="06BCC8F7" w14:textId="77777777" w:rsidR="00C02480" w:rsidRDefault="00C02480" w:rsidP="00F962BD">
      <w:pPr>
        <w:pStyle w:val="FootnoteText"/>
        <w:ind w:firstLine="0"/>
      </w:pPr>
      <w:r>
        <w:rPr>
          <w:rStyle w:val="FootnoteReference"/>
        </w:rPr>
        <w:footnoteRef/>
      </w:r>
      <w:r>
        <w:t xml:space="preserve"> 2014 Supplement at 1.   </w:t>
      </w:r>
    </w:p>
  </w:footnote>
  <w:footnote w:id="43">
    <w:p w14:paraId="13766B0C" w14:textId="18BFD72F" w:rsidR="00C02480" w:rsidRDefault="00C02480" w:rsidP="00F94ABC">
      <w:pPr>
        <w:pStyle w:val="FootnoteText1"/>
        <w:jc w:val="left"/>
        <w:rPr>
          <w:rFonts w:eastAsia="Times New Roman"/>
          <w:color w:val="auto"/>
          <w:lang w:bidi="x-none"/>
        </w:rPr>
      </w:pPr>
      <w:r>
        <w:rPr>
          <w:rStyle w:val="FootnoteReference1"/>
          <w:sz w:val="20"/>
        </w:rPr>
        <w:footnoteRef/>
      </w:r>
      <w:r w:rsidR="00B0196F">
        <w:t xml:space="preserve"> Petition at 3</w:t>
      </w:r>
      <w:r w:rsidR="003D6DFA">
        <w:t>;</w:t>
      </w:r>
      <w:r w:rsidR="00A03BC1">
        <w:t xml:space="preserve"> </w:t>
      </w:r>
      <w:r w:rsidR="00B0196F">
        <w:t>2013 Supplement at 3</w:t>
      </w:r>
      <w:r w:rsidR="003D6DFA">
        <w:t>; 2014 Supplement at 1</w:t>
      </w:r>
      <w:r w:rsidR="00B0196F">
        <w:t>.</w:t>
      </w:r>
    </w:p>
  </w:footnote>
  <w:footnote w:id="44">
    <w:p w14:paraId="40F5717E" w14:textId="29EF8548" w:rsidR="00C02480" w:rsidRPr="00AD5B46" w:rsidRDefault="00C02480" w:rsidP="00F962BD">
      <w:pPr>
        <w:pStyle w:val="FootnoteText1"/>
        <w:jc w:val="left"/>
        <w:rPr>
          <w:rFonts w:eastAsia="Times New Roman"/>
          <w:color w:val="auto"/>
          <w:lang w:bidi="x-none"/>
        </w:rPr>
      </w:pPr>
      <w:r>
        <w:rPr>
          <w:rStyle w:val="FootnoteReference1"/>
          <w:sz w:val="20"/>
        </w:rPr>
        <w:footnoteRef/>
      </w:r>
      <w:r>
        <w:t xml:space="preserve"> </w:t>
      </w:r>
      <w:r w:rsidR="003A4096">
        <w:t>Consumer Groups 2015 Opposition</w:t>
      </w:r>
      <w:r w:rsidR="00FD2576">
        <w:t xml:space="preserve"> at 4-7</w:t>
      </w:r>
      <w:r w:rsidR="003A4096">
        <w:t xml:space="preserve">.  Consumer Groups refer to petitioner as “Victory Assembly Church of Beaumont (formerly Victory Temple),” </w:t>
      </w:r>
      <w:r w:rsidR="005464F6">
        <w:rPr>
          <w:i/>
        </w:rPr>
        <w:t xml:space="preserve">see </w:t>
      </w:r>
      <w:r w:rsidR="005464F6">
        <w:t>Consumer Groups 2015 Opposition at 1</w:t>
      </w:r>
      <w:r w:rsidR="003D6DFA">
        <w:t xml:space="preserve">.  Because </w:t>
      </w:r>
      <w:r w:rsidR="003A4096">
        <w:t xml:space="preserve">Petitioner has not </w:t>
      </w:r>
      <w:r w:rsidR="0088088D">
        <w:t>formally advised the Commission of a name change</w:t>
      </w:r>
      <w:r w:rsidR="00AD5B46">
        <w:t xml:space="preserve"> and in fact refers to itself </w:t>
      </w:r>
      <w:r w:rsidR="003D6DFA">
        <w:t xml:space="preserve">as Victory Temple in its 2014 Supplement, </w:t>
      </w:r>
      <w:r w:rsidR="0088088D">
        <w:t>we</w:t>
      </w:r>
      <w:r w:rsidR="003D6DFA">
        <w:t xml:space="preserve"> </w:t>
      </w:r>
      <w:r w:rsidR="0088088D">
        <w:t>refer to the Petitioner as Victory Temple.</w:t>
      </w:r>
      <w:r w:rsidR="003D6DFA">
        <w:t xml:space="preserve">  </w:t>
      </w:r>
      <w:r w:rsidR="003D6DFA">
        <w:rPr>
          <w:i/>
        </w:rPr>
        <w:t>See</w:t>
      </w:r>
      <w:r w:rsidR="003D6DFA">
        <w:t xml:space="preserve"> 2014 Supplement at 3.</w:t>
      </w:r>
    </w:p>
  </w:footnote>
  <w:footnote w:id="45">
    <w:p w14:paraId="230FC937" w14:textId="77777777" w:rsidR="003A4096" w:rsidRPr="00FD2576" w:rsidRDefault="003A4096" w:rsidP="003A4096">
      <w:pPr>
        <w:pStyle w:val="FootnoteText"/>
        <w:ind w:firstLine="0"/>
      </w:pPr>
      <w:r>
        <w:rPr>
          <w:rStyle w:val="FootnoteReference"/>
        </w:rPr>
        <w:footnoteRef/>
      </w:r>
      <w:r>
        <w:t xml:space="preserve"> </w:t>
      </w:r>
      <w:r w:rsidR="00FD2576">
        <w:t>Consumer Groups 2015 Opposition at 4-6.</w:t>
      </w:r>
    </w:p>
  </w:footnote>
  <w:footnote w:id="46">
    <w:p w14:paraId="2FA6FFAC" w14:textId="77777777" w:rsidR="00FD2576" w:rsidRPr="00FD2576" w:rsidRDefault="00FD2576" w:rsidP="00FD2576">
      <w:pPr>
        <w:pStyle w:val="FootnoteText"/>
        <w:ind w:firstLine="0"/>
      </w:pPr>
      <w:r>
        <w:rPr>
          <w:rStyle w:val="FootnoteReference"/>
        </w:rPr>
        <w:footnoteRef/>
      </w:r>
      <w:r>
        <w:t xml:space="preserve"> </w:t>
      </w:r>
      <w:r>
        <w:rPr>
          <w:i/>
        </w:rPr>
        <w:t>Id.</w:t>
      </w:r>
      <w:r>
        <w:t xml:space="preserve"> at 4.  </w:t>
      </w:r>
    </w:p>
  </w:footnote>
  <w:footnote w:id="47">
    <w:p w14:paraId="34AB4845" w14:textId="77777777" w:rsidR="009613F0" w:rsidRPr="009613F0" w:rsidRDefault="009613F0" w:rsidP="009613F0">
      <w:pPr>
        <w:pStyle w:val="FootnoteText"/>
        <w:ind w:firstLine="0"/>
      </w:pPr>
      <w:r>
        <w:rPr>
          <w:rStyle w:val="FootnoteReference"/>
        </w:rPr>
        <w:footnoteRef/>
      </w:r>
      <w:r>
        <w:t xml:space="preserve"> </w:t>
      </w:r>
      <w:r>
        <w:rPr>
          <w:i/>
        </w:rPr>
        <w:t xml:space="preserve">Id. </w:t>
      </w:r>
      <w:r>
        <w:t xml:space="preserve">at 5.  </w:t>
      </w:r>
    </w:p>
  </w:footnote>
  <w:footnote w:id="48">
    <w:p w14:paraId="2A00504A" w14:textId="77777777" w:rsidR="009613F0" w:rsidRPr="009613F0" w:rsidRDefault="009613F0" w:rsidP="009613F0">
      <w:pPr>
        <w:pStyle w:val="FootnoteText"/>
        <w:ind w:firstLine="0"/>
        <w:rPr>
          <w:i/>
        </w:rPr>
      </w:pPr>
      <w:r>
        <w:rPr>
          <w:rStyle w:val="FootnoteReference"/>
        </w:rPr>
        <w:footnoteRef/>
      </w:r>
      <w:r>
        <w:t xml:space="preserve"> </w:t>
      </w:r>
      <w:r>
        <w:rPr>
          <w:i/>
        </w:rPr>
        <w:t>Id.</w:t>
      </w:r>
    </w:p>
  </w:footnote>
  <w:footnote w:id="49">
    <w:p w14:paraId="6914FCD3" w14:textId="77777777" w:rsidR="009613F0" w:rsidRPr="009613F0" w:rsidRDefault="009613F0" w:rsidP="009613F0">
      <w:pPr>
        <w:pStyle w:val="FootnoteText"/>
        <w:ind w:firstLine="0"/>
        <w:rPr>
          <w:i/>
        </w:rPr>
      </w:pPr>
      <w:r>
        <w:rPr>
          <w:rStyle w:val="FootnoteReference"/>
        </w:rPr>
        <w:footnoteRef/>
      </w:r>
      <w:r>
        <w:t xml:space="preserve"> </w:t>
      </w:r>
      <w:r>
        <w:rPr>
          <w:i/>
        </w:rPr>
        <w:t>Id.</w:t>
      </w:r>
    </w:p>
  </w:footnote>
  <w:footnote w:id="50">
    <w:p w14:paraId="6534119A" w14:textId="77777777" w:rsidR="009613F0" w:rsidRPr="009613F0" w:rsidRDefault="009613F0" w:rsidP="009613F0">
      <w:pPr>
        <w:pStyle w:val="FootnoteText"/>
        <w:ind w:firstLine="0"/>
        <w:rPr>
          <w:i/>
        </w:rPr>
      </w:pPr>
      <w:r>
        <w:rPr>
          <w:rStyle w:val="FootnoteReference"/>
        </w:rPr>
        <w:footnoteRef/>
      </w:r>
      <w:r>
        <w:t xml:space="preserve"> </w:t>
      </w:r>
      <w:r>
        <w:rPr>
          <w:i/>
        </w:rPr>
        <w:t xml:space="preserve">Id. </w:t>
      </w:r>
      <w:r w:rsidRPr="009613F0">
        <w:t>at 6.</w:t>
      </w:r>
    </w:p>
  </w:footnote>
  <w:footnote w:id="51">
    <w:p w14:paraId="199430D1" w14:textId="77777777" w:rsidR="00671519" w:rsidRDefault="00671519" w:rsidP="00671519">
      <w:pPr>
        <w:pStyle w:val="FootnoteText"/>
        <w:ind w:firstLine="0"/>
      </w:pPr>
      <w:r>
        <w:rPr>
          <w:rStyle w:val="FootnoteReference"/>
        </w:rPr>
        <w:footnoteRef/>
      </w:r>
      <w:r>
        <w:t xml:space="preserve"> </w:t>
      </w:r>
      <w:r>
        <w:rPr>
          <w:i/>
        </w:rPr>
        <w:t>Id</w:t>
      </w:r>
      <w:r>
        <w:t xml:space="preserve">. at 6-7. </w:t>
      </w:r>
    </w:p>
  </w:footnote>
  <w:footnote w:id="52">
    <w:p w14:paraId="468A658C" w14:textId="2C8971B3" w:rsidR="005E7BED" w:rsidRDefault="005E7BED" w:rsidP="00A03BC1">
      <w:pPr>
        <w:pStyle w:val="FootnoteText"/>
        <w:ind w:firstLine="0"/>
      </w:pPr>
      <w:r>
        <w:rPr>
          <w:rStyle w:val="FootnoteReference"/>
        </w:rPr>
        <w:footnoteRef/>
      </w:r>
      <w:r>
        <w:t>.</w:t>
      </w:r>
      <w:r w:rsidR="00353D24">
        <w:t xml:space="preserve">  For purposes of calculating the lowest quote for captioning costs, the Consumer Groups rely on a quote of $200</w:t>
      </w:r>
      <w:r w:rsidR="009264B3">
        <w:t>,</w:t>
      </w:r>
      <w:r w:rsidR="00353D24">
        <w:t xml:space="preserve"> rather than $250 from Closed Caption Maker.  </w:t>
      </w:r>
      <w:r w:rsidR="00353D24" w:rsidRPr="00353D24">
        <w:rPr>
          <w:i/>
        </w:rPr>
        <w:t xml:space="preserve">Id. </w:t>
      </w:r>
      <w:r w:rsidR="00353D24" w:rsidRPr="00353D24">
        <w:t xml:space="preserve">at n. 34.  </w:t>
      </w:r>
      <w:r w:rsidR="00353D24">
        <w:t xml:space="preserve">The higher quote </w:t>
      </w:r>
      <w:r w:rsidR="001939D0">
        <w:t xml:space="preserve">of $250 </w:t>
      </w:r>
      <w:r w:rsidR="009264B3">
        <w:t xml:space="preserve">that we have used for purposes of calculating the lowest quote for captioning costs </w:t>
      </w:r>
      <w:r w:rsidR="00353D24">
        <w:t>includes the cost of captioning DVDs</w:t>
      </w:r>
      <w:r w:rsidR="009264B3">
        <w:t xml:space="preserve">.  We have used the higher quote in this order because </w:t>
      </w:r>
      <w:r w:rsidR="00353D24">
        <w:t xml:space="preserve">the petitioner indicated a need for such services. </w:t>
      </w:r>
      <w:r w:rsidR="009264B3">
        <w:t xml:space="preserve"> </w:t>
      </w:r>
      <w:r w:rsidR="00353D24">
        <w:rPr>
          <w:i/>
        </w:rPr>
        <w:t xml:space="preserve">See </w:t>
      </w:r>
      <w:r w:rsidR="00353D24">
        <w:t xml:space="preserve">¶ </w:t>
      </w:r>
      <w:r w:rsidR="001939D0">
        <w:t>8.</w:t>
      </w:r>
    </w:p>
  </w:footnote>
  <w:footnote w:id="53">
    <w:p w14:paraId="50D7FC48" w14:textId="77777777" w:rsidR="0004110D" w:rsidRPr="00530CA6" w:rsidRDefault="0004110D" w:rsidP="0004110D">
      <w:pPr>
        <w:pStyle w:val="FootnoteText"/>
        <w:ind w:firstLine="0"/>
      </w:pPr>
      <w:r>
        <w:rPr>
          <w:rStyle w:val="FootnoteReference"/>
        </w:rPr>
        <w:footnoteRef/>
      </w:r>
      <w:r>
        <w:t xml:space="preserve"> </w:t>
      </w:r>
      <w:r>
        <w:rPr>
          <w:i/>
        </w:rPr>
        <w:t>Id.</w:t>
      </w:r>
      <w:r>
        <w:t xml:space="preserve"> at 7. Similar to our analysis, Consumer Groups do not </w:t>
      </w:r>
      <w:r>
        <w:rPr>
          <w:szCs w:val="22"/>
        </w:rPr>
        <w:t xml:space="preserve">include Victory Temple’s depreciation expenses in calculating Victory Temple’s annual net profits. </w:t>
      </w:r>
    </w:p>
  </w:footnote>
  <w:footnote w:id="54">
    <w:p w14:paraId="4B5C6248" w14:textId="7D51020B" w:rsidR="00DE49AE" w:rsidRPr="00DE49AE" w:rsidRDefault="00DE49AE" w:rsidP="00DE49AE">
      <w:pPr>
        <w:pStyle w:val="FootnoteText"/>
        <w:ind w:firstLine="0"/>
      </w:pPr>
      <w:r w:rsidRPr="008A6238">
        <w:rPr>
          <w:rStyle w:val="FootnoteReference"/>
          <w:color w:val="auto"/>
        </w:rPr>
        <w:footnoteRef/>
      </w:r>
      <w:r w:rsidRPr="008A6238">
        <w:rPr>
          <w:color w:val="auto"/>
        </w:rPr>
        <w:t xml:space="preserve"> </w:t>
      </w:r>
      <w:r w:rsidRPr="008A6238">
        <w:rPr>
          <w:i/>
          <w:color w:val="auto"/>
        </w:rPr>
        <w:t>Id.</w:t>
      </w:r>
      <w:r w:rsidRPr="008A6238">
        <w:rPr>
          <w:color w:val="auto"/>
        </w:rPr>
        <w:t xml:space="preserve">  Consumer Groups </w:t>
      </w:r>
      <w:r w:rsidRPr="008A6238">
        <w:t>compare</w:t>
      </w:r>
      <w:r>
        <w:t xml:space="preserve"> this percentage</w:t>
      </w:r>
      <w:r w:rsidR="0037382F">
        <w:t xml:space="preserve"> of captioning costs</w:t>
      </w:r>
      <w:r>
        <w:t xml:space="preserve">, as well as Victory Temple’s higher net profits, to those </w:t>
      </w:r>
      <w:r w:rsidR="00FE71ED">
        <w:t xml:space="preserve">reported by </w:t>
      </w:r>
      <w:r>
        <w:t xml:space="preserve">the petitioner whose exemption was denied in </w:t>
      </w:r>
      <w:r>
        <w:rPr>
          <w:i/>
        </w:rPr>
        <w:t>First Lutheran Church of Albert Lea,</w:t>
      </w:r>
      <w:r>
        <w:t xml:space="preserve"> 29 FCC Rcd 9326 (2014), to support denial of this Petition.</w:t>
      </w:r>
      <w:r w:rsidR="0037382F">
        <w:t xml:space="preserve"> </w:t>
      </w:r>
      <w:r w:rsidR="00173FE3">
        <w:t xml:space="preserve"> In </w:t>
      </w:r>
      <w:r w:rsidR="00173FE3" w:rsidRPr="00080310">
        <w:rPr>
          <w:i/>
        </w:rPr>
        <w:t>First Lutheran</w:t>
      </w:r>
      <w:r w:rsidR="00173FE3">
        <w:t>, Consumer</w:t>
      </w:r>
      <w:r w:rsidR="00353D24">
        <w:t xml:space="preserve"> Group</w:t>
      </w:r>
      <w:r w:rsidR="00173FE3">
        <w:t xml:space="preserve">s explain, the Commission concluded that it would not be economically burdensome for the petitioner to afford closed captions when the percentage of profits that would have been used to pay for captioning would have equaled 19%.  In addition, under Consumer Groups’ calculations, after paying for captioning, Victory would be left with at least $10,000 more than First Lutheran in net profits.   </w:t>
      </w:r>
      <w:r w:rsidR="0037382F">
        <w:t xml:space="preserve"> </w:t>
      </w:r>
    </w:p>
  </w:footnote>
  <w:footnote w:id="55">
    <w:p w14:paraId="32333395" w14:textId="658A8AD8" w:rsidR="00DE49AE" w:rsidRPr="00CB04AC" w:rsidRDefault="00DE49AE" w:rsidP="00DE49AE">
      <w:pPr>
        <w:pStyle w:val="FootnoteText"/>
        <w:ind w:firstLine="0"/>
        <w:rPr>
          <w:i/>
        </w:rPr>
      </w:pPr>
      <w:r>
        <w:rPr>
          <w:rStyle w:val="FootnoteReference"/>
        </w:rPr>
        <w:footnoteRef/>
      </w:r>
      <w:r>
        <w:t xml:space="preserve"> </w:t>
      </w:r>
      <w:r>
        <w:rPr>
          <w:i/>
        </w:rPr>
        <w:t>Id</w:t>
      </w:r>
      <w:r w:rsidR="00080310">
        <w:rPr>
          <w:i/>
        </w:rPr>
        <w:t>.</w:t>
      </w:r>
    </w:p>
  </w:footnote>
  <w:footnote w:id="56">
    <w:p w14:paraId="714EA348" w14:textId="2CA30AA7" w:rsidR="00C02480" w:rsidRPr="00F25CC3" w:rsidRDefault="00C02480" w:rsidP="00CB04AC">
      <w:pPr>
        <w:pStyle w:val="ParaNum"/>
        <w:numPr>
          <w:ilvl w:val="0"/>
          <w:numId w:val="0"/>
        </w:numPr>
        <w:spacing w:after="120"/>
        <w:jc w:val="left"/>
        <w:rPr>
          <w:i/>
          <w:sz w:val="20"/>
        </w:rPr>
      </w:pPr>
      <w:r w:rsidRPr="00CB04AC">
        <w:rPr>
          <w:rStyle w:val="FootnoteReference"/>
          <w:sz w:val="20"/>
        </w:rPr>
        <w:footnoteRef/>
      </w:r>
      <w:r w:rsidRPr="00CB04AC">
        <w:rPr>
          <w:sz w:val="20"/>
        </w:rPr>
        <w:t xml:space="preserve">  </w:t>
      </w:r>
      <w:r w:rsidR="00CB04AC" w:rsidRPr="00CB04AC">
        <w:rPr>
          <w:i/>
          <w:sz w:val="20"/>
        </w:rPr>
        <w:t>Id.</w:t>
      </w:r>
      <w:r w:rsidR="00CB04AC" w:rsidRPr="00CB04AC">
        <w:rPr>
          <w:sz w:val="20"/>
        </w:rPr>
        <w:t xml:space="preserve"> </w:t>
      </w:r>
      <w:r w:rsidR="00CB04AC">
        <w:rPr>
          <w:sz w:val="20"/>
        </w:rPr>
        <w:t xml:space="preserve"> </w:t>
      </w:r>
      <w:r w:rsidR="00CB04AC" w:rsidRPr="00CB04AC">
        <w:rPr>
          <w:sz w:val="20"/>
        </w:rPr>
        <w:t xml:space="preserve">Consumer Groups </w:t>
      </w:r>
      <w:r w:rsidR="00F25CC3">
        <w:rPr>
          <w:sz w:val="20"/>
        </w:rPr>
        <w:t xml:space="preserve">also </w:t>
      </w:r>
      <w:r w:rsidR="005E7BED">
        <w:rPr>
          <w:sz w:val="20"/>
        </w:rPr>
        <w:t xml:space="preserve">raise </w:t>
      </w:r>
      <w:r w:rsidR="00CB04AC" w:rsidRPr="00CB04AC">
        <w:rPr>
          <w:sz w:val="20"/>
        </w:rPr>
        <w:t>addition</w:t>
      </w:r>
      <w:r w:rsidR="00CB04AC">
        <w:rPr>
          <w:sz w:val="20"/>
        </w:rPr>
        <w:t xml:space="preserve">al concerns regarding the prospect that Victory Temple has not disclosed the financial assets of a possibly related entity, The School </w:t>
      </w:r>
      <w:r w:rsidR="00F25CC3">
        <w:rPr>
          <w:sz w:val="20"/>
        </w:rPr>
        <w:t>of Christ International (SCI), and the failure of Victory Temple to seek outside s</w:t>
      </w:r>
      <w:r w:rsidR="009A52CF">
        <w:rPr>
          <w:sz w:val="20"/>
        </w:rPr>
        <w:t xml:space="preserve">ponsors for its captioning.  </w:t>
      </w:r>
      <w:r w:rsidR="00F25CC3">
        <w:rPr>
          <w:i/>
          <w:sz w:val="20"/>
        </w:rPr>
        <w:t>Id.</w:t>
      </w:r>
    </w:p>
  </w:footnote>
  <w:footnote w:id="57">
    <w:p w14:paraId="458A4440" w14:textId="1F677267" w:rsidR="001D6275" w:rsidRPr="001D6275" w:rsidRDefault="001D6275" w:rsidP="009A52CF">
      <w:pPr>
        <w:pStyle w:val="FootnoteText"/>
        <w:ind w:firstLine="0"/>
      </w:pPr>
      <w:r>
        <w:rPr>
          <w:rStyle w:val="FootnoteReference"/>
        </w:rPr>
        <w:footnoteRef/>
      </w:r>
      <w:r>
        <w:t xml:space="preserve"> </w:t>
      </w:r>
      <w:r>
        <w:rPr>
          <w:i/>
        </w:rPr>
        <w:t>Angler Reversal MO&amp;O</w:t>
      </w:r>
      <w:r>
        <w:t>, 26 FCC Rcd at 14950, ¶ 17 (explaining that consideration of a petitioner’s request for exemption must take into account “the overall financial resources of the provider or program owner”).</w:t>
      </w:r>
    </w:p>
  </w:footnote>
  <w:footnote w:id="58">
    <w:p w14:paraId="70DAFE49" w14:textId="0A383632" w:rsidR="00C02480" w:rsidRDefault="00C02480" w:rsidP="009A52CF">
      <w:pPr>
        <w:pStyle w:val="FootnoteText1"/>
        <w:jc w:val="left"/>
      </w:pPr>
      <w:r>
        <w:rPr>
          <w:rStyle w:val="FootnoteReference"/>
        </w:rPr>
        <w:footnoteRef/>
      </w:r>
      <w:r>
        <w:t xml:space="preserve"> </w:t>
      </w:r>
      <w:r w:rsidR="00D10DE7">
        <w:rPr>
          <w:i/>
        </w:rPr>
        <w:t xml:space="preserve">See </w:t>
      </w:r>
      <w:r w:rsidR="009127BF">
        <w:t xml:space="preserve">¶ </w:t>
      </w:r>
      <w:r w:rsidR="009127BF" w:rsidRPr="009264B3">
        <w:t>9</w:t>
      </w:r>
      <w:r w:rsidR="009127BF">
        <w:t xml:space="preserve">, </w:t>
      </w:r>
      <w:r w:rsidR="009127BF">
        <w:rPr>
          <w:i/>
        </w:rPr>
        <w:t>supra</w:t>
      </w:r>
      <w:r>
        <w:t>.</w:t>
      </w:r>
      <w:r w:rsidR="0002584D" w:rsidRPr="0002584D">
        <w:rPr>
          <w:szCs w:val="22"/>
        </w:rPr>
        <w:t xml:space="preserve"> </w:t>
      </w:r>
      <w:r w:rsidR="00FE71ED">
        <w:rPr>
          <w:szCs w:val="22"/>
        </w:rPr>
        <w:t xml:space="preserve"> This figure is after the </w:t>
      </w:r>
      <w:r w:rsidR="0002584D">
        <w:rPr>
          <w:szCs w:val="22"/>
        </w:rPr>
        <w:t>remov</w:t>
      </w:r>
      <w:r w:rsidR="00FE71ED">
        <w:rPr>
          <w:szCs w:val="22"/>
        </w:rPr>
        <w:t>al of</w:t>
      </w:r>
      <w:r w:rsidR="0002584D">
        <w:rPr>
          <w:szCs w:val="22"/>
        </w:rPr>
        <w:t xml:space="preserve"> depreciation expenses</w:t>
      </w:r>
      <w:r w:rsidR="00FE71ED">
        <w:rPr>
          <w:szCs w:val="22"/>
        </w:rPr>
        <w:t xml:space="preserve">, which, </w:t>
      </w:r>
      <w:r w:rsidR="00C37A90">
        <w:rPr>
          <w:szCs w:val="22"/>
        </w:rPr>
        <w:t>a</w:t>
      </w:r>
      <w:r w:rsidR="00FE71ED">
        <w:rPr>
          <w:szCs w:val="22"/>
        </w:rPr>
        <w:t xml:space="preserve">s noted above, </w:t>
      </w:r>
      <w:r w:rsidR="00FE71ED" w:rsidRPr="00BF4734">
        <w:rPr>
          <w:i/>
          <w:szCs w:val="22"/>
        </w:rPr>
        <w:t>see</w:t>
      </w:r>
      <w:r w:rsidR="00FE71ED">
        <w:rPr>
          <w:szCs w:val="22"/>
        </w:rPr>
        <w:t xml:space="preserve"> </w:t>
      </w:r>
      <w:r w:rsidR="00FE71ED" w:rsidRPr="009264B3">
        <w:rPr>
          <w:szCs w:val="22"/>
        </w:rPr>
        <w:t>n.3</w:t>
      </w:r>
      <w:r w:rsidR="003C3292">
        <w:rPr>
          <w:szCs w:val="22"/>
        </w:rPr>
        <w:t>5</w:t>
      </w:r>
      <w:r w:rsidR="00FE71ED" w:rsidRPr="009264B3">
        <w:rPr>
          <w:szCs w:val="22"/>
        </w:rPr>
        <w:t xml:space="preserve">, </w:t>
      </w:r>
      <w:r w:rsidR="00FE71ED" w:rsidRPr="009264B3">
        <w:rPr>
          <w:i/>
          <w:szCs w:val="22"/>
        </w:rPr>
        <w:t>supra</w:t>
      </w:r>
      <w:r w:rsidR="00FE71ED">
        <w:rPr>
          <w:szCs w:val="22"/>
        </w:rPr>
        <w:t xml:space="preserve">,  </w:t>
      </w:r>
      <w:r w:rsidR="0002584D">
        <w:rPr>
          <w:szCs w:val="22"/>
        </w:rPr>
        <w:t xml:space="preserve"> </w:t>
      </w:r>
      <w:r w:rsidR="00C37A90">
        <w:rPr>
          <w:szCs w:val="22"/>
        </w:rPr>
        <w:t xml:space="preserve">we remove </w:t>
      </w:r>
      <w:r w:rsidR="0002584D">
        <w:rPr>
          <w:szCs w:val="22"/>
        </w:rPr>
        <w:t xml:space="preserve">when considering </w:t>
      </w:r>
      <w:r w:rsidR="00FE71ED">
        <w:rPr>
          <w:szCs w:val="22"/>
        </w:rPr>
        <w:t xml:space="preserve">an entity’s </w:t>
      </w:r>
      <w:r w:rsidR="0002584D">
        <w:rPr>
          <w:szCs w:val="22"/>
        </w:rPr>
        <w:t xml:space="preserve">overall financial resources to determine </w:t>
      </w:r>
      <w:r w:rsidR="00FE71ED">
        <w:rPr>
          <w:szCs w:val="22"/>
        </w:rPr>
        <w:t>whether</w:t>
      </w:r>
      <w:r w:rsidR="0002584D">
        <w:rPr>
          <w:szCs w:val="22"/>
        </w:rPr>
        <w:t xml:space="preserve"> providing closed captioning would be economically burdensome.  </w:t>
      </w:r>
      <w:r w:rsidR="0002584D" w:rsidRPr="007B0DE3">
        <w:t>However</w:t>
      </w:r>
      <w:r w:rsidR="0002584D" w:rsidRPr="00BA4E46">
        <w:t xml:space="preserve">, even if we were to consider </w:t>
      </w:r>
      <w:r w:rsidR="0002584D">
        <w:t>Victory Temple</w:t>
      </w:r>
      <w:r w:rsidR="0002584D" w:rsidRPr="00BA4E46">
        <w:t xml:space="preserve">’s depreciation expense in 2011 and 2012 and </w:t>
      </w:r>
      <w:r w:rsidR="0002584D">
        <w:t>Victory Temple</w:t>
      </w:r>
      <w:r w:rsidR="0002584D" w:rsidRPr="00BA4E46">
        <w:t xml:space="preserve">’s reported net losses of </w:t>
      </w:r>
      <w:r w:rsidR="00FE71ED" w:rsidRPr="00BA4E46">
        <w:rPr>
          <w:szCs w:val="22"/>
        </w:rPr>
        <w:t>$</w:t>
      </w:r>
      <w:r w:rsidR="00FE71ED">
        <w:rPr>
          <w:szCs w:val="22"/>
        </w:rPr>
        <w:t>236,721.00</w:t>
      </w:r>
      <w:r w:rsidR="00FE71ED" w:rsidRPr="00BA4E46">
        <w:rPr>
          <w:szCs w:val="22"/>
        </w:rPr>
        <w:t xml:space="preserve"> in 2011</w:t>
      </w:r>
      <w:r w:rsidR="00FE71ED">
        <w:rPr>
          <w:szCs w:val="22"/>
        </w:rPr>
        <w:t xml:space="preserve"> and </w:t>
      </w:r>
      <w:r w:rsidR="004B7C93" w:rsidRPr="00BA4E46">
        <w:rPr>
          <w:szCs w:val="22"/>
        </w:rPr>
        <w:t>$</w:t>
      </w:r>
      <w:r w:rsidR="004B7C93">
        <w:rPr>
          <w:szCs w:val="22"/>
        </w:rPr>
        <w:t>201,567.00</w:t>
      </w:r>
      <w:r w:rsidR="004B7C93" w:rsidRPr="00BA4E46">
        <w:rPr>
          <w:szCs w:val="22"/>
        </w:rPr>
        <w:t xml:space="preserve"> for 2012</w:t>
      </w:r>
      <w:r w:rsidR="0002584D" w:rsidRPr="00BA4E46">
        <w:t>, our conclusion that closed captioning is not economically burdensome for V</w:t>
      </w:r>
      <w:r w:rsidR="0002584D">
        <w:t>ictory Temple</w:t>
      </w:r>
      <w:r w:rsidR="0002584D" w:rsidRPr="00BA4E46">
        <w:t xml:space="preserve"> would remain the same based on the amount of V</w:t>
      </w:r>
      <w:r w:rsidR="0002584D">
        <w:t>ictory Temple</w:t>
      </w:r>
      <w:r w:rsidR="004B7C93">
        <w:t xml:space="preserve">’s net assets in </w:t>
      </w:r>
      <w:r w:rsidR="00FE71ED">
        <w:t>each of these years</w:t>
      </w:r>
      <w:r w:rsidR="00F129EC">
        <w:t>.</w:t>
      </w:r>
      <w:r w:rsidR="00FE71ED">
        <w:t xml:space="preserve">  </w:t>
      </w:r>
    </w:p>
  </w:footnote>
  <w:footnote w:id="59">
    <w:p w14:paraId="1C5A1D8C" w14:textId="77777777" w:rsidR="00A425A0" w:rsidRPr="00A425A0" w:rsidRDefault="00A425A0" w:rsidP="00A425A0">
      <w:pPr>
        <w:pStyle w:val="FootnoteText"/>
        <w:ind w:firstLine="0"/>
        <w:rPr>
          <w:i/>
        </w:rPr>
      </w:pPr>
      <w:r>
        <w:rPr>
          <w:rStyle w:val="FootnoteReference"/>
        </w:rPr>
        <w:footnoteRef/>
      </w:r>
      <w:r>
        <w:t xml:space="preserve"> </w:t>
      </w:r>
      <w:r>
        <w:rPr>
          <w:i/>
        </w:rPr>
        <w:t xml:space="preserve">See </w:t>
      </w:r>
      <w:r>
        <w:t xml:space="preserve">¶ </w:t>
      </w:r>
      <w:r w:rsidRPr="009264B3">
        <w:t>8</w:t>
      </w:r>
      <w:r>
        <w:t xml:space="preserve">, </w:t>
      </w:r>
      <w:r>
        <w:rPr>
          <w:i/>
        </w:rPr>
        <w:t>supra</w:t>
      </w:r>
      <w:r>
        <w:t>.</w:t>
      </w:r>
    </w:p>
  </w:footnote>
  <w:footnote w:id="60">
    <w:p w14:paraId="482C5468" w14:textId="77777777" w:rsidR="00C02480" w:rsidRPr="00D37256" w:rsidRDefault="00C02480" w:rsidP="004774F4">
      <w:pPr>
        <w:pStyle w:val="FootnoteText1"/>
        <w:rPr>
          <w:i/>
        </w:rPr>
      </w:pPr>
      <w:r w:rsidRPr="00D37256">
        <w:rPr>
          <w:rStyle w:val="FootnoteReference"/>
        </w:rPr>
        <w:footnoteRef/>
      </w:r>
      <w:r w:rsidRPr="00D37256">
        <w:t xml:space="preserve"> </w:t>
      </w:r>
      <w:r w:rsidRPr="00D37256">
        <w:rPr>
          <w:i/>
        </w:rPr>
        <w:t xml:space="preserve">See </w:t>
      </w:r>
      <w:r>
        <w:t xml:space="preserve">¶ </w:t>
      </w:r>
      <w:r w:rsidRPr="009264B3">
        <w:t>10</w:t>
      </w:r>
      <w:r w:rsidRPr="00D37256">
        <w:t xml:space="preserve">, </w:t>
      </w:r>
      <w:r w:rsidRPr="00D37256">
        <w:rPr>
          <w:i/>
        </w:rPr>
        <w:t>supra.</w:t>
      </w:r>
      <w:r w:rsidRPr="00D37256">
        <w:t xml:space="preserve">  </w:t>
      </w:r>
    </w:p>
  </w:footnote>
  <w:footnote w:id="61">
    <w:p w14:paraId="3F48FAFA" w14:textId="403D428B" w:rsidR="00C02480" w:rsidRPr="00EB7DBF" w:rsidRDefault="00C02480" w:rsidP="00080310">
      <w:pPr>
        <w:pStyle w:val="FootnoteText1"/>
        <w:jc w:val="left"/>
        <w:rPr>
          <w:szCs w:val="22"/>
        </w:rPr>
      </w:pPr>
      <w:r w:rsidRPr="00D37256">
        <w:rPr>
          <w:rStyle w:val="FootnoteReference"/>
        </w:rPr>
        <w:footnoteRef/>
      </w:r>
      <w:r w:rsidRPr="00D37256">
        <w:t xml:space="preserve"> </w:t>
      </w:r>
      <w:r w:rsidR="007712A2">
        <w:t xml:space="preserve">We do not address petition deficiencies alleged by Consumer Groups, </w:t>
      </w:r>
      <w:r w:rsidR="007712A2">
        <w:rPr>
          <w:i/>
        </w:rPr>
        <w:t>s</w:t>
      </w:r>
      <w:r w:rsidR="007712A2" w:rsidRPr="0053093C">
        <w:rPr>
          <w:i/>
        </w:rPr>
        <w:t xml:space="preserve">ee </w:t>
      </w:r>
      <w:r w:rsidR="007712A2">
        <w:t xml:space="preserve">¶ </w:t>
      </w:r>
      <w:r w:rsidR="007712A2" w:rsidRPr="009264B3">
        <w:t>12</w:t>
      </w:r>
      <w:r w:rsidR="007712A2" w:rsidRPr="0053093C">
        <w:t xml:space="preserve">, </w:t>
      </w:r>
      <w:r w:rsidR="007712A2" w:rsidRPr="0053093C">
        <w:rPr>
          <w:i/>
        </w:rPr>
        <w:t>supra</w:t>
      </w:r>
      <w:r w:rsidR="007712A2">
        <w:t xml:space="preserve">, </w:t>
      </w:r>
      <w:r w:rsidRPr="00CB4379">
        <w:t xml:space="preserve">because we </w:t>
      </w:r>
      <w:r w:rsidR="007712A2">
        <w:t xml:space="preserve">are able to </w:t>
      </w:r>
      <w:r w:rsidRPr="00CB4379">
        <w:t>conclude</w:t>
      </w:r>
      <w:r w:rsidR="007712A2">
        <w:t xml:space="preserve"> without </w:t>
      </w:r>
      <w:r w:rsidR="00241E2C">
        <w:t xml:space="preserve">considering the merits of these arguments </w:t>
      </w:r>
      <w:r w:rsidRPr="00CB4379">
        <w:t xml:space="preserve">that providing closed captioning for its program would not be </w:t>
      </w:r>
      <w:r w:rsidR="00CB4379">
        <w:t xml:space="preserve">economically burdensome </w:t>
      </w:r>
      <w:r w:rsidR="00241E2C">
        <w:t>for</w:t>
      </w:r>
      <w:r w:rsidR="00CB4379">
        <w:t xml:space="preserve"> </w:t>
      </w:r>
      <w:r w:rsidR="007712A2">
        <w:t>Victory Temple</w:t>
      </w:r>
      <w:r w:rsidR="00CB4379">
        <w:t xml:space="preserve">. </w:t>
      </w:r>
    </w:p>
  </w:footnote>
  <w:footnote w:id="62">
    <w:p w14:paraId="6DD10EF3" w14:textId="77777777" w:rsidR="00C02480" w:rsidRPr="0053093C" w:rsidRDefault="00C02480" w:rsidP="002E1EF8">
      <w:pPr>
        <w:pStyle w:val="FootnoteText1"/>
      </w:pPr>
      <w:r w:rsidRPr="0053093C">
        <w:rPr>
          <w:rStyle w:val="FootnoteReference"/>
        </w:rPr>
        <w:footnoteRef/>
      </w:r>
      <w:r w:rsidRPr="0053093C">
        <w:rPr>
          <w:i/>
        </w:rPr>
        <w:t xml:space="preserve"> See </w:t>
      </w:r>
      <w:r>
        <w:t>¶ 7</w:t>
      </w:r>
      <w:r w:rsidRPr="0053093C">
        <w:t xml:space="preserve">, </w:t>
      </w:r>
      <w:r w:rsidRPr="0053093C">
        <w:rPr>
          <w:i/>
        </w:rPr>
        <w:t>supra</w:t>
      </w:r>
      <w:r w:rsidRPr="0053093C">
        <w:t>.</w:t>
      </w:r>
    </w:p>
  </w:footnote>
  <w:footnote w:id="63">
    <w:p w14:paraId="08378115" w14:textId="77777777" w:rsidR="00C02480" w:rsidRPr="0053093C" w:rsidRDefault="00C02480" w:rsidP="002E1EF8">
      <w:pPr>
        <w:pStyle w:val="FootnoteText1"/>
      </w:pPr>
      <w:r w:rsidRPr="0053093C">
        <w:rPr>
          <w:rStyle w:val="FootnoteReference"/>
        </w:rPr>
        <w:footnoteRef/>
      </w:r>
      <w:r w:rsidRPr="0053093C">
        <w:t xml:space="preserve"> </w:t>
      </w:r>
      <w:r w:rsidRPr="0053093C">
        <w:rPr>
          <w:i/>
        </w:rPr>
        <w:t xml:space="preserve">See </w:t>
      </w:r>
      <w:r w:rsidRPr="0053093C">
        <w:t xml:space="preserve">¶ 13, </w:t>
      </w:r>
      <w:r w:rsidRPr="0053093C">
        <w:rPr>
          <w:i/>
        </w:rPr>
        <w:t>supra</w:t>
      </w:r>
      <w:r w:rsidRPr="0053093C">
        <w:t>.</w:t>
      </w:r>
    </w:p>
  </w:footnote>
  <w:footnote w:id="64">
    <w:p w14:paraId="783E6B71" w14:textId="77777777" w:rsidR="00C02480" w:rsidRPr="00D37256" w:rsidRDefault="00C02480" w:rsidP="002E1EF8">
      <w:pPr>
        <w:pStyle w:val="FootnoteText1"/>
      </w:pPr>
      <w:r w:rsidRPr="00D37256">
        <w:rPr>
          <w:rStyle w:val="FootnoteReference"/>
        </w:rPr>
        <w:footnoteRef/>
      </w:r>
      <w:r w:rsidRPr="00D37256">
        <w:t xml:space="preserve"> 47 U.S.C. § 613, 47 C.F.R. §§ 0.141(f), 79.1(f).</w:t>
      </w:r>
    </w:p>
  </w:footnote>
  <w:footnote w:id="65">
    <w:p w14:paraId="0DACC185" w14:textId="77777777" w:rsidR="00C02480" w:rsidRPr="00D37256" w:rsidRDefault="00C02480" w:rsidP="002E1EF8">
      <w:pPr>
        <w:pStyle w:val="FootnoteText1"/>
      </w:pPr>
      <w:r w:rsidRPr="00D37256">
        <w:rPr>
          <w:rStyle w:val="FootnoteReference"/>
        </w:rPr>
        <w:footnoteRef/>
      </w:r>
      <w:r w:rsidRPr="00D37256">
        <w:rPr>
          <w:i/>
        </w:rPr>
        <w:t xml:space="preserve"> See</w:t>
      </w:r>
      <w:r w:rsidRPr="00D37256">
        <w:t xml:space="preserve"> </w:t>
      </w:r>
      <w:r w:rsidRPr="00D37256">
        <w:rPr>
          <w:i/>
        </w:rPr>
        <w:t xml:space="preserve">Notice of </w:t>
      </w:r>
      <w:r w:rsidRPr="002E1EF8">
        <w:rPr>
          <w:i/>
        </w:rPr>
        <w:t>New</w:t>
      </w:r>
      <w:r w:rsidRPr="00D37256">
        <w:rPr>
          <w:i/>
        </w:rPr>
        <w:t xml:space="preserve"> Electronic Filing Procedures for Television Closed Captioning Exemption Requests</w:t>
      </w:r>
      <w:r w:rsidRPr="00D37256">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3D62" w14:textId="604194C1" w:rsidR="00C02480" w:rsidRDefault="00C02480" w:rsidP="009C2B99">
    <w:pPr>
      <w:pStyle w:val="Header1"/>
      <w:pBdr>
        <w:bottom w:val="single" w:sz="12" w:space="1" w:color="auto"/>
      </w:pBdr>
      <w:tabs>
        <w:tab w:val="clear" w:pos="4320"/>
        <w:tab w:val="clear" w:pos="8640"/>
        <w:tab w:val="center" w:pos="4680"/>
        <w:tab w:val="right" w:pos="9360"/>
      </w:tabs>
      <w:jc w:val="center"/>
      <w:rPr>
        <w:rFonts w:eastAsia="Times New Roman"/>
        <w:b/>
        <w:color w:val="auto"/>
      </w:rPr>
    </w:pPr>
    <w:r>
      <w:rPr>
        <w:rFonts w:eastAsia="Times New Roman"/>
        <w:b/>
        <w:color w:val="auto"/>
      </w:rPr>
      <w:t xml:space="preserve">                                                         </w:t>
    </w:r>
    <w:r w:rsidRPr="00EB7DBF">
      <w:rPr>
        <w:rFonts w:eastAsia="Times New Roman"/>
        <w:b/>
        <w:color w:val="auto"/>
      </w:rPr>
      <w:t>Federal Communications Commission</w:t>
    </w:r>
    <w:r w:rsidRPr="00EB7DBF">
      <w:rPr>
        <w:rFonts w:eastAsia="Times New Roman"/>
        <w:b/>
        <w:color w:val="auto"/>
      </w:rPr>
      <w:tab/>
      <w:t xml:space="preserve"> </w:t>
    </w:r>
    <w:r>
      <w:rPr>
        <w:rFonts w:eastAsia="Times New Roman"/>
        <w:b/>
        <w:color w:val="auto"/>
      </w:rPr>
      <w:t xml:space="preserve">                      DA 15</w:t>
    </w:r>
    <w:r w:rsidRPr="00EB7DBF">
      <w:rPr>
        <w:rFonts w:eastAsia="Times New Roman"/>
        <w:b/>
        <w:color w:val="auto"/>
      </w:rPr>
      <w:t>-</w:t>
    </w:r>
    <w:r w:rsidR="00F532C4">
      <w:rPr>
        <w:rFonts w:eastAsia="Times New Roman"/>
        <w:b/>
        <w:color w:val="auto"/>
      </w:rPr>
      <w:t>1324</w:t>
    </w:r>
  </w:p>
  <w:p w14:paraId="6362A148" w14:textId="77777777" w:rsidR="00C02480" w:rsidRPr="002850D9" w:rsidRDefault="00C02480" w:rsidP="00A059B1">
    <w:pPr>
      <w:pStyle w:val="Header1"/>
      <w:tabs>
        <w:tab w:val="clear" w:pos="4320"/>
        <w:tab w:val="clear" w:pos="8640"/>
        <w:tab w:val="center" w:pos="4680"/>
        <w:tab w:val="right" w:pos="93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5BA2" w14:textId="187C6EDF" w:rsidR="00C02480" w:rsidRDefault="00C02480" w:rsidP="00E30AA1">
    <w:pPr>
      <w:pStyle w:val="Header1"/>
      <w:pBdr>
        <w:bottom w:val="single" w:sz="12" w:space="1" w:color="auto"/>
      </w:pBdr>
      <w:tabs>
        <w:tab w:val="clear" w:pos="4320"/>
        <w:tab w:val="clear" w:pos="8640"/>
        <w:tab w:val="center" w:pos="4680"/>
        <w:tab w:val="right" w:pos="9360"/>
      </w:tabs>
      <w:jc w:val="center"/>
      <w:rPr>
        <w:rFonts w:eastAsia="Times New Roman"/>
        <w:b/>
        <w:color w:val="auto"/>
      </w:rPr>
    </w:pPr>
    <w:r>
      <w:rPr>
        <w:rFonts w:eastAsia="Times New Roman"/>
        <w:b/>
        <w:color w:val="auto"/>
      </w:rPr>
      <w:t xml:space="preserve">                                                         </w:t>
    </w:r>
    <w:r w:rsidRPr="00EB7DBF">
      <w:rPr>
        <w:rFonts w:eastAsia="Times New Roman"/>
        <w:b/>
        <w:color w:val="auto"/>
      </w:rPr>
      <w:t>Federal Communications Commission</w:t>
    </w:r>
    <w:r w:rsidRPr="00EB7DBF">
      <w:rPr>
        <w:rFonts w:eastAsia="Times New Roman"/>
        <w:b/>
        <w:color w:val="auto"/>
      </w:rPr>
      <w:tab/>
      <w:t xml:space="preserve"> </w:t>
    </w:r>
    <w:r>
      <w:rPr>
        <w:rFonts w:eastAsia="Times New Roman"/>
        <w:b/>
        <w:color w:val="auto"/>
      </w:rPr>
      <w:t xml:space="preserve">                     DA 15</w:t>
    </w:r>
    <w:r w:rsidRPr="00EB7DBF">
      <w:rPr>
        <w:rFonts w:eastAsia="Times New Roman"/>
        <w:b/>
        <w:color w:val="auto"/>
      </w:rPr>
      <w:t>-</w:t>
    </w:r>
    <w:r w:rsidR="00F532C4">
      <w:rPr>
        <w:rFonts w:eastAsia="Times New Roman"/>
        <w:b/>
        <w:color w:val="auto"/>
      </w:rPr>
      <w:t>1324</w:t>
    </w:r>
  </w:p>
  <w:p w14:paraId="4E624160" w14:textId="77777777" w:rsidR="00C02480" w:rsidRDefault="00C02480" w:rsidP="00A059B1">
    <w:pPr>
      <w:pStyle w:val="Header1"/>
      <w:tabs>
        <w:tab w:val="clear" w:pos="4320"/>
        <w:tab w:val="clear" w:pos="8640"/>
        <w:tab w:val="center" w:pos="4680"/>
        <w:tab w:val="right" w:pos="9360"/>
      </w:tabs>
      <w:jc w:val="center"/>
      <w:rPr>
        <w:rFonts w:eastAsia="Times New Roman"/>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E7E4" w14:textId="6A6C3C3A" w:rsidR="00C02480" w:rsidRDefault="00C02480" w:rsidP="00886A46">
    <w:pPr>
      <w:pStyle w:val="Header1"/>
      <w:pBdr>
        <w:bottom w:val="single" w:sz="12" w:space="1" w:color="auto"/>
      </w:pBdr>
      <w:tabs>
        <w:tab w:val="clear" w:pos="4320"/>
        <w:tab w:val="clear" w:pos="8640"/>
        <w:tab w:val="center" w:pos="4680"/>
        <w:tab w:val="right" w:pos="9360"/>
      </w:tabs>
      <w:jc w:val="center"/>
      <w:rPr>
        <w:rFonts w:eastAsia="Times New Roman"/>
        <w:b/>
        <w:color w:val="auto"/>
      </w:rPr>
    </w:pPr>
    <w:r>
      <w:rPr>
        <w:rFonts w:eastAsia="Times New Roman"/>
        <w:b/>
        <w:color w:val="auto"/>
      </w:rPr>
      <w:t xml:space="preserve">                                                         </w:t>
    </w:r>
    <w:r w:rsidRPr="00EB7DBF">
      <w:rPr>
        <w:rFonts w:eastAsia="Times New Roman"/>
        <w:b/>
        <w:color w:val="auto"/>
      </w:rPr>
      <w:t>Federal Communications Commission</w:t>
    </w:r>
    <w:r w:rsidRPr="00EB7DBF">
      <w:rPr>
        <w:rFonts w:eastAsia="Times New Roman"/>
        <w:b/>
        <w:color w:val="auto"/>
      </w:rPr>
      <w:tab/>
      <w:t xml:space="preserve"> </w:t>
    </w:r>
    <w:r>
      <w:rPr>
        <w:rFonts w:eastAsia="Times New Roman"/>
        <w:b/>
        <w:color w:val="auto"/>
      </w:rPr>
      <w:t>DA 15</w:t>
    </w:r>
    <w:r w:rsidRPr="00EB7DBF">
      <w:rPr>
        <w:rFonts w:eastAsia="Times New Roman"/>
        <w:b/>
        <w:color w:val="auto"/>
      </w:rPr>
      <w:t>-</w:t>
    </w:r>
    <w:r w:rsidR="00F532C4">
      <w:rPr>
        <w:rFonts w:eastAsia="Times New Roman"/>
        <w:b/>
        <w:color w:val="auto"/>
      </w:rPr>
      <w:t>1324</w:t>
    </w:r>
  </w:p>
  <w:p w14:paraId="73BDDFEE" w14:textId="77777777" w:rsidR="00C02480" w:rsidRPr="00EB7DBF" w:rsidRDefault="00C02480">
    <w:pPr>
      <w:pStyle w:val="Header1"/>
      <w:tabs>
        <w:tab w:val="clear" w:pos="4320"/>
        <w:tab w:val="clear" w:pos="8640"/>
        <w:tab w:val="center" w:pos="4680"/>
        <w:tab w:val="right" w:pos="9360"/>
      </w:tabs>
      <w:jc w:val="center"/>
      <w:rPr>
        <w:rFonts w:eastAsia="Times New Roman"/>
        <w:b/>
        <w:color w:val="auto"/>
        <w:sz w:val="40"/>
        <w:szCs w:val="4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720"/>
        </w:tabs>
        <w:ind w:left="720" w:firstLine="0"/>
      </w:pPr>
      <w:rPr>
        <w:rFonts w:hint="default"/>
        <w:b/>
        <w:caps w:val="0"/>
        <w:smallCaps w:val="0"/>
        <w:strike w:val="0"/>
        <w:dstrike w:val="0"/>
        <w:vanish w:val="0"/>
        <w:color w:val="000000"/>
        <w:position w:val="0"/>
        <w:sz w:val="22"/>
        <w:vertAlign w:val="baseline"/>
      </w:rPr>
    </w:lvl>
    <w:lvl w:ilvl="1">
      <w:start w:val="1"/>
      <w:numFmt w:val="upperLetter"/>
      <w:lvlText w:val="%2."/>
      <w:lvlJc w:val="left"/>
      <w:pPr>
        <w:tabs>
          <w:tab w:val="num" w:pos="720"/>
        </w:tabs>
        <w:ind w:left="720" w:firstLine="720"/>
      </w:pPr>
      <w:rPr>
        <w:rFonts w:hint="default"/>
        <w:color w:val="000000"/>
        <w:position w:val="0"/>
        <w:sz w:val="22"/>
      </w:rPr>
    </w:lvl>
    <w:lvl w:ilvl="2">
      <w:start w:val="1"/>
      <w:numFmt w:val="decimal"/>
      <w:isLgl/>
      <w:lvlText w:val="%3."/>
      <w:lvlJc w:val="left"/>
      <w:pPr>
        <w:tabs>
          <w:tab w:val="num" w:pos="720"/>
        </w:tabs>
        <w:ind w:left="720" w:firstLine="1440"/>
      </w:pPr>
      <w:rPr>
        <w:rFonts w:hint="default"/>
        <w:color w:val="000000"/>
        <w:position w:val="0"/>
        <w:sz w:val="22"/>
      </w:rPr>
    </w:lvl>
    <w:lvl w:ilvl="3">
      <w:start w:val="1"/>
      <w:numFmt w:val="lowerLetter"/>
      <w:lvlText w:val="%4."/>
      <w:lvlJc w:val="left"/>
      <w:pPr>
        <w:tabs>
          <w:tab w:val="num" w:pos="720"/>
        </w:tabs>
        <w:ind w:left="720" w:firstLine="2160"/>
      </w:pPr>
      <w:rPr>
        <w:rFonts w:hint="default"/>
        <w:color w:val="000000"/>
        <w:position w:val="0"/>
        <w:sz w:val="22"/>
      </w:rPr>
    </w:lvl>
    <w:lvl w:ilvl="4">
      <w:start w:val="1"/>
      <w:numFmt w:val="lowerRoman"/>
      <w:lvlText w:val="(%5)"/>
      <w:lvlJc w:val="left"/>
      <w:pPr>
        <w:tabs>
          <w:tab w:val="num" w:pos="720"/>
        </w:tabs>
        <w:ind w:left="720" w:firstLine="2880"/>
      </w:pPr>
      <w:rPr>
        <w:rFonts w:ascii="Tahoma Bold" w:eastAsia="ヒラギノ角ゴ Pro W3" w:hAnsi="Tahoma Bold" w:hint="default"/>
        <w:caps w:val="0"/>
        <w:smallCaps w:val="0"/>
        <w:strike w:val="0"/>
        <w:dstrike w:val="0"/>
        <w:vanish w:val="0"/>
        <w:color w:val="000000"/>
        <w:position w:val="0"/>
        <w:sz w:val="22"/>
        <w:vertAlign w:val="baseline"/>
      </w:rPr>
    </w:lvl>
    <w:lvl w:ilvl="5">
      <w:start w:val="1"/>
      <w:numFmt w:val="lowerLetter"/>
      <w:lvlText w:val="(%6)"/>
      <w:lvlJc w:val="left"/>
      <w:pPr>
        <w:tabs>
          <w:tab w:val="num" w:pos="720"/>
        </w:tabs>
        <w:ind w:left="720" w:firstLine="3600"/>
      </w:pPr>
      <w:rPr>
        <w:rFonts w:hint="default"/>
        <w:color w:val="000000"/>
        <w:position w:val="0"/>
        <w:sz w:val="22"/>
      </w:rPr>
    </w:lvl>
    <w:lvl w:ilvl="6">
      <w:start w:val="1"/>
      <w:numFmt w:val="lowerRoman"/>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0"/>
      </w:pPr>
      <w:rPr>
        <w:rFonts w:hint="default"/>
        <w:b/>
        <w:color w:val="000000"/>
        <w:position w:val="0"/>
        <w:sz w:val="22"/>
      </w:rPr>
    </w:lvl>
  </w:abstractNum>
  <w:abstractNum w:abstractNumId="1">
    <w:nsid w:val="00000002"/>
    <w:multiLevelType w:val="multilevel"/>
    <w:tmpl w:val="894EE874"/>
    <w:lvl w:ilvl="0">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1">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440"/>
        </w:tabs>
        <w:ind w:left="1440" w:firstLine="0"/>
      </w:pPr>
      <w:rPr>
        <w:rFonts w:hint="default"/>
        <w:caps w:val="0"/>
        <w:smallCaps w:val="0"/>
        <w:strike w:val="0"/>
        <w:dstrike w:val="0"/>
        <w:vanish w:val="0"/>
        <w:color w:val="000000"/>
        <w:position w:val="0"/>
        <w:sz w:val="22"/>
        <w:vertAlign w:val="baseline"/>
      </w:rPr>
    </w:lvl>
  </w:abstractNum>
  <w:abstractNum w:abstractNumId="2">
    <w:nsid w:val="00000003"/>
    <w:multiLevelType w:val="multilevel"/>
    <w:tmpl w:val="DF2E7DD2"/>
    <w:lvl w:ilvl="0">
      <w:start w:val="1"/>
      <w:numFmt w:val="decimal"/>
      <w:lvlText w:val="%1."/>
      <w:lvlJc w:val="left"/>
      <w:pPr>
        <w:ind w:left="720" w:firstLine="0"/>
      </w:pPr>
      <w:rPr>
        <w:rFonts w:ascii="Times New Roman" w:hAnsi="Times New Roman" w:cs="Times New Roman"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36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800"/>
        </w:tabs>
        <w:ind w:left="1800" w:firstLine="0"/>
      </w:pPr>
      <w:rPr>
        <w:rFonts w:hint="default"/>
        <w:caps w:val="0"/>
        <w:smallCaps w:val="0"/>
        <w:strike w:val="0"/>
        <w:dstrike w:val="0"/>
        <w:vanish w:val="0"/>
        <w:color w:val="000000"/>
        <w:position w:val="0"/>
        <w:sz w:val="22"/>
        <w:vertAlign w:val="baseline"/>
      </w:rPr>
    </w:lvl>
  </w:abstractNum>
  <w:abstractNum w:abstractNumId="3">
    <w:nsid w:val="00000004"/>
    <w:multiLevelType w:val="multilevel"/>
    <w:tmpl w:val="D1A4323A"/>
    <w:lvl w:ilvl="0">
      <w:start w:val="2"/>
      <w:numFmt w:val="decimal"/>
      <w:isLgl/>
      <w:lvlText w:val="%1."/>
      <w:lvlJc w:val="left"/>
      <w:pPr>
        <w:tabs>
          <w:tab w:val="num" w:pos="720"/>
        </w:tabs>
        <w:ind w:left="720" w:firstLine="0"/>
      </w:pPr>
      <w:rPr>
        <w:rFonts w:hint="default"/>
        <w:caps w:val="0"/>
        <w:smallCaps w:val="0"/>
        <w:strike w:val="0"/>
        <w:dstrike w:val="0"/>
        <w:vanish w:val="0"/>
        <w:color w:val="000000"/>
        <w:position w:val="0"/>
        <w:sz w:val="22"/>
        <w:vertAlign w:val="baseline"/>
      </w:rPr>
    </w:lvl>
    <w:lvl w:ilvl="1">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8">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751AF646"/>
    <w:lvl w:ilvl="0">
      <w:start w:val="6"/>
      <w:numFmt w:val="decimal"/>
      <w:lvlText w:val="%1.     "/>
      <w:lvlJc w:val="left"/>
      <w:pPr>
        <w:ind w:left="72" w:firstLine="648"/>
      </w:pPr>
      <w:rPr>
        <w:rFonts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440"/>
        </w:tabs>
        <w:ind w:left="1440" w:firstLine="0"/>
      </w:pPr>
      <w:rPr>
        <w:rFonts w:hint="default"/>
        <w:caps w:val="0"/>
        <w:smallCaps w:val="0"/>
        <w:strike w:val="0"/>
        <w:dstrike w:val="0"/>
        <w:vanish w:val="0"/>
        <w:color w:val="000000"/>
        <w:position w:val="0"/>
        <w:sz w:val="22"/>
        <w:vertAlign w:val="baseline"/>
      </w:rPr>
    </w:lvl>
  </w:abstractNum>
  <w:abstractNum w:abstractNumId="7">
    <w:nsid w:val="05122D8A"/>
    <w:multiLevelType w:val="hybridMultilevel"/>
    <w:tmpl w:val="7E308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675342"/>
    <w:multiLevelType w:val="hybridMultilevel"/>
    <w:tmpl w:val="EC66CD38"/>
    <w:lvl w:ilvl="0" w:tplc="EEF276FA">
      <w:start w:val="1"/>
      <w:numFmt w:val="decimal"/>
      <w:lvlText w:val="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1558C"/>
    <w:multiLevelType w:val="multilevel"/>
    <w:tmpl w:val="7DBE5B62"/>
    <w:lvl w:ilvl="0">
      <w:start w:val="11"/>
      <w:numFmt w:val="decimal"/>
      <w:lvlText w:val="%1.     "/>
      <w:lvlJc w:val="left"/>
      <w:pPr>
        <w:ind w:left="72" w:firstLine="648"/>
      </w:pPr>
      <w:rPr>
        <w:rFonts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440"/>
        </w:tabs>
        <w:ind w:left="1440" w:firstLine="0"/>
      </w:pPr>
      <w:rPr>
        <w:rFonts w:hint="default"/>
        <w:caps w:val="0"/>
        <w:smallCaps w:val="0"/>
        <w:strike w:val="0"/>
        <w:dstrike w:val="0"/>
        <w:vanish w:val="0"/>
        <w:color w:val="000000"/>
        <w:position w:val="0"/>
        <w:sz w:val="22"/>
        <w:vertAlign w:val="baseline"/>
      </w:rPr>
    </w:lvl>
  </w:abstractNum>
  <w:abstractNum w:abstractNumId="10">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D6D3661"/>
    <w:multiLevelType w:val="hybridMultilevel"/>
    <w:tmpl w:val="C1A8C692"/>
    <w:lvl w:ilvl="0" w:tplc="40A8E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E2F2A"/>
    <w:multiLevelType w:val="hybridMultilevel"/>
    <w:tmpl w:val="408CCB74"/>
    <w:lvl w:ilvl="0" w:tplc="1D3E4434">
      <w:start w:val="1"/>
      <w:numFmt w:val="decimal"/>
      <w:lvlText w:val="%1.     "/>
      <w:lvlJc w:val="left"/>
      <w:pPr>
        <w:ind w:left="1440" w:hanging="360"/>
      </w:pPr>
      <w:rPr>
        <w:rFonts w:hint="default"/>
        <w:b w:val="0"/>
        <w:i w:val="0"/>
        <w:caps w:val="0"/>
        <w:strike w:val="0"/>
        <w:dstrike w:val="0"/>
        <w:vanish w:val="0"/>
        <w:sz w:val="22"/>
        <w:u w:val="none"/>
        <w:effec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757BFD"/>
    <w:multiLevelType w:val="hybridMultilevel"/>
    <w:tmpl w:val="BEC2C77E"/>
    <w:lvl w:ilvl="0" w:tplc="40A8E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7522F"/>
    <w:multiLevelType w:val="hybridMultilevel"/>
    <w:tmpl w:val="4CDACB20"/>
    <w:lvl w:ilvl="0" w:tplc="1D3E4434">
      <w:start w:val="1"/>
      <w:numFmt w:val="decimal"/>
      <w:lvlText w:val="%1.     "/>
      <w:lvlJc w:val="left"/>
      <w:pPr>
        <w:ind w:left="1440" w:hanging="360"/>
      </w:pPr>
      <w:rPr>
        <w:rFonts w:hint="default"/>
        <w:b w:val="0"/>
        <w:i w:val="0"/>
        <w:caps w:val="0"/>
        <w:strike w:val="0"/>
        <w:dstrike w:val="0"/>
        <w:vanish w:val="0"/>
        <w:sz w:val="22"/>
        <w:u w:val="none"/>
        <w:effec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C3333F"/>
    <w:multiLevelType w:val="hybridMultilevel"/>
    <w:tmpl w:val="75E66414"/>
    <w:lvl w:ilvl="0" w:tplc="901ADB1C">
      <w:start w:val="1"/>
      <w:numFmt w:val="decimal"/>
      <w:pStyle w:val="ParaNum"/>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4"/>
  </w:num>
  <w:num w:numId="14">
    <w:abstractNumId w:val="7"/>
  </w:num>
  <w:num w:numId="15">
    <w:abstractNumId w:val="13"/>
  </w:num>
  <w:num w:numId="16">
    <w:abstractNumId w:val="15"/>
  </w:num>
  <w:num w:numId="17">
    <w:abstractNumId w:val="16"/>
  </w:num>
  <w:num w:numId="18">
    <w:abstractNumId w:val="9"/>
  </w:num>
  <w:num w:numId="19">
    <w:abstractNumId w:val="11"/>
  </w:num>
  <w:num w:numId="20">
    <w:abstractNumId w:val="16"/>
  </w:num>
  <w:num w:numId="21">
    <w:abstractNumId w:val="10"/>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D5"/>
    <w:rsid w:val="000125FB"/>
    <w:rsid w:val="00020BD8"/>
    <w:rsid w:val="0002584D"/>
    <w:rsid w:val="0004110D"/>
    <w:rsid w:val="0006131E"/>
    <w:rsid w:val="000653D2"/>
    <w:rsid w:val="00072256"/>
    <w:rsid w:val="00072DC5"/>
    <w:rsid w:val="000777DB"/>
    <w:rsid w:val="00080310"/>
    <w:rsid w:val="00096170"/>
    <w:rsid w:val="00096ACC"/>
    <w:rsid w:val="00097C68"/>
    <w:rsid w:val="000B1DB1"/>
    <w:rsid w:val="000B53F6"/>
    <w:rsid w:val="000B7748"/>
    <w:rsid w:val="000C5972"/>
    <w:rsid w:val="001150DC"/>
    <w:rsid w:val="00121ED2"/>
    <w:rsid w:val="001225A9"/>
    <w:rsid w:val="001228E1"/>
    <w:rsid w:val="001427AD"/>
    <w:rsid w:val="00162DC3"/>
    <w:rsid w:val="00173FE3"/>
    <w:rsid w:val="0018451C"/>
    <w:rsid w:val="0018673C"/>
    <w:rsid w:val="00193280"/>
    <w:rsid w:val="00193564"/>
    <w:rsid w:val="001939D0"/>
    <w:rsid w:val="001A19BA"/>
    <w:rsid w:val="001A3302"/>
    <w:rsid w:val="001B437A"/>
    <w:rsid w:val="001B5FC6"/>
    <w:rsid w:val="001B6179"/>
    <w:rsid w:val="001C2AE1"/>
    <w:rsid w:val="001C6A2F"/>
    <w:rsid w:val="001D046B"/>
    <w:rsid w:val="001D190B"/>
    <w:rsid w:val="001D2560"/>
    <w:rsid w:val="001D5713"/>
    <w:rsid w:val="001D6275"/>
    <w:rsid w:val="001E41DF"/>
    <w:rsid w:val="00202010"/>
    <w:rsid w:val="00210690"/>
    <w:rsid w:val="00223490"/>
    <w:rsid w:val="00224089"/>
    <w:rsid w:val="00224D5D"/>
    <w:rsid w:val="002306AE"/>
    <w:rsid w:val="00230BE1"/>
    <w:rsid w:val="00241E2C"/>
    <w:rsid w:val="00254C5F"/>
    <w:rsid w:val="002563F1"/>
    <w:rsid w:val="00257C94"/>
    <w:rsid w:val="00270558"/>
    <w:rsid w:val="00270DC9"/>
    <w:rsid w:val="00273279"/>
    <w:rsid w:val="00273856"/>
    <w:rsid w:val="00277402"/>
    <w:rsid w:val="002850D9"/>
    <w:rsid w:val="0029283A"/>
    <w:rsid w:val="002956EA"/>
    <w:rsid w:val="002A251A"/>
    <w:rsid w:val="002B2258"/>
    <w:rsid w:val="002C4A0D"/>
    <w:rsid w:val="002E1EF8"/>
    <w:rsid w:val="002E2862"/>
    <w:rsid w:val="002E59F1"/>
    <w:rsid w:val="002F7DDD"/>
    <w:rsid w:val="00304BB3"/>
    <w:rsid w:val="0031567C"/>
    <w:rsid w:val="00342126"/>
    <w:rsid w:val="00351E74"/>
    <w:rsid w:val="00353B59"/>
    <w:rsid w:val="00353D24"/>
    <w:rsid w:val="0035657F"/>
    <w:rsid w:val="00357065"/>
    <w:rsid w:val="003609F2"/>
    <w:rsid w:val="00364594"/>
    <w:rsid w:val="00364EE8"/>
    <w:rsid w:val="0037382F"/>
    <w:rsid w:val="003807F5"/>
    <w:rsid w:val="003851B0"/>
    <w:rsid w:val="003906E6"/>
    <w:rsid w:val="00395AFE"/>
    <w:rsid w:val="003A2B95"/>
    <w:rsid w:val="003A4096"/>
    <w:rsid w:val="003A602D"/>
    <w:rsid w:val="003A6380"/>
    <w:rsid w:val="003B0BFD"/>
    <w:rsid w:val="003B4FFA"/>
    <w:rsid w:val="003B69B6"/>
    <w:rsid w:val="003C1229"/>
    <w:rsid w:val="003C1A65"/>
    <w:rsid w:val="003C3292"/>
    <w:rsid w:val="003D51B8"/>
    <w:rsid w:val="003D6DFA"/>
    <w:rsid w:val="004052D0"/>
    <w:rsid w:val="00412AC5"/>
    <w:rsid w:val="00424C1D"/>
    <w:rsid w:val="00426490"/>
    <w:rsid w:val="00433B45"/>
    <w:rsid w:val="00450BB4"/>
    <w:rsid w:val="0045307C"/>
    <w:rsid w:val="0045447C"/>
    <w:rsid w:val="004662DA"/>
    <w:rsid w:val="00471F74"/>
    <w:rsid w:val="004748E6"/>
    <w:rsid w:val="004774F4"/>
    <w:rsid w:val="00477C1A"/>
    <w:rsid w:val="00477E25"/>
    <w:rsid w:val="00482D4F"/>
    <w:rsid w:val="00495B82"/>
    <w:rsid w:val="004A678B"/>
    <w:rsid w:val="004B155C"/>
    <w:rsid w:val="004B7C93"/>
    <w:rsid w:val="004C36FA"/>
    <w:rsid w:val="004D34A3"/>
    <w:rsid w:val="004D5549"/>
    <w:rsid w:val="004E4ACD"/>
    <w:rsid w:val="004E6474"/>
    <w:rsid w:val="004F7CA4"/>
    <w:rsid w:val="005060ED"/>
    <w:rsid w:val="0051083B"/>
    <w:rsid w:val="00524DDC"/>
    <w:rsid w:val="00530CA6"/>
    <w:rsid w:val="00530F80"/>
    <w:rsid w:val="005375D2"/>
    <w:rsid w:val="00542AA6"/>
    <w:rsid w:val="005464F6"/>
    <w:rsid w:val="00563F38"/>
    <w:rsid w:val="005809F0"/>
    <w:rsid w:val="00587C85"/>
    <w:rsid w:val="00592278"/>
    <w:rsid w:val="005A4855"/>
    <w:rsid w:val="005A529D"/>
    <w:rsid w:val="005A6EA2"/>
    <w:rsid w:val="005B5FC7"/>
    <w:rsid w:val="005C062A"/>
    <w:rsid w:val="005C5831"/>
    <w:rsid w:val="005D3983"/>
    <w:rsid w:val="005D6BDB"/>
    <w:rsid w:val="005E4A1A"/>
    <w:rsid w:val="005E754B"/>
    <w:rsid w:val="005E7BED"/>
    <w:rsid w:val="005F0071"/>
    <w:rsid w:val="006053C8"/>
    <w:rsid w:val="00610D2C"/>
    <w:rsid w:val="00612B9C"/>
    <w:rsid w:val="006152A2"/>
    <w:rsid w:val="00615686"/>
    <w:rsid w:val="00617D7E"/>
    <w:rsid w:val="006202ED"/>
    <w:rsid w:val="00625445"/>
    <w:rsid w:val="0062558F"/>
    <w:rsid w:val="006410A4"/>
    <w:rsid w:val="00652D51"/>
    <w:rsid w:val="00653A48"/>
    <w:rsid w:val="00670459"/>
    <w:rsid w:val="00671519"/>
    <w:rsid w:val="006731B0"/>
    <w:rsid w:val="0068057E"/>
    <w:rsid w:val="00686341"/>
    <w:rsid w:val="006A26DD"/>
    <w:rsid w:val="006A2D2E"/>
    <w:rsid w:val="006C1D90"/>
    <w:rsid w:val="006C2151"/>
    <w:rsid w:val="006C353E"/>
    <w:rsid w:val="006C36B1"/>
    <w:rsid w:val="006D17D1"/>
    <w:rsid w:val="006F22EF"/>
    <w:rsid w:val="006F4FB6"/>
    <w:rsid w:val="006F6130"/>
    <w:rsid w:val="00715421"/>
    <w:rsid w:val="00723829"/>
    <w:rsid w:val="00737690"/>
    <w:rsid w:val="00740A43"/>
    <w:rsid w:val="0074503A"/>
    <w:rsid w:val="00766347"/>
    <w:rsid w:val="00767BCD"/>
    <w:rsid w:val="007712A2"/>
    <w:rsid w:val="00781188"/>
    <w:rsid w:val="007A0666"/>
    <w:rsid w:val="007A1D24"/>
    <w:rsid w:val="007E1861"/>
    <w:rsid w:val="007E5975"/>
    <w:rsid w:val="007E5B44"/>
    <w:rsid w:val="007F0AFB"/>
    <w:rsid w:val="007F2722"/>
    <w:rsid w:val="007F3778"/>
    <w:rsid w:val="007F458E"/>
    <w:rsid w:val="007F4EE8"/>
    <w:rsid w:val="007F780B"/>
    <w:rsid w:val="00802D76"/>
    <w:rsid w:val="00803C33"/>
    <w:rsid w:val="00804433"/>
    <w:rsid w:val="00822BAA"/>
    <w:rsid w:val="00827E22"/>
    <w:rsid w:val="00830063"/>
    <w:rsid w:val="00841E4F"/>
    <w:rsid w:val="00854B94"/>
    <w:rsid w:val="008558AA"/>
    <w:rsid w:val="00860DC7"/>
    <w:rsid w:val="00864510"/>
    <w:rsid w:val="00876751"/>
    <w:rsid w:val="00877143"/>
    <w:rsid w:val="0088088D"/>
    <w:rsid w:val="00886A46"/>
    <w:rsid w:val="008A6238"/>
    <w:rsid w:val="008D016C"/>
    <w:rsid w:val="008D762E"/>
    <w:rsid w:val="008E7A3A"/>
    <w:rsid w:val="008F0A5D"/>
    <w:rsid w:val="008F4B79"/>
    <w:rsid w:val="009013DA"/>
    <w:rsid w:val="009127BF"/>
    <w:rsid w:val="00921576"/>
    <w:rsid w:val="009264B3"/>
    <w:rsid w:val="00927EF0"/>
    <w:rsid w:val="009314AB"/>
    <w:rsid w:val="00934430"/>
    <w:rsid w:val="0094360A"/>
    <w:rsid w:val="00944661"/>
    <w:rsid w:val="00945A61"/>
    <w:rsid w:val="00951EE9"/>
    <w:rsid w:val="009613F0"/>
    <w:rsid w:val="00962E4A"/>
    <w:rsid w:val="00965F2F"/>
    <w:rsid w:val="00967668"/>
    <w:rsid w:val="009769A1"/>
    <w:rsid w:val="00976F1F"/>
    <w:rsid w:val="009819AD"/>
    <w:rsid w:val="0098659E"/>
    <w:rsid w:val="00987E62"/>
    <w:rsid w:val="009911C9"/>
    <w:rsid w:val="009A10BA"/>
    <w:rsid w:val="009A52CF"/>
    <w:rsid w:val="009C1E2E"/>
    <w:rsid w:val="009C2B99"/>
    <w:rsid w:val="009C58E4"/>
    <w:rsid w:val="009D5CE7"/>
    <w:rsid w:val="009E4A5F"/>
    <w:rsid w:val="009E6459"/>
    <w:rsid w:val="009E71D5"/>
    <w:rsid w:val="00A01257"/>
    <w:rsid w:val="00A03BC1"/>
    <w:rsid w:val="00A059B1"/>
    <w:rsid w:val="00A11687"/>
    <w:rsid w:val="00A327F6"/>
    <w:rsid w:val="00A425A0"/>
    <w:rsid w:val="00A47D34"/>
    <w:rsid w:val="00A66C4E"/>
    <w:rsid w:val="00A72E30"/>
    <w:rsid w:val="00A85B1E"/>
    <w:rsid w:val="00A86787"/>
    <w:rsid w:val="00A96D44"/>
    <w:rsid w:val="00AA1AF1"/>
    <w:rsid w:val="00AB1E3E"/>
    <w:rsid w:val="00AC1065"/>
    <w:rsid w:val="00AC3A14"/>
    <w:rsid w:val="00AC4975"/>
    <w:rsid w:val="00AD004A"/>
    <w:rsid w:val="00AD5B46"/>
    <w:rsid w:val="00AE176C"/>
    <w:rsid w:val="00AE3A0B"/>
    <w:rsid w:val="00AE4A60"/>
    <w:rsid w:val="00AE56FD"/>
    <w:rsid w:val="00AE68F4"/>
    <w:rsid w:val="00AE6AD2"/>
    <w:rsid w:val="00AF4FFB"/>
    <w:rsid w:val="00B0196F"/>
    <w:rsid w:val="00B22CE6"/>
    <w:rsid w:val="00B27613"/>
    <w:rsid w:val="00B429F0"/>
    <w:rsid w:val="00B55FF4"/>
    <w:rsid w:val="00B60E94"/>
    <w:rsid w:val="00B84F5A"/>
    <w:rsid w:val="00B8622F"/>
    <w:rsid w:val="00B86411"/>
    <w:rsid w:val="00B87D19"/>
    <w:rsid w:val="00B912DA"/>
    <w:rsid w:val="00B93928"/>
    <w:rsid w:val="00B96D32"/>
    <w:rsid w:val="00BA2FFF"/>
    <w:rsid w:val="00BB481A"/>
    <w:rsid w:val="00BC7D22"/>
    <w:rsid w:val="00BE562B"/>
    <w:rsid w:val="00BF3ED6"/>
    <w:rsid w:val="00BF5068"/>
    <w:rsid w:val="00BF6423"/>
    <w:rsid w:val="00C02480"/>
    <w:rsid w:val="00C05100"/>
    <w:rsid w:val="00C05B29"/>
    <w:rsid w:val="00C115ED"/>
    <w:rsid w:val="00C1477E"/>
    <w:rsid w:val="00C1499B"/>
    <w:rsid w:val="00C217E0"/>
    <w:rsid w:val="00C23A3E"/>
    <w:rsid w:val="00C25BE4"/>
    <w:rsid w:val="00C27763"/>
    <w:rsid w:val="00C33DF2"/>
    <w:rsid w:val="00C376BE"/>
    <w:rsid w:val="00C37A90"/>
    <w:rsid w:val="00C627C1"/>
    <w:rsid w:val="00C67B3D"/>
    <w:rsid w:val="00C747B5"/>
    <w:rsid w:val="00C870EC"/>
    <w:rsid w:val="00C8717E"/>
    <w:rsid w:val="00C92427"/>
    <w:rsid w:val="00CA5F7F"/>
    <w:rsid w:val="00CA79F8"/>
    <w:rsid w:val="00CB04AC"/>
    <w:rsid w:val="00CB4379"/>
    <w:rsid w:val="00CC013B"/>
    <w:rsid w:val="00CC2AC6"/>
    <w:rsid w:val="00CC36E0"/>
    <w:rsid w:val="00CC7C06"/>
    <w:rsid w:val="00CD1DBA"/>
    <w:rsid w:val="00CE05CD"/>
    <w:rsid w:val="00CE7176"/>
    <w:rsid w:val="00CF009A"/>
    <w:rsid w:val="00CF366C"/>
    <w:rsid w:val="00CF4A55"/>
    <w:rsid w:val="00D02C06"/>
    <w:rsid w:val="00D10A93"/>
    <w:rsid w:val="00D10DE7"/>
    <w:rsid w:val="00D144ED"/>
    <w:rsid w:val="00D23881"/>
    <w:rsid w:val="00D27B8E"/>
    <w:rsid w:val="00D432EC"/>
    <w:rsid w:val="00D47C2E"/>
    <w:rsid w:val="00D53A92"/>
    <w:rsid w:val="00D548EA"/>
    <w:rsid w:val="00D55D9F"/>
    <w:rsid w:val="00D60848"/>
    <w:rsid w:val="00D64D6A"/>
    <w:rsid w:val="00D664BA"/>
    <w:rsid w:val="00D731C8"/>
    <w:rsid w:val="00D83FB5"/>
    <w:rsid w:val="00D8509C"/>
    <w:rsid w:val="00DA09FE"/>
    <w:rsid w:val="00DA0E2A"/>
    <w:rsid w:val="00DB46AA"/>
    <w:rsid w:val="00DC3446"/>
    <w:rsid w:val="00DD1EAF"/>
    <w:rsid w:val="00DD2EDA"/>
    <w:rsid w:val="00DD6D85"/>
    <w:rsid w:val="00DE1D12"/>
    <w:rsid w:val="00DE49AE"/>
    <w:rsid w:val="00DE53E8"/>
    <w:rsid w:val="00DE6502"/>
    <w:rsid w:val="00E00F08"/>
    <w:rsid w:val="00E04185"/>
    <w:rsid w:val="00E0418B"/>
    <w:rsid w:val="00E13D76"/>
    <w:rsid w:val="00E3028D"/>
    <w:rsid w:val="00E30AA1"/>
    <w:rsid w:val="00E331C2"/>
    <w:rsid w:val="00E34D04"/>
    <w:rsid w:val="00E357E0"/>
    <w:rsid w:val="00E3749B"/>
    <w:rsid w:val="00E4283F"/>
    <w:rsid w:val="00E61492"/>
    <w:rsid w:val="00E65F1B"/>
    <w:rsid w:val="00E712E4"/>
    <w:rsid w:val="00E806C3"/>
    <w:rsid w:val="00E84E6B"/>
    <w:rsid w:val="00E9421B"/>
    <w:rsid w:val="00EA053D"/>
    <w:rsid w:val="00EA7DD5"/>
    <w:rsid w:val="00EB7DBF"/>
    <w:rsid w:val="00EC3C85"/>
    <w:rsid w:val="00EE2974"/>
    <w:rsid w:val="00F00FF8"/>
    <w:rsid w:val="00F03BFC"/>
    <w:rsid w:val="00F102EC"/>
    <w:rsid w:val="00F109D1"/>
    <w:rsid w:val="00F117AF"/>
    <w:rsid w:val="00F129EC"/>
    <w:rsid w:val="00F15A2F"/>
    <w:rsid w:val="00F254DA"/>
    <w:rsid w:val="00F25CC3"/>
    <w:rsid w:val="00F36C26"/>
    <w:rsid w:val="00F40044"/>
    <w:rsid w:val="00F4331B"/>
    <w:rsid w:val="00F4475A"/>
    <w:rsid w:val="00F4570F"/>
    <w:rsid w:val="00F50FD6"/>
    <w:rsid w:val="00F52904"/>
    <w:rsid w:val="00F532C4"/>
    <w:rsid w:val="00F55E92"/>
    <w:rsid w:val="00F55F67"/>
    <w:rsid w:val="00F567DF"/>
    <w:rsid w:val="00F60C92"/>
    <w:rsid w:val="00F63370"/>
    <w:rsid w:val="00F643A3"/>
    <w:rsid w:val="00F663FB"/>
    <w:rsid w:val="00F71BD4"/>
    <w:rsid w:val="00F80012"/>
    <w:rsid w:val="00F8305B"/>
    <w:rsid w:val="00F85163"/>
    <w:rsid w:val="00F85306"/>
    <w:rsid w:val="00F85AB5"/>
    <w:rsid w:val="00F94ABC"/>
    <w:rsid w:val="00F962BD"/>
    <w:rsid w:val="00F96AEA"/>
    <w:rsid w:val="00FA620F"/>
    <w:rsid w:val="00FC4833"/>
    <w:rsid w:val="00FD2576"/>
    <w:rsid w:val="00FE4779"/>
    <w:rsid w:val="00FE71ED"/>
    <w:rsid w:val="00FF127C"/>
    <w:rsid w:val="00FF4741"/>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4DC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20"/>
      <w:ind w:firstLine="720"/>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Footer1">
    <w:name w:val="Footer1"/>
    <w:autoRedefine/>
    <w:pPr>
      <w:tabs>
        <w:tab w:val="center" w:pos="4320"/>
        <w:tab w:val="right" w:pos="8640"/>
      </w:tabs>
    </w:pPr>
    <w:rPr>
      <w:rFonts w:eastAsia="ヒラギノ角ゴ Pro W3"/>
      <w:color w:val="000000"/>
      <w:sz w:val="22"/>
    </w:rPr>
  </w:style>
  <w:style w:type="character" w:customStyle="1" w:styleId="PageNumber1">
    <w:name w:val="Page Number1"/>
    <w:rPr>
      <w:color w:val="000000"/>
      <w:sz w:val="22"/>
    </w:rPr>
  </w:style>
  <w:style w:type="character" w:customStyle="1" w:styleId="Unknown0">
    <w:name w:val="Unknown 0"/>
    <w:basedOn w:val="DefaultParagraphFont"/>
    <w:semiHidden/>
  </w:style>
  <w:style w:type="paragraph" w:customStyle="1" w:styleId="FreeForm">
    <w:name w:val="Free Form"/>
    <w:rPr>
      <w:rFonts w:eastAsia="ヒラギノ角ゴ Pro W3"/>
      <w:color w:val="000000"/>
      <w:sz w:val="22"/>
    </w:rPr>
  </w:style>
  <w:style w:type="paragraph" w:customStyle="1" w:styleId="Heading11">
    <w:name w:val="Heading 11"/>
    <w:next w:val="ParaNum"/>
    <w:pPr>
      <w:keepNext/>
      <w:widowControl w:val="0"/>
      <w:suppressAutoHyphens/>
      <w:spacing w:after="220"/>
      <w:jc w:val="both"/>
      <w:outlineLvl w:val="0"/>
    </w:pPr>
    <w:rPr>
      <w:rFonts w:ascii="Times New Roman Bold" w:eastAsia="ヒラギノ角ゴ Pro W3" w:hAnsi="Times New Roman Bold"/>
      <w:caps/>
      <w:color w:val="000000"/>
      <w:sz w:val="22"/>
    </w:rPr>
  </w:style>
  <w:style w:type="paragraph" w:customStyle="1" w:styleId="ParaNum">
    <w:name w:val="ParaNum"/>
    <w:link w:val="ParaNumChar1"/>
    <w:uiPriority w:val="99"/>
    <w:pPr>
      <w:widowControl w:val="0"/>
      <w:numPr>
        <w:numId w:val="17"/>
      </w:numPr>
      <w:tabs>
        <w:tab w:val="left" w:pos="1440"/>
      </w:tabs>
      <w:spacing w:after="220"/>
      <w:jc w:val="both"/>
    </w:pPr>
    <w:rPr>
      <w:rFonts w:eastAsia="ヒラギノ角ゴ Pro W3"/>
      <w:color w:val="000000"/>
      <w:sz w:val="22"/>
    </w:rPr>
  </w:style>
  <w:style w:type="character" w:customStyle="1" w:styleId="FootnoteReference1">
    <w:name w:val="Footnote Reference1"/>
    <w:autoRedefine/>
    <w:rPr>
      <w:color w:val="000000"/>
      <w:sz w:val="22"/>
      <w:vertAlign w:val="superscript"/>
    </w:rPr>
  </w:style>
  <w:style w:type="character" w:customStyle="1" w:styleId="Unknown1">
    <w:name w:val="Unknown 1"/>
    <w:basedOn w:val="DefaultParagraphFont"/>
    <w:semiHidden/>
  </w:style>
  <w:style w:type="paragraph" w:customStyle="1" w:styleId="FootnoteText1">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Hyperlink1">
    <w:name w:val="Hyperlink1"/>
    <w:rPr>
      <w:color w:val="0000FF"/>
      <w:sz w:val="22"/>
      <w:u w:val="single"/>
    </w:rPr>
  </w:style>
  <w:style w:type="paragraph" w:customStyle="1" w:styleId="FootnoteText10">
    <w:name w:val="Footnote Text1"/>
    <w:rPr>
      <w:rFonts w:ascii="Helvetica" w:eastAsia="ヒラギノ角ゴ Pro W3" w:hAnsi="Helvetica"/>
      <w:color w:val="000000"/>
    </w:rPr>
  </w:style>
  <w:style w:type="numbering" w:customStyle="1" w:styleId="List31">
    <w:name w:val="List 31"/>
    <w:autoRedefine/>
  </w:style>
  <w:style w:type="paragraph" w:styleId="BalloonText">
    <w:name w:val="Balloon Text"/>
    <w:basedOn w:val="Normal"/>
    <w:link w:val="BalloonTextChar"/>
    <w:locked/>
    <w:rsid w:val="00EA7DD5"/>
    <w:rPr>
      <w:rFonts w:ascii="Tahoma" w:hAnsi="Tahoma" w:cs="Tahoma"/>
      <w:sz w:val="16"/>
      <w:szCs w:val="16"/>
    </w:rPr>
  </w:style>
  <w:style w:type="character" w:customStyle="1" w:styleId="BalloonTextChar">
    <w:name w:val="Balloon Text Char"/>
    <w:link w:val="BalloonText"/>
    <w:rsid w:val="00EA7DD5"/>
    <w:rPr>
      <w:rFonts w:ascii="Tahoma" w:eastAsia="ヒラギノ角ゴ Pro W3" w:hAnsi="Tahoma" w:cs="Tahoma"/>
      <w:color w:val="000000"/>
      <w:sz w:val="16"/>
      <w:szCs w:val="16"/>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locked/>
    <w:rsid w:val="00686341"/>
    <w:rPr>
      <w:sz w:val="20"/>
      <w:szCs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rsid w:val="00686341"/>
    <w:rPr>
      <w:rFonts w:eastAsia="ヒラギノ角ゴ Pro W3"/>
      <w:color w:val="000000"/>
    </w:rPr>
  </w:style>
  <w:style w:type="character" w:styleId="FootnoteReference">
    <w:name w:val="footnote reference"/>
    <w:aliases w:val="Style 12,(NECG) Footnote Reference,Appel note de bas de p,Style 124,Style 13,fr,o,Style 3,FR,Style 17,Style 6,Footnote Reference/"/>
    <w:locked/>
    <w:rsid w:val="00686341"/>
    <w:rPr>
      <w:vertAlign w:val="superscript"/>
    </w:rPr>
  </w:style>
  <w:style w:type="paragraph" w:styleId="TOAHeading">
    <w:name w:val="toa heading"/>
    <w:basedOn w:val="Normal"/>
    <w:next w:val="Normal"/>
    <w:locked/>
    <w:rsid w:val="003D51B8"/>
    <w:pPr>
      <w:widowControl w:val="0"/>
      <w:tabs>
        <w:tab w:val="right" w:pos="9360"/>
      </w:tabs>
      <w:suppressAutoHyphens/>
      <w:spacing w:after="0"/>
      <w:ind w:firstLine="0"/>
    </w:pPr>
    <w:rPr>
      <w:rFonts w:eastAsia="Times New Roman"/>
      <w:snapToGrid w:val="0"/>
      <w:color w:val="auto"/>
      <w:kern w:val="28"/>
      <w:szCs w:val="20"/>
    </w:rPr>
  </w:style>
  <w:style w:type="character" w:customStyle="1" w:styleId="ParaNumChar1">
    <w:name w:val="ParaNum Char1"/>
    <w:link w:val="ParaNum"/>
    <w:uiPriority w:val="99"/>
    <w:locked/>
    <w:rsid w:val="00DA0E2A"/>
    <w:rPr>
      <w:rFonts w:eastAsia="ヒラギノ角ゴ Pro W3"/>
      <w:color w:val="000000"/>
      <w:sz w:val="22"/>
    </w:rPr>
  </w:style>
  <w:style w:type="character" w:styleId="Hyperlink">
    <w:name w:val="Hyperlink"/>
    <w:uiPriority w:val="99"/>
    <w:locked/>
    <w:rsid w:val="00162DC3"/>
    <w:rPr>
      <w:rFonts w:cs="Times New Roman"/>
      <w:color w:val="0000FF"/>
      <w:u w:val="single"/>
    </w:rPr>
  </w:style>
  <w:style w:type="character" w:customStyle="1" w:styleId="contents">
    <w:name w:val="contents"/>
    <w:rsid w:val="00162DC3"/>
  </w:style>
  <w:style w:type="character" w:styleId="Emphasis">
    <w:name w:val="Emphasis"/>
    <w:qFormat/>
    <w:locked/>
    <w:rsid w:val="007A1D24"/>
    <w:rPr>
      <w:i/>
      <w:iCs/>
    </w:rPr>
  </w:style>
  <w:style w:type="paragraph" w:styleId="CommentText">
    <w:name w:val="annotation text"/>
    <w:basedOn w:val="Normal"/>
    <w:link w:val="CommentTextChar"/>
    <w:unhideWhenUsed/>
    <w:locked/>
    <w:rsid w:val="00CC013B"/>
    <w:pPr>
      <w:spacing w:after="0"/>
      <w:ind w:firstLine="0"/>
    </w:pPr>
    <w:rPr>
      <w:rFonts w:eastAsia="Times New Roman"/>
      <w:color w:val="auto"/>
      <w:sz w:val="20"/>
      <w:szCs w:val="20"/>
    </w:rPr>
  </w:style>
  <w:style w:type="character" w:customStyle="1" w:styleId="CommentTextChar">
    <w:name w:val="Comment Text Char"/>
    <w:basedOn w:val="DefaultParagraphFont"/>
    <w:link w:val="CommentText"/>
    <w:rsid w:val="00CC013B"/>
  </w:style>
  <w:style w:type="paragraph" w:styleId="Header">
    <w:name w:val="header"/>
    <w:basedOn w:val="Normal"/>
    <w:link w:val="HeaderChar"/>
    <w:autoRedefine/>
    <w:uiPriority w:val="99"/>
    <w:locked/>
    <w:rsid w:val="002850D9"/>
    <w:pPr>
      <w:widowControl w:val="0"/>
      <w:tabs>
        <w:tab w:val="center" w:pos="4680"/>
        <w:tab w:val="right" w:pos="9360"/>
      </w:tabs>
      <w:spacing w:after="0"/>
      <w:ind w:firstLine="0"/>
    </w:pPr>
    <w:rPr>
      <w:rFonts w:eastAsia="Times New Roman"/>
      <w:b/>
      <w:snapToGrid w:val="0"/>
      <w:color w:val="auto"/>
      <w:kern w:val="28"/>
      <w:szCs w:val="20"/>
    </w:rPr>
  </w:style>
  <w:style w:type="character" w:customStyle="1" w:styleId="HeaderChar">
    <w:name w:val="Header Char"/>
    <w:link w:val="Header"/>
    <w:uiPriority w:val="99"/>
    <w:rsid w:val="002850D9"/>
    <w:rPr>
      <w:b/>
      <w:snapToGrid w:val="0"/>
      <w:kern w:val="28"/>
      <w:sz w:val="22"/>
    </w:rPr>
  </w:style>
  <w:style w:type="paragraph" w:styleId="Footer">
    <w:name w:val="footer"/>
    <w:basedOn w:val="Normal"/>
    <w:link w:val="FooterChar"/>
    <w:locked/>
    <w:rsid w:val="002850D9"/>
    <w:pPr>
      <w:tabs>
        <w:tab w:val="center" w:pos="4680"/>
        <w:tab w:val="right" w:pos="9360"/>
      </w:tabs>
    </w:pPr>
  </w:style>
  <w:style w:type="character" w:customStyle="1" w:styleId="FooterChar">
    <w:name w:val="Footer Char"/>
    <w:link w:val="Footer"/>
    <w:rsid w:val="002850D9"/>
    <w:rPr>
      <w:rFonts w:eastAsia="ヒラギノ角ゴ Pro W3"/>
      <w:color w:val="000000"/>
      <w:sz w:val="22"/>
      <w:szCs w:val="24"/>
    </w:rPr>
  </w:style>
  <w:style w:type="character" w:styleId="CommentReference">
    <w:name w:val="annotation reference"/>
    <w:uiPriority w:val="99"/>
    <w:locked/>
    <w:rsid w:val="00E806C3"/>
    <w:rPr>
      <w:sz w:val="16"/>
      <w:szCs w:val="16"/>
    </w:rPr>
  </w:style>
  <w:style w:type="paragraph" w:styleId="CommentSubject">
    <w:name w:val="annotation subject"/>
    <w:basedOn w:val="CommentText"/>
    <w:next w:val="CommentText"/>
    <w:link w:val="CommentSubjectChar"/>
    <w:locked/>
    <w:rsid w:val="00E806C3"/>
    <w:pPr>
      <w:spacing w:after="120"/>
      <w:ind w:firstLine="720"/>
    </w:pPr>
    <w:rPr>
      <w:rFonts w:eastAsia="ヒラギノ角ゴ Pro W3"/>
      <w:b/>
      <w:bCs/>
      <w:color w:val="000000"/>
    </w:rPr>
  </w:style>
  <w:style w:type="character" w:customStyle="1" w:styleId="CommentSubjectChar">
    <w:name w:val="Comment Subject Char"/>
    <w:link w:val="CommentSubject"/>
    <w:rsid w:val="00E806C3"/>
    <w:rPr>
      <w:rFonts w:eastAsia="ヒラギノ角ゴ Pro W3"/>
      <w:b/>
      <w:bCs/>
      <w:color w:val="000000"/>
    </w:rPr>
  </w:style>
  <w:style w:type="paragraph" w:styleId="ListParagraph">
    <w:name w:val="List Paragraph"/>
    <w:basedOn w:val="Normal"/>
    <w:uiPriority w:val="34"/>
    <w:qFormat/>
    <w:rsid w:val="001E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20"/>
      <w:ind w:firstLine="720"/>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Footer1">
    <w:name w:val="Footer1"/>
    <w:autoRedefine/>
    <w:pPr>
      <w:tabs>
        <w:tab w:val="center" w:pos="4320"/>
        <w:tab w:val="right" w:pos="8640"/>
      </w:tabs>
    </w:pPr>
    <w:rPr>
      <w:rFonts w:eastAsia="ヒラギノ角ゴ Pro W3"/>
      <w:color w:val="000000"/>
      <w:sz w:val="22"/>
    </w:rPr>
  </w:style>
  <w:style w:type="character" w:customStyle="1" w:styleId="PageNumber1">
    <w:name w:val="Page Number1"/>
    <w:rPr>
      <w:color w:val="000000"/>
      <w:sz w:val="22"/>
    </w:rPr>
  </w:style>
  <w:style w:type="character" w:customStyle="1" w:styleId="Unknown0">
    <w:name w:val="Unknown 0"/>
    <w:basedOn w:val="DefaultParagraphFont"/>
    <w:semiHidden/>
  </w:style>
  <w:style w:type="paragraph" w:customStyle="1" w:styleId="FreeForm">
    <w:name w:val="Free Form"/>
    <w:rPr>
      <w:rFonts w:eastAsia="ヒラギノ角ゴ Pro W3"/>
      <w:color w:val="000000"/>
      <w:sz w:val="22"/>
    </w:rPr>
  </w:style>
  <w:style w:type="paragraph" w:customStyle="1" w:styleId="Heading11">
    <w:name w:val="Heading 11"/>
    <w:next w:val="ParaNum"/>
    <w:pPr>
      <w:keepNext/>
      <w:widowControl w:val="0"/>
      <w:suppressAutoHyphens/>
      <w:spacing w:after="220"/>
      <w:jc w:val="both"/>
      <w:outlineLvl w:val="0"/>
    </w:pPr>
    <w:rPr>
      <w:rFonts w:ascii="Times New Roman Bold" w:eastAsia="ヒラギノ角ゴ Pro W3" w:hAnsi="Times New Roman Bold"/>
      <w:caps/>
      <w:color w:val="000000"/>
      <w:sz w:val="22"/>
    </w:rPr>
  </w:style>
  <w:style w:type="paragraph" w:customStyle="1" w:styleId="ParaNum">
    <w:name w:val="ParaNum"/>
    <w:link w:val="ParaNumChar1"/>
    <w:uiPriority w:val="99"/>
    <w:pPr>
      <w:widowControl w:val="0"/>
      <w:numPr>
        <w:numId w:val="17"/>
      </w:numPr>
      <w:tabs>
        <w:tab w:val="left" w:pos="1440"/>
      </w:tabs>
      <w:spacing w:after="220"/>
      <w:jc w:val="both"/>
    </w:pPr>
    <w:rPr>
      <w:rFonts w:eastAsia="ヒラギノ角ゴ Pro W3"/>
      <w:color w:val="000000"/>
      <w:sz w:val="22"/>
    </w:rPr>
  </w:style>
  <w:style w:type="character" w:customStyle="1" w:styleId="FootnoteReference1">
    <w:name w:val="Footnote Reference1"/>
    <w:autoRedefine/>
    <w:rPr>
      <w:color w:val="000000"/>
      <w:sz w:val="22"/>
      <w:vertAlign w:val="superscript"/>
    </w:rPr>
  </w:style>
  <w:style w:type="character" w:customStyle="1" w:styleId="Unknown1">
    <w:name w:val="Unknown 1"/>
    <w:basedOn w:val="DefaultParagraphFont"/>
    <w:semiHidden/>
  </w:style>
  <w:style w:type="paragraph" w:customStyle="1" w:styleId="FootnoteText1">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Hyperlink1">
    <w:name w:val="Hyperlink1"/>
    <w:rPr>
      <w:color w:val="0000FF"/>
      <w:sz w:val="22"/>
      <w:u w:val="single"/>
    </w:rPr>
  </w:style>
  <w:style w:type="paragraph" w:customStyle="1" w:styleId="FootnoteText10">
    <w:name w:val="Footnote Text1"/>
    <w:rPr>
      <w:rFonts w:ascii="Helvetica" w:eastAsia="ヒラギノ角ゴ Pro W3" w:hAnsi="Helvetica"/>
      <w:color w:val="000000"/>
    </w:rPr>
  </w:style>
  <w:style w:type="numbering" w:customStyle="1" w:styleId="List31">
    <w:name w:val="List 31"/>
    <w:autoRedefine/>
  </w:style>
  <w:style w:type="paragraph" w:styleId="BalloonText">
    <w:name w:val="Balloon Text"/>
    <w:basedOn w:val="Normal"/>
    <w:link w:val="BalloonTextChar"/>
    <w:locked/>
    <w:rsid w:val="00EA7DD5"/>
    <w:rPr>
      <w:rFonts w:ascii="Tahoma" w:hAnsi="Tahoma" w:cs="Tahoma"/>
      <w:sz w:val="16"/>
      <w:szCs w:val="16"/>
    </w:rPr>
  </w:style>
  <w:style w:type="character" w:customStyle="1" w:styleId="BalloonTextChar">
    <w:name w:val="Balloon Text Char"/>
    <w:link w:val="BalloonText"/>
    <w:rsid w:val="00EA7DD5"/>
    <w:rPr>
      <w:rFonts w:ascii="Tahoma" w:eastAsia="ヒラギノ角ゴ Pro W3" w:hAnsi="Tahoma" w:cs="Tahoma"/>
      <w:color w:val="000000"/>
      <w:sz w:val="16"/>
      <w:szCs w:val="16"/>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locked/>
    <w:rsid w:val="00686341"/>
    <w:rPr>
      <w:sz w:val="20"/>
      <w:szCs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rsid w:val="00686341"/>
    <w:rPr>
      <w:rFonts w:eastAsia="ヒラギノ角ゴ Pro W3"/>
      <w:color w:val="000000"/>
    </w:rPr>
  </w:style>
  <w:style w:type="character" w:styleId="FootnoteReference">
    <w:name w:val="footnote reference"/>
    <w:aliases w:val="Style 12,(NECG) Footnote Reference,Appel note de bas de p,Style 124,Style 13,fr,o,Style 3,FR,Style 17,Style 6,Footnote Reference/"/>
    <w:locked/>
    <w:rsid w:val="00686341"/>
    <w:rPr>
      <w:vertAlign w:val="superscript"/>
    </w:rPr>
  </w:style>
  <w:style w:type="paragraph" w:styleId="TOAHeading">
    <w:name w:val="toa heading"/>
    <w:basedOn w:val="Normal"/>
    <w:next w:val="Normal"/>
    <w:locked/>
    <w:rsid w:val="003D51B8"/>
    <w:pPr>
      <w:widowControl w:val="0"/>
      <w:tabs>
        <w:tab w:val="right" w:pos="9360"/>
      </w:tabs>
      <w:suppressAutoHyphens/>
      <w:spacing w:after="0"/>
      <w:ind w:firstLine="0"/>
    </w:pPr>
    <w:rPr>
      <w:rFonts w:eastAsia="Times New Roman"/>
      <w:snapToGrid w:val="0"/>
      <w:color w:val="auto"/>
      <w:kern w:val="28"/>
      <w:szCs w:val="20"/>
    </w:rPr>
  </w:style>
  <w:style w:type="character" w:customStyle="1" w:styleId="ParaNumChar1">
    <w:name w:val="ParaNum Char1"/>
    <w:link w:val="ParaNum"/>
    <w:uiPriority w:val="99"/>
    <w:locked/>
    <w:rsid w:val="00DA0E2A"/>
    <w:rPr>
      <w:rFonts w:eastAsia="ヒラギノ角ゴ Pro W3"/>
      <w:color w:val="000000"/>
      <w:sz w:val="22"/>
    </w:rPr>
  </w:style>
  <w:style w:type="character" w:styleId="Hyperlink">
    <w:name w:val="Hyperlink"/>
    <w:uiPriority w:val="99"/>
    <w:locked/>
    <w:rsid w:val="00162DC3"/>
    <w:rPr>
      <w:rFonts w:cs="Times New Roman"/>
      <w:color w:val="0000FF"/>
      <w:u w:val="single"/>
    </w:rPr>
  </w:style>
  <w:style w:type="character" w:customStyle="1" w:styleId="contents">
    <w:name w:val="contents"/>
    <w:rsid w:val="00162DC3"/>
  </w:style>
  <w:style w:type="character" w:styleId="Emphasis">
    <w:name w:val="Emphasis"/>
    <w:qFormat/>
    <w:locked/>
    <w:rsid w:val="007A1D24"/>
    <w:rPr>
      <w:i/>
      <w:iCs/>
    </w:rPr>
  </w:style>
  <w:style w:type="paragraph" w:styleId="CommentText">
    <w:name w:val="annotation text"/>
    <w:basedOn w:val="Normal"/>
    <w:link w:val="CommentTextChar"/>
    <w:unhideWhenUsed/>
    <w:locked/>
    <w:rsid w:val="00CC013B"/>
    <w:pPr>
      <w:spacing w:after="0"/>
      <w:ind w:firstLine="0"/>
    </w:pPr>
    <w:rPr>
      <w:rFonts w:eastAsia="Times New Roman"/>
      <w:color w:val="auto"/>
      <w:sz w:val="20"/>
      <w:szCs w:val="20"/>
    </w:rPr>
  </w:style>
  <w:style w:type="character" w:customStyle="1" w:styleId="CommentTextChar">
    <w:name w:val="Comment Text Char"/>
    <w:basedOn w:val="DefaultParagraphFont"/>
    <w:link w:val="CommentText"/>
    <w:rsid w:val="00CC013B"/>
  </w:style>
  <w:style w:type="paragraph" w:styleId="Header">
    <w:name w:val="header"/>
    <w:basedOn w:val="Normal"/>
    <w:link w:val="HeaderChar"/>
    <w:autoRedefine/>
    <w:uiPriority w:val="99"/>
    <w:locked/>
    <w:rsid w:val="002850D9"/>
    <w:pPr>
      <w:widowControl w:val="0"/>
      <w:tabs>
        <w:tab w:val="center" w:pos="4680"/>
        <w:tab w:val="right" w:pos="9360"/>
      </w:tabs>
      <w:spacing w:after="0"/>
      <w:ind w:firstLine="0"/>
    </w:pPr>
    <w:rPr>
      <w:rFonts w:eastAsia="Times New Roman"/>
      <w:b/>
      <w:snapToGrid w:val="0"/>
      <w:color w:val="auto"/>
      <w:kern w:val="28"/>
      <w:szCs w:val="20"/>
    </w:rPr>
  </w:style>
  <w:style w:type="character" w:customStyle="1" w:styleId="HeaderChar">
    <w:name w:val="Header Char"/>
    <w:link w:val="Header"/>
    <w:uiPriority w:val="99"/>
    <w:rsid w:val="002850D9"/>
    <w:rPr>
      <w:b/>
      <w:snapToGrid w:val="0"/>
      <w:kern w:val="28"/>
      <w:sz w:val="22"/>
    </w:rPr>
  </w:style>
  <w:style w:type="paragraph" w:styleId="Footer">
    <w:name w:val="footer"/>
    <w:basedOn w:val="Normal"/>
    <w:link w:val="FooterChar"/>
    <w:locked/>
    <w:rsid w:val="002850D9"/>
    <w:pPr>
      <w:tabs>
        <w:tab w:val="center" w:pos="4680"/>
        <w:tab w:val="right" w:pos="9360"/>
      </w:tabs>
    </w:pPr>
  </w:style>
  <w:style w:type="character" w:customStyle="1" w:styleId="FooterChar">
    <w:name w:val="Footer Char"/>
    <w:link w:val="Footer"/>
    <w:rsid w:val="002850D9"/>
    <w:rPr>
      <w:rFonts w:eastAsia="ヒラギノ角ゴ Pro W3"/>
      <w:color w:val="000000"/>
      <w:sz w:val="22"/>
      <w:szCs w:val="24"/>
    </w:rPr>
  </w:style>
  <w:style w:type="character" w:styleId="CommentReference">
    <w:name w:val="annotation reference"/>
    <w:uiPriority w:val="99"/>
    <w:locked/>
    <w:rsid w:val="00E806C3"/>
    <w:rPr>
      <w:sz w:val="16"/>
      <w:szCs w:val="16"/>
    </w:rPr>
  </w:style>
  <w:style w:type="paragraph" w:styleId="CommentSubject">
    <w:name w:val="annotation subject"/>
    <w:basedOn w:val="CommentText"/>
    <w:next w:val="CommentText"/>
    <w:link w:val="CommentSubjectChar"/>
    <w:locked/>
    <w:rsid w:val="00E806C3"/>
    <w:pPr>
      <w:spacing w:after="120"/>
      <w:ind w:firstLine="720"/>
    </w:pPr>
    <w:rPr>
      <w:rFonts w:eastAsia="ヒラギノ角ゴ Pro W3"/>
      <w:b/>
      <w:bCs/>
      <w:color w:val="000000"/>
    </w:rPr>
  </w:style>
  <w:style w:type="character" w:customStyle="1" w:styleId="CommentSubjectChar">
    <w:name w:val="Comment Subject Char"/>
    <w:link w:val="CommentSubject"/>
    <w:rsid w:val="00E806C3"/>
    <w:rPr>
      <w:rFonts w:eastAsia="ヒラギノ角ゴ Pro W3"/>
      <w:b/>
      <w:bCs/>
      <w:color w:val="000000"/>
    </w:rPr>
  </w:style>
  <w:style w:type="paragraph" w:styleId="ListParagraph">
    <w:name w:val="List Paragraph"/>
    <w:basedOn w:val="Normal"/>
    <w:uiPriority w:val="34"/>
    <w:qFormat/>
    <w:rsid w:val="001E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3747">
      <w:bodyDiv w:val="1"/>
      <w:marLeft w:val="0"/>
      <w:marRight w:val="0"/>
      <w:marTop w:val="0"/>
      <w:marBottom w:val="0"/>
      <w:divBdr>
        <w:top w:val="none" w:sz="0" w:space="0" w:color="auto"/>
        <w:left w:val="none" w:sz="0" w:space="0" w:color="auto"/>
        <w:bottom w:val="none" w:sz="0" w:space="0" w:color="auto"/>
        <w:right w:val="none" w:sz="0" w:space="0" w:color="auto"/>
      </w:divBdr>
    </w:div>
    <w:div w:id="1248266665">
      <w:bodyDiv w:val="1"/>
      <w:marLeft w:val="0"/>
      <w:marRight w:val="0"/>
      <w:marTop w:val="0"/>
      <w:marBottom w:val="0"/>
      <w:divBdr>
        <w:top w:val="none" w:sz="0" w:space="0" w:color="auto"/>
        <w:left w:val="none" w:sz="0" w:space="0" w:color="auto"/>
        <w:bottom w:val="none" w:sz="0" w:space="0" w:color="auto"/>
        <w:right w:val="none" w:sz="0" w:space="0" w:color="auto"/>
      </w:divBdr>
    </w:div>
    <w:div w:id="1364013962">
      <w:bodyDiv w:val="1"/>
      <w:marLeft w:val="0"/>
      <w:marRight w:val="0"/>
      <w:marTop w:val="0"/>
      <w:marBottom w:val="0"/>
      <w:divBdr>
        <w:top w:val="none" w:sz="0" w:space="0" w:color="auto"/>
        <w:left w:val="none" w:sz="0" w:space="0" w:color="auto"/>
        <w:bottom w:val="none" w:sz="0" w:space="0" w:color="auto"/>
        <w:right w:val="none" w:sz="0" w:space="0" w:color="auto"/>
      </w:divBdr>
    </w:div>
    <w:div w:id="17634051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11630</Characters>
  <Application>Microsoft Office Word</Application>
  <DocSecurity>0</DocSecurity>
  <Lines>186</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13821</CharactersWithSpaces>
  <SharedDoc>false</SharedDoc>
  <HyperlinkBase> </HyperlinkBase>
  <HLinks>
    <vt:vector size="12" baseType="variant">
      <vt:variant>
        <vt:i4>8061010</vt:i4>
      </vt:variant>
      <vt:variant>
        <vt:i4>2</vt:i4>
      </vt:variant>
      <vt:variant>
        <vt:i4>0</vt:i4>
      </vt:variant>
      <vt:variant>
        <vt:i4>5</vt:i4>
      </vt:variant>
      <vt:variant>
        <vt:lpwstr>mailto:captioningexemption@fcc.gov</vt:lpwstr>
      </vt:variant>
      <vt:variant>
        <vt:lpwstr/>
      </vt:variant>
      <vt:variant>
        <vt:i4>7012355</vt:i4>
      </vt:variant>
      <vt:variant>
        <vt:i4>0</vt:i4>
      </vt:variant>
      <vt:variant>
        <vt:i4>0</vt:i4>
      </vt:variant>
      <vt:variant>
        <vt:i4>5</vt:i4>
      </vt:variant>
      <vt:variant>
        <vt:lpwstr>http://hraunfoss.fcc.gov/edocs_public/attachmatch/DOC-323421A1.pdf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2015-11-17T13:08:00Z</cp:lastPrinted>
  <dcterms:created xsi:type="dcterms:W3CDTF">2015-11-17T20:48:00Z</dcterms:created>
  <dcterms:modified xsi:type="dcterms:W3CDTF">2015-11-17T20:48:00Z</dcterms:modified>
  <cp:category> </cp:category>
  <cp:contentStatus> </cp:contentStatus>
</cp:coreProperties>
</file>