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17BE0" w14:textId="77777777" w:rsidR="00F013EA" w:rsidRPr="00077DF2" w:rsidRDefault="00F013EA" w:rsidP="00E674C3">
      <w:pPr>
        <w:jc w:val="center"/>
        <w:rPr>
          <w:b/>
          <w:szCs w:val="22"/>
        </w:rPr>
      </w:pPr>
      <w:bookmarkStart w:id="0" w:name="_GoBack"/>
      <w:bookmarkEnd w:id="0"/>
      <w:r w:rsidRPr="00077DF2">
        <w:rPr>
          <w:b/>
          <w:szCs w:val="22"/>
        </w:rPr>
        <w:t>Before the</w:t>
      </w:r>
    </w:p>
    <w:p w14:paraId="28DA0BFB" w14:textId="77777777" w:rsidR="00F013EA" w:rsidRPr="00077DF2" w:rsidRDefault="00F013EA" w:rsidP="00E674C3">
      <w:pPr>
        <w:jc w:val="center"/>
        <w:rPr>
          <w:b/>
          <w:szCs w:val="22"/>
        </w:rPr>
      </w:pPr>
      <w:r w:rsidRPr="00077DF2">
        <w:rPr>
          <w:b/>
          <w:szCs w:val="22"/>
        </w:rPr>
        <w:t>Federal Communications Commission</w:t>
      </w:r>
    </w:p>
    <w:p w14:paraId="500A5A39" w14:textId="77777777" w:rsidR="00F013EA" w:rsidRPr="00077DF2" w:rsidRDefault="00F013EA" w:rsidP="00E674C3">
      <w:pPr>
        <w:jc w:val="center"/>
        <w:rPr>
          <w:b/>
          <w:szCs w:val="22"/>
        </w:rPr>
      </w:pPr>
      <w:r w:rsidRPr="00077DF2">
        <w:rPr>
          <w:b/>
          <w:szCs w:val="22"/>
        </w:rPr>
        <w:t>Washington, D.C. 20554</w:t>
      </w:r>
    </w:p>
    <w:p w14:paraId="383425D5" w14:textId="77777777" w:rsidR="00F013EA" w:rsidRPr="00077DF2" w:rsidRDefault="00F013EA" w:rsidP="00E674C3">
      <w:pPr>
        <w:rPr>
          <w:szCs w:val="22"/>
        </w:rPr>
      </w:pPr>
    </w:p>
    <w:p w14:paraId="439C3026" w14:textId="77777777" w:rsidR="00F013EA" w:rsidRPr="00077DF2" w:rsidRDefault="00F013EA" w:rsidP="00E674C3">
      <w:pPr>
        <w:rPr>
          <w:szCs w:val="22"/>
        </w:rPr>
      </w:pPr>
    </w:p>
    <w:tbl>
      <w:tblPr>
        <w:tblW w:w="0" w:type="auto"/>
        <w:tblLayout w:type="fixed"/>
        <w:tblLook w:val="0000" w:firstRow="0" w:lastRow="0" w:firstColumn="0" w:lastColumn="0" w:noHBand="0" w:noVBand="0"/>
      </w:tblPr>
      <w:tblGrid>
        <w:gridCol w:w="4698"/>
        <w:gridCol w:w="720"/>
        <w:gridCol w:w="4230"/>
      </w:tblGrid>
      <w:tr w:rsidR="00F013EA" w:rsidRPr="00077DF2" w14:paraId="2A5BF00B" w14:textId="77777777">
        <w:tc>
          <w:tcPr>
            <w:tcW w:w="4698" w:type="dxa"/>
          </w:tcPr>
          <w:p w14:paraId="59EFFE7D" w14:textId="77777777" w:rsidR="00F013EA" w:rsidRPr="00077DF2" w:rsidRDefault="00F013EA" w:rsidP="00E674C3">
            <w:pPr>
              <w:ind w:right="-18"/>
              <w:rPr>
                <w:szCs w:val="22"/>
              </w:rPr>
            </w:pPr>
            <w:r w:rsidRPr="00077DF2">
              <w:rPr>
                <w:szCs w:val="22"/>
              </w:rPr>
              <w:t>In the matter of</w:t>
            </w:r>
          </w:p>
          <w:p w14:paraId="6702F5B2" w14:textId="77777777" w:rsidR="00F013EA" w:rsidRPr="00077DF2" w:rsidRDefault="00F013EA" w:rsidP="00E674C3">
            <w:pPr>
              <w:ind w:right="-18"/>
              <w:rPr>
                <w:szCs w:val="22"/>
              </w:rPr>
            </w:pPr>
          </w:p>
          <w:p w14:paraId="7798AA44" w14:textId="77777777" w:rsidR="00F013EA" w:rsidRPr="00077DF2" w:rsidRDefault="00AD20A1" w:rsidP="00E674C3">
            <w:pPr>
              <w:ind w:right="-18"/>
              <w:rPr>
                <w:szCs w:val="22"/>
              </w:rPr>
            </w:pPr>
            <w:r>
              <w:rPr>
                <w:szCs w:val="22"/>
              </w:rPr>
              <w:t xml:space="preserve">Kellogg Street Productions </w:t>
            </w:r>
          </w:p>
          <w:p w14:paraId="36C8F587" w14:textId="77777777" w:rsidR="00F013EA" w:rsidRPr="00077DF2" w:rsidRDefault="00F013EA" w:rsidP="00E674C3">
            <w:pPr>
              <w:ind w:right="-18"/>
              <w:rPr>
                <w:szCs w:val="22"/>
              </w:rPr>
            </w:pPr>
          </w:p>
          <w:p w14:paraId="56801B93" w14:textId="77777777" w:rsidR="002F48FF" w:rsidRDefault="004A5993" w:rsidP="002F48FF">
            <w:pPr>
              <w:ind w:right="-18"/>
              <w:rPr>
                <w:szCs w:val="22"/>
              </w:rPr>
            </w:pPr>
            <w:r>
              <w:rPr>
                <w:szCs w:val="22"/>
              </w:rPr>
              <w:t>Petition</w:t>
            </w:r>
            <w:r w:rsidRPr="00077DF2">
              <w:rPr>
                <w:szCs w:val="22"/>
              </w:rPr>
              <w:t xml:space="preserve"> </w:t>
            </w:r>
            <w:r w:rsidR="00F013EA" w:rsidRPr="00077DF2">
              <w:rPr>
                <w:szCs w:val="22"/>
              </w:rPr>
              <w:t xml:space="preserve">for Exemption from </w:t>
            </w:r>
            <w:r w:rsidR="00023135">
              <w:rPr>
                <w:szCs w:val="22"/>
              </w:rPr>
              <w:t>the</w:t>
            </w:r>
          </w:p>
          <w:p w14:paraId="0BAEC6F3" w14:textId="77777777" w:rsidR="00F013EA" w:rsidRPr="00077DF2" w:rsidRDefault="00F013EA" w:rsidP="002F48FF">
            <w:pPr>
              <w:ind w:right="-18"/>
              <w:rPr>
                <w:szCs w:val="22"/>
              </w:rPr>
            </w:pPr>
            <w:r w:rsidRPr="00077DF2">
              <w:rPr>
                <w:szCs w:val="22"/>
              </w:rPr>
              <w:t xml:space="preserve">Closed Captioning </w:t>
            </w:r>
            <w:r w:rsidR="002F48FF">
              <w:rPr>
                <w:szCs w:val="22"/>
              </w:rPr>
              <w:t>Requirements</w:t>
            </w:r>
          </w:p>
        </w:tc>
        <w:tc>
          <w:tcPr>
            <w:tcW w:w="720" w:type="dxa"/>
          </w:tcPr>
          <w:p w14:paraId="4B130502" w14:textId="77777777" w:rsidR="00F013EA" w:rsidRPr="00077DF2" w:rsidRDefault="00F013EA" w:rsidP="00E674C3">
            <w:pPr>
              <w:rPr>
                <w:b/>
                <w:szCs w:val="22"/>
              </w:rPr>
            </w:pPr>
            <w:r w:rsidRPr="00077DF2">
              <w:rPr>
                <w:b/>
                <w:szCs w:val="22"/>
              </w:rPr>
              <w:t>)</w:t>
            </w:r>
          </w:p>
          <w:p w14:paraId="33B4086D" w14:textId="77777777" w:rsidR="00F013EA" w:rsidRPr="00077DF2" w:rsidRDefault="00F013EA" w:rsidP="00E674C3">
            <w:pPr>
              <w:rPr>
                <w:b/>
                <w:szCs w:val="22"/>
              </w:rPr>
            </w:pPr>
            <w:r w:rsidRPr="00077DF2">
              <w:rPr>
                <w:b/>
                <w:szCs w:val="22"/>
              </w:rPr>
              <w:t>)</w:t>
            </w:r>
          </w:p>
          <w:p w14:paraId="1CB40A40" w14:textId="77777777" w:rsidR="00F013EA" w:rsidRPr="00077DF2" w:rsidRDefault="00F013EA" w:rsidP="00E674C3">
            <w:pPr>
              <w:rPr>
                <w:b/>
                <w:szCs w:val="22"/>
              </w:rPr>
            </w:pPr>
            <w:r w:rsidRPr="00077DF2">
              <w:rPr>
                <w:b/>
                <w:szCs w:val="22"/>
              </w:rPr>
              <w:t>)</w:t>
            </w:r>
          </w:p>
          <w:p w14:paraId="41FA0C1F" w14:textId="77777777" w:rsidR="00F013EA" w:rsidRPr="00077DF2" w:rsidRDefault="00F013EA" w:rsidP="00E674C3">
            <w:pPr>
              <w:rPr>
                <w:b/>
                <w:szCs w:val="22"/>
              </w:rPr>
            </w:pPr>
            <w:r w:rsidRPr="00077DF2">
              <w:rPr>
                <w:b/>
                <w:szCs w:val="22"/>
              </w:rPr>
              <w:t>)</w:t>
            </w:r>
          </w:p>
          <w:p w14:paraId="30AFD70E" w14:textId="77777777" w:rsidR="00F013EA" w:rsidRPr="00077DF2" w:rsidRDefault="00F013EA" w:rsidP="00E674C3">
            <w:pPr>
              <w:rPr>
                <w:b/>
                <w:szCs w:val="22"/>
              </w:rPr>
            </w:pPr>
            <w:r w:rsidRPr="00077DF2">
              <w:rPr>
                <w:b/>
                <w:szCs w:val="22"/>
              </w:rPr>
              <w:t>)</w:t>
            </w:r>
          </w:p>
          <w:p w14:paraId="64DA0D19" w14:textId="77777777" w:rsidR="00F013EA" w:rsidRPr="00077DF2" w:rsidRDefault="00F013EA" w:rsidP="00E674C3">
            <w:pPr>
              <w:rPr>
                <w:b/>
                <w:szCs w:val="22"/>
              </w:rPr>
            </w:pPr>
            <w:r w:rsidRPr="00077DF2">
              <w:rPr>
                <w:b/>
                <w:szCs w:val="22"/>
              </w:rPr>
              <w:t>)</w:t>
            </w:r>
          </w:p>
          <w:p w14:paraId="1C357032" w14:textId="77777777" w:rsidR="00F013EA" w:rsidRPr="00077DF2" w:rsidRDefault="00F013EA" w:rsidP="00E674C3">
            <w:pPr>
              <w:rPr>
                <w:b/>
                <w:szCs w:val="22"/>
              </w:rPr>
            </w:pPr>
          </w:p>
        </w:tc>
        <w:tc>
          <w:tcPr>
            <w:tcW w:w="4230" w:type="dxa"/>
          </w:tcPr>
          <w:p w14:paraId="491DE829" w14:textId="77777777" w:rsidR="00F013EA" w:rsidRPr="00077DF2" w:rsidRDefault="00F013EA" w:rsidP="00E674C3">
            <w:pPr>
              <w:rPr>
                <w:szCs w:val="22"/>
              </w:rPr>
            </w:pPr>
          </w:p>
          <w:p w14:paraId="1B603700" w14:textId="77777777" w:rsidR="00F013EA" w:rsidRPr="00077DF2" w:rsidRDefault="00F013EA" w:rsidP="00E674C3">
            <w:pPr>
              <w:rPr>
                <w:szCs w:val="22"/>
              </w:rPr>
            </w:pPr>
          </w:p>
          <w:p w14:paraId="552AC720" w14:textId="77777777" w:rsidR="00F013EA" w:rsidRDefault="002F48FF" w:rsidP="00E674C3">
            <w:pPr>
              <w:rPr>
                <w:spacing w:val="-2"/>
                <w:szCs w:val="22"/>
              </w:rPr>
            </w:pPr>
            <w:r w:rsidRPr="00077DF2">
              <w:rPr>
                <w:spacing w:val="-2"/>
                <w:szCs w:val="22"/>
              </w:rPr>
              <w:t>CGB-CC-</w:t>
            </w:r>
            <w:r w:rsidR="00AD20A1">
              <w:rPr>
                <w:spacing w:val="-2"/>
                <w:szCs w:val="22"/>
              </w:rPr>
              <w:t>0413</w:t>
            </w:r>
          </w:p>
          <w:p w14:paraId="65260571" w14:textId="77777777" w:rsidR="002F48FF" w:rsidRPr="00077DF2" w:rsidRDefault="002F48FF" w:rsidP="00E674C3">
            <w:pPr>
              <w:rPr>
                <w:szCs w:val="22"/>
              </w:rPr>
            </w:pPr>
          </w:p>
          <w:p w14:paraId="7EABB2B0" w14:textId="77777777" w:rsidR="00F013EA" w:rsidRPr="00077DF2" w:rsidRDefault="00F013EA" w:rsidP="00E674C3">
            <w:pPr>
              <w:rPr>
                <w:spacing w:val="-2"/>
                <w:szCs w:val="22"/>
              </w:rPr>
            </w:pPr>
            <w:r w:rsidRPr="00077DF2">
              <w:rPr>
                <w:spacing w:val="-2"/>
                <w:szCs w:val="22"/>
              </w:rPr>
              <w:t>CG Docket No. 06-181</w:t>
            </w:r>
          </w:p>
          <w:p w14:paraId="1BF306B2" w14:textId="77777777" w:rsidR="00F013EA" w:rsidRPr="00077DF2" w:rsidRDefault="00F013EA" w:rsidP="00E674C3">
            <w:pPr>
              <w:rPr>
                <w:spacing w:val="-2"/>
                <w:szCs w:val="22"/>
              </w:rPr>
            </w:pPr>
          </w:p>
          <w:p w14:paraId="55549EC6" w14:textId="77777777" w:rsidR="00F013EA" w:rsidRPr="00077DF2" w:rsidRDefault="00F013EA" w:rsidP="00E674C3">
            <w:pPr>
              <w:rPr>
                <w:szCs w:val="22"/>
              </w:rPr>
            </w:pPr>
          </w:p>
        </w:tc>
      </w:tr>
    </w:tbl>
    <w:p w14:paraId="24148EDE" w14:textId="77777777" w:rsidR="00F013EA" w:rsidRPr="00077DF2" w:rsidRDefault="00F013EA" w:rsidP="00E674C3">
      <w:pPr>
        <w:spacing w:before="120"/>
        <w:jc w:val="center"/>
        <w:rPr>
          <w:b/>
          <w:szCs w:val="22"/>
        </w:rPr>
      </w:pPr>
      <w:r w:rsidRPr="00077DF2">
        <w:rPr>
          <w:b/>
          <w:spacing w:val="-2"/>
          <w:szCs w:val="22"/>
        </w:rPr>
        <w:t>MEMORANDUM OPINION AND ORDER</w:t>
      </w:r>
    </w:p>
    <w:p w14:paraId="43B9AF51" w14:textId="77777777" w:rsidR="00F013EA" w:rsidRPr="00077DF2" w:rsidRDefault="00F013EA" w:rsidP="00E674C3">
      <w:pPr>
        <w:rPr>
          <w:szCs w:val="22"/>
        </w:rPr>
      </w:pPr>
    </w:p>
    <w:p w14:paraId="45879A01" w14:textId="427298C4" w:rsidR="00F013EA" w:rsidRPr="00077DF2" w:rsidRDefault="00F013EA" w:rsidP="00A211D7">
      <w:pPr>
        <w:tabs>
          <w:tab w:val="right" w:pos="9360"/>
        </w:tabs>
        <w:rPr>
          <w:b/>
          <w:szCs w:val="22"/>
        </w:rPr>
      </w:pPr>
      <w:r w:rsidRPr="00077DF2">
        <w:rPr>
          <w:b/>
          <w:szCs w:val="22"/>
        </w:rPr>
        <w:t xml:space="preserve">Adopted:  </w:t>
      </w:r>
      <w:r w:rsidR="00417881">
        <w:rPr>
          <w:b/>
          <w:spacing w:val="-2"/>
          <w:szCs w:val="22"/>
        </w:rPr>
        <w:t>November 17, 2015</w:t>
      </w:r>
      <w:r w:rsidRPr="00077DF2">
        <w:rPr>
          <w:b/>
          <w:szCs w:val="22"/>
        </w:rPr>
        <w:tab/>
        <w:t xml:space="preserve">Released:  </w:t>
      </w:r>
      <w:r w:rsidR="00417881">
        <w:rPr>
          <w:b/>
          <w:spacing w:val="-2"/>
          <w:szCs w:val="22"/>
        </w:rPr>
        <w:t>November 17, 2015</w:t>
      </w:r>
    </w:p>
    <w:p w14:paraId="7E2C018F" w14:textId="77777777" w:rsidR="00F013EA" w:rsidRPr="00077DF2" w:rsidRDefault="00F013EA" w:rsidP="00E674C3">
      <w:pPr>
        <w:tabs>
          <w:tab w:val="left" w:pos="5760"/>
        </w:tabs>
        <w:rPr>
          <w:b/>
          <w:szCs w:val="22"/>
        </w:rPr>
      </w:pPr>
    </w:p>
    <w:p w14:paraId="7944CC0C" w14:textId="77777777" w:rsidR="00F013EA" w:rsidRPr="00077DF2" w:rsidRDefault="00F013EA" w:rsidP="00E674C3">
      <w:pPr>
        <w:tabs>
          <w:tab w:val="left" w:pos="5760"/>
        </w:tabs>
        <w:rPr>
          <w:szCs w:val="22"/>
        </w:rPr>
      </w:pPr>
      <w:r w:rsidRPr="00077DF2">
        <w:rPr>
          <w:szCs w:val="22"/>
        </w:rPr>
        <w:t xml:space="preserve">By the </w:t>
      </w:r>
      <w:r w:rsidR="00C37EC8">
        <w:rPr>
          <w:szCs w:val="22"/>
        </w:rPr>
        <w:t>Deputy</w:t>
      </w:r>
      <w:r w:rsidR="00C37EC8" w:rsidRPr="00077DF2">
        <w:rPr>
          <w:szCs w:val="22"/>
        </w:rPr>
        <w:t xml:space="preserve"> </w:t>
      </w:r>
      <w:r w:rsidRPr="00077DF2">
        <w:rPr>
          <w:spacing w:val="-2"/>
          <w:szCs w:val="22"/>
        </w:rPr>
        <w:t>Chief, Consumer and Governmental Affairs Bureau:</w:t>
      </w:r>
    </w:p>
    <w:p w14:paraId="5F54E75C" w14:textId="77777777" w:rsidR="00F013EA" w:rsidRPr="00077DF2" w:rsidRDefault="00F013EA" w:rsidP="00E674C3">
      <w:pPr>
        <w:tabs>
          <w:tab w:val="left" w:pos="5760"/>
        </w:tabs>
        <w:rPr>
          <w:b/>
          <w:szCs w:val="22"/>
        </w:rPr>
      </w:pPr>
    </w:p>
    <w:p w14:paraId="573CB021" w14:textId="77777777" w:rsidR="00F013EA" w:rsidRPr="00077DF2" w:rsidRDefault="00F013EA" w:rsidP="00E674C3">
      <w:pPr>
        <w:rPr>
          <w:szCs w:val="22"/>
        </w:rPr>
      </w:pPr>
    </w:p>
    <w:p w14:paraId="4E3DB78E" w14:textId="77777777" w:rsidR="00F013EA" w:rsidRPr="00077DF2" w:rsidRDefault="00F013EA" w:rsidP="00A211D7">
      <w:pPr>
        <w:pStyle w:val="Heading1"/>
        <w:keepNext w:val="0"/>
        <w:widowControl/>
        <w:spacing w:after="120"/>
        <w:jc w:val="left"/>
        <w:rPr>
          <w:b w:val="0"/>
          <w:szCs w:val="22"/>
        </w:rPr>
      </w:pPr>
      <w:r w:rsidRPr="00077DF2">
        <w:rPr>
          <w:szCs w:val="22"/>
        </w:rPr>
        <w:t>INTRODUCTION</w:t>
      </w:r>
    </w:p>
    <w:p w14:paraId="30B7AD0F" w14:textId="420982FF" w:rsidR="00F013EA" w:rsidRPr="00077DF2" w:rsidRDefault="00F013EA" w:rsidP="00A211D7">
      <w:pPr>
        <w:pStyle w:val="ParaNum"/>
        <w:widowControl/>
        <w:tabs>
          <w:tab w:val="clear" w:pos="1080"/>
        </w:tabs>
        <w:spacing w:after="120"/>
        <w:jc w:val="left"/>
        <w:rPr>
          <w:szCs w:val="22"/>
        </w:rPr>
      </w:pPr>
      <w:r w:rsidRPr="00077DF2">
        <w:rPr>
          <w:szCs w:val="22"/>
        </w:rPr>
        <w:t xml:space="preserve">In </w:t>
      </w:r>
      <w:r w:rsidR="005355AF" w:rsidRPr="00077DF2">
        <w:rPr>
          <w:szCs w:val="22"/>
        </w:rPr>
        <w:t>this Memorandum Opinion and Order (Order), we address a petition filed by</w:t>
      </w:r>
      <w:r w:rsidR="0023722A">
        <w:rPr>
          <w:szCs w:val="22"/>
        </w:rPr>
        <w:t xml:space="preserve"> </w:t>
      </w:r>
      <w:r w:rsidR="00AD20A1">
        <w:rPr>
          <w:szCs w:val="22"/>
        </w:rPr>
        <w:t xml:space="preserve">Kellogg Street Productions (Kellogg) </w:t>
      </w:r>
      <w:r w:rsidR="005355AF" w:rsidRPr="00077DF2">
        <w:rPr>
          <w:szCs w:val="22"/>
        </w:rPr>
        <w:t>for a</w:t>
      </w:r>
      <w:r w:rsidR="00CD0EFA">
        <w:rPr>
          <w:szCs w:val="22"/>
        </w:rPr>
        <w:t xml:space="preserve"> temporary </w:t>
      </w:r>
      <w:r w:rsidR="005355AF" w:rsidRPr="00077DF2">
        <w:rPr>
          <w:szCs w:val="22"/>
        </w:rPr>
        <w:t xml:space="preserve">exemption from the </w:t>
      </w:r>
      <w:r w:rsidR="00F039A2">
        <w:rPr>
          <w:szCs w:val="22"/>
        </w:rPr>
        <w:t>Federal Communication</w:t>
      </w:r>
      <w:r w:rsidR="002F48FF">
        <w:rPr>
          <w:szCs w:val="22"/>
        </w:rPr>
        <w:t>s</w:t>
      </w:r>
      <w:r w:rsidR="00F039A2">
        <w:rPr>
          <w:szCs w:val="22"/>
        </w:rPr>
        <w:t xml:space="preserve"> </w:t>
      </w:r>
      <w:r w:rsidR="005355AF" w:rsidRPr="00077DF2">
        <w:rPr>
          <w:szCs w:val="22"/>
        </w:rPr>
        <w:t>Commission’s</w:t>
      </w:r>
      <w:r w:rsidR="00F039A2">
        <w:rPr>
          <w:szCs w:val="22"/>
        </w:rPr>
        <w:t xml:space="preserve"> (FCC’s</w:t>
      </w:r>
      <w:r w:rsidR="00331EAA">
        <w:rPr>
          <w:szCs w:val="22"/>
        </w:rPr>
        <w:t xml:space="preserve"> or Commission’s</w:t>
      </w:r>
      <w:r w:rsidR="00F039A2">
        <w:rPr>
          <w:szCs w:val="22"/>
        </w:rPr>
        <w:t>)</w:t>
      </w:r>
      <w:r w:rsidR="005355AF" w:rsidRPr="00077DF2">
        <w:rPr>
          <w:szCs w:val="22"/>
        </w:rPr>
        <w:t xml:space="preserve"> closed captioning requirements for</w:t>
      </w:r>
      <w:r w:rsidR="005164D6" w:rsidRPr="00077DF2">
        <w:rPr>
          <w:szCs w:val="22"/>
        </w:rPr>
        <w:t xml:space="preserve"> its program</w:t>
      </w:r>
      <w:r w:rsidR="00D24F66" w:rsidRPr="00077DF2">
        <w:rPr>
          <w:szCs w:val="22"/>
        </w:rPr>
        <w:t xml:space="preserve">, </w:t>
      </w:r>
      <w:r w:rsidR="00AD20A1">
        <w:rPr>
          <w:i/>
          <w:szCs w:val="22"/>
        </w:rPr>
        <w:t>Mohawk Valley Living</w:t>
      </w:r>
      <w:r w:rsidR="005355AF" w:rsidRPr="00077DF2">
        <w:rPr>
          <w:szCs w:val="22"/>
        </w:rPr>
        <w:t>.</w:t>
      </w:r>
      <w:r w:rsidR="001963EB" w:rsidRPr="00077DF2">
        <w:rPr>
          <w:szCs w:val="22"/>
        </w:rPr>
        <w:t xml:space="preserve"> </w:t>
      </w:r>
      <w:r w:rsidR="00431F3D">
        <w:rPr>
          <w:szCs w:val="22"/>
        </w:rPr>
        <w:t xml:space="preserve"> </w:t>
      </w:r>
      <w:r w:rsidR="005355AF" w:rsidRPr="00077DF2">
        <w:rPr>
          <w:szCs w:val="22"/>
        </w:rPr>
        <w:t xml:space="preserve">Because </w:t>
      </w:r>
      <w:r w:rsidR="00AE58C1" w:rsidRPr="00077DF2">
        <w:rPr>
          <w:szCs w:val="22"/>
        </w:rPr>
        <w:t xml:space="preserve">we conclude that </w:t>
      </w:r>
      <w:r w:rsidR="00AD20A1">
        <w:rPr>
          <w:szCs w:val="22"/>
        </w:rPr>
        <w:t>Kellogg</w:t>
      </w:r>
      <w:r w:rsidR="005355AF" w:rsidRPr="00077DF2">
        <w:rPr>
          <w:szCs w:val="22"/>
        </w:rPr>
        <w:t xml:space="preserve"> has demonstrate</w:t>
      </w:r>
      <w:r w:rsidR="00C71844" w:rsidRPr="00077DF2">
        <w:rPr>
          <w:szCs w:val="22"/>
        </w:rPr>
        <w:t>d</w:t>
      </w:r>
      <w:r w:rsidR="005355AF" w:rsidRPr="00077DF2">
        <w:rPr>
          <w:szCs w:val="22"/>
        </w:rPr>
        <w:t xml:space="preserve"> that its compliance with the Commission’s closed captioning requirements would be economically burdensome</w:t>
      </w:r>
      <w:r w:rsidR="008B2FB3">
        <w:rPr>
          <w:szCs w:val="22"/>
        </w:rPr>
        <w:t xml:space="preserve"> to it</w:t>
      </w:r>
      <w:r w:rsidR="00A05326">
        <w:rPr>
          <w:szCs w:val="22"/>
        </w:rPr>
        <w:t xml:space="preserve"> at this time</w:t>
      </w:r>
      <w:r w:rsidR="005355AF" w:rsidRPr="00077DF2">
        <w:rPr>
          <w:szCs w:val="22"/>
        </w:rPr>
        <w:t xml:space="preserve">, we </w:t>
      </w:r>
      <w:r w:rsidR="00A05326">
        <w:rPr>
          <w:szCs w:val="22"/>
        </w:rPr>
        <w:t xml:space="preserve">grant a temporary exemption to this petitioner </w:t>
      </w:r>
      <w:r w:rsidR="00BA7691">
        <w:rPr>
          <w:szCs w:val="22"/>
        </w:rPr>
        <w:t xml:space="preserve">until </w:t>
      </w:r>
      <w:r w:rsidR="00BB2110">
        <w:rPr>
          <w:szCs w:val="22"/>
        </w:rPr>
        <w:t>December</w:t>
      </w:r>
      <w:r w:rsidR="00BA7691">
        <w:rPr>
          <w:szCs w:val="22"/>
        </w:rPr>
        <w:t xml:space="preserve"> 31, 2015</w:t>
      </w:r>
      <w:r w:rsidR="005355AF" w:rsidRPr="00077DF2">
        <w:rPr>
          <w:szCs w:val="22"/>
        </w:rPr>
        <w:t>.</w:t>
      </w:r>
      <w:r w:rsidR="002F48FF">
        <w:rPr>
          <w:szCs w:val="22"/>
        </w:rPr>
        <w:t xml:space="preserve"> </w:t>
      </w:r>
      <w:r w:rsidR="00AD20A1">
        <w:rPr>
          <w:szCs w:val="22"/>
        </w:rPr>
        <w:t xml:space="preserve"> </w:t>
      </w:r>
      <w:r w:rsidR="00CD0EFA">
        <w:rPr>
          <w:szCs w:val="22"/>
        </w:rPr>
        <w:t xml:space="preserve">Kellogg reports that it </w:t>
      </w:r>
      <w:r w:rsidR="00CF3AFD">
        <w:rPr>
          <w:szCs w:val="22"/>
        </w:rPr>
        <w:t xml:space="preserve">will either </w:t>
      </w:r>
      <w:r w:rsidR="00CD0EFA">
        <w:rPr>
          <w:szCs w:val="22"/>
        </w:rPr>
        <w:t xml:space="preserve">cease production of </w:t>
      </w:r>
      <w:r w:rsidR="00CD0EFA">
        <w:rPr>
          <w:i/>
          <w:szCs w:val="22"/>
        </w:rPr>
        <w:t xml:space="preserve">Mohawk Valley Living </w:t>
      </w:r>
      <w:r w:rsidR="00CD0EFA">
        <w:rPr>
          <w:szCs w:val="22"/>
        </w:rPr>
        <w:t>by the end of the year 2015</w:t>
      </w:r>
      <w:r w:rsidR="00CF3AFD">
        <w:rPr>
          <w:szCs w:val="22"/>
        </w:rPr>
        <w:t xml:space="preserve"> or will provide closed captions after that time</w:t>
      </w:r>
      <w:r w:rsidR="00CC024D">
        <w:rPr>
          <w:szCs w:val="22"/>
        </w:rPr>
        <w:t xml:space="preserve">; accordingly, </w:t>
      </w:r>
      <w:r w:rsidR="00CD0EFA">
        <w:rPr>
          <w:szCs w:val="22"/>
        </w:rPr>
        <w:t>we do not address the merits of continuing the exemption beyond that time.</w:t>
      </w:r>
    </w:p>
    <w:p w14:paraId="1176F690" w14:textId="77777777" w:rsidR="005A0A3C" w:rsidRPr="00077DF2" w:rsidRDefault="005A0A3C" w:rsidP="00A211D7">
      <w:pPr>
        <w:pStyle w:val="Heading1"/>
        <w:keepNext w:val="0"/>
        <w:widowControl/>
        <w:spacing w:after="120"/>
        <w:rPr>
          <w:szCs w:val="22"/>
        </w:rPr>
      </w:pPr>
      <w:r w:rsidRPr="00077DF2">
        <w:rPr>
          <w:szCs w:val="22"/>
        </w:rPr>
        <w:t>Background</w:t>
      </w:r>
    </w:p>
    <w:p w14:paraId="1BDDAB30" w14:textId="77777777" w:rsidR="00AC2D49" w:rsidRDefault="00AC2D49" w:rsidP="00AC2D49">
      <w:pPr>
        <w:pStyle w:val="ParaNum"/>
        <w:widowControl/>
        <w:tabs>
          <w:tab w:val="clear" w:pos="1080"/>
        </w:tabs>
        <w:spacing w:after="120"/>
        <w:jc w:val="left"/>
        <w:rPr>
          <w:szCs w:val="22"/>
        </w:rPr>
      </w:pPr>
      <w:r>
        <w:rPr>
          <w:szCs w:val="22"/>
        </w:rPr>
        <w:t>In 1996, Congress added section 713 to the Communications Act of 1934, as amended (Communications Act), establishing requirements for closed captioning of video programming to ensure access to such programming by people who are deaf or hard of hearing</w:t>
      </w:r>
      <w:r>
        <w:rPr>
          <w:szCs w:val="22"/>
          <w:vertAlign w:val="superscript"/>
        </w:rPr>
        <w:footnoteReference w:id="2"/>
      </w:r>
      <w:r>
        <w:rPr>
          <w:szCs w:val="22"/>
        </w:rPr>
        <w:t xml:space="preserve"> and directing the Commission to prescribe rules to carry out this mandate.</w:t>
      </w:r>
      <w:r>
        <w:rPr>
          <w:szCs w:val="22"/>
          <w:vertAlign w:val="superscript"/>
        </w:rPr>
        <w:footnoteReference w:id="3"/>
      </w:r>
      <w:r>
        <w:rPr>
          <w:szCs w:val="22"/>
        </w:rPr>
        <w:t xml:space="preserve">  In 1997, the Commission adopted rules and implementation schedules for closed captioning, which became effective on January 1, 1998.</w:t>
      </w:r>
      <w:r>
        <w:rPr>
          <w:szCs w:val="22"/>
          <w:vertAlign w:val="superscript"/>
        </w:rPr>
        <w:footnoteReference w:id="4"/>
      </w:r>
      <w:r>
        <w:rPr>
          <w:szCs w:val="22"/>
        </w:rPr>
        <w:t xml:space="preserve">  The Commission’s closed </w:t>
      </w:r>
      <w:r>
        <w:rPr>
          <w:szCs w:val="22"/>
        </w:rPr>
        <w:lastRenderedPageBreak/>
        <w:t>captioning rules currently require video programming distributors, absent an exemption, to caption 100 percent of all new English and Spanish language programming.</w:t>
      </w:r>
      <w:r>
        <w:rPr>
          <w:szCs w:val="22"/>
          <w:vertAlign w:val="superscript"/>
        </w:rPr>
        <w:footnoteReference w:id="5"/>
      </w:r>
      <w:r>
        <w:rPr>
          <w:szCs w:val="22"/>
        </w:rPr>
        <w:t xml:space="preserve">  </w:t>
      </w:r>
    </w:p>
    <w:p w14:paraId="21FCFEBF" w14:textId="389CCE0D" w:rsidR="00AC2D49" w:rsidRDefault="00AC2D49" w:rsidP="00AC2D49">
      <w:pPr>
        <w:pStyle w:val="ParaNum"/>
        <w:widowControl/>
        <w:tabs>
          <w:tab w:val="clear" w:pos="1080"/>
        </w:tabs>
        <w:spacing w:after="120"/>
        <w:jc w:val="left"/>
        <w:rPr>
          <w:szCs w:val="22"/>
        </w:rPr>
      </w:pPr>
      <w:r>
        <w:rPr>
          <w:szCs w:val="22"/>
        </w:rPr>
        <w:t>Section 713(d)(3) of the Communications Act authorizes the Commission to grant individual exemptions from the television closed captioning requirements</w:t>
      </w:r>
      <w:r>
        <w:rPr>
          <w:b/>
          <w:caps/>
          <w:szCs w:val="22"/>
        </w:rPr>
        <w:t xml:space="preserve"> </w:t>
      </w:r>
      <w:r>
        <w:rPr>
          <w:szCs w:val="22"/>
        </w:rPr>
        <w:t>upon a showing that the requirements would be economically burdensome, defined as imposing on the petitioner a “significant difficulty or expense.”</w:t>
      </w:r>
      <w:r>
        <w:rPr>
          <w:szCs w:val="22"/>
          <w:vertAlign w:val="superscript"/>
        </w:rPr>
        <w:footnoteReference w:id="6"/>
      </w:r>
      <w:r>
        <w:rPr>
          <w:szCs w:val="22"/>
        </w:rPr>
        <w:t xml:space="preserve">  Any entity in the programming distribution chain, including the owner, provider, or distributor of the programming, may petition the Commission for such an exemption under section 79.1(f) of the Commission’s rules.</w:t>
      </w:r>
      <w:r>
        <w:rPr>
          <w:szCs w:val="22"/>
          <w:vertAlign w:val="superscript"/>
        </w:rPr>
        <w:footnoteReference w:id="7"/>
      </w:r>
      <w:r>
        <w:rPr>
          <w:szCs w:val="22"/>
        </w:rPr>
        <w:t xml:space="preserve">  When making its determination as to whether a petitioner has made the required showing, the Commission, in accordance with section 713(e) of the Communications Act and section 79.1(f)(2) of the Commission’s rules, considers the following factors on a case-by-case basis:  (1) the nature and cost of the closed captions for the programming; (2) the impact on the operation of the provider or program owner; (3) the financial resources of the provider or program owner; and (4) the type of operations of the provider or program owner.</w:t>
      </w:r>
      <w:r>
        <w:rPr>
          <w:szCs w:val="22"/>
          <w:vertAlign w:val="superscript"/>
        </w:rPr>
        <w:footnoteReference w:id="8"/>
      </w:r>
    </w:p>
    <w:p w14:paraId="01C5A29B" w14:textId="77777777" w:rsidR="00AC2D49" w:rsidRDefault="00AC2D49" w:rsidP="00AC2D49">
      <w:pPr>
        <w:pStyle w:val="ParaNum"/>
        <w:widowControl/>
        <w:tabs>
          <w:tab w:val="clear" w:pos="1080"/>
        </w:tabs>
        <w:spacing w:after="120"/>
        <w:jc w:val="left"/>
      </w:pPr>
      <w:r>
        <w:rPr>
          <w:szCs w:val="22"/>
        </w:rPr>
        <w:t xml:space="preserve">The Commission has also determined that  the following information and documentation must be submitted with closed captioning exemption petitions to enable its consideration of the above factors:  </w:t>
      </w:r>
    </w:p>
    <w:p w14:paraId="15FBD726" w14:textId="77777777" w:rsidR="00AC2D49" w:rsidRDefault="00AC2D49" w:rsidP="00AC2D49">
      <w:pPr>
        <w:numPr>
          <w:ilvl w:val="0"/>
          <w:numId w:val="28"/>
        </w:numPr>
        <w:spacing w:after="120"/>
      </w:pPr>
      <w:r>
        <w:lastRenderedPageBreak/>
        <w:t>documentation of the petitioner’s financial status, including detailed information regarding finances and assets;</w:t>
      </w:r>
    </w:p>
    <w:p w14:paraId="7979812E" w14:textId="77777777" w:rsidR="00AC2D49" w:rsidRDefault="00AC2D49" w:rsidP="00AC2D49">
      <w:pPr>
        <w:numPr>
          <w:ilvl w:val="0"/>
          <w:numId w:val="28"/>
        </w:numPr>
        <w:spacing w:after="120"/>
      </w:pPr>
      <w:r>
        <w:t xml:space="preserve">verification that the petitioner has obtained information about the costs it would incur to provide closed captioning of the programming; </w:t>
      </w:r>
    </w:p>
    <w:p w14:paraId="455DB147" w14:textId="77777777" w:rsidR="00AC2D49" w:rsidRDefault="00AC2D49" w:rsidP="00AC2D49">
      <w:pPr>
        <w:numPr>
          <w:ilvl w:val="0"/>
          <w:numId w:val="28"/>
        </w:numPr>
        <w:spacing w:after="120"/>
      </w:pPr>
      <w:r>
        <w:t xml:space="preserve">verification that the petitioner has sought closed captioning assistance from its video programming distributor(s), noting the extent to which such assistance has been provided or rejected; </w:t>
      </w:r>
    </w:p>
    <w:p w14:paraId="3666DC77" w14:textId="77777777" w:rsidR="00AC2D49" w:rsidRDefault="00AC2D49" w:rsidP="00AC2D49">
      <w:pPr>
        <w:numPr>
          <w:ilvl w:val="0"/>
          <w:numId w:val="28"/>
        </w:numPr>
        <w:spacing w:after="120"/>
      </w:pPr>
      <w:r>
        <w:t>verification as to whether the petitioner has sought additional sponsorships (other than from its video programming distributor(s)) or other sources of revenue for captioning; and</w:t>
      </w:r>
    </w:p>
    <w:p w14:paraId="23249BBF" w14:textId="77777777" w:rsidR="00AC2D49" w:rsidRDefault="00AC2D49" w:rsidP="00AC2D49">
      <w:pPr>
        <w:numPr>
          <w:ilvl w:val="0"/>
          <w:numId w:val="28"/>
        </w:numPr>
        <w:spacing w:after="120"/>
        <w:rPr>
          <w:szCs w:val="22"/>
        </w:rPr>
      </w:pPr>
      <w:r>
        <w:t>a showing that the petitioner does not have the means to provide captioning for the programming</w:t>
      </w:r>
      <w:r>
        <w:rPr>
          <w:snapToGrid w:val="0"/>
          <w:kern w:val="28"/>
          <w:szCs w:val="22"/>
        </w:rPr>
        <w:t>.</w:t>
      </w:r>
      <w:r>
        <w:rPr>
          <w:snapToGrid w:val="0"/>
          <w:kern w:val="28"/>
          <w:szCs w:val="22"/>
          <w:vertAlign w:val="superscript"/>
        </w:rPr>
        <w:footnoteReference w:id="9"/>
      </w:r>
      <w:r>
        <w:rPr>
          <w:snapToGrid w:val="0"/>
          <w:kern w:val="28"/>
          <w:szCs w:val="22"/>
        </w:rPr>
        <w:t xml:space="preserve">  </w:t>
      </w:r>
    </w:p>
    <w:p w14:paraId="4E77B20C" w14:textId="77777777" w:rsidR="00AC2D49" w:rsidRDefault="00AC2D49" w:rsidP="00AC2D49">
      <w:pPr>
        <w:pStyle w:val="ParaNum"/>
        <w:widowControl/>
        <w:tabs>
          <w:tab w:val="clear" w:pos="1080"/>
        </w:tabs>
        <w:spacing w:after="120"/>
        <w:jc w:val="left"/>
        <w:rPr>
          <w:szCs w:val="22"/>
        </w:rPr>
      </w:pPr>
      <w:r w:rsidRPr="00101734">
        <w:rPr>
          <w:snapToGrid w:val="0"/>
          <w:szCs w:val="22"/>
        </w:rPr>
        <w:t xml:space="preserve">Each </w:t>
      </w:r>
      <w:r w:rsidRPr="00BC5080">
        <w:rPr>
          <w:szCs w:val="22"/>
        </w:rPr>
        <w:t>petition</w:t>
      </w:r>
      <w:r w:rsidRPr="00101734">
        <w:rPr>
          <w:snapToGrid w:val="0"/>
          <w:szCs w:val="22"/>
        </w:rPr>
        <w:t xml:space="preserve"> must </w:t>
      </w:r>
      <w:r w:rsidRPr="00101734">
        <w:rPr>
          <w:szCs w:val="22"/>
        </w:rPr>
        <w:t>contain a detailed, full showing of any facts or considerations relied upon, supported by affidavit</w:t>
      </w:r>
      <w:r w:rsidRPr="00101734">
        <w:rPr>
          <w:snapToGrid w:val="0"/>
          <w:szCs w:val="22"/>
        </w:rPr>
        <w:t>.</w:t>
      </w:r>
      <w:r w:rsidRPr="00101734">
        <w:rPr>
          <w:szCs w:val="22"/>
          <w:vertAlign w:val="superscript"/>
        </w:rPr>
        <w:footnoteReference w:id="10"/>
      </w:r>
      <w:r w:rsidRPr="00101734">
        <w:rPr>
          <w:snapToGrid w:val="0"/>
          <w:szCs w:val="22"/>
        </w:rPr>
        <w:t xml:space="preserve">  Failure to support an exemption request with adequate explanation and evidence may result in the dismissal of the request.</w:t>
      </w:r>
      <w:r w:rsidRPr="00101734">
        <w:rPr>
          <w:snapToGrid w:val="0"/>
          <w:szCs w:val="22"/>
          <w:vertAlign w:val="superscript"/>
        </w:rPr>
        <w:footnoteReference w:id="11"/>
      </w:r>
      <w:r w:rsidRPr="00101734">
        <w:rPr>
          <w:snapToGrid w:val="0"/>
          <w:szCs w:val="22"/>
        </w:rPr>
        <w:t xml:space="preserve">  While a petition is pending, the programming subject to the request for exemption is considered exempt from the closed captioning requirements.</w:t>
      </w:r>
      <w:r w:rsidRPr="00101734">
        <w:rPr>
          <w:snapToGrid w:val="0"/>
          <w:kern w:val="28"/>
          <w:szCs w:val="22"/>
          <w:vertAlign w:val="superscript"/>
        </w:rPr>
        <w:footnoteReference w:id="12"/>
      </w:r>
    </w:p>
    <w:p w14:paraId="60F65105" w14:textId="0D1E5C75" w:rsidR="004D6FC5" w:rsidRDefault="00AD20A1" w:rsidP="00513528">
      <w:pPr>
        <w:pStyle w:val="ParaNum"/>
        <w:tabs>
          <w:tab w:val="clear" w:pos="1080"/>
        </w:tabs>
        <w:jc w:val="left"/>
        <w:rPr>
          <w:szCs w:val="22"/>
        </w:rPr>
      </w:pPr>
      <w:r w:rsidRPr="00653918">
        <w:rPr>
          <w:szCs w:val="22"/>
        </w:rPr>
        <w:t>Kellogg</w:t>
      </w:r>
      <w:r w:rsidR="00AE5834" w:rsidRPr="00653918">
        <w:rPr>
          <w:szCs w:val="22"/>
        </w:rPr>
        <w:t xml:space="preserve"> initially </w:t>
      </w:r>
      <w:r w:rsidR="00322310">
        <w:rPr>
          <w:szCs w:val="22"/>
        </w:rPr>
        <w:t>submitted</w:t>
      </w:r>
      <w:r w:rsidR="00AE5834" w:rsidRPr="00653918">
        <w:rPr>
          <w:szCs w:val="22"/>
        </w:rPr>
        <w:t xml:space="preserve"> a petition for exemption </w:t>
      </w:r>
      <w:r w:rsidR="00804516">
        <w:rPr>
          <w:szCs w:val="22"/>
        </w:rPr>
        <w:t>on February 6,</w:t>
      </w:r>
      <w:r w:rsidRPr="00653918">
        <w:rPr>
          <w:szCs w:val="22"/>
        </w:rPr>
        <w:t xml:space="preserve"> 2006</w:t>
      </w:r>
      <w:r w:rsidR="00591A81" w:rsidRPr="00653918">
        <w:rPr>
          <w:szCs w:val="22"/>
        </w:rPr>
        <w:t>.</w:t>
      </w:r>
      <w:r w:rsidR="00591A81" w:rsidRPr="00EF4D9B">
        <w:rPr>
          <w:rStyle w:val="FootnoteReference"/>
          <w:szCs w:val="22"/>
        </w:rPr>
        <w:footnoteReference w:id="13"/>
      </w:r>
      <w:r w:rsidR="00AE5834" w:rsidRPr="00653918">
        <w:rPr>
          <w:vanish/>
          <w:szCs w:val="22"/>
        </w:rPr>
        <w:t xml:space="preserve">  </w:t>
      </w:r>
      <w:r w:rsidR="00F63EC8" w:rsidRPr="00653918">
        <w:rPr>
          <w:szCs w:val="22"/>
        </w:rPr>
        <w:t xml:space="preserve">  </w:t>
      </w:r>
      <w:r w:rsidR="00804516">
        <w:rPr>
          <w:szCs w:val="22"/>
        </w:rPr>
        <w:t xml:space="preserve">In a Public Notice released on November 7, 2006, the </w:t>
      </w:r>
      <w:r w:rsidR="00CD0EFA">
        <w:rPr>
          <w:szCs w:val="22"/>
        </w:rPr>
        <w:t xml:space="preserve">Consumer and Governmental </w:t>
      </w:r>
      <w:r w:rsidR="00804516">
        <w:rPr>
          <w:szCs w:val="22"/>
        </w:rPr>
        <w:t xml:space="preserve">Bureau </w:t>
      </w:r>
      <w:r w:rsidR="00CD0EFA">
        <w:rPr>
          <w:szCs w:val="22"/>
        </w:rPr>
        <w:t xml:space="preserve">(Bureau) </w:t>
      </w:r>
      <w:r w:rsidR="00804516">
        <w:rPr>
          <w:szCs w:val="22"/>
        </w:rPr>
        <w:t xml:space="preserve">invited comment on the </w:t>
      </w:r>
      <w:r w:rsidR="00DD6C7E">
        <w:rPr>
          <w:szCs w:val="22"/>
        </w:rPr>
        <w:t>P</w:t>
      </w:r>
      <w:r w:rsidR="00804516">
        <w:rPr>
          <w:szCs w:val="22"/>
        </w:rPr>
        <w:t>etition.</w:t>
      </w:r>
      <w:r w:rsidR="00D4290B" w:rsidRPr="00887494">
        <w:rPr>
          <w:rStyle w:val="FootnoteReference"/>
          <w:szCs w:val="22"/>
        </w:rPr>
        <w:footnoteReference w:id="14"/>
      </w:r>
      <w:r w:rsidR="00D4290B" w:rsidRPr="00653918">
        <w:rPr>
          <w:szCs w:val="22"/>
        </w:rPr>
        <w:t xml:space="preserve">  C</w:t>
      </w:r>
      <w:r w:rsidR="0043586E">
        <w:rPr>
          <w:szCs w:val="22"/>
        </w:rPr>
        <w:t>ertain c</w:t>
      </w:r>
      <w:r w:rsidR="00D4290B" w:rsidRPr="00653918">
        <w:rPr>
          <w:szCs w:val="22"/>
        </w:rPr>
        <w:t xml:space="preserve">onsumer </w:t>
      </w:r>
      <w:r w:rsidR="0043586E">
        <w:rPr>
          <w:szCs w:val="22"/>
        </w:rPr>
        <w:t>organizations</w:t>
      </w:r>
      <w:r w:rsidR="00D4290B" w:rsidRPr="00653918">
        <w:rPr>
          <w:szCs w:val="22"/>
        </w:rPr>
        <w:t xml:space="preserve"> join</w:t>
      </w:r>
      <w:r w:rsidR="009760DC">
        <w:rPr>
          <w:szCs w:val="22"/>
        </w:rPr>
        <w:t xml:space="preserve">tly filed an opposition to the </w:t>
      </w:r>
      <w:r w:rsidR="00DD6C7E">
        <w:rPr>
          <w:szCs w:val="22"/>
        </w:rPr>
        <w:t>P</w:t>
      </w:r>
      <w:r w:rsidR="00D4290B" w:rsidRPr="00653918">
        <w:rPr>
          <w:szCs w:val="22"/>
        </w:rPr>
        <w:t>etition.</w:t>
      </w:r>
      <w:r w:rsidR="00D4290B" w:rsidRPr="00317971">
        <w:rPr>
          <w:rStyle w:val="FootnoteReference"/>
          <w:szCs w:val="22"/>
        </w:rPr>
        <w:footnoteReference w:id="15"/>
      </w:r>
      <w:r w:rsidR="00D4290B" w:rsidRPr="00653918">
        <w:rPr>
          <w:szCs w:val="22"/>
        </w:rPr>
        <w:t xml:space="preserve">  </w:t>
      </w:r>
      <w:r w:rsidR="004C5690">
        <w:t xml:space="preserve">In </w:t>
      </w:r>
      <w:r w:rsidR="004C5690" w:rsidRPr="00EF4D9B">
        <w:t>201</w:t>
      </w:r>
      <w:r w:rsidR="004C5690">
        <w:t xml:space="preserve">2, the Bureau notified </w:t>
      </w:r>
      <w:r w:rsidR="00394109">
        <w:t>Kellogg</w:t>
      </w:r>
      <w:r w:rsidR="004C5690">
        <w:t xml:space="preserve"> of the need to file updated information with respect to its pending Petition.</w:t>
      </w:r>
      <w:r w:rsidR="004C5690">
        <w:rPr>
          <w:rStyle w:val="FootnoteReference"/>
        </w:rPr>
        <w:footnoteReference w:id="16"/>
      </w:r>
      <w:r w:rsidR="004C5690">
        <w:rPr>
          <w:szCs w:val="22"/>
        </w:rPr>
        <w:t xml:space="preserve">  In response, </w:t>
      </w:r>
      <w:r w:rsidR="00394109">
        <w:rPr>
          <w:szCs w:val="22"/>
        </w:rPr>
        <w:t>Kellogg</w:t>
      </w:r>
      <w:r w:rsidR="004C5690">
        <w:rPr>
          <w:szCs w:val="22"/>
        </w:rPr>
        <w:t xml:space="preserve"> supplemented its </w:t>
      </w:r>
      <w:r w:rsidR="009A092B">
        <w:rPr>
          <w:szCs w:val="22"/>
        </w:rPr>
        <w:t>Petition</w:t>
      </w:r>
      <w:r w:rsidR="00394109">
        <w:rPr>
          <w:szCs w:val="22"/>
        </w:rPr>
        <w:t>.</w:t>
      </w:r>
      <w:r w:rsidR="000B3427">
        <w:rPr>
          <w:rStyle w:val="FootnoteReference"/>
          <w:szCs w:val="22"/>
        </w:rPr>
        <w:footnoteReference w:id="17"/>
      </w:r>
      <w:r w:rsidR="000B3427" w:rsidRPr="00653918">
        <w:rPr>
          <w:szCs w:val="22"/>
        </w:rPr>
        <w:t xml:space="preserve"> </w:t>
      </w:r>
      <w:r w:rsidR="00752CD6" w:rsidRPr="00653918">
        <w:rPr>
          <w:szCs w:val="22"/>
        </w:rPr>
        <w:t xml:space="preserve"> </w:t>
      </w:r>
      <w:r w:rsidR="00653918">
        <w:rPr>
          <w:szCs w:val="22"/>
        </w:rPr>
        <w:t xml:space="preserve">On </w:t>
      </w:r>
      <w:r w:rsidR="00887494" w:rsidRPr="00653918">
        <w:rPr>
          <w:szCs w:val="22"/>
        </w:rPr>
        <w:t xml:space="preserve">February </w:t>
      </w:r>
      <w:r w:rsidR="00653918">
        <w:rPr>
          <w:szCs w:val="22"/>
        </w:rPr>
        <w:t>2</w:t>
      </w:r>
      <w:r w:rsidR="00887494" w:rsidRPr="00653918">
        <w:rPr>
          <w:szCs w:val="22"/>
        </w:rPr>
        <w:t>8, 2013</w:t>
      </w:r>
      <w:r w:rsidR="00752CD6" w:rsidRPr="00653918">
        <w:rPr>
          <w:szCs w:val="22"/>
        </w:rPr>
        <w:t xml:space="preserve">, the </w:t>
      </w:r>
      <w:r w:rsidR="00E96C3A" w:rsidRPr="00653918">
        <w:rPr>
          <w:szCs w:val="22"/>
        </w:rPr>
        <w:t>Bureau</w:t>
      </w:r>
      <w:r w:rsidR="000C4E0D" w:rsidRPr="00653918">
        <w:rPr>
          <w:szCs w:val="22"/>
        </w:rPr>
        <w:t xml:space="preserve"> </w:t>
      </w:r>
      <w:r w:rsidR="00752CD6" w:rsidRPr="00653918">
        <w:rPr>
          <w:szCs w:val="22"/>
        </w:rPr>
        <w:t>invited comment on the Petition.</w:t>
      </w:r>
      <w:r w:rsidR="00752CD6" w:rsidRPr="00887494">
        <w:rPr>
          <w:rStyle w:val="FootnoteReference"/>
          <w:szCs w:val="22"/>
        </w:rPr>
        <w:footnoteReference w:id="18"/>
      </w:r>
      <w:r w:rsidR="00752CD6" w:rsidRPr="00653918">
        <w:rPr>
          <w:szCs w:val="22"/>
        </w:rPr>
        <w:t xml:space="preserve">  </w:t>
      </w:r>
      <w:r w:rsidR="00EC05BC">
        <w:rPr>
          <w:szCs w:val="22"/>
        </w:rPr>
        <w:t>Again, several c</w:t>
      </w:r>
      <w:r w:rsidR="004A2BB3">
        <w:rPr>
          <w:szCs w:val="22"/>
        </w:rPr>
        <w:t>onsumer g</w:t>
      </w:r>
      <w:r w:rsidR="0006239D" w:rsidRPr="00653918">
        <w:rPr>
          <w:szCs w:val="22"/>
        </w:rPr>
        <w:t xml:space="preserve">roups jointly </w:t>
      </w:r>
      <w:r w:rsidR="00EC05BC">
        <w:rPr>
          <w:szCs w:val="22"/>
        </w:rPr>
        <w:t>opposed</w:t>
      </w:r>
      <w:r w:rsidR="0006239D" w:rsidRPr="00653918">
        <w:rPr>
          <w:szCs w:val="22"/>
        </w:rPr>
        <w:t xml:space="preserve"> the Petition</w:t>
      </w:r>
      <w:r w:rsidR="004D6FC5">
        <w:rPr>
          <w:szCs w:val="22"/>
        </w:rPr>
        <w:t>.</w:t>
      </w:r>
      <w:r w:rsidR="00752CD6" w:rsidRPr="00317971">
        <w:rPr>
          <w:rStyle w:val="FootnoteReference"/>
          <w:szCs w:val="22"/>
        </w:rPr>
        <w:footnoteReference w:id="19"/>
      </w:r>
      <w:r w:rsidR="002A6E75">
        <w:rPr>
          <w:szCs w:val="22"/>
        </w:rPr>
        <w:t xml:space="preserve"> </w:t>
      </w:r>
      <w:r w:rsidR="004D6FC5">
        <w:rPr>
          <w:szCs w:val="22"/>
        </w:rPr>
        <w:t xml:space="preserve"> By letter dated April 19, 2013, </w:t>
      </w:r>
      <w:r w:rsidR="002A6E75">
        <w:rPr>
          <w:szCs w:val="22"/>
        </w:rPr>
        <w:t>Kellogg responded to this opposition with supplemental information.</w:t>
      </w:r>
      <w:r w:rsidR="002A6E75">
        <w:rPr>
          <w:rStyle w:val="FootnoteReference"/>
          <w:szCs w:val="22"/>
        </w:rPr>
        <w:footnoteReference w:id="20"/>
      </w:r>
      <w:r w:rsidR="00752CD6" w:rsidRPr="00653918">
        <w:rPr>
          <w:szCs w:val="22"/>
        </w:rPr>
        <w:t xml:space="preserve">  Subsequently, </w:t>
      </w:r>
      <w:r w:rsidR="0006239D" w:rsidRPr="00653918">
        <w:rPr>
          <w:szCs w:val="22"/>
        </w:rPr>
        <w:t>the Bureau determined that it required additional and updated information to enable it to determine whether the programming that was the subject of the Petition should be exempt from the Commission’s closed captioning obligations.</w:t>
      </w:r>
      <w:r w:rsidR="00EC05BC">
        <w:rPr>
          <w:rStyle w:val="FootnoteReference"/>
          <w:szCs w:val="22"/>
        </w:rPr>
        <w:footnoteReference w:id="21"/>
      </w:r>
      <w:r w:rsidR="0006239D" w:rsidRPr="00653918">
        <w:rPr>
          <w:szCs w:val="22"/>
        </w:rPr>
        <w:t xml:space="preserve">  I</w:t>
      </w:r>
      <w:r w:rsidR="000248CE" w:rsidRPr="00653918">
        <w:rPr>
          <w:szCs w:val="22"/>
        </w:rPr>
        <w:t xml:space="preserve">n response to </w:t>
      </w:r>
      <w:r w:rsidR="00D974DF" w:rsidRPr="00653918">
        <w:rPr>
          <w:szCs w:val="22"/>
        </w:rPr>
        <w:t xml:space="preserve">Bureau </w:t>
      </w:r>
      <w:r w:rsidR="00EC05BC">
        <w:rPr>
          <w:szCs w:val="22"/>
        </w:rPr>
        <w:t>letters</w:t>
      </w:r>
      <w:r w:rsidR="00513528">
        <w:rPr>
          <w:szCs w:val="22"/>
        </w:rPr>
        <w:t xml:space="preserve"> dated </w:t>
      </w:r>
      <w:r w:rsidR="00EC05BC">
        <w:rPr>
          <w:szCs w:val="22"/>
        </w:rPr>
        <w:t>September 27, 2013 and May 30, 2014,</w:t>
      </w:r>
      <w:r w:rsidR="00327A37">
        <w:rPr>
          <w:szCs w:val="22"/>
        </w:rPr>
        <w:t xml:space="preserve"> </w:t>
      </w:r>
      <w:r w:rsidR="00887494" w:rsidRPr="00653918">
        <w:rPr>
          <w:szCs w:val="22"/>
        </w:rPr>
        <w:t>Kellogg</w:t>
      </w:r>
      <w:r w:rsidR="00752CD6" w:rsidRPr="00653918">
        <w:rPr>
          <w:szCs w:val="22"/>
        </w:rPr>
        <w:t xml:space="preserve"> </w:t>
      </w:r>
      <w:r w:rsidR="00AE5834" w:rsidRPr="00653918">
        <w:rPr>
          <w:szCs w:val="22"/>
        </w:rPr>
        <w:t>supplemented its Petition.</w:t>
      </w:r>
      <w:r w:rsidR="00AE5834" w:rsidRPr="00317971">
        <w:rPr>
          <w:rStyle w:val="FootnoteReference"/>
          <w:szCs w:val="22"/>
        </w:rPr>
        <w:footnoteReference w:id="22"/>
      </w:r>
      <w:r w:rsidR="00AE5834" w:rsidRPr="00653918">
        <w:rPr>
          <w:szCs w:val="22"/>
        </w:rPr>
        <w:t xml:space="preserve">  The </w:t>
      </w:r>
      <w:r w:rsidR="000C4E0D" w:rsidRPr="00653918">
        <w:rPr>
          <w:szCs w:val="22"/>
        </w:rPr>
        <w:t xml:space="preserve">Bureau </w:t>
      </w:r>
      <w:r w:rsidR="0006239D" w:rsidRPr="00653918">
        <w:rPr>
          <w:szCs w:val="22"/>
        </w:rPr>
        <w:t xml:space="preserve">again </w:t>
      </w:r>
      <w:r w:rsidR="00AE5834" w:rsidRPr="00653918">
        <w:rPr>
          <w:szCs w:val="22"/>
        </w:rPr>
        <w:t xml:space="preserve">placed the Petition on Public Notice </w:t>
      </w:r>
      <w:r w:rsidR="0006239D" w:rsidRPr="00653918">
        <w:rPr>
          <w:szCs w:val="22"/>
        </w:rPr>
        <w:t xml:space="preserve">for comment </w:t>
      </w:r>
      <w:r w:rsidR="00AE5834" w:rsidRPr="00653918">
        <w:rPr>
          <w:szCs w:val="22"/>
        </w:rPr>
        <w:t xml:space="preserve">on </w:t>
      </w:r>
      <w:r w:rsidR="00791681">
        <w:rPr>
          <w:szCs w:val="22"/>
        </w:rPr>
        <w:t xml:space="preserve">January </w:t>
      </w:r>
      <w:r w:rsidR="001D1D0E">
        <w:rPr>
          <w:szCs w:val="22"/>
        </w:rPr>
        <w:t>1</w:t>
      </w:r>
      <w:r w:rsidR="00791681">
        <w:rPr>
          <w:szCs w:val="22"/>
        </w:rPr>
        <w:t>4, 2015</w:t>
      </w:r>
      <w:r w:rsidR="00AE5834" w:rsidRPr="00653918">
        <w:rPr>
          <w:szCs w:val="22"/>
        </w:rPr>
        <w:t>.</w:t>
      </w:r>
      <w:r w:rsidR="00AE5834" w:rsidRPr="00E74DC1">
        <w:rPr>
          <w:rStyle w:val="FootnoteReference"/>
          <w:szCs w:val="22"/>
        </w:rPr>
        <w:footnoteReference w:id="23"/>
      </w:r>
      <w:r w:rsidR="00AE5834" w:rsidRPr="00653918">
        <w:rPr>
          <w:szCs w:val="22"/>
        </w:rPr>
        <w:t xml:space="preserve">  </w:t>
      </w:r>
      <w:r w:rsidR="00A82180">
        <w:rPr>
          <w:szCs w:val="22"/>
        </w:rPr>
        <w:t>S</w:t>
      </w:r>
      <w:r w:rsidR="00F003D1">
        <w:rPr>
          <w:szCs w:val="22"/>
        </w:rPr>
        <w:t xml:space="preserve">everal consumer groups jointly </w:t>
      </w:r>
      <w:r w:rsidR="00A82180">
        <w:rPr>
          <w:szCs w:val="22"/>
        </w:rPr>
        <w:t xml:space="preserve">supported </w:t>
      </w:r>
      <w:r w:rsidR="00F003D1">
        <w:rPr>
          <w:szCs w:val="22"/>
        </w:rPr>
        <w:t>the Petition</w:t>
      </w:r>
      <w:r w:rsidR="00F003D1" w:rsidRPr="00752CD6">
        <w:rPr>
          <w:szCs w:val="22"/>
        </w:rPr>
        <w:t>.</w:t>
      </w:r>
      <w:r w:rsidR="00F003D1" w:rsidRPr="00EB38D7">
        <w:rPr>
          <w:rStyle w:val="FootnoteReference"/>
          <w:szCs w:val="22"/>
        </w:rPr>
        <w:footnoteReference w:id="24"/>
      </w:r>
    </w:p>
    <w:p w14:paraId="648F24C6" w14:textId="77777777" w:rsidR="00F013EA" w:rsidRPr="00FD62B1" w:rsidRDefault="00F013EA" w:rsidP="00F9241E">
      <w:pPr>
        <w:pStyle w:val="Heading1"/>
        <w:keepNext w:val="0"/>
        <w:widowControl/>
        <w:spacing w:after="120"/>
        <w:jc w:val="left"/>
        <w:rPr>
          <w:szCs w:val="22"/>
        </w:rPr>
      </w:pPr>
      <w:r w:rsidRPr="00FD62B1">
        <w:rPr>
          <w:szCs w:val="22"/>
        </w:rPr>
        <w:t>discussion</w:t>
      </w:r>
    </w:p>
    <w:p w14:paraId="6282B8B6" w14:textId="729996CC" w:rsidR="00AF3053" w:rsidRDefault="008F70D8" w:rsidP="00B5511C">
      <w:pPr>
        <w:pStyle w:val="ParaNum"/>
        <w:widowControl/>
        <w:tabs>
          <w:tab w:val="clear" w:pos="1080"/>
        </w:tabs>
        <w:spacing w:after="120"/>
        <w:jc w:val="left"/>
        <w:rPr>
          <w:szCs w:val="22"/>
        </w:rPr>
      </w:pPr>
      <w:r>
        <w:rPr>
          <w:szCs w:val="22"/>
        </w:rPr>
        <w:t>Kellogg</w:t>
      </w:r>
      <w:r w:rsidR="003F144F" w:rsidRPr="001D646A">
        <w:rPr>
          <w:szCs w:val="22"/>
        </w:rPr>
        <w:t xml:space="preserve"> </w:t>
      </w:r>
      <w:r w:rsidR="00F013EA" w:rsidRPr="001D646A">
        <w:rPr>
          <w:szCs w:val="22"/>
        </w:rPr>
        <w:t>produces</w:t>
      </w:r>
      <w:r w:rsidR="00426114" w:rsidRPr="001D646A">
        <w:rPr>
          <w:szCs w:val="22"/>
        </w:rPr>
        <w:t xml:space="preserve"> </w:t>
      </w:r>
      <w:r>
        <w:rPr>
          <w:i/>
          <w:szCs w:val="22"/>
        </w:rPr>
        <w:t>Mohawk Valley Living</w:t>
      </w:r>
      <w:r w:rsidR="00426114" w:rsidRPr="001D646A">
        <w:rPr>
          <w:szCs w:val="22"/>
        </w:rPr>
        <w:t>,</w:t>
      </w:r>
      <w:r w:rsidR="00F013EA" w:rsidRPr="001D646A">
        <w:rPr>
          <w:szCs w:val="22"/>
        </w:rPr>
        <w:t xml:space="preserve"> a </w:t>
      </w:r>
      <w:r w:rsidR="00BA0492">
        <w:rPr>
          <w:szCs w:val="22"/>
        </w:rPr>
        <w:t xml:space="preserve">one </w:t>
      </w:r>
      <w:r w:rsidR="00B5511C">
        <w:rPr>
          <w:szCs w:val="22"/>
        </w:rPr>
        <w:t>half</w:t>
      </w:r>
      <w:r w:rsidR="00AE58C1" w:rsidRPr="001D646A">
        <w:rPr>
          <w:szCs w:val="22"/>
        </w:rPr>
        <w:t>-</w:t>
      </w:r>
      <w:r w:rsidR="00F013EA" w:rsidRPr="001D646A">
        <w:rPr>
          <w:szCs w:val="22"/>
        </w:rPr>
        <w:t xml:space="preserve">hour </w:t>
      </w:r>
      <w:r w:rsidR="001F38C8" w:rsidRPr="001D646A">
        <w:rPr>
          <w:szCs w:val="22"/>
        </w:rPr>
        <w:t>program</w:t>
      </w:r>
      <w:r w:rsidR="00F013EA" w:rsidRPr="001D646A">
        <w:rPr>
          <w:szCs w:val="22"/>
        </w:rPr>
        <w:t xml:space="preserve"> that is broadcast</w:t>
      </w:r>
      <w:r w:rsidR="00DD24C7" w:rsidRPr="001D646A">
        <w:rPr>
          <w:szCs w:val="22"/>
        </w:rPr>
        <w:t xml:space="preserve"> weekly</w:t>
      </w:r>
      <w:r w:rsidR="00B5511C">
        <w:rPr>
          <w:szCs w:val="22"/>
        </w:rPr>
        <w:t xml:space="preserve"> </w:t>
      </w:r>
      <w:r w:rsidR="00F013EA" w:rsidRPr="001D646A">
        <w:rPr>
          <w:szCs w:val="22"/>
        </w:rPr>
        <w:t xml:space="preserve">on </w:t>
      </w:r>
      <w:r w:rsidR="004D6FC5">
        <w:rPr>
          <w:szCs w:val="22"/>
        </w:rPr>
        <w:t xml:space="preserve">Station </w:t>
      </w:r>
      <w:r w:rsidR="00B5511C">
        <w:rPr>
          <w:szCs w:val="22"/>
        </w:rPr>
        <w:t>W</w:t>
      </w:r>
      <w:r w:rsidR="00AF3053">
        <w:rPr>
          <w:szCs w:val="22"/>
        </w:rPr>
        <w:t>FXV</w:t>
      </w:r>
      <w:r w:rsidR="004D6FC5">
        <w:rPr>
          <w:szCs w:val="22"/>
        </w:rPr>
        <w:t xml:space="preserve">-TV </w:t>
      </w:r>
      <w:r w:rsidR="00B5511C">
        <w:rPr>
          <w:szCs w:val="22"/>
        </w:rPr>
        <w:t>in Utica, New York</w:t>
      </w:r>
      <w:r w:rsidR="00D7317C">
        <w:rPr>
          <w:szCs w:val="22"/>
        </w:rPr>
        <w:t xml:space="preserve"> (WFXV-TV)</w:t>
      </w:r>
      <w:r w:rsidR="00B5511C">
        <w:rPr>
          <w:szCs w:val="22"/>
        </w:rPr>
        <w:t>.</w:t>
      </w:r>
      <w:r w:rsidR="00F738BD" w:rsidRPr="00FD62B1">
        <w:rPr>
          <w:rStyle w:val="FootnoteReference"/>
          <w:szCs w:val="22"/>
        </w:rPr>
        <w:footnoteReference w:id="25"/>
      </w:r>
      <w:r w:rsidR="00DD24C7" w:rsidRPr="001D646A">
        <w:rPr>
          <w:szCs w:val="22"/>
        </w:rPr>
        <w:t xml:space="preserve">  </w:t>
      </w:r>
      <w:r w:rsidR="00B5511C">
        <w:rPr>
          <w:szCs w:val="22"/>
        </w:rPr>
        <w:t>Kellogg states that its program</w:t>
      </w:r>
      <w:r w:rsidR="00E600BF">
        <w:rPr>
          <w:szCs w:val="22"/>
        </w:rPr>
        <w:t xml:space="preserve"> “explores the many small communities in the Utica area” with interviews with </w:t>
      </w:r>
      <w:r w:rsidR="00B710F3">
        <w:rPr>
          <w:szCs w:val="22"/>
        </w:rPr>
        <w:t>historians</w:t>
      </w:r>
      <w:r w:rsidR="00E600BF">
        <w:rPr>
          <w:szCs w:val="22"/>
        </w:rPr>
        <w:t>, business owners, artists, farms, and churches.</w:t>
      </w:r>
      <w:r w:rsidR="00E600BF">
        <w:rPr>
          <w:rStyle w:val="FootnoteReference"/>
          <w:szCs w:val="22"/>
        </w:rPr>
        <w:footnoteReference w:id="26"/>
      </w:r>
      <w:r w:rsidR="00B5511C">
        <w:rPr>
          <w:szCs w:val="22"/>
        </w:rPr>
        <w:t xml:space="preserve">  </w:t>
      </w:r>
      <w:r w:rsidR="00AF3053">
        <w:rPr>
          <w:szCs w:val="22"/>
        </w:rPr>
        <w:t>Kellogg contends that it is operated solely by Lance and Sharry Whitney, who have no employees and no other source of income than that which is produced by the program.</w:t>
      </w:r>
      <w:r w:rsidR="00AE0222">
        <w:rPr>
          <w:rStyle w:val="FootnoteReference"/>
          <w:szCs w:val="22"/>
        </w:rPr>
        <w:footnoteReference w:id="27"/>
      </w:r>
      <w:r w:rsidR="00AF3053">
        <w:rPr>
          <w:szCs w:val="22"/>
        </w:rPr>
        <w:t xml:space="preserve">  </w:t>
      </w:r>
      <w:r w:rsidR="00F433A8">
        <w:rPr>
          <w:szCs w:val="22"/>
        </w:rPr>
        <w:t>I</w:t>
      </w:r>
      <w:r w:rsidR="00AF3053">
        <w:rPr>
          <w:szCs w:val="22"/>
        </w:rPr>
        <w:t xml:space="preserve">t </w:t>
      </w:r>
      <w:r w:rsidR="00F433A8">
        <w:rPr>
          <w:szCs w:val="22"/>
        </w:rPr>
        <w:t>state</w:t>
      </w:r>
      <w:r w:rsidR="00AF3053">
        <w:rPr>
          <w:szCs w:val="22"/>
        </w:rPr>
        <w:t xml:space="preserve">s that it is unable to afford the </w:t>
      </w:r>
      <w:r w:rsidR="00F433A8">
        <w:rPr>
          <w:szCs w:val="22"/>
        </w:rPr>
        <w:t>cost of closed captioning for the program.</w:t>
      </w:r>
      <w:r w:rsidR="00AE0222">
        <w:rPr>
          <w:rStyle w:val="FootnoteReference"/>
          <w:szCs w:val="22"/>
        </w:rPr>
        <w:footnoteReference w:id="28"/>
      </w:r>
      <w:r w:rsidR="00F433A8">
        <w:rPr>
          <w:szCs w:val="22"/>
        </w:rPr>
        <w:t xml:space="preserve">  </w:t>
      </w:r>
      <w:r w:rsidR="001463C0">
        <w:rPr>
          <w:szCs w:val="22"/>
        </w:rPr>
        <w:t xml:space="preserve">Kellogg asks for a temporary exemption to the end of the year 2015, and that </w:t>
      </w:r>
      <w:r w:rsidR="00F433A8">
        <w:rPr>
          <w:szCs w:val="22"/>
        </w:rPr>
        <w:t xml:space="preserve">it </w:t>
      </w:r>
      <w:r w:rsidR="00AF3053">
        <w:rPr>
          <w:szCs w:val="22"/>
        </w:rPr>
        <w:t>intends to c</w:t>
      </w:r>
      <w:r w:rsidR="00F433A8">
        <w:rPr>
          <w:szCs w:val="22"/>
        </w:rPr>
        <w:t>e</w:t>
      </w:r>
      <w:r w:rsidR="00AF3053">
        <w:rPr>
          <w:szCs w:val="22"/>
        </w:rPr>
        <w:t xml:space="preserve">ase production of </w:t>
      </w:r>
      <w:r w:rsidR="00AF3053">
        <w:rPr>
          <w:i/>
          <w:szCs w:val="22"/>
        </w:rPr>
        <w:t>Mohawk Valley Living</w:t>
      </w:r>
      <w:r w:rsidR="001463C0">
        <w:rPr>
          <w:szCs w:val="22"/>
        </w:rPr>
        <w:t xml:space="preserve"> at the end of the year 2015, and in the case production continues, captioning will be ensured for all future programming starting in the year 2016</w:t>
      </w:r>
      <w:r w:rsidR="001E508B">
        <w:rPr>
          <w:szCs w:val="22"/>
        </w:rPr>
        <w:t>.</w:t>
      </w:r>
      <w:r w:rsidR="00077821">
        <w:rPr>
          <w:rStyle w:val="FootnoteReference"/>
          <w:szCs w:val="22"/>
        </w:rPr>
        <w:footnoteReference w:id="29"/>
      </w:r>
      <w:r w:rsidR="00077821">
        <w:rPr>
          <w:szCs w:val="22"/>
        </w:rPr>
        <w:t xml:space="preserve"> </w:t>
      </w:r>
      <w:r w:rsidR="00AF3053">
        <w:rPr>
          <w:szCs w:val="22"/>
        </w:rPr>
        <w:t xml:space="preserve"> </w:t>
      </w:r>
    </w:p>
    <w:p w14:paraId="4BF516D4" w14:textId="77777777" w:rsidR="00A30BE7" w:rsidRPr="00A30BE7" w:rsidRDefault="00CB2664" w:rsidP="00A30BE7">
      <w:pPr>
        <w:pStyle w:val="ParaNum"/>
        <w:widowControl/>
        <w:tabs>
          <w:tab w:val="clear" w:pos="1080"/>
        </w:tabs>
        <w:spacing w:after="120"/>
        <w:jc w:val="left"/>
        <w:rPr>
          <w:szCs w:val="22"/>
        </w:rPr>
      </w:pPr>
      <w:r>
        <w:rPr>
          <w:szCs w:val="22"/>
        </w:rPr>
        <w:t>Kellogg</w:t>
      </w:r>
      <w:r w:rsidR="001F38C8" w:rsidRPr="001D646A">
        <w:rPr>
          <w:szCs w:val="22"/>
        </w:rPr>
        <w:t xml:space="preserve"> obtained </w:t>
      </w:r>
      <w:r w:rsidR="008061F8" w:rsidRPr="00B66851">
        <w:rPr>
          <w:szCs w:val="22"/>
        </w:rPr>
        <w:t xml:space="preserve">two </w:t>
      </w:r>
      <w:r w:rsidR="005056C5" w:rsidRPr="00F26182">
        <w:rPr>
          <w:szCs w:val="22"/>
        </w:rPr>
        <w:t>quote</w:t>
      </w:r>
      <w:r w:rsidR="008061F8" w:rsidRPr="00F26182">
        <w:rPr>
          <w:szCs w:val="22"/>
        </w:rPr>
        <w:t>s</w:t>
      </w:r>
      <w:r w:rsidR="005056C5" w:rsidRPr="00F26182">
        <w:rPr>
          <w:szCs w:val="22"/>
        </w:rPr>
        <w:t xml:space="preserve"> </w:t>
      </w:r>
      <w:r w:rsidR="00C765E5" w:rsidRPr="00F26182">
        <w:rPr>
          <w:szCs w:val="22"/>
        </w:rPr>
        <w:t>to caption its program</w:t>
      </w:r>
      <w:r w:rsidR="004D6FC5">
        <w:rPr>
          <w:szCs w:val="22"/>
        </w:rPr>
        <w:t>, one for $150.00 per half-hour program</w:t>
      </w:r>
      <w:r w:rsidR="00EC6BDF">
        <w:rPr>
          <w:szCs w:val="22"/>
        </w:rPr>
        <w:t xml:space="preserve"> from </w:t>
      </w:r>
      <w:r w:rsidR="00B9223A">
        <w:rPr>
          <w:szCs w:val="22"/>
        </w:rPr>
        <w:t>Caption Advantage</w:t>
      </w:r>
      <w:r w:rsidR="004D6FC5">
        <w:rPr>
          <w:szCs w:val="22"/>
        </w:rPr>
        <w:t xml:space="preserve"> and another for $150</w:t>
      </w:r>
      <w:r w:rsidR="00E310B3">
        <w:rPr>
          <w:szCs w:val="22"/>
        </w:rPr>
        <w:t>.00 per half-hour program from VITAC.</w:t>
      </w:r>
      <w:r w:rsidR="00E310B3">
        <w:rPr>
          <w:rStyle w:val="FootnoteReference"/>
          <w:szCs w:val="22"/>
        </w:rPr>
        <w:footnoteReference w:id="30"/>
      </w:r>
      <w:r w:rsidR="00E310B3">
        <w:rPr>
          <w:szCs w:val="22"/>
        </w:rPr>
        <w:t xml:space="preserve">  Based on these quotes, Kellogg</w:t>
      </w:r>
      <w:r w:rsidR="00EC6BDF">
        <w:rPr>
          <w:szCs w:val="22"/>
        </w:rPr>
        <w:t xml:space="preserve"> states that </w:t>
      </w:r>
      <w:r w:rsidR="00E310B3">
        <w:rPr>
          <w:szCs w:val="22"/>
        </w:rPr>
        <w:t xml:space="preserve">cost of captioning services for a full year of </w:t>
      </w:r>
      <w:r w:rsidR="00E310B3">
        <w:rPr>
          <w:i/>
          <w:szCs w:val="22"/>
        </w:rPr>
        <w:t xml:space="preserve">Mohawk Valley Living </w:t>
      </w:r>
      <w:r w:rsidR="00E310B3">
        <w:rPr>
          <w:szCs w:val="22"/>
        </w:rPr>
        <w:t>(</w:t>
      </w:r>
      <w:r w:rsidR="00B7034C">
        <w:rPr>
          <w:szCs w:val="22"/>
        </w:rPr>
        <w:t>65</w:t>
      </w:r>
      <w:r w:rsidR="00E310B3">
        <w:rPr>
          <w:szCs w:val="22"/>
        </w:rPr>
        <w:t xml:space="preserve"> </w:t>
      </w:r>
      <w:r w:rsidR="00B7034C">
        <w:rPr>
          <w:szCs w:val="22"/>
        </w:rPr>
        <w:t>program</w:t>
      </w:r>
      <w:r w:rsidR="00E310B3">
        <w:rPr>
          <w:szCs w:val="22"/>
        </w:rPr>
        <w:t>s)</w:t>
      </w:r>
      <w:r w:rsidR="00EC6BDF">
        <w:rPr>
          <w:szCs w:val="22"/>
        </w:rPr>
        <w:t xml:space="preserve"> would be</w:t>
      </w:r>
      <w:r w:rsidR="00B9223A">
        <w:rPr>
          <w:szCs w:val="22"/>
        </w:rPr>
        <w:t xml:space="preserve"> </w:t>
      </w:r>
      <w:r w:rsidR="00EC6BDF">
        <w:rPr>
          <w:szCs w:val="22"/>
        </w:rPr>
        <w:t>$</w:t>
      </w:r>
      <w:r w:rsidR="00B9223A">
        <w:rPr>
          <w:szCs w:val="22"/>
        </w:rPr>
        <w:t>9,750.00 annually</w:t>
      </w:r>
      <w:r w:rsidR="00EC6BDF">
        <w:rPr>
          <w:szCs w:val="22"/>
        </w:rPr>
        <w:t>.</w:t>
      </w:r>
      <w:r w:rsidR="00EC6BDF">
        <w:rPr>
          <w:rStyle w:val="FootnoteReference"/>
          <w:szCs w:val="22"/>
        </w:rPr>
        <w:footnoteReference w:id="31"/>
      </w:r>
      <w:r w:rsidR="00EC6BDF">
        <w:rPr>
          <w:szCs w:val="22"/>
        </w:rPr>
        <w:t xml:space="preserve">  </w:t>
      </w:r>
    </w:p>
    <w:p w14:paraId="14798E65" w14:textId="55538DFE" w:rsidR="009A20D5" w:rsidRDefault="009A20D5" w:rsidP="00931443">
      <w:pPr>
        <w:pStyle w:val="ParaNum"/>
        <w:widowControl/>
        <w:tabs>
          <w:tab w:val="clear" w:pos="1080"/>
        </w:tabs>
        <w:spacing w:after="120"/>
        <w:jc w:val="left"/>
        <w:rPr>
          <w:szCs w:val="22"/>
        </w:rPr>
      </w:pPr>
      <w:r>
        <w:rPr>
          <w:szCs w:val="22"/>
        </w:rPr>
        <w:t>Kellogg</w:t>
      </w:r>
      <w:r w:rsidR="00454E07" w:rsidRPr="00040260">
        <w:rPr>
          <w:szCs w:val="22"/>
        </w:rPr>
        <w:t xml:space="preserve"> submitted</w:t>
      </w:r>
      <w:r w:rsidR="008F1136" w:rsidRPr="00040260">
        <w:rPr>
          <w:szCs w:val="22"/>
        </w:rPr>
        <w:t xml:space="preserve"> </w:t>
      </w:r>
      <w:r w:rsidR="00490CE2">
        <w:rPr>
          <w:szCs w:val="22"/>
        </w:rPr>
        <w:t xml:space="preserve">financial statements in the form of </w:t>
      </w:r>
      <w:r>
        <w:rPr>
          <w:szCs w:val="22"/>
        </w:rPr>
        <w:t>personal tax returns</w:t>
      </w:r>
      <w:r w:rsidR="00D20AC3">
        <w:rPr>
          <w:szCs w:val="22"/>
        </w:rPr>
        <w:t xml:space="preserve"> from 2012 and 2011</w:t>
      </w:r>
      <w:r>
        <w:rPr>
          <w:szCs w:val="22"/>
        </w:rPr>
        <w:t xml:space="preserve"> for L</w:t>
      </w:r>
      <w:r w:rsidR="00B71A8A">
        <w:rPr>
          <w:szCs w:val="22"/>
        </w:rPr>
        <w:t>ance</w:t>
      </w:r>
      <w:r>
        <w:rPr>
          <w:szCs w:val="22"/>
        </w:rPr>
        <w:t xml:space="preserve"> and Sharry </w:t>
      </w:r>
      <w:r w:rsidR="00B71A8A">
        <w:rPr>
          <w:szCs w:val="22"/>
        </w:rPr>
        <w:t xml:space="preserve">L. </w:t>
      </w:r>
      <w:r>
        <w:rPr>
          <w:szCs w:val="22"/>
        </w:rPr>
        <w:t>Whitney</w:t>
      </w:r>
      <w:r w:rsidR="001463C0">
        <w:rPr>
          <w:szCs w:val="22"/>
        </w:rPr>
        <w:t>, as Kellogg’s sole proprietors</w:t>
      </w:r>
      <w:r>
        <w:rPr>
          <w:szCs w:val="22"/>
        </w:rPr>
        <w:t>.</w:t>
      </w:r>
      <w:r w:rsidR="00BC4E9E" w:rsidRPr="00FD62B1">
        <w:rPr>
          <w:rStyle w:val="FootnoteReference"/>
          <w:szCs w:val="22"/>
        </w:rPr>
        <w:footnoteReference w:id="32"/>
      </w:r>
      <w:r w:rsidR="008F1136" w:rsidRPr="00040260">
        <w:rPr>
          <w:szCs w:val="22"/>
        </w:rPr>
        <w:t xml:space="preserve">  </w:t>
      </w:r>
      <w:r w:rsidR="001D2F22">
        <w:rPr>
          <w:szCs w:val="22"/>
        </w:rPr>
        <w:t xml:space="preserve">For 2012, </w:t>
      </w:r>
      <w:r w:rsidR="00490CE2">
        <w:rPr>
          <w:szCs w:val="22"/>
        </w:rPr>
        <w:t xml:space="preserve">Kellogg reports total income from </w:t>
      </w:r>
      <w:r w:rsidR="001D2F22">
        <w:rPr>
          <w:szCs w:val="22"/>
        </w:rPr>
        <w:t>Kellogg Street Productions of $51,206.00, expenses of $</w:t>
      </w:r>
      <w:r w:rsidR="003478FB">
        <w:rPr>
          <w:szCs w:val="22"/>
        </w:rPr>
        <w:t>2</w:t>
      </w:r>
      <w:r w:rsidR="005940BE">
        <w:rPr>
          <w:szCs w:val="22"/>
        </w:rPr>
        <w:t>4,111.00</w:t>
      </w:r>
      <w:r w:rsidR="001D2F22">
        <w:rPr>
          <w:szCs w:val="22"/>
        </w:rPr>
        <w:t>, and a net profit of $</w:t>
      </w:r>
      <w:r w:rsidR="003478FB">
        <w:rPr>
          <w:szCs w:val="22"/>
        </w:rPr>
        <w:t>27,095</w:t>
      </w:r>
      <w:r w:rsidR="001D2F22">
        <w:rPr>
          <w:szCs w:val="22"/>
        </w:rPr>
        <w:t>.00.</w:t>
      </w:r>
      <w:r w:rsidR="001D2F22">
        <w:rPr>
          <w:rStyle w:val="FootnoteReference"/>
          <w:szCs w:val="22"/>
        </w:rPr>
        <w:footnoteReference w:id="33"/>
      </w:r>
      <w:r w:rsidR="001D2F22">
        <w:rPr>
          <w:szCs w:val="22"/>
        </w:rPr>
        <w:t xml:space="preserve">  </w:t>
      </w:r>
      <w:r w:rsidR="00D20AC3">
        <w:rPr>
          <w:szCs w:val="22"/>
        </w:rPr>
        <w:t>For 2011, Kellogg reports total income from Kellogg Street Productions of $17,114.00, total expenses of $1</w:t>
      </w:r>
      <w:r w:rsidR="005940BE">
        <w:rPr>
          <w:szCs w:val="22"/>
        </w:rPr>
        <w:t>6,529</w:t>
      </w:r>
      <w:r w:rsidR="00D20AC3">
        <w:rPr>
          <w:szCs w:val="22"/>
        </w:rPr>
        <w:t>, and a net profit of $585.00.</w:t>
      </w:r>
      <w:r w:rsidR="00D20AC3">
        <w:rPr>
          <w:rStyle w:val="FootnoteReference"/>
          <w:szCs w:val="22"/>
        </w:rPr>
        <w:footnoteReference w:id="34"/>
      </w:r>
      <w:r w:rsidR="00D20AC3">
        <w:rPr>
          <w:szCs w:val="22"/>
        </w:rPr>
        <w:t xml:space="preserve">  </w:t>
      </w:r>
    </w:p>
    <w:p w14:paraId="16588831" w14:textId="093AF44B" w:rsidR="00931443" w:rsidRPr="00792AC3" w:rsidRDefault="00EF01D5" w:rsidP="00792AC3">
      <w:pPr>
        <w:pStyle w:val="ParaNum"/>
        <w:widowControl/>
        <w:tabs>
          <w:tab w:val="clear" w:pos="1080"/>
        </w:tabs>
        <w:spacing w:after="120"/>
        <w:jc w:val="left"/>
        <w:rPr>
          <w:szCs w:val="22"/>
        </w:rPr>
      </w:pPr>
      <w:r>
        <w:rPr>
          <w:szCs w:val="22"/>
        </w:rPr>
        <w:t xml:space="preserve">Kellogg </w:t>
      </w:r>
      <w:r w:rsidR="00490CE2">
        <w:rPr>
          <w:szCs w:val="22"/>
        </w:rPr>
        <w:t xml:space="preserve">also </w:t>
      </w:r>
      <w:r>
        <w:rPr>
          <w:szCs w:val="22"/>
        </w:rPr>
        <w:t xml:space="preserve">submitted </w:t>
      </w:r>
      <w:r w:rsidR="00490CE2">
        <w:rPr>
          <w:szCs w:val="22"/>
        </w:rPr>
        <w:t>balance sheets for 201</w:t>
      </w:r>
      <w:r w:rsidR="00EC7DC3">
        <w:rPr>
          <w:szCs w:val="22"/>
        </w:rPr>
        <w:t>2</w:t>
      </w:r>
      <w:r w:rsidR="00490CE2">
        <w:rPr>
          <w:szCs w:val="22"/>
        </w:rPr>
        <w:t xml:space="preserve"> and 201</w:t>
      </w:r>
      <w:r w:rsidR="00EC7DC3">
        <w:rPr>
          <w:szCs w:val="22"/>
        </w:rPr>
        <w:t>1</w:t>
      </w:r>
      <w:r w:rsidR="00490CE2">
        <w:rPr>
          <w:szCs w:val="22"/>
        </w:rPr>
        <w:t xml:space="preserve">.  </w:t>
      </w:r>
      <w:r w:rsidR="00EC7DC3" w:rsidRPr="00EC7DC3">
        <w:rPr>
          <w:szCs w:val="22"/>
        </w:rPr>
        <w:t>Kellogg reports current assets as of December 31, 2012 of $1,549.</w:t>
      </w:r>
      <w:r w:rsidR="00824318">
        <w:rPr>
          <w:szCs w:val="22"/>
        </w:rPr>
        <w:t>6</w:t>
      </w:r>
      <w:r w:rsidR="00EC7DC3" w:rsidRPr="00EC7DC3">
        <w:rPr>
          <w:szCs w:val="22"/>
        </w:rPr>
        <w:t>6, and no current liabilities, resulting in net current assets of $1,549.66.</w:t>
      </w:r>
      <w:r w:rsidR="00EC7DC3" w:rsidRPr="00EC7DC3">
        <w:rPr>
          <w:szCs w:val="22"/>
          <w:vertAlign w:val="superscript"/>
        </w:rPr>
        <w:footnoteReference w:id="35"/>
      </w:r>
      <w:r w:rsidR="00EC7DC3">
        <w:rPr>
          <w:szCs w:val="22"/>
        </w:rPr>
        <w:t xml:space="preserve">  </w:t>
      </w:r>
      <w:r w:rsidR="00490CE2">
        <w:rPr>
          <w:szCs w:val="22"/>
        </w:rPr>
        <w:t xml:space="preserve">Kellogg </w:t>
      </w:r>
      <w:r w:rsidR="00EC7DC3">
        <w:rPr>
          <w:szCs w:val="22"/>
        </w:rPr>
        <w:t xml:space="preserve">also </w:t>
      </w:r>
      <w:r w:rsidR="00490CE2">
        <w:rPr>
          <w:szCs w:val="22"/>
        </w:rPr>
        <w:t xml:space="preserve">reports </w:t>
      </w:r>
      <w:r w:rsidR="00513528">
        <w:rPr>
          <w:szCs w:val="22"/>
        </w:rPr>
        <w:t>current assets as of December 31, 2011 of $263.87, and no current liabilities, resulting in net current assets of $263.87.</w:t>
      </w:r>
      <w:r w:rsidR="00513528">
        <w:rPr>
          <w:rStyle w:val="FootnoteReference"/>
          <w:szCs w:val="22"/>
        </w:rPr>
        <w:footnoteReference w:id="36"/>
      </w:r>
      <w:r w:rsidR="00513528">
        <w:rPr>
          <w:szCs w:val="22"/>
        </w:rPr>
        <w:t xml:space="preserve">  </w:t>
      </w:r>
    </w:p>
    <w:p w14:paraId="5D6D8EEC" w14:textId="295205B4" w:rsidR="000B276A" w:rsidRDefault="00761B8E" w:rsidP="00F9241E">
      <w:pPr>
        <w:pStyle w:val="ParaNum"/>
        <w:widowControl/>
        <w:tabs>
          <w:tab w:val="clear" w:pos="1080"/>
        </w:tabs>
        <w:spacing w:after="120"/>
        <w:jc w:val="left"/>
        <w:rPr>
          <w:szCs w:val="22"/>
        </w:rPr>
      </w:pPr>
      <w:r>
        <w:rPr>
          <w:szCs w:val="22"/>
        </w:rPr>
        <w:t>Kellogg</w:t>
      </w:r>
      <w:r w:rsidR="00852D2A" w:rsidRPr="005E51F3">
        <w:rPr>
          <w:szCs w:val="22"/>
        </w:rPr>
        <w:t xml:space="preserve"> reports that it requested captioning assistance from </w:t>
      </w:r>
      <w:r>
        <w:rPr>
          <w:szCs w:val="22"/>
        </w:rPr>
        <w:t xml:space="preserve">both </w:t>
      </w:r>
      <w:r w:rsidR="00852D2A" w:rsidRPr="005E51F3">
        <w:rPr>
          <w:szCs w:val="22"/>
        </w:rPr>
        <w:t>its</w:t>
      </w:r>
      <w:r>
        <w:rPr>
          <w:szCs w:val="22"/>
        </w:rPr>
        <w:t xml:space="preserve"> former and its current</w:t>
      </w:r>
      <w:r w:rsidR="00852D2A" w:rsidRPr="005E51F3">
        <w:rPr>
          <w:szCs w:val="22"/>
        </w:rPr>
        <w:t xml:space="preserve"> video programming distributor</w:t>
      </w:r>
      <w:r>
        <w:rPr>
          <w:szCs w:val="22"/>
        </w:rPr>
        <w:t>s</w:t>
      </w:r>
      <w:r w:rsidR="000E392A">
        <w:rPr>
          <w:szCs w:val="22"/>
        </w:rPr>
        <w:t>,</w:t>
      </w:r>
      <w:r w:rsidR="00852D2A" w:rsidRPr="005E51F3">
        <w:rPr>
          <w:szCs w:val="22"/>
        </w:rPr>
        <w:t xml:space="preserve"> </w:t>
      </w:r>
      <w:r>
        <w:rPr>
          <w:szCs w:val="22"/>
        </w:rPr>
        <w:t xml:space="preserve">WKTV and </w:t>
      </w:r>
      <w:r w:rsidR="002262AA" w:rsidRPr="005E51F3">
        <w:rPr>
          <w:szCs w:val="22"/>
        </w:rPr>
        <w:t>W</w:t>
      </w:r>
      <w:r>
        <w:rPr>
          <w:szCs w:val="22"/>
        </w:rPr>
        <w:t>FXV, respectively</w:t>
      </w:r>
      <w:r w:rsidR="00852D2A" w:rsidRPr="005E51F3">
        <w:rPr>
          <w:szCs w:val="22"/>
        </w:rPr>
        <w:t xml:space="preserve">; however, </w:t>
      </w:r>
      <w:r>
        <w:rPr>
          <w:szCs w:val="22"/>
        </w:rPr>
        <w:t>neither</w:t>
      </w:r>
      <w:r w:rsidR="00852D2A" w:rsidRPr="005E51F3">
        <w:rPr>
          <w:szCs w:val="22"/>
        </w:rPr>
        <w:t xml:space="preserve"> was able to offer captioning assistance.</w:t>
      </w:r>
      <w:r w:rsidR="00852D2A" w:rsidRPr="00FD62B1">
        <w:rPr>
          <w:rStyle w:val="FootnoteReference"/>
          <w:szCs w:val="22"/>
        </w:rPr>
        <w:footnoteReference w:id="37"/>
      </w:r>
      <w:r w:rsidR="00852D2A" w:rsidRPr="005E51F3">
        <w:rPr>
          <w:szCs w:val="22"/>
        </w:rPr>
        <w:t xml:space="preserve">  </w:t>
      </w:r>
      <w:r w:rsidR="005E51F3" w:rsidRPr="005E51F3">
        <w:rPr>
          <w:szCs w:val="22"/>
        </w:rPr>
        <w:t xml:space="preserve"> </w:t>
      </w:r>
      <w:r>
        <w:rPr>
          <w:szCs w:val="22"/>
        </w:rPr>
        <w:t>Kellogg</w:t>
      </w:r>
      <w:r w:rsidR="005E51F3" w:rsidRPr="005E51F3">
        <w:rPr>
          <w:szCs w:val="22"/>
        </w:rPr>
        <w:t xml:space="preserve"> </w:t>
      </w:r>
      <w:r w:rsidR="00DD6C7E">
        <w:rPr>
          <w:szCs w:val="22"/>
        </w:rPr>
        <w:t xml:space="preserve">further indicates that it was unsuccessful in its efforts to secure </w:t>
      </w:r>
      <w:r w:rsidR="005E51F3" w:rsidRPr="005E51F3">
        <w:rPr>
          <w:szCs w:val="22"/>
        </w:rPr>
        <w:t xml:space="preserve">captioning assistance from </w:t>
      </w:r>
      <w:r>
        <w:rPr>
          <w:szCs w:val="22"/>
        </w:rPr>
        <w:t>its sponsors</w:t>
      </w:r>
      <w:r w:rsidR="005E51F3" w:rsidRPr="005E51F3">
        <w:rPr>
          <w:szCs w:val="22"/>
        </w:rPr>
        <w:t>.</w:t>
      </w:r>
      <w:r w:rsidR="005E51F3">
        <w:rPr>
          <w:rStyle w:val="FootnoteReference"/>
          <w:szCs w:val="22"/>
        </w:rPr>
        <w:footnoteReference w:id="38"/>
      </w:r>
      <w:r w:rsidR="005E51F3" w:rsidRPr="005E51F3">
        <w:rPr>
          <w:szCs w:val="22"/>
        </w:rPr>
        <w:t xml:space="preserve">  </w:t>
      </w:r>
      <w:r>
        <w:rPr>
          <w:szCs w:val="22"/>
        </w:rPr>
        <w:t>Kellogg</w:t>
      </w:r>
      <w:r w:rsidR="00D25819" w:rsidRPr="005E51F3">
        <w:rPr>
          <w:szCs w:val="22"/>
        </w:rPr>
        <w:t xml:space="preserve"> asserts that</w:t>
      </w:r>
      <w:r w:rsidR="00DD6C7E">
        <w:rPr>
          <w:szCs w:val="22"/>
        </w:rPr>
        <w:t xml:space="preserve">, absent an exemption from the captioning requirements, it </w:t>
      </w:r>
      <w:r w:rsidR="00E11554">
        <w:rPr>
          <w:szCs w:val="22"/>
        </w:rPr>
        <w:t>“would be forced to stop the show immediately.”</w:t>
      </w:r>
      <w:r w:rsidR="00D25819" w:rsidRPr="00FD62B1">
        <w:rPr>
          <w:rStyle w:val="FootnoteReference"/>
          <w:szCs w:val="22"/>
        </w:rPr>
        <w:footnoteReference w:id="39"/>
      </w:r>
      <w:r w:rsidR="002A1536" w:rsidRPr="005E51F3">
        <w:rPr>
          <w:szCs w:val="22"/>
        </w:rPr>
        <w:t xml:space="preserve"> </w:t>
      </w:r>
      <w:r w:rsidR="00674552" w:rsidRPr="005E51F3">
        <w:rPr>
          <w:szCs w:val="22"/>
        </w:rPr>
        <w:t xml:space="preserve"> </w:t>
      </w:r>
      <w:r w:rsidR="00F518EF">
        <w:rPr>
          <w:szCs w:val="22"/>
        </w:rPr>
        <w:t xml:space="preserve">It states, </w:t>
      </w:r>
      <w:r w:rsidR="0030517D">
        <w:rPr>
          <w:szCs w:val="22"/>
        </w:rPr>
        <w:t>moreo</w:t>
      </w:r>
      <w:r w:rsidR="00F518EF">
        <w:rPr>
          <w:szCs w:val="22"/>
        </w:rPr>
        <w:t xml:space="preserve">ver, that </w:t>
      </w:r>
      <w:r w:rsidR="00A51D5B">
        <w:rPr>
          <w:szCs w:val="22"/>
        </w:rPr>
        <w:t>it</w:t>
      </w:r>
      <w:r w:rsidR="00F518EF">
        <w:rPr>
          <w:szCs w:val="22"/>
        </w:rPr>
        <w:t xml:space="preserve"> intend</w:t>
      </w:r>
      <w:r w:rsidR="00A51D5B">
        <w:rPr>
          <w:szCs w:val="22"/>
        </w:rPr>
        <w:t>s</w:t>
      </w:r>
      <w:r w:rsidR="00F518EF">
        <w:rPr>
          <w:szCs w:val="22"/>
        </w:rPr>
        <w:t xml:space="preserve"> to end </w:t>
      </w:r>
      <w:r w:rsidR="00417881">
        <w:rPr>
          <w:szCs w:val="22"/>
        </w:rPr>
        <w:t xml:space="preserve">the </w:t>
      </w:r>
      <w:r w:rsidR="00F518EF">
        <w:rPr>
          <w:szCs w:val="22"/>
        </w:rPr>
        <w:t xml:space="preserve">program </w:t>
      </w:r>
      <w:r w:rsidR="00BB2110">
        <w:rPr>
          <w:szCs w:val="22"/>
        </w:rPr>
        <w:t>at the end of 2015.</w:t>
      </w:r>
      <w:r w:rsidR="00F518EF">
        <w:rPr>
          <w:rStyle w:val="FootnoteReference"/>
          <w:szCs w:val="22"/>
        </w:rPr>
        <w:footnoteReference w:id="40"/>
      </w:r>
      <w:r w:rsidR="00F518EF">
        <w:rPr>
          <w:szCs w:val="22"/>
        </w:rPr>
        <w:t xml:space="preserve">   </w:t>
      </w:r>
      <w:r w:rsidR="004E00A1">
        <w:rPr>
          <w:szCs w:val="22"/>
        </w:rPr>
        <w:t xml:space="preserve">It therefore requests </w:t>
      </w:r>
      <w:r w:rsidR="00F518EF">
        <w:rPr>
          <w:szCs w:val="22"/>
        </w:rPr>
        <w:t>a</w:t>
      </w:r>
      <w:r w:rsidR="002E7895">
        <w:rPr>
          <w:szCs w:val="22"/>
        </w:rPr>
        <w:t xml:space="preserve"> temporary</w:t>
      </w:r>
      <w:r w:rsidR="00F518EF">
        <w:rPr>
          <w:szCs w:val="22"/>
        </w:rPr>
        <w:t xml:space="preserve"> e</w:t>
      </w:r>
      <w:r w:rsidR="004E00A1">
        <w:rPr>
          <w:szCs w:val="22"/>
        </w:rPr>
        <w:t xml:space="preserve">xemption </w:t>
      </w:r>
      <w:r w:rsidR="002E7895">
        <w:rPr>
          <w:szCs w:val="22"/>
        </w:rPr>
        <w:t>until the program ceases operation</w:t>
      </w:r>
      <w:r w:rsidR="004E00A1">
        <w:rPr>
          <w:szCs w:val="22"/>
        </w:rPr>
        <w:t>.</w:t>
      </w:r>
      <w:r w:rsidR="004E00A1">
        <w:rPr>
          <w:rStyle w:val="FootnoteReference"/>
          <w:szCs w:val="22"/>
        </w:rPr>
        <w:footnoteReference w:id="41"/>
      </w:r>
    </w:p>
    <w:p w14:paraId="4F10ECBE" w14:textId="75B2D8D5" w:rsidR="006C36F2" w:rsidRDefault="006C36F2" w:rsidP="006C36F2">
      <w:pPr>
        <w:pStyle w:val="ParaNum"/>
        <w:widowControl/>
        <w:tabs>
          <w:tab w:val="clear" w:pos="1080"/>
        </w:tabs>
        <w:spacing w:after="120"/>
        <w:jc w:val="left"/>
        <w:rPr>
          <w:szCs w:val="22"/>
        </w:rPr>
      </w:pPr>
      <w:r w:rsidRPr="00F0277B">
        <w:rPr>
          <w:szCs w:val="22"/>
        </w:rPr>
        <w:t xml:space="preserve">Consumer Groups, which were the only parties to comment on the Petition in response to the </w:t>
      </w:r>
      <w:r w:rsidRPr="00F0277B">
        <w:rPr>
          <w:i/>
          <w:szCs w:val="22"/>
        </w:rPr>
        <w:t>201</w:t>
      </w:r>
      <w:r w:rsidR="008F7763">
        <w:rPr>
          <w:i/>
          <w:szCs w:val="22"/>
        </w:rPr>
        <w:t>5</w:t>
      </w:r>
      <w:r w:rsidRPr="00F0277B">
        <w:rPr>
          <w:i/>
          <w:szCs w:val="22"/>
        </w:rPr>
        <w:t xml:space="preserve"> Public Notice</w:t>
      </w:r>
      <w:r w:rsidRPr="00F0277B">
        <w:rPr>
          <w:szCs w:val="22"/>
        </w:rPr>
        <w:t xml:space="preserve">, </w:t>
      </w:r>
      <w:r w:rsidR="00F665E3">
        <w:rPr>
          <w:szCs w:val="22"/>
        </w:rPr>
        <w:t>do not oppose Kellogg’s request for a temporary waiver through the end of 2015.</w:t>
      </w:r>
      <w:r w:rsidR="00F665E3">
        <w:rPr>
          <w:rStyle w:val="FootnoteReference"/>
          <w:szCs w:val="22"/>
        </w:rPr>
        <w:footnoteReference w:id="42"/>
      </w:r>
      <w:r w:rsidR="00F665E3">
        <w:rPr>
          <w:szCs w:val="22"/>
        </w:rPr>
        <w:t xml:space="preserve">  They conclude that Kellogg has demonstrated that </w:t>
      </w:r>
      <w:r w:rsidR="00B90C7A" w:rsidRPr="00230BE1">
        <w:rPr>
          <w:szCs w:val="22"/>
        </w:rPr>
        <w:t>captioning would be economical</w:t>
      </w:r>
      <w:r w:rsidR="00F665E3">
        <w:rPr>
          <w:szCs w:val="22"/>
        </w:rPr>
        <w:t>ly burdensome</w:t>
      </w:r>
      <w:r w:rsidR="00F665E3">
        <w:t>, due to the impact that the captioning cost of $9,750.00 would have on Kellogg’s 2012 profit of $</w:t>
      </w:r>
      <w:r w:rsidR="00BF5E25">
        <w:t xml:space="preserve"> $27,095</w:t>
      </w:r>
      <w:r w:rsidR="00403B48">
        <w:rPr>
          <w:rStyle w:val="FootnoteReference"/>
        </w:rPr>
        <w:footnoteReference w:id="43"/>
      </w:r>
      <w:r w:rsidR="00403B48">
        <w:t xml:space="preserve"> </w:t>
      </w:r>
      <w:r w:rsidR="00F665E3">
        <w:t xml:space="preserve"> For this reason, and because Kellogg has stated that it plans to cease production in 2015, Consumer Groups do not oppose a temporary waiver through the end of 2015.</w:t>
      </w:r>
      <w:r w:rsidR="00F665E3">
        <w:rPr>
          <w:rStyle w:val="FootnoteReference"/>
        </w:rPr>
        <w:footnoteReference w:id="44"/>
      </w:r>
      <w:r w:rsidR="00F665E3">
        <w:t xml:space="preserve">  Consumer Groups note, however, that if Kellogg resumes production after 2015, it should budget captioning as a production cost, and comply with the Commission’s captioning requirements.</w:t>
      </w:r>
      <w:r w:rsidR="00F665E3">
        <w:rPr>
          <w:rStyle w:val="FootnoteReference"/>
        </w:rPr>
        <w:footnoteReference w:id="45"/>
      </w:r>
    </w:p>
    <w:p w14:paraId="0C791747" w14:textId="262F5772" w:rsidR="00D840C7" w:rsidRDefault="00522DEB" w:rsidP="008723B2">
      <w:pPr>
        <w:pStyle w:val="ParaNum"/>
        <w:widowControl/>
        <w:tabs>
          <w:tab w:val="clear" w:pos="1080"/>
        </w:tabs>
        <w:spacing w:after="120"/>
        <w:jc w:val="left"/>
      </w:pPr>
      <w:r w:rsidRPr="00FD62B1">
        <w:rPr>
          <w:i/>
        </w:rPr>
        <w:t>Determination.</w:t>
      </w:r>
      <w:r w:rsidRPr="00FD62B1">
        <w:t xml:space="preserve">  </w:t>
      </w:r>
      <w:r w:rsidR="00275444" w:rsidRPr="00FD62B1">
        <w:t>After</w:t>
      </w:r>
      <w:r w:rsidR="00942BD9" w:rsidRPr="00FD62B1">
        <w:t xml:space="preserve"> a </w:t>
      </w:r>
      <w:r w:rsidR="00CD1F73">
        <w:t xml:space="preserve">careful </w:t>
      </w:r>
      <w:r w:rsidR="00942BD9" w:rsidRPr="00FD62B1">
        <w:t>review of the record</w:t>
      </w:r>
      <w:r w:rsidR="00275444" w:rsidRPr="00FD62B1">
        <w:t xml:space="preserve">, </w:t>
      </w:r>
      <w:r w:rsidR="0044614E">
        <w:t>the Bureau</w:t>
      </w:r>
      <w:r w:rsidR="0044614E" w:rsidRPr="00FD62B1">
        <w:t xml:space="preserve"> </w:t>
      </w:r>
      <w:r w:rsidRPr="00FD62B1">
        <w:t>find</w:t>
      </w:r>
      <w:r w:rsidR="0044614E">
        <w:t>s</w:t>
      </w:r>
      <w:r w:rsidRPr="00FD62B1">
        <w:t xml:space="preserve"> that </w:t>
      </w:r>
      <w:r w:rsidR="00FA10B1">
        <w:t>Kellogg</w:t>
      </w:r>
      <w:r w:rsidR="00831E89" w:rsidRPr="00FD62B1">
        <w:t xml:space="preserve"> </w:t>
      </w:r>
      <w:r w:rsidRPr="00FD62B1">
        <w:t>has demonstrate</w:t>
      </w:r>
      <w:r w:rsidR="00275444" w:rsidRPr="00FD62B1">
        <w:t>d</w:t>
      </w:r>
      <w:r w:rsidRPr="00FD62B1">
        <w:t xml:space="preserve"> that the provision of closed captioning </w:t>
      </w:r>
      <w:r w:rsidR="00942BD9" w:rsidRPr="00FD62B1">
        <w:t xml:space="preserve">for </w:t>
      </w:r>
      <w:r w:rsidR="00B90C7A">
        <w:t>its program</w:t>
      </w:r>
      <w:r w:rsidR="007A54B2">
        <w:t xml:space="preserve"> </w:t>
      </w:r>
      <w:r w:rsidRPr="00FD62B1">
        <w:t>would be economically burdensome</w:t>
      </w:r>
      <w:r w:rsidR="00D840C7">
        <w:t xml:space="preserve">.  </w:t>
      </w:r>
      <w:r w:rsidR="002743C0" w:rsidRPr="00D56DE5">
        <w:t xml:space="preserve">According to the information and documentation it has provided, </w:t>
      </w:r>
      <w:r w:rsidR="00FA10B1">
        <w:t xml:space="preserve">Kellogg </w:t>
      </w:r>
      <w:r w:rsidR="00AC0693">
        <w:t>operated</w:t>
      </w:r>
      <w:r w:rsidR="002743C0" w:rsidRPr="00D56DE5">
        <w:t xml:space="preserve"> </w:t>
      </w:r>
      <w:r w:rsidR="00B90C7A">
        <w:t>with a</w:t>
      </w:r>
      <w:r w:rsidR="009D45D6">
        <w:t xml:space="preserve">n </w:t>
      </w:r>
      <w:r w:rsidR="009D45D6" w:rsidRPr="00D548EA">
        <w:rPr>
          <w:szCs w:val="22"/>
        </w:rPr>
        <w:t>excess of revenue over expenses</w:t>
      </w:r>
      <w:r w:rsidR="009D45D6">
        <w:rPr>
          <w:szCs w:val="22"/>
        </w:rPr>
        <w:t xml:space="preserve"> (</w:t>
      </w:r>
      <w:r w:rsidR="00B90C7A">
        <w:t>net</w:t>
      </w:r>
      <w:r w:rsidR="00B66851" w:rsidRPr="00D56DE5">
        <w:t xml:space="preserve"> </w:t>
      </w:r>
      <w:r w:rsidR="00FA10B1">
        <w:t>profit</w:t>
      </w:r>
      <w:r w:rsidR="009D45D6">
        <w:t>)</w:t>
      </w:r>
      <w:r w:rsidR="00FA10B1">
        <w:t xml:space="preserve"> </w:t>
      </w:r>
      <w:r w:rsidR="00AC0693">
        <w:t>of</w:t>
      </w:r>
      <w:r w:rsidR="00D56DE5">
        <w:t xml:space="preserve"> </w:t>
      </w:r>
      <w:r w:rsidR="00FA10B1">
        <w:rPr>
          <w:szCs w:val="22"/>
        </w:rPr>
        <w:t xml:space="preserve">$27,095.00 </w:t>
      </w:r>
      <w:r w:rsidR="00B90C7A">
        <w:t>for</w:t>
      </w:r>
      <w:r w:rsidR="002B7E38" w:rsidRPr="00D56DE5">
        <w:t xml:space="preserve"> 201</w:t>
      </w:r>
      <w:r w:rsidR="00E00EEE" w:rsidRPr="00D56DE5">
        <w:t>2</w:t>
      </w:r>
      <w:r w:rsidR="00F665E3">
        <w:t xml:space="preserve"> and </w:t>
      </w:r>
      <w:r w:rsidR="00F665E3" w:rsidRPr="00040260">
        <w:t>$</w:t>
      </w:r>
      <w:r w:rsidR="00F665E3">
        <w:t>585.00 for 2011</w:t>
      </w:r>
      <w:r w:rsidR="002743C0" w:rsidRPr="00D56DE5">
        <w:t>.</w:t>
      </w:r>
      <w:r w:rsidR="002B7E38" w:rsidRPr="00FD62B1">
        <w:rPr>
          <w:rStyle w:val="FootnoteReference"/>
          <w:szCs w:val="22"/>
        </w:rPr>
        <w:footnoteReference w:id="46"/>
      </w:r>
      <w:r w:rsidR="002743C0" w:rsidRPr="00D56DE5">
        <w:t xml:space="preserve">  </w:t>
      </w:r>
      <w:r w:rsidR="00B90C7A">
        <w:t>When we compare the an</w:t>
      </w:r>
      <w:r w:rsidR="00AC0693">
        <w:t>nual closed captioning estimate</w:t>
      </w:r>
      <w:r w:rsidR="00B90C7A">
        <w:t xml:space="preserve"> submitted by Kellogg of $9,750.00</w:t>
      </w:r>
      <w:r w:rsidR="00790BB1" w:rsidRPr="00FD62B1">
        <w:rPr>
          <w:rStyle w:val="FootnoteReference"/>
          <w:szCs w:val="22"/>
        </w:rPr>
        <w:footnoteReference w:id="47"/>
      </w:r>
      <w:r w:rsidR="00790BB1" w:rsidRPr="00D56DE5">
        <w:t xml:space="preserve"> </w:t>
      </w:r>
      <w:r w:rsidR="00790BB1">
        <w:t xml:space="preserve">to </w:t>
      </w:r>
      <w:r w:rsidR="009D45D6">
        <w:t>Kellogg’s</w:t>
      </w:r>
      <w:r w:rsidR="00C04DBD" w:rsidRPr="00D56DE5">
        <w:t xml:space="preserve"> </w:t>
      </w:r>
      <w:r w:rsidR="004F11F4" w:rsidRPr="00D56DE5">
        <w:t>net profits</w:t>
      </w:r>
      <w:r w:rsidR="00C04DBD" w:rsidRPr="00D56DE5">
        <w:t xml:space="preserve"> </w:t>
      </w:r>
      <w:r w:rsidR="007E4704">
        <w:t>in 2011</w:t>
      </w:r>
      <w:r w:rsidR="00B66851" w:rsidRPr="00D56DE5">
        <w:t>,</w:t>
      </w:r>
      <w:r w:rsidR="00790BB1">
        <w:t xml:space="preserve"> </w:t>
      </w:r>
      <w:r w:rsidR="009D45D6">
        <w:t xml:space="preserve">the cost of </w:t>
      </w:r>
      <w:r w:rsidR="0087277C">
        <w:t>captioning</w:t>
      </w:r>
      <w:r w:rsidR="009D45D6">
        <w:t xml:space="preserve"> would have caused</w:t>
      </w:r>
      <w:r w:rsidR="0087277C">
        <w:t xml:space="preserve"> </w:t>
      </w:r>
      <w:r w:rsidR="00976702">
        <w:t>Kellogg</w:t>
      </w:r>
      <w:r w:rsidR="00B66851" w:rsidRPr="00D56DE5">
        <w:t xml:space="preserve"> </w:t>
      </w:r>
      <w:r w:rsidR="009D45D6">
        <w:t xml:space="preserve">to </w:t>
      </w:r>
      <w:r w:rsidR="00976702">
        <w:t>suffer</w:t>
      </w:r>
      <w:r w:rsidR="009D45D6">
        <w:t xml:space="preserve"> </w:t>
      </w:r>
      <w:r w:rsidR="00976702">
        <w:t>a loss of $9,165.00</w:t>
      </w:r>
      <w:r w:rsidR="00CC024D">
        <w:t xml:space="preserve"> in that year</w:t>
      </w:r>
      <w:r w:rsidR="00976702">
        <w:t xml:space="preserve">.  While </w:t>
      </w:r>
      <w:r w:rsidR="008723B2">
        <w:t>Kellogg showed a</w:t>
      </w:r>
      <w:r w:rsidR="00976702">
        <w:t xml:space="preserve"> net profit </w:t>
      </w:r>
      <w:r w:rsidR="008723B2">
        <w:t>of $27,095.00 in 2012</w:t>
      </w:r>
      <w:r w:rsidR="0087277C">
        <w:t xml:space="preserve">, </w:t>
      </w:r>
      <w:r w:rsidR="0017690B">
        <w:t xml:space="preserve">the cost of captioning </w:t>
      </w:r>
      <w:r w:rsidR="00674113">
        <w:t xml:space="preserve">in that year </w:t>
      </w:r>
      <w:r w:rsidR="0017690B">
        <w:t xml:space="preserve">would have been </w:t>
      </w:r>
      <w:r w:rsidR="009D45D6">
        <w:t xml:space="preserve">nearly </w:t>
      </w:r>
      <w:r w:rsidR="0017690B">
        <w:t xml:space="preserve">36% of </w:t>
      </w:r>
      <w:r w:rsidR="00674113">
        <w:t xml:space="preserve">Kellogg’s </w:t>
      </w:r>
      <w:r w:rsidR="009D45D6">
        <w:t>revenue</w:t>
      </w:r>
      <w:r w:rsidR="00674113">
        <w:t>, a significant amount</w:t>
      </w:r>
      <w:r w:rsidR="0017690B">
        <w:t xml:space="preserve"> </w:t>
      </w:r>
      <w:r w:rsidR="008723B2">
        <w:rPr>
          <w:szCs w:val="22"/>
        </w:rPr>
        <w:t>g</w:t>
      </w:r>
      <w:r w:rsidR="00152BFF" w:rsidRPr="00152BFF">
        <w:rPr>
          <w:szCs w:val="22"/>
        </w:rPr>
        <w:t>iven th</w:t>
      </w:r>
      <w:r w:rsidR="00D840C7">
        <w:rPr>
          <w:szCs w:val="22"/>
        </w:rPr>
        <w:t xml:space="preserve">at the </w:t>
      </w:r>
      <w:r w:rsidR="00152BFF" w:rsidRPr="00152BFF">
        <w:rPr>
          <w:szCs w:val="22"/>
        </w:rPr>
        <w:t xml:space="preserve">profits from Kellogg Street Productions </w:t>
      </w:r>
      <w:r w:rsidR="00D840C7">
        <w:rPr>
          <w:szCs w:val="22"/>
        </w:rPr>
        <w:t xml:space="preserve">constitute </w:t>
      </w:r>
      <w:r w:rsidR="00152BFF" w:rsidRPr="00152BFF">
        <w:rPr>
          <w:szCs w:val="22"/>
        </w:rPr>
        <w:t xml:space="preserve">the sole source of income for </w:t>
      </w:r>
      <w:r w:rsidR="00674113">
        <w:rPr>
          <w:szCs w:val="22"/>
        </w:rPr>
        <w:t>Kellogg.</w:t>
      </w:r>
      <w:r w:rsidR="00152BFF">
        <w:rPr>
          <w:rStyle w:val="FootnoteReference"/>
          <w:szCs w:val="22"/>
        </w:rPr>
        <w:footnoteReference w:id="48"/>
      </w:r>
      <w:r w:rsidR="00674113">
        <w:rPr>
          <w:szCs w:val="22"/>
        </w:rPr>
        <w:t xml:space="preserve">  </w:t>
      </w:r>
      <w:r w:rsidR="008723B2">
        <w:t>In addi</w:t>
      </w:r>
      <w:r w:rsidR="00B66851" w:rsidRPr="00D56DE5">
        <w:t xml:space="preserve">tion, </w:t>
      </w:r>
      <w:r w:rsidR="00152BFF">
        <w:t xml:space="preserve">Kellogg’s sole proprietors show minimal </w:t>
      </w:r>
      <w:r w:rsidR="007E4704" w:rsidRPr="008723B2">
        <w:rPr>
          <w:szCs w:val="22"/>
        </w:rPr>
        <w:t>net current assets</w:t>
      </w:r>
      <w:r w:rsidR="00674113">
        <w:rPr>
          <w:szCs w:val="22"/>
        </w:rPr>
        <w:t xml:space="preserve"> of only </w:t>
      </w:r>
      <w:r w:rsidR="00674113" w:rsidRPr="00EC7DC3">
        <w:rPr>
          <w:szCs w:val="22"/>
        </w:rPr>
        <w:t>$1,549.</w:t>
      </w:r>
      <w:r w:rsidR="00674113">
        <w:rPr>
          <w:szCs w:val="22"/>
        </w:rPr>
        <w:t>6</w:t>
      </w:r>
      <w:r w:rsidR="00674113" w:rsidRPr="00EC7DC3">
        <w:rPr>
          <w:szCs w:val="22"/>
        </w:rPr>
        <w:t>6</w:t>
      </w:r>
      <w:r w:rsidR="00674113">
        <w:rPr>
          <w:szCs w:val="22"/>
        </w:rPr>
        <w:t xml:space="preserve"> in 2012 and of $263.87 in 2011</w:t>
      </w:r>
      <w:r w:rsidR="00AC0693" w:rsidRPr="008723B2">
        <w:rPr>
          <w:szCs w:val="22"/>
        </w:rPr>
        <w:t>,</w:t>
      </w:r>
      <w:r w:rsidR="00B66851" w:rsidRPr="00FD62B1">
        <w:rPr>
          <w:rStyle w:val="FootnoteReference"/>
          <w:szCs w:val="22"/>
        </w:rPr>
        <w:footnoteReference w:id="49"/>
      </w:r>
      <w:r w:rsidR="00B66851" w:rsidRPr="00D56DE5">
        <w:t xml:space="preserve"> </w:t>
      </w:r>
      <w:r w:rsidR="00B97810" w:rsidRPr="00D56DE5">
        <w:t>which</w:t>
      </w:r>
      <w:r w:rsidR="00B66851" w:rsidRPr="00D56DE5">
        <w:t xml:space="preserve"> </w:t>
      </w:r>
      <w:r w:rsidR="00B87DBC" w:rsidRPr="00D56DE5">
        <w:t xml:space="preserve">provide </w:t>
      </w:r>
      <w:r w:rsidR="00B66851" w:rsidRPr="00D56DE5">
        <w:t xml:space="preserve">further evidence that the provision of closed captioning would be economically burdensome.  </w:t>
      </w:r>
    </w:p>
    <w:p w14:paraId="57571C46" w14:textId="18D16152" w:rsidR="00AC0693" w:rsidRDefault="00D840C7" w:rsidP="008723B2">
      <w:pPr>
        <w:pStyle w:val="ParaNum"/>
        <w:widowControl/>
        <w:tabs>
          <w:tab w:val="clear" w:pos="1080"/>
        </w:tabs>
        <w:spacing w:after="120"/>
        <w:jc w:val="left"/>
      </w:pPr>
      <w:r>
        <w:rPr>
          <w:szCs w:val="22"/>
        </w:rPr>
        <w:t>Kellogg has indicated its commitment to caption should it continue productions beyond December 31, 2015, which further persuades us to support this grant of its request for a temporary exemption.</w:t>
      </w:r>
      <w:r>
        <w:rPr>
          <w:rStyle w:val="FootnoteReference"/>
          <w:szCs w:val="22"/>
        </w:rPr>
        <w:footnoteReference w:id="50"/>
      </w:r>
      <w:r>
        <w:rPr>
          <w:szCs w:val="22"/>
        </w:rPr>
        <w:t xml:space="preserve">  In light of Kellogg’s reassurances, </w:t>
      </w:r>
      <w:r w:rsidR="000F5B8A">
        <w:rPr>
          <w:szCs w:val="22"/>
        </w:rPr>
        <w:t xml:space="preserve">in the event that Kellogg continues to produce and air </w:t>
      </w:r>
      <w:r w:rsidR="00AC0693" w:rsidRPr="008723B2">
        <w:rPr>
          <w:i/>
          <w:szCs w:val="22"/>
        </w:rPr>
        <w:t>Mohawk Valley Living</w:t>
      </w:r>
      <w:r w:rsidR="00AC0693" w:rsidRPr="008723B2">
        <w:rPr>
          <w:szCs w:val="22"/>
        </w:rPr>
        <w:t xml:space="preserve"> after December 31, 2015, </w:t>
      </w:r>
      <w:r w:rsidR="000F5B8A">
        <w:rPr>
          <w:szCs w:val="22"/>
        </w:rPr>
        <w:t xml:space="preserve">we expect that it will contain </w:t>
      </w:r>
      <w:r w:rsidR="00AC0693" w:rsidRPr="008723B2">
        <w:rPr>
          <w:szCs w:val="22"/>
        </w:rPr>
        <w:t>closed caption</w:t>
      </w:r>
      <w:r w:rsidR="000F5B8A">
        <w:rPr>
          <w:szCs w:val="22"/>
        </w:rPr>
        <w:t>s.</w:t>
      </w:r>
      <w:r w:rsidR="00100B2F">
        <w:rPr>
          <w:rStyle w:val="FootnoteReference"/>
          <w:szCs w:val="22"/>
        </w:rPr>
        <w:footnoteReference w:id="51"/>
      </w:r>
      <w:r>
        <w:rPr>
          <w:szCs w:val="22"/>
        </w:rPr>
        <w:t xml:space="preserve">  </w:t>
      </w:r>
      <w:r w:rsidR="00100B2F">
        <w:rPr>
          <w:szCs w:val="22"/>
        </w:rPr>
        <w:t xml:space="preserve">In the event that </w:t>
      </w:r>
      <w:r w:rsidR="000F5B8A">
        <w:rPr>
          <w:szCs w:val="22"/>
        </w:rPr>
        <w:t>Kellogg</w:t>
      </w:r>
      <w:r w:rsidR="00100B2F">
        <w:rPr>
          <w:szCs w:val="22"/>
        </w:rPr>
        <w:t xml:space="preserve"> does continue to need an exemption </w:t>
      </w:r>
      <w:r w:rsidR="000F5B8A">
        <w:rPr>
          <w:szCs w:val="22"/>
        </w:rPr>
        <w:t>after that date</w:t>
      </w:r>
      <w:r w:rsidR="00100B2F">
        <w:rPr>
          <w:szCs w:val="22"/>
        </w:rPr>
        <w:t xml:space="preserve">, it may submit a new petition </w:t>
      </w:r>
      <w:r w:rsidR="000F5B8A">
        <w:rPr>
          <w:szCs w:val="22"/>
        </w:rPr>
        <w:t xml:space="preserve">with supporting documentation, </w:t>
      </w:r>
      <w:r w:rsidR="00CF3AFD">
        <w:rPr>
          <w:szCs w:val="22"/>
        </w:rPr>
        <w:t>on which we will conduct a new review to determine whether a determination of economic burden continues to be justified</w:t>
      </w:r>
      <w:r w:rsidR="00EC38C7">
        <w:rPr>
          <w:szCs w:val="22"/>
        </w:rPr>
        <w:t>.</w:t>
      </w:r>
      <w:r w:rsidR="00AC0693">
        <w:rPr>
          <w:rStyle w:val="FootnoteReference"/>
        </w:rPr>
        <w:footnoteReference w:id="52"/>
      </w:r>
      <w:r w:rsidR="00AC0693" w:rsidRPr="00A26804">
        <w:t xml:space="preserve">  </w:t>
      </w:r>
    </w:p>
    <w:p w14:paraId="43E48ECF" w14:textId="77777777" w:rsidR="00F013EA" w:rsidRPr="00FD62B1" w:rsidRDefault="00F013EA" w:rsidP="00CB2C34">
      <w:pPr>
        <w:pStyle w:val="Heading1"/>
        <w:keepNext w:val="0"/>
        <w:widowControl/>
        <w:spacing w:after="120"/>
        <w:jc w:val="left"/>
        <w:rPr>
          <w:szCs w:val="22"/>
        </w:rPr>
      </w:pPr>
      <w:r w:rsidRPr="00FD62B1">
        <w:rPr>
          <w:szCs w:val="22"/>
        </w:rPr>
        <w:t>ordering clauses</w:t>
      </w:r>
      <w:r w:rsidRPr="00FD62B1">
        <w:rPr>
          <w:szCs w:val="22"/>
        </w:rPr>
        <w:tab/>
      </w:r>
    </w:p>
    <w:p w14:paraId="32476BD3" w14:textId="77777777" w:rsidR="005236D3" w:rsidRPr="00FD62B1" w:rsidRDefault="005236D3" w:rsidP="00CB2C34">
      <w:pPr>
        <w:pStyle w:val="ParaNum"/>
        <w:widowControl/>
        <w:tabs>
          <w:tab w:val="clear" w:pos="1080"/>
          <w:tab w:val="num" w:pos="3060"/>
        </w:tabs>
        <w:spacing w:after="120"/>
        <w:jc w:val="left"/>
        <w:rPr>
          <w:szCs w:val="22"/>
        </w:rPr>
      </w:pPr>
      <w:r w:rsidRPr="00FD62B1">
        <w:rPr>
          <w:szCs w:val="22"/>
        </w:rPr>
        <w:t xml:space="preserve">Accordingly, </w:t>
      </w:r>
      <w:r w:rsidR="007A54B2">
        <w:rPr>
          <w:szCs w:val="22"/>
        </w:rPr>
        <w:t>pursuant to section 713 of the Communications Act of 1934, as amended</w:t>
      </w:r>
      <w:r w:rsidR="00023135">
        <w:rPr>
          <w:szCs w:val="22"/>
        </w:rPr>
        <w:t>,</w:t>
      </w:r>
      <w:r w:rsidR="007A54B2">
        <w:rPr>
          <w:szCs w:val="22"/>
        </w:rPr>
        <w:t xml:space="preserve"> and sections 0.141(f) and 79.1(f) of the Commission’s rules,</w:t>
      </w:r>
      <w:r w:rsidR="007A54B2">
        <w:rPr>
          <w:rStyle w:val="FootnoteReference"/>
          <w:szCs w:val="22"/>
        </w:rPr>
        <w:footnoteReference w:id="53"/>
      </w:r>
      <w:r w:rsidR="007A54B2">
        <w:rPr>
          <w:szCs w:val="22"/>
        </w:rPr>
        <w:t xml:space="preserve"> </w:t>
      </w:r>
      <w:r w:rsidRPr="00FD62B1">
        <w:rPr>
          <w:szCs w:val="22"/>
        </w:rPr>
        <w:t>IT IS ORDERED</w:t>
      </w:r>
      <w:r w:rsidRPr="00FD62B1">
        <w:rPr>
          <w:b/>
          <w:szCs w:val="22"/>
        </w:rPr>
        <w:t xml:space="preserve"> </w:t>
      </w:r>
      <w:r w:rsidRPr="00FD62B1">
        <w:rPr>
          <w:szCs w:val="22"/>
        </w:rPr>
        <w:t xml:space="preserve">that the Petition filed by </w:t>
      </w:r>
      <w:r w:rsidR="00AD63B6">
        <w:rPr>
          <w:szCs w:val="22"/>
        </w:rPr>
        <w:t>Kellogg Street Productions</w:t>
      </w:r>
      <w:r w:rsidR="00023135">
        <w:rPr>
          <w:szCs w:val="22"/>
        </w:rPr>
        <w:t>,</w:t>
      </w:r>
      <w:r w:rsidRPr="00FD62B1">
        <w:rPr>
          <w:szCs w:val="22"/>
        </w:rPr>
        <w:t xml:space="preserve"> requesting an exemption from the Commission’s closed captioning rules</w:t>
      </w:r>
      <w:r w:rsidR="00023135">
        <w:rPr>
          <w:szCs w:val="22"/>
        </w:rPr>
        <w:t>,</w:t>
      </w:r>
      <w:r w:rsidRPr="00FD62B1">
        <w:rPr>
          <w:szCs w:val="22"/>
        </w:rPr>
        <w:t xml:space="preserve"> IS </w:t>
      </w:r>
      <w:r w:rsidR="00AC0693">
        <w:rPr>
          <w:szCs w:val="22"/>
        </w:rPr>
        <w:t>GRANTED through December 31, 2015.</w:t>
      </w:r>
    </w:p>
    <w:p w14:paraId="1B237F68" w14:textId="583C90D9" w:rsidR="003B1529" w:rsidRDefault="005236D3" w:rsidP="00E765CF">
      <w:pPr>
        <w:pStyle w:val="ParaNum"/>
        <w:widowControl/>
        <w:tabs>
          <w:tab w:val="clear" w:pos="1080"/>
        </w:tabs>
        <w:spacing w:after="120"/>
        <w:jc w:val="left"/>
        <w:rPr>
          <w:szCs w:val="22"/>
        </w:rPr>
      </w:pPr>
      <w:r w:rsidRPr="00FD62B1">
        <w:rPr>
          <w:szCs w:val="22"/>
        </w:rPr>
        <w:t xml:space="preserve">IT IS FURTHER ORDERED that </w:t>
      </w:r>
      <w:r w:rsidR="003B1529">
        <w:rPr>
          <w:szCs w:val="22"/>
        </w:rPr>
        <w:t xml:space="preserve">the programming that is the subject of its Petition must be captioned no later than January 1, 2016, if the programming continues to be aired subsequent to that date.  </w:t>
      </w:r>
    </w:p>
    <w:p w14:paraId="79004235" w14:textId="1B5A857A" w:rsidR="005236D3" w:rsidRPr="00FD62B1" w:rsidRDefault="00EC38C7" w:rsidP="00E765CF">
      <w:pPr>
        <w:pStyle w:val="ParaNum"/>
        <w:widowControl/>
        <w:tabs>
          <w:tab w:val="clear" w:pos="1080"/>
        </w:tabs>
        <w:spacing w:after="120"/>
        <w:jc w:val="left"/>
        <w:rPr>
          <w:szCs w:val="22"/>
        </w:rPr>
      </w:pPr>
      <w:r>
        <w:rPr>
          <w:szCs w:val="22"/>
        </w:rPr>
        <w:t xml:space="preserve">IT IS FURTHER ORDERED that, in the case that the programming is not discontinued after January 1, 2016, Kellogg </w:t>
      </w:r>
      <w:r w:rsidR="005236D3" w:rsidRPr="00FD62B1">
        <w:rPr>
          <w:szCs w:val="22"/>
        </w:rPr>
        <w:t>must inform the Commission</w:t>
      </w:r>
      <w:r>
        <w:rPr>
          <w:szCs w:val="22"/>
        </w:rPr>
        <w:t xml:space="preserve"> of the date on which the programming is closed captioned in accordance with </w:t>
      </w:r>
      <w:r w:rsidR="003B1529">
        <w:rPr>
          <w:szCs w:val="22"/>
        </w:rPr>
        <w:t xml:space="preserve">this Order and the Commission’s rules </w:t>
      </w:r>
      <w:r w:rsidR="005236D3" w:rsidRPr="00FD62B1">
        <w:rPr>
          <w:szCs w:val="22"/>
        </w:rPr>
        <w:t xml:space="preserve">by e-mail to </w:t>
      </w:r>
      <w:hyperlink r:id="rId8" w:history="1">
        <w:r w:rsidR="0006118C" w:rsidRPr="00BF0C8C">
          <w:rPr>
            <w:rStyle w:val="Hyperlink"/>
            <w:szCs w:val="22"/>
          </w:rPr>
          <w:t>captioningexemption@fcc.gov</w:t>
        </w:r>
      </w:hyperlink>
      <w:r w:rsidR="00790BB1">
        <w:rPr>
          <w:szCs w:val="22"/>
        </w:rPr>
        <w:t>.</w:t>
      </w:r>
      <w:r w:rsidR="005236D3" w:rsidRPr="00FD62B1">
        <w:rPr>
          <w:rStyle w:val="FootnoteReference"/>
          <w:szCs w:val="22"/>
        </w:rPr>
        <w:footnoteReference w:id="54"/>
      </w:r>
      <w:r w:rsidR="005236D3" w:rsidRPr="00FD62B1">
        <w:rPr>
          <w:szCs w:val="22"/>
        </w:rPr>
        <w:t xml:space="preserve">  The e-mail </w:t>
      </w:r>
      <w:r w:rsidR="003B1529">
        <w:rPr>
          <w:szCs w:val="22"/>
        </w:rPr>
        <w:t xml:space="preserve">attachment </w:t>
      </w:r>
      <w:r w:rsidR="005236D3" w:rsidRPr="00FD62B1">
        <w:rPr>
          <w:szCs w:val="22"/>
        </w:rPr>
        <w:t>must reference Case Identifier CGB-CC-</w:t>
      </w:r>
      <w:r w:rsidR="00D95D14" w:rsidRPr="00FD62B1">
        <w:rPr>
          <w:szCs w:val="22"/>
        </w:rPr>
        <w:t>0</w:t>
      </w:r>
      <w:r w:rsidR="00AD63B6">
        <w:rPr>
          <w:szCs w:val="22"/>
        </w:rPr>
        <w:t>41</w:t>
      </w:r>
      <w:r w:rsidR="00D95D14" w:rsidRPr="00FD62B1">
        <w:rPr>
          <w:szCs w:val="22"/>
        </w:rPr>
        <w:t>3</w:t>
      </w:r>
      <w:r w:rsidR="003B1529">
        <w:rPr>
          <w:szCs w:val="22"/>
        </w:rPr>
        <w:t xml:space="preserve"> and will be posted on the docket to be publicly available</w:t>
      </w:r>
      <w:r w:rsidR="005236D3" w:rsidRPr="00FD62B1">
        <w:rPr>
          <w:szCs w:val="22"/>
        </w:rPr>
        <w:t xml:space="preserve">.  </w:t>
      </w:r>
    </w:p>
    <w:p w14:paraId="19F8F32D" w14:textId="77777777" w:rsidR="00F013EA" w:rsidRPr="00FD62B1" w:rsidRDefault="00F013EA" w:rsidP="007E34FE">
      <w:pPr>
        <w:pStyle w:val="ParaNum"/>
        <w:widowControl/>
        <w:numPr>
          <w:ilvl w:val="0"/>
          <w:numId w:val="0"/>
        </w:numPr>
        <w:spacing w:after="0"/>
        <w:ind w:firstLine="720"/>
        <w:jc w:val="left"/>
        <w:rPr>
          <w:szCs w:val="22"/>
        </w:rPr>
      </w:pPr>
    </w:p>
    <w:p w14:paraId="7E95CC00" w14:textId="77777777" w:rsidR="00F013EA" w:rsidRPr="00FD62B1" w:rsidRDefault="00F013EA" w:rsidP="007E34FE">
      <w:pPr>
        <w:pStyle w:val="ParaNum"/>
        <w:widowControl/>
        <w:numPr>
          <w:ilvl w:val="0"/>
          <w:numId w:val="0"/>
        </w:numPr>
        <w:tabs>
          <w:tab w:val="left" w:pos="4680"/>
        </w:tabs>
        <w:spacing w:after="0"/>
        <w:ind w:firstLine="720"/>
        <w:jc w:val="left"/>
        <w:rPr>
          <w:szCs w:val="22"/>
        </w:rPr>
      </w:pPr>
      <w:r w:rsidRPr="00FD62B1">
        <w:rPr>
          <w:szCs w:val="22"/>
        </w:rPr>
        <w:tab/>
      </w:r>
      <w:r w:rsidRPr="00FD62B1">
        <w:rPr>
          <w:szCs w:val="22"/>
        </w:rPr>
        <w:tab/>
        <w:t>FEDERAL COMMUNICATIONS COMMISSION</w:t>
      </w:r>
    </w:p>
    <w:p w14:paraId="53C02737" w14:textId="77777777" w:rsidR="00F013EA" w:rsidRDefault="00F013EA" w:rsidP="007E34FE">
      <w:pPr>
        <w:pStyle w:val="ParaNum"/>
        <w:widowControl/>
        <w:numPr>
          <w:ilvl w:val="0"/>
          <w:numId w:val="0"/>
        </w:numPr>
        <w:tabs>
          <w:tab w:val="left" w:pos="4680"/>
        </w:tabs>
        <w:spacing w:after="0"/>
        <w:ind w:firstLine="720"/>
        <w:jc w:val="left"/>
        <w:rPr>
          <w:szCs w:val="22"/>
        </w:rPr>
      </w:pPr>
    </w:p>
    <w:p w14:paraId="0DAD55B4" w14:textId="77777777" w:rsidR="007E34FE" w:rsidRDefault="007E34FE" w:rsidP="007E34FE">
      <w:pPr>
        <w:pStyle w:val="ParaNum"/>
        <w:widowControl/>
        <w:numPr>
          <w:ilvl w:val="0"/>
          <w:numId w:val="0"/>
        </w:numPr>
        <w:tabs>
          <w:tab w:val="left" w:pos="4680"/>
        </w:tabs>
        <w:spacing w:after="0"/>
        <w:ind w:firstLine="720"/>
        <w:jc w:val="left"/>
        <w:rPr>
          <w:szCs w:val="22"/>
        </w:rPr>
      </w:pPr>
    </w:p>
    <w:p w14:paraId="4DBDA35F" w14:textId="77777777" w:rsidR="007E34FE" w:rsidRPr="00FD62B1" w:rsidRDefault="007E34FE" w:rsidP="007E34FE">
      <w:pPr>
        <w:pStyle w:val="ParaNum"/>
        <w:widowControl/>
        <w:numPr>
          <w:ilvl w:val="0"/>
          <w:numId w:val="0"/>
        </w:numPr>
        <w:tabs>
          <w:tab w:val="left" w:pos="4680"/>
        </w:tabs>
        <w:spacing w:after="0"/>
        <w:ind w:firstLine="720"/>
        <w:jc w:val="left"/>
        <w:rPr>
          <w:szCs w:val="22"/>
        </w:rPr>
      </w:pPr>
    </w:p>
    <w:p w14:paraId="7F314A33" w14:textId="77777777" w:rsidR="00F013EA" w:rsidRPr="00FD62B1" w:rsidRDefault="00F013EA" w:rsidP="007E34FE">
      <w:pPr>
        <w:pStyle w:val="ParaNum"/>
        <w:widowControl/>
        <w:numPr>
          <w:ilvl w:val="0"/>
          <w:numId w:val="0"/>
        </w:numPr>
        <w:tabs>
          <w:tab w:val="left" w:pos="4680"/>
        </w:tabs>
        <w:spacing w:after="0"/>
        <w:ind w:firstLine="720"/>
        <w:jc w:val="left"/>
        <w:rPr>
          <w:szCs w:val="22"/>
        </w:rPr>
      </w:pPr>
      <w:r w:rsidRPr="00FD62B1">
        <w:rPr>
          <w:szCs w:val="22"/>
        </w:rPr>
        <w:tab/>
      </w:r>
      <w:r w:rsidRPr="00FD62B1">
        <w:rPr>
          <w:szCs w:val="22"/>
        </w:rPr>
        <w:tab/>
      </w:r>
      <w:r w:rsidR="00C37EC8">
        <w:rPr>
          <w:szCs w:val="22"/>
        </w:rPr>
        <w:t>Karen Peltz Strauss</w:t>
      </w:r>
    </w:p>
    <w:p w14:paraId="20F88CCD" w14:textId="77777777" w:rsidR="00D95D14" w:rsidRPr="00FD62B1" w:rsidRDefault="00F013EA" w:rsidP="007E34FE">
      <w:pPr>
        <w:pStyle w:val="ParaNum"/>
        <w:widowControl/>
        <w:numPr>
          <w:ilvl w:val="0"/>
          <w:numId w:val="0"/>
        </w:numPr>
        <w:tabs>
          <w:tab w:val="left" w:pos="4680"/>
        </w:tabs>
        <w:spacing w:after="0"/>
        <w:ind w:firstLine="720"/>
        <w:jc w:val="left"/>
        <w:rPr>
          <w:szCs w:val="22"/>
        </w:rPr>
      </w:pPr>
      <w:r w:rsidRPr="00FD62B1">
        <w:rPr>
          <w:szCs w:val="22"/>
        </w:rPr>
        <w:tab/>
      </w:r>
      <w:r w:rsidRPr="00FD62B1">
        <w:rPr>
          <w:szCs w:val="22"/>
        </w:rPr>
        <w:tab/>
      </w:r>
      <w:r w:rsidR="00C37EC8">
        <w:rPr>
          <w:szCs w:val="22"/>
        </w:rPr>
        <w:t>Deputy</w:t>
      </w:r>
      <w:r w:rsidRPr="00FD62B1">
        <w:rPr>
          <w:szCs w:val="22"/>
        </w:rPr>
        <w:t xml:space="preserve"> Chief</w:t>
      </w:r>
    </w:p>
    <w:p w14:paraId="7A3E5B20" w14:textId="77777777" w:rsidR="00F013EA" w:rsidRPr="00FD62B1" w:rsidRDefault="00D95D14" w:rsidP="007E34FE">
      <w:pPr>
        <w:pStyle w:val="ParaNum"/>
        <w:widowControl/>
        <w:numPr>
          <w:ilvl w:val="0"/>
          <w:numId w:val="0"/>
        </w:numPr>
        <w:tabs>
          <w:tab w:val="left" w:pos="4680"/>
        </w:tabs>
        <w:spacing w:after="0"/>
        <w:ind w:firstLine="720"/>
        <w:jc w:val="left"/>
        <w:rPr>
          <w:szCs w:val="22"/>
        </w:rPr>
      </w:pPr>
      <w:r w:rsidRPr="00FD62B1">
        <w:rPr>
          <w:szCs w:val="22"/>
        </w:rPr>
        <w:tab/>
      </w:r>
      <w:r w:rsidRPr="00FD62B1">
        <w:rPr>
          <w:szCs w:val="22"/>
        </w:rPr>
        <w:tab/>
      </w:r>
      <w:r w:rsidR="00F013EA" w:rsidRPr="00FD62B1">
        <w:rPr>
          <w:szCs w:val="22"/>
        </w:rPr>
        <w:t xml:space="preserve">Consumer </w:t>
      </w:r>
      <w:r w:rsidRPr="00FD62B1">
        <w:rPr>
          <w:szCs w:val="22"/>
        </w:rPr>
        <w:t>and</w:t>
      </w:r>
      <w:r w:rsidR="00F013EA" w:rsidRPr="00FD62B1">
        <w:rPr>
          <w:szCs w:val="22"/>
        </w:rPr>
        <w:t xml:space="preserve"> Governmental Affairs Bureau</w:t>
      </w:r>
    </w:p>
    <w:p w14:paraId="453AE5D7" w14:textId="77777777" w:rsidR="00F013EA" w:rsidRPr="00FD62B1" w:rsidRDefault="00F013EA" w:rsidP="007E34FE">
      <w:pPr>
        <w:pStyle w:val="ParaNum"/>
        <w:widowControl/>
        <w:numPr>
          <w:ilvl w:val="0"/>
          <w:numId w:val="0"/>
        </w:numPr>
        <w:spacing w:after="0"/>
        <w:ind w:firstLine="720"/>
        <w:jc w:val="left"/>
        <w:rPr>
          <w:szCs w:val="22"/>
        </w:rPr>
      </w:pPr>
      <w:r w:rsidRPr="00FD62B1">
        <w:rPr>
          <w:szCs w:val="22"/>
        </w:rPr>
        <w:tab/>
      </w:r>
      <w:r w:rsidRPr="00FD62B1">
        <w:rPr>
          <w:szCs w:val="22"/>
        </w:rPr>
        <w:tab/>
      </w:r>
      <w:r w:rsidRPr="00FD62B1">
        <w:rPr>
          <w:szCs w:val="22"/>
        </w:rPr>
        <w:tab/>
      </w:r>
      <w:r w:rsidRPr="00FD62B1">
        <w:rPr>
          <w:szCs w:val="22"/>
        </w:rPr>
        <w:tab/>
      </w:r>
    </w:p>
    <w:sectPr w:rsidR="00F013EA" w:rsidRPr="00FD62B1" w:rsidSect="002F48F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DE474" w14:textId="77777777" w:rsidR="00DC0593" w:rsidRDefault="00DC0593">
      <w:r>
        <w:separator/>
      </w:r>
    </w:p>
  </w:endnote>
  <w:endnote w:type="continuationSeparator" w:id="0">
    <w:p w14:paraId="13A316BD" w14:textId="77777777" w:rsidR="00DC0593" w:rsidRDefault="00DC0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4D34E" w14:textId="77777777" w:rsidR="003C1EC1" w:rsidRDefault="003C1E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02FA7" w14:textId="77777777" w:rsidR="007E4704" w:rsidRDefault="007E4704">
    <w:pPr>
      <w:pStyle w:val="Footer"/>
      <w:jc w:val="center"/>
    </w:pPr>
    <w:r>
      <w:rPr>
        <w:rStyle w:val="PageNumber"/>
      </w:rPr>
      <w:fldChar w:fldCharType="begin"/>
    </w:r>
    <w:r>
      <w:rPr>
        <w:rStyle w:val="PageNumber"/>
      </w:rPr>
      <w:instrText xml:space="preserve"> PAGE </w:instrText>
    </w:r>
    <w:r>
      <w:rPr>
        <w:rStyle w:val="PageNumber"/>
      </w:rPr>
      <w:fldChar w:fldCharType="separate"/>
    </w:r>
    <w:r w:rsidR="0050568F">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0AF02" w14:textId="77777777" w:rsidR="003C1EC1" w:rsidRDefault="003C1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84725" w14:textId="77777777" w:rsidR="00DC0593" w:rsidRDefault="00DC0593">
      <w:pPr>
        <w:rPr>
          <w:sz w:val="20"/>
        </w:rPr>
      </w:pPr>
      <w:r>
        <w:rPr>
          <w:sz w:val="20"/>
        </w:rPr>
        <w:separator/>
      </w:r>
    </w:p>
  </w:footnote>
  <w:footnote w:type="continuationSeparator" w:id="0">
    <w:p w14:paraId="3A9ABCF9" w14:textId="77777777" w:rsidR="00DC0593" w:rsidRDefault="00DC0593">
      <w:pPr>
        <w:rPr>
          <w:sz w:val="20"/>
        </w:rPr>
      </w:pPr>
      <w:r>
        <w:rPr>
          <w:sz w:val="20"/>
        </w:rPr>
        <w:separator/>
      </w:r>
    </w:p>
    <w:p w14:paraId="5D506EF4" w14:textId="77777777" w:rsidR="00DC0593" w:rsidRDefault="00DC0593">
      <w:pPr>
        <w:rPr>
          <w:sz w:val="20"/>
        </w:rPr>
      </w:pPr>
      <w:r>
        <w:rPr>
          <w:sz w:val="20"/>
        </w:rPr>
        <w:t>(...continued from previous page)</w:t>
      </w:r>
    </w:p>
  </w:footnote>
  <w:footnote w:type="continuationNotice" w:id="1">
    <w:p w14:paraId="09170144" w14:textId="77777777" w:rsidR="00DC0593" w:rsidRDefault="00DC0593">
      <w:pPr>
        <w:jc w:val="right"/>
        <w:rPr>
          <w:sz w:val="20"/>
        </w:rPr>
      </w:pPr>
      <w:r>
        <w:rPr>
          <w:sz w:val="20"/>
        </w:rPr>
        <w:t>(continued....)</w:t>
      </w:r>
    </w:p>
  </w:footnote>
  <w:footnote w:id="2">
    <w:p w14:paraId="1F74CBCD" w14:textId="77777777" w:rsidR="00AC2D49" w:rsidRDefault="00AC2D49" w:rsidP="009D4EC4">
      <w:pPr>
        <w:pStyle w:val="FootnoteText"/>
        <w:jc w:val="left"/>
      </w:pPr>
      <w:r>
        <w:rPr>
          <w:rStyle w:val="FootnoteReference"/>
        </w:rPr>
        <w:footnoteRef/>
      </w:r>
      <w:r>
        <w:t xml:space="preserve"> Telecommunications Act of 1996, Pub. L. No. 104-104, § 305, 110 Stat. 56 (1996 Act) (codified at 47 U.S.C. § 613).  As recognized by Congress, the goal in captioning video programming is “to ensure that all Americans ultimately have access to video services and programs, particularly as video programming becomes an increasingly important part of the home, school and workplace.”  H.R. Rep. 104-458 (Conf. Rep.) at 183-184, 104</w:t>
      </w:r>
      <w:r>
        <w:rPr>
          <w:vertAlign w:val="superscript"/>
        </w:rPr>
        <w:t>th</w:t>
      </w:r>
      <w:r>
        <w:t xml:space="preserve"> Cong., 2d Sess. (1996).  “Video programming” means “programming by, or generally considered comparable to programming provided by a television broadcast station.”  47 U.S.C. § 613(h)(2).</w:t>
      </w:r>
    </w:p>
  </w:footnote>
  <w:footnote w:id="3">
    <w:p w14:paraId="5EBB2B65" w14:textId="77777777" w:rsidR="00AC2D49" w:rsidRDefault="00AC2D49" w:rsidP="009D4EC4">
      <w:pPr>
        <w:pStyle w:val="FootnoteText"/>
        <w:jc w:val="left"/>
      </w:pPr>
      <w:r>
        <w:rPr>
          <w:rStyle w:val="FootnoteReference"/>
        </w:rPr>
        <w:footnoteRef/>
      </w:r>
      <w:r>
        <w:t xml:space="preserve"> 47 U.S.C. §§ 613(b)-(c).</w:t>
      </w:r>
    </w:p>
  </w:footnote>
  <w:footnote w:id="4">
    <w:p w14:paraId="4D7CBD2C" w14:textId="77777777" w:rsidR="00AC2D49" w:rsidRDefault="00AC2D49" w:rsidP="009D4EC4">
      <w:pPr>
        <w:pStyle w:val="FootnoteText"/>
        <w:jc w:val="left"/>
      </w:pPr>
      <w:r>
        <w:rPr>
          <w:rStyle w:val="FootnoteReference"/>
        </w:rPr>
        <w:footnoteRef/>
      </w:r>
      <w:r>
        <w:t xml:space="preserve"> </w:t>
      </w:r>
      <w:r>
        <w:rPr>
          <w:i/>
        </w:rPr>
        <w:t>See</w:t>
      </w:r>
      <w:r>
        <w:t xml:space="preserve"> 47 C.F.R. § 79.1; </w:t>
      </w:r>
      <w:r>
        <w:rPr>
          <w:i/>
        </w:rPr>
        <w:t>Closed Captioning and Video Description of Video Programming, Implementation of Section 305 of the Telecommunications Act of 1996, Video Programming Accessibility</w:t>
      </w:r>
      <w:r>
        <w:t>, MM Docket No. 95-176, Report and Order, 13 FCC Rcd 3272 (1997) (</w:t>
      </w:r>
      <w:r>
        <w:rPr>
          <w:i/>
        </w:rPr>
        <w:t xml:space="preserve">Closed Captioning Report and Order); </w:t>
      </w:r>
      <w:r>
        <w:rPr>
          <w:i/>
          <w:iCs/>
        </w:rPr>
        <w:t>Closed Captioning and Video Description of Video Programming, Implementation of Section 305 of the Telecommunications Act of 1996, Video Programming Accessibility</w:t>
      </w:r>
      <w:r>
        <w:rPr>
          <w:iCs/>
        </w:rPr>
        <w:t>,</w:t>
      </w:r>
      <w:r>
        <w:rPr>
          <w:i/>
          <w:iCs/>
        </w:rPr>
        <w:t xml:space="preserve"> </w:t>
      </w:r>
      <w:r>
        <w:t>MM Docket No. 95-176, Order on Reconsideration, 13 FCC Rcd 19973 (1998) (</w:t>
      </w:r>
      <w:r>
        <w:rPr>
          <w:i/>
        </w:rPr>
        <w:t>Closed Captioning Reconsideration Order</w:t>
      </w:r>
      <w:r>
        <w:t>)</w:t>
      </w:r>
      <w:r>
        <w:rPr>
          <w:i/>
          <w:iCs/>
        </w:rPr>
        <w:t>.</w:t>
      </w:r>
      <w:r>
        <w:t xml:space="preserve">  </w:t>
      </w:r>
    </w:p>
  </w:footnote>
  <w:footnote w:id="5">
    <w:p w14:paraId="45722803" w14:textId="77777777" w:rsidR="00AC2D49" w:rsidRDefault="00AC2D49" w:rsidP="009D4EC4">
      <w:pPr>
        <w:pStyle w:val="FootnoteText"/>
        <w:jc w:val="left"/>
      </w:pPr>
      <w:r>
        <w:rPr>
          <w:rStyle w:val="FootnoteReference"/>
        </w:rPr>
        <w:footnoteRef/>
      </w:r>
      <w:r>
        <w:t xml:space="preserve"> 47 C.F.R. §§ 79.1(b)(1)(iv), (b)(3)(iv).  A “video programming distributor” is defined as (1) any television broadcast station licensed by the Commission; (2) any multichannel video programming distributor (MVPD) as defined in section 76.1000(e); and (3) any other distributor of video programming for residential reception that delivers such programming directly to the home and is subject to the jurisdiction of the Commission.  47 C.F.R. § 79.1(a)(11).  The Commission’s rules also require closed captioning of 75% of a programming distributor’s pre-rule, nonexempt English and Spanish language programming that is distributed and exhibited on each channel during each calendar quarter.  47 C.F.R. §§ 79.1(b)(2)(ii), (b)(4)(ii).  “Pre-rule” programming refers to analog video programming first published or exhibited before January 1, 1998, or digital video programing first published or exhibited before July 1, 2002.  47 C.F.R. § 79.1(a)(6).  Bilingual English-Spanish language programming is subject to the same closed captioning requirements for new and pre-rule programming.  </w:t>
      </w:r>
      <w:r>
        <w:rPr>
          <w:i/>
        </w:rPr>
        <w:t>See Closed Captioning of Video Programming; Telecommunications for the Deaf and Hard of Hearing, Inc., Petition for Rulemaking</w:t>
      </w:r>
      <w:r>
        <w:t>, CG Docket No. 05-231, Report and Order, Declaratory Ruling, and Further Notice of Proposed Rulemaking, 29 FCC Rcd 2221, 2288-89, ¶ 115 (2014).</w:t>
      </w:r>
    </w:p>
  </w:footnote>
  <w:footnote w:id="6">
    <w:p w14:paraId="4775CB90" w14:textId="7CBA7EE2" w:rsidR="00AC2D49" w:rsidRDefault="00AC2D49" w:rsidP="009D4EC4">
      <w:pPr>
        <w:pStyle w:val="FootnoteText"/>
        <w:jc w:val="left"/>
      </w:pPr>
      <w:r>
        <w:rPr>
          <w:rStyle w:val="FootnoteReference"/>
        </w:rPr>
        <w:footnoteRef/>
      </w:r>
      <w:r>
        <w:t xml:space="preserve"> </w:t>
      </w:r>
      <w:r>
        <w:rPr>
          <w:i/>
        </w:rPr>
        <w:t>See</w:t>
      </w:r>
      <w:r>
        <w:t xml:space="preserve"> 47 U.S.C. §§ 613(d)(3),(e).  </w:t>
      </w:r>
      <w:r>
        <w:rPr>
          <w:i/>
        </w:rPr>
        <w:t>See also</w:t>
      </w:r>
      <w:r>
        <w:t xml:space="preserve"> 47 C.F.R. § 79.1(f)(2).  As originally enacted in 1996, section 713 of the Communications Act authorized the Commission to grant individual closed captioning exemptions upon a showing that providing closed captioning would “result in an undue burden.”  1996 Act, § 305.  Section 202(c) of the Twenty-First Century Communications and Video Accessibility Act of 2010 (CVAA) replaced the term “undue burden” with the term “economically burdensome.”  Pub. L. No. 111-260, § 202(c), 124 Stat. 2771, amending 47 U.S.C. § 613(d)(3).  For purposes of evaluating individual exemptions, the Commission has determined that Congress intended the term “economically burdensome” to be synonymous with the term “undue burden” as defined by section 713(e) of the Communications Act and section 79.1(f)(2) of the Commission’s rules.  </w:t>
      </w:r>
      <w:r>
        <w:rPr>
          <w:i/>
        </w:rPr>
        <w:t>See Interpretation of Economically Burdensome Standard, Amendment of Section 79.1(f) of the Commission’s Rules, Video Programming Accessibility</w:t>
      </w:r>
      <w:r>
        <w:t>, CG Docket No. 11-175, Report and Order, 27 FCC Rcd 8831, 8834, ¶ 7 (2012) (</w:t>
      </w:r>
      <w:r>
        <w:rPr>
          <w:i/>
        </w:rPr>
        <w:t>Economically Burdensome Standard Order</w:t>
      </w:r>
      <w:r>
        <w:t>).</w:t>
      </w:r>
    </w:p>
  </w:footnote>
  <w:footnote w:id="7">
    <w:p w14:paraId="0D0F304D" w14:textId="77777777" w:rsidR="00AC2D49" w:rsidRDefault="00AC2D49" w:rsidP="009D4EC4">
      <w:pPr>
        <w:pStyle w:val="FootnoteText"/>
        <w:jc w:val="left"/>
      </w:pPr>
      <w:r>
        <w:rPr>
          <w:rStyle w:val="FootnoteReference"/>
        </w:rPr>
        <w:footnoteRef/>
      </w:r>
      <w:r>
        <w:t xml:space="preserve"> 47 C.F.R. § 79.1(f)(1).  A “video programming provider” is defined as “[a]ny video programming distributor and any other entity that provides video programming that is intended for distribution to residential households including, but not limited to broadcast or nonbroadcast television network and the owners of such programming.”  47 C.F.R. § 79.1(a)(3).  </w:t>
      </w:r>
      <w:r>
        <w:rPr>
          <w:i/>
        </w:rPr>
        <w:t xml:space="preserve">See also </w:t>
      </w:r>
      <w:r>
        <w:t xml:space="preserve">n.4, </w:t>
      </w:r>
      <w:r>
        <w:rPr>
          <w:i/>
        </w:rPr>
        <w:t>supra</w:t>
      </w:r>
      <w:r>
        <w:t xml:space="preserve"> (for definition of “video programming distributor”).  A petitioner may seek an exemption for “a channel of video programming, a category or type of video programming, an individual video service, a specific video program or a video programming provider.”  47 C.F.R. § 79.1(f)(1).  </w:t>
      </w:r>
    </w:p>
  </w:footnote>
  <w:footnote w:id="8">
    <w:p w14:paraId="1ABCBD69" w14:textId="77777777" w:rsidR="00AC2D49" w:rsidRDefault="00AC2D49" w:rsidP="009D4EC4">
      <w:pPr>
        <w:pStyle w:val="FootnoteText"/>
        <w:jc w:val="left"/>
      </w:pPr>
      <w:r>
        <w:rPr>
          <w:rStyle w:val="FootnoteReference"/>
        </w:rPr>
        <w:footnoteRef/>
      </w:r>
      <w:r>
        <w:t xml:space="preserve"> 47 U.S.C. § 613(e); 47 C.F.R. § 79.1(f)(2).  A petitioner may also present for the Commission’s consideration “any other factors the petitioner deems relevant to the Commission’s final determination,” including alternatives that might constitute a reasonable substitute for closed captioning.  47 C.F.R. § 79.1(f)(3).  The Commission has delegated the responsibility for evaluating and ruling on these petitions to the Consumer and Governmental Affairs Bureau.  </w:t>
      </w:r>
      <w:r>
        <w:rPr>
          <w:i/>
        </w:rPr>
        <w:t>Economically Burdensome Standard Order</w:t>
      </w:r>
      <w:r>
        <w:t>, 27 FCC Rcd at 8834-35, ¶ 8.</w:t>
      </w:r>
      <w:r>
        <w:rPr>
          <w:i/>
        </w:rPr>
        <w:t xml:space="preserve">  </w:t>
      </w:r>
    </w:p>
  </w:footnote>
  <w:footnote w:id="9">
    <w:p w14:paraId="55BB2AE7" w14:textId="77777777" w:rsidR="00AC2D49" w:rsidRDefault="00AC2D49" w:rsidP="009D4EC4">
      <w:pPr>
        <w:suppressAutoHyphens/>
        <w:spacing w:after="120"/>
        <w:rPr>
          <w:sz w:val="20"/>
        </w:rPr>
      </w:pPr>
      <w:r>
        <w:rPr>
          <w:rStyle w:val="FootnoteReference"/>
          <w:sz w:val="20"/>
        </w:rPr>
        <w:footnoteRef/>
      </w:r>
      <w:r>
        <w:rPr>
          <w:sz w:val="20"/>
        </w:rPr>
        <w:t xml:space="preserve"> </w:t>
      </w:r>
      <w:r>
        <w:rPr>
          <w:i/>
          <w:sz w:val="20"/>
        </w:rPr>
        <w:t>Anglers for Christ Ministries, Inc., et al.; Amendment of Section 79.1(f) of the Commission’s Rules; Video Programming Accessibility</w:t>
      </w:r>
      <w:r>
        <w:rPr>
          <w:sz w:val="20"/>
        </w:rPr>
        <w:t>, CG Docket Nos. 06-181 and 11-175, Memorandum Opinion and Order, Order, and Notice of Proposed Rulemaking, 26 FCC Rcd 14941, 14955-56, ¶ 28 &amp; nn. 100-04 (2011) (</w:t>
      </w:r>
      <w:r>
        <w:rPr>
          <w:i/>
          <w:sz w:val="20"/>
        </w:rPr>
        <w:t>Anglers Reversal MO&amp;O</w:t>
      </w:r>
      <w:r>
        <w:rPr>
          <w:sz w:val="20"/>
        </w:rPr>
        <w:t>).  The Bureau has provided additional guidance for petitioners regarding these requirements in the document “Required Information to Provide in Filing a New Petition to be Exempt from the Closed Captioning Requirements,” which is provided by the staff to captioning exemption petitioners and is available at http://hraunfoss.fcc.gov/edocs_public/attachmatch/DOC-323421A1.pdf (</w:t>
      </w:r>
      <w:r>
        <w:rPr>
          <w:i/>
          <w:sz w:val="20"/>
        </w:rPr>
        <w:t>Bureau Information Guidance</w:t>
      </w:r>
      <w:r>
        <w:rPr>
          <w:sz w:val="20"/>
        </w:rPr>
        <w:t>).</w:t>
      </w:r>
    </w:p>
  </w:footnote>
  <w:footnote w:id="10">
    <w:p w14:paraId="0869BDE2" w14:textId="77777777" w:rsidR="00AC2D49" w:rsidRPr="00D37256" w:rsidRDefault="00AC2D49" w:rsidP="003B1529">
      <w:pPr>
        <w:pStyle w:val="FootnoteText1"/>
        <w:jc w:val="left"/>
      </w:pPr>
      <w:r w:rsidRPr="00D37256">
        <w:rPr>
          <w:rStyle w:val="FootnoteReference"/>
        </w:rPr>
        <w:footnoteRef/>
      </w:r>
      <w:r w:rsidRPr="00D37256">
        <w:t xml:space="preserve"> 47 C.F.R. § 79.1(f)(9).  A petition for exemption may also be supported by an </w:t>
      </w:r>
      <w:r w:rsidRPr="00D37256">
        <w:rPr>
          <w:rStyle w:val="contents"/>
        </w:rPr>
        <w:t xml:space="preserve">unsworn written statement signed by a </w:t>
      </w:r>
      <w:r w:rsidRPr="004052D0">
        <w:t>declarant</w:t>
      </w:r>
      <w:r w:rsidRPr="00D37256">
        <w:rPr>
          <w:rStyle w:val="contents"/>
        </w:rPr>
        <w:t xml:space="preserve"> under</w:t>
      </w:r>
      <w:r>
        <w:rPr>
          <w:rStyle w:val="contents"/>
        </w:rPr>
        <w:t xml:space="preserve"> penalty of perjury.  47 C.F.R. </w:t>
      </w:r>
      <w:r w:rsidRPr="00D37256">
        <w:rPr>
          <w:rStyle w:val="contents"/>
        </w:rPr>
        <w:t>§ 1.16.</w:t>
      </w:r>
    </w:p>
  </w:footnote>
  <w:footnote w:id="11">
    <w:p w14:paraId="5BA63209" w14:textId="77777777" w:rsidR="00AC2D49" w:rsidRPr="00D37256" w:rsidRDefault="00AC2D49">
      <w:pPr>
        <w:pStyle w:val="FootnoteText1"/>
        <w:jc w:val="left"/>
      </w:pPr>
      <w:r w:rsidRPr="00D37256">
        <w:rPr>
          <w:rStyle w:val="FootnoteReference"/>
        </w:rPr>
        <w:footnoteRef/>
      </w:r>
      <w:r w:rsidRPr="00D37256">
        <w:t xml:space="preserve"> </w:t>
      </w:r>
      <w:r w:rsidRPr="00D37256">
        <w:rPr>
          <w:i/>
        </w:rPr>
        <w:t>Anglers Reversal MO&amp;O</w:t>
      </w:r>
      <w:r w:rsidRPr="00D37256">
        <w:t>,</w:t>
      </w:r>
      <w:r w:rsidRPr="00D37256">
        <w:rPr>
          <w:i/>
        </w:rPr>
        <w:t xml:space="preserve"> </w:t>
      </w:r>
      <w:r w:rsidRPr="00D37256">
        <w:t xml:space="preserve">26 FCC Rcd at 14955-56, ¶ 28 (citing </w:t>
      </w:r>
      <w:r w:rsidRPr="00D37256">
        <w:rPr>
          <w:i/>
        </w:rPr>
        <w:t>The Wild Outdoors</w:t>
      </w:r>
      <w:r w:rsidRPr="00D37256">
        <w:t xml:space="preserve">, </w:t>
      </w:r>
      <w:r w:rsidRPr="00D37256">
        <w:rPr>
          <w:i/>
        </w:rPr>
        <w:t xml:space="preserve">Video Programming </w:t>
      </w:r>
      <w:r w:rsidRPr="004052D0">
        <w:t>Accessibility</w:t>
      </w:r>
      <w:r w:rsidRPr="00D37256">
        <w:rPr>
          <w:i/>
        </w:rPr>
        <w:t>, Petition for Waiver of Closed Captioning Requirements</w:t>
      </w:r>
      <w:r w:rsidRPr="00D37256">
        <w:t xml:space="preserve">, </w:t>
      </w:r>
      <w:r>
        <w:t xml:space="preserve">CSR Docket No. 5444, </w:t>
      </w:r>
      <w:r w:rsidRPr="00D37256">
        <w:t>Memorandum Opinion and Order, 16 FCC Rcd 13611, 13614, ¶ 12 (Cable Services Bureau, 2001) (</w:t>
      </w:r>
      <w:r w:rsidRPr="00D37256">
        <w:rPr>
          <w:i/>
        </w:rPr>
        <w:t>Wild Outdoors 2001</w:t>
      </w:r>
      <w:r w:rsidRPr="00D37256">
        <w:t xml:space="preserve">)).  </w:t>
      </w:r>
    </w:p>
  </w:footnote>
  <w:footnote w:id="12">
    <w:p w14:paraId="11DA602F" w14:textId="77777777" w:rsidR="00AC2D49" w:rsidRPr="00D37256" w:rsidRDefault="00AC2D49">
      <w:pPr>
        <w:pStyle w:val="FootnoteText1"/>
        <w:jc w:val="left"/>
      </w:pPr>
      <w:r w:rsidRPr="00D37256">
        <w:rPr>
          <w:rStyle w:val="FootnoteReference"/>
        </w:rPr>
        <w:footnoteRef/>
      </w:r>
      <w:r w:rsidRPr="00D37256">
        <w:t xml:space="preserve"> 47 U.S.C. § 613(d)(3); 47 C.F.R. § 79.1(f)(11).</w:t>
      </w:r>
    </w:p>
  </w:footnote>
  <w:footnote w:id="13">
    <w:p w14:paraId="01A8A78C" w14:textId="6FCA32A2" w:rsidR="007E4704" w:rsidRPr="00C37EC8" w:rsidRDefault="007E4704">
      <w:pPr>
        <w:pStyle w:val="FootnoteText"/>
        <w:jc w:val="left"/>
      </w:pPr>
      <w:r w:rsidRPr="00861E02">
        <w:rPr>
          <w:rStyle w:val="FootnoteReference"/>
        </w:rPr>
        <w:footnoteRef/>
      </w:r>
      <w:r w:rsidRPr="00861E02">
        <w:t xml:space="preserve"> </w:t>
      </w:r>
      <w:r w:rsidRPr="00861E02">
        <w:rPr>
          <w:i/>
        </w:rPr>
        <w:t>See</w:t>
      </w:r>
      <w:r w:rsidRPr="00861E02">
        <w:t xml:space="preserve"> Letter from </w:t>
      </w:r>
      <w:r w:rsidR="00AD20A1">
        <w:t>Sharry Whitney, Kellogg Street Productions</w:t>
      </w:r>
      <w:r w:rsidR="009F2655">
        <w:t>,</w:t>
      </w:r>
      <w:r w:rsidR="009D4EC4">
        <w:t xml:space="preserve"> to </w:t>
      </w:r>
      <w:r w:rsidR="0025163A">
        <w:t>FCC</w:t>
      </w:r>
      <w:r w:rsidRPr="00BA06D8">
        <w:t xml:space="preserve"> </w:t>
      </w:r>
      <w:r w:rsidRPr="00C37EC8">
        <w:t>(</w:t>
      </w:r>
      <w:r w:rsidR="006C4349">
        <w:t xml:space="preserve">filed </w:t>
      </w:r>
      <w:r w:rsidR="00AD20A1">
        <w:t>Feb. 6, 2006</w:t>
      </w:r>
      <w:r w:rsidRPr="00C37EC8">
        <w:t>)</w:t>
      </w:r>
      <w:r w:rsidR="00322310">
        <w:t xml:space="preserve"> </w:t>
      </w:r>
      <w:r w:rsidR="009873A1">
        <w:t>(Petition)</w:t>
      </w:r>
      <w:r w:rsidRPr="00C37EC8">
        <w:t xml:space="preserve">.  </w:t>
      </w:r>
    </w:p>
  </w:footnote>
  <w:footnote w:id="14">
    <w:p w14:paraId="3E304960" w14:textId="6BA62D34" w:rsidR="00D4290B" w:rsidRPr="00887494" w:rsidRDefault="00D4290B">
      <w:pPr>
        <w:pStyle w:val="FootnoteText"/>
        <w:jc w:val="left"/>
      </w:pPr>
      <w:r w:rsidRPr="00861E02">
        <w:rPr>
          <w:rStyle w:val="FootnoteReference"/>
        </w:rPr>
        <w:footnoteRef/>
      </w:r>
      <w:r w:rsidRPr="00861E02">
        <w:t xml:space="preserve"> </w:t>
      </w:r>
      <w:r w:rsidR="00F5075D">
        <w:rPr>
          <w:i/>
        </w:rPr>
        <w:t xml:space="preserve">Consumer and Governmental Affairs Bureau Action; </w:t>
      </w:r>
      <w:r w:rsidRPr="00861E02">
        <w:rPr>
          <w:i/>
        </w:rPr>
        <w:t>Request for Exemption from Commission’s Closed Captioning Rules</w:t>
      </w:r>
      <w:r>
        <w:t xml:space="preserve">, CG Docket 06-181, </w:t>
      </w:r>
      <w:r w:rsidR="00233CEE">
        <w:t xml:space="preserve">Public Notice, </w:t>
      </w:r>
      <w:r w:rsidR="00E34EA3">
        <w:t>21 FCC Rcd 13142</w:t>
      </w:r>
      <w:r w:rsidR="00233CEE">
        <w:t xml:space="preserve"> </w:t>
      </w:r>
      <w:r w:rsidRPr="00861E02">
        <w:t>(</w:t>
      </w:r>
      <w:r w:rsidR="00E34EA3">
        <w:t>CGB</w:t>
      </w:r>
      <w:r w:rsidR="00F5075D">
        <w:t xml:space="preserve"> 2006</w:t>
      </w:r>
      <w:r w:rsidRPr="00861E02">
        <w:t>)</w:t>
      </w:r>
      <w:r>
        <w:t>.</w:t>
      </w:r>
      <w:r w:rsidR="00927E40">
        <w:t xml:space="preserve">  </w:t>
      </w:r>
      <w:r w:rsidR="00327A37">
        <w:t>The</w:t>
      </w:r>
      <w:r w:rsidR="00927E40">
        <w:t xml:space="preserve"> comment period </w:t>
      </w:r>
      <w:r w:rsidR="00327A37">
        <w:t xml:space="preserve">established by this Public Notice </w:t>
      </w:r>
      <w:r w:rsidR="00927E40">
        <w:t>was extended by 120 days, to March 27, 2007</w:t>
      </w:r>
      <w:r w:rsidR="00327A37">
        <w:t>,</w:t>
      </w:r>
      <w:r w:rsidR="00927E40">
        <w:t xml:space="preserve"> through a subsequent Public Notice.  </w:t>
      </w:r>
      <w:r w:rsidR="00927E40">
        <w:rPr>
          <w:i/>
        </w:rPr>
        <w:t xml:space="preserve">Consumer and Governmental Affairs Bureau Action; Extension of Comment Period on Petitions for Exemption </w:t>
      </w:r>
      <w:r w:rsidR="00927E40" w:rsidRPr="00861E02">
        <w:rPr>
          <w:i/>
        </w:rPr>
        <w:t>from Commission’s Closed Captioning Rules</w:t>
      </w:r>
      <w:r w:rsidR="00927E40">
        <w:t>, CG Docket 06-181,</w:t>
      </w:r>
      <w:r w:rsidR="00E34EA3">
        <w:t xml:space="preserve"> </w:t>
      </w:r>
      <w:r w:rsidR="00F0426D">
        <w:t xml:space="preserve">Public Notice, </w:t>
      </w:r>
      <w:r w:rsidR="00E34EA3">
        <w:t>21 FCC Rcd 13487</w:t>
      </w:r>
      <w:r w:rsidR="00927E40" w:rsidRPr="00861E02">
        <w:t xml:space="preserve"> (</w:t>
      </w:r>
      <w:r w:rsidR="00E34EA3">
        <w:t xml:space="preserve">CGB </w:t>
      </w:r>
      <w:r w:rsidR="00927E40">
        <w:t>2006</w:t>
      </w:r>
      <w:r w:rsidR="00927E40" w:rsidRPr="00861E02">
        <w:t>)</w:t>
      </w:r>
      <w:r w:rsidR="00927E40">
        <w:t xml:space="preserve">.  </w:t>
      </w:r>
    </w:p>
  </w:footnote>
  <w:footnote w:id="15">
    <w:p w14:paraId="5D7BC576" w14:textId="21199F96" w:rsidR="00D4290B" w:rsidRPr="00804516" w:rsidRDefault="00D4290B">
      <w:pPr>
        <w:pStyle w:val="FootnoteText"/>
        <w:jc w:val="left"/>
      </w:pPr>
      <w:r w:rsidRPr="00861E02">
        <w:rPr>
          <w:rStyle w:val="FootnoteReference"/>
        </w:rPr>
        <w:footnoteRef/>
      </w:r>
      <w:r w:rsidRPr="00861E02">
        <w:t xml:space="preserve"> </w:t>
      </w:r>
      <w:r w:rsidRPr="00861E02">
        <w:rPr>
          <w:i/>
        </w:rPr>
        <w:t xml:space="preserve">See </w:t>
      </w:r>
      <w:r w:rsidR="00B1064C">
        <w:t xml:space="preserve">RE: CGB-CC-0413 - </w:t>
      </w:r>
      <w:r w:rsidRPr="0030550A">
        <w:t>Opposition to Petition for Exemption from Closed Captioning Requirements Filed by Kellogg Street Productions,</w:t>
      </w:r>
      <w:r>
        <w:t xml:space="preserve"> </w:t>
      </w:r>
      <w:r w:rsidR="0043586E">
        <w:t>filed</w:t>
      </w:r>
      <w:r>
        <w:t xml:space="preserve"> by</w:t>
      </w:r>
      <w:r w:rsidRPr="00861E02">
        <w:t xml:space="preserve"> Telecommunications for the Deaf and Hard of Hearing, Inc.</w:t>
      </w:r>
      <w:r w:rsidR="0043586E">
        <w:t xml:space="preserve"> (TDI)</w:t>
      </w:r>
      <w:r w:rsidRPr="00861E02">
        <w:t>, National Association of the Deaf</w:t>
      </w:r>
      <w:r w:rsidR="0043586E">
        <w:t xml:space="preserve"> (NAD)</w:t>
      </w:r>
      <w:r w:rsidRPr="00861E02">
        <w:t>, Deaf and Hard of Hearing Consumer Advocacy Network</w:t>
      </w:r>
      <w:r w:rsidR="0043586E">
        <w:t xml:space="preserve"> (DHHCAN)</w:t>
      </w:r>
      <w:r w:rsidRPr="00861E02">
        <w:t>,</w:t>
      </w:r>
      <w:r w:rsidR="009D4EC4">
        <w:t xml:space="preserve"> </w:t>
      </w:r>
      <w:r w:rsidR="00B1064C">
        <w:t>Hearing Loss Association of America (HLAA),</w:t>
      </w:r>
      <w:r w:rsidRPr="00861E02">
        <w:t xml:space="preserve"> Association of Late-Deafened Adults</w:t>
      </w:r>
      <w:r w:rsidR="0043586E">
        <w:t xml:space="preserve"> (ALDA)</w:t>
      </w:r>
      <w:r w:rsidRPr="00861E02">
        <w:t xml:space="preserve">, </w:t>
      </w:r>
      <w:r w:rsidR="00B1064C">
        <w:t xml:space="preserve">American Association of People with Disabilities (AAPD) and California Association  of Agencies Serving the Deaf and Hard of Hearing (CCASDHH) </w:t>
      </w:r>
      <w:r w:rsidRPr="00C10CBE">
        <w:t>(</w:t>
      </w:r>
      <w:r>
        <w:t>Mar. 2, 2007</w:t>
      </w:r>
      <w:r w:rsidRPr="00C10CBE">
        <w:t>).</w:t>
      </w:r>
      <w:r w:rsidR="0043586E">
        <w:t xml:space="preserve">  </w:t>
      </w:r>
    </w:p>
  </w:footnote>
  <w:footnote w:id="16">
    <w:p w14:paraId="70532026" w14:textId="22DC2BFF" w:rsidR="004C5690" w:rsidRPr="0033787F" w:rsidRDefault="004C5690">
      <w:pPr>
        <w:pStyle w:val="FootnoteText"/>
        <w:jc w:val="left"/>
      </w:pPr>
      <w:r>
        <w:rPr>
          <w:rStyle w:val="FootnoteReference"/>
        </w:rPr>
        <w:footnoteRef/>
      </w:r>
      <w:r>
        <w:t xml:space="preserve"> </w:t>
      </w:r>
      <w:r w:rsidRPr="0033787F">
        <w:rPr>
          <w:i/>
        </w:rPr>
        <w:t>Notice of Need to File Updated Information with Respect to Pending Petitions for Exemption from Commission’s Closed Captioning Rules Which Were Filed Prior to October 2010</w:t>
      </w:r>
      <w:r w:rsidRPr="0033787F">
        <w:t>, CG 06-181, Public Notice, 27 FCC Rcd 3106 (</w:t>
      </w:r>
      <w:r>
        <w:t>CGB 2012</w:t>
      </w:r>
      <w:r w:rsidRPr="0033787F">
        <w:t>).</w:t>
      </w:r>
      <w:r>
        <w:t xml:space="preserve">  </w:t>
      </w:r>
      <w:r w:rsidR="00014211" w:rsidRPr="00861E02">
        <w:rPr>
          <w:i/>
        </w:rPr>
        <w:t>See</w:t>
      </w:r>
      <w:r w:rsidR="00014211">
        <w:rPr>
          <w:i/>
        </w:rPr>
        <w:t xml:space="preserve"> also</w:t>
      </w:r>
      <w:r w:rsidR="00014211" w:rsidRPr="00861E02">
        <w:rPr>
          <w:i/>
        </w:rPr>
        <w:t xml:space="preserve"> </w:t>
      </w:r>
      <w:r w:rsidR="00014211" w:rsidRPr="00861E02">
        <w:t xml:space="preserve">Letter from </w:t>
      </w:r>
      <w:r w:rsidR="00014211">
        <w:t>Kris Monteith</w:t>
      </w:r>
      <w:r w:rsidR="00014211" w:rsidRPr="00861E02">
        <w:t xml:space="preserve">, </w:t>
      </w:r>
      <w:r w:rsidR="00014211">
        <w:t xml:space="preserve">Acting </w:t>
      </w:r>
      <w:r w:rsidR="00014211" w:rsidRPr="00861E02">
        <w:t xml:space="preserve">Chief, </w:t>
      </w:r>
      <w:r w:rsidR="00014211">
        <w:t>CGB</w:t>
      </w:r>
      <w:r w:rsidR="00014211" w:rsidRPr="00861E02">
        <w:t>, to</w:t>
      </w:r>
      <w:r w:rsidR="00014211">
        <w:t xml:space="preserve"> Kellogg Street Productions </w:t>
      </w:r>
      <w:r w:rsidR="00014211" w:rsidRPr="00861E02">
        <w:t>(</w:t>
      </w:r>
      <w:r w:rsidR="00014211">
        <w:t>Apr</w:t>
      </w:r>
      <w:r w:rsidR="00014211" w:rsidRPr="00861E02">
        <w:t>. 5, 201</w:t>
      </w:r>
      <w:r w:rsidR="00014211">
        <w:t>2</w:t>
      </w:r>
      <w:r w:rsidR="00014211" w:rsidRPr="00861E02">
        <w:t xml:space="preserve">).  </w:t>
      </w:r>
      <w:r w:rsidR="00014211" w:rsidRPr="00C10CBE">
        <w:t xml:space="preserve"> </w:t>
      </w:r>
    </w:p>
  </w:footnote>
  <w:footnote w:id="17">
    <w:p w14:paraId="40053B4E" w14:textId="7390A97B" w:rsidR="007E4704" w:rsidRPr="00BA06D8" w:rsidRDefault="007E4704">
      <w:pPr>
        <w:pStyle w:val="FootnoteText"/>
        <w:jc w:val="left"/>
      </w:pPr>
      <w:r w:rsidRPr="00861E02">
        <w:rPr>
          <w:rStyle w:val="FootnoteReference"/>
        </w:rPr>
        <w:footnoteRef/>
      </w:r>
      <w:r w:rsidRPr="00861E02">
        <w:t xml:space="preserve"> </w:t>
      </w:r>
      <w:r w:rsidRPr="00861E02">
        <w:rPr>
          <w:i/>
        </w:rPr>
        <w:t xml:space="preserve">See </w:t>
      </w:r>
      <w:r w:rsidR="00B27B1F" w:rsidRPr="009D4EC4">
        <w:t xml:space="preserve">CGB-CC-0413 </w:t>
      </w:r>
      <w:r w:rsidR="009873A1" w:rsidRPr="009D4EC4">
        <w:t xml:space="preserve">Supplement to Update </w:t>
      </w:r>
      <w:r w:rsidR="00B27B1F" w:rsidRPr="009D4EC4">
        <w:t>O</w:t>
      </w:r>
      <w:r w:rsidR="009873A1" w:rsidRPr="009D4EC4">
        <w:t>ur Current Pending Application seeking a Waiver for Exemption from Closed Captioning Rules</w:t>
      </w:r>
      <w:r w:rsidR="009873A1">
        <w:t xml:space="preserve"> </w:t>
      </w:r>
      <w:r w:rsidR="00394109">
        <w:t>(</w:t>
      </w:r>
      <w:r w:rsidR="006C4349">
        <w:t xml:space="preserve">filed </w:t>
      </w:r>
      <w:r w:rsidR="009873A1">
        <w:t>Jul</w:t>
      </w:r>
      <w:r w:rsidR="00394109">
        <w:t>y</w:t>
      </w:r>
      <w:r w:rsidRPr="00C10CBE">
        <w:t xml:space="preserve"> </w:t>
      </w:r>
      <w:r w:rsidR="009873A1">
        <w:t>2</w:t>
      </w:r>
      <w:r w:rsidRPr="00C10CBE">
        <w:t>, 2012</w:t>
      </w:r>
      <w:r w:rsidRPr="00BA06D8">
        <w:t>)</w:t>
      </w:r>
      <w:r w:rsidR="0002503C">
        <w:t xml:space="preserve"> </w:t>
      </w:r>
      <w:r w:rsidRPr="00BA06D8">
        <w:t>(</w:t>
      </w:r>
      <w:r w:rsidR="00394109">
        <w:t>2012 Supplement</w:t>
      </w:r>
      <w:r w:rsidRPr="00BA06D8">
        <w:t>).</w:t>
      </w:r>
    </w:p>
  </w:footnote>
  <w:footnote w:id="18">
    <w:p w14:paraId="23C0EF96" w14:textId="3C004E8F" w:rsidR="007E4704" w:rsidRPr="009D4EC4" w:rsidRDefault="007E4704">
      <w:pPr>
        <w:pStyle w:val="FootnoteText"/>
        <w:jc w:val="left"/>
        <w:rPr>
          <w:i/>
          <w:highlight w:val="yellow"/>
        </w:rPr>
      </w:pPr>
      <w:r w:rsidRPr="00861E02">
        <w:rPr>
          <w:rStyle w:val="FootnoteReference"/>
        </w:rPr>
        <w:footnoteRef/>
      </w:r>
      <w:r w:rsidRPr="00861E02">
        <w:t xml:space="preserve"> </w:t>
      </w:r>
      <w:r w:rsidRPr="00861E02">
        <w:rPr>
          <w:i/>
        </w:rPr>
        <w:t>Request for Comment, Request for Exemption from Commission’s Closed Captioning Rules</w:t>
      </w:r>
      <w:r w:rsidR="00887494">
        <w:t xml:space="preserve">, CG Docket 06-181, </w:t>
      </w:r>
      <w:r w:rsidR="008A21BA">
        <w:t xml:space="preserve">Public Notice, 28 FCC Rcd 1962 </w:t>
      </w:r>
      <w:r w:rsidRPr="00861E02">
        <w:t>(</w:t>
      </w:r>
      <w:r w:rsidR="008A21BA">
        <w:t>CGB</w:t>
      </w:r>
      <w:r w:rsidR="00887494">
        <w:t xml:space="preserve"> 2013</w:t>
      </w:r>
      <w:r w:rsidRPr="00861E02">
        <w:t>)</w:t>
      </w:r>
      <w:r w:rsidR="00887494" w:rsidRPr="009D4EC4">
        <w:t>.</w:t>
      </w:r>
      <w:r w:rsidR="00EC05BC" w:rsidRPr="009D4EC4">
        <w:t xml:space="preserve">  </w:t>
      </w:r>
      <w:r w:rsidR="00B27B1F" w:rsidRPr="009D4EC4">
        <w:t xml:space="preserve">A previous Public Notice listing this petition number was subsequently deleted through an erratum. </w:t>
      </w:r>
      <w:r w:rsidR="00B27B1F">
        <w:rPr>
          <w:i/>
        </w:rPr>
        <w:t xml:space="preserve">See </w:t>
      </w:r>
      <w:r w:rsidR="00A927FA">
        <w:rPr>
          <w:i/>
        </w:rPr>
        <w:t>Request for Comment, Reques</w:t>
      </w:r>
      <w:r w:rsidR="00B27B1F">
        <w:rPr>
          <w:i/>
        </w:rPr>
        <w:t>t for Exemption from Commission’s Captioning Rules</w:t>
      </w:r>
      <w:r w:rsidR="00B27B1F">
        <w:t xml:space="preserve">, CG Docket No. 06-181, Public Notice, </w:t>
      </w:r>
      <w:r w:rsidR="00A927FA">
        <w:t xml:space="preserve">27 FCC Rcd 13403 (CGB 2012); </w:t>
      </w:r>
      <w:r w:rsidR="00A927FA">
        <w:rPr>
          <w:i/>
        </w:rPr>
        <w:t>Erratum, Request for Comment, Request for Exemption from the Commission’s Closed Captioning Rules</w:t>
      </w:r>
      <w:r w:rsidR="00A927FA">
        <w:t>, CG Docket No. 06-181, Public Notice, 27 FCC Rcd 14807 (CGB 2012).</w:t>
      </w:r>
      <w:r w:rsidR="00A927FA">
        <w:rPr>
          <w:i/>
        </w:rPr>
        <w:t xml:space="preserve"> </w:t>
      </w:r>
      <w:r w:rsidR="00A927FA">
        <w:t xml:space="preserve"> </w:t>
      </w:r>
      <w:r w:rsidR="00B27B1F" w:rsidRPr="009D4EC4">
        <w:t xml:space="preserve"> </w:t>
      </w:r>
    </w:p>
  </w:footnote>
  <w:footnote w:id="19">
    <w:p w14:paraId="3BB41593" w14:textId="72D2A880" w:rsidR="007E4704" w:rsidRPr="00C10CBE" w:rsidRDefault="007E4704">
      <w:pPr>
        <w:pStyle w:val="FootnoteText"/>
        <w:jc w:val="left"/>
      </w:pPr>
      <w:r w:rsidRPr="00861E02">
        <w:rPr>
          <w:rStyle w:val="FootnoteReference"/>
        </w:rPr>
        <w:footnoteRef/>
      </w:r>
      <w:r w:rsidRPr="00861E02">
        <w:t xml:space="preserve"> </w:t>
      </w:r>
      <w:r w:rsidRPr="00861E02">
        <w:rPr>
          <w:i/>
        </w:rPr>
        <w:t xml:space="preserve">See </w:t>
      </w:r>
      <w:r w:rsidR="00946909">
        <w:t xml:space="preserve">RE:  </w:t>
      </w:r>
      <w:r w:rsidR="0030550A">
        <w:t>Opposition to Petitions for Exemption from the Commission's Closed Captioning Rules</w:t>
      </w:r>
      <w:r w:rsidR="00946909">
        <w:t>,</w:t>
      </w:r>
      <w:r w:rsidR="0030550A">
        <w:t xml:space="preserve"> CG Docket No. 06-181, filed by</w:t>
      </w:r>
      <w:r w:rsidRPr="00861E02">
        <w:t xml:space="preserve"> </w:t>
      </w:r>
      <w:r w:rsidR="0030550A">
        <w:t>TDI, NAD</w:t>
      </w:r>
      <w:r w:rsidRPr="00861E02">
        <w:t xml:space="preserve">, </w:t>
      </w:r>
      <w:r w:rsidR="0030550A">
        <w:t>DHHCAN</w:t>
      </w:r>
      <w:r w:rsidRPr="00861E02">
        <w:t xml:space="preserve">, </w:t>
      </w:r>
      <w:r w:rsidR="0030550A">
        <w:t>ALDA and C</w:t>
      </w:r>
      <w:r w:rsidR="00946909">
        <w:t>erebral Palsy and Deaf Organization (C</w:t>
      </w:r>
      <w:r w:rsidR="0030550A">
        <w:t>PADO</w:t>
      </w:r>
      <w:r w:rsidR="00946909">
        <w:t>)</w:t>
      </w:r>
      <w:r w:rsidR="0030550A">
        <w:t xml:space="preserve"> </w:t>
      </w:r>
      <w:r w:rsidRPr="00C10CBE">
        <w:t>(</w:t>
      </w:r>
      <w:r w:rsidR="00887494">
        <w:t>Apr. 1, 2013</w:t>
      </w:r>
      <w:r w:rsidRPr="00C10CBE">
        <w:t>).</w:t>
      </w:r>
    </w:p>
  </w:footnote>
  <w:footnote w:id="20">
    <w:p w14:paraId="06AC7834" w14:textId="77777777" w:rsidR="002A6E75" w:rsidRDefault="002A6E75" w:rsidP="009D4EC4">
      <w:pPr>
        <w:pStyle w:val="FootnoteText"/>
        <w:jc w:val="left"/>
      </w:pPr>
      <w:r>
        <w:rPr>
          <w:rStyle w:val="FootnoteReference"/>
        </w:rPr>
        <w:footnoteRef/>
      </w:r>
      <w:r>
        <w:t xml:space="preserve"> </w:t>
      </w:r>
      <w:r w:rsidRPr="009D4EC4">
        <w:t>Supplement II to Update Our Current Pending Application Seeking a Waiver for Exemption from Closed Captioning Rules</w:t>
      </w:r>
      <w:r w:rsidR="004A2BB3">
        <w:rPr>
          <w:i/>
        </w:rPr>
        <w:t xml:space="preserve"> </w:t>
      </w:r>
      <w:r w:rsidR="006C4349" w:rsidRPr="006C4349">
        <w:t>(</w:t>
      </w:r>
      <w:r w:rsidR="006C4349">
        <w:t>Apr.</w:t>
      </w:r>
      <w:r w:rsidR="004A2BB3" w:rsidRPr="006C4349">
        <w:t xml:space="preserve"> 19, 2013</w:t>
      </w:r>
      <w:r w:rsidR="006C4349" w:rsidRPr="006C4349">
        <w:t>)</w:t>
      </w:r>
      <w:r>
        <w:rPr>
          <w:i/>
        </w:rPr>
        <w:t xml:space="preserve"> </w:t>
      </w:r>
      <w:r w:rsidRPr="00C10CBE">
        <w:t>(</w:t>
      </w:r>
      <w:r w:rsidR="006C4349">
        <w:t xml:space="preserve">filed </w:t>
      </w:r>
      <w:r>
        <w:t xml:space="preserve">Apr. </w:t>
      </w:r>
      <w:r w:rsidR="004A2BB3">
        <w:t>23</w:t>
      </w:r>
      <w:r w:rsidRPr="00C10CBE">
        <w:t>, 2013)</w:t>
      </w:r>
      <w:r w:rsidR="0002503C">
        <w:t xml:space="preserve"> </w:t>
      </w:r>
      <w:r w:rsidRPr="00C10CBE">
        <w:t>(</w:t>
      </w:r>
      <w:r w:rsidR="00663DF8">
        <w:t>April 2013 Supplement</w:t>
      </w:r>
      <w:r>
        <w:t>).</w:t>
      </w:r>
    </w:p>
  </w:footnote>
  <w:footnote w:id="21">
    <w:p w14:paraId="218C2787" w14:textId="3AABF098" w:rsidR="00EC05BC" w:rsidRPr="00327A37" w:rsidRDefault="00EC05BC" w:rsidP="009D4EC4">
      <w:pPr>
        <w:pStyle w:val="FootnoteText"/>
        <w:jc w:val="left"/>
      </w:pPr>
      <w:r>
        <w:rPr>
          <w:rStyle w:val="FootnoteReference"/>
        </w:rPr>
        <w:footnoteRef/>
      </w:r>
      <w:r>
        <w:t xml:space="preserve"> </w:t>
      </w:r>
      <w:r>
        <w:rPr>
          <w:i/>
        </w:rPr>
        <w:t>See</w:t>
      </w:r>
      <w:r>
        <w:t xml:space="preserve"> Letter from Cheryl J. King, Attorney, Disability Rights Office</w:t>
      </w:r>
      <w:r w:rsidR="00643881">
        <w:t xml:space="preserve"> (DRO)</w:t>
      </w:r>
      <w:r>
        <w:t>, to Kellogg Street Productions (Sept. 27, 2013); Letter from E. Elaine Gardner, Attorney, D</w:t>
      </w:r>
      <w:r w:rsidR="00643881">
        <w:t>RO</w:t>
      </w:r>
      <w:r>
        <w:t>, to Kellogg Street Productions (</w:t>
      </w:r>
      <w:r w:rsidRPr="00653918">
        <w:rPr>
          <w:szCs w:val="22"/>
        </w:rPr>
        <w:t>May 30, 2014</w:t>
      </w:r>
      <w:r>
        <w:rPr>
          <w:szCs w:val="22"/>
        </w:rPr>
        <w:t>).</w:t>
      </w:r>
    </w:p>
  </w:footnote>
  <w:footnote w:id="22">
    <w:p w14:paraId="18D52835" w14:textId="7CB1CD69" w:rsidR="007E4704" w:rsidRPr="00A73217" w:rsidRDefault="007E4704" w:rsidP="003B1529">
      <w:pPr>
        <w:pStyle w:val="FootnoteText"/>
        <w:jc w:val="left"/>
      </w:pPr>
      <w:r w:rsidRPr="00861E02">
        <w:rPr>
          <w:rStyle w:val="FootnoteReference"/>
        </w:rPr>
        <w:footnoteRef/>
      </w:r>
      <w:r w:rsidR="00887494">
        <w:t xml:space="preserve"> </w:t>
      </w:r>
      <w:r w:rsidRPr="00861E02">
        <w:rPr>
          <w:i/>
        </w:rPr>
        <w:t xml:space="preserve">See </w:t>
      </w:r>
      <w:r w:rsidR="004C022F">
        <w:t xml:space="preserve">CGB-CC-0413, </w:t>
      </w:r>
      <w:r w:rsidR="00991936" w:rsidRPr="009D4EC4">
        <w:t>Updated Application Seeking a Waiver for Exemption from Closed Captioning Rules</w:t>
      </w:r>
      <w:r w:rsidR="004A2BB3">
        <w:rPr>
          <w:i/>
        </w:rPr>
        <w:t xml:space="preserve"> </w:t>
      </w:r>
      <w:r w:rsidR="006C4349">
        <w:t>(Oct. 24</w:t>
      </w:r>
      <w:r w:rsidR="00991936">
        <w:t xml:space="preserve">, 2013) </w:t>
      </w:r>
      <w:r w:rsidR="00A73217">
        <w:t>(</w:t>
      </w:r>
      <w:r w:rsidR="00204962">
        <w:t xml:space="preserve">filed </w:t>
      </w:r>
      <w:r w:rsidR="006C4349">
        <w:t>Oct. 28</w:t>
      </w:r>
      <w:r w:rsidR="00204962">
        <w:t>, 2013)</w:t>
      </w:r>
      <w:r w:rsidR="00A73217">
        <w:t xml:space="preserve"> </w:t>
      </w:r>
      <w:r w:rsidR="00991936">
        <w:t>(</w:t>
      </w:r>
      <w:r w:rsidR="006C4349">
        <w:t xml:space="preserve">October </w:t>
      </w:r>
      <w:r w:rsidR="00204962">
        <w:t xml:space="preserve">2013 </w:t>
      </w:r>
      <w:r w:rsidR="00991936" w:rsidRPr="00E45D0B">
        <w:t>Supplement</w:t>
      </w:r>
      <w:r w:rsidR="00991936">
        <w:t xml:space="preserve">); </w:t>
      </w:r>
      <w:r w:rsidR="004C022F">
        <w:t xml:space="preserve">CGB-CC-0413, </w:t>
      </w:r>
      <w:r w:rsidR="00991936" w:rsidRPr="009D4EC4">
        <w:t>Supplement to Our Request for a Temporary Waiver for Closed Captioning Exemption</w:t>
      </w:r>
      <w:r w:rsidR="00991936">
        <w:t xml:space="preserve"> (</w:t>
      </w:r>
      <w:r w:rsidR="00204962">
        <w:t>June</w:t>
      </w:r>
      <w:r w:rsidR="00A73217">
        <w:t xml:space="preserve"> </w:t>
      </w:r>
      <w:r w:rsidR="00204962">
        <w:t>29</w:t>
      </w:r>
      <w:r w:rsidR="00991936">
        <w:t>, 2013)</w:t>
      </w:r>
      <w:r w:rsidR="00204962">
        <w:t xml:space="preserve"> (filed </w:t>
      </w:r>
      <w:r w:rsidR="006C4349">
        <w:t>June 30</w:t>
      </w:r>
      <w:r w:rsidR="00204962">
        <w:t>, 2014)</w:t>
      </w:r>
      <w:r w:rsidR="00991936">
        <w:t xml:space="preserve"> (</w:t>
      </w:r>
      <w:r w:rsidR="00204962">
        <w:t>Ju</w:t>
      </w:r>
      <w:r w:rsidR="006C4349">
        <w:t>ne</w:t>
      </w:r>
      <w:r w:rsidR="00204962">
        <w:t xml:space="preserve"> 2014 </w:t>
      </w:r>
      <w:r w:rsidR="00991936" w:rsidRPr="00E45D0B">
        <w:t>Supplement</w:t>
      </w:r>
      <w:r w:rsidR="00991936">
        <w:t>)</w:t>
      </w:r>
      <w:r w:rsidR="00A73217">
        <w:t xml:space="preserve">; </w:t>
      </w:r>
      <w:r w:rsidR="00A73217" w:rsidRPr="009D4EC4">
        <w:t>Quote from VITAC via Email 4/22/2013</w:t>
      </w:r>
      <w:r w:rsidR="00A73217" w:rsidRPr="004C022F">
        <w:t xml:space="preserve"> </w:t>
      </w:r>
      <w:r w:rsidR="00A73217">
        <w:t xml:space="preserve">(Sept. </w:t>
      </w:r>
      <w:r w:rsidR="006C4349">
        <w:t>18</w:t>
      </w:r>
      <w:r w:rsidR="00A73217">
        <w:t xml:space="preserve">, 2014) </w:t>
      </w:r>
      <w:r w:rsidR="006C4349">
        <w:t>(filed Sept. 22</w:t>
      </w:r>
      <w:r w:rsidR="00204962">
        <w:t xml:space="preserve">, 2014) </w:t>
      </w:r>
      <w:r w:rsidR="00A73217">
        <w:t>(</w:t>
      </w:r>
      <w:r w:rsidR="00204962">
        <w:t xml:space="preserve">September 2014 </w:t>
      </w:r>
      <w:r w:rsidR="00A73217">
        <w:t xml:space="preserve">Supplement); </w:t>
      </w:r>
      <w:r w:rsidR="00A73217" w:rsidRPr="004C022F">
        <w:rPr>
          <w:i/>
        </w:rPr>
        <w:t>Supplement to Our Request for a Temporary Waiver for Closed Captioning Exemption</w:t>
      </w:r>
      <w:r w:rsidR="00A73217">
        <w:rPr>
          <w:i/>
        </w:rPr>
        <w:t xml:space="preserve"> </w:t>
      </w:r>
      <w:r w:rsidR="003D7052">
        <w:t>(Oct. 1</w:t>
      </w:r>
      <w:r w:rsidR="001B6A9C">
        <w:t>5</w:t>
      </w:r>
      <w:r w:rsidR="00A73217">
        <w:t>, 2014) (</w:t>
      </w:r>
      <w:r w:rsidR="003D7052">
        <w:t xml:space="preserve">October 2014 </w:t>
      </w:r>
      <w:r w:rsidR="00A73217">
        <w:t xml:space="preserve">Supplement); </w:t>
      </w:r>
      <w:r w:rsidR="00A73217" w:rsidRPr="009D4EC4">
        <w:t>Supplement to Our Request for a Temporary Waiver for Closed Captioning Exemption</w:t>
      </w:r>
      <w:r w:rsidR="00A73217">
        <w:t xml:space="preserve"> (Nov. 24, 2014) (</w:t>
      </w:r>
      <w:r w:rsidR="006C4349">
        <w:t>November</w:t>
      </w:r>
      <w:r w:rsidR="003D7052">
        <w:t xml:space="preserve"> 2014 </w:t>
      </w:r>
      <w:r w:rsidR="00A73217">
        <w:t>Supplement).</w:t>
      </w:r>
    </w:p>
  </w:footnote>
  <w:footnote w:id="23">
    <w:p w14:paraId="44743BA4" w14:textId="2756B9C7" w:rsidR="007E4704" w:rsidRPr="00C10CBE" w:rsidRDefault="007E4704">
      <w:pPr>
        <w:pStyle w:val="FootnoteText"/>
        <w:jc w:val="left"/>
      </w:pPr>
      <w:r w:rsidRPr="00861E02">
        <w:rPr>
          <w:rStyle w:val="FootnoteReference"/>
        </w:rPr>
        <w:footnoteRef/>
      </w:r>
      <w:r w:rsidRPr="00861E02">
        <w:t xml:space="preserve"> </w:t>
      </w:r>
      <w:r w:rsidR="00791681">
        <w:rPr>
          <w:i/>
        </w:rPr>
        <w:t xml:space="preserve">Request for Comment on </w:t>
      </w:r>
      <w:r w:rsidRPr="00861E02">
        <w:rPr>
          <w:i/>
        </w:rPr>
        <w:t>Request for Exemption from Commission’s Closed Captioning Rules</w:t>
      </w:r>
      <w:r w:rsidRPr="00861E02">
        <w:t xml:space="preserve">, </w:t>
      </w:r>
      <w:r w:rsidR="001D1D0E">
        <w:t xml:space="preserve">CG Docket No. 06-181, </w:t>
      </w:r>
      <w:r w:rsidRPr="00861E02">
        <w:t>Public Notice,</w:t>
      </w:r>
      <w:r w:rsidR="00360848">
        <w:t xml:space="preserve"> 30</w:t>
      </w:r>
      <w:r w:rsidRPr="00861E02">
        <w:t xml:space="preserve"> FCC Rcd </w:t>
      </w:r>
      <w:r w:rsidR="00360848">
        <w:t>176</w:t>
      </w:r>
      <w:r w:rsidR="00791681">
        <w:t xml:space="preserve"> (</w:t>
      </w:r>
      <w:r w:rsidR="00360848">
        <w:t xml:space="preserve">CGB </w:t>
      </w:r>
      <w:r w:rsidR="00791681">
        <w:t>2015</w:t>
      </w:r>
      <w:r w:rsidRPr="00C10CBE">
        <w:t xml:space="preserve">).  </w:t>
      </w:r>
    </w:p>
  </w:footnote>
  <w:footnote w:id="24">
    <w:p w14:paraId="3A20D9DF" w14:textId="3D2EA145" w:rsidR="00F003D1" w:rsidRDefault="00F003D1">
      <w:pPr>
        <w:pStyle w:val="FootnoteText"/>
        <w:jc w:val="left"/>
      </w:pPr>
      <w:r>
        <w:rPr>
          <w:rStyle w:val="FootnoteReference"/>
        </w:rPr>
        <w:footnoteRef/>
      </w:r>
      <w:r>
        <w:t xml:space="preserve"> </w:t>
      </w:r>
      <w:r w:rsidRPr="00795181">
        <w:rPr>
          <w:i/>
        </w:rPr>
        <w:t>See</w:t>
      </w:r>
      <w:r>
        <w:t xml:space="preserve"> Re: Comment on Petition for Exemption from the Commission’s Closed Captioning Rules</w:t>
      </w:r>
      <w:r w:rsidR="00A82180">
        <w:t xml:space="preserve">, </w:t>
      </w:r>
      <w:r>
        <w:t>CG Docket No. 06-181, Kellogg Street Productions, CGB-CC-0413, filed by TDI, NAD, CPADO, and Deaf Seniors of America</w:t>
      </w:r>
      <w:r w:rsidR="00A82180">
        <w:t xml:space="preserve"> (DSA)</w:t>
      </w:r>
      <w:r>
        <w:t xml:space="preserve"> (</w:t>
      </w:r>
      <w:r w:rsidRPr="00D37256">
        <w:t>collectively, Consumer Groups</w:t>
      </w:r>
      <w:r>
        <w:t>) (Feb. 13, 2015)</w:t>
      </w:r>
      <w:r w:rsidR="00A82180">
        <w:t xml:space="preserve"> </w:t>
      </w:r>
      <w:r>
        <w:t xml:space="preserve">(Consumer Groups </w:t>
      </w:r>
      <w:r w:rsidRPr="000F10D0">
        <w:t>Comments</w:t>
      </w:r>
      <w:r>
        <w:t>).</w:t>
      </w:r>
    </w:p>
  </w:footnote>
  <w:footnote w:id="25">
    <w:p w14:paraId="19530AF1" w14:textId="6191F75F" w:rsidR="007E4704" w:rsidRPr="00C10CBE" w:rsidRDefault="007E4704">
      <w:pPr>
        <w:pStyle w:val="FootnoteText"/>
        <w:jc w:val="left"/>
      </w:pPr>
      <w:r w:rsidRPr="00861E02">
        <w:rPr>
          <w:rStyle w:val="FootnoteReference"/>
        </w:rPr>
        <w:footnoteRef/>
      </w:r>
      <w:r w:rsidRPr="00861E02">
        <w:t xml:space="preserve"> </w:t>
      </w:r>
      <w:r w:rsidR="00B5511C">
        <w:t>Petition at 1</w:t>
      </w:r>
      <w:r w:rsidR="00AF3053">
        <w:t xml:space="preserve">, </w:t>
      </w:r>
      <w:r w:rsidR="001F690D">
        <w:t>June</w:t>
      </w:r>
      <w:r w:rsidR="00297F29">
        <w:t xml:space="preserve"> 201</w:t>
      </w:r>
      <w:r w:rsidR="001F690D">
        <w:t>4</w:t>
      </w:r>
      <w:r w:rsidR="00297F29">
        <w:t xml:space="preserve"> Supplement</w:t>
      </w:r>
      <w:r w:rsidR="00AF3053">
        <w:t xml:space="preserve"> at </w:t>
      </w:r>
      <w:r w:rsidR="001F690D">
        <w:t>2-3</w:t>
      </w:r>
      <w:r w:rsidR="00AF3053">
        <w:t>.  Kellogg originally broadcast a half-hour program on WKTV, but rate increases forced it to move its program to a smaller station, WFXV</w:t>
      </w:r>
      <w:r w:rsidR="0080754B">
        <w:t>-TV</w:t>
      </w:r>
      <w:r w:rsidR="00AF3053">
        <w:t>, where it broadcasts a half-hour of new programming and an “Encore” half-hour presentation of the previous week’s show</w:t>
      </w:r>
      <w:r w:rsidRPr="00C10CBE">
        <w:t>.</w:t>
      </w:r>
      <w:r w:rsidR="00AF3053">
        <w:t xml:space="preserve">  </w:t>
      </w:r>
      <w:r w:rsidR="007954E6">
        <w:t>October</w:t>
      </w:r>
      <w:r w:rsidR="003B1529">
        <w:t xml:space="preserve"> </w:t>
      </w:r>
      <w:r w:rsidR="00297F29">
        <w:t>2013 Supplement</w:t>
      </w:r>
      <w:r w:rsidR="00AF3053">
        <w:t xml:space="preserve"> at 1.</w:t>
      </w:r>
      <w:r w:rsidR="00E600BF">
        <w:t xml:space="preserve"> </w:t>
      </w:r>
    </w:p>
  </w:footnote>
  <w:footnote w:id="26">
    <w:p w14:paraId="5420A744" w14:textId="3117CBB1" w:rsidR="00E600BF" w:rsidRDefault="00E600BF" w:rsidP="009D4EC4">
      <w:pPr>
        <w:pStyle w:val="FootnoteText"/>
        <w:jc w:val="left"/>
      </w:pPr>
      <w:r>
        <w:rPr>
          <w:rStyle w:val="FootnoteReference"/>
        </w:rPr>
        <w:footnoteRef/>
      </w:r>
      <w:r>
        <w:t xml:space="preserve"> July 2012 Supplement at 1.  </w:t>
      </w:r>
    </w:p>
  </w:footnote>
  <w:footnote w:id="27">
    <w:p w14:paraId="375AB482" w14:textId="2F265FFA" w:rsidR="00AE0222" w:rsidRPr="00AE0222" w:rsidRDefault="00AE0222" w:rsidP="009D4EC4">
      <w:pPr>
        <w:pStyle w:val="FootnoteText"/>
        <w:jc w:val="left"/>
        <w:rPr>
          <w:i/>
        </w:rPr>
      </w:pPr>
      <w:r>
        <w:rPr>
          <w:rStyle w:val="FootnoteReference"/>
        </w:rPr>
        <w:footnoteRef/>
      </w:r>
      <w:r>
        <w:t xml:space="preserve"> </w:t>
      </w:r>
      <w:r w:rsidR="001463C0">
        <w:t xml:space="preserve">April 2013 Supplement at 1. </w:t>
      </w:r>
    </w:p>
  </w:footnote>
  <w:footnote w:id="28">
    <w:p w14:paraId="2DCBB53F" w14:textId="77777777" w:rsidR="00AE0222" w:rsidRPr="00AE0222" w:rsidRDefault="00AE0222" w:rsidP="009D4EC4">
      <w:pPr>
        <w:pStyle w:val="FootnoteText"/>
        <w:jc w:val="left"/>
        <w:rPr>
          <w:i/>
        </w:rPr>
      </w:pPr>
      <w:r>
        <w:rPr>
          <w:rStyle w:val="FootnoteReference"/>
        </w:rPr>
        <w:footnoteRef/>
      </w:r>
      <w:r>
        <w:t xml:space="preserve"> </w:t>
      </w:r>
      <w:r>
        <w:rPr>
          <w:i/>
        </w:rPr>
        <w:t>Id.</w:t>
      </w:r>
    </w:p>
  </w:footnote>
  <w:footnote w:id="29">
    <w:p w14:paraId="7AF4F971" w14:textId="01F35618" w:rsidR="00077821" w:rsidRPr="00077821" w:rsidRDefault="00077821" w:rsidP="009D4EC4">
      <w:pPr>
        <w:pStyle w:val="FootnoteText"/>
        <w:jc w:val="left"/>
      </w:pPr>
      <w:r>
        <w:rPr>
          <w:rStyle w:val="FootnoteReference"/>
        </w:rPr>
        <w:footnoteRef/>
      </w:r>
      <w:r>
        <w:t xml:space="preserve"> </w:t>
      </w:r>
      <w:r>
        <w:rPr>
          <w:i/>
        </w:rPr>
        <w:t>Id.</w:t>
      </w:r>
      <w:r>
        <w:t xml:space="preserve"> </w:t>
      </w:r>
      <w:r w:rsidR="001E508B">
        <w:t xml:space="preserve">and </w:t>
      </w:r>
      <w:r w:rsidR="006C4349">
        <w:t>June 2014</w:t>
      </w:r>
      <w:r w:rsidR="0080754B">
        <w:t xml:space="preserve"> Supplement</w:t>
      </w:r>
      <w:r w:rsidR="001E508B">
        <w:t xml:space="preserve"> at 1.</w:t>
      </w:r>
      <w:r w:rsidR="00CC024D">
        <w:t xml:space="preserve"> </w:t>
      </w:r>
      <w:r>
        <w:t xml:space="preserve"> </w:t>
      </w:r>
      <w:r w:rsidR="001E508B">
        <w:rPr>
          <w:szCs w:val="22"/>
        </w:rPr>
        <w:t xml:space="preserve">Kellogg stated </w:t>
      </w:r>
      <w:r w:rsidR="00A51D5B">
        <w:rPr>
          <w:szCs w:val="22"/>
        </w:rPr>
        <w:t>that after</w:t>
      </w:r>
      <w:r w:rsidR="001E508B">
        <w:rPr>
          <w:szCs w:val="22"/>
        </w:rPr>
        <w:t xml:space="preserve"> the 500</w:t>
      </w:r>
      <w:r w:rsidR="001E508B" w:rsidRPr="001E508B">
        <w:rPr>
          <w:szCs w:val="22"/>
          <w:vertAlign w:val="superscript"/>
        </w:rPr>
        <w:t>th</w:t>
      </w:r>
      <w:r w:rsidR="001E508B">
        <w:rPr>
          <w:szCs w:val="22"/>
        </w:rPr>
        <w:t xml:space="preserve"> episode</w:t>
      </w:r>
      <w:r w:rsidR="00BA0492">
        <w:rPr>
          <w:szCs w:val="22"/>
        </w:rPr>
        <w:t>,</w:t>
      </w:r>
      <w:r w:rsidR="001E508B">
        <w:rPr>
          <w:szCs w:val="22"/>
        </w:rPr>
        <w:t xml:space="preserve"> it would sell the program, retire the program, or move the program to the Albany market.  </w:t>
      </w:r>
      <w:r w:rsidR="00297F29">
        <w:rPr>
          <w:szCs w:val="22"/>
        </w:rPr>
        <w:t>April 2013 Supplement</w:t>
      </w:r>
      <w:r w:rsidR="001E508B">
        <w:rPr>
          <w:szCs w:val="22"/>
        </w:rPr>
        <w:t xml:space="preserve"> at 1.  However, Kellogg </w:t>
      </w:r>
      <w:r w:rsidR="00BA0492">
        <w:rPr>
          <w:szCs w:val="22"/>
        </w:rPr>
        <w:t xml:space="preserve">subsequently </w:t>
      </w:r>
      <w:r w:rsidR="001E508B">
        <w:rPr>
          <w:szCs w:val="22"/>
        </w:rPr>
        <w:t xml:space="preserve">stated </w:t>
      </w:r>
      <w:r w:rsidR="001463C0">
        <w:rPr>
          <w:szCs w:val="22"/>
        </w:rPr>
        <w:t xml:space="preserve">in a supplement that </w:t>
      </w:r>
      <w:r w:rsidR="001E508B">
        <w:rPr>
          <w:szCs w:val="22"/>
        </w:rPr>
        <w:t xml:space="preserve">the program would end </w:t>
      </w:r>
      <w:r w:rsidR="00B4500C">
        <w:rPr>
          <w:szCs w:val="22"/>
        </w:rPr>
        <w:t>on</w:t>
      </w:r>
      <w:r w:rsidR="001E508B">
        <w:rPr>
          <w:szCs w:val="22"/>
        </w:rPr>
        <w:t xml:space="preserve"> epi</w:t>
      </w:r>
      <w:r w:rsidR="00805467">
        <w:rPr>
          <w:szCs w:val="22"/>
        </w:rPr>
        <w:t xml:space="preserve">sode 500.  </w:t>
      </w:r>
      <w:r w:rsidR="006C4349">
        <w:rPr>
          <w:szCs w:val="22"/>
        </w:rPr>
        <w:t>June 2014</w:t>
      </w:r>
      <w:r w:rsidR="0080754B">
        <w:rPr>
          <w:szCs w:val="22"/>
        </w:rPr>
        <w:t xml:space="preserve"> Supplement</w:t>
      </w:r>
      <w:r w:rsidR="00805467">
        <w:rPr>
          <w:szCs w:val="22"/>
        </w:rPr>
        <w:t xml:space="preserve"> at 1.</w:t>
      </w:r>
      <w:r w:rsidR="00BA0492">
        <w:rPr>
          <w:szCs w:val="22"/>
        </w:rPr>
        <w:t xml:space="preserve"> </w:t>
      </w:r>
      <w:r w:rsidR="00805467">
        <w:rPr>
          <w:szCs w:val="22"/>
        </w:rPr>
        <w:t xml:space="preserve"> </w:t>
      </w:r>
      <w:r w:rsidR="001463C0">
        <w:rPr>
          <w:szCs w:val="22"/>
        </w:rPr>
        <w:t xml:space="preserve">In its most recent supplement, </w:t>
      </w:r>
      <w:r w:rsidR="00805467">
        <w:t>Kellogg states that it will either end the show at the end of 2015 or, if</w:t>
      </w:r>
      <w:r w:rsidR="00B02AF3">
        <w:t xml:space="preserve"> it continues the show, the programming will be closed</w:t>
      </w:r>
      <w:r w:rsidR="00805467">
        <w:t xml:space="preserve"> caption</w:t>
      </w:r>
      <w:r w:rsidR="00B02AF3">
        <w:t>ed</w:t>
      </w:r>
      <w:r w:rsidR="00805467">
        <w:t xml:space="preserve">.  </w:t>
      </w:r>
      <w:r w:rsidR="0080754B">
        <w:t>November 2014 Supplement</w:t>
      </w:r>
      <w:r w:rsidR="00805467">
        <w:t xml:space="preserve"> at 1.</w:t>
      </w:r>
    </w:p>
  </w:footnote>
  <w:footnote w:id="30">
    <w:p w14:paraId="108C26BF" w14:textId="77777777" w:rsidR="00E310B3" w:rsidRPr="00C10CBE" w:rsidRDefault="00E310B3" w:rsidP="003B1529">
      <w:pPr>
        <w:pStyle w:val="FootnoteText"/>
        <w:jc w:val="left"/>
      </w:pPr>
      <w:r w:rsidRPr="00861E02">
        <w:rPr>
          <w:rStyle w:val="FootnoteReference"/>
        </w:rPr>
        <w:footnoteRef/>
      </w:r>
      <w:r w:rsidRPr="00861E02">
        <w:t xml:space="preserve"> </w:t>
      </w:r>
      <w:r w:rsidRPr="00C10CBE">
        <w:rPr>
          <w:i/>
        </w:rPr>
        <w:t>See</w:t>
      </w:r>
      <w:r w:rsidRPr="00C10CBE">
        <w:t xml:space="preserve"> </w:t>
      </w:r>
      <w:r w:rsidR="006C4349">
        <w:t>June 2014</w:t>
      </w:r>
      <w:r w:rsidR="0080754B">
        <w:t xml:space="preserve"> Supplement</w:t>
      </w:r>
      <w:r w:rsidRPr="00C10CBE">
        <w:t xml:space="preserve">, at </w:t>
      </w:r>
      <w:r>
        <w:t>2-3</w:t>
      </w:r>
      <w:r w:rsidRPr="00C10CBE">
        <w:t>.</w:t>
      </w:r>
    </w:p>
  </w:footnote>
  <w:footnote w:id="31">
    <w:p w14:paraId="6BB7147F" w14:textId="77777777" w:rsidR="007E4704" w:rsidRPr="00C10CBE" w:rsidRDefault="007E4704">
      <w:pPr>
        <w:pStyle w:val="FootnoteText"/>
        <w:jc w:val="left"/>
      </w:pPr>
      <w:r w:rsidRPr="00861E02">
        <w:rPr>
          <w:rStyle w:val="FootnoteReference"/>
        </w:rPr>
        <w:footnoteRef/>
      </w:r>
      <w:r w:rsidRPr="00861E02">
        <w:t xml:space="preserve"> </w:t>
      </w:r>
      <w:r w:rsidR="00B7034C">
        <w:rPr>
          <w:i/>
        </w:rPr>
        <w:t>Id.</w:t>
      </w:r>
    </w:p>
  </w:footnote>
  <w:footnote w:id="32">
    <w:p w14:paraId="699A454B" w14:textId="2DAD1B3D" w:rsidR="007E4704" w:rsidRPr="009A20D5" w:rsidRDefault="007E4704">
      <w:pPr>
        <w:pStyle w:val="FootnoteText"/>
        <w:jc w:val="left"/>
        <w:rPr>
          <w:i/>
        </w:rPr>
      </w:pPr>
      <w:r w:rsidRPr="00861E02">
        <w:rPr>
          <w:rStyle w:val="FootnoteReference"/>
        </w:rPr>
        <w:footnoteRef/>
      </w:r>
      <w:r w:rsidRPr="00861E02">
        <w:t xml:space="preserve"> </w:t>
      </w:r>
      <w:r w:rsidRPr="00861E02">
        <w:rPr>
          <w:i/>
        </w:rPr>
        <w:t xml:space="preserve">See </w:t>
      </w:r>
      <w:r w:rsidR="00297F29">
        <w:t>October 2013 Supplement</w:t>
      </w:r>
      <w:r w:rsidR="00D20AC3">
        <w:t xml:space="preserve"> at </w:t>
      </w:r>
      <w:r w:rsidR="001463C0">
        <w:t xml:space="preserve">1; </w:t>
      </w:r>
      <w:r w:rsidR="00D20AC3" w:rsidRPr="002B77C2">
        <w:t>15-</w:t>
      </w:r>
      <w:r w:rsidR="002B77C2">
        <w:t xml:space="preserve">140.  </w:t>
      </w:r>
    </w:p>
  </w:footnote>
  <w:footnote w:id="33">
    <w:p w14:paraId="5467B654" w14:textId="04816A2F" w:rsidR="001D2F22" w:rsidRPr="00B00794" w:rsidRDefault="001D2F22" w:rsidP="002B77C2">
      <w:pPr>
        <w:pStyle w:val="FootnoteText"/>
        <w:jc w:val="left"/>
      </w:pPr>
      <w:r>
        <w:rPr>
          <w:rStyle w:val="FootnoteReference"/>
        </w:rPr>
        <w:footnoteRef/>
      </w:r>
      <w:r>
        <w:t xml:space="preserve"> </w:t>
      </w:r>
      <w:r w:rsidR="00297F29">
        <w:rPr>
          <w:i/>
        </w:rPr>
        <w:t>Id</w:t>
      </w:r>
      <w:r w:rsidR="002D52F9">
        <w:t>.</w:t>
      </w:r>
      <w:r w:rsidR="002B77C2">
        <w:t xml:space="preserve"> at 17.  </w:t>
      </w:r>
      <w:r w:rsidR="00B00794" w:rsidRPr="00B00794">
        <w:t xml:space="preserve">Kellogg’s expenses are calculated by combining the total expenses </w:t>
      </w:r>
      <w:r w:rsidR="00B00794">
        <w:t xml:space="preserve">($21,321.00) </w:t>
      </w:r>
      <w:r w:rsidR="00B00794" w:rsidRPr="00B00794">
        <w:t>and expenses for business use of home</w:t>
      </w:r>
      <w:r w:rsidR="00B00794">
        <w:t xml:space="preserve"> ($2,790.00)</w:t>
      </w:r>
      <w:r w:rsidR="00B00794" w:rsidRPr="00B00794">
        <w:t xml:space="preserve">.  </w:t>
      </w:r>
      <w:r w:rsidR="00B00794" w:rsidRPr="00B00794">
        <w:rPr>
          <w:i/>
        </w:rPr>
        <w:t>Id.</w:t>
      </w:r>
      <w:r w:rsidR="00B00794">
        <w:t xml:space="preserve">  </w:t>
      </w:r>
    </w:p>
  </w:footnote>
  <w:footnote w:id="34">
    <w:p w14:paraId="29CAA822" w14:textId="04DC6315" w:rsidR="00D20AC3" w:rsidRPr="00C07A17" w:rsidRDefault="00D20AC3" w:rsidP="002B77C2">
      <w:pPr>
        <w:pStyle w:val="FootnoteText"/>
        <w:jc w:val="left"/>
      </w:pPr>
      <w:r>
        <w:rPr>
          <w:rStyle w:val="FootnoteReference"/>
        </w:rPr>
        <w:footnoteRef/>
      </w:r>
      <w:r>
        <w:t xml:space="preserve"> </w:t>
      </w:r>
      <w:r>
        <w:rPr>
          <w:i/>
        </w:rPr>
        <w:t>Id</w:t>
      </w:r>
      <w:r w:rsidR="002D52F9">
        <w:t>.</w:t>
      </w:r>
      <w:r w:rsidR="004D06DD">
        <w:t xml:space="preserve"> at 7</w:t>
      </w:r>
      <w:r w:rsidR="002D52F9">
        <w:t xml:space="preserve">8. </w:t>
      </w:r>
      <w:r w:rsidR="00C07A17">
        <w:t xml:space="preserve"> Kellogg’s expenses are calculated by combining the total expenses </w:t>
      </w:r>
      <w:r w:rsidR="00B00794">
        <w:t xml:space="preserve">($13,704.00) </w:t>
      </w:r>
      <w:r w:rsidR="00C07A17">
        <w:t>and exp</w:t>
      </w:r>
      <w:r w:rsidR="00B00794">
        <w:t xml:space="preserve">enses for business use of home ($2,825.00).  </w:t>
      </w:r>
      <w:r w:rsidR="00C07A17">
        <w:rPr>
          <w:i/>
        </w:rPr>
        <w:t>Id.</w:t>
      </w:r>
    </w:p>
  </w:footnote>
  <w:footnote w:id="35">
    <w:p w14:paraId="4195021F" w14:textId="1E0000BF" w:rsidR="00EC7DC3" w:rsidRDefault="00EC7DC3" w:rsidP="003B1529">
      <w:pPr>
        <w:pStyle w:val="FootnoteText"/>
        <w:jc w:val="left"/>
      </w:pPr>
      <w:r>
        <w:rPr>
          <w:rStyle w:val="FootnoteReference"/>
        </w:rPr>
        <w:footnoteRef/>
      </w:r>
      <w:r>
        <w:t xml:space="preserve"> November 2014 Supplement at 1.  These current assets are calculated by adding </w:t>
      </w:r>
      <w:r w:rsidR="00E7394C">
        <w:t xml:space="preserve">the </w:t>
      </w:r>
      <w:r>
        <w:t xml:space="preserve">funds at end of year 2012 in </w:t>
      </w:r>
      <w:r w:rsidR="00E7394C">
        <w:t>Kellogg’s business checking account ($1,304.07) and personal checking a</w:t>
      </w:r>
      <w:r>
        <w:t xml:space="preserve">ccount ($245.59).  </w:t>
      </w:r>
      <w:r>
        <w:rPr>
          <w:i/>
        </w:rPr>
        <w:t>Id.</w:t>
      </w:r>
    </w:p>
  </w:footnote>
  <w:footnote w:id="36">
    <w:p w14:paraId="5EA0DE3E" w14:textId="61CA3AA0" w:rsidR="00513528" w:rsidRPr="00513528" w:rsidRDefault="00513528" w:rsidP="00E7394C">
      <w:pPr>
        <w:pStyle w:val="FootnoteText"/>
        <w:jc w:val="left"/>
        <w:rPr>
          <w:i/>
        </w:rPr>
      </w:pPr>
      <w:r>
        <w:rPr>
          <w:rStyle w:val="FootnoteReference"/>
        </w:rPr>
        <w:footnoteRef/>
      </w:r>
      <w:r>
        <w:t xml:space="preserve"> </w:t>
      </w:r>
      <w:r w:rsidR="00417881">
        <w:rPr>
          <w:i/>
        </w:rPr>
        <w:t xml:space="preserve">Id.  </w:t>
      </w:r>
      <w:r>
        <w:t xml:space="preserve">These current assets are calculated by adding </w:t>
      </w:r>
      <w:r w:rsidR="00E7394C">
        <w:t xml:space="preserve">the </w:t>
      </w:r>
      <w:r>
        <w:t xml:space="preserve">funds at end of year 2011 in </w:t>
      </w:r>
      <w:r w:rsidR="00E7394C">
        <w:t>Kellogg’s business checking a</w:t>
      </w:r>
      <w:r>
        <w:t xml:space="preserve">ccount ($247.32) and </w:t>
      </w:r>
      <w:r w:rsidR="00E7394C">
        <w:t>personal checking a</w:t>
      </w:r>
      <w:r>
        <w:t xml:space="preserve">ccount ($16.55).  </w:t>
      </w:r>
      <w:r>
        <w:rPr>
          <w:i/>
        </w:rPr>
        <w:t>Id.</w:t>
      </w:r>
    </w:p>
  </w:footnote>
  <w:footnote w:id="37">
    <w:p w14:paraId="6DE5E120" w14:textId="0CC9F117" w:rsidR="007E4704" w:rsidRPr="00861E02" w:rsidRDefault="007E4704" w:rsidP="003B1529">
      <w:pPr>
        <w:pStyle w:val="FootnoteText"/>
        <w:jc w:val="left"/>
      </w:pPr>
      <w:r w:rsidRPr="00861E02">
        <w:rPr>
          <w:rStyle w:val="FootnoteReference"/>
        </w:rPr>
        <w:footnoteRef/>
      </w:r>
      <w:r w:rsidRPr="00861E02">
        <w:t xml:space="preserve"> </w:t>
      </w:r>
      <w:r w:rsidR="008F7763">
        <w:t>July 2012 Supplement</w:t>
      </w:r>
      <w:r w:rsidR="00761B8E">
        <w:t xml:space="preserve"> at 2</w:t>
      </w:r>
      <w:r w:rsidR="008F7763">
        <w:t xml:space="preserve"> </w:t>
      </w:r>
      <w:r w:rsidR="00761B8E">
        <w:t xml:space="preserve">(WKTV) and </w:t>
      </w:r>
      <w:r w:rsidR="004777BE">
        <w:t>October 2013</w:t>
      </w:r>
      <w:r w:rsidR="0080754B">
        <w:t xml:space="preserve"> Supplement</w:t>
      </w:r>
      <w:r w:rsidR="00761B8E">
        <w:t xml:space="preserve"> at 1 (WFXV</w:t>
      </w:r>
      <w:r w:rsidR="008F7763">
        <w:t>-TV</w:t>
      </w:r>
      <w:r w:rsidR="00761B8E">
        <w:t>).</w:t>
      </w:r>
    </w:p>
  </w:footnote>
  <w:footnote w:id="38">
    <w:p w14:paraId="26FA8AED" w14:textId="621F95F8" w:rsidR="007E4704" w:rsidRPr="00861E02" w:rsidRDefault="007E4704">
      <w:pPr>
        <w:pStyle w:val="FootnoteText"/>
        <w:jc w:val="left"/>
      </w:pPr>
      <w:r w:rsidRPr="00861E02">
        <w:rPr>
          <w:rStyle w:val="FootnoteReference"/>
        </w:rPr>
        <w:footnoteRef/>
      </w:r>
      <w:r w:rsidRPr="00861E02">
        <w:t xml:space="preserve"> </w:t>
      </w:r>
      <w:r w:rsidR="0080754B">
        <w:t>October</w:t>
      </w:r>
      <w:r w:rsidR="00297F29">
        <w:t xml:space="preserve"> 2013 Supplement</w:t>
      </w:r>
      <w:r w:rsidR="00761B8E">
        <w:t xml:space="preserve"> at 2</w:t>
      </w:r>
      <w:r w:rsidR="00E11554">
        <w:t>; April 2013 Supplement at 2; July 2012 Supplement at 3.</w:t>
      </w:r>
    </w:p>
  </w:footnote>
  <w:footnote w:id="39">
    <w:p w14:paraId="74B07B23" w14:textId="70C94526" w:rsidR="007E4704" w:rsidRPr="00C10CBE" w:rsidRDefault="007E4704">
      <w:pPr>
        <w:pStyle w:val="FootnoteText"/>
        <w:jc w:val="left"/>
      </w:pPr>
      <w:r w:rsidRPr="00861E02">
        <w:rPr>
          <w:rStyle w:val="FootnoteReference"/>
        </w:rPr>
        <w:footnoteRef/>
      </w:r>
      <w:r w:rsidRPr="00861E02">
        <w:t xml:space="preserve"> </w:t>
      </w:r>
      <w:r w:rsidR="00E11554">
        <w:t xml:space="preserve">October 2013 </w:t>
      </w:r>
      <w:r w:rsidR="008F7763">
        <w:t>Supplement</w:t>
      </w:r>
      <w:r w:rsidR="00F518EF">
        <w:t xml:space="preserve"> at 3.</w:t>
      </w:r>
    </w:p>
  </w:footnote>
  <w:footnote w:id="40">
    <w:p w14:paraId="3170F423" w14:textId="544D58E8" w:rsidR="00F518EF" w:rsidRPr="001E508B" w:rsidRDefault="00F518EF" w:rsidP="00E7394C">
      <w:pPr>
        <w:pStyle w:val="FootnoteText"/>
        <w:jc w:val="left"/>
      </w:pPr>
      <w:r>
        <w:rPr>
          <w:rStyle w:val="FootnoteReference"/>
        </w:rPr>
        <w:footnoteRef/>
      </w:r>
      <w:r>
        <w:t xml:space="preserve"> </w:t>
      </w:r>
      <w:r>
        <w:rPr>
          <w:i/>
        </w:rPr>
        <w:t>See</w:t>
      </w:r>
      <w:r>
        <w:t xml:space="preserve"> n. </w:t>
      </w:r>
      <w:r w:rsidR="00BF5E25">
        <w:t>28</w:t>
      </w:r>
      <w:r w:rsidR="001E508B">
        <w:t xml:space="preserve">, </w:t>
      </w:r>
      <w:r w:rsidR="001E508B">
        <w:rPr>
          <w:i/>
        </w:rPr>
        <w:t>supra</w:t>
      </w:r>
      <w:r w:rsidR="00BB2110">
        <w:rPr>
          <w:i/>
        </w:rPr>
        <w:t xml:space="preserve">.  </w:t>
      </w:r>
      <w:r w:rsidR="00E17CE1">
        <w:t xml:space="preserve">In its most recent supplement, </w:t>
      </w:r>
      <w:r w:rsidR="00BB2110">
        <w:t xml:space="preserve">Kellogg states that it will either end the show at the end of 2015 or, if it continues the show, it will begin close captioning.  </w:t>
      </w:r>
      <w:r w:rsidR="0080754B">
        <w:t>November 2014 Supplement</w:t>
      </w:r>
      <w:r w:rsidR="00BB2110">
        <w:t xml:space="preserve"> at 1.</w:t>
      </w:r>
    </w:p>
  </w:footnote>
  <w:footnote w:id="41">
    <w:p w14:paraId="5552B775" w14:textId="56083D8C" w:rsidR="004E00A1" w:rsidRPr="004E00A1" w:rsidRDefault="004E00A1" w:rsidP="003B1529">
      <w:pPr>
        <w:pStyle w:val="FootnoteText"/>
        <w:jc w:val="left"/>
      </w:pPr>
      <w:r w:rsidRPr="00861E02">
        <w:rPr>
          <w:rStyle w:val="FootnoteReference"/>
        </w:rPr>
        <w:footnoteRef/>
      </w:r>
      <w:r w:rsidRPr="00861E02">
        <w:t xml:space="preserve"> </w:t>
      </w:r>
      <w:r w:rsidR="0080754B">
        <w:t>November 2014 Supplement</w:t>
      </w:r>
      <w:r w:rsidR="00BB2110">
        <w:t xml:space="preserve"> at 1. </w:t>
      </w:r>
      <w:r w:rsidR="00BB2110">
        <w:rPr>
          <w:i/>
        </w:rPr>
        <w:t xml:space="preserve">See also </w:t>
      </w:r>
      <w:r w:rsidR="006C4349">
        <w:t>June 2014</w:t>
      </w:r>
      <w:r w:rsidR="0080754B">
        <w:t xml:space="preserve"> Supplement</w:t>
      </w:r>
      <w:r w:rsidR="00BB2110">
        <w:t xml:space="preserve"> at 1; </w:t>
      </w:r>
      <w:r w:rsidR="0080754B">
        <w:t>October 2014 Supplement</w:t>
      </w:r>
      <w:r w:rsidR="00BB2110">
        <w:t xml:space="preserve"> at 1.</w:t>
      </w:r>
    </w:p>
  </w:footnote>
  <w:footnote w:id="42">
    <w:p w14:paraId="6154EE0D" w14:textId="77777777" w:rsidR="00F665E3" w:rsidRDefault="00F665E3" w:rsidP="00FF4F31">
      <w:pPr>
        <w:pStyle w:val="FootnoteText"/>
        <w:jc w:val="left"/>
      </w:pPr>
      <w:r>
        <w:rPr>
          <w:rStyle w:val="FootnoteReference"/>
        </w:rPr>
        <w:footnoteRef/>
      </w:r>
      <w:r>
        <w:t xml:space="preserve"> Consumer Groups Comments at 1, 3.</w:t>
      </w:r>
    </w:p>
  </w:footnote>
  <w:footnote w:id="43">
    <w:p w14:paraId="123D4DCE" w14:textId="5C31164B" w:rsidR="00403B48" w:rsidRDefault="00403B48" w:rsidP="00FF4F31">
      <w:pPr>
        <w:pStyle w:val="FootnoteText"/>
        <w:jc w:val="left"/>
      </w:pPr>
      <w:r>
        <w:rPr>
          <w:rStyle w:val="FootnoteReference"/>
        </w:rPr>
        <w:footnoteRef/>
      </w:r>
      <w:r w:rsidR="00F665E3">
        <w:t xml:space="preserve"> </w:t>
      </w:r>
      <w:r w:rsidR="00F665E3">
        <w:rPr>
          <w:i/>
        </w:rPr>
        <w:t>Id</w:t>
      </w:r>
      <w:r>
        <w:t>.</w:t>
      </w:r>
      <w:r w:rsidR="00F665E3">
        <w:t xml:space="preserve"> at 1-2</w:t>
      </w:r>
      <w:r w:rsidR="00C81766">
        <w:t>.</w:t>
      </w:r>
    </w:p>
  </w:footnote>
  <w:footnote w:id="44">
    <w:p w14:paraId="54DE8C96" w14:textId="77777777" w:rsidR="00F665E3" w:rsidRPr="00F665E3" w:rsidRDefault="00F665E3" w:rsidP="00FF4F31">
      <w:pPr>
        <w:pStyle w:val="FootnoteText"/>
        <w:jc w:val="left"/>
      </w:pPr>
      <w:r>
        <w:rPr>
          <w:rStyle w:val="FootnoteReference"/>
        </w:rPr>
        <w:footnoteRef/>
      </w:r>
      <w:r>
        <w:t xml:space="preserve"> </w:t>
      </w:r>
      <w:r>
        <w:rPr>
          <w:i/>
        </w:rPr>
        <w:t>Id.</w:t>
      </w:r>
      <w:r>
        <w:t xml:space="preserve"> at 2.</w:t>
      </w:r>
    </w:p>
  </w:footnote>
  <w:footnote w:id="45">
    <w:p w14:paraId="78C42B88" w14:textId="77777777" w:rsidR="00F665E3" w:rsidRPr="00F665E3" w:rsidRDefault="00F665E3" w:rsidP="00FF4F31">
      <w:pPr>
        <w:pStyle w:val="FootnoteText"/>
        <w:jc w:val="left"/>
      </w:pPr>
      <w:r>
        <w:rPr>
          <w:rStyle w:val="FootnoteReference"/>
        </w:rPr>
        <w:footnoteRef/>
      </w:r>
      <w:r>
        <w:t xml:space="preserve"> </w:t>
      </w:r>
      <w:r>
        <w:rPr>
          <w:i/>
        </w:rPr>
        <w:t>Id.</w:t>
      </w:r>
      <w:r>
        <w:t xml:space="preserve"> at 3.</w:t>
      </w:r>
    </w:p>
  </w:footnote>
  <w:footnote w:id="46">
    <w:p w14:paraId="18C706D5" w14:textId="77777777" w:rsidR="007E4704" w:rsidRPr="000E392A" w:rsidRDefault="007E4704" w:rsidP="003B1529">
      <w:pPr>
        <w:pStyle w:val="CommentText"/>
        <w:spacing w:after="120"/>
        <w:rPr>
          <w:i/>
        </w:rPr>
      </w:pPr>
      <w:r w:rsidRPr="00861E02">
        <w:rPr>
          <w:rStyle w:val="FootnoteReference"/>
        </w:rPr>
        <w:footnoteRef/>
      </w:r>
      <w:r w:rsidRPr="00861E02">
        <w:t xml:space="preserve"> </w:t>
      </w:r>
      <w:r w:rsidRPr="00C10CBE">
        <w:rPr>
          <w:i/>
        </w:rPr>
        <w:t xml:space="preserve">See </w:t>
      </w:r>
      <w:r w:rsidR="007875BB">
        <w:t>¶ 9</w:t>
      </w:r>
      <w:r w:rsidRPr="000E392A">
        <w:t xml:space="preserve">, </w:t>
      </w:r>
      <w:r w:rsidRPr="000E392A">
        <w:rPr>
          <w:i/>
        </w:rPr>
        <w:t>supra.</w:t>
      </w:r>
      <w:r w:rsidRPr="000E392A">
        <w:t xml:space="preserve">  </w:t>
      </w:r>
    </w:p>
  </w:footnote>
  <w:footnote w:id="47">
    <w:p w14:paraId="265DC7C3" w14:textId="77777777" w:rsidR="00790BB1" w:rsidRPr="000E392A" w:rsidRDefault="00790BB1">
      <w:pPr>
        <w:pStyle w:val="FootnoteText"/>
        <w:jc w:val="left"/>
      </w:pPr>
      <w:r w:rsidRPr="00861E02">
        <w:rPr>
          <w:rStyle w:val="FootnoteReference"/>
        </w:rPr>
        <w:footnoteRef/>
      </w:r>
      <w:r w:rsidRPr="00861E02">
        <w:t xml:space="preserve"> </w:t>
      </w:r>
      <w:r w:rsidRPr="00861E02">
        <w:rPr>
          <w:i/>
        </w:rPr>
        <w:t xml:space="preserve">See </w:t>
      </w:r>
      <w:r w:rsidRPr="00C10CBE">
        <w:t xml:space="preserve">¶ 8, </w:t>
      </w:r>
      <w:r w:rsidRPr="00C10CBE">
        <w:rPr>
          <w:i/>
        </w:rPr>
        <w:t>supra</w:t>
      </w:r>
      <w:r w:rsidRPr="00C10CBE">
        <w:t>.</w:t>
      </w:r>
    </w:p>
  </w:footnote>
  <w:footnote w:id="48">
    <w:p w14:paraId="76C54806" w14:textId="77777777" w:rsidR="00152BFF" w:rsidRDefault="00152BFF" w:rsidP="00FF4F31">
      <w:pPr>
        <w:pStyle w:val="FootnoteText"/>
        <w:jc w:val="left"/>
      </w:pPr>
      <w:r>
        <w:rPr>
          <w:rStyle w:val="FootnoteReference"/>
        </w:rPr>
        <w:footnoteRef/>
      </w:r>
      <w:r>
        <w:t xml:space="preserve"> </w:t>
      </w:r>
      <w:r w:rsidR="008F7763">
        <w:t>July 2012 Supplement</w:t>
      </w:r>
      <w:r>
        <w:t xml:space="preserve"> at 1; </w:t>
      </w:r>
      <w:r w:rsidR="0080754B">
        <w:t>October</w:t>
      </w:r>
      <w:r w:rsidR="00297F29">
        <w:t xml:space="preserve"> 2013 Supplement</w:t>
      </w:r>
      <w:r>
        <w:t xml:space="preserve"> at 1.</w:t>
      </w:r>
    </w:p>
  </w:footnote>
  <w:footnote w:id="49">
    <w:p w14:paraId="0968F343" w14:textId="77777777" w:rsidR="007E4704" w:rsidRPr="00C10CBE" w:rsidRDefault="007E4704" w:rsidP="003B1529">
      <w:pPr>
        <w:pStyle w:val="FootnoteText"/>
        <w:jc w:val="left"/>
        <w:rPr>
          <w:i/>
        </w:rPr>
      </w:pPr>
      <w:r w:rsidRPr="00861E02">
        <w:rPr>
          <w:rStyle w:val="FootnoteReference"/>
        </w:rPr>
        <w:footnoteRef/>
      </w:r>
      <w:r w:rsidRPr="00861E02">
        <w:t xml:space="preserve"> </w:t>
      </w:r>
      <w:r w:rsidRPr="00861E02">
        <w:rPr>
          <w:i/>
        </w:rPr>
        <w:t xml:space="preserve">See </w:t>
      </w:r>
      <w:r w:rsidRPr="00C10CBE">
        <w:t>¶ 1</w:t>
      </w:r>
      <w:r w:rsidR="00152BFF">
        <w:t>0</w:t>
      </w:r>
      <w:r w:rsidRPr="00C10CBE">
        <w:t xml:space="preserve">, </w:t>
      </w:r>
      <w:r w:rsidRPr="00C10CBE">
        <w:rPr>
          <w:i/>
        </w:rPr>
        <w:t>supra.</w:t>
      </w:r>
      <w:r w:rsidRPr="00C10CBE">
        <w:t xml:space="preserve">  </w:t>
      </w:r>
    </w:p>
  </w:footnote>
  <w:footnote w:id="50">
    <w:p w14:paraId="476DBB32" w14:textId="7E1B30FA" w:rsidR="00D840C7" w:rsidRPr="00D840C7" w:rsidRDefault="00D840C7" w:rsidP="00FF4F31">
      <w:pPr>
        <w:pStyle w:val="FootnoteText"/>
        <w:jc w:val="left"/>
      </w:pPr>
      <w:r>
        <w:rPr>
          <w:rStyle w:val="FootnoteReference"/>
        </w:rPr>
        <w:footnoteRef/>
      </w:r>
      <w:r>
        <w:t xml:space="preserve"> </w:t>
      </w:r>
      <w:r>
        <w:rPr>
          <w:i/>
        </w:rPr>
        <w:t xml:space="preserve">See </w:t>
      </w:r>
      <w:r>
        <w:t xml:space="preserve">n. </w:t>
      </w:r>
      <w:r w:rsidR="00BF5E25">
        <w:t>28</w:t>
      </w:r>
      <w:r w:rsidR="006E3DCE">
        <w:t xml:space="preserve"> </w:t>
      </w:r>
      <w:r w:rsidR="006E3DCE">
        <w:rPr>
          <w:i/>
        </w:rPr>
        <w:t>supra</w:t>
      </w:r>
      <w:r>
        <w:t>; November 2014 Supplement at 1.</w:t>
      </w:r>
    </w:p>
  </w:footnote>
  <w:footnote w:id="51">
    <w:p w14:paraId="6F0DBB66" w14:textId="2DC0E5F4" w:rsidR="00100B2F" w:rsidRDefault="00100B2F" w:rsidP="00FF4F31">
      <w:pPr>
        <w:pStyle w:val="FootnoteText"/>
        <w:jc w:val="left"/>
      </w:pPr>
      <w:r>
        <w:rPr>
          <w:rStyle w:val="FootnoteReference"/>
        </w:rPr>
        <w:footnoteRef/>
      </w:r>
      <w:r>
        <w:t xml:space="preserve"> Consumer Groups Comments at 3.</w:t>
      </w:r>
    </w:p>
  </w:footnote>
  <w:footnote w:id="52">
    <w:p w14:paraId="7E7E5544" w14:textId="4A499008" w:rsidR="00AC0693" w:rsidRDefault="00AC0693" w:rsidP="00FF4F31">
      <w:pPr>
        <w:pStyle w:val="FootnoteText"/>
        <w:jc w:val="left"/>
      </w:pPr>
      <w:r>
        <w:rPr>
          <w:rStyle w:val="FootnoteReference"/>
        </w:rPr>
        <w:footnoteRef/>
      </w:r>
      <w:r>
        <w:t xml:space="preserve"> In fact, Kellogg has indicated </w:t>
      </w:r>
      <w:r w:rsidR="0004593C">
        <w:t>an intention to</w:t>
      </w:r>
      <w:r>
        <w:t xml:space="preserve"> provide captioning should it decide to continue production after the year 2015.  </w:t>
      </w:r>
      <w:r w:rsidR="006E3DCE">
        <w:rPr>
          <w:i/>
        </w:rPr>
        <w:t xml:space="preserve">See </w:t>
      </w:r>
      <w:r w:rsidR="006E3DCE">
        <w:t>n. 30</w:t>
      </w:r>
      <w:r w:rsidR="00FF4F31">
        <w:t>,</w:t>
      </w:r>
      <w:r w:rsidR="006E3DCE">
        <w:t xml:space="preserve"> </w:t>
      </w:r>
      <w:r w:rsidR="006E3DCE" w:rsidRPr="00FF4F31">
        <w:rPr>
          <w:i/>
        </w:rPr>
        <w:t>supra</w:t>
      </w:r>
      <w:r w:rsidR="006E3DCE">
        <w:t xml:space="preserve">; </w:t>
      </w:r>
      <w:r w:rsidR="0004593C" w:rsidRPr="006E3DCE">
        <w:t>November</w:t>
      </w:r>
      <w:r w:rsidR="0004593C">
        <w:t xml:space="preserve"> 2014 Supplement at 1.</w:t>
      </w:r>
    </w:p>
  </w:footnote>
  <w:footnote w:id="53">
    <w:p w14:paraId="4F9A1401" w14:textId="77777777" w:rsidR="007E4704" w:rsidRPr="00861E02" w:rsidRDefault="007E4704" w:rsidP="003B1529">
      <w:pPr>
        <w:pStyle w:val="FootnoteText"/>
        <w:jc w:val="left"/>
      </w:pPr>
      <w:r w:rsidRPr="00861E02">
        <w:rPr>
          <w:rStyle w:val="FootnoteReference"/>
        </w:rPr>
        <w:footnoteRef/>
      </w:r>
      <w:r w:rsidRPr="00861E02">
        <w:t xml:space="preserve"> 47 U.S.C. § 613, 47 C.F.R. §§ 0.141(f), 79.1(f).</w:t>
      </w:r>
    </w:p>
  </w:footnote>
  <w:footnote w:id="54">
    <w:p w14:paraId="64FE3F68" w14:textId="77777777" w:rsidR="007E4704" w:rsidRPr="003D3D94" w:rsidRDefault="007E4704">
      <w:pPr>
        <w:pStyle w:val="FootnoteText"/>
        <w:jc w:val="left"/>
      </w:pPr>
      <w:r w:rsidRPr="00861E02">
        <w:rPr>
          <w:rStyle w:val="FootnoteReference"/>
        </w:rPr>
        <w:footnoteRef/>
      </w:r>
      <w:r w:rsidRPr="00861E02">
        <w:rPr>
          <w:i/>
        </w:rPr>
        <w:t xml:space="preserve"> See</w:t>
      </w:r>
      <w:r w:rsidRPr="00861E02">
        <w:t xml:space="preserve"> </w:t>
      </w:r>
      <w:r w:rsidRPr="00C10CBE">
        <w:rPr>
          <w:i/>
        </w:rPr>
        <w:t>Notice of New Electronic Filing Procedures for Television Closed Captioning Exemption Requests</w:t>
      </w:r>
      <w:r w:rsidRPr="00C10CBE">
        <w:t>, Public Notice, 29 FCC Rcd 3960</w:t>
      </w:r>
      <w:r w:rsidRPr="004E00A1">
        <w:t xml:space="preserve"> (CGB</w:t>
      </w:r>
      <w:r w:rsidRPr="00787B57">
        <w:t xml:space="preserv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D3491" w14:textId="77777777" w:rsidR="003C1EC1" w:rsidRDefault="003C1E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3FB4E" w14:textId="0FC4B38A" w:rsidR="007E4704" w:rsidRDefault="007E4704">
    <w:pPr>
      <w:pStyle w:val="Header"/>
      <w:tabs>
        <w:tab w:val="clear" w:pos="4320"/>
        <w:tab w:val="clear" w:pos="8640"/>
        <w:tab w:val="center" w:pos="4680"/>
        <w:tab w:val="right" w:pos="9360"/>
      </w:tabs>
      <w:rPr>
        <w:b/>
      </w:rPr>
    </w:pPr>
    <w:r>
      <w:rPr>
        <w:b/>
      </w:rPr>
      <w:tab/>
      <w:t>Federal Communications Commission</w:t>
    </w:r>
    <w:r>
      <w:rPr>
        <w:b/>
      </w:rPr>
      <w:tab/>
    </w:r>
    <w:r w:rsidR="00F865BE">
      <w:rPr>
        <w:b/>
      </w:rPr>
      <w:t>DA 15-</w:t>
    </w:r>
    <w:r w:rsidR="00D350B5">
      <w:rPr>
        <w:b/>
      </w:rPr>
      <w:t>1323</w:t>
    </w:r>
  </w:p>
  <w:p w14:paraId="473CB880" w14:textId="77777777" w:rsidR="007E4704" w:rsidRDefault="007E4704">
    <w:pPr>
      <w:pStyle w:val="Header"/>
      <w:tabs>
        <w:tab w:val="clear" w:pos="8640"/>
        <w:tab w:val="right" w:pos="9360"/>
      </w:tabs>
    </w:pPr>
    <w:r>
      <w:rPr>
        <w:noProof/>
      </w:rPr>
      <mc:AlternateContent>
        <mc:Choice Requires="wps">
          <w:drawing>
            <wp:anchor distT="4294967293" distB="4294967293" distL="114300" distR="114300" simplePos="0" relativeHeight="251658240" behindDoc="0" locked="0" layoutInCell="0" allowOverlap="1" wp14:anchorId="20F89793" wp14:editId="7BDBAB9B">
              <wp:simplePos x="0" y="0"/>
              <wp:positionH relativeFrom="column">
                <wp:posOffset>0</wp:posOffset>
              </wp:positionH>
              <wp:positionV relativeFrom="paragraph">
                <wp:posOffset>22224</wp:posOffset>
              </wp:positionV>
              <wp:extent cx="59436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3606BD" id="Line 5"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14:paraId="7F7EE62E" w14:textId="77777777" w:rsidR="007E4704" w:rsidRDefault="007E47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E1582" w14:textId="30EC76BB" w:rsidR="007E4704" w:rsidRDefault="007E4704">
    <w:pPr>
      <w:pStyle w:val="Header"/>
      <w:tabs>
        <w:tab w:val="clear" w:pos="4320"/>
        <w:tab w:val="clear" w:pos="8640"/>
        <w:tab w:val="center" w:pos="4680"/>
        <w:tab w:val="right" w:pos="9360"/>
      </w:tabs>
      <w:rPr>
        <w:b/>
      </w:rPr>
    </w:pPr>
    <w:r>
      <w:rPr>
        <w:b/>
      </w:rPr>
      <w:tab/>
      <w:t xml:space="preserve">Federal </w:t>
    </w:r>
    <w:r w:rsidR="007637E5">
      <w:rPr>
        <w:b/>
      </w:rPr>
      <w:t>Communications Commission</w:t>
    </w:r>
    <w:r w:rsidR="007637E5">
      <w:rPr>
        <w:b/>
      </w:rPr>
      <w:tab/>
      <w:t xml:space="preserve"> DA 15</w:t>
    </w:r>
    <w:r w:rsidR="00C37EC8">
      <w:rPr>
        <w:b/>
      </w:rPr>
      <w:t>-</w:t>
    </w:r>
    <w:r w:rsidR="00D350B5">
      <w:rPr>
        <w:b/>
      </w:rPr>
      <w:t>1323</w:t>
    </w:r>
  </w:p>
  <w:p w14:paraId="33DBEC53" w14:textId="77777777" w:rsidR="007E4704" w:rsidRPr="00A735D2" w:rsidRDefault="007E4704" w:rsidP="00A735D2">
    <w:pPr>
      <w:pStyle w:val="Header"/>
      <w:tabs>
        <w:tab w:val="clear" w:pos="8640"/>
        <w:tab w:val="right" w:pos="9360"/>
      </w:tabs>
      <w:jc w:val="center"/>
      <w:rPr>
        <w:sz w:val="44"/>
        <w:szCs w:val="44"/>
      </w:rPr>
    </w:pPr>
    <w:r w:rsidRPr="00A735D2">
      <w:rPr>
        <w:noProof/>
        <w:sz w:val="44"/>
        <w:szCs w:val="44"/>
      </w:rPr>
      <mc:AlternateContent>
        <mc:Choice Requires="wps">
          <w:drawing>
            <wp:anchor distT="4294967293" distB="4294967293" distL="114300" distR="114300" simplePos="0" relativeHeight="251657216" behindDoc="0" locked="0" layoutInCell="0" allowOverlap="1" wp14:anchorId="355344E8" wp14:editId="56874BD3">
              <wp:simplePos x="0" y="0"/>
              <wp:positionH relativeFrom="column">
                <wp:posOffset>0</wp:posOffset>
              </wp:positionH>
              <wp:positionV relativeFrom="paragraph">
                <wp:posOffset>22224</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30BADC" id="Line 4"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DF2E7DD2"/>
    <w:lvl w:ilvl="0">
      <w:start w:val="1"/>
      <w:numFmt w:val="decimal"/>
      <w:lvlText w:val="%1."/>
      <w:lvlJc w:val="left"/>
      <w:pPr>
        <w:ind w:left="810" w:firstLine="0"/>
      </w:pPr>
      <w:rPr>
        <w:rFonts w:ascii="Times New Roman" w:hAnsi="Times New Roman" w:cs="Times New Roman" w:hint="default"/>
        <w:b w:val="0"/>
        <w:i w:val="0"/>
        <w:caps w:val="0"/>
        <w:smallCaps w:val="0"/>
        <w:strike w:val="0"/>
        <w:dstrike w:val="0"/>
        <w:vanish w:val="0"/>
        <w:color w:val="000000"/>
        <w:position w:val="0"/>
        <w:sz w:val="22"/>
        <w:u w:val="none"/>
        <w:effect w:val="none"/>
        <w:vertAlign w:val="baseline"/>
      </w:rPr>
    </w:lvl>
    <w:lvl w:ilvl="1">
      <w:start w:val="1"/>
      <w:numFmt w:val="decimal"/>
      <w:isLgl/>
      <w:suff w:val="nothing"/>
      <w:lvlText w:val="%1."/>
      <w:lvlJc w:val="left"/>
      <w:pPr>
        <w:ind w:left="360" w:firstLine="720"/>
      </w:pPr>
      <w:rPr>
        <w:rFonts w:hint="default"/>
        <w:caps w:val="0"/>
        <w:smallCaps w:val="0"/>
        <w:strike w:val="0"/>
        <w:dstrike w:val="0"/>
        <w:vanish w:val="0"/>
        <w:color w:val="000000"/>
        <w:position w:val="0"/>
        <w:sz w:val="22"/>
        <w:vertAlign w:val="baseline"/>
      </w:rPr>
    </w:lvl>
    <w:lvl w:ilvl="2">
      <w:start w:val="1"/>
      <w:numFmt w:val="bullet"/>
      <w:suff w:val="nothing"/>
      <w:lvlText w:val=""/>
      <w:lvlJc w:val="left"/>
      <w:pPr>
        <w:ind w:left="360" w:firstLine="720"/>
      </w:pPr>
      <w:rPr>
        <w:rFonts w:hint="default"/>
        <w:caps w:val="0"/>
        <w:smallCaps w:val="0"/>
        <w:strike w:val="0"/>
        <w:dstrike w:val="0"/>
        <w:vanish w:val="0"/>
        <w:color w:val="000000"/>
        <w:position w:val="0"/>
        <w:sz w:val="22"/>
        <w:vertAlign w:val="baseline"/>
      </w:rPr>
    </w:lvl>
    <w:lvl w:ilvl="3">
      <w:start w:val="1"/>
      <w:numFmt w:val="bullet"/>
      <w:suff w:val="nothing"/>
      <w:lvlText w:val=""/>
      <w:lvlJc w:val="left"/>
      <w:pPr>
        <w:ind w:left="360" w:firstLine="720"/>
      </w:pPr>
      <w:rPr>
        <w:rFonts w:hint="default"/>
        <w:caps w:val="0"/>
        <w:smallCaps w:val="0"/>
        <w:strike w:val="0"/>
        <w:dstrike w:val="0"/>
        <w:vanish w:val="0"/>
        <w:color w:val="000000"/>
        <w:position w:val="0"/>
        <w:sz w:val="22"/>
        <w:vertAlign w:val="baseline"/>
      </w:rPr>
    </w:lvl>
    <w:lvl w:ilvl="4">
      <w:start w:val="1"/>
      <w:numFmt w:val="bullet"/>
      <w:suff w:val="nothing"/>
      <w:lvlText w:val=""/>
      <w:lvlJc w:val="left"/>
      <w:pPr>
        <w:ind w:left="360" w:firstLine="720"/>
      </w:pPr>
      <w:rPr>
        <w:rFonts w:hint="default"/>
        <w:caps w:val="0"/>
        <w:smallCaps w:val="0"/>
        <w:strike w:val="0"/>
        <w:dstrike w:val="0"/>
        <w:vanish w:val="0"/>
        <w:color w:val="000000"/>
        <w:position w:val="0"/>
        <w:sz w:val="22"/>
        <w:vertAlign w:val="baseline"/>
      </w:rPr>
    </w:lvl>
    <w:lvl w:ilvl="5">
      <w:start w:val="1"/>
      <w:numFmt w:val="bullet"/>
      <w:suff w:val="nothing"/>
      <w:lvlText w:val=""/>
      <w:lvlJc w:val="left"/>
      <w:pPr>
        <w:ind w:left="360" w:firstLine="720"/>
      </w:pPr>
      <w:rPr>
        <w:rFonts w:hint="default"/>
        <w:caps w:val="0"/>
        <w:smallCaps w:val="0"/>
        <w:strike w:val="0"/>
        <w:dstrike w:val="0"/>
        <w:vanish w:val="0"/>
        <w:color w:val="000000"/>
        <w:position w:val="0"/>
        <w:sz w:val="22"/>
        <w:vertAlign w:val="baseline"/>
      </w:rPr>
    </w:lvl>
    <w:lvl w:ilvl="6">
      <w:start w:val="1"/>
      <w:numFmt w:val="bullet"/>
      <w:suff w:val="nothing"/>
      <w:lvlText w:val=""/>
      <w:lvlJc w:val="left"/>
      <w:pPr>
        <w:ind w:left="360" w:firstLine="720"/>
      </w:pPr>
      <w:rPr>
        <w:rFonts w:hint="default"/>
        <w:caps w:val="0"/>
        <w:smallCaps w:val="0"/>
        <w:strike w:val="0"/>
        <w:dstrike w:val="0"/>
        <w:vanish w:val="0"/>
        <w:color w:val="000000"/>
        <w:position w:val="0"/>
        <w:sz w:val="22"/>
        <w:vertAlign w:val="baseline"/>
      </w:rPr>
    </w:lvl>
    <w:lvl w:ilvl="7">
      <w:start w:val="1"/>
      <w:numFmt w:val="bullet"/>
      <w:suff w:val="nothing"/>
      <w:lvlText w:val=""/>
      <w:lvlJc w:val="left"/>
      <w:pPr>
        <w:ind w:left="360" w:firstLine="720"/>
      </w:pPr>
      <w:rPr>
        <w:rFonts w:hint="default"/>
        <w:caps w:val="0"/>
        <w:smallCaps w:val="0"/>
        <w:strike w:val="0"/>
        <w:dstrike w:val="0"/>
        <w:vanish w:val="0"/>
        <w:color w:val="000000"/>
        <w:position w:val="0"/>
        <w:sz w:val="22"/>
        <w:vertAlign w:val="baseline"/>
      </w:rPr>
    </w:lvl>
    <w:lvl w:ilvl="8">
      <w:start w:val="1"/>
      <w:numFmt w:val="bullet"/>
      <w:lvlText w:val=""/>
      <w:lvlJc w:val="left"/>
      <w:pPr>
        <w:tabs>
          <w:tab w:val="num" w:pos="1800"/>
        </w:tabs>
        <w:ind w:left="1800" w:firstLine="0"/>
      </w:pPr>
      <w:rPr>
        <w:rFonts w:hint="default"/>
        <w:caps w:val="0"/>
        <w:smallCaps w:val="0"/>
        <w:strike w:val="0"/>
        <w:dstrike w:val="0"/>
        <w:vanish w:val="0"/>
        <w:color w:val="000000"/>
        <w:position w:val="0"/>
        <w:sz w:val="22"/>
        <w:vertAlign w:val="baseline"/>
      </w:r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5">
    <w:nsid w:val="203422F0"/>
    <w:multiLevelType w:val="hybridMultilevel"/>
    <w:tmpl w:val="AB72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9009E5"/>
    <w:multiLevelType w:val="multilevel"/>
    <w:tmpl w:val="37E49B74"/>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7">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31AD0280"/>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0">
    <w:nsid w:val="31E25FD5"/>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1">
    <w:nsid w:val="345E437F"/>
    <w:multiLevelType w:val="singleLevel"/>
    <w:tmpl w:val="50EE1B60"/>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2">
    <w:nsid w:val="38DC0271"/>
    <w:multiLevelType w:val="hybridMultilevel"/>
    <w:tmpl w:val="94005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5">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8">
    <w:nsid w:val="541F6B38"/>
    <w:multiLevelType w:val="multilevel"/>
    <w:tmpl w:val="3FAC3CF4"/>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9">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0">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1">
    <w:nsid w:val="5D2B06DD"/>
    <w:multiLevelType w:val="multilevel"/>
    <w:tmpl w:val="5636CE50"/>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22">
    <w:nsid w:val="62757BFD"/>
    <w:multiLevelType w:val="hybridMultilevel"/>
    <w:tmpl w:val="BEC2C77E"/>
    <w:lvl w:ilvl="0" w:tplc="40A8E97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96261D"/>
    <w:multiLevelType w:val="singleLevel"/>
    <w:tmpl w:val="459AAAC2"/>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24">
    <w:nsid w:val="70C3333F"/>
    <w:multiLevelType w:val="hybridMultilevel"/>
    <w:tmpl w:val="75E66414"/>
    <w:lvl w:ilvl="0" w:tplc="901ADB1C">
      <w:start w:val="1"/>
      <w:numFmt w:val="decimal"/>
      <w:lvlText w:val="%1.     "/>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FA2B00"/>
    <w:multiLevelType w:val="multilevel"/>
    <w:tmpl w:val="66C40B3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num w:numId="1">
    <w:abstractNumId w:val="23"/>
  </w:num>
  <w:num w:numId="2">
    <w:abstractNumId w:val="25"/>
  </w:num>
  <w:num w:numId="3">
    <w:abstractNumId w:val="4"/>
  </w:num>
  <w:num w:numId="4">
    <w:abstractNumId w:val="18"/>
  </w:num>
  <w:num w:numId="5">
    <w:abstractNumId w:val="6"/>
  </w:num>
  <w:num w:numId="6">
    <w:abstractNumId w:val="21"/>
  </w:num>
  <w:num w:numId="7">
    <w:abstractNumId w:val="15"/>
  </w:num>
  <w:num w:numId="8">
    <w:abstractNumId w:val="7"/>
  </w:num>
  <w:num w:numId="9">
    <w:abstractNumId w:val="20"/>
  </w:num>
  <w:num w:numId="10">
    <w:abstractNumId w:val="13"/>
  </w:num>
  <w:num w:numId="11">
    <w:abstractNumId w:val="11"/>
  </w:num>
  <w:num w:numId="12">
    <w:abstractNumId w:val="8"/>
  </w:num>
  <w:num w:numId="13">
    <w:abstractNumId w:val="14"/>
  </w:num>
  <w:num w:numId="14">
    <w:abstractNumId w:val="19"/>
  </w:num>
  <w:num w:numId="15">
    <w:abstractNumId w:val="2"/>
  </w:num>
  <w:num w:numId="16">
    <w:abstractNumId w:val="3"/>
  </w:num>
  <w:num w:numId="17">
    <w:abstractNumId w:val="9"/>
  </w:num>
  <w:num w:numId="18">
    <w:abstractNumId w:val="1"/>
  </w:num>
  <w:num w:numId="19">
    <w:abstractNumId w:val="10"/>
  </w:num>
  <w:num w:numId="20">
    <w:abstractNumId w:val="16"/>
  </w:num>
  <w:num w:numId="21">
    <w:abstractNumId w:val="17"/>
  </w:num>
  <w:num w:numId="22">
    <w:abstractNumId w:val="12"/>
  </w:num>
  <w:num w:numId="23">
    <w:abstractNumId w:val="14"/>
  </w:num>
  <w:num w:numId="24">
    <w:abstractNumId w:val="5"/>
  </w:num>
  <w:num w:numId="25">
    <w:abstractNumId w:val="0"/>
  </w:num>
  <w:num w:numId="26">
    <w:abstractNumId w:val="22"/>
  </w:num>
  <w:num w:numId="27">
    <w:abstractNumId w:val="24"/>
  </w:num>
  <w:num w:numId="28">
    <w:abstractNumId w:val="12"/>
  </w:num>
  <w:num w:numId="29">
    <w:abstractNumId w:val="14"/>
  </w:num>
  <w:num w:numId="30">
    <w:abstractNumId w:val="14"/>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EF3"/>
    <w:rsid w:val="00001F13"/>
    <w:rsid w:val="00001F48"/>
    <w:rsid w:val="0000589C"/>
    <w:rsid w:val="000111FB"/>
    <w:rsid w:val="00012A78"/>
    <w:rsid w:val="00014211"/>
    <w:rsid w:val="00023135"/>
    <w:rsid w:val="000248CE"/>
    <w:rsid w:val="00024E16"/>
    <w:rsid w:val="0002503C"/>
    <w:rsid w:val="00030C97"/>
    <w:rsid w:val="000323D5"/>
    <w:rsid w:val="000349CE"/>
    <w:rsid w:val="00034F23"/>
    <w:rsid w:val="00040260"/>
    <w:rsid w:val="00040BBC"/>
    <w:rsid w:val="00041A5F"/>
    <w:rsid w:val="00041BAE"/>
    <w:rsid w:val="00041EDB"/>
    <w:rsid w:val="0004593C"/>
    <w:rsid w:val="00055DB4"/>
    <w:rsid w:val="0005769D"/>
    <w:rsid w:val="0006118C"/>
    <w:rsid w:val="0006239D"/>
    <w:rsid w:val="000668E1"/>
    <w:rsid w:val="00071751"/>
    <w:rsid w:val="000771B6"/>
    <w:rsid w:val="00077821"/>
    <w:rsid w:val="00077DF2"/>
    <w:rsid w:val="000816F5"/>
    <w:rsid w:val="0009048F"/>
    <w:rsid w:val="00090EB9"/>
    <w:rsid w:val="00093D21"/>
    <w:rsid w:val="00095CE5"/>
    <w:rsid w:val="000A36B4"/>
    <w:rsid w:val="000B16B3"/>
    <w:rsid w:val="000B276A"/>
    <w:rsid w:val="000B3144"/>
    <w:rsid w:val="000B3427"/>
    <w:rsid w:val="000B7D66"/>
    <w:rsid w:val="000C4E0D"/>
    <w:rsid w:val="000D32FB"/>
    <w:rsid w:val="000D7883"/>
    <w:rsid w:val="000E07B9"/>
    <w:rsid w:val="000E1F76"/>
    <w:rsid w:val="000E38F2"/>
    <w:rsid w:val="000E392A"/>
    <w:rsid w:val="000F2EBF"/>
    <w:rsid w:val="000F4EF5"/>
    <w:rsid w:val="000F5B8A"/>
    <w:rsid w:val="000F630A"/>
    <w:rsid w:val="00100B2F"/>
    <w:rsid w:val="00105A8C"/>
    <w:rsid w:val="0011160C"/>
    <w:rsid w:val="00114D39"/>
    <w:rsid w:val="00115E70"/>
    <w:rsid w:val="00117EE3"/>
    <w:rsid w:val="00120450"/>
    <w:rsid w:val="00121167"/>
    <w:rsid w:val="00122BFE"/>
    <w:rsid w:val="00131BA5"/>
    <w:rsid w:val="00136D92"/>
    <w:rsid w:val="00144954"/>
    <w:rsid w:val="00145E57"/>
    <w:rsid w:val="00145E9F"/>
    <w:rsid w:val="001463C0"/>
    <w:rsid w:val="00146CE8"/>
    <w:rsid w:val="00152BFF"/>
    <w:rsid w:val="001538FF"/>
    <w:rsid w:val="0015569E"/>
    <w:rsid w:val="0015614E"/>
    <w:rsid w:val="0016201A"/>
    <w:rsid w:val="00162FB0"/>
    <w:rsid w:val="001662BE"/>
    <w:rsid w:val="00170DD9"/>
    <w:rsid w:val="00171DED"/>
    <w:rsid w:val="00174188"/>
    <w:rsid w:val="0017690B"/>
    <w:rsid w:val="0019319B"/>
    <w:rsid w:val="00196230"/>
    <w:rsid w:val="001963EB"/>
    <w:rsid w:val="001B2E44"/>
    <w:rsid w:val="001B6A9C"/>
    <w:rsid w:val="001C4C11"/>
    <w:rsid w:val="001C7A99"/>
    <w:rsid w:val="001D1D0E"/>
    <w:rsid w:val="001D2CB1"/>
    <w:rsid w:val="001D2F22"/>
    <w:rsid w:val="001D361A"/>
    <w:rsid w:val="001D5F6E"/>
    <w:rsid w:val="001D646A"/>
    <w:rsid w:val="001D796A"/>
    <w:rsid w:val="001E265A"/>
    <w:rsid w:val="001E2F57"/>
    <w:rsid w:val="001E508B"/>
    <w:rsid w:val="001E67FA"/>
    <w:rsid w:val="001F3139"/>
    <w:rsid w:val="001F38C8"/>
    <w:rsid w:val="001F690D"/>
    <w:rsid w:val="00202038"/>
    <w:rsid w:val="00202362"/>
    <w:rsid w:val="002024D8"/>
    <w:rsid w:val="00204962"/>
    <w:rsid w:val="00211382"/>
    <w:rsid w:val="00223F6E"/>
    <w:rsid w:val="002262AA"/>
    <w:rsid w:val="00233CEE"/>
    <w:rsid w:val="0023722A"/>
    <w:rsid w:val="00241CE3"/>
    <w:rsid w:val="0024375A"/>
    <w:rsid w:val="0025163A"/>
    <w:rsid w:val="00260DE8"/>
    <w:rsid w:val="00262B33"/>
    <w:rsid w:val="00265A03"/>
    <w:rsid w:val="00273B61"/>
    <w:rsid w:val="002743C0"/>
    <w:rsid w:val="00275444"/>
    <w:rsid w:val="00277216"/>
    <w:rsid w:val="00280057"/>
    <w:rsid w:val="002802ED"/>
    <w:rsid w:val="00280B21"/>
    <w:rsid w:val="002905D1"/>
    <w:rsid w:val="002930E2"/>
    <w:rsid w:val="00293C13"/>
    <w:rsid w:val="002959A7"/>
    <w:rsid w:val="00295F92"/>
    <w:rsid w:val="00297DE4"/>
    <w:rsid w:val="00297F29"/>
    <w:rsid w:val="002A1536"/>
    <w:rsid w:val="002A604B"/>
    <w:rsid w:val="002A6E75"/>
    <w:rsid w:val="002B77C2"/>
    <w:rsid w:val="002B7E38"/>
    <w:rsid w:val="002C157A"/>
    <w:rsid w:val="002D52F9"/>
    <w:rsid w:val="002D6E14"/>
    <w:rsid w:val="002D7BB1"/>
    <w:rsid w:val="002E65A1"/>
    <w:rsid w:val="002E7895"/>
    <w:rsid w:val="002F32FC"/>
    <w:rsid w:val="002F3B19"/>
    <w:rsid w:val="002F48FF"/>
    <w:rsid w:val="002F61A7"/>
    <w:rsid w:val="002F735E"/>
    <w:rsid w:val="002F7C2A"/>
    <w:rsid w:val="002F7E57"/>
    <w:rsid w:val="003013EF"/>
    <w:rsid w:val="003034A8"/>
    <w:rsid w:val="00304CF7"/>
    <w:rsid w:val="0030517D"/>
    <w:rsid w:val="0030550A"/>
    <w:rsid w:val="00311FE5"/>
    <w:rsid w:val="00317971"/>
    <w:rsid w:val="00322310"/>
    <w:rsid w:val="00322912"/>
    <w:rsid w:val="0032451F"/>
    <w:rsid w:val="00327A37"/>
    <w:rsid w:val="00331EAA"/>
    <w:rsid w:val="00335FC7"/>
    <w:rsid w:val="00341827"/>
    <w:rsid w:val="00341A34"/>
    <w:rsid w:val="00346D30"/>
    <w:rsid w:val="003478FB"/>
    <w:rsid w:val="00347DAD"/>
    <w:rsid w:val="00355B3C"/>
    <w:rsid w:val="00357D3F"/>
    <w:rsid w:val="00360848"/>
    <w:rsid w:val="00377F5D"/>
    <w:rsid w:val="003810A1"/>
    <w:rsid w:val="0038122A"/>
    <w:rsid w:val="0038210E"/>
    <w:rsid w:val="00384CF4"/>
    <w:rsid w:val="00393CC3"/>
    <w:rsid w:val="00394109"/>
    <w:rsid w:val="0039752A"/>
    <w:rsid w:val="003A2621"/>
    <w:rsid w:val="003A4CB4"/>
    <w:rsid w:val="003B1529"/>
    <w:rsid w:val="003B1946"/>
    <w:rsid w:val="003B71D2"/>
    <w:rsid w:val="003C09DE"/>
    <w:rsid w:val="003C1EC1"/>
    <w:rsid w:val="003C2541"/>
    <w:rsid w:val="003C4562"/>
    <w:rsid w:val="003C5BB9"/>
    <w:rsid w:val="003D3290"/>
    <w:rsid w:val="003D3D94"/>
    <w:rsid w:val="003D7052"/>
    <w:rsid w:val="003F144F"/>
    <w:rsid w:val="00403B48"/>
    <w:rsid w:val="00403DCB"/>
    <w:rsid w:val="00410A6D"/>
    <w:rsid w:val="004124AD"/>
    <w:rsid w:val="00415FB8"/>
    <w:rsid w:val="00417881"/>
    <w:rsid w:val="00420AF5"/>
    <w:rsid w:val="00423092"/>
    <w:rsid w:val="00426114"/>
    <w:rsid w:val="00431F3D"/>
    <w:rsid w:val="00432DE4"/>
    <w:rsid w:val="004348AC"/>
    <w:rsid w:val="0043586E"/>
    <w:rsid w:val="0044614E"/>
    <w:rsid w:val="00451EDF"/>
    <w:rsid w:val="0045426F"/>
    <w:rsid w:val="00454E07"/>
    <w:rsid w:val="0046063E"/>
    <w:rsid w:val="00467CD1"/>
    <w:rsid w:val="00474C23"/>
    <w:rsid w:val="004777BE"/>
    <w:rsid w:val="00482081"/>
    <w:rsid w:val="00485CE2"/>
    <w:rsid w:val="00490361"/>
    <w:rsid w:val="00490CE2"/>
    <w:rsid w:val="00490E59"/>
    <w:rsid w:val="004938E1"/>
    <w:rsid w:val="00497C7D"/>
    <w:rsid w:val="004A2BB3"/>
    <w:rsid w:val="004A2D83"/>
    <w:rsid w:val="004A34BA"/>
    <w:rsid w:val="004A5993"/>
    <w:rsid w:val="004A7835"/>
    <w:rsid w:val="004B5CE0"/>
    <w:rsid w:val="004C022F"/>
    <w:rsid w:val="004C2B9E"/>
    <w:rsid w:val="004C5690"/>
    <w:rsid w:val="004D06DD"/>
    <w:rsid w:val="004D0B97"/>
    <w:rsid w:val="004D4A51"/>
    <w:rsid w:val="004D6FC5"/>
    <w:rsid w:val="004E00A1"/>
    <w:rsid w:val="004E4061"/>
    <w:rsid w:val="004E4694"/>
    <w:rsid w:val="004E5AB4"/>
    <w:rsid w:val="004F11F4"/>
    <w:rsid w:val="004F341F"/>
    <w:rsid w:val="004F5B79"/>
    <w:rsid w:val="004F6807"/>
    <w:rsid w:val="004F7486"/>
    <w:rsid w:val="0050568F"/>
    <w:rsid w:val="005056C5"/>
    <w:rsid w:val="005102B3"/>
    <w:rsid w:val="00513528"/>
    <w:rsid w:val="00515515"/>
    <w:rsid w:val="005164D6"/>
    <w:rsid w:val="00522411"/>
    <w:rsid w:val="00522DEB"/>
    <w:rsid w:val="005236D3"/>
    <w:rsid w:val="00525962"/>
    <w:rsid w:val="005326D1"/>
    <w:rsid w:val="005355AF"/>
    <w:rsid w:val="005361A1"/>
    <w:rsid w:val="005362B0"/>
    <w:rsid w:val="00545450"/>
    <w:rsid w:val="00547E82"/>
    <w:rsid w:val="00562256"/>
    <w:rsid w:val="005644AD"/>
    <w:rsid w:val="00566D7C"/>
    <w:rsid w:val="00570E24"/>
    <w:rsid w:val="00571210"/>
    <w:rsid w:val="00571A4E"/>
    <w:rsid w:val="005758F2"/>
    <w:rsid w:val="0057687F"/>
    <w:rsid w:val="00577D20"/>
    <w:rsid w:val="00584A2D"/>
    <w:rsid w:val="00586BA1"/>
    <w:rsid w:val="00591A81"/>
    <w:rsid w:val="005940BE"/>
    <w:rsid w:val="00594666"/>
    <w:rsid w:val="005A0A3C"/>
    <w:rsid w:val="005A43BB"/>
    <w:rsid w:val="005B1D5D"/>
    <w:rsid w:val="005C1CDE"/>
    <w:rsid w:val="005C2AFE"/>
    <w:rsid w:val="005C7951"/>
    <w:rsid w:val="005D3392"/>
    <w:rsid w:val="005D38EE"/>
    <w:rsid w:val="005D6603"/>
    <w:rsid w:val="005D6A88"/>
    <w:rsid w:val="005E1A33"/>
    <w:rsid w:val="005E1DFB"/>
    <w:rsid w:val="005E1EF3"/>
    <w:rsid w:val="005E1F6D"/>
    <w:rsid w:val="005E2366"/>
    <w:rsid w:val="005E3975"/>
    <w:rsid w:val="005E4DC7"/>
    <w:rsid w:val="005E51F3"/>
    <w:rsid w:val="006011CE"/>
    <w:rsid w:val="00602559"/>
    <w:rsid w:val="006118F9"/>
    <w:rsid w:val="00617A87"/>
    <w:rsid w:val="00621214"/>
    <w:rsid w:val="00624FB7"/>
    <w:rsid w:val="006262E4"/>
    <w:rsid w:val="0063116E"/>
    <w:rsid w:val="00640010"/>
    <w:rsid w:val="00640C79"/>
    <w:rsid w:val="006431B9"/>
    <w:rsid w:val="00643881"/>
    <w:rsid w:val="00645335"/>
    <w:rsid w:val="006461BA"/>
    <w:rsid w:val="00653918"/>
    <w:rsid w:val="00655334"/>
    <w:rsid w:val="00662567"/>
    <w:rsid w:val="00663DF8"/>
    <w:rsid w:val="00664E74"/>
    <w:rsid w:val="00665B84"/>
    <w:rsid w:val="00667B62"/>
    <w:rsid w:val="006705B0"/>
    <w:rsid w:val="00674113"/>
    <w:rsid w:val="00674552"/>
    <w:rsid w:val="006772D4"/>
    <w:rsid w:val="00684DA6"/>
    <w:rsid w:val="00686EC7"/>
    <w:rsid w:val="00687925"/>
    <w:rsid w:val="00690AE1"/>
    <w:rsid w:val="0069443A"/>
    <w:rsid w:val="006A05AD"/>
    <w:rsid w:val="006A0BD2"/>
    <w:rsid w:val="006B0320"/>
    <w:rsid w:val="006B3DC9"/>
    <w:rsid w:val="006B59A3"/>
    <w:rsid w:val="006B5F92"/>
    <w:rsid w:val="006C36F2"/>
    <w:rsid w:val="006C4349"/>
    <w:rsid w:val="006D2537"/>
    <w:rsid w:val="006D3830"/>
    <w:rsid w:val="006D6116"/>
    <w:rsid w:val="006D77FA"/>
    <w:rsid w:val="006E3DCE"/>
    <w:rsid w:val="006F2BE3"/>
    <w:rsid w:val="006F7E82"/>
    <w:rsid w:val="00701570"/>
    <w:rsid w:val="00701BAA"/>
    <w:rsid w:val="00706F60"/>
    <w:rsid w:val="00720389"/>
    <w:rsid w:val="00720F26"/>
    <w:rsid w:val="00723B65"/>
    <w:rsid w:val="00727AB8"/>
    <w:rsid w:val="00735CC3"/>
    <w:rsid w:val="0074193E"/>
    <w:rsid w:val="00743C3A"/>
    <w:rsid w:val="00746961"/>
    <w:rsid w:val="0075170B"/>
    <w:rsid w:val="00752CD6"/>
    <w:rsid w:val="00753EC6"/>
    <w:rsid w:val="00760507"/>
    <w:rsid w:val="00761B8E"/>
    <w:rsid w:val="007637E5"/>
    <w:rsid w:val="00764215"/>
    <w:rsid w:val="00765FA5"/>
    <w:rsid w:val="0077074E"/>
    <w:rsid w:val="00773479"/>
    <w:rsid w:val="00786543"/>
    <w:rsid w:val="007875BB"/>
    <w:rsid w:val="00787B57"/>
    <w:rsid w:val="00790BB1"/>
    <w:rsid w:val="00791681"/>
    <w:rsid w:val="007929F2"/>
    <w:rsid w:val="00792AC3"/>
    <w:rsid w:val="007954E6"/>
    <w:rsid w:val="00797058"/>
    <w:rsid w:val="007A54B2"/>
    <w:rsid w:val="007A6550"/>
    <w:rsid w:val="007A7230"/>
    <w:rsid w:val="007B507E"/>
    <w:rsid w:val="007C3109"/>
    <w:rsid w:val="007C4C91"/>
    <w:rsid w:val="007C55AD"/>
    <w:rsid w:val="007D7612"/>
    <w:rsid w:val="007D7F33"/>
    <w:rsid w:val="007E06C7"/>
    <w:rsid w:val="007E23E3"/>
    <w:rsid w:val="007E34FE"/>
    <w:rsid w:val="007E4704"/>
    <w:rsid w:val="007E5028"/>
    <w:rsid w:val="007E7F13"/>
    <w:rsid w:val="007F028C"/>
    <w:rsid w:val="007F323F"/>
    <w:rsid w:val="007F419C"/>
    <w:rsid w:val="007F57FC"/>
    <w:rsid w:val="007F5D59"/>
    <w:rsid w:val="00800A6D"/>
    <w:rsid w:val="0080113F"/>
    <w:rsid w:val="00801BCC"/>
    <w:rsid w:val="00802433"/>
    <w:rsid w:val="00802971"/>
    <w:rsid w:val="008042F7"/>
    <w:rsid w:val="00804516"/>
    <w:rsid w:val="00805320"/>
    <w:rsid w:val="00805467"/>
    <w:rsid w:val="008061F8"/>
    <w:rsid w:val="0080754B"/>
    <w:rsid w:val="0080760A"/>
    <w:rsid w:val="00810D8F"/>
    <w:rsid w:val="00824318"/>
    <w:rsid w:val="0082529A"/>
    <w:rsid w:val="00831E89"/>
    <w:rsid w:val="00832719"/>
    <w:rsid w:val="00836EB7"/>
    <w:rsid w:val="008440EF"/>
    <w:rsid w:val="008508EA"/>
    <w:rsid w:val="00852D2A"/>
    <w:rsid w:val="00861BDE"/>
    <w:rsid w:val="00861E02"/>
    <w:rsid w:val="00867ADE"/>
    <w:rsid w:val="00872208"/>
    <w:rsid w:val="008723B2"/>
    <w:rsid w:val="0087277C"/>
    <w:rsid w:val="0087300E"/>
    <w:rsid w:val="008739A8"/>
    <w:rsid w:val="00874706"/>
    <w:rsid w:val="00875015"/>
    <w:rsid w:val="0088742B"/>
    <w:rsid w:val="00887494"/>
    <w:rsid w:val="008966E0"/>
    <w:rsid w:val="00897DAB"/>
    <w:rsid w:val="008A0976"/>
    <w:rsid w:val="008A1368"/>
    <w:rsid w:val="008A21BA"/>
    <w:rsid w:val="008A2C5D"/>
    <w:rsid w:val="008A420C"/>
    <w:rsid w:val="008A5789"/>
    <w:rsid w:val="008A7D42"/>
    <w:rsid w:val="008B1565"/>
    <w:rsid w:val="008B1794"/>
    <w:rsid w:val="008B235B"/>
    <w:rsid w:val="008B2FB3"/>
    <w:rsid w:val="008C0495"/>
    <w:rsid w:val="008C3C6A"/>
    <w:rsid w:val="008C74FC"/>
    <w:rsid w:val="008D42A1"/>
    <w:rsid w:val="008E40B3"/>
    <w:rsid w:val="008F1136"/>
    <w:rsid w:val="008F70D8"/>
    <w:rsid w:val="008F7763"/>
    <w:rsid w:val="008F7934"/>
    <w:rsid w:val="00900318"/>
    <w:rsid w:val="00902D54"/>
    <w:rsid w:val="00903106"/>
    <w:rsid w:val="009103DF"/>
    <w:rsid w:val="009110FF"/>
    <w:rsid w:val="00913FB3"/>
    <w:rsid w:val="00916C27"/>
    <w:rsid w:val="0091772A"/>
    <w:rsid w:val="009178E6"/>
    <w:rsid w:val="0092175A"/>
    <w:rsid w:val="00924BE1"/>
    <w:rsid w:val="009276AC"/>
    <w:rsid w:val="00927BCA"/>
    <w:rsid w:val="00927E40"/>
    <w:rsid w:val="00931443"/>
    <w:rsid w:val="00933996"/>
    <w:rsid w:val="009374C9"/>
    <w:rsid w:val="00942BD9"/>
    <w:rsid w:val="00943AB3"/>
    <w:rsid w:val="0094633C"/>
    <w:rsid w:val="00946909"/>
    <w:rsid w:val="009508D4"/>
    <w:rsid w:val="00952F0D"/>
    <w:rsid w:val="00954242"/>
    <w:rsid w:val="00955C01"/>
    <w:rsid w:val="009656A0"/>
    <w:rsid w:val="00973313"/>
    <w:rsid w:val="0097526F"/>
    <w:rsid w:val="009760DC"/>
    <w:rsid w:val="00976702"/>
    <w:rsid w:val="00982EA9"/>
    <w:rsid w:val="009838A4"/>
    <w:rsid w:val="009844B8"/>
    <w:rsid w:val="0098688D"/>
    <w:rsid w:val="009871D1"/>
    <w:rsid w:val="009873A1"/>
    <w:rsid w:val="00987766"/>
    <w:rsid w:val="00990122"/>
    <w:rsid w:val="009912DA"/>
    <w:rsid w:val="00991936"/>
    <w:rsid w:val="00991AB5"/>
    <w:rsid w:val="009A092B"/>
    <w:rsid w:val="009A0C65"/>
    <w:rsid w:val="009A20D5"/>
    <w:rsid w:val="009A7C94"/>
    <w:rsid w:val="009A7D1D"/>
    <w:rsid w:val="009B7AF5"/>
    <w:rsid w:val="009C11B0"/>
    <w:rsid w:val="009C30D2"/>
    <w:rsid w:val="009C4A5B"/>
    <w:rsid w:val="009C5B52"/>
    <w:rsid w:val="009C6732"/>
    <w:rsid w:val="009D154D"/>
    <w:rsid w:val="009D45D6"/>
    <w:rsid w:val="009D4EC4"/>
    <w:rsid w:val="009D6162"/>
    <w:rsid w:val="009D61AF"/>
    <w:rsid w:val="009E0E1F"/>
    <w:rsid w:val="009E7017"/>
    <w:rsid w:val="009F2655"/>
    <w:rsid w:val="00A031E0"/>
    <w:rsid w:val="00A034AE"/>
    <w:rsid w:val="00A05326"/>
    <w:rsid w:val="00A12932"/>
    <w:rsid w:val="00A16552"/>
    <w:rsid w:val="00A16AC7"/>
    <w:rsid w:val="00A17EAD"/>
    <w:rsid w:val="00A211D7"/>
    <w:rsid w:val="00A226FB"/>
    <w:rsid w:val="00A22F6C"/>
    <w:rsid w:val="00A24E31"/>
    <w:rsid w:val="00A24FE9"/>
    <w:rsid w:val="00A26C54"/>
    <w:rsid w:val="00A30BE7"/>
    <w:rsid w:val="00A34448"/>
    <w:rsid w:val="00A42497"/>
    <w:rsid w:val="00A43B64"/>
    <w:rsid w:val="00A4588A"/>
    <w:rsid w:val="00A47C4A"/>
    <w:rsid w:val="00A51D5B"/>
    <w:rsid w:val="00A56D16"/>
    <w:rsid w:val="00A57667"/>
    <w:rsid w:val="00A64736"/>
    <w:rsid w:val="00A712FD"/>
    <w:rsid w:val="00A73217"/>
    <w:rsid w:val="00A735D2"/>
    <w:rsid w:val="00A74630"/>
    <w:rsid w:val="00A759E5"/>
    <w:rsid w:val="00A75FCB"/>
    <w:rsid w:val="00A812E2"/>
    <w:rsid w:val="00A82180"/>
    <w:rsid w:val="00A8438F"/>
    <w:rsid w:val="00A86007"/>
    <w:rsid w:val="00A927FA"/>
    <w:rsid w:val="00A94C75"/>
    <w:rsid w:val="00A96B1F"/>
    <w:rsid w:val="00AA14F1"/>
    <w:rsid w:val="00AA2BF4"/>
    <w:rsid w:val="00AA36D9"/>
    <w:rsid w:val="00AA4563"/>
    <w:rsid w:val="00AA4CE6"/>
    <w:rsid w:val="00AB3CA3"/>
    <w:rsid w:val="00AB44C0"/>
    <w:rsid w:val="00AB7B80"/>
    <w:rsid w:val="00AC0693"/>
    <w:rsid w:val="00AC086B"/>
    <w:rsid w:val="00AC2D49"/>
    <w:rsid w:val="00AC2F04"/>
    <w:rsid w:val="00AC3C2D"/>
    <w:rsid w:val="00AC53AC"/>
    <w:rsid w:val="00AD20A1"/>
    <w:rsid w:val="00AD63B6"/>
    <w:rsid w:val="00AD6816"/>
    <w:rsid w:val="00AE0222"/>
    <w:rsid w:val="00AE0EF4"/>
    <w:rsid w:val="00AE5834"/>
    <w:rsid w:val="00AE58C1"/>
    <w:rsid w:val="00AF163C"/>
    <w:rsid w:val="00AF1F4A"/>
    <w:rsid w:val="00AF3053"/>
    <w:rsid w:val="00AF57EB"/>
    <w:rsid w:val="00B00794"/>
    <w:rsid w:val="00B02AF3"/>
    <w:rsid w:val="00B066E4"/>
    <w:rsid w:val="00B1064C"/>
    <w:rsid w:val="00B21A1E"/>
    <w:rsid w:val="00B27B1F"/>
    <w:rsid w:val="00B3549E"/>
    <w:rsid w:val="00B36E99"/>
    <w:rsid w:val="00B403E9"/>
    <w:rsid w:val="00B424BD"/>
    <w:rsid w:val="00B4283A"/>
    <w:rsid w:val="00B4500C"/>
    <w:rsid w:val="00B47B68"/>
    <w:rsid w:val="00B5067B"/>
    <w:rsid w:val="00B53BD9"/>
    <w:rsid w:val="00B5511C"/>
    <w:rsid w:val="00B556F3"/>
    <w:rsid w:val="00B55D32"/>
    <w:rsid w:val="00B56F39"/>
    <w:rsid w:val="00B66851"/>
    <w:rsid w:val="00B672A6"/>
    <w:rsid w:val="00B674FE"/>
    <w:rsid w:val="00B7034C"/>
    <w:rsid w:val="00B710F3"/>
    <w:rsid w:val="00B71A8A"/>
    <w:rsid w:val="00B74431"/>
    <w:rsid w:val="00B75F4A"/>
    <w:rsid w:val="00B80991"/>
    <w:rsid w:val="00B843F1"/>
    <w:rsid w:val="00B87DBC"/>
    <w:rsid w:val="00B90BF9"/>
    <w:rsid w:val="00B90C7A"/>
    <w:rsid w:val="00B9223A"/>
    <w:rsid w:val="00B949F8"/>
    <w:rsid w:val="00B97810"/>
    <w:rsid w:val="00BA0492"/>
    <w:rsid w:val="00BA06D8"/>
    <w:rsid w:val="00BA20C4"/>
    <w:rsid w:val="00BA659F"/>
    <w:rsid w:val="00BA7691"/>
    <w:rsid w:val="00BB2110"/>
    <w:rsid w:val="00BB2F0C"/>
    <w:rsid w:val="00BB5E41"/>
    <w:rsid w:val="00BC2530"/>
    <w:rsid w:val="00BC4E9E"/>
    <w:rsid w:val="00BD7516"/>
    <w:rsid w:val="00BD7C62"/>
    <w:rsid w:val="00BE02F1"/>
    <w:rsid w:val="00BE4D0B"/>
    <w:rsid w:val="00BE4FB3"/>
    <w:rsid w:val="00BE77C0"/>
    <w:rsid w:val="00BF2D61"/>
    <w:rsid w:val="00BF3A8D"/>
    <w:rsid w:val="00BF5E25"/>
    <w:rsid w:val="00C04CF9"/>
    <w:rsid w:val="00C04DBD"/>
    <w:rsid w:val="00C07A17"/>
    <w:rsid w:val="00C10CBE"/>
    <w:rsid w:val="00C140AA"/>
    <w:rsid w:val="00C16EDF"/>
    <w:rsid w:val="00C17673"/>
    <w:rsid w:val="00C24E29"/>
    <w:rsid w:val="00C25DDE"/>
    <w:rsid w:val="00C27657"/>
    <w:rsid w:val="00C33A5E"/>
    <w:rsid w:val="00C361FE"/>
    <w:rsid w:val="00C37975"/>
    <w:rsid w:val="00C37EC8"/>
    <w:rsid w:val="00C403FC"/>
    <w:rsid w:val="00C463B9"/>
    <w:rsid w:val="00C470DF"/>
    <w:rsid w:val="00C521D2"/>
    <w:rsid w:val="00C56EC6"/>
    <w:rsid w:val="00C627AA"/>
    <w:rsid w:val="00C70EE9"/>
    <w:rsid w:val="00C71844"/>
    <w:rsid w:val="00C74F9C"/>
    <w:rsid w:val="00C7571E"/>
    <w:rsid w:val="00C765E5"/>
    <w:rsid w:val="00C76FA1"/>
    <w:rsid w:val="00C81766"/>
    <w:rsid w:val="00C82DFD"/>
    <w:rsid w:val="00C844C3"/>
    <w:rsid w:val="00C85BEE"/>
    <w:rsid w:val="00C976F7"/>
    <w:rsid w:val="00CA0695"/>
    <w:rsid w:val="00CA52D8"/>
    <w:rsid w:val="00CB2664"/>
    <w:rsid w:val="00CB2C34"/>
    <w:rsid w:val="00CB3C51"/>
    <w:rsid w:val="00CB6130"/>
    <w:rsid w:val="00CC024D"/>
    <w:rsid w:val="00CC1BF9"/>
    <w:rsid w:val="00CC5EF4"/>
    <w:rsid w:val="00CD0EFA"/>
    <w:rsid w:val="00CD1F73"/>
    <w:rsid w:val="00CD4C57"/>
    <w:rsid w:val="00CE43AC"/>
    <w:rsid w:val="00CE5D40"/>
    <w:rsid w:val="00CF3AFD"/>
    <w:rsid w:val="00CF49AE"/>
    <w:rsid w:val="00CF68B9"/>
    <w:rsid w:val="00D06D00"/>
    <w:rsid w:val="00D10434"/>
    <w:rsid w:val="00D10AE2"/>
    <w:rsid w:val="00D158C5"/>
    <w:rsid w:val="00D16AD7"/>
    <w:rsid w:val="00D20AC3"/>
    <w:rsid w:val="00D24F66"/>
    <w:rsid w:val="00D25819"/>
    <w:rsid w:val="00D27AF2"/>
    <w:rsid w:val="00D32E1D"/>
    <w:rsid w:val="00D350B5"/>
    <w:rsid w:val="00D36FDC"/>
    <w:rsid w:val="00D375F1"/>
    <w:rsid w:val="00D4290B"/>
    <w:rsid w:val="00D46BC4"/>
    <w:rsid w:val="00D52777"/>
    <w:rsid w:val="00D52B13"/>
    <w:rsid w:val="00D52B32"/>
    <w:rsid w:val="00D54020"/>
    <w:rsid w:val="00D565C8"/>
    <w:rsid w:val="00D56DE5"/>
    <w:rsid w:val="00D66247"/>
    <w:rsid w:val="00D66C7E"/>
    <w:rsid w:val="00D7317C"/>
    <w:rsid w:val="00D74F11"/>
    <w:rsid w:val="00D8247A"/>
    <w:rsid w:val="00D840C7"/>
    <w:rsid w:val="00D93ED5"/>
    <w:rsid w:val="00D95D14"/>
    <w:rsid w:val="00D974DF"/>
    <w:rsid w:val="00D97D94"/>
    <w:rsid w:val="00DA49CB"/>
    <w:rsid w:val="00DA77CD"/>
    <w:rsid w:val="00DB1D2A"/>
    <w:rsid w:val="00DB3372"/>
    <w:rsid w:val="00DB3593"/>
    <w:rsid w:val="00DC005F"/>
    <w:rsid w:val="00DC04E8"/>
    <w:rsid w:val="00DC0593"/>
    <w:rsid w:val="00DC254A"/>
    <w:rsid w:val="00DD24C7"/>
    <w:rsid w:val="00DD6C7E"/>
    <w:rsid w:val="00DD7891"/>
    <w:rsid w:val="00DE0AEA"/>
    <w:rsid w:val="00DE14D8"/>
    <w:rsid w:val="00DE39E9"/>
    <w:rsid w:val="00DF01A0"/>
    <w:rsid w:val="00DF4ABC"/>
    <w:rsid w:val="00DF4DB8"/>
    <w:rsid w:val="00E00EEE"/>
    <w:rsid w:val="00E00FB6"/>
    <w:rsid w:val="00E02F4C"/>
    <w:rsid w:val="00E072C7"/>
    <w:rsid w:val="00E0747B"/>
    <w:rsid w:val="00E104B4"/>
    <w:rsid w:val="00E10775"/>
    <w:rsid w:val="00E11554"/>
    <w:rsid w:val="00E11CD4"/>
    <w:rsid w:val="00E169AE"/>
    <w:rsid w:val="00E17CE1"/>
    <w:rsid w:val="00E310B3"/>
    <w:rsid w:val="00E34EA3"/>
    <w:rsid w:val="00E372A7"/>
    <w:rsid w:val="00E401A1"/>
    <w:rsid w:val="00E45D0B"/>
    <w:rsid w:val="00E52193"/>
    <w:rsid w:val="00E600BF"/>
    <w:rsid w:val="00E61DA8"/>
    <w:rsid w:val="00E6267A"/>
    <w:rsid w:val="00E63341"/>
    <w:rsid w:val="00E63822"/>
    <w:rsid w:val="00E674C3"/>
    <w:rsid w:val="00E72949"/>
    <w:rsid w:val="00E7394C"/>
    <w:rsid w:val="00E755A8"/>
    <w:rsid w:val="00E765CF"/>
    <w:rsid w:val="00E80763"/>
    <w:rsid w:val="00E815B7"/>
    <w:rsid w:val="00E8503B"/>
    <w:rsid w:val="00E872F1"/>
    <w:rsid w:val="00E9018F"/>
    <w:rsid w:val="00E95AB8"/>
    <w:rsid w:val="00E96C3A"/>
    <w:rsid w:val="00EB409C"/>
    <w:rsid w:val="00EB6B9C"/>
    <w:rsid w:val="00EC05BC"/>
    <w:rsid w:val="00EC2AC0"/>
    <w:rsid w:val="00EC38C7"/>
    <w:rsid w:val="00EC6A62"/>
    <w:rsid w:val="00EC6BDF"/>
    <w:rsid w:val="00EC7DC3"/>
    <w:rsid w:val="00ED13D0"/>
    <w:rsid w:val="00ED3628"/>
    <w:rsid w:val="00ED63BB"/>
    <w:rsid w:val="00EE11F8"/>
    <w:rsid w:val="00EE2445"/>
    <w:rsid w:val="00EF01D5"/>
    <w:rsid w:val="00EF0A4D"/>
    <w:rsid w:val="00EF2A8F"/>
    <w:rsid w:val="00EF4D9A"/>
    <w:rsid w:val="00F003D1"/>
    <w:rsid w:val="00F013EA"/>
    <w:rsid w:val="00F030ED"/>
    <w:rsid w:val="00F039A2"/>
    <w:rsid w:val="00F0426D"/>
    <w:rsid w:val="00F057F3"/>
    <w:rsid w:val="00F10EB0"/>
    <w:rsid w:val="00F11B77"/>
    <w:rsid w:val="00F17077"/>
    <w:rsid w:val="00F22155"/>
    <w:rsid w:val="00F24352"/>
    <w:rsid w:val="00F26182"/>
    <w:rsid w:val="00F27DD1"/>
    <w:rsid w:val="00F32C50"/>
    <w:rsid w:val="00F33875"/>
    <w:rsid w:val="00F353BF"/>
    <w:rsid w:val="00F356FF"/>
    <w:rsid w:val="00F433A8"/>
    <w:rsid w:val="00F5075D"/>
    <w:rsid w:val="00F518EF"/>
    <w:rsid w:val="00F53252"/>
    <w:rsid w:val="00F63EC8"/>
    <w:rsid w:val="00F65587"/>
    <w:rsid w:val="00F665E3"/>
    <w:rsid w:val="00F7055A"/>
    <w:rsid w:val="00F72EC1"/>
    <w:rsid w:val="00F738BD"/>
    <w:rsid w:val="00F74DCA"/>
    <w:rsid w:val="00F7634D"/>
    <w:rsid w:val="00F76A8F"/>
    <w:rsid w:val="00F84D74"/>
    <w:rsid w:val="00F865BE"/>
    <w:rsid w:val="00F923F5"/>
    <w:rsid w:val="00F9241E"/>
    <w:rsid w:val="00F92945"/>
    <w:rsid w:val="00FA10B1"/>
    <w:rsid w:val="00FA268C"/>
    <w:rsid w:val="00FA7F56"/>
    <w:rsid w:val="00FB1E4E"/>
    <w:rsid w:val="00FB296B"/>
    <w:rsid w:val="00FB43EA"/>
    <w:rsid w:val="00FC14D4"/>
    <w:rsid w:val="00FC6544"/>
    <w:rsid w:val="00FD1919"/>
    <w:rsid w:val="00FD4A78"/>
    <w:rsid w:val="00FD62B1"/>
    <w:rsid w:val="00FE2E42"/>
    <w:rsid w:val="00FF2ED1"/>
    <w:rsid w:val="00FF4F31"/>
    <w:rsid w:val="00FF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835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F028C"/>
    <w:rPr>
      <w:szCs w:val="20"/>
    </w:rPr>
  </w:style>
  <w:style w:type="paragraph" w:styleId="Heading1">
    <w:name w:val="heading 1"/>
    <w:basedOn w:val="Normal"/>
    <w:next w:val="ParaNum"/>
    <w:link w:val="Heading1Char"/>
    <w:uiPriority w:val="99"/>
    <w:qFormat/>
    <w:rsid w:val="007F028C"/>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9"/>
    <w:qFormat/>
    <w:rsid w:val="007F028C"/>
    <w:pPr>
      <w:keepNext/>
      <w:widowControl w:val="0"/>
      <w:numPr>
        <w:ilvl w:val="1"/>
        <w:numId w:val="4"/>
      </w:numPr>
      <w:spacing w:after="220"/>
      <w:jc w:val="both"/>
      <w:outlineLvl w:val="1"/>
    </w:pPr>
    <w:rPr>
      <w:b/>
    </w:rPr>
  </w:style>
  <w:style w:type="paragraph" w:styleId="Heading3">
    <w:name w:val="heading 3"/>
    <w:basedOn w:val="Normal"/>
    <w:next w:val="ParaNum"/>
    <w:link w:val="Heading3Char"/>
    <w:uiPriority w:val="99"/>
    <w:qFormat/>
    <w:rsid w:val="007F028C"/>
    <w:pPr>
      <w:keepNext/>
      <w:widowControl w:val="0"/>
      <w:numPr>
        <w:ilvl w:val="2"/>
        <w:numId w:val="4"/>
      </w:numPr>
      <w:spacing w:after="220"/>
      <w:jc w:val="both"/>
      <w:outlineLvl w:val="2"/>
    </w:pPr>
    <w:rPr>
      <w:b/>
    </w:rPr>
  </w:style>
  <w:style w:type="paragraph" w:styleId="Heading4">
    <w:name w:val="heading 4"/>
    <w:basedOn w:val="Normal"/>
    <w:next w:val="ParaNum"/>
    <w:link w:val="Heading4Char"/>
    <w:uiPriority w:val="99"/>
    <w:qFormat/>
    <w:rsid w:val="007F028C"/>
    <w:pPr>
      <w:keepNext/>
      <w:widowControl w:val="0"/>
      <w:numPr>
        <w:ilvl w:val="3"/>
        <w:numId w:val="4"/>
      </w:numPr>
      <w:spacing w:after="220"/>
      <w:jc w:val="both"/>
      <w:outlineLvl w:val="3"/>
    </w:pPr>
    <w:rPr>
      <w:b/>
    </w:rPr>
  </w:style>
  <w:style w:type="paragraph" w:styleId="Heading5">
    <w:name w:val="heading 5"/>
    <w:basedOn w:val="Normal"/>
    <w:next w:val="ParaNum"/>
    <w:link w:val="Heading5Char"/>
    <w:uiPriority w:val="99"/>
    <w:qFormat/>
    <w:rsid w:val="007F028C"/>
    <w:pPr>
      <w:keepNext/>
      <w:widowControl w:val="0"/>
      <w:numPr>
        <w:ilvl w:val="4"/>
        <w:numId w:val="4"/>
      </w:numPr>
      <w:suppressAutoHyphens/>
      <w:spacing w:after="220"/>
      <w:jc w:val="both"/>
      <w:outlineLvl w:val="4"/>
    </w:pPr>
    <w:rPr>
      <w:b/>
    </w:rPr>
  </w:style>
  <w:style w:type="paragraph" w:styleId="Heading6">
    <w:name w:val="heading 6"/>
    <w:basedOn w:val="Normal"/>
    <w:next w:val="ParaNum"/>
    <w:link w:val="Heading6Char"/>
    <w:uiPriority w:val="99"/>
    <w:qFormat/>
    <w:rsid w:val="007F028C"/>
    <w:pPr>
      <w:widowControl w:val="0"/>
      <w:numPr>
        <w:ilvl w:val="5"/>
        <w:numId w:val="4"/>
      </w:numPr>
      <w:spacing w:after="220"/>
      <w:jc w:val="both"/>
      <w:outlineLvl w:val="5"/>
    </w:pPr>
    <w:rPr>
      <w:b/>
    </w:rPr>
  </w:style>
  <w:style w:type="paragraph" w:styleId="Heading7">
    <w:name w:val="heading 7"/>
    <w:basedOn w:val="Normal"/>
    <w:next w:val="ParaNum"/>
    <w:link w:val="Heading7Char"/>
    <w:uiPriority w:val="99"/>
    <w:qFormat/>
    <w:rsid w:val="007F028C"/>
    <w:pPr>
      <w:widowControl w:val="0"/>
      <w:numPr>
        <w:ilvl w:val="6"/>
        <w:numId w:val="4"/>
      </w:numPr>
      <w:spacing w:after="220"/>
      <w:jc w:val="both"/>
      <w:outlineLvl w:val="6"/>
    </w:pPr>
    <w:rPr>
      <w:b/>
    </w:rPr>
  </w:style>
  <w:style w:type="paragraph" w:styleId="Heading8">
    <w:name w:val="heading 8"/>
    <w:basedOn w:val="Normal"/>
    <w:next w:val="ParaNum"/>
    <w:link w:val="Heading8Char"/>
    <w:uiPriority w:val="99"/>
    <w:qFormat/>
    <w:rsid w:val="007F028C"/>
    <w:pPr>
      <w:widowControl w:val="0"/>
      <w:numPr>
        <w:ilvl w:val="7"/>
        <w:numId w:val="4"/>
      </w:numPr>
      <w:spacing w:after="220"/>
      <w:jc w:val="both"/>
      <w:outlineLvl w:val="7"/>
    </w:pPr>
    <w:rPr>
      <w:b/>
    </w:rPr>
  </w:style>
  <w:style w:type="paragraph" w:styleId="Heading9">
    <w:name w:val="heading 9"/>
    <w:basedOn w:val="Normal"/>
    <w:next w:val="ParaNum"/>
    <w:link w:val="Heading9Char"/>
    <w:uiPriority w:val="99"/>
    <w:qFormat/>
    <w:rsid w:val="007F028C"/>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526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7526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7526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7526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7526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7526F"/>
    <w:rPr>
      <w:rFonts w:ascii="Calibri" w:hAnsi="Calibri" w:cs="Times New Roman"/>
      <w:b/>
      <w:bCs/>
    </w:rPr>
  </w:style>
  <w:style w:type="character" w:customStyle="1" w:styleId="Heading7Char">
    <w:name w:val="Heading 7 Char"/>
    <w:basedOn w:val="DefaultParagraphFont"/>
    <w:link w:val="Heading7"/>
    <w:uiPriority w:val="99"/>
    <w:semiHidden/>
    <w:locked/>
    <w:rsid w:val="0097526F"/>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97526F"/>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97526F"/>
    <w:rPr>
      <w:rFonts w:ascii="Cambria" w:hAnsi="Cambria" w:cs="Times New Roman"/>
    </w:rPr>
  </w:style>
  <w:style w:type="paragraph" w:styleId="Caption">
    <w:name w:val="caption"/>
    <w:basedOn w:val="Normal"/>
    <w:next w:val="Normal"/>
    <w:uiPriority w:val="99"/>
    <w:qFormat/>
    <w:rsid w:val="007F028C"/>
    <w:pPr>
      <w:spacing w:before="120" w:after="120"/>
    </w:pPr>
    <w:rPr>
      <w:b/>
    </w:rPr>
  </w:style>
  <w:style w:type="paragraph" w:customStyle="1" w:styleId="ParaNum">
    <w:name w:val="ParaNum"/>
    <w:basedOn w:val="Normal"/>
    <w:link w:val="ParaNumChar1"/>
    <w:rsid w:val="007F028C"/>
    <w:pPr>
      <w:widowControl w:val="0"/>
      <w:numPr>
        <w:numId w:val="13"/>
      </w:numPr>
      <w:tabs>
        <w:tab w:val="left" w:pos="1440"/>
      </w:tabs>
      <w:spacing w:after="220"/>
      <w:jc w:val="both"/>
    </w:pPr>
  </w:style>
  <w:style w:type="paragraph" w:styleId="FootnoteText">
    <w:name w:val="footnote text"/>
    <w:aliases w:val="Footnote Text Char2,Footnote Text Char1 Char1,Footnote Text Char2 Char1 Char,Footnote Text Char1 Char1 Char1 Char,Footnote Text Char3 Char1 Char Char Char1 Char,Footnote Text Char1 Char2 Char Char Char Char1 Char,Footnote Text Char1"/>
    <w:basedOn w:val="Normal"/>
    <w:link w:val="FootnoteTextChar"/>
    <w:uiPriority w:val="99"/>
    <w:rsid w:val="007F028C"/>
    <w:pPr>
      <w:tabs>
        <w:tab w:val="left" w:pos="180"/>
        <w:tab w:val="left" w:pos="720"/>
        <w:tab w:val="left" w:pos="1440"/>
        <w:tab w:val="left" w:pos="2160"/>
      </w:tabs>
      <w:spacing w:after="120"/>
      <w:jc w:val="both"/>
    </w:pPr>
    <w:rPr>
      <w:sz w:val="20"/>
    </w:rPr>
  </w:style>
  <w:style w:type="character" w:customStyle="1" w:styleId="FootnoteTextChar">
    <w:name w:val="Footnote Text Char"/>
    <w:aliases w:val="Footnote Text Char2 Char,Footnote Text Char1 Char1 Char,Footnote Text Char2 Char1 Char Char,Footnote Text Char1 Char1 Char1 Char Char,Footnote Text Char3 Char1 Char Char Char1 Char Char,Footnote Text Char1 Char"/>
    <w:basedOn w:val="DefaultParagraphFont"/>
    <w:link w:val="FootnoteText"/>
    <w:uiPriority w:val="99"/>
    <w:locked/>
    <w:rsid w:val="00D54020"/>
    <w:rPr>
      <w:rFonts w:cs="Times New Roman"/>
    </w:rPr>
  </w:style>
  <w:style w:type="paragraph" w:customStyle="1" w:styleId="Bullet">
    <w:name w:val="Bullet"/>
    <w:basedOn w:val="Normal"/>
    <w:uiPriority w:val="99"/>
    <w:rsid w:val="007F028C"/>
    <w:pPr>
      <w:widowControl w:val="0"/>
      <w:numPr>
        <w:numId w:val="9"/>
      </w:numPr>
      <w:tabs>
        <w:tab w:val="clear" w:pos="2520"/>
      </w:tabs>
      <w:spacing w:after="220"/>
      <w:ind w:left="2160" w:hanging="720"/>
      <w:jc w:val="both"/>
    </w:pPr>
  </w:style>
  <w:style w:type="paragraph" w:styleId="BlockText">
    <w:name w:val="Block Text"/>
    <w:basedOn w:val="Normal"/>
    <w:uiPriority w:val="99"/>
    <w:rsid w:val="007F028C"/>
    <w:pPr>
      <w:widowControl w:val="0"/>
      <w:spacing w:after="220"/>
      <w:ind w:left="1440" w:right="1440"/>
      <w:jc w:val="both"/>
    </w:pPr>
  </w:style>
  <w:style w:type="paragraph" w:customStyle="1" w:styleId="TableFormat">
    <w:name w:val="TableFormat"/>
    <w:basedOn w:val="Normal"/>
    <w:uiPriority w:val="99"/>
    <w:rsid w:val="007F028C"/>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Style 13,fr,o,Style 3,FR,Style 17,Style 6,Footnote Reference/"/>
    <w:basedOn w:val="DefaultParagraphFont"/>
    <w:rsid w:val="007F028C"/>
    <w:rPr>
      <w:rFonts w:cs="Times New Roman"/>
      <w:vertAlign w:val="superscript"/>
    </w:rPr>
  </w:style>
  <w:style w:type="paragraph" w:styleId="Header">
    <w:name w:val="header"/>
    <w:basedOn w:val="Normal"/>
    <w:link w:val="HeaderChar"/>
    <w:uiPriority w:val="99"/>
    <w:rsid w:val="007F028C"/>
    <w:pPr>
      <w:tabs>
        <w:tab w:val="center" w:pos="4320"/>
        <w:tab w:val="right" w:pos="8640"/>
      </w:tabs>
    </w:pPr>
  </w:style>
  <w:style w:type="character" w:customStyle="1" w:styleId="HeaderChar">
    <w:name w:val="Header Char"/>
    <w:basedOn w:val="DefaultParagraphFont"/>
    <w:link w:val="Header"/>
    <w:uiPriority w:val="99"/>
    <w:semiHidden/>
    <w:locked/>
    <w:rsid w:val="0097526F"/>
    <w:rPr>
      <w:rFonts w:cs="Times New Roman"/>
      <w:sz w:val="20"/>
      <w:szCs w:val="20"/>
    </w:rPr>
  </w:style>
  <w:style w:type="paragraph" w:styleId="Footer">
    <w:name w:val="footer"/>
    <w:basedOn w:val="Normal"/>
    <w:link w:val="FooterChar"/>
    <w:uiPriority w:val="99"/>
    <w:rsid w:val="007F028C"/>
    <w:pPr>
      <w:tabs>
        <w:tab w:val="center" w:pos="4320"/>
        <w:tab w:val="right" w:pos="8640"/>
      </w:tabs>
    </w:pPr>
  </w:style>
  <w:style w:type="character" w:customStyle="1" w:styleId="FooterChar">
    <w:name w:val="Footer Char"/>
    <w:basedOn w:val="DefaultParagraphFont"/>
    <w:link w:val="Footer"/>
    <w:uiPriority w:val="99"/>
    <w:semiHidden/>
    <w:locked/>
    <w:rsid w:val="0097526F"/>
    <w:rPr>
      <w:rFonts w:cs="Times New Roman"/>
      <w:sz w:val="20"/>
      <w:szCs w:val="20"/>
    </w:rPr>
  </w:style>
  <w:style w:type="paragraph" w:styleId="TOC2">
    <w:name w:val="toc 2"/>
    <w:basedOn w:val="Normal"/>
    <w:next w:val="Normal"/>
    <w:uiPriority w:val="99"/>
    <w:semiHidden/>
    <w:rsid w:val="007F028C"/>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rsid w:val="007F028C"/>
    <w:pPr>
      <w:numPr>
        <w:numId w:val="21"/>
      </w:numPr>
      <w:tabs>
        <w:tab w:val="clear" w:pos="1080"/>
      </w:tabs>
      <w:spacing w:after="220"/>
      <w:ind w:firstLine="0"/>
    </w:pPr>
  </w:style>
  <w:style w:type="paragraph" w:styleId="TOC1">
    <w:name w:val="toc 1"/>
    <w:basedOn w:val="Normal"/>
    <w:next w:val="Normal"/>
    <w:uiPriority w:val="99"/>
    <w:semiHidden/>
    <w:rsid w:val="007F028C"/>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rsid w:val="007F028C"/>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rsid w:val="007F028C"/>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rsid w:val="007F028C"/>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rsid w:val="007F028C"/>
    <w:pPr>
      <w:widowControl w:val="0"/>
      <w:tabs>
        <w:tab w:val="left" w:leader="dot" w:pos="9360"/>
      </w:tabs>
      <w:suppressAutoHyphens/>
      <w:ind w:left="720" w:hanging="720"/>
      <w:jc w:val="both"/>
    </w:pPr>
  </w:style>
  <w:style w:type="paragraph" w:styleId="TOC7">
    <w:name w:val="toc 7"/>
    <w:basedOn w:val="Normal"/>
    <w:next w:val="Normal"/>
    <w:uiPriority w:val="99"/>
    <w:semiHidden/>
    <w:rsid w:val="007F028C"/>
    <w:pPr>
      <w:widowControl w:val="0"/>
      <w:tabs>
        <w:tab w:val="left" w:leader="dot" w:pos="9360"/>
      </w:tabs>
      <w:suppressAutoHyphens/>
      <w:ind w:left="720" w:hanging="720"/>
      <w:jc w:val="both"/>
    </w:pPr>
  </w:style>
  <w:style w:type="paragraph" w:styleId="TOC8">
    <w:name w:val="toc 8"/>
    <w:basedOn w:val="Normal"/>
    <w:next w:val="Normal"/>
    <w:uiPriority w:val="99"/>
    <w:semiHidden/>
    <w:rsid w:val="007F028C"/>
    <w:pPr>
      <w:widowControl w:val="0"/>
      <w:tabs>
        <w:tab w:val="left" w:leader="dot" w:pos="9360"/>
      </w:tabs>
      <w:suppressAutoHyphens/>
      <w:ind w:left="720" w:hanging="720"/>
      <w:jc w:val="both"/>
    </w:pPr>
  </w:style>
  <w:style w:type="paragraph" w:styleId="TOC9">
    <w:name w:val="toc 9"/>
    <w:basedOn w:val="Normal"/>
    <w:next w:val="Normal"/>
    <w:uiPriority w:val="99"/>
    <w:semiHidden/>
    <w:rsid w:val="007F028C"/>
    <w:pPr>
      <w:tabs>
        <w:tab w:val="left" w:leader="dot" w:pos="9360"/>
      </w:tabs>
      <w:ind w:left="720" w:hanging="720"/>
      <w:jc w:val="both"/>
    </w:pPr>
  </w:style>
  <w:style w:type="character" w:styleId="PageNumber">
    <w:name w:val="page number"/>
    <w:basedOn w:val="DefaultParagraphFont"/>
    <w:uiPriority w:val="99"/>
    <w:rsid w:val="007F028C"/>
    <w:rPr>
      <w:rFonts w:cs="Times New Roman"/>
    </w:rPr>
  </w:style>
  <w:style w:type="paragraph" w:styleId="Title">
    <w:name w:val="Title"/>
    <w:basedOn w:val="Normal"/>
    <w:link w:val="TitleChar"/>
    <w:uiPriority w:val="99"/>
    <w:qFormat/>
    <w:rsid w:val="007F028C"/>
    <w:pPr>
      <w:jc w:val="center"/>
    </w:pPr>
    <w:rPr>
      <w:b/>
    </w:rPr>
  </w:style>
  <w:style w:type="character" w:customStyle="1" w:styleId="TitleChar">
    <w:name w:val="Title Char"/>
    <w:basedOn w:val="DefaultParagraphFont"/>
    <w:link w:val="Title"/>
    <w:uiPriority w:val="99"/>
    <w:locked/>
    <w:rsid w:val="0097526F"/>
    <w:rPr>
      <w:rFonts w:ascii="Cambria" w:hAnsi="Cambria" w:cs="Times New Roman"/>
      <w:b/>
      <w:bCs/>
      <w:kern w:val="28"/>
      <w:sz w:val="32"/>
      <w:szCs w:val="32"/>
    </w:rPr>
  </w:style>
  <w:style w:type="character" w:styleId="Hyperlink">
    <w:name w:val="Hyperlink"/>
    <w:basedOn w:val="DefaultParagraphFont"/>
    <w:uiPriority w:val="99"/>
    <w:rsid w:val="004D4A51"/>
    <w:rPr>
      <w:rFonts w:cs="Times New Roman"/>
      <w:color w:val="0000FF"/>
      <w:u w:val="single"/>
    </w:rPr>
  </w:style>
  <w:style w:type="character" w:styleId="FollowedHyperlink">
    <w:name w:val="FollowedHyperlink"/>
    <w:basedOn w:val="DefaultParagraphFont"/>
    <w:uiPriority w:val="99"/>
    <w:rsid w:val="00F32C50"/>
    <w:rPr>
      <w:rFonts w:cs="Times New Roman"/>
      <w:color w:val="800080"/>
      <w:u w:val="single"/>
    </w:rPr>
  </w:style>
  <w:style w:type="paragraph" w:styleId="BalloonText">
    <w:name w:val="Balloon Text"/>
    <w:basedOn w:val="Normal"/>
    <w:link w:val="BalloonTextChar"/>
    <w:uiPriority w:val="99"/>
    <w:semiHidden/>
    <w:unhideWhenUsed/>
    <w:locked/>
    <w:rsid w:val="00DF4DB8"/>
    <w:rPr>
      <w:rFonts w:ascii="Tahoma" w:hAnsi="Tahoma" w:cs="Tahoma"/>
      <w:sz w:val="16"/>
      <w:szCs w:val="16"/>
    </w:rPr>
  </w:style>
  <w:style w:type="character" w:customStyle="1" w:styleId="BalloonTextChar">
    <w:name w:val="Balloon Text Char"/>
    <w:basedOn w:val="DefaultParagraphFont"/>
    <w:link w:val="BalloonText"/>
    <w:uiPriority w:val="99"/>
    <w:semiHidden/>
    <w:rsid w:val="00DF4DB8"/>
    <w:rPr>
      <w:rFonts w:ascii="Tahoma" w:hAnsi="Tahoma" w:cs="Tahoma"/>
      <w:sz w:val="16"/>
      <w:szCs w:val="16"/>
    </w:rPr>
  </w:style>
  <w:style w:type="character" w:customStyle="1" w:styleId="ParaNumChar1">
    <w:name w:val="ParaNum Char1"/>
    <w:link w:val="ParaNum"/>
    <w:locked/>
    <w:rsid w:val="00522DEB"/>
    <w:rPr>
      <w:szCs w:val="20"/>
    </w:rPr>
  </w:style>
  <w:style w:type="character" w:styleId="CommentReference">
    <w:name w:val="annotation reference"/>
    <w:basedOn w:val="DefaultParagraphFont"/>
    <w:uiPriority w:val="99"/>
    <w:semiHidden/>
    <w:unhideWhenUsed/>
    <w:locked/>
    <w:rsid w:val="009871D1"/>
    <w:rPr>
      <w:sz w:val="16"/>
      <w:szCs w:val="16"/>
    </w:rPr>
  </w:style>
  <w:style w:type="paragraph" w:styleId="CommentText">
    <w:name w:val="annotation text"/>
    <w:basedOn w:val="Normal"/>
    <w:link w:val="CommentTextChar"/>
    <w:unhideWhenUsed/>
    <w:locked/>
    <w:rsid w:val="009871D1"/>
    <w:rPr>
      <w:sz w:val="20"/>
    </w:rPr>
  </w:style>
  <w:style w:type="character" w:customStyle="1" w:styleId="CommentTextChar">
    <w:name w:val="Comment Text Char"/>
    <w:basedOn w:val="DefaultParagraphFont"/>
    <w:link w:val="CommentText"/>
    <w:rsid w:val="009871D1"/>
    <w:rPr>
      <w:sz w:val="20"/>
      <w:szCs w:val="20"/>
    </w:rPr>
  </w:style>
  <w:style w:type="paragraph" w:styleId="CommentSubject">
    <w:name w:val="annotation subject"/>
    <w:basedOn w:val="CommentText"/>
    <w:next w:val="CommentText"/>
    <w:link w:val="CommentSubjectChar"/>
    <w:uiPriority w:val="99"/>
    <w:semiHidden/>
    <w:unhideWhenUsed/>
    <w:locked/>
    <w:rsid w:val="009871D1"/>
    <w:rPr>
      <w:b/>
      <w:bCs/>
    </w:rPr>
  </w:style>
  <w:style w:type="character" w:customStyle="1" w:styleId="CommentSubjectChar">
    <w:name w:val="Comment Subject Char"/>
    <w:basedOn w:val="CommentTextChar"/>
    <w:link w:val="CommentSubject"/>
    <w:uiPriority w:val="99"/>
    <w:semiHidden/>
    <w:rsid w:val="009871D1"/>
    <w:rPr>
      <w:b/>
      <w:bCs/>
      <w:sz w:val="20"/>
      <w:szCs w:val="20"/>
    </w:rPr>
  </w:style>
  <w:style w:type="paragraph" w:styleId="Revision">
    <w:name w:val="Revision"/>
    <w:hidden/>
    <w:uiPriority w:val="99"/>
    <w:semiHidden/>
    <w:rsid w:val="00FA7F56"/>
    <w:rPr>
      <w:szCs w:val="20"/>
    </w:rPr>
  </w:style>
  <w:style w:type="paragraph" w:styleId="ListParagraph">
    <w:name w:val="List Paragraph"/>
    <w:basedOn w:val="Normal"/>
    <w:uiPriority w:val="34"/>
    <w:qFormat/>
    <w:rsid w:val="00E755A8"/>
    <w:pPr>
      <w:ind w:left="720"/>
      <w:contextualSpacing/>
    </w:pPr>
  </w:style>
  <w:style w:type="character" w:customStyle="1" w:styleId="contents">
    <w:name w:val="contents"/>
    <w:basedOn w:val="DefaultParagraphFont"/>
    <w:rsid w:val="00AE5834"/>
  </w:style>
  <w:style w:type="character" w:styleId="Emphasis">
    <w:name w:val="Emphasis"/>
    <w:qFormat/>
    <w:locked/>
    <w:rsid w:val="006011CE"/>
    <w:rPr>
      <w:i/>
      <w:iCs/>
    </w:rPr>
  </w:style>
  <w:style w:type="paragraph" w:customStyle="1" w:styleId="FootnoteText1">
    <w:name w:val="Footnote Text1"/>
    <w:rsid w:val="00AC2D49"/>
    <w:pPr>
      <w:tabs>
        <w:tab w:val="left" w:pos="180"/>
        <w:tab w:val="left" w:pos="720"/>
        <w:tab w:val="left" w:pos="1440"/>
        <w:tab w:val="left" w:pos="2160"/>
      </w:tabs>
      <w:spacing w:after="120"/>
      <w:jc w:val="both"/>
    </w:pPr>
    <w:rPr>
      <w:rFonts w:eastAsia="ヒラギノ角ゴ Pro W3"/>
      <w:color w:val="000000"/>
      <w:sz w:val="20"/>
      <w:szCs w:val="20"/>
    </w:rPr>
  </w:style>
  <w:style w:type="character" w:customStyle="1" w:styleId="Hyperlink1">
    <w:name w:val="Hyperlink1"/>
    <w:rsid w:val="00AC2D49"/>
    <w:rPr>
      <w:color w:val="0000FF"/>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F028C"/>
    <w:rPr>
      <w:szCs w:val="20"/>
    </w:rPr>
  </w:style>
  <w:style w:type="paragraph" w:styleId="Heading1">
    <w:name w:val="heading 1"/>
    <w:basedOn w:val="Normal"/>
    <w:next w:val="ParaNum"/>
    <w:link w:val="Heading1Char"/>
    <w:uiPriority w:val="99"/>
    <w:qFormat/>
    <w:rsid w:val="007F028C"/>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9"/>
    <w:qFormat/>
    <w:rsid w:val="007F028C"/>
    <w:pPr>
      <w:keepNext/>
      <w:widowControl w:val="0"/>
      <w:numPr>
        <w:ilvl w:val="1"/>
        <w:numId w:val="4"/>
      </w:numPr>
      <w:spacing w:after="220"/>
      <w:jc w:val="both"/>
      <w:outlineLvl w:val="1"/>
    </w:pPr>
    <w:rPr>
      <w:b/>
    </w:rPr>
  </w:style>
  <w:style w:type="paragraph" w:styleId="Heading3">
    <w:name w:val="heading 3"/>
    <w:basedOn w:val="Normal"/>
    <w:next w:val="ParaNum"/>
    <w:link w:val="Heading3Char"/>
    <w:uiPriority w:val="99"/>
    <w:qFormat/>
    <w:rsid w:val="007F028C"/>
    <w:pPr>
      <w:keepNext/>
      <w:widowControl w:val="0"/>
      <w:numPr>
        <w:ilvl w:val="2"/>
        <w:numId w:val="4"/>
      </w:numPr>
      <w:spacing w:after="220"/>
      <w:jc w:val="both"/>
      <w:outlineLvl w:val="2"/>
    </w:pPr>
    <w:rPr>
      <w:b/>
    </w:rPr>
  </w:style>
  <w:style w:type="paragraph" w:styleId="Heading4">
    <w:name w:val="heading 4"/>
    <w:basedOn w:val="Normal"/>
    <w:next w:val="ParaNum"/>
    <w:link w:val="Heading4Char"/>
    <w:uiPriority w:val="99"/>
    <w:qFormat/>
    <w:rsid w:val="007F028C"/>
    <w:pPr>
      <w:keepNext/>
      <w:widowControl w:val="0"/>
      <w:numPr>
        <w:ilvl w:val="3"/>
        <w:numId w:val="4"/>
      </w:numPr>
      <w:spacing w:after="220"/>
      <w:jc w:val="both"/>
      <w:outlineLvl w:val="3"/>
    </w:pPr>
    <w:rPr>
      <w:b/>
    </w:rPr>
  </w:style>
  <w:style w:type="paragraph" w:styleId="Heading5">
    <w:name w:val="heading 5"/>
    <w:basedOn w:val="Normal"/>
    <w:next w:val="ParaNum"/>
    <w:link w:val="Heading5Char"/>
    <w:uiPriority w:val="99"/>
    <w:qFormat/>
    <w:rsid w:val="007F028C"/>
    <w:pPr>
      <w:keepNext/>
      <w:widowControl w:val="0"/>
      <w:numPr>
        <w:ilvl w:val="4"/>
        <w:numId w:val="4"/>
      </w:numPr>
      <w:suppressAutoHyphens/>
      <w:spacing w:after="220"/>
      <w:jc w:val="both"/>
      <w:outlineLvl w:val="4"/>
    </w:pPr>
    <w:rPr>
      <w:b/>
    </w:rPr>
  </w:style>
  <w:style w:type="paragraph" w:styleId="Heading6">
    <w:name w:val="heading 6"/>
    <w:basedOn w:val="Normal"/>
    <w:next w:val="ParaNum"/>
    <w:link w:val="Heading6Char"/>
    <w:uiPriority w:val="99"/>
    <w:qFormat/>
    <w:rsid w:val="007F028C"/>
    <w:pPr>
      <w:widowControl w:val="0"/>
      <w:numPr>
        <w:ilvl w:val="5"/>
        <w:numId w:val="4"/>
      </w:numPr>
      <w:spacing w:after="220"/>
      <w:jc w:val="both"/>
      <w:outlineLvl w:val="5"/>
    </w:pPr>
    <w:rPr>
      <w:b/>
    </w:rPr>
  </w:style>
  <w:style w:type="paragraph" w:styleId="Heading7">
    <w:name w:val="heading 7"/>
    <w:basedOn w:val="Normal"/>
    <w:next w:val="ParaNum"/>
    <w:link w:val="Heading7Char"/>
    <w:uiPriority w:val="99"/>
    <w:qFormat/>
    <w:rsid w:val="007F028C"/>
    <w:pPr>
      <w:widowControl w:val="0"/>
      <w:numPr>
        <w:ilvl w:val="6"/>
        <w:numId w:val="4"/>
      </w:numPr>
      <w:spacing w:after="220"/>
      <w:jc w:val="both"/>
      <w:outlineLvl w:val="6"/>
    </w:pPr>
    <w:rPr>
      <w:b/>
    </w:rPr>
  </w:style>
  <w:style w:type="paragraph" w:styleId="Heading8">
    <w:name w:val="heading 8"/>
    <w:basedOn w:val="Normal"/>
    <w:next w:val="ParaNum"/>
    <w:link w:val="Heading8Char"/>
    <w:uiPriority w:val="99"/>
    <w:qFormat/>
    <w:rsid w:val="007F028C"/>
    <w:pPr>
      <w:widowControl w:val="0"/>
      <w:numPr>
        <w:ilvl w:val="7"/>
        <w:numId w:val="4"/>
      </w:numPr>
      <w:spacing w:after="220"/>
      <w:jc w:val="both"/>
      <w:outlineLvl w:val="7"/>
    </w:pPr>
    <w:rPr>
      <w:b/>
    </w:rPr>
  </w:style>
  <w:style w:type="paragraph" w:styleId="Heading9">
    <w:name w:val="heading 9"/>
    <w:basedOn w:val="Normal"/>
    <w:next w:val="ParaNum"/>
    <w:link w:val="Heading9Char"/>
    <w:uiPriority w:val="99"/>
    <w:qFormat/>
    <w:rsid w:val="007F028C"/>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526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7526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7526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7526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7526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7526F"/>
    <w:rPr>
      <w:rFonts w:ascii="Calibri" w:hAnsi="Calibri" w:cs="Times New Roman"/>
      <w:b/>
      <w:bCs/>
    </w:rPr>
  </w:style>
  <w:style w:type="character" w:customStyle="1" w:styleId="Heading7Char">
    <w:name w:val="Heading 7 Char"/>
    <w:basedOn w:val="DefaultParagraphFont"/>
    <w:link w:val="Heading7"/>
    <w:uiPriority w:val="99"/>
    <w:semiHidden/>
    <w:locked/>
    <w:rsid w:val="0097526F"/>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97526F"/>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97526F"/>
    <w:rPr>
      <w:rFonts w:ascii="Cambria" w:hAnsi="Cambria" w:cs="Times New Roman"/>
    </w:rPr>
  </w:style>
  <w:style w:type="paragraph" w:styleId="Caption">
    <w:name w:val="caption"/>
    <w:basedOn w:val="Normal"/>
    <w:next w:val="Normal"/>
    <w:uiPriority w:val="99"/>
    <w:qFormat/>
    <w:rsid w:val="007F028C"/>
    <w:pPr>
      <w:spacing w:before="120" w:after="120"/>
    </w:pPr>
    <w:rPr>
      <w:b/>
    </w:rPr>
  </w:style>
  <w:style w:type="paragraph" w:customStyle="1" w:styleId="ParaNum">
    <w:name w:val="ParaNum"/>
    <w:basedOn w:val="Normal"/>
    <w:link w:val="ParaNumChar1"/>
    <w:rsid w:val="007F028C"/>
    <w:pPr>
      <w:widowControl w:val="0"/>
      <w:numPr>
        <w:numId w:val="13"/>
      </w:numPr>
      <w:tabs>
        <w:tab w:val="left" w:pos="1440"/>
      </w:tabs>
      <w:spacing w:after="220"/>
      <w:jc w:val="both"/>
    </w:pPr>
  </w:style>
  <w:style w:type="paragraph" w:styleId="FootnoteText">
    <w:name w:val="footnote text"/>
    <w:aliases w:val="Footnote Text Char2,Footnote Text Char1 Char1,Footnote Text Char2 Char1 Char,Footnote Text Char1 Char1 Char1 Char,Footnote Text Char3 Char1 Char Char Char1 Char,Footnote Text Char1 Char2 Char Char Char Char1 Char,Footnote Text Char1"/>
    <w:basedOn w:val="Normal"/>
    <w:link w:val="FootnoteTextChar"/>
    <w:uiPriority w:val="99"/>
    <w:rsid w:val="007F028C"/>
    <w:pPr>
      <w:tabs>
        <w:tab w:val="left" w:pos="180"/>
        <w:tab w:val="left" w:pos="720"/>
        <w:tab w:val="left" w:pos="1440"/>
        <w:tab w:val="left" w:pos="2160"/>
      </w:tabs>
      <w:spacing w:after="120"/>
      <w:jc w:val="both"/>
    </w:pPr>
    <w:rPr>
      <w:sz w:val="20"/>
    </w:rPr>
  </w:style>
  <w:style w:type="character" w:customStyle="1" w:styleId="FootnoteTextChar">
    <w:name w:val="Footnote Text Char"/>
    <w:aliases w:val="Footnote Text Char2 Char,Footnote Text Char1 Char1 Char,Footnote Text Char2 Char1 Char Char,Footnote Text Char1 Char1 Char1 Char Char,Footnote Text Char3 Char1 Char Char Char1 Char Char,Footnote Text Char1 Char"/>
    <w:basedOn w:val="DefaultParagraphFont"/>
    <w:link w:val="FootnoteText"/>
    <w:uiPriority w:val="99"/>
    <w:locked/>
    <w:rsid w:val="00D54020"/>
    <w:rPr>
      <w:rFonts w:cs="Times New Roman"/>
    </w:rPr>
  </w:style>
  <w:style w:type="paragraph" w:customStyle="1" w:styleId="Bullet">
    <w:name w:val="Bullet"/>
    <w:basedOn w:val="Normal"/>
    <w:uiPriority w:val="99"/>
    <w:rsid w:val="007F028C"/>
    <w:pPr>
      <w:widowControl w:val="0"/>
      <w:numPr>
        <w:numId w:val="9"/>
      </w:numPr>
      <w:tabs>
        <w:tab w:val="clear" w:pos="2520"/>
      </w:tabs>
      <w:spacing w:after="220"/>
      <w:ind w:left="2160" w:hanging="720"/>
      <w:jc w:val="both"/>
    </w:pPr>
  </w:style>
  <w:style w:type="paragraph" w:styleId="BlockText">
    <w:name w:val="Block Text"/>
    <w:basedOn w:val="Normal"/>
    <w:uiPriority w:val="99"/>
    <w:rsid w:val="007F028C"/>
    <w:pPr>
      <w:widowControl w:val="0"/>
      <w:spacing w:after="220"/>
      <w:ind w:left="1440" w:right="1440"/>
      <w:jc w:val="both"/>
    </w:pPr>
  </w:style>
  <w:style w:type="paragraph" w:customStyle="1" w:styleId="TableFormat">
    <w:name w:val="TableFormat"/>
    <w:basedOn w:val="Normal"/>
    <w:uiPriority w:val="99"/>
    <w:rsid w:val="007F028C"/>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Style 13,fr,o,Style 3,FR,Style 17,Style 6,Footnote Reference/"/>
    <w:basedOn w:val="DefaultParagraphFont"/>
    <w:rsid w:val="007F028C"/>
    <w:rPr>
      <w:rFonts w:cs="Times New Roman"/>
      <w:vertAlign w:val="superscript"/>
    </w:rPr>
  </w:style>
  <w:style w:type="paragraph" w:styleId="Header">
    <w:name w:val="header"/>
    <w:basedOn w:val="Normal"/>
    <w:link w:val="HeaderChar"/>
    <w:uiPriority w:val="99"/>
    <w:rsid w:val="007F028C"/>
    <w:pPr>
      <w:tabs>
        <w:tab w:val="center" w:pos="4320"/>
        <w:tab w:val="right" w:pos="8640"/>
      </w:tabs>
    </w:pPr>
  </w:style>
  <w:style w:type="character" w:customStyle="1" w:styleId="HeaderChar">
    <w:name w:val="Header Char"/>
    <w:basedOn w:val="DefaultParagraphFont"/>
    <w:link w:val="Header"/>
    <w:uiPriority w:val="99"/>
    <w:semiHidden/>
    <w:locked/>
    <w:rsid w:val="0097526F"/>
    <w:rPr>
      <w:rFonts w:cs="Times New Roman"/>
      <w:sz w:val="20"/>
      <w:szCs w:val="20"/>
    </w:rPr>
  </w:style>
  <w:style w:type="paragraph" w:styleId="Footer">
    <w:name w:val="footer"/>
    <w:basedOn w:val="Normal"/>
    <w:link w:val="FooterChar"/>
    <w:uiPriority w:val="99"/>
    <w:rsid w:val="007F028C"/>
    <w:pPr>
      <w:tabs>
        <w:tab w:val="center" w:pos="4320"/>
        <w:tab w:val="right" w:pos="8640"/>
      </w:tabs>
    </w:pPr>
  </w:style>
  <w:style w:type="character" w:customStyle="1" w:styleId="FooterChar">
    <w:name w:val="Footer Char"/>
    <w:basedOn w:val="DefaultParagraphFont"/>
    <w:link w:val="Footer"/>
    <w:uiPriority w:val="99"/>
    <w:semiHidden/>
    <w:locked/>
    <w:rsid w:val="0097526F"/>
    <w:rPr>
      <w:rFonts w:cs="Times New Roman"/>
      <w:sz w:val="20"/>
      <w:szCs w:val="20"/>
    </w:rPr>
  </w:style>
  <w:style w:type="paragraph" w:styleId="TOC2">
    <w:name w:val="toc 2"/>
    <w:basedOn w:val="Normal"/>
    <w:next w:val="Normal"/>
    <w:uiPriority w:val="99"/>
    <w:semiHidden/>
    <w:rsid w:val="007F028C"/>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rsid w:val="007F028C"/>
    <w:pPr>
      <w:numPr>
        <w:numId w:val="21"/>
      </w:numPr>
      <w:tabs>
        <w:tab w:val="clear" w:pos="1080"/>
      </w:tabs>
      <w:spacing w:after="220"/>
      <w:ind w:firstLine="0"/>
    </w:pPr>
  </w:style>
  <w:style w:type="paragraph" w:styleId="TOC1">
    <w:name w:val="toc 1"/>
    <w:basedOn w:val="Normal"/>
    <w:next w:val="Normal"/>
    <w:uiPriority w:val="99"/>
    <w:semiHidden/>
    <w:rsid w:val="007F028C"/>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rsid w:val="007F028C"/>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rsid w:val="007F028C"/>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rsid w:val="007F028C"/>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rsid w:val="007F028C"/>
    <w:pPr>
      <w:widowControl w:val="0"/>
      <w:tabs>
        <w:tab w:val="left" w:leader="dot" w:pos="9360"/>
      </w:tabs>
      <w:suppressAutoHyphens/>
      <w:ind w:left="720" w:hanging="720"/>
      <w:jc w:val="both"/>
    </w:pPr>
  </w:style>
  <w:style w:type="paragraph" w:styleId="TOC7">
    <w:name w:val="toc 7"/>
    <w:basedOn w:val="Normal"/>
    <w:next w:val="Normal"/>
    <w:uiPriority w:val="99"/>
    <w:semiHidden/>
    <w:rsid w:val="007F028C"/>
    <w:pPr>
      <w:widowControl w:val="0"/>
      <w:tabs>
        <w:tab w:val="left" w:leader="dot" w:pos="9360"/>
      </w:tabs>
      <w:suppressAutoHyphens/>
      <w:ind w:left="720" w:hanging="720"/>
      <w:jc w:val="both"/>
    </w:pPr>
  </w:style>
  <w:style w:type="paragraph" w:styleId="TOC8">
    <w:name w:val="toc 8"/>
    <w:basedOn w:val="Normal"/>
    <w:next w:val="Normal"/>
    <w:uiPriority w:val="99"/>
    <w:semiHidden/>
    <w:rsid w:val="007F028C"/>
    <w:pPr>
      <w:widowControl w:val="0"/>
      <w:tabs>
        <w:tab w:val="left" w:leader="dot" w:pos="9360"/>
      </w:tabs>
      <w:suppressAutoHyphens/>
      <w:ind w:left="720" w:hanging="720"/>
      <w:jc w:val="both"/>
    </w:pPr>
  </w:style>
  <w:style w:type="paragraph" w:styleId="TOC9">
    <w:name w:val="toc 9"/>
    <w:basedOn w:val="Normal"/>
    <w:next w:val="Normal"/>
    <w:uiPriority w:val="99"/>
    <w:semiHidden/>
    <w:rsid w:val="007F028C"/>
    <w:pPr>
      <w:tabs>
        <w:tab w:val="left" w:leader="dot" w:pos="9360"/>
      </w:tabs>
      <w:ind w:left="720" w:hanging="720"/>
      <w:jc w:val="both"/>
    </w:pPr>
  </w:style>
  <w:style w:type="character" w:styleId="PageNumber">
    <w:name w:val="page number"/>
    <w:basedOn w:val="DefaultParagraphFont"/>
    <w:uiPriority w:val="99"/>
    <w:rsid w:val="007F028C"/>
    <w:rPr>
      <w:rFonts w:cs="Times New Roman"/>
    </w:rPr>
  </w:style>
  <w:style w:type="paragraph" w:styleId="Title">
    <w:name w:val="Title"/>
    <w:basedOn w:val="Normal"/>
    <w:link w:val="TitleChar"/>
    <w:uiPriority w:val="99"/>
    <w:qFormat/>
    <w:rsid w:val="007F028C"/>
    <w:pPr>
      <w:jc w:val="center"/>
    </w:pPr>
    <w:rPr>
      <w:b/>
    </w:rPr>
  </w:style>
  <w:style w:type="character" w:customStyle="1" w:styleId="TitleChar">
    <w:name w:val="Title Char"/>
    <w:basedOn w:val="DefaultParagraphFont"/>
    <w:link w:val="Title"/>
    <w:uiPriority w:val="99"/>
    <w:locked/>
    <w:rsid w:val="0097526F"/>
    <w:rPr>
      <w:rFonts w:ascii="Cambria" w:hAnsi="Cambria" w:cs="Times New Roman"/>
      <w:b/>
      <w:bCs/>
      <w:kern w:val="28"/>
      <w:sz w:val="32"/>
      <w:szCs w:val="32"/>
    </w:rPr>
  </w:style>
  <w:style w:type="character" w:styleId="Hyperlink">
    <w:name w:val="Hyperlink"/>
    <w:basedOn w:val="DefaultParagraphFont"/>
    <w:uiPriority w:val="99"/>
    <w:rsid w:val="004D4A51"/>
    <w:rPr>
      <w:rFonts w:cs="Times New Roman"/>
      <w:color w:val="0000FF"/>
      <w:u w:val="single"/>
    </w:rPr>
  </w:style>
  <w:style w:type="character" w:styleId="FollowedHyperlink">
    <w:name w:val="FollowedHyperlink"/>
    <w:basedOn w:val="DefaultParagraphFont"/>
    <w:uiPriority w:val="99"/>
    <w:rsid w:val="00F32C50"/>
    <w:rPr>
      <w:rFonts w:cs="Times New Roman"/>
      <w:color w:val="800080"/>
      <w:u w:val="single"/>
    </w:rPr>
  </w:style>
  <w:style w:type="paragraph" w:styleId="BalloonText">
    <w:name w:val="Balloon Text"/>
    <w:basedOn w:val="Normal"/>
    <w:link w:val="BalloonTextChar"/>
    <w:uiPriority w:val="99"/>
    <w:semiHidden/>
    <w:unhideWhenUsed/>
    <w:locked/>
    <w:rsid w:val="00DF4DB8"/>
    <w:rPr>
      <w:rFonts w:ascii="Tahoma" w:hAnsi="Tahoma" w:cs="Tahoma"/>
      <w:sz w:val="16"/>
      <w:szCs w:val="16"/>
    </w:rPr>
  </w:style>
  <w:style w:type="character" w:customStyle="1" w:styleId="BalloonTextChar">
    <w:name w:val="Balloon Text Char"/>
    <w:basedOn w:val="DefaultParagraphFont"/>
    <w:link w:val="BalloonText"/>
    <w:uiPriority w:val="99"/>
    <w:semiHidden/>
    <w:rsid w:val="00DF4DB8"/>
    <w:rPr>
      <w:rFonts w:ascii="Tahoma" w:hAnsi="Tahoma" w:cs="Tahoma"/>
      <w:sz w:val="16"/>
      <w:szCs w:val="16"/>
    </w:rPr>
  </w:style>
  <w:style w:type="character" w:customStyle="1" w:styleId="ParaNumChar1">
    <w:name w:val="ParaNum Char1"/>
    <w:link w:val="ParaNum"/>
    <w:locked/>
    <w:rsid w:val="00522DEB"/>
    <w:rPr>
      <w:szCs w:val="20"/>
    </w:rPr>
  </w:style>
  <w:style w:type="character" w:styleId="CommentReference">
    <w:name w:val="annotation reference"/>
    <w:basedOn w:val="DefaultParagraphFont"/>
    <w:uiPriority w:val="99"/>
    <w:semiHidden/>
    <w:unhideWhenUsed/>
    <w:locked/>
    <w:rsid w:val="009871D1"/>
    <w:rPr>
      <w:sz w:val="16"/>
      <w:szCs w:val="16"/>
    </w:rPr>
  </w:style>
  <w:style w:type="paragraph" w:styleId="CommentText">
    <w:name w:val="annotation text"/>
    <w:basedOn w:val="Normal"/>
    <w:link w:val="CommentTextChar"/>
    <w:unhideWhenUsed/>
    <w:locked/>
    <w:rsid w:val="009871D1"/>
    <w:rPr>
      <w:sz w:val="20"/>
    </w:rPr>
  </w:style>
  <w:style w:type="character" w:customStyle="1" w:styleId="CommentTextChar">
    <w:name w:val="Comment Text Char"/>
    <w:basedOn w:val="DefaultParagraphFont"/>
    <w:link w:val="CommentText"/>
    <w:rsid w:val="009871D1"/>
    <w:rPr>
      <w:sz w:val="20"/>
      <w:szCs w:val="20"/>
    </w:rPr>
  </w:style>
  <w:style w:type="paragraph" w:styleId="CommentSubject">
    <w:name w:val="annotation subject"/>
    <w:basedOn w:val="CommentText"/>
    <w:next w:val="CommentText"/>
    <w:link w:val="CommentSubjectChar"/>
    <w:uiPriority w:val="99"/>
    <w:semiHidden/>
    <w:unhideWhenUsed/>
    <w:locked/>
    <w:rsid w:val="009871D1"/>
    <w:rPr>
      <w:b/>
      <w:bCs/>
    </w:rPr>
  </w:style>
  <w:style w:type="character" w:customStyle="1" w:styleId="CommentSubjectChar">
    <w:name w:val="Comment Subject Char"/>
    <w:basedOn w:val="CommentTextChar"/>
    <w:link w:val="CommentSubject"/>
    <w:uiPriority w:val="99"/>
    <w:semiHidden/>
    <w:rsid w:val="009871D1"/>
    <w:rPr>
      <w:b/>
      <w:bCs/>
      <w:sz w:val="20"/>
      <w:szCs w:val="20"/>
    </w:rPr>
  </w:style>
  <w:style w:type="paragraph" w:styleId="Revision">
    <w:name w:val="Revision"/>
    <w:hidden/>
    <w:uiPriority w:val="99"/>
    <w:semiHidden/>
    <w:rsid w:val="00FA7F56"/>
    <w:rPr>
      <w:szCs w:val="20"/>
    </w:rPr>
  </w:style>
  <w:style w:type="paragraph" w:styleId="ListParagraph">
    <w:name w:val="List Paragraph"/>
    <w:basedOn w:val="Normal"/>
    <w:uiPriority w:val="34"/>
    <w:qFormat/>
    <w:rsid w:val="00E755A8"/>
    <w:pPr>
      <w:ind w:left="720"/>
      <w:contextualSpacing/>
    </w:pPr>
  </w:style>
  <w:style w:type="character" w:customStyle="1" w:styleId="contents">
    <w:name w:val="contents"/>
    <w:basedOn w:val="DefaultParagraphFont"/>
    <w:rsid w:val="00AE5834"/>
  </w:style>
  <w:style w:type="character" w:styleId="Emphasis">
    <w:name w:val="Emphasis"/>
    <w:qFormat/>
    <w:locked/>
    <w:rsid w:val="006011CE"/>
    <w:rPr>
      <w:i/>
      <w:iCs/>
    </w:rPr>
  </w:style>
  <w:style w:type="paragraph" w:customStyle="1" w:styleId="FootnoteText1">
    <w:name w:val="Footnote Text1"/>
    <w:rsid w:val="00AC2D49"/>
    <w:pPr>
      <w:tabs>
        <w:tab w:val="left" w:pos="180"/>
        <w:tab w:val="left" w:pos="720"/>
        <w:tab w:val="left" w:pos="1440"/>
        <w:tab w:val="left" w:pos="2160"/>
      </w:tabs>
      <w:spacing w:after="120"/>
      <w:jc w:val="both"/>
    </w:pPr>
    <w:rPr>
      <w:rFonts w:eastAsia="ヒラギノ角ゴ Pro W3"/>
      <w:color w:val="000000"/>
      <w:sz w:val="20"/>
      <w:szCs w:val="20"/>
    </w:rPr>
  </w:style>
  <w:style w:type="character" w:customStyle="1" w:styleId="Hyperlink1">
    <w:name w:val="Hyperlink1"/>
    <w:rsid w:val="00AC2D49"/>
    <w:rPr>
      <w:color w:val="0000FF"/>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03506">
      <w:bodyDiv w:val="1"/>
      <w:marLeft w:val="0"/>
      <w:marRight w:val="0"/>
      <w:marTop w:val="0"/>
      <w:marBottom w:val="0"/>
      <w:divBdr>
        <w:top w:val="none" w:sz="0" w:space="0" w:color="auto"/>
        <w:left w:val="none" w:sz="0" w:space="0" w:color="auto"/>
        <w:bottom w:val="none" w:sz="0" w:space="0" w:color="auto"/>
        <w:right w:val="none" w:sz="0" w:space="0" w:color="auto"/>
      </w:divBdr>
      <w:divsChild>
        <w:div w:id="944340669">
          <w:marLeft w:val="0"/>
          <w:marRight w:val="0"/>
          <w:marTop w:val="0"/>
          <w:marBottom w:val="0"/>
          <w:divBdr>
            <w:top w:val="none" w:sz="0" w:space="0" w:color="auto"/>
            <w:left w:val="none" w:sz="0" w:space="0" w:color="auto"/>
            <w:bottom w:val="none" w:sz="0" w:space="0" w:color="auto"/>
            <w:right w:val="none" w:sz="0" w:space="0" w:color="auto"/>
          </w:divBdr>
        </w:div>
        <w:div w:id="1085499107">
          <w:marLeft w:val="0"/>
          <w:marRight w:val="0"/>
          <w:marTop w:val="0"/>
          <w:marBottom w:val="0"/>
          <w:divBdr>
            <w:top w:val="none" w:sz="0" w:space="0" w:color="auto"/>
            <w:left w:val="none" w:sz="0" w:space="0" w:color="auto"/>
            <w:bottom w:val="none" w:sz="0" w:space="0" w:color="auto"/>
            <w:right w:val="none" w:sz="0" w:space="0" w:color="auto"/>
          </w:divBdr>
        </w:div>
        <w:div w:id="1083798271">
          <w:marLeft w:val="0"/>
          <w:marRight w:val="0"/>
          <w:marTop w:val="0"/>
          <w:marBottom w:val="0"/>
          <w:divBdr>
            <w:top w:val="none" w:sz="0" w:space="0" w:color="auto"/>
            <w:left w:val="none" w:sz="0" w:space="0" w:color="auto"/>
            <w:bottom w:val="none" w:sz="0" w:space="0" w:color="auto"/>
            <w:right w:val="none" w:sz="0" w:space="0" w:color="auto"/>
          </w:divBdr>
        </w:div>
        <w:div w:id="1223249472">
          <w:marLeft w:val="0"/>
          <w:marRight w:val="0"/>
          <w:marTop w:val="0"/>
          <w:marBottom w:val="0"/>
          <w:divBdr>
            <w:top w:val="none" w:sz="0" w:space="0" w:color="auto"/>
            <w:left w:val="none" w:sz="0" w:space="0" w:color="auto"/>
            <w:bottom w:val="none" w:sz="0" w:space="0" w:color="auto"/>
            <w:right w:val="none" w:sz="0" w:space="0" w:color="auto"/>
          </w:divBdr>
        </w:div>
        <w:div w:id="479729677">
          <w:marLeft w:val="0"/>
          <w:marRight w:val="0"/>
          <w:marTop w:val="0"/>
          <w:marBottom w:val="0"/>
          <w:divBdr>
            <w:top w:val="none" w:sz="0" w:space="0" w:color="auto"/>
            <w:left w:val="none" w:sz="0" w:space="0" w:color="auto"/>
            <w:bottom w:val="none" w:sz="0" w:space="0" w:color="auto"/>
            <w:right w:val="none" w:sz="0" w:space="0" w:color="auto"/>
          </w:divBdr>
        </w:div>
        <w:div w:id="689334590">
          <w:marLeft w:val="0"/>
          <w:marRight w:val="0"/>
          <w:marTop w:val="0"/>
          <w:marBottom w:val="0"/>
          <w:divBdr>
            <w:top w:val="none" w:sz="0" w:space="0" w:color="auto"/>
            <w:left w:val="none" w:sz="0" w:space="0" w:color="auto"/>
            <w:bottom w:val="none" w:sz="0" w:space="0" w:color="auto"/>
            <w:right w:val="none" w:sz="0" w:space="0" w:color="auto"/>
          </w:divBdr>
        </w:div>
        <w:div w:id="424347055">
          <w:marLeft w:val="0"/>
          <w:marRight w:val="0"/>
          <w:marTop w:val="0"/>
          <w:marBottom w:val="0"/>
          <w:divBdr>
            <w:top w:val="none" w:sz="0" w:space="0" w:color="auto"/>
            <w:left w:val="none" w:sz="0" w:space="0" w:color="auto"/>
            <w:bottom w:val="none" w:sz="0" w:space="0" w:color="auto"/>
            <w:right w:val="none" w:sz="0" w:space="0" w:color="auto"/>
          </w:divBdr>
        </w:div>
        <w:div w:id="45875976">
          <w:marLeft w:val="0"/>
          <w:marRight w:val="0"/>
          <w:marTop w:val="0"/>
          <w:marBottom w:val="0"/>
          <w:divBdr>
            <w:top w:val="none" w:sz="0" w:space="0" w:color="auto"/>
            <w:left w:val="none" w:sz="0" w:space="0" w:color="auto"/>
            <w:bottom w:val="none" w:sz="0" w:space="0" w:color="auto"/>
            <w:right w:val="none" w:sz="0" w:space="0" w:color="auto"/>
          </w:divBdr>
        </w:div>
        <w:div w:id="1695157528">
          <w:marLeft w:val="0"/>
          <w:marRight w:val="0"/>
          <w:marTop w:val="0"/>
          <w:marBottom w:val="0"/>
          <w:divBdr>
            <w:top w:val="none" w:sz="0" w:space="0" w:color="auto"/>
            <w:left w:val="none" w:sz="0" w:space="0" w:color="auto"/>
            <w:bottom w:val="none" w:sz="0" w:space="0" w:color="auto"/>
            <w:right w:val="none" w:sz="0" w:space="0" w:color="auto"/>
          </w:divBdr>
        </w:div>
        <w:div w:id="1270703705">
          <w:marLeft w:val="0"/>
          <w:marRight w:val="0"/>
          <w:marTop w:val="0"/>
          <w:marBottom w:val="0"/>
          <w:divBdr>
            <w:top w:val="none" w:sz="0" w:space="0" w:color="auto"/>
            <w:left w:val="none" w:sz="0" w:space="0" w:color="auto"/>
            <w:bottom w:val="none" w:sz="0" w:space="0" w:color="auto"/>
            <w:right w:val="none" w:sz="0" w:space="0" w:color="auto"/>
          </w:divBdr>
        </w:div>
        <w:div w:id="173736937">
          <w:marLeft w:val="0"/>
          <w:marRight w:val="0"/>
          <w:marTop w:val="0"/>
          <w:marBottom w:val="0"/>
          <w:divBdr>
            <w:top w:val="none" w:sz="0" w:space="0" w:color="auto"/>
            <w:left w:val="none" w:sz="0" w:space="0" w:color="auto"/>
            <w:bottom w:val="none" w:sz="0" w:space="0" w:color="auto"/>
            <w:right w:val="none" w:sz="0" w:space="0" w:color="auto"/>
          </w:divBdr>
        </w:div>
      </w:divsChild>
    </w:div>
    <w:div w:id="721055028">
      <w:bodyDiv w:val="1"/>
      <w:marLeft w:val="0"/>
      <w:marRight w:val="0"/>
      <w:marTop w:val="0"/>
      <w:marBottom w:val="0"/>
      <w:divBdr>
        <w:top w:val="none" w:sz="0" w:space="0" w:color="auto"/>
        <w:left w:val="none" w:sz="0" w:space="0" w:color="auto"/>
        <w:bottom w:val="none" w:sz="0" w:space="0" w:color="auto"/>
        <w:right w:val="none" w:sz="0" w:space="0" w:color="auto"/>
      </w:divBdr>
    </w:div>
    <w:div w:id="759370571">
      <w:bodyDiv w:val="1"/>
      <w:marLeft w:val="0"/>
      <w:marRight w:val="0"/>
      <w:marTop w:val="0"/>
      <w:marBottom w:val="0"/>
      <w:divBdr>
        <w:top w:val="none" w:sz="0" w:space="0" w:color="auto"/>
        <w:left w:val="none" w:sz="0" w:space="0" w:color="auto"/>
        <w:bottom w:val="none" w:sz="0" w:space="0" w:color="auto"/>
        <w:right w:val="none" w:sz="0" w:space="0" w:color="auto"/>
      </w:divBdr>
      <w:divsChild>
        <w:div w:id="1450853375">
          <w:marLeft w:val="0"/>
          <w:marRight w:val="0"/>
          <w:marTop w:val="0"/>
          <w:marBottom w:val="0"/>
          <w:divBdr>
            <w:top w:val="none" w:sz="0" w:space="0" w:color="auto"/>
            <w:left w:val="none" w:sz="0" w:space="0" w:color="auto"/>
            <w:bottom w:val="none" w:sz="0" w:space="0" w:color="auto"/>
            <w:right w:val="none" w:sz="0" w:space="0" w:color="auto"/>
          </w:divBdr>
        </w:div>
        <w:div w:id="450520036">
          <w:marLeft w:val="0"/>
          <w:marRight w:val="0"/>
          <w:marTop w:val="0"/>
          <w:marBottom w:val="0"/>
          <w:divBdr>
            <w:top w:val="none" w:sz="0" w:space="0" w:color="auto"/>
            <w:left w:val="none" w:sz="0" w:space="0" w:color="auto"/>
            <w:bottom w:val="none" w:sz="0" w:space="0" w:color="auto"/>
            <w:right w:val="none" w:sz="0" w:space="0" w:color="auto"/>
          </w:divBdr>
        </w:div>
        <w:div w:id="1262451876">
          <w:marLeft w:val="0"/>
          <w:marRight w:val="0"/>
          <w:marTop w:val="0"/>
          <w:marBottom w:val="0"/>
          <w:divBdr>
            <w:top w:val="none" w:sz="0" w:space="0" w:color="auto"/>
            <w:left w:val="none" w:sz="0" w:space="0" w:color="auto"/>
            <w:bottom w:val="none" w:sz="0" w:space="0" w:color="auto"/>
            <w:right w:val="none" w:sz="0" w:space="0" w:color="auto"/>
          </w:divBdr>
        </w:div>
        <w:div w:id="1090353709">
          <w:marLeft w:val="0"/>
          <w:marRight w:val="0"/>
          <w:marTop w:val="0"/>
          <w:marBottom w:val="0"/>
          <w:divBdr>
            <w:top w:val="none" w:sz="0" w:space="0" w:color="auto"/>
            <w:left w:val="none" w:sz="0" w:space="0" w:color="auto"/>
            <w:bottom w:val="none" w:sz="0" w:space="0" w:color="auto"/>
            <w:right w:val="none" w:sz="0" w:space="0" w:color="auto"/>
          </w:divBdr>
        </w:div>
      </w:divsChild>
    </w:div>
    <w:div w:id="841356990">
      <w:bodyDiv w:val="1"/>
      <w:marLeft w:val="0"/>
      <w:marRight w:val="0"/>
      <w:marTop w:val="0"/>
      <w:marBottom w:val="0"/>
      <w:divBdr>
        <w:top w:val="none" w:sz="0" w:space="0" w:color="auto"/>
        <w:left w:val="none" w:sz="0" w:space="0" w:color="auto"/>
        <w:bottom w:val="none" w:sz="0" w:space="0" w:color="auto"/>
        <w:right w:val="none" w:sz="0" w:space="0" w:color="auto"/>
      </w:divBdr>
    </w:div>
    <w:div w:id="893856317">
      <w:bodyDiv w:val="1"/>
      <w:marLeft w:val="0"/>
      <w:marRight w:val="0"/>
      <w:marTop w:val="0"/>
      <w:marBottom w:val="0"/>
      <w:divBdr>
        <w:top w:val="none" w:sz="0" w:space="0" w:color="auto"/>
        <w:left w:val="none" w:sz="0" w:space="0" w:color="auto"/>
        <w:bottom w:val="none" w:sz="0" w:space="0" w:color="auto"/>
        <w:right w:val="none" w:sz="0" w:space="0" w:color="auto"/>
      </w:divBdr>
      <w:divsChild>
        <w:div w:id="1974021376">
          <w:marLeft w:val="0"/>
          <w:marRight w:val="0"/>
          <w:marTop w:val="0"/>
          <w:marBottom w:val="0"/>
          <w:divBdr>
            <w:top w:val="none" w:sz="0" w:space="0" w:color="auto"/>
            <w:left w:val="none" w:sz="0" w:space="0" w:color="auto"/>
            <w:bottom w:val="none" w:sz="0" w:space="0" w:color="auto"/>
            <w:right w:val="none" w:sz="0" w:space="0" w:color="auto"/>
          </w:divBdr>
        </w:div>
        <w:div w:id="1906332074">
          <w:marLeft w:val="0"/>
          <w:marRight w:val="0"/>
          <w:marTop w:val="0"/>
          <w:marBottom w:val="0"/>
          <w:divBdr>
            <w:top w:val="none" w:sz="0" w:space="0" w:color="auto"/>
            <w:left w:val="none" w:sz="0" w:space="0" w:color="auto"/>
            <w:bottom w:val="none" w:sz="0" w:space="0" w:color="auto"/>
            <w:right w:val="none" w:sz="0" w:space="0" w:color="auto"/>
          </w:divBdr>
        </w:div>
        <w:div w:id="396782748">
          <w:marLeft w:val="0"/>
          <w:marRight w:val="0"/>
          <w:marTop w:val="0"/>
          <w:marBottom w:val="0"/>
          <w:divBdr>
            <w:top w:val="none" w:sz="0" w:space="0" w:color="auto"/>
            <w:left w:val="none" w:sz="0" w:space="0" w:color="auto"/>
            <w:bottom w:val="none" w:sz="0" w:space="0" w:color="auto"/>
            <w:right w:val="none" w:sz="0" w:space="0" w:color="auto"/>
          </w:divBdr>
        </w:div>
        <w:div w:id="1302809316">
          <w:marLeft w:val="0"/>
          <w:marRight w:val="0"/>
          <w:marTop w:val="0"/>
          <w:marBottom w:val="0"/>
          <w:divBdr>
            <w:top w:val="none" w:sz="0" w:space="0" w:color="auto"/>
            <w:left w:val="none" w:sz="0" w:space="0" w:color="auto"/>
            <w:bottom w:val="none" w:sz="0" w:space="0" w:color="auto"/>
            <w:right w:val="none" w:sz="0" w:space="0" w:color="auto"/>
          </w:divBdr>
        </w:div>
        <w:div w:id="963851763">
          <w:marLeft w:val="0"/>
          <w:marRight w:val="0"/>
          <w:marTop w:val="0"/>
          <w:marBottom w:val="0"/>
          <w:divBdr>
            <w:top w:val="none" w:sz="0" w:space="0" w:color="auto"/>
            <w:left w:val="none" w:sz="0" w:space="0" w:color="auto"/>
            <w:bottom w:val="none" w:sz="0" w:space="0" w:color="auto"/>
            <w:right w:val="none" w:sz="0" w:space="0" w:color="auto"/>
          </w:divBdr>
        </w:div>
        <w:div w:id="1222252577">
          <w:marLeft w:val="0"/>
          <w:marRight w:val="0"/>
          <w:marTop w:val="0"/>
          <w:marBottom w:val="0"/>
          <w:divBdr>
            <w:top w:val="none" w:sz="0" w:space="0" w:color="auto"/>
            <w:left w:val="none" w:sz="0" w:space="0" w:color="auto"/>
            <w:bottom w:val="none" w:sz="0" w:space="0" w:color="auto"/>
            <w:right w:val="none" w:sz="0" w:space="0" w:color="auto"/>
          </w:divBdr>
        </w:div>
        <w:div w:id="746735068">
          <w:marLeft w:val="0"/>
          <w:marRight w:val="0"/>
          <w:marTop w:val="0"/>
          <w:marBottom w:val="0"/>
          <w:divBdr>
            <w:top w:val="none" w:sz="0" w:space="0" w:color="auto"/>
            <w:left w:val="none" w:sz="0" w:space="0" w:color="auto"/>
            <w:bottom w:val="none" w:sz="0" w:space="0" w:color="auto"/>
            <w:right w:val="none" w:sz="0" w:space="0" w:color="auto"/>
          </w:divBdr>
        </w:div>
        <w:div w:id="550576038">
          <w:marLeft w:val="0"/>
          <w:marRight w:val="0"/>
          <w:marTop w:val="0"/>
          <w:marBottom w:val="0"/>
          <w:divBdr>
            <w:top w:val="none" w:sz="0" w:space="0" w:color="auto"/>
            <w:left w:val="none" w:sz="0" w:space="0" w:color="auto"/>
            <w:bottom w:val="none" w:sz="0" w:space="0" w:color="auto"/>
            <w:right w:val="none" w:sz="0" w:space="0" w:color="auto"/>
          </w:divBdr>
        </w:div>
        <w:div w:id="725682557">
          <w:marLeft w:val="0"/>
          <w:marRight w:val="0"/>
          <w:marTop w:val="0"/>
          <w:marBottom w:val="0"/>
          <w:divBdr>
            <w:top w:val="none" w:sz="0" w:space="0" w:color="auto"/>
            <w:left w:val="none" w:sz="0" w:space="0" w:color="auto"/>
            <w:bottom w:val="none" w:sz="0" w:space="0" w:color="auto"/>
            <w:right w:val="none" w:sz="0" w:space="0" w:color="auto"/>
          </w:divBdr>
        </w:div>
        <w:div w:id="333991780">
          <w:marLeft w:val="0"/>
          <w:marRight w:val="0"/>
          <w:marTop w:val="0"/>
          <w:marBottom w:val="0"/>
          <w:divBdr>
            <w:top w:val="none" w:sz="0" w:space="0" w:color="auto"/>
            <w:left w:val="none" w:sz="0" w:space="0" w:color="auto"/>
            <w:bottom w:val="none" w:sz="0" w:space="0" w:color="auto"/>
            <w:right w:val="none" w:sz="0" w:space="0" w:color="auto"/>
          </w:divBdr>
        </w:div>
        <w:div w:id="1186866754">
          <w:marLeft w:val="0"/>
          <w:marRight w:val="0"/>
          <w:marTop w:val="0"/>
          <w:marBottom w:val="0"/>
          <w:divBdr>
            <w:top w:val="none" w:sz="0" w:space="0" w:color="auto"/>
            <w:left w:val="none" w:sz="0" w:space="0" w:color="auto"/>
            <w:bottom w:val="none" w:sz="0" w:space="0" w:color="auto"/>
            <w:right w:val="none" w:sz="0" w:space="0" w:color="auto"/>
          </w:divBdr>
        </w:div>
        <w:div w:id="1460605675">
          <w:marLeft w:val="0"/>
          <w:marRight w:val="0"/>
          <w:marTop w:val="0"/>
          <w:marBottom w:val="0"/>
          <w:divBdr>
            <w:top w:val="none" w:sz="0" w:space="0" w:color="auto"/>
            <w:left w:val="none" w:sz="0" w:space="0" w:color="auto"/>
            <w:bottom w:val="none" w:sz="0" w:space="0" w:color="auto"/>
            <w:right w:val="none" w:sz="0" w:space="0" w:color="auto"/>
          </w:divBdr>
        </w:div>
        <w:div w:id="1588076448">
          <w:marLeft w:val="0"/>
          <w:marRight w:val="0"/>
          <w:marTop w:val="0"/>
          <w:marBottom w:val="0"/>
          <w:divBdr>
            <w:top w:val="none" w:sz="0" w:space="0" w:color="auto"/>
            <w:left w:val="none" w:sz="0" w:space="0" w:color="auto"/>
            <w:bottom w:val="none" w:sz="0" w:space="0" w:color="auto"/>
            <w:right w:val="none" w:sz="0" w:space="0" w:color="auto"/>
          </w:divBdr>
        </w:div>
        <w:div w:id="1472594409">
          <w:marLeft w:val="0"/>
          <w:marRight w:val="0"/>
          <w:marTop w:val="0"/>
          <w:marBottom w:val="0"/>
          <w:divBdr>
            <w:top w:val="none" w:sz="0" w:space="0" w:color="auto"/>
            <w:left w:val="none" w:sz="0" w:space="0" w:color="auto"/>
            <w:bottom w:val="none" w:sz="0" w:space="0" w:color="auto"/>
            <w:right w:val="none" w:sz="0" w:space="0" w:color="auto"/>
          </w:divBdr>
        </w:div>
        <w:div w:id="1384788486">
          <w:marLeft w:val="0"/>
          <w:marRight w:val="0"/>
          <w:marTop w:val="0"/>
          <w:marBottom w:val="0"/>
          <w:divBdr>
            <w:top w:val="none" w:sz="0" w:space="0" w:color="auto"/>
            <w:left w:val="none" w:sz="0" w:space="0" w:color="auto"/>
            <w:bottom w:val="none" w:sz="0" w:space="0" w:color="auto"/>
            <w:right w:val="none" w:sz="0" w:space="0" w:color="auto"/>
          </w:divBdr>
        </w:div>
        <w:div w:id="929238890">
          <w:marLeft w:val="0"/>
          <w:marRight w:val="0"/>
          <w:marTop w:val="0"/>
          <w:marBottom w:val="0"/>
          <w:divBdr>
            <w:top w:val="none" w:sz="0" w:space="0" w:color="auto"/>
            <w:left w:val="none" w:sz="0" w:space="0" w:color="auto"/>
            <w:bottom w:val="none" w:sz="0" w:space="0" w:color="auto"/>
            <w:right w:val="none" w:sz="0" w:space="0" w:color="auto"/>
          </w:divBdr>
        </w:div>
        <w:div w:id="1549143525">
          <w:marLeft w:val="0"/>
          <w:marRight w:val="0"/>
          <w:marTop w:val="0"/>
          <w:marBottom w:val="0"/>
          <w:divBdr>
            <w:top w:val="none" w:sz="0" w:space="0" w:color="auto"/>
            <w:left w:val="none" w:sz="0" w:space="0" w:color="auto"/>
            <w:bottom w:val="none" w:sz="0" w:space="0" w:color="auto"/>
            <w:right w:val="none" w:sz="0" w:space="0" w:color="auto"/>
          </w:divBdr>
        </w:div>
        <w:div w:id="617611865">
          <w:marLeft w:val="0"/>
          <w:marRight w:val="0"/>
          <w:marTop w:val="0"/>
          <w:marBottom w:val="0"/>
          <w:divBdr>
            <w:top w:val="none" w:sz="0" w:space="0" w:color="auto"/>
            <w:left w:val="none" w:sz="0" w:space="0" w:color="auto"/>
            <w:bottom w:val="none" w:sz="0" w:space="0" w:color="auto"/>
            <w:right w:val="none" w:sz="0" w:space="0" w:color="auto"/>
          </w:divBdr>
        </w:div>
        <w:div w:id="685789748">
          <w:marLeft w:val="0"/>
          <w:marRight w:val="0"/>
          <w:marTop w:val="0"/>
          <w:marBottom w:val="0"/>
          <w:divBdr>
            <w:top w:val="none" w:sz="0" w:space="0" w:color="auto"/>
            <w:left w:val="none" w:sz="0" w:space="0" w:color="auto"/>
            <w:bottom w:val="none" w:sz="0" w:space="0" w:color="auto"/>
            <w:right w:val="none" w:sz="0" w:space="0" w:color="auto"/>
          </w:divBdr>
        </w:div>
        <w:div w:id="1037320276">
          <w:marLeft w:val="0"/>
          <w:marRight w:val="0"/>
          <w:marTop w:val="0"/>
          <w:marBottom w:val="0"/>
          <w:divBdr>
            <w:top w:val="none" w:sz="0" w:space="0" w:color="auto"/>
            <w:left w:val="none" w:sz="0" w:space="0" w:color="auto"/>
            <w:bottom w:val="none" w:sz="0" w:space="0" w:color="auto"/>
            <w:right w:val="none" w:sz="0" w:space="0" w:color="auto"/>
          </w:divBdr>
        </w:div>
        <w:div w:id="1640303210">
          <w:marLeft w:val="0"/>
          <w:marRight w:val="0"/>
          <w:marTop w:val="0"/>
          <w:marBottom w:val="0"/>
          <w:divBdr>
            <w:top w:val="none" w:sz="0" w:space="0" w:color="auto"/>
            <w:left w:val="none" w:sz="0" w:space="0" w:color="auto"/>
            <w:bottom w:val="none" w:sz="0" w:space="0" w:color="auto"/>
            <w:right w:val="none" w:sz="0" w:space="0" w:color="auto"/>
          </w:divBdr>
        </w:div>
        <w:div w:id="302586716">
          <w:marLeft w:val="0"/>
          <w:marRight w:val="0"/>
          <w:marTop w:val="0"/>
          <w:marBottom w:val="0"/>
          <w:divBdr>
            <w:top w:val="none" w:sz="0" w:space="0" w:color="auto"/>
            <w:left w:val="none" w:sz="0" w:space="0" w:color="auto"/>
            <w:bottom w:val="none" w:sz="0" w:space="0" w:color="auto"/>
            <w:right w:val="none" w:sz="0" w:space="0" w:color="auto"/>
          </w:divBdr>
        </w:div>
        <w:div w:id="591469291">
          <w:marLeft w:val="0"/>
          <w:marRight w:val="0"/>
          <w:marTop w:val="0"/>
          <w:marBottom w:val="0"/>
          <w:divBdr>
            <w:top w:val="none" w:sz="0" w:space="0" w:color="auto"/>
            <w:left w:val="none" w:sz="0" w:space="0" w:color="auto"/>
            <w:bottom w:val="none" w:sz="0" w:space="0" w:color="auto"/>
            <w:right w:val="none" w:sz="0" w:space="0" w:color="auto"/>
          </w:divBdr>
        </w:div>
        <w:div w:id="1189173785">
          <w:marLeft w:val="0"/>
          <w:marRight w:val="0"/>
          <w:marTop w:val="0"/>
          <w:marBottom w:val="0"/>
          <w:divBdr>
            <w:top w:val="none" w:sz="0" w:space="0" w:color="auto"/>
            <w:left w:val="none" w:sz="0" w:space="0" w:color="auto"/>
            <w:bottom w:val="none" w:sz="0" w:space="0" w:color="auto"/>
            <w:right w:val="none" w:sz="0" w:space="0" w:color="auto"/>
          </w:divBdr>
        </w:div>
        <w:div w:id="331034665">
          <w:marLeft w:val="0"/>
          <w:marRight w:val="0"/>
          <w:marTop w:val="0"/>
          <w:marBottom w:val="0"/>
          <w:divBdr>
            <w:top w:val="none" w:sz="0" w:space="0" w:color="auto"/>
            <w:left w:val="none" w:sz="0" w:space="0" w:color="auto"/>
            <w:bottom w:val="none" w:sz="0" w:space="0" w:color="auto"/>
            <w:right w:val="none" w:sz="0" w:space="0" w:color="auto"/>
          </w:divBdr>
        </w:div>
        <w:div w:id="720329964">
          <w:marLeft w:val="0"/>
          <w:marRight w:val="0"/>
          <w:marTop w:val="0"/>
          <w:marBottom w:val="0"/>
          <w:divBdr>
            <w:top w:val="none" w:sz="0" w:space="0" w:color="auto"/>
            <w:left w:val="none" w:sz="0" w:space="0" w:color="auto"/>
            <w:bottom w:val="none" w:sz="0" w:space="0" w:color="auto"/>
            <w:right w:val="none" w:sz="0" w:space="0" w:color="auto"/>
          </w:divBdr>
        </w:div>
        <w:div w:id="1577085076">
          <w:marLeft w:val="0"/>
          <w:marRight w:val="0"/>
          <w:marTop w:val="0"/>
          <w:marBottom w:val="0"/>
          <w:divBdr>
            <w:top w:val="none" w:sz="0" w:space="0" w:color="auto"/>
            <w:left w:val="none" w:sz="0" w:space="0" w:color="auto"/>
            <w:bottom w:val="none" w:sz="0" w:space="0" w:color="auto"/>
            <w:right w:val="none" w:sz="0" w:space="0" w:color="auto"/>
          </w:divBdr>
        </w:div>
        <w:div w:id="612446023">
          <w:marLeft w:val="0"/>
          <w:marRight w:val="0"/>
          <w:marTop w:val="0"/>
          <w:marBottom w:val="0"/>
          <w:divBdr>
            <w:top w:val="none" w:sz="0" w:space="0" w:color="auto"/>
            <w:left w:val="none" w:sz="0" w:space="0" w:color="auto"/>
            <w:bottom w:val="none" w:sz="0" w:space="0" w:color="auto"/>
            <w:right w:val="none" w:sz="0" w:space="0" w:color="auto"/>
          </w:divBdr>
        </w:div>
        <w:div w:id="1386292317">
          <w:marLeft w:val="0"/>
          <w:marRight w:val="0"/>
          <w:marTop w:val="0"/>
          <w:marBottom w:val="0"/>
          <w:divBdr>
            <w:top w:val="none" w:sz="0" w:space="0" w:color="auto"/>
            <w:left w:val="none" w:sz="0" w:space="0" w:color="auto"/>
            <w:bottom w:val="none" w:sz="0" w:space="0" w:color="auto"/>
            <w:right w:val="none" w:sz="0" w:space="0" w:color="auto"/>
          </w:divBdr>
        </w:div>
        <w:div w:id="147946566">
          <w:marLeft w:val="0"/>
          <w:marRight w:val="0"/>
          <w:marTop w:val="0"/>
          <w:marBottom w:val="0"/>
          <w:divBdr>
            <w:top w:val="none" w:sz="0" w:space="0" w:color="auto"/>
            <w:left w:val="none" w:sz="0" w:space="0" w:color="auto"/>
            <w:bottom w:val="none" w:sz="0" w:space="0" w:color="auto"/>
            <w:right w:val="none" w:sz="0" w:space="0" w:color="auto"/>
          </w:divBdr>
        </w:div>
        <w:div w:id="712076290">
          <w:marLeft w:val="0"/>
          <w:marRight w:val="0"/>
          <w:marTop w:val="0"/>
          <w:marBottom w:val="0"/>
          <w:divBdr>
            <w:top w:val="none" w:sz="0" w:space="0" w:color="auto"/>
            <w:left w:val="none" w:sz="0" w:space="0" w:color="auto"/>
            <w:bottom w:val="none" w:sz="0" w:space="0" w:color="auto"/>
            <w:right w:val="none" w:sz="0" w:space="0" w:color="auto"/>
          </w:divBdr>
        </w:div>
        <w:div w:id="557857456">
          <w:marLeft w:val="0"/>
          <w:marRight w:val="0"/>
          <w:marTop w:val="0"/>
          <w:marBottom w:val="0"/>
          <w:divBdr>
            <w:top w:val="none" w:sz="0" w:space="0" w:color="auto"/>
            <w:left w:val="none" w:sz="0" w:space="0" w:color="auto"/>
            <w:bottom w:val="none" w:sz="0" w:space="0" w:color="auto"/>
            <w:right w:val="none" w:sz="0" w:space="0" w:color="auto"/>
          </w:divBdr>
        </w:div>
        <w:div w:id="182594482">
          <w:marLeft w:val="0"/>
          <w:marRight w:val="0"/>
          <w:marTop w:val="0"/>
          <w:marBottom w:val="0"/>
          <w:divBdr>
            <w:top w:val="none" w:sz="0" w:space="0" w:color="auto"/>
            <w:left w:val="none" w:sz="0" w:space="0" w:color="auto"/>
            <w:bottom w:val="none" w:sz="0" w:space="0" w:color="auto"/>
            <w:right w:val="none" w:sz="0" w:space="0" w:color="auto"/>
          </w:divBdr>
        </w:div>
        <w:div w:id="1597785701">
          <w:marLeft w:val="0"/>
          <w:marRight w:val="0"/>
          <w:marTop w:val="0"/>
          <w:marBottom w:val="0"/>
          <w:divBdr>
            <w:top w:val="none" w:sz="0" w:space="0" w:color="auto"/>
            <w:left w:val="none" w:sz="0" w:space="0" w:color="auto"/>
            <w:bottom w:val="none" w:sz="0" w:space="0" w:color="auto"/>
            <w:right w:val="none" w:sz="0" w:space="0" w:color="auto"/>
          </w:divBdr>
        </w:div>
        <w:div w:id="962077911">
          <w:marLeft w:val="0"/>
          <w:marRight w:val="0"/>
          <w:marTop w:val="0"/>
          <w:marBottom w:val="0"/>
          <w:divBdr>
            <w:top w:val="none" w:sz="0" w:space="0" w:color="auto"/>
            <w:left w:val="none" w:sz="0" w:space="0" w:color="auto"/>
            <w:bottom w:val="none" w:sz="0" w:space="0" w:color="auto"/>
            <w:right w:val="none" w:sz="0" w:space="0" w:color="auto"/>
          </w:divBdr>
        </w:div>
        <w:div w:id="1837186181">
          <w:marLeft w:val="0"/>
          <w:marRight w:val="0"/>
          <w:marTop w:val="0"/>
          <w:marBottom w:val="0"/>
          <w:divBdr>
            <w:top w:val="none" w:sz="0" w:space="0" w:color="auto"/>
            <w:left w:val="none" w:sz="0" w:space="0" w:color="auto"/>
            <w:bottom w:val="none" w:sz="0" w:space="0" w:color="auto"/>
            <w:right w:val="none" w:sz="0" w:space="0" w:color="auto"/>
          </w:divBdr>
        </w:div>
        <w:div w:id="1704793734">
          <w:marLeft w:val="0"/>
          <w:marRight w:val="0"/>
          <w:marTop w:val="0"/>
          <w:marBottom w:val="0"/>
          <w:divBdr>
            <w:top w:val="none" w:sz="0" w:space="0" w:color="auto"/>
            <w:left w:val="none" w:sz="0" w:space="0" w:color="auto"/>
            <w:bottom w:val="none" w:sz="0" w:space="0" w:color="auto"/>
            <w:right w:val="none" w:sz="0" w:space="0" w:color="auto"/>
          </w:divBdr>
        </w:div>
        <w:div w:id="551158377">
          <w:marLeft w:val="0"/>
          <w:marRight w:val="0"/>
          <w:marTop w:val="0"/>
          <w:marBottom w:val="0"/>
          <w:divBdr>
            <w:top w:val="none" w:sz="0" w:space="0" w:color="auto"/>
            <w:left w:val="none" w:sz="0" w:space="0" w:color="auto"/>
            <w:bottom w:val="none" w:sz="0" w:space="0" w:color="auto"/>
            <w:right w:val="none" w:sz="0" w:space="0" w:color="auto"/>
          </w:divBdr>
        </w:div>
        <w:div w:id="1922564978">
          <w:marLeft w:val="0"/>
          <w:marRight w:val="0"/>
          <w:marTop w:val="0"/>
          <w:marBottom w:val="0"/>
          <w:divBdr>
            <w:top w:val="none" w:sz="0" w:space="0" w:color="auto"/>
            <w:left w:val="none" w:sz="0" w:space="0" w:color="auto"/>
            <w:bottom w:val="none" w:sz="0" w:space="0" w:color="auto"/>
            <w:right w:val="none" w:sz="0" w:space="0" w:color="auto"/>
          </w:divBdr>
        </w:div>
        <w:div w:id="927234923">
          <w:marLeft w:val="0"/>
          <w:marRight w:val="0"/>
          <w:marTop w:val="0"/>
          <w:marBottom w:val="0"/>
          <w:divBdr>
            <w:top w:val="none" w:sz="0" w:space="0" w:color="auto"/>
            <w:left w:val="none" w:sz="0" w:space="0" w:color="auto"/>
            <w:bottom w:val="none" w:sz="0" w:space="0" w:color="auto"/>
            <w:right w:val="none" w:sz="0" w:space="0" w:color="auto"/>
          </w:divBdr>
        </w:div>
        <w:div w:id="1517307615">
          <w:marLeft w:val="0"/>
          <w:marRight w:val="0"/>
          <w:marTop w:val="0"/>
          <w:marBottom w:val="0"/>
          <w:divBdr>
            <w:top w:val="none" w:sz="0" w:space="0" w:color="auto"/>
            <w:left w:val="none" w:sz="0" w:space="0" w:color="auto"/>
            <w:bottom w:val="none" w:sz="0" w:space="0" w:color="auto"/>
            <w:right w:val="none" w:sz="0" w:space="0" w:color="auto"/>
          </w:divBdr>
        </w:div>
        <w:div w:id="1681811900">
          <w:marLeft w:val="0"/>
          <w:marRight w:val="0"/>
          <w:marTop w:val="0"/>
          <w:marBottom w:val="0"/>
          <w:divBdr>
            <w:top w:val="none" w:sz="0" w:space="0" w:color="auto"/>
            <w:left w:val="none" w:sz="0" w:space="0" w:color="auto"/>
            <w:bottom w:val="none" w:sz="0" w:space="0" w:color="auto"/>
            <w:right w:val="none" w:sz="0" w:space="0" w:color="auto"/>
          </w:divBdr>
        </w:div>
        <w:div w:id="1722556990">
          <w:marLeft w:val="0"/>
          <w:marRight w:val="0"/>
          <w:marTop w:val="0"/>
          <w:marBottom w:val="0"/>
          <w:divBdr>
            <w:top w:val="none" w:sz="0" w:space="0" w:color="auto"/>
            <w:left w:val="none" w:sz="0" w:space="0" w:color="auto"/>
            <w:bottom w:val="none" w:sz="0" w:space="0" w:color="auto"/>
            <w:right w:val="none" w:sz="0" w:space="0" w:color="auto"/>
          </w:divBdr>
        </w:div>
        <w:div w:id="1116563822">
          <w:marLeft w:val="0"/>
          <w:marRight w:val="0"/>
          <w:marTop w:val="0"/>
          <w:marBottom w:val="0"/>
          <w:divBdr>
            <w:top w:val="none" w:sz="0" w:space="0" w:color="auto"/>
            <w:left w:val="none" w:sz="0" w:space="0" w:color="auto"/>
            <w:bottom w:val="none" w:sz="0" w:space="0" w:color="auto"/>
            <w:right w:val="none" w:sz="0" w:space="0" w:color="auto"/>
          </w:divBdr>
        </w:div>
        <w:div w:id="1475179167">
          <w:marLeft w:val="0"/>
          <w:marRight w:val="0"/>
          <w:marTop w:val="0"/>
          <w:marBottom w:val="0"/>
          <w:divBdr>
            <w:top w:val="none" w:sz="0" w:space="0" w:color="auto"/>
            <w:left w:val="none" w:sz="0" w:space="0" w:color="auto"/>
            <w:bottom w:val="none" w:sz="0" w:space="0" w:color="auto"/>
            <w:right w:val="none" w:sz="0" w:space="0" w:color="auto"/>
          </w:divBdr>
        </w:div>
        <w:div w:id="1801803949">
          <w:marLeft w:val="0"/>
          <w:marRight w:val="0"/>
          <w:marTop w:val="0"/>
          <w:marBottom w:val="0"/>
          <w:divBdr>
            <w:top w:val="none" w:sz="0" w:space="0" w:color="auto"/>
            <w:left w:val="none" w:sz="0" w:space="0" w:color="auto"/>
            <w:bottom w:val="none" w:sz="0" w:space="0" w:color="auto"/>
            <w:right w:val="none" w:sz="0" w:space="0" w:color="auto"/>
          </w:divBdr>
        </w:div>
        <w:div w:id="308635588">
          <w:marLeft w:val="0"/>
          <w:marRight w:val="0"/>
          <w:marTop w:val="0"/>
          <w:marBottom w:val="0"/>
          <w:divBdr>
            <w:top w:val="none" w:sz="0" w:space="0" w:color="auto"/>
            <w:left w:val="none" w:sz="0" w:space="0" w:color="auto"/>
            <w:bottom w:val="none" w:sz="0" w:space="0" w:color="auto"/>
            <w:right w:val="none" w:sz="0" w:space="0" w:color="auto"/>
          </w:divBdr>
        </w:div>
        <w:div w:id="1752963575">
          <w:marLeft w:val="0"/>
          <w:marRight w:val="0"/>
          <w:marTop w:val="0"/>
          <w:marBottom w:val="0"/>
          <w:divBdr>
            <w:top w:val="none" w:sz="0" w:space="0" w:color="auto"/>
            <w:left w:val="none" w:sz="0" w:space="0" w:color="auto"/>
            <w:bottom w:val="none" w:sz="0" w:space="0" w:color="auto"/>
            <w:right w:val="none" w:sz="0" w:space="0" w:color="auto"/>
          </w:divBdr>
        </w:div>
        <w:div w:id="830758510">
          <w:marLeft w:val="0"/>
          <w:marRight w:val="0"/>
          <w:marTop w:val="0"/>
          <w:marBottom w:val="0"/>
          <w:divBdr>
            <w:top w:val="none" w:sz="0" w:space="0" w:color="auto"/>
            <w:left w:val="none" w:sz="0" w:space="0" w:color="auto"/>
            <w:bottom w:val="none" w:sz="0" w:space="0" w:color="auto"/>
            <w:right w:val="none" w:sz="0" w:space="0" w:color="auto"/>
          </w:divBdr>
        </w:div>
        <w:div w:id="1410611948">
          <w:marLeft w:val="0"/>
          <w:marRight w:val="0"/>
          <w:marTop w:val="0"/>
          <w:marBottom w:val="0"/>
          <w:divBdr>
            <w:top w:val="none" w:sz="0" w:space="0" w:color="auto"/>
            <w:left w:val="none" w:sz="0" w:space="0" w:color="auto"/>
            <w:bottom w:val="none" w:sz="0" w:space="0" w:color="auto"/>
            <w:right w:val="none" w:sz="0" w:space="0" w:color="auto"/>
          </w:divBdr>
        </w:div>
        <w:div w:id="228269466">
          <w:marLeft w:val="0"/>
          <w:marRight w:val="0"/>
          <w:marTop w:val="0"/>
          <w:marBottom w:val="0"/>
          <w:divBdr>
            <w:top w:val="none" w:sz="0" w:space="0" w:color="auto"/>
            <w:left w:val="none" w:sz="0" w:space="0" w:color="auto"/>
            <w:bottom w:val="none" w:sz="0" w:space="0" w:color="auto"/>
            <w:right w:val="none" w:sz="0" w:space="0" w:color="auto"/>
          </w:divBdr>
        </w:div>
        <w:div w:id="462239920">
          <w:marLeft w:val="0"/>
          <w:marRight w:val="0"/>
          <w:marTop w:val="0"/>
          <w:marBottom w:val="0"/>
          <w:divBdr>
            <w:top w:val="none" w:sz="0" w:space="0" w:color="auto"/>
            <w:left w:val="none" w:sz="0" w:space="0" w:color="auto"/>
            <w:bottom w:val="none" w:sz="0" w:space="0" w:color="auto"/>
            <w:right w:val="none" w:sz="0" w:space="0" w:color="auto"/>
          </w:divBdr>
        </w:div>
        <w:div w:id="1081830455">
          <w:marLeft w:val="0"/>
          <w:marRight w:val="0"/>
          <w:marTop w:val="0"/>
          <w:marBottom w:val="0"/>
          <w:divBdr>
            <w:top w:val="none" w:sz="0" w:space="0" w:color="auto"/>
            <w:left w:val="none" w:sz="0" w:space="0" w:color="auto"/>
            <w:bottom w:val="none" w:sz="0" w:space="0" w:color="auto"/>
            <w:right w:val="none" w:sz="0" w:space="0" w:color="auto"/>
          </w:divBdr>
        </w:div>
        <w:div w:id="885288830">
          <w:marLeft w:val="0"/>
          <w:marRight w:val="0"/>
          <w:marTop w:val="0"/>
          <w:marBottom w:val="0"/>
          <w:divBdr>
            <w:top w:val="none" w:sz="0" w:space="0" w:color="auto"/>
            <w:left w:val="none" w:sz="0" w:space="0" w:color="auto"/>
            <w:bottom w:val="none" w:sz="0" w:space="0" w:color="auto"/>
            <w:right w:val="none" w:sz="0" w:space="0" w:color="auto"/>
          </w:divBdr>
        </w:div>
        <w:div w:id="1726367551">
          <w:marLeft w:val="0"/>
          <w:marRight w:val="0"/>
          <w:marTop w:val="0"/>
          <w:marBottom w:val="0"/>
          <w:divBdr>
            <w:top w:val="none" w:sz="0" w:space="0" w:color="auto"/>
            <w:left w:val="none" w:sz="0" w:space="0" w:color="auto"/>
            <w:bottom w:val="none" w:sz="0" w:space="0" w:color="auto"/>
            <w:right w:val="none" w:sz="0" w:space="0" w:color="auto"/>
          </w:divBdr>
        </w:div>
        <w:div w:id="1648363539">
          <w:marLeft w:val="0"/>
          <w:marRight w:val="0"/>
          <w:marTop w:val="0"/>
          <w:marBottom w:val="0"/>
          <w:divBdr>
            <w:top w:val="none" w:sz="0" w:space="0" w:color="auto"/>
            <w:left w:val="none" w:sz="0" w:space="0" w:color="auto"/>
            <w:bottom w:val="none" w:sz="0" w:space="0" w:color="auto"/>
            <w:right w:val="none" w:sz="0" w:space="0" w:color="auto"/>
          </w:divBdr>
        </w:div>
        <w:div w:id="941763037">
          <w:marLeft w:val="0"/>
          <w:marRight w:val="0"/>
          <w:marTop w:val="0"/>
          <w:marBottom w:val="0"/>
          <w:divBdr>
            <w:top w:val="none" w:sz="0" w:space="0" w:color="auto"/>
            <w:left w:val="none" w:sz="0" w:space="0" w:color="auto"/>
            <w:bottom w:val="none" w:sz="0" w:space="0" w:color="auto"/>
            <w:right w:val="none" w:sz="0" w:space="0" w:color="auto"/>
          </w:divBdr>
        </w:div>
        <w:div w:id="505365868">
          <w:marLeft w:val="0"/>
          <w:marRight w:val="0"/>
          <w:marTop w:val="0"/>
          <w:marBottom w:val="0"/>
          <w:divBdr>
            <w:top w:val="none" w:sz="0" w:space="0" w:color="auto"/>
            <w:left w:val="none" w:sz="0" w:space="0" w:color="auto"/>
            <w:bottom w:val="none" w:sz="0" w:space="0" w:color="auto"/>
            <w:right w:val="none" w:sz="0" w:space="0" w:color="auto"/>
          </w:divBdr>
        </w:div>
        <w:div w:id="1703900767">
          <w:marLeft w:val="0"/>
          <w:marRight w:val="0"/>
          <w:marTop w:val="0"/>
          <w:marBottom w:val="0"/>
          <w:divBdr>
            <w:top w:val="none" w:sz="0" w:space="0" w:color="auto"/>
            <w:left w:val="none" w:sz="0" w:space="0" w:color="auto"/>
            <w:bottom w:val="none" w:sz="0" w:space="0" w:color="auto"/>
            <w:right w:val="none" w:sz="0" w:space="0" w:color="auto"/>
          </w:divBdr>
        </w:div>
        <w:div w:id="1158612159">
          <w:marLeft w:val="0"/>
          <w:marRight w:val="0"/>
          <w:marTop w:val="0"/>
          <w:marBottom w:val="0"/>
          <w:divBdr>
            <w:top w:val="none" w:sz="0" w:space="0" w:color="auto"/>
            <w:left w:val="none" w:sz="0" w:space="0" w:color="auto"/>
            <w:bottom w:val="none" w:sz="0" w:space="0" w:color="auto"/>
            <w:right w:val="none" w:sz="0" w:space="0" w:color="auto"/>
          </w:divBdr>
        </w:div>
        <w:div w:id="186527678">
          <w:marLeft w:val="0"/>
          <w:marRight w:val="0"/>
          <w:marTop w:val="0"/>
          <w:marBottom w:val="0"/>
          <w:divBdr>
            <w:top w:val="none" w:sz="0" w:space="0" w:color="auto"/>
            <w:left w:val="none" w:sz="0" w:space="0" w:color="auto"/>
            <w:bottom w:val="none" w:sz="0" w:space="0" w:color="auto"/>
            <w:right w:val="none" w:sz="0" w:space="0" w:color="auto"/>
          </w:divBdr>
        </w:div>
        <w:div w:id="759831117">
          <w:marLeft w:val="0"/>
          <w:marRight w:val="0"/>
          <w:marTop w:val="0"/>
          <w:marBottom w:val="0"/>
          <w:divBdr>
            <w:top w:val="none" w:sz="0" w:space="0" w:color="auto"/>
            <w:left w:val="none" w:sz="0" w:space="0" w:color="auto"/>
            <w:bottom w:val="none" w:sz="0" w:space="0" w:color="auto"/>
            <w:right w:val="none" w:sz="0" w:space="0" w:color="auto"/>
          </w:divBdr>
        </w:div>
        <w:div w:id="217597821">
          <w:marLeft w:val="0"/>
          <w:marRight w:val="0"/>
          <w:marTop w:val="0"/>
          <w:marBottom w:val="0"/>
          <w:divBdr>
            <w:top w:val="none" w:sz="0" w:space="0" w:color="auto"/>
            <w:left w:val="none" w:sz="0" w:space="0" w:color="auto"/>
            <w:bottom w:val="none" w:sz="0" w:space="0" w:color="auto"/>
            <w:right w:val="none" w:sz="0" w:space="0" w:color="auto"/>
          </w:divBdr>
        </w:div>
        <w:div w:id="705983367">
          <w:marLeft w:val="0"/>
          <w:marRight w:val="0"/>
          <w:marTop w:val="0"/>
          <w:marBottom w:val="0"/>
          <w:divBdr>
            <w:top w:val="none" w:sz="0" w:space="0" w:color="auto"/>
            <w:left w:val="none" w:sz="0" w:space="0" w:color="auto"/>
            <w:bottom w:val="none" w:sz="0" w:space="0" w:color="auto"/>
            <w:right w:val="none" w:sz="0" w:space="0" w:color="auto"/>
          </w:divBdr>
        </w:div>
        <w:div w:id="744181675">
          <w:marLeft w:val="0"/>
          <w:marRight w:val="0"/>
          <w:marTop w:val="0"/>
          <w:marBottom w:val="0"/>
          <w:divBdr>
            <w:top w:val="none" w:sz="0" w:space="0" w:color="auto"/>
            <w:left w:val="none" w:sz="0" w:space="0" w:color="auto"/>
            <w:bottom w:val="none" w:sz="0" w:space="0" w:color="auto"/>
            <w:right w:val="none" w:sz="0" w:space="0" w:color="auto"/>
          </w:divBdr>
        </w:div>
        <w:div w:id="2044476048">
          <w:marLeft w:val="0"/>
          <w:marRight w:val="0"/>
          <w:marTop w:val="0"/>
          <w:marBottom w:val="0"/>
          <w:divBdr>
            <w:top w:val="none" w:sz="0" w:space="0" w:color="auto"/>
            <w:left w:val="none" w:sz="0" w:space="0" w:color="auto"/>
            <w:bottom w:val="none" w:sz="0" w:space="0" w:color="auto"/>
            <w:right w:val="none" w:sz="0" w:space="0" w:color="auto"/>
          </w:divBdr>
        </w:div>
        <w:div w:id="957419730">
          <w:marLeft w:val="0"/>
          <w:marRight w:val="0"/>
          <w:marTop w:val="0"/>
          <w:marBottom w:val="0"/>
          <w:divBdr>
            <w:top w:val="none" w:sz="0" w:space="0" w:color="auto"/>
            <w:left w:val="none" w:sz="0" w:space="0" w:color="auto"/>
            <w:bottom w:val="none" w:sz="0" w:space="0" w:color="auto"/>
            <w:right w:val="none" w:sz="0" w:space="0" w:color="auto"/>
          </w:divBdr>
        </w:div>
        <w:div w:id="1351688313">
          <w:marLeft w:val="0"/>
          <w:marRight w:val="0"/>
          <w:marTop w:val="0"/>
          <w:marBottom w:val="0"/>
          <w:divBdr>
            <w:top w:val="none" w:sz="0" w:space="0" w:color="auto"/>
            <w:left w:val="none" w:sz="0" w:space="0" w:color="auto"/>
            <w:bottom w:val="none" w:sz="0" w:space="0" w:color="auto"/>
            <w:right w:val="none" w:sz="0" w:space="0" w:color="auto"/>
          </w:divBdr>
        </w:div>
        <w:div w:id="1626883187">
          <w:marLeft w:val="0"/>
          <w:marRight w:val="0"/>
          <w:marTop w:val="0"/>
          <w:marBottom w:val="0"/>
          <w:divBdr>
            <w:top w:val="none" w:sz="0" w:space="0" w:color="auto"/>
            <w:left w:val="none" w:sz="0" w:space="0" w:color="auto"/>
            <w:bottom w:val="none" w:sz="0" w:space="0" w:color="auto"/>
            <w:right w:val="none" w:sz="0" w:space="0" w:color="auto"/>
          </w:divBdr>
        </w:div>
        <w:div w:id="49884608">
          <w:marLeft w:val="0"/>
          <w:marRight w:val="0"/>
          <w:marTop w:val="0"/>
          <w:marBottom w:val="0"/>
          <w:divBdr>
            <w:top w:val="none" w:sz="0" w:space="0" w:color="auto"/>
            <w:left w:val="none" w:sz="0" w:space="0" w:color="auto"/>
            <w:bottom w:val="none" w:sz="0" w:space="0" w:color="auto"/>
            <w:right w:val="none" w:sz="0" w:space="0" w:color="auto"/>
          </w:divBdr>
        </w:div>
        <w:div w:id="788662554">
          <w:marLeft w:val="0"/>
          <w:marRight w:val="0"/>
          <w:marTop w:val="0"/>
          <w:marBottom w:val="0"/>
          <w:divBdr>
            <w:top w:val="none" w:sz="0" w:space="0" w:color="auto"/>
            <w:left w:val="none" w:sz="0" w:space="0" w:color="auto"/>
            <w:bottom w:val="none" w:sz="0" w:space="0" w:color="auto"/>
            <w:right w:val="none" w:sz="0" w:space="0" w:color="auto"/>
          </w:divBdr>
        </w:div>
        <w:div w:id="672537985">
          <w:marLeft w:val="0"/>
          <w:marRight w:val="0"/>
          <w:marTop w:val="0"/>
          <w:marBottom w:val="0"/>
          <w:divBdr>
            <w:top w:val="none" w:sz="0" w:space="0" w:color="auto"/>
            <w:left w:val="none" w:sz="0" w:space="0" w:color="auto"/>
            <w:bottom w:val="none" w:sz="0" w:space="0" w:color="auto"/>
            <w:right w:val="none" w:sz="0" w:space="0" w:color="auto"/>
          </w:divBdr>
        </w:div>
        <w:div w:id="1813790942">
          <w:marLeft w:val="0"/>
          <w:marRight w:val="0"/>
          <w:marTop w:val="0"/>
          <w:marBottom w:val="0"/>
          <w:divBdr>
            <w:top w:val="none" w:sz="0" w:space="0" w:color="auto"/>
            <w:left w:val="none" w:sz="0" w:space="0" w:color="auto"/>
            <w:bottom w:val="none" w:sz="0" w:space="0" w:color="auto"/>
            <w:right w:val="none" w:sz="0" w:space="0" w:color="auto"/>
          </w:divBdr>
        </w:div>
        <w:div w:id="401149236">
          <w:marLeft w:val="0"/>
          <w:marRight w:val="0"/>
          <w:marTop w:val="0"/>
          <w:marBottom w:val="0"/>
          <w:divBdr>
            <w:top w:val="none" w:sz="0" w:space="0" w:color="auto"/>
            <w:left w:val="none" w:sz="0" w:space="0" w:color="auto"/>
            <w:bottom w:val="none" w:sz="0" w:space="0" w:color="auto"/>
            <w:right w:val="none" w:sz="0" w:space="0" w:color="auto"/>
          </w:divBdr>
        </w:div>
        <w:div w:id="355077757">
          <w:marLeft w:val="0"/>
          <w:marRight w:val="0"/>
          <w:marTop w:val="0"/>
          <w:marBottom w:val="0"/>
          <w:divBdr>
            <w:top w:val="none" w:sz="0" w:space="0" w:color="auto"/>
            <w:left w:val="none" w:sz="0" w:space="0" w:color="auto"/>
            <w:bottom w:val="none" w:sz="0" w:space="0" w:color="auto"/>
            <w:right w:val="none" w:sz="0" w:space="0" w:color="auto"/>
          </w:divBdr>
        </w:div>
        <w:div w:id="1630478619">
          <w:marLeft w:val="0"/>
          <w:marRight w:val="0"/>
          <w:marTop w:val="0"/>
          <w:marBottom w:val="0"/>
          <w:divBdr>
            <w:top w:val="none" w:sz="0" w:space="0" w:color="auto"/>
            <w:left w:val="none" w:sz="0" w:space="0" w:color="auto"/>
            <w:bottom w:val="none" w:sz="0" w:space="0" w:color="auto"/>
            <w:right w:val="none" w:sz="0" w:space="0" w:color="auto"/>
          </w:divBdr>
        </w:div>
        <w:div w:id="455442317">
          <w:marLeft w:val="0"/>
          <w:marRight w:val="0"/>
          <w:marTop w:val="0"/>
          <w:marBottom w:val="0"/>
          <w:divBdr>
            <w:top w:val="none" w:sz="0" w:space="0" w:color="auto"/>
            <w:left w:val="none" w:sz="0" w:space="0" w:color="auto"/>
            <w:bottom w:val="none" w:sz="0" w:space="0" w:color="auto"/>
            <w:right w:val="none" w:sz="0" w:space="0" w:color="auto"/>
          </w:divBdr>
        </w:div>
        <w:div w:id="1988242941">
          <w:marLeft w:val="0"/>
          <w:marRight w:val="0"/>
          <w:marTop w:val="0"/>
          <w:marBottom w:val="0"/>
          <w:divBdr>
            <w:top w:val="none" w:sz="0" w:space="0" w:color="auto"/>
            <w:left w:val="none" w:sz="0" w:space="0" w:color="auto"/>
            <w:bottom w:val="none" w:sz="0" w:space="0" w:color="auto"/>
            <w:right w:val="none" w:sz="0" w:space="0" w:color="auto"/>
          </w:divBdr>
        </w:div>
        <w:div w:id="1767189697">
          <w:marLeft w:val="0"/>
          <w:marRight w:val="0"/>
          <w:marTop w:val="0"/>
          <w:marBottom w:val="0"/>
          <w:divBdr>
            <w:top w:val="none" w:sz="0" w:space="0" w:color="auto"/>
            <w:left w:val="none" w:sz="0" w:space="0" w:color="auto"/>
            <w:bottom w:val="none" w:sz="0" w:space="0" w:color="auto"/>
            <w:right w:val="none" w:sz="0" w:space="0" w:color="auto"/>
          </w:divBdr>
        </w:div>
        <w:div w:id="1935935506">
          <w:marLeft w:val="0"/>
          <w:marRight w:val="0"/>
          <w:marTop w:val="0"/>
          <w:marBottom w:val="0"/>
          <w:divBdr>
            <w:top w:val="none" w:sz="0" w:space="0" w:color="auto"/>
            <w:left w:val="none" w:sz="0" w:space="0" w:color="auto"/>
            <w:bottom w:val="none" w:sz="0" w:space="0" w:color="auto"/>
            <w:right w:val="none" w:sz="0" w:space="0" w:color="auto"/>
          </w:divBdr>
        </w:div>
        <w:div w:id="613483725">
          <w:marLeft w:val="0"/>
          <w:marRight w:val="0"/>
          <w:marTop w:val="0"/>
          <w:marBottom w:val="0"/>
          <w:divBdr>
            <w:top w:val="none" w:sz="0" w:space="0" w:color="auto"/>
            <w:left w:val="none" w:sz="0" w:space="0" w:color="auto"/>
            <w:bottom w:val="none" w:sz="0" w:space="0" w:color="auto"/>
            <w:right w:val="none" w:sz="0" w:space="0" w:color="auto"/>
          </w:divBdr>
        </w:div>
        <w:div w:id="738133968">
          <w:marLeft w:val="0"/>
          <w:marRight w:val="0"/>
          <w:marTop w:val="0"/>
          <w:marBottom w:val="0"/>
          <w:divBdr>
            <w:top w:val="none" w:sz="0" w:space="0" w:color="auto"/>
            <w:left w:val="none" w:sz="0" w:space="0" w:color="auto"/>
            <w:bottom w:val="none" w:sz="0" w:space="0" w:color="auto"/>
            <w:right w:val="none" w:sz="0" w:space="0" w:color="auto"/>
          </w:divBdr>
        </w:div>
        <w:div w:id="990449140">
          <w:marLeft w:val="0"/>
          <w:marRight w:val="0"/>
          <w:marTop w:val="0"/>
          <w:marBottom w:val="0"/>
          <w:divBdr>
            <w:top w:val="none" w:sz="0" w:space="0" w:color="auto"/>
            <w:left w:val="none" w:sz="0" w:space="0" w:color="auto"/>
            <w:bottom w:val="none" w:sz="0" w:space="0" w:color="auto"/>
            <w:right w:val="none" w:sz="0" w:space="0" w:color="auto"/>
          </w:divBdr>
        </w:div>
        <w:div w:id="1333874716">
          <w:marLeft w:val="0"/>
          <w:marRight w:val="0"/>
          <w:marTop w:val="0"/>
          <w:marBottom w:val="0"/>
          <w:divBdr>
            <w:top w:val="none" w:sz="0" w:space="0" w:color="auto"/>
            <w:left w:val="none" w:sz="0" w:space="0" w:color="auto"/>
            <w:bottom w:val="none" w:sz="0" w:space="0" w:color="auto"/>
            <w:right w:val="none" w:sz="0" w:space="0" w:color="auto"/>
          </w:divBdr>
        </w:div>
        <w:div w:id="1324627459">
          <w:marLeft w:val="0"/>
          <w:marRight w:val="0"/>
          <w:marTop w:val="0"/>
          <w:marBottom w:val="0"/>
          <w:divBdr>
            <w:top w:val="none" w:sz="0" w:space="0" w:color="auto"/>
            <w:left w:val="none" w:sz="0" w:space="0" w:color="auto"/>
            <w:bottom w:val="none" w:sz="0" w:space="0" w:color="auto"/>
            <w:right w:val="none" w:sz="0" w:space="0" w:color="auto"/>
          </w:divBdr>
        </w:div>
        <w:div w:id="946349022">
          <w:marLeft w:val="0"/>
          <w:marRight w:val="0"/>
          <w:marTop w:val="0"/>
          <w:marBottom w:val="0"/>
          <w:divBdr>
            <w:top w:val="none" w:sz="0" w:space="0" w:color="auto"/>
            <w:left w:val="none" w:sz="0" w:space="0" w:color="auto"/>
            <w:bottom w:val="none" w:sz="0" w:space="0" w:color="auto"/>
            <w:right w:val="none" w:sz="0" w:space="0" w:color="auto"/>
          </w:divBdr>
        </w:div>
        <w:div w:id="72776187">
          <w:marLeft w:val="0"/>
          <w:marRight w:val="0"/>
          <w:marTop w:val="0"/>
          <w:marBottom w:val="0"/>
          <w:divBdr>
            <w:top w:val="none" w:sz="0" w:space="0" w:color="auto"/>
            <w:left w:val="none" w:sz="0" w:space="0" w:color="auto"/>
            <w:bottom w:val="none" w:sz="0" w:space="0" w:color="auto"/>
            <w:right w:val="none" w:sz="0" w:space="0" w:color="auto"/>
          </w:divBdr>
        </w:div>
        <w:div w:id="1190679205">
          <w:marLeft w:val="0"/>
          <w:marRight w:val="0"/>
          <w:marTop w:val="0"/>
          <w:marBottom w:val="0"/>
          <w:divBdr>
            <w:top w:val="none" w:sz="0" w:space="0" w:color="auto"/>
            <w:left w:val="none" w:sz="0" w:space="0" w:color="auto"/>
            <w:bottom w:val="none" w:sz="0" w:space="0" w:color="auto"/>
            <w:right w:val="none" w:sz="0" w:space="0" w:color="auto"/>
          </w:divBdr>
        </w:div>
        <w:div w:id="898827973">
          <w:marLeft w:val="0"/>
          <w:marRight w:val="0"/>
          <w:marTop w:val="0"/>
          <w:marBottom w:val="0"/>
          <w:divBdr>
            <w:top w:val="none" w:sz="0" w:space="0" w:color="auto"/>
            <w:left w:val="none" w:sz="0" w:space="0" w:color="auto"/>
            <w:bottom w:val="none" w:sz="0" w:space="0" w:color="auto"/>
            <w:right w:val="none" w:sz="0" w:space="0" w:color="auto"/>
          </w:divBdr>
        </w:div>
        <w:div w:id="945700487">
          <w:marLeft w:val="0"/>
          <w:marRight w:val="0"/>
          <w:marTop w:val="0"/>
          <w:marBottom w:val="0"/>
          <w:divBdr>
            <w:top w:val="none" w:sz="0" w:space="0" w:color="auto"/>
            <w:left w:val="none" w:sz="0" w:space="0" w:color="auto"/>
            <w:bottom w:val="none" w:sz="0" w:space="0" w:color="auto"/>
            <w:right w:val="none" w:sz="0" w:space="0" w:color="auto"/>
          </w:divBdr>
        </w:div>
        <w:div w:id="1292711624">
          <w:marLeft w:val="0"/>
          <w:marRight w:val="0"/>
          <w:marTop w:val="0"/>
          <w:marBottom w:val="0"/>
          <w:divBdr>
            <w:top w:val="none" w:sz="0" w:space="0" w:color="auto"/>
            <w:left w:val="none" w:sz="0" w:space="0" w:color="auto"/>
            <w:bottom w:val="none" w:sz="0" w:space="0" w:color="auto"/>
            <w:right w:val="none" w:sz="0" w:space="0" w:color="auto"/>
          </w:divBdr>
        </w:div>
        <w:div w:id="921375435">
          <w:marLeft w:val="0"/>
          <w:marRight w:val="0"/>
          <w:marTop w:val="0"/>
          <w:marBottom w:val="0"/>
          <w:divBdr>
            <w:top w:val="none" w:sz="0" w:space="0" w:color="auto"/>
            <w:left w:val="none" w:sz="0" w:space="0" w:color="auto"/>
            <w:bottom w:val="none" w:sz="0" w:space="0" w:color="auto"/>
            <w:right w:val="none" w:sz="0" w:space="0" w:color="auto"/>
          </w:divBdr>
        </w:div>
        <w:div w:id="1923222687">
          <w:marLeft w:val="0"/>
          <w:marRight w:val="0"/>
          <w:marTop w:val="0"/>
          <w:marBottom w:val="0"/>
          <w:divBdr>
            <w:top w:val="none" w:sz="0" w:space="0" w:color="auto"/>
            <w:left w:val="none" w:sz="0" w:space="0" w:color="auto"/>
            <w:bottom w:val="none" w:sz="0" w:space="0" w:color="auto"/>
            <w:right w:val="none" w:sz="0" w:space="0" w:color="auto"/>
          </w:divBdr>
        </w:div>
        <w:div w:id="747968653">
          <w:marLeft w:val="0"/>
          <w:marRight w:val="0"/>
          <w:marTop w:val="0"/>
          <w:marBottom w:val="0"/>
          <w:divBdr>
            <w:top w:val="none" w:sz="0" w:space="0" w:color="auto"/>
            <w:left w:val="none" w:sz="0" w:space="0" w:color="auto"/>
            <w:bottom w:val="none" w:sz="0" w:space="0" w:color="auto"/>
            <w:right w:val="none" w:sz="0" w:space="0" w:color="auto"/>
          </w:divBdr>
        </w:div>
        <w:div w:id="1982422993">
          <w:marLeft w:val="0"/>
          <w:marRight w:val="0"/>
          <w:marTop w:val="0"/>
          <w:marBottom w:val="0"/>
          <w:divBdr>
            <w:top w:val="none" w:sz="0" w:space="0" w:color="auto"/>
            <w:left w:val="none" w:sz="0" w:space="0" w:color="auto"/>
            <w:bottom w:val="none" w:sz="0" w:space="0" w:color="auto"/>
            <w:right w:val="none" w:sz="0" w:space="0" w:color="auto"/>
          </w:divBdr>
        </w:div>
        <w:div w:id="209651870">
          <w:marLeft w:val="0"/>
          <w:marRight w:val="0"/>
          <w:marTop w:val="0"/>
          <w:marBottom w:val="0"/>
          <w:divBdr>
            <w:top w:val="none" w:sz="0" w:space="0" w:color="auto"/>
            <w:left w:val="none" w:sz="0" w:space="0" w:color="auto"/>
            <w:bottom w:val="none" w:sz="0" w:space="0" w:color="auto"/>
            <w:right w:val="none" w:sz="0" w:space="0" w:color="auto"/>
          </w:divBdr>
        </w:div>
        <w:div w:id="295989642">
          <w:marLeft w:val="0"/>
          <w:marRight w:val="0"/>
          <w:marTop w:val="0"/>
          <w:marBottom w:val="0"/>
          <w:divBdr>
            <w:top w:val="none" w:sz="0" w:space="0" w:color="auto"/>
            <w:left w:val="none" w:sz="0" w:space="0" w:color="auto"/>
            <w:bottom w:val="none" w:sz="0" w:space="0" w:color="auto"/>
            <w:right w:val="none" w:sz="0" w:space="0" w:color="auto"/>
          </w:divBdr>
        </w:div>
        <w:div w:id="1962102664">
          <w:marLeft w:val="0"/>
          <w:marRight w:val="0"/>
          <w:marTop w:val="0"/>
          <w:marBottom w:val="0"/>
          <w:divBdr>
            <w:top w:val="none" w:sz="0" w:space="0" w:color="auto"/>
            <w:left w:val="none" w:sz="0" w:space="0" w:color="auto"/>
            <w:bottom w:val="none" w:sz="0" w:space="0" w:color="auto"/>
            <w:right w:val="none" w:sz="0" w:space="0" w:color="auto"/>
          </w:divBdr>
        </w:div>
        <w:div w:id="767388516">
          <w:marLeft w:val="0"/>
          <w:marRight w:val="0"/>
          <w:marTop w:val="0"/>
          <w:marBottom w:val="0"/>
          <w:divBdr>
            <w:top w:val="none" w:sz="0" w:space="0" w:color="auto"/>
            <w:left w:val="none" w:sz="0" w:space="0" w:color="auto"/>
            <w:bottom w:val="none" w:sz="0" w:space="0" w:color="auto"/>
            <w:right w:val="none" w:sz="0" w:space="0" w:color="auto"/>
          </w:divBdr>
        </w:div>
        <w:div w:id="96368220">
          <w:marLeft w:val="0"/>
          <w:marRight w:val="0"/>
          <w:marTop w:val="0"/>
          <w:marBottom w:val="0"/>
          <w:divBdr>
            <w:top w:val="none" w:sz="0" w:space="0" w:color="auto"/>
            <w:left w:val="none" w:sz="0" w:space="0" w:color="auto"/>
            <w:bottom w:val="none" w:sz="0" w:space="0" w:color="auto"/>
            <w:right w:val="none" w:sz="0" w:space="0" w:color="auto"/>
          </w:divBdr>
        </w:div>
        <w:div w:id="1273436890">
          <w:marLeft w:val="0"/>
          <w:marRight w:val="0"/>
          <w:marTop w:val="0"/>
          <w:marBottom w:val="0"/>
          <w:divBdr>
            <w:top w:val="none" w:sz="0" w:space="0" w:color="auto"/>
            <w:left w:val="none" w:sz="0" w:space="0" w:color="auto"/>
            <w:bottom w:val="none" w:sz="0" w:space="0" w:color="auto"/>
            <w:right w:val="none" w:sz="0" w:space="0" w:color="auto"/>
          </w:divBdr>
        </w:div>
        <w:div w:id="535505730">
          <w:marLeft w:val="0"/>
          <w:marRight w:val="0"/>
          <w:marTop w:val="0"/>
          <w:marBottom w:val="0"/>
          <w:divBdr>
            <w:top w:val="none" w:sz="0" w:space="0" w:color="auto"/>
            <w:left w:val="none" w:sz="0" w:space="0" w:color="auto"/>
            <w:bottom w:val="none" w:sz="0" w:space="0" w:color="auto"/>
            <w:right w:val="none" w:sz="0" w:space="0" w:color="auto"/>
          </w:divBdr>
        </w:div>
        <w:div w:id="345638181">
          <w:marLeft w:val="0"/>
          <w:marRight w:val="0"/>
          <w:marTop w:val="0"/>
          <w:marBottom w:val="0"/>
          <w:divBdr>
            <w:top w:val="none" w:sz="0" w:space="0" w:color="auto"/>
            <w:left w:val="none" w:sz="0" w:space="0" w:color="auto"/>
            <w:bottom w:val="none" w:sz="0" w:space="0" w:color="auto"/>
            <w:right w:val="none" w:sz="0" w:space="0" w:color="auto"/>
          </w:divBdr>
        </w:div>
        <w:div w:id="2003461214">
          <w:marLeft w:val="0"/>
          <w:marRight w:val="0"/>
          <w:marTop w:val="0"/>
          <w:marBottom w:val="0"/>
          <w:divBdr>
            <w:top w:val="none" w:sz="0" w:space="0" w:color="auto"/>
            <w:left w:val="none" w:sz="0" w:space="0" w:color="auto"/>
            <w:bottom w:val="none" w:sz="0" w:space="0" w:color="auto"/>
            <w:right w:val="none" w:sz="0" w:space="0" w:color="auto"/>
          </w:divBdr>
        </w:div>
        <w:div w:id="271785029">
          <w:marLeft w:val="0"/>
          <w:marRight w:val="0"/>
          <w:marTop w:val="0"/>
          <w:marBottom w:val="0"/>
          <w:divBdr>
            <w:top w:val="none" w:sz="0" w:space="0" w:color="auto"/>
            <w:left w:val="none" w:sz="0" w:space="0" w:color="auto"/>
            <w:bottom w:val="none" w:sz="0" w:space="0" w:color="auto"/>
            <w:right w:val="none" w:sz="0" w:space="0" w:color="auto"/>
          </w:divBdr>
        </w:div>
        <w:div w:id="112135551">
          <w:marLeft w:val="0"/>
          <w:marRight w:val="0"/>
          <w:marTop w:val="0"/>
          <w:marBottom w:val="0"/>
          <w:divBdr>
            <w:top w:val="none" w:sz="0" w:space="0" w:color="auto"/>
            <w:left w:val="none" w:sz="0" w:space="0" w:color="auto"/>
            <w:bottom w:val="none" w:sz="0" w:space="0" w:color="auto"/>
            <w:right w:val="none" w:sz="0" w:space="0" w:color="auto"/>
          </w:divBdr>
        </w:div>
        <w:div w:id="1462729562">
          <w:marLeft w:val="0"/>
          <w:marRight w:val="0"/>
          <w:marTop w:val="0"/>
          <w:marBottom w:val="0"/>
          <w:divBdr>
            <w:top w:val="none" w:sz="0" w:space="0" w:color="auto"/>
            <w:left w:val="none" w:sz="0" w:space="0" w:color="auto"/>
            <w:bottom w:val="none" w:sz="0" w:space="0" w:color="auto"/>
            <w:right w:val="none" w:sz="0" w:space="0" w:color="auto"/>
          </w:divBdr>
        </w:div>
        <w:div w:id="1343361692">
          <w:marLeft w:val="0"/>
          <w:marRight w:val="0"/>
          <w:marTop w:val="0"/>
          <w:marBottom w:val="0"/>
          <w:divBdr>
            <w:top w:val="none" w:sz="0" w:space="0" w:color="auto"/>
            <w:left w:val="none" w:sz="0" w:space="0" w:color="auto"/>
            <w:bottom w:val="none" w:sz="0" w:space="0" w:color="auto"/>
            <w:right w:val="none" w:sz="0" w:space="0" w:color="auto"/>
          </w:divBdr>
        </w:div>
        <w:div w:id="1778137680">
          <w:marLeft w:val="0"/>
          <w:marRight w:val="0"/>
          <w:marTop w:val="0"/>
          <w:marBottom w:val="0"/>
          <w:divBdr>
            <w:top w:val="none" w:sz="0" w:space="0" w:color="auto"/>
            <w:left w:val="none" w:sz="0" w:space="0" w:color="auto"/>
            <w:bottom w:val="none" w:sz="0" w:space="0" w:color="auto"/>
            <w:right w:val="none" w:sz="0" w:space="0" w:color="auto"/>
          </w:divBdr>
        </w:div>
        <w:div w:id="429159542">
          <w:marLeft w:val="0"/>
          <w:marRight w:val="0"/>
          <w:marTop w:val="0"/>
          <w:marBottom w:val="0"/>
          <w:divBdr>
            <w:top w:val="none" w:sz="0" w:space="0" w:color="auto"/>
            <w:left w:val="none" w:sz="0" w:space="0" w:color="auto"/>
            <w:bottom w:val="none" w:sz="0" w:space="0" w:color="auto"/>
            <w:right w:val="none" w:sz="0" w:space="0" w:color="auto"/>
          </w:divBdr>
        </w:div>
        <w:div w:id="87360134">
          <w:marLeft w:val="0"/>
          <w:marRight w:val="0"/>
          <w:marTop w:val="0"/>
          <w:marBottom w:val="0"/>
          <w:divBdr>
            <w:top w:val="none" w:sz="0" w:space="0" w:color="auto"/>
            <w:left w:val="none" w:sz="0" w:space="0" w:color="auto"/>
            <w:bottom w:val="none" w:sz="0" w:space="0" w:color="auto"/>
            <w:right w:val="none" w:sz="0" w:space="0" w:color="auto"/>
          </w:divBdr>
        </w:div>
        <w:div w:id="1246036959">
          <w:marLeft w:val="0"/>
          <w:marRight w:val="0"/>
          <w:marTop w:val="0"/>
          <w:marBottom w:val="0"/>
          <w:divBdr>
            <w:top w:val="none" w:sz="0" w:space="0" w:color="auto"/>
            <w:left w:val="none" w:sz="0" w:space="0" w:color="auto"/>
            <w:bottom w:val="none" w:sz="0" w:space="0" w:color="auto"/>
            <w:right w:val="none" w:sz="0" w:space="0" w:color="auto"/>
          </w:divBdr>
        </w:div>
        <w:div w:id="330304380">
          <w:marLeft w:val="0"/>
          <w:marRight w:val="0"/>
          <w:marTop w:val="0"/>
          <w:marBottom w:val="0"/>
          <w:divBdr>
            <w:top w:val="none" w:sz="0" w:space="0" w:color="auto"/>
            <w:left w:val="none" w:sz="0" w:space="0" w:color="auto"/>
            <w:bottom w:val="none" w:sz="0" w:space="0" w:color="auto"/>
            <w:right w:val="none" w:sz="0" w:space="0" w:color="auto"/>
          </w:divBdr>
        </w:div>
        <w:div w:id="555051173">
          <w:marLeft w:val="0"/>
          <w:marRight w:val="0"/>
          <w:marTop w:val="0"/>
          <w:marBottom w:val="0"/>
          <w:divBdr>
            <w:top w:val="none" w:sz="0" w:space="0" w:color="auto"/>
            <w:left w:val="none" w:sz="0" w:space="0" w:color="auto"/>
            <w:bottom w:val="none" w:sz="0" w:space="0" w:color="auto"/>
            <w:right w:val="none" w:sz="0" w:space="0" w:color="auto"/>
          </w:divBdr>
        </w:div>
        <w:div w:id="1001855080">
          <w:marLeft w:val="0"/>
          <w:marRight w:val="0"/>
          <w:marTop w:val="0"/>
          <w:marBottom w:val="0"/>
          <w:divBdr>
            <w:top w:val="none" w:sz="0" w:space="0" w:color="auto"/>
            <w:left w:val="none" w:sz="0" w:space="0" w:color="auto"/>
            <w:bottom w:val="none" w:sz="0" w:space="0" w:color="auto"/>
            <w:right w:val="none" w:sz="0" w:space="0" w:color="auto"/>
          </w:divBdr>
        </w:div>
        <w:div w:id="1846046959">
          <w:marLeft w:val="0"/>
          <w:marRight w:val="0"/>
          <w:marTop w:val="0"/>
          <w:marBottom w:val="0"/>
          <w:divBdr>
            <w:top w:val="none" w:sz="0" w:space="0" w:color="auto"/>
            <w:left w:val="none" w:sz="0" w:space="0" w:color="auto"/>
            <w:bottom w:val="none" w:sz="0" w:space="0" w:color="auto"/>
            <w:right w:val="none" w:sz="0" w:space="0" w:color="auto"/>
          </w:divBdr>
        </w:div>
        <w:div w:id="493109103">
          <w:marLeft w:val="0"/>
          <w:marRight w:val="0"/>
          <w:marTop w:val="0"/>
          <w:marBottom w:val="0"/>
          <w:divBdr>
            <w:top w:val="none" w:sz="0" w:space="0" w:color="auto"/>
            <w:left w:val="none" w:sz="0" w:space="0" w:color="auto"/>
            <w:bottom w:val="none" w:sz="0" w:space="0" w:color="auto"/>
            <w:right w:val="none" w:sz="0" w:space="0" w:color="auto"/>
          </w:divBdr>
        </w:div>
        <w:div w:id="562299515">
          <w:marLeft w:val="0"/>
          <w:marRight w:val="0"/>
          <w:marTop w:val="0"/>
          <w:marBottom w:val="0"/>
          <w:divBdr>
            <w:top w:val="none" w:sz="0" w:space="0" w:color="auto"/>
            <w:left w:val="none" w:sz="0" w:space="0" w:color="auto"/>
            <w:bottom w:val="none" w:sz="0" w:space="0" w:color="auto"/>
            <w:right w:val="none" w:sz="0" w:space="0" w:color="auto"/>
          </w:divBdr>
        </w:div>
        <w:div w:id="940801025">
          <w:marLeft w:val="0"/>
          <w:marRight w:val="0"/>
          <w:marTop w:val="0"/>
          <w:marBottom w:val="0"/>
          <w:divBdr>
            <w:top w:val="none" w:sz="0" w:space="0" w:color="auto"/>
            <w:left w:val="none" w:sz="0" w:space="0" w:color="auto"/>
            <w:bottom w:val="none" w:sz="0" w:space="0" w:color="auto"/>
            <w:right w:val="none" w:sz="0" w:space="0" w:color="auto"/>
          </w:divBdr>
        </w:div>
        <w:div w:id="1892108595">
          <w:marLeft w:val="0"/>
          <w:marRight w:val="0"/>
          <w:marTop w:val="0"/>
          <w:marBottom w:val="0"/>
          <w:divBdr>
            <w:top w:val="none" w:sz="0" w:space="0" w:color="auto"/>
            <w:left w:val="none" w:sz="0" w:space="0" w:color="auto"/>
            <w:bottom w:val="none" w:sz="0" w:space="0" w:color="auto"/>
            <w:right w:val="none" w:sz="0" w:space="0" w:color="auto"/>
          </w:divBdr>
        </w:div>
        <w:div w:id="1121191887">
          <w:marLeft w:val="0"/>
          <w:marRight w:val="0"/>
          <w:marTop w:val="0"/>
          <w:marBottom w:val="0"/>
          <w:divBdr>
            <w:top w:val="none" w:sz="0" w:space="0" w:color="auto"/>
            <w:left w:val="none" w:sz="0" w:space="0" w:color="auto"/>
            <w:bottom w:val="none" w:sz="0" w:space="0" w:color="auto"/>
            <w:right w:val="none" w:sz="0" w:space="0" w:color="auto"/>
          </w:divBdr>
        </w:div>
        <w:div w:id="436558489">
          <w:marLeft w:val="0"/>
          <w:marRight w:val="0"/>
          <w:marTop w:val="0"/>
          <w:marBottom w:val="0"/>
          <w:divBdr>
            <w:top w:val="none" w:sz="0" w:space="0" w:color="auto"/>
            <w:left w:val="none" w:sz="0" w:space="0" w:color="auto"/>
            <w:bottom w:val="none" w:sz="0" w:space="0" w:color="auto"/>
            <w:right w:val="none" w:sz="0" w:space="0" w:color="auto"/>
          </w:divBdr>
        </w:div>
      </w:divsChild>
    </w:div>
    <w:div w:id="1505704100">
      <w:bodyDiv w:val="1"/>
      <w:marLeft w:val="0"/>
      <w:marRight w:val="0"/>
      <w:marTop w:val="0"/>
      <w:marBottom w:val="0"/>
      <w:divBdr>
        <w:top w:val="none" w:sz="0" w:space="0" w:color="auto"/>
        <w:left w:val="none" w:sz="0" w:space="0" w:color="auto"/>
        <w:bottom w:val="none" w:sz="0" w:space="0" w:color="auto"/>
        <w:right w:val="none" w:sz="0" w:space="0" w:color="auto"/>
      </w:divBdr>
      <w:divsChild>
        <w:div w:id="1122726680">
          <w:marLeft w:val="0"/>
          <w:marRight w:val="0"/>
          <w:marTop w:val="0"/>
          <w:marBottom w:val="0"/>
          <w:divBdr>
            <w:top w:val="none" w:sz="0" w:space="0" w:color="auto"/>
            <w:left w:val="none" w:sz="0" w:space="0" w:color="auto"/>
            <w:bottom w:val="none" w:sz="0" w:space="0" w:color="auto"/>
            <w:right w:val="none" w:sz="0" w:space="0" w:color="auto"/>
          </w:divBdr>
        </w:div>
        <w:div w:id="241182512">
          <w:marLeft w:val="0"/>
          <w:marRight w:val="0"/>
          <w:marTop w:val="0"/>
          <w:marBottom w:val="0"/>
          <w:divBdr>
            <w:top w:val="none" w:sz="0" w:space="0" w:color="auto"/>
            <w:left w:val="none" w:sz="0" w:space="0" w:color="auto"/>
            <w:bottom w:val="none" w:sz="0" w:space="0" w:color="auto"/>
            <w:right w:val="none" w:sz="0" w:space="0" w:color="auto"/>
          </w:divBdr>
        </w:div>
        <w:div w:id="2704228">
          <w:marLeft w:val="0"/>
          <w:marRight w:val="0"/>
          <w:marTop w:val="0"/>
          <w:marBottom w:val="0"/>
          <w:divBdr>
            <w:top w:val="none" w:sz="0" w:space="0" w:color="auto"/>
            <w:left w:val="none" w:sz="0" w:space="0" w:color="auto"/>
            <w:bottom w:val="none" w:sz="0" w:space="0" w:color="auto"/>
            <w:right w:val="none" w:sz="0" w:space="0" w:color="auto"/>
          </w:divBdr>
        </w:div>
        <w:div w:id="1931084753">
          <w:marLeft w:val="0"/>
          <w:marRight w:val="0"/>
          <w:marTop w:val="0"/>
          <w:marBottom w:val="0"/>
          <w:divBdr>
            <w:top w:val="none" w:sz="0" w:space="0" w:color="auto"/>
            <w:left w:val="none" w:sz="0" w:space="0" w:color="auto"/>
            <w:bottom w:val="none" w:sz="0" w:space="0" w:color="auto"/>
            <w:right w:val="none" w:sz="0" w:space="0" w:color="auto"/>
          </w:divBdr>
        </w:div>
        <w:div w:id="1797095209">
          <w:marLeft w:val="0"/>
          <w:marRight w:val="0"/>
          <w:marTop w:val="0"/>
          <w:marBottom w:val="0"/>
          <w:divBdr>
            <w:top w:val="none" w:sz="0" w:space="0" w:color="auto"/>
            <w:left w:val="none" w:sz="0" w:space="0" w:color="auto"/>
            <w:bottom w:val="none" w:sz="0" w:space="0" w:color="auto"/>
            <w:right w:val="none" w:sz="0" w:space="0" w:color="auto"/>
          </w:divBdr>
        </w:div>
        <w:div w:id="1864393766">
          <w:marLeft w:val="0"/>
          <w:marRight w:val="0"/>
          <w:marTop w:val="0"/>
          <w:marBottom w:val="0"/>
          <w:divBdr>
            <w:top w:val="none" w:sz="0" w:space="0" w:color="auto"/>
            <w:left w:val="none" w:sz="0" w:space="0" w:color="auto"/>
            <w:bottom w:val="none" w:sz="0" w:space="0" w:color="auto"/>
            <w:right w:val="none" w:sz="0" w:space="0" w:color="auto"/>
          </w:divBdr>
        </w:div>
        <w:div w:id="904414101">
          <w:marLeft w:val="0"/>
          <w:marRight w:val="0"/>
          <w:marTop w:val="0"/>
          <w:marBottom w:val="0"/>
          <w:divBdr>
            <w:top w:val="none" w:sz="0" w:space="0" w:color="auto"/>
            <w:left w:val="none" w:sz="0" w:space="0" w:color="auto"/>
            <w:bottom w:val="none" w:sz="0" w:space="0" w:color="auto"/>
            <w:right w:val="none" w:sz="0" w:space="0" w:color="auto"/>
          </w:divBdr>
        </w:div>
        <w:div w:id="1266306367">
          <w:marLeft w:val="0"/>
          <w:marRight w:val="0"/>
          <w:marTop w:val="0"/>
          <w:marBottom w:val="0"/>
          <w:divBdr>
            <w:top w:val="none" w:sz="0" w:space="0" w:color="auto"/>
            <w:left w:val="none" w:sz="0" w:space="0" w:color="auto"/>
            <w:bottom w:val="none" w:sz="0" w:space="0" w:color="auto"/>
            <w:right w:val="none" w:sz="0" w:space="0" w:color="auto"/>
          </w:divBdr>
        </w:div>
        <w:div w:id="394402954">
          <w:marLeft w:val="0"/>
          <w:marRight w:val="0"/>
          <w:marTop w:val="0"/>
          <w:marBottom w:val="0"/>
          <w:divBdr>
            <w:top w:val="none" w:sz="0" w:space="0" w:color="auto"/>
            <w:left w:val="none" w:sz="0" w:space="0" w:color="auto"/>
            <w:bottom w:val="none" w:sz="0" w:space="0" w:color="auto"/>
            <w:right w:val="none" w:sz="0" w:space="0" w:color="auto"/>
          </w:divBdr>
        </w:div>
      </w:divsChild>
    </w:div>
    <w:div w:id="1649163230">
      <w:bodyDiv w:val="1"/>
      <w:marLeft w:val="0"/>
      <w:marRight w:val="0"/>
      <w:marTop w:val="0"/>
      <w:marBottom w:val="0"/>
      <w:divBdr>
        <w:top w:val="none" w:sz="0" w:space="0" w:color="auto"/>
        <w:left w:val="none" w:sz="0" w:space="0" w:color="auto"/>
        <w:bottom w:val="none" w:sz="0" w:space="0" w:color="auto"/>
        <w:right w:val="none" w:sz="0" w:space="0" w:color="auto"/>
      </w:divBdr>
      <w:divsChild>
        <w:div w:id="192427950">
          <w:marLeft w:val="0"/>
          <w:marRight w:val="0"/>
          <w:marTop w:val="0"/>
          <w:marBottom w:val="0"/>
          <w:divBdr>
            <w:top w:val="none" w:sz="0" w:space="0" w:color="auto"/>
            <w:left w:val="none" w:sz="0" w:space="0" w:color="auto"/>
            <w:bottom w:val="none" w:sz="0" w:space="0" w:color="auto"/>
            <w:right w:val="none" w:sz="0" w:space="0" w:color="auto"/>
          </w:divBdr>
        </w:div>
        <w:div w:id="756950639">
          <w:marLeft w:val="0"/>
          <w:marRight w:val="0"/>
          <w:marTop w:val="0"/>
          <w:marBottom w:val="0"/>
          <w:divBdr>
            <w:top w:val="none" w:sz="0" w:space="0" w:color="auto"/>
            <w:left w:val="none" w:sz="0" w:space="0" w:color="auto"/>
            <w:bottom w:val="none" w:sz="0" w:space="0" w:color="auto"/>
            <w:right w:val="none" w:sz="0" w:space="0" w:color="auto"/>
          </w:divBdr>
        </w:div>
        <w:div w:id="103425711">
          <w:marLeft w:val="0"/>
          <w:marRight w:val="0"/>
          <w:marTop w:val="0"/>
          <w:marBottom w:val="0"/>
          <w:divBdr>
            <w:top w:val="none" w:sz="0" w:space="0" w:color="auto"/>
            <w:left w:val="none" w:sz="0" w:space="0" w:color="auto"/>
            <w:bottom w:val="none" w:sz="0" w:space="0" w:color="auto"/>
            <w:right w:val="none" w:sz="0" w:space="0" w:color="auto"/>
          </w:divBdr>
        </w:div>
        <w:div w:id="670261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tioningexemption@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berg\AppData\Local\Temp\Orde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Order_Template</Template>
  <TotalTime>0</TotalTime>
  <Pages>3</Pages>
  <Words>1764</Words>
  <Characters>9786</Characters>
  <Application>Microsoft Office Word</Application>
  <DocSecurity>0</DocSecurity>
  <Lines>168</Lines>
  <Paragraphs>48</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11594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2014-09-17T20:31:00Z</cp:lastPrinted>
  <dcterms:created xsi:type="dcterms:W3CDTF">2015-11-17T18:18:00Z</dcterms:created>
  <dcterms:modified xsi:type="dcterms:W3CDTF">2015-11-17T18:18:00Z</dcterms:modified>
  <cp:category> </cp:category>
  <cp:contentStatus> </cp:contentStatus>
</cp:coreProperties>
</file>