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0F69DF">
      <w:pPr>
        <w:pStyle w:val="Header"/>
        <w:tabs>
          <w:tab w:val="clear" w:pos="4320"/>
          <w:tab w:val="clear" w:pos="8640"/>
        </w:tabs>
        <w:sectPr w:rsidR="000F69DF" w:rsidSect="00E347E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sectPr>
      </w:pPr>
      <w:bookmarkStart w:id="1" w:name="_GoBack"/>
      <w:bookmarkEnd w:id="1"/>
    </w:p>
    <w:p w:rsidR="000F69DF" w:rsidRPr="001E68FC" w:rsidRDefault="000F69DF">
      <w:pPr>
        <w:jc w:val="right"/>
        <w:rPr>
          <w:b/>
          <w:sz w:val="24"/>
        </w:rPr>
      </w:pPr>
      <w:r w:rsidRPr="001E68FC">
        <w:rPr>
          <w:b/>
          <w:sz w:val="24"/>
        </w:rPr>
        <w:lastRenderedPageBreak/>
        <w:t>DA</w:t>
      </w:r>
      <w:r w:rsidR="007F0447">
        <w:rPr>
          <w:b/>
          <w:sz w:val="24"/>
        </w:rPr>
        <w:t xml:space="preserve"> 15</w:t>
      </w:r>
      <w:r w:rsidR="00876BD6">
        <w:rPr>
          <w:b/>
          <w:sz w:val="24"/>
        </w:rPr>
        <w:t>-130</w:t>
      </w:r>
    </w:p>
    <w:p w:rsidR="000F69DF" w:rsidRPr="001E68FC" w:rsidRDefault="007F0447">
      <w:pPr>
        <w:spacing w:before="60"/>
        <w:jc w:val="right"/>
        <w:rPr>
          <w:b/>
          <w:sz w:val="24"/>
        </w:rPr>
      </w:pPr>
      <w:r>
        <w:rPr>
          <w:b/>
          <w:sz w:val="24"/>
        </w:rPr>
        <w:t>January 30</w:t>
      </w:r>
      <w:r w:rsidR="001E68FC" w:rsidRPr="001E68FC">
        <w:rPr>
          <w:b/>
          <w:sz w:val="24"/>
        </w:rPr>
        <w:t>, 201</w:t>
      </w:r>
      <w:r>
        <w:rPr>
          <w:b/>
          <w:sz w:val="24"/>
        </w:rPr>
        <w:t>5</w:t>
      </w:r>
    </w:p>
    <w:p w:rsidR="000F69DF" w:rsidRDefault="000F69DF">
      <w:pPr>
        <w:jc w:val="right"/>
        <w:rPr>
          <w:sz w:val="24"/>
        </w:rPr>
      </w:pPr>
    </w:p>
    <w:p w:rsidR="001E68FC" w:rsidRPr="00553887" w:rsidRDefault="001E68FC" w:rsidP="006D0730">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sidR="0079324D">
        <w:rPr>
          <w:b/>
          <w:caps/>
          <w:szCs w:val="22"/>
        </w:rPr>
        <w:t xml:space="preserve">n </w:t>
      </w:r>
      <w:r>
        <w:rPr>
          <w:b/>
          <w:caps/>
          <w:szCs w:val="22"/>
        </w:rPr>
        <w:t>PETITION</w:t>
      </w:r>
      <w:r w:rsidR="001A1944">
        <w:rPr>
          <w:b/>
          <w:caps/>
          <w:szCs w:val="22"/>
        </w:rPr>
        <w:t xml:space="preserve">s concerning </w:t>
      </w:r>
      <w:r>
        <w:rPr>
          <w:b/>
          <w:caps/>
          <w:szCs w:val="22"/>
        </w:rPr>
        <w:t xml:space="preserve">THE cOMMISSION’S RULE ON OPT-OUT NOTICEs ON FAX ADVERTISEMENTS </w:t>
      </w:r>
    </w:p>
    <w:p w:rsidR="001E68FC" w:rsidRDefault="001E68FC" w:rsidP="001E68FC">
      <w:pPr>
        <w:jc w:val="center"/>
        <w:rPr>
          <w:b/>
          <w:szCs w:val="22"/>
        </w:rPr>
      </w:pPr>
    </w:p>
    <w:p w:rsidR="001E68FC" w:rsidRDefault="001E68FC" w:rsidP="001E68FC">
      <w:pPr>
        <w:jc w:val="center"/>
        <w:rPr>
          <w:b/>
          <w:szCs w:val="22"/>
        </w:rPr>
      </w:pPr>
      <w:r>
        <w:rPr>
          <w:b/>
          <w:szCs w:val="22"/>
        </w:rPr>
        <w:t>CG</w:t>
      </w:r>
      <w:r w:rsidRPr="009007BF">
        <w:rPr>
          <w:b/>
          <w:szCs w:val="22"/>
        </w:rPr>
        <w:t xml:space="preserve"> Docket No. </w:t>
      </w:r>
      <w:r>
        <w:rPr>
          <w:b/>
          <w:szCs w:val="22"/>
        </w:rPr>
        <w:t>02-278</w:t>
      </w:r>
    </w:p>
    <w:p w:rsidR="000F69DF" w:rsidRPr="001E68FC" w:rsidRDefault="001E68FC" w:rsidP="001E68FC">
      <w:pPr>
        <w:spacing w:after="240"/>
        <w:jc w:val="center"/>
        <w:rPr>
          <w:b/>
          <w:sz w:val="24"/>
        </w:rPr>
      </w:pPr>
      <w:r>
        <w:rPr>
          <w:b/>
          <w:szCs w:val="22"/>
        </w:rPr>
        <w:t>CG</w:t>
      </w:r>
      <w:r w:rsidRPr="009007BF">
        <w:rPr>
          <w:b/>
          <w:szCs w:val="22"/>
        </w:rPr>
        <w:t xml:space="preserve"> Docket No. </w:t>
      </w:r>
      <w:r>
        <w:rPr>
          <w:b/>
          <w:szCs w:val="22"/>
        </w:rPr>
        <w:t>05-338</w:t>
      </w:r>
    </w:p>
    <w:p w:rsidR="001E68FC" w:rsidRDefault="001E68FC" w:rsidP="001E68FC">
      <w:pPr>
        <w:pStyle w:val="Heading3"/>
        <w:numPr>
          <w:ilvl w:val="0"/>
          <w:numId w:val="0"/>
        </w:numPr>
        <w:spacing w:after="0"/>
        <w:rPr>
          <w:szCs w:val="22"/>
        </w:rPr>
      </w:pPr>
      <w:r w:rsidRPr="009007BF">
        <w:rPr>
          <w:szCs w:val="22"/>
        </w:rPr>
        <w:t>Comment Date</w:t>
      </w:r>
      <w:r w:rsidRPr="009007BF">
        <w:rPr>
          <w:b w:val="0"/>
          <w:szCs w:val="22"/>
        </w:rPr>
        <w:t>:</w:t>
      </w:r>
      <w:r w:rsidR="007F0447">
        <w:rPr>
          <w:szCs w:val="22"/>
        </w:rPr>
        <w:t xml:space="preserve">  February 13</w:t>
      </w:r>
      <w:r w:rsidR="001777EC">
        <w:rPr>
          <w:szCs w:val="22"/>
        </w:rPr>
        <w:t>, 2015</w:t>
      </w:r>
    </w:p>
    <w:p w:rsidR="000F69DF" w:rsidRDefault="001E68FC" w:rsidP="00997FAC">
      <w:pPr>
        <w:rPr>
          <w:b/>
        </w:rPr>
      </w:pPr>
      <w:r>
        <w:rPr>
          <w:b/>
        </w:rPr>
        <w:t>Reply Comment Date</w:t>
      </w:r>
      <w:r>
        <w:t xml:space="preserve">:  </w:t>
      </w:r>
      <w:r w:rsidR="007F0447">
        <w:rPr>
          <w:b/>
        </w:rPr>
        <w:t>February 20</w:t>
      </w:r>
      <w:r>
        <w:t xml:space="preserve">, </w:t>
      </w:r>
      <w:r w:rsidR="001777EC">
        <w:rPr>
          <w:b/>
        </w:rPr>
        <w:t>2015</w:t>
      </w:r>
    </w:p>
    <w:p w:rsidR="00DD44B0" w:rsidRPr="00997FAC" w:rsidRDefault="00DD44B0" w:rsidP="00997FAC">
      <w:pPr>
        <w:rPr>
          <w:b/>
        </w:rPr>
      </w:pPr>
    </w:p>
    <w:p w:rsidR="00B825BB" w:rsidRDefault="001E68FC" w:rsidP="00DD44B0">
      <w:pPr>
        <w:spacing w:before="120" w:after="240"/>
        <w:rPr>
          <w:szCs w:val="22"/>
        </w:rPr>
      </w:pPr>
      <w:r>
        <w:rPr>
          <w:sz w:val="24"/>
        </w:rPr>
        <w:tab/>
      </w:r>
      <w:r w:rsidR="00EE07EE">
        <w:rPr>
          <w:sz w:val="24"/>
        </w:rPr>
        <w:t xml:space="preserve"> </w:t>
      </w:r>
      <w:r w:rsidR="00151CBC">
        <w:rPr>
          <w:sz w:val="24"/>
        </w:rPr>
        <w:t xml:space="preserve">Fifteen </w:t>
      </w:r>
      <w:r w:rsidR="00CD76A8">
        <w:rPr>
          <w:szCs w:val="22"/>
        </w:rPr>
        <w:t xml:space="preserve">petitions have been filed seeking </w:t>
      </w:r>
      <w:r w:rsidR="00355318">
        <w:rPr>
          <w:szCs w:val="22"/>
        </w:rPr>
        <w:t>a</w:t>
      </w:r>
      <w:r w:rsidR="00B261AB">
        <w:rPr>
          <w:szCs w:val="22"/>
        </w:rPr>
        <w:t xml:space="preserve"> </w:t>
      </w:r>
      <w:r w:rsidR="00B4731C">
        <w:rPr>
          <w:szCs w:val="22"/>
        </w:rPr>
        <w:t>waiver of</w:t>
      </w:r>
      <w:r w:rsidRPr="00BC51CD">
        <w:rPr>
          <w:szCs w:val="22"/>
        </w:rPr>
        <w:t xml:space="preserve"> section 64.1200(a)(4)(iv) of the Commission’s rules, w</w:t>
      </w:r>
      <w:r w:rsidR="009D46E5">
        <w:rPr>
          <w:szCs w:val="22"/>
        </w:rPr>
        <w:t xml:space="preserve">hich requires </w:t>
      </w:r>
      <w:r w:rsidR="00BB0019">
        <w:rPr>
          <w:szCs w:val="22"/>
        </w:rPr>
        <w:t xml:space="preserve">that </w:t>
      </w:r>
      <w:r w:rsidR="00D33F24">
        <w:rPr>
          <w:szCs w:val="22"/>
        </w:rPr>
        <w:t>an</w:t>
      </w:r>
      <w:r w:rsidR="00D33F24" w:rsidRPr="00BC51CD">
        <w:rPr>
          <w:szCs w:val="22"/>
        </w:rPr>
        <w:t xml:space="preserve"> opt-out notice</w:t>
      </w:r>
      <w:r w:rsidR="00C45D0F">
        <w:rPr>
          <w:szCs w:val="22"/>
        </w:rPr>
        <w:t xml:space="preserve"> containing certain information</w:t>
      </w:r>
      <w:r w:rsidR="00B45287">
        <w:rPr>
          <w:rStyle w:val="FootnoteReference"/>
          <w:szCs w:val="22"/>
        </w:rPr>
        <w:footnoteReference w:id="1"/>
      </w:r>
      <w:r w:rsidR="00D33F24">
        <w:rPr>
          <w:szCs w:val="22"/>
        </w:rPr>
        <w:t xml:space="preserve"> </w:t>
      </w:r>
      <w:r w:rsidR="00BB0019">
        <w:rPr>
          <w:szCs w:val="22"/>
        </w:rPr>
        <w:t xml:space="preserve">be included </w:t>
      </w:r>
      <w:r w:rsidR="00D33F24">
        <w:rPr>
          <w:szCs w:val="22"/>
        </w:rPr>
        <w:t xml:space="preserve">in </w:t>
      </w:r>
      <w:r w:rsidR="009D46E5">
        <w:rPr>
          <w:szCs w:val="22"/>
        </w:rPr>
        <w:t>fax ads</w:t>
      </w:r>
      <w:r w:rsidRPr="00BC51CD">
        <w:rPr>
          <w:szCs w:val="22"/>
        </w:rPr>
        <w:t xml:space="preserve"> sent to a consumer who has provided prior express invitation or permission.</w:t>
      </w:r>
      <w:r w:rsidRPr="00BC51CD">
        <w:rPr>
          <w:rStyle w:val="FootnoteReference"/>
          <w:szCs w:val="22"/>
        </w:rPr>
        <w:footnoteReference w:id="2"/>
      </w:r>
      <w:r w:rsidRPr="00BC51CD">
        <w:rPr>
          <w:szCs w:val="22"/>
        </w:rPr>
        <w:t xml:space="preserve">  With this Public </w:t>
      </w:r>
      <w:r w:rsidR="00AC0A1F">
        <w:rPr>
          <w:szCs w:val="22"/>
        </w:rPr>
        <w:t>Notice, we seek comment on the P</w:t>
      </w:r>
      <w:r w:rsidR="00B261AB">
        <w:rPr>
          <w:szCs w:val="22"/>
        </w:rPr>
        <w:t>etition</w:t>
      </w:r>
      <w:r w:rsidR="00736654">
        <w:rPr>
          <w:szCs w:val="22"/>
        </w:rPr>
        <w:t>s</w:t>
      </w:r>
      <w:r w:rsidRPr="00BC51CD">
        <w:rPr>
          <w:szCs w:val="22"/>
        </w:rPr>
        <w:t xml:space="preserve"> </w:t>
      </w:r>
      <w:r w:rsidR="00B4731C">
        <w:rPr>
          <w:szCs w:val="22"/>
        </w:rPr>
        <w:t>as</w:t>
      </w:r>
      <w:r w:rsidR="00B825BB">
        <w:rPr>
          <w:szCs w:val="22"/>
        </w:rPr>
        <w:t xml:space="preserve"> </w:t>
      </w:r>
      <w:r w:rsidRPr="00BC51CD">
        <w:rPr>
          <w:szCs w:val="22"/>
        </w:rPr>
        <w:t>described below.</w:t>
      </w:r>
      <w:r w:rsidR="001A1944">
        <w:rPr>
          <w:rStyle w:val="FootnoteReference"/>
          <w:szCs w:val="22"/>
        </w:rPr>
        <w:footnoteReference w:id="3"/>
      </w:r>
      <w:r w:rsidRPr="00BC51CD">
        <w:rPr>
          <w:szCs w:val="22"/>
        </w:rPr>
        <w:t xml:space="preserve">  </w:t>
      </w:r>
    </w:p>
    <w:p w:rsidR="00E0730A" w:rsidRDefault="003F3F7F" w:rsidP="008E2BE7">
      <w:pPr>
        <w:spacing w:before="120" w:after="240"/>
        <w:ind w:firstLine="720"/>
        <w:rPr>
          <w:szCs w:val="22"/>
        </w:rPr>
      </w:pPr>
      <w:r>
        <w:rPr>
          <w:szCs w:val="22"/>
        </w:rPr>
        <w:lastRenderedPageBreak/>
        <w:t>Specifically</w:t>
      </w:r>
      <w:r w:rsidR="00DA3FCE">
        <w:rPr>
          <w:szCs w:val="22"/>
        </w:rPr>
        <w:t>,</w:t>
      </w:r>
      <w:r w:rsidR="00170DCF">
        <w:rPr>
          <w:szCs w:val="22"/>
        </w:rPr>
        <w:t xml:space="preserve"> </w:t>
      </w:r>
      <w:r w:rsidR="0002562F">
        <w:rPr>
          <w:szCs w:val="22"/>
        </w:rPr>
        <w:t>the P</w:t>
      </w:r>
      <w:r w:rsidR="008675B7">
        <w:rPr>
          <w:szCs w:val="22"/>
        </w:rPr>
        <w:t>etitioner</w:t>
      </w:r>
      <w:r w:rsidR="00370DD3">
        <w:rPr>
          <w:szCs w:val="22"/>
        </w:rPr>
        <w:t>s</w:t>
      </w:r>
      <w:r w:rsidR="003F0FC7">
        <w:rPr>
          <w:szCs w:val="22"/>
        </w:rPr>
        <w:t xml:space="preserve"> seek </w:t>
      </w:r>
      <w:r w:rsidR="00BB0019">
        <w:rPr>
          <w:szCs w:val="22"/>
        </w:rPr>
        <w:t xml:space="preserve">retroactive </w:t>
      </w:r>
      <w:r w:rsidR="00DA3FCE">
        <w:rPr>
          <w:szCs w:val="22"/>
        </w:rPr>
        <w:t>waiver</w:t>
      </w:r>
      <w:r w:rsidR="00BB0019">
        <w:rPr>
          <w:szCs w:val="22"/>
        </w:rPr>
        <w:t>s</w:t>
      </w:r>
      <w:r w:rsidR="00DA3FCE">
        <w:rPr>
          <w:szCs w:val="22"/>
        </w:rPr>
        <w:t xml:space="preserve"> </w:t>
      </w:r>
      <w:r w:rsidR="0001646B">
        <w:rPr>
          <w:szCs w:val="22"/>
        </w:rPr>
        <w:t xml:space="preserve">of the opt-out notice requirement </w:t>
      </w:r>
      <w:r w:rsidR="007F6B74">
        <w:rPr>
          <w:szCs w:val="22"/>
        </w:rPr>
        <w:t>for fax ad</w:t>
      </w:r>
      <w:r w:rsidR="00DA3FCE">
        <w:rPr>
          <w:szCs w:val="22"/>
        </w:rPr>
        <w:t xml:space="preserve">s </w:t>
      </w:r>
      <w:r w:rsidR="00BB0019">
        <w:rPr>
          <w:szCs w:val="22"/>
        </w:rPr>
        <w:t xml:space="preserve">they </w:t>
      </w:r>
      <w:r w:rsidR="007F6B74">
        <w:rPr>
          <w:szCs w:val="22"/>
        </w:rPr>
        <w:t>sent where prior express</w:t>
      </w:r>
      <w:r w:rsidR="0002562F">
        <w:rPr>
          <w:szCs w:val="22"/>
        </w:rPr>
        <w:t xml:space="preserve"> invitation or</w:t>
      </w:r>
      <w:r w:rsidR="007F6B74">
        <w:rPr>
          <w:szCs w:val="22"/>
        </w:rPr>
        <w:t xml:space="preserve"> permission</w:t>
      </w:r>
      <w:r w:rsidR="00DA3FCE">
        <w:rPr>
          <w:szCs w:val="22"/>
        </w:rPr>
        <w:t xml:space="preserve"> </w:t>
      </w:r>
      <w:r w:rsidR="00CC4395">
        <w:rPr>
          <w:szCs w:val="22"/>
        </w:rPr>
        <w:t xml:space="preserve">allegedly </w:t>
      </w:r>
      <w:r w:rsidR="00DA3FCE">
        <w:rPr>
          <w:szCs w:val="22"/>
        </w:rPr>
        <w:t>ha</w:t>
      </w:r>
      <w:r w:rsidR="00BB0019">
        <w:rPr>
          <w:szCs w:val="22"/>
        </w:rPr>
        <w:t>d</w:t>
      </w:r>
      <w:r w:rsidR="00DA3FCE">
        <w:rPr>
          <w:szCs w:val="22"/>
        </w:rPr>
        <w:t xml:space="preserve"> been obtained from the recipient.</w:t>
      </w:r>
      <w:r w:rsidR="00DA3FCE">
        <w:rPr>
          <w:rStyle w:val="FootnoteReference"/>
          <w:szCs w:val="22"/>
        </w:rPr>
        <w:footnoteReference w:id="4"/>
      </w:r>
      <w:r w:rsidR="00DA3FCE">
        <w:rPr>
          <w:szCs w:val="22"/>
        </w:rPr>
        <w:t xml:space="preserve"> </w:t>
      </w:r>
      <w:r w:rsidR="00F716C5">
        <w:rPr>
          <w:szCs w:val="22"/>
        </w:rPr>
        <w:t xml:space="preserve"> </w:t>
      </w:r>
      <w:r w:rsidR="003F0FC7">
        <w:rPr>
          <w:szCs w:val="22"/>
        </w:rPr>
        <w:t>The</w:t>
      </w:r>
      <w:r w:rsidR="0009564A">
        <w:rPr>
          <w:szCs w:val="22"/>
        </w:rPr>
        <w:t xml:space="preserve"> Petitioners argue that good cause exists because they are similarly situated to parties </w:t>
      </w:r>
      <w:r w:rsidR="00BB0019">
        <w:rPr>
          <w:szCs w:val="22"/>
        </w:rPr>
        <w:t xml:space="preserve">who </w:t>
      </w:r>
      <w:r w:rsidR="0009564A">
        <w:rPr>
          <w:szCs w:val="22"/>
        </w:rPr>
        <w:t>were granted retroactive waivers from this requirement by the Commission</w:t>
      </w:r>
      <w:r w:rsidR="00F551BD">
        <w:rPr>
          <w:szCs w:val="22"/>
        </w:rPr>
        <w:t xml:space="preserve"> in the </w:t>
      </w:r>
      <w:r w:rsidR="00BB0019">
        <w:rPr>
          <w:szCs w:val="22"/>
        </w:rPr>
        <w:t xml:space="preserve">recent </w:t>
      </w:r>
      <w:r w:rsidR="00BB0019" w:rsidRPr="00877275">
        <w:rPr>
          <w:i/>
          <w:szCs w:val="22"/>
        </w:rPr>
        <w:t xml:space="preserve">Anda </w:t>
      </w:r>
      <w:r w:rsidR="00F551BD" w:rsidRPr="00877275">
        <w:rPr>
          <w:i/>
          <w:szCs w:val="22"/>
        </w:rPr>
        <w:t>Order</w:t>
      </w:r>
      <w:r w:rsidR="0009564A">
        <w:rPr>
          <w:szCs w:val="22"/>
        </w:rPr>
        <w:t>.</w:t>
      </w:r>
      <w:r w:rsidR="0009564A">
        <w:rPr>
          <w:rStyle w:val="FootnoteReference"/>
          <w:szCs w:val="22"/>
        </w:rPr>
        <w:footnoteReference w:id="5"/>
      </w:r>
      <w:r w:rsidR="00490546">
        <w:rPr>
          <w:szCs w:val="22"/>
        </w:rPr>
        <w:t xml:space="preserve">  </w:t>
      </w:r>
      <w:r w:rsidR="00F551BD">
        <w:rPr>
          <w:szCs w:val="22"/>
        </w:rPr>
        <w:t xml:space="preserve">In the </w:t>
      </w:r>
      <w:r w:rsidR="00BB0019" w:rsidRPr="00877275">
        <w:rPr>
          <w:i/>
          <w:szCs w:val="22"/>
        </w:rPr>
        <w:t xml:space="preserve">Anda </w:t>
      </w:r>
      <w:r w:rsidR="00F551BD" w:rsidRPr="00877275">
        <w:rPr>
          <w:i/>
          <w:szCs w:val="22"/>
        </w:rPr>
        <w:t>Order</w:t>
      </w:r>
      <w:r w:rsidR="00F551BD" w:rsidRPr="00F551BD">
        <w:rPr>
          <w:szCs w:val="22"/>
        </w:rPr>
        <w:t>, the Commission granted retroact</w:t>
      </w:r>
      <w:r w:rsidR="00F551BD">
        <w:rPr>
          <w:szCs w:val="22"/>
        </w:rPr>
        <w:t xml:space="preserve">ive waivers </w:t>
      </w:r>
      <w:r w:rsidR="00F551BD" w:rsidRPr="00F551BD">
        <w:rPr>
          <w:szCs w:val="22"/>
        </w:rPr>
        <w:t>to several indivi</w:t>
      </w:r>
      <w:r w:rsidR="00A76D5D">
        <w:rPr>
          <w:szCs w:val="22"/>
        </w:rPr>
        <w:t xml:space="preserve">dual petitioners because of </w:t>
      </w:r>
      <w:r w:rsidR="00F551BD" w:rsidRPr="00F551BD">
        <w:rPr>
          <w:szCs w:val="22"/>
        </w:rPr>
        <w:t>uncertainty about whether the opt-out notic</w:t>
      </w:r>
      <w:r w:rsidR="00F551BD">
        <w:rPr>
          <w:szCs w:val="22"/>
        </w:rPr>
        <w:t>e applied to “solicited” faxes.</w:t>
      </w:r>
      <w:r w:rsidR="00404AC2">
        <w:rPr>
          <w:rStyle w:val="FootnoteReference"/>
          <w:szCs w:val="22"/>
        </w:rPr>
        <w:footnoteReference w:id="6"/>
      </w:r>
    </w:p>
    <w:p w:rsidR="00F716C5" w:rsidRPr="008D3C08" w:rsidRDefault="0014052B" w:rsidP="008E2BE7">
      <w:pPr>
        <w:spacing w:before="120" w:after="240"/>
        <w:ind w:firstLine="720"/>
        <w:rPr>
          <w:szCs w:val="22"/>
        </w:rPr>
      </w:pPr>
      <w:r>
        <w:rPr>
          <w:szCs w:val="22"/>
        </w:rPr>
        <w:t>The</w:t>
      </w:r>
      <w:r w:rsidR="008D3C08">
        <w:rPr>
          <w:szCs w:val="22"/>
        </w:rPr>
        <w:t xml:space="preserve"> waiver</w:t>
      </w:r>
      <w:r>
        <w:rPr>
          <w:szCs w:val="22"/>
        </w:rPr>
        <w:t xml:space="preserve">s granted in </w:t>
      </w:r>
      <w:r w:rsidR="000678E7">
        <w:rPr>
          <w:szCs w:val="22"/>
        </w:rPr>
        <w:t xml:space="preserve">the </w:t>
      </w:r>
      <w:r w:rsidR="00BB0019">
        <w:rPr>
          <w:i/>
          <w:szCs w:val="22"/>
        </w:rPr>
        <w:t xml:space="preserve">Anda </w:t>
      </w:r>
      <w:r w:rsidR="000678E7">
        <w:rPr>
          <w:i/>
          <w:szCs w:val="22"/>
        </w:rPr>
        <w:t xml:space="preserve">Order </w:t>
      </w:r>
      <w:r>
        <w:rPr>
          <w:szCs w:val="22"/>
        </w:rPr>
        <w:t>apply</w:t>
      </w:r>
      <w:r w:rsidR="008D3C08">
        <w:rPr>
          <w:szCs w:val="22"/>
        </w:rPr>
        <w:t xml:space="preserve"> only to the individual petitioners listed in th</w:t>
      </w:r>
      <w:r w:rsidR="000678E7">
        <w:rPr>
          <w:szCs w:val="22"/>
        </w:rPr>
        <w:t>at order</w:t>
      </w:r>
      <w:r w:rsidR="008D3C08">
        <w:rPr>
          <w:szCs w:val="22"/>
        </w:rPr>
        <w:t>.</w:t>
      </w:r>
      <w:r>
        <w:rPr>
          <w:rStyle w:val="FootnoteReference"/>
          <w:szCs w:val="22"/>
        </w:rPr>
        <w:footnoteReference w:id="7"/>
      </w:r>
      <w:r w:rsidR="008D3C08">
        <w:rPr>
          <w:szCs w:val="22"/>
        </w:rPr>
        <w:t xml:space="preserve">  The Commission noted, however, that other, similarly situated parties may also seek waivers.</w:t>
      </w:r>
      <w:r w:rsidR="000678E7">
        <w:rPr>
          <w:szCs w:val="22"/>
        </w:rPr>
        <w:t xml:space="preserve">  We therefore </w:t>
      </w:r>
      <w:r w:rsidR="008D3C08">
        <w:rPr>
          <w:szCs w:val="22"/>
        </w:rPr>
        <w:t>seek comment on the Petitioners</w:t>
      </w:r>
      <w:r>
        <w:rPr>
          <w:szCs w:val="22"/>
        </w:rPr>
        <w:t>’</w:t>
      </w:r>
      <w:r w:rsidR="008D3C08">
        <w:rPr>
          <w:szCs w:val="22"/>
        </w:rPr>
        <w:t xml:space="preserve"> r</w:t>
      </w:r>
      <w:r>
        <w:rPr>
          <w:szCs w:val="22"/>
        </w:rPr>
        <w:t>equest</w:t>
      </w:r>
      <w:r w:rsidR="000678E7">
        <w:rPr>
          <w:szCs w:val="22"/>
        </w:rPr>
        <w:t>s</w:t>
      </w:r>
      <w:r>
        <w:rPr>
          <w:szCs w:val="22"/>
        </w:rPr>
        <w:t xml:space="preserve"> for waiver consistent with the </w:t>
      </w:r>
      <w:r w:rsidR="008E2BE7">
        <w:rPr>
          <w:szCs w:val="22"/>
        </w:rPr>
        <w:t>guidance set forth</w:t>
      </w:r>
      <w:r>
        <w:rPr>
          <w:szCs w:val="22"/>
        </w:rPr>
        <w:t xml:space="preserve"> in the </w:t>
      </w:r>
      <w:r w:rsidR="00404AC2">
        <w:rPr>
          <w:i/>
          <w:szCs w:val="22"/>
        </w:rPr>
        <w:t xml:space="preserve">Anda </w:t>
      </w:r>
      <w:r>
        <w:rPr>
          <w:i/>
          <w:szCs w:val="22"/>
        </w:rPr>
        <w:t>Order</w:t>
      </w:r>
      <w:r>
        <w:rPr>
          <w:szCs w:val="22"/>
        </w:rPr>
        <w:t>.</w:t>
      </w:r>
      <w:r w:rsidR="008D3C08">
        <w:rPr>
          <w:szCs w:val="22"/>
        </w:rPr>
        <w:t xml:space="preserve"> </w:t>
      </w:r>
    </w:p>
    <w:p w:rsidR="001E68FC" w:rsidRPr="001E68FC" w:rsidRDefault="001E68FC" w:rsidP="001E68FC">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1E68FC" w:rsidRPr="001E68FC" w:rsidRDefault="001E68FC" w:rsidP="001E68FC">
      <w:pPr>
        <w:autoSpaceDE w:val="0"/>
        <w:autoSpaceDN w:val="0"/>
        <w:adjustRightInd w:val="0"/>
        <w:ind w:firstLine="720"/>
        <w:rPr>
          <w:szCs w:val="22"/>
        </w:rPr>
      </w:pPr>
    </w:p>
    <w:p w:rsidR="001E68FC" w:rsidRPr="001E68FC" w:rsidRDefault="001E68FC" w:rsidP="001E68FC">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1E68FC" w:rsidRPr="001E68FC" w:rsidRDefault="001E68FC" w:rsidP="001E68FC">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1E68FC" w:rsidRPr="001E68FC" w:rsidRDefault="001E68FC" w:rsidP="001E68FC">
      <w:pPr>
        <w:numPr>
          <w:ilvl w:val="0"/>
          <w:numId w:val="13"/>
        </w:numPr>
        <w:autoSpaceDE w:val="0"/>
        <w:autoSpaceDN w:val="0"/>
        <w:adjustRightInd w:val="0"/>
        <w:rPr>
          <w:szCs w:val="22"/>
        </w:rPr>
      </w:pPr>
      <w:r w:rsidRPr="001E68FC">
        <w:rPr>
          <w:szCs w:val="22"/>
        </w:rPr>
        <w:lastRenderedPageBreak/>
        <w:t>Filings can be sent by hand or messenger delivery, by commercial overnight courier, or by first-class or overnight U.S. Postal Service mail.  All filings must be addressed to the Commission’s Secretary, Office of the Secretary, Federal Communications Commission.</w:t>
      </w:r>
    </w:p>
    <w:p w:rsidR="001E68FC" w:rsidRPr="001E68FC" w:rsidRDefault="001E68FC" w:rsidP="001E68FC">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1E68FC" w:rsidRPr="001E68FC" w:rsidRDefault="001E68FC" w:rsidP="001E68FC">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1E68FC" w:rsidRPr="001E68FC" w:rsidRDefault="001E68FC" w:rsidP="001E68FC">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1E68FC" w:rsidRPr="001E68FC" w:rsidRDefault="001E68FC" w:rsidP="001E68FC">
      <w:pPr>
        <w:autoSpaceDE w:val="0"/>
        <w:autoSpaceDN w:val="0"/>
        <w:adjustRightInd w:val="0"/>
        <w:rPr>
          <w:szCs w:val="22"/>
        </w:rPr>
      </w:pPr>
    </w:p>
    <w:p w:rsidR="001E68FC" w:rsidRPr="001E68FC" w:rsidRDefault="001E68FC" w:rsidP="001E68FC">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1E68FC" w:rsidRPr="001E68FC" w:rsidRDefault="001E68FC" w:rsidP="001E68FC">
      <w:pPr>
        <w:autoSpaceDE w:val="0"/>
        <w:autoSpaceDN w:val="0"/>
        <w:adjustRightInd w:val="0"/>
        <w:ind w:firstLine="720"/>
        <w:rPr>
          <w:szCs w:val="22"/>
        </w:rPr>
      </w:pPr>
    </w:p>
    <w:p w:rsidR="001E68FC" w:rsidRPr="001E68FC" w:rsidRDefault="001E68FC" w:rsidP="001E68FC">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8"/>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1E68FC" w:rsidRPr="001E68FC" w:rsidRDefault="001E68FC" w:rsidP="001E68FC">
      <w:pPr>
        <w:autoSpaceDE w:val="0"/>
        <w:autoSpaceDN w:val="0"/>
        <w:adjustRightInd w:val="0"/>
        <w:rPr>
          <w:szCs w:val="22"/>
        </w:rPr>
      </w:pPr>
    </w:p>
    <w:p w:rsidR="001E68FC" w:rsidRDefault="001E68FC" w:rsidP="001E68FC">
      <w:pPr>
        <w:rPr>
          <w:szCs w:val="22"/>
        </w:rPr>
      </w:pPr>
      <w:r w:rsidRPr="001E68FC">
        <w:rPr>
          <w:b/>
          <w:szCs w:val="22"/>
        </w:rPr>
        <w:t>FOR FURTHER INFORMATION CONTACT:</w:t>
      </w:r>
      <w:r w:rsidRPr="001E68FC">
        <w:rPr>
          <w:szCs w:val="22"/>
        </w:rPr>
        <w:t xml:space="preserve">  </w:t>
      </w:r>
      <w:r w:rsidR="003D0EBD">
        <w:rPr>
          <w:szCs w:val="22"/>
        </w:rPr>
        <w:t>Rebecca A. Hirselj</w:t>
      </w:r>
      <w:r w:rsidRPr="001E68FC">
        <w:rPr>
          <w:szCs w:val="22"/>
        </w:rPr>
        <w:t>, Consumer and Governmental Affairs Bureau, Federal Communications Co</w:t>
      </w:r>
      <w:r w:rsidR="003D0EBD">
        <w:rPr>
          <w:szCs w:val="22"/>
        </w:rPr>
        <w:t>mmission, (202</w:t>
      </w:r>
      <w:r w:rsidRPr="001E68FC">
        <w:rPr>
          <w:szCs w:val="22"/>
        </w:rPr>
        <w:t xml:space="preserve">) </w:t>
      </w:r>
      <w:r w:rsidR="003D0EBD">
        <w:rPr>
          <w:szCs w:val="22"/>
        </w:rPr>
        <w:t>41</w:t>
      </w:r>
      <w:r w:rsidRPr="001E68FC">
        <w:rPr>
          <w:szCs w:val="22"/>
        </w:rPr>
        <w:t>8-</w:t>
      </w:r>
      <w:r w:rsidR="003D0EBD">
        <w:rPr>
          <w:szCs w:val="22"/>
        </w:rPr>
        <w:t>7603</w:t>
      </w:r>
      <w:r w:rsidR="006D0730">
        <w:rPr>
          <w:szCs w:val="22"/>
        </w:rPr>
        <w:t>;</w:t>
      </w:r>
      <w:r w:rsidRPr="001E68FC">
        <w:rPr>
          <w:szCs w:val="22"/>
        </w:rPr>
        <w:t xml:space="preserve"> or </w:t>
      </w:r>
      <w:hyperlink r:id="rId15" w:history="1">
        <w:r w:rsidR="003D0EBD" w:rsidRPr="004C4699">
          <w:rPr>
            <w:rStyle w:val="Hyperlink"/>
            <w:szCs w:val="22"/>
          </w:rPr>
          <w:t>Rebecca.Hirselj@fcc.gov</w:t>
        </w:r>
      </w:hyperlink>
      <w:r w:rsidRPr="001E68FC">
        <w:rPr>
          <w:szCs w:val="22"/>
        </w:rPr>
        <w:t>.</w:t>
      </w:r>
    </w:p>
    <w:p w:rsidR="00E41CC7" w:rsidRPr="001E68FC" w:rsidRDefault="00E41CC7" w:rsidP="001E68FC">
      <w:pPr>
        <w:rPr>
          <w:szCs w:val="22"/>
        </w:rPr>
      </w:pPr>
    </w:p>
    <w:p w:rsidR="006878EA" w:rsidRPr="00801FF6" w:rsidRDefault="001E68FC" w:rsidP="00801FF6">
      <w:pPr>
        <w:jc w:val="center"/>
        <w:rPr>
          <w:b/>
          <w:sz w:val="24"/>
          <w:szCs w:val="24"/>
        </w:rPr>
      </w:pPr>
      <w:r w:rsidRPr="001E68FC">
        <w:rPr>
          <w:b/>
          <w:sz w:val="24"/>
          <w:szCs w:val="24"/>
        </w:rPr>
        <w:t>-FCC-</w:t>
      </w:r>
    </w:p>
    <w:sectPr w:rsidR="006878EA" w:rsidRPr="00801FF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53" w:rsidRDefault="004D6553">
      <w:r>
        <w:separator/>
      </w:r>
    </w:p>
  </w:endnote>
  <w:endnote w:type="continuationSeparator" w:id="0">
    <w:p w:rsidR="004D6553" w:rsidRDefault="004D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E0" w:rsidRDefault="00C05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E0" w:rsidRDefault="00C05B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Default="003F485F">
    <w:pPr>
      <w:pStyle w:val="Footer"/>
      <w:jc w:val="center"/>
    </w:pPr>
  </w:p>
  <w:p w:rsidR="003F485F" w:rsidRDefault="003F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53" w:rsidRDefault="004D6553">
      <w:r>
        <w:separator/>
      </w:r>
    </w:p>
  </w:footnote>
  <w:footnote w:type="continuationSeparator" w:id="0">
    <w:p w:rsidR="004D6553" w:rsidRDefault="004D6553">
      <w:r>
        <w:continuationSeparator/>
      </w:r>
    </w:p>
  </w:footnote>
  <w:footnote w:id="1">
    <w:p w:rsidR="00B45287" w:rsidRPr="007512B4" w:rsidRDefault="00B45287">
      <w:pPr>
        <w:pStyle w:val="FootnoteText"/>
        <w:rPr>
          <w:sz w:val="20"/>
        </w:rPr>
      </w:pPr>
      <w:r w:rsidRPr="007512B4">
        <w:rPr>
          <w:rStyle w:val="FootnoteReference"/>
          <w:sz w:val="20"/>
        </w:rPr>
        <w:footnoteRef/>
      </w:r>
      <w:r w:rsidRPr="007512B4">
        <w:rPr>
          <w:sz w:val="20"/>
        </w:rPr>
        <w:t xml:space="preserve"> </w:t>
      </w:r>
      <w:r w:rsidR="007512B4" w:rsidRPr="007512B4">
        <w:rPr>
          <w:sz w:val="20"/>
        </w:rPr>
        <w:t>The rule</w:t>
      </w:r>
      <w:r w:rsidR="007512B4">
        <w:rPr>
          <w:sz w:val="20"/>
        </w:rPr>
        <w:t>s specify</w:t>
      </w:r>
      <w:r w:rsidR="007512B4" w:rsidRPr="007512B4">
        <w:rPr>
          <w:sz w:val="20"/>
        </w:rPr>
        <w:t xml:space="preserve"> that the opt-out notice contained in fax ads must:  (1) be clear and conspicuous </w:t>
      </w:r>
      <w:r w:rsidR="007512B4">
        <w:rPr>
          <w:sz w:val="20"/>
        </w:rPr>
        <w:t xml:space="preserve">and </w:t>
      </w:r>
      <w:r w:rsidR="007512B4" w:rsidRPr="007512B4">
        <w:rPr>
          <w:sz w:val="20"/>
        </w:rPr>
        <w:t>on the first page of the ad; (2) state that the recipient may make a request to the sender not to send any future a</w:t>
      </w:r>
      <w:r w:rsidR="007512B4">
        <w:rPr>
          <w:sz w:val="20"/>
        </w:rPr>
        <w:t xml:space="preserve">ds and that failure to comply, </w:t>
      </w:r>
      <w:r w:rsidR="007512B4" w:rsidRPr="007512B4">
        <w:rPr>
          <w:sz w:val="20"/>
        </w:rPr>
        <w:t xml:space="preserve">within 30 days, with a request is unlawful; and, (3) contain a domestic contact telephone number and fax number for the recipient to transmit an opt-out request. </w:t>
      </w:r>
      <w:r w:rsidR="007512B4">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007512B4" w:rsidRPr="007512B4">
        <w:rPr>
          <w:sz w:val="20"/>
        </w:rPr>
        <w:t xml:space="preserve"> </w:t>
      </w:r>
      <w:r w:rsidR="007512B4" w:rsidRPr="007512B4">
        <w:rPr>
          <w:i/>
          <w:sz w:val="20"/>
        </w:rPr>
        <w:t xml:space="preserve">See </w:t>
      </w:r>
      <w:r w:rsidR="007512B4" w:rsidRPr="007512B4">
        <w:rPr>
          <w:sz w:val="20"/>
        </w:rPr>
        <w:t>47 C.F.R. § 64.1200 (a)(4)</w:t>
      </w:r>
      <w:r w:rsidR="007512B4">
        <w:rPr>
          <w:sz w:val="20"/>
        </w:rPr>
        <w:t>(iii)-</w:t>
      </w:r>
      <w:r w:rsidR="007512B4" w:rsidRPr="007512B4">
        <w:rPr>
          <w:sz w:val="20"/>
        </w:rPr>
        <w:t>(iv).</w:t>
      </w:r>
    </w:p>
  </w:footnote>
  <w:footnote w:id="2">
    <w:p w:rsidR="003F485F" w:rsidRPr="007512B4" w:rsidRDefault="003F485F" w:rsidP="001E68FC">
      <w:pPr>
        <w:rPr>
          <w:sz w:val="20"/>
        </w:rPr>
      </w:pPr>
      <w:r w:rsidRPr="007512B4">
        <w:rPr>
          <w:rStyle w:val="FootnoteReference"/>
          <w:sz w:val="20"/>
        </w:rPr>
        <w:footnoteRef/>
      </w:r>
      <w:r w:rsidRPr="007512B4">
        <w:rPr>
          <w:sz w:val="20"/>
        </w:rPr>
        <w:t xml:space="preserve"> </w:t>
      </w:r>
      <w:r w:rsidRPr="007512B4">
        <w:rPr>
          <w:i/>
          <w:sz w:val="20"/>
        </w:rPr>
        <w:t xml:space="preserve">See </w:t>
      </w:r>
      <w:r w:rsidR="003E6767" w:rsidRPr="007512B4">
        <w:rPr>
          <w:i/>
          <w:sz w:val="20"/>
        </w:rPr>
        <w:t xml:space="preserve">Petition of </w:t>
      </w:r>
      <w:r w:rsidR="003E6767">
        <w:rPr>
          <w:i/>
          <w:sz w:val="20"/>
        </w:rPr>
        <w:t xml:space="preserve">SME, Inc. USA d/b/a Superior Medical Equipment </w:t>
      </w:r>
      <w:r w:rsidR="003E6767" w:rsidRPr="007512B4">
        <w:rPr>
          <w:i/>
          <w:sz w:val="20"/>
        </w:rPr>
        <w:t>for Waiver</w:t>
      </w:r>
      <w:r w:rsidR="003E6767">
        <w:rPr>
          <w:i/>
          <w:sz w:val="20"/>
        </w:rPr>
        <w:t xml:space="preserve"> of Section 64.1200(a)(4)(iv) of the Commission’s Rules</w:t>
      </w:r>
      <w:r w:rsidR="003E6767" w:rsidRPr="007512B4">
        <w:rPr>
          <w:sz w:val="20"/>
        </w:rPr>
        <w:t xml:space="preserve">, CG Docket </w:t>
      </w:r>
      <w:r w:rsidR="003E6767">
        <w:rPr>
          <w:sz w:val="20"/>
        </w:rPr>
        <w:t>Nos. 02-278, 05-338 (filed Dec. 29, 2014</w:t>
      </w:r>
      <w:r w:rsidR="003E6767" w:rsidRPr="007512B4">
        <w:rPr>
          <w:sz w:val="20"/>
        </w:rPr>
        <w:t>) (</w:t>
      </w:r>
      <w:r w:rsidR="003E6767">
        <w:rPr>
          <w:sz w:val="20"/>
        </w:rPr>
        <w:t>SME</w:t>
      </w:r>
      <w:r w:rsidR="003E6767" w:rsidRPr="007512B4">
        <w:rPr>
          <w:sz w:val="20"/>
        </w:rPr>
        <w:t xml:space="preserve"> Petition);</w:t>
      </w:r>
      <w:r w:rsidR="001A1944">
        <w:rPr>
          <w:sz w:val="20"/>
        </w:rPr>
        <w:t xml:space="preserve"> </w:t>
      </w:r>
      <w:r w:rsidR="003E6767" w:rsidRPr="007512B4">
        <w:rPr>
          <w:i/>
          <w:sz w:val="20"/>
        </w:rPr>
        <w:t xml:space="preserve">Petition of </w:t>
      </w:r>
      <w:r w:rsidR="003E6767">
        <w:rPr>
          <w:i/>
          <w:sz w:val="20"/>
        </w:rPr>
        <w:t xml:space="preserve">Dental Solutions, Inc. d/b/a Hogan Dental Laboratory </w:t>
      </w:r>
      <w:r w:rsidR="003E6767" w:rsidRPr="007512B4">
        <w:rPr>
          <w:i/>
          <w:sz w:val="20"/>
        </w:rPr>
        <w:t xml:space="preserve">for </w:t>
      </w:r>
      <w:r w:rsidR="003E6767">
        <w:rPr>
          <w:i/>
          <w:sz w:val="20"/>
        </w:rPr>
        <w:t xml:space="preserve">Retroactive </w:t>
      </w:r>
      <w:r w:rsidR="003E6767" w:rsidRPr="007512B4">
        <w:rPr>
          <w:i/>
          <w:sz w:val="20"/>
        </w:rPr>
        <w:t>Waiver</w:t>
      </w:r>
      <w:r w:rsidR="003E6767" w:rsidRPr="007512B4">
        <w:rPr>
          <w:sz w:val="20"/>
        </w:rPr>
        <w:t xml:space="preserve">, CG Docket </w:t>
      </w:r>
      <w:r w:rsidR="003E6767">
        <w:rPr>
          <w:sz w:val="20"/>
        </w:rPr>
        <w:t>Nos. 02-278, 05-338 (filed Dec. 31, 2014</w:t>
      </w:r>
      <w:r w:rsidR="003E6767" w:rsidRPr="007512B4">
        <w:rPr>
          <w:sz w:val="20"/>
        </w:rPr>
        <w:t>) (</w:t>
      </w:r>
      <w:r w:rsidR="003E6767">
        <w:rPr>
          <w:sz w:val="20"/>
        </w:rPr>
        <w:t>Dental Solutions</w:t>
      </w:r>
      <w:r w:rsidR="003E6767" w:rsidRPr="007512B4">
        <w:rPr>
          <w:sz w:val="20"/>
        </w:rPr>
        <w:t xml:space="preserve"> Petition);</w:t>
      </w:r>
      <w:r w:rsidR="003E6767">
        <w:rPr>
          <w:sz w:val="20"/>
        </w:rPr>
        <w:t xml:space="preserve"> </w:t>
      </w:r>
      <w:r w:rsidR="003E6767" w:rsidRPr="007512B4">
        <w:rPr>
          <w:i/>
          <w:sz w:val="20"/>
        </w:rPr>
        <w:t xml:space="preserve">Petition of </w:t>
      </w:r>
      <w:r w:rsidR="003E6767">
        <w:rPr>
          <w:i/>
          <w:sz w:val="20"/>
        </w:rPr>
        <w:t xml:space="preserve">A-S Medication Solutions, LLC for </w:t>
      </w:r>
      <w:r w:rsidR="003E6767" w:rsidRPr="007512B4">
        <w:rPr>
          <w:i/>
          <w:sz w:val="20"/>
        </w:rPr>
        <w:t>Waiver</w:t>
      </w:r>
      <w:r w:rsidR="003E6767">
        <w:rPr>
          <w:i/>
          <w:sz w:val="20"/>
        </w:rPr>
        <w:t xml:space="preserve"> of Section 64.1200(a)(4)(iv) of the Commission’s Rules and/or Declaratory Ruling</w:t>
      </w:r>
      <w:r w:rsidR="003E6767" w:rsidRPr="007512B4">
        <w:rPr>
          <w:sz w:val="20"/>
        </w:rPr>
        <w:t xml:space="preserve">, CG Docket </w:t>
      </w:r>
      <w:r w:rsidR="003E6767">
        <w:rPr>
          <w:sz w:val="20"/>
        </w:rPr>
        <w:t>Nos. 02-278, 05-338 (filed Jan. 5, 2015</w:t>
      </w:r>
      <w:r w:rsidR="003E6767" w:rsidRPr="007512B4">
        <w:rPr>
          <w:sz w:val="20"/>
        </w:rPr>
        <w:t>) (</w:t>
      </w:r>
      <w:r w:rsidR="003E6767">
        <w:rPr>
          <w:sz w:val="20"/>
        </w:rPr>
        <w:t>A-S</w:t>
      </w:r>
      <w:r w:rsidR="003E6767" w:rsidRPr="007512B4">
        <w:rPr>
          <w:sz w:val="20"/>
        </w:rPr>
        <w:t xml:space="preserve"> Petition);</w:t>
      </w:r>
      <w:r w:rsidR="003E6767">
        <w:rPr>
          <w:sz w:val="20"/>
        </w:rPr>
        <w:t xml:space="preserve"> </w:t>
      </w:r>
      <w:r w:rsidR="003E6767">
        <w:rPr>
          <w:i/>
          <w:sz w:val="20"/>
        </w:rPr>
        <w:t xml:space="preserve">Petition of Surefire Fulfillment Services, Inc. d/b/a Surefire Health and Gary Mills </w:t>
      </w:r>
      <w:r w:rsidR="003E6767" w:rsidRPr="007512B4">
        <w:rPr>
          <w:i/>
          <w:sz w:val="20"/>
        </w:rPr>
        <w:t>for Waiver</w:t>
      </w:r>
      <w:r w:rsidR="003E6767" w:rsidRPr="007512B4">
        <w:rPr>
          <w:sz w:val="20"/>
        </w:rPr>
        <w:t xml:space="preserve">, CG Docket </w:t>
      </w:r>
      <w:r w:rsidR="003E6767">
        <w:rPr>
          <w:sz w:val="20"/>
        </w:rPr>
        <w:t>Nos. 02-278, 05-338 (filed Jan. 6, 2015</w:t>
      </w:r>
      <w:r w:rsidR="003E6767" w:rsidRPr="007512B4">
        <w:rPr>
          <w:sz w:val="20"/>
        </w:rPr>
        <w:t>) (</w:t>
      </w:r>
      <w:r w:rsidR="003E6767">
        <w:rPr>
          <w:sz w:val="20"/>
        </w:rPr>
        <w:t>Surefire</w:t>
      </w:r>
      <w:r w:rsidR="003E6767" w:rsidRPr="007512B4">
        <w:rPr>
          <w:sz w:val="20"/>
        </w:rPr>
        <w:t xml:space="preserve"> Petition);</w:t>
      </w:r>
      <w:r w:rsidR="003E6767">
        <w:rPr>
          <w:sz w:val="20"/>
        </w:rPr>
        <w:t xml:space="preserve"> </w:t>
      </w:r>
      <w:r w:rsidR="00FD4966" w:rsidRPr="007512B4">
        <w:rPr>
          <w:i/>
          <w:sz w:val="20"/>
        </w:rPr>
        <w:t xml:space="preserve">Petition of </w:t>
      </w:r>
      <w:r w:rsidR="007F0447">
        <w:rPr>
          <w:i/>
          <w:sz w:val="20"/>
        </w:rPr>
        <w:t xml:space="preserve">Social UPS, LLC, </w:t>
      </w:r>
      <w:r w:rsidR="009043F0">
        <w:rPr>
          <w:i/>
          <w:sz w:val="20"/>
        </w:rPr>
        <w:t>et. al</w:t>
      </w:r>
      <w:r w:rsidR="007F0447">
        <w:rPr>
          <w:i/>
          <w:sz w:val="20"/>
        </w:rPr>
        <w:t xml:space="preserve"> </w:t>
      </w:r>
      <w:r w:rsidR="00FD4966" w:rsidRPr="007512B4">
        <w:rPr>
          <w:i/>
          <w:sz w:val="20"/>
        </w:rPr>
        <w:t xml:space="preserve">for </w:t>
      </w:r>
      <w:r w:rsidR="007F0447">
        <w:rPr>
          <w:i/>
          <w:sz w:val="20"/>
        </w:rPr>
        <w:t xml:space="preserve">Retroactive </w:t>
      </w:r>
      <w:r w:rsidR="00FD4966" w:rsidRPr="007512B4">
        <w:rPr>
          <w:i/>
          <w:sz w:val="20"/>
        </w:rPr>
        <w:t>Waiver</w:t>
      </w:r>
      <w:r w:rsidR="00FD4966" w:rsidRPr="007512B4">
        <w:rPr>
          <w:sz w:val="20"/>
        </w:rPr>
        <w:t xml:space="preserve">, CG Docket </w:t>
      </w:r>
      <w:r w:rsidR="007F0447">
        <w:rPr>
          <w:sz w:val="20"/>
        </w:rPr>
        <w:t>Nos. 02-278, 05-338 (filed Jan. 8, 2015</w:t>
      </w:r>
      <w:r w:rsidR="00FD4966" w:rsidRPr="007512B4">
        <w:rPr>
          <w:sz w:val="20"/>
        </w:rPr>
        <w:t>) (</w:t>
      </w:r>
      <w:r w:rsidR="007F0447">
        <w:rPr>
          <w:sz w:val="20"/>
        </w:rPr>
        <w:t>Social UPS</w:t>
      </w:r>
      <w:r w:rsidR="00FD4966" w:rsidRPr="007512B4">
        <w:rPr>
          <w:sz w:val="20"/>
        </w:rPr>
        <w:t xml:space="preserve"> Petition);</w:t>
      </w:r>
      <w:r w:rsidR="007F0447" w:rsidRPr="007F0447">
        <w:rPr>
          <w:i/>
          <w:sz w:val="20"/>
        </w:rPr>
        <w:t xml:space="preserve"> </w:t>
      </w:r>
      <w:r w:rsidR="007F0447">
        <w:rPr>
          <w:i/>
          <w:sz w:val="20"/>
        </w:rPr>
        <w:t xml:space="preserve">Petition of Medversant Technologies, LLC </w:t>
      </w:r>
      <w:r w:rsidR="007F0447" w:rsidRPr="007512B4">
        <w:rPr>
          <w:i/>
          <w:sz w:val="20"/>
        </w:rPr>
        <w:t>for Waiver</w:t>
      </w:r>
      <w:r w:rsidR="007F0447" w:rsidRPr="007512B4">
        <w:rPr>
          <w:sz w:val="20"/>
        </w:rPr>
        <w:t xml:space="preserve">, CG Docket </w:t>
      </w:r>
      <w:r w:rsidR="007F0447">
        <w:rPr>
          <w:sz w:val="20"/>
        </w:rPr>
        <w:t>Nos. 02-278, 05-338 (filed Jan. 8, 2015</w:t>
      </w:r>
      <w:r w:rsidR="007F0447" w:rsidRPr="007512B4">
        <w:rPr>
          <w:sz w:val="20"/>
        </w:rPr>
        <w:t>) (</w:t>
      </w:r>
      <w:r w:rsidR="007F0447">
        <w:rPr>
          <w:sz w:val="20"/>
        </w:rPr>
        <w:t>Medversant</w:t>
      </w:r>
      <w:r w:rsidR="007F0447" w:rsidRPr="007512B4">
        <w:rPr>
          <w:sz w:val="20"/>
        </w:rPr>
        <w:t xml:space="preserve"> Petition);</w:t>
      </w:r>
      <w:r w:rsidR="003D0EBD">
        <w:rPr>
          <w:sz w:val="20"/>
        </w:rPr>
        <w:t xml:space="preserve"> </w:t>
      </w:r>
      <w:r w:rsidR="003D0EBD" w:rsidRPr="00BD3440">
        <w:rPr>
          <w:i/>
          <w:sz w:val="20"/>
        </w:rPr>
        <w:t>Petition of Andrew Lichtenstein, Inc. d/b/a Lichtensteinre d/b/a Doctormortgage.com and Andrew Lichtenstein for Waiver of Rule 64.1200(a)(3)(iv)</w:t>
      </w:r>
      <w:r w:rsidR="003D0EBD">
        <w:rPr>
          <w:sz w:val="20"/>
        </w:rPr>
        <w:t xml:space="preserve">, CG Docket No. 05-338 (filed Jan. 15, 2015) (Lichtenstein Petition); </w:t>
      </w:r>
      <w:r w:rsidR="006D1548" w:rsidRPr="00BD3440">
        <w:rPr>
          <w:i/>
          <w:sz w:val="20"/>
        </w:rPr>
        <w:t>Petition of Zoetis Inc., et al. for Retroactive Waiver, or in the Alternative, for Declaratory Ruling</w:t>
      </w:r>
      <w:r w:rsidR="006D1548">
        <w:rPr>
          <w:sz w:val="20"/>
        </w:rPr>
        <w:t>, CG Docket Nos. 02-278, 05-338 (filed Jan. 16, 2005)</w:t>
      </w:r>
      <w:r w:rsidR="00B24DCB">
        <w:rPr>
          <w:sz w:val="20"/>
        </w:rPr>
        <w:t xml:space="preserve"> (Zoetis Petition)</w:t>
      </w:r>
      <w:r w:rsidR="006D1548">
        <w:rPr>
          <w:sz w:val="20"/>
        </w:rPr>
        <w:t xml:space="preserve">; </w:t>
      </w:r>
      <w:r w:rsidR="006D1548" w:rsidRPr="00BD3440">
        <w:rPr>
          <w:i/>
          <w:sz w:val="20"/>
        </w:rPr>
        <w:t xml:space="preserve">Petition of RadNet Management, Inc., </w:t>
      </w:r>
      <w:r w:rsidR="00BD3440">
        <w:rPr>
          <w:i/>
          <w:sz w:val="20"/>
        </w:rPr>
        <w:t>e</w:t>
      </w:r>
      <w:r w:rsidR="006D1548" w:rsidRPr="00BD3440">
        <w:rPr>
          <w:i/>
          <w:sz w:val="20"/>
        </w:rPr>
        <w:t>t al., for Retroactive Waiver of 47 C.F.R.§ 64.1200(a)(4)(iv)</w:t>
      </w:r>
      <w:r w:rsidR="006D1548">
        <w:rPr>
          <w:sz w:val="20"/>
        </w:rPr>
        <w:t xml:space="preserve">, CG Docket Nos. 02-278, 05-338 (filed </w:t>
      </w:r>
      <w:r w:rsidR="00B24DCB">
        <w:rPr>
          <w:sz w:val="20"/>
        </w:rPr>
        <w:t xml:space="preserve">Jan. 16, 2015) (RadNet Petition); </w:t>
      </w:r>
      <w:r w:rsidR="00B24DCB" w:rsidRPr="00BD3440">
        <w:rPr>
          <w:i/>
          <w:sz w:val="20"/>
        </w:rPr>
        <w:t>Petition of Houghton Mifflin Harcourt Publishers, Inc., et al. for Retroactive Waiver of 47 C.F.R. § 64.1200(a)(4)(iv)</w:t>
      </w:r>
      <w:r w:rsidR="00B24DCB">
        <w:rPr>
          <w:sz w:val="20"/>
        </w:rPr>
        <w:t xml:space="preserve">, CG Docket Nos. 02-278, 05-338 (filed Jan. 20, 2015) (Houghton Petition); </w:t>
      </w:r>
      <w:r w:rsidR="00B24DCB" w:rsidRPr="00BD3440">
        <w:rPr>
          <w:i/>
          <w:sz w:val="20"/>
        </w:rPr>
        <w:t>Petition of Grey House Publishing, Inc. for Waiver of Section 64.1200(a)(4)(iv) of the Commission’s Rules</w:t>
      </w:r>
      <w:r w:rsidR="00B24DCB">
        <w:rPr>
          <w:sz w:val="20"/>
        </w:rPr>
        <w:t xml:space="preserve">, CG Docket Nos. 02-278, 05-338 (filed Jan. 22, 2015) (Grey Petition); </w:t>
      </w:r>
      <w:r w:rsidR="00B24DCB" w:rsidRPr="00BD3440">
        <w:rPr>
          <w:i/>
          <w:sz w:val="20"/>
        </w:rPr>
        <w:t>Petition for Waiver of American Institute for Foreign Study, Inc.</w:t>
      </w:r>
      <w:r w:rsidR="00B24DCB">
        <w:rPr>
          <w:sz w:val="20"/>
        </w:rPr>
        <w:t xml:space="preserve">, CG Docket Nos. 02-278, 05-338 (filed Jan. 23, 2015) (AIFS Petition); </w:t>
      </w:r>
      <w:r w:rsidR="00B24DCB" w:rsidRPr="00BD3440">
        <w:rPr>
          <w:i/>
          <w:sz w:val="20"/>
        </w:rPr>
        <w:t>Petition for Waiver of EXP Pharmaceutical Services Corp.</w:t>
      </w:r>
      <w:r w:rsidR="00B24DCB">
        <w:rPr>
          <w:sz w:val="20"/>
        </w:rPr>
        <w:t xml:space="preserve">, CG Docket Nos. 02-278, 05-338 (filed Jan. 23, 2015) (EXP Petition); </w:t>
      </w:r>
      <w:r w:rsidR="00B24DCB" w:rsidRPr="00BD3440">
        <w:rPr>
          <w:i/>
          <w:sz w:val="20"/>
        </w:rPr>
        <w:t xml:space="preserve">Petition of Dongili Investment Group, Inc., et al. </w:t>
      </w:r>
      <w:r w:rsidR="00BD3440" w:rsidRPr="00BD3440">
        <w:rPr>
          <w:i/>
          <w:sz w:val="20"/>
        </w:rPr>
        <w:t>for Retroactive Waiver of 47 C.F.R. § 64.1200(a)(4)(iv)</w:t>
      </w:r>
      <w:r w:rsidR="00BD3440">
        <w:rPr>
          <w:sz w:val="20"/>
        </w:rPr>
        <w:t>, CG Docket No. 05-338 (filed Jan. 23, 2015) (Dongili Petition)</w:t>
      </w:r>
      <w:r w:rsidR="00E86467">
        <w:rPr>
          <w:sz w:val="20"/>
        </w:rPr>
        <w:t xml:space="preserve">; </w:t>
      </w:r>
      <w:r w:rsidR="00E86467" w:rsidRPr="00E86467">
        <w:rPr>
          <w:i/>
          <w:sz w:val="20"/>
        </w:rPr>
        <w:t>Petition for Waiver of Premier Healthcare Exchange, Inc., et al.</w:t>
      </w:r>
      <w:r w:rsidR="00E86467">
        <w:rPr>
          <w:sz w:val="20"/>
        </w:rPr>
        <w:t xml:space="preserve">, CG Docket Nos. 02-278, 05-338 (filed Jan. 23, 2015) (PHX Petition) </w:t>
      </w:r>
      <w:r w:rsidRPr="007512B4">
        <w:rPr>
          <w:sz w:val="20"/>
        </w:rPr>
        <w:t>(</w:t>
      </w:r>
      <w:r w:rsidR="00736654" w:rsidRPr="007512B4">
        <w:rPr>
          <w:sz w:val="20"/>
        </w:rPr>
        <w:t xml:space="preserve">collectively </w:t>
      </w:r>
      <w:r w:rsidRPr="007512B4">
        <w:rPr>
          <w:sz w:val="20"/>
        </w:rPr>
        <w:t>Petition</w:t>
      </w:r>
      <w:r w:rsidR="00736654" w:rsidRPr="007512B4">
        <w:rPr>
          <w:sz w:val="20"/>
        </w:rPr>
        <w:t>ers</w:t>
      </w:r>
      <w:r w:rsidR="007512B4" w:rsidRPr="007512B4">
        <w:rPr>
          <w:sz w:val="20"/>
        </w:rPr>
        <w:t>).</w:t>
      </w:r>
    </w:p>
    <w:p w:rsidR="003F485F" w:rsidRPr="007512B4" w:rsidRDefault="003F485F" w:rsidP="001E68FC">
      <w:pPr>
        <w:rPr>
          <w:sz w:val="20"/>
        </w:rPr>
      </w:pPr>
    </w:p>
  </w:footnote>
  <w:footnote w:id="3">
    <w:p w:rsidR="001A1944" w:rsidRPr="001A1944" w:rsidRDefault="001A1944">
      <w:pPr>
        <w:pStyle w:val="FootnoteText"/>
        <w:rPr>
          <w:sz w:val="20"/>
        </w:rPr>
      </w:pPr>
      <w:r w:rsidRPr="001A1944">
        <w:rPr>
          <w:rStyle w:val="FootnoteReference"/>
          <w:sz w:val="20"/>
        </w:rPr>
        <w:footnoteRef/>
      </w:r>
      <w:r w:rsidRPr="001A1944">
        <w:rPr>
          <w:sz w:val="20"/>
        </w:rPr>
        <w:t xml:space="preserve"> In add</w:t>
      </w:r>
      <w:r w:rsidR="00E92F55">
        <w:rPr>
          <w:sz w:val="20"/>
        </w:rPr>
        <w:t xml:space="preserve">ition to a request for waiver, </w:t>
      </w:r>
      <w:r w:rsidR="003D0EBD">
        <w:rPr>
          <w:sz w:val="20"/>
        </w:rPr>
        <w:t>two</w:t>
      </w:r>
      <w:r w:rsidRPr="001A1944">
        <w:rPr>
          <w:sz w:val="20"/>
        </w:rPr>
        <w:t xml:space="preserve"> Petitioner</w:t>
      </w:r>
      <w:r w:rsidR="003D0EBD">
        <w:rPr>
          <w:sz w:val="20"/>
        </w:rPr>
        <w:t>s</w:t>
      </w:r>
      <w:r w:rsidRPr="001A1944">
        <w:rPr>
          <w:sz w:val="20"/>
        </w:rPr>
        <w:t xml:space="preserve"> seek a declaratory ruling that section 64.1200(a)(4)(iv) of our rules does not apply to faxes sent with prior express permission and/or that this requirement was not adopted pursuant to section 227(b) of the Communications Act.  </w:t>
      </w:r>
      <w:r w:rsidRPr="001A1944">
        <w:rPr>
          <w:i/>
          <w:sz w:val="20"/>
        </w:rPr>
        <w:t xml:space="preserve">See </w:t>
      </w:r>
      <w:r w:rsidRPr="001A1944">
        <w:rPr>
          <w:sz w:val="20"/>
        </w:rPr>
        <w:t>A-</w:t>
      </w:r>
      <w:r w:rsidRPr="00AF7C67">
        <w:rPr>
          <w:sz w:val="20"/>
        </w:rPr>
        <w:t>S Petition</w:t>
      </w:r>
      <w:r w:rsidRPr="001A1944">
        <w:rPr>
          <w:sz w:val="20"/>
        </w:rPr>
        <w:t xml:space="preserve"> at 9-12</w:t>
      </w:r>
      <w:r w:rsidR="000E2621">
        <w:rPr>
          <w:sz w:val="20"/>
        </w:rPr>
        <w:t xml:space="preserve">; Zoetis Petition at </w:t>
      </w:r>
      <w:r w:rsidR="00AF7C67">
        <w:rPr>
          <w:sz w:val="20"/>
        </w:rPr>
        <w:t>6-7</w:t>
      </w:r>
      <w:r w:rsidRPr="001A1944">
        <w:rPr>
          <w:sz w:val="20"/>
        </w:rPr>
        <w:t>.  Because the Commission has released an Order denying substantially similar requests for declaratory ruling, we find it unnecessary to seek additional comment of the Petitioners’ r</w:t>
      </w:r>
      <w:r>
        <w:rPr>
          <w:sz w:val="20"/>
        </w:rPr>
        <w:t xml:space="preserve">equest for declaratory ruling.  </w:t>
      </w:r>
      <w:r w:rsidRPr="001A1944">
        <w:rPr>
          <w:i/>
          <w:sz w:val="20"/>
        </w:rPr>
        <w:t>See Rules and Regulations Implementing the Telephone Consumer Protection Act of 1991; Junk Fax Prevention Act of 2005; Application for Review filed by Anda, Inc.; Petition for Declaratory Ruling, Waiver, and/or Rulemaking Regarding the Commission’s Opt-Out Requirement for Faxes Sent with the Recipient’s Prior Express Permission</w:t>
      </w:r>
      <w:r w:rsidRPr="001A1944">
        <w:rPr>
          <w:sz w:val="20"/>
        </w:rPr>
        <w:t>, CG Docket Nos. 02-278, 05-338, Order, FCC 14-164 (rel. Oct. 30, 2014) (</w:t>
      </w:r>
      <w:r w:rsidRPr="001A1944">
        <w:rPr>
          <w:i/>
          <w:sz w:val="20"/>
        </w:rPr>
        <w:t>Anda Order</w:t>
      </w:r>
      <w:r w:rsidRPr="001A1944">
        <w:rPr>
          <w:sz w:val="20"/>
        </w:rPr>
        <w:t>).</w:t>
      </w:r>
    </w:p>
  </w:footnote>
  <w:footnote w:id="4">
    <w:p w:rsidR="003F485F" w:rsidRPr="00E92F55" w:rsidRDefault="003F485F">
      <w:pPr>
        <w:pStyle w:val="FootnoteText"/>
        <w:rPr>
          <w:sz w:val="20"/>
        </w:rPr>
      </w:pPr>
      <w:r w:rsidRPr="007512B4">
        <w:rPr>
          <w:rStyle w:val="FootnoteReference"/>
          <w:sz w:val="20"/>
        </w:rPr>
        <w:footnoteRef/>
      </w:r>
      <w:r w:rsidR="00370DD3" w:rsidRPr="007512B4">
        <w:rPr>
          <w:sz w:val="20"/>
        </w:rPr>
        <w:t xml:space="preserve"> </w:t>
      </w:r>
      <w:r w:rsidR="00370DD3" w:rsidRPr="00F62FFB">
        <w:rPr>
          <w:i/>
          <w:sz w:val="20"/>
        </w:rPr>
        <w:t>See</w:t>
      </w:r>
      <w:r w:rsidR="00E92F55" w:rsidRPr="00F62FFB">
        <w:rPr>
          <w:i/>
          <w:sz w:val="20"/>
        </w:rPr>
        <w:t xml:space="preserve"> </w:t>
      </w:r>
      <w:r w:rsidR="00E92F55" w:rsidRPr="00F62FFB">
        <w:rPr>
          <w:sz w:val="20"/>
        </w:rPr>
        <w:t>A-S Petition at 5-8; Dental Solutions Petition at 3-</w:t>
      </w:r>
      <w:r w:rsidR="00936927" w:rsidRPr="00F62FFB">
        <w:rPr>
          <w:sz w:val="20"/>
        </w:rPr>
        <w:t>5; Medversant Petition at 3-4; SME Petition at 3-5; Social UPS Petition</w:t>
      </w:r>
      <w:r w:rsidR="00936927">
        <w:rPr>
          <w:sz w:val="20"/>
        </w:rPr>
        <w:t xml:space="preserve"> at </w:t>
      </w:r>
      <w:r w:rsidR="007A4453">
        <w:rPr>
          <w:sz w:val="20"/>
        </w:rPr>
        <w:t>4-7; Surefire Petition at 3-5</w:t>
      </w:r>
      <w:r w:rsidR="00AF7C67">
        <w:rPr>
          <w:sz w:val="20"/>
        </w:rPr>
        <w:t xml:space="preserve">; Lichtenstein Petition at </w:t>
      </w:r>
      <w:r w:rsidR="00F62FFB">
        <w:rPr>
          <w:sz w:val="20"/>
        </w:rPr>
        <w:t>6</w:t>
      </w:r>
      <w:r w:rsidR="00AF7C67">
        <w:rPr>
          <w:sz w:val="20"/>
        </w:rPr>
        <w:t xml:space="preserve">; Zoetis Petition at </w:t>
      </w:r>
      <w:r w:rsidR="00F62FFB">
        <w:rPr>
          <w:sz w:val="20"/>
        </w:rPr>
        <w:t>4</w:t>
      </w:r>
      <w:r w:rsidR="00AF7C67">
        <w:rPr>
          <w:sz w:val="20"/>
        </w:rPr>
        <w:t xml:space="preserve">; RadNet Petition at </w:t>
      </w:r>
      <w:r w:rsidR="00F62FFB">
        <w:rPr>
          <w:sz w:val="20"/>
        </w:rPr>
        <w:t>1</w:t>
      </w:r>
      <w:r w:rsidR="00AF7C67">
        <w:rPr>
          <w:sz w:val="20"/>
        </w:rPr>
        <w:t xml:space="preserve">; Houghton Petition at </w:t>
      </w:r>
      <w:r w:rsidR="00F62FFB">
        <w:rPr>
          <w:sz w:val="20"/>
        </w:rPr>
        <w:t>1</w:t>
      </w:r>
      <w:r w:rsidR="00AF7C67">
        <w:rPr>
          <w:sz w:val="20"/>
        </w:rPr>
        <w:t xml:space="preserve">; Grey Petition at </w:t>
      </w:r>
      <w:r w:rsidR="00F62FFB">
        <w:rPr>
          <w:sz w:val="20"/>
        </w:rPr>
        <w:t>1</w:t>
      </w:r>
      <w:r w:rsidR="00AF7C67">
        <w:rPr>
          <w:sz w:val="20"/>
        </w:rPr>
        <w:t xml:space="preserve">; AIFS Petition at </w:t>
      </w:r>
      <w:r w:rsidR="00F62FFB">
        <w:rPr>
          <w:sz w:val="20"/>
        </w:rPr>
        <w:t>3</w:t>
      </w:r>
      <w:r w:rsidR="00AF7C67">
        <w:rPr>
          <w:sz w:val="20"/>
        </w:rPr>
        <w:t xml:space="preserve">; EXP Petition at </w:t>
      </w:r>
      <w:r w:rsidR="00F62FFB">
        <w:rPr>
          <w:sz w:val="20"/>
        </w:rPr>
        <w:t>3</w:t>
      </w:r>
      <w:r w:rsidR="00AF7C67">
        <w:rPr>
          <w:sz w:val="20"/>
        </w:rPr>
        <w:t xml:space="preserve">; Dongili Petition at </w:t>
      </w:r>
      <w:r w:rsidR="00F62FFB">
        <w:rPr>
          <w:sz w:val="20"/>
        </w:rPr>
        <w:t>3-4</w:t>
      </w:r>
      <w:r w:rsidR="00E86467">
        <w:rPr>
          <w:sz w:val="20"/>
        </w:rPr>
        <w:t>; PHX Petition at 3</w:t>
      </w:r>
      <w:r w:rsidR="007A4453">
        <w:rPr>
          <w:sz w:val="20"/>
        </w:rPr>
        <w:t>.</w:t>
      </w:r>
    </w:p>
  </w:footnote>
  <w:footnote w:id="5">
    <w:p w:rsidR="0009564A" w:rsidRPr="007512B4" w:rsidRDefault="0009564A">
      <w:pPr>
        <w:pStyle w:val="FootnoteText"/>
        <w:rPr>
          <w:sz w:val="20"/>
        </w:rPr>
      </w:pPr>
      <w:r w:rsidRPr="007512B4">
        <w:rPr>
          <w:rStyle w:val="FootnoteReference"/>
          <w:sz w:val="20"/>
        </w:rPr>
        <w:footnoteRef/>
      </w:r>
      <w:r w:rsidRPr="007512B4">
        <w:rPr>
          <w:sz w:val="20"/>
        </w:rPr>
        <w:t xml:space="preserve"> </w:t>
      </w:r>
      <w:r w:rsidRPr="007512B4">
        <w:rPr>
          <w:i/>
          <w:sz w:val="20"/>
        </w:rPr>
        <w:t>See, e.g.</w:t>
      </w:r>
      <w:r w:rsidR="00E92F55">
        <w:rPr>
          <w:i/>
          <w:sz w:val="20"/>
        </w:rPr>
        <w:t xml:space="preserve"> </w:t>
      </w:r>
      <w:r w:rsidR="00E92F55">
        <w:rPr>
          <w:sz w:val="20"/>
        </w:rPr>
        <w:t>A-S Petition at 8</w:t>
      </w:r>
      <w:r w:rsidR="00CC4395">
        <w:rPr>
          <w:sz w:val="20"/>
        </w:rPr>
        <w:t>;</w:t>
      </w:r>
      <w:r w:rsidR="00936927">
        <w:rPr>
          <w:sz w:val="20"/>
        </w:rPr>
        <w:t xml:space="preserve"> Dental Solutions Petition at 5-6; Medversant Petition at 4; SME Petition at 3;</w:t>
      </w:r>
      <w:r w:rsidR="007A4453">
        <w:rPr>
          <w:sz w:val="20"/>
        </w:rPr>
        <w:t xml:space="preserve"> Social UPS Petition at 7; Surefire Petition at 5</w:t>
      </w:r>
      <w:r w:rsidR="00AF7C67" w:rsidRPr="00AF7C67">
        <w:rPr>
          <w:sz w:val="20"/>
        </w:rPr>
        <w:t xml:space="preserve"> </w:t>
      </w:r>
      <w:r w:rsidR="00AF7C67">
        <w:rPr>
          <w:sz w:val="20"/>
        </w:rPr>
        <w:t xml:space="preserve">Lichtenstein Petition at </w:t>
      </w:r>
      <w:r w:rsidR="00F62FFB">
        <w:rPr>
          <w:sz w:val="20"/>
        </w:rPr>
        <w:t>4-5</w:t>
      </w:r>
      <w:r w:rsidR="00AF7C67">
        <w:rPr>
          <w:sz w:val="20"/>
        </w:rPr>
        <w:t xml:space="preserve">; Zoetis Petition at </w:t>
      </w:r>
      <w:r w:rsidR="00F62FFB">
        <w:rPr>
          <w:sz w:val="20"/>
        </w:rPr>
        <w:t>5</w:t>
      </w:r>
      <w:r w:rsidR="00AF7C67">
        <w:rPr>
          <w:sz w:val="20"/>
        </w:rPr>
        <w:t xml:space="preserve">; RadNet Petition at </w:t>
      </w:r>
      <w:r w:rsidR="00F62FFB">
        <w:rPr>
          <w:sz w:val="20"/>
        </w:rPr>
        <w:t>4</w:t>
      </w:r>
      <w:r w:rsidR="00AF7C67">
        <w:rPr>
          <w:sz w:val="20"/>
        </w:rPr>
        <w:t xml:space="preserve">; Houghton Petition at </w:t>
      </w:r>
      <w:r w:rsidR="00F62FFB">
        <w:rPr>
          <w:sz w:val="20"/>
        </w:rPr>
        <w:t>4-6</w:t>
      </w:r>
      <w:r w:rsidR="00AF7C67">
        <w:rPr>
          <w:sz w:val="20"/>
        </w:rPr>
        <w:t xml:space="preserve">; Grey Petition at </w:t>
      </w:r>
      <w:r w:rsidR="00F62FFB">
        <w:rPr>
          <w:sz w:val="20"/>
        </w:rPr>
        <w:t>10</w:t>
      </w:r>
      <w:r w:rsidR="00AF7C67">
        <w:rPr>
          <w:sz w:val="20"/>
        </w:rPr>
        <w:t xml:space="preserve">; AIFS Petition at </w:t>
      </w:r>
      <w:r w:rsidR="00F62FFB">
        <w:rPr>
          <w:sz w:val="20"/>
        </w:rPr>
        <w:t>5</w:t>
      </w:r>
      <w:r w:rsidR="00AF7C67">
        <w:rPr>
          <w:sz w:val="20"/>
        </w:rPr>
        <w:t xml:space="preserve">; EXP Petition at </w:t>
      </w:r>
      <w:r w:rsidR="00F62FFB">
        <w:rPr>
          <w:sz w:val="20"/>
        </w:rPr>
        <w:t>3; Dongili Petition at 3</w:t>
      </w:r>
      <w:r w:rsidR="00E86467">
        <w:rPr>
          <w:sz w:val="20"/>
        </w:rPr>
        <w:t>; PHX Petition at 4</w:t>
      </w:r>
      <w:r w:rsidR="00D80777">
        <w:rPr>
          <w:sz w:val="20"/>
        </w:rPr>
        <w:t>;</w:t>
      </w:r>
      <w:r w:rsidR="00AF7C67">
        <w:rPr>
          <w:sz w:val="20"/>
        </w:rPr>
        <w:t xml:space="preserve"> </w:t>
      </w:r>
      <w:r w:rsidR="001A1944">
        <w:rPr>
          <w:i/>
          <w:sz w:val="20"/>
        </w:rPr>
        <w:t>Anda Order,</w:t>
      </w:r>
      <w:r w:rsidR="00F551BD" w:rsidRPr="007512B4">
        <w:rPr>
          <w:sz w:val="20"/>
        </w:rPr>
        <w:t xml:space="preserve"> paras. 2</w:t>
      </w:r>
      <w:r w:rsidR="001A1944">
        <w:rPr>
          <w:sz w:val="20"/>
        </w:rPr>
        <w:t>2-31</w:t>
      </w:r>
      <w:r w:rsidR="00F551BD" w:rsidRPr="007512B4">
        <w:rPr>
          <w:sz w:val="20"/>
        </w:rPr>
        <w:t>.</w:t>
      </w:r>
    </w:p>
  </w:footnote>
  <w:footnote w:id="6">
    <w:p w:rsidR="00404AC2" w:rsidRPr="00EF45EA" w:rsidRDefault="00404AC2">
      <w:pPr>
        <w:pStyle w:val="FootnoteText"/>
        <w:rPr>
          <w:sz w:val="20"/>
        </w:rPr>
      </w:pPr>
      <w:r w:rsidRPr="007512B4">
        <w:rPr>
          <w:rStyle w:val="FootnoteReference"/>
          <w:sz w:val="20"/>
        </w:rPr>
        <w:footnoteRef/>
      </w:r>
      <w:r w:rsidRPr="007512B4">
        <w:rPr>
          <w:sz w:val="20"/>
        </w:rPr>
        <w:t xml:space="preserve"> </w:t>
      </w:r>
      <w:r w:rsidR="00EF45EA">
        <w:rPr>
          <w:i/>
          <w:sz w:val="20"/>
        </w:rPr>
        <w:t>Anda Order</w:t>
      </w:r>
      <w:r w:rsidR="00EF45EA">
        <w:rPr>
          <w:sz w:val="20"/>
        </w:rPr>
        <w:t xml:space="preserve"> at paras. 2</w:t>
      </w:r>
      <w:r w:rsidR="0086125D">
        <w:rPr>
          <w:sz w:val="20"/>
        </w:rPr>
        <w:t>2</w:t>
      </w:r>
      <w:r w:rsidR="00EF45EA">
        <w:rPr>
          <w:sz w:val="20"/>
        </w:rPr>
        <w:t>-30.</w:t>
      </w:r>
    </w:p>
  </w:footnote>
  <w:footnote w:id="7">
    <w:p w:rsidR="0014052B" w:rsidRPr="007512B4" w:rsidRDefault="0014052B">
      <w:pPr>
        <w:pStyle w:val="FootnoteText"/>
        <w:rPr>
          <w:sz w:val="20"/>
        </w:rPr>
      </w:pPr>
      <w:r w:rsidRPr="007512B4">
        <w:rPr>
          <w:rStyle w:val="FootnoteReference"/>
          <w:sz w:val="20"/>
        </w:rPr>
        <w:footnoteRef/>
      </w:r>
      <w:r w:rsidRPr="007512B4">
        <w:rPr>
          <w:sz w:val="20"/>
        </w:rPr>
        <w:t xml:space="preserve"> </w:t>
      </w:r>
      <w:r w:rsidR="009828F2">
        <w:rPr>
          <w:i/>
          <w:sz w:val="20"/>
        </w:rPr>
        <w:t>Anda Order</w:t>
      </w:r>
      <w:r w:rsidR="009828F2">
        <w:rPr>
          <w:sz w:val="20"/>
        </w:rPr>
        <w:t xml:space="preserve"> at para. 22</w:t>
      </w:r>
      <w:r w:rsidRPr="007512B4">
        <w:rPr>
          <w:sz w:val="20"/>
        </w:rPr>
        <w:t>.</w:t>
      </w:r>
    </w:p>
  </w:footnote>
  <w:footnote w:id="8">
    <w:p w:rsidR="003F485F" w:rsidRPr="007512B4" w:rsidRDefault="003F485F" w:rsidP="001E68FC">
      <w:pPr>
        <w:pStyle w:val="FootnoteText"/>
        <w:rPr>
          <w:iCs/>
          <w:sz w:val="20"/>
        </w:rPr>
      </w:pPr>
      <w:r w:rsidRPr="007512B4">
        <w:rPr>
          <w:rStyle w:val="FootnoteReference"/>
          <w:sz w:val="20"/>
        </w:rPr>
        <w:footnoteRef/>
      </w:r>
      <w:r w:rsidRPr="007512B4">
        <w:rPr>
          <w:sz w:val="20"/>
        </w:rPr>
        <w:t xml:space="preserve"> 47 C.F.R. §§ 1.1200 </w:t>
      </w:r>
      <w:r w:rsidRPr="007512B4">
        <w:rPr>
          <w:i/>
          <w:iCs/>
          <w:sz w:val="20"/>
        </w:rPr>
        <w:t>et seq</w:t>
      </w:r>
      <w:r w:rsidRPr="007512B4">
        <w:rPr>
          <w:iCs/>
          <w:sz w:val="20"/>
        </w:rPr>
        <w:t>.</w:t>
      </w:r>
    </w:p>
    <w:p w:rsidR="003F485F" w:rsidRPr="007512B4" w:rsidRDefault="003F485F" w:rsidP="001E68FC">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E0" w:rsidRDefault="00C05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E0" w:rsidRDefault="00C05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Default="003F485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3443234" wp14:editId="5A46D147">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9D76935" wp14:editId="07EBFCFC">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rPr>
                              <w:rFonts w:ascii="Arial" w:hAnsi="Arial"/>
                              <w:b/>
                            </w:rPr>
                          </w:pPr>
                          <w:r>
                            <w:rPr>
                              <w:rFonts w:ascii="Arial" w:hAnsi="Arial"/>
                              <w:b/>
                            </w:rPr>
                            <w:t>Federal Communications Commission</w:t>
                          </w:r>
                        </w:p>
                        <w:p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85F" w:rsidRDefault="003F485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3F485F" w:rsidRDefault="003F485F">
                    <w:pPr>
                      <w:rPr>
                        <w:rFonts w:ascii="Arial" w:hAnsi="Arial"/>
                        <w:b/>
                      </w:rPr>
                    </w:pPr>
                    <w:r>
                      <w:rPr>
                        <w:rFonts w:ascii="Arial" w:hAnsi="Arial"/>
                        <w:b/>
                      </w:rPr>
                      <w:t>Federal Communications Commission</w:t>
                    </w:r>
                  </w:p>
                  <w:p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85F" w:rsidRDefault="003F485F">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3F485F" w:rsidRDefault="003F485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3550427" wp14:editId="6F8CECE9">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C698EF3" wp14:editId="489DC4D6">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spacing w:before="40"/>
                            <w:jc w:val="right"/>
                            <w:rPr>
                              <w:rFonts w:ascii="Arial" w:hAnsi="Arial"/>
                              <w:b/>
                              <w:sz w:val="16"/>
                            </w:rPr>
                          </w:pPr>
                          <w:r>
                            <w:rPr>
                              <w:rFonts w:ascii="Arial" w:hAnsi="Arial"/>
                              <w:b/>
                              <w:sz w:val="16"/>
                            </w:rPr>
                            <w:t>News Media Information 202 / 418-0500</w:t>
                          </w:r>
                        </w:p>
                        <w:p w:rsidR="003F485F" w:rsidRDefault="003F485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F485F" w:rsidRDefault="003F485F">
                          <w:pPr>
                            <w:jc w:val="right"/>
                            <w:rPr>
                              <w:rFonts w:ascii="Arial" w:hAnsi="Arial"/>
                              <w:b/>
                              <w:sz w:val="16"/>
                            </w:rPr>
                          </w:pPr>
                          <w:r>
                            <w:rPr>
                              <w:rFonts w:ascii="Arial" w:hAnsi="Arial"/>
                              <w:b/>
                              <w:sz w:val="16"/>
                            </w:rPr>
                            <w:t>TTY: 1-888-835-5322</w:t>
                          </w:r>
                        </w:p>
                        <w:p w:rsidR="003F485F" w:rsidRDefault="003F485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3F485F" w:rsidRDefault="003F485F">
                    <w:pPr>
                      <w:spacing w:before="40"/>
                      <w:jc w:val="right"/>
                      <w:rPr>
                        <w:rFonts w:ascii="Arial" w:hAnsi="Arial"/>
                        <w:b/>
                        <w:sz w:val="16"/>
                      </w:rPr>
                    </w:pPr>
                    <w:r>
                      <w:rPr>
                        <w:rFonts w:ascii="Arial" w:hAnsi="Arial"/>
                        <w:b/>
                        <w:sz w:val="16"/>
                      </w:rPr>
                      <w:t>News Media Information 202 / 418-0500</w:t>
                    </w:r>
                  </w:p>
                  <w:p w:rsidR="003F485F" w:rsidRDefault="003F485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F485F" w:rsidRDefault="003F485F">
                    <w:pPr>
                      <w:jc w:val="right"/>
                      <w:rPr>
                        <w:rFonts w:ascii="Arial" w:hAnsi="Arial"/>
                        <w:b/>
                        <w:sz w:val="16"/>
                      </w:rPr>
                    </w:pPr>
                    <w:r>
                      <w:rPr>
                        <w:rFonts w:ascii="Arial" w:hAnsi="Arial"/>
                        <w:b/>
                        <w:sz w:val="16"/>
                      </w:rPr>
                      <w:t>TTY: 1-888-835-5322</w:t>
                    </w:r>
                  </w:p>
                  <w:p w:rsidR="003F485F" w:rsidRDefault="003F485F">
                    <w:pPr>
                      <w:jc w:val="right"/>
                    </w:pPr>
                  </w:p>
                </w:txbxContent>
              </v:textbox>
            </v:shape>
          </w:pict>
        </mc:Fallback>
      </mc:AlternateContent>
    </w:r>
  </w:p>
  <w:p w:rsidR="003F485F" w:rsidRDefault="003F485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1646B"/>
    <w:rsid w:val="0002562F"/>
    <w:rsid w:val="00030150"/>
    <w:rsid w:val="00047B2D"/>
    <w:rsid w:val="000612AD"/>
    <w:rsid w:val="000678E7"/>
    <w:rsid w:val="0009564A"/>
    <w:rsid w:val="000A6B51"/>
    <w:rsid w:val="000B553F"/>
    <w:rsid w:val="000C1109"/>
    <w:rsid w:val="000C2B80"/>
    <w:rsid w:val="000D11B7"/>
    <w:rsid w:val="000D1C50"/>
    <w:rsid w:val="000D67D4"/>
    <w:rsid w:val="000D6DC2"/>
    <w:rsid w:val="000E2621"/>
    <w:rsid w:val="000F69DF"/>
    <w:rsid w:val="0010035E"/>
    <w:rsid w:val="00113D6D"/>
    <w:rsid w:val="0014052B"/>
    <w:rsid w:val="00146E01"/>
    <w:rsid w:val="00147379"/>
    <w:rsid w:val="00151CBC"/>
    <w:rsid w:val="00170DCF"/>
    <w:rsid w:val="001777EC"/>
    <w:rsid w:val="00186FEF"/>
    <w:rsid w:val="001919F2"/>
    <w:rsid w:val="001A1944"/>
    <w:rsid w:val="001B21B4"/>
    <w:rsid w:val="001B4F07"/>
    <w:rsid w:val="001D2450"/>
    <w:rsid w:val="001E68FC"/>
    <w:rsid w:val="002003A4"/>
    <w:rsid w:val="0022541B"/>
    <w:rsid w:val="00257984"/>
    <w:rsid w:val="002A23B4"/>
    <w:rsid w:val="002A58ED"/>
    <w:rsid w:val="002C2706"/>
    <w:rsid w:val="002C7AF9"/>
    <w:rsid w:val="002E4455"/>
    <w:rsid w:val="003024F2"/>
    <w:rsid w:val="003128CC"/>
    <w:rsid w:val="00313725"/>
    <w:rsid w:val="00344B57"/>
    <w:rsid w:val="00355318"/>
    <w:rsid w:val="0036187D"/>
    <w:rsid w:val="00362249"/>
    <w:rsid w:val="003676CF"/>
    <w:rsid w:val="00370DD3"/>
    <w:rsid w:val="0037104A"/>
    <w:rsid w:val="003967FF"/>
    <w:rsid w:val="00396E93"/>
    <w:rsid w:val="003C6359"/>
    <w:rsid w:val="003D0EBD"/>
    <w:rsid w:val="003D49B7"/>
    <w:rsid w:val="003E33B6"/>
    <w:rsid w:val="003E6767"/>
    <w:rsid w:val="003F0FC7"/>
    <w:rsid w:val="003F1F2A"/>
    <w:rsid w:val="003F3F7F"/>
    <w:rsid w:val="003F485F"/>
    <w:rsid w:val="00402B54"/>
    <w:rsid w:val="00404AC2"/>
    <w:rsid w:val="00412C1E"/>
    <w:rsid w:val="00416781"/>
    <w:rsid w:val="00453BEF"/>
    <w:rsid w:val="0047489A"/>
    <w:rsid w:val="00490546"/>
    <w:rsid w:val="004D6553"/>
    <w:rsid w:val="004F4500"/>
    <w:rsid w:val="0052637A"/>
    <w:rsid w:val="00534B96"/>
    <w:rsid w:val="00574782"/>
    <w:rsid w:val="005A066E"/>
    <w:rsid w:val="005D5554"/>
    <w:rsid w:val="00603053"/>
    <w:rsid w:val="00621993"/>
    <w:rsid w:val="006356C8"/>
    <w:rsid w:val="00635CA0"/>
    <w:rsid w:val="00661A3A"/>
    <w:rsid w:val="00662464"/>
    <w:rsid w:val="006673EC"/>
    <w:rsid w:val="006677EF"/>
    <w:rsid w:val="006823CB"/>
    <w:rsid w:val="00686ACE"/>
    <w:rsid w:val="006878EA"/>
    <w:rsid w:val="006A39DF"/>
    <w:rsid w:val="006D0730"/>
    <w:rsid w:val="006D1548"/>
    <w:rsid w:val="006D311F"/>
    <w:rsid w:val="00706CE9"/>
    <w:rsid w:val="007102BF"/>
    <w:rsid w:val="00712EA8"/>
    <w:rsid w:val="00722423"/>
    <w:rsid w:val="007252B4"/>
    <w:rsid w:val="00726E31"/>
    <w:rsid w:val="0073065E"/>
    <w:rsid w:val="00732B25"/>
    <w:rsid w:val="00732D4B"/>
    <w:rsid w:val="00732DCB"/>
    <w:rsid w:val="0073524A"/>
    <w:rsid w:val="007364CD"/>
    <w:rsid w:val="00736654"/>
    <w:rsid w:val="00745AE7"/>
    <w:rsid w:val="007512B4"/>
    <w:rsid w:val="00752DFE"/>
    <w:rsid w:val="00757CB0"/>
    <w:rsid w:val="007607E9"/>
    <w:rsid w:val="00770A4C"/>
    <w:rsid w:val="00783A5B"/>
    <w:rsid w:val="0079324D"/>
    <w:rsid w:val="007A4453"/>
    <w:rsid w:val="007C4136"/>
    <w:rsid w:val="007C584A"/>
    <w:rsid w:val="007E6789"/>
    <w:rsid w:val="007F0447"/>
    <w:rsid w:val="007F6B74"/>
    <w:rsid w:val="008004B4"/>
    <w:rsid w:val="00801FF6"/>
    <w:rsid w:val="00806515"/>
    <w:rsid w:val="008069C5"/>
    <w:rsid w:val="00816870"/>
    <w:rsid w:val="0083504F"/>
    <w:rsid w:val="0086125D"/>
    <w:rsid w:val="008664FF"/>
    <w:rsid w:val="008675B7"/>
    <w:rsid w:val="00876BD6"/>
    <w:rsid w:val="00877275"/>
    <w:rsid w:val="008A1C4C"/>
    <w:rsid w:val="008A6371"/>
    <w:rsid w:val="008B1B7E"/>
    <w:rsid w:val="008D2EA2"/>
    <w:rsid w:val="008D3C08"/>
    <w:rsid w:val="008E2BE7"/>
    <w:rsid w:val="009043F0"/>
    <w:rsid w:val="00923ECA"/>
    <w:rsid w:val="00936927"/>
    <w:rsid w:val="009514F9"/>
    <w:rsid w:val="009541CA"/>
    <w:rsid w:val="00957E98"/>
    <w:rsid w:val="00976015"/>
    <w:rsid w:val="009828F2"/>
    <w:rsid w:val="0098321C"/>
    <w:rsid w:val="00997FAC"/>
    <w:rsid w:val="009A12C1"/>
    <w:rsid w:val="009A7D1A"/>
    <w:rsid w:val="009B6268"/>
    <w:rsid w:val="009C5DC2"/>
    <w:rsid w:val="009D0247"/>
    <w:rsid w:val="009D2644"/>
    <w:rsid w:val="009D46E5"/>
    <w:rsid w:val="009E10CA"/>
    <w:rsid w:val="00A06A71"/>
    <w:rsid w:val="00A10E54"/>
    <w:rsid w:val="00A21224"/>
    <w:rsid w:val="00A23B89"/>
    <w:rsid w:val="00A2503C"/>
    <w:rsid w:val="00A27D3A"/>
    <w:rsid w:val="00A57079"/>
    <w:rsid w:val="00A66417"/>
    <w:rsid w:val="00A766DF"/>
    <w:rsid w:val="00A76D5D"/>
    <w:rsid w:val="00A8436D"/>
    <w:rsid w:val="00A90C1C"/>
    <w:rsid w:val="00AA2085"/>
    <w:rsid w:val="00AC0A1F"/>
    <w:rsid w:val="00AC1A23"/>
    <w:rsid w:val="00AD561B"/>
    <w:rsid w:val="00AE3546"/>
    <w:rsid w:val="00AE6525"/>
    <w:rsid w:val="00AF7C67"/>
    <w:rsid w:val="00B1228D"/>
    <w:rsid w:val="00B166C3"/>
    <w:rsid w:val="00B24DCB"/>
    <w:rsid w:val="00B25A6F"/>
    <w:rsid w:val="00B261AB"/>
    <w:rsid w:val="00B26A17"/>
    <w:rsid w:val="00B312B2"/>
    <w:rsid w:val="00B343DF"/>
    <w:rsid w:val="00B41279"/>
    <w:rsid w:val="00B45287"/>
    <w:rsid w:val="00B4731C"/>
    <w:rsid w:val="00B825BB"/>
    <w:rsid w:val="00B878D9"/>
    <w:rsid w:val="00BB0019"/>
    <w:rsid w:val="00BB6ABA"/>
    <w:rsid w:val="00BC1AE9"/>
    <w:rsid w:val="00BC46CF"/>
    <w:rsid w:val="00BC491A"/>
    <w:rsid w:val="00BC51CD"/>
    <w:rsid w:val="00BD3440"/>
    <w:rsid w:val="00BE17FF"/>
    <w:rsid w:val="00C05BE0"/>
    <w:rsid w:val="00C06CA3"/>
    <w:rsid w:val="00C2369C"/>
    <w:rsid w:val="00C45D0F"/>
    <w:rsid w:val="00C67DFC"/>
    <w:rsid w:val="00C92C66"/>
    <w:rsid w:val="00C937A3"/>
    <w:rsid w:val="00CC13CC"/>
    <w:rsid w:val="00CC25D9"/>
    <w:rsid w:val="00CC4395"/>
    <w:rsid w:val="00CC5FD0"/>
    <w:rsid w:val="00CD29B5"/>
    <w:rsid w:val="00CD76A8"/>
    <w:rsid w:val="00CE4649"/>
    <w:rsid w:val="00D04267"/>
    <w:rsid w:val="00D04F67"/>
    <w:rsid w:val="00D33F24"/>
    <w:rsid w:val="00D474D2"/>
    <w:rsid w:val="00D62969"/>
    <w:rsid w:val="00D6348F"/>
    <w:rsid w:val="00D80777"/>
    <w:rsid w:val="00DA3FCE"/>
    <w:rsid w:val="00DB28AF"/>
    <w:rsid w:val="00DD44B0"/>
    <w:rsid w:val="00E0155A"/>
    <w:rsid w:val="00E0730A"/>
    <w:rsid w:val="00E177BB"/>
    <w:rsid w:val="00E347E1"/>
    <w:rsid w:val="00E34D55"/>
    <w:rsid w:val="00E41CC7"/>
    <w:rsid w:val="00E86467"/>
    <w:rsid w:val="00E8781B"/>
    <w:rsid w:val="00E92B7B"/>
    <w:rsid w:val="00E92F55"/>
    <w:rsid w:val="00EB686B"/>
    <w:rsid w:val="00EB706B"/>
    <w:rsid w:val="00ED7B1B"/>
    <w:rsid w:val="00EE07EE"/>
    <w:rsid w:val="00EF45EA"/>
    <w:rsid w:val="00F015E1"/>
    <w:rsid w:val="00F30BC0"/>
    <w:rsid w:val="00F41D5F"/>
    <w:rsid w:val="00F46528"/>
    <w:rsid w:val="00F50E6F"/>
    <w:rsid w:val="00F551BD"/>
    <w:rsid w:val="00F62FFB"/>
    <w:rsid w:val="00F716C5"/>
    <w:rsid w:val="00F7186E"/>
    <w:rsid w:val="00F76B2A"/>
    <w:rsid w:val="00FA38C5"/>
    <w:rsid w:val="00FB5FDD"/>
    <w:rsid w:val="00FC02B3"/>
    <w:rsid w:val="00FD4966"/>
    <w:rsid w:val="00FE37D9"/>
    <w:rsid w:val="00FF363A"/>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becca.Hirselj@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1.SMI\AppData\Local\Temp\Public%20Notice%20-%20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P-1</Template>
  <TotalTime>0</TotalTime>
  <Pages>3</Pages>
  <Words>799</Words>
  <Characters>4573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5396</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2015-01-29T16:28:00Z</cp:lastPrinted>
  <dcterms:created xsi:type="dcterms:W3CDTF">2015-01-29T16:45:00Z</dcterms:created>
  <dcterms:modified xsi:type="dcterms:W3CDTF">2015-01-29T16:45:00Z</dcterms:modified>
  <cp:category> </cp:category>
  <cp:contentStatus> </cp:contentStatus>
</cp:coreProperties>
</file>