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45" w:rsidRDefault="00A80C45" w:rsidP="00FA6C61">
      <w:pPr>
        <w:widowControl w:val="0"/>
        <w:rPr>
          <w:b/>
          <w:sz w:val="22"/>
          <w:szCs w:val="22"/>
          <w:u w:val="single"/>
        </w:rPr>
      </w:pPr>
      <w:bookmarkStart w:id="0" w:name="_GoBack"/>
      <w:bookmarkEnd w:id="0"/>
    </w:p>
    <w:p w:rsidR="00A80C45" w:rsidRDefault="00A80C45" w:rsidP="00FA6C61">
      <w:pPr>
        <w:widowControl w:val="0"/>
        <w:rPr>
          <w:b/>
          <w:sz w:val="22"/>
          <w:szCs w:val="22"/>
          <w:u w:val="single"/>
        </w:rPr>
      </w:pPr>
      <w:r>
        <w:rPr>
          <w:b/>
          <w:sz w:val="22"/>
          <w:szCs w:val="22"/>
          <w:u w:val="single"/>
        </w:rPr>
        <w:t>Via Certified Mail, Return Receipt Requested</w:t>
      </w:r>
    </w:p>
    <w:p w:rsidR="00A80C45" w:rsidRDefault="00A80C45" w:rsidP="00FA6C61">
      <w:pPr>
        <w:widowControl w:val="0"/>
        <w:rPr>
          <w:b/>
          <w:sz w:val="22"/>
          <w:szCs w:val="22"/>
          <w:u w:val="single"/>
        </w:rPr>
      </w:pPr>
    </w:p>
    <w:p w:rsidR="002C7FC2" w:rsidRDefault="002C7FC2" w:rsidP="00FA6C61">
      <w:pPr>
        <w:widowControl w:val="0"/>
        <w:rPr>
          <w:spacing w:val="-2"/>
          <w:sz w:val="22"/>
        </w:rPr>
      </w:pPr>
      <w:r>
        <w:rPr>
          <w:spacing w:val="-2"/>
          <w:sz w:val="22"/>
        </w:rPr>
        <w:t>Louis F. Mercatanti</w:t>
      </w:r>
    </w:p>
    <w:p w:rsidR="00120222" w:rsidRPr="00FF01AB" w:rsidRDefault="00120222" w:rsidP="00FA6C61">
      <w:pPr>
        <w:widowControl w:val="0"/>
        <w:rPr>
          <w:spacing w:val="-2"/>
          <w:sz w:val="22"/>
        </w:rPr>
      </w:pPr>
      <w:r w:rsidRPr="00FF01AB">
        <w:rPr>
          <w:spacing w:val="-2"/>
          <w:sz w:val="22"/>
        </w:rPr>
        <w:t>President</w:t>
      </w:r>
    </w:p>
    <w:p w:rsidR="00120222" w:rsidRPr="00FF01AB" w:rsidRDefault="00120222" w:rsidP="00FA6C61">
      <w:pPr>
        <w:widowControl w:val="0"/>
        <w:rPr>
          <w:spacing w:val="-2"/>
          <w:sz w:val="22"/>
        </w:rPr>
      </w:pPr>
      <w:r w:rsidRPr="00FF01AB">
        <w:rPr>
          <w:spacing w:val="-2"/>
          <w:sz w:val="22"/>
        </w:rPr>
        <w:t>Nassau Broadcasting Holdings, Inc.</w:t>
      </w:r>
    </w:p>
    <w:p w:rsidR="00120222" w:rsidRDefault="002C7FC2" w:rsidP="00FA6C61">
      <w:pPr>
        <w:widowControl w:val="0"/>
        <w:rPr>
          <w:spacing w:val="-2"/>
          <w:sz w:val="22"/>
        </w:rPr>
      </w:pPr>
      <w:r>
        <w:rPr>
          <w:spacing w:val="-2"/>
          <w:sz w:val="22"/>
        </w:rPr>
        <w:t>619 Alexander Road</w:t>
      </w:r>
    </w:p>
    <w:p w:rsidR="002C7FC2" w:rsidRDefault="002C7FC2" w:rsidP="00FA6C61">
      <w:pPr>
        <w:widowControl w:val="0"/>
        <w:rPr>
          <w:spacing w:val="-2"/>
          <w:sz w:val="22"/>
        </w:rPr>
      </w:pPr>
      <w:r>
        <w:rPr>
          <w:spacing w:val="-2"/>
          <w:sz w:val="22"/>
        </w:rPr>
        <w:t>Third Floor</w:t>
      </w:r>
    </w:p>
    <w:p w:rsidR="002C7FC2" w:rsidRDefault="002C7FC2" w:rsidP="00FA6C61">
      <w:pPr>
        <w:widowControl w:val="0"/>
        <w:rPr>
          <w:spacing w:val="-2"/>
          <w:sz w:val="22"/>
        </w:rPr>
      </w:pPr>
      <w:r>
        <w:rPr>
          <w:spacing w:val="-2"/>
          <w:sz w:val="22"/>
        </w:rPr>
        <w:t>Princeton, NJ 08540</w:t>
      </w:r>
    </w:p>
    <w:p w:rsidR="00A80C45" w:rsidRDefault="00A80C45" w:rsidP="00FA6C61">
      <w:pPr>
        <w:widowControl w:val="0"/>
        <w:rPr>
          <w:sz w:val="24"/>
          <w:szCs w:val="24"/>
        </w:rPr>
      </w:pPr>
    </w:p>
    <w:p w:rsidR="00120222" w:rsidRDefault="00A80C45" w:rsidP="00FA6C61">
      <w:pPr>
        <w:widowControl w:val="0"/>
        <w:ind w:left="1350" w:hanging="630"/>
        <w:rPr>
          <w:b/>
          <w:sz w:val="22"/>
        </w:rPr>
      </w:pPr>
      <w:r>
        <w:rPr>
          <w:b/>
          <w:sz w:val="22"/>
          <w:szCs w:val="22"/>
        </w:rPr>
        <w:t xml:space="preserve">Re: </w:t>
      </w:r>
      <w:r>
        <w:rPr>
          <w:b/>
          <w:sz w:val="22"/>
          <w:szCs w:val="22"/>
        </w:rPr>
        <w:tab/>
        <w:t xml:space="preserve">Notice of Interim Default Payment Obligation for Auction </w:t>
      </w:r>
      <w:r w:rsidR="00120222">
        <w:rPr>
          <w:b/>
          <w:sz w:val="22"/>
          <w:szCs w:val="22"/>
        </w:rPr>
        <w:t>37</w:t>
      </w:r>
      <w:r>
        <w:rPr>
          <w:b/>
          <w:sz w:val="22"/>
          <w:szCs w:val="22"/>
        </w:rPr>
        <w:t xml:space="preserve"> Construction Permit</w:t>
      </w:r>
      <w:r w:rsidR="00DF46FF">
        <w:rPr>
          <w:b/>
          <w:sz w:val="22"/>
          <w:szCs w:val="22"/>
        </w:rPr>
        <w:t>s</w:t>
      </w:r>
      <w:r>
        <w:rPr>
          <w:b/>
          <w:sz w:val="22"/>
          <w:szCs w:val="22"/>
        </w:rPr>
        <w:t xml:space="preserve"> </w:t>
      </w:r>
      <w:r w:rsidR="00120222" w:rsidRPr="00120222">
        <w:rPr>
          <w:b/>
          <w:sz w:val="22"/>
        </w:rPr>
        <w:t>FM216</w:t>
      </w:r>
      <w:r w:rsidR="00120222">
        <w:rPr>
          <w:b/>
          <w:sz w:val="22"/>
        </w:rPr>
        <w:t>-</w:t>
      </w:r>
      <w:r w:rsidR="00120222" w:rsidRPr="00120222">
        <w:rPr>
          <w:b/>
          <w:sz w:val="22"/>
        </w:rPr>
        <w:t xml:space="preserve">A </w:t>
      </w:r>
      <w:r w:rsidR="00120222">
        <w:rPr>
          <w:b/>
          <w:sz w:val="22"/>
        </w:rPr>
        <w:t>(</w:t>
      </w:r>
      <w:r w:rsidR="00120222" w:rsidRPr="00120222">
        <w:rPr>
          <w:b/>
          <w:sz w:val="22"/>
        </w:rPr>
        <w:t>J</w:t>
      </w:r>
      <w:r w:rsidR="00120222">
        <w:rPr>
          <w:b/>
          <w:sz w:val="22"/>
        </w:rPr>
        <w:t xml:space="preserve">efferson, NH) and </w:t>
      </w:r>
      <w:r w:rsidR="00120222" w:rsidRPr="00120222">
        <w:rPr>
          <w:b/>
          <w:sz w:val="22"/>
        </w:rPr>
        <w:t>FM325</w:t>
      </w:r>
      <w:r w:rsidR="00120222">
        <w:rPr>
          <w:b/>
          <w:sz w:val="22"/>
        </w:rPr>
        <w:t>-</w:t>
      </w:r>
      <w:r w:rsidR="00120222" w:rsidRPr="00120222">
        <w:rPr>
          <w:b/>
          <w:sz w:val="22"/>
        </w:rPr>
        <w:t xml:space="preserve">A </w:t>
      </w:r>
      <w:r w:rsidR="00120222">
        <w:rPr>
          <w:b/>
          <w:sz w:val="22"/>
        </w:rPr>
        <w:t>(Hardwick, VT)</w:t>
      </w:r>
    </w:p>
    <w:p w:rsidR="00120222" w:rsidRDefault="00120222" w:rsidP="00FA6C61">
      <w:pPr>
        <w:widowControl w:val="0"/>
        <w:ind w:left="1350" w:hanging="630"/>
        <w:rPr>
          <w:b/>
          <w:sz w:val="22"/>
          <w:szCs w:val="22"/>
        </w:rPr>
      </w:pPr>
    </w:p>
    <w:p w:rsidR="00A80C45" w:rsidRPr="008A7DFD" w:rsidRDefault="00A80C45" w:rsidP="00FA6C61">
      <w:pPr>
        <w:widowControl w:val="0"/>
        <w:jc w:val="center"/>
        <w:rPr>
          <w:b/>
          <w:sz w:val="22"/>
          <w:szCs w:val="22"/>
          <w:u w:val="single"/>
        </w:rPr>
      </w:pPr>
      <w:r w:rsidRPr="008A7DFD">
        <w:rPr>
          <w:b/>
          <w:sz w:val="22"/>
          <w:szCs w:val="22"/>
          <w:u w:val="single"/>
        </w:rPr>
        <w:t>DO NOT DISCARD THIS IMPORTANT NOTICE</w:t>
      </w:r>
    </w:p>
    <w:p w:rsidR="00A80C45" w:rsidRPr="008A7DFD" w:rsidRDefault="00A80C45" w:rsidP="00FA6C61">
      <w:pPr>
        <w:widowControl w:val="0"/>
        <w:jc w:val="center"/>
        <w:rPr>
          <w:b/>
          <w:sz w:val="22"/>
          <w:szCs w:val="22"/>
          <w:u w:val="single"/>
        </w:rPr>
      </w:pPr>
      <w:r w:rsidRPr="008A7DFD">
        <w:rPr>
          <w:b/>
          <w:sz w:val="22"/>
          <w:szCs w:val="22"/>
          <w:u w:val="single"/>
        </w:rPr>
        <w:t>OF A DEMAND FOR PAYMENT</w:t>
      </w:r>
    </w:p>
    <w:p w:rsidR="00A80C45" w:rsidRPr="008A7DFD" w:rsidRDefault="00A80C45" w:rsidP="00FA6C61">
      <w:pPr>
        <w:widowControl w:val="0"/>
        <w:jc w:val="center"/>
        <w:rPr>
          <w:b/>
          <w:sz w:val="22"/>
          <w:szCs w:val="22"/>
          <w:u w:val="single"/>
        </w:rPr>
      </w:pPr>
      <w:r w:rsidRPr="008A7DFD">
        <w:rPr>
          <w:b/>
          <w:sz w:val="22"/>
          <w:szCs w:val="22"/>
          <w:u w:val="single"/>
        </w:rPr>
        <w:t>OF A DEBT OWED THE UNITED STATES AND ORDER OF PAYMENT</w:t>
      </w:r>
    </w:p>
    <w:p w:rsidR="00A80C45" w:rsidRDefault="00A80C45" w:rsidP="00FA6C61">
      <w:pPr>
        <w:widowControl w:val="0"/>
        <w:rPr>
          <w:sz w:val="22"/>
          <w:szCs w:val="22"/>
        </w:rPr>
      </w:pPr>
    </w:p>
    <w:p w:rsidR="00A80C45" w:rsidRDefault="00A80C45" w:rsidP="00FA6C61">
      <w:pPr>
        <w:widowControl w:val="0"/>
        <w:rPr>
          <w:sz w:val="22"/>
          <w:szCs w:val="22"/>
        </w:rPr>
      </w:pPr>
      <w:r>
        <w:rPr>
          <w:sz w:val="22"/>
          <w:szCs w:val="22"/>
        </w:rPr>
        <w:t xml:space="preserve">Dear Mr. </w:t>
      </w:r>
      <w:r w:rsidR="00120222" w:rsidRPr="00FF01AB">
        <w:rPr>
          <w:spacing w:val="-2"/>
          <w:sz w:val="22"/>
        </w:rPr>
        <w:t>Mercatanti</w:t>
      </w:r>
      <w:r>
        <w:rPr>
          <w:sz w:val="22"/>
          <w:szCs w:val="22"/>
        </w:rPr>
        <w:t>:</w:t>
      </w:r>
    </w:p>
    <w:p w:rsidR="00A80C45" w:rsidRDefault="00A80C45" w:rsidP="00FA6C61">
      <w:pPr>
        <w:widowControl w:val="0"/>
        <w:rPr>
          <w:sz w:val="22"/>
          <w:szCs w:val="22"/>
        </w:rPr>
      </w:pPr>
    </w:p>
    <w:p w:rsidR="00A80C45" w:rsidRDefault="00A80C45" w:rsidP="00D74B7C">
      <w:pPr>
        <w:widowControl w:val="0"/>
        <w:ind w:firstLine="720"/>
        <w:mirrorIndents/>
        <w:rPr>
          <w:color w:val="FF0000"/>
          <w:sz w:val="22"/>
          <w:szCs w:val="24"/>
        </w:rPr>
      </w:pPr>
      <w:r>
        <w:rPr>
          <w:sz w:val="22"/>
          <w:szCs w:val="24"/>
        </w:rPr>
        <w:t xml:space="preserve">This Order provides notice and demands payment of the interim default payment obligation for </w:t>
      </w:r>
      <w:r w:rsidR="00120222">
        <w:rPr>
          <w:sz w:val="22"/>
          <w:szCs w:val="24"/>
        </w:rPr>
        <w:t>Nassau Broadcasting Holdings, Inc.</w:t>
      </w:r>
      <w:r>
        <w:rPr>
          <w:sz w:val="22"/>
          <w:szCs w:val="24"/>
        </w:rPr>
        <w:t xml:space="preserve"> (“</w:t>
      </w:r>
      <w:r w:rsidR="00120222">
        <w:rPr>
          <w:sz w:val="22"/>
          <w:szCs w:val="24"/>
        </w:rPr>
        <w:t>Nassau</w:t>
      </w:r>
      <w:r>
        <w:rPr>
          <w:sz w:val="22"/>
          <w:szCs w:val="24"/>
        </w:rPr>
        <w:t xml:space="preserve">”) </w:t>
      </w:r>
      <w:r w:rsidR="00120222">
        <w:rPr>
          <w:sz w:val="22"/>
        </w:rPr>
        <w:t>with respect to its default ar</w:t>
      </w:r>
      <w:r w:rsidR="00904512">
        <w:rPr>
          <w:sz w:val="22"/>
        </w:rPr>
        <w:t xml:space="preserve">ising </w:t>
      </w:r>
      <w:r w:rsidR="00D95C7D">
        <w:rPr>
          <w:sz w:val="22"/>
        </w:rPr>
        <w:t xml:space="preserve">out of </w:t>
      </w:r>
      <w:r w:rsidR="00120222">
        <w:rPr>
          <w:sz w:val="22"/>
        </w:rPr>
        <w:t xml:space="preserve">Auction </w:t>
      </w:r>
      <w:r w:rsidR="002D0712">
        <w:rPr>
          <w:sz w:val="22"/>
        </w:rPr>
        <w:t>37</w:t>
      </w:r>
      <w:r w:rsidR="00120222">
        <w:rPr>
          <w:sz w:val="22"/>
        </w:rPr>
        <w:t>.</w:t>
      </w:r>
      <w:r w:rsidR="008212C9">
        <w:rPr>
          <w:sz w:val="22"/>
        </w:rPr>
        <w:t xml:space="preserve">  </w:t>
      </w:r>
      <w:r w:rsidR="002C65D6">
        <w:rPr>
          <w:sz w:val="22"/>
          <w:szCs w:val="24"/>
        </w:rPr>
        <w:t>A</w:t>
      </w:r>
      <w:r>
        <w:rPr>
          <w:sz w:val="22"/>
          <w:szCs w:val="24"/>
        </w:rPr>
        <w:t xml:space="preserve">s described fully below, </w:t>
      </w:r>
      <w:r w:rsidR="00120222">
        <w:rPr>
          <w:sz w:val="22"/>
          <w:szCs w:val="24"/>
        </w:rPr>
        <w:t>Nassau</w:t>
      </w:r>
      <w:r>
        <w:rPr>
          <w:sz w:val="22"/>
          <w:szCs w:val="24"/>
        </w:rPr>
        <w:t xml:space="preserve"> h</w:t>
      </w:r>
      <w:r w:rsidR="00120222">
        <w:rPr>
          <w:sz w:val="22"/>
          <w:szCs w:val="24"/>
        </w:rPr>
        <w:t>ad the winning bid in Auction 37</w:t>
      </w:r>
      <w:r w:rsidR="00DD0030">
        <w:rPr>
          <w:sz w:val="22"/>
          <w:szCs w:val="24"/>
        </w:rPr>
        <w:t xml:space="preserve"> for FM </w:t>
      </w:r>
      <w:r w:rsidR="00F33D03">
        <w:rPr>
          <w:sz w:val="22"/>
          <w:szCs w:val="24"/>
        </w:rPr>
        <w:t>b</w:t>
      </w:r>
      <w:r>
        <w:rPr>
          <w:sz w:val="22"/>
          <w:szCs w:val="24"/>
        </w:rPr>
        <w:t xml:space="preserve">roadcast construction </w:t>
      </w:r>
      <w:r w:rsidR="00120222">
        <w:rPr>
          <w:sz w:val="22"/>
          <w:szCs w:val="24"/>
        </w:rPr>
        <w:t>permit</w:t>
      </w:r>
      <w:r w:rsidR="00F33D03">
        <w:rPr>
          <w:sz w:val="22"/>
          <w:szCs w:val="24"/>
        </w:rPr>
        <w:t>s</w:t>
      </w:r>
      <w:r w:rsidR="00120222">
        <w:rPr>
          <w:sz w:val="22"/>
          <w:szCs w:val="24"/>
        </w:rPr>
        <w:t xml:space="preserve"> </w:t>
      </w:r>
      <w:r w:rsidR="00120222">
        <w:rPr>
          <w:sz w:val="22"/>
        </w:rPr>
        <w:t>FM216-</w:t>
      </w:r>
      <w:r w:rsidR="00120222" w:rsidRPr="0023153F">
        <w:rPr>
          <w:sz w:val="22"/>
        </w:rPr>
        <w:t xml:space="preserve">A </w:t>
      </w:r>
      <w:r w:rsidR="00120222">
        <w:rPr>
          <w:sz w:val="22"/>
        </w:rPr>
        <w:t>(Jefferson, NH</w:t>
      </w:r>
      <w:r>
        <w:rPr>
          <w:sz w:val="22"/>
          <w:szCs w:val="24"/>
        </w:rPr>
        <w:t>)</w:t>
      </w:r>
      <w:r w:rsidR="00120222">
        <w:rPr>
          <w:sz w:val="22"/>
          <w:szCs w:val="24"/>
        </w:rPr>
        <w:t xml:space="preserve"> and </w:t>
      </w:r>
      <w:r w:rsidR="00120222" w:rsidRPr="00120222">
        <w:rPr>
          <w:sz w:val="22"/>
        </w:rPr>
        <w:t>FM325-A (Hardwick, VT)</w:t>
      </w:r>
      <w:r w:rsidR="00120222">
        <w:rPr>
          <w:sz w:val="22"/>
          <w:szCs w:val="24"/>
        </w:rPr>
        <w:t xml:space="preserve"> (hereinafter, </w:t>
      </w:r>
      <w:r w:rsidR="004A3F6B">
        <w:rPr>
          <w:sz w:val="22"/>
          <w:szCs w:val="24"/>
        </w:rPr>
        <w:t>“</w:t>
      </w:r>
      <w:r w:rsidR="00120222">
        <w:rPr>
          <w:sz w:val="22"/>
          <w:szCs w:val="24"/>
        </w:rPr>
        <w:t>the Permits”)</w:t>
      </w:r>
      <w:r>
        <w:rPr>
          <w:sz w:val="22"/>
          <w:szCs w:val="24"/>
        </w:rPr>
        <w:t>.</w:t>
      </w:r>
      <w:r>
        <w:rPr>
          <w:rStyle w:val="FootnoteReference"/>
          <w:sz w:val="22"/>
          <w:szCs w:val="24"/>
        </w:rPr>
        <w:footnoteReference w:id="1"/>
      </w:r>
      <w:r w:rsidR="00B040AF">
        <w:rPr>
          <w:sz w:val="22"/>
          <w:szCs w:val="24"/>
        </w:rPr>
        <w:t xml:space="preserve">  </w:t>
      </w:r>
      <w:r w:rsidR="00120222">
        <w:rPr>
          <w:sz w:val="22"/>
        </w:rPr>
        <w:t xml:space="preserve">After the close of Auction </w:t>
      </w:r>
      <w:r w:rsidR="009E45D1">
        <w:rPr>
          <w:sz w:val="22"/>
        </w:rPr>
        <w:t>37</w:t>
      </w:r>
      <w:r w:rsidR="00406E39">
        <w:rPr>
          <w:sz w:val="22"/>
        </w:rPr>
        <w:t>, Nassau</w:t>
      </w:r>
      <w:r w:rsidR="00120222">
        <w:rPr>
          <w:sz w:val="22"/>
        </w:rPr>
        <w:t xml:space="preserve"> failed to </w:t>
      </w:r>
      <w:r w:rsidR="003D3505">
        <w:rPr>
          <w:sz w:val="22"/>
        </w:rPr>
        <w:t xml:space="preserve">prosecute </w:t>
      </w:r>
      <w:r w:rsidR="00075A77">
        <w:rPr>
          <w:sz w:val="22"/>
        </w:rPr>
        <w:t>its</w:t>
      </w:r>
      <w:r w:rsidR="00120222">
        <w:rPr>
          <w:sz w:val="22"/>
        </w:rPr>
        <w:t xml:space="preserve"> long-form application</w:t>
      </w:r>
      <w:r w:rsidR="003D3505">
        <w:rPr>
          <w:sz w:val="22"/>
        </w:rPr>
        <w:t>s</w:t>
      </w:r>
      <w:r w:rsidR="00120222">
        <w:rPr>
          <w:sz w:val="22"/>
        </w:rPr>
        <w:t xml:space="preserve"> (FCC Form 301)</w:t>
      </w:r>
      <w:r w:rsidR="003D3505">
        <w:rPr>
          <w:sz w:val="22"/>
        </w:rPr>
        <w:t xml:space="preserve"> and its applications were dismissed</w:t>
      </w:r>
      <w:r w:rsidR="00120222">
        <w:rPr>
          <w:sz w:val="22"/>
        </w:rPr>
        <w:t>.</w:t>
      </w:r>
      <w:r w:rsidR="00120222">
        <w:rPr>
          <w:rStyle w:val="FootnoteReference"/>
          <w:sz w:val="22"/>
        </w:rPr>
        <w:footnoteReference w:id="2"/>
      </w:r>
      <w:r w:rsidR="00120222">
        <w:rPr>
          <w:sz w:val="22"/>
        </w:rPr>
        <w:t xml:space="preserve">  </w:t>
      </w:r>
      <w:r w:rsidR="0007794B">
        <w:rPr>
          <w:sz w:val="22"/>
        </w:rPr>
        <w:t xml:space="preserve">Specifically, </w:t>
      </w:r>
      <w:r w:rsidR="00873075">
        <w:rPr>
          <w:sz w:val="22"/>
        </w:rPr>
        <w:t xml:space="preserve">Nassau failed to respond to requests for </w:t>
      </w:r>
      <w:r w:rsidR="00D62409">
        <w:rPr>
          <w:sz w:val="22"/>
        </w:rPr>
        <w:t xml:space="preserve">environmental compliance </w:t>
      </w:r>
      <w:r w:rsidR="00873075">
        <w:rPr>
          <w:sz w:val="22"/>
        </w:rPr>
        <w:t xml:space="preserve">information </w:t>
      </w:r>
      <w:r w:rsidR="004A49C6">
        <w:rPr>
          <w:sz w:val="22"/>
        </w:rPr>
        <w:t>required by the Commission’s rules and necessary to process its long-form applications.</w:t>
      </w:r>
      <w:r w:rsidR="004C410A">
        <w:rPr>
          <w:rStyle w:val="FootnoteReference"/>
          <w:sz w:val="22"/>
        </w:rPr>
        <w:footnoteReference w:id="3"/>
      </w:r>
      <w:r w:rsidR="008174D8">
        <w:rPr>
          <w:sz w:val="22"/>
        </w:rPr>
        <w:t xml:space="preserve">  </w:t>
      </w:r>
      <w:r w:rsidR="002C65D6">
        <w:rPr>
          <w:sz w:val="22"/>
        </w:rPr>
        <w:t xml:space="preserve">Thus, pursuant to section 73.3568(a) of the Commission’s rules, Nassau’s </w:t>
      </w:r>
      <w:r w:rsidR="008174D8">
        <w:rPr>
          <w:sz w:val="22"/>
        </w:rPr>
        <w:t xml:space="preserve">long-form applications </w:t>
      </w:r>
      <w:r w:rsidR="002C65D6">
        <w:rPr>
          <w:sz w:val="22"/>
        </w:rPr>
        <w:t xml:space="preserve">were dismissed </w:t>
      </w:r>
      <w:r w:rsidR="009C5D45">
        <w:rPr>
          <w:sz w:val="22"/>
        </w:rPr>
        <w:t>for failure to prosecute</w:t>
      </w:r>
      <w:r w:rsidR="0007794B">
        <w:rPr>
          <w:sz w:val="22"/>
        </w:rPr>
        <w:t xml:space="preserve"> </w:t>
      </w:r>
      <w:r w:rsidR="009C5D45">
        <w:rPr>
          <w:sz w:val="22"/>
        </w:rPr>
        <w:t>and</w:t>
      </w:r>
      <w:r w:rsidR="002C65D6">
        <w:rPr>
          <w:sz w:val="22"/>
        </w:rPr>
        <w:t xml:space="preserve"> </w:t>
      </w:r>
      <w:r w:rsidR="00406E39">
        <w:rPr>
          <w:sz w:val="22"/>
          <w:szCs w:val="22"/>
        </w:rPr>
        <w:t>Nassau</w:t>
      </w:r>
      <w:r w:rsidR="00120222" w:rsidRPr="008C22D2">
        <w:rPr>
          <w:sz w:val="22"/>
          <w:szCs w:val="22"/>
        </w:rPr>
        <w:t xml:space="preserve"> became subject to the default provisions of section 1.2104(g)</w:t>
      </w:r>
      <w:r w:rsidR="00120222" w:rsidRPr="00B648AB">
        <w:rPr>
          <w:sz w:val="22"/>
          <w:szCs w:val="22"/>
        </w:rPr>
        <w:t xml:space="preserve"> </w:t>
      </w:r>
      <w:r w:rsidR="00120222" w:rsidRPr="00B648AB">
        <w:rPr>
          <w:sz w:val="22"/>
          <w:szCs w:val="22"/>
        </w:rPr>
        <w:lastRenderedPageBreak/>
        <w:t>of the Commis</w:t>
      </w:r>
      <w:r w:rsidR="00120222" w:rsidRPr="008C22D2">
        <w:rPr>
          <w:sz w:val="22"/>
          <w:szCs w:val="22"/>
        </w:rPr>
        <w:t>s</w:t>
      </w:r>
      <w:r w:rsidR="00120222">
        <w:rPr>
          <w:sz w:val="22"/>
          <w:szCs w:val="22"/>
        </w:rPr>
        <w:t>i</w:t>
      </w:r>
      <w:r w:rsidR="00120222" w:rsidRPr="008C22D2">
        <w:rPr>
          <w:sz w:val="22"/>
          <w:szCs w:val="22"/>
        </w:rPr>
        <w:t>on’s rules.</w:t>
      </w:r>
      <w:r w:rsidR="00120222">
        <w:rPr>
          <w:rStyle w:val="FootnoteReference"/>
          <w:sz w:val="22"/>
          <w:szCs w:val="22"/>
        </w:rPr>
        <w:footnoteReference w:id="4"/>
      </w:r>
    </w:p>
    <w:p w:rsidR="00A80C45" w:rsidRDefault="00A80C45" w:rsidP="00C45F02">
      <w:pPr>
        <w:widowControl w:val="0"/>
        <w:ind w:firstLine="720"/>
        <w:mirrorIndents/>
        <w:rPr>
          <w:sz w:val="22"/>
          <w:szCs w:val="24"/>
        </w:rPr>
      </w:pPr>
    </w:p>
    <w:p w:rsidR="00B8487B" w:rsidRDefault="009C5D45" w:rsidP="00B8487B">
      <w:pPr>
        <w:widowControl w:val="0"/>
        <w:tabs>
          <w:tab w:val="left" w:pos="6840"/>
        </w:tabs>
        <w:mirrorIndents/>
        <w:rPr>
          <w:sz w:val="22"/>
          <w:szCs w:val="22"/>
        </w:rPr>
      </w:pPr>
      <w:r>
        <w:rPr>
          <w:sz w:val="22"/>
          <w:szCs w:val="24"/>
        </w:rPr>
        <w:t xml:space="preserve">            </w:t>
      </w:r>
      <w:r w:rsidR="00A80C45">
        <w:rPr>
          <w:sz w:val="22"/>
          <w:szCs w:val="24"/>
        </w:rPr>
        <w:t xml:space="preserve">On </w:t>
      </w:r>
      <w:r w:rsidR="009E45D1">
        <w:rPr>
          <w:sz w:val="22"/>
          <w:szCs w:val="24"/>
        </w:rPr>
        <w:t xml:space="preserve">December 1, 2004, </w:t>
      </w:r>
      <w:r w:rsidR="00A80C45">
        <w:rPr>
          <w:sz w:val="22"/>
          <w:szCs w:val="24"/>
        </w:rPr>
        <w:t>the Media Bureau and the Wireless Telecommunications Burea</w:t>
      </w:r>
      <w:r w:rsidR="008A541A">
        <w:rPr>
          <w:sz w:val="22"/>
          <w:szCs w:val="24"/>
        </w:rPr>
        <w:t xml:space="preserve">u </w:t>
      </w:r>
      <w:r w:rsidR="00A80C45">
        <w:rPr>
          <w:sz w:val="22"/>
          <w:szCs w:val="24"/>
        </w:rPr>
        <w:t xml:space="preserve">(“Bureaus”) announced the winning bidders in Auction </w:t>
      </w:r>
      <w:r w:rsidR="009E45D1">
        <w:rPr>
          <w:sz w:val="22"/>
          <w:szCs w:val="24"/>
        </w:rPr>
        <w:t>37</w:t>
      </w:r>
      <w:r w:rsidR="00A80C45">
        <w:rPr>
          <w:sz w:val="22"/>
          <w:szCs w:val="24"/>
        </w:rPr>
        <w:t xml:space="preserve">, including </w:t>
      </w:r>
      <w:r w:rsidR="009E45D1">
        <w:rPr>
          <w:sz w:val="22"/>
          <w:szCs w:val="24"/>
        </w:rPr>
        <w:t>Nassau</w:t>
      </w:r>
      <w:r w:rsidR="00A80C45">
        <w:rPr>
          <w:sz w:val="22"/>
          <w:szCs w:val="24"/>
        </w:rPr>
        <w:t>.</w:t>
      </w:r>
      <w:r w:rsidR="00A80C45">
        <w:rPr>
          <w:rStyle w:val="FootnoteReference"/>
          <w:sz w:val="22"/>
          <w:szCs w:val="24"/>
        </w:rPr>
        <w:footnoteReference w:id="5"/>
      </w:r>
      <w:r w:rsidR="00A80C45">
        <w:rPr>
          <w:sz w:val="22"/>
          <w:szCs w:val="24"/>
        </w:rPr>
        <w:t xml:space="preserve">  The Bureaus also announced that by no later than </w:t>
      </w:r>
      <w:r w:rsidR="009E45D1">
        <w:rPr>
          <w:sz w:val="22"/>
          <w:szCs w:val="24"/>
        </w:rPr>
        <w:t>December 15, 2004,</w:t>
      </w:r>
      <w:r w:rsidR="00F946D9">
        <w:rPr>
          <w:sz w:val="22"/>
          <w:szCs w:val="24"/>
        </w:rPr>
        <w:t xml:space="preserve"> all Auction 37</w:t>
      </w:r>
      <w:r w:rsidR="00A80C45">
        <w:rPr>
          <w:sz w:val="22"/>
          <w:szCs w:val="24"/>
        </w:rPr>
        <w:t xml:space="preserve"> winning bidders were required to have on deposit enough funds to bring each winning bidder’s deposit to twenty percent (20%) of its winning bids.</w:t>
      </w:r>
      <w:r w:rsidR="00A80C45">
        <w:rPr>
          <w:rStyle w:val="FootnoteReference"/>
          <w:sz w:val="22"/>
          <w:szCs w:val="24"/>
        </w:rPr>
        <w:footnoteReference w:id="6"/>
      </w:r>
      <w:r w:rsidR="00A80C45">
        <w:rPr>
          <w:sz w:val="22"/>
          <w:szCs w:val="24"/>
        </w:rPr>
        <w:t xml:space="preserve">  If a winning bidder’s upfront payment was not sufficient to meet the down payment requirement, the winning bidder was required to deposit sufficient funds to meet its down payment.</w:t>
      </w:r>
      <w:r w:rsidR="00A80C45">
        <w:rPr>
          <w:rStyle w:val="FootnoteReference"/>
          <w:sz w:val="22"/>
          <w:szCs w:val="24"/>
        </w:rPr>
        <w:footnoteReference w:id="7"/>
      </w:r>
      <w:r w:rsidR="00A80C45">
        <w:rPr>
          <w:sz w:val="22"/>
          <w:szCs w:val="24"/>
        </w:rPr>
        <w:t xml:space="preserve">  The Bureaus further instructed that by </w:t>
      </w:r>
      <w:r w:rsidR="009E45D1">
        <w:rPr>
          <w:sz w:val="22"/>
          <w:szCs w:val="24"/>
        </w:rPr>
        <w:t>January 3, 2005</w:t>
      </w:r>
      <w:r w:rsidR="00A80C45">
        <w:rPr>
          <w:sz w:val="22"/>
          <w:szCs w:val="24"/>
        </w:rPr>
        <w:t>, all winning bidders were required to submit their long-form applications.</w:t>
      </w:r>
      <w:r w:rsidR="00A80C45">
        <w:rPr>
          <w:rStyle w:val="FootnoteReference"/>
          <w:sz w:val="22"/>
          <w:szCs w:val="24"/>
        </w:rPr>
        <w:footnoteReference w:id="8"/>
      </w:r>
      <w:r w:rsidR="00A80C45">
        <w:rPr>
          <w:rStyle w:val="FootnoteReference"/>
          <w:sz w:val="22"/>
        </w:rPr>
        <w:t xml:space="preserve"> </w:t>
      </w:r>
      <w:r w:rsidR="00A80C45">
        <w:rPr>
          <w:sz w:val="22"/>
        </w:rPr>
        <w:t xml:space="preserve"> </w:t>
      </w:r>
      <w:r w:rsidR="00A80C45">
        <w:rPr>
          <w:sz w:val="22"/>
          <w:szCs w:val="22"/>
        </w:rPr>
        <w:t>The rules applicable t</w:t>
      </w:r>
      <w:r w:rsidR="009E45D1">
        <w:rPr>
          <w:sz w:val="22"/>
          <w:szCs w:val="22"/>
        </w:rPr>
        <w:t xml:space="preserve">o winning bidders in Auction 37 </w:t>
      </w:r>
      <w:r w:rsidR="00A80C45">
        <w:rPr>
          <w:sz w:val="22"/>
          <w:szCs w:val="22"/>
        </w:rPr>
        <w:t xml:space="preserve">required </w:t>
      </w:r>
      <w:r w:rsidR="00F946D9">
        <w:rPr>
          <w:sz w:val="22"/>
          <w:szCs w:val="22"/>
        </w:rPr>
        <w:t>Nassau</w:t>
      </w:r>
      <w:r w:rsidR="00A80C45">
        <w:rPr>
          <w:sz w:val="22"/>
          <w:szCs w:val="22"/>
        </w:rPr>
        <w:t xml:space="preserve"> to submit its final payment ten business days after the release of a public notice announcing that the Commission had completed processing </w:t>
      </w:r>
      <w:r w:rsidR="00F946D9">
        <w:rPr>
          <w:sz w:val="22"/>
          <w:szCs w:val="22"/>
        </w:rPr>
        <w:t>Nassau</w:t>
      </w:r>
      <w:r w:rsidR="009E45D1">
        <w:rPr>
          <w:sz w:val="22"/>
          <w:szCs w:val="22"/>
        </w:rPr>
        <w:t>’s</w:t>
      </w:r>
      <w:r w:rsidR="00A80C45">
        <w:rPr>
          <w:sz w:val="22"/>
          <w:szCs w:val="22"/>
        </w:rPr>
        <w:t xml:space="preserve"> application and was prepared to issue the permit (a “prepared-to-grant public notice”).</w:t>
      </w:r>
      <w:r w:rsidR="00A80C45">
        <w:rPr>
          <w:rStyle w:val="FootnoteReference"/>
          <w:sz w:val="22"/>
          <w:szCs w:val="22"/>
        </w:rPr>
        <w:footnoteReference w:id="9"/>
      </w:r>
    </w:p>
    <w:p w:rsidR="00B8487B" w:rsidRDefault="00B8487B" w:rsidP="00B8487B">
      <w:pPr>
        <w:widowControl w:val="0"/>
        <w:tabs>
          <w:tab w:val="left" w:pos="6840"/>
        </w:tabs>
        <w:mirrorIndents/>
        <w:rPr>
          <w:sz w:val="22"/>
          <w:szCs w:val="24"/>
        </w:rPr>
      </w:pPr>
    </w:p>
    <w:p w:rsidR="00A20859" w:rsidRDefault="00B8487B" w:rsidP="00B8487B">
      <w:pPr>
        <w:widowControl w:val="0"/>
        <w:tabs>
          <w:tab w:val="left" w:pos="630"/>
        </w:tabs>
        <w:mirrorIndents/>
        <w:rPr>
          <w:sz w:val="22"/>
          <w:szCs w:val="24"/>
        </w:rPr>
      </w:pPr>
      <w:r>
        <w:rPr>
          <w:sz w:val="22"/>
          <w:szCs w:val="24"/>
        </w:rPr>
        <w:tab/>
      </w:r>
      <w:r w:rsidR="00A20859">
        <w:rPr>
          <w:sz w:val="22"/>
          <w:szCs w:val="24"/>
        </w:rPr>
        <w:t>Nassau’s net winning bid was $1,641,000.00.</w:t>
      </w:r>
      <w:r w:rsidR="00A20859">
        <w:rPr>
          <w:rStyle w:val="FootnoteReference"/>
          <w:sz w:val="22"/>
          <w:szCs w:val="24"/>
        </w:rPr>
        <w:footnoteReference w:id="10"/>
      </w:r>
      <w:r w:rsidR="00A20859">
        <w:rPr>
          <w:sz w:val="22"/>
          <w:szCs w:val="24"/>
        </w:rPr>
        <w:t xml:space="preserve">  The Commission applied the $230,340.00 that</w:t>
      </w:r>
      <w:r w:rsidR="00A71C08">
        <w:rPr>
          <w:sz w:val="22"/>
          <w:szCs w:val="24"/>
        </w:rPr>
        <w:t xml:space="preserve"> Nassau</w:t>
      </w:r>
      <w:r w:rsidR="00A20859">
        <w:rPr>
          <w:sz w:val="22"/>
          <w:szCs w:val="24"/>
        </w:rPr>
        <w:t xml:space="preserve"> had on deposit toward its down payment requirement and notified Nassau that the additional amount due to meet its down payment obligation was $97,860.00.</w:t>
      </w:r>
      <w:r w:rsidR="00A20859">
        <w:rPr>
          <w:rStyle w:val="FootnoteReference"/>
          <w:sz w:val="22"/>
          <w:szCs w:val="24"/>
        </w:rPr>
        <w:footnoteReference w:id="11"/>
      </w:r>
      <w:r w:rsidR="00A20859">
        <w:rPr>
          <w:sz w:val="22"/>
          <w:szCs w:val="24"/>
        </w:rPr>
        <w:t xml:space="preserve">  Nassau timely submitted the down payment by December 15, 2004, and filed long-form applications for the Permits by January 3, 2005.</w:t>
      </w:r>
      <w:r w:rsidR="00A20859">
        <w:rPr>
          <w:rStyle w:val="FootnoteReference"/>
          <w:sz w:val="22"/>
          <w:szCs w:val="24"/>
        </w:rPr>
        <w:footnoteReference w:id="12"/>
      </w:r>
    </w:p>
    <w:p w:rsidR="00B8487B" w:rsidRDefault="00B8487B" w:rsidP="00B8487B">
      <w:pPr>
        <w:widowControl w:val="0"/>
        <w:tabs>
          <w:tab w:val="left" w:pos="6840"/>
        </w:tabs>
        <w:rPr>
          <w:sz w:val="22"/>
          <w:szCs w:val="24"/>
        </w:rPr>
      </w:pPr>
    </w:p>
    <w:p w:rsidR="00B36BE0" w:rsidRDefault="00B8487B" w:rsidP="00B8487B">
      <w:pPr>
        <w:widowControl w:val="0"/>
        <w:tabs>
          <w:tab w:val="left" w:pos="630"/>
        </w:tabs>
        <w:rPr>
          <w:sz w:val="22"/>
          <w:szCs w:val="22"/>
        </w:rPr>
      </w:pPr>
      <w:r>
        <w:rPr>
          <w:sz w:val="22"/>
          <w:szCs w:val="24"/>
        </w:rPr>
        <w:tab/>
      </w:r>
      <w:r w:rsidR="000937EF">
        <w:rPr>
          <w:color w:val="000000"/>
          <w:sz w:val="22"/>
          <w:szCs w:val="22"/>
        </w:rPr>
        <w:t xml:space="preserve">Despite numerous requests by Commission staff </w:t>
      </w:r>
      <w:r w:rsidR="00676DD2">
        <w:rPr>
          <w:color w:val="000000"/>
          <w:sz w:val="22"/>
          <w:szCs w:val="22"/>
        </w:rPr>
        <w:t xml:space="preserve">throughout the </w:t>
      </w:r>
      <w:r w:rsidR="000937EF">
        <w:rPr>
          <w:color w:val="000000"/>
          <w:sz w:val="22"/>
          <w:szCs w:val="22"/>
        </w:rPr>
        <w:t>six years after</w:t>
      </w:r>
      <w:r w:rsidR="00767843" w:rsidRPr="00E75AA6">
        <w:rPr>
          <w:color w:val="000000"/>
          <w:sz w:val="22"/>
          <w:szCs w:val="22"/>
        </w:rPr>
        <w:t xml:space="preserve"> the close of Auction 37, Nassau failed to provide the Media Bureau</w:t>
      </w:r>
      <w:r w:rsidR="00372A34">
        <w:rPr>
          <w:color w:val="000000"/>
          <w:sz w:val="22"/>
          <w:szCs w:val="22"/>
        </w:rPr>
        <w:t xml:space="preserve"> </w:t>
      </w:r>
      <w:r w:rsidR="00767843" w:rsidRPr="00E75AA6">
        <w:rPr>
          <w:color w:val="000000"/>
          <w:sz w:val="22"/>
          <w:szCs w:val="22"/>
        </w:rPr>
        <w:t>with the required certification that the proposed site</w:t>
      </w:r>
      <w:r w:rsidR="008D00FA" w:rsidRPr="00E75AA6">
        <w:rPr>
          <w:color w:val="000000"/>
          <w:sz w:val="22"/>
          <w:szCs w:val="22"/>
        </w:rPr>
        <w:t>s</w:t>
      </w:r>
      <w:r w:rsidR="00767843" w:rsidRPr="00E75AA6">
        <w:rPr>
          <w:color w:val="000000"/>
          <w:sz w:val="22"/>
          <w:szCs w:val="22"/>
        </w:rPr>
        <w:t xml:space="preserve"> for </w:t>
      </w:r>
      <w:r w:rsidR="00EB597A">
        <w:rPr>
          <w:color w:val="000000"/>
          <w:sz w:val="22"/>
          <w:szCs w:val="22"/>
        </w:rPr>
        <w:t>the Permits</w:t>
      </w:r>
      <w:r w:rsidR="008D00FA" w:rsidRPr="008D00FA">
        <w:rPr>
          <w:sz w:val="22"/>
          <w:szCs w:val="22"/>
        </w:rPr>
        <w:t xml:space="preserve"> </w:t>
      </w:r>
      <w:r w:rsidR="00767843" w:rsidRPr="00E75AA6">
        <w:rPr>
          <w:color w:val="000000"/>
          <w:sz w:val="22"/>
          <w:szCs w:val="22"/>
        </w:rPr>
        <w:t>satisfied the requirements of the National</w:t>
      </w:r>
      <w:r w:rsidR="008D00FA" w:rsidRPr="00E75AA6">
        <w:rPr>
          <w:color w:val="000000"/>
          <w:sz w:val="22"/>
          <w:szCs w:val="22"/>
        </w:rPr>
        <w:t xml:space="preserve"> Environmental P</w:t>
      </w:r>
      <w:r w:rsidR="0087309E">
        <w:rPr>
          <w:color w:val="000000"/>
          <w:sz w:val="22"/>
          <w:szCs w:val="22"/>
        </w:rPr>
        <w:t xml:space="preserve">olicy </w:t>
      </w:r>
      <w:r w:rsidR="008D00FA" w:rsidRPr="00E75AA6">
        <w:rPr>
          <w:color w:val="000000"/>
          <w:sz w:val="22"/>
          <w:szCs w:val="22"/>
        </w:rPr>
        <w:t xml:space="preserve">Act or </w:t>
      </w:r>
      <w:r w:rsidR="00152841" w:rsidRPr="00E75AA6">
        <w:rPr>
          <w:color w:val="000000"/>
          <w:sz w:val="22"/>
          <w:szCs w:val="22"/>
        </w:rPr>
        <w:t xml:space="preserve">were </w:t>
      </w:r>
      <w:r w:rsidR="00767843" w:rsidRPr="00E75AA6">
        <w:rPr>
          <w:color w:val="000000"/>
          <w:sz w:val="22"/>
          <w:szCs w:val="22"/>
        </w:rPr>
        <w:t>located at site</w:t>
      </w:r>
      <w:r w:rsidR="00152841" w:rsidRPr="00E75AA6">
        <w:rPr>
          <w:color w:val="000000"/>
          <w:sz w:val="22"/>
          <w:szCs w:val="22"/>
        </w:rPr>
        <w:t>s</w:t>
      </w:r>
      <w:r w:rsidR="00767843" w:rsidRPr="00E75AA6">
        <w:rPr>
          <w:color w:val="000000"/>
          <w:sz w:val="22"/>
          <w:szCs w:val="22"/>
        </w:rPr>
        <w:t xml:space="preserve"> that d</w:t>
      </w:r>
      <w:r w:rsidR="00152841" w:rsidRPr="00E75AA6">
        <w:rPr>
          <w:color w:val="000000"/>
          <w:sz w:val="22"/>
          <w:szCs w:val="22"/>
        </w:rPr>
        <w:t>id</w:t>
      </w:r>
      <w:r w:rsidR="00824F2C">
        <w:rPr>
          <w:color w:val="000000"/>
          <w:sz w:val="22"/>
          <w:szCs w:val="22"/>
        </w:rPr>
        <w:t xml:space="preserve"> not require </w:t>
      </w:r>
      <w:r w:rsidR="00767843" w:rsidRPr="00E75AA6">
        <w:rPr>
          <w:color w:val="000000"/>
          <w:sz w:val="22"/>
          <w:szCs w:val="22"/>
        </w:rPr>
        <w:t>environmental analysis</w:t>
      </w:r>
      <w:r w:rsidR="00767843">
        <w:rPr>
          <w:sz w:val="22"/>
          <w:szCs w:val="22"/>
        </w:rPr>
        <w:t>.</w:t>
      </w:r>
      <w:r w:rsidR="004615F3">
        <w:rPr>
          <w:rStyle w:val="FootnoteReference"/>
          <w:sz w:val="22"/>
          <w:szCs w:val="22"/>
        </w:rPr>
        <w:footnoteReference w:id="13"/>
      </w:r>
      <w:r w:rsidR="00A80C45">
        <w:rPr>
          <w:sz w:val="22"/>
          <w:szCs w:val="22"/>
        </w:rPr>
        <w:t xml:space="preserve">  </w:t>
      </w:r>
      <w:r w:rsidR="008D00FA">
        <w:rPr>
          <w:sz w:val="22"/>
          <w:szCs w:val="22"/>
        </w:rPr>
        <w:t xml:space="preserve">By </w:t>
      </w:r>
      <w:r w:rsidR="00152841">
        <w:rPr>
          <w:sz w:val="22"/>
          <w:szCs w:val="22"/>
        </w:rPr>
        <w:t xml:space="preserve">separate </w:t>
      </w:r>
      <w:r w:rsidR="008D00FA">
        <w:rPr>
          <w:sz w:val="22"/>
          <w:szCs w:val="22"/>
        </w:rPr>
        <w:t>letter</w:t>
      </w:r>
      <w:r w:rsidR="00152841">
        <w:rPr>
          <w:sz w:val="22"/>
          <w:szCs w:val="22"/>
        </w:rPr>
        <w:t>s</w:t>
      </w:r>
      <w:r w:rsidR="008D00FA">
        <w:rPr>
          <w:sz w:val="22"/>
          <w:szCs w:val="22"/>
        </w:rPr>
        <w:t xml:space="preserve"> dated </w:t>
      </w:r>
      <w:r w:rsidR="00767843">
        <w:rPr>
          <w:sz w:val="22"/>
          <w:szCs w:val="22"/>
        </w:rPr>
        <w:t xml:space="preserve">May </w:t>
      </w:r>
      <w:r w:rsidR="008D00FA">
        <w:rPr>
          <w:sz w:val="22"/>
          <w:szCs w:val="22"/>
        </w:rPr>
        <w:t xml:space="preserve">6, </w:t>
      </w:r>
      <w:r w:rsidR="00A80C45">
        <w:rPr>
          <w:sz w:val="22"/>
          <w:szCs w:val="22"/>
        </w:rPr>
        <w:t xml:space="preserve">2011, the </w:t>
      </w:r>
      <w:r w:rsidR="00372A34">
        <w:rPr>
          <w:sz w:val="22"/>
          <w:szCs w:val="22"/>
        </w:rPr>
        <w:t xml:space="preserve">Audio Division of the </w:t>
      </w:r>
      <w:r w:rsidR="00A80C45">
        <w:rPr>
          <w:sz w:val="22"/>
          <w:szCs w:val="22"/>
        </w:rPr>
        <w:t>Media Bureau</w:t>
      </w:r>
      <w:r w:rsidR="00372A34">
        <w:rPr>
          <w:sz w:val="22"/>
          <w:szCs w:val="22"/>
        </w:rPr>
        <w:t xml:space="preserve"> (“Division”)</w:t>
      </w:r>
      <w:r w:rsidR="00A80C45">
        <w:rPr>
          <w:sz w:val="22"/>
          <w:szCs w:val="22"/>
        </w:rPr>
        <w:t xml:space="preserve"> gave </w:t>
      </w:r>
      <w:r w:rsidR="00767843">
        <w:rPr>
          <w:sz w:val="22"/>
          <w:szCs w:val="22"/>
        </w:rPr>
        <w:t>Nassau</w:t>
      </w:r>
      <w:r w:rsidR="00A80C45">
        <w:rPr>
          <w:sz w:val="22"/>
          <w:szCs w:val="22"/>
        </w:rPr>
        <w:t xml:space="preserve"> a final opportunity to submit the missing information and informed </w:t>
      </w:r>
      <w:r w:rsidR="00767843">
        <w:rPr>
          <w:sz w:val="22"/>
          <w:szCs w:val="22"/>
        </w:rPr>
        <w:t>Nassau</w:t>
      </w:r>
      <w:r w:rsidR="00A80C45">
        <w:rPr>
          <w:sz w:val="22"/>
          <w:szCs w:val="22"/>
        </w:rPr>
        <w:t xml:space="preserve"> that if it did not correct the defects in </w:t>
      </w:r>
      <w:r w:rsidR="00152841">
        <w:rPr>
          <w:sz w:val="22"/>
          <w:szCs w:val="22"/>
        </w:rPr>
        <w:t xml:space="preserve">both </w:t>
      </w:r>
      <w:r w:rsidR="00A80C45">
        <w:rPr>
          <w:sz w:val="22"/>
          <w:szCs w:val="22"/>
        </w:rPr>
        <w:t>application</w:t>
      </w:r>
      <w:r w:rsidR="00152841">
        <w:rPr>
          <w:sz w:val="22"/>
          <w:szCs w:val="22"/>
        </w:rPr>
        <w:t xml:space="preserve">s </w:t>
      </w:r>
      <w:r w:rsidR="00A80C45">
        <w:rPr>
          <w:sz w:val="22"/>
          <w:szCs w:val="22"/>
        </w:rPr>
        <w:t xml:space="preserve">within </w:t>
      </w:r>
      <w:r w:rsidR="00CA3A3B">
        <w:rPr>
          <w:sz w:val="22"/>
          <w:szCs w:val="22"/>
        </w:rPr>
        <w:t xml:space="preserve">30 </w:t>
      </w:r>
      <w:r w:rsidR="00A80C45">
        <w:rPr>
          <w:sz w:val="22"/>
          <w:szCs w:val="22"/>
        </w:rPr>
        <w:t xml:space="preserve">days, </w:t>
      </w:r>
      <w:r w:rsidR="00152841">
        <w:rPr>
          <w:sz w:val="22"/>
          <w:szCs w:val="22"/>
        </w:rPr>
        <w:t>the</w:t>
      </w:r>
      <w:r w:rsidR="00A80C45">
        <w:rPr>
          <w:sz w:val="22"/>
          <w:szCs w:val="22"/>
        </w:rPr>
        <w:t xml:space="preserve"> application</w:t>
      </w:r>
      <w:r w:rsidR="00152841">
        <w:rPr>
          <w:sz w:val="22"/>
          <w:szCs w:val="22"/>
        </w:rPr>
        <w:t>s</w:t>
      </w:r>
      <w:r w:rsidR="00A80C45">
        <w:rPr>
          <w:sz w:val="22"/>
          <w:szCs w:val="22"/>
        </w:rPr>
        <w:t xml:space="preserve"> would be dismissed.</w:t>
      </w:r>
      <w:r w:rsidR="00A80C45">
        <w:rPr>
          <w:rStyle w:val="FootnoteReference"/>
          <w:sz w:val="22"/>
          <w:szCs w:val="22"/>
        </w:rPr>
        <w:footnoteReference w:id="14"/>
      </w:r>
      <w:r w:rsidR="00B36BE0">
        <w:rPr>
          <w:sz w:val="22"/>
          <w:szCs w:val="22"/>
        </w:rPr>
        <w:t xml:space="preserve">           </w:t>
      </w:r>
    </w:p>
    <w:p w:rsidR="00B36BE0" w:rsidRDefault="00B36BE0" w:rsidP="00FA6C61">
      <w:pPr>
        <w:widowControl w:val="0"/>
        <w:tabs>
          <w:tab w:val="left" w:pos="6840"/>
        </w:tabs>
        <w:ind w:firstLine="720"/>
        <w:rPr>
          <w:sz w:val="22"/>
          <w:szCs w:val="22"/>
        </w:rPr>
      </w:pPr>
    </w:p>
    <w:p w:rsidR="00A80C45" w:rsidRPr="00B36BE0" w:rsidRDefault="00767843" w:rsidP="00FA6C61">
      <w:pPr>
        <w:widowControl w:val="0"/>
        <w:tabs>
          <w:tab w:val="left" w:pos="6840"/>
        </w:tabs>
        <w:ind w:firstLine="720"/>
        <w:rPr>
          <w:sz w:val="22"/>
          <w:szCs w:val="22"/>
        </w:rPr>
      </w:pPr>
      <w:r>
        <w:rPr>
          <w:sz w:val="22"/>
          <w:szCs w:val="22"/>
        </w:rPr>
        <w:t>Nassau did</w:t>
      </w:r>
      <w:r w:rsidR="00B36BE0">
        <w:rPr>
          <w:sz w:val="22"/>
          <w:szCs w:val="22"/>
        </w:rPr>
        <w:t xml:space="preserve"> </w:t>
      </w:r>
      <w:r>
        <w:rPr>
          <w:sz w:val="22"/>
          <w:szCs w:val="22"/>
        </w:rPr>
        <w:t>not respond within the 30-day deadline</w:t>
      </w:r>
      <w:r w:rsidRPr="00152841">
        <w:rPr>
          <w:sz w:val="22"/>
          <w:szCs w:val="22"/>
        </w:rPr>
        <w:t>.</w:t>
      </w:r>
      <w:r w:rsidR="003B14A3">
        <w:rPr>
          <w:rStyle w:val="FootnoteReference"/>
          <w:sz w:val="22"/>
          <w:szCs w:val="22"/>
        </w:rPr>
        <w:footnoteReference w:id="15"/>
      </w:r>
      <w:r w:rsidRPr="00152841">
        <w:rPr>
          <w:sz w:val="22"/>
          <w:szCs w:val="22"/>
        </w:rPr>
        <w:t xml:space="preserve">  </w:t>
      </w:r>
      <w:r w:rsidRPr="00F565A7">
        <w:rPr>
          <w:color w:val="000000"/>
          <w:sz w:val="22"/>
          <w:szCs w:val="22"/>
        </w:rPr>
        <w:t xml:space="preserve">Accordingly, the </w:t>
      </w:r>
      <w:r w:rsidR="00372A34">
        <w:rPr>
          <w:color w:val="000000"/>
          <w:sz w:val="22"/>
          <w:szCs w:val="22"/>
        </w:rPr>
        <w:t xml:space="preserve">Division </w:t>
      </w:r>
      <w:r w:rsidRPr="00F565A7">
        <w:rPr>
          <w:color w:val="000000"/>
          <w:sz w:val="22"/>
          <w:szCs w:val="22"/>
        </w:rPr>
        <w:t>dismissed application</w:t>
      </w:r>
      <w:r w:rsidR="00315BEB">
        <w:rPr>
          <w:color w:val="000000"/>
          <w:sz w:val="22"/>
          <w:szCs w:val="22"/>
        </w:rPr>
        <w:t>s</w:t>
      </w:r>
      <w:r w:rsidRPr="00F565A7">
        <w:rPr>
          <w:color w:val="000000"/>
          <w:sz w:val="22"/>
          <w:szCs w:val="22"/>
        </w:rPr>
        <w:t xml:space="preserve"> BNPH-</w:t>
      </w:r>
      <w:r w:rsidRPr="00F565A7">
        <w:rPr>
          <w:color w:val="000000"/>
          <w:sz w:val="22"/>
          <w:szCs w:val="22"/>
          <w:shd w:val="clear" w:color="auto" w:fill="FFFFFF"/>
        </w:rPr>
        <w:t>20050103AIE</w:t>
      </w:r>
      <w:r w:rsidR="00315BEB">
        <w:rPr>
          <w:color w:val="000000"/>
          <w:sz w:val="22"/>
          <w:szCs w:val="22"/>
          <w:shd w:val="clear" w:color="auto" w:fill="FFFFFF"/>
        </w:rPr>
        <w:t xml:space="preserve"> (</w:t>
      </w:r>
      <w:r w:rsidR="00EB597A" w:rsidRPr="00F565A7">
        <w:rPr>
          <w:color w:val="000000"/>
          <w:sz w:val="22"/>
          <w:szCs w:val="22"/>
          <w:shd w:val="clear" w:color="auto" w:fill="FFFFFF"/>
        </w:rPr>
        <w:t>permit FM216-A (</w:t>
      </w:r>
      <w:r w:rsidR="00EB597A" w:rsidRPr="00F565A7">
        <w:rPr>
          <w:color w:val="000000"/>
          <w:sz w:val="22"/>
          <w:szCs w:val="22"/>
        </w:rPr>
        <w:t>Jefferson, NH)</w:t>
      </w:r>
      <w:r w:rsidR="00315BEB">
        <w:rPr>
          <w:color w:val="000000"/>
          <w:sz w:val="22"/>
          <w:szCs w:val="22"/>
        </w:rPr>
        <w:t>)</w:t>
      </w:r>
      <w:r w:rsidR="00EB597A" w:rsidRPr="00F565A7">
        <w:rPr>
          <w:color w:val="000000"/>
          <w:sz w:val="22"/>
          <w:szCs w:val="22"/>
          <w:shd w:val="clear" w:color="auto" w:fill="FFFFFF"/>
        </w:rPr>
        <w:t xml:space="preserve"> </w:t>
      </w:r>
      <w:r w:rsidR="00152841" w:rsidRPr="00F565A7">
        <w:rPr>
          <w:color w:val="000000"/>
          <w:sz w:val="22"/>
          <w:szCs w:val="22"/>
          <w:shd w:val="clear" w:color="auto" w:fill="FFFFFF"/>
        </w:rPr>
        <w:t xml:space="preserve">and </w:t>
      </w:r>
      <w:r w:rsidR="00152841" w:rsidRPr="00F565A7">
        <w:rPr>
          <w:color w:val="000000"/>
          <w:sz w:val="22"/>
          <w:szCs w:val="22"/>
        </w:rPr>
        <w:t>BNPH-20050103AIJ</w:t>
      </w:r>
      <w:r w:rsidR="00EB597A" w:rsidRPr="00F565A7">
        <w:rPr>
          <w:color w:val="000000"/>
          <w:sz w:val="22"/>
          <w:szCs w:val="22"/>
        </w:rPr>
        <w:t xml:space="preserve"> </w:t>
      </w:r>
      <w:r w:rsidR="00315BEB">
        <w:rPr>
          <w:color w:val="000000"/>
          <w:sz w:val="22"/>
          <w:szCs w:val="22"/>
        </w:rPr>
        <w:t>(</w:t>
      </w:r>
      <w:r w:rsidR="00EB597A" w:rsidRPr="00F565A7">
        <w:rPr>
          <w:color w:val="000000"/>
          <w:sz w:val="22"/>
          <w:szCs w:val="22"/>
        </w:rPr>
        <w:t>permit FM325-A (Hardwick, VT)</w:t>
      </w:r>
      <w:r w:rsidR="00315BEB">
        <w:rPr>
          <w:color w:val="000000"/>
          <w:sz w:val="22"/>
          <w:szCs w:val="22"/>
        </w:rPr>
        <w:t>)</w:t>
      </w:r>
      <w:r w:rsidR="00402CEC">
        <w:rPr>
          <w:color w:val="000000"/>
          <w:sz w:val="22"/>
          <w:szCs w:val="22"/>
        </w:rPr>
        <w:t xml:space="preserve"> </w:t>
      </w:r>
      <w:r w:rsidR="005A1E9F">
        <w:rPr>
          <w:color w:val="000000"/>
          <w:sz w:val="22"/>
          <w:szCs w:val="22"/>
        </w:rPr>
        <w:t>for failure to prosecute</w:t>
      </w:r>
      <w:r w:rsidR="00315BEB">
        <w:rPr>
          <w:color w:val="000000"/>
          <w:sz w:val="22"/>
          <w:szCs w:val="22"/>
        </w:rPr>
        <w:t>,</w:t>
      </w:r>
      <w:r w:rsidR="003B14A3" w:rsidRPr="00F565A7">
        <w:rPr>
          <w:rStyle w:val="FootnoteReference"/>
          <w:color w:val="000000"/>
          <w:sz w:val="22"/>
          <w:szCs w:val="22"/>
        </w:rPr>
        <w:footnoteReference w:id="16"/>
      </w:r>
      <w:r w:rsidR="00152841" w:rsidRPr="00F565A7">
        <w:rPr>
          <w:color w:val="000000"/>
          <w:sz w:val="22"/>
          <w:szCs w:val="22"/>
        </w:rPr>
        <w:t xml:space="preserve"> </w:t>
      </w:r>
      <w:r w:rsidR="00315BEB">
        <w:rPr>
          <w:color w:val="000000"/>
          <w:sz w:val="22"/>
          <w:szCs w:val="22"/>
        </w:rPr>
        <w:t xml:space="preserve">and </w:t>
      </w:r>
      <w:r w:rsidRPr="00F565A7">
        <w:rPr>
          <w:color w:val="000000"/>
          <w:sz w:val="22"/>
          <w:szCs w:val="22"/>
        </w:rPr>
        <w:t>Nassau became subject to the default provisions of section 1.2104(g)</w:t>
      </w:r>
      <w:r w:rsidR="00EB597A" w:rsidRPr="00F565A7">
        <w:rPr>
          <w:color w:val="000000"/>
          <w:sz w:val="22"/>
          <w:szCs w:val="22"/>
        </w:rPr>
        <w:t>(2)</w:t>
      </w:r>
      <w:r w:rsidRPr="00F565A7">
        <w:rPr>
          <w:color w:val="000000"/>
          <w:sz w:val="22"/>
          <w:szCs w:val="22"/>
        </w:rPr>
        <w:t xml:space="preserve"> of the Commission’s rules.</w:t>
      </w:r>
      <w:r w:rsidRPr="00F565A7">
        <w:rPr>
          <w:rStyle w:val="FootnoteReference"/>
          <w:color w:val="000000"/>
          <w:sz w:val="22"/>
          <w:szCs w:val="22"/>
        </w:rPr>
        <w:footnoteReference w:id="17"/>
      </w:r>
      <w:r w:rsidRPr="00F565A7">
        <w:rPr>
          <w:color w:val="000000"/>
          <w:sz w:val="22"/>
          <w:szCs w:val="22"/>
        </w:rPr>
        <w:t xml:space="preserve">  </w:t>
      </w:r>
      <w:r w:rsidRPr="00F565A7">
        <w:rPr>
          <w:color w:val="000000"/>
          <w:sz w:val="22"/>
          <w:szCs w:val="22"/>
          <w:shd w:val="clear" w:color="auto" w:fill="FFFFFF"/>
        </w:rPr>
        <w:t xml:space="preserve">  </w:t>
      </w:r>
    </w:p>
    <w:p w:rsidR="00A80C45" w:rsidRDefault="00A80C45" w:rsidP="00FA6C61">
      <w:pPr>
        <w:widowControl w:val="0"/>
        <w:tabs>
          <w:tab w:val="left" w:pos="6840"/>
        </w:tabs>
        <w:ind w:firstLine="720"/>
        <w:rPr>
          <w:sz w:val="22"/>
          <w:szCs w:val="22"/>
        </w:rPr>
      </w:pPr>
    </w:p>
    <w:p w:rsidR="00A80C45" w:rsidRDefault="00676DD2" w:rsidP="00FA6C61">
      <w:pPr>
        <w:widowControl w:val="0"/>
        <w:ind w:firstLine="720"/>
        <w:rPr>
          <w:sz w:val="22"/>
        </w:rPr>
      </w:pPr>
      <w:r>
        <w:rPr>
          <w:sz w:val="22"/>
        </w:rPr>
        <w:t>Under the Commission’s rules, at the close of the auction a winning bidder assumes a binding obligation to pay the full amount of its accepted winning bid.</w:t>
      </w:r>
      <w:r>
        <w:rPr>
          <w:rStyle w:val="FootnoteReference"/>
          <w:sz w:val="22"/>
        </w:rPr>
        <w:footnoteReference w:id="18"/>
      </w:r>
      <w:r>
        <w:rPr>
          <w:sz w:val="22"/>
        </w:rPr>
        <w:t xml:space="preserve">  A bidder who defaults on that obligation or is disqualified </w:t>
      </w:r>
      <w:r w:rsidRPr="00C61F2A">
        <w:rPr>
          <w:sz w:val="22"/>
        </w:rPr>
        <w:t xml:space="preserve">is considered to be a defaulting bidder under the Commission’s rules and </w:t>
      </w:r>
      <w:r>
        <w:rPr>
          <w:sz w:val="22"/>
        </w:rPr>
        <w:t>is subject to a default payment.</w:t>
      </w:r>
      <w:r>
        <w:rPr>
          <w:rStyle w:val="FootnoteReference1"/>
          <w:sz w:val="22"/>
        </w:rPr>
        <w:footnoteReference w:id="19"/>
      </w:r>
      <w:r>
        <w:rPr>
          <w:sz w:val="22"/>
        </w:rPr>
        <w:t xml:space="preserve">  The default payment has two components: a deficiency payment and an additional payment amount.</w:t>
      </w:r>
      <w:r>
        <w:rPr>
          <w:rStyle w:val="FootnoteReference"/>
          <w:sz w:val="22"/>
        </w:rPr>
        <w:footnoteReference w:id="20"/>
      </w:r>
      <w:r>
        <w:rPr>
          <w:sz w:val="22"/>
        </w:rPr>
        <w:t xml:space="preserve">  The deficiency payment component applies only in the event that the subsequent winning bid the next time a construction permit for the allotment is won is less than the defaulted bid.  The deficiency payment amount is the difference between the bidder’s net defaulted bid and the subsequent net winning bid, or the difference between the bidder’s gross defaulted bid and the subsequent gross winning bid, whichever is less.</w:t>
      </w:r>
      <w:r>
        <w:rPr>
          <w:rStyle w:val="FootnoteReference1"/>
          <w:sz w:val="22"/>
        </w:rPr>
        <w:footnoteReference w:id="21"/>
      </w:r>
      <w:r>
        <w:rPr>
          <w:sz w:val="22"/>
        </w:rPr>
        <w:t xml:space="preserve">  The additional payment amount is owed by each defaulting bidder.</w:t>
      </w:r>
      <w:r>
        <w:rPr>
          <w:rStyle w:val="FootnoteReference"/>
          <w:sz w:val="22"/>
        </w:rPr>
        <w:footnoteReference w:id="22"/>
      </w:r>
      <w:r>
        <w:rPr>
          <w:sz w:val="22"/>
        </w:rPr>
        <w:t xml:space="preserve">  Pursuant to the rule in effect at the time of Auction 37, the additional payment amount is equal to three percent</w:t>
      </w:r>
      <w:r>
        <w:rPr>
          <w:sz w:val="24"/>
        </w:rPr>
        <w:t xml:space="preserve"> </w:t>
      </w:r>
      <w:r>
        <w:rPr>
          <w:sz w:val="22"/>
        </w:rPr>
        <w:t>(3%) of the defaulter’s bid, or the subsequent winning bid, whichever is less.</w:t>
      </w:r>
      <w:r>
        <w:rPr>
          <w:rStyle w:val="FootnoteReference"/>
          <w:sz w:val="22"/>
        </w:rPr>
        <w:footnoteReference w:id="23"/>
      </w:r>
      <w:r w:rsidR="00A80C45">
        <w:rPr>
          <w:rStyle w:val="FootnoteReference1"/>
          <w:sz w:val="22"/>
        </w:rPr>
        <w:t xml:space="preserve"> </w:t>
      </w:r>
      <w:r w:rsidR="00A80C45">
        <w:rPr>
          <w:sz w:val="22"/>
        </w:rPr>
        <w:t xml:space="preserve"> </w:t>
      </w:r>
    </w:p>
    <w:p w:rsidR="00A80C45" w:rsidRDefault="00A80C45" w:rsidP="00FA6C61">
      <w:pPr>
        <w:widowControl w:val="0"/>
        <w:ind w:firstLine="720"/>
        <w:rPr>
          <w:sz w:val="22"/>
        </w:rPr>
      </w:pPr>
    </w:p>
    <w:p w:rsidR="00A80C45" w:rsidRDefault="00397203" w:rsidP="00FA6C61">
      <w:pPr>
        <w:widowControl w:val="0"/>
        <w:autoSpaceDE w:val="0"/>
        <w:autoSpaceDN w:val="0"/>
        <w:adjustRightInd w:val="0"/>
        <w:ind w:firstLine="720"/>
        <w:rPr>
          <w:sz w:val="22"/>
        </w:rPr>
      </w:pPr>
      <w:r>
        <w:rPr>
          <w:sz w:val="22"/>
        </w:rPr>
        <w:t xml:space="preserve">Until a </w:t>
      </w:r>
      <w:r w:rsidR="00A80C45">
        <w:rPr>
          <w:sz w:val="22"/>
        </w:rPr>
        <w:t>construction permit</w:t>
      </w:r>
      <w:r>
        <w:rPr>
          <w:sz w:val="22"/>
        </w:rPr>
        <w:t xml:space="preserve"> </w:t>
      </w:r>
      <w:r w:rsidR="00A80C45">
        <w:rPr>
          <w:sz w:val="22"/>
        </w:rPr>
        <w:t xml:space="preserve">for the relevant </w:t>
      </w:r>
      <w:r w:rsidR="00EC631B">
        <w:rPr>
          <w:sz w:val="22"/>
        </w:rPr>
        <w:t>allotment</w:t>
      </w:r>
      <w:r w:rsidR="00A80C45">
        <w:rPr>
          <w:sz w:val="22"/>
        </w:rPr>
        <w:t xml:space="preserve"> </w:t>
      </w:r>
      <w:r>
        <w:rPr>
          <w:sz w:val="22"/>
        </w:rPr>
        <w:t>is</w:t>
      </w:r>
      <w:r w:rsidR="00A80C45">
        <w:rPr>
          <w:sz w:val="22"/>
        </w:rPr>
        <w:t xml:space="preserve"> won in a subsequent auction, the Commission cannot determine the full amount of the default payment that is owed.  Pursuant to its rules, the Commission therefore assesses an interim default payment amounting to three </w:t>
      </w:r>
      <w:r w:rsidR="00152841">
        <w:rPr>
          <w:sz w:val="22"/>
        </w:rPr>
        <w:t>p</w:t>
      </w:r>
      <w:r w:rsidR="00A80C45">
        <w:rPr>
          <w:sz w:val="22"/>
        </w:rPr>
        <w:t>ercent</w:t>
      </w:r>
      <w:r w:rsidR="00824FCB">
        <w:rPr>
          <w:sz w:val="22"/>
        </w:rPr>
        <w:t xml:space="preserve"> (3%)</w:t>
      </w:r>
      <w:r w:rsidR="00A80C45">
        <w:rPr>
          <w:sz w:val="22"/>
        </w:rPr>
        <w:t xml:space="preserve"> of the net winning bid.</w:t>
      </w:r>
      <w:r w:rsidR="00A80C45">
        <w:rPr>
          <w:rStyle w:val="FootnoteReference1"/>
          <w:sz w:val="22"/>
        </w:rPr>
        <w:footnoteReference w:id="24"/>
      </w:r>
      <w:r w:rsidR="00A80C45">
        <w:rPr>
          <w:rStyle w:val="FootnoteReference1"/>
          <w:sz w:val="22"/>
        </w:rPr>
        <w:t xml:space="preserve"> </w:t>
      </w:r>
      <w:r w:rsidR="00A80C45">
        <w:rPr>
          <w:sz w:val="22"/>
        </w:rPr>
        <w:t xml:space="preserve"> Once a subsequent winning bid for the relevant </w:t>
      </w:r>
      <w:r w:rsidR="00EC631B">
        <w:rPr>
          <w:sz w:val="22"/>
        </w:rPr>
        <w:t>allotment</w:t>
      </w:r>
      <w:r w:rsidR="00A80C45">
        <w:rPr>
          <w:sz w:val="22"/>
        </w:rPr>
        <w:t xml:space="preserve"> is established, the remaining amount owed by the defaulting party, if any, is then assessed.</w:t>
      </w:r>
    </w:p>
    <w:p w:rsidR="00A80C45" w:rsidRDefault="00A80C45" w:rsidP="00FA6C61">
      <w:pPr>
        <w:widowControl w:val="0"/>
        <w:autoSpaceDE w:val="0"/>
        <w:autoSpaceDN w:val="0"/>
        <w:adjustRightInd w:val="0"/>
        <w:ind w:firstLine="720"/>
        <w:rPr>
          <w:sz w:val="22"/>
        </w:rPr>
      </w:pPr>
    </w:p>
    <w:p w:rsidR="00A80C45" w:rsidRDefault="004C410A" w:rsidP="00C45F02">
      <w:pPr>
        <w:widowControl w:val="0"/>
        <w:autoSpaceDE w:val="0"/>
        <w:autoSpaceDN w:val="0"/>
        <w:adjustRightInd w:val="0"/>
        <w:mirrorIndents/>
        <w:rPr>
          <w:sz w:val="22"/>
          <w:szCs w:val="24"/>
        </w:rPr>
      </w:pPr>
      <w:r>
        <w:rPr>
          <w:sz w:val="22"/>
          <w:szCs w:val="22"/>
        </w:rPr>
        <w:tab/>
      </w:r>
      <w:r w:rsidR="00A80C45" w:rsidRPr="002C7FC2">
        <w:rPr>
          <w:sz w:val="22"/>
          <w:szCs w:val="22"/>
        </w:rPr>
        <w:t xml:space="preserve">Accordingly, </w:t>
      </w:r>
      <w:r w:rsidR="00152841" w:rsidRPr="002C7FC2">
        <w:rPr>
          <w:sz w:val="22"/>
          <w:szCs w:val="22"/>
        </w:rPr>
        <w:t>Nassau is</w:t>
      </w:r>
      <w:r w:rsidR="00A80C45" w:rsidRPr="002C7FC2">
        <w:rPr>
          <w:sz w:val="22"/>
          <w:szCs w:val="22"/>
        </w:rPr>
        <w:t xml:space="preserve"> considered to be in default on the </w:t>
      </w:r>
      <w:r w:rsidR="00D72BBA" w:rsidRPr="002C7FC2">
        <w:rPr>
          <w:sz w:val="22"/>
          <w:szCs w:val="22"/>
        </w:rPr>
        <w:t>Permits</w:t>
      </w:r>
      <w:r w:rsidR="00A80C45" w:rsidRPr="002C7FC2">
        <w:rPr>
          <w:sz w:val="22"/>
          <w:szCs w:val="22"/>
        </w:rPr>
        <w:t xml:space="preserve"> for which it was the winning bidder in Auction </w:t>
      </w:r>
      <w:r w:rsidR="00152841" w:rsidRPr="002C7FC2">
        <w:rPr>
          <w:sz w:val="22"/>
          <w:szCs w:val="22"/>
        </w:rPr>
        <w:t>37</w:t>
      </w:r>
      <w:r w:rsidR="00A80C45" w:rsidRPr="002C7FC2">
        <w:rPr>
          <w:sz w:val="22"/>
          <w:szCs w:val="22"/>
        </w:rPr>
        <w:t xml:space="preserve">, </w:t>
      </w:r>
      <w:r w:rsidR="00D72BBA" w:rsidRPr="002C7FC2">
        <w:rPr>
          <w:sz w:val="22"/>
          <w:szCs w:val="22"/>
        </w:rPr>
        <w:t>and</w:t>
      </w:r>
      <w:r w:rsidR="00A80C45" w:rsidRPr="002C7FC2">
        <w:rPr>
          <w:sz w:val="22"/>
          <w:szCs w:val="22"/>
        </w:rPr>
        <w:t xml:space="preserve"> is subject to the applicable default payment.</w:t>
      </w:r>
      <w:r w:rsidR="00A80C45" w:rsidRPr="002C7FC2">
        <w:rPr>
          <w:rStyle w:val="FootnoteReference"/>
          <w:sz w:val="22"/>
          <w:szCs w:val="22"/>
        </w:rPr>
        <w:footnoteReference w:id="25"/>
      </w:r>
      <w:r w:rsidR="00A80C45" w:rsidRPr="002C7FC2">
        <w:rPr>
          <w:sz w:val="22"/>
          <w:szCs w:val="22"/>
        </w:rPr>
        <w:t xml:space="preserve">  Pursuant to section 1.2104(g)(2) of the Commission’s rules and the procedures established for Auction </w:t>
      </w:r>
      <w:r w:rsidR="00152841" w:rsidRPr="002C7FC2">
        <w:rPr>
          <w:sz w:val="22"/>
          <w:szCs w:val="22"/>
        </w:rPr>
        <w:t>37</w:t>
      </w:r>
      <w:r w:rsidR="00A80C45" w:rsidRPr="002C7FC2">
        <w:rPr>
          <w:sz w:val="22"/>
          <w:szCs w:val="22"/>
        </w:rPr>
        <w:t xml:space="preserve">, </w:t>
      </w:r>
      <w:r w:rsidR="00152841" w:rsidRPr="002C7FC2">
        <w:rPr>
          <w:sz w:val="22"/>
          <w:szCs w:val="22"/>
        </w:rPr>
        <w:t>Nassau</w:t>
      </w:r>
      <w:r w:rsidR="00A80C45" w:rsidRPr="002C7FC2">
        <w:rPr>
          <w:sz w:val="22"/>
          <w:szCs w:val="22"/>
        </w:rPr>
        <w:t xml:space="preserve"> owes an interim default</w:t>
      </w:r>
      <w:r>
        <w:rPr>
          <w:sz w:val="22"/>
          <w:szCs w:val="22"/>
        </w:rPr>
        <w:t xml:space="preserve"> </w:t>
      </w:r>
      <w:r w:rsidR="00A80C45" w:rsidRPr="002C7FC2">
        <w:rPr>
          <w:sz w:val="22"/>
          <w:szCs w:val="22"/>
        </w:rPr>
        <w:t>payment of $</w:t>
      </w:r>
      <w:r w:rsidR="00152841" w:rsidRPr="002C7FC2">
        <w:rPr>
          <w:sz w:val="22"/>
          <w:szCs w:val="22"/>
        </w:rPr>
        <w:t>49,230.00</w:t>
      </w:r>
      <w:r w:rsidR="00A80C45" w:rsidRPr="002C7FC2">
        <w:rPr>
          <w:sz w:val="22"/>
          <w:szCs w:val="22"/>
        </w:rPr>
        <w:t xml:space="preserve"> which is three percent (3%) of its total net winning bid of $</w:t>
      </w:r>
      <w:r w:rsidR="00152841" w:rsidRPr="002C7FC2">
        <w:rPr>
          <w:sz w:val="22"/>
          <w:szCs w:val="22"/>
        </w:rPr>
        <w:t>1,641,000.00</w:t>
      </w:r>
      <w:r w:rsidR="00A80C45" w:rsidRPr="002C7FC2">
        <w:rPr>
          <w:sz w:val="22"/>
          <w:szCs w:val="22"/>
        </w:rPr>
        <w:t>.</w:t>
      </w:r>
      <w:r w:rsidR="00A80C45" w:rsidRPr="002C7FC2">
        <w:rPr>
          <w:rStyle w:val="FootnoteReference"/>
          <w:sz w:val="22"/>
          <w:szCs w:val="22"/>
        </w:rPr>
        <w:footnoteReference w:id="26"/>
      </w:r>
      <w:r w:rsidR="00A80C45" w:rsidRPr="002C7FC2">
        <w:rPr>
          <w:sz w:val="22"/>
          <w:szCs w:val="22"/>
        </w:rPr>
        <w:t xml:space="preserve">  Pursuant to section 1.2106(e) of the rules, we will apply </w:t>
      </w:r>
      <w:r w:rsidR="00152841" w:rsidRPr="002C7FC2">
        <w:rPr>
          <w:sz w:val="22"/>
          <w:szCs w:val="22"/>
        </w:rPr>
        <w:t>Nassau</w:t>
      </w:r>
      <w:r w:rsidR="00A80C45" w:rsidRPr="002C7FC2">
        <w:rPr>
          <w:sz w:val="22"/>
          <w:szCs w:val="22"/>
        </w:rPr>
        <w:t xml:space="preserve">’s </w:t>
      </w:r>
      <w:r w:rsidR="00D72E49" w:rsidRPr="00D72E49">
        <w:rPr>
          <w:sz w:val="22"/>
          <w:szCs w:val="22"/>
        </w:rPr>
        <w:t>$328,200.00</w:t>
      </w:r>
      <w:r w:rsidR="00D72E49">
        <w:rPr>
          <w:sz w:val="22"/>
          <w:szCs w:val="22"/>
        </w:rPr>
        <w:t xml:space="preserve"> </w:t>
      </w:r>
      <w:r w:rsidR="00A80C45" w:rsidRPr="002C7FC2">
        <w:rPr>
          <w:sz w:val="22"/>
          <w:szCs w:val="22"/>
        </w:rPr>
        <w:t>payment on deposit</w:t>
      </w:r>
      <w:r w:rsidR="00A80C45">
        <w:rPr>
          <w:sz w:val="22"/>
          <w:szCs w:val="24"/>
        </w:rPr>
        <w:t xml:space="preserve"> toward satisfying this interim default payment obligation.</w:t>
      </w:r>
      <w:r w:rsidR="00A80C45">
        <w:rPr>
          <w:rStyle w:val="FootnoteReference"/>
          <w:sz w:val="22"/>
          <w:szCs w:val="24"/>
        </w:rPr>
        <w:footnoteReference w:id="27"/>
      </w:r>
      <w:r w:rsidR="00A80C45">
        <w:rPr>
          <w:sz w:val="22"/>
          <w:szCs w:val="24"/>
        </w:rPr>
        <w:t xml:space="preserve">  Once a subsequent winning bid is established for the relevant </w:t>
      </w:r>
      <w:r w:rsidR="00EC631B">
        <w:rPr>
          <w:sz w:val="22"/>
          <w:szCs w:val="24"/>
        </w:rPr>
        <w:t>allotment</w:t>
      </w:r>
      <w:r w:rsidR="00A80C45">
        <w:rPr>
          <w:sz w:val="22"/>
          <w:szCs w:val="24"/>
        </w:rPr>
        <w:t xml:space="preserve">, we will determine </w:t>
      </w:r>
      <w:r w:rsidR="00D72BBA">
        <w:rPr>
          <w:sz w:val="22"/>
          <w:szCs w:val="24"/>
        </w:rPr>
        <w:t>Nassau</w:t>
      </w:r>
      <w:r w:rsidR="00A80C45">
        <w:rPr>
          <w:sz w:val="22"/>
          <w:szCs w:val="24"/>
        </w:rPr>
        <w:t>’s final default payment obligation.  If an additional payment is required, a further order will assess such payment.</w:t>
      </w:r>
      <w:r w:rsidR="00A80C45">
        <w:rPr>
          <w:rStyle w:val="FootnoteReference"/>
          <w:sz w:val="22"/>
          <w:szCs w:val="24"/>
        </w:rPr>
        <w:footnoteReference w:id="28"/>
      </w:r>
      <w:r w:rsidR="00A80C45">
        <w:rPr>
          <w:sz w:val="22"/>
          <w:szCs w:val="24"/>
        </w:rPr>
        <w:t xml:space="preserve">  </w:t>
      </w:r>
    </w:p>
    <w:p w:rsidR="00A80C45" w:rsidRDefault="00A80C45" w:rsidP="00FA6C61">
      <w:pPr>
        <w:widowControl w:val="0"/>
        <w:ind w:firstLine="720"/>
        <w:rPr>
          <w:sz w:val="22"/>
          <w:szCs w:val="24"/>
        </w:rPr>
      </w:pPr>
    </w:p>
    <w:p w:rsidR="00A80C45" w:rsidRDefault="00A80C45" w:rsidP="00FA6C61">
      <w:pPr>
        <w:widowControl w:val="0"/>
        <w:jc w:val="center"/>
        <w:rPr>
          <w:b/>
          <w:sz w:val="22"/>
          <w:szCs w:val="24"/>
          <w:u w:val="single"/>
        </w:rPr>
      </w:pPr>
      <w:r>
        <w:rPr>
          <w:b/>
          <w:sz w:val="22"/>
          <w:szCs w:val="24"/>
          <w:u w:val="single"/>
        </w:rPr>
        <w:t>Ordering Clauses</w:t>
      </w:r>
    </w:p>
    <w:p w:rsidR="00A80C45" w:rsidRDefault="00A80C45" w:rsidP="00FA6C61">
      <w:pPr>
        <w:pStyle w:val="ParaNum"/>
        <w:numPr>
          <w:ilvl w:val="0"/>
          <w:numId w:val="0"/>
        </w:numPr>
        <w:spacing w:after="0"/>
        <w:ind w:firstLine="720"/>
        <w:jc w:val="left"/>
        <w:rPr>
          <w:kern w:val="0"/>
          <w:szCs w:val="24"/>
        </w:rPr>
      </w:pPr>
    </w:p>
    <w:p w:rsidR="00A80C45" w:rsidRDefault="00A80C45" w:rsidP="00FA6C61">
      <w:pPr>
        <w:widowControl w:val="0"/>
        <w:autoSpaceDE w:val="0"/>
        <w:autoSpaceDN w:val="0"/>
        <w:adjustRightInd w:val="0"/>
        <w:ind w:firstLine="720"/>
        <w:rPr>
          <w:rFonts w:cs="TimesNewRoman"/>
          <w:sz w:val="22"/>
        </w:rPr>
      </w:pPr>
      <w:r w:rsidRPr="00D72BBA">
        <w:rPr>
          <w:sz w:val="22"/>
          <w:szCs w:val="22"/>
        </w:rPr>
        <w:t xml:space="preserve">Accordingly, IT IS ORDERED that, pursuant to sections 4(i) and 309 of the Communications Act of 1934, as amended, 47 U.S.C. §§ 154(i), 309, and section 1.2104(g)(2) of the Commission’s rules, 47 C.F.R. § 1.2104(g)(2), </w:t>
      </w:r>
      <w:r w:rsidR="00152841" w:rsidRPr="00D72BBA">
        <w:rPr>
          <w:spacing w:val="-2"/>
          <w:sz w:val="22"/>
          <w:szCs w:val="22"/>
        </w:rPr>
        <w:t>Nassau Broadcasting Holdings, Inc</w:t>
      </w:r>
      <w:r w:rsidRPr="00D72BBA">
        <w:rPr>
          <w:sz w:val="22"/>
          <w:szCs w:val="22"/>
        </w:rPr>
        <w:t xml:space="preserve">. is ASSESSED an interim default payment of </w:t>
      </w:r>
      <w:r w:rsidR="00152841" w:rsidRPr="00D72BBA">
        <w:rPr>
          <w:sz w:val="22"/>
          <w:szCs w:val="22"/>
        </w:rPr>
        <w:t>$49,230.00</w:t>
      </w:r>
      <w:r w:rsidR="00152841">
        <w:t>.</w:t>
      </w:r>
      <w:r>
        <w:rPr>
          <w:sz w:val="22"/>
          <w:szCs w:val="24"/>
        </w:rPr>
        <w:t xml:space="preserve"> </w:t>
      </w:r>
    </w:p>
    <w:p w:rsidR="00A80C45" w:rsidRDefault="00A80C45" w:rsidP="00FA6C61">
      <w:pPr>
        <w:widowControl w:val="0"/>
        <w:ind w:firstLine="720"/>
        <w:rPr>
          <w:sz w:val="22"/>
          <w:szCs w:val="24"/>
        </w:rPr>
      </w:pPr>
    </w:p>
    <w:p w:rsidR="00A80C45" w:rsidRDefault="00A80C45" w:rsidP="00FA6C61">
      <w:pPr>
        <w:widowControl w:val="0"/>
        <w:ind w:firstLine="720"/>
        <w:rPr>
          <w:sz w:val="22"/>
          <w:szCs w:val="24"/>
        </w:rPr>
      </w:pPr>
      <w:r>
        <w:rPr>
          <w:sz w:val="22"/>
          <w:szCs w:val="24"/>
        </w:rPr>
        <w:t xml:space="preserve">IT IS FURTHER ORDERED that, pursuant to sections 1.2104 and 1.2106 of the Commission’s rules, 47 C.F.R. §§ 1.2104 and 1.2106, </w:t>
      </w:r>
      <w:r w:rsidR="00152841" w:rsidRPr="00FF01AB">
        <w:rPr>
          <w:spacing w:val="-2"/>
          <w:sz w:val="22"/>
        </w:rPr>
        <w:t>Nassau Broadcasting Holdings, Inc</w:t>
      </w:r>
      <w:r w:rsidR="00152841">
        <w:rPr>
          <w:sz w:val="22"/>
          <w:szCs w:val="24"/>
        </w:rPr>
        <w:t>.</w:t>
      </w:r>
      <w:r>
        <w:rPr>
          <w:sz w:val="22"/>
          <w:szCs w:val="24"/>
        </w:rPr>
        <w:t>’s funds on deposit with the Commission will be applied toward satisfying the interim default payment obligation.</w:t>
      </w:r>
    </w:p>
    <w:p w:rsidR="00A80C45" w:rsidRDefault="00A80C45" w:rsidP="00FA6C61">
      <w:pPr>
        <w:widowControl w:val="0"/>
        <w:ind w:firstLine="720"/>
        <w:rPr>
          <w:sz w:val="22"/>
          <w:szCs w:val="24"/>
        </w:rPr>
      </w:pPr>
    </w:p>
    <w:p w:rsidR="00A80C45" w:rsidRPr="00F565A7" w:rsidRDefault="00A80C45" w:rsidP="00FA6C61">
      <w:pPr>
        <w:widowControl w:val="0"/>
        <w:ind w:firstLine="720"/>
        <w:rPr>
          <w:color w:val="000000"/>
          <w:sz w:val="22"/>
          <w:szCs w:val="24"/>
        </w:rPr>
      </w:pPr>
      <w:r w:rsidRPr="00F565A7">
        <w:rPr>
          <w:color w:val="000000"/>
          <w:sz w:val="22"/>
          <w:szCs w:val="24"/>
        </w:rPr>
        <w:t xml:space="preserve">IT IS FURTHER ORDERED that, pursuant to section 1.2104(g)(2) of the Commission’s rules, 47 C.F.R. § 1.2104(g)(2), </w:t>
      </w:r>
      <w:r w:rsidR="00152841" w:rsidRPr="00F565A7">
        <w:rPr>
          <w:color w:val="000000"/>
          <w:spacing w:val="-2"/>
          <w:sz w:val="22"/>
        </w:rPr>
        <w:t>Nassau Broadcasting Holdings, Inc</w:t>
      </w:r>
      <w:r w:rsidR="00152841" w:rsidRPr="00F565A7">
        <w:rPr>
          <w:color w:val="000000"/>
          <w:sz w:val="22"/>
          <w:szCs w:val="24"/>
        </w:rPr>
        <w:t xml:space="preserve">. </w:t>
      </w:r>
      <w:r w:rsidRPr="00F565A7">
        <w:rPr>
          <w:color w:val="000000"/>
          <w:sz w:val="22"/>
          <w:szCs w:val="24"/>
        </w:rPr>
        <w:t>will be subject to a final default payment for its default</w:t>
      </w:r>
      <w:r w:rsidR="00152841" w:rsidRPr="00F565A7">
        <w:rPr>
          <w:color w:val="000000"/>
          <w:sz w:val="22"/>
          <w:szCs w:val="24"/>
        </w:rPr>
        <w:t>ed winning bid during Auction 37</w:t>
      </w:r>
      <w:r w:rsidRPr="00F565A7">
        <w:rPr>
          <w:color w:val="000000"/>
          <w:sz w:val="22"/>
          <w:szCs w:val="24"/>
        </w:rPr>
        <w:t xml:space="preserve"> for </w:t>
      </w:r>
      <w:r w:rsidR="00152841" w:rsidRPr="00F565A7">
        <w:rPr>
          <w:color w:val="000000"/>
          <w:sz w:val="22"/>
          <w:szCs w:val="22"/>
        </w:rPr>
        <w:t xml:space="preserve">construction permits </w:t>
      </w:r>
      <w:r w:rsidR="00152841" w:rsidRPr="00F565A7">
        <w:rPr>
          <w:color w:val="000000"/>
          <w:sz w:val="22"/>
        </w:rPr>
        <w:t xml:space="preserve">FM216-A </w:t>
      </w:r>
      <w:r w:rsidR="00152841" w:rsidRPr="00F565A7">
        <w:rPr>
          <w:color w:val="000000"/>
          <w:sz w:val="22"/>
          <w:szCs w:val="22"/>
          <w:shd w:val="clear" w:color="auto" w:fill="FFFFFF"/>
        </w:rPr>
        <w:t>(</w:t>
      </w:r>
      <w:r w:rsidR="00152841" w:rsidRPr="00F565A7">
        <w:rPr>
          <w:color w:val="000000"/>
          <w:sz w:val="22"/>
          <w:szCs w:val="22"/>
        </w:rPr>
        <w:t xml:space="preserve">Jefferson, NH) and FM325-A (Hardwick, VT) </w:t>
      </w:r>
      <w:r w:rsidRPr="00F565A7">
        <w:rPr>
          <w:color w:val="000000"/>
          <w:sz w:val="22"/>
          <w:szCs w:val="24"/>
        </w:rPr>
        <w:t>once the spectrum associated with the construction permit</w:t>
      </w:r>
      <w:r w:rsidR="00D7746B" w:rsidRPr="00F565A7">
        <w:rPr>
          <w:color w:val="000000"/>
          <w:sz w:val="22"/>
          <w:szCs w:val="24"/>
        </w:rPr>
        <w:t>s</w:t>
      </w:r>
      <w:r w:rsidRPr="00F565A7">
        <w:rPr>
          <w:color w:val="000000"/>
          <w:sz w:val="22"/>
          <w:szCs w:val="24"/>
        </w:rPr>
        <w:t xml:space="preserve"> is won in a subsequent auction and the full default payment amount is determined.</w:t>
      </w:r>
    </w:p>
    <w:p w:rsidR="00A80C45" w:rsidRDefault="00A80C45" w:rsidP="00FA6C61">
      <w:pPr>
        <w:widowControl w:val="0"/>
        <w:ind w:firstLine="720"/>
        <w:rPr>
          <w:sz w:val="22"/>
          <w:szCs w:val="24"/>
        </w:rPr>
      </w:pPr>
    </w:p>
    <w:p w:rsidR="009C5D45" w:rsidRDefault="009C5D45" w:rsidP="00FA6C61">
      <w:pPr>
        <w:widowControl w:val="0"/>
        <w:ind w:firstLine="720"/>
        <w:rPr>
          <w:sz w:val="22"/>
          <w:szCs w:val="24"/>
        </w:rPr>
      </w:pPr>
    </w:p>
    <w:p w:rsidR="009C5D45" w:rsidRDefault="009C5D45" w:rsidP="00FA6C61">
      <w:pPr>
        <w:widowControl w:val="0"/>
        <w:ind w:firstLine="720"/>
        <w:rPr>
          <w:sz w:val="22"/>
          <w:szCs w:val="24"/>
        </w:rPr>
      </w:pPr>
    </w:p>
    <w:p w:rsidR="009C5D45" w:rsidRDefault="009C5D45" w:rsidP="00FA6C61">
      <w:pPr>
        <w:widowControl w:val="0"/>
        <w:ind w:firstLine="720"/>
        <w:rPr>
          <w:sz w:val="22"/>
          <w:szCs w:val="24"/>
        </w:rPr>
      </w:pPr>
    </w:p>
    <w:p w:rsidR="009C5D45" w:rsidRDefault="009C5D45" w:rsidP="00FA6C61">
      <w:pPr>
        <w:widowControl w:val="0"/>
        <w:ind w:firstLine="720"/>
        <w:rPr>
          <w:sz w:val="22"/>
          <w:szCs w:val="24"/>
        </w:rPr>
      </w:pPr>
    </w:p>
    <w:p w:rsidR="009C5D45" w:rsidRDefault="009C5D45" w:rsidP="00FA6C61">
      <w:pPr>
        <w:widowControl w:val="0"/>
        <w:ind w:firstLine="720"/>
        <w:rPr>
          <w:sz w:val="22"/>
          <w:szCs w:val="24"/>
        </w:rPr>
      </w:pPr>
    </w:p>
    <w:p w:rsidR="009C5D45" w:rsidRDefault="009C5D45" w:rsidP="00FA6C61">
      <w:pPr>
        <w:widowControl w:val="0"/>
        <w:ind w:firstLine="720"/>
        <w:rPr>
          <w:sz w:val="22"/>
          <w:szCs w:val="24"/>
        </w:rPr>
      </w:pPr>
    </w:p>
    <w:p w:rsidR="009C5D45" w:rsidRDefault="009C5D45" w:rsidP="00FA6C61">
      <w:pPr>
        <w:widowControl w:val="0"/>
        <w:ind w:firstLine="720"/>
        <w:rPr>
          <w:sz w:val="22"/>
          <w:szCs w:val="24"/>
        </w:rPr>
      </w:pPr>
    </w:p>
    <w:p w:rsidR="008A0B6E" w:rsidRDefault="008A0B6E" w:rsidP="00FA6C61">
      <w:pPr>
        <w:widowControl w:val="0"/>
        <w:ind w:firstLine="720"/>
        <w:rPr>
          <w:sz w:val="22"/>
          <w:szCs w:val="24"/>
        </w:rPr>
      </w:pPr>
    </w:p>
    <w:p w:rsidR="008A0B6E" w:rsidRDefault="008A0B6E" w:rsidP="00FA6C61">
      <w:pPr>
        <w:widowControl w:val="0"/>
        <w:ind w:firstLine="720"/>
        <w:rPr>
          <w:sz w:val="22"/>
          <w:szCs w:val="24"/>
        </w:rPr>
      </w:pPr>
    </w:p>
    <w:p w:rsidR="008A0B6E" w:rsidRDefault="008A0B6E" w:rsidP="00FA6C61">
      <w:pPr>
        <w:widowControl w:val="0"/>
        <w:ind w:firstLine="720"/>
        <w:rPr>
          <w:sz w:val="22"/>
          <w:szCs w:val="24"/>
        </w:rPr>
      </w:pPr>
    </w:p>
    <w:p w:rsidR="008A0B6E" w:rsidRDefault="008A0B6E" w:rsidP="00FA6C61">
      <w:pPr>
        <w:widowControl w:val="0"/>
        <w:ind w:firstLine="720"/>
        <w:rPr>
          <w:sz w:val="22"/>
          <w:szCs w:val="24"/>
        </w:rPr>
      </w:pPr>
    </w:p>
    <w:p w:rsidR="008A0B6E" w:rsidRDefault="008A0B6E" w:rsidP="00FA6C61">
      <w:pPr>
        <w:widowControl w:val="0"/>
        <w:ind w:firstLine="720"/>
        <w:rPr>
          <w:sz w:val="22"/>
          <w:szCs w:val="24"/>
        </w:rPr>
      </w:pPr>
    </w:p>
    <w:p w:rsidR="009C5D45" w:rsidRDefault="009C5D45" w:rsidP="00FA6C61">
      <w:pPr>
        <w:widowControl w:val="0"/>
        <w:ind w:firstLine="720"/>
        <w:rPr>
          <w:sz w:val="22"/>
          <w:szCs w:val="24"/>
        </w:rPr>
      </w:pPr>
    </w:p>
    <w:p w:rsidR="00A80C45" w:rsidRDefault="00A80C45" w:rsidP="00FA6C61">
      <w:pPr>
        <w:widowControl w:val="0"/>
        <w:ind w:firstLine="720"/>
        <w:rPr>
          <w:sz w:val="22"/>
          <w:szCs w:val="24"/>
        </w:rPr>
      </w:pPr>
      <w:r>
        <w:rPr>
          <w:sz w:val="22"/>
          <w:szCs w:val="24"/>
        </w:rPr>
        <w:t xml:space="preserve">IT IS FURTHER ORDERED that this Order shall be sent to </w:t>
      </w:r>
      <w:r w:rsidR="00D72BBA" w:rsidRPr="00FF01AB">
        <w:rPr>
          <w:spacing w:val="-2"/>
          <w:sz w:val="22"/>
        </w:rPr>
        <w:t>Nassau Broadcasting Holdings, Inc</w:t>
      </w:r>
      <w:r w:rsidR="00D72BBA">
        <w:rPr>
          <w:sz w:val="22"/>
          <w:szCs w:val="24"/>
        </w:rPr>
        <w:t xml:space="preserve">. </w:t>
      </w:r>
      <w:r>
        <w:rPr>
          <w:sz w:val="22"/>
          <w:szCs w:val="24"/>
        </w:rPr>
        <w:t xml:space="preserve">by certified </w:t>
      </w:r>
      <w:r w:rsidR="002C7FC2">
        <w:rPr>
          <w:sz w:val="22"/>
          <w:szCs w:val="24"/>
        </w:rPr>
        <w:t>mail</w:t>
      </w:r>
      <w:r w:rsidR="00FB763E">
        <w:rPr>
          <w:sz w:val="22"/>
          <w:szCs w:val="24"/>
        </w:rPr>
        <w:t>,</w:t>
      </w:r>
      <w:r>
        <w:rPr>
          <w:sz w:val="22"/>
          <w:szCs w:val="24"/>
        </w:rPr>
        <w:t xml:space="preserve"> return receipt requested.  This action is taken pursuant to authority delegated by section 0.331 of the Commission’s rules, 47 C.F.R. § 0.331.</w:t>
      </w:r>
    </w:p>
    <w:p w:rsidR="00A80C45" w:rsidRDefault="00A80C45" w:rsidP="00FA6C61">
      <w:pPr>
        <w:widowControl w:val="0"/>
        <w:rPr>
          <w:sz w:val="22"/>
          <w:szCs w:val="24"/>
        </w:rPr>
      </w:pPr>
    </w:p>
    <w:p w:rsidR="00A80C45" w:rsidRDefault="00A80C45" w:rsidP="00FA6C61">
      <w:pPr>
        <w:widowControl w:val="0"/>
        <w:rPr>
          <w:sz w:val="22"/>
          <w:szCs w:val="24"/>
        </w:rPr>
      </w:pPr>
    </w:p>
    <w:p w:rsidR="00225C4E" w:rsidRDefault="00A80C45" w:rsidP="00225C4E">
      <w:pPr>
        <w:widowControl w:val="0"/>
        <w:rPr>
          <w:sz w:val="22"/>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00225C4E">
        <w:rPr>
          <w:sz w:val="22"/>
        </w:rPr>
        <w:t>Sincerely,</w:t>
      </w:r>
    </w:p>
    <w:p w:rsidR="00225C4E" w:rsidRDefault="00225C4E" w:rsidP="00225C4E">
      <w:pPr>
        <w:widowControl w:val="0"/>
        <w:rPr>
          <w:sz w:val="22"/>
        </w:rPr>
      </w:pPr>
    </w:p>
    <w:p w:rsidR="00225C4E" w:rsidRDefault="00225C4E" w:rsidP="00225C4E">
      <w:pPr>
        <w:widowControl w:val="0"/>
        <w:rPr>
          <w:sz w:val="22"/>
        </w:rPr>
      </w:pPr>
    </w:p>
    <w:p w:rsidR="00225C4E" w:rsidRDefault="00225C4E" w:rsidP="00225C4E">
      <w:pPr>
        <w:widowControl w:val="0"/>
        <w:rPr>
          <w:sz w:val="22"/>
        </w:rPr>
      </w:pPr>
    </w:p>
    <w:p w:rsidR="00225C4E" w:rsidRDefault="00225C4E" w:rsidP="00225C4E">
      <w:pPr>
        <w:widowControl w:val="0"/>
        <w:rPr>
          <w:sz w:val="22"/>
        </w:rPr>
      </w:pPr>
    </w:p>
    <w:p w:rsidR="00225C4E" w:rsidRDefault="00225C4E" w:rsidP="00225C4E">
      <w:pPr>
        <w:widowControl w:val="0"/>
        <w:rPr>
          <w:sz w:val="22"/>
        </w:rPr>
      </w:pPr>
      <w:bookmarkStart w:id="1" w:name="OLE_LINK13"/>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t>Gary D. Michaels</w:t>
      </w:r>
    </w:p>
    <w:p w:rsidR="00225C4E" w:rsidRDefault="00225C4E" w:rsidP="00225C4E">
      <w:pPr>
        <w:widowControl w:val="0"/>
        <w:ind w:left="3600" w:firstLine="720"/>
        <w:rPr>
          <w:sz w:val="22"/>
        </w:rPr>
      </w:pPr>
      <w:r>
        <w:rPr>
          <w:sz w:val="22"/>
        </w:rPr>
        <w:t>Deputy Chief, Auctions and Spectrum Access Division</w:t>
      </w:r>
    </w:p>
    <w:p w:rsidR="00225C4E" w:rsidRDefault="00225C4E" w:rsidP="00225C4E">
      <w:pPr>
        <w:widowControl w:val="0"/>
        <w:rPr>
          <w:sz w:val="22"/>
        </w:rPr>
      </w:pPr>
      <w:r>
        <w:rPr>
          <w:sz w:val="22"/>
        </w:rPr>
        <w:tab/>
      </w:r>
      <w:r>
        <w:rPr>
          <w:sz w:val="22"/>
        </w:rPr>
        <w:tab/>
      </w:r>
      <w:r>
        <w:rPr>
          <w:sz w:val="22"/>
        </w:rPr>
        <w:tab/>
      </w:r>
      <w:r>
        <w:rPr>
          <w:sz w:val="22"/>
        </w:rPr>
        <w:tab/>
      </w:r>
      <w:r>
        <w:rPr>
          <w:sz w:val="22"/>
        </w:rPr>
        <w:tab/>
      </w:r>
      <w:r>
        <w:rPr>
          <w:sz w:val="22"/>
        </w:rPr>
        <w:tab/>
        <w:t xml:space="preserve">Wireless Telecommunications Bureau </w:t>
      </w:r>
    </w:p>
    <w:p w:rsidR="00B9257A" w:rsidRDefault="00B9257A" w:rsidP="00225C4E">
      <w:pPr>
        <w:widowControl w:val="0"/>
        <w:rPr>
          <w:sz w:val="22"/>
          <w:szCs w:val="24"/>
        </w:rPr>
      </w:pPr>
    </w:p>
    <w:p w:rsidR="002C7FC2" w:rsidRPr="00FF01AB" w:rsidRDefault="002C7FC2" w:rsidP="00FA6C61">
      <w:pPr>
        <w:widowControl w:val="0"/>
        <w:rPr>
          <w:spacing w:val="-2"/>
          <w:sz w:val="22"/>
        </w:rPr>
      </w:pPr>
      <w:r>
        <w:rPr>
          <w:sz w:val="22"/>
          <w:szCs w:val="22"/>
        </w:rPr>
        <w:t xml:space="preserve">cc:  </w:t>
      </w:r>
      <w:r w:rsidRPr="00FF01AB">
        <w:rPr>
          <w:spacing w:val="-2"/>
          <w:sz w:val="22"/>
        </w:rPr>
        <w:t>Stephen Diaz Gavin</w:t>
      </w:r>
    </w:p>
    <w:p w:rsidR="002C7FC2" w:rsidRPr="00FF01AB" w:rsidRDefault="002C7FC2" w:rsidP="00FA6C61">
      <w:pPr>
        <w:widowControl w:val="0"/>
        <w:ind w:firstLine="360"/>
        <w:rPr>
          <w:spacing w:val="-2"/>
          <w:sz w:val="22"/>
        </w:rPr>
      </w:pPr>
      <w:r w:rsidRPr="00FF01AB">
        <w:rPr>
          <w:spacing w:val="-2"/>
          <w:sz w:val="22"/>
        </w:rPr>
        <w:t>Patton Boggs, LLP</w:t>
      </w:r>
    </w:p>
    <w:p w:rsidR="002C7FC2" w:rsidRPr="00FF01AB" w:rsidRDefault="002C7FC2" w:rsidP="00FA6C61">
      <w:pPr>
        <w:widowControl w:val="0"/>
        <w:ind w:firstLine="360"/>
        <w:rPr>
          <w:spacing w:val="-2"/>
          <w:sz w:val="22"/>
        </w:rPr>
      </w:pPr>
      <w:r w:rsidRPr="00FF01AB">
        <w:rPr>
          <w:spacing w:val="-2"/>
          <w:sz w:val="22"/>
        </w:rPr>
        <w:t>2550 M Street N</w:t>
      </w:r>
      <w:r w:rsidR="000F158C">
        <w:rPr>
          <w:spacing w:val="-2"/>
          <w:sz w:val="22"/>
        </w:rPr>
        <w:t>.</w:t>
      </w:r>
      <w:r w:rsidRPr="00FF01AB">
        <w:rPr>
          <w:spacing w:val="-2"/>
          <w:sz w:val="22"/>
        </w:rPr>
        <w:t>W</w:t>
      </w:r>
      <w:r w:rsidR="000F158C">
        <w:rPr>
          <w:spacing w:val="-2"/>
          <w:sz w:val="22"/>
        </w:rPr>
        <w:t>.</w:t>
      </w:r>
    </w:p>
    <w:p w:rsidR="002C7FC2" w:rsidRDefault="002C7FC2" w:rsidP="00FA6C61">
      <w:pPr>
        <w:widowControl w:val="0"/>
        <w:ind w:firstLine="360"/>
        <w:rPr>
          <w:spacing w:val="-2"/>
          <w:sz w:val="22"/>
        </w:rPr>
      </w:pPr>
      <w:r w:rsidRPr="00FF01AB">
        <w:rPr>
          <w:spacing w:val="-2"/>
          <w:sz w:val="22"/>
        </w:rPr>
        <w:t>Washington DC 20037</w:t>
      </w:r>
    </w:p>
    <w:p w:rsidR="002C7FC2" w:rsidRDefault="002C7FC2" w:rsidP="00FA6C61">
      <w:pPr>
        <w:widowControl w:val="0"/>
        <w:tabs>
          <w:tab w:val="left" w:pos="360"/>
        </w:tabs>
        <w:rPr>
          <w:sz w:val="22"/>
          <w:szCs w:val="22"/>
        </w:rPr>
      </w:pPr>
    </w:p>
    <w:sectPr w:rsidR="002C7FC2" w:rsidSect="00B36BE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01" w:rsidRDefault="00B91201">
      <w:r>
        <w:separator/>
      </w:r>
    </w:p>
  </w:endnote>
  <w:endnote w:type="continuationSeparator" w:id="0">
    <w:p w:rsidR="00B91201" w:rsidRDefault="00B9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B9" w:rsidRDefault="00EC3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45" w:rsidRDefault="00A80C45">
    <w:pPr>
      <w:jc w:val="center"/>
    </w:pPr>
  </w:p>
  <w:p w:rsidR="00A80C45" w:rsidRDefault="00A80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B9" w:rsidRDefault="00EC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01" w:rsidRDefault="00B91201">
      <w:r>
        <w:separator/>
      </w:r>
    </w:p>
  </w:footnote>
  <w:footnote w:type="continuationSeparator" w:id="0">
    <w:p w:rsidR="00B91201" w:rsidRDefault="00B91201">
      <w:r>
        <w:continuationSeparator/>
      </w:r>
    </w:p>
  </w:footnote>
  <w:footnote w:id="1">
    <w:p w:rsidR="00A80C45" w:rsidRPr="00F565A7" w:rsidRDefault="00A80C45" w:rsidP="003A062B">
      <w:pPr>
        <w:pStyle w:val="FootnoteText"/>
        <w:spacing w:after="120"/>
        <w:rPr>
          <w:color w:val="000000"/>
        </w:rPr>
      </w:pPr>
      <w:r w:rsidRPr="00F565A7">
        <w:rPr>
          <w:rStyle w:val="FootnoteReference"/>
          <w:color w:val="000000"/>
        </w:rPr>
        <w:footnoteRef/>
      </w:r>
      <w:r w:rsidRPr="00F565A7">
        <w:rPr>
          <w:color w:val="000000"/>
        </w:rPr>
        <w:t xml:space="preserve"> </w:t>
      </w:r>
      <w:r w:rsidRPr="00F565A7">
        <w:rPr>
          <w:i/>
          <w:color w:val="000000"/>
        </w:rPr>
        <w:t xml:space="preserve">See </w:t>
      </w:r>
      <w:r w:rsidRPr="00F565A7">
        <w:rPr>
          <w:color w:val="000000"/>
        </w:rPr>
        <w:t xml:space="preserve">FM Broadcast Construction Permits </w:t>
      </w:r>
      <w:r w:rsidR="00454C95" w:rsidRPr="00F565A7">
        <w:rPr>
          <w:color w:val="000000"/>
        </w:rPr>
        <w:t xml:space="preserve">Auction </w:t>
      </w:r>
      <w:r w:rsidRPr="00F565A7">
        <w:rPr>
          <w:color w:val="000000"/>
        </w:rPr>
        <w:t xml:space="preserve">Closes; </w:t>
      </w:r>
      <w:r w:rsidR="00454C95" w:rsidRPr="00F565A7">
        <w:rPr>
          <w:color w:val="000000"/>
        </w:rPr>
        <w:t xml:space="preserve">Auction No. 37 </w:t>
      </w:r>
      <w:r w:rsidRPr="00F565A7">
        <w:rPr>
          <w:color w:val="000000"/>
        </w:rPr>
        <w:t>Winning Bidders Announced</w:t>
      </w:r>
      <w:r w:rsidR="00454C95" w:rsidRPr="00F565A7">
        <w:rPr>
          <w:color w:val="000000"/>
        </w:rPr>
        <w:t>; Payment and Application Deadlines Established</w:t>
      </w:r>
      <w:r w:rsidRPr="00F565A7">
        <w:rPr>
          <w:color w:val="000000"/>
        </w:rPr>
        <w:t xml:space="preserve">, </w:t>
      </w:r>
      <w:r w:rsidRPr="00F565A7">
        <w:rPr>
          <w:i/>
          <w:color w:val="000000"/>
        </w:rPr>
        <w:t>Public Notice</w:t>
      </w:r>
      <w:r w:rsidRPr="00F565A7">
        <w:rPr>
          <w:color w:val="000000"/>
        </w:rPr>
        <w:t xml:space="preserve">, </w:t>
      </w:r>
      <w:r w:rsidR="00454C95" w:rsidRPr="00F565A7">
        <w:rPr>
          <w:iCs/>
          <w:color w:val="000000"/>
          <w:shd w:val="clear" w:color="auto" w:fill="FFFFFF"/>
        </w:rPr>
        <w:t>20 FCC Rcd 1021</w:t>
      </w:r>
      <w:r w:rsidR="00454C95" w:rsidRPr="00F565A7">
        <w:rPr>
          <w:color w:val="000000"/>
        </w:rPr>
        <w:t xml:space="preserve"> (2004</w:t>
      </w:r>
      <w:r w:rsidRPr="00F565A7">
        <w:rPr>
          <w:color w:val="000000"/>
        </w:rPr>
        <w:t>) (“</w:t>
      </w:r>
      <w:r w:rsidR="00454C95" w:rsidRPr="00F565A7">
        <w:rPr>
          <w:i/>
          <w:color w:val="000000"/>
        </w:rPr>
        <w:t>Auction 37</w:t>
      </w:r>
      <w:r w:rsidRPr="00F565A7">
        <w:rPr>
          <w:i/>
          <w:color w:val="000000"/>
        </w:rPr>
        <w:t xml:space="preserve"> Closing Public Notice</w:t>
      </w:r>
      <w:r w:rsidRPr="00F565A7">
        <w:rPr>
          <w:color w:val="000000"/>
        </w:rPr>
        <w:t>”)</w:t>
      </w:r>
      <w:r w:rsidRPr="00F565A7">
        <w:rPr>
          <w:i/>
          <w:color w:val="000000"/>
        </w:rPr>
        <w:t>.</w:t>
      </w:r>
    </w:p>
  </w:footnote>
  <w:footnote w:id="2">
    <w:p w:rsidR="00120222" w:rsidRPr="00F565A7" w:rsidRDefault="00120222" w:rsidP="00C45F02">
      <w:pPr>
        <w:pStyle w:val="FootnoteText"/>
        <w:spacing w:after="120"/>
        <w:mirrorIndents/>
        <w:rPr>
          <w:color w:val="000000"/>
        </w:rPr>
      </w:pPr>
      <w:r w:rsidRPr="00F565A7">
        <w:rPr>
          <w:rStyle w:val="FootnoteReference"/>
          <w:color w:val="000000"/>
        </w:rPr>
        <w:footnoteRef/>
      </w:r>
      <w:r w:rsidRPr="00F565A7">
        <w:rPr>
          <w:color w:val="000000"/>
        </w:rPr>
        <w:t xml:space="preserve"> </w:t>
      </w:r>
      <w:r w:rsidRPr="00F565A7">
        <w:rPr>
          <w:i/>
          <w:color w:val="000000"/>
        </w:rPr>
        <w:t>See</w:t>
      </w:r>
      <w:r w:rsidRPr="00F565A7">
        <w:rPr>
          <w:color w:val="000000"/>
        </w:rPr>
        <w:t xml:space="preserve"> Letter</w:t>
      </w:r>
      <w:r w:rsidR="009E45D1" w:rsidRPr="00F565A7">
        <w:rPr>
          <w:color w:val="000000"/>
        </w:rPr>
        <w:t xml:space="preserve"> </w:t>
      </w:r>
      <w:r w:rsidRPr="00F565A7">
        <w:rPr>
          <w:color w:val="000000"/>
        </w:rPr>
        <w:t xml:space="preserve">from James D. Bradshaw, </w:t>
      </w:r>
      <w:r w:rsidR="009E45D1" w:rsidRPr="00F565A7">
        <w:rPr>
          <w:color w:val="000000"/>
        </w:rPr>
        <w:t>Deputy Chief</w:t>
      </w:r>
      <w:r w:rsidRPr="00F565A7">
        <w:rPr>
          <w:color w:val="000000"/>
        </w:rPr>
        <w:t>, Audio Division, Media Bureau, to</w:t>
      </w:r>
      <w:r w:rsidR="009E45D1" w:rsidRPr="00F565A7">
        <w:rPr>
          <w:color w:val="000000"/>
        </w:rPr>
        <w:t xml:space="preserve"> Nassau Broadcasting Holdings Inc.</w:t>
      </w:r>
      <w:r w:rsidRPr="00F565A7">
        <w:rPr>
          <w:color w:val="000000"/>
        </w:rPr>
        <w:t xml:space="preserve">, Ref. 1800B3 </w:t>
      </w:r>
      <w:r w:rsidR="009E45D1" w:rsidRPr="00F565A7">
        <w:rPr>
          <w:color w:val="000000"/>
        </w:rPr>
        <w:t>RG</w:t>
      </w:r>
      <w:r w:rsidRPr="00F565A7">
        <w:rPr>
          <w:color w:val="000000"/>
        </w:rPr>
        <w:t xml:space="preserve"> (</w:t>
      </w:r>
      <w:r w:rsidR="009E45D1" w:rsidRPr="00F565A7">
        <w:rPr>
          <w:color w:val="000000"/>
        </w:rPr>
        <w:t>July 14</w:t>
      </w:r>
      <w:r w:rsidRPr="00F565A7">
        <w:rPr>
          <w:color w:val="000000"/>
        </w:rPr>
        <w:t>, 2011) (referencing Facility ID No. 16</w:t>
      </w:r>
      <w:r w:rsidR="009E45D1" w:rsidRPr="00F565A7">
        <w:rPr>
          <w:color w:val="000000"/>
        </w:rPr>
        <w:t xml:space="preserve">4220 </w:t>
      </w:r>
      <w:r w:rsidRPr="00F565A7">
        <w:rPr>
          <w:color w:val="000000"/>
        </w:rPr>
        <w:t>a</w:t>
      </w:r>
      <w:r w:rsidR="009E45D1" w:rsidRPr="00F565A7">
        <w:rPr>
          <w:color w:val="000000"/>
        </w:rPr>
        <w:t>nd dismissing application BNPH-</w:t>
      </w:r>
      <w:r w:rsidRPr="00F565A7">
        <w:rPr>
          <w:color w:val="000000"/>
        </w:rPr>
        <w:t>200</w:t>
      </w:r>
      <w:r w:rsidR="009E45D1" w:rsidRPr="00F565A7">
        <w:rPr>
          <w:color w:val="000000"/>
        </w:rPr>
        <w:t>50103AIJ for permit FM325-A (Hardwick, VT)</w:t>
      </w:r>
      <w:r w:rsidRPr="00F565A7">
        <w:rPr>
          <w:color w:val="000000"/>
        </w:rPr>
        <w:t>) (“</w:t>
      </w:r>
      <w:r w:rsidR="009E45D1" w:rsidRPr="00F565A7">
        <w:rPr>
          <w:i/>
          <w:color w:val="000000"/>
        </w:rPr>
        <w:t>Hardwick</w:t>
      </w:r>
      <w:r w:rsidR="009E45D1" w:rsidRPr="00F565A7">
        <w:rPr>
          <w:color w:val="000000"/>
        </w:rPr>
        <w:t xml:space="preserve"> </w:t>
      </w:r>
      <w:r w:rsidR="009E45D1" w:rsidRPr="00F565A7">
        <w:rPr>
          <w:i/>
          <w:color w:val="000000"/>
        </w:rPr>
        <w:t>Jul.</w:t>
      </w:r>
      <w:r w:rsidRPr="00F565A7">
        <w:rPr>
          <w:i/>
          <w:color w:val="000000"/>
        </w:rPr>
        <w:t xml:space="preserve"> 2011 Letter</w:t>
      </w:r>
      <w:r w:rsidRPr="00F565A7">
        <w:rPr>
          <w:color w:val="000000"/>
        </w:rPr>
        <w:t xml:space="preserve">”); </w:t>
      </w:r>
      <w:r w:rsidR="009E45D1" w:rsidRPr="00F565A7">
        <w:rPr>
          <w:color w:val="000000"/>
        </w:rPr>
        <w:t>Letter from James D. Bradshaw, Deputy Chief, Audio Division, Media Bureau, to Nassau Broadcasting Holdings Inc., Ref. 1800B3 RG (July 14, 2011) (</w:t>
      </w:r>
      <w:r w:rsidR="00B24B10" w:rsidRPr="00F565A7">
        <w:rPr>
          <w:color w:val="000000"/>
        </w:rPr>
        <w:t xml:space="preserve">referencing Facility ID No. 164219 and </w:t>
      </w:r>
      <w:r w:rsidR="009E45D1" w:rsidRPr="00F565A7">
        <w:rPr>
          <w:color w:val="000000"/>
        </w:rPr>
        <w:t>dismissing application BNPH-</w:t>
      </w:r>
      <w:r w:rsidR="009E45D1" w:rsidRPr="00F565A7">
        <w:rPr>
          <w:color w:val="000000"/>
          <w:shd w:val="clear" w:color="auto" w:fill="FFFFFF"/>
        </w:rPr>
        <w:t>20050103AIE for permit FM216-A (</w:t>
      </w:r>
      <w:r w:rsidR="009E45D1" w:rsidRPr="00F565A7">
        <w:rPr>
          <w:color w:val="000000"/>
        </w:rPr>
        <w:t>Jefferson, NH)</w:t>
      </w:r>
      <w:r w:rsidR="009E1F41" w:rsidRPr="00F565A7">
        <w:rPr>
          <w:color w:val="000000"/>
        </w:rPr>
        <w:t>)</w:t>
      </w:r>
      <w:r w:rsidR="009E45D1" w:rsidRPr="00F565A7">
        <w:rPr>
          <w:color w:val="000000"/>
        </w:rPr>
        <w:t xml:space="preserve"> (“</w:t>
      </w:r>
      <w:r w:rsidR="009E45D1" w:rsidRPr="00F565A7">
        <w:rPr>
          <w:i/>
          <w:color w:val="000000"/>
        </w:rPr>
        <w:t>Jefferson Jul. 2011 Letter</w:t>
      </w:r>
      <w:r w:rsidR="009E1F41" w:rsidRPr="00F565A7">
        <w:rPr>
          <w:color w:val="000000"/>
        </w:rPr>
        <w:t>”).</w:t>
      </w:r>
      <w:r w:rsidR="00016AE4">
        <w:rPr>
          <w:color w:val="000000"/>
        </w:rPr>
        <w:t xml:space="preserve">  </w:t>
      </w:r>
    </w:p>
  </w:footnote>
  <w:footnote w:id="3">
    <w:p w:rsidR="004C410A" w:rsidRDefault="004C410A" w:rsidP="00C45F02">
      <w:pPr>
        <w:pStyle w:val="FootnoteText"/>
        <w:spacing w:after="120"/>
      </w:pPr>
      <w:r>
        <w:rPr>
          <w:rStyle w:val="FootnoteReference"/>
        </w:rPr>
        <w:footnoteRef/>
      </w:r>
      <w:r>
        <w:t xml:space="preserve"> </w:t>
      </w:r>
      <w:r w:rsidR="00386C3C" w:rsidRPr="00C45F02">
        <w:rPr>
          <w:i/>
        </w:rPr>
        <w:t>See id.</w:t>
      </w:r>
      <w:r w:rsidR="00386C3C">
        <w:t xml:space="preserve"> </w:t>
      </w:r>
    </w:p>
  </w:footnote>
  <w:footnote w:id="4">
    <w:p w:rsidR="00120222" w:rsidRPr="00C45F02" w:rsidRDefault="00120222" w:rsidP="00120222">
      <w:pPr>
        <w:spacing w:after="120"/>
        <w:rPr>
          <w:color w:val="000000"/>
        </w:rPr>
      </w:pPr>
      <w:r w:rsidRPr="00480A7A">
        <w:rPr>
          <w:rStyle w:val="FootnoteReference"/>
          <w:color w:val="000000"/>
        </w:rPr>
        <w:footnoteRef/>
      </w:r>
      <w:r w:rsidRPr="00480A7A">
        <w:rPr>
          <w:color w:val="000000"/>
        </w:rPr>
        <w:t xml:space="preserve"> </w:t>
      </w:r>
      <w:r w:rsidRPr="00480A7A">
        <w:rPr>
          <w:i/>
          <w:color w:val="000000"/>
        </w:rPr>
        <w:t>See</w:t>
      </w:r>
      <w:r w:rsidRPr="00480A7A">
        <w:rPr>
          <w:color w:val="000000"/>
        </w:rPr>
        <w:t xml:space="preserve"> 47 C.F.R.</w:t>
      </w:r>
      <w:r w:rsidR="004615F3" w:rsidRPr="00480A7A">
        <w:rPr>
          <w:color w:val="000000"/>
        </w:rPr>
        <w:t xml:space="preserve"> </w:t>
      </w:r>
      <w:r w:rsidR="00386C3C" w:rsidRPr="007B3E95">
        <w:rPr>
          <w:color w:val="000000"/>
        </w:rPr>
        <w:t>§</w:t>
      </w:r>
      <w:r w:rsidR="004615F3" w:rsidRPr="007B3E95">
        <w:rPr>
          <w:color w:val="000000"/>
        </w:rPr>
        <w:t xml:space="preserve">§ </w:t>
      </w:r>
      <w:r w:rsidR="004615F3" w:rsidRPr="00480A7A">
        <w:rPr>
          <w:color w:val="000000"/>
        </w:rPr>
        <w:t>1.2104(g)(2)</w:t>
      </w:r>
      <w:r w:rsidR="00515B28">
        <w:rPr>
          <w:color w:val="000000"/>
        </w:rPr>
        <w:t xml:space="preserve">, </w:t>
      </w:r>
      <w:r w:rsidR="00E0787B" w:rsidRPr="00F565A7">
        <w:rPr>
          <w:color w:val="000000"/>
        </w:rPr>
        <w:t>1.2109(c)</w:t>
      </w:r>
      <w:r w:rsidR="00E0787B">
        <w:rPr>
          <w:color w:val="000000"/>
        </w:rPr>
        <w:t xml:space="preserve">, </w:t>
      </w:r>
      <w:r w:rsidR="00515B28">
        <w:t>73.3568(a)</w:t>
      </w:r>
      <w:r w:rsidR="0007794B" w:rsidRPr="00480A7A">
        <w:rPr>
          <w:color w:val="000000"/>
        </w:rPr>
        <w:t xml:space="preserve">; </w:t>
      </w:r>
      <w:r w:rsidR="0007794B" w:rsidRPr="007B3E95">
        <w:rPr>
          <w:color w:val="000000"/>
        </w:rPr>
        <w:t xml:space="preserve">Auction of FM Broadcast Construction Permits Scheduled for November 3, 2004, </w:t>
      </w:r>
      <w:r w:rsidR="0007794B" w:rsidRPr="00C45F02">
        <w:rPr>
          <w:i/>
          <w:color w:val="000000"/>
        </w:rPr>
        <w:t>Public Notice</w:t>
      </w:r>
      <w:r w:rsidR="0007794B" w:rsidRPr="00C45F02">
        <w:rPr>
          <w:color w:val="000000"/>
        </w:rPr>
        <w:t>, 19 FCC Rcd 10570, 10605-06 (2004) (“</w:t>
      </w:r>
      <w:r w:rsidR="0007794B" w:rsidRPr="00C45F02">
        <w:rPr>
          <w:i/>
          <w:color w:val="000000"/>
        </w:rPr>
        <w:t>Auction 37 Procedures Public Notice</w:t>
      </w:r>
      <w:r w:rsidR="0007794B" w:rsidRPr="00C45F02">
        <w:rPr>
          <w:color w:val="000000"/>
        </w:rPr>
        <w:t>”).</w:t>
      </w:r>
    </w:p>
  </w:footnote>
  <w:footnote w:id="5">
    <w:p w:rsidR="00A80C45" w:rsidRPr="00F565A7" w:rsidRDefault="00A80C45">
      <w:pPr>
        <w:pStyle w:val="FootnoteText"/>
        <w:spacing w:after="120"/>
        <w:rPr>
          <w:color w:val="000000"/>
        </w:rPr>
      </w:pPr>
      <w:r w:rsidRPr="00F565A7">
        <w:rPr>
          <w:rStyle w:val="FootnoteReference"/>
          <w:color w:val="000000"/>
        </w:rPr>
        <w:footnoteRef/>
      </w:r>
      <w:r w:rsidRPr="00F565A7">
        <w:rPr>
          <w:color w:val="000000"/>
        </w:rPr>
        <w:t xml:space="preserve"> </w:t>
      </w:r>
      <w:r w:rsidR="00ED1188" w:rsidRPr="00F565A7">
        <w:rPr>
          <w:i/>
          <w:color w:val="000000"/>
        </w:rPr>
        <w:t>See Auction 37</w:t>
      </w:r>
      <w:r w:rsidRPr="00F565A7">
        <w:rPr>
          <w:i/>
          <w:color w:val="000000"/>
        </w:rPr>
        <w:t xml:space="preserve"> Closing Public Notice</w:t>
      </w:r>
      <w:r w:rsidRPr="00F565A7">
        <w:rPr>
          <w:color w:val="000000"/>
        </w:rPr>
        <w:t xml:space="preserve">, </w:t>
      </w:r>
      <w:r w:rsidR="00ED1188" w:rsidRPr="00F565A7">
        <w:rPr>
          <w:iCs/>
          <w:color w:val="000000"/>
          <w:shd w:val="clear" w:color="auto" w:fill="FFFFFF"/>
        </w:rPr>
        <w:t>20 FCC Rcd 1021</w:t>
      </w:r>
      <w:r w:rsidR="00ED1188" w:rsidRPr="00F565A7">
        <w:rPr>
          <w:color w:val="000000"/>
        </w:rPr>
        <w:t>, Attach. A</w:t>
      </w:r>
      <w:r w:rsidRPr="00F565A7">
        <w:rPr>
          <w:color w:val="000000"/>
        </w:rPr>
        <w:t>.</w:t>
      </w:r>
    </w:p>
  </w:footnote>
  <w:footnote w:id="6">
    <w:p w:rsidR="00A80C45" w:rsidRPr="00F565A7" w:rsidRDefault="00A80C45">
      <w:pPr>
        <w:pStyle w:val="FootnoteText"/>
        <w:spacing w:after="120"/>
        <w:rPr>
          <w:color w:val="000000"/>
        </w:rPr>
      </w:pPr>
      <w:r w:rsidRPr="00F565A7">
        <w:rPr>
          <w:rStyle w:val="FootnoteReference"/>
          <w:color w:val="000000"/>
        </w:rPr>
        <w:footnoteRef/>
      </w:r>
      <w:r w:rsidRPr="00F565A7">
        <w:rPr>
          <w:color w:val="000000"/>
        </w:rPr>
        <w:t xml:space="preserve"> </w:t>
      </w:r>
      <w:r w:rsidRPr="00F565A7">
        <w:rPr>
          <w:i/>
          <w:color w:val="000000"/>
        </w:rPr>
        <w:t>See id</w:t>
      </w:r>
      <w:r w:rsidRPr="00F565A7">
        <w:rPr>
          <w:color w:val="000000"/>
        </w:rPr>
        <w:t>. at 10</w:t>
      </w:r>
      <w:r w:rsidR="00ED1188" w:rsidRPr="00F565A7">
        <w:rPr>
          <w:color w:val="000000"/>
        </w:rPr>
        <w:t>21-22</w:t>
      </w:r>
      <w:r w:rsidRPr="00F565A7">
        <w:rPr>
          <w:color w:val="000000"/>
        </w:rPr>
        <w:t xml:space="preserve">; </w:t>
      </w:r>
      <w:r w:rsidRPr="00F565A7">
        <w:rPr>
          <w:i/>
          <w:color w:val="000000"/>
        </w:rPr>
        <w:t>see also</w:t>
      </w:r>
      <w:r w:rsidRPr="00F565A7">
        <w:rPr>
          <w:color w:val="000000"/>
        </w:rPr>
        <w:t xml:space="preserve"> 47 C.F.R. § 1.2107(b). </w:t>
      </w:r>
    </w:p>
  </w:footnote>
  <w:footnote w:id="7">
    <w:p w:rsidR="00A80C45" w:rsidRPr="00F565A7" w:rsidRDefault="00A80C45">
      <w:pPr>
        <w:pStyle w:val="FootnoteText"/>
        <w:spacing w:after="120"/>
        <w:rPr>
          <w:color w:val="000000"/>
        </w:rPr>
      </w:pPr>
      <w:r w:rsidRPr="00F565A7">
        <w:rPr>
          <w:rStyle w:val="FootnoteReference"/>
          <w:color w:val="000000"/>
        </w:rPr>
        <w:footnoteRef/>
      </w:r>
      <w:r w:rsidRPr="00F565A7">
        <w:rPr>
          <w:color w:val="000000"/>
        </w:rPr>
        <w:t xml:space="preserve"> </w:t>
      </w:r>
      <w:r w:rsidR="00ED1188" w:rsidRPr="00F565A7">
        <w:rPr>
          <w:i/>
          <w:color w:val="000000"/>
        </w:rPr>
        <w:t>See Auction 37</w:t>
      </w:r>
      <w:r w:rsidRPr="00F565A7">
        <w:rPr>
          <w:i/>
          <w:color w:val="000000"/>
        </w:rPr>
        <w:t xml:space="preserve"> Closing Public Notice</w:t>
      </w:r>
      <w:r w:rsidR="00ED1188" w:rsidRPr="00F565A7">
        <w:rPr>
          <w:color w:val="000000"/>
        </w:rPr>
        <w:t>, 20</w:t>
      </w:r>
      <w:r w:rsidRPr="00F565A7">
        <w:rPr>
          <w:color w:val="000000"/>
        </w:rPr>
        <w:t xml:space="preserve"> FCC Rcd at 10</w:t>
      </w:r>
      <w:r w:rsidR="00ED1188" w:rsidRPr="00F565A7">
        <w:rPr>
          <w:color w:val="000000"/>
        </w:rPr>
        <w:t>21-22</w:t>
      </w:r>
      <w:r w:rsidRPr="00F565A7">
        <w:rPr>
          <w:color w:val="000000"/>
        </w:rPr>
        <w:t>.</w:t>
      </w:r>
    </w:p>
  </w:footnote>
  <w:footnote w:id="8">
    <w:p w:rsidR="00A80C45" w:rsidRPr="00F565A7" w:rsidRDefault="00A80C45">
      <w:pPr>
        <w:pStyle w:val="FootnoteText"/>
        <w:spacing w:after="120"/>
        <w:rPr>
          <w:color w:val="000000"/>
        </w:rPr>
      </w:pPr>
      <w:r w:rsidRPr="00F565A7">
        <w:rPr>
          <w:rStyle w:val="FootnoteReference"/>
          <w:color w:val="000000"/>
        </w:rPr>
        <w:footnoteRef/>
      </w:r>
      <w:r w:rsidRPr="00F565A7">
        <w:rPr>
          <w:color w:val="000000"/>
        </w:rPr>
        <w:t xml:space="preserve"> </w:t>
      </w:r>
      <w:r w:rsidRPr="00F565A7">
        <w:rPr>
          <w:i/>
          <w:color w:val="000000"/>
        </w:rPr>
        <w:t>See id.</w:t>
      </w:r>
      <w:r w:rsidRPr="00F565A7">
        <w:rPr>
          <w:color w:val="000000"/>
        </w:rPr>
        <w:t xml:space="preserve"> at 10</w:t>
      </w:r>
      <w:r w:rsidR="00ED1188" w:rsidRPr="00F565A7">
        <w:rPr>
          <w:color w:val="000000"/>
        </w:rPr>
        <w:t>25-26</w:t>
      </w:r>
      <w:r w:rsidRPr="00F565A7">
        <w:rPr>
          <w:color w:val="000000"/>
        </w:rPr>
        <w:t xml:space="preserve">; </w:t>
      </w:r>
      <w:r w:rsidRPr="00F565A7">
        <w:rPr>
          <w:i/>
          <w:color w:val="000000"/>
        </w:rPr>
        <w:t xml:space="preserve">see also </w:t>
      </w:r>
      <w:r w:rsidRPr="00F565A7">
        <w:rPr>
          <w:color w:val="000000"/>
        </w:rPr>
        <w:t>47 C.F.R.</w:t>
      </w:r>
      <w:r w:rsidR="004615F3" w:rsidRPr="00F565A7">
        <w:rPr>
          <w:color w:val="000000"/>
        </w:rPr>
        <w:t xml:space="preserve"> §§ 73.5005(a)</w:t>
      </w:r>
      <w:r w:rsidR="003A062B">
        <w:rPr>
          <w:color w:val="000000"/>
        </w:rPr>
        <w:t xml:space="preserve">, </w:t>
      </w:r>
      <w:r w:rsidR="003A062B" w:rsidRPr="00F565A7">
        <w:rPr>
          <w:color w:val="000000"/>
        </w:rPr>
        <w:t>1.2107(c)</w:t>
      </w:r>
      <w:r w:rsidR="00B9405D" w:rsidRPr="00F565A7">
        <w:rPr>
          <w:color w:val="000000"/>
        </w:rPr>
        <w:t xml:space="preserve"> </w:t>
      </w:r>
      <w:r w:rsidR="004615F3" w:rsidRPr="00F565A7">
        <w:rPr>
          <w:color w:val="000000"/>
        </w:rPr>
        <w:t>(2004</w:t>
      </w:r>
      <w:r w:rsidR="00F946D9" w:rsidRPr="00F565A7">
        <w:rPr>
          <w:color w:val="000000"/>
        </w:rPr>
        <w:t>)</w:t>
      </w:r>
      <w:r w:rsidR="003F49B2" w:rsidRPr="00F565A7">
        <w:rPr>
          <w:color w:val="000000"/>
        </w:rPr>
        <w:t>.</w:t>
      </w:r>
    </w:p>
  </w:footnote>
  <w:footnote w:id="9">
    <w:p w:rsidR="00A80C45" w:rsidRPr="00F565A7" w:rsidRDefault="00A80C45">
      <w:pPr>
        <w:pStyle w:val="FootnoteText"/>
        <w:spacing w:after="120"/>
        <w:rPr>
          <w:color w:val="000000"/>
        </w:rPr>
      </w:pPr>
      <w:r w:rsidRPr="00F565A7">
        <w:rPr>
          <w:rStyle w:val="FootnoteReference"/>
          <w:color w:val="000000"/>
        </w:rPr>
        <w:footnoteRef/>
      </w:r>
      <w:r w:rsidRPr="00F565A7">
        <w:rPr>
          <w:color w:val="000000"/>
        </w:rPr>
        <w:t xml:space="preserve"> </w:t>
      </w:r>
      <w:r w:rsidRPr="00F565A7">
        <w:rPr>
          <w:i/>
          <w:color w:val="000000"/>
        </w:rPr>
        <w:t>See</w:t>
      </w:r>
      <w:r w:rsidRPr="00F565A7">
        <w:rPr>
          <w:color w:val="000000"/>
        </w:rPr>
        <w:t xml:space="preserve"> </w:t>
      </w:r>
      <w:r w:rsidR="00ED1188" w:rsidRPr="00F565A7">
        <w:rPr>
          <w:i/>
          <w:color w:val="000000"/>
        </w:rPr>
        <w:t>Auction 37</w:t>
      </w:r>
      <w:r w:rsidRPr="00F565A7">
        <w:rPr>
          <w:i/>
          <w:color w:val="000000"/>
        </w:rPr>
        <w:t xml:space="preserve"> Closing Public Notice</w:t>
      </w:r>
      <w:r w:rsidR="00ED1188" w:rsidRPr="00F565A7">
        <w:rPr>
          <w:color w:val="000000"/>
        </w:rPr>
        <w:t>, 20</w:t>
      </w:r>
      <w:r w:rsidRPr="00F565A7">
        <w:rPr>
          <w:color w:val="000000"/>
        </w:rPr>
        <w:t xml:space="preserve"> FCC Rcd at 10</w:t>
      </w:r>
      <w:r w:rsidR="00ED1188" w:rsidRPr="00F565A7">
        <w:rPr>
          <w:color w:val="000000"/>
        </w:rPr>
        <w:t>22</w:t>
      </w:r>
      <w:r w:rsidRPr="00F565A7">
        <w:rPr>
          <w:color w:val="000000"/>
        </w:rPr>
        <w:t>.</w:t>
      </w:r>
    </w:p>
  </w:footnote>
  <w:footnote w:id="10">
    <w:p w:rsidR="00A20859" w:rsidRPr="00F565A7" w:rsidRDefault="00A20859" w:rsidP="00A20859">
      <w:pPr>
        <w:pStyle w:val="FootnoteText"/>
        <w:spacing w:after="120"/>
        <w:rPr>
          <w:color w:val="000000"/>
        </w:rPr>
      </w:pPr>
      <w:r w:rsidRPr="00F565A7">
        <w:rPr>
          <w:rStyle w:val="FootnoteReference"/>
          <w:color w:val="000000"/>
        </w:rPr>
        <w:footnoteRef/>
      </w:r>
      <w:r w:rsidRPr="00F565A7">
        <w:rPr>
          <w:color w:val="000000"/>
        </w:rPr>
        <w:t xml:space="preserve"> </w:t>
      </w:r>
      <w:r w:rsidRPr="00F565A7">
        <w:rPr>
          <w:i/>
          <w:color w:val="000000"/>
        </w:rPr>
        <w:t>See id.</w:t>
      </w:r>
      <w:r w:rsidRPr="00F565A7">
        <w:rPr>
          <w:color w:val="000000"/>
        </w:rPr>
        <w:t xml:space="preserve"> at 1021, Attach. B.  Nassau’s net winning bid is calculated as the sum of $879,000.00 for permit FM216-A (Jefferson, NH) and $762,000.00 for permit FM325-A (Hardwick, VT). </w:t>
      </w:r>
    </w:p>
  </w:footnote>
  <w:footnote w:id="11">
    <w:p w:rsidR="00A20859" w:rsidRPr="00F565A7" w:rsidRDefault="00A20859" w:rsidP="00A20859">
      <w:pPr>
        <w:pStyle w:val="FootnoteText"/>
        <w:spacing w:after="120"/>
        <w:rPr>
          <w:color w:val="000000"/>
        </w:rPr>
      </w:pPr>
      <w:r w:rsidRPr="00F565A7">
        <w:rPr>
          <w:rStyle w:val="FootnoteReference"/>
          <w:color w:val="000000"/>
        </w:rPr>
        <w:footnoteRef/>
      </w:r>
      <w:r w:rsidRPr="00F565A7">
        <w:rPr>
          <w:color w:val="000000"/>
        </w:rPr>
        <w:t xml:space="preserve"> </w:t>
      </w:r>
      <w:r>
        <w:rPr>
          <w:color w:val="000000"/>
        </w:rPr>
        <w:t xml:space="preserve">Nassau submitted an upfront payment of $255,000.00.  </w:t>
      </w:r>
      <w:r w:rsidRPr="00F565A7">
        <w:rPr>
          <w:i/>
          <w:color w:val="000000"/>
        </w:rPr>
        <w:t>Auction 37 Closing Public Notice</w:t>
      </w:r>
      <w:r w:rsidRPr="00F565A7">
        <w:rPr>
          <w:color w:val="000000"/>
        </w:rPr>
        <w:t xml:space="preserve">, </w:t>
      </w:r>
      <w:r w:rsidRPr="00F565A7">
        <w:rPr>
          <w:iCs/>
          <w:color w:val="000000"/>
          <w:shd w:val="clear" w:color="auto" w:fill="FFFFFF"/>
        </w:rPr>
        <w:t>20 FCC Rcd 1021</w:t>
      </w:r>
      <w:r w:rsidRPr="00F565A7">
        <w:rPr>
          <w:color w:val="000000"/>
        </w:rPr>
        <w:t>, Attach. A.</w:t>
      </w:r>
      <w:r>
        <w:rPr>
          <w:color w:val="000000"/>
        </w:rPr>
        <w:t xml:space="preserve">  After the close of Auction 37, the Commission applied a withdrawal payment of $24,660.00 from Nassau’s upfront payment.  </w:t>
      </w:r>
      <w:r w:rsidRPr="00C53F00">
        <w:rPr>
          <w:i/>
          <w:color w:val="000000"/>
        </w:rPr>
        <w:t xml:space="preserve">See id </w:t>
      </w:r>
      <w:r>
        <w:rPr>
          <w:color w:val="000000"/>
        </w:rPr>
        <w:t xml:space="preserve">at 1021, Attach. B.  Thus, the Commission applied $230,340.00 toward Nassau’s down payment requirement.  </w:t>
      </w:r>
      <w:r w:rsidRPr="0054298F">
        <w:rPr>
          <w:i/>
          <w:color w:val="000000"/>
        </w:rPr>
        <w:t>Id.</w:t>
      </w:r>
      <w:r>
        <w:rPr>
          <w:color w:val="000000"/>
        </w:rPr>
        <w:t xml:space="preserve">     </w:t>
      </w:r>
      <w:r w:rsidRPr="00F565A7">
        <w:rPr>
          <w:color w:val="000000"/>
        </w:rPr>
        <w:t xml:space="preserve">  </w:t>
      </w:r>
    </w:p>
  </w:footnote>
  <w:footnote w:id="12">
    <w:p w:rsidR="00A20859" w:rsidRPr="00F565A7" w:rsidRDefault="00A20859" w:rsidP="00A20859">
      <w:pPr>
        <w:pStyle w:val="FootnoteText"/>
        <w:spacing w:after="120"/>
        <w:rPr>
          <w:color w:val="000000"/>
        </w:rPr>
      </w:pPr>
      <w:r w:rsidRPr="00F565A7">
        <w:rPr>
          <w:rStyle w:val="FootnoteReference"/>
          <w:color w:val="000000"/>
        </w:rPr>
        <w:footnoteRef/>
      </w:r>
      <w:r w:rsidRPr="00F565A7">
        <w:rPr>
          <w:color w:val="000000"/>
        </w:rPr>
        <w:t xml:space="preserve"> </w:t>
      </w:r>
      <w:r w:rsidRPr="0054298F">
        <w:rPr>
          <w:i/>
          <w:color w:val="000000"/>
        </w:rPr>
        <w:t>See</w:t>
      </w:r>
      <w:r>
        <w:rPr>
          <w:color w:val="000000"/>
        </w:rPr>
        <w:t xml:space="preserve"> </w:t>
      </w:r>
      <w:r w:rsidRPr="00F565A7">
        <w:rPr>
          <w:color w:val="000000"/>
        </w:rPr>
        <w:t>Application for Construction Permit for Commercial Broadcast Station (FCC 301), BNPH-20050103AIJ (permit FM325-A (Hardwick, VT)), BNPH-</w:t>
      </w:r>
      <w:r w:rsidRPr="00F565A7">
        <w:rPr>
          <w:color w:val="000000"/>
          <w:shd w:val="clear" w:color="auto" w:fill="FFFFFF"/>
        </w:rPr>
        <w:t>20050103AIE (permit FM216-A (</w:t>
      </w:r>
      <w:r w:rsidRPr="00F565A7">
        <w:rPr>
          <w:color w:val="000000"/>
        </w:rPr>
        <w:t xml:space="preserve">Jefferson, NH)) (publicly available through the Media Bureau’s Consolidated Database System, http://www.fcc.gov/encyclopedia/media-bureau-filing-systems-and-databases) (both filed on January 3, 2005).  Nassau submitted engineering amendments to application </w:t>
      </w:r>
      <w:r w:rsidRPr="00F565A7">
        <w:rPr>
          <w:color w:val="000000"/>
          <w:shd w:val="clear" w:color="auto" w:fill="FFFFFF"/>
        </w:rPr>
        <w:t>BNPH-20050103AIE (permit FM216-A (</w:t>
      </w:r>
      <w:r w:rsidRPr="00F565A7">
        <w:rPr>
          <w:color w:val="000000"/>
        </w:rPr>
        <w:t>Jefferson, NH)) on three separate occasions, specifically on January 4, 2006, April 13, 2007, and June 19, 2008.</w:t>
      </w:r>
      <w:r>
        <w:rPr>
          <w:color w:val="000000"/>
        </w:rPr>
        <w:t xml:space="preserve">  </w:t>
      </w:r>
    </w:p>
  </w:footnote>
  <w:footnote w:id="13">
    <w:p w:rsidR="004615F3" w:rsidRPr="00F565A7" w:rsidRDefault="004615F3" w:rsidP="003F7E88">
      <w:pPr>
        <w:pStyle w:val="FootnoteText"/>
        <w:spacing w:after="120"/>
        <w:rPr>
          <w:color w:val="000000"/>
        </w:rPr>
      </w:pPr>
      <w:r w:rsidRPr="00F565A7">
        <w:rPr>
          <w:rStyle w:val="FootnoteReference"/>
          <w:color w:val="000000"/>
        </w:rPr>
        <w:footnoteRef/>
      </w:r>
      <w:r w:rsidRPr="00F565A7">
        <w:rPr>
          <w:color w:val="000000"/>
        </w:rPr>
        <w:t xml:space="preserve"> </w:t>
      </w:r>
      <w:r w:rsidRPr="00F565A7">
        <w:rPr>
          <w:i/>
          <w:color w:val="000000"/>
        </w:rPr>
        <w:t>See</w:t>
      </w:r>
      <w:r w:rsidRPr="00F565A7">
        <w:rPr>
          <w:color w:val="000000"/>
        </w:rPr>
        <w:t xml:space="preserve"> </w:t>
      </w:r>
      <w:r w:rsidRPr="00F565A7">
        <w:rPr>
          <w:i/>
          <w:color w:val="000000"/>
        </w:rPr>
        <w:t>Hardwick</w:t>
      </w:r>
      <w:r w:rsidRPr="00F565A7">
        <w:rPr>
          <w:color w:val="000000"/>
        </w:rPr>
        <w:t xml:space="preserve"> </w:t>
      </w:r>
      <w:r w:rsidRPr="00F565A7">
        <w:rPr>
          <w:i/>
          <w:color w:val="000000"/>
        </w:rPr>
        <w:t>Jul. 2011 Letter</w:t>
      </w:r>
      <w:r w:rsidRPr="00F565A7">
        <w:rPr>
          <w:color w:val="000000"/>
        </w:rPr>
        <w:t xml:space="preserve">, Ref. 1800B3 RG; </w:t>
      </w:r>
      <w:r w:rsidRPr="00F565A7">
        <w:rPr>
          <w:i/>
          <w:color w:val="000000"/>
        </w:rPr>
        <w:t>Jefferson Jul. 2011 Letter</w:t>
      </w:r>
      <w:r w:rsidRPr="00F565A7">
        <w:rPr>
          <w:color w:val="000000"/>
        </w:rPr>
        <w:t>, Ref. 1800B3 RG.</w:t>
      </w:r>
    </w:p>
  </w:footnote>
  <w:footnote w:id="14">
    <w:p w:rsidR="00A80C45" w:rsidRPr="00F565A7" w:rsidRDefault="00A80C45" w:rsidP="003F7E88">
      <w:pPr>
        <w:pStyle w:val="FootnoteText"/>
        <w:spacing w:after="120"/>
        <w:rPr>
          <w:color w:val="000000"/>
        </w:rPr>
      </w:pPr>
      <w:r w:rsidRPr="00F565A7">
        <w:rPr>
          <w:rStyle w:val="FootnoteReference"/>
          <w:color w:val="000000"/>
        </w:rPr>
        <w:footnoteRef/>
      </w:r>
      <w:r w:rsidR="004615F3" w:rsidRPr="00F565A7">
        <w:rPr>
          <w:color w:val="000000"/>
        </w:rPr>
        <w:t xml:space="preserve"> </w:t>
      </w:r>
      <w:r w:rsidR="004615F3" w:rsidRPr="00F565A7">
        <w:rPr>
          <w:i/>
          <w:color w:val="000000"/>
        </w:rPr>
        <w:t xml:space="preserve">See </w:t>
      </w:r>
      <w:r w:rsidR="004615F3" w:rsidRPr="00F565A7">
        <w:rPr>
          <w:color w:val="000000"/>
        </w:rPr>
        <w:t>Letter from James D. Bradshaw, Deputy Chief, Audio Division, Media Bureau, to Nassau Broadcasting Holdings Inc., Ref. 1800B3 RG (May 6, 2011) (concerning application BNPH-</w:t>
      </w:r>
      <w:r w:rsidR="004615F3" w:rsidRPr="00F565A7">
        <w:rPr>
          <w:color w:val="000000"/>
          <w:shd w:val="clear" w:color="auto" w:fill="FFFFFF"/>
        </w:rPr>
        <w:t>20050103AIE (permit FM216-A (</w:t>
      </w:r>
      <w:r w:rsidR="004615F3" w:rsidRPr="00F565A7">
        <w:rPr>
          <w:color w:val="000000"/>
        </w:rPr>
        <w:t>Jefferson, NH)); Letter from James D. Bradshaw, Deputy Chief, Audio Division, Media Bureau, to Nassau Broadcasting Holdings Inc., Ref. 1800B3 RG (May 6, 2011) (regarding application BNPH-20050103AIJ  (permit FM325-A (Hardwick, VT)).</w:t>
      </w:r>
      <w:r w:rsidRPr="00F565A7">
        <w:rPr>
          <w:color w:val="000000"/>
        </w:rPr>
        <w:t xml:space="preserve"> </w:t>
      </w:r>
    </w:p>
  </w:footnote>
  <w:footnote w:id="15">
    <w:p w:rsidR="003B14A3" w:rsidRPr="00F565A7" w:rsidRDefault="003B14A3" w:rsidP="00B9405D">
      <w:pPr>
        <w:pStyle w:val="FootnoteText"/>
        <w:spacing w:after="120"/>
        <w:rPr>
          <w:color w:val="000000"/>
        </w:rPr>
      </w:pPr>
      <w:r w:rsidRPr="00F565A7">
        <w:rPr>
          <w:rStyle w:val="FootnoteReference"/>
          <w:color w:val="000000"/>
        </w:rPr>
        <w:footnoteRef/>
      </w:r>
      <w:r w:rsidRPr="00F565A7">
        <w:rPr>
          <w:color w:val="000000"/>
        </w:rPr>
        <w:t xml:space="preserve"> </w:t>
      </w:r>
      <w:r w:rsidRPr="00F565A7">
        <w:rPr>
          <w:i/>
          <w:color w:val="000000"/>
        </w:rPr>
        <w:t>See</w:t>
      </w:r>
      <w:r w:rsidRPr="00F565A7">
        <w:rPr>
          <w:color w:val="000000"/>
        </w:rPr>
        <w:t xml:space="preserve"> </w:t>
      </w:r>
      <w:r w:rsidRPr="00F565A7">
        <w:rPr>
          <w:i/>
          <w:color w:val="000000"/>
        </w:rPr>
        <w:t>Hardwick</w:t>
      </w:r>
      <w:r w:rsidRPr="00F565A7">
        <w:rPr>
          <w:color w:val="000000"/>
        </w:rPr>
        <w:t xml:space="preserve"> </w:t>
      </w:r>
      <w:r w:rsidRPr="00F565A7">
        <w:rPr>
          <w:i/>
          <w:color w:val="000000"/>
        </w:rPr>
        <w:t>Jul. 2011 Letter</w:t>
      </w:r>
      <w:r w:rsidRPr="00F565A7">
        <w:rPr>
          <w:color w:val="000000"/>
        </w:rPr>
        <w:t xml:space="preserve">, Ref. 1800B3 RG; </w:t>
      </w:r>
      <w:r w:rsidRPr="00F565A7">
        <w:rPr>
          <w:i/>
          <w:color w:val="000000"/>
        </w:rPr>
        <w:t>Jefferson Jul. 2011 Letter</w:t>
      </w:r>
      <w:r w:rsidRPr="00F565A7">
        <w:rPr>
          <w:color w:val="000000"/>
        </w:rPr>
        <w:t>, Ref. 1800B3 RG.</w:t>
      </w:r>
    </w:p>
  </w:footnote>
  <w:footnote w:id="16">
    <w:p w:rsidR="003B14A3" w:rsidRPr="00F565A7" w:rsidRDefault="003B14A3" w:rsidP="00DE5C39">
      <w:pPr>
        <w:spacing w:after="120"/>
        <w:rPr>
          <w:color w:val="000000"/>
        </w:rPr>
      </w:pPr>
      <w:r w:rsidRPr="00F565A7">
        <w:rPr>
          <w:rStyle w:val="FootnoteReference"/>
          <w:color w:val="000000"/>
        </w:rPr>
        <w:footnoteRef/>
      </w:r>
      <w:r w:rsidRPr="00F565A7">
        <w:rPr>
          <w:color w:val="000000"/>
        </w:rPr>
        <w:t xml:space="preserve"> </w:t>
      </w:r>
      <w:r w:rsidRPr="00F565A7">
        <w:rPr>
          <w:i/>
          <w:color w:val="000000"/>
        </w:rPr>
        <w:t>See id.</w:t>
      </w:r>
      <w:r w:rsidRPr="00F565A7">
        <w:rPr>
          <w:color w:val="000000"/>
        </w:rPr>
        <w:t xml:space="preserve">; </w:t>
      </w:r>
      <w:r w:rsidR="00DE5C39" w:rsidRPr="00F565A7">
        <w:rPr>
          <w:color w:val="000000"/>
        </w:rPr>
        <w:t xml:space="preserve">Broadcast Actions, </w:t>
      </w:r>
      <w:r w:rsidR="00CA7B53" w:rsidRPr="00F565A7">
        <w:rPr>
          <w:color w:val="000000"/>
        </w:rPr>
        <w:t>Report</w:t>
      </w:r>
      <w:r w:rsidR="00DE5C39" w:rsidRPr="00F565A7">
        <w:rPr>
          <w:color w:val="000000"/>
        </w:rPr>
        <w:t xml:space="preserve"> No. 47531, </w:t>
      </w:r>
      <w:r w:rsidR="00CA7B53" w:rsidRPr="00F565A7">
        <w:rPr>
          <w:i/>
          <w:color w:val="000000"/>
        </w:rPr>
        <w:t>Public Notice</w:t>
      </w:r>
      <w:r w:rsidR="00CA7B53" w:rsidRPr="00F565A7">
        <w:rPr>
          <w:color w:val="000000"/>
        </w:rPr>
        <w:t xml:space="preserve"> </w:t>
      </w:r>
      <w:r w:rsidR="00DE5C39" w:rsidRPr="00F565A7">
        <w:rPr>
          <w:color w:val="000000"/>
        </w:rPr>
        <w:t>(</w:t>
      </w:r>
      <w:r w:rsidR="00CA7B53" w:rsidRPr="00F565A7">
        <w:rPr>
          <w:color w:val="000000"/>
        </w:rPr>
        <w:t xml:space="preserve">rel. </w:t>
      </w:r>
      <w:r w:rsidR="00DE5C39" w:rsidRPr="00F565A7">
        <w:rPr>
          <w:color w:val="000000"/>
        </w:rPr>
        <w:t>Jul</w:t>
      </w:r>
      <w:r w:rsidR="00CA7B53" w:rsidRPr="00F565A7">
        <w:rPr>
          <w:color w:val="000000"/>
        </w:rPr>
        <w:t>.</w:t>
      </w:r>
      <w:r w:rsidR="00DE5C39" w:rsidRPr="00F565A7">
        <w:rPr>
          <w:color w:val="000000"/>
        </w:rPr>
        <w:t xml:space="preserve"> 19, 2011);</w:t>
      </w:r>
      <w:r w:rsidR="00DE5C39" w:rsidRPr="00F565A7">
        <w:rPr>
          <w:i/>
          <w:color w:val="000000"/>
        </w:rPr>
        <w:t xml:space="preserve"> </w:t>
      </w:r>
      <w:r w:rsidRPr="00F565A7">
        <w:rPr>
          <w:i/>
          <w:color w:val="000000"/>
        </w:rPr>
        <w:t>see also</w:t>
      </w:r>
      <w:r w:rsidR="00921B5E" w:rsidRPr="00F565A7">
        <w:rPr>
          <w:color w:val="000000"/>
        </w:rPr>
        <w:t xml:space="preserve"> 47 C.F.R. § 73.3568(a)</w:t>
      </w:r>
      <w:r w:rsidR="004A49C6">
        <w:rPr>
          <w:color w:val="000000"/>
        </w:rPr>
        <w:t xml:space="preserve"> (providing that a failure to prosecute an application, </w:t>
      </w:r>
      <w:r w:rsidR="001379F7">
        <w:rPr>
          <w:color w:val="000000"/>
        </w:rPr>
        <w:t xml:space="preserve">to </w:t>
      </w:r>
      <w:r w:rsidR="004A49C6">
        <w:rPr>
          <w:color w:val="000000"/>
        </w:rPr>
        <w:t xml:space="preserve">respond to official correspondence, or </w:t>
      </w:r>
      <w:r w:rsidR="001379F7">
        <w:rPr>
          <w:color w:val="000000"/>
        </w:rPr>
        <w:t xml:space="preserve">to </w:t>
      </w:r>
      <w:r w:rsidR="004A49C6">
        <w:rPr>
          <w:color w:val="000000"/>
        </w:rPr>
        <w:t>respond to a request for additional information, will be cause for dismissal of the application and</w:t>
      </w:r>
      <w:r w:rsidR="005C6D6F">
        <w:rPr>
          <w:color w:val="000000"/>
        </w:rPr>
        <w:t xml:space="preserve"> </w:t>
      </w:r>
      <w:r w:rsidR="004A49C6">
        <w:rPr>
          <w:color w:val="000000"/>
        </w:rPr>
        <w:t>will subject the applicant to</w:t>
      </w:r>
      <w:r w:rsidR="005C6D6F">
        <w:rPr>
          <w:color w:val="000000"/>
        </w:rPr>
        <w:t xml:space="preserve"> section 1.2104(g) of the Commission’s rules).</w:t>
      </w:r>
      <w:r w:rsidR="00016AE4">
        <w:rPr>
          <w:color w:val="000000"/>
        </w:rPr>
        <w:t xml:space="preserve">  </w:t>
      </w:r>
    </w:p>
  </w:footnote>
  <w:footnote w:id="17">
    <w:p w:rsidR="00767843" w:rsidRPr="00F565A7" w:rsidRDefault="00767843" w:rsidP="00CC2265">
      <w:pPr>
        <w:spacing w:after="120"/>
        <w:rPr>
          <w:color w:val="000000"/>
        </w:rPr>
      </w:pPr>
      <w:r w:rsidRPr="00F565A7">
        <w:rPr>
          <w:rStyle w:val="FootnoteReference"/>
          <w:color w:val="000000"/>
        </w:rPr>
        <w:footnoteRef/>
      </w:r>
      <w:r w:rsidRPr="00F565A7">
        <w:rPr>
          <w:color w:val="000000"/>
        </w:rPr>
        <w:t xml:space="preserve"> </w:t>
      </w:r>
      <w:r w:rsidRPr="00F565A7">
        <w:rPr>
          <w:i/>
          <w:color w:val="000000"/>
        </w:rPr>
        <w:t xml:space="preserve">See </w:t>
      </w:r>
      <w:r w:rsidR="00B24B10" w:rsidRPr="00F565A7">
        <w:rPr>
          <w:color w:val="000000"/>
        </w:rPr>
        <w:t>47 C.F.R. §§ 1.2104(g)(2), 1.2109(c)</w:t>
      </w:r>
      <w:r w:rsidR="00A008C2">
        <w:rPr>
          <w:color w:val="000000"/>
        </w:rPr>
        <w:t xml:space="preserve">, </w:t>
      </w:r>
      <w:r w:rsidR="00A008C2" w:rsidRPr="00F565A7">
        <w:rPr>
          <w:color w:val="000000"/>
        </w:rPr>
        <w:t>73.3568(a)</w:t>
      </w:r>
      <w:r w:rsidR="00B24B10" w:rsidRPr="00F565A7">
        <w:rPr>
          <w:color w:val="000000"/>
        </w:rPr>
        <w:t xml:space="preserve">; </w:t>
      </w:r>
      <w:r w:rsidR="003B14A3" w:rsidRPr="00F565A7">
        <w:rPr>
          <w:i/>
          <w:color w:val="000000"/>
        </w:rPr>
        <w:t>Hardwick</w:t>
      </w:r>
      <w:r w:rsidR="003B14A3" w:rsidRPr="00F565A7">
        <w:rPr>
          <w:color w:val="000000"/>
        </w:rPr>
        <w:t xml:space="preserve"> </w:t>
      </w:r>
      <w:r w:rsidR="003B14A3" w:rsidRPr="00F565A7">
        <w:rPr>
          <w:i/>
          <w:color w:val="000000"/>
        </w:rPr>
        <w:t>Jul. 2011 Letter</w:t>
      </w:r>
      <w:r w:rsidR="003B14A3" w:rsidRPr="00F565A7">
        <w:rPr>
          <w:color w:val="000000"/>
        </w:rPr>
        <w:t xml:space="preserve">, Ref. 1800B3 RG; </w:t>
      </w:r>
      <w:r w:rsidR="003B14A3" w:rsidRPr="00F565A7">
        <w:rPr>
          <w:i/>
          <w:color w:val="000000"/>
        </w:rPr>
        <w:t>Jefferson Jul. 2011 Letter</w:t>
      </w:r>
      <w:r w:rsidR="003B14A3" w:rsidRPr="00F565A7">
        <w:rPr>
          <w:color w:val="000000"/>
        </w:rPr>
        <w:t>, Ref. 1800B3 RG</w:t>
      </w:r>
      <w:r w:rsidR="00152841" w:rsidRPr="00F565A7">
        <w:rPr>
          <w:color w:val="000000"/>
        </w:rPr>
        <w:t>;</w:t>
      </w:r>
      <w:r w:rsidR="003B14A3" w:rsidRPr="00F565A7">
        <w:rPr>
          <w:color w:val="000000"/>
        </w:rPr>
        <w:t xml:space="preserve"> </w:t>
      </w:r>
      <w:r w:rsidR="003B14A3" w:rsidRPr="00F565A7">
        <w:rPr>
          <w:i/>
          <w:color w:val="000000"/>
        </w:rPr>
        <w:t>see also</w:t>
      </w:r>
      <w:r w:rsidR="003B14A3" w:rsidRPr="00F565A7">
        <w:rPr>
          <w:color w:val="000000"/>
        </w:rPr>
        <w:t xml:space="preserve"> </w:t>
      </w:r>
      <w:r w:rsidR="0007794B" w:rsidRPr="00F565A7">
        <w:rPr>
          <w:i/>
          <w:color w:val="000000"/>
        </w:rPr>
        <w:t>Auction 37 Procedures Public Notic</w:t>
      </w:r>
      <w:r w:rsidR="0007794B">
        <w:rPr>
          <w:i/>
          <w:color w:val="000000"/>
        </w:rPr>
        <w:t>e</w:t>
      </w:r>
      <w:r w:rsidR="003B14A3" w:rsidRPr="00C45F02">
        <w:rPr>
          <w:i/>
          <w:color w:val="000000"/>
        </w:rPr>
        <w:t xml:space="preserve">, </w:t>
      </w:r>
      <w:r w:rsidR="003B14A3" w:rsidRPr="00F565A7">
        <w:rPr>
          <w:color w:val="000000"/>
        </w:rPr>
        <w:t>19 FCC Rcd</w:t>
      </w:r>
      <w:r w:rsidR="0007794B">
        <w:rPr>
          <w:color w:val="000000"/>
        </w:rPr>
        <w:t xml:space="preserve"> at </w:t>
      </w:r>
      <w:r w:rsidR="003B14A3" w:rsidRPr="00F565A7">
        <w:rPr>
          <w:color w:val="000000"/>
        </w:rPr>
        <w:t>10605-06</w:t>
      </w:r>
      <w:r w:rsidR="0007794B">
        <w:rPr>
          <w:color w:val="000000"/>
        </w:rPr>
        <w:t>.</w:t>
      </w:r>
      <w:r w:rsidR="00CC2265">
        <w:rPr>
          <w:color w:val="000000"/>
        </w:rPr>
        <w:t xml:space="preserve">  </w:t>
      </w:r>
    </w:p>
  </w:footnote>
  <w:footnote w:id="18">
    <w:p w:rsidR="00676DD2" w:rsidRPr="00906D7B" w:rsidRDefault="00676DD2" w:rsidP="00676DD2">
      <w:pPr>
        <w:pStyle w:val="FootnoteText"/>
        <w:spacing w:after="120"/>
        <w:mirrorIndents/>
      </w:pPr>
      <w:r w:rsidRPr="00906D7B">
        <w:rPr>
          <w:rStyle w:val="FootnoteReference"/>
        </w:rPr>
        <w:footnoteRef/>
      </w:r>
      <w:r w:rsidRPr="00906D7B">
        <w:t xml:space="preserve"> 47 C.F.R. § 1.2104(g)(2).  </w:t>
      </w:r>
    </w:p>
  </w:footnote>
  <w:footnote w:id="19">
    <w:p w:rsidR="00676DD2" w:rsidRPr="00906D7B" w:rsidRDefault="00676DD2" w:rsidP="00676DD2">
      <w:pPr>
        <w:pStyle w:val="FootnoteText"/>
        <w:spacing w:after="120"/>
        <w:mirrorIndents/>
        <w:rPr>
          <w:lang w:bidi="x-none"/>
        </w:rPr>
      </w:pPr>
      <w:r w:rsidRPr="00906D7B">
        <w:rPr>
          <w:rStyle w:val="FootnoteReference1"/>
        </w:rPr>
        <w:footnoteRef/>
      </w:r>
      <w:r w:rsidRPr="00906D7B">
        <w:t xml:space="preserve"> 47 C</w:t>
      </w:r>
      <w:r>
        <w:t>.F.R. §§ 1.2104(g)(2), 1.2109</w:t>
      </w:r>
      <w:r w:rsidRPr="00906D7B">
        <w:t>.</w:t>
      </w:r>
    </w:p>
  </w:footnote>
  <w:footnote w:id="20">
    <w:p w:rsidR="00676DD2" w:rsidRPr="00906D7B" w:rsidRDefault="00676DD2" w:rsidP="00676DD2">
      <w:pPr>
        <w:pStyle w:val="FootnoteText"/>
        <w:spacing w:after="120"/>
        <w:mirrorIndents/>
      </w:pPr>
      <w:r w:rsidRPr="00906D7B">
        <w:rPr>
          <w:rStyle w:val="FootnoteReference"/>
        </w:rPr>
        <w:footnoteRef/>
      </w:r>
      <w:r w:rsidRPr="00906D7B">
        <w:t xml:space="preserve"> 47 C.F.R. § 1.2104(g)(2).  </w:t>
      </w:r>
    </w:p>
  </w:footnote>
  <w:footnote w:id="21">
    <w:p w:rsidR="00676DD2" w:rsidRPr="00906D7B" w:rsidRDefault="00676DD2" w:rsidP="00676DD2">
      <w:pPr>
        <w:pStyle w:val="FootnoteText"/>
        <w:spacing w:after="120"/>
        <w:mirrorIndents/>
        <w:rPr>
          <w:lang w:bidi="x-none"/>
        </w:rPr>
      </w:pPr>
      <w:r w:rsidRPr="00906D7B">
        <w:rPr>
          <w:rStyle w:val="FootnoteReference1"/>
        </w:rPr>
        <w:footnoteRef/>
      </w:r>
      <w:r w:rsidRPr="00906D7B">
        <w:t xml:space="preserve"> 47 C.F.R § 1.2104(g)(2)(i).</w:t>
      </w:r>
    </w:p>
  </w:footnote>
  <w:footnote w:id="22">
    <w:p w:rsidR="00676DD2" w:rsidRDefault="00676DD2" w:rsidP="00676DD2">
      <w:pPr>
        <w:pStyle w:val="FootnoteText"/>
        <w:spacing w:after="120"/>
      </w:pPr>
      <w:r>
        <w:rPr>
          <w:rStyle w:val="FootnoteReference"/>
        </w:rPr>
        <w:footnoteRef/>
      </w:r>
      <w:r>
        <w:t xml:space="preserve"> </w:t>
      </w:r>
      <w:r w:rsidRPr="00906D7B">
        <w:t>47 C.F.R § 1.2104(g)(2)</w:t>
      </w:r>
      <w:r>
        <w:t>.</w:t>
      </w:r>
    </w:p>
  </w:footnote>
  <w:footnote w:id="23">
    <w:p w:rsidR="00676DD2" w:rsidRDefault="00676DD2" w:rsidP="00676DD2">
      <w:pPr>
        <w:pStyle w:val="FootnoteText"/>
        <w:spacing w:after="120"/>
      </w:pPr>
      <w:r>
        <w:rPr>
          <w:rStyle w:val="FootnoteReference"/>
        </w:rPr>
        <w:footnoteRef/>
      </w:r>
      <w:r>
        <w:t xml:space="preserve"> </w:t>
      </w:r>
      <w:r w:rsidRPr="00676DD2">
        <w:rPr>
          <w:i/>
        </w:rPr>
        <w:t>See id.</w:t>
      </w:r>
      <w:r>
        <w:t xml:space="preserve">; </w:t>
      </w:r>
      <w:r w:rsidRPr="00F565A7">
        <w:rPr>
          <w:i/>
          <w:color w:val="000000"/>
        </w:rPr>
        <w:t>see also</w:t>
      </w:r>
      <w:r w:rsidRPr="00F565A7">
        <w:rPr>
          <w:color w:val="000000"/>
        </w:rPr>
        <w:t xml:space="preserve"> </w:t>
      </w:r>
      <w:r w:rsidRPr="00F565A7">
        <w:rPr>
          <w:i/>
          <w:color w:val="000000"/>
        </w:rPr>
        <w:t>Auction 37 Procedures Public Notic</w:t>
      </w:r>
      <w:r>
        <w:rPr>
          <w:i/>
          <w:color w:val="000000"/>
        </w:rPr>
        <w:t>e</w:t>
      </w:r>
      <w:r w:rsidRPr="00C45F02">
        <w:rPr>
          <w:i/>
          <w:color w:val="000000"/>
        </w:rPr>
        <w:t xml:space="preserve">, </w:t>
      </w:r>
      <w:r w:rsidRPr="00F565A7">
        <w:rPr>
          <w:color w:val="000000"/>
        </w:rPr>
        <w:t>19 FCC Rcd</w:t>
      </w:r>
      <w:r>
        <w:rPr>
          <w:color w:val="000000"/>
        </w:rPr>
        <w:t xml:space="preserve"> at </w:t>
      </w:r>
      <w:r w:rsidRPr="00F565A7">
        <w:rPr>
          <w:color w:val="000000"/>
        </w:rPr>
        <w:t>10605-06</w:t>
      </w:r>
      <w:r>
        <w:rPr>
          <w:color w:val="000000"/>
        </w:rPr>
        <w:t>.</w:t>
      </w:r>
    </w:p>
  </w:footnote>
  <w:footnote w:id="24">
    <w:p w:rsidR="00A80C45" w:rsidRPr="00F565A7" w:rsidRDefault="00A80C45" w:rsidP="00676DD2">
      <w:pPr>
        <w:pStyle w:val="FootnoteText"/>
        <w:spacing w:after="120"/>
        <w:rPr>
          <w:color w:val="000000"/>
        </w:rPr>
      </w:pPr>
      <w:r w:rsidRPr="00F565A7">
        <w:rPr>
          <w:rStyle w:val="FootnoteReference1"/>
        </w:rPr>
        <w:footnoteRef/>
      </w:r>
      <w:r w:rsidRPr="00F565A7">
        <w:rPr>
          <w:color w:val="000000"/>
        </w:rPr>
        <w:t xml:space="preserve"> </w:t>
      </w:r>
      <w:r w:rsidRPr="00555EE2">
        <w:rPr>
          <w:i/>
          <w:color w:val="000000"/>
        </w:rPr>
        <w:t>See</w:t>
      </w:r>
      <w:r w:rsidRPr="00F565A7">
        <w:rPr>
          <w:color w:val="000000"/>
        </w:rPr>
        <w:t xml:space="preserve"> Amendment of Part 1 of the Commission’s Rules — Competitive Bidding Procedures, WT Docket No. 97-82, </w:t>
      </w:r>
      <w:r w:rsidRPr="0026199F">
        <w:rPr>
          <w:i/>
          <w:color w:val="000000"/>
        </w:rPr>
        <w:t>Third Report and Order and Second Further Notice of Proposed Rule Making</w:t>
      </w:r>
      <w:r w:rsidRPr="00F565A7">
        <w:rPr>
          <w:color w:val="000000"/>
          <w:shd w:val="clear" w:color="auto" w:fill="FFFFFF"/>
        </w:rPr>
        <w:t xml:space="preserve">, </w:t>
      </w:r>
      <w:r w:rsidRPr="00F565A7">
        <w:rPr>
          <w:rStyle w:val="documentbody1"/>
          <w:rFonts w:ascii="Times New Roman" w:hAnsi="Times New Roman"/>
          <w:color w:val="000000"/>
          <w:sz w:val="20"/>
          <w:szCs w:val="20"/>
        </w:rPr>
        <w:t xml:space="preserve">13 FCC Rcd 374, 434 </w:t>
      </w:r>
      <w:r w:rsidRPr="00F565A7">
        <w:rPr>
          <w:color w:val="000000"/>
        </w:rPr>
        <w:t xml:space="preserve">¶ 102 (1997); Implementation of Section 309(j) of the Communications Act – Competitive Bidding, PP Docket No. 93-253, </w:t>
      </w:r>
      <w:r w:rsidRPr="0026199F">
        <w:rPr>
          <w:i/>
          <w:color w:val="000000"/>
        </w:rPr>
        <w:t>Fifth Report and Order</w:t>
      </w:r>
      <w:r w:rsidRPr="00F565A7">
        <w:rPr>
          <w:color w:val="000000"/>
        </w:rPr>
        <w:t>, 9 FCC Rcd 5532, 5563 n.51 (1994);</w:t>
      </w:r>
      <w:r w:rsidR="00152841" w:rsidRPr="00F565A7">
        <w:rPr>
          <w:color w:val="000000"/>
        </w:rPr>
        <w:t xml:space="preserve"> 47 C.F.R § 1.2104(g)(2); </w:t>
      </w:r>
      <w:r w:rsidRPr="0026199F">
        <w:rPr>
          <w:i/>
          <w:color w:val="000000"/>
        </w:rPr>
        <w:t>see also</w:t>
      </w:r>
      <w:r w:rsidRPr="00F565A7">
        <w:rPr>
          <w:color w:val="000000"/>
        </w:rPr>
        <w:t xml:space="preserve"> Implementation of Section 309(j) of the Communications Act – Competitive Bidding, PP Docket No. 93-253, </w:t>
      </w:r>
      <w:r w:rsidRPr="0026199F">
        <w:rPr>
          <w:i/>
          <w:color w:val="000000"/>
        </w:rPr>
        <w:t>Second Report and Order</w:t>
      </w:r>
      <w:r w:rsidRPr="00F565A7">
        <w:rPr>
          <w:color w:val="000000"/>
        </w:rPr>
        <w:t xml:space="preserve">, 9 FCC Rcd 2348, 2382-83 ¶ 197 (1994). </w:t>
      </w:r>
    </w:p>
  </w:footnote>
  <w:footnote w:id="25">
    <w:p w:rsidR="00A80C45" w:rsidRPr="006A3136" w:rsidRDefault="00A80C45" w:rsidP="00B9405D">
      <w:pPr>
        <w:pStyle w:val="FootnoteText"/>
        <w:spacing w:after="120"/>
        <w:rPr>
          <w:color w:val="000000"/>
          <w:lang w:val="es-US"/>
        </w:rPr>
      </w:pPr>
      <w:r w:rsidRPr="00F565A7">
        <w:rPr>
          <w:rStyle w:val="FootnoteReference"/>
          <w:color w:val="000000"/>
        </w:rPr>
        <w:footnoteRef/>
      </w:r>
      <w:r w:rsidRPr="006A3136">
        <w:rPr>
          <w:color w:val="000000"/>
          <w:lang w:val="es-US"/>
        </w:rPr>
        <w:t xml:space="preserve"> 47 C.F.R. §§ 1.2104(g)(2), 1.2109(c). </w:t>
      </w:r>
    </w:p>
  </w:footnote>
  <w:footnote w:id="26">
    <w:p w:rsidR="00A80C45" w:rsidRPr="006A3136" w:rsidRDefault="00A80C45" w:rsidP="00B9405D">
      <w:pPr>
        <w:pStyle w:val="FootnoteText"/>
        <w:spacing w:after="120"/>
        <w:rPr>
          <w:color w:val="000000"/>
          <w:lang w:val="es-US"/>
        </w:rPr>
      </w:pPr>
      <w:r w:rsidRPr="00F565A7">
        <w:rPr>
          <w:rStyle w:val="FootnoteReference"/>
          <w:color w:val="000000"/>
        </w:rPr>
        <w:footnoteRef/>
      </w:r>
      <w:r w:rsidRPr="006A3136">
        <w:rPr>
          <w:color w:val="000000"/>
          <w:lang w:val="es-US"/>
        </w:rPr>
        <w:t xml:space="preserve"> </w:t>
      </w:r>
      <w:r w:rsidRPr="006A3136">
        <w:rPr>
          <w:i/>
          <w:color w:val="000000"/>
          <w:lang w:val="es-US"/>
        </w:rPr>
        <w:t>Id.</w:t>
      </w:r>
    </w:p>
  </w:footnote>
  <w:footnote w:id="27">
    <w:p w:rsidR="00A80C45" w:rsidRPr="006A3136" w:rsidRDefault="00A80C45">
      <w:pPr>
        <w:pStyle w:val="FootnoteText"/>
        <w:spacing w:after="120"/>
        <w:rPr>
          <w:color w:val="000000"/>
          <w:lang w:val="es-US"/>
        </w:rPr>
      </w:pPr>
      <w:r w:rsidRPr="00F565A7">
        <w:rPr>
          <w:rStyle w:val="FootnoteReference"/>
          <w:color w:val="000000"/>
        </w:rPr>
        <w:footnoteRef/>
      </w:r>
      <w:r w:rsidRPr="006A3136">
        <w:rPr>
          <w:color w:val="000000"/>
          <w:lang w:val="es-US"/>
        </w:rPr>
        <w:t xml:space="preserve"> 47 C.F.R. § 1.2106(e).</w:t>
      </w:r>
    </w:p>
  </w:footnote>
  <w:footnote w:id="28">
    <w:p w:rsidR="00A80C45" w:rsidRPr="00F565A7" w:rsidRDefault="00A80C45">
      <w:pPr>
        <w:pStyle w:val="FootnoteText"/>
        <w:spacing w:after="120"/>
        <w:rPr>
          <w:color w:val="000000"/>
        </w:rPr>
      </w:pPr>
      <w:r w:rsidRPr="00F565A7">
        <w:rPr>
          <w:rStyle w:val="FootnoteReference"/>
          <w:color w:val="000000"/>
        </w:rPr>
        <w:footnoteRef/>
      </w:r>
      <w:r w:rsidRPr="00F565A7">
        <w:rPr>
          <w:color w:val="000000"/>
        </w:rPr>
        <w:t xml:space="preserve"> </w:t>
      </w:r>
      <w:r w:rsidRPr="00F565A7">
        <w:rPr>
          <w:i/>
          <w:color w:val="000000"/>
        </w:rPr>
        <w:t>See</w:t>
      </w:r>
      <w:r w:rsidRPr="00F565A7">
        <w:rPr>
          <w:color w:val="000000"/>
        </w:rPr>
        <w:t xml:space="preserve"> Mountain Solutions Ltd., Inc., </w:t>
      </w:r>
      <w:r w:rsidRPr="00F565A7">
        <w:rPr>
          <w:i/>
          <w:color w:val="000000"/>
        </w:rPr>
        <w:t>Memorandum Opinion and Order</w:t>
      </w:r>
      <w:r w:rsidRPr="00F565A7">
        <w:rPr>
          <w:color w:val="000000"/>
        </w:rPr>
        <w:t xml:space="preserve">, 13 FCC Rcd 21983, 21997 ¶ 25 (1998). </w:t>
      </w:r>
    </w:p>
    <w:p w:rsidR="00A80C45" w:rsidRPr="00F565A7" w:rsidRDefault="00A80C45">
      <w:pPr>
        <w:pStyle w:val="FootnoteText"/>
        <w:spacing w:after="120"/>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B9" w:rsidRDefault="00EC3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45" w:rsidRPr="00F946D9" w:rsidRDefault="00F946D9" w:rsidP="00F946D9">
    <w:pPr>
      <w:rPr>
        <w:spacing w:val="-2"/>
        <w:sz w:val="22"/>
      </w:rPr>
    </w:pPr>
    <w:r w:rsidRPr="00FF01AB">
      <w:rPr>
        <w:spacing w:val="-2"/>
        <w:sz w:val="22"/>
      </w:rPr>
      <w:t>Nassau Broadcasting Holdings, Inc.</w:t>
    </w:r>
    <w:r>
      <w:rPr>
        <w:spacing w:val="-2"/>
        <w:sz w:val="22"/>
      </w:rPr>
      <w:t xml:space="preserve"> </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 xml:space="preserve">   </w:t>
    </w:r>
    <w:r w:rsidR="00A80C45" w:rsidRPr="006A3136">
      <w:rPr>
        <w:sz w:val="22"/>
        <w:szCs w:val="22"/>
      </w:rPr>
      <w:t xml:space="preserve">DA </w:t>
    </w:r>
    <w:r w:rsidR="00A169A3" w:rsidRPr="006A3136">
      <w:rPr>
        <w:sz w:val="22"/>
        <w:szCs w:val="22"/>
      </w:rPr>
      <w:t>15</w:t>
    </w:r>
    <w:r w:rsidR="00A80C45" w:rsidRPr="006A3136">
      <w:rPr>
        <w:sz w:val="22"/>
        <w:szCs w:val="22"/>
      </w:rPr>
      <w:t>-</w:t>
    </w:r>
    <w:r w:rsidR="00A169A3" w:rsidRPr="006A3136">
      <w:rPr>
        <w:sz w:val="22"/>
        <w:szCs w:val="22"/>
      </w:rPr>
      <w:t>126</w:t>
    </w:r>
  </w:p>
  <w:p w:rsidR="00A80C45" w:rsidRDefault="00AB4571">
    <w:pPr>
      <w:pStyle w:val="Header"/>
      <w:rPr>
        <w:sz w:val="22"/>
        <w:szCs w:val="22"/>
        <w:lang w:val="es-ES"/>
      </w:rPr>
    </w:pPr>
    <w:r>
      <w:rPr>
        <w:sz w:val="22"/>
        <w:szCs w:val="22"/>
        <w:lang w:val="es-ES"/>
      </w:rPr>
      <w:t>January 29</w:t>
    </w:r>
    <w:r w:rsidR="00D72BBA">
      <w:rPr>
        <w:sz w:val="22"/>
        <w:szCs w:val="22"/>
        <w:lang w:val="es-ES"/>
      </w:rPr>
      <w:t>, 2015</w:t>
    </w:r>
  </w:p>
  <w:p w:rsidR="00C0531D" w:rsidRDefault="00A80C45">
    <w:pPr>
      <w:pStyle w:val="Header"/>
      <w:rPr>
        <w:rStyle w:val="PageNumber"/>
        <w:sz w:val="22"/>
        <w:szCs w:val="22"/>
      </w:rPr>
    </w:pPr>
    <w:r>
      <w:rPr>
        <w:rStyle w:val="PageNumber"/>
        <w:sz w:val="22"/>
        <w:szCs w:val="22"/>
        <w:lang w:val="fr-FR"/>
      </w:rPr>
      <w:t xml:space="preserve">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EC34B9">
      <w:rPr>
        <w:rStyle w:val="PageNumber"/>
        <w:noProof/>
        <w:sz w:val="22"/>
        <w:szCs w:val="22"/>
      </w:rPr>
      <w:t>2</w:t>
    </w:r>
    <w:r>
      <w:rPr>
        <w:rStyle w:val="PageNumber"/>
        <w:sz w:val="22"/>
        <w:szCs w:val="22"/>
      </w:rPr>
      <w:fldChar w:fldCharType="end"/>
    </w:r>
  </w:p>
  <w:p w:rsidR="00A80C45" w:rsidRDefault="00A80C45">
    <w:pPr>
      <w:pStyle w:val="Header"/>
      <w:rPr>
        <w:b/>
        <w:i/>
        <w:lang w:val="es-ES"/>
      </w:rPr>
    </w:pPr>
    <w:r>
      <w:rPr>
        <w:rStyle w:val="PageNumber"/>
        <w:b/>
        <w:i/>
      </w:rPr>
      <w:tab/>
    </w:r>
    <w:r>
      <w:rPr>
        <w:b/>
        <w:i/>
        <w:lang w:val="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45" w:rsidRDefault="009D7C17">
    <w:pPr>
      <w:pStyle w:val="Header"/>
      <w:tabs>
        <w:tab w:val="clear" w:pos="4320"/>
        <w:tab w:val="clear" w:pos="8640"/>
      </w:tabs>
      <w:spacing w:before="360" w:line="228"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95pt;margin-top:.2pt;width:68.15pt;height:64.8pt;z-index:251657728" filled="t" fillcolor="#3cc">
          <v:imagedata r:id="rId1" o:title="" gain="69719f"/>
          <w10:wrap type="topAndBottom"/>
        </v:shape>
      </w:pict>
    </w:r>
    <w:r w:rsidR="00A80C45">
      <w:rPr>
        <w:rFonts w:ascii="CG Times (W1)" w:hAnsi="CG Times (W1)"/>
        <w:sz w:val="28"/>
      </w:rPr>
      <w:t>Federal Communications Commission</w:t>
    </w:r>
  </w:p>
  <w:p w:rsidR="00A80C45" w:rsidRDefault="00A80C45">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A80C45" w:rsidRDefault="00A80C45">
    <w:pPr>
      <w:pStyle w:val="Header"/>
      <w:tabs>
        <w:tab w:val="clear" w:pos="4320"/>
      </w:tabs>
      <w:jc w:val="center"/>
      <w:rPr>
        <w:sz w:val="22"/>
      </w:rPr>
    </w:pPr>
  </w:p>
  <w:p w:rsidR="00A80C45" w:rsidRDefault="00A80C45">
    <w:pPr>
      <w:pStyle w:val="Header"/>
      <w:tabs>
        <w:tab w:val="clear" w:pos="4320"/>
      </w:tabs>
      <w:jc w:val="center"/>
      <w:rPr>
        <w:sz w:val="22"/>
      </w:rPr>
    </w:pPr>
  </w:p>
  <w:p w:rsidR="00A80C45" w:rsidRDefault="00D72BBA">
    <w:pPr>
      <w:pStyle w:val="Header"/>
      <w:tabs>
        <w:tab w:val="clear" w:pos="4320"/>
      </w:tabs>
      <w:jc w:val="center"/>
      <w:rPr>
        <w:sz w:val="22"/>
        <w:szCs w:val="22"/>
      </w:rPr>
    </w:pPr>
    <w:r>
      <w:rPr>
        <w:sz w:val="22"/>
        <w:szCs w:val="22"/>
      </w:rPr>
      <w:t xml:space="preserve"> January </w:t>
    </w:r>
    <w:r w:rsidR="00AB4571">
      <w:rPr>
        <w:sz w:val="22"/>
        <w:szCs w:val="22"/>
      </w:rPr>
      <w:t>29</w:t>
    </w:r>
    <w:r>
      <w:rPr>
        <w:sz w:val="22"/>
        <w:szCs w:val="22"/>
      </w:rPr>
      <w:t>, 2015</w:t>
    </w:r>
  </w:p>
  <w:p w:rsidR="00A80C45" w:rsidRDefault="00A80C45">
    <w:pPr>
      <w:pStyle w:val="Header"/>
      <w:tabs>
        <w:tab w:val="clear" w:pos="4320"/>
      </w:tabs>
      <w:jc w:val="right"/>
      <w:rPr>
        <w:sz w:val="22"/>
        <w:szCs w:val="22"/>
      </w:rPr>
    </w:pPr>
  </w:p>
  <w:p w:rsidR="00A80C45" w:rsidRDefault="00A80C45">
    <w:pPr>
      <w:pStyle w:val="Header"/>
      <w:tabs>
        <w:tab w:val="clear" w:pos="4320"/>
      </w:tabs>
      <w:jc w:val="right"/>
      <w:rPr>
        <w:sz w:val="22"/>
        <w:szCs w:val="22"/>
      </w:rPr>
    </w:pPr>
  </w:p>
  <w:p w:rsidR="00A80C45" w:rsidRDefault="00A80C45" w:rsidP="00A169A3">
    <w:pPr>
      <w:pStyle w:val="Header"/>
      <w:tabs>
        <w:tab w:val="clear" w:pos="4320"/>
        <w:tab w:val="left" w:pos="7920"/>
      </w:tabs>
      <w:rPr>
        <w:sz w:val="22"/>
        <w:szCs w:val="22"/>
      </w:rPr>
    </w:pPr>
    <w:r>
      <w:rPr>
        <w:sz w:val="22"/>
        <w:szCs w:val="22"/>
      </w:rPr>
      <w:t xml:space="preserve">                     </w:t>
    </w:r>
    <w:r w:rsidR="00D72BBA">
      <w:rPr>
        <w:sz w:val="22"/>
        <w:szCs w:val="22"/>
      </w:rPr>
      <w:t xml:space="preserve">                          </w:t>
    </w:r>
    <w:r w:rsidR="00D72BBA">
      <w:rPr>
        <w:sz w:val="22"/>
        <w:szCs w:val="22"/>
      </w:rPr>
      <w:tab/>
    </w:r>
    <w:r w:rsidR="00A169A3">
      <w:rPr>
        <w:sz w:val="22"/>
        <w:szCs w:val="22"/>
      </w:rPr>
      <w:t xml:space="preserve">   </w:t>
    </w:r>
    <w:r w:rsidR="00D72BBA">
      <w:rPr>
        <w:sz w:val="22"/>
        <w:szCs w:val="22"/>
      </w:rPr>
      <w:t>DA 15</w:t>
    </w:r>
    <w:r>
      <w:rPr>
        <w:sz w:val="22"/>
        <w:szCs w:val="22"/>
      </w:rPr>
      <w:t>-</w:t>
    </w:r>
    <w:r w:rsidR="00A169A3">
      <w:rPr>
        <w:sz w:val="22"/>
        <w:szCs w:val="22"/>
      </w:rPr>
      <w:t>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ECA"/>
    <w:rsid w:val="00016AE4"/>
    <w:rsid w:val="00075A77"/>
    <w:rsid w:val="0007794B"/>
    <w:rsid w:val="000830D0"/>
    <w:rsid w:val="000937EF"/>
    <w:rsid w:val="000B58DB"/>
    <w:rsid w:val="000B7C7F"/>
    <w:rsid w:val="000C2F95"/>
    <w:rsid w:val="000D591E"/>
    <w:rsid w:val="000D7307"/>
    <w:rsid w:val="000E750A"/>
    <w:rsid w:val="000F0746"/>
    <w:rsid w:val="000F158C"/>
    <w:rsid w:val="00120222"/>
    <w:rsid w:val="00136401"/>
    <w:rsid w:val="001379F7"/>
    <w:rsid w:val="00152841"/>
    <w:rsid w:val="001808F6"/>
    <w:rsid w:val="00181E16"/>
    <w:rsid w:val="00197207"/>
    <w:rsid w:val="001C2803"/>
    <w:rsid w:val="001D3366"/>
    <w:rsid w:val="001E0DF9"/>
    <w:rsid w:val="00225C4E"/>
    <w:rsid w:val="002379AB"/>
    <w:rsid w:val="00247620"/>
    <w:rsid w:val="002562E2"/>
    <w:rsid w:val="0026199F"/>
    <w:rsid w:val="00261CA2"/>
    <w:rsid w:val="002878CE"/>
    <w:rsid w:val="002B1AAA"/>
    <w:rsid w:val="002C65D6"/>
    <w:rsid w:val="002C7FC2"/>
    <w:rsid w:val="002D0712"/>
    <w:rsid w:val="00306DFF"/>
    <w:rsid w:val="00315BEB"/>
    <w:rsid w:val="00323A7A"/>
    <w:rsid w:val="00344EAB"/>
    <w:rsid w:val="00372A34"/>
    <w:rsid w:val="00386C3C"/>
    <w:rsid w:val="00393EF4"/>
    <w:rsid w:val="00397203"/>
    <w:rsid w:val="003A062B"/>
    <w:rsid w:val="003B14A3"/>
    <w:rsid w:val="003B2766"/>
    <w:rsid w:val="003B49BD"/>
    <w:rsid w:val="003D3505"/>
    <w:rsid w:val="003D7958"/>
    <w:rsid w:val="003F49B2"/>
    <w:rsid w:val="003F7E88"/>
    <w:rsid w:val="00402CEC"/>
    <w:rsid w:val="00406E39"/>
    <w:rsid w:val="00454C95"/>
    <w:rsid w:val="004615F3"/>
    <w:rsid w:val="0046663D"/>
    <w:rsid w:val="00480A7A"/>
    <w:rsid w:val="00484968"/>
    <w:rsid w:val="0048691C"/>
    <w:rsid w:val="00494563"/>
    <w:rsid w:val="00495F5F"/>
    <w:rsid w:val="004A3F6B"/>
    <w:rsid w:val="004A49C6"/>
    <w:rsid w:val="004A6498"/>
    <w:rsid w:val="004C410A"/>
    <w:rsid w:val="0050289B"/>
    <w:rsid w:val="00515B28"/>
    <w:rsid w:val="005254FD"/>
    <w:rsid w:val="00526588"/>
    <w:rsid w:val="0053681C"/>
    <w:rsid w:val="00542078"/>
    <w:rsid w:val="0054298F"/>
    <w:rsid w:val="00555EE2"/>
    <w:rsid w:val="00560BB3"/>
    <w:rsid w:val="00561742"/>
    <w:rsid w:val="00576E45"/>
    <w:rsid w:val="0059475E"/>
    <w:rsid w:val="00596A8A"/>
    <w:rsid w:val="005A0AA7"/>
    <w:rsid w:val="005A1E9F"/>
    <w:rsid w:val="005B5D3D"/>
    <w:rsid w:val="005B699A"/>
    <w:rsid w:val="005C6D6F"/>
    <w:rsid w:val="005D03F6"/>
    <w:rsid w:val="00601F77"/>
    <w:rsid w:val="00604115"/>
    <w:rsid w:val="00641B9D"/>
    <w:rsid w:val="00676DD2"/>
    <w:rsid w:val="00686ECA"/>
    <w:rsid w:val="0069424D"/>
    <w:rsid w:val="006A1D11"/>
    <w:rsid w:val="006A3136"/>
    <w:rsid w:val="006C0D52"/>
    <w:rsid w:val="006D2AC9"/>
    <w:rsid w:val="006D4B33"/>
    <w:rsid w:val="006E0C28"/>
    <w:rsid w:val="00702CE2"/>
    <w:rsid w:val="00725723"/>
    <w:rsid w:val="00756481"/>
    <w:rsid w:val="00767843"/>
    <w:rsid w:val="00774918"/>
    <w:rsid w:val="00787DFC"/>
    <w:rsid w:val="007B3E95"/>
    <w:rsid w:val="007B4BDD"/>
    <w:rsid w:val="007B7865"/>
    <w:rsid w:val="007E07EC"/>
    <w:rsid w:val="007E6BF8"/>
    <w:rsid w:val="007F550B"/>
    <w:rsid w:val="00800702"/>
    <w:rsid w:val="00811EF1"/>
    <w:rsid w:val="008174D8"/>
    <w:rsid w:val="008212C9"/>
    <w:rsid w:val="00824F2C"/>
    <w:rsid w:val="00824FCB"/>
    <w:rsid w:val="00857710"/>
    <w:rsid w:val="00873075"/>
    <w:rsid w:val="0087309E"/>
    <w:rsid w:val="008A0B6E"/>
    <w:rsid w:val="008A25C5"/>
    <w:rsid w:val="008A3284"/>
    <w:rsid w:val="008A541A"/>
    <w:rsid w:val="008A7DFD"/>
    <w:rsid w:val="008D00FA"/>
    <w:rsid w:val="008D2612"/>
    <w:rsid w:val="008E6810"/>
    <w:rsid w:val="00904512"/>
    <w:rsid w:val="009055C7"/>
    <w:rsid w:val="00921B5E"/>
    <w:rsid w:val="00935E9D"/>
    <w:rsid w:val="00963F5E"/>
    <w:rsid w:val="009869F1"/>
    <w:rsid w:val="009C33FC"/>
    <w:rsid w:val="009C5D45"/>
    <w:rsid w:val="009D1A73"/>
    <w:rsid w:val="009D7C17"/>
    <w:rsid w:val="009E1D89"/>
    <w:rsid w:val="009E1F41"/>
    <w:rsid w:val="009E3184"/>
    <w:rsid w:val="009E45D1"/>
    <w:rsid w:val="009E6FAA"/>
    <w:rsid w:val="00A008C2"/>
    <w:rsid w:val="00A169A3"/>
    <w:rsid w:val="00A20859"/>
    <w:rsid w:val="00A316A9"/>
    <w:rsid w:val="00A6521E"/>
    <w:rsid w:val="00A71C08"/>
    <w:rsid w:val="00A749CE"/>
    <w:rsid w:val="00A80C45"/>
    <w:rsid w:val="00A94B2F"/>
    <w:rsid w:val="00AB4571"/>
    <w:rsid w:val="00AD06A0"/>
    <w:rsid w:val="00AE73F6"/>
    <w:rsid w:val="00B040AF"/>
    <w:rsid w:val="00B10DDE"/>
    <w:rsid w:val="00B24B10"/>
    <w:rsid w:val="00B36BE0"/>
    <w:rsid w:val="00B42519"/>
    <w:rsid w:val="00B429EE"/>
    <w:rsid w:val="00B430A1"/>
    <w:rsid w:val="00B5165F"/>
    <w:rsid w:val="00B659CE"/>
    <w:rsid w:val="00B8487B"/>
    <w:rsid w:val="00B91201"/>
    <w:rsid w:val="00B9257A"/>
    <w:rsid w:val="00B9405D"/>
    <w:rsid w:val="00BB7DF6"/>
    <w:rsid w:val="00BC7F01"/>
    <w:rsid w:val="00BD097D"/>
    <w:rsid w:val="00BD5B53"/>
    <w:rsid w:val="00BF084A"/>
    <w:rsid w:val="00C0531D"/>
    <w:rsid w:val="00C10901"/>
    <w:rsid w:val="00C26AE4"/>
    <w:rsid w:val="00C415F6"/>
    <w:rsid w:val="00C45F02"/>
    <w:rsid w:val="00C53F00"/>
    <w:rsid w:val="00C55A23"/>
    <w:rsid w:val="00C62336"/>
    <w:rsid w:val="00CA3A3B"/>
    <w:rsid w:val="00CA7B53"/>
    <w:rsid w:val="00CB698C"/>
    <w:rsid w:val="00CC2265"/>
    <w:rsid w:val="00CC42E5"/>
    <w:rsid w:val="00CF52B2"/>
    <w:rsid w:val="00D215A6"/>
    <w:rsid w:val="00D2205A"/>
    <w:rsid w:val="00D27E06"/>
    <w:rsid w:val="00D50AE9"/>
    <w:rsid w:val="00D50D49"/>
    <w:rsid w:val="00D53B59"/>
    <w:rsid w:val="00D542A3"/>
    <w:rsid w:val="00D62409"/>
    <w:rsid w:val="00D72BBA"/>
    <w:rsid w:val="00D72E49"/>
    <w:rsid w:val="00D74B7C"/>
    <w:rsid w:val="00D7746B"/>
    <w:rsid w:val="00D91500"/>
    <w:rsid w:val="00D91722"/>
    <w:rsid w:val="00D9262E"/>
    <w:rsid w:val="00D95C7D"/>
    <w:rsid w:val="00DB5458"/>
    <w:rsid w:val="00DC11D4"/>
    <w:rsid w:val="00DD0030"/>
    <w:rsid w:val="00DE5C39"/>
    <w:rsid w:val="00DF46FF"/>
    <w:rsid w:val="00DF5DBD"/>
    <w:rsid w:val="00E0787B"/>
    <w:rsid w:val="00E149ED"/>
    <w:rsid w:val="00E34FB8"/>
    <w:rsid w:val="00E52AAD"/>
    <w:rsid w:val="00E72680"/>
    <w:rsid w:val="00E75AA6"/>
    <w:rsid w:val="00E830A4"/>
    <w:rsid w:val="00EA0073"/>
    <w:rsid w:val="00EB597A"/>
    <w:rsid w:val="00EB7872"/>
    <w:rsid w:val="00EC018E"/>
    <w:rsid w:val="00EC036A"/>
    <w:rsid w:val="00EC34B9"/>
    <w:rsid w:val="00EC631B"/>
    <w:rsid w:val="00ED1188"/>
    <w:rsid w:val="00ED3817"/>
    <w:rsid w:val="00ED3C95"/>
    <w:rsid w:val="00F12808"/>
    <w:rsid w:val="00F14829"/>
    <w:rsid w:val="00F33D03"/>
    <w:rsid w:val="00F47690"/>
    <w:rsid w:val="00F565A7"/>
    <w:rsid w:val="00F648C1"/>
    <w:rsid w:val="00F71A76"/>
    <w:rsid w:val="00F72461"/>
    <w:rsid w:val="00F946D9"/>
    <w:rsid w:val="00F97DB2"/>
    <w:rsid w:val="00FA6C61"/>
    <w:rsid w:val="00FB00E2"/>
    <w:rsid w:val="00FB276F"/>
    <w:rsid w:val="00FB763E"/>
    <w:rsid w:val="00FC1098"/>
    <w:rsid w:val="00FD6DC6"/>
    <w:rsid w:val="00FE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qFormat/>
    <w:pPr>
      <w:outlineLvl w:val="4"/>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t,ft Char"/>
    <w:basedOn w:val="Normal"/>
    <w:link w:val="FootnoteTextChar"/>
  </w:style>
  <w:style w:type="character" w:styleId="FootnoteReference">
    <w:name w:val="footnote reference"/>
    <w:semiHidden/>
    <w:rPr>
      <w:vertAlign w:val="superscript"/>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rPr>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2">
    <w:name w:val="Body Text 2"/>
    <w:basedOn w:val="Normal"/>
    <w:pPr>
      <w:widowControl w:val="0"/>
      <w:jc w:val="both"/>
    </w:pPr>
    <w:rPr>
      <w:snapToGrid w:val="0"/>
      <w:kern w:val="28"/>
      <w:sz w:val="24"/>
    </w:rPr>
  </w:style>
  <w:style w:type="paragraph" w:customStyle="1" w:styleId="ParaNum">
    <w:name w:val="ParaNum"/>
    <w:basedOn w:val="Normal"/>
    <w:pPr>
      <w:widowControl w:val="0"/>
      <w:numPr>
        <w:numId w:val="1"/>
      </w:numPr>
      <w:tabs>
        <w:tab w:val="clear" w:pos="1080"/>
        <w:tab w:val="num" w:pos="360"/>
      </w:tabs>
      <w:spacing w:after="220"/>
      <w:ind w:firstLine="0"/>
      <w:jc w:val="both"/>
    </w:pPr>
    <w:rPr>
      <w:snapToGrid w:val="0"/>
      <w:kern w:val="28"/>
      <w:sz w:val="22"/>
    </w:rPr>
  </w:style>
  <w:style w:type="character" w:styleId="PageNumber">
    <w:name w:val="page number"/>
    <w:basedOn w:val="DefaultParagraphFont"/>
  </w:style>
  <w:style w:type="character" w:styleId="Strong">
    <w:name w:val="Strong"/>
    <w:qForma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odyTextIndent">
    <w:name w:val="Body Text Indent"/>
    <w:basedOn w:val="Normal"/>
    <w:pPr>
      <w:spacing w:after="120"/>
      <w:ind w:left="360"/>
    </w:pPr>
  </w:style>
  <w:style w:type="character" w:customStyle="1" w:styleId="FootnoteReference1">
    <w:name w:val="Footnote Reference1"/>
    <w:rPr>
      <w:color w:val="000000"/>
      <w:sz w:val="20"/>
      <w:vertAlign w:val="superscript"/>
    </w:rPr>
  </w:style>
  <w:style w:type="paragraph" w:customStyle="1" w:styleId="Heading5A">
    <w:name w:val="Heading 5 A"/>
    <w:pPr>
      <w:outlineLvl w:val="4"/>
    </w:pPr>
    <w:rPr>
      <w:rFonts w:ascii="Times New Roman Bold" w:eastAsia="ヒラギノ角ゴ Pro W3" w:hAnsi="Times New Roman Bold"/>
      <w:color w:val="000000"/>
      <w:sz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body">
    <w:name w:val="documentbody"/>
    <w:rPr>
      <w:rFonts w:cs="Times New Roman"/>
    </w:rPr>
  </w:style>
  <w:style w:type="character" w:styleId="CommentReference">
    <w:name w:val="annotation reference"/>
    <w:rsid w:val="008D00FA"/>
    <w:rPr>
      <w:sz w:val="16"/>
      <w:szCs w:val="16"/>
    </w:rPr>
  </w:style>
  <w:style w:type="paragraph" w:styleId="CommentText">
    <w:name w:val="annotation text"/>
    <w:basedOn w:val="Normal"/>
    <w:link w:val="CommentTextChar"/>
    <w:rsid w:val="008D00FA"/>
  </w:style>
  <w:style w:type="character" w:customStyle="1" w:styleId="CommentTextChar">
    <w:name w:val="Comment Text Char"/>
    <w:basedOn w:val="DefaultParagraphFont"/>
    <w:link w:val="CommentText"/>
    <w:rsid w:val="008D00FA"/>
  </w:style>
  <w:style w:type="paragraph" w:styleId="CommentSubject">
    <w:name w:val="annotation subject"/>
    <w:basedOn w:val="CommentText"/>
    <w:next w:val="CommentText"/>
    <w:link w:val="CommentSubjectChar"/>
    <w:rsid w:val="008D00FA"/>
    <w:rPr>
      <w:b/>
      <w:bCs/>
    </w:rPr>
  </w:style>
  <w:style w:type="character" w:customStyle="1" w:styleId="CommentSubjectChar">
    <w:name w:val="Comment Subject Char"/>
    <w:link w:val="CommentSubject"/>
    <w:rsid w:val="008D0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4983">
      <w:bodyDiv w:val="1"/>
      <w:marLeft w:val="0"/>
      <w:marRight w:val="0"/>
      <w:marTop w:val="0"/>
      <w:marBottom w:val="0"/>
      <w:divBdr>
        <w:top w:val="none" w:sz="0" w:space="0" w:color="auto"/>
        <w:left w:val="none" w:sz="0" w:space="0" w:color="auto"/>
        <w:bottom w:val="none" w:sz="0" w:space="0" w:color="auto"/>
        <w:right w:val="none" w:sz="0" w:space="0" w:color="auto"/>
      </w:divBdr>
      <w:divsChild>
        <w:div w:id="272399602">
          <w:marLeft w:val="0"/>
          <w:marRight w:val="0"/>
          <w:marTop w:val="0"/>
          <w:marBottom w:val="0"/>
          <w:divBdr>
            <w:top w:val="none" w:sz="0" w:space="0" w:color="auto"/>
            <w:left w:val="none" w:sz="0" w:space="0" w:color="auto"/>
            <w:bottom w:val="none" w:sz="0" w:space="0" w:color="auto"/>
            <w:right w:val="none" w:sz="0" w:space="0" w:color="auto"/>
          </w:divBdr>
          <w:divsChild>
            <w:div w:id="20497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5764">
      <w:bodyDiv w:val="1"/>
      <w:marLeft w:val="0"/>
      <w:marRight w:val="0"/>
      <w:marTop w:val="0"/>
      <w:marBottom w:val="0"/>
      <w:divBdr>
        <w:top w:val="none" w:sz="0" w:space="0" w:color="auto"/>
        <w:left w:val="none" w:sz="0" w:space="0" w:color="auto"/>
        <w:bottom w:val="none" w:sz="0" w:space="0" w:color="auto"/>
        <w:right w:val="none" w:sz="0" w:space="0" w:color="auto"/>
      </w:divBdr>
      <w:divsChild>
        <w:div w:id="2128236087">
          <w:marLeft w:val="0"/>
          <w:marRight w:val="0"/>
          <w:marTop w:val="0"/>
          <w:marBottom w:val="0"/>
          <w:divBdr>
            <w:top w:val="none" w:sz="0" w:space="0" w:color="auto"/>
            <w:left w:val="none" w:sz="0" w:space="0" w:color="auto"/>
            <w:bottom w:val="none" w:sz="0" w:space="0" w:color="auto"/>
            <w:right w:val="none" w:sz="0" w:space="0" w:color="auto"/>
          </w:divBdr>
          <w:divsChild>
            <w:div w:id="7763720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29131623">
      <w:bodyDiv w:val="1"/>
      <w:marLeft w:val="0"/>
      <w:marRight w:val="0"/>
      <w:marTop w:val="0"/>
      <w:marBottom w:val="0"/>
      <w:divBdr>
        <w:top w:val="none" w:sz="0" w:space="0" w:color="auto"/>
        <w:left w:val="none" w:sz="0" w:space="0" w:color="auto"/>
        <w:bottom w:val="none" w:sz="0" w:space="0" w:color="auto"/>
        <w:right w:val="none" w:sz="0" w:space="0" w:color="auto"/>
      </w:divBdr>
      <w:divsChild>
        <w:div w:id="1545678666">
          <w:marLeft w:val="0"/>
          <w:marRight w:val="0"/>
          <w:marTop w:val="0"/>
          <w:marBottom w:val="0"/>
          <w:divBdr>
            <w:top w:val="none" w:sz="0" w:space="0" w:color="auto"/>
            <w:left w:val="none" w:sz="0" w:space="0" w:color="auto"/>
            <w:bottom w:val="none" w:sz="0" w:space="0" w:color="auto"/>
            <w:right w:val="none" w:sz="0" w:space="0" w:color="auto"/>
          </w:divBdr>
          <w:divsChild>
            <w:div w:id="12049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1157</Words>
  <Characters>6429</Characters>
  <Application>Microsoft Office Word</Application>
  <DocSecurity>0</DocSecurity>
  <Lines>135</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2012-04-09T16:16:00Z</cp:lastPrinted>
  <dcterms:created xsi:type="dcterms:W3CDTF">2015-01-29T18:52:00Z</dcterms:created>
  <dcterms:modified xsi:type="dcterms:W3CDTF">2015-01-29T18:52:00Z</dcterms:modified>
  <cp:category> </cp:category>
  <cp:contentStatus> </cp:contentStatus>
</cp:coreProperties>
</file>